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52AA" w14:textId="304E1834" w:rsidR="005B5730" w:rsidRPr="00515872" w:rsidRDefault="00073D2D" w:rsidP="00163B57">
      <w:pPr>
        <w:jc w:val="both"/>
        <w:rPr>
          <w:rFonts w:cs="Tahoma"/>
          <w:noProof/>
          <w:sz w:val="18"/>
          <w:szCs w:val="20"/>
          <w:highlight w:val="yellow"/>
          <w:lang w:eastAsia="it-IT"/>
        </w:rPr>
      </w:pPr>
      <w:r>
        <w:rPr>
          <w:rFonts w:cs="Tahoma"/>
          <w:noProof/>
          <w:sz w:val="18"/>
          <w:szCs w:val="20"/>
          <w:lang w:eastAsia="it-IT"/>
        </w:rPr>
        <w:drawing>
          <wp:anchor distT="0" distB="0" distL="114300" distR="114300" simplePos="0" relativeHeight="251662336" behindDoc="1" locked="0" layoutInCell="1" allowOverlap="1" wp14:anchorId="58715310" wp14:editId="0BB78AA5">
            <wp:simplePos x="0" y="0"/>
            <wp:positionH relativeFrom="column">
              <wp:posOffset>-772844</wp:posOffset>
            </wp:positionH>
            <wp:positionV relativeFrom="paragraph">
              <wp:posOffset>-1093226</wp:posOffset>
            </wp:positionV>
            <wp:extent cx="7719646" cy="10919478"/>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8">
                      <a:extLst>
                        <a:ext uri="{28A0092B-C50C-407E-A947-70E740481C1C}">
                          <a14:useLocalDpi xmlns:a14="http://schemas.microsoft.com/office/drawing/2010/main" val="0"/>
                        </a:ext>
                      </a:extLst>
                    </a:blip>
                    <a:stretch>
                      <a:fillRect/>
                    </a:stretch>
                  </pic:blipFill>
                  <pic:spPr>
                    <a:xfrm>
                      <a:off x="0" y="0"/>
                      <a:ext cx="7726396" cy="10929025"/>
                    </a:xfrm>
                    <a:prstGeom prst="rect">
                      <a:avLst/>
                    </a:prstGeom>
                  </pic:spPr>
                </pic:pic>
              </a:graphicData>
            </a:graphic>
            <wp14:sizeRelH relativeFrom="margin">
              <wp14:pctWidth>0</wp14:pctWidth>
            </wp14:sizeRelH>
            <wp14:sizeRelV relativeFrom="margin">
              <wp14:pctHeight>0</wp14:pctHeight>
            </wp14:sizeRelV>
          </wp:anchor>
        </w:drawing>
      </w:r>
    </w:p>
    <w:p w14:paraId="3E981F2C" w14:textId="77777777" w:rsidR="00A77640" w:rsidRPr="00515872" w:rsidRDefault="00A77640" w:rsidP="00163B57">
      <w:pPr>
        <w:jc w:val="both"/>
        <w:rPr>
          <w:rFonts w:cs="Tahoma"/>
          <w:noProof/>
          <w:sz w:val="18"/>
          <w:szCs w:val="20"/>
          <w:highlight w:val="yellow"/>
          <w:lang w:eastAsia="it-IT"/>
        </w:rPr>
      </w:pPr>
    </w:p>
    <w:p w14:paraId="6CF0A589" w14:textId="77777777" w:rsidR="00A77640" w:rsidRPr="00515872" w:rsidRDefault="00A77640" w:rsidP="00163B57">
      <w:pPr>
        <w:jc w:val="both"/>
        <w:rPr>
          <w:rFonts w:cs="Tahoma"/>
          <w:noProof/>
          <w:sz w:val="18"/>
          <w:szCs w:val="20"/>
          <w:highlight w:val="yellow"/>
          <w:lang w:eastAsia="it-IT"/>
        </w:rPr>
      </w:pPr>
    </w:p>
    <w:p w14:paraId="670B6EB4" w14:textId="77777777" w:rsidR="00A41BFF" w:rsidRPr="00515872" w:rsidRDefault="00A41BFF" w:rsidP="00163B57">
      <w:pPr>
        <w:jc w:val="both"/>
        <w:rPr>
          <w:rFonts w:cs="Tahoma"/>
          <w:noProof/>
          <w:szCs w:val="20"/>
          <w:highlight w:val="yellow"/>
          <w:lang w:eastAsia="it-IT"/>
        </w:rPr>
        <w:sectPr w:rsidR="00A41BFF" w:rsidRPr="00515872" w:rsidSect="00DE77D4">
          <w:headerReference w:type="default" r:id="rId9"/>
          <w:footerReference w:type="default" r:id="rId10"/>
          <w:pgSz w:w="11906" w:h="16838"/>
          <w:pgMar w:top="1417" w:right="1134" w:bottom="1134" w:left="1134" w:header="708" w:footer="708" w:gutter="0"/>
          <w:cols w:space="708"/>
          <w:titlePg/>
          <w:docGrid w:linePitch="360"/>
        </w:sectPr>
      </w:pPr>
    </w:p>
    <w:p w14:paraId="3CA2EBFF" w14:textId="77777777" w:rsidR="00686D06" w:rsidRPr="00515872" w:rsidRDefault="00660634" w:rsidP="00163B57">
      <w:pPr>
        <w:jc w:val="both"/>
        <w:rPr>
          <w:rFonts w:cs="Tahoma"/>
          <w:sz w:val="28"/>
          <w:szCs w:val="28"/>
        </w:rPr>
      </w:pPr>
      <w:r w:rsidRPr="00515872">
        <w:rPr>
          <w:rFonts w:cs="Tahoma"/>
          <w:sz w:val="28"/>
          <w:szCs w:val="28"/>
        </w:rPr>
        <w:lastRenderedPageBreak/>
        <w:t>Marco Paolini</w:t>
      </w:r>
    </w:p>
    <w:p w14:paraId="51447219" w14:textId="77777777" w:rsidR="00686D06" w:rsidRPr="00515872" w:rsidRDefault="00686D06" w:rsidP="00163B57">
      <w:pPr>
        <w:jc w:val="both"/>
        <w:rPr>
          <w:rFonts w:cs="Tahoma"/>
          <w:szCs w:val="20"/>
        </w:rPr>
      </w:pPr>
    </w:p>
    <w:p w14:paraId="49DA0877" w14:textId="77777777" w:rsidR="00686D06" w:rsidRPr="00515872" w:rsidRDefault="00686D06" w:rsidP="00163B57">
      <w:pPr>
        <w:jc w:val="both"/>
        <w:rPr>
          <w:rFonts w:cs="Tahoma"/>
          <w:szCs w:val="20"/>
        </w:rPr>
      </w:pPr>
    </w:p>
    <w:p w14:paraId="064AD938" w14:textId="77777777" w:rsidR="00DF772D" w:rsidRPr="00515872" w:rsidRDefault="00DF772D" w:rsidP="00901E78">
      <w:pPr>
        <w:spacing w:after="0"/>
        <w:rPr>
          <w:rFonts w:cs="Tahoma"/>
          <w:b/>
          <w:sz w:val="56"/>
          <w:szCs w:val="56"/>
        </w:rPr>
      </w:pPr>
    </w:p>
    <w:p w14:paraId="007BE6D4" w14:textId="77777777" w:rsidR="00BC7A94" w:rsidRPr="00515872" w:rsidRDefault="00901E78" w:rsidP="00F1599D">
      <w:pPr>
        <w:spacing w:after="0"/>
        <w:jc w:val="center"/>
        <w:rPr>
          <w:rFonts w:cs="Tahoma"/>
          <w:b/>
          <w:sz w:val="56"/>
          <w:szCs w:val="56"/>
        </w:rPr>
      </w:pPr>
      <w:r w:rsidRPr="00515872">
        <w:rPr>
          <w:rFonts w:cs="Tahoma"/>
          <w:b/>
          <w:sz w:val="56"/>
          <w:szCs w:val="56"/>
        </w:rPr>
        <w:t>INTRODUZIONE ALLA REVISIONE DEI CONTI DEGLI ENTI LOCALI</w:t>
      </w:r>
    </w:p>
    <w:p w14:paraId="2C53104F" w14:textId="77777777" w:rsidR="00644155" w:rsidRPr="00515872" w:rsidRDefault="00644155" w:rsidP="00901E78">
      <w:pPr>
        <w:spacing w:after="0"/>
        <w:rPr>
          <w:rFonts w:cs="Tahoma"/>
          <w:b/>
          <w:sz w:val="48"/>
          <w:szCs w:val="48"/>
        </w:rPr>
      </w:pPr>
    </w:p>
    <w:p w14:paraId="17EDF87C" w14:textId="77777777" w:rsidR="00073D2D" w:rsidRDefault="00073D2D" w:rsidP="00F1599D">
      <w:pPr>
        <w:spacing w:after="0"/>
        <w:jc w:val="center"/>
        <w:rPr>
          <w:rFonts w:cs="Tahoma"/>
          <w:b/>
          <w:sz w:val="40"/>
          <w:szCs w:val="40"/>
        </w:rPr>
      </w:pPr>
    </w:p>
    <w:p w14:paraId="09A57082" w14:textId="24C44092" w:rsidR="006020CA" w:rsidRPr="00073D2D" w:rsidRDefault="006020CA" w:rsidP="00F1599D">
      <w:pPr>
        <w:spacing w:after="0"/>
        <w:jc w:val="center"/>
        <w:rPr>
          <w:rFonts w:cs="Tahoma"/>
          <w:b/>
          <w:sz w:val="40"/>
          <w:szCs w:val="40"/>
        </w:rPr>
      </w:pPr>
      <w:r w:rsidRPr="00073D2D">
        <w:rPr>
          <w:rFonts w:cs="Tahoma"/>
          <w:b/>
          <w:sz w:val="40"/>
          <w:szCs w:val="40"/>
        </w:rPr>
        <w:t>G</w:t>
      </w:r>
      <w:r w:rsidR="00F1599D" w:rsidRPr="00073D2D">
        <w:rPr>
          <w:rFonts w:cs="Tahoma"/>
          <w:b/>
          <w:sz w:val="40"/>
          <w:szCs w:val="40"/>
        </w:rPr>
        <w:t>uida per il revisore dei conti</w:t>
      </w:r>
    </w:p>
    <w:p w14:paraId="2AD9E6FC" w14:textId="77777777" w:rsidR="008B2DD6" w:rsidRPr="00073D2D" w:rsidRDefault="00F1599D" w:rsidP="00F1599D">
      <w:pPr>
        <w:spacing w:after="0"/>
        <w:jc w:val="center"/>
        <w:rPr>
          <w:rFonts w:cs="Tahoma"/>
          <w:b/>
          <w:sz w:val="40"/>
          <w:szCs w:val="40"/>
        </w:rPr>
      </w:pPr>
      <w:r w:rsidRPr="00073D2D">
        <w:rPr>
          <w:rFonts w:cs="Tahoma"/>
          <w:b/>
          <w:sz w:val="40"/>
          <w:szCs w:val="40"/>
        </w:rPr>
        <w:t>di comuni e province</w:t>
      </w:r>
    </w:p>
    <w:p w14:paraId="047F12C7" w14:textId="1F625F8D" w:rsidR="006370C1" w:rsidRDefault="006370C1" w:rsidP="00901E78">
      <w:pPr>
        <w:spacing w:after="0"/>
        <w:rPr>
          <w:rFonts w:cs="Tahoma"/>
          <w:bCs/>
          <w:sz w:val="36"/>
          <w:szCs w:val="36"/>
        </w:rPr>
      </w:pPr>
    </w:p>
    <w:p w14:paraId="1BF86809" w14:textId="77777777" w:rsidR="00073D2D" w:rsidRPr="00515872" w:rsidRDefault="00073D2D" w:rsidP="00901E78">
      <w:pPr>
        <w:spacing w:after="0"/>
        <w:rPr>
          <w:rFonts w:cs="Tahoma"/>
          <w:bCs/>
          <w:sz w:val="36"/>
          <w:szCs w:val="36"/>
        </w:rPr>
      </w:pPr>
    </w:p>
    <w:p w14:paraId="1A00011F" w14:textId="77777777" w:rsidR="007B72F0" w:rsidRPr="00515872" w:rsidRDefault="007B72F0" w:rsidP="00901E78">
      <w:pPr>
        <w:spacing w:after="0"/>
        <w:rPr>
          <w:rFonts w:cs="Tahoma"/>
          <w:bCs/>
          <w:sz w:val="30"/>
          <w:szCs w:val="30"/>
        </w:rPr>
      </w:pPr>
    </w:p>
    <w:p w14:paraId="0D37D386" w14:textId="77777777" w:rsidR="00DF772D" w:rsidRPr="00515872" w:rsidRDefault="00DF772D" w:rsidP="00901E78">
      <w:pPr>
        <w:spacing w:after="0"/>
        <w:rPr>
          <w:rFonts w:cs="Tahoma"/>
          <w:bCs/>
          <w:sz w:val="30"/>
          <w:szCs w:val="30"/>
        </w:rPr>
      </w:pPr>
    </w:p>
    <w:p w14:paraId="31BA81ED" w14:textId="77777777" w:rsidR="006370C1" w:rsidRPr="00073D2D" w:rsidRDefault="006370C1" w:rsidP="00AC6A2F">
      <w:pPr>
        <w:spacing w:after="0" w:line="360" w:lineRule="auto"/>
        <w:rPr>
          <w:rFonts w:cs="Tahoma"/>
          <w:bCs/>
          <w:sz w:val="36"/>
          <w:szCs w:val="36"/>
        </w:rPr>
      </w:pPr>
      <w:r w:rsidRPr="00073D2D">
        <w:rPr>
          <w:rFonts w:cs="Tahoma"/>
          <w:bCs/>
          <w:sz w:val="36"/>
          <w:szCs w:val="36"/>
        </w:rPr>
        <w:t>Aggiornato con:</w:t>
      </w:r>
    </w:p>
    <w:p w14:paraId="5B1732CE" w14:textId="77777777" w:rsidR="00AC6A2F" w:rsidRPr="00073D2D" w:rsidRDefault="00AC6A2F" w:rsidP="00D65838">
      <w:pPr>
        <w:pStyle w:val="Paragrafoelenco"/>
        <w:numPr>
          <w:ilvl w:val="0"/>
          <w:numId w:val="211"/>
        </w:numPr>
        <w:spacing w:after="0" w:line="360" w:lineRule="auto"/>
        <w:rPr>
          <w:rFonts w:cs="Tahoma"/>
          <w:sz w:val="36"/>
          <w:szCs w:val="36"/>
        </w:rPr>
      </w:pPr>
      <w:r w:rsidRPr="00073D2D">
        <w:rPr>
          <w:rFonts w:cs="Tahoma"/>
          <w:sz w:val="36"/>
          <w:szCs w:val="36"/>
        </w:rPr>
        <w:t xml:space="preserve">L. </w:t>
      </w:r>
      <w:r w:rsidR="00562CED" w:rsidRPr="00073D2D">
        <w:rPr>
          <w:rFonts w:cs="Tahoma"/>
          <w:sz w:val="36"/>
          <w:szCs w:val="36"/>
        </w:rPr>
        <w:t>30</w:t>
      </w:r>
      <w:r w:rsidRPr="00073D2D">
        <w:rPr>
          <w:rFonts w:cs="Tahoma"/>
          <w:sz w:val="36"/>
          <w:szCs w:val="36"/>
        </w:rPr>
        <w:t xml:space="preserve"> dicembre 20</w:t>
      </w:r>
      <w:r w:rsidR="00562CED" w:rsidRPr="00073D2D">
        <w:rPr>
          <w:rFonts w:cs="Tahoma"/>
          <w:sz w:val="36"/>
          <w:szCs w:val="36"/>
        </w:rPr>
        <w:t>2</w:t>
      </w:r>
      <w:r w:rsidRPr="00073D2D">
        <w:rPr>
          <w:rFonts w:cs="Tahoma"/>
          <w:sz w:val="36"/>
          <w:szCs w:val="36"/>
        </w:rPr>
        <w:t xml:space="preserve">1, n. </w:t>
      </w:r>
      <w:r w:rsidR="00562CED" w:rsidRPr="00073D2D">
        <w:rPr>
          <w:rFonts w:cs="Tahoma"/>
          <w:sz w:val="36"/>
          <w:szCs w:val="36"/>
        </w:rPr>
        <w:t>234 (Legge di bilancio 2022</w:t>
      </w:r>
      <w:r w:rsidRPr="00073D2D">
        <w:rPr>
          <w:rFonts w:cs="Tahoma"/>
          <w:sz w:val="36"/>
          <w:szCs w:val="36"/>
        </w:rPr>
        <w:t>)</w:t>
      </w:r>
    </w:p>
    <w:p w14:paraId="2404F8E5" w14:textId="77777777" w:rsidR="00AC6A2F" w:rsidRPr="00073D2D" w:rsidRDefault="00AC6A2F" w:rsidP="00D65838">
      <w:pPr>
        <w:pStyle w:val="Paragrafoelenco"/>
        <w:numPr>
          <w:ilvl w:val="0"/>
          <w:numId w:val="211"/>
        </w:numPr>
        <w:spacing w:after="0" w:line="360" w:lineRule="auto"/>
        <w:rPr>
          <w:rFonts w:cs="Tahoma"/>
          <w:sz w:val="36"/>
          <w:szCs w:val="36"/>
        </w:rPr>
      </w:pPr>
      <w:r w:rsidRPr="00073D2D">
        <w:rPr>
          <w:rFonts w:cs="Tahoma"/>
          <w:sz w:val="36"/>
          <w:szCs w:val="36"/>
        </w:rPr>
        <w:t xml:space="preserve">D.L. </w:t>
      </w:r>
      <w:r w:rsidR="00562CED" w:rsidRPr="00073D2D">
        <w:rPr>
          <w:rFonts w:cs="Tahoma"/>
          <w:sz w:val="36"/>
          <w:szCs w:val="36"/>
        </w:rPr>
        <w:t>30 dicembre 2021</w:t>
      </w:r>
      <w:r w:rsidRPr="00073D2D">
        <w:rPr>
          <w:rFonts w:cs="Tahoma"/>
          <w:sz w:val="36"/>
          <w:szCs w:val="36"/>
        </w:rPr>
        <w:t xml:space="preserve">, n. </w:t>
      </w:r>
      <w:r w:rsidR="00562CED" w:rsidRPr="00073D2D">
        <w:rPr>
          <w:rFonts w:cs="Tahoma"/>
          <w:sz w:val="36"/>
          <w:szCs w:val="36"/>
        </w:rPr>
        <w:t>228</w:t>
      </w:r>
      <w:r w:rsidRPr="00073D2D">
        <w:rPr>
          <w:rFonts w:cs="Tahoma"/>
          <w:sz w:val="36"/>
          <w:szCs w:val="36"/>
        </w:rPr>
        <w:t xml:space="preserve"> (</w:t>
      </w:r>
      <w:r w:rsidR="00562CED" w:rsidRPr="00073D2D">
        <w:rPr>
          <w:rFonts w:cs="Tahoma"/>
          <w:sz w:val="36"/>
          <w:szCs w:val="36"/>
        </w:rPr>
        <w:t>Milleproroghe</w:t>
      </w:r>
      <w:r w:rsidRPr="00073D2D">
        <w:rPr>
          <w:rFonts w:cs="Tahoma"/>
          <w:sz w:val="36"/>
          <w:szCs w:val="36"/>
        </w:rPr>
        <w:t>)</w:t>
      </w:r>
    </w:p>
    <w:p w14:paraId="6DCD2222" w14:textId="77777777" w:rsidR="00A22146" w:rsidRPr="00515872" w:rsidRDefault="00A22146" w:rsidP="008B2DD6">
      <w:pPr>
        <w:spacing w:after="0"/>
        <w:jc w:val="both"/>
        <w:rPr>
          <w:rFonts w:cs="Tahoma"/>
          <w:bCs/>
          <w:sz w:val="32"/>
          <w:szCs w:val="32"/>
          <w:highlight w:val="yellow"/>
        </w:rPr>
      </w:pPr>
    </w:p>
    <w:p w14:paraId="71A37459" w14:textId="77777777" w:rsidR="00A22146" w:rsidRPr="00515872" w:rsidRDefault="00A22146" w:rsidP="008B2DD6">
      <w:pPr>
        <w:spacing w:after="0"/>
        <w:jc w:val="both"/>
        <w:rPr>
          <w:rFonts w:cs="Tahoma"/>
          <w:bCs/>
          <w:sz w:val="32"/>
          <w:szCs w:val="32"/>
          <w:highlight w:val="yellow"/>
        </w:rPr>
      </w:pPr>
    </w:p>
    <w:p w14:paraId="26B3803B" w14:textId="77777777" w:rsidR="00A22146" w:rsidRPr="00515872" w:rsidRDefault="001B6224" w:rsidP="008B2DD6">
      <w:pPr>
        <w:spacing w:after="0"/>
        <w:jc w:val="both"/>
        <w:rPr>
          <w:rFonts w:cs="Tahoma"/>
          <w:bCs/>
          <w:sz w:val="32"/>
          <w:szCs w:val="32"/>
          <w:highlight w:val="yellow"/>
        </w:rPr>
        <w:sectPr w:rsidR="00A22146" w:rsidRPr="00515872" w:rsidSect="009A0D7A">
          <w:pgSz w:w="11906" w:h="16838"/>
          <w:pgMar w:top="1417" w:right="1134" w:bottom="1134" w:left="1134" w:header="708" w:footer="708" w:gutter="0"/>
          <w:pgNumType w:start="1"/>
          <w:cols w:space="708"/>
          <w:titlePg/>
          <w:docGrid w:linePitch="360"/>
        </w:sectPr>
      </w:pPr>
      <w:r w:rsidRPr="00515872">
        <w:rPr>
          <w:rFonts w:cs="Tahoma"/>
          <w:bCs/>
          <w:noProof/>
          <w:sz w:val="32"/>
          <w:szCs w:val="32"/>
          <w:highlight w:val="yellow"/>
          <w:lang w:eastAsia="it-IT"/>
        </w:rPr>
        <w:object w:dxaOrig="1440" w:dyaOrig="1440" w14:anchorId="117EC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065.4pt;margin-top:0;width:177pt;height:49pt;z-index:251660288;mso-position-horizontal:right;mso-position-horizontal-relative:margin;mso-position-vertical:bottom;mso-position-vertical-relative:margin" filled="t">
            <v:imagedata r:id="rId11" o:title=""/>
            <o:lock v:ext="edit" aspectratio="f"/>
            <w10:wrap type="square" anchorx="margin" anchory="margin"/>
          </v:shape>
          <o:OLEObject Type="Embed" ProgID="StaticMetafile" ShapeID="_x0000_s2050" DrawAspect="Content" ObjectID="_1706525727" r:id="rId12"/>
        </w:object>
      </w:r>
    </w:p>
    <w:p w14:paraId="4F4B21B0" w14:textId="77777777" w:rsidR="00A22146" w:rsidRPr="00515872" w:rsidRDefault="005E0585">
      <w:pPr>
        <w:spacing w:after="0" w:line="240" w:lineRule="auto"/>
        <w:rPr>
          <w:rFonts w:cs="Tahoma"/>
          <w:b/>
          <w:iCs/>
          <w:sz w:val="36"/>
          <w:szCs w:val="36"/>
        </w:rPr>
      </w:pPr>
      <w:r w:rsidRPr="00515872">
        <w:rPr>
          <w:rFonts w:cs="Tahoma"/>
          <w:b/>
          <w:iCs/>
          <w:sz w:val="36"/>
          <w:szCs w:val="36"/>
        </w:rPr>
        <w:lastRenderedPageBreak/>
        <w:t>Premessa</w:t>
      </w:r>
    </w:p>
    <w:p w14:paraId="10583701" w14:textId="77777777" w:rsidR="00A22146" w:rsidRPr="00515872" w:rsidRDefault="00A22146">
      <w:pPr>
        <w:spacing w:after="0" w:line="240" w:lineRule="auto"/>
        <w:rPr>
          <w:rFonts w:cs="Tahoma"/>
          <w:bCs/>
          <w:iCs/>
          <w:sz w:val="48"/>
          <w:szCs w:val="48"/>
        </w:rPr>
      </w:pPr>
    </w:p>
    <w:p w14:paraId="2342E194" w14:textId="77777777" w:rsidR="00C03D30" w:rsidRPr="00515872" w:rsidRDefault="00C03D30">
      <w:pPr>
        <w:spacing w:after="0" w:line="240" w:lineRule="auto"/>
        <w:rPr>
          <w:rFonts w:cs="Tahoma"/>
          <w:bCs/>
          <w:iCs/>
          <w:sz w:val="48"/>
          <w:szCs w:val="48"/>
        </w:rPr>
      </w:pPr>
    </w:p>
    <w:p w14:paraId="57D4B7CA" w14:textId="77777777" w:rsidR="00C03D30" w:rsidRPr="00515872" w:rsidRDefault="00C03D30">
      <w:pPr>
        <w:spacing w:after="0" w:line="240" w:lineRule="auto"/>
        <w:rPr>
          <w:rFonts w:cs="Tahoma"/>
          <w:bCs/>
          <w:iCs/>
          <w:sz w:val="48"/>
          <w:szCs w:val="48"/>
        </w:rPr>
      </w:pPr>
    </w:p>
    <w:p w14:paraId="169BB619" w14:textId="77777777" w:rsidR="001E4257" w:rsidRPr="00515872" w:rsidRDefault="001E4257" w:rsidP="00515872">
      <w:pPr>
        <w:spacing w:line="360" w:lineRule="auto"/>
        <w:jc w:val="both"/>
        <w:rPr>
          <w:rFonts w:cs="Tahoma"/>
          <w:bCs/>
          <w:iCs/>
          <w:szCs w:val="20"/>
        </w:rPr>
      </w:pPr>
      <w:r w:rsidRPr="00515872">
        <w:rPr>
          <w:rFonts w:cs="Tahoma"/>
          <w:bCs/>
          <w:iCs/>
          <w:szCs w:val="20"/>
        </w:rPr>
        <w:t>Il revisore dei conti negli enti locali è una figura indispensabile per attestare l</w:t>
      </w:r>
      <w:r w:rsidR="00922B48" w:rsidRPr="00515872">
        <w:rPr>
          <w:rFonts w:cs="Tahoma"/>
          <w:bCs/>
          <w:iCs/>
          <w:szCs w:val="20"/>
        </w:rPr>
        <w:t>’</w:t>
      </w:r>
      <w:r w:rsidRPr="00515872">
        <w:rPr>
          <w:rFonts w:cs="Tahoma"/>
          <w:bCs/>
          <w:iCs/>
          <w:szCs w:val="20"/>
        </w:rPr>
        <w:t>a</w:t>
      </w:r>
      <w:r w:rsidR="00922B48" w:rsidRPr="00515872">
        <w:rPr>
          <w:rFonts w:cs="Tahoma"/>
          <w:bCs/>
          <w:iCs/>
          <w:szCs w:val="20"/>
        </w:rPr>
        <w:t>ttendibilità</w:t>
      </w:r>
      <w:r w:rsidRPr="00515872">
        <w:rPr>
          <w:rFonts w:cs="Tahoma"/>
          <w:bCs/>
          <w:iCs/>
          <w:szCs w:val="20"/>
        </w:rPr>
        <w:t xml:space="preserve"> dei conti pubblici. I suoi pareri, inoltre, sono espressamente previsti dall’ordinamento degli enti locali ed è imprescindibile al fine della validità di determinati atti. L’ente, peraltro, qualora dovesse adottare provvedimenti in senso difforme al parere del revisore è tenuto a fornirne adeguata motivazione.</w:t>
      </w:r>
    </w:p>
    <w:p w14:paraId="6EA59E44" w14:textId="77777777" w:rsidR="00A22146" w:rsidRPr="00515872" w:rsidRDefault="009C5A42" w:rsidP="00515872">
      <w:pPr>
        <w:spacing w:line="360" w:lineRule="auto"/>
        <w:jc w:val="both"/>
        <w:rPr>
          <w:rFonts w:cs="Tahoma"/>
          <w:bCs/>
        </w:rPr>
      </w:pPr>
      <w:r w:rsidRPr="00515872">
        <w:rPr>
          <w:rFonts w:cs="Tahoma"/>
          <w:bCs/>
          <w:iCs/>
          <w:szCs w:val="20"/>
        </w:rPr>
        <w:t xml:space="preserve">Tale istituto ha ridestato, nei tempi recenti, un particolare interesse tra </w:t>
      </w:r>
      <w:r w:rsidR="0046706D" w:rsidRPr="00515872">
        <w:rPr>
          <w:rFonts w:cs="Tahoma"/>
          <w:bCs/>
          <w:iCs/>
          <w:szCs w:val="20"/>
        </w:rPr>
        <w:t>gl</w:t>
      </w:r>
      <w:r w:rsidRPr="00515872">
        <w:rPr>
          <w:rFonts w:cs="Tahoma"/>
          <w:bCs/>
          <w:iCs/>
          <w:szCs w:val="20"/>
        </w:rPr>
        <w:t xml:space="preserve">i </w:t>
      </w:r>
      <w:r w:rsidR="0046706D" w:rsidRPr="00515872">
        <w:rPr>
          <w:rFonts w:cs="Tahoma"/>
          <w:bCs/>
          <w:iCs/>
          <w:szCs w:val="20"/>
        </w:rPr>
        <w:t>esercenti la</w:t>
      </w:r>
      <w:r w:rsidRPr="00515872">
        <w:rPr>
          <w:rFonts w:cs="Tahoma"/>
          <w:bCs/>
          <w:iCs/>
          <w:szCs w:val="20"/>
        </w:rPr>
        <w:t xml:space="preserve"> professione contabile, a seguito della riforma del sistema di nomina dell’organo di revisione introdotta dal </w:t>
      </w:r>
      <w:r w:rsidRPr="00515872">
        <w:rPr>
          <w:rFonts w:cs="Tahoma"/>
          <w:bCs/>
        </w:rPr>
        <w:t xml:space="preserve">D.L. n. 138 del 13 agosto 2011, convertito con modificazioni </w:t>
      </w:r>
      <w:r w:rsidR="005E0585" w:rsidRPr="00515872">
        <w:rPr>
          <w:rFonts w:cs="Tahoma"/>
          <w:bCs/>
        </w:rPr>
        <w:t>da</w:t>
      </w:r>
      <w:r w:rsidRPr="00515872">
        <w:rPr>
          <w:rFonts w:cs="Tahoma"/>
          <w:bCs/>
        </w:rPr>
        <w:t>lla L. n.</w:t>
      </w:r>
      <w:r w:rsidR="006C45EC" w:rsidRPr="00515872">
        <w:rPr>
          <w:rFonts w:cs="Tahoma"/>
          <w:bCs/>
        </w:rPr>
        <w:t xml:space="preserve"> </w:t>
      </w:r>
      <w:r w:rsidRPr="00515872">
        <w:rPr>
          <w:rFonts w:cs="Tahoma"/>
          <w:bCs/>
        </w:rPr>
        <w:t xml:space="preserve">148 del 14 settembre 2011, che ha, di fatto, reso accessibile l’incarico di revisore di enti locali </w:t>
      </w:r>
      <w:r w:rsidR="00AA40D5" w:rsidRPr="00515872">
        <w:rPr>
          <w:rFonts w:cs="Tahoma"/>
          <w:bCs/>
        </w:rPr>
        <w:t xml:space="preserve">a </w:t>
      </w:r>
      <w:r w:rsidRPr="00515872">
        <w:rPr>
          <w:rFonts w:cs="Tahoma"/>
          <w:bCs/>
        </w:rPr>
        <w:t xml:space="preserve">tutti i professionisti che ne possiedano i requisiti, svincolando </w:t>
      </w:r>
      <w:r w:rsidR="00922B48" w:rsidRPr="00515872">
        <w:rPr>
          <w:rFonts w:cs="Tahoma"/>
          <w:bCs/>
        </w:rPr>
        <w:t xml:space="preserve">la nomina del revisore </w:t>
      </w:r>
      <w:r w:rsidR="00886D31" w:rsidRPr="00515872">
        <w:rPr>
          <w:rFonts w:cs="Tahoma"/>
          <w:bCs/>
        </w:rPr>
        <w:t xml:space="preserve">(almeno parzialmente, vista la novella introdotta dalla manovra per il 2020 in tema di nomina del </w:t>
      </w:r>
      <w:r w:rsidR="00B173BB" w:rsidRPr="00515872">
        <w:rPr>
          <w:rFonts w:cs="Tahoma"/>
          <w:bCs/>
        </w:rPr>
        <w:t>presidente</w:t>
      </w:r>
      <w:r w:rsidR="00886D31" w:rsidRPr="00515872">
        <w:rPr>
          <w:rFonts w:cs="Tahoma"/>
          <w:bCs/>
        </w:rPr>
        <w:t xml:space="preserve"> del collegio dei revisori) </w:t>
      </w:r>
      <w:r w:rsidRPr="00515872">
        <w:rPr>
          <w:rFonts w:cs="Tahoma"/>
          <w:bCs/>
        </w:rPr>
        <w:t xml:space="preserve">dalle logiche </w:t>
      </w:r>
      <w:r w:rsidR="00AA40D5" w:rsidRPr="00515872">
        <w:rPr>
          <w:rFonts w:cs="Tahoma"/>
          <w:bCs/>
        </w:rPr>
        <w:t xml:space="preserve">di carattere </w:t>
      </w:r>
      <w:r w:rsidRPr="00515872">
        <w:rPr>
          <w:rFonts w:cs="Tahoma"/>
          <w:bCs/>
        </w:rPr>
        <w:t>politic</w:t>
      </w:r>
      <w:r w:rsidR="00AA40D5" w:rsidRPr="00515872">
        <w:rPr>
          <w:rFonts w:cs="Tahoma"/>
          <w:bCs/>
        </w:rPr>
        <w:t>o</w:t>
      </w:r>
      <w:r w:rsidRPr="00515872">
        <w:rPr>
          <w:rFonts w:cs="Tahoma"/>
          <w:bCs/>
        </w:rPr>
        <w:t xml:space="preserve"> che spesso, in p</w:t>
      </w:r>
      <w:r w:rsidR="00AA40D5" w:rsidRPr="00515872">
        <w:rPr>
          <w:rFonts w:cs="Tahoma"/>
          <w:bCs/>
        </w:rPr>
        <w:t>assato</w:t>
      </w:r>
      <w:r w:rsidRPr="00515872">
        <w:rPr>
          <w:rFonts w:cs="Tahoma"/>
          <w:bCs/>
        </w:rPr>
        <w:t xml:space="preserve">, </w:t>
      </w:r>
      <w:r w:rsidR="00796428" w:rsidRPr="00515872">
        <w:rPr>
          <w:rFonts w:cs="Tahoma"/>
          <w:bCs/>
        </w:rPr>
        <w:t>la governavano</w:t>
      </w:r>
      <w:r w:rsidR="008D7B14" w:rsidRPr="00515872">
        <w:rPr>
          <w:rFonts w:cs="Tahoma"/>
          <w:bCs/>
        </w:rPr>
        <w:t>.</w:t>
      </w:r>
    </w:p>
    <w:p w14:paraId="62B597F4" w14:textId="77777777" w:rsidR="00796428" w:rsidRPr="00515872" w:rsidRDefault="0092540C" w:rsidP="00515872">
      <w:pPr>
        <w:spacing w:line="360" w:lineRule="auto"/>
        <w:jc w:val="both"/>
        <w:rPr>
          <w:rFonts w:cs="Tahoma"/>
          <w:bCs/>
        </w:rPr>
      </w:pPr>
      <w:r w:rsidRPr="00515872">
        <w:rPr>
          <w:rFonts w:cs="Tahoma"/>
          <w:bCs/>
        </w:rPr>
        <w:t xml:space="preserve">L’incarico di revisore di enti locali rappresenta oggi un’opportunità professionale, consentendo uno sbocco per </w:t>
      </w:r>
      <w:r w:rsidR="003F7CBE" w:rsidRPr="00515872">
        <w:rPr>
          <w:rFonts w:cs="Tahoma"/>
          <w:bCs/>
        </w:rPr>
        <w:t>i giovani professionisti o per coloro ch</w:t>
      </w:r>
      <w:r w:rsidRPr="00515872">
        <w:rPr>
          <w:rFonts w:cs="Tahoma"/>
          <w:bCs/>
        </w:rPr>
        <w:t xml:space="preserve">e intendono diversificare la propria attività ed integrare il proprio </w:t>
      </w:r>
      <w:r w:rsidRPr="00515872">
        <w:rPr>
          <w:rFonts w:cs="Tahoma"/>
          <w:bCs/>
          <w:i/>
        </w:rPr>
        <w:t>background</w:t>
      </w:r>
      <w:r w:rsidRPr="00515872">
        <w:rPr>
          <w:rFonts w:cs="Tahoma"/>
          <w:bCs/>
        </w:rPr>
        <w:t xml:space="preserve"> professionale, affacciandosi su un mondo completamente diverso rispetto a quella che è la pratica professionale tipica del commercialista o del revisore legale</w:t>
      </w:r>
      <w:r w:rsidR="00796428" w:rsidRPr="00515872">
        <w:rPr>
          <w:rFonts w:cs="Tahoma"/>
          <w:bCs/>
        </w:rPr>
        <w:t>. Opportunità resa maggiormente appetibile</w:t>
      </w:r>
      <w:r w:rsidR="003F7CBE" w:rsidRPr="00515872">
        <w:rPr>
          <w:rFonts w:cs="Tahoma"/>
          <w:bCs/>
        </w:rPr>
        <w:t xml:space="preserve"> dopo il tanto atteso aggiornamento degli importi massimi dei compensi, disposto dal decreto del Ministero dell’Interno di concerto col Ministero dell’Economia in data 21 dicembre 2</w:t>
      </w:r>
      <w:r w:rsidR="00F70C48" w:rsidRPr="00515872">
        <w:rPr>
          <w:rFonts w:cs="Tahoma"/>
          <w:bCs/>
        </w:rPr>
        <w:t xml:space="preserve">018, che, </w:t>
      </w:r>
      <w:r w:rsidR="00796428" w:rsidRPr="00515872">
        <w:rPr>
          <w:rFonts w:cs="Tahoma"/>
          <w:bCs/>
        </w:rPr>
        <w:t xml:space="preserve">dopo 13 anni, </w:t>
      </w:r>
      <w:r w:rsidR="00922B48" w:rsidRPr="00515872">
        <w:rPr>
          <w:rFonts w:cs="Tahoma"/>
          <w:bCs/>
        </w:rPr>
        <w:t xml:space="preserve">ha </w:t>
      </w:r>
      <w:r w:rsidR="00796428" w:rsidRPr="00515872">
        <w:rPr>
          <w:rFonts w:cs="Tahoma"/>
          <w:bCs/>
        </w:rPr>
        <w:t>adegua</w:t>
      </w:r>
      <w:r w:rsidR="00922B48" w:rsidRPr="00515872">
        <w:rPr>
          <w:rFonts w:cs="Tahoma"/>
          <w:bCs/>
        </w:rPr>
        <w:t>to</w:t>
      </w:r>
      <w:r w:rsidR="00796428" w:rsidRPr="00515872">
        <w:rPr>
          <w:rFonts w:cs="Tahoma"/>
          <w:bCs/>
        </w:rPr>
        <w:t xml:space="preserve"> gli importi</w:t>
      </w:r>
      <w:r w:rsidR="003F7CBE" w:rsidRPr="00515872">
        <w:rPr>
          <w:rFonts w:cs="Tahoma"/>
          <w:bCs/>
        </w:rPr>
        <w:t xml:space="preserve"> con un incremento </w:t>
      </w:r>
      <w:r w:rsidR="004C63C7" w:rsidRPr="00515872">
        <w:rPr>
          <w:rFonts w:cs="Tahoma"/>
          <w:bCs/>
        </w:rPr>
        <w:t>di circa il 20%</w:t>
      </w:r>
      <w:r w:rsidR="00796428" w:rsidRPr="00515872">
        <w:rPr>
          <w:rFonts w:cs="Tahoma"/>
          <w:bCs/>
        </w:rPr>
        <w:t>.</w:t>
      </w:r>
    </w:p>
    <w:p w14:paraId="6B935237" w14:textId="77777777" w:rsidR="0092540C" w:rsidRPr="00515872" w:rsidRDefault="0092540C" w:rsidP="00515872">
      <w:pPr>
        <w:spacing w:line="360" w:lineRule="auto"/>
        <w:jc w:val="both"/>
        <w:rPr>
          <w:rFonts w:cs="Tahoma"/>
          <w:bCs/>
        </w:rPr>
      </w:pPr>
      <w:r w:rsidRPr="00515872">
        <w:rPr>
          <w:rFonts w:cs="Tahoma"/>
          <w:bCs/>
        </w:rPr>
        <w:t>Lo stesso sistema contabile, su cui ricade in modo pesante l'obbligo di vigilanza dell’organo di revisione, rappresenta una “novità” per il professionista</w:t>
      </w:r>
      <w:r w:rsidR="002D082B" w:rsidRPr="00515872">
        <w:rPr>
          <w:rFonts w:cs="Tahoma"/>
          <w:bCs/>
        </w:rPr>
        <w:t>,</w:t>
      </w:r>
      <w:r w:rsidRPr="00515872">
        <w:rPr>
          <w:rFonts w:cs="Tahoma"/>
          <w:bCs/>
        </w:rPr>
        <w:t xml:space="preserve"> abituato a ragionare in termini di “competenza economica”</w:t>
      </w:r>
      <w:r w:rsidR="002D082B" w:rsidRPr="00515872">
        <w:rPr>
          <w:rFonts w:cs="Tahoma"/>
          <w:bCs/>
        </w:rPr>
        <w:t>,</w:t>
      </w:r>
      <w:r w:rsidRPr="00515872">
        <w:rPr>
          <w:rFonts w:cs="Tahoma"/>
          <w:bCs/>
        </w:rPr>
        <w:t xml:space="preserve"> che si trova a dover familiarizzare con il diverso concetto di “competenza finanziaria”, ora “potenziata” a seguito della riforma della contabilità pubblica introdotta dal </w:t>
      </w:r>
      <w:proofErr w:type="spellStart"/>
      <w:r w:rsidRPr="00515872">
        <w:rPr>
          <w:rFonts w:cs="Tahoma"/>
          <w:bCs/>
        </w:rPr>
        <w:t>D.Lgs.</w:t>
      </w:r>
      <w:proofErr w:type="spellEnd"/>
      <w:r w:rsidRPr="00515872">
        <w:rPr>
          <w:rFonts w:cs="Tahoma"/>
          <w:bCs/>
        </w:rPr>
        <w:t xml:space="preserve"> 23 giugno 2011, n.</w:t>
      </w:r>
      <w:r w:rsidR="006C45EC" w:rsidRPr="00515872">
        <w:rPr>
          <w:rFonts w:cs="Tahoma"/>
          <w:bCs/>
        </w:rPr>
        <w:t xml:space="preserve"> </w:t>
      </w:r>
      <w:r w:rsidRPr="00515872">
        <w:rPr>
          <w:rFonts w:cs="Tahoma"/>
          <w:bCs/>
        </w:rPr>
        <w:t xml:space="preserve">118. Anche il concetto di “bilancio” fa riferimento, nel mondo della pubblica amministrazione, ad un documento contabile diverso rispetto a quello del settore privato: se per le imprese il “bilancio” è il tipico conto consuntivo da redigere a fine esercizio o nel corso dello stesso, per valutare, a posteriori, i risultati già acquisiti, negli enti pubblici esso è, per definizione, il </w:t>
      </w:r>
      <w:r w:rsidRPr="00515872">
        <w:rPr>
          <w:rFonts w:cs="Tahoma"/>
          <w:b/>
          <w:bCs/>
        </w:rPr>
        <w:t>documento previsionale</w:t>
      </w:r>
      <w:r w:rsidR="005E0585" w:rsidRPr="00515872">
        <w:rPr>
          <w:rFonts w:cs="Tahoma"/>
          <w:b/>
          <w:bCs/>
        </w:rPr>
        <w:t xml:space="preserve">, </w:t>
      </w:r>
      <w:r w:rsidR="005E0585" w:rsidRPr="00515872">
        <w:rPr>
          <w:rFonts w:cs="Tahoma"/>
          <w:bCs/>
        </w:rPr>
        <w:t>strumento di programmazione</w:t>
      </w:r>
      <w:r w:rsidRPr="00515872">
        <w:rPr>
          <w:rFonts w:cs="Tahoma"/>
          <w:bCs/>
        </w:rPr>
        <w:t xml:space="preserve"> al quale viene attribuita importanza fondamentale, stante il </w:t>
      </w:r>
      <w:r w:rsidRPr="00515872">
        <w:rPr>
          <w:rFonts w:cs="Tahoma"/>
          <w:b/>
          <w:bCs/>
        </w:rPr>
        <w:t>carattere autorizzatorio</w:t>
      </w:r>
      <w:r w:rsidRPr="00515872">
        <w:rPr>
          <w:rFonts w:cs="Tahoma"/>
          <w:bCs/>
        </w:rPr>
        <w:t xml:space="preserve"> dello stesso. Ed è lo stesso bilancio preventivo che accompagna l’ente, e il revisore di riflesso, per tutto l’esercizio, attraverso il continuo monitoraggio cui deve essere sottoposto il mantenimento degli equilibri che la normativa prevede su di esso e sulle variazioni </w:t>
      </w:r>
      <w:r w:rsidRPr="00515872">
        <w:rPr>
          <w:rFonts w:cs="Tahoma"/>
          <w:bCs/>
        </w:rPr>
        <w:lastRenderedPageBreak/>
        <w:t>che si rendono necessarie al fine di consentire il suo adeguamento ai fatti che si rilevano nel corso dell’anno e che modificano le previsioni circa i dati contabili in esso contenuti.</w:t>
      </w:r>
    </w:p>
    <w:p w14:paraId="0DC5FB60" w14:textId="77777777" w:rsidR="0092540C" w:rsidRPr="00515872" w:rsidRDefault="0092540C" w:rsidP="00515872">
      <w:pPr>
        <w:spacing w:line="360" w:lineRule="auto"/>
        <w:jc w:val="both"/>
        <w:rPr>
          <w:rFonts w:cs="Tahoma"/>
          <w:bCs/>
        </w:rPr>
      </w:pPr>
      <w:r w:rsidRPr="00515872">
        <w:rPr>
          <w:rFonts w:cs="Tahoma"/>
          <w:bCs/>
        </w:rPr>
        <w:t xml:space="preserve">L’incarico di revisore, tuttavia, comporta </w:t>
      </w:r>
      <w:r w:rsidRPr="00515872">
        <w:rPr>
          <w:rFonts w:cs="Tahoma"/>
          <w:b/>
          <w:bCs/>
        </w:rPr>
        <w:t>l’assunzione di responsabilità a causa dei danni che potrebbero derivare, all’ente o a terzi, nelle ipotesi di comportamenti inappropriati degli amministratori o dei dipendenti dell’ente stesso associati a negligenza o inadeguatezza dell’attività di controllo dell’organo di revisione</w:t>
      </w:r>
      <w:r w:rsidRPr="00515872">
        <w:rPr>
          <w:rFonts w:cs="Tahoma"/>
          <w:bCs/>
        </w:rPr>
        <w:t xml:space="preserve">. Ne consegue la necessità, da parte del professionista che intende assumere la carica, di conseguire una </w:t>
      </w:r>
      <w:r w:rsidRPr="00515872">
        <w:rPr>
          <w:rFonts w:cs="Tahoma"/>
          <w:szCs w:val="20"/>
        </w:rPr>
        <w:t>buona conoscenza della contabilità pubblica ma, soprattutto, avere la capacità di rispondere sia agli operatori interni all’ente sia alla collettività, delle azioni poste a salvaguardia degli equilibri di bilancio e della buona gestione, nonché agli organi inquirenti per attestare la correttezza amministrativa della gestione pubblica.</w:t>
      </w:r>
    </w:p>
    <w:p w14:paraId="7F493ADB" w14:textId="77777777" w:rsidR="00A14A71" w:rsidRPr="00515872" w:rsidRDefault="003F7CBE" w:rsidP="00515872">
      <w:pPr>
        <w:spacing w:line="360" w:lineRule="auto"/>
        <w:jc w:val="both"/>
        <w:rPr>
          <w:rFonts w:cs="Tahoma"/>
          <w:bCs/>
        </w:rPr>
      </w:pPr>
      <w:r w:rsidRPr="00515872">
        <w:rPr>
          <w:rFonts w:cs="Tahoma"/>
          <w:bCs/>
        </w:rPr>
        <w:t>I</w:t>
      </w:r>
      <w:r w:rsidR="0092540C" w:rsidRPr="00515872">
        <w:rPr>
          <w:rFonts w:cs="Tahoma"/>
          <w:bCs/>
        </w:rPr>
        <w:t>l nuovo sistema di nomina dei revisori degli enti locali</w:t>
      </w:r>
      <w:r w:rsidR="00262971" w:rsidRPr="00515872">
        <w:rPr>
          <w:rFonts w:cs="Tahoma"/>
          <w:bCs/>
        </w:rPr>
        <w:t>,</w:t>
      </w:r>
      <w:r w:rsidR="0092540C" w:rsidRPr="00515872">
        <w:rPr>
          <w:rFonts w:cs="Tahoma"/>
          <w:bCs/>
        </w:rPr>
        <w:t xml:space="preserve"> </w:t>
      </w:r>
      <w:r w:rsidR="00A14A71" w:rsidRPr="00515872">
        <w:rPr>
          <w:rFonts w:cs="Tahoma"/>
          <w:bCs/>
        </w:rPr>
        <w:t>pur rappresentando un’opportunità anche per il</w:t>
      </w:r>
      <w:r w:rsidR="0092540C" w:rsidRPr="00515872">
        <w:rPr>
          <w:rFonts w:cs="Tahoma"/>
          <w:bCs/>
        </w:rPr>
        <w:t xml:space="preserve"> revisore “neofita”</w:t>
      </w:r>
      <w:r w:rsidR="00A14A71" w:rsidRPr="00515872">
        <w:rPr>
          <w:rFonts w:cs="Tahoma"/>
          <w:bCs/>
        </w:rPr>
        <w:t xml:space="preserve"> (che può misurarsi ad armi pari con i veterani, quanto a probabilità di essere nominato), non ne facilità l’inserimento</w:t>
      </w:r>
      <w:r w:rsidR="0092540C" w:rsidRPr="00515872">
        <w:rPr>
          <w:rFonts w:cs="Tahoma"/>
          <w:bCs/>
        </w:rPr>
        <w:t xml:space="preserve">, costringendolo a debuttare in questo ambito assumendo cariche di revisore unico in contesti che, seppur potenzialmente caratterizzati dalla minore complessità </w:t>
      </w:r>
      <w:r w:rsidR="00A14A71" w:rsidRPr="00515872">
        <w:rPr>
          <w:rFonts w:cs="Tahoma"/>
          <w:bCs/>
        </w:rPr>
        <w:t>(avendo inizialmente accesso solo agli enti di minori dimensioni)</w:t>
      </w:r>
      <w:r w:rsidR="0092540C" w:rsidRPr="00515872">
        <w:rPr>
          <w:rFonts w:cs="Tahoma"/>
          <w:bCs/>
        </w:rPr>
        <w:t>, lo privano</w:t>
      </w:r>
      <w:r w:rsidR="00A14A71" w:rsidRPr="00515872">
        <w:rPr>
          <w:rFonts w:cs="Tahoma"/>
          <w:bCs/>
        </w:rPr>
        <w:t>, tuttavia,</w:t>
      </w:r>
      <w:r w:rsidR="0092540C" w:rsidRPr="00515872">
        <w:rPr>
          <w:rFonts w:cs="Tahoma"/>
          <w:bCs/>
        </w:rPr>
        <w:t xml:space="preserve"> del beneficio di un possibile confronto </w:t>
      </w:r>
      <w:r w:rsidR="00A14A71" w:rsidRPr="00515872">
        <w:rPr>
          <w:rFonts w:cs="Tahoma"/>
          <w:bCs/>
        </w:rPr>
        <w:t xml:space="preserve">istituzionale </w:t>
      </w:r>
      <w:r w:rsidR="0092540C" w:rsidRPr="00515872">
        <w:rPr>
          <w:rFonts w:cs="Tahoma"/>
          <w:bCs/>
        </w:rPr>
        <w:t xml:space="preserve">con </w:t>
      </w:r>
      <w:r w:rsidR="00ED3917" w:rsidRPr="00515872">
        <w:rPr>
          <w:rFonts w:cs="Tahoma"/>
          <w:bCs/>
        </w:rPr>
        <w:t xml:space="preserve">altri </w:t>
      </w:r>
      <w:r w:rsidR="0092540C" w:rsidRPr="00515872">
        <w:rPr>
          <w:rFonts w:cs="Tahoma"/>
          <w:bCs/>
        </w:rPr>
        <w:t xml:space="preserve">professionisti che ne condividano </w:t>
      </w:r>
      <w:r w:rsidR="005E0585" w:rsidRPr="00515872">
        <w:rPr>
          <w:rFonts w:cs="Tahoma"/>
          <w:bCs/>
        </w:rPr>
        <w:t>oneri</w:t>
      </w:r>
      <w:r w:rsidR="0092540C" w:rsidRPr="00515872">
        <w:rPr>
          <w:rFonts w:cs="Tahoma"/>
          <w:bCs/>
        </w:rPr>
        <w:t xml:space="preserve"> e responsabilità, </w:t>
      </w:r>
      <w:r w:rsidR="00262971" w:rsidRPr="00515872">
        <w:rPr>
          <w:rFonts w:cs="Tahoma"/>
          <w:bCs/>
        </w:rPr>
        <w:t xml:space="preserve">come </w:t>
      </w:r>
      <w:r w:rsidR="0092540C" w:rsidRPr="00515872">
        <w:rPr>
          <w:rFonts w:cs="Tahoma"/>
          <w:bCs/>
        </w:rPr>
        <w:t>tipic</w:t>
      </w:r>
      <w:r w:rsidR="00262971" w:rsidRPr="00515872">
        <w:rPr>
          <w:rFonts w:cs="Tahoma"/>
          <w:bCs/>
        </w:rPr>
        <w:t>amente avviene</w:t>
      </w:r>
      <w:r w:rsidR="00A14A71" w:rsidRPr="00515872">
        <w:rPr>
          <w:rFonts w:cs="Tahoma"/>
          <w:bCs/>
        </w:rPr>
        <w:t>, per converso,</w:t>
      </w:r>
      <w:r w:rsidR="00262971" w:rsidRPr="00515872">
        <w:rPr>
          <w:rFonts w:cs="Tahoma"/>
          <w:bCs/>
        </w:rPr>
        <w:t xml:space="preserve"> </w:t>
      </w:r>
      <w:r w:rsidR="00A14A71" w:rsidRPr="00515872">
        <w:rPr>
          <w:rFonts w:cs="Tahoma"/>
          <w:bCs/>
        </w:rPr>
        <w:t xml:space="preserve">nell’ambito di </w:t>
      </w:r>
      <w:r w:rsidR="0092540C" w:rsidRPr="00515872">
        <w:rPr>
          <w:rFonts w:cs="Tahoma"/>
          <w:bCs/>
        </w:rPr>
        <w:t>un organo collegiale.</w:t>
      </w:r>
    </w:p>
    <w:p w14:paraId="3763F179" w14:textId="77777777" w:rsidR="003C1B0D" w:rsidRPr="00515872" w:rsidRDefault="00A00267" w:rsidP="00515872">
      <w:pPr>
        <w:spacing w:line="360" w:lineRule="auto"/>
        <w:jc w:val="both"/>
        <w:rPr>
          <w:rFonts w:cs="Tahoma"/>
          <w:iCs/>
        </w:rPr>
      </w:pPr>
      <w:r w:rsidRPr="00515872">
        <w:rPr>
          <w:rFonts w:cs="Tahoma"/>
          <w:iCs/>
        </w:rPr>
        <w:t>Con una recente mossa a sorpresa, adottata in sede di conversione del n.</w:t>
      </w:r>
      <w:r w:rsidR="006C45EC" w:rsidRPr="00515872">
        <w:rPr>
          <w:rFonts w:cs="Tahoma"/>
          <w:iCs/>
        </w:rPr>
        <w:t xml:space="preserve"> </w:t>
      </w:r>
      <w:r w:rsidRPr="00515872">
        <w:rPr>
          <w:rFonts w:cs="Tahoma"/>
          <w:iCs/>
        </w:rPr>
        <w:t>124/2019, il legislatore</w:t>
      </w:r>
      <w:r w:rsidR="00A14A71" w:rsidRPr="00515872">
        <w:rPr>
          <w:rFonts w:cs="Tahoma"/>
          <w:iCs/>
        </w:rPr>
        <w:t>, come accennato,</w:t>
      </w:r>
      <w:r w:rsidRPr="00515872">
        <w:rPr>
          <w:rFonts w:cs="Tahoma"/>
          <w:iCs/>
        </w:rPr>
        <w:t xml:space="preserve"> ha fatto una parziale</w:t>
      </w:r>
      <w:r w:rsidR="00936833" w:rsidRPr="00515872">
        <w:rPr>
          <w:rFonts w:cs="Tahoma"/>
          <w:iCs/>
        </w:rPr>
        <w:t xml:space="preserve"> retromarcia</w:t>
      </w:r>
      <w:r w:rsidR="00A14A71" w:rsidRPr="00515872">
        <w:rPr>
          <w:rFonts w:cs="Tahoma"/>
          <w:iCs/>
        </w:rPr>
        <w:t>, rispetto alla direttrice seguita con la riforma del sistema di nomina,</w:t>
      </w:r>
      <w:r w:rsidR="00936833" w:rsidRPr="00515872">
        <w:rPr>
          <w:rFonts w:cs="Tahoma"/>
          <w:iCs/>
        </w:rPr>
        <w:t xml:space="preserve"> </w:t>
      </w:r>
      <w:r w:rsidR="00616438" w:rsidRPr="00515872">
        <w:rPr>
          <w:rFonts w:cs="Tahoma"/>
          <w:iCs/>
        </w:rPr>
        <w:t xml:space="preserve">inserendo una disposizione che </w:t>
      </w:r>
      <w:r w:rsidR="00936833" w:rsidRPr="00515872">
        <w:rPr>
          <w:rFonts w:cs="Tahoma"/>
          <w:iCs/>
        </w:rPr>
        <w:t>rimette</w:t>
      </w:r>
      <w:r w:rsidR="00616438" w:rsidRPr="00515872">
        <w:rPr>
          <w:rFonts w:cs="Tahoma"/>
          <w:iCs/>
        </w:rPr>
        <w:t xml:space="preserve"> la </w:t>
      </w:r>
      <w:r w:rsidR="00A14A71" w:rsidRPr="00515872">
        <w:rPr>
          <w:rFonts w:cs="Tahoma"/>
          <w:iCs/>
        </w:rPr>
        <w:t>scelta</w:t>
      </w:r>
      <w:r w:rsidR="00616438" w:rsidRPr="00515872">
        <w:rPr>
          <w:rFonts w:cs="Tahoma"/>
          <w:iCs/>
        </w:rPr>
        <w:t xml:space="preserve"> del </w:t>
      </w:r>
      <w:r w:rsidR="00B173BB" w:rsidRPr="00515872">
        <w:rPr>
          <w:rFonts w:cs="Tahoma"/>
          <w:iCs/>
        </w:rPr>
        <w:t>presidente</w:t>
      </w:r>
      <w:r w:rsidR="00616438" w:rsidRPr="00515872">
        <w:rPr>
          <w:rFonts w:cs="Tahoma"/>
          <w:iCs/>
        </w:rPr>
        <w:t xml:space="preserve"> del </w:t>
      </w:r>
      <w:r w:rsidR="00B173BB" w:rsidRPr="00515872">
        <w:rPr>
          <w:rFonts w:cs="Tahoma"/>
          <w:iCs/>
        </w:rPr>
        <w:t>collegio</w:t>
      </w:r>
      <w:r w:rsidR="00616438" w:rsidRPr="00515872">
        <w:rPr>
          <w:rFonts w:cs="Tahoma"/>
          <w:iCs/>
        </w:rPr>
        <w:t xml:space="preserve"> dei revisori (nei casi, ovviamente, di composizione </w:t>
      </w:r>
      <w:r w:rsidR="00936833" w:rsidRPr="00515872">
        <w:rPr>
          <w:rFonts w:cs="Tahoma"/>
          <w:iCs/>
        </w:rPr>
        <w:t>col</w:t>
      </w:r>
      <w:r w:rsidR="00D21696" w:rsidRPr="00515872">
        <w:rPr>
          <w:rFonts w:cs="Tahoma"/>
          <w:iCs/>
        </w:rPr>
        <w:t>legiale dell’organo</w:t>
      </w:r>
      <w:r w:rsidR="00616438" w:rsidRPr="00515872">
        <w:rPr>
          <w:rFonts w:cs="Tahoma"/>
          <w:iCs/>
        </w:rPr>
        <w:t>)</w:t>
      </w:r>
      <w:r w:rsidR="00962841" w:rsidRPr="00515872">
        <w:rPr>
          <w:rFonts w:cs="Tahoma"/>
          <w:iCs/>
        </w:rPr>
        <w:t xml:space="preserve"> al consiglio c</w:t>
      </w:r>
      <w:r w:rsidR="00936833" w:rsidRPr="00515872">
        <w:rPr>
          <w:rFonts w:cs="Tahoma"/>
          <w:iCs/>
        </w:rPr>
        <w:t>omunale vanificando così, almeno parzialmente, il lavoro fatto per garantire l’indipendenza e terzietà dell’organo di controllo rispetto all’ente</w:t>
      </w:r>
      <w:r w:rsidR="00355E47" w:rsidRPr="00515872">
        <w:rPr>
          <w:rFonts w:cs="Tahoma"/>
          <w:iCs/>
        </w:rPr>
        <w:t xml:space="preserve"> oggetto di controllo. Tale manovra, che ha suscitato lo sconcerto e la disapprovazione delle associazioni di categoria, stabilisce anche una restrizione dell’ambito geografico di azione del revisore, prevedendone il possibile sorteggio a livello provinciale anziché regionale </w:t>
      </w:r>
      <w:r w:rsidR="00A20683" w:rsidRPr="00515872">
        <w:rPr>
          <w:rFonts w:cs="Tahoma"/>
          <w:iCs/>
        </w:rPr>
        <w:t xml:space="preserve">(disposizione, peraltro, attualmente non ancora efficace) </w:t>
      </w:r>
      <w:r w:rsidR="00355E47" w:rsidRPr="00515872">
        <w:rPr>
          <w:rFonts w:cs="Tahoma"/>
          <w:iCs/>
        </w:rPr>
        <w:t>con conseguente prob</w:t>
      </w:r>
      <w:r w:rsidR="00962841" w:rsidRPr="00515872">
        <w:rPr>
          <w:rFonts w:cs="Tahoma"/>
          <w:iCs/>
        </w:rPr>
        <w:t>abile risparmio di costi per i c</w:t>
      </w:r>
      <w:r w:rsidR="00355E47" w:rsidRPr="00515872">
        <w:rPr>
          <w:rFonts w:cs="Tahoma"/>
          <w:iCs/>
        </w:rPr>
        <w:t xml:space="preserve">omuni in termini di rimborsi spese per trasferte ma, d’altro canto, rinunciando ulteriormente all’indipendenza e terzietà del revisore e creando non pochi problemi </w:t>
      </w:r>
      <w:r w:rsidR="003C1B0D" w:rsidRPr="00515872">
        <w:rPr>
          <w:rFonts w:cs="Tahoma"/>
          <w:iCs/>
        </w:rPr>
        <w:t xml:space="preserve">per i gli enti e i revisori residenti in provincie caratterizzate da limitato numero di comuni (si pensi, ad esempio, alla provincia di Trieste nella quale risiedono solo 6 </w:t>
      </w:r>
      <w:r w:rsidR="00962841" w:rsidRPr="00515872">
        <w:rPr>
          <w:rFonts w:cs="Tahoma"/>
          <w:iCs/>
        </w:rPr>
        <w:t>c</w:t>
      </w:r>
      <w:r w:rsidR="003C1B0D" w:rsidRPr="00515872">
        <w:rPr>
          <w:rFonts w:cs="Tahoma"/>
          <w:iCs/>
        </w:rPr>
        <w:t>omuni), o con un limitato numero di revisori disponibili</w:t>
      </w:r>
      <w:r w:rsidR="00355E47" w:rsidRPr="00515872">
        <w:rPr>
          <w:rFonts w:cs="Tahoma"/>
          <w:iCs/>
        </w:rPr>
        <w:t>.</w:t>
      </w:r>
    </w:p>
    <w:p w14:paraId="10338A00" w14:textId="77777777" w:rsidR="00135E13" w:rsidRPr="00515872" w:rsidRDefault="00135E13" w:rsidP="00515872">
      <w:pPr>
        <w:spacing w:line="360" w:lineRule="auto"/>
        <w:jc w:val="both"/>
        <w:rPr>
          <w:rFonts w:cs="Tahoma"/>
          <w:iCs/>
        </w:rPr>
      </w:pPr>
      <w:r w:rsidRPr="00515872">
        <w:rPr>
          <w:rFonts w:cs="Tahoma"/>
          <w:iCs/>
        </w:rPr>
        <w:t xml:space="preserve">Nei tempi più recenti, enti e relativi revisori si sono dovuti misurare con gli sconquassi provocati anche nei conti degli enti locali dalla pandemia da Covid-19. A fronte di questa, infatti, il governo è intervenuto più volte con </w:t>
      </w:r>
      <w:r w:rsidR="00F12388" w:rsidRPr="00515872">
        <w:rPr>
          <w:rFonts w:cs="Tahoma"/>
          <w:iCs/>
        </w:rPr>
        <w:t>provvedimenti emanati in via d’urgenza finalizzati</w:t>
      </w:r>
      <w:r w:rsidRPr="00515872">
        <w:rPr>
          <w:rFonts w:cs="Tahoma"/>
          <w:iCs/>
        </w:rPr>
        <w:t xml:space="preserve"> a sostenere la popolazione e le imprese per arginare gli effetti economici che le restrizioni richieste per fronteggiare la pandemia s</w:t>
      </w:r>
      <w:r w:rsidR="00D21696" w:rsidRPr="00515872">
        <w:rPr>
          <w:rFonts w:cs="Tahoma"/>
          <w:iCs/>
        </w:rPr>
        <w:t>tessa hanno inflitto su di esse</w:t>
      </w:r>
      <w:r w:rsidRPr="00515872">
        <w:rPr>
          <w:rFonts w:cs="Tahoma"/>
          <w:iCs/>
        </w:rPr>
        <w:t xml:space="preserve">, </w:t>
      </w:r>
      <w:r w:rsidRPr="00515872">
        <w:rPr>
          <w:rFonts w:cs="Tahoma"/>
          <w:iCs/>
        </w:rPr>
        <w:lastRenderedPageBreak/>
        <w:t>incidendo spesso direttamente sui conti degli enti locali. Ne sono un esempio, l’introduzione di alcune esenzioni IMU e ai fini del Canone Unico Patrimoniale per determinate categorie di contribuenti. Il generalizzato rallentamento dell’economia</w:t>
      </w:r>
      <w:r w:rsidR="00D21696" w:rsidRPr="00515872">
        <w:rPr>
          <w:rFonts w:cs="Tahoma"/>
          <w:iCs/>
        </w:rPr>
        <w:t>, inoltre,</w:t>
      </w:r>
      <w:r w:rsidRPr="00515872">
        <w:rPr>
          <w:rFonts w:cs="Tahoma"/>
          <w:iCs/>
        </w:rPr>
        <w:t xml:space="preserve"> ha </w:t>
      </w:r>
      <w:r w:rsidR="00F12388" w:rsidRPr="00515872">
        <w:rPr>
          <w:rFonts w:cs="Tahoma"/>
          <w:iCs/>
        </w:rPr>
        <w:t>creato una forte tensione nella gestione finanziaria degli enti anche a causa della</w:t>
      </w:r>
      <w:r w:rsidRPr="00515872">
        <w:rPr>
          <w:rFonts w:cs="Tahoma"/>
          <w:iCs/>
        </w:rPr>
        <w:t xml:space="preserve"> diminuzione delle entrate da imposte sui redditi e quindi, per quanto riguarda gli enti locali, delle addizionali provinciale e comunale. Tali minori entrate non sempre sono state adeguatamente compensate con erogazioni straordinarie da parte delle amministrazioni centrali</w:t>
      </w:r>
      <w:r w:rsidR="00F87502" w:rsidRPr="00515872">
        <w:rPr>
          <w:rFonts w:cs="Tahoma"/>
          <w:iCs/>
        </w:rPr>
        <w:t xml:space="preserve"> e questo, </w:t>
      </w:r>
      <w:r w:rsidRPr="00515872">
        <w:rPr>
          <w:rFonts w:cs="Tahoma"/>
          <w:iCs/>
        </w:rPr>
        <w:t xml:space="preserve">ovviamente, </w:t>
      </w:r>
      <w:r w:rsidR="00F87502" w:rsidRPr="00515872">
        <w:rPr>
          <w:rFonts w:cs="Tahoma"/>
          <w:iCs/>
        </w:rPr>
        <w:t xml:space="preserve">dovrà essere attenzionato dall’organo di revisione al fine di appurare </w:t>
      </w:r>
      <w:r w:rsidRPr="00515872">
        <w:rPr>
          <w:rFonts w:cs="Tahoma"/>
          <w:iCs/>
        </w:rPr>
        <w:t>la stabilità degli equilibri di bilancio.</w:t>
      </w:r>
    </w:p>
    <w:p w14:paraId="2441C9B7" w14:textId="77777777" w:rsidR="008E5F78" w:rsidRPr="00515872" w:rsidRDefault="00E75342" w:rsidP="00515872">
      <w:pPr>
        <w:spacing w:line="360" w:lineRule="auto"/>
        <w:jc w:val="both"/>
        <w:rPr>
          <w:rFonts w:cs="Tahoma"/>
          <w:iCs/>
        </w:rPr>
      </w:pPr>
      <w:r w:rsidRPr="00515872">
        <w:rPr>
          <w:rFonts w:cs="Tahoma"/>
          <w:iCs/>
        </w:rPr>
        <w:t xml:space="preserve">Il Consiglio Nazionale dei Dottori Commercialisti e degli Esperti contabili affianca ogni anno i propri iscritti proponendo bozze di pareri al bilancio di previsione e di relazioni al rendiconto in grado di recepire le novità normative che di anno in anno si susseguono. Recentemente, inoltre, ha emanato un manuale di supporto all’organo di revisione </w:t>
      </w:r>
      <w:r w:rsidR="005319FF" w:rsidRPr="00515872">
        <w:rPr>
          <w:rFonts w:cs="Tahoma"/>
          <w:iCs/>
        </w:rPr>
        <w:t>titolato “La revisione negli Enti locali” che, oltre a approfondire la tematica delle procedure di revisione a mezzo di due “quaderni”, fornisce anche elementi di pronto utilizzo quali check-list e bozze di verbali</w:t>
      </w:r>
      <w:r w:rsidR="003058C0" w:rsidRPr="00515872">
        <w:rPr>
          <w:rFonts w:cs="Tahoma"/>
          <w:iCs/>
        </w:rPr>
        <w:t>.</w:t>
      </w:r>
    </w:p>
    <w:p w14:paraId="0AE42F4D" w14:textId="77777777" w:rsidR="005319FF" w:rsidRPr="00515872" w:rsidRDefault="00920576" w:rsidP="00515872">
      <w:pPr>
        <w:spacing w:line="360" w:lineRule="auto"/>
        <w:jc w:val="both"/>
        <w:rPr>
          <w:rFonts w:cs="Tahoma"/>
          <w:iCs/>
        </w:rPr>
      </w:pPr>
      <w:r w:rsidRPr="00515872">
        <w:rPr>
          <w:rFonts w:eastAsia="Times New Roman" w:cs="Tahoma"/>
          <w:szCs w:val="20"/>
          <w:lang w:eastAsia="it-IT"/>
        </w:rPr>
        <w:t>Nell’ottica di un aggiornamento e adeguamento ai mutamenti del settore</w:t>
      </w:r>
      <w:r w:rsidR="00CF76DC" w:rsidRPr="00515872">
        <w:rPr>
          <w:rFonts w:eastAsia="Times New Roman" w:cs="Tahoma"/>
          <w:szCs w:val="20"/>
          <w:lang w:eastAsia="it-IT"/>
        </w:rPr>
        <w:t xml:space="preserve">, il CNDCEC ha </w:t>
      </w:r>
      <w:r w:rsidRPr="00515872">
        <w:rPr>
          <w:rFonts w:eastAsia="Times New Roman" w:cs="Tahoma"/>
          <w:szCs w:val="20"/>
          <w:lang w:eastAsia="it-IT"/>
        </w:rPr>
        <w:t>recentemente</w:t>
      </w:r>
      <w:r w:rsidR="00CF76DC" w:rsidRPr="00515872">
        <w:rPr>
          <w:rFonts w:eastAsia="Times New Roman" w:cs="Tahoma"/>
          <w:szCs w:val="20"/>
          <w:lang w:eastAsia="it-IT"/>
        </w:rPr>
        <w:t xml:space="preserve"> </w:t>
      </w:r>
      <w:r w:rsidR="005319FF" w:rsidRPr="00515872">
        <w:rPr>
          <w:rFonts w:eastAsia="Times New Roman" w:cs="Tahoma"/>
          <w:szCs w:val="20"/>
          <w:lang w:eastAsia="it-IT"/>
        </w:rPr>
        <w:t xml:space="preserve">presentato </w:t>
      </w:r>
      <w:r w:rsidR="00CF76DC" w:rsidRPr="00515872">
        <w:rPr>
          <w:rFonts w:eastAsia="Times New Roman" w:cs="Tahoma"/>
          <w:szCs w:val="20"/>
          <w:lang w:eastAsia="it-IT"/>
        </w:rPr>
        <w:t>al Ministero dell’Interno un d</w:t>
      </w:r>
      <w:r w:rsidR="005319FF" w:rsidRPr="00515872">
        <w:rPr>
          <w:rFonts w:eastAsia="Times New Roman" w:cs="Tahoma"/>
          <w:szCs w:val="20"/>
          <w:lang w:eastAsia="it-IT"/>
        </w:rPr>
        <w:t>ocumento</w:t>
      </w:r>
      <w:r w:rsidR="006674FC" w:rsidRPr="00515872">
        <w:rPr>
          <w:rFonts w:eastAsia="Times New Roman" w:cs="Tahoma"/>
          <w:szCs w:val="20"/>
          <w:lang w:eastAsia="it-IT"/>
        </w:rPr>
        <w:t xml:space="preserve"> una</w:t>
      </w:r>
      <w:r w:rsidR="005319FF" w:rsidRPr="00515872">
        <w:rPr>
          <w:rFonts w:eastAsia="Times New Roman" w:cs="Tahoma"/>
          <w:szCs w:val="20"/>
          <w:lang w:eastAsia="it-IT"/>
        </w:rPr>
        <w:t xml:space="preserve"> propost</w:t>
      </w:r>
      <w:r w:rsidR="006674FC" w:rsidRPr="00515872">
        <w:rPr>
          <w:rFonts w:eastAsia="Times New Roman" w:cs="Tahoma"/>
          <w:szCs w:val="20"/>
          <w:lang w:eastAsia="it-IT"/>
        </w:rPr>
        <w:t>a</w:t>
      </w:r>
      <w:r w:rsidR="005319FF" w:rsidRPr="00515872">
        <w:rPr>
          <w:rFonts w:eastAsia="Times New Roman" w:cs="Tahoma"/>
          <w:szCs w:val="20"/>
          <w:lang w:eastAsia="it-IT"/>
        </w:rPr>
        <w:t xml:space="preserve"> di modifica al Titolo VII del T</w:t>
      </w:r>
      <w:r w:rsidR="00CF76DC" w:rsidRPr="00515872">
        <w:rPr>
          <w:rFonts w:eastAsia="Times New Roman" w:cs="Tahoma"/>
          <w:szCs w:val="20"/>
          <w:lang w:eastAsia="it-IT"/>
        </w:rPr>
        <w:t>UEL (in materia di revisione economico finanziaria)</w:t>
      </w:r>
      <w:r w:rsidR="006674FC" w:rsidRPr="00515872">
        <w:rPr>
          <w:rFonts w:eastAsia="Times New Roman" w:cs="Tahoma"/>
          <w:szCs w:val="20"/>
          <w:lang w:eastAsia="it-IT"/>
        </w:rPr>
        <w:t xml:space="preserve"> </w:t>
      </w:r>
      <w:r w:rsidR="00CF76DC" w:rsidRPr="00515872">
        <w:rPr>
          <w:rFonts w:eastAsia="Times New Roman" w:cs="Tahoma"/>
          <w:szCs w:val="20"/>
          <w:lang w:eastAsia="it-IT"/>
        </w:rPr>
        <w:t>indirizzat</w:t>
      </w:r>
      <w:r w:rsidR="006674FC" w:rsidRPr="00515872">
        <w:rPr>
          <w:rFonts w:eastAsia="Times New Roman" w:cs="Tahoma"/>
          <w:szCs w:val="20"/>
          <w:lang w:eastAsia="it-IT"/>
        </w:rPr>
        <w:t>a</w:t>
      </w:r>
      <w:r w:rsidR="00CF76DC" w:rsidRPr="00515872">
        <w:rPr>
          <w:rFonts w:eastAsia="Times New Roman" w:cs="Tahoma"/>
          <w:szCs w:val="20"/>
          <w:lang w:eastAsia="it-IT"/>
        </w:rPr>
        <w:t xml:space="preserve"> a</w:t>
      </w:r>
      <w:r w:rsidR="00B22BC3" w:rsidRPr="00515872">
        <w:rPr>
          <w:rFonts w:eastAsia="Times New Roman" w:cs="Tahoma"/>
          <w:szCs w:val="20"/>
          <w:lang w:eastAsia="it-IT"/>
        </w:rPr>
        <w:t xml:space="preserve">d </w:t>
      </w:r>
      <w:r w:rsidR="00CF76DC" w:rsidRPr="00515872">
        <w:rPr>
          <w:rFonts w:eastAsia="Times New Roman" w:cs="Tahoma"/>
          <w:szCs w:val="20"/>
          <w:lang w:eastAsia="it-IT"/>
        </w:rPr>
        <w:t xml:space="preserve">una </w:t>
      </w:r>
      <w:r w:rsidR="005319FF" w:rsidRPr="00515872">
        <w:rPr>
          <w:rFonts w:eastAsia="Times New Roman" w:cs="Tahoma"/>
          <w:szCs w:val="20"/>
          <w:lang w:eastAsia="it-IT"/>
        </w:rPr>
        <w:t>revisione organica della disciplina della funzione di revisione economico-finanziar</w:t>
      </w:r>
      <w:r w:rsidR="00CF76DC" w:rsidRPr="00515872">
        <w:rPr>
          <w:rFonts w:eastAsia="Times New Roman" w:cs="Tahoma"/>
          <w:szCs w:val="20"/>
          <w:lang w:eastAsia="it-IT"/>
        </w:rPr>
        <w:t>ia e del funzionamento dell’o</w:t>
      </w:r>
      <w:r w:rsidR="005319FF" w:rsidRPr="00515872">
        <w:rPr>
          <w:rFonts w:eastAsia="Times New Roman" w:cs="Tahoma"/>
          <w:szCs w:val="20"/>
          <w:lang w:eastAsia="it-IT"/>
        </w:rPr>
        <w:t>rgano di revisione</w:t>
      </w:r>
      <w:r w:rsidR="008E5F78" w:rsidRPr="00515872">
        <w:rPr>
          <w:rFonts w:eastAsia="Times New Roman" w:cs="Tahoma"/>
          <w:szCs w:val="20"/>
          <w:lang w:eastAsia="it-IT"/>
        </w:rPr>
        <w:t>,</w:t>
      </w:r>
      <w:r w:rsidR="008E5F78" w:rsidRPr="00515872">
        <w:rPr>
          <w:rStyle w:val="markedcontent"/>
          <w:rFonts w:cs="Tahoma"/>
          <w:szCs w:val="20"/>
        </w:rPr>
        <w:t xml:space="preserve"> proponendo, tra l’altro,</w:t>
      </w:r>
      <w:r w:rsidR="008E5F78" w:rsidRPr="00515872">
        <w:rPr>
          <w:rFonts w:cs="Tahoma"/>
          <w:szCs w:val="20"/>
        </w:rPr>
        <w:t xml:space="preserve"> </w:t>
      </w:r>
      <w:r w:rsidR="008E5F78" w:rsidRPr="00515872">
        <w:rPr>
          <w:rStyle w:val="markedcontent"/>
          <w:rFonts w:cs="Tahoma"/>
          <w:szCs w:val="20"/>
        </w:rPr>
        <w:t>l’abrogazione dell’art. 16, c. 25-bis, D.L. n. 138/2011, come introdotto</w:t>
      </w:r>
      <w:r w:rsidR="008E5F78" w:rsidRPr="00515872">
        <w:rPr>
          <w:rFonts w:cs="Tahoma"/>
          <w:szCs w:val="20"/>
        </w:rPr>
        <w:t xml:space="preserve"> </w:t>
      </w:r>
      <w:r w:rsidR="008E5F78" w:rsidRPr="00515872">
        <w:rPr>
          <w:rStyle w:val="markedcontent"/>
          <w:rFonts w:cs="Tahoma"/>
          <w:szCs w:val="20"/>
        </w:rPr>
        <w:t>dall’art. 57-ter, D.L. n. 124/2019, che</w:t>
      </w:r>
      <w:r w:rsidR="008E5F78" w:rsidRPr="00515872">
        <w:rPr>
          <w:rFonts w:cs="Tahoma"/>
          <w:szCs w:val="20"/>
        </w:rPr>
        <w:t xml:space="preserve"> ri</w:t>
      </w:r>
      <w:r w:rsidR="008E5F78" w:rsidRPr="00515872">
        <w:rPr>
          <w:rStyle w:val="markedcontent"/>
          <w:rFonts w:cs="Tahoma"/>
          <w:szCs w:val="20"/>
        </w:rPr>
        <w:t>assegna al consiglio dell’ente locale il potere di</w:t>
      </w:r>
      <w:r w:rsidR="008E5F78" w:rsidRPr="00515872">
        <w:rPr>
          <w:rFonts w:cs="Tahoma"/>
          <w:szCs w:val="20"/>
        </w:rPr>
        <w:t xml:space="preserve"> </w:t>
      </w:r>
      <w:r w:rsidR="008E5F78" w:rsidRPr="00515872">
        <w:rPr>
          <w:rStyle w:val="markedcontent"/>
          <w:rFonts w:cs="Tahoma"/>
          <w:szCs w:val="20"/>
        </w:rPr>
        <w:t>nominare il presidente del collegio tra i</w:t>
      </w:r>
      <w:r w:rsidR="008E5F78" w:rsidRPr="00515872">
        <w:rPr>
          <w:rFonts w:cs="Tahoma"/>
          <w:szCs w:val="20"/>
        </w:rPr>
        <w:t xml:space="preserve"> </w:t>
      </w:r>
      <w:r w:rsidR="008E5F78" w:rsidRPr="00515872">
        <w:rPr>
          <w:rStyle w:val="markedcontent"/>
          <w:rFonts w:cs="Tahoma"/>
          <w:szCs w:val="20"/>
        </w:rPr>
        <w:t>soggetti inseriti nella fascia 3 dell’elenco dei soggetti abilitati.</w:t>
      </w:r>
    </w:p>
    <w:p w14:paraId="6EF74AD4" w14:textId="77777777" w:rsidR="00A22146" w:rsidRPr="00515872" w:rsidRDefault="00920576" w:rsidP="00515872">
      <w:pPr>
        <w:spacing w:line="360" w:lineRule="auto"/>
        <w:jc w:val="both"/>
        <w:rPr>
          <w:rFonts w:cs="Tahoma"/>
          <w:bCs/>
          <w:iCs/>
          <w:szCs w:val="20"/>
        </w:rPr>
      </w:pPr>
      <w:r w:rsidRPr="00515872">
        <w:rPr>
          <w:rFonts w:cs="Tahoma"/>
          <w:bCs/>
          <w:iCs/>
          <w:szCs w:val="20"/>
        </w:rPr>
        <w:t xml:space="preserve">Il </w:t>
      </w:r>
      <w:r w:rsidR="005319FF" w:rsidRPr="00515872">
        <w:rPr>
          <w:rFonts w:cs="Tahoma"/>
          <w:bCs/>
          <w:iCs/>
          <w:szCs w:val="20"/>
        </w:rPr>
        <w:t xml:space="preserve">presente </w:t>
      </w:r>
      <w:r w:rsidRPr="00515872">
        <w:rPr>
          <w:rFonts w:cs="Tahoma"/>
          <w:bCs/>
          <w:iCs/>
          <w:szCs w:val="20"/>
        </w:rPr>
        <w:t>contributo</w:t>
      </w:r>
      <w:r w:rsidR="006F2B7F" w:rsidRPr="00515872">
        <w:rPr>
          <w:rFonts w:cs="Tahoma"/>
          <w:bCs/>
          <w:iCs/>
          <w:szCs w:val="20"/>
        </w:rPr>
        <w:t xml:space="preserve"> si rivolge, pertanto, ai revisori di comuni </w:t>
      </w:r>
      <w:r w:rsidR="00FA422B" w:rsidRPr="00515872">
        <w:rPr>
          <w:rFonts w:cs="Tahoma"/>
          <w:bCs/>
          <w:iCs/>
          <w:szCs w:val="20"/>
        </w:rPr>
        <w:t xml:space="preserve">e province </w:t>
      </w:r>
      <w:r w:rsidR="006F2B7F" w:rsidRPr="00515872">
        <w:rPr>
          <w:rFonts w:cs="Tahoma"/>
          <w:bCs/>
          <w:iCs/>
          <w:szCs w:val="20"/>
        </w:rPr>
        <w:t>con l’intento di fornire una panoramica il più completa possibile</w:t>
      </w:r>
      <w:r w:rsidR="00FA422B" w:rsidRPr="00515872">
        <w:rPr>
          <w:rFonts w:cs="Tahoma"/>
          <w:bCs/>
          <w:iCs/>
          <w:szCs w:val="20"/>
        </w:rPr>
        <w:t>, benché sintetica,</w:t>
      </w:r>
      <w:r w:rsidR="006F2B7F" w:rsidRPr="00515872">
        <w:rPr>
          <w:rFonts w:cs="Tahoma"/>
          <w:bCs/>
          <w:iCs/>
          <w:szCs w:val="20"/>
        </w:rPr>
        <w:t xml:space="preserve"> dei vari aspetti che interessano l’incarico, </w:t>
      </w:r>
      <w:r w:rsidRPr="00515872">
        <w:rPr>
          <w:rFonts w:cs="Tahoma"/>
          <w:bCs/>
          <w:iCs/>
          <w:szCs w:val="20"/>
        </w:rPr>
        <w:t>nella consapevolezza</w:t>
      </w:r>
      <w:r w:rsidR="006F2B7F" w:rsidRPr="00515872">
        <w:rPr>
          <w:rFonts w:cs="Tahoma"/>
          <w:bCs/>
          <w:iCs/>
          <w:szCs w:val="20"/>
        </w:rPr>
        <w:t xml:space="preserve"> che </w:t>
      </w:r>
      <w:r w:rsidR="005E0585" w:rsidRPr="00515872">
        <w:rPr>
          <w:rFonts w:cs="Tahoma"/>
          <w:bCs/>
          <w:iCs/>
          <w:szCs w:val="20"/>
        </w:rPr>
        <w:t>quelli</w:t>
      </w:r>
      <w:r w:rsidR="006F2B7F" w:rsidRPr="00515872">
        <w:rPr>
          <w:rFonts w:cs="Tahoma"/>
          <w:bCs/>
          <w:iCs/>
          <w:szCs w:val="20"/>
        </w:rPr>
        <w:t xml:space="preserve"> di particolare complessità (quali, ad esempio, </w:t>
      </w:r>
      <w:r w:rsidR="00FA422B" w:rsidRPr="00515872">
        <w:rPr>
          <w:rFonts w:cs="Tahoma"/>
          <w:bCs/>
          <w:iCs/>
          <w:szCs w:val="20"/>
        </w:rPr>
        <w:t>i principi della contabilità,</w:t>
      </w:r>
      <w:r w:rsidR="00ED3917" w:rsidRPr="00515872">
        <w:rPr>
          <w:rFonts w:cs="Tahoma"/>
          <w:bCs/>
          <w:iCs/>
          <w:szCs w:val="20"/>
        </w:rPr>
        <w:t xml:space="preserve"> </w:t>
      </w:r>
      <w:r w:rsidR="006F2B7F" w:rsidRPr="00515872">
        <w:rPr>
          <w:rFonts w:cs="Tahoma"/>
          <w:bCs/>
          <w:iCs/>
          <w:szCs w:val="20"/>
        </w:rPr>
        <w:t>il controllo sulle società ed enti partecipati</w:t>
      </w:r>
      <w:r w:rsidR="00FA422B" w:rsidRPr="00515872">
        <w:rPr>
          <w:rFonts w:cs="Tahoma"/>
          <w:bCs/>
          <w:iCs/>
          <w:szCs w:val="20"/>
        </w:rPr>
        <w:t xml:space="preserve"> e la normativa </w:t>
      </w:r>
      <w:r w:rsidRPr="00515872">
        <w:rPr>
          <w:rFonts w:cs="Tahoma"/>
          <w:bCs/>
          <w:iCs/>
          <w:szCs w:val="20"/>
        </w:rPr>
        <w:t>in materia di</w:t>
      </w:r>
      <w:r w:rsidR="00FA422B" w:rsidRPr="00515872">
        <w:rPr>
          <w:rFonts w:cs="Tahoma"/>
          <w:bCs/>
          <w:iCs/>
          <w:szCs w:val="20"/>
        </w:rPr>
        <w:t xml:space="preserve"> personale</w:t>
      </w:r>
      <w:r w:rsidR="006F2B7F" w:rsidRPr="00515872">
        <w:rPr>
          <w:rFonts w:cs="Tahoma"/>
          <w:bCs/>
          <w:iCs/>
          <w:szCs w:val="20"/>
        </w:rPr>
        <w:t>), meritano indubbiamente approfondimenti spe</w:t>
      </w:r>
      <w:r w:rsidR="00CD2A84" w:rsidRPr="00515872">
        <w:rPr>
          <w:rFonts w:cs="Tahoma"/>
          <w:bCs/>
          <w:iCs/>
          <w:szCs w:val="20"/>
        </w:rPr>
        <w:t>c</w:t>
      </w:r>
      <w:r w:rsidR="006F2B7F" w:rsidRPr="00515872">
        <w:rPr>
          <w:rFonts w:cs="Tahoma"/>
          <w:bCs/>
          <w:iCs/>
          <w:szCs w:val="20"/>
        </w:rPr>
        <w:t>i</w:t>
      </w:r>
      <w:r w:rsidR="00CD2A84" w:rsidRPr="00515872">
        <w:rPr>
          <w:rFonts w:cs="Tahoma"/>
          <w:bCs/>
          <w:iCs/>
          <w:szCs w:val="20"/>
        </w:rPr>
        <w:t>f</w:t>
      </w:r>
      <w:r w:rsidR="006F2B7F" w:rsidRPr="00515872">
        <w:rPr>
          <w:rFonts w:cs="Tahoma"/>
          <w:bCs/>
          <w:iCs/>
          <w:szCs w:val="20"/>
        </w:rPr>
        <w:t>ici.</w:t>
      </w:r>
    </w:p>
    <w:p w14:paraId="1FFE8727" w14:textId="77777777" w:rsidR="00571E6F" w:rsidRPr="00515872" w:rsidRDefault="00571E6F" w:rsidP="00DF772D">
      <w:pPr>
        <w:jc w:val="both"/>
        <w:rPr>
          <w:rFonts w:cs="Tahoma"/>
          <w:iCs/>
        </w:rPr>
      </w:pPr>
    </w:p>
    <w:p w14:paraId="02939872" w14:textId="77777777" w:rsidR="00A22146" w:rsidRPr="00515872" w:rsidRDefault="00A22146">
      <w:pPr>
        <w:spacing w:after="0" w:line="240" w:lineRule="auto"/>
        <w:rPr>
          <w:rFonts w:cs="Tahoma"/>
          <w:b/>
          <w:bCs/>
          <w:i/>
          <w:iCs/>
          <w:sz w:val="28"/>
          <w:szCs w:val="28"/>
          <w:highlight w:val="yellow"/>
        </w:rPr>
      </w:pPr>
      <w:r w:rsidRPr="00515872">
        <w:rPr>
          <w:rFonts w:cs="Tahoma"/>
          <w:b/>
          <w:bCs/>
          <w:i/>
          <w:iCs/>
          <w:sz w:val="28"/>
          <w:szCs w:val="28"/>
          <w:highlight w:val="yellow"/>
        </w:rPr>
        <w:br w:type="page"/>
      </w:r>
    </w:p>
    <w:p w14:paraId="734C0682" w14:textId="77777777" w:rsidR="00B80CAB" w:rsidRPr="00515872" w:rsidRDefault="00660634" w:rsidP="001672F9">
      <w:pPr>
        <w:jc w:val="center"/>
        <w:rPr>
          <w:rFonts w:cs="Tahoma"/>
          <w:b/>
          <w:bCs/>
          <w:i/>
          <w:iCs/>
          <w:sz w:val="28"/>
          <w:szCs w:val="28"/>
        </w:rPr>
      </w:pPr>
      <w:r w:rsidRPr="00515872">
        <w:rPr>
          <w:rFonts w:cs="Tahoma"/>
          <w:b/>
          <w:bCs/>
          <w:i/>
          <w:iCs/>
          <w:sz w:val="28"/>
          <w:szCs w:val="28"/>
        </w:rPr>
        <w:lastRenderedPageBreak/>
        <w:t>Marco Paolini</w:t>
      </w:r>
    </w:p>
    <w:p w14:paraId="46A292CE" w14:textId="77777777" w:rsidR="00B80CAB" w:rsidRPr="00515872" w:rsidRDefault="00756A67" w:rsidP="00163B57">
      <w:pPr>
        <w:jc w:val="both"/>
        <w:rPr>
          <w:rFonts w:cs="Tahoma"/>
          <w:sz w:val="22"/>
        </w:rPr>
      </w:pPr>
      <w:r w:rsidRPr="00515872">
        <w:rPr>
          <w:rFonts w:cs="Tahoma"/>
          <w:sz w:val="22"/>
        </w:rPr>
        <w:t>Iscritto all'albo dei Dottori Commercialisti ed Esperti Contabili; Revisore Legale dei Conti; Revisore di enti locali.</w:t>
      </w:r>
    </w:p>
    <w:p w14:paraId="65E6B0B1" w14:textId="77777777" w:rsidR="00B80CAB" w:rsidRPr="00515872" w:rsidRDefault="00B80CAB" w:rsidP="00163B57">
      <w:pPr>
        <w:jc w:val="both"/>
        <w:rPr>
          <w:rFonts w:cs="Tahoma"/>
          <w:szCs w:val="20"/>
          <w:highlight w:val="yellow"/>
        </w:rPr>
      </w:pPr>
    </w:p>
    <w:p w14:paraId="5E15578E" w14:textId="77777777" w:rsidR="00B80CAB" w:rsidRPr="00515872" w:rsidRDefault="00B80CAB" w:rsidP="00163B57">
      <w:pPr>
        <w:jc w:val="both"/>
        <w:rPr>
          <w:rFonts w:cs="Tahoma"/>
          <w:szCs w:val="20"/>
          <w:highlight w:val="yellow"/>
        </w:rPr>
      </w:pPr>
    </w:p>
    <w:p w14:paraId="73CCD9F2" w14:textId="77777777" w:rsidR="000809BF" w:rsidRPr="00515872" w:rsidRDefault="000809BF" w:rsidP="0044225E">
      <w:pPr>
        <w:spacing w:line="360" w:lineRule="auto"/>
        <w:jc w:val="center"/>
        <w:rPr>
          <w:rFonts w:cs="Tahoma"/>
          <w:sz w:val="22"/>
          <w:highlight w:val="yellow"/>
        </w:rPr>
      </w:pPr>
    </w:p>
    <w:p w14:paraId="14D20051" w14:textId="77777777" w:rsidR="000809BF" w:rsidRPr="00515872" w:rsidRDefault="000809BF" w:rsidP="0044225E">
      <w:pPr>
        <w:spacing w:line="360" w:lineRule="auto"/>
        <w:jc w:val="center"/>
        <w:rPr>
          <w:rFonts w:cs="Tahoma"/>
          <w:sz w:val="22"/>
          <w:highlight w:val="yellow"/>
        </w:rPr>
      </w:pPr>
    </w:p>
    <w:p w14:paraId="5762F060" w14:textId="77777777" w:rsidR="000809BF" w:rsidRPr="00515872" w:rsidRDefault="000809BF" w:rsidP="0044225E">
      <w:pPr>
        <w:spacing w:line="360" w:lineRule="auto"/>
        <w:jc w:val="center"/>
        <w:rPr>
          <w:rFonts w:cs="Tahoma"/>
          <w:sz w:val="22"/>
          <w:highlight w:val="yellow"/>
        </w:rPr>
      </w:pPr>
    </w:p>
    <w:p w14:paraId="09AC819F" w14:textId="77777777" w:rsidR="000809BF" w:rsidRPr="00515872" w:rsidRDefault="000809BF" w:rsidP="0044225E">
      <w:pPr>
        <w:spacing w:line="360" w:lineRule="auto"/>
        <w:jc w:val="center"/>
        <w:rPr>
          <w:rFonts w:cs="Tahoma"/>
          <w:sz w:val="22"/>
          <w:highlight w:val="yellow"/>
        </w:rPr>
      </w:pPr>
    </w:p>
    <w:p w14:paraId="39F57612" w14:textId="77777777" w:rsidR="000809BF" w:rsidRPr="00515872" w:rsidRDefault="000809BF" w:rsidP="0044225E">
      <w:pPr>
        <w:spacing w:line="360" w:lineRule="auto"/>
        <w:jc w:val="center"/>
        <w:rPr>
          <w:rFonts w:cs="Tahoma"/>
          <w:sz w:val="22"/>
          <w:highlight w:val="yellow"/>
        </w:rPr>
      </w:pPr>
    </w:p>
    <w:p w14:paraId="18BF6B0E" w14:textId="77777777" w:rsidR="000809BF" w:rsidRPr="00515872" w:rsidRDefault="000809BF" w:rsidP="0044225E">
      <w:pPr>
        <w:spacing w:line="360" w:lineRule="auto"/>
        <w:jc w:val="center"/>
        <w:rPr>
          <w:rFonts w:cs="Tahoma"/>
          <w:sz w:val="22"/>
          <w:highlight w:val="yellow"/>
        </w:rPr>
      </w:pPr>
    </w:p>
    <w:p w14:paraId="027ABBC0" w14:textId="77777777" w:rsidR="001672F9" w:rsidRPr="00515872" w:rsidRDefault="001672F9" w:rsidP="0044225E">
      <w:pPr>
        <w:spacing w:line="360" w:lineRule="auto"/>
        <w:jc w:val="center"/>
        <w:rPr>
          <w:rFonts w:cs="Tahoma"/>
          <w:sz w:val="22"/>
          <w:highlight w:val="yellow"/>
        </w:rPr>
      </w:pPr>
    </w:p>
    <w:p w14:paraId="3981690D" w14:textId="77777777" w:rsidR="001672F9" w:rsidRPr="00515872" w:rsidRDefault="001672F9" w:rsidP="0044225E">
      <w:pPr>
        <w:spacing w:line="360" w:lineRule="auto"/>
        <w:jc w:val="center"/>
        <w:rPr>
          <w:rFonts w:cs="Tahoma"/>
          <w:sz w:val="22"/>
          <w:highlight w:val="yellow"/>
        </w:rPr>
      </w:pPr>
    </w:p>
    <w:p w14:paraId="34A7E953" w14:textId="77777777" w:rsidR="006C0868" w:rsidRPr="00515872" w:rsidRDefault="006C0868" w:rsidP="0044225E">
      <w:pPr>
        <w:spacing w:line="360" w:lineRule="auto"/>
        <w:jc w:val="center"/>
        <w:rPr>
          <w:rFonts w:cs="Tahoma"/>
          <w:sz w:val="22"/>
          <w:highlight w:val="yellow"/>
        </w:rPr>
      </w:pPr>
    </w:p>
    <w:p w14:paraId="28AED837" w14:textId="77777777" w:rsidR="006C0868" w:rsidRPr="00515872" w:rsidRDefault="006C0868" w:rsidP="0044225E">
      <w:pPr>
        <w:spacing w:line="360" w:lineRule="auto"/>
        <w:jc w:val="center"/>
        <w:rPr>
          <w:rFonts w:cs="Tahoma"/>
          <w:sz w:val="22"/>
          <w:highlight w:val="yellow"/>
        </w:rPr>
      </w:pPr>
    </w:p>
    <w:p w14:paraId="56A97F42" w14:textId="77777777" w:rsidR="00DF772D" w:rsidRPr="00515872" w:rsidRDefault="00DF772D" w:rsidP="006C0868">
      <w:pPr>
        <w:spacing w:line="360" w:lineRule="auto"/>
        <w:rPr>
          <w:rFonts w:cs="Tahoma"/>
          <w:sz w:val="22"/>
        </w:rPr>
      </w:pPr>
    </w:p>
    <w:p w14:paraId="3F83F98B" w14:textId="6C0DB4CC" w:rsidR="00B80CAB" w:rsidRPr="00515872" w:rsidRDefault="00B80CAB" w:rsidP="0044225E">
      <w:pPr>
        <w:spacing w:line="360" w:lineRule="auto"/>
        <w:jc w:val="center"/>
        <w:rPr>
          <w:rFonts w:cs="Tahoma"/>
          <w:sz w:val="22"/>
        </w:rPr>
      </w:pPr>
      <w:r w:rsidRPr="00515872">
        <w:rPr>
          <w:rFonts w:cs="Tahoma"/>
          <w:sz w:val="22"/>
        </w:rPr>
        <w:t>ISBN:</w:t>
      </w:r>
      <w:r w:rsidR="00F1599D" w:rsidRPr="00515872">
        <w:rPr>
          <w:rFonts w:cs="Tahoma"/>
        </w:rPr>
        <w:t xml:space="preserve"> </w:t>
      </w:r>
      <w:r w:rsidR="00515872" w:rsidRPr="00515872">
        <w:rPr>
          <w:rFonts w:cs="Tahoma"/>
          <w:sz w:val="22"/>
        </w:rPr>
        <w:t>9788891653581</w:t>
      </w:r>
    </w:p>
    <w:p w14:paraId="450918EC" w14:textId="7C9E6323" w:rsidR="00225E97" w:rsidRPr="00515872" w:rsidRDefault="00224546" w:rsidP="0044225E">
      <w:pPr>
        <w:spacing w:line="360" w:lineRule="auto"/>
        <w:jc w:val="center"/>
        <w:rPr>
          <w:rFonts w:eastAsia="Times New Roman" w:cs="Tahoma"/>
          <w:sz w:val="22"/>
          <w:lang w:eastAsia="it-IT"/>
        </w:rPr>
      </w:pPr>
      <w:r w:rsidRPr="00515872">
        <w:rPr>
          <w:rFonts w:eastAsia="Times New Roman" w:cs="Tahoma"/>
          <w:sz w:val="22"/>
          <w:lang w:eastAsia="it-IT"/>
        </w:rPr>
        <w:t>© Copyright 2</w:t>
      </w:r>
      <w:r w:rsidR="001672F9" w:rsidRPr="00515872">
        <w:rPr>
          <w:rFonts w:eastAsia="Times New Roman" w:cs="Tahoma"/>
          <w:sz w:val="22"/>
          <w:lang w:eastAsia="it-IT"/>
        </w:rPr>
        <w:t>02</w:t>
      </w:r>
      <w:r w:rsidR="00515872" w:rsidRPr="00515872">
        <w:rPr>
          <w:rFonts w:eastAsia="Times New Roman" w:cs="Tahoma"/>
          <w:sz w:val="22"/>
          <w:lang w:eastAsia="it-IT"/>
        </w:rPr>
        <w:t>2</w:t>
      </w:r>
      <w:r w:rsidR="00225E97" w:rsidRPr="00515872">
        <w:rPr>
          <w:rFonts w:eastAsia="Times New Roman" w:cs="Tahoma"/>
          <w:sz w:val="22"/>
          <w:lang w:eastAsia="it-IT"/>
        </w:rPr>
        <w:t xml:space="preserve"> </w:t>
      </w:r>
      <w:r w:rsidR="001672F9" w:rsidRPr="00515872">
        <w:rPr>
          <w:rFonts w:eastAsia="Times New Roman" w:cs="Tahoma"/>
          <w:sz w:val="22"/>
          <w:lang w:eastAsia="it-IT"/>
        </w:rPr>
        <w:t>Maggioli</w:t>
      </w:r>
    </w:p>
    <w:p w14:paraId="090DDDE5" w14:textId="114704BA" w:rsidR="00225E97" w:rsidRPr="00515872" w:rsidRDefault="00515872" w:rsidP="0044225E">
      <w:pPr>
        <w:spacing w:line="360" w:lineRule="auto"/>
        <w:jc w:val="center"/>
        <w:rPr>
          <w:rFonts w:eastAsia="Times New Roman" w:cs="Tahoma"/>
          <w:sz w:val="22"/>
          <w:lang w:eastAsia="it-IT"/>
        </w:rPr>
      </w:pPr>
      <w:r w:rsidRPr="00515872">
        <w:rPr>
          <w:rFonts w:eastAsia="Times New Roman" w:cs="Tahoma"/>
          <w:sz w:val="22"/>
          <w:lang w:eastAsia="it-IT"/>
        </w:rPr>
        <w:t>Febbraio 2022</w:t>
      </w:r>
    </w:p>
    <w:p w14:paraId="74064A98" w14:textId="77777777" w:rsidR="00225E97" w:rsidRPr="00515872" w:rsidRDefault="001B6224" w:rsidP="0044225E">
      <w:pPr>
        <w:spacing w:line="360" w:lineRule="auto"/>
        <w:jc w:val="center"/>
        <w:rPr>
          <w:rFonts w:eastAsia="Times New Roman" w:cs="Tahoma"/>
          <w:sz w:val="22"/>
          <w:lang w:eastAsia="it-IT"/>
        </w:rPr>
      </w:pPr>
      <w:hyperlink r:id="rId13" w:history="1">
        <w:r w:rsidR="00225E97" w:rsidRPr="00515872">
          <w:rPr>
            <w:rFonts w:eastAsia="Times New Roman" w:cs="Tahoma"/>
            <w:color w:val="0000FF"/>
            <w:sz w:val="22"/>
            <w:u w:val="single"/>
            <w:lang w:eastAsia="it-IT"/>
          </w:rPr>
          <w:t>www.fiscoetasse.com</w:t>
        </w:r>
      </w:hyperlink>
    </w:p>
    <w:p w14:paraId="30689019" w14:textId="77777777" w:rsidR="00225E97" w:rsidRPr="00515872" w:rsidRDefault="001B6224" w:rsidP="0044225E">
      <w:pPr>
        <w:spacing w:line="360" w:lineRule="auto"/>
        <w:jc w:val="center"/>
        <w:rPr>
          <w:rFonts w:eastAsia="Times New Roman" w:cs="Tahoma"/>
          <w:szCs w:val="20"/>
          <w:highlight w:val="yellow"/>
          <w:lang w:eastAsia="it-IT"/>
        </w:rPr>
      </w:pPr>
      <w:r w:rsidRPr="00515872">
        <w:rPr>
          <w:rFonts w:eastAsia="Times New Roman" w:cs="Tahoma"/>
          <w:noProof/>
          <w:szCs w:val="20"/>
          <w:highlight w:val="yellow"/>
          <w:lang w:eastAsia="it-IT"/>
        </w:rPr>
        <w:object w:dxaOrig="1440" w:dyaOrig="1440" w14:anchorId="481E43F6">
          <v:shape id="_x0000_s2051" type="#_x0000_t75" style="position:absolute;left:0;text-align:left;margin-left:152.35pt;margin-top:577.6pt;width:177pt;height:49pt;z-index:251661312;mso-position-horizontal-relative:margin;mso-position-vertical-relative:margin" filled="t">
            <v:imagedata r:id="rId11" o:title=""/>
            <o:lock v:ext="edit" aspectratio="f"/>
            <w10:wrap type="square" anchorx="margin" anchory="margin"/>
          </v:shape>
          <o:OLEObject Type="Embed" ProgID="StaticMetafile" ShapeID="_x0000_s2051" DrawAspect="Content" ObjectID="_1706525728" r:id="rId14"/>
        </w:object>
      </w:r>
    </w:p>
    <w:p w14:paraId="366CD1B2" w14:textId="77777777" w:rsidR="00DE2F18" w:rsidRPr="00515872" w:rsidRDefault="00DE2F18" w:rsidP="0044225E">
      <w:pPr>
        <w:spacing w:line="360" w:lineRule="auto"/>
        <w:jc w:val="center"/>
        <w:rPr>
          <w:rFonts w:cs="Tahoma"/>
          <w:szCs w:val="20"/>
          <w:highlight w:val="yellow"/>
        </w:rPr>
      </w:pPr>
    </w:p>
    <w:p w14:paraId="07B55F80" w14:textId="77777777" w:rsidR="00847043" w:rsidRPr="00515872" w:rsidRDefault="00847043" w:rsidP="00DF772D">
      <w:pPr>
        <w:spacing w:line="360" w:lineRule="auto"/>
        <w:rPr>
          <w:rFonts w:cs="Tahoma"/>
          <w:i/>
          <w:szCs w:val="20"/>
          <w:highlight w:val="yellow"/>
        </w:rPr>
      </w:pPr>
      <w:r w:rsidRPr="00515872">
        <w:rPr>
          <w:rFonts w:cs="Tahoma"/>
          <w:i/>
          <w:szCs w:val="20"/>
          <w:highlight w:val="yellow"/>
        </w:rPr>
        <w:br w:type="page"/>
      </w:r>
    </w:p>
    <w:p w14:paraId="541D7010" w14:textId="77777777" w:rsidR="00086E77" w:rsidRPr="00515872" w:rsidRDefault="007B72F0" w:rsidP="00DF772D">
      <w:pPr>
        <w:spacing w:after="240"/>
        <w:rPr>
          <w:rFonts w:cs="Tahoma"/>
          <w:sz w:val="48"/>
          <w:szCs w:val="48"/>
        </w:rPr>
      </w:pPr>
      <w:r w:rsidRPr="00515872">
        <w:rPr>
          <w:rFonts w:cs="Tahoma"/>
          <w:sz w:val="48"/>
          <w:szCs w:val="48"/>
        </w:rPr>
        <w:lastRenderedPageBreak/>
        <w:t>Indice</w:t>
      </w:r>
    </w:p>
    <w:p w14:paraId="0861095B" w14:textId="77777777" w:rsidR="007B72F0" w:rsidRPr="00515872" w:rsidRDefault="007B72F0" w:rsidP="00AB3C4C">
      <w:pPr>
        <w:spacing w:after="240"/>
        <w:jc w:val="both"/>
        <w:rPr>
          <w:rFonts w:cs="Tahoma"/>
          <w:szCs w:val="20"/>
          <w:highlight w:val="yellow"/>
        </w:rPr>
      </w:pPr>
    </w:p>
    <w:p w14:paraId="0359042C" w14:textId="71B04546" w:rsidR="00EA779E" w:rsidRPr="00EA779E" w:rsidRDefault="00062C19"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r w:rsidRPr="00EA779E">
        <w:rPr>
          <w:rFonts w:ascii="Tahoma" w:hAnsi="Tahoma" w:cs="Tahoma"/>
          <w:b w:val="0"/>
          <w:bCs w:val="0"/>
          <w:caps w:val="0"/>
          <w:sz w:val="20"/>
          <w:szCs w:val="20"/>
          <w:highlight w:val="yellow"/>
        </w:rPr>
        <w:fldChar w:fldCharType="begin"/>
      </w:r>
      <w:r w:rsidR="00C353C6" w:rsidRPr="00EA779E">
        <w:rPr>
          <w:rFonts w:ascii="Tahoma" w:hAnsi="Tahoma" w:cs="Tahoma"/>
          <w:b w:val="0"/>
          <w:bCs w:val="0"/>
          <w:caps w:val="0"/>
          <w:sz w:val="20"/>
          <w:szCs w:val="20"/>
          <w:highlight w:val="yellow"/>
        </w:rPr>
        <w:instrText xml:space="preserve"> TOC \h \z \t "Paragrafo;2;Sottoparagrafo;3;Titolo;1" </w:instrText>
      </w:r>
      <w:r w:rsidRPr="00EA779E">
        <w:rPr>
          <w:rFonts w:ascii="Tahoma" w:hAnsi="Tahoma" w:cs="Tahoma"/>
          <w:b w:val="0"/>
          <w:bCs w:val="0"/>
          <w:caps w:val="0"/>
          <w:sz w:val="20"/>
          <w:szCs w:val="20"/>
          <w:highlight w:val="yellow"/>
        </w:rPr>
        <w:fldChar w:fldCharType="separate"/>
      </w:r>
      <w:hyperlink w:anchor="_Toc95912203" w:history="1">
        <w:r w:rsidR="00EA779E" w:rsidRPr="00EA779E">
          <w:rPr>
            <w:rStyle w:val="Collegamentoipertestuale"/>
            <w:rFonts w:ascii="Tahoma" w:hAnsi="Tahoma" w:cs="Tahoma"/>
            <w:noProof/>
            <w:sz w:val="20"/>
            <w:szCs w:val="20"/>
          </w:rPr>
          <w:t>1. Revisori dei conti e sistemi di controllo degli enti locali</w:t>
        </w:r>
        <w:r w:rsidR="00EA779E" w:rsidRPr="00EA779E">
          <w:rPr>
            <w:rFonts w:ascii="Tahoma" w:hAnsi="Tahoma" w:cs="Tahoma"/>
            <w:noProof/>
            <w:webHidden/>
            <w:sz w:val="20"/>
            <w:szCs w:val="20"/>
          </w:rPr>
          <w:tab/>
        </w:r>
        <w:r w:rsidR="00EA779E" w:rsidRPr="00EA779E">
          <w:rPr>
            <w:rFonts w:ascii="Tahoma" w:hAnsi="Tahoma" w:cs="Tahoma"/>
            <w:noProof/>
            <w:webHidden/>
            <w:sz w:val="20"/>
            <w:szCs w:val="20"/>
          </w:rPr>
          <w:fldChar w:fldCharType="begin"/>
        </w:r>
        <w:r w:rsidR="00EA779E" w:rsidRPr="00EA779E">
          <w:rPr>
            <w:rFonts w:ascii="Tahoma" w:hAnsi="Tahoma" w:cs="Tahoma"/>
            <w:noProof/>
            <w:webHidden/>
            <w:sz w:val="20"/>
            <w:szCs w:val="20"/>
          </w:rPr>
          <w:instrText xml:space="preserve"> PAGEREF _Toc95912203 \h </w:instrText>
        </w:r>
        <w:r w:rsidR="00EA779E" w:rsidRPr="00EA779E">
          <w:rPr>
            <w:rFonts w:ascii="Tahoma" w:hAnsi="Tahoma" w:cs="Tahoma"/>
            <w:noProof/>
            <w:webHidden/>
            <w:sz w:val="20"/>
            <w:szCs w:val="20"/>
          </w:rPr>
        </w:r>
        <w:r w:rsidR="00EA779E" w:rsidRPr="00EA779E">
          <w:rPr>
            <w:rFonts w:ascii="Tahoma" w:hAnsi="Tahoma" w:cs="Tahoma"/>
            <w:noProof/>
            <w:webHidden/>
            <w:sz w:val="20"/>
            <w:szCs w:val="20"/>
          </w:rPr>
          <w:fldChar w:fldCharType="separate"/>
        </w:r>
        <w:r w:rsidR="00EA779E" w:rsidRPr="00EA779E">
          <w:rPr>
            <w:rFonts w:ascii="Tahoma" w:hAnsi="Tahoma" w:cs="Tahoma"/>
            <w:noProof/>
            <w:webHidden/>
            <w:sz w:val="20"/>
            <w:szCs w:val="20"/>
          </w:rPr>
          <w:t>9</w:t>
        </w:r>
        <w:r w:rsidR="00EA779E" w:rsidRPr="00EA779E">
          <w:rPr>
            <w:rFonts w:ascii="Tahoma" w:hAnsi="Tahoma" w:cs="Tahoma"/>
            <w:noProof/>
            <w:webHidden/>
            <w:sz w:val="20"/>
            <w:szCs w:val="20"/>
          </w:rPr>
          <w:fldChar w:fldCharType="end"/>
        </w:r>
      </w:hyperlink>
    </w:p>
    <w:p w14:paraId="0901B161" w14:textId="7B362F3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04" w:history="1">
        <w:r w:rsidRPr="00EA779E">
          <w:rPr>
            <w:rStyle w:val="Collegamentoipertestuale"/>
            <w:rFonts w:ascii="Tahoma" w:hAnsi="Tahoma" w:cs="Tahoma"/>
            <w:noProof/>
          </w:rPr>
          <w:t>1.1 Introduzione della figura del revisore ed evoluzione normativa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_Toc95912204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9</w:t>
        </w:r>
        <w:r w:rsidRPr="00EA779E">
          <w:rPr>
            <w:rFonts w:ascii="Tahoma" w:hAnsi="Tahoma" w:cs="Tahoma"/>
            <w:noProof/>
            <w:webHidden/>
          </w:rPr>
          <w:fldChar w:fldCharType="end"/>
        </w:r>
      </w:hyperlink>
    </w:p>
    <w:p w14:paraId="20FE7BDB" w14:textId="385A13E9"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05" w:history="1">
        <w:r w:rsidRPr="00EA779E">
          <w:rPr>
            <w:rStyle w:val="Collegamentoipertestuale"/>
            <w:rFonts w:ascii="Tahoma" w:hAnsi="Tahoma" w:cs="Tahoma"/>
            <w:noProof/>
          </w:rPr>
          <w:t>1.2 Il sistema dei controlli interni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_Toc95912205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10</w:t>
        </w:r>
        <w:r w:rsidRPr="00EA779E">
          <w:rPr>
            <w:rFonts w:ascii="Tahoma" w:hAnsi="Tahoma" w:cs="Tahoma"/>
            <w:noProof/>
            <w:webHidden/>
          </w:rPr>
          <w:fldChar w:fldCharType="end"/>
        </w:r>
      </w:hyperlink>
    </w:p>
    <w:p w14:paraId="5DE23B13" w14:textId="24D9D9E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06" w:history="1">
        <w:r w:rsidRPr="00EA779E">
          <w:rPr>
            <w:rStyle w:val="Collegamentoipertestuale"/>
            <w:rFonts w:ascii="Tahoma" w:hAnsi="Tahoma" w:cs="Tahoma"/>
            <w:noProof/>
          </w:rPr>
          <w:t>1.3 I controlli esterni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_Toc95912206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11</w:t>
        </w:r>
        <w:r w:rsidRPr="00EA779E">
          <w:rPr>
            <w:rFonts w:ascii="Tahoma" w:hAnsi="Tahoma" w:cs="Tahoma"/>
            <w:noProof/>
            <w:webHidden/>
          </w:rPr>
          <w:fldChar w:fldCharType="end"/>
        </w:r>
      </w:hyperlink>
    </w:p>
    <w:p w14:paraId="4B0142C9" w14:textId="34485B78"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07" w:history="1">
        <w:r w:rsidRPr="00EA779E">
          <w:rPr>
            <w:rStyle w:val="Collegamentoipertestuale"/>
            <w:rFonts w:ascii="Tahoma" w:hAnsi="Tahoma" w:cs="Tahoma"/>
            <w:noProof/>
          </w:rPr>
          <w:t>1.4 La proposta di riforma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_Toc95912207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13</w:t>
        </w:r>
        <w:r w:rsidRPr="00EA779E">
          <w:rPr>
            <w:rFonts w:ascii="Tahoma" w:hAnsi="Tahoma" w:cs="Tahoma"/>
            <w:noProof/>
            <w:webHidden/>
          </w:rPr>
          <w:fldChar w:fldCharType="end"/>
        </w:r>
      </w:hyperlink>
    </w:p>
    <w:p w14:paraId="0A6BEEAB" w14:textId="3CDD0CE0"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208" w:history="1">
        <w:r w:rsidRPr="00EA779E">
          <w:rPr>
            <w:rStyle w:val="Collegamentoipertestuale"/>
            <w:rFonts w:ascii="Tahoma" w:hAnsi="Tahoma" w:cs="Tahoma"/>
            <w:noProof/>
            <w:sz w:val="20"/>
            <w:szCs w:val="20"/>
          </w:rPr>
          <w:t>2. Nomina e cessazione dei revisori</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_Toc95912208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14</w:t>
        </w:r>
        <w:r w:rsidRPr="00EA779E">
          <w:rPr>
            <w:rFonts w:ascii="Tahoma" w:hAnsi="Tahoma" w:cs="Tahoma"/>
            <w:noProof/>
            <w:webHidden/>
            <w:sz w:val="20"/>
            <w:szCs w:val="20"/>
          </w:rPr>
          <w:fldChar w:fldCharType="end"/>
        </w:r>
      </w:hyperlink>
    </w:p>
    <w:p w14:paraId="69AFBAD5" w14:textId="457B1C12"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09" w:history="1">
        <w:r w:rsidRPr="00EA779E">
          <w:rPr>
            <w:rStyle w:val="Collegamentoipertestuale"/>
            <w:rFonts w:ascii="Tahoma" w:hAnsi="Tahoma" w:cs="Tahoma"/>
            <w:noProof/>
          </w:rPr>
          <w:t>2.1 Il sistema di nomina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_Toc95912209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14</w:t>
        </w:r>
        <w:r w:rsidRPr="00EA779E">
          <w:rPr>
            <w:rFonts w:ascii="Tahoma" w:hAnsi="Tahoma" w:cs="Tahoma"/>
            <w:noProof/>
            <w:webHidden/>
          </w:rPr>
          <w:fldChar w:fldCharType="end"/>
        </w:r>
      </w:hyperlink>
    </w:p>
    <w:p w14:paraId="159F7DBC" w14:textId="03AA8C5F"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0" w:history="1">
        <w:r w:rsidRPr="00EA779E">
          <w:rPr>
            <w:rStyle w:val="Collegamentoipertestuale"/>
            <w:rFonts w:ascii="Tahoma" w:hAnsi="Tahoma" w:cs="Tahoma"/>
            <w:noProof/>
          </w:rPr>
          <w:t>2.1.1 Istituzione dell’elenco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15</w:t>
        </w:r>
        <w:r w:rsidRPr="00EA779E">
          <w:rPr>
            <w:rFonts w:ascii="Tahoma" w:hAnsi="Tahoma" w:cs="Tahoma"/>
            <w:noProof/>
            <w:webHidden/>
          </w:rPr>
          <w:fldChar w:fldCharType="end"/>
        </w:r>
      </w:hyperlink>
    </w:p>
    <w:p w14:paraId="22A74E8B" w14:textId="534C319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1" w:history="1">
        <w:r w:rsidRPr="00EA779E">
          <w:rPr>
            <w:rStyle w:val="Collegamentoipertestuale"/>
            <w:rFonts w:ascii="Tahoma" w:hAnsi="Tahoma" w:cs="Tahoma"/>
            <w:noProof/>
          </w:rPr>
          <w:t>2.1.2 Domanda di iscrizione e mantenimento nell’elenco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w:t>
        </w:r>
        <w:r w:rsidRPr="00EA779E">
          <w:rPr>
            <w:rFonts w:ascii="Tahoma" w:hAnsi="Tahoma" w:cs="Tahoma"/>
            <w:noProof/>
            <w:webHidden/>
          </w:rPr>
          <w:fldChar w:fldCharType="end"/>
        </w:r>
      </w:hyperlink>
    </w:p>
    <w:p w14:paraId="077CFBA6" w14:textId="7B448498"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2" w:history="1">
        <w:r w:rsidRPr="00EA779E">
          <w:rPr>
            <w:rStyle w:val="Collegamentoipertestuale"/>
            <w:rFonts w:ascii="Tahoma" w:hAnsi="Tahoma" w:cs="Tahoma"/>
            <w:noProof/>
          </w:rPr>
          <w:t>2.1.3 Sorteggio e nomina del revisore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w:t>
        </w:r>
        <w:r w:rsidRPr="00EA779E">
          <w:rPr>
            <w:rFonts w:ascii="Tahoma" w:hAnsi="Tahoma" w:cs="Tahoma"/>
            <w:noProof/>
            <w:webHidden/>
          </w:rPr>
          <w:fldChar w:fldCharType="end"/>
        </w:r>
      </w:hyperlink>
    </w:p>
    <w:p w14:paraId="60CEB7EA" w14:textId="1B3623AC"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3" w:history="1">
        <w:r w:rsidRPr="00EA779E">
          <w:rPr>
            <w:rStyle w:val="Collegamentoipertestuale"/>
            <w:rFonts w:ascii="Tahoma" w:hAnsi="Tahoma" w:cs="Tahoma"/>
            <w:noProof/>
            <w:lang w:eastAsia="it-IT"/>
          </w:rPr>
          <w:t>2.1.4 Accettazione della carica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w:t>
        </w:r>
        <w:r w:rsidRPr="00EA779E">
          <w:rPr>
            <w:rFonts w:ascii="Tahoma" w:hAnsi="Tahoma" w:cs="Tahoma"/>
            <w:noProof/>
            <w:webHidden/>
          </w:rPr>
          <w:fldChar w:fldCharType="end"/>
        </w:r>
      </w:hyperlink>
    </w:p>
    <w:p w14:paraId="75727714" w14:textId="7508E48C"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4" w:history="1">
        <w:r w:rsidRPr="00EA779E">
          <w:rPr>
            <w:rStyle w:val="Collegamentoipertestuale"/>
            <w:rFonts w:ascii="Tahoma" w:hAnsi="Tahoma" w:cs="Tahoma"/>
            <w:noProof/>
            <w:lang w:eastAsia="it-IT"/>
          </w:rPr>
          <w:t>2.1.5 Enti appartenenti a Regioni a statuto speciale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w:t>
        </w:r>
        <w:r w:rsidRPr="00EA779E">
          <w:rPr>
            <w:rFonts w:ascii="Tahoma" w:hAnsi="Tahoma" w:cs="Tahoma"/>
            <w:noProof/>
            <w:webHidden/>
          </w:rPr>
          <w:fldChar w:fldCharType="end"/>
        </w:r>
      </w:hyperlink>
    </w:p>
    <w:p w14:paraId="434F29C2" w14:textId="27C45042"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5" w:history="1">
        <w:r w:rsidRPr="00EA779E">
          <w:rPr>
            <w:rStyle w:val="Collegamentoipertestuale"/>
            <w:rFonts w:ascii="Tahoma" w:hAnsi="Tahoma" w:cs="Tahoma"/>
            <w:noProof/>
            <w:lang w:eastAsia="it-IT"/>
          </w:rPr>
          <w:t>2.1.6 Revisori nelle unioni di comuni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22</w:t>
        </w:r>
        <w:r w:rsidRPr="00EA779E">
          <w:rPr>
            <w:rFonts w:ascii="Tahoma" w:hAnsi="Tahoma" w:cs="Tahoma"/>
            <w:noProof/>
            <w:webHidden/>
          </w:rPr>
          <w:fldChar w:fldCharType="end"/>
        </w:r>
      </w:hyperlink>
    </w:p>
    <w:p w14:paraId="4F01DC1B" w14:textId="14C1D5C9"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16" w:history="1">
        <w:r w:rsidRPr="00EA779E">
          <w:rPr>
            <w:rStyle w:val="Collegamentoipertestuale"/>
            <w:rFonts w:ascii="Tahoma" w:hAnsi="Tahoma" w:cs="Tahoma"/>
            <w:noProof/>
          </w:rPr>
          <w:t>2.2 Incompatibilità e ineleggibilità</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24</w:t>
        </w:r>
        <w:r w:rsidRPr="00EA779E">
          <w:rPr>
            <w:rFonts w:ascii="Tahoma" w:hAnsi="Tahoma" w:cs="Tahoma"/>
            <w:noProof/>
            <w:webHidden/>
          </w:rPr>
          <w:fldChar w:fldCharType="end"/>
        </w:r>
      </w:hyperlink>
    </w:p>
    <w:p w14:paraId="1565CF7A" w14:textId="653E4EBA"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7" w:history="1">
        <w:r w:rsidRPr="00EA779E">
          <w:rPr>
            <w:rStyle w:val="Collegamentoipertestuale"/>
            <w:rFonts w:ascii="Tahoma" w:hAnsi="Tahoma" w:cs="Tahoma"/>
            <w:noProof/>
          </w:rPr>
          <w:t>2.2.1 Indipendenza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w:t>
        </w:r>
        <w:r w:rsidRPr="00EA779E">
          <w:rPr>
            <w:rFonts w:ascii="Tahoma" w:hAnsi="Tahoma" w:cs="Tahoma"/>
            <w:noProof/>
            <w:webHidden/>
          </w:rPr>
          <w:fldChar w:fldCharType="end"/>
        </w:r>
      </w:hyperlink>
    </w:p>
    <w:p w14:paraId="7DD542B9" w14:textId="4670806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8" w:history="1">
        <w:r w:rsidRPr="00EA779E">
          <w:rPr>
            <w:rStyle w:val="Collegamentoipertestuale"/>
            <w:rFonts w:ascii="Tahoma" w:hAnsi="Tahoma" w:cs="Tahoma"/>
            <w:noProof/>
            <w:lang w:eastAsia="it-IT"/>
          </w:rPr>
          <w:t>2.2.2 Concorso al dissesto dell’ente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27</w:t>
        </w:r>
        <w:r w:rsidRPr="00EA779E">
          <w:rPr>
            <w:rFonts w:ascii="Tahoma" w:hAnsi="Tahoma" w:cs="Tahoma"/>
            <w:noProof/>
            <w:webHidden/>
          </w:rPr>
          <w:fldChar w:fldCharType="end"/>
        </w:r>
      </w:hyperlink>
    </w:p>
    <w:p w14:paraId="796DB761" w14:textId="3695C87E"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19" w:history="1">
        <w:r w:rsidRPr="00EA779E">
          <w:rPr>
            <w:rStyle w:val="Collegamentoipertestuale"/>
            <w:rFonts w:ascii="Tahoma" w:hAnsi="Tahoma" w:cs="Tahoma"/>
            <w:noProof/>
            <w:lang w:eastAsia="it-IT"/>
          </w:rPr>
          <w:t>2.2.3 Limite al cumulo degli incarichi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_Toc95912219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27</w:t>
        </w:r>
        <w:r w:rsidRPr="00EA779E">
          <w:rPr>
            <w:rFonts w:ascii="Tahoma" w:hAnsi="Tahoma" w:cs="Tahoma"/>
            <w:noProof/>
            <w:webHidden/>
          </w:rPr>
          <w:fldChar w:fldCharType="end"/>
        </w:r>
      </w:hyperlink>
    </w:p>
    <w:p w14:paraId="0120EDF7" w14:textId="2E358ED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20" w:history="1">
        <w:r w:rsidRPr="00EA779E">
          <w:rPr>
            <w:rStyle w:val="Collegamentoipertestuale"/>
            <w:rFonts w:ascii="Tahoma" w:hAnsi="Tahoma" w:cs="Tahoma"/>
            <w:noProof/>
            <w:lang w:eastAsia="it-IT"/>
          </w:rPr>
          <w:t>2.2.4 Dichiarazione di sussistenza dei requisiti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28</w:t>
        </w:r>
        <w:r w:rsidRPr="00EA779E">
          <w:rPr>
            <w:rFonts w:ascii="Tahoma" w:hAnsi="Tahoma" w:cs="Tahoma"/>
            <w:noProof/>
            <w:webHidden/>
          </w:rPr>
          <w:fldChar w:fldCharType="end"/>
        </w:r>
      </w:hyperlink>
    </w:p>
    <w:p w14:paraId="6755DB98" w14:textId="4EA8F245"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1" w:history="1">
        <w:r w:rsidRPr="00EA779E">
          <w:rPr>
            <w:rStyle w:val="Collegamentoipertestuale"/>
            <w:rFonts w:ascii="Tahoma" w:hAnsi="Tahoma" w:cs="Tahoma"/>
            <w:noProof/>
          </w:rPr>
          <w:t>2.3 Durata dell’incarico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29</w:t>
        </w:r>
        <w:r w:rsidRPr="00EA779E">
          <w:rPr>
            <w:rFonts w:ascii="Tahoma" w:hAnsi="Tahoma" w:cs="Tahoma"/>
            <w:noProof/>
            <w:webHidden/>
          </w:rPr>
          <w:fldChar w:fldCharType="end"/>
        </w:r>
      </w:hyperlink>
    </w:p>
    <w:p w14:paraId="63D63F44" w14:textId="0B5D867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2" w:history="1">
        <w:r w:rsidRPr="00EA779E">
          <w:rPr>
            <w:rStyle w:val="Collegamentoipertestuale"/>
            <w:rFonts w:ascii="Tahoma" w:hAnsi="Tahoma" w:cs="Tahoma"/>
            <w:noProof/>
          </w:rPr>
          <w:t>2.4 Cause di cessazione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30</w:t>
        </w:r>
        <w:r w:rsidRPr="00EA779E">
          <w:rPr>
            <w:rFonts w:ascii="Tahoma" w:hAnsi="Tahoma" w:cs="Tahoma"/>
            <w:noProof/>
            <w:webHidden/>
          </w:rPr>
          <w:fldChar w:fldCharType="end"/>
        </w:r>
      </w:hyperlink>
    </w:p>
    <w:p w14:paraId="2D461255" w14:textId="3D1741F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3" w:history="1">
        <w:r w:rsidRPr="00EA779E">
          <w:rPr>
            <w:rStyle w:val="Collegamentoipertestuale"/>
            <w:rFonts w:ascii="Tahoma" w:hAnsi="Tahoma" w:cs="Tahoma"/>
            <w:noProof/>
          </w:rPr>
          <w:t>2.5 Sostituzione del revisore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31</w:t>
        </w:r>
        <w:r w:rsidRPr="00EA779E">
          <w:rPr>
            <w:rFonts w:ascii="Tahoma" w:hAnsi="Tahoma" w:cs="Tahoma"/>
            <w:noProof/>
            <w:webHidden/>
          </w:rPr>
          <w:fldChar w:fldCharType="end"/>
        </w:r>
      </w:hyperlink>
    </w:p>
    <w:p w14:paraId="743A1FAB" w14:textId="6FA8561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4" w:history="1">
        <w:r w:rsidRPr="00EA779E">
          <w:rPr>
            <w:rStyle w:val="Collegamentoipertestuale"/>
            <w:rFonts w:ascii="Tahoma" w:hAnsi="Tahoma" w:cs="Tahoma"/>
            <w:noProof/>
          </w:rPr>
          <w:t>2.6 Remunerazione del revisore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32</w:t>
        </w:r>
        <w:r w:rsidRPr="00EA779E">
          <w:rPr>
            <w:rFonts w:ascii="Tahoma" w:hAnsi="Tahoma" w:cs="Tahoma"/>
            <w:noProof/>
            <w:webHidden/>
          </w:rPr>
          <w:fldChar w:fldCharType="end"/>
        </w:r>
      </w:hyperlink>
    </w:p>
    <w:p w14:paraId="74DDC653" w14:textId="5D7F712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25" w:history="1">
        <w:r w:rsidRPr="00EA779E">
          <w:rPr>
            <w:rStyle w:val="Collegamentoipertestuale"/>
            <w:rFonts w:ascii="Tahoma" w:hAnsi="Tahoma" w:cs="Tahoma"/>
            <w:noProof/>
          </w:rPr>
          <w:t>2.6.1 Compenso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32</w:t>
        </w:r>
        <w:r w:rsidRPr="00EA779E">
          <w:rPr>
            <w:rFonts w:ascii="Tahoma" w:hAnsi="Tahoma" w:cs="Tahoma"/>
            <w:noProof/>
            <w:webHidden/>
          </w:rPr>
          <w:fldChar w:fldCharType="end"/>
        </w:r>
      </w:hyperlink>
    </w:p>
    <w:p w14:paraId="7B0E4ADF" w14:textId="18D0325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26" w:history="1">
        <w:r w:rsidRPr="00EA779E">
          <w:rPr>
            <w:rStyle w:val="Collegamentoipertestuale"/>
            <w:rFonts w:ascii="Tahoma" w:hAnsi="Tahoma" w:cs="Tahoma"/>
            <w:noProof/>
          </w:rPr>
          <w:t>2.6.2 Rimborso spese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37</w:t>
        </w:r>
        <w:r w:rsidRPr="00EA779E">
          <w:rPr>
            <w:rFonts w:ascii="Tahoma" w:hAnsi="Tahoma" w:cs="Tahoma"/>
            <w:noProof/>
            <w:webHidden/>
          </w:rPr>
          <w:fldChar w:fldCharType="end"/>
        </w:r>
      </w:hyperlink>
    </w:p>
    <w:p w14:paraId="6E5B3C6D" w14:textId="759EC3D2"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227" w:history="1">
        <w:r w:rsidRPr="00EA779E">
          <w:rPr>
            <w:rStyle w:val="Collegamentoipertestuale"/>
            <w:rFonts w:ascii="Tahoma" w:hAnsi="Tahoma" w:cs="Tahoma"/>
            <w:noProof/>
            <w:sz w:val="20"/>
            <w:szCs w:val="20"/>
          </w:rPr>
          <w:t>3. Funzionamento dell’organo di revisione</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_Toc95912227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39</w:t>
        </w:r>
        <w:r w:rsidRPr="00EA779E">
          <w:rPr>
            <w:rFonts w:ascii="Tahoma" w:hAnsi="Tahoma" w:cs="Tahoma"/>
            <w:noProof/>
            <w:webHidden/>
            <w:sz w:val="20"/>
            <w:szCs w:val="20"/>
          </w:rPr>
          <w:fldChar w:fldCharType="end"/>
        </w:r>
      </w:hyperlink>
    </w:p>
    <w:p w14:paraId="3D2A25B2" w14:textId="2DAFF4F8"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8" w:history="1">
        <w:r w:rsidRPr="00EA779E">
          <w:rPr>
            <w:rStyle w:val="Collegamentoipertestuale"/>
            <w:rFonts w:ascii="Tahoma" w:hAnsi="Tahoma" w:cs="Tahoma"/>
            <w:noProof/>
          </w:rPr>
          <w:t>3.1 Composizione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39</w:t>
        </w:r>
        <w:r w:rsidRPr="00EA779E">
          <w:rPr>
            <w:rFonts w:ascii="Tahoma" w:hAnsi="Tahoma" w:cs="Tahoma"/>
            <w:noProof/>
            <w:webHidden/>
          </w:rPr>
          <w:fldChar w:fldCharType="end"/>
        </w:r>
      </w:hyperlink>
    </w:p>
    <w:p w14:paraId="14F5007F" w14:textId="42261BEA"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29" w:history="1">
        <w:r w:rsidRPr="00EA779E">
          <w:rPr>
            <w:rStyle w:val="Collegamentoipertestuale"/>
            <w:rFonts w:ascii="Tahoma" w:hAnsi="Tahoma" w:cs="Tahoma"/>
            <w:noProof/>
          </w:rPr>
          <w:t>3.2 Insediamento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_Toc95912229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40</w:t>
        </w:r>
        <w:r w:rsidRPr="00EA779E">
          <w:rPr>
            <w:rFonts w:ascii="Tahoma" w:hAnsi="Tahoma" w:cs="Tahoma"/>
            <w:noProof/>
            <w:webHidden/>
          </w:rPr>
          <w:fldChar w:fldCharType="end"/>
        </w:r>
      </w:hyperlink>
    </w:p>
    <w:p w14:paraId="1620D205" w14:textId="616F74C4"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30" w:history="1">
        <w:r w:rsidRPr="00EA779E">
          <w:rPr>
            <w:rStyle w:val="Collegamentoipertestuale"/>
            <w:rFonts w:ascii="Tahoma" w:hAnsi="Tahoma" w:cs="Tahoma"/>
            <w:noProof/>
          </w:rPr>
          <w:t>3.3 Comportamento etico-professionale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41</w:t>
        </w:r>
        <w:r w:rsidRPr="00EA779E">
          <w:rPr>
            <w:rFonts w:ascii="Tahoma" w:hAnsi="Tahoma" w:cs="Tahoma"/>
            <w:noProof/>
            <w:webHidden/>
          </w:rPr>
          <w:fldChar w:fldCharType="end"/>
        </w:r>
      </w:hyperlink>
    </w:p>
    <w:p w14:paraId="0425C10B" w14:textId="7375F83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31" w:history="1">
        <w:r w:rsidRPr="00EA779E">
          <w:rPr>
            <w:rStyle w:val="Collegamentoipertestuale"/>
            <w:rFonts w:ascii="Tahoma" w:hAnsi="Tahoma" w:cs="Tahoma"/>
            <w:noProof/>
          </w:rPr>
          <w:t>3.3.1 Principi di vigilanza e controllo dell’Organo di revisione degli Enti Locali emanati dal C.N.D.C.E.C.</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42</w:t>
        </w:r>
        <w:r w:rsidRPr="00EA779E">
          <w:rPr>
            <w:rFonts w:ascii="Tahoma" w:hAnsi="Tahoma" w:cs="Tahoma"/>
            <w:noProof/>
            <w:webHidden/>
          </w:rPr>
          <w:fldChar w:fldCharType="end"/>
        </w:r>
      </w:hyperlink>
    </w:p>
    <w:p w14:paraId="376B7174" w14:textId="27D3D2F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32" w:history="1">
        <w:r w:rsidRPr="00EA779E">
          <w:rPr>
            <w:rStyle w:val="Collegamentoipertestuale"/>
            <w:rFonts w:ascii="Tahoma" w:hAnsi="Tahoma" w:cs="Tahoma"/>
            <w:noProof/>
          </w:rPr>
          <w:t>3.4 Collaboratori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45</w:t>
        </w:r>
        <w:r w:rsidRPr="00EA779E">
          <w:rPr>
            <w:rFonts w:ascii="Tahoma" w:hAnsi="Tahoma" w:cs="Tahoma"/>
            <w:noProof/>
            <w:webHidden/>
          </w:rPr>
          <w:fldChar w:fldCharType="end"/>
        </w:r>
      </w:hyperlink>
    </w:p>
    <w:p w14:paraId="2FEC3A4C" w14:textId="2453ED0D"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33" w:history="1">
        <w:r w:rsidRPr="00EA779E">
          <w:rPr>
            <w:rStyle w:val="Collegamentoipertestuale"/>
            <w:rFonts w:ascii="Tahoma" w:hAnsi="Tahoma" w:cs="Tahoma"/>
            <w:noProof/>
          </w:rPr>
          <w:t>3.5 Modalità di esercizio della vigilanza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46</w:t>
        </w:r>
        <w:r w:rsidRPr="00EA779E">
          <w:rPr>
            <w:rFonts w:ascii="Tahoma" w:hAnsi="Tahoma" w:cs="Tahoma"/>
            <w:noProof/>
            <w:webHidden/>
          </w:rPr>
          <w:fldChar w:fldCharType="end"/>
        </w:r>
      </w:hyperlink>
    </w:p>
    <w:p w14:paraId="14853035" w14:textId="161B9CCD"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34" w:history="1">
        <w:r w:rsidRPr="00EA779E">
          <w:rPr>
            <w:rStyle w:val="Collegamentoipertestuale"/>
            <w:rFonts w:ascii="Tahoma" w:hAnsi="Tahoma" w:cs="Tahoma"/>
            <w:noProof/>
          </w:rPr>
          <w:t>3.5.1 Fasi della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46</w:t>
        </w:r>
        <w:r w:rsidRPr="00EA779E">
          <w:rPr>
            <w:rFonts w:ascii="Tahoma" w:hAnsi="Tahoma" w:cs="Tahoma"/>
            <w:noProof/>
            <w:webHidden/>
          </w:rPr>
          <w:fldChar w:fldCharType="end"/>
        </w:r>
      </w:hyperlink>
    </w:p>
    <w:p w14:paraId="54971661" w14:textId="1F647DED"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35" w:history="1">
        <w:r w:rsidRPr="00EA779E">
          <w:rPr>
            <w:rStyle w:val="Collegamentoipertestuale"/>
            <w:rFonts w:ascii="Tahoma" w:hAnsi="Tahoma" w:cs="Tahoma"/>
            <w:noProof/>
          </w:rPr>
          <w:t>3.5.2 Tecniche di campionamento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49</w:t>
        </w:r>
        <w:r w:rsidRPr="00EA779E">
          <w:rPr>
            <w:rFonts w:ascii="Tahoma" w:hAnsi="Tahoma" w:cs="Tahoma"/>
            <w:noProof/>
            <w:webHidden/>
          </w:rPr>
          <w:fldChar w:fldCharType="end"/>
        </w:r>
      </w:hyperlink>
    </w:p>
    <w:p w14:paraId="434258C3" w14:textId="25C784A1" w:rsidR="00EA779E" w:rsidRPr="00EA779E" w:rsidRDefault="00EA779E" w:rsidP="00EA779E">
      <w:pPr>
        <w:pStyle w:val="Sommario3"/>
        <w:tabs>
          <w:tab w:val="left" w:pos="1400"/>
        </w:tabs>
        <w:spacing w:before="60" w:after="60" w:line="326" w:lineRule="auto"/>
        <w:rPr>
          <w:rFonts w:ascii="Tahoma" w:eastAsiaTheme="minorEastAsia" w:hAnsi="Tahoma" w:cs="Tahoma"/>
          <w:noProof/>
          <w:lang w:eastAsia="it-IT"/>
        </w:rPr>
      </w:pPr>
      <w:hyperlink w:anchor="_Toc95912236" w:history="1">
        <w:r w:rsidRPr="00EA779E">
          <w:rPr>
            <w:rStyle w:val="Collegamentoipertestuale"/>
            <w:rFonts w:ascii="Tahoma" w:hAnsi="Tahoma" w:cs="Tahoma"/>
            <w:noProof/>
          </w:rPr>
          <w:t>3.5.3</w:t>
        </w:r>
        <w:r w:rsidRPr="00EA779E">
          <w:rPr>
            <w:rFonts w:ascii="Tahoma" w:eastAsiaTheme="minorEastAsia" w:hAnsi="Tahoma" w:cs="Tahoma"/>
            <w:noProof/>
            <w:lang w:eastAsia="it-IT"/>
          </w:rPr>
          <w:tab/>
        </w:r>
        <w:r w:rsidRPr="00EA779E">
          <w:rPr>
            <w:rStyle w:val="Collegamentoipertestuale"/>
            <w:rFonts w:ascii="Tahoma" w:hAnsi="Tahoma" w:cs="Tahoma"/>
            <w:noProof/>
          </w:rPr>
          <w:t>Significatività dell’errore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50</w:t>
        </w:r>
        <w:r w:rsidRPr="00EA779E">
          <w:rPr>
            <w:rFonts w:ascii="Tahoma" w:hAnsi="Tahoma" w:cs="Tahoma"/>
            <w:noProof/>
            <w:webHidden/>
          </w:rPr>
          <w:fldChar w:fldCharType="end"/>
        </w:r>
      </w:hyperlink>
    </w:p>
    <w:p w14:paraId="6353FC4A" w14:textId="0D20CCA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37" w:history="1">
        <w:r w:rsidRPr="00EA779E">
          <w:rPr>
            <w:rStyle w:val="Collegamentoipertestuale"/>
            <w:rFonts w:ascii="Tahoma" w:hAnsi="Tahoma" w:cs="Tahoma"/>
            <w:noProof/>
          </w:rPr>
          <w:t>3.5.4 Rischio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51</w:t>
        </w:r>
        <w:r w:rsidRPr="00EA779E">
          <w:rPr>
            <w:rFonts w:ascii="Tahoma" w:hAnsi="Tahoma" w:cs="Tahoma"/>
            <w:noProof/>
            <w:webHidden/>
          </w:rPr>
          <w:fldChar w:fldCharType="end"/>
        </w:r>
      </w:hyperlink>
    </w:p>
    <w:p w14:paraId="28029FB7" w14:textId="7A3DE5D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38" w:history="1">
        <w:r w:rsidRPr="00EA779E">
          <w:rPr>
            <w:rStyle w:val="Collegamentoipertestuale"/>
            <w:rFonts w:ascii="Tahoma" w:hAnsi="Tahoma" w:cs="Tahoma"/>
            <w:noProof/>
          </w:rPr>
          <w:t>3.6 Deliberazioni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52</w:t>
        </w:r>
        <w:r w:rsidRPr="00EA779E">
          <w:rPr>
            <w:rFonts w:ascii="Tahoma" w:hAnsi="Tahoma" w:cs="Tahoma"/>
            <w:noProof/>
            <w:webHidden/>
          </w:rPr>
          <w:fldChar w:fldCharType="end"/>
        </w:r>
      </w:hyperlink>
    </w:p>
    <w:p w14:paraId="07B5FA7D" w14:textId="124F35F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39" w:history="1">
        <w:r w:rsidRPr="00EA779E">
          <w:rPr>
            <w:rStyle w:val="Collegamentoipertestuale"/>
            <w:rFonts w:ascii="Tahoma" w:hAnsi="Tahoma" w:cs="Tahoma"/>
            <w:noProof/>
          </w:rPr>
          <w:t>3.6.1 Verbalizzazione delle riunioni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_Toc95912239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53</w:t>
        </w:r>
        <w:r w:rsidRPr="00EA779E">
          <w:rPr>
            <w:rFonts w:ascii="Tahoma" w:hAnsi="Tahoma" w:cs="Tahoma"/>
            <w:noProof/>
            <w:webHidden/>
          </w:rPr>
          <w:fldChar w:fldCharType="end"/>
        </w:r>
      </w:hyperlink>
    </w:p>
    <w:p w14:paraId="6B573A11" w14:textId="5B2D241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40" w:history="1">
        <w:r w:rsidRPr="00EA779E">
          <w:rPr>
            <w:rStyle w:val="Collegamentoipertestuale"/>
            <w:rFonts w:ascii="Tahoma" w:hAnsi="Tahoma" w:cs="Tahoma"/>
            <w:noProof/>
          </w:rPr>
          <w:t>3.7 Responsabilità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54</w:t>
        </w:r>
        <w:r w:rsidRPr="00EA779E">
          <w:rPr>
            <w:rFonts w:ascii="Tahoma" w:hAnsi="Tahoma" w:cs="Tahoma"/>
            <w:noProof/>
            <w:webHidden/>
          </w:rPr>
          <w:fldChar w:fldCharType="end"/>
        </w:r>
      </w:hyperlink>
    </w:p>
    <w:p w14:paraId="0C5B81E9" w14:textId="24699472"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1" w:history="1">
        <w:r w:rsidRPr="00EA779E">
          <w:rPr>
            <w:rStyle w:val="Collegamentoipertestuale"/>
            <w:rFonts w:ascii="Tahoma" w:hAnsi="Tahoma" w:cs="Tahoma"/>
            <w:noProof/>
          </w:rPr>
          <w:t>3.7.1 La responsabilità civile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54</w:t>
        </w:r>
        <w:r w:rsidRPr="00EA779E">
          <w:rPr>
            <w:rFonts w:ascii="Tahoma" w:hAnsi="Tahoma" w:cs="Tahoma"/>
            <w:noProof/>
            <w:webHidden/>
          </w:rPr>
          <w:fldChar w:fldCharType="end"/>
        </w:r>
      </w:hyperlink>
    </w:p>
    <w:p w14:paraId="2D937221" w14:textId="5E0CFA7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2" w:history="1">
        <w:r w:rsidRPr="00EA779E">
          <w:rPr>
            <w:rStyle w:val="Collegamentoipertestuale"/>
            <w:rFonts w:ascii="Tahoma" w:hAnsi="Tahoma" w:cs="Tahoma"/>
            <w:noProof/>
          </w:rPr>
          <w:t>3.7.2 La responsabilità penale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57</w:t>
        </w:r>
        <w:r w:rsidRPr="00EA779E">
          <w:rPr>
            <w:rFonts w:ascii="Tahoma" w:hAnsi="Tahoma" w:cs="Tahoma"/>
            <w:noProof/>
            <w:webHidden/>
          </w:rPr>
          <w:fldChar w:fldCharType="end"/>
        </w:r>
      </w:hyperlink>
    </w:p>
    <w:p w14:paraId="0C8E3575" w14:textId="1348083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3" w:history="1">
        <w:r w:rsidRPr="00EA779E">
          <w:rPr>
            <w:rStyle w:val="Collegamentoipertestuale"/>
            <w:rFonts w:ascii="Tahoma" w:hAnsi="Tahoma" w:cs="Tahoma"/>
            <w:noProof/>
          </w:rPr>
          <w:t>3.7.3 Responsabilità amministrativa per danno erariale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60</w:t>
        </w:r>
        <w:r w:rsidRPr="00EA779E">
          <w:rPr>
            <w:rFonts w:ascii="Tahoma" w:hAnsi="Tahoma" w:cs="Tahoma"/>
            <w:noProof/>
            <w:webHidden/>
          </w:rPr>
          <w:fldChar w:fldCharType="end"/>
        </w:r>
      </w:hyperlink>
    </w:p>
    <w:p w14:paraId="46A57856" w14:textId="4DEC4B5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4" w:history="1">
        <w:r w:rsidRPr="00EA779E">
          <w:rPr>
            <w:rStyle w:val="Collegamentoipertestuale"/>
            <w:rFonts w:ascii="Tahoma" w:hAnsi="Tahoma" w:cs="Tahoma"/>
            <w:noProof/>
          </w:rPr>
          <w:t>3.7.4 L’azione di responsabilità</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61</w:t>
        </w:r>
        <w:r w:rsidRPr="00EA779E">
          <w:rPr>
            <w:rFonts w:ascii="Tahoma" w:hAnsi="Tahoma" w:cs="Tahoma"/>
            <w:noProof/>
            <w:webHidden/>
          </w:rPr>
          <w:fldChar w:fldCharType="end"/>
        </w:r>
      </w:hyperlink>
    </w:p>
    <w:p w14:paraId="550642DF" w14:textId="19E14E67"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245" w:history="1">
        <w:r w:rsidRPr="00EA779E">
          <w:rPr>
            <w:rStyle w:val="Collegamentoipertestuale"/>
            <w:rFonts w:ascii="Tahoma" w:hAnsi="Tahoma" w:cs="Tahoma"/>
            <w:noProof/>
            <w:sz w:val="20"/>
            <w:szCs w:val="20"/>
          </w:rPr>
          <w:t>4. Contabilità e bilanci dell’ente</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_Toc95912245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63</w:t>
        </w:r>
        <w:r w:rsidRPr="00EA779E">
          <w:rPr>
            <w:rFonts w:ascii="Tahoma" w:hAnsi="Tahoma" w:cs="Tahoma"/>
            <w:noProof/>
            <w:webHidden/>
            <w:sz w:val="20"/>
            <w:szCs w:val="20"/>
          </w:rPr>
          <w:fldChar w:fldCharType="end"/>
        </w:r>
      </w:hyperlink>
    </w:p>
    <w:p w14:paraId="6C4057B9" w14:textId="116D22A0"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46" w:history="1">
        <w:r w:rsidRPr="00EA779E">
          <w:rPr>
            <w:rStyle w:val="Collegamentoipertestuale"/>
            <w:rFonts w:ascii="Tahoma" w:hAnsi="Tahoma" w:cs="Tahoma"/>
            <w:noProof/>
          </w:rPr>
          <w:t>4.1 Il sistema della contabilità finanziaria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63</w:t>
        </w:r>
        <w:r w:rsidRPr="00EA779E">
          <w:rPr>
            <w:rFonts w:ascii="Tahoma" w:hAnsi="Tahoma" w:cs="Tahoma"/>
            <w:noProof/>
            <w:webHidden/>
          </w:rPr>
          <w:fldChar w:fldCharType="end"/>
        </w:r>
      </w:hyperlink>
    </w:p>
    <w:p w14:paraId="7B7257ED" w14:textId="69B5193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7" w:history="1">
        <w:r w:rsidRPr="00EA779E">
          <w:rPr>
            <w:rStyle w:val="Collegamentoipertestuale"/>
            <w:rFonts w:ascii="Tahoma" w:hAnsi="Tahoma" w:cs="Tahoma"/>
            <w:noProof/>
          </w:rPr>
          <w:t>4.1.1 Fasi dell’entrata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63</w:t>
        </w:r>
        <w:r w:rsidRPr="00EA779E">
          <w:rPr>
            <w:rFonts w:ascii="Tahoma" w:hAnsi="Tahoma" w:cs="Tahoma"/>
            <w:noProof/>
            <w:webHidden/>
          </w:rPr>
          <w:fldChar w:fldCharType="end"/>
        </w:r>
      </w:hyperlink>
    </w:p>
    <w:p w14:paraId="6CA42BE3" w14:textId="5637E72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48" w:history="1">
        <w:r w:rsidRPr="00EA779E">
          <w:rPr>
            <w:rStyle w:val="Collegamentoipertestuale"/>
            <w:rFonts w:ascii="Tahoma" w:hAnsi="Tahoma" w:cs="Tahoma"/>
            <w:noProof/>
            <w:lang w:eastAsia="it-IT"/>
          </w:rPr>
          <w:t>4.1.2 Fasi della spesa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66</w:t>
        </w:r>
        <w:r w:rsidRPr="00EA779E">
          <w:rPr>
            <w:rFonts w:ascii="Tahoma" w:hAnsi="Tahoma" w:cs="Tahoma"/>
            <w:noProof/>
            <w:webHidden/>
          </w:rPr>
          <w:fldChar w:fldCharType="end"/>
        </w:r>
      </w:hyperlink>
    </w:p>
    <w:p w14:paraId="713488FD" w14:textId="2AF18ACA"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49" w:history="1">
        <w:r w:rsidRPr="00EA779E">
          <w:rPr>
            <w:rStyle w:val="Collegamentoipertestuale"/>
            <w:rFonts w:ascii="Tahoma" w:hAnsi="Tahoma" w:cs="Tahoma"/>
            <w:noProof/>
          </w:rPr>
          <w:t>4.2 Il sistema di tesoreria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_Toc95912249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69</w:t>
        </w:r>
        <w:r w:rsidRPr="00EA779E">
          <w:rPr>
            <w:rFonts w:ascii="Tahoma" w:hAnsi="Tahoma" w:cs="Tahoma"/>
            <w:noProof/>
            <w:webHidden/>
          </w:rPr>
          <w:fldChar w:fldCharType="end"/>
        </w:r>
      </w:hyperlink>
    </w:p>
    <w:p w14:paraId="077856E9" w14:textId="6337D57C"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50" w:history="1">
        <w:r w:rsidRPr="00EA779E">
          <w:rPr>
            <w:rStyle w:val="Collegamentoipertestuale"/>
            <w:rFonts w:ascii="Tahoma" w:hAnsi="Tahoma" w:cs="Tahoma"/>
            <w:noProof/>
          </w:rPr>
          <w:t>4.3 L’armonizzazione contabile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70</w:t>
        </w:r>
        <w:r w:rsidRPr="00EA779E">
          <w:rPr>
            <w:rFonts w:ascii="Tahoma" w:hAnsi="Tahoma" w:cs="Tahoma"/>
            <w:noProof/>
            <w:webHidden/>
          </w:rPr>
          <w:fldChar w:fldCharType="end"/>
        </w:r>
      </w:hyperlink>
    </w:p>
    <w:p w14:paraId="2EAAEC02" w14:textId="5A8A349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1" w:history="1">
        <w:r w:rsidRPr="00EA779E">
          <w:rPr>
            <w:rStyle w:val="Collegamentoipertestuale"/>
            <w:rFonts w:ascii="Tahoma" w:hAnsi="Tahoma" w:cs="Tahoma"/>
            <w:noProof/>
          </w:rPr>
          <w:t>4.3.1 Accertamento e imputazione delle entrate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72</w:t>
        </w:r>
        <w:r w:rsidRPr="00EA779E">
          <w:rPr>
            <w:rFonts w:ascii="Tahoma" w:hAnsi="Tahoma" w:cs="Tahoma"/>
            <w:noProof/>
            <w:webHidden/>
          </w:rPr>
          <w:fldChar w:fldCharType="end"/>
        </w:r>
      </w:hyperlink>
    </w:p>
    <w:p w14:paraId="6E2CC784" w14:textId="1089DB4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2" w:history="1">
        <w:r w:rsidRPr="00EA779E">
          <w:rPr>
            <w:rStyle w:val="Collegamentoipertestuale"/>
            <w:rFonts w:ascii="Tahoma" w:hAnsi="Tahoma" w:cs="Tahoma"/>
            <w:noProof/>
          </w:rPr>
          <w:t>4.3.2 Impegno e imputazione delle spese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82</w:t>
        </w:r>
        <w:r w:rsidRPr="00EA779E">
          <w:rPr>
            <w:rFonts w:ascii="Tahoma" w:hAnsi="Tahoma" w:cs="Tahoma"/>
            <w:noProof/>
            <w:webHidden/>
          </w:rPr>
          <w:fldChar w:fldCharType="end"/>
        </w:r>
      </w:hyperlink>
    </w:p>
    <w:p w14:paraId="46EEF509" w14:textId="74201A5E"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3" w:history="1">
        <w:r w:rsidRPr="00EA779E">
          <w:rPr>
            <w:rStyle w:val="Collegamentoipertestuale"/>
            <w:rFonts w:ascii="Tahoma" w:hAnsi="Tahoma" w:cs="Tahoma"/>
            <w:noProof/>
          </w:rPr>
          <w:t>4.3.3 Accantonamenti a fondi e vincoli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87</w:t>
        </w:r>
        <w:r w:rsidRPr="00EA779E">
          <w:rPr>
            <w:rFonts w:ascii="Tahoma" w:hAnsi="Tahoma" w:cs="Tahoma"/>
            <w:noProof/>
            <w:webHidden/>
          </w:rPr>
          <w:fldChar w:fldCharType="end"/>
        </w:r>
      </w:hyperlink>
    </w:p>
    <w:p w14:paraId="583B2B44" w14:textId="6EC04F4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4" w:history="1">
        <w:r w:rsidRPr="00EA779E">
          <w:rPr>
            <w:rStyle w:val="Collegamentoipertestuale"/>
            <w:rFonts w:ascii="Tahoma" w:hAnsi="Tahoma" w:cs="Tahoma"/>
            <w:noProof/>
          </w:rPr>
          <w:t>4.3.4 Il fondo pluriennale vincolato (FPV)</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96</w:t>
        </w:r>
        <w:r w:rsidRPr="00EA779E">
          <w:rPr>
            <w:rFonts w:ascii="Tahoma" w:hAnsi="Tahoma" w:cs="Tahoma"/>
            <w:noProof/>
            <w:webHidden/>
          </w:rPr>
          <w:fldChar w:fldCharType="end"/>
        </w:r>
      </w:hyperlink>
    </w:p>
    <w:p w14:paraId="70F7B71A" w14:textId="17B9141A"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5" w:history="1">
        <w:r w:rsidRPr="00EA779E">
          <w:rPr>
            <w:rStyle w:val="Collegamentoipertestuale"/>
            <w:rFonts w:ascii="Tahoma" w:hAnsi="Tahoma" w:cs="Tahoma"/>
            <w:noProof/>
          </w:rPr>
          <w:t>4.3.5 Piano dei conti integrato e contabilità economico-patrimoniale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97</w:t>
        </w:r>
        <w:r w:rsidRPr="00EA779E">
          <w:rPr>
            <w:rFonts w:ascii="Tahoma" w:hAnsi="Tahoma" w:cs="Tahoma"/>
            <w:noProof/>
            <w:webHidden/>
          </w:rPr>
          <w:fldChar w:fldCharType="end"/>
        </w:r>
      </w:hyperlink>
    </w:p>
    <w:p w14:paraId="6A3853C2" w14:textId="17BA3025"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6" w:history="1">
        <w:r w:rsidRPr="00EA779E">
          <w:rPr>
            <w:rStyle w:val="Collegamentoipertestuale"/>
            <w:rFonts w:ascii="Tahoma" w:hAnsi="Tahoma" w:cs="Tahoma"/>
            <w:noProof/>
          </w:rPr>
          <w:t>4.3.6 Il bilancio consolidato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101</w:t>
        </w:r>
        <w:r w:rsidRPr="00EA779E">
          <w:rPr>
            <w:rFonts w:ascii="Tahoma" w:hAnsi="Tahoma" w:cs="Tahoma"/>
            <w:noProof/>
            <w:webHidden/>
          </w:rPr>
          <w:fldChar w:fldCharType="end"/>
        </w:r>
      </w:hyperlink>
    </w:p>
    <w:p w14:paraId="0DF2284D" w14:textId="6C3A9B85"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57" w:history="1">
        <w:r w:rsidRPr="00EA779E">
          <w:rPr>
            <w:rStyle w:val="Collegamentoipertestuale"/>
            <w:rFonts w:ascii="Tahoma" w:hAnsi="Tahoma" w:cs="Tahoma"/>
            <w:noProof/>
          </w:rPr>
          <w:t>4.4 Il Bilancio di previsione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107</w:t>
        </w:r>
        <w:r w:rsidRPr="00EA779E">
          <w:rPr>
            <w:rFonts w:ascii="Tahoma" w:hAnsi="Tahoma" w:cs="Tahoma"/>
            <w:noProof/>
            <w:webHidden/>
          </w:rPr>
          <w:fldChar w:fldCharType="end"/>
        </w:r>
      </w:hyperlink>
    </w:p>
    <w:p w14:paraId="1E00B7E4" w14:textId="199E2A9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8" w:history="1">
        <w:r w:rsidRPr="00EA779E">
          <w:rPr>
            <w:rStyle w:val="Collegamentoipertestuale"/>
            <w:rFonts w:ascii="Tahoma" w:hAnsi="Tahoma" w:cs="Tahoma"/>
            <w:noProof/>
            <w:lang w:eastAsia="it-IT"/>
          </w:rPr>
          <w:t>4.4.1 Termini di approvazione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108</w:t>
        </w:r>
        <w:r w:rsidRPr="00EA779E">
          <w:rPr>
            <w:rFonts w:ascii="Tahoma" w:hAnsi="Tahoma" w:cs="Tahoma"/>
            <w:noProof/>
            <w:webHidden/>
          </w:rPr>
          <w:fldChar w:fldCharType="end"/>
        </w:r>
      </w:hyperlink>
    </w:p>
    <w:p w14:paraId="1C9B55DC" w14:textId="0B8BA3B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59" w:history="1">
        <w:r w:rsidRPr="00EA779E">
          <w:rPr>
            <w:rStyle w:val="Collegamentoipertestuale"/>
            <w:rFonts w:ascii="Tahoma" w:hAnsi="Tahoma" w:cs="Tahoma"/>
            <w:noProof/>
            <w:lang w:eastAsia="it-IT"/>
          </w:rPr>
          <w:t>4.4.2 Esercizio provvisorio e gestione provvisoria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_Toc95912259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109</w:t>
        </w:r>
        <w:r w:rsidRPr="00EA779E">
          <w:rPr>
            <w:rFonts w:ascii="Tahoma" w:hAnsi="Tahoma" w:cs="Tahoma"/>
            <w:noProof/>
            <w:webHidden/>
          </w:rPr>
          <w:fldChar w:fldCharType="end"/>
        </w:r>
      </w:hyperlink>
    </w:p>
    <w:p w14:paraId="0E399CF6" w14:textId="5A633E4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0" w:history="1">
        <w:r w:rsidRPr="00EA779E">
          <w:rPr>
            <w:rStyle w:val="Collegamentoipertestuale"/>
            <w:rFonts w:ascii="Tahoma" w:hAnsi="Tahoma" w:cs="Tahoma"/>
            <w:noProof/>
            <w:lang w:eastAsia="it-IT"/>
          </w:rPr>
          <w:t>4.4.3 Obblighi di comunicazione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111</w:t>
        </w:r>
        <w:r w:rsidRPr="00EA779E">
          <w:rPr>
            <w:rFonts w:ascii="Tahoma" w:hAnsi="Tahoma" w:cs="Tahoma"/>
            <w:noProof/>
            <w:webHidden/>
          </w:rPr>
          <w:fldChar w:fldCharType="end"/>
        </w:r>
      </w:hyperlink>
    </w:p>
    <w:p w14:paraId="53473A25" w14:textId="5E37238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1" w:history="1">
        <w:r w:rsidRPr="00EA779E">
          <w:rPr>
            <w:rStyle w:val="Collegamentoipertestuale"/>
            <w:rFonts w:ascii="Tahoma" w:hAnsi="Tahoma" w:cs="Tahoma"/>
            <w:noProof/>
            <w:lang w:eastAsia="it-IT"/>
          </w:rPr>
          <w:t>4.4.4 Principi di redazione del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112</w:t>
        </w:r>
        <w:r w:rsidRPr="00EA779E">
          <w:rPr>
            <w:rFonts w:ascii="Tahoma" w:hAnsi="Tahoma" w:cs="Tahoma"/>
            <w:noProof/>
            <w:webHidden/>
          </w:rPr>
          <w:fldChar w:fldCharType="end"/>
        </w:r>
      </w:hyperlink>
    </w:p>
    <w:p w14:paraId="6E8E80CB" w14:textId="2EA6411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2" w:history="1">
        <w:r w:rsidRPr="00EA779E">
          <w:rPr>
            <w:rStyle w:val="Collegamentoipertestuale"/>
            <w:rFonts w:ascii="Tahoma" w:hAnsi="Tahoma" w:cs="Tahoma"/>
            <w:noProof/>
            <w:lang w:eastAsia="it-IT"/>
          </w:rPr>
          <w:t>4.4.5 Allegati al bilancio di previsione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116</w:t>
        </w:r>
        <w:r w:rsidRPr="00EA779E">
          <w:rPr>
            <w:rFonts w:ascii="Tahoma" w:hAnsi="Tahoma" w:cs="Tahoma"/>
            <w:noProof/>
            <w:webHidden/>
          </w:rPr>
          <w:fldChar w:fldCharType="end"/>
        </w:r>
      </w:hyperlink>
    </w:p>
    <w:p w14:paraId="6BEFE667" w14:textId="1FA5389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3" w:history="1">
        <w:r w:rsidRPr="00EA779E">
          <w:rPr>
            <w:rStyle w:val="Collegamentoipertestuale"/>
            <w:rFonts w:ascii="Tahoma" w:hAnsi="Tahoma" w:cs="Tahoma"/>
            <w:noProof/>
          </w:rPr>
          <w:t>4.4.6 Gli equilibri di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117</w:t>
        </w:r>
        <w:r w:rsidRPr="00EA779E">
          <w:rPr>
            <w:rFonts w:ascii="Tahoma" w:hAnsi="Tahoma" w:cs="Tahoma"/>
            <w:noProof/>
            <w:webHidden/>
          </w:rPr>
          <w:fldChar w:fldCharType="end"/>
        </w:r>
      </w:hyperlink>
    </w:p>
    <w:p w14:paraId="6D66E497" w14:textId="758FD29A"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4" w:history="1">
        <w:r w:rsidRPr="00EA779E">
          <w:rPr>
            <w:rStyle w:val="Collegamentoipertestuale"/>
            <w:rFonts w:ascii="Tahoma" w:hAnsi="Tahoma" w:cs="Tahoma"/>
            <w:noProof/>
            <w:lang w:eastAsia="it-IT"/>
          </w:rPr>
          <w:t>4.4.7 Emendamenti al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131</w:t>
        </w:r>
        <w:r w:rsidRPr="00EA779E">
          <w:rPr>
            <w:rFonts w:ascii="Tahoma" w:hAnsi="Tahoma" w:cs="Tahoma"/>
            <w:noProof/>
            <w:webHidden/>
          </w:rPr>
          <w:fldChar w:fldCharType="end"/>
        </w:r>
      </w:hyperlink>
    </w:p>
    <w:p w14:paraId="1F5C79B5" w14:textId="27F8D042"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5" w:history="1">
        <w:r w:rsidRPr="00EA779E">
          <w:rPr>
            <w:rStyle w:val="Collegamentoipertestuale"/>
            <w:rFonts w:ascii="Tahoma" w:hAnsi="Tahoma" w:cs="Tahoma"/>
            <w:noProof/>
            <w:lang w:eastAsia="it-IT"/>
          </w:rPr>
          <w:t>4.4.8 Variazioni di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131</w:t>
        </w:r>
        <w:r w:rsidRPr="00EA779E">
          <w:rPr>
            <w:rFonts w:ascii="Tahoma" w:hAnsi="Tahoma" w:cs="Tahoma"/>
            <w:noProof/>
            <w:webHidden/>
          </w:rPr>
          <w:fldChar w:fldCharType="end"/>
        </w:r>
      </w:hyperlink>
    </w:p>
    <w:p w14:paraId="39B5CA2E" w14:textId="4399D7A8"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6" w:history="1">
        <w:r w:rsidRPr="00EA779E">
          <w:rPr>
            <w:rStyle w:val="Collegamentoipertestuale"/>
            <w:rFonts w:ascii="Tahoma" w:hAnsi="Tahoma" w:cs="Tahoma"/>
            <w:noProof/>
          </w:rPr>
          <w:t>4.4.9 Contenimento delle spese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135</w:t>
        </w:r>
        <w:r w:rsidRPr="00EA779E">
          <w:rPr>
            <w:rFonts w:ascii="Tahoma" w:hAnsi="Tahoma" w:cs="Tahoma"/>
            <w:noProof/>
            <w:webHidden/>
          </w:rPr>
          <w:fldChar w:fldCharType="end"/>
        </w:r>
      </w:hyperlink>
    </w:p>
    <w:p w14:paraId="0E1A0DBF" w14:textId="0059792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67" w:history="1">
        <w:r w:rsidRPr="00EA779E">
          <w:rPr>
            <w:rStyle w:val="Collegamentoipertestuale"/>
            <w:rFonts w:ascii="Tahoma" w:hAnsi="Tahoma" w:cs="Tahoma"/>
            <w:noProof/>
          </w:rPr>
          <w:t>4.5 Il Rendiconto della gestione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144</w:t>
        </w:r>
        <w:r w:rsidRPr="00EA779E">
          <w:rPr>
            <w:rFonts w:ascii="Tahoma" w:hAnsi="Tahoma" w:cs="Tahoma"/>
            <w:noProof/>
            <w:webHidden/>
          </w:rPr>
          <w:fldChar w:fldCharType="end"/>
        </w:r>
      </w:hyperlink>
    </w:p>
    <w:p w14:paraId="188E135C" w14:textId="0BBAB9B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8" w:history="1">
        <w:r w:rsidRPr="00EA779E">
          <w:rPr>
            <w:rStyle w:val="Collegamentoipertestuale"/>
            <w:rFonts w:ascii="Tahoma" w:hAnsi="Tahoma" w:cs="Tahoma"/>
            <w:noProof/>
            <w:lang w:eastAsia="it-IT"/>
          </w:rPr>
          <w:t>4.5.1 Riaccertamento dei residui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145</w:t>
        </w:r>
        <w:r w:rsidRPr="00EA779E">
          <w:rPr>
            <w:rFonts w:ascii="Tahoma" w:hAnsi="Tahoma" w:cs="Tahoma"/>
            <w:noProof/>
            <w:webHidden/>
          </w:rPr>
          <w:fldChar w:fldCharType="end"/>
        </w:r>
      </w:hyperlink>
    </w:p>
    <w:p w14:paraId="1D896207" w14:textId="0019732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69" w:history="1">
        <w:r w:rsidRPr="00EA779E">
          <w:rPr>
            <w:rStyle w:val="Collegamentoipertestuale"/>
            <w:rFonts w:ascii="Tahoma" w:hAnsi="Tahoma" w:cs="Tahoma"/>
            <w:noProof/>
            <w:lang w:eastAsia="it-IT"/>
          </w:rPr>
          <w:t>4.5.2 Risultato di amministrazione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_Toc95912269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150</w:t>
        </w:r>
        <w:r w:rsidRPr="00EA779E">
          <w:rPr>
            <w:rFonts w:ascii="Tahoma" w:hAnsi="Tahoma" w:cs="Tahoma"/>
            <w:noProof/>
            <w:webHidden/>
          </w:rPr>
          <w:fldChar w:fldCharType="end"/>
        </w:r>
      </w:hyperlink>
    </w:p>
    <w:p w14:paraId="3A826376" w14:textId="035CDF7C"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0" w:history="1">
        <w:r w:rsidRPr="00EA779E">
          <w:rPr>
            <w:rStyle w:val="Collegamentoipertestuale"/>
            <w:rFonts w:ascii="Tahoma" w:hAnsi="Tahoma" w:cs="Tahoma"/>
            <w:noProof/>
            <w:lang w:eastAsia="it-IT"/>
          </w:rPr>
          <w:t>4.5.3 Prospetto di conciliazione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156</w:t>
        </w:r>
        <w:r w:rsidRPr="00EA779E">
          <w:rPr>
            <w:rFonts w:ascii="Tahoma" w:hAnsi="Tahoma" w:cs="Tahoma"/>
            <w:noProof/>
            <w:webHidden/>
          </w:rPr>
          <w:fldChar w:fldCharType="end"/>
        </w:r>
      </w:hyperlink>
    </w:p>
    <w:p w14:paraId="372E7332" w14:textId="60240E35"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1" w:history="1">
        <w:r w:rsidRPr="00EA779E">
          <w:rPr>
            <w:rStyle w:val="Collegamentoipertestuale"/>
            <w:rFonts w:ascii="Tahoma" w:hAnsi="Tahoma" w:cs="Tahoma"/>
            <w:noProof/>
            <w:lang w:eastAsia="it-IT"/>
          </w:rPr>
          <w:t>4.5.4 Stato patrimoniale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157</w:t>
        </w:r>
        <w:r w:rsidRPr="00EA779E">
          <w:rPr>
            <w:rFonts w:ascii="Tahoma" w:hAnsi="Tahoma" w:cs="Tahoma"/>
            <w:noProof/>
            <w:webHidden/>
          </w:rPr>
          <w:fldChar w:fldCharType="end"/>
        </w:r>
      </w:hyperlink>
    </w:p>
    <w:p w14:paraId="0C060A07" w14:textId="217D6F8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2" w:history="1">
        <w:r w:rsidRPr="00EA779E">
          <w:rPr>
            <w:rStyle w:val="Collegamentoipertestuale"/>
            <w:rFonts w:ascii="Tahoma" w:hAnsi="Tahoma" w:cs="Tahoma"/>
            <w:noProof/>
            <w:lang w:eastAsia="it-IT"/>
          </w:rPr>
          <w:t>4.5.5 Conto economico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161</w:t>
        </w:r>
        <w:r w:rsidRPr="00EA779E">
          <w:rPr>
            <w:rFonts w:ascii="Tahoma" w:hAnsi="Tahoma" w:cs="Tahoma"/>
            <w:noProof/>
            <w:webHidden/>
          </w:rPr>
          <w:fldChar w:fldCharType="end"/>
        </w:r>
      </w:hyperlink>
    </w:p>
    <w:p w14:paraId="5EBB5F3F" w14:textId="2CEDB4F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3" w:history="1">
        <w:r w:rsidRPr="00EA779E">
          <w:rPr>
            <w:rStyle w:val="Collegamentoipertestuale"/>
            <w:rFonts w:ascii="Tahoma" w:hAnsi="Tahoma" w:cs="Tahoma"/>
            <w:noProof/>
            <w:lang w:eastAsia="it-IT"/>
          </w:rPr>
          <w:t>4.5.6 Allegati al rendiconto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164</w:t>
        </w:r>
        <w:r w:rsidRPr="00EA779E">
          <w:rPr>
            <w:rFonts w:ascii="Tahoma" w:hAnsi="Tahoma" w:cs="Tahoma"/>
            <w:noProof/>
            <w:webHidden/>
          </w:rPr>
          <w:fldChar w:fldCharType="end"/>
        </w:r>
      </w:hyperlink>
    </w:p>
    <w:p w14:paraId="5541D046" w14:textId="68ADEA34"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74" w:history="1">
        <w:r w:rsidRPr="00EA779E">
          <w:rPr>
            <w:rStyle w:val="Collegamentoipertestuale"/>
            <w:rFonts w:ascii="Tahoma" w:hAnsi="Tahoma" w:cs="Tahoma"/>
            <w:noProof/>
          </w:rPr>
          <w:t>4.6 Altri strumenti della programmazione e gestione finanziaria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165</w:t>
        </w:r>
        <w:r w:rsidRPr="00EA779E">
          <w:rPr>
            <w:rFonts w:ascii="Tahoma" w:hAnsi="Tahoma" w:cs="Tahoma"/>
            <w:noProof/>
            <w:webHidden/>
          </w:rPr>
          <w:fldChar w:fldCharType="end"/>
        </w:r>
      </w:hyperlink>
    </w:p>
    <w:p w14:paraId="58DFE5D8" w14:textId="4B7496A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5" w:history="1">
        <w:r w:rsidRPr="00EA779E">
          <w:rPr>
            <w:rStyle w:val="Collegamentoipertestuale"/>
            <w:rFonts w:ascii="Tahoma" w:hAnsi="Tahoma" w:cs="Tahoma"/>
            <w:noProof/>
            <w:lang w:eastAsia="it-IT"/>
          </w:rPr>
          <w:t>4.6.1 Documento Unico di Programmazione (DUP)</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165</w:t>
        </w:r>
        <w:r w:rsidRPr="00EA779E">
          <w:rPr>
            <w:rFonts w:ascii="Tahoma" w:hAnsi="Tahoma" w:cs="Tahoma"/>
            <w:noProof/>
            <w:webHidden/>
          </w:rPr>
          <w:fldChar w:fldCharType="end"/>
        </w:r>
      </w:hyperlink>
    </w:p>
    <w:p w14:paraId="20817633" w14:textId="0265F91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6" w:history="1">
        <w:r w:rsidRPr="00EA779E">
          <w:rPr>
            <w:rStyle w:val="Collegamentoipertestuale"/>
            <w:rFonts w:ascii="Tahoma" w:hAnsi="Tahoma" w:cs="Tahoma"/>
            <w:noProof/>
            <w:lang w:eastAsia="it-IT"/>
          </w:rPr>
          <w:t>4.6.2 Piano degli indicatori e dei risultati attesi di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170</w:t>
        </w:r>
        <w:r w:rsidRPr="00EA779E">
          <w:rPr>
            <w:rFonts w:ascii="Tahoma" w:hAnsi="Tahoma" w:cs="Tahoma"/>
            <w:noProof/>
            <w:webHidden/>
          </w:rPr>
          <w:fldChar w:fldCharType="end"/>
        </w:r>
      </w:hyperlink>
    </w:p>
    <w:p w14:paraId="21A03721" w14:textId="072DDFD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7" w:history="1">
        <w:r w:rsidRPr="00EA779E">
          <w:rPr>
            <w:rStyle w:val="Collegamentoipertestuale"/>
            <w:rFonts w:ascii="Tahoma" w:hAnsi="Tahoma" w:cs="Tahoma"/>
            <w:noProof/>
          </w:rPr>
          <w:t>4.6.3 Relazione di inizio mandato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170</w:t>
        </w:r>
        <w:r w:rsidRPr="00EA779E">
          <w:rPr>
            <w:rFonts w:ascii="Tahoma" w:hAnsi="Tahoma" w:cs="Tahoma"/>
            <w:noProof/>
            <w:webHidden/>
          </w:rPr>
          <w:fldChar w:fldCharType="end"/>
        </w:r>
      </w:hyperlink>
    </w:p>
    <w:p w14:paraId="1A6FB419" w14:textId="554FF92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8" w:history="1">
        <w:r w:rsidRPr="00EA779E">
          <w:rPr>
            <w:rStyle w:val="Collegamentoipertestuale"/>
            <w:rFonts w:ascii="Tahoma" w:hAnsi="Tahoma" w:cs="Tahoma"/>
            <w:noProof/>
          </w:rPr>
          <w:t>4.6.4 Relazione di fine mandato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171</w:t>
        </w:r>
        <w:r w:rsidRPr="00EA779E">
          <w:rPr>
            <w:rFonts w:ascii="Tahoma" w:hAnsi="Tahoma" w:cs="Tahoma"/>
            <w:noProof/>
            <w:webHidden/>
          </w:rPr>
          <w:fldChar w:fldCharType="end"/>
        </w:r>
      </w:hyperlink>
    </w:p>
    <w:p w14:paraId="4A5CE505" w14:textId="2E4B614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79" w:history="1">
        <w:r w:rsidRPr="00EA779E">
          <w:rPr>
            <w:rStyle w:val="Collegamentoipertestuale"/>
            <w:rFonts w:ascii="Tahoma" w:hAnsi="Tahoma" w:cs="Tahoma"/>
            <w:noProof/>
            <w:lang w:eastAsia="it-IT"/>
          </w:rPr>
          <w:t>4.6.5 Piano esecutivo di gestione e delle performance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_Toc95912279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172</w:t>
        </w:r>
        <w:r w:rsidRPr="00EA779E">
          <w:rPr>
            <w:rFonts w:ascii="Tahoma" w:hAnsi="Tahoma" w:cs="Tahoma"/>
            <w:noProof/>
            <w:webHidden/>
          </w:rPr>
          <w:fldChar w:fldCharType="end"/>
        </w:r>
      </w:hyperlink>
    </w:p>
    <w:p w14:paraId="68CAC4A9" w14:textId="1BFB3CE7"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0" w:history="1">
        <w:r w:rsidRPr="00EA779E">
          <w:rPr>
            <w:rStyle w:val="Collegamentoipertestuale"/>
            <w:rFonts w:ascii="Tahoma" w:hAnsi="Tahoma" w:cs="Tahoma"/>
            <w:noProof/>
            <w:lang w:eastAsia="it-IT"/>
          </w:rPr>
          <w:t>4.6.6 Nota integrativa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174</w:t>
        </w:r>
        <w:r w:rsidRPr="00EA779E">
          <w:rPr>
            <w:rFonts w:ascii="Tahoma" w:hAnsi="Tahoma" w:cs="Tahoma"/>
            <w:noProof/>
            <w:webHidden/>
          </w:rPr>
          <w:fldChar w:fldCharType="end"/>
        </w:r>
      </w:hyperlink>
    </w:p>
    <w:p w14:paraId="45E76B0D" w14:textId="431AE9EB"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81" w:history="1">
        <w:r w:rsidRPr="00EA779E">
          <w:rPr>
            <w:rStyle w:val="Collegamentoipertestuale"/>
            <w:rFonts w:ascii="Tahoma" w:hAnsi="Tahoma" w:cs="Tahoma"/>
            <w:noProof/>
          </w:rPr>
          <w:t>4.7 Rapporti con società e organismi partecipati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175</w:t>
        </w:r>
        <w:r w:rsidRPr="00EA779E">
          <w:rPr>
            <w:rFonts w:ascii="Tahoma" w:hAnsi="Tahoma" w:cs="Tahoma"/>
            <w:noProof/>
            <w:webHidden/>
          </w:rPr>
          <w:fldChar w:fldCharType="end"/>
        </w:r>
      </w:hyperlink>
    </w:p>
    <w:p w14:paraId="5A029B87" w14:textId="57549A8D"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2" w:history="1">
        <w:r w:rsidRPr="00EA779E">
          <w:rPr>
            <w:rStyle w:val="Collegamentoipertestuale"/>
            <w:rFonts w:ascii="Tahoma" w:hAnsi="Tahoma" w:cs="Tahoma"/>
            <w:noProof/>
            <w:lang w:eastAsia="it-IT"/>
          </w:rPr>
          <w:t xml:space="preserve">4.7.1 </w:t>
        </w:r>
        <w:r w:rsidRPr="00EA779E">
          <w:rPr>
            <w:rStyle w:val="Collegamentoipertestuale"/>
            <w:rFonts w:ascii="Tahoma" w:hAnsi="Tahoma" w:cs="Tahoma"/>
            <w:noProof/>
          </w:rPr>
          <w:t>Costituzione di organismi partecipati, acquisto e mantenimento di partecipazioni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176</w:t>
        </w:r>
        <w:r w:rsidRPr="00EA779E">
          <w:rPr>
            <w:rFonts w:ascii="Tahoma" w:hAnsi="Tahoma" w:cs="Tahoma"/>
            <w:noProof/>
            <w:webHidden/>
          </w:rPr>
          <w:fldChar w:fldCharType="end"/>
        </w:r>
      </w:hyperlink>
    </w:p>
    <w:p w14:paraId="311560A9" w14:textId="0F994A0F"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3" w:history="1">
        <w:r w:rsidRPr="00EA779E">
          <w:rPr>
            <w:rStyle w:val="Collegamentoipertestuale"/>
            <w:rFonts w:ascii="Tahoma" w:hAnsi="Tahoma" w:cs="Tahoma"/>
            <w:noProof/>
            <w:lang w:eastAsia="it-IT"/>
          </w:rPr>
          <w:t>4.7.2 Società in house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178</w:t>
        </w:r>
        <w:r w:rsidRPr="00EA779E">
          <w:rPr>
            <w:rFonts w:ascii="Tahoma" w:hAnsi="Tahoma" w:cs="Tahoma"/>
            <w:noProof/>
            <w:webHidden/>
          </w:rPr>
          <w:fldChar w:fldCharType="end"/>
        </w:r>
      </w:hyperlink>
    </w:p>
    <w:p w14:paraId="1C2A0C56" w14:textId="046431AC"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4" w:history="1">
        <w:r w:rsidRPr="00EA779E">
          <w:rPr>
            <w:rStyle w:val="Collegamentoipertestuale"/>
            <w:rFonts w:ascii="Tahoma" w:hAnsi="Tahoma" w:cs="Tahoma"/>
            <w:noProof/>
            <w:lang w:eastAsia="it-IT"/>
          </w:rPr>
          <w:t>4.7.3 Organi sociali delle società a partecipazione pubblica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179</w:t>
        </w:r>
        <w:r w:rsidRPr="00EA779E">
          <w:rPr>
            <w:rFonts w:ascii="Tahoma" w:hAnsi="Tahoma" w:cs="Tahoma"/>
            <w:noProof/>
            <w:webHidden/>
          </w:rPr>
          <w:fldChar w:fldCharType="end"/>
        </w:r>
      </w:hyperlink>
    </w:p>
    <w:p w14:paraId="14280A06" w14:textId="7FE78FD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5" w:history="1">
        <w:r w:rsidRPr="00EA779E">
          <w:rPr>
            <w:rStyle w:val="Collegamentoipertestuale"/>
            <w:rFonts w:ascii="Tahoma" w:hAnsi="Tahoma" w:cs="Tahoma"/>
            <w:noProof/>
            <w:lang w:eastAsia="it-IT"/>
          </w:rPr>
          <w:t xml:space="preserve">4.7.4 </w:t>
        </w:r>
        <w:r w:rsidRPr="00EA779E">
          <w:rPr>
            <w:rStyle w:val="Collegamentoipertestuale"/>
            <w:rFonts w:ascii="Tahoma" w:hAnsi="Tahoma" w:cs="Tahoma"/>
            <w:noProof/>
          </w:rPr>
          <w:t>Razionalizzazione delle società partecipate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180</w:t>
        </w:r>
        <w:r w:rsidRPr="00EA779E">
          <w:rPr>
            <w:rFonts w:ascii="Tahoma" w:hAnsi="Tahoma" w:cs="Tahoma"/>
            <w:noProof/>
            <w:webHidden/>
          </w:rPr>
          <w:fldChar w:fldCharType="end"/>
        </w:r>
      </w:hyperlink>
    </w:p>
    <w:p w14:paraId="5F15464B" w14:textId="5D624E4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86" w:history="1">
        <w:r w:rsidRPr="00EA779E">
          <w:rPr>
            <w:rStyle w:val="Collegamentoipertestuale"/>
            <w:rFonts w:ascii="Tahoma" w:hAnsi="Tahoma" w:cs="Tahoma"/>
            <w:noProof/>
            <w:lang w:eastAsia="it-IT"/>
          </w:rPr>
          <w:t>4.7.5 Perdite delle società partecipate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183</w:t>
        </w:r>
        <w:r w:rsidRPr="00EA779E">
          <w:rPr>
            <w:rFonts w:ascii="Tahoma" w:hAnsi="Tahoma" w:cs="Tahoma"/>
            <w:noProof/>
            <w:webHidden/>
          </w:rPr>
          <w:fldChar w:fldCharType="end"/>
        </w:r>
      </w:hyperlink>
    </w:p>
    <w:p w14:paraId="4E369B57" w14:textId="0D91792D"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287" w:history="1">
        <w:r w:rsidRPr="00EA779E">
          <w:rPr>
            <w:rStyle w:val="Collegamentoipertestuale"/>
            <w:rFonts w:ascii="Tahoma" w:hAnsi="Tahoma" w:cs="Tahoma"/>
            <w:noProof/>
            <w:sz w:val="20"/>
            <w:szCs w:val="20"/>
          </w:rPr>
          <w:t>5. Enti deficitari e dissestati</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_Toc95912287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186</w:t>
        </w:r>
        <w:r w:rsidRPr="00EA779E">
          <w:rPr>
            <w:rFonts w:ascii="Tahoma" w:hAnsi="Tahoma" w:cs="Tahoma"/>
            <w:noProof/>
            <w:webHidden/>
            <w:sz w:val="20"/>
            <w:szCs w:val="20"/>
          </w:rPr>
          <w:fldChar w:fldCharType="end"/>
        </w:r>
      </w:hyperlink>
    </w:p>
    <w:p w14:paraId="1FF22842" w14:textId="7013468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88" w:history="1">
        <w:r w:rsidRPr="00EA779E">
          <w:rPr>
            <w:rStyle w:val="Collegamentoipertestuale"/>
            <w:rFonts w:ascii="Tahoma" w:hAnsi="Tahoma" w:cs="Tahoma"/>
            <w:noProof/>
          </w:rPr>
          <w:t>5.1 Crisi dell’ente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186</w:t>
        </w:r>
        <w:r w:rsidRPr="00EA779E">
          <w:rPr>
            <w:rFonts w:ascii="Tahoma" w:hAnsi="Tahoma" w:cs="Tahoma"/>
            <w:noProof/>
            <w:webHidden/>
          </w:rPr>
          <w:fldChar w:fldCharType="end"/>
        </w:r>
      </w:hyperlink>
    </w:p>
    <w:p w14:paraId="27FF22AD" w14:textId="211B3390"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89" w:history="1">
        <w:r w:rsidRPr="00EA779E">
          <w:rPr>
            <w:rStyle w:val="Collegamentoipertestuale"/>
            <w:rFonts w:ascii="Tahoma" w:hAnsi="Tahoma" w:cs="Tahoma"/>
            <w:noProof/>
          </w:rPr>
          <w:t>5.2 Dissesto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_Toc95912289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186</w:t>
        </w:r>
        <w:r w:rsidRPr="00EA779E">
          <w:rPr>
            <w:rFonts w:ascii="Tahoma" w:hAnsi="Tahoma" w:cs="Tahoma"/>
            <w:noProof/>
            <w:webHidden/>
          </w:rPr>
          <w:fldChar w:fldCharType="end"/>
        </w:r>
      </w:hyperlink>
    </w:p>
    <w:p w14:paraId="01E21141" w14:textId="6E91CA4F"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90" w:history="1">
        <w:r w:rsidRPr="00EA779E">
          <w:rPr>
            <w:rStyle w:val="Collegamentoipertestuale"/>
            <w:rFonts w:ascii="Tahoma" w:hAnsi="Tahoma" w:cs="Tahoma"/>
            <w:noProof/>
            <w:lang w:eastAsia="it-IT"/>
          </w:rPr>
          <w:t>5.2.1 Delibera del dissesto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187</w:t>
        </w:r>
        <w:r w:rsidRPr="00EA779E">
          <w:rPr>
            <w:rFonts w:ascii="Tahoma" w:hAnsi="Tahoma" w:cs="Tahoma"/>
            <w:noProof/>
            <w:webHidden/>
          </w:rPr>
          <w:fldChar w:fldCharType="end"/>
        </w:r>
      </w:hyperlink>
    </w:p>
    <w:p w14:paraId="58BCAC40" w14:textId="6CBB038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91" w:history="1">
        <w:r w:rsidRPr="00EA779E">
          <w:rPr>
            <w:rStyle w:val="Collegamentoipertestuale"/>
            <w:rFonts w:ascii="Tahoma" w:hAnsi="Tahoma" w:cs="Tahoma"/>
            <w:noProof/>
            <w:lang w:eastAsia="it-IT"/>
          </w:rPr>
          <w:t>5.2.2 Procedura di risanamento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189</w:t>
        </w:r>
        <w:r w:rsidRPr="00EA779E">
          <w:rPr>
            <w:rFonts w:ascii="Tahoma" w:hAnsi="Tahoma" w:cs="Tahoma"/>
            <w:noProof/>
            <w:webHidden/>
          </w:rPr>
          <w:fldChar w:fldCharType="end"/>
        </w:r>
      </w:hyperlink>
    </w:p>
    <w:p w14:paraId="5928F196" w14:textId="7CDB33AA"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92" w:history="1">
        <w:r w:rsidRPr="00EA779E">
          <w:rPr>
            <w:rStyle w:val="Collegamentoipertestuale"/>
            <w:rFonts w:ascii="Tahoma" w:hAnsi="Tahoma" w:cs="Tahoma"/>
            <w:noProof/>
            <w:lang w:eastAsia="it-IT"/>
          </w:rPr>
          <w:t>5.2.3 Procedura semplificata e anticipazione di cassa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190</w:t>
        </w:r>
        <w:r w:rsidRPr="00EA779E">
          <w:rPr>
            <w:rFonts w:ascii="Tahoma" w:hAnsi="Tahoma" w:cs="Tahoma"/>
            <w:noProof/>
            <w:webHidden/>
          </w:rPr>
          <w:fldChar w:fldCharType="end"/>
        </w:r>
      </w:hyperlink>
    </w:p>
    <w:p w14:paraId="12C8EC46" w14:textId="5F041A1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93" w:history="1">
        <w:r w:rsidRPr="00EA779E">
          <w:rPr>
            <w:rStyle w:val="Collegamentoipertestuale"/>
            <w:rFonts w:ascii="Tahoma" w:hAnsi="Tahoma" w:cs="Tahoma"/>
            <w:noProof/>
            <w:lang w:eastAsia="it-IT"/>
          </w:rPr>
          <w:t>5.2.4 Procedura straordinaria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191</w:t>
        </w:r>
        <w:r w:rsidRPr="00EA779E">
          <w:rPr>
            <w:rFonts w:ascii="Tahoma" w:hAnsi="Tahoma" w:cs="Tahoma"/>
            <w:noProof/>
            <w:webHidden/>
          </w:rPr>
          <w:fldChar w:fldCharType="end"/>
        </w:r>
      </w:hyperlink>
    </w:p>
    <w:p w14:paraId="411CF8AB" w14:textId="6B7D08E4"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94" w:history="1">
        <w:r w:rsidRPr="00EA779E">
          <w:rPr>
            <w:rStyle w:val="Collegamentoipertestuale"/>
            <w:rFonts w:ascii="Tahoma" w:hAnsi="Tahoma" w:cs="Tahoma"/>
            <w:noProof/>
          </w:rPr>
          <w:t>5.3 Pre-dissesto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192</w:t>
        </w:r>
        <w:r w:rsidRPr="00EA779E">
          <w:rPr>
            <w:rFonts w:ascii="Tahoma" w:hAnsi="Tahoma" w:cs="Tahoma"/>
            <w:noProof/>
            <w:webHidden/>
          </w:rPr>
          <w:fldChar w:fldCharType="end"/>
        </w:r>
      </w:hyperlink>
    </w:p>
    <w:p w14:paraId="0F7C9DA7" w14:textId="6BFC3870"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295" w:history="1">
        <w:r w:rsidRPr="00EA779E">
          <w:rPr>
            <w:rStyle w:val="Collegamentoipertestuale"/>
            <w:rFonts w:ascii="Tahoma" w:hAnsi="Tahoma" w:cs="Tahoma"/>
            <w:noProof/>
            <w:lang w:eastAsia="it-IT"/>
          </w:rPr>
          <w:t>5.3.1 Relazioni dell’organo di revisione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195</w:t>
        </w:r>
        <w:r w:rsidRPr="00EA779E">
          <w:rPr>
            <w:rFonts w:ascii="Tahoma" w:hAnsi="Tahoma" w:cs="Tahoma"/>
            <w:noProof/>
            <w:webHidden/>
          </w:rPr>
          <w:fldChar w:fldCharType="end"/>
        </w:r>
      </w:hyperlink>
    </w:p>
    <w:p w14:paraId="3AB8C7DD" w14:textId="6A3459AE"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96" w:history="1">
        <w:r w:rsidRPr="00EA779E">
          <w:rPr>
            <w:rStyle w:val="Collegamentoipertestuale"/>
            <w:rFonts w:ascii="Tahoma" w:hAnsi="Tahoma" w:cs="Tahoma"/>
            <w:noProof/>
          </w:rPr>
          <w:t>5.4 Deficitarietà strutturale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196</w:t>
        </w:r>
        <w:r w:rsidRPr="00EA779E">
          <w:rPr>
            <w:rFonts w:ascii="Tahoma" w:hAnsi="Tahoma" w:cs="Tahoma"/>
            <w:noProof/>
            <w:webHidden/>
          </w:rPr>
          <w:fldChar w:fldCharType="end"/>
        </w:r>
      </w:hyperlink>
    </w:p>
    <w:p w14:paraId="5DD84BF7" w14:textId="3D290A5C"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297" w:history="1">
        <w:r w:rsidRPr="00EA779E">
          <w:rPr>
            <w:rStyle w:val="Collegamentoipertestuale"/>
            <w:rFonts w:ascii="Tahoma" w:hAnsi="Tahoma" w:cs="Tahoma"/>
            <w:noProof/>
            <w:sz w:val="20"/>
            <w:szCs w:val="20"/>
          </w:rPr>
          <w:t>6. Verifiche dei revisori</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_Toc95912297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197</w:t>
        </w:r>
        <w:r w:rsidRPr="00EA779E">
          <w:rPr>
            <w:rFonts w:ascii="Tahoma" w:hAnsi="Tahoma" w:cs="Tahoma"/>
            <w:noProof/>
            <w:webHidden/>
            <w:sz w:val="20"/>
            <w:szCs w:val="20"/>
          </w:rPr>
          <w:fldChar w:fldCharType="end"/>
        </w:r>
      </w:hyperlink>
    </w:p>
    <w:p w14:paraId="4DE72509" w14:textId="1220927B"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98" w:history="1">
        <w:r w:rsidRPr="00EA779E">
          <w:rPr>
            <w:rStyle w:val="Collegamentoipertestuale"/>
            <w:rFonts w:ascii="Tahoma" w:hAnsi="Tahoma" w:cs="Tahoma"/>
            <w:noProof/>
          </w:rPr>
          <w:t>6.1 Verifiche di cassa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197</w:t>
        </w:r>
        <w:r w:rsidRPr="00EA779E">
          <w:rPr>
            <w:rFonts w:ascii="Tahoma" w:hAnsi="Tahoma" w:cs="Tahoma"/>
            <w:noProof/>
            <w:webHidden/>
          </w:rPr>
          <w:fldChar w:fldCharType="end"/>
        </w:r>
      </w:hyperlink>
    </w:p>
    <w:p w14:paraId="3784B019" w14:textId="738E7E0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299" w:history="1">
        <w:r w:rsidRPr="00EA779E">
          <w:rPr>
            <w:rStyle w:val="Collegamentoipertestuale"/>
            <w:rFonts w:ascii="Tahoma" w:hAnsi="Tahoma" w:cs="Tahoma"/>
            <w:noProof/>
          </w:rPr>
          <w:t>6.2 Collaborazione con il consiglio dell’ente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_Toc95912299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201</w:t>
        </w:r>
        <w:r w:rsidRPr="00EA779E">
          <w:rPr>
            <w:rFonts w:ascii="Tahoma" w:hAnsi="Tahoma" w:cs="Tahoma"/>
            <w:noProof/>
            <w:webHidden/>
          </w:rPr>
          <w:fldChar w:fldCharType="end"/>
        </w:r>
      </w:hyperlink>
    </w:p>
    <w:p w14:paraId="78648326" w14:textId="3CB6400F"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0" w:history="1">
        <w:r w:rsidRPr="00EA779E">
          <w:rPr>
            <w:rStyle w:val="Collegamentoipertestuale"/>
            <w:rFonts w:ascii="Tahoma" w:hAnsi="Tahoma" w:cs="Tahoma"/>
            <w:noProof/>
          </w:rPr>
          <w:t>6.3 Referto e denuncia su gravi irregolarità di gestione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202</w:t>
        </w:r>
        <w:r w:rsidRPr="00EA779E">
          <w:rPr>
            <w:rFonts w:ascii="Tahoma" w:hAnsi="Tahoma" w:cs="Tahoma"/>
            <w:noProof/>
            <w:webHidden/>
          </w:rPr>
          <w:fldChar w:fldCharType="end"/>
        </w:r>
      </w:hyperlink>
    </w:p>
    <w:p w14:paraId="4308415D" w14:textId="09E925C0"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1" w:history="1">
        <w:r w:rsidRPr="00EA779E">
          <w:rPr>
            <w:rStyle w:val="Collegamentoipertestuale"/>
            <w:rFonts w:ascii="Tahoma" w:hAnsi="Tahoma" w:cs="Tahoma"/>
            <w:noProof/>
          </w:rPr>
          <w:t>6.4 Parere sulla proposta di bilancio di previsione e sulle variazioni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203</w:t>
        </w:r>
        <w:r w:rsidRPr="00EA779E">
          <w:rPr>
            <w:rFonts w:ascii="Tahoma" w:hAnsi="Tahoma" w:cs="Tahoma"/>
            <w:noProof/>
            <w:webHidden/>
          </w:rPr>
          <w:fldChar w:fldCharType="end"/>
        </w:r>
      </w:hyperlink>
    </w:p>
    <w:p w14:paraId="2EC070AA" w14:textId="2F269C80"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2" w:history="1">
        <w:r w:rsidRPr="00EA779E">
          <w:rPr>
            <w:rStyle w:val="Collegamentoipertestuale"/>
            <w:rFonts w:ascii="Tahoma" w:hAnsi="Tahoma" w:cs="Tahoma"/>
            <w:noProof/>
          </w:rPr>
          <w:t>6.5 Verifiche sugli strumenti di programmazione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208</w:t>
        </w:r>
        <w:r w:rsidRPr="00EA779E">
          <w:rPr>
            <w:rFonts w:ascii="Tahoma" w:hAnsi="Tahoma" w:cs="Tahoma"/>
            <w:noProof/>
            <w:webHidden/>
          </w:rPr>
          <w:fldChar w:fldCharType="end"/>
        </w:r>
      </w:hyperlink>
    </w:p>
    <w:p w14:paraId="27AF0878" w14:textId="4275B604"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3" w:history="1">
        <w:r w:rsidRPr="00EA779E">
          <w:rPr>
            <w:rStyle w:val="Collegamentoipertestuale"/>
            <w:rFonts w:ascii="Tahoma" w:hAnsi="Tahoma" w:cs="Tahoma"/>
            <w:noProof/>
          </w:rPr>
          <w:t>6.6 Verifica del mantenimento degli equilibri di bilancio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210</w:t>
        </w:r>
        <w:r w:rsidRPr="00EA779E">
          <w:rPr>
            <w:rFonts w:ascii="Tahoma" w:hAnsi="Tahoma" w:cs="Tahoma"/>
            <w:noProof/>
            <w:webHidden/>
          </w:rPr>
          <w:fldChar w:fldCharType="end"/>
        </w:r>
      </w:hyperlink>
    </w:p>
    <w:p w14:paraId="00E4ADDA" w14:textId="5BB1ABC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4" w:history="1">
        <w:r w:rsidRPr="00EA779E">
          <w:rPr>
            <w:rStyle w:val="Collegamentoipertestuale"/>
            <w:rFonts w:ascii="Tahoma" w:hAnsi="Tahoma" w:cs="Tahoma"/>
            <w:noProof/>
          </w:rPr>
          <w:t>6.7 Relazione sulla proposta di deliberazione consiliare di approvazione del rendiconto della gestione e sullo schema di rendiconto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211</w:t>
        </w:r>
        <w:r w:rsidRPr="00EA779E">
          <w:rPr>
            <w:rFonts w:ascii="Tahoma" w:hAnsi="Tahoma" w:cs="Tahoma"/>
            <w:noProof/>
            <w:webHidden/>
          </w:rPr>
          <w:fldChar w:fldCharType="end"/>
        </w:r>
      </w:hyperlink>
    </w:p>
    <w:p w14:paraId="5FEE37E5" w14:textId="2A353A9F"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5" w:history="1">
        <w:r w:rsidRPr="00EA779E">
          <w:rPr>
            <w:rStyle w:val="Collegamentoipertestuale"/>
            <w:rFonts w:ascii="Tahoma" w:hAnsi="Tahoma" w:cs="Tahoma"/>
            <w:noProof/>
          </w:rPr>
          <w:t>6.8 Relazione sulla proposta di deliberazione consiliare di approvazione del bilancio consolidato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217</w:t>
        </w:r>
        <w:r w:rsidRPr="00EA779E">
          <w:rPr>
            <w:rFonts w:ascii="Tahoma" w:hAnsi="Tahoma" w:cs="Tahoma"/>
            <w:noProof/>
            <w:webHidden/>
          </w:rPr>
          <w:fldChar w:fldCharType="end"/>
        </w:r>
      </w:hyperlink>
    </w:p>
    <w:p w14:paraId="50E332C5" w14:textId="140B5733"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6" w:history="1">
        <w:r w:rsidRPr="00EA779E">
          <w:rPr>
            <w:rStyle w:val="Collegamentoipertestuale"/>
            <w:rFonts w:ascii="Tahoma" w:hAnsi="Tahoma" w:cs="Tahoma"/>
            <w:noProof/>
          </w:rPr>
          <w:t>6.9 Parere sulla modalità di gestione dei servizi e sulle proposte di costituzione o di partecipazione ad organismi esterni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219</w:t>
        </w:r>
        <w:r w:rsidRPr="00EA779E">
          <w:rPr>
            <w:rFonts w:ascii="Tahoma" w:hAnsi="Tahoma" w:cs="Tahoma"/>
            <w:noProof/>
            <w:webHidden/>
          </w:rPr>
          <w:fldChar w:fldCharType="end"/>
        </w:r>
      </w:hyperlink>
    </w:p>
    <w:p w14:paraId="371F880F" w14:textId="3D15FE16"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07" w:history="1">
        <w:r w:rsidRPr="00EA779E">
          <w:rPr>
            <w:rStyle w:val="Collegamentoipertestuale"/>
            <w:rFonts w:ascii="Tahoma" w:hAnsi="Tahoma" w:cs="Tahoma"/>
            <w:noProof/>
          </w:rPr>
          <w:t>6.9.1 Asseverazione dei debiti e crediti nei confronti delle partecipate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221</w:t>
        </w:r>
        <w:r w:rsidRPr="00EA779E">
          <w:rPr>
            <w:rFonts w:ascii="Tahoma" w:hAnsi="Tahoma" w:cs="Tahoma"/>
            <w:noProof/>
            <w:webHidden/>
          </w:rPr>
          <w:fldChar w:fldCharType="end"/>
        </w:r>
      </w:hyperlink>
    </w:p>
    <w:p w14:paraId="4FB36EC8" w14:textId="75F62208"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8" w:history="1">
        <w:r w:rsidRPr="00EA779E">
          <w:rPr>
            <w:rStyle w:val="Collegamentoipertestuale"/>
            <w:rFonts w:ascii="Tahoma" w:hAnsi="Tahoma" w:cs="Tahoma"/>
            <w:noProof/>
          </w:rPr>
          <w:t>6.10 Parere sulle proposte di ricorso all'indebitamento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222</w:t>
        </w:r>
        <w:r w:rsidRPr="00EA779E">
          <w:rPr>
            <w:rFonts w:ascii="Tahoma" w:hAnsi="Tahoma" w:cs="Tahoma"/>
            <w:noProof/>
            <w:webHidden/>
          </w:rPr>
          <w:fldChar w:fldCharType="end"/>
        </w:r>
      </w:hyperlink>
    </w:p>
    <w:p w14:paraId="31ADC580" w14:textId="7D4CCC06"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09" w:history="1">
        <w:r w:rsidRPr="00EA779E">
          <w:rPr>
            <w:rStyle w:val="Collegamentoipertestuale"/>
            <w:rFonts w:ascii="Tahoma" w:hAnsi="Tahoma" w:cs="Tahoma"/>
            <w:noProof/>
          </w:rPr>
          <w:t>6.11 Parere sulle proposte di utilizzo di strumenti di finanza innovativa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_Toc95912309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228</w:t>
        </w:r>
        <w:r w:rsidRPr="00EA779E">
          <w:rPr>
            <w:rFonts w:ascii="Tahoma" w:hAnsi="Tahoma" w:cs="Tahoma"/>
            <w:noProof/>
            <w:webHidden/>
          </w:rPr>
          <w:fldChar w:fldCharType="end"/>
        </w:r>
      </w:hyperlink>
    </w:p>
    <w:p w14:paraId="727E86FB" w14:textId="39F55F5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10" w:history="1">
        <w:r w:rsidRPr="00EA779E">
          <w:rPr>
            <w:rStyle w:val="Collegamentoipertestuale"/>
            <w:rFonts w:ascii="Tahoma" w:hAnsi="Tahoma" w:cs="Tahoma"/>
            <w:noProof/>
          </w:rPr>
          <w:t>6.12 Parere sulle proposte di riconoscimento di debiti fuori bilancio e transazioni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229</w:t>
        </w:r>
        <w:r w:rsidRPr="00EA779E">
          <w:rPr>
            <w:rFonts w:ascii="Tahoma" w:hAnsi="Tahoma" w:cs="Tahoma"/>
            <w:noProof/>
            <w:webHidden/>
          </w:rPr>
          <w:fldChar w:fldCharType="end"/>
        </w:r>
      </w:hyperlink>
    </w:p>
    <w:p w14:paraId="7B0D2FF5" w14:textId="6F1C17F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11" w:history="1">
        <w:r w:rsidRPr="00EA779E">
          <w:rPr>
            <w:rStyle w:val="Collegamentoipertestuale"/>
            <w:rFonts w:ascii="Tahoma" w:hAnsi="Tahoma" w:cs="Tahoma"/>
            <w:noProof/>
          </w:rPr>
          <w:t>6.13 Verifica sulla tempestività dei pagamenti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232</w:t>
        </w:r>
        <w:r w:rsidRPr="00EA779E">
          <w:rPr>
            <w:rFonts w:ascii="Tahoma" w:hAnsi="Tahoma" w:cs="Tahoma"/>
            <w:noProof/>
            <w:webHidden/>
          </w:rPr>
          <w:fldChar w:fldCharType="end"/>
        </w:r>
      </w:hyperlink>
    </w:p>
    <w:p w14:paraId="43F5D60C" w14:textId="7EC1ED5D"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12" w:history="1">
        <w:r w:rsidRPr="00EA779E">
          <w:rPr>
            <w:rStyle w:val="Collegamentoipertestuale"/>
            <w:rFonts w:ascii="Tahoma" w:hAnsi="Tahoma" w:cs="Tahoma"/>
            <w:noProof/>
          </w:rPr>
          <w:t>6.14 Parere sulle proposte di regolamento</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233</w:t>
        </w:r>
        <w:r w:rsidRPr="00EA779E">
          <w:rPr>
            <w:rFonts w:ascii="Tahoma" w:hAnsi="Tahoma" w:cs="Tahoma"/>
            <w:noProof/>
            <w:webHidden/>
          </w:rPr>
          <w:fldChar w:fldCharType="end"/>
        </w:r>
      </w:hyperlink>
    </w:p>
    <w:p w14:paraId="49215091" w14:textId="6342B875"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13" w:history="1">
        <w:r w:rsidRPr="00EA779E">
          <w:rPr>
            <w:rStyle w:val="Collegamentoipertestuale"/>
            <w:rFonts w:ascii="Tahoma" w:hAnsi="Tahoma" w:cs="Tahoma"/>
            <w:noProof/>
          </w:rPr>
          <w:t>6.15 Verifiche sul personale e la contrattazione integrativa decentrata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233</w:t>
        </w:r>
        <w:r w:rsidRPr="00EA779E">
          <w:rPr>
            <w:rFonts w:ascii="Tahoma" w:hAnsi="Tahoma" w:cs="Tahoma"/>
            <w:noProof/>
            <w:webHidden/>
          </w:rPr>
          <w:fldChar w:fldCharType="end"/>
        </w:r>
      </w:hyperlink>
    </w:p>
    <w:p w14:paraId="1E1CAC16" w14:textId="54F11801"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14" w:history="1">
        <w:r w:rsidRPr="00EA779E">
          <w:rPr>
            <w:rStyle w:val="Collegamentoipertestuale"/>
            <w:rFonts w:ascii="Tahoma" w:hAnsi="Tahoma" w:cs="Tahoma"/>
            <w:noProof/>
          </w:rPr>
          <w:t>6.16 Vigilanza sulla regolarità contabile, finanziaria ed economica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242</w:t>
        </w:r>
        <w:r w:rsidRPr="00EA779E">
          <w:rPr>
            <w:rFonts w:ascii="Tahoma" w:hAnsi="Tahoma" w:cs="Tahoma"/>
            <w:noProof/>
            <w:webHidden/>
          </w:rPr>
          <w:fldChar w:fldCharType="end"/>
        </w:r>
      </w:hyperlink>
    </w:p>
    <w:p w14:paraId="4D028090" w14:textId="6DCC9CF6"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15" w:history="1">
        <w:r w:rsidRPr="00EA779E">
          <w:rPr>
            <w:rStyle w:val="Collegamentoipertestuale"/>
            <w:rFonts w:ascii="Tahoma" w:hAnsi="Tahoma" w:cs="Tahoma"/>
            <w:noProof/>
          </w:rPr>
          <w:t>6.16.1 Gestione delle entrate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244</w:t>
        </w:r>
        <w:r w:rsidRPr="00EA779E">
          <w:rPr>
            <w:rFonts w:ascii="Tahoma" w:hAnsi="Tahoma" w:cs="Tahoma"/>
            <w:noProof/>
            <w:webHidden/>
          </w:rPr>
          <w:fldChar w:fldCharType="end"/>
        </w:r>
      </w:hyperlink>
    </w:p>
    <w:p w14:paraId="740AF378" w14:textId="39C9E04A"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16" w:history="1">
        <w:r w:rsidRPr="00EA779E">
          <w:rPr>
            <w:rStyle w:val="Collegamentoipertestuale"/>
            <w:rFonts w:ascii="Tahoma" w:hAnsi="Tahoma" w:cs="Tahoma"/>
            <w:noProof/>
          </w:rPr>
          <w:t>6.16.2 Gestione delle spese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245</w:t>
        </w:r>
        <w:r w:rsidRPr="00EA779E">
          <w:rPr>
            <w:rFonts w:ascii="Tahoma" w:hAnsi="Tahoma" w:cs="Tahoma"/>
            <w:noProof/>
            <w:webHidden/>
          </w:rPr>
          <w:fldChar w:fldCharType="end"/>
        </w:r>
      </w:hyperlink>
    </w:p>
    <w:p w14:paraId="632B36A8" w14:textId="75371A63"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17" w:history="1">
        <w:r w:rsidRPr="00EA779E">
          <w:rPr>
            <w:rStyle w:val="Collegamentoipertestuale"/>
            <w:rFonts w:ascii="Tahoma" w:hAnsi="Tahoma" w:cs="Tahoma"/>
            <w:noProof/>
          </w:rPr>
          <w:t>6.16.3 Vigilanza sull'attività contrattuale</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247</w:t>
        </w:r>
        <w:r w:rsidRPr="00EA779E">
          <w:rPr>
            <w:rFonts w:ascii="Tahoma" w:hAnsi="Tahoma" w:cs="Tahoma"/>
            <w:noProof/>
            <w:webHidden/>
          </w:rPr>
          <w:fldChar w:fldCharType="end"/>
        </w:r>
      </w:hyperlink>
    </w:p>
    <w:p w14:paraId="0BDCB2CF" w14:textId="74CE5CDD"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18" w:history="1">
        <w:r w:rsidRPr="00EA779E">
          <w:rPr>
            <w:rStyle w:val="Collegamentoipertestuale"/>
            <w:rFonts w:ascii="Tahoma" w:hAnsi="Tahoma" w:cs="Tahoma"/>
            <w:noProof/>
          </w:rPr>
          <w:t>6.16.4 Vigilanza sull'acquisizione di beni e servizi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_Toc95912318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250</w:t>
        </w:r>
        <w:r w:rsidRPr="00EA779E">
          <w:rPr>
            <w:rFonts w:ascii="Tahoma" w:hAnsi="Tahoma" w:cs="Tahoma"/>
            <w:noProof/>
            <w:webHidden/>
          </w:rPr>
          <w:fldChar w:fldCharType="end"/>
        </w:r>
      </w:hyperlink>
    </w:p>
    <w:p w14:paraId="2CC478A1" w14:textId="5E656325"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19" w:history="1">
        <w:r w:rsidRPr="00EA779E">
          <w:rPr>
            <w:rStyle w:val="Collegamentoipertestuale"/>
            <w:rFonts w:ascii="Tahoma" w:hAnsi="Tahoma" w:cs="Tahoma"/>
            <w:noProof/>
          </w:rPr>
          <w:t>6.16.5 Vigilanza sull'amministrazione dei beni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_Toc95912319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255</w:t>
        </w:r>
        <w:r w:rsidRPr="00EA779E">
          <w:rPr>
            <w:rFonts w:ascii="Tahoma" w:hAnsi="Tahoma" w:cs="Tahoma"/>
            <w:noProof/>
            <w:webHidden/>
          </w:rPr>
          <w:fldChar w:fldCharType="end"/>
        </w:r>
      </w:hyperlink>
    </w:p>
    <w:p w14:paraId="085492A1" w14:textId="77253E24"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20" w:history="1">
        <w:r w:rsidRPr="00EA779E">
          <w:rPr>
            <w:rStyle w:val="Collegamentoipertestuale"/>
            <w:rFonts w:ascii="Tahoma" w:hAnsi="Tahoma" w:cs="Tahoma"/>
            <w:noProof/>
          </w:rPr>
          <w:t>6.17 Certificazione Covid-19</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_Toc95912320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256</w:t>
        </w:r>
        <w:r w:rsidRPr="00EA779E">
          <w:rPr>
            <w:rFonts w:ascii="Tahoma" w:hAnsi="Tahoma" w:cs="Tahoma"/>
            <w:noProof/>
            <w:webHidden/>
          </w:rPr>
          <w:fldChar w:fldCharType="end"/>
        </w:r>
      </w:hyperlink>
    </w:p>
    <w:p w14:paraId="2F89F1AC" w14:textId="07912E4B"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21" w:history="1">
        <w:r w:rsidRPr="00EA779E">
          <w:rPr>
            <w:rStyle w:val="Collegamentoipertestuale"/>
            <w:rFonts w:ascii="Tahoma" w:hAnsi="Tahoma" w:cs="Tahoma"/>
            <w:noProof/>
          </w:rPr>
          <w:t>6.18 Vigilanza sugli adempimenti fiscali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_Toc95912321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257</w:t>
        </w:r>
        <w:r w:rsidRPr="00EA779E">
          <w:rPr>
            <w:rFonts w:ascii="Tahoma" w:hAnsi="Tahoma" w:cs="Tahoma"/>
            <w:noProof/>
            <w:webHidden/>
          </w:rPr>
          <w:fldChar w:fldCharType="end"/>
        </w:r>
      </w:hyperlink>
    </w:p>
    <w:p w14:paraId="5A091C63" w14:textId="4E96B31E"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22" w:history="1">
        <w:r w:rsidRPr="00EA779E">
          <w:rPr>
            <w:rStyle w:val="Collegamentoipertestuale"/>
            <w:rFonts w:ascii="Tahoma" w:hAnsi="Tahoma" w:cs="Tahoma"/>
            <w:noProof/>
          </w:rPr>
          <w:t>6.18.1 Soggettività Iva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_Toc95912322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257</w:t>
        </w:r>
        <w:r w:rsidRPr="00EA779E">
          <w:rPr>
            <w:rFonts w:ascii="Tahoma" w:hAnsi="Tahoma" w:cs="Tahoma"/>
            <w:noProof/>
            <w:webHidden/>
          </w:rPr>
          <w:fldChar w:fldCharType="end"/>
        </w:r>
      </w:hyperlink>
    </w:p>
    <w:p w14:paraId="2A92F80E" w14:textId="60895321"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23" w:history="1">
        <w:r w:rsidRPr="00EA779E">
          <w:rPr>
            <w:rStyle w:val="Collegamentoipertestuale"/>
            <w:rFonts w:ascii="Tahoma" w:hAnsi="Tahoma" w:cs="Tahoma"/>
            <w:noProof/>
            <w:lang w:eastAsia="it-IT"/>
          </w:rPr>
          <w:t>6.18.2 Soggettività Irap</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_Toc95912323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264</w:t>
        </w:r>
        <w:r w:rsidRPr="00EA779E">
          <w:rPr>
            <w:rFonts w:ascii="Tahoma" w:hAnsi="Tahoma" w:cs="Tahoma"/>
            <w:noProof/>
            <w:webHidden/>
          </w:rPr>
          <w:fldChar w:fldCharType="end"/>
        </w:r>
      </w:hyperlink>
    </w:p>
    <w:p w14:paraId="6342EEC0" w14:textId="24A0685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24" w:history="1">
        <w:r w:rsidRPr="00EA779E">
          <w:rPr>
            <w:rStyle w:val="Collegamentoipertestuale"/>
            <w:rFonts w:ascii="Tahoma" w:hAnsi="Tahoma" w:cs="Tahoma"/>
            <w:noProof/>
            <w:lang w:eastAsia="it-IT"/>
          </w:rPr>
          <w:t>6.18.3 Non soggettività passiva IRES</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_Toc95912324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266</w:t>
        </w:r>
        <w:r w:rsidRPr="00EA779E">
          <w:rPr>
            <w:rFonts w:ascii="Tahoma" w:hAnsi="Tahoma" w:cs="Tahoma"/>
            <w:noProof/>
            <w:webHidden/>
          </w:rPr>
          <w:fldChar w:fldCharType="end"/>
        </w:r>
      </w:hyperlink>
    </w:p>
    <w:p w14:paraId="19CE2866" w14:textId="452E7574"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25" w:history="1">
        <w:r w:rsidRPr="00EA779E">
          <w:rPr>
            <w:rStyle w:val="Collegamentoipertestuale"/>
            <w:rFonts w:ascii="Tahoma" w:hAnsi="Tahoma" w:cs="Tahoma"/>
            <w:noProof/>
            <w:lang w:eastAsia="it-IT"/>
          </w:rPr>
          <w:t>6.18.4 Sostituto di imposta</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_Toc95912325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266</w:t>
        </w:r>
        <w:r w:rsidRPr="00EA779E">
          <w:rPr>
            <w:rFonts w:ascii="Tahoma" w:hAnsi="Tahoma" w:cs="Tahoma"/>
            <w:noProof/>
            <w:webHidden/>
          </w:rPr>
          <w:fldChar w:fldCharType="end"/>
        </w:r>
      </w:hyperlink>
    </w:p>
    <w:p w14:paraId="14F09312" w14:textId="565B16FB" w:rsidR="00EA779E" w:rsidRPr="00EA779E" w:rsidRDefault="00EA779E" w:rsidP="00EA779E">
      <w:pPr>
        <w:pStyle w:val="Sommario3"/>
        <w:spacing w:before="60" w:after="60" w:line="326" w:lineRule="auto"/>
        <w:rPr>
          <w:rFonts w:ascii="Tahoma" w:eastAsiaTheme="minorEastAsia" w:hAnsi="Tahoma" w:cs="Tahoma"/>
          <w:noProof/>
          <w:lang w:eastAsia="it-IT"/>
        </w:rPr>
      </w:pPr>
      <w:hyperlink w:anchor="_Toc95912326" w:history="1">
        <w:r w:rsidRPr="00EA779E">
          <w:rPr>
            <w:rStyle w:val="Collegamentoipertestuale"/>
            <w:rFonts w:ascii="Tahoma" w:hAnsi="Tahoma" w:cs="Tahoma"/>
            <w:noProof/>
          </w:rPr>
          <w:t>6.18.5 Visto di conformità</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_Toc95912326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269</w:t>
        </w:r>
        <w:r w:rsidRPr="00EA779E">
          <w:rPr>
            <w:rFonts w:ascii="Tahoma" w:hAnsi="Tahoma" w:cs="Tahoma"/>
            <w:noProof/>
            <w:webHidden/>
          </w:rPr>
          <w:fldChar w:fldCharType="end"/>
        </w:r>
      </w:hyperlink>
    </w:p>
    <w:p w14:paraId="6C46CDFD" w14:textId="082F3B4D" w:rsidR="00EA779E" w:rsidRPr="00EA779E" w:rsidRDefault="00EA779E" w:rsidP="00EA779E">
      <w:pPr>
        <w:pStyle w:val="Sommario2"/>
        <w:spacing w:before="60" w:after="60" w:line="326" w:lineRule="auto"/>
        <w:rPr>
          <w:rFonts w:ascii="Tahoma" w:eastAsiaTheme="minorEastAsia" w:hAnsi="Tahoma" w:cs="Tahoma"/>
          <w:b w:val="0"/>
          <w:bCs w:val="0"/>
          <w:noProof/>
          <w:lang w:eastAsia="it-IT"/>
        </w:rPr>
      </w:pPr>
      <w:hyperlink w:anchor="_Toc95912327" w:history="1">
        <w:r w:rsidRPr="00EA779E">
          <w:rPr>
            <w:rStyle w:val="Collegamentoipertestuale"/>
            <w:rFonts w:ascii="Tahoma" w:hAnsi="Tahoma" w:cs="Tahoma"/>
            <w:noProof/>
          </w:rPr>
          <w:t>6.19 Collaborazione con la Corte dei Conti</w:t>
        </w:r>
        <w:r w:rsidRPr="00EA779E">
          <w:rPr>
            <w:rFonts w:ascii="Tahoma" w:hAnsi="Tahoma" w:cs="Tahoma"/>
            <w:noProof/>
            <w:webHidden/>
          </w:rPr>
          <w:tab/>
        </w:r>
        <w:r w:rsidRPr="00EA779E">
          <w:rPr>
            <w:rFonts w:ascii="Tahoma" w:hAnsi="Tahoma" w:cs="Tahoma"/>
            <w:noProof/>
            <w:webHidden/>
          </w:rPr>
          <w:fldChar w:fldCharType="begin"/>
        </w:r>
        <w:r w:rsidRPr="00EA779E">
          <w:rPr>
            <w:rFonts w:ascii="Tahoma" w:hAnsi="Tahoma" w:cs="Tahoma"/>
            <w:noProof/>
            <w:webHidden/>
          </w:rPr>
          <w:instrText xml:space="preserve"> PAGEREF _Toc95912327 \h </w:instrText>
        </w:r>
        <w:r w:rsidRPr="00EA779E">
          <w:rPr>
            <w:rFonts w:ascii="Tahoma" w:hAnsi="Tahoma" w:cs="Tahoma"/>
            <w:noProof/>
            <w:webHidden/>
          </w:rPr>
        </w:r>
        <w:r w:rsidRPr="00EA779E">
          <w:rPr>
            <w:rFonts w:ascii="Tahoma" w:hAnsi="Tahoma" w:cs="Tahoma"/>
            <w:noProof/>
            <w:webHidden/>
          </w:rPr>
          <w:fldChar w:fldCharType="separate"/>
        </w:r>
        <w:r w:rsidRPr="00EA779E">
          <w:rPr>
            <w:rFonts w:ascii="Tahoma" w:hAnsi="Tahoma" w:cs="Tahoma"/>
            <w:noProof/>
            <w:webHidden/>
          </w:rPr>
          <w:t>270</w:t>
        </w:r>
        <w:r w:rsidRPr="00EA779E">
          <w:rPr>
            <w:rFonts w:ascii="Tahoma" w:hAnsi="Tahoma" w:cs="Tahoma"/>
            <w:noProof/>
            <w:webHidden/>
          </w:rPr>
          <w:fldChar w:fldCharType="end"/>
        </w:r>
      </w:hyperlink>
    </w:p>
    <w:p w14:paraId="73594271" w14:textId="15056D8B"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328" w:history="1">
        <w:r w:rsidRPr="00EA779E">
          <w:rPr>
            <w:rStyle w:val="Collegamentoipertestuale"/>
            <w:rFonts w:ascii="Tahoma" w:hAnsi="Tahoma" w:cs="Tahoma"/>
            <w:noProof/>
            <w:sz w:val="20"/>
            <w:szCs w:val="20"/>
          </w:rPr>
          <w:t>Tabella determinazione dei compensi dell’organo di revisione</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_Toc95912328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273</w:t>
        </w:r>
        <w:r w:rsidRPr="00EA779E">
          <w:rPr>
            <w:rFonts w:ascii="Tahoma" w:hAnsi="Tahoma" w:cs="Tahoma"/>
            <w:noProof/>
            <w:webHidden/>
            <w:sz w:val="20"/>
            <w:szCs w:val="20"/>
          </w:rPr>
          <w:fldChar w:fldCharType="end"/>
        </w:r>
      </w:hyperlink>
    </w:p>
    <w:p w14:paraId="4256D9AB" w14:textId="3C61F411"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329" w:history="1">
        <w:r w:rsidRPr="00EA779E">
          <w:rPr>
            <w:rStyle w:val="Collegamentoipertestuale"/>
            <w:rFonts w:ascii="Tahoma" w:hAnsi="Tahoma" w:cs="Tahoma"/>
            <w:noProof/>
            <w:sz w:val="20"/>
            <w:szCs w:val="20"/>
          </w:rPr>
          <w:t>Schemi del bilancio di previsione</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_Toc95912329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275</w:t>
        </w:r>
        <w:r w:rsidRPr="00EA779E">
          <w:rPr>
            <w:rFonts w:ascii="Tahoma" w:hAnsi="Tahoma" w:cs="Tahoma"/>
            <w:noProof/>
            <w:webHidden/>
            <w:sz w:val="20"/>
            <w:szCs w:val="20"/>
          </w:rPr>
          <w:fldChar w:fldCharType="end"/>
        </w:r>
      </w:hyperlink>
    </w:p>
    <w:p w14:paraId="18E94F43" w14:textId="25FDC675"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330" w:history="1">
        <w:r w:rsidRPr="00EA779E">
          <w:rPr>
            <w:rStyle w:val="Collegamentoipertestuale"/>
            <w:rFonts w:ascii="Tahoma" w:hAnsi="Tahoma" w:cs="Tahoma"/>
            <w:noProof/>
            <w:sz w:val="20"/>
            <w:szCs w:val="20"/>
          </w:rPr>
          <w:t>Tabella dei parametri di risconto della situazione di deficitarietà strutturale</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_Toc95912330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278</w:t>
        </w:r>
        <w:r w:rsidRPr="00EA779E">
          <w:rPr>
            <w:rFonts w:ascii="Tahoma" w:hAnsi="Tahoma" w:cs="Tahoma"/>
            <w:noProof/>
            <w:webHidden/>
            <w:sz w:val="20"/>
            <w:szCs w:val="20"/>
          </w:rPr>
          <w:fldChar w:fldCharType="end"/>
        </w:r>
      </w:hyperlink>
    </w:p>
    <w:p w14:paraId="49928485" w14:textId="65CADFA0" w:rsidR="00EA779E" w:rsidRPr="00EA779E" w:rsidRDefault="00EA779E" w:rsidP="00EA779E">
      <w:pPr>
        <w:pStyle w:val="Sommario1"/>
        <w:tabs>
          <w:tab w:val="right" w:leader="dot" w:pos="9628"/>
        </w:tabs>
        <w:spacing w:before="60" w:after="60" w:line="326" w:lineRule="auto"/>
        <w:rPr>
          <w:rFonts w:ascii="Tahoma" w:eastAsiaTheme="minorEastAsia" w:hAnsi="Tahoma" w:cs="Tahoma"/>
          <w:b w:val="0"/>
          <w:bCs w:val="0"/>
          <w:caps w:val="0"/>
          <w:noProof/>
          <w:sz w:val="20"/>
          <w:szCs w:val="20"/>
          <w:lang w:eastAsia="it-IT"/>
        </w:rPr>
      </w:pPr>
      <w:hyperlink w:anchor="_Toc95912331" w:history="1">
        <w:r w:rsidRPr="00EA779E">
          <w:rPr>
            <w:rStyle w:val="Collegamentoipertestuale"/>
            <w:rFonts w:ascii="Tahoma" w:hAnsi="Tahoma" w:cs="Tahoma"/>
            <w:noProof/>
            <w:sz w:val="20"/>
            <w:szCs w:val="20"/>
          </w:rPr>
          <w:t>Valori soglia per fascia demografica ex Art. 33, c. 2, D.L. n. 34/2019</w:t>
        </w:r>
        <w:r w:rsidRPr="00EA779E">
          <w:rPr>
            <w:rFonts w:ascii="Tahoma" w:hAnsi="Tahoma" w:cs="Tahoma"/>
            <w:noProof/>
            <w:webHidden/>
            <w:sz w:val="20"/>
            <w:szCs w:val="20"/>
          </w:rPr>
          <w:tab/>
        </w:r>
        <w:r w:rsidRPr="00EA779E">
          <w:rPr>
            <w:rFonts w:ascii="Tahoma" w:hAnsi="Tahoma" w:cs="Tahoma"/>
            <w:noProof/>
            <w:webHidden/>
            <w:sz w:val="20"/>
            <w:szCs w:val="20"/>
          </w:rPr>
          <w:fldChar w:fldCharType="begin"/>
        </w:r>
        <w:r w:rsidRPr="00EA779E">
          <w:rPr>
            <w:rFonts w:ascii="Tahoma" w:hAnsi="Tahoma" w:cs="Tahoma"/>
            <w:noProof/>
            <w:webHidden/>
            <w:sz w:val="20"/>
            <w:szCs w:val="20"/>
          </w:rPr>
          <w:instrText xml:space="preserve"> PAGEREF _Toc95912331 \h </w:instrText>
        </w:r>
        <w:r w:rsidRPr="00EA779E">
          <w:rPr>
            <w:rFonts w:ascii="Tahoma" w:hAnsi="Tahoma" w:cs="Tahoma"/>
            <w:noProof/>
            <w:webHidden/>
            <w:sz w:val="20"/>
            <w:szCs w:val="20"/>
          </w:rPr>
        </w:r>
        <w:r w:rsidRPr="00EA779E">
          <w:rPr>
            <w:rFonts w:ascii="Tahoma" w:hAnsi="Tahoma" w:cs="Tahoma"/>
            <w:noProof/>
            <w:webHidden/>
            <w:sz w:val="20"/>
            <w:szCs w:val="20"/>
          </w:rPr>
          <w:fldChar w:fldCharType="separate"/>
        </w:r>
        <w:r w:rsidRPr="00EA779E">
          <w:rPr>
            <w:rFonts w:ascii="Tahoma" w:hAnsi="Tahoma" w:cs="Tahoma"/>
            <w:noProof/>
            <w:webHidden/>
            <w:sz w:val="20"/>
            <w:szCs w:val="20"/>
          </w:rPr>
          <w:t>280</w:t>
        </w:r>
        <w:r w:rsidRPr="00EA779E">
          <w:rPr>
            <w:rFonts w:ascii="Tahoma" w:hAnsi="Tahoma" w:cs="Tahoma"/>
            <w:noProof/>
            <w:webHidden/>
            <w:sz w:val="20"/>
            <w:szCs w:val="20"/>
          </w:rPr>
          <w:fldChar w:fldCharType="end"/>
        </w:r>
      </w:hyperlink>
    </w:p>
    <w:p w14:paraId="64DFD683" w14:textId="14F2D196" w:rsidR="00B43B05" w:rsidRPr="00515872" w:rsidRDefault="00062C19" w:rsidP="00EA779E">
      <w:pPr>
        <w:pStyle w:val="Titolo"/>
        <w:spacing w:before="60" w:after="60" w:line="326" w:lineRule="auto"/>
      </w:pPr>
      <w:r w:rsidRPr="00EA779E">
        <w:rPr>
          <w:rFonts w:cs="Tahoma"/>
          <w:caps/>
          <w:sz w:val="20"/>
          <w:szCs w:val="20"/>
          <w:highlight w:val="yellow"/>
        </w:rPr>
        <w:lastRenderedPageBreak/>
        <w:fldChar w:fldCharType="end"/>
      </w:r>
      <w:bookmarkStart w:id="0" w:name="_Toc464382610"/>
      <w:bookmarkStart w:id="1" w:name="_Toc95912203"/>
      <w:r w:rsidR="000809BF" w:rsidRPr="00515872">
        <w:t xml:space="preserve">1. </w:t>
      </w:r>
      <w:r w:rsidR="00A300FD" w:rsidRPr="00515872">
        <w:t>R</w:t>
      </w:r>
      <w:r w:rsidR="00D47AB3" w:rsidRPr="00515872">
        <w:t>evisor</w:t>
      </w:r>
      <w:r w:rsidR="00A300FD" w:rsidRPr="00515872">
        <w:t xml:space="preserve">i dei conti </w:t>
      </w:r>
      <w:r w:rsidR="00D47AB3" w:rsidRPr="00515872">
        <w:t xml:space="preserve">e </w:t>
      </w:r>
      <w:r w:rsidR="00A300FD" w:rsidRPr="00515872">
        <w:t>sistemi di controllo deg</w:t>
      </w:r>
      <w:r w:rsidR="00D47AB3" w:rsidRPr="00515872">
        <w:t>li enti locali</w:t>
      </w:r>
      <w:bookmarkEnd w:id="0"/>
      <w:bookmarkEnd w:id="1"/>
    </w:p>
    <w:p w14:paraId="18A3DBCB" w14:textId="77777777" w:rsidR="007551F4" w:rsidRDefault="007551F4" w:rsidP="00297A21">
      <w:pPr>
        <w:pStyle w:val="Paragrafo"/>
      </w:pPr>
      <w:bookmarkStart w:id="2" w:name="_Toc421458582"/>
      <w:bookmarkStart w:id="3" w:name="_Toc464382611"/>
      <w:bookmarkStart w:id="4" w:name="_Toc95912204"/>
    </w:p>
    <w:p w14:paraId="1595DF0E" w14:textId="77777777" w:rsidR="007551F4" w:rsidRDefault="007551F4" w:rsidP="00297A21">
      <w:pPr>
        <w:pStyle w:val="Paragrafo"/>
      </w:pPr>
    </w:p>
    <w:p w14:paraId="7A354C15" w14:textId="6133A6E1" w:rsidR="0047453A" w:rsidRPr="00515872" w:rsidRDefault="0047453A" w:rsidP="00297A21">
      <w:pPr>
        <w:pStyle w:val="Paragrafo"/>
        <w:rPr>
          <w:rFonts w:eastAsia="MS Gothic"/>
          <w:kern w:val="28"/>
          <w:sz w:val="40"/>
        </w:rPr>
      </w:pPr>
      <w:r w:rsidRPr="00515872">
        <w:t xml:space="preserve">1.1 </w:t>
      </w:r>
      <w:bookmarkEnd w:id="2"/>
      <w:r w:rsidR="00D47AB3" w:rsidRPr="00515872">
        <w:t>Introduzione della figura del revisore ed evoluzione normativa</w:t>
      </w:r>
      <w:bookmarkEnd w:id="3"/>
      <w:bookmarkEnd w:id="4"/>
    </w:p>
    <w:p w14:paraId="69B4C26E" w14:textId="77777777" w:rsidR="006D4B44" w:rsidRPr="00515872" w:rsidRDefault="006D4B44" w:rsidP="00D020DB">
      <w:pPr>
        <w:spacing w:line="360" w:lineRule="auto"/>
        <w:jc w:val="both"/>
        <w:rPr>
          <w:rFonts w:cs="Tahoma"/>
          <w:bCs/>
        </w:rPr>
      </w:pPr>
      <w:bookmarkStart w:id="5" w:name="_Toc417458011"/>
      <w:r w:rsidRPr="00515872">
        <w:rPr>
          <w:rFonts w:cs="Tahoma"/>
          <w:bCs/>
        </w:rPr>
        <w:t xml:space="preserve">La revisione economico-finanziaria di un </w:t>
      </w:r>
      <w:r w:rsidR="00F02062" w:rsidRPr="00515872">
        <w:rPr>
          <w:rFonts w:cs="Tahoma"/>
          <w:bCs/>
        </w:rPr>
        <w:t>e</w:t>
      </w:r>
      <w:r w:rsidRPr="00515872">
        <w:rPr>
          <w:rFonts w:cs="Tahoma"/>
          <w:bCs/>
        </w:rPr>
        <w:t>nte pubblico è attività funzionale al conseguimento</w:t>
      </w:r>
      <w:r w:rsidR="006C45EC" w:rsidRPr="00515872">
        <w:rPr>
          <w:rFonts w:cs="Tahoma"/>
          <w:bCs/>
        </w:rPr>
        <w:t xml:space="preserve"> </w:t>
      </w:r>
      <w:r w:rsidRPr="00515872">
        <w:rPr>
          <w:rFonts w:cs="Tahoma"/>
          <w:bCs/>
        </w:rPr>
        <w:t xml:space="preserve">di efficienza, economicità ed efficacia della gestione e risponde all’esigenza di esercitare un controllo complessivo sulla </w:t>
      </w:r>
      <w:r w:rsidR="00B639B9" w:rsidRPr="00515872">
        <w:rPr>
          <w:rFonts w:cs="Tahoma"/>
          <w:bCs/>
        </w:rPr>
        <w:t>stessa per poter</w:t>
      </w:r>
      <w:r w:rsidR="006C45EC" w:rsidRPr="00515872">
        <w:rPr>
          <w:rFonts w:cs="Tahoma"/>
          <w:bCs/>
        </w:rPr>
        <w:t xml:space="preserve"> misurare</w:t>
      </w:r>
      <w:r w:rsidRPr="00515872">
        <w:rPr>
          <w:rFonts w:cs="Tahoma"/>
          <w:bCs/>
        </w:rPr>
        <w:t>, attraverso l’analisi del rapporto fra prestazioni erogate e ob</w:t>
      </w:r>
      <w:r w:rsidR="006C45EC" w:rsidRPr="00515872">
        <w:rPr>
          <w:rFonts w:cs="Tahoma"/>
          <w:bCs/>
        </w:rPr>
        <w:t xml:space="preserve">iettivi, </w:t>
      </w:r>
      <w:r w:rsidRPr="00515872">
        <w:rPr>
          <w:rFonts w:cs="Tahoma"/>
          <w:bCs/>
        </w:rPr>
        <w:t>l’adeguatezza dell’organizzazione nel perseguimento degli obiettivi individuati.</w:t>
      </w:r>
    </w:p>
    <w:p w14:paraId="5693D917" w14:textId="77777777" w:rsidR="00DD2D58" w:rsidRPr="00515872" w:rsidRDefault="00344DDE" w:rsidP="000C4898">
      <w:pPr>
        <w:spacing w:line="360" w:lineRule="auto"/>
        <w:jc w:val="both"/>
        <w:rPr>
          <w:rFonts w:cs="Tahoma"/>
          <w:bCs/>
          <w:szCs w:val="20"/>
        </w:rPr>
      </w:pPr>
      <w:r w:rsidRPr="00515872">
        <w:rPr>
          <w:rFonts w:cs="Tahoma"/>
          <w:bCs/>
        </w:rPr>
        <w:t xml:space="preserve">Già il </w:t>
      </w:r>
      <w:r w:rsidR="001A10F7" w:rsidRPr="00515872">
        <w:rPr>
          <w:rFonts w:cs="Tahoma"/>
          <w:bCs/>
        </w:rPr>
        <w:t xml:space="preserve">R.D. </w:t>
      </w:r>
      <w:r w:rsidR="00DD2D58" w:rsidRPr="00515872">
        <w:rPr>
          <w:rFonts w:cs="Tahoma"/>
          <w:bCs/>
        </w:rPr>
        <w:t>n.</w:t>
      </w:r>
      <w:r w:rsidR="006C45EC" w:rsidRPr="00515872">
        <w:rPr>
          <w:rFonts w:cs="Tahoma"/>
          <w:bCs/>
        </w:rPr>
        <w:t xml:space="preserve"> </w:t>
      </w:r>
      <w:r w:rsidR="00DD2D58" w:rsidRPr="00515872">
        <w:rPr>
          <w:rFonts w:cs="Tahoma"/>
          <w:bCs/>
        </w:rPr>
        <w:t>383/</w:t>
      </w:r>
      <w:r w:rsidR="001A10F7" w:rsidRPr="00515872">
        <w:rPr>
          <w:rFonts w:cs="Tahoma"/>
          <w:bCs/>
        </w:rPr>
        <w:t>19</w:t>
      </w:r>
      <w:r w:rsidR="00DD2D58" w:rsidRPr="00515872">
        <w:rPr>
          <w:rFonts w:cs="Tahoma"/>
          <w:bCs/>
        </w:rPr>
        <w:t xml:space="preserve">34 </w:t>
      </w:r>
      <w:r w:rsidR="001A10F7" w:rsidRPr="00515872">
        <w:rPr>
          <w:rFonts w:cs="Tahoma"/>
          <w:bCs/>
        </w:rPr>
        <w:t>(T</w:t>
      </w:r>
      <w:r w:rsidR="00B639B9" w:rsidRPr="00515872">
        <w:rPr>
          <w:rFonts w:cs="Tahoma"/>
          <w:bCs/>
        </w:rPr>
        <w:t xml:space="preserve">esto </w:t>
      </w:r>
      <w:r w:rsidR="001A10F7" w:rsidRPr="00515872">
        <w:rPr>
          <w:rFonts w:cs="Tahoma"/>
          <w:bCs/>
        </w:rPr>
        <w:t>U</w:t>
      </w:r>
      <w:r w:rsidR="00B639B9" w:rsidRPr="00515872">
        <w:rPr>
          <w:rFonts w:cs="Tahoma"/>
          <w:bCs/>
        </w:rPr>
        <w:t xml:space="preserve">nico della </w:t>
      </w:r>
      <w:r w:rsidR="001A10F7" w:rsidRPr="00515872">
        <w:rPr>
          <w:rFonts w:cs="Tahoma"/>
          <w:bCs/>
        </w:rPr>
        <w:t>L</w:t>
      </w:r>
      <w:r w:rsidR="00B639B9" w:rsidRPr="00515872">
        <w:rPr>
          <w:rFonts w:cs="Tahoma"/>
          <w:bCs/>
        </w:rPr>
        <w:t xml:space="preserve">egge </w:t>
      </w:r>
      <w:r w:rsidR="001A10F7" w:rsidRPr="00515872">
        <w:rPr>
          <w:rFonts w:cs="Tahoma"/>
          <w:bCs/>
        </w:rPr>
        <w:t>P</w:t>
      </w:r>
      <w:r w:rsidR="00B639B9" w:rsidRPr="00515872">
        <w:rPr>
          <w:rFonts w:cs="Tahoma"/>
          <w:bCs/>
        </w:rPr>
        <w:t xml:space="preserve">rovinciale </w:t>
      </w:r>
      <w:r w:rsidR="001A10F7" w:rsidRPr="00515872">
        <w:rPr>
          <w:rFonts w:cs="Tahoma"/>
          <w:bCs/>
        </w:rPr>
        <w:t>C</w:t>
      </w:r>
      <w:r w:rsidR="00B639B9" w:rsidRPr="00515872">
        <w:rPr>
          <w:rFonts w:cs="Tahoma"/>
          <w:bCs/>
        </w:rPr>
        <w:t>omunale</w:t>
      </w:r>
      <w:r w:rsidR="001A10F7" w:rsidRPr="00515872">
        <w:rPr>
          <w:rFonts w:cs="Tahoma"/>
          <w:bCs/>
        </w:rPr>
        <w:t xml:space="preserve">) </w:t>
      </w:r>
      <w:r w:rsidR="00DD2D58" w:rsidRPr="00515872">
        <w:rPr>
          <w:rFonts w:cs="Tahoma"/>
          <w:bCs/>
        </w:rPr>
        <w:t>prevedeva un organo di controllo</w:t>
      </w:r>
      <w:r w:rsidRPr="00515872">
        <w:rPr>
          <w:rFonts w:cs="Tahoma"/>
          <w:bCs/>
        </w:rPr>
        <w:t xml:space="preserve"> senza stabilire, </w:t>
      </w:r>
      <w:r w:rsidR="00012DB1" w:rsidRPr="00515872">
        <w:rPr>
          <w:rFonts w:cs="Tahoma"/>
          <w:bCs/>
        </w:rPr>
        <w:t xml:space="preserve">tuttavia, </w:t>
      </w:r>
      <w:r w:rsidRPr="00515872">
        <w:rPr>
          <w:rFonts w:cs="Tahoma"/>
          <w:bCs/>
        </w:rPr>
        <w:t>per</w:t>
      </w:r>
      <w:r w:rsidR="00DD2D58" w:rsidRPr="00515872">
        <w:rPr>
          <w:rFonts w:cs="Tahoma"/>
          <w:bCs/>
        </w:rPr>
        <w:t xml:space="preserve"> i </w:t>
      </w:r>
      <w:r w:rsidRPr="00515872">
        <w:rPr>
          <w:rFonts w:cs="Tahoma"/>
          <w:bCs/>
        </w:rPr>
        <w:t>suoi</w:t>
      </w:r>
      <w:r w:rsidR="00DD2D58" w:rsidRPr="00515872">
        <w:rPr>
          <w:rFonts w:cs="Tahoma"/>
          <w:bCs/>
        </w:rPr>
        <w:t xml:space="preserve"> membri</w:t>
      </w:r>
      <w:r w:rsidRPr="00515872">
        <w:rPr>
          <w:rFonts w:cs="Tahoma"/>
          <w:bCs/>
        </w:rPr>
        <w:t>, particolar</w:t>
      </w:r>
      <w:r w:rsidR="00F02062" w:rsidRPr="00515872">
        <w:rPr>
          <w:rFonts w:cs="Tahoma"/>
          <w:bCs/>
        </w:rPr>
        <w:t>i requisiti in termini di</w:t>
      </w:r>
      <w:r w:rsidR="00DD2D58" w:rsidRPr="00515872">
        <w:rPr>
          <w:rFonts w:cs="Tahoma"/>
          <w:bCs/>
        </w:rPr>
        <w:t xml:space="preserve"> competenza tecnica o </w:t>
      </w:r>
      <w:r w:rsidR="00DD2D58" w:rsidRPr="00515872">
        <w:rPr>
          <w:rFonts w:cs="Tahoma"/>
          <w:bCs/>
          <w:szCs w:val="20"/>
        </w:rPr>
        <w:t>professionale.</w:t>
      </w:r>
    </w:p>
    <w:p w14:paraId="00FC2D1D" w14:textId="77777777" w:rsidR="00F02062" w:rsidRPr="00515872" w:rsidRDefault="000C4898" w:rsidP="000C4898">
      <w:pPr>
        <w:spacing w:line="360" w:lineRule="auto"/>
        <w:jc w:val="both"/>
        <w:rPr>
          <w:rFonts w:eastAsia="Times New Roman" w:cs="Tahoma"/>
          <w:szCs w:val="20"/>
          <w:lang w:eastAsia="it-IT"/>
        </w:rPr>
      </w:pPr>
      <w:r w:rsidRPr="00515872">
        <w:rPr>
          <w:rFonts w:eastAsia="Times New Roman" w:cs="Tahoma"/>
          <w:szCs w:val="20"/>
          <w:lang w:eastAsia="it-IT"/>
        </w:rPr>
        <w:t xml:space="preserve">Il successivo affermarsi di una cultura di tipo “aziendalistico” all’interno degli enti locali, ha ridefinito le caratteristiche dell’organo di controllo </w:t>
      </w:r>
      <w:r w:rsidR="00665273" w:rsidRPr="00515872">
        <w:rPr>
          <w:rFonts w:eastAsia="Times New Roman" w:cs="Tahoma"/>
          <w:szCs w:val="20"/>
          <w:lang w:eastAsia="it-IT"/>
        </w:rPr>
        <w:t>al quale</w:t>
      </w:r>
      <w:r w:rsidRPr="00515872">
        <w:rPr>
          <w:rFonts w:eastAsia="Times New Roman" w:cs="Tahoma"/>
          <w:szCs w:val="20"/>
          <w:lang w:eastAsia="it-IT"/>
        </w:rPr>
        <w:t xml:space="preserve">, con la L. </w:t>
      </w:r>
      <w:r w:rsidR="00F02062" w:rsidRPr="00515872">
        <w:rPr>
          <w:rFonts w:eastAsia="Times New Roman" w:cs="Tahoma"/>
          <w:szCs w:val="20"/>
          <w:lang w:eastAsia="it-IT"/>
        </w:rPr>
        <w:t>n.</w:t>
      </w:r>
      <w:r w:rsidR="006C45EC" w:rsidRPr="00515872">
        <w:rPr>
          <w:rFonts w:eastAsia="Times New Roman" w:cs="Tahoma"/>
          <w:szCs w:val="20"/>
          <w:lang w:eastAsia="it-IT"/>
        </w:rPr>
        <w:t xml:space="preserve"> </w:t>
      </w:r>
      <w:r w:rsidRPr="00515872">
        <w:rPr>
          <w:rFonts w:eastAsia="Times New Roman" w:cs="Tahoma"/>
          <w:szCs w:val="20"/>
          <w:lang w:eastAsia="it-IT"/>
        </w:rPr>
        <w:t>142/</w:t>
      </w:r>
      <w:r w:rsidR="00CD204A" w:rsidRPr="00515872">
        <w:rPr>
          <w:rFonts w:eastAsia="Times New Roman" w:cs="Tahoma"/>
          <w:szCs w:val="20"/>
          <w:lang w:eastAsia="it-IT"/>
        </w:rPr>
        <w:t>19</w:t>
      </w:r>
      <w:r w:rsidR="00270F95" w:rsidRPr="00515872">
        <w:rPr>
          <w:rFonts w:eastAsia="Times New Roman" w:cs="Tahoma"/>
          <w:szCs w:val="20"/>
          <w:lang w:eastAsia="it-IT"/>
        </w:rPr>
        <w:t xml:space="preserve">90 prima e </w:t>
      </w:r>
      <w:r w:rsidR="00665273" w:rsidRPr="00515872">
        <w:rPr>
          <w:rFonts w:eastAsia="Times New Roman" w:cs="Tahoma"/>
          <w:szCs w:val="20"/>
          <w:lang w:eastAsia="it-IT"/>
        </w:rPr>
        <w:t>con i</w:t>
      </w:r>
      <w:r w:rsidRPr="00515872">
        <w:rPr>
          <w:rFonts w:eastAsia="Times New Roman" w:cs="Tahoma"/>
          <w:szCs w:val="20"/>
          <w:lang w:eastAsia="it-IT"/>
        </w:rPr>
        <w:t xml:space="preserve">l </w:t>
      </w:r>
      <w:proofErr w:type="spellStart"/>
      <w:r w:rsidR="00415DCE" w:rsidRPr="00515872">
        <w:rPr>
          <w:rFonts w:eastAsia="Times New Roman" w:cs="Tahoma"/>
          <w:szCs w:val="20"/>
          <w:lang w:eastAsia="it-IT"/>
        </w:rPr>
        <w:t>D.Lgs.</w:t>
      </w:r>
      <w:proofErr w:type="spellEnd"/>
      <w:r w:rsidRPr="00515872">
        <w:rPr>
          <w:rFonts w:eastAsia="Times New Roman" w:cs="Tahoma"/>
          <w:szCs w:val="20"/>
          <w:lang w:eastAsia="it-IT"/>
        </w:rPr>
        <w:t xml:space="preserve"> </w:t>
      </w:r>
      <w:r w:rsidR="00F02062" w:rsidRPr="00515872">
        <w:rPr>
          <w:rFonts w:eastAsia="Times New Roman" w:cs="Tahoma"/>
          <w:szCs w:val="20"/>
          <w:lang w:eastAsia="it-IT"/>
        </w:rPr>
        <w:t>n.</w:t>
      </w:r>
      <w:r w:rsidR="006C45EC" w:rsidRPr="00515872">
        <w:rPr>
          <w:rFonts w:eastAsia="Times New Roman" w:cs="Tahoma"/>
          <w:szCs w:val="20"/>
          <w:lang w:eastAsia="it-IT"/>
        </w:rPr>
        <w:t xml:space="preserve"> </w:t>
      </w:r>
      <w:r w:rsidRPr="00515872">
        <w:rPr>
          <w:rFonts w:eastAsia="Times New Roman" w:cs="Tahoma"/>
          <w:szCs w:val="20"/>
          <w:lang w:eastAsia="it-IT"/>
        </w:rPr>
        <w:t>77/</w:t>
      </w:r>
      <w:r w:rsidR="00CD204A" w:rsidRPr="00515872">
        <w:rPr>
          <w:rFonts w:eastAsia="Times New Roman" w:cs="Tahoma"/>
          <w:szCs w:val="20"/>
          <w:lang w:eastAsia="it-IT"/>
        </w:rPr>
        <w:t>19</w:t>
      </w:r>
      <w:r w:rsidRPr="00515872">
        <w:rPr>
          <w:rFonts w:eastAsia="Times New Roman" w:cs="Tahoma"/>
          <w:szCs w:val="20"/>
          <w:lang w:eastAsia="it-IT"/>
        </w:rPr>
        <w:t>95</w:t>
      </w:r>
      <w:r w:rsidR="00270F95" w:rsidRPr="00515872">
        <w:rPr>
          <w:rFonts w:eastAsia="Times New Roman" w:cs="Tahoma"/>
          <w:szCs w:val="20"/>
          <w:lang w:eastAsia="it-IT"/>
        </w:rPr>
        <w:t xml:space="preserve"> successivamente</w:t>
      </w:r>
      <w:r w:rsidRPr="00515872">
        <w:rPr>
          <w:rFonts w:eastAsia="Times New Roman" w:cs="Tahoma"/>
          <w:szCs w:val="20"/>
          <w:lang w:eastAsia="it-IT"/>
        </w:rPr>
        <w:t xml:space="preserve">, </w:t>
      </w:r>
      <w:r w:rsidR="00665273" w:rsidRPr="00515872">
        <w:rPr>
          <w:rFonts w:eastAsia="Times New Roman" w:cs="Tahoma"/>
          <w:szCs w:val="20"/>
          <w:lang w:eastAsia="it-IT"/>
        </w:rPr>
        <w:t>è stato attribuito</w:t>
      </w:r>
      <w:r w:rsidRPr="00515872">
        <w:rPr>
          <w:rFonts w:eastAsia="Times New Roman" w:cs="Tahoma"/>
          <w:szCs w:val="20"/>
          <w:lang w:eastAsia="it-IT"/>
        </w:rPr>
        <w:t>, oltre ai tradizionali compiti di controllo legale ed economico, un nuovo e fondamentale ruolo di supporto tecnico e di collaborazione con l</w:t>
      </w:r>
      <w:r w:rsidR="00F02062" w:rsidRPr="00515872">
        <w:rPr>
          <w:rFonts w:eastAsia="Times New Roman" w:cs="Tahoma"/>
          <w:szCs w:val="20"/>
          <w:lang w:eastAsia="it-IT"/>
        </w:rPr>
        <w:t>’organo c</w:t>
      </w:r>
      <w:r w:rsidRPr="00515872">
        <w:rPr>
          <w:rFonts w:eastAsia="Times New Roman" w:cs="Tahoma"/>
          <w:szCs w:val="20"/>
          <w:lang w:eastAsia="it-IT"/>
        </w:rPr>
        <w:t>onsi</w:t>
      </w:r>
      <w:r w:rsidR="00F02062" w:rsidRPr="00515872">
        <w:rPr>
          <w:rFonts w:eastAsia="Times New Roman" w:cs="Tahoma"/>
          <w:szCs w:val="20"/>
          <w:lang w:eastAsia="it-IT"/>
        </w:rPr>
        <w:t xml:space="preserve">liare </w:t>
      </w:r>
      <w:r w:rsidRPr="00515872">
        <w:rPr>
          <w:rFonts w:eastAsia="Times New Roman" w:cs="Tahoma"/>
          <w:szCs w:val="20"/>
          <w:lang w:eastAsia="it-IT"/>
        </w:rPr>
        <w:t>dell’ente locale, pur mantenendo il necessario distacco da quest’ultimo.</w:t>
      </w:r>
    </w:p>
    <w:p w14:paraId="655B5845" w14:textId="77777777" w:rsidR="00BD6D24" w:rsidRPr="00515872" w:rsidRDefault="00DD2D58" w:rsidP="00DD2D58">
      <w:pPr>
        <w:spacing w:line="360" w:lineRule="auto"/>
        <w:jc w:val="both"/>
        <w:rPr>
          <w:rFonts w:cs="Tahoma"/>
          <w:bCs/>
        </w:rPr>
      </w:pPr>
      <w:r w:rsidRPr="00515872">
        <w:rPr>
          <w:rFonts w:cs="Tahoma"/>
          <w:bCs/>
        </w:rPr>
        <w:t>L’art. 57</w:t>
      </w:r>
      <w:r w:rsidR="00F02062" w:rsidRPr="00515872">
        <w:rPr>
          <w:rFonts w:cs="Tahoma"/>
          <w:bCs/>
        </w:rPr>
        <w:t xml:space="preserve"> della L. n. 142/1990</w:t>
      </w:r>
      <w:r w:rsidRPr="00515872">
        <w:rPr>
          <w:rFonts w:cs="Tahoma"/>
          <w:bCs/>
        </w:rPr>
        <w:t xml:space="preserve"> aveva introdotto l’istituto della revisione </w:t>
      </w:r>
      <w:r w:rsidR="005009B3" w:rsidRPr="00515872">
        <w:rPr>
          <w:rFonts w:cs="Tahoma"/>
          <w:bCs/>
        </w:rPr>
        <w:t>economico-finanziaria</w:t>
      </w:r>
      <w:r w:rsidR="00F02062" w:rsidRPr="00515872">
        <w:rPr>
          <w:rFonts w:cs="Tahoma"/>
          <w:bCs/>
        </w:rPr>
        <w:t xml:space="preserve">, </w:t>
      </w:r>
      <w:r w:rsidR="00270F95" w:rsidRPr="00515872">
        <w:rPr>
          <w:rFonts w:cs="Tahoma"/>
          <w:bCs/>
        </w:rPr>
        <w:t>prevedendo</w:t>
      </w:r>
      <w:r w:rsidRPr="00515872">
        <w:rPr>
          <w:rFonts w:cs="Tahoma"/>
          <w:bCs/>
        </w:rPr>
        <w:t xml:space="preserve"> un organo di revisione indipendente ed esterno alla compagine amministrativa dell’</w:t>
      </w:r>
      <w:r w:rsidR="00F02062" w:rsidRPr="00515872">
        <w:rPr>
          <w:rFonts w:cs="Tahoma"/>
          <w:bCs/>
        </w:rPr>
        <w:t>e</w:t>
      </w:r>
      <w:r w:rsidRPr="00515872">
        <w:rPr>
          <w:rFonts w:cs="Tahoma"/>
          <w:bCs/>
        </w:rPr>
        <w:t>nte</w:t>
      </w:r>
      <w:r w:rsidR="00F02062" w:rsidRPr="00515872">
        <w:rPr>
          <w:rFonts w:cs="Tahoma"/>
          <w:bCs/>
        </w:rPr>
        <w:t>,</w:t>
      </w:r>
      <w:r w:rsidRPr="00515872">
        <w:rPr>
          <w:rFonts w:cs="Tahoma"/>
          <w:bCs/>
        </w:rPr>
        <w:t xml:space="preserve"> formato da professionisti in materia contabile.</w:t>
      </w:r>
    </w:p>
    <w:p w14:paraId="7C564BBF" w14:textId="77777777" w:rsidR="00DD2D58" w:rsidRPr="00515872" w:rsidRDefault="00DD2D58" w:rsidP="00DD2D58">
      <w:pPr>
        <w:spacing w:line="360" w:lineRule="auto"/>
        <w:jc w:val="both"/>
        <w:rPr>
          <w:rFonts w:cs="Tahoma"/>
          <w:bCs/>
        </w:rPr>
      </w:pPr>
      <w:r w:rsidRPr="00515872">
        <w:rPr>
          <w:rFonts w:cs="Tahoma"/>
          <w:bCs/>
        </w:rPr>
        <w:t xml:space="preserve">Tale </w:t>
      </w:r>
      <w:r w:rsidR="00BD6D24" w:rsidRPr="00515872">
        <w:rPr>
          <w:rFonts w:cs="Tahoma"/>
          <w:bCs/>
        </w:rPr>
        <w:t>norma è stata in parte derogata</w:t>
      </w:r>
      <w:r w:rsidRPr="00515872">
        <w:rPr>
          <w:rFonts w:cs="Tahoma"/>
          <w:bCs/>
        </w:rPr>
        <w:t xml:space="preserve"> dal </w:t>
      </w:r>
      <w:proofErr w:type="spellStart"/>
      <w:r w:rsidRPr="00515872">
        <w:rPr>
          <w:rFonts w:cs="Tahoma"/>
          <w:bCs/>
        </w:rPr>
        <w:t>D.Lgs.</w:t>
      </w:r>
      <w:proofErr w:type="spellEnd"/>
      <w:r w:rsidRPr="00515872">
        <w:rPr>
          <w:rFonts w:cs="Tahoma"/>
          <w:bCs/>
        </w:rPr>
        <w:t xml:space="preserve"> </w:t>
      </w:r>
      <w:r w:rsidR="00F02062" w:rsidRPr="00515872">
        <w:rPr>
          <w:rFonts w:cs="Tahoma"/>
          <w:bCs/>
        </w:rPr>
        <w:t xml:space="preserve">n. </w:t>
      </w:r>
      <w:r w:rsidRPr="00515872">
        <w:rPr>
          <w:rFonts w:cs="Tahoma"/>
          <w:bCs/>
        </w:rPr>
        <w:t>77/1995</w:t>
      </w:r>
      <w:r w:rsidR="00337E87" w:rsidRPr="00515872">
        <w:rPr>
          <w:rFonts w:cs="Tahoma"/>
          <w:bCs/>
        </w:rPr>
        <w:t>,</w:t>
      </w:r>
      <w:r w:rsidRPr="00515872">
        <w:rPr>
          <w:rFonts w:cs="Tahoma"/>
          <w:bCs/>
        </w:rPr>
        <w:t xml:space="preserve"> i cui artt. 100-107 sono </w:t>
      </w:r>
      <w:r w:rsidR="00F02062" w:rsidRPr="00515872">
        <w:rPr>
          <w:rFonts w:cs="Tahoma"/>
          <w:bCs/>
        </w:rPr>
        <w:t>successivamente</w:t>
      </w:r>
      <w:r w:rsidRPr="00515872">
        <w:rPr>
          <w:rFonts w:cs="Tahoma"/>
          <w:bCs/>
        </w:rPr>
        <w:t xml:space="preserve"> confluiti nel</w:t>
      </w:r>
      <w:r w:rsidR="00B639B9" w:rsidRPr="00515872">
        <w:rPr>
          <w:rFonts w:cs="Tahoma"/>
          <w:bCs/>
        </w:rPr>
        <w:t xml:space="preserve"> </w:t>
      </w:r>
      <w:proofErr w:type="spellStart"/>
      <w:r w:rsidR="00243B19" w:rsidRPr="00515872">
        <w:rPr>
          <w:rFonts w:cs="Tahoma"/>
          <w:bCs/>
        </w:rPr>
        <w:t>D.Lgs.</w:t>
      </w:r>
      <w:proofErr w:type="spellEnd"/>
      <w:r w:rsidR="00243B19" w:rsidRPr="00515872">
        <w:rPr>
          <w:rFonts w:cs="Tahoma"/>
          <w:bCs/>
        </w:rPr>
        <w:t xml:space="preserve"> 18 agosto 2000, n. 267</w:t>
      </w:r>
      <w:r w:rsidR="00B639B9" w:rsidRPr="00515872">
        <w:rPr>
          <w:rFonts w:cs="Tahoma"/>
          <w:bCs/>
        </w:rPr>
        <w:t xml:space="preserve"> (Testo Unico degli Enti Locali)</w:t>
      </w:r>
      <w:r w:rsidRPr="00515872">
        <w:rPr>
          <w:rFonts w:cs="Tahoma"/>
          <w:bCs/>
        </w:rPr>
        <w:t>, prevedendo, tra l’altro, regole per la formazione di bilanci, previsioni ed ind</w:t>
      </w:r>
      <w:r w:rsidR="00243B19" w:rsidRPr="00515872">
        <w:rPr>
          <w:rFonts w:cs="Tahoma"/>
          <w:bCs/>
        </w:rPr>
        <w:t>ici, nonché</w:t>
      </w:r>
      <w:r w:rsidRPr="00515872">
        <w:rPr>
          <w:rFonts w:cs="Tahoma"/>
          <w:bCs/>
        </w:rPr>
        <w:t xml:space="preserve"> l’omologazione dell’organo di revisione e confermando </w:t>
      </w:r>
      <w:r w:rsidR="00665273" w:rsidRPr="00515872">
        <w:rPr>
          <w:rFonts w:cs="Tahoma"/>
          <w:bCs/>
        </w:rPr>
        <w:t>i requisiti</w:t>
      </w:r>
      <w:r w:rsidR="00B639B9" w:rsidRPr="00515872">
        <w:rPr>
          <w:rFonts w:cs="Tahoma"/>
          <w:bCs/>
        </w:rPr>
        <w:t xml:space="preserve"> d</w:t>
      </w:r>
      <w:r w:rsidR="00665273" w:rsidRPr="00515872">
        <w:rPr>
          <w:rFonts w:cs="Tahoma"/>
          <w:bCs/>
        </w:rPr>
        <w:t>i</w:t>
      </w:r>
      <w:r w:rsidR="00B639B9" w:rsidRPr="00515872">
        <w:rPr>
          <w:rFonts w:cs="Tahoma"/>
          <w:bCs/>
        </w:rPr>
        <w:t xml:space="preserve"> professionalità de</w:t>
      </w:r>
      <w:r w:rsidR="00F02062" w:rsidRPr="00515872">
        <w:rPr>
          <w:rFonts w:cs="Tahoma"/>
          <w:bCs/>
        </w:rPr>
        <w:t>i</w:t>
      </w:r>
      <w:r w:rsidR="00B639B9" w:rsidRPr="00515872">
        <w:rPr>
          <w:rFonts w:cs="Tahoma"/>
          <w:bCs/>
        </w:rPr>
        <w:t xml:space="preserve"> r</w:t>
      </w:r>
      <w:r w:rsidRPr="00515872">
        <w:rPr>
          <w:rFonts w:cs="Tahoma"/>
          <w:bCs/>
        </w:rPr>
        <w:t>evisor</w:t>
      </w:r>
      <w:r w:rsidR="00F02062" w:rsidRPr="00515872">
        <w:rPr>
          <w:rFonts w:cs="Tahoma"/>
          <w:bCs/>
        </w:rPr>
        <w:t>i</w:t>
      </w:r>
      <w:r w:rsidRPr="00515872">
        <w:rPr>
          <w:rFonts w:cs="Tahoma"/>
          <w:bCs/>
        </w:rPr>
        <w:t>.</w:t>
      </w:r>
    </w:p>
    <w:p w14:paraId="15A4CD49" w14:textId="77777777" w:rsidR="00DD2D58" w:rsidRPr="00515872" w:rsidRDefault="00DD2D58" w:rsidP="00DD2D58">
      <w:pPr>
        <w:spacing w:line="360" w:lineRule="auto"/>
        <w:jc w:val="both"/>
        <w:rPr>
          <w:rFonts w:cs="Tahoma"/>
          <w:bCs/>
        </w:rPr>
      </w:pPr>
      <w:r w:rsidRPr="00515872">
        <w:rPr>
          <w:rFonts w:cs="Tahoma"/>
          <w:bCs/>
        </w:rPr>
        <w:t>Da ultima, la riforma del 2011, ope</w:t>
      </w:r>
      <w:r w:rsidR="00665273" w:rsidRPr="00515872">
        <w:rPr>
          <w:rFonts w:cs="Tahoma"/>
          <w:bCs/>
        </w:rPr>
        <w:t xml:space="preserve">rata a mezzo del D.L. </w:t>
      </w:r>
      <w:r w:rsidRPr="00515872">
        <w:rPr>
          <w:rFonts w:cs="Tahoma"/>
          <w:bCs/>
        </w:rPr>
        <w:t xml:space="preserve">13 agosto 2011, </w:t>
      </w:r>
      <w:r w:rsidR="00665273" w:rsidRPr="00515872">
        <w:rPr>
          <w:rFonts w:cs="Tahoma"/>
          <w:bCs/>
        </w:rPr>
        <w:t xml:space="preserve">n 138, </w:t>
      </w:r>
      <w:r w:rsidRPr="00515872">
        <w:rPr>
          <w:rFonts w:cs="Tahoma"/>
          <w:bCs/>
        </w:rPr>
        <w:t xml:space="preserve">convertito con modificazioni </w:t>
      </w:r>
      <w:r w:rsidR="00BD6D24" w:rsidRPr="00515872">
        <w:rPr>
          <w:rFonts w:cs="Tahoma"/>
          <w:bCs/>
        </w:rPr>
        <w:t>da</w:t>
      </w:r>
      <w:r w:rsidRPr="00515872">
        <w:rPr>
          <w:rFonts w:cs="Tahoma"/>
          <w:bCs/>
        </w:rPr>
        <w:t xml:space="preserve">lla L. 14 settembre 2011, </w:t>
      </w:r>
      <w:r w:rsidR="00665273" w:rsidRPr="00515872">
        <w:rPr>
          <w:rFonts w:cs="Tahoma"/>
          <w:bCs/>
        </w:rPr>
        <w:t xml:space="preserve">n. 148, </w:t>
      </w:r>
      <w:r w:rsidRPr="00515872">
        <w:rPr>
          <w:rFonts w:cs="Tahoma"/>
          <w:bCs/>
        </w:rPr>
        <w:t xml:space="preserve">ha </w:t>
      </w:r>
      <w:r w:rsidR="00F02062" w:rsidRPr="00515872">
        <w:rPr>
          <w:rFonts w:cs="Tahoma"/>
          <w:bCs/>
        </w:rPr>
        <w:t xml:space="preserve">calcato </w:t>
      </w:r>
      <w:r w:rsidRPr="00515872">
        <w:rPr>
          <w:rFonts w:cs="Tahoma"/>
          <w:bCs/>
        </w:rPr>
        <w:t xml:space="preserve">ulteriormente </w:t>
      </w:r>
      <w:r w:rsidR="00F02062" w:rsidRPr="00515872">
        <w:rPr>
          <w:rFonts w:cs="Tahoma"/>
          <w:bCs/>
        </w:rPr>
        <w:t>la mano su</w:t>
      </w:r>
      <w:r w:rsidR="00BD6D24" w:rsidRPr="00515872">
        <w:rPr>
          <w:rFonts w:cs="Tahoma"/>
          <w:bCs/>
        </w:rPr>
        <w:t>i requisiti di</w:t>
      </w:r>
      <w:r w:rsidRPr="00515872">
        <w:rPr>
          <w:rFonts w:cs="Tahoma"/>
          <w:bCs/>
        </w:rPr>
        <w:t xml:space="preserve"> professionalità </w:t>
      </w:r>
      <w:r w:rsidR="00665273" w:rsidRPr="00515872">
        <w:rPr>
          <w:rFonts w:cs="Tahoma"/>
          <w:bCs/>
        </w:rPr>
        <w:t xml:space="preserve">specifica </w:t>
      </w:r>
      <w:r w:rsidRPr="00515872">
        <w:rPr>
          <w:rFonts w:cs="Tahoma"/>
          <w:bCs/>
        </w:rPr>
        <w:t xml:space="preserve">dei revisori, imponendone l’obbligo di iscrizione in apposito elenco accessibile solo a seguito di frequentazione di </w:t>
      </w:r>
      <w:r w:rsidR="00270F95" w:rsidRPr="00515872">
        <w:rPr>
          <w:rFonts w:cs="Tahoma"/>
          <w:bCs/>
        </w:rPr>
        <w:t>specifici</w:t>
      </w:r>
      <w:r w:rsidRPr="00515872">
        <w:rPr>
          <w:rFonts w:cs="Tahoma"/>
          <w:bCs/>
        </w:rPr>
        <w:t xml:space="preserve"> corsi di </w:t>
      </w:r>
      <w:r w:rsidR="00243B19" w:rsidRPr="00515872">
        <w:rPr>
          <w:rFonts w:cs="Tahoma"/>
          <w:bCs/>
        </w:rPr>
        <w:t xml:space="preserve">formazione e </w:t>
      </w:r>
      <w:r w:rsidRPr="00515872">
        <w:rPr>
          <w:rFonts w:cs="Tahoma"/>
          <w:bCs/>
        </w:rPr>
        <w:t xml:space="preserve">aggiornamento professionale e sostenimento della relativa prova </w:t>
      </w:r>
      <w:r w:rsidR="00F02062" w:rsidRPr="00515872">
        <w:rPr>
          <w:rFonts w:cs="Tahoma"/>
          <w:bCs/>
        </w:rPr>
        <w:t>attitudinale</w:t>
      </w:r>
      <w:r w:rsidRPr="00515872">
        <w:rPr>
          <w:rFonts w:cs="Tahoma"/>
          <w:bCs/>
        </w:rPr>
        <w:t>.</w:t>
      </w:r>
    </w:p>
    <w:p w14:paraId="6E641666" w14:textId="77777777" w:rsidR="001672F9" w:rsidRPr="00515872" w:rsidRDefault="00151CB3" w:rsidP="000F1196">
      <w:pPr>
        <w:spacing w:line="360" w:lineRule="auto"/>
        <w:jc w:val="both"/>
        <w:rPr>
          <w:rFonts w:cs="Tahoma"/>
          <w:bCs/>
        </w:rPr>
      </w:pPr>
      <w:r w:rsidRPr="00515872">
        <w:rPr>
          <w:rFonts w:cs="Tahoma"/>
          <w:bCs/>
        </w:rPr>
        <w:t xml:space="preserve">Oggi l’organo di revisione rappresenta una </w:t>
      </w:r>
      <w:r w:rsidRPr="00515872">
        <w:rPr>
          <w:rFonts w:cs="Tahoma"/>
          <w:b/>
          <w:bCs/>
        </w:rPr>
        <w:t xml:space="preserve">figura di riferimento per l’ente spesso chiamato a ricercare soluzioni rispetto ai sempre più pressanti vincoli che la normativa pone alla spesa pubblica, pur </w:t>
      </w:r>
      <w:r w:rsidRPr="00515872">
        <w:rPr>
          <w:rFonts w:cs="Tahoma"/>
          <w:b/>
          <w:bCs/>
        </w:rPr>
        <w:lastRenderedPageBreak/>
        <w:t>nell’esigenza di mantenere qualità ed efficienza nei servizi</w:t>
      </w:r>
      <w:r w:rsidRPr="00515872">
        <w:rPr>
          <w:rFonts w:cs="Tahoma"/>
          <w:bCs/>
        </w:rPr>
        <w:t xml:space="preserve"> ad esso demandati e stante la funzione di collaborazione con l’ente che la normativa pone a suo carico.</w:t>
      </w:r>
    </w:p>
    <w:p w14:paraId="10BC3FB1" w14:textId="77777777" w:rsidR="000F1196" w:rsidRPr="00515872" w:rsidRDefault="000F1196" w:rsidP="000F1196">
      <w:pPr>
        <w:spacing w:line="360" w:lineRule="auto"/>
        <w:jc w:val="both"/>
        <w:rPr>
          <w:rFonts w:cs="Tahoma"/>
          <w:bCs/>
        </w:rPr>
      </w:pPr>
    </w:p>
    <w:p w14:paraId="20E42DDD" w14:textId="77777777" w:rsidR="0099446E" w:rsidRPr="00515872" w:rsidRDefault="0099446E" w:rsidP="00297A21">
      <w:pPr>
        <w:pStyle w:val="Paragrafo"/>
      </w:pPr>
      <w:bookmarkStart w:id="6" w:name="_Toc95912205"/>
      <w:r w:rsidRPr="00515872">
        <w:t>1.2 Il sistema dei controlli</w:t>
      </w:r>
      <w:r w:rsidR="00B90CB2" w:rsidRPr="00515872">
        <w:t xml:space="preserve"> interni</w:t>
      </w:r>
      <w:bookmarkEnd w:id="6"/>
    </w:p>
    <w:p w14:paraId="6CC0327A" w14:textId="77777777" w:rsidR="007F01F6" w:rsidRPr="00515872" w:rsidRDefault="007F01F6" w:rsidP="000021EB">
      <w:pPr>
        <w:spacing w:line="360" w:lineRule="auto"/>
        <w:jc w:val="both"/>
        <w:rPr>
          <w:rFonts w:cs="Tahoma"/>
          <w:color w:val="000000"/>
          <w:szCs w:val="20"/>
        </w:rPr>
      </w:pPr>
      <w:r w:rsidRPr="00515872">
        <w:rPr>
          <w:rFonts w:cs="Tahoma"/>
          <w:color w:val="000000"/>
          <w:szCs w:val="20"/>
        </w:rPr>
        <w:t>Il sistema dei controlli degli enti territoriali si fonda sul principio dell’</w:t>
      </w:r>
      <w:proofErr w:type="spellStart"/>
      <w:r w:rsidRPr="00515872">
        <w:rPr>
          <w:rFonts w:cs="Tahoma"/>
          <w:b/>
          <w:bCs/>
          <w:color w:val="000000"/>
          <w:szCs w:val="20"/>
        </w:rPr>
        <w:t>equiordinazione</w:t>
      </w:r>
      <w:proofErr w:type="spellEnd"/>
      <w:r w:rsidRPr="00515872">
        <w:rPr>
          <w:rFonts w:cs="Tahoma"/>
          <w:color w:val="000000"/>
          <w:szCs w:val="20"/>
        </w:rPr>
        <w:t xml:space="preserve"> </w:t>
      </w:r>
      <w:r w:rsidRPr="00515872">
        <w:rPr>
          <w:rFonts w:cs="Tahoma"/>
          <w:b/>
          <w:bCs/>
          <w:color w:val="000000"/>
          <w:szCs w:val="20"/>
        </w:rPr>
        <w:t xml:space="preserve">costituzionale </w:t>
      </w:r>
      <w:r w:rsidRPr="00515872">
        <w:rPr>
          <w:rFonts w:cs="Tahoma"/>
          <w:color w:val="000000"/>
          <w:szCs w:val="20"/>
        </w:rPr>
        <w:t>di tali enti con gli altri livelli di governo. Tale principio fa sì che l’ente abbia capacità di verifica e di giudizio interno della propria attività.</w:t>
      </w:r>
    </w:p>
    <w:p w14:paraId="245D5F31" w14:textId="77777777" w:rsidR="00DD11A3" w:rsidRPr="00515872" w:rsidRDefault="00DD11A3" w:rsidP="000021EB">
      <w:pPr>
        <w:spacing w:line="360" w:lineRule="auto"/>
        <w:jc w:val="both"/>
        <w:rPr>
          <w:rFonts w:cs="Tahoma"/>
        </w:rPr>
      </w:pPr>
      <w:r w:rsidRPr="00515872">
        <w:rPr>
          <w:rFonts w:cs="Tahoma"/>
        </w:rPr>
        <w:t>Il sistema dei controlli interni ha sub</w:t>
      </w:r>
      <w:r w:rsidR="00911A18" w:rsidRPr="00515872">
        <w:rPr>
          <w:rFonts w:cs="Tahoma"/>
        </w:rPr>
        <w:t>ì</w:t>
      </w:r>
      <w:r w:rsidRPr="00515872">
        <w:rPr>
          <w:rFonts w:cs="Tahoma"/>
        </w:rPr>
        <w:t>to nell’ultimo decennio una profonda evoluzione che ha visto il passaggio da un regime i</w:t>
      </w:r>
      <w:r w:rsidR="002656CD" w:rsidRPr="00515872">
        <w:rPr>
          <w:rFonts w:cs="Tahoma"/>
        </w:rPr>
        <w:t>mpostato su</w:t>
      </w:r>
      <w:r w:rsidRPr="00515872">
        <w:rPr>
          <w:rFonts w:cs="Tahoma"/>
        </w:rPr>
        <w:t>i controlli preventivi di legittimità e di merito sugli atti, svolti da organi esterni, ad un regime in cui predominano i controlli interni, in particolare quelli sull’attività gestionale. L’evoluzione normativa</w:t>
      </w:r>
      <w:r w:rsidR="002656CD" w:rsidRPr="00515872">
        <w:rPr>
          <w:rFonts w:cs="Tahoma"/>
        </w:rPr>
        <w:t>,</w:t>
      </w:r>
      <w:r w:rsidRPr="00515872">
        <w:rPr>
          <w:rFonts w:cs="Tahoma"/>
        </w:rPr>
        <w:t xml:space="preserve"> in tale direzione</w:t>
      </w:r>
      <w:r w:rsidR="002656CD" w:rsidRPr="00515872">
        <w:rPr>
          <w:rFonts w:cs="Tahoma"/>
        </w:rPr>
        <w:t>,</w:t>
      </w:r>
      <w:r w:rsidRPr="00515872">
        <w:rPr>
          <w:rFonts w:cs="Tahoma"/>
        </w:rPr>
        <w:t xml:space="preserve"> ha trovato fondamento nel principio cardine della distinzione dei poteri </w:t>
      </w:r>
      <w:r w:rsidR="002B6A1D" w:rsidRPr="00515872">
        <w:rPr>
          <w:rFonts w:cs="Tahoma"/>
        </w:rPr>
        <w:t>d’</w:t>
      </w:r>
      <w:r w:rsidRPr="00515872">
        <w:rPr>
          <w:rFonts w:cs="Tahoma"/>
        </w:rPr>
        <w:t xml:space="preserve">indirizzo e di controllo politico-amministrativo, spettanti agli organi di governo, dai poteri di gestione amministrativa, finanziaria e tecnica nonché di attuazione degli obiettivi, attribuiti ai dirigenti. </w:t>
      </w:r>
    </w:p>
    <w:p w14:paraId="2D19B1CB" w14:textId="77777777" w:rsidR="00797ADD" w:rsidRPr="00515872" w:rsidRDefault="00D6472E" w:rsidP="00901E78">
      <w:pPr>
        <w:spacing w:after="0" w:line="360" w:lineRule="auto"/>
        <w:jc w:val="both"/>
        <w:rPr>
          <w:rFonts w:cs="Tahoma"/>
          <w:color w:val="000000"/>
          <w:szCs w:val="20"/>
        </w:rPr>
      </w:pPr>
      <w:r w:rsidRPr="00515872">
        <w:rPr>
          <w:rFonts w:cs="Tahoma"/>
          <w:color w:val="000000"/>
          <w:szCs w:val="20"/>
        </w:rPr>
        <w:t xml:space="preserve">Il sistema </w:t>
      </w:r>
      <w:r w:rsidR="00FF758F" w:rsidRPr="00515872">
        <w:rPr>
          <w:rFonts w:cs="Tahoma"/>
          <w:color w:val="000000"/>
          <w:szCs w:val="20"/>
        </w:rPr>
        <w:t>è stato pro</w:t>
      </w:r>
      <w:r w:rsidR="00AE3B5B" w:rsidRPr="00515872">
        <w:rPr>
          <w:rFonts w:cs="Tahoma"/>
          <w:color w:val="000000"/>
          <w:szCs w:val="20"/>
        </w:rPr>
        <w:t>fondamente rinnovato da</w:t>
      </w:r>
      <w:r w:rsidR="00FF758F" w:rsidRPr="00515872">
        <w:rPr>
          <w:rFonts w:cs="Tahoma"/>
          <w:color w:val="000000"/>
          <w:szCs w:val="20"/>
        </w:rPr>
        <w:t>l</w:t>
      </w:r>
      <w:r w:rsidRPr="00515872">
        <w:rPr>
          <w:rFonts w:cs="Tahoma"/>
          <w:color w:val="000000"/>
          <w:szCs w:val="20"/>
        </w:rPr>
        <w:t xml:space="preserve"> </w:t>
      </w:r>
      <w:proofErr w:type="spellStart"/>
      <w:r w:rsidRPr="00515872">
        <w:rPr>
          <w:rFonts w:cs="Tahoma"/>
          <w:color w:val="000000"/>
          <w:szCs w:val="20"/>
        </w:rPr>
        <w:t>D.Lgs.</w:t>
      </w:r>
      <w:proofErr w:type="spellEnd"/>
      <w:r w:rsidRPr="00515872">
        <w:rPr>
          <w:rFonts w:cs="Tahoma"/>
          <w:color w:val="000000"/>
          <w:szCs w:val="20"/>
        </w:rPr>
        <w:t xml:space="preserve"> 27</w:t>
      </w:r>
      <w:r w:rsidR="00FF758F" w:rsidRPr="00515872">
        <w:rPr>
          <w:rFonts w:cs="Tahoma"/>
          <w:color w:val="000000"/>
          <w:szCs w:val="20"/>
        </w:rPr>
        <w:t xml:space="preserve"> </w:t>
      </w:r>
      <w:r w:rsidRPr="00515872">
        <w:rPr>
          <w:rFonts w:cs="Tahoma"/>
          <w:color w:val="000000"/>
          <w:szCs w:val="20"/>
        </w:rPr>
        <w:t>ottobre 2009, n. 150 e d</w:t>
      </w:r>
      <w:r w:rsidR="00A3644D" w:rsidRPr="00515872">
        <w:rPr>
          <w:rFonts w:cs="Tahoma"/>
          <w:color w:val="000000"/>
          <w:szCs w:val="20"/>
        </w:rPr>
        <w:t>e</w:t>
      </w:r>
      <w:r w:rsidRPr="00515872">
        <w:rPr>
          <w:rFonts w:cs="Tahoma"/>
          <w:color w:val="000000"/>
          <w:szCs w:val="20"/>
        </w:rPr>
        <w:t>l</w:t>
      </w:r>
      <w:r w:rsidR="00FF758F" w:rsidRPr="00515872">
        <w:rPr>
          <w:rFonts w:cs="Tahoma"/>
          <w:color w:val="000000"/>
          <w:szCs w:val="20"/>
        </w:rPr>
        <w:t xml:space="preserve"> D.L. 10 ottobre 2012, n. 174. L’</w:t>
      </w:r>
      <w:r w:rsidRPr="00515872">
        <w:rPr>
          <w:rFonts w:cs="Tahoma"/>
          <w:color w:val="000000"/>
          <w:szCs w:val="20"/>
        </w:rPr>
        <w:t xml:space="preserve">assetto </w:t>
      </w:r>
      <w:r w:rsidR="00FF758F" w:rsidRPr="00515872">
        <w:rPr>
          <w:rFonts w:cs="Tahoma"/>
          <w:color w:val="000000"/>
          <w:szCs w:val="20"/>
        </w:rPr>
        <w:t xml:space="preserve">precedente era </w:t>
      </w:r>
      <w:r w:rsidRPr="00515872">
        <w:rPr>
          <w:rFonts w:cs="Tahoma"/>
          <w:bCs/>
          <w:color w:val="000000"/>
          <w:szCs w:val="20"/>
        </w:rPr>
        <w:t xml:space="preserve">basato </w:t>
      </w:r>
      <w:r w:rsidRPr="00515872">
        <w:rPr>
          <w:rFonts w:cs="Tahoma"/>
          <w:color w:val="000000"/>
          <w:szCs w:val="20"/>
        </w:rPr>
        <w:t>sulle seguenti tipologie di</w:t>
      </w:r>
      <w:r w:rsidR="00797ADD" w:rsidRPr="00515872">
        <w:rPr>
          <w:rFonts w:cs="Tahoma"/>
          <w:color w:val="000000"/>
          <w:szCs w:val="20"/>
        </w:rPr>
        <w:t xml:space="preserve"> </w:t>
      </w:r>
      <w:r w:rsidRPr="00515872">
        <w:rPr>
          <w:rFonts w:cs="Tahoma"/>
          <w:color w:val="000000"/>
          <w:szCs w:val="20"/>
        </w:rPr>
        <w:t>controlli:</w:t>
      </w:r>
    </w:p>
    <w:p w14:paraId="4DC68E2A" w14:textId="77777777" w:rsidR="00797ADD" w:rsidRPr="00515872" w:rsidRDefault="00D6472E" w:rsidP="00D65838">
      <w:pPr>
        <w:pStyle w:val="Paragrafoelenco"/>
        <w:numPr>
          <w:ilvl w:val="0"/>
          <w:numId w:val="65"/>
        </w:numPr>
        <w:spacing w:after="0" w:line="360" w:lineRule="auto"/>
        <w:jc w:val="both"/>
        <w:rPr>
          <w:rFonts w:cs="Tahoma"/>
          <w:color w:val="000000"/>
          <w:szCs w:val="20"/>
        </w:rPr>
      </w:pPr>
      <w:r w:rsidRPr="00515872">
        <w:rPr>
          <w:rFonts w:cs="Tahoma"/>
          <w:color w:val="000000"/>
          <w:szCs w:val="20"/>
        </w:rPr>
        <w:t>controllo di regolar</w:t>
      </w:r>
      <w:r w:rsidR="00797ADD" w:rsidRPr="00515872">
        <w:rPr>
          <w:rFonts w:cs="Tahoma"/>
          <w:color w:val="000000"/>
          <w:szCs w:val="20"/>
        </w:rPr>
        <w:t>ità amministrativa e contabile;</w:t>
      </w:r>
    </w:p>
    <w:p w14:paraId="5548BDCB" w14:textId="77777777" w:rsidR="00797ADD" w:rsidRPr="00515872" w:rsidRDefault="00797ADD" w:rsidP="00D65838">
      <w:pPr>
        <w:pStyle w:val="Paragrafoelenco"/>
        <w:numPr>
          <w:ilvl w:val="0"/>
          <w:numId w:val="65"/>
        </w:numPr>
        <w:spacing w:after="0" w:line="360" w:lineRule="auto"/>
        <w:jc w:val="both"/>
        <w:rPr>
          <w:rFonts w:cs="Tahoma"/>
          <w:color w:val="000000"/>
          <w:szCs w:val="20"/>
        </w:rPr>
      </w:pPr>
      <w:r w:rsidRPr="00515872">
        <w:rPr>
          <w:rFonts w:cs="Tahoma"/>
          <w:color w:val="000000"/>
          <w:szCs w:val="20"/>
        </w:rPr>
        <w:t>controllo di gestione;</w:t>
      </w:r>
    </w:p>
    <w:p w14:paraId="62A5FB19" w14:textId="77777777" w:rsidR="00797ADD" w:rsidRPr="00515872" w:rsidRDefault="002656CD" w:rsidP="00D65838">
      <w:pPr>
        <w:pStyle w:val="Paragrafoelenco"/>
        <w:numPr>
          <w:ilvl w:val="0"/>
          <w:numId w:val="65"/>
        </w:numPr>
        <w:spacing w:after="0" w:line="360" w:lineRule="auto"/>
        <w:jc w:val="both"/>
        <w:rPr>
          <w:rFonts w:cs="Tahoma"/>
          <w:color w:val="000000"/>
          <w:szCs w:val="20"/>
        </w:rPr>
      </w:pPr>
      <w:r w:rsidRPr="00515872">
        <w:rPr>
          <w:rFonts w:cs="Tahoma"/>
          <w:color w:val="000000"/>
          <w:szCs w:val="20"/>
        </w:rPr>
        <w:t>controllo strategico;</w:t>
      </w:r>
    </w:p>
    <w:p w14:paraId="149ECC92" w14:textId="77777777" w:rsidR="00B90CB2" w:rsidRPr="00515872" w:rsidRDefault="00D6472E" w:rsidP="00D65838">
      <w:pPr>
        <w:pStyle w:val="Paragrafoelenco"/>
        <w:numPr>
          <w:ilvl w:val="0"/>
          <w:numId w:val="65"/>
        </w:numPr>
        <w:spacing w:line="360" w:lineRule="auto"/>
        <w:jc w:val="both"/>
        <w:rPr>
          <w:rFonts w:cs="Tahoma"/>
          <w:color w:val="000000"/>
          <w:szCs w:val="20"/>
        </w:rPr>
      </w:pPr>
      <w:r w:rsidRPr="00515872">
        <w:rPr>
          <w:rFonts w:cs="Tahoma"/>
          <w:color w:val="000000"/>
          <w:szCs w:val="20"/>
        </w:rPr>
        <w:t>valutazione della dirigenza.</w:t>
      </w:r>
    </w:p>
    <w:p w14:paraId="2B1AB264" w14:textId="77777777" w:rsidR="00797ADD" w:rsidRPr="00515872" w:rsidRDefault="00A3644D" w:rsidP="00901E78">
      <w:pPr>
        <w:spacing w:after="0" w:line="360" w:lineRule="auto"/>
        <w:jc w:val="both"/>
        <w:rPr>
          <w:rFonts w:cs="Tahoma"/>
          <w:color w:val="000000"/>
          <w:szCs w:val="20"/>
        </w:rPr>
      </w:pPr>
      <w:r w:rsidRPr="00515872">
        <w:rPr>
          <w:rFonts w:cs="Tahoma"/>
          <w:color w:val="000000"/>
          <w:szCs w:val="20"/>
        </w:rPr>
        <w:t>In particolare, l</w:t>
      </w:r>
      <w:r w:rsidR="00860298" w:rsidRPr="00515872">
        <w:rPr>
          <w:rFonts w:cs="Tahoma"/>
          <w:color w:val="000000"/>
          <w:szCs w:val="20"/>
        </w:rPr>
        <w:t>’art</w:t>
      </w:r>
      <w:r w:rsidR="002656CD" w:rsidRPr="00515872">
        <w:rPr>
          <w:rFonts w:cs="Tahoma"/>
          <w:color w:val="000000"/>
          <w:szCs w:val="20"/>
        </w:rPr>
        <w:t>.</w:t>
      </w:r>
      <w:r w:rsidR="00797ADD" w:rsidRPr="00515872">
        <w:rPr>
          <w:rFonts w:cs="Tahoma"/>
          <w:color w:val="000000"/>
          <w:szCs w:val="20"/>
        </w:rPr>
        <w:t xml:space="preserve"> 3 del D.L. n. 174/2012 ha </w:t>
      </w:r>
      <w:r w:rsidR="00860298" w:rsidRPr="00515872">
        <w:rPr>
          <w:rFonts w:cs="Tahoma"/>
          <w:color w:val="000000"/>
          <w:szCs w:val="20"/>
        </w:rPr>
        <w:t>operato diverse modifiche al fine di implementare il sistema preesistente</w:t>
      </w:r>
      <w:r w:rsidR="00FF758F" w:rsidRPr="00515872">
        <w:rPr>
          <w:rFonts w:cs="Tahoma"/>
          <w:color w:val="000000"/>
          <w:szCs w:val="20"/>
        </w:rPr>
        <w:t xml:space="preserve"> istituendo</w:t>
      </w:r>
      <w:r w:rsidR="00860298" w:rsidRPr="00515872">
        <w:rPr>
          <w:rFonts w:cs="Tahoma"/>
          <w:color w:val="000000"/>
          <w:szCs w:val="20"/>
        </w:rPr>
        <w:t xml:space="preserve">, oltre ai controlli </w:t>
      </w:r>
      <w:r w:rsidR="00FF758F" w:rsidRPr="00515872">
        <w:rPr>
          <w:rFonts w:cs="Tahoma"/>
          <w:color w:val="000000"/>
          <w:szCs w:val="20"/>
        </w:rPr>
        <w:t>già esistenti</w:t>
      </w:r>
      <w:r w:rsidR="002656CD" w:rsidRPr="00515872">
        <w:rPr>
          <w:rFonts w:cs="Tahoma"/>
          <w:color w:val="000000"/>
          <w:szCs w:val="20"/>
        </w:rPr>
        <w:t>,</w:t>
      </w:r>
      <w:r w:rsidR="00FF758F" w:rsidRPr="00515872">
        <w:rPr>
          <w:rFonts w:cs="Tahoma"/>
          <w:color w:val="000000"/>
          <w:szCs w:val="20"/>
        </w:rPr>
        <w:t xml:space="preserve"> </w:t>
      </w:r>
      <w:r w:rsidR="00797ADD" w:rsidRPr="00515872">
        <w:rPr>
          <w:rFonts w:cs="Tahoma"/>
          <w:color w:val="000000"/>
          <w:szCs w:val="20"/>
        </w:rPr>
        <w:t>i</w:t>
      </w:r>
      <w:r w:rsidR="00FF758F" w:rsidRPr="00515872">
        <w:rPr>
          <w:rFonts w:cs="Tahoma"/>
          <w:color w:val="000000"/>
          <w:szCs w:val="20"/>
        </w:rPr>
        <w:t xml:space="preserve"> seguenti</w:t>
      </w:r>
      <w:r w:rsidR="00797ADD" w:rsidRPr="00515872">
        <w:rPr>
          <w:rFonts w:cs="Tahoma"/>
          <w:color w:val="000000"/>
          <w:szCs w:val="20"/>
        </w:rPr>
        <w:t>:</w:t>
      </w:r>
    </w:p>
    <w:p w14:paraId="3A3A6664" w14:textId="77777777" w:rsidR="00797ADD" w:rsidRPr="00515872" w:rsidRDefault="00860298" w:rsidP="00D65838">
      <w:pPr>
        <w:pStyle w:val="Paragrafoelenco"/>
        <w:numPr>
          <w:ilvl w:val="0"/>
          <w:numId w:val="66"/>
        </w:numPr>
        <w:spacing w:line="360" w:lineRule="auto"/>
        <w:jc w:val="both"/>
        <w:rPr>
          <w:rFonts w:cs="Tahoma"/>
          <w:b/>
          <w:bCs/>
          <w:color w:val="000000"/>
          <w:szCs w:val="20"/>
        </w:rPr>
      </w:pPr>
      <w:r w:rsidRPr="00515872">
        <w:rPr>
          <w:rFonts w:cs="Tahoma"/>
          <w:bCs/>
          <w:color w:val="000000"/>
          <w:szCs w:val="20"/>
        </w:rPr>
        <w:t>controllo sugli equilibri finanziari dell’ente</w:t>
      </w:r>
      <w:r w:rsidR="002656CD" w:rsidRPr="00515872">
        <w:rPr>
          <w:rFonts w:cs="Tahoma"/>
          <w:bCs/>
          <w:color w:val="000000"/>
          <w:szCs w:val="20"/>
        </w:rPr>
        <w:t>, che</w:t>
      </w:r>
      <w:r w:rsidR="002656CD" w:rsidRPr="00515872">
        <w:rPr>
          <w:rFonts w:cs="Tahoma"/>
          <w:color w:val="000000"/>
          <w:szCs w:val="20"/>
        </w:rPr>
        <w:t xml:space="preserve"> </w:t>
      </w:r>
      <w:r w:rsidRPr="00515872">
        <w:rPr>
          <w:rFonts w:cs="Tahoma"/>
          <w:color w:val="000000"/>
          <w:szCs w:val="20"/>
        </w:rPr>
        <w:t>è</w:t>
      </w:r>
      <w:r w:rsidR="0052524E" w:rsidRPr="00515872">
        <w:rPr>
          <w:rFonts w:cs="Tahoma"/>
          <w:color w:val="000000"/>
          <w:szCs w:val="20"/>
        </w:rPr>
        <w:t xml:space="preserve"> strumentale alla realizzazione </w:t>
      </w:r>
      <w:r w:rsidRPr="00515872">
        <w:rPr>
          <w:rFonts w:cs="Tahoma"/>
          <w:color w:val="000000"/>
          <w:szCs w:val="20"/>
        </w:rPr>
        <w:t>degli obiettivi di finanza pubblica det</w:t>
      </w:r>
      <w:r w:rsidR="00797ADD" w:rsidRPr="00515872">
        <w:rPr>
          <w:rFonts w:cs="Tahoma"/>
          <w:color w:val="000000"/>
          <w:szCs w:val="20"/>
        </w:rPr>
        <w:t xml:space="preserve">erminati dal </w:t>
      </w:r>
      <w:r w:rsidR="00FF758F" w:rsidRPr="00515872">
        <w:rPr>
          <w:rFonts w:cs="Tahoma"/>
          <w:color w:val="000000"/>
          <w:szCs w:val="20"/>
        </w:rPr>
        <w:t>p</w:t>
      </w:r>
      <w:r w:rsidR="00797ADD" w:rsidRPr="00515872">
        <w:rPr>
          <w:rFonts w:cs="Tahoma"/>
          <w:color w:val="000000"/>
          <w:szCs w:val="20"/>
        </w:rPr>
        <w:t>atto di stabilità</w:t>
      </w:r>
      <w:r w:rsidRPr="00515872">
        <w:rPr>
          <w:rFonts w:cs="Tahoma"/>
          <w:color w:val="000000"/>
          <w:szCs w:val="20"/>
        </w:rPr>
        <w:t xml:space="preserve"> interno,</w:t>
      </w:r>
      <w:r w:rsidR="0052524E" w:rsidRPr="00515872">
        <w:rPr>
          <w:rFonts w:cs="Tahoma"/>
          <w:color w:val="000000"/>
          <w:szCs w:val="20"/>
        </w:rPr>
        <w:t xml:space="preserve"> </w:t>
      </w:r>
      <w:r w:rsidRPr="00515872">
        <w:rPr>
          <w:rFonts w:cs="Tahoma"/>
          <w:color w:val="000000"/>
          <w:szCs w:val="20"/>
        </w:rPr>
        <w:t>mediante il coordinamento e la vigilanza del responsabile del servizio finanziario,</w:t>
      </w:r>
      <w:r w:rsidR="0052524E" w:rsidRPr="00515872">
        <w:rPr>
          <w:rFonts w:cs="Tahoma"/>
          <w:color w:val="000000"/>
          <w:szCs w:val="20"/>
        </w:rPr>
        <w:t xml:space="preserve"> </w:t>
      </w:r>
      <w:r w:rsidRPr="00515872">
        <w:rPr>
          <w:rFonts w:cs="Tahoma"/>
          <w:color w:val="000000"/>
          <w:szCs w:val="20"/>
        </w:rPr>
        <w:t>nonch</w:t>
      </w:r>
      <w:r w:rsidR="00797ADD" w:rsidRPr="00515872">
        <w:rPr>
          <w:rFonts w:cs="Tahoma"/>
          <w:color w:val="000000"/>
          <w:szCs w:val="20"/>
        </w:rPr>
        <w:t>é dei responsabili dei servizi;</w:t>
      </w:r>
    </w:p>
    <w:p w14:paraId="6D76EFC7" w14:textId="77777777" w:rsidR="00797ADD" w:rsidRPr="00515872" w:rsidRDefault="00860298" w:rsidP="00D65838">
      <w:pPr>
        <w:pStyle w:val="Paragrafoelenco"/>
        <w:numPr>
          <w:ilvl w:val="0"/>
          <w:numId w:val="66"/>
        </w:numPr>
        <w:spacing w:line="360" w:lineRule="auto"/>
        <w:jc w:val="both"/>
        <w:rPr>
          <w:rFonts w:cs="Tahoma"/>
          <w:bCs/>
          <w:color w:val="000000"/>
          <w:szCs w:val="20"/>
        </w:rPr>
      </w:pPr>
      <w:r w:rsidRPr="00515872">
        <w:rPr>
          <w:rFonts w:cs="Tahoma"/>
          <w:bCs/>
          <w:color w:val="000000"/>
          <w:szCs w:val="20"/>
        </w:rPr>
        <w:t xml:space="preserve">verifica, </w:t>
      </w:r>
      <w:r w:rsidRPr="00515872">
        <w:rPr>
          <w:rFonts w:cs="Tahoma"/>
          <w:color w:val="000000"/>
          <w:szCs w:val="20"/>
        </w:rPr>
        <w:t>attraverso il controllo sullo stato di attuazione di indirizzi ed obiettivi</w:t>
      </w:r>
      <w:r w:rsidR="0052524E" w:rsidRPr="00515872">
        <w:rPr>
          <w:rFonts w:cs="Tahoma"/>
          <w:color w:val="000000"/>
          <w:szCs w:val="20"/>
        </w:rPr>
        <w:t xml:space="preserve"> </w:t>
      </w:r>
      <w:r w:rsidRPr="00515872">
        <w:rPr>
          <w:rFonts w:cs="Tahoma"/>
          <w:color w:val="000000"/>
          <w:szCs w:val="20"/>
        </w:rPr>
        <w:t xml:space="preserve">gestionali, </w:t>
      </w:r>
      <w:r w:rsidRPr="00515872">
        <w:rPr>
          <w:rFonts w:cs="Tahoma"/>
          <w:bCs/>
          <w:color w:val="000000"/>
          <w:szCs w:val="20"/>
        </w:rPr>
        <w:t>dell’efficacia ed economicità degli organismi gestionali esterni</w:t>
      </w:r>
      <w:r w:rsidR="0052524E" w:rsidRPr="00515872">
        <w:rPr>
          <w:rFonts w:cs="Tahoma"/>
          <w:bCs/>
          <w:color w:val="000000"/>
          <w:szCs w:val="20"/>
        </w:rPr>
        <w:t xml:space="preserve"> </w:t>
      </w:r>
      <w:r w:rsidRPr="00515872">
        <w:rPr>
          <w:rFonts w:cs="Tahoma"/>
          <w:bCs/>
          <w:color w:val="000000"/>
          <w:szCs w:val="20"/>
        </w:rPr>
        <w:t>all’ente;</w:t>
      </w:r>
    </w:p>
    <w:p w14:paraId="06D9A340" w14:textId="77777777" w:rsidR="00860298" w:rsidRPr="00515872" w:rsidRDefault="00860298" w:rsidP="00D65838">
      <w:pPr>
        <w:pStyle w:val="Paragrafoelenco"/>
        <w:numPr>
          <w:ilvl w:val="0"/>
          <w:numId w:val="66"/>
        </w:numPr>
        <w:spacing w:line="360" w:lineRule="auto"/>
        <w:jc w:val="both"/>
        <w:rPr>
          <w:rFonts w:cs="Tahoma"/>
          <w:bCs/>
          <w:color w:val="000000"/>
          <w:szCs w:val="20"/>
        </w:rPr>
      </w:pPr>
      <w:r w:rsidRPr="00515872">
        <w:rPr>
          <w:rFonts w:cs="Tahoma"/>
          <w:bCs/>
          <w:color w:val="000000"/>
          <w:szCs w:val="20"/>
        </w:rPr>
        <w:t>verifica della qualità dei servizi erogati</w:t>
      </w:r>
      <w:r w:rsidRPr="00515872">
        <w:rPr>
          <w:rFonts w:cs="Tahoma"/>
          <w:color w:val="000000"/>
          <w:szCs w:val="20"/>
        </w:rPr>
        <w:t>, sia direttamente, sia mediante</w:t>
      </w:r>
      <w:r w:rsidR="0052524E" w:rsidRPr="00515872">
        <w:rPr>
          <w:rFonts w:cs="Tahoma"/>
          <w:color w:val="000000"/>
          <w:szCs w:val="20"/>
        </w:rPr>
        <w:t xml:space="preserve"> </w:t>
      </w:r>
      <w:r w:rsidRPr="00515872">
        <w:rPr>
          <w:rFonts w:cs="Tahoma"/>
          <w:color w:val="000000"/>
          <w:szCs w:val="20"/>
        </w:rPr>
        <w:t>organismi gestionali esterni.</w:t>
      </w:r>
    </w:p>
    <w:p w14:paraId="66588EC3" w14:textId="77777777" w:rsidR="00307777" w:rsidRPr="00515872" w:rsidRDefault="00650C8F" w:rsidP="007F01F6">
      <w:pPr>
        <w:spacing w:line="360" w:lineRule="auto"/>
        <w:jc w:val="both"/>
        <w:rPr>
          <w:rFonts w:cs="Tahoma"/>
          <w:color w:val="000000"/>
          <w:szCs w:val="20"/>
        </w:rPr>
      </w:pPr>
      <w:r w:rsidRPr="00515872">
        <w:rPr>
          <w:rFonts w:cs="Tahoma"/>
          <w:color w:val="000000"/>
          <w:szCs w:val="48"/>
        </w:rPr>
        <w:t>Ai fini della verifica della situazione finanziaria degli enti locali, si ricorda, ino</w:t>
      </w:r>
      <w:r w:rsidR="002656CD" w:rsidRPr="00515872">
        <w:rPr>
          <w:rFonts w:cs="Tahoma"/>
          <w:color w:val="000000"/>
          <w:szCs w:val="48"/>
        </w:rPr>
        <w:t xml:space="preserve">ltre, che il </w:t>
      </w:r>
      <w:proofErr w:type="spellStart"/>
      <w:r w:rsidR="002656CD" w:rsidRPr="00515872">
        <w:rPr>
          <w:rFonts w:cs="Tahoma"/>
          <w:color w:val="000000"/>
          <w:szCs w:val="48"/>
        </w:rPr>
        <w:t>D.Lgs.</w:t>
      </w:r>
      <w:proofErr w:type="spellEnd"/>
      <w:r w:rsidR="002656CD" w:rsidRPr="00515872">
        <w:rPr>
          <w:rFonts w:cs="Tahoma"/>
          <w:color w:val="000000"/>
          <w:szCs w:val="48"/>
        </w:rPr>
        <w:t xml:space="preserve"> n. 149/2011 </w:t>
      </w:r>
      <w:r w:rsidRPr="00515872">
        <w:rPr>
          <w:rFonts w:cs="Tahoma"/>
          <w:color w:val="000000"/>
          <w:szCs w:val="48"/>
        </w:rPr>
        <w:t>ha introdotto alcuni specifici strumenti volti a garantire, in particolare,</w:t>
      </w:r>
      <w:r w:rsidR="002656CD" w:rsidRPr="00515872">
        <w:rPr>
          <w:rFonts w:cs="Tahoma"/>
          <w:color w:val="000000"/>
          <w:szCs w:val="48"/>
        </w:rPr>
        <w:t xml:space="preserve"> il principio della </w:t>
      </w:r>
      <w:r w:rsidRPr="00515872">
        <w:rPr>
          <w:rFonts w:cs="Tahoma"/>
          <w:color w:val="000000"/>
          <w:szCs w:val="48"/>
        </w:rPr>
        <w:t xml:space="preserve">trasparenza delle decisioni delle pubbliche amministrazioni. Il decreto legislativo ha previsto, tra l’altro, per le province e gli enti locali, così come per le regioni, l’obbligo di redigere una </w:t>
      </w:r>
      <w:r w:rsidRPr="00515872">
        <w:rPr>
          <w:rFonts w:cs="Tahoma"/>
          <w:b/>
          <w:color w:val="000000"/>
          <w:szCs w:val="48"/>
        </w:rPr>
        <w:t>relazione di fine mandato</w:t>
      </w:r>
      <w:r w:rsidRPr="00515872">
        <w:rPr>
          <w:rFonts w:cs="Tahoma"/>
          <w:color w:val="000000"/>
          <w:szCs w:val="48"/>
        </w:rPr>
        <w:t xml:space="preserve">. </w:t>
      </w:r>
      <w:r w:rsidR="00AE3B5B" w:rsidRPr="00515872">
        <w:rPr>
          <w:rFonts w:cs="Tahoma"/>
          <w:color w:val="000000"/>
          <w:szCs w:val="48"/>
        </w:rPr>
        <w:t>Tale</w:t>
      </w:r>
      <w:r w:rsidR="007F01F6" w:rsidRPr="00515872">
        <w:rPr>
          <w:rFonts w:cs="Tahoma"/>
          <w:color w:val="000000"/>
          <w:szCs w:val="20"/>
        </w:rPr>
        <w:t xml:space="preserve"> documento </w:t>
      </w:r>
      <w:r w:rsidRPr="00515872">
        <w:rPr>
          <w:rFonts w:cs="Tahoma"/>
          <w:color w:val="000000"/>
          <w:szCs w:val="20"/>
        </w:rPr>
        <w:t xml:space="preserve">rappresenta </w:t>
      </w:r>
      <w:r w:rsidRPr="00515872">
        <w:rPr>
          <w:rFonts w:cs="Tahoma"/>
          <w:color w:val="000000"/>
          <w:szCs w:val="20"/>
        </w:rPr>
        <w:lastRenderedPageBreak/>
        <w:t>lo</w:t>
      </w:r>
      <w:r w:rsidR="007F01F6" w:rsidRPr="00515872">
        <w:rPr>
          <w:rFonts w:cs="Tahoma"/>
          <w:color w:val="000000"/>
          <w:szCs w:val="20"/>
        </w:rPr>
        <w:t xml:space="preserve"> str</w:t>
      </w:r>
      <w:r w:rsidRPr="00515872">
        <w:rPr>
          <w:rFonts w:cs="Tahoma"/>
          <w:color w:val="000000"/>
          <w:szCs w:val="20"/>
        </w:rPr>
        <w:t xml:space="preserve">umento di rendicontazione delle </w:t>
      </w:r>
      <w:r w:rsidR="007F01F6" w:rsidRPr="00515872">
        <w:rPr>
          <w:rFonts w:cs="Tahoma"/>
          <w:color w:val="000000"/>
          <w:szCs w:val="20"/>
        </w:rPr>
        <w:t>principali attività normative e amministrative</w:t>
      </w:r>
      <w:r w:rsidRPr="00515872">
        <w:rPr>
          <w:rFonts w:cs="Tahoma"/>
          <w:color w:val="000000"/>
          <w:szCs w:val="20"/>
        </w:rPr>
        <w:t xml:space="preserve"> svolte durante il mandato, con </w:t>
      </w:r>
      <w:r w:rsidR="007F01F6" w:rsidRPr="00515872">
        <w:rPr>
          <w:rFonts w:cs="Tahoma"/>
          <w:color w:val="000000"/>
          <w:szCs w:val="20"/>
        </w:rPr>
        <w:t>particolare riferimento</w:t>
      </w:r>
      <w:r w:rsidR="00307777" w:rsidRPr="00515872">
        <w:rPr>
          <w:rFonts w:cs="Tahoma"/>
          <w:color w:val="000000"/>
          <w:szCs w:val="20"/>
        </w:rPr>
        <w:t>:</w:t>
      </w:r>
    </w:p>
    <w:p w14:paraId="6E69B7BD" w14:textId="77777777" w:rsidR="00307777" w:rsidRPr="00515872" w:rsidRDefault="007F01F6" w:rsidP="00D65838">
      <w:pPr>
        <w:pStyle w:val="Paragrafoelenco"/>
        <w:numPr>
          <w:ilvl w:val="0"/>
          <w:numId w:val="66"/>
        </w:numPr>
        <w:spacing w:line="360" w:lineRule="auto"/>
        <w:jc w:val="both"/>
        <w:rPr>
          <w:rFonts w:cs="Tahoma"/>
          <w:color w:val="000000"/>
          <w:szCs w:val="20"/>
        </w:rPr>
      </w:pPr>
      <w:r w:rsidRPr="00515872">
        <w:rPr>
          <w:rFonts w:cs="Tahoma"/>
          <w:color w:val="000000"/>
          <w:szCs w:val="20"/>
        </w:rPr>
        <w:t>al sistema e agli esiti dei controlli interni</w:t>
      </w:r>
      <w:r w:rsidR="00307777" w:rsidRPr="00515872">
        <w:rPr>
          <w:rFonts w:cs="Tahoma"/>
          <w:color w:val="000000"/>
          <w:szCs w:val="20"/>
        </w:rPr>
        <w:t>;</w:t>
      </w:r>
    </w:p>
    <w:p w14:paraId="68BAB2E3" w14:textId="77777777" w:rsidR="00307777" w:rsidRPr="00515872" w:rsidRDefault="00650C8F" w:rsidP="00D65838">
      <w:pPr>
        <w:pStyle w:val="Paragrafoelenco"/>
        <w:numPr>
          <w:ilvl w:val="0"/>
          <w:numId w:val="66"/>
        </w:numPr>
        <w:spacing w:line="360" w:lineRule="auto"/>
        <w:jc w:val="both"/>
        <w:rPr>
          <w:rFonts w:cs="Tahoma"/>
          <w:color w:val="000000"/>
          <w:szCs w:val="20"/>
        </w:rPr>
      </w:pPr>
      <w:r w:rsidRPr="00515872">
        <w:rPr>
          <w:rFonts w:cs="Tahoma"/>
          <w:color w:val="000000"/>
          <w:szCs w:val="20"/>
        </w:rPr>
        <w:t xml:space="preserve">agli eventuali rilievi </w:t>
      </w:r>
      <w:r w:rsidR="00307777" w:rsidRPr="00515872">
        <w:rPr>
          <w:rFonts w:cs="Tahoma"/>
          <w:color w:val="000000"/>
          <w:szCs w:val="20"/>
        </w:rPr>
        <w:t>della Corte dei Conti;</w:t>
      </w:r>
    </w:p>
    <w:p w14:paraId="5D6D9796" w14:textId="77777777" w:rsidR="00307777" w:rsidRPr="00515872" w:rsidRDefault="007F01F6" w:rsidP="00D65838">
      <w:pPr>
        <w:pStyle w:val="Paragrafoelenco"/>
        <w:numPr>
          <w:ilvl w:val="0"/>
          <w:numId w:val="66"/>
        </w:numPr>
        <w:spacing w:line="360" w:lineRule="auto"/>
        <w:jc w:val="both"/>
        <w:rPr>
          <w:rFonts w:cs="Tahoma"/>
          <w:color w:val="000000"/>
          <w:szCs w:val="20"/>
        </w:rPr>
      </w:pPr>
      <w:r w:rsidRPr="00515872">
        <w:rPr>
          <w:rFonts w:cs="Tahoma"/>
          <w:color w:val="000000"/>
          <w:szCs w:val="20"/>
        </w:rPr>
        <w:t>alle azioni intraprese per il rispett</w:t>
      </w:r>
      <w:r w:rsidR="006A483C" w:rsidRPr="00515872">
        <w:rPr>
          <w:rFonts w:cs="Tahoma"/>
          <w:color w:val="000000"/>
          <w:szCs w:val="20"/>
        </w:rPr>
        <w:t xml:space="preserve">o dei saldi di finanza pubblica </w:t>
      </w:r>
      <w:r w:rsidRPr="00515872">
        <w:rPr>
          <w:rFonts w:cs="Tahoma"/>
          <w:color w:val="000000"/>
          <w:szCs w:val="20"/>
        </w:rPr>
        <w:t>programmati</w:t>
      </w:r>
      <w:r w:rsidR="00307777" w:rsidRPr="00515872">
        <w:rPr>
          <w:rFonts w:cs="Tahoma"/>
          <w:color w:val="000000"/>
          <w:szCs w:val="20"/>
        </w:rPr>
        <w:t>;</w:t>
      </w:r>
    </w:p>
    <w:p w14:paraId="505D4FA0" w14:textId="77777777" w:rsidR="00307777" w:rsidRPr="00515872" w:rsidRDefault="00650C8F" w:rsidP="00D65838">
      <w:pPr>
        <w:pStyle w:val="Paragrafoelenco"/>
        <w:numPr>
          <w:ilvl w:val="0"/>
          <w:numId w:val="66"/>
        </w:numPr>
        <w:spacing w:line="360" w:lineRule="auto"/>
        <w:jc w:val="both"/>
        <w:rPr>
          <w:rFonts w:cs="Tahoma"/>
          <w:color w:val="000000"/>
          <w:szCs w:val="20"/>
        </w:rPr>
      </w:pPr>
      <w:r w:rsidRPr="00515872">
        <w:rPr>
          <w:rFonts w:cs="Tahoma"/>
          <w:color w:val="000000"/>
          <w:szCs w:val="20"/>
        </w:rPr>
        <w:t xml:space="preserve">alla </w:t>
      </w:r>
      <w:r w:rsidR="007F01F6" w:rsidRPr="00515872">
        <w:rPr>
          <w:rFonts w:cs="Tahoma"/>
          <w:color w:val="000000"/>
          <w:szCs w:val="20"/>
        </w:rPr>
        <w:t>situazione finanziaria e patrimoniale, anche evidenzian</w:t>
      </w:r>
      <w:r w:rsidRPr="00515872">
        <w:rPr>
          <w:rFonts w:cs="Tahoma"/>
          <w:color w:val="000000"/>
          <w:szCs w:val="20"/>
        </w:rPr>
        <w:t xml:space="preserve">do le carenze riscontrate nella </w:t>
      </w:r>
      <w:r w:rsidR="007F01F6" w:rsidRPr="00515872">
        <w:rPr>
          <w:rFonts w:cs="Tahoma"/>
          <w:color w:val="000000"/>
          <w:szCs w:val="20"/>
        </w:rPr>
        <w:t>gestione degli enti e società controllate</w:t>
      </w:r>
      <w:r w:rsidR="00307777" w:rsidRPr="00515872">
        <w:rPr>
          <w:rFonts w:cs="Tahoma"/>
          <w:color w:val="000000"/>
          <w:szCs w:val="20"/>
        </w:rPr>
        <w:t>;</w:t>
      </w:r>
    </w:p>
    <w:p w14:paraId="26C489D0" w14:textId="77777777" w:rsidR="00307777" w:rsidRPr="00515872" w:rsidRDefault="00650C8F" w:rsidP="00D65838">
      <w:pPr>
        <w:pStyle w:val="Paragrafoelenco"/>
        <w:numPr>
          <w:ilvl w:val="0"/>
          <w:numId w:val="66"/>
        </w:numPr>
        <w:spacing w:line="360" w:lineRule="auto"/>
        <w:jc w:val="both"/>
        <w:rPr>
          <w:rFonts w:cs="Tahoma"/>
          <w:color w:val="000000"/>
          <w:szCs w:val="20"/>
        </w:rPr>
      </w:pPr>
      <w:r w:rsidRPr="00515872">
        <w:rPr>
          <w:rFonts w:cs="Tahoma"/>
          <w:color w:val="000000"/>
          <w:szCs w:val="20"/>
        </w:rPr>
        <w:t xml:space="preserve">alle azioni di </w:t>
      </w:r>
      <w:r w:rsidR="00307777" w:rsidRPr="00515872">
        <w:rPr>
          <w:rFonts w:cs="Tahoma"/>
          <w:color w:val="000000"/>
          <w:szCs w:val="20"/>
        </w:rPr>
        <w:t>contenimento della spesa;</w:t>
      </w:r>
    </w:p>
    <w:p w14:paraId="5CE7BE7D" w14:textId="77777777" w:rsidR="00307777" w:rsidRPr="00515872" w:rsidRDefault="002656CD" w:rsidP="00D65838">
      <w:pPr>
        <w:pStyle w:val="Paragrafoelenco"/>
        <w:numPr>
          <w:ilvl w:val="0"/>
          <w:numId w:val="66"/>
        </w:numPr>
        <w:spacing w:line="360" w:lineRule="auto"/>
        <w:jc w:val="both"/>
        <w:rPr>
          <w:rFonts w:cs="Tahoma"/>
          <w:color w:val="000000"/>
          <w:szCs w:val="20"/>
        </w:rPr>
      </w:pPr>
      <w:r w:rsidRPr="00515872">
        <w:rPr>
          <w:rFonts w:cs="Tahoma"/>
          <w:color w:val="000000"/>
          <w:szCs w:val="20"/>
        </w:rPr>
        <w:t xml:space="preserve">allo </w:t>
      </w:r>
      <w:r w:rsidR="007F01F6" w:rsidRPr="00515872">
        <w:rPr>
          <w:rFonts w:cs="Tahoma"/>
          <w:color w:val="000000"/>
          <w:szCs w:val="20"/>
        </w:rPr>
        <w:t>stato del percorso di conv</w:t>
      </w:r>
      <w:r w:rsidR="00650C8F" w:rsidRPr="00515872">
        <w:rPr>
          <w:rFonts w:cs="Tahoma"/>
          <w:color w:val="000000"/>
          <w:szCs w:val="20"/>
        </w:rPr>
        <w:t xml:space="preserve">ergenza ai fabbisogni standard, </w:t>
      </w:r>
      <w:r w:rsidR="007F01F6" w:rsidRPr="00515872">
        <w:rPr>
          <w:rFonts w:cs="Tahoma"/>
          <w:color w:val="000000"/>
          <w:szCs w:val="20"/>
        </w:rPr>
        <w:t>alla quantificazione della misura dell'inde</w:t>
      </w:r>
      <w:r w:rsidR="00307777" w:rsidRPr="00515872">
        <w:rPr>
          <w:rFonts w:cs="Tahoma"/>
          <w:color w:val="000000"/>
          <w:szCs w:val="20"/>
        </w:rPr>
        <w:t>bitamento.</w:t>
      </w:r>
    </w:p>
    <w:p w14:paraId="418397A7" w14:textId="77777777" w:rsidR="007F01F6" w:rsidRPr="00515872" w:rsidRDefault="00AE3B5B" w:rsidP="007F01F6">
      <w:pPr>
        <w:spacing w:line="360" w:lineRule="auto"/>
        <w:jc w:val="both"/>
        <w:rPr>
          <w:rFonts w:cs="Tahoma"/>
          <w:color w:val="000000"/>
          <w:szCs w:val="20"/>
        </w:rPr>
      </w:pPr>
      <w:r w:rsidRPr="00515872">
        <w:rPr>
          <w:rFonts w:cs="Tahoma"/>
          <w:color w:val="000000"/>
          <w:szCs w:val="20"/>
        </w:rPr>
        <w:t>La relazione</w:t>
      </w:r>
      <w:r w:rsidR="00650C8F" w:rsidRPr="00515872">
        <w:rPr>
          <w:rFonts w:cs="Tahoma"/>
          <w:color w:val="000000"/>
          <w:szCs w:val="20"/>
        </w:rPr>
        <w:t xml:space="preserve"> </w:t>
      </w:r>
      <w:r w:rsidR="00307777" w:rsidRPr="00515872">
        <w:rPr>
          <w:rFonts w:cs="Tahoma"/>
          <w:color w:val="000000"/>
          <w:szCs w:val="20"/>
        </w:rPr>
        <w:t xml:space="preserve">di fine mandato </w:t>
      </w:r>
      <w:r w:rsidR="00650C8F" w:rsidRPr="00515872">
        <w:rPr>
          <w:rFonts w:cs="Tahoma"/>
          <w:color w:val="000000"/>
          <w:szCs w:val="20"/>
        </w:rPr>
        <w:t xml:space="preserve">è </w:t>
      </w:r>
      <w:r w:rsidR="00650C8F" w:rsidRPr="00515872">
        <w:rPr>
          <w:rFonts w:cs="Tahoma"/>
          <w:color w:val="000000"/>
          <w:szCs w:val="48"/>
        </w:rPr>
        <w:t>sottoscritt</w:t>
      </w:r>
      <w:r w:rsidRPr="00515872">
        <w:rPr>
          <w:rFonts w:cs="Tahoma"/>
          <w:color w:val="000000"/>
          <w:szCs w:val="48"/>
        </w:rPr>
        <w:t>a</w:t>
      </w:r>
      <w:r w:rsidR="00650C8F" w:rsidRPr="00515872">
        <w:rPr>
          <w:rFonts w:cs="Tahoma"/>
          <w:color w:val="000000"/>
          <w:szCs w:val="48"/>
        </w:rPr>
        <w:t xml:space="preserve"> dal presidente della provincia o dal</w:t>
      </w:r>
      <w:r w:rsidR="00AF34F8" w:rsidRPr="00515872">
        <w:rPr>
          <w:rFonts w:cs="Tahoma"/>
          <w:color w:val="000000"/>
          <w:szCs w:val="48"/>
        </w:rPr>
        <w:t xml:space="preserve"> sindaco, certificata</w:t>
      </w:r>
      <w:r w:rsidR="00650C8F" w:rsidRPr="00515872">
        <w:rPr>
          <w:rFonts w:cs="Tahoma"/>
          <w:color w:val="000000"/>
          <w:szCs w:val="48"/>
        </w:rPr>
        <w:t xml:space="preserve"> dagli organi di controllo interno dell’ente e </w:t>
      </w:r>
      <w:r w:rsidR="00AF34F8" w:rsidRPr="00515872">
        <w:rPr>
          <w:rFonts w:cs="Tahoma"/>
          <w:color w:val="000000"/>
          <w:szCs w:val="20"/>
        </w:rPr>
        <w:t>deve essere pubblicata</w:t>
      </w:r>
      <w:r w:rsidR="007F01F6" w:rsidRPr="00515872">
        <w:rPr>
          <w:rFonts w:cs="Tahoma"/>
          <w:color w:val="000000"/>
          <w:szCs w:val="20"/>
        </w:rPr>
        <w:t>, unitamente al rapporto di verific</w:t>
      </w:r>
      <w:r w:rsidR="00650C8F" w:rsidRPr="00515872">
        <w:rPr>
          <w:rFonts w:cs="Tahoma"/>
          <w:color w:val="000000"/>
          <w:szCs w:val="20"/>
        </w:rPr>
        <w:t xml:space="preserve">a, sul sito istituzionale della </w:t>
      </w:r>
      <w:r w:rsidR="007F01F6" w:rsidRPr="00515872">
        <w:rPr>
          <w:rFonts w:cs="Tahoma"/>
          <w:color w:val="000000"/>
          <w:szCs w:val="20"/>
        </w:rPr>
        <w:t>provincia o del comune.</w:t>
      </w:r>
    </w:p>
    <w:p w14:paraId="705DBE20" w14:textId="77777777" w:rsidR="001672F9" w:rsidRPr="00515872" w:rsidRDefault="001672F9" w:rsidP="007F01F6">
      <w:pPr>
        <w:spacing w:line="360" w:lineRule="auto"/>
        <w:jc w:val="both"/>
        <w:rPr>
          <w:rFonts w:cs="Tahoma"/>
          <w:color w:val="000000"/>
          <w:szCs w:val="20"/>
          <w:highlight w:val="yellow"/>
        </w:rPr>
      </w:pPr>
    </w:p>
    <w:p w14:paraId="5753D75F" w14:textId="77777777" w:rsidR="0099446E" w:rsidRPr="00515872" w:rsidRDefault="0099446E" w:rsidP="00297A21">
      <w:pPr>
        <w:pStyle w:val="Paragrafo"/>
      </w:pPr>
      <w:bookmarkStart w:id="7" w:name="_Toc95912206"/>
      <w:r w:rsidRPr="00515872">
        <w:t>1.3 I</w:t>
      </w:r>
      <w:r w:rsidR="00057C40" w:rsidRPr="00515872">
        <w:t xml:space="preserve"> controlli esterni</w:t>
      </w:r>
      <w:bookmarkEnd w:id="7"/>
    </w:p>
    <w:p w14:paraId="467A3A31" w14:textId="77777777" w:rsidR="00057C40" w:rsidRPr="00515872" w:rsidRDefault="003717AF" w:rsidP="000C695F">
      <w:pPr>
        <w:spacing w:after="0" w:line="360" w:lineRule="auto"/>
        <w:jc w:val="both"/>
        <w:rPr>
          <w:rFonts w:cs="Tahoma"/>
          <w:color w:val="000000"/>
          <w:szCs w:val="20"/>
        </w:rPr>
      </w:pPr>
      <w:r w:rsidRPr="00515872">
        <w:rPr>
          <w:rFonts w:cs="Tahoma"/>
          <w:color w:val="000000"/>
          <w:szCs w:val="20"/>
        </w:rPr>
        <w:t>Per quanto concerne i controlli esterni sugli enti l</w:t>
      </w:r>
      <w:r w:rsidR="00057C40" w:rsidRPr="00515872">
        <w:rPr>
          <w:rFonts w:cs="Tahoma"/>
          <w:color w:val="000000"/>
          <w:szCs w:val="20"/>
        </w:rPr>
        <w:t>ocali, l’art</w:t>
      </w:r>
      <w:r w:rsidR="00EF513E" w:rsidRPr="00515872">
        <w:rPr>
          <w:rFonts w:cs="Tahoma"/>
          <w:color w:val="000000"/>
          <w:szCs w:val="20"/>
        </w:rPr>
        <w:t>.</w:t>
      </w:r>
      <w:r w:rsidR="00057C40" w:rsidRPr="00515872">
        <w:rPr>
          <w:rFonts w:cs="Tahoma"/>
          <w:color w:val="000000"/>
          <w:szCs w:val="20"/>
        </w:rPr>
        <w:t xml:space="preserve"> 3 del D.L. n. </w:t>
      </w:r>
      <w:r w:rsidRPr="00515872">
        <w:rPr>
          <w:rFonts w:cs="Tahoma"/>
          <w:color w:val="000000"/>
          <w:szCs w:val="20"/>
        </w:rPr>
        <w:t>174/2012 ha potenziato i poteri della Corte d</w:t>
      </w:r>
      <w:r w:rsidR="00537262" w:rsidRPr="00515872">
        <w:rPr>
          <w:rFonts w:cs="Tahoma"/>
          <w:color w:val="000000"/>
          <w:szCs w:val="20"/>
        </w:rPr>
        <w:t>ei C</w:t>
      </w:r>
      <w:r w:rsidR="00057C40" w:rsidRPr="00515872">
        <w:rPr>
          <w:rFonts w:cs="Tahoma"/>
          <w:color w:val="000000"/>
          <w:szCs w:val="20"/>
        </w:rPr>
        <w:t>onti</w:t>
      </w:r>
      <w:r w:rsidR="00CC3CF9" w:rsidRPr="00515872">
        <w:rPr>
          <w:rFonts w:cs="Tahoma"/>
          <w:color w:val="000000"/>
          <w:szCs w:val="20"/>
        </w:rPr>
        <w:t>, ampli</w:t>
      </w:r>
      <w:r w:rsidR="00024F64" w:rsidRPr="00515872">
        <w:rPr>
          <w:rFonts w:cs="Tahoma"/>
          <w:color w:val="000000"/>
          <w:szCs w:val="20"/>
        </w:rPr>
        <w:t>andone</w:t>
      </w:r>
      <w:r w:rsidR="00CC3CF9" w:rsidRPr="00515872">
        <w:rPr>
          <w:rFonts w:cs="Tahoma"/>
          <w:color w:val="000000"/>
          <w:szCs w:val="20"/>
        </w:rPr>
        <w:t xml:space="preserve"> le funzioni </w:t>
      </w:r>
      <w:r w:rsidR="00043AFC" w:rsidRPr="00515872">
        <w:rPr>
          <w:rFonts w:cs="Tahoma"/>
          <w:color w:val="000000"/>
          <w:szCs w:val="20"/>
        </w:rPr>
        <w:t>di verifica della</w:t>
      </w:r>
      <w:r w:rsidR="000C695F" w:rsidRPr="00515872">
        <w:rPr>
          <w:rFonts w:cs="Tahoma"/>
          <w:color w:val="000000"/>
          <w:szCs w:val="20"/>
        </w:rPr>
        <w:t xml:space="preserve"> </w:t>
      </w:r>
      <w:r w:rsidRPr="00515872">
        <w:rPr>
          <w:rFonts w:cs="Tahoma"/>
          <w:color w:val="000000"/>
          <w:szCs w:val="20"/>
        </w:rPr>
        <w:t xml:space="preserve">regolarità della gestione finanziaria e </w:t>
      </w:r>
      <w:r w:rsidR="000C695F" w:rsidRPr="00515872">
        <w:rPr>
          <w:rFonts w:cs="Tahoma"/>
          <w:color w:val="000000"/>
          <w:szCs w:val="20"/>
        </w:rPr>
        <w:t>degli at</w:t>
      </w:r>
      <w:r w:rsidR="00043AFC" w:rsidRPr="00515872">
        <w:rPr>
          <w:rFonts w:cs="Tahoma"/>
          <w:color w:val="000000"/>
          <w:szCs w:val="20"/>
        </w:rPr>
        <w:t xml:space="preserve">ti di programmazione, nonché </w:t>
      </w:r>
      <w:r w:rsidRPr="00515872">
        <w:rPr>
          <w:rFonts w:cs="Tahoma"/>
          <w:color w:val="000000"/>
          <w:szCs w:val="20"/>
        </w:rPr>
        <w:t>del funzionamento dei contr</w:t>
      </w:r>
      <w:r w:rsidR="00057C40" w:rsidRPr="00515872">
        <w:rPr>
          <w:rFonts w:cs="Tahoma"/>
          <w:color w:val="000000"/>
          <w:szCs w:val="20"/>
        </w:rPr>
        <w:t>olli interni di ciascun ente.</w:t>
      </w:r>
    </w:p>
    <w:p w14:paraId="5A174C1B" w14:textId="77777777" w:rsidR="00B5129E" w:rsidRPr="00515872" w:rsidRDefault="00CC3CF9" w:rsidP="00FE185C">
      <w:pPr>
        <w:spacing w:line="360" w:lineRule="auto"/>
        <w:jc w:val="both"/>
        <w:rPr>
          <w:rFonts w:eastAsia="Times New Roman" w:cs="Tahoma"/>
          <w:szCs w:val="20"/>
          <w:lang w:eastAsia="it-IT"/>
        </w:rPr>
      </w:pPr>
      <w:r w:rsidRPr="00515872">
        <w:rPr>
          <w:rFonts w:cs="Tahoma"/>
          <w:color w:val="000000"/>
          <w:szCs w:val="20"/>
        </w:rPr>
        <w:t>I</w:t>
      </w:r>
      <w:r w:rsidR="003717AF" w:rsidRPr="00515872">
        <w:rPr>
          <w:rFonts w:cs="Tahoma"/>
          <w:color w:val="000000"/>
          <w:szCs w:val="20"/>
        </w:rPr>
        <w:t>l nuovo art</w:t>
      </w:r>
      <w:r w:rsidR="00EF513E" w:rsidRPr="00515872">
        <w:rPr>
          <w:rFonts w:cs="Tahoma"/>
          <w:color w:val="000000"/>
          <w:szCs w:val="20"/>
        </w:rPr>
        <w:t>.</w:t>
      </w:r>
      <w:r w:rsidR="003717AF" w:rsidRPr="00515872">
        <w:rPr>
          <w:rFonts w:cs="Tahoma"/>
          <w:color w:val="000000"/>
          <w:szCs w:val="20"/>
        </w:rPr>
        <w:t xml:space="preserve"> 148 del </w:t>
      </w:r>
      <w:proofErr w:type="spellStart"/>
      <w:r w:rsidR="003717AF" w:rsidRPr="00515872">
        <w:rPr>
          <w:rFonts w:cs="Tahoma"/>
          <w:color w:val="000000"/>
          <w:szCs w:val="20"/>
        </w:rPr>
        <w:t>D.Lgs.</w:t>
      </w:r>
      <w:proofErr w:type="spellEnd"/>
      <w:r w:rsidR="003717AF" w:rsidRPr="00515872">
        <w:rPr>
          <w:rFonts w:cs="Tahoma"/>
          <w:color w:val="000000"/>
          <w:szCs w:val="20"/>
        </w:rPr>
        <w:t xml:space="preserve"> n. 267/2000 prevede che le sezioni</w:t>
      </w:r>
      <w:r w:rsidR="00B26C6F" w:rsidRPr="00515872">
        <w:rPr>
          <w:rFonts w:cs="Tahoma"/>
          <w:color w:val="000000"/>
          <w:szCs w:val="20"/>
        </w:rPr>
        <w:t xml:space="preserve"> regionali </w:t>
      </w:r>
      <w:r w:rsidRPr="00515872">
        <w:rPr>
          <w:rFonts w:cs="Tahoma"/>
          <w:color w:val="000000"/>
          <w:szCs w:val="20"/>
        </w:rPr>
        <w:t xml:space="preserve">della Corte </w:t>
      </w:r>
      <w:r w:rsidR="00537262" w:rsidRPr="00515872">
        <w:rPr>
          <w:rFonts w:cs="Tahoma"/>
          <w:color w:val="000000"/>
          <w:szCs w:val="20"/>
        </w:rPr>
        <w:t xml:space="preserve">dei Conti </w:t>
      </w:r>
      <w:r w:rsidRPr="00515872">
        <w:rPr>
          <w:rFonts w:cs="Tahoma"/>
          <w:color w:val="000000"/>
          <w:szCs w:val="20"/>
        </w:rPr>
        <w:t>verifichino</w:t>
      </w:r>
      <w:r w:rsidR="003717AF" w:rsidRPr="00515872">
        <w:rPr>
          <w:rFonts w:cs="Tahoma"/>
          <w:color w:val="000000"/>
          <w:szCs w:val="20"/>
        </w:rPr>
        <w:t xml:space="preserve"> </w:t>
      </w:r>
      <w:r w:rsidR="008100EE" w:rsidRPr="00515872">
        <w:rPr>
          <w:rFonts w:cs="Tahoma"/>
          <w:color w:val="000000"/>
          <w:szCs w:val="20"/>
        </w:rPr>
        <w:t>annualmente</w:t>
      </w:r>
      <w:r w:rsidR="003717AF" w:rsidRPr="00515872">
        <w:rPr>
          <w:rFonts w:cs="Tahoma"/>
          <w:color w:val="000000"/>
          <w:szCs w:val="20"/>
        </w:rPr>
        <w:t xml:space="preserve"> la regolarità della gestione e il funzionamento dei controlli interni adottati</w:t>
      </w:r>
      <w:r w:rsidR="00B26C6F" w:rsidRPr="00515872">
        <w:rPr>
          <w:rFonts w:cs="Tahoma"/>
          <w:color w:val="000000"/>
          <w:szCs w:val="20"/>
        </w:rPr>
        <w:t xml:space="preserve"> </w:t>
      </w:r>
      <w:r w:rsidR="003717AF" w:rsidRPr="00515872">
        <w:rPr>
          <w:rFonts w:cs="Tahoma"/>
          <w:color w:val="000000"/>
          <w:szCs w:val="20"/>
        </w:rPr>
        <w:t xml:space="preserve">al fine del rispetto delle regole contabili e del pareggio di bilancio. </w:t>
      </w:r>
      <w:r w:rsidR="00B26C6F" w:rsidRPr="00515872">
        <w:rPr>
          <w:rFonts w:eastAsia="Times New Roman" w:cs="Tahoma"/>
          <w:szCs w:val="20"/>
          <w:lang w:eastAsia="it-IT"/>
        </w:rPr>
        <w:t>A tale fine, il sindaco, relativamente ai comuni con popolazione superiore ai 15.000 abitanti, o il presidente della provincia, avvalendosi del direttore generale</w:t>
      </w:r>
      <w:r w:rsidR="00537262" w:rsidRPr="00515872">
        <w:rPr>
          <w:rFonts w:eastAsia="Times New Roman" w:cs="Tahoma"/>
          <w:szCs w:val="20"/>
          <w:lang w:eastAsia="it-IT"/>
        </w:rPr>
        <w:t xml:space="preserve"> (</w:t>
      </w:r>
      <w:r w:rsidR="00B26C6F" w:rsidRPr="00515872">
        <w:rPr>
          <w:rFonts w:eastAsia="Times New Roman" w:cs="Tahoma"/>
          <w:szCs w:val="20"/>
          <w:lang w:eastAsia="it-IT"/>
        </w:rPr>
        <w:t>quando presente</w:t>
      </w:r>
      <w:r w:rsidR="00537262" w:rsidRPr="00515872">
        <w:rPr>
          <w:rFonts w:eastAsia="Times New Roman" w:cs="Tahoma"/>
          <w:szCs w:val="20"/>
          <w:lang w:eastAsia="it-IT"/>
        </w:rPr>
        <w:t>)</w:t>
      </w:r>
      <w:r w:rsidR="00B26C6F" w:rsidRPr="00515872">
        <w:rPr>
          <w:rFonts w:eastAsia="Times New Roman" w:cs="Tahoma"/>
          <w:szCs w:val="20"/>
          <w:lang w:eastAsia="it-IT"/>
        </w:rPr>
        <w:t xml:space="preserve"> o del segretario</w:t>
      </w:r>
      <w:r w:rsidR="00537262" w:rsidRPr="00515872">
        <w:rPr>
          <w:rFonts w:eastAsia="Times New Roman" w:cs="Tahoma"/>
          <w:szCs w:val="20"/>
          <w:lang w:eastAsia="it-IT"/>
        </w:rPr>
        <w:t xml:space="preserve"> (</w:t>
      </w:r>
      <w:r w:rsidR="00B26C6F" w:rsidRPr="00515872">
        <w:rPr>
          <w:rFonts w:eastAsia="Times New Roman" w:cs="Tahoma"/>
          <w:szCs w:val="20"/>
          <w:lang w:eastAsia="it-IT"/>
        </w:rPr>
        <w:t>negli enti in cui non è prevista l</w:t>
      </w:r>
      <w:r w:rsidR="00537262" w:rsidRPr="00515872">
        <w:rPr>
          <w:rFonts w:eastAsia="Times New Roman" w:cs="Tahoma"/>
          <w:szCs w:val="20"/>
          <w:lang w:eastAsia="it-IT"/>
        </w:rPr>
        <w:t>a figura del direttore generale)</w:t>
      </w:r>
      <w:r w:rsidR="00B26C6F" w:rsidRPr="00515872">
        <w:rPr>
          <w:rFonts w:eastAsia="Times New Roman" w:cs="Tahoma"/>
          <w:szCs w:val="20"/>
          <w:lang w:eastAsia="it-IT"/>
        </w:rPr>
        <w:t xml:space="preserve"> trasmette annualmente alla sezione regionale di controllo della C</w:t>
      </w:r>
      <w:r w:rsidR="00537262" w:rsidRPr="00515872">
        <w:rPr>
          <w:rFonts w:eastAsia="Times New Roman" w:cs="Tahoma"/>
          <w:szCs w:val="20"/>
          <w:lang w:eastAsia="it-IT"/>
        </w:rPr>
        <w:t>orte dei C</w:t>
      </w:r>
      <w:r w:rsidR="00B26C6F" w:rsidRPr="00515872">
        <w:rPr>
          <w:rFonts w:eastAsia="Times New Roman" w:cs="Tahoma"/>
          <w:szCs w:val="20"/>
          <w:lang w:eastAsia="it-IT"/>
        </w:rPr>
        <w:t>onti un referto sul sistema dei controlli interni, adottato sulla base delle linee guida deliberate dalla sezione d</w:t>
      </w:r>
      <w:r w:rsidR="00537262" w:rsidRPr="00515872">
        <w:rPr>
          <w:rFonts w:eastAsia="Times New Roman" w:cs="Tahoma"/>
          <w:szCs w:val="20"/>
          <w:lang w:eastAsia="it-IT"/>
        </w:rPr>
        <w:t>elle autonomie della Corte dei C</w:t>
      </w:r>
      <w:r w:rsidR="00B26C6F" w:rsidRPr="00515872">
        <w:rPr>
          <w:rFonts w:eastAsia="Times New Roman" w:cs="Tahoma"/>
          <w:szCs w:val="20"/>
          <w:lang w:eastAsia="it-IT"/>
        </w:rPr>
        <w:t>onti</w:t>
      </w:r>
      <w:r w:rsidR="00E36A3C" w:rsidRPr="00515872">
        <w:rPr>
          <w:rStyle w:val="Rimandonotaapidipagina"/>
          <w:rFonts w:eastAsia="Times New Roman" w:cs="Tahoma"/>
          <w:szCs w:val="20"/>
          <w:lang w:eastAsia="it-IT"/>
        </w:rPr>
        <w:footnoteReference w:id="1"/>
      </w:r>
      <w:r w:rsidR="00537262" w:rsidRPr="00515872">
        <w:rPr>
          <w:rFonts w:eastAsia="Times New Roman" w:cs="Tahoma"/>
          <w:szCs w:val="20"/>
          <w:lang w:eastAsia="it-IT"/>
        </w:rPr>
        <w:t>,</w:t>
      </w:r>
      <w:r w:rsidR="00B26C6F" w:rsidRPr="00515872">
        <w:rPr>
          <w:rFonts w:eastAsia="Times New Roman" w:cs="Tahoma"/>
          <w:szCs w:val="20"/>
          <w:lang w:eastAsia="it-IT"/>
        </w:rPr>
        <w:t xml:space="preserve"> e sui controlli effettuati nell'anno</w:t>
      </w:r>
      <w:r w:rsidR="00024F64" w:rsidRPr="00515872">
        <w:rPr>
          <w:rFonts w:eastAsia="Times New Roman" w:cs="Tahoma"/>
          <w:szCs w:val="20"/>
          <w:lang w:eastAsia="it-IT"/>
        </w:rPr>
        <w:t>.</w:t>
      </w:r>
      <w:r w:rsidR="00B26C6F" w:rsidRPr="00515872">
        <w:rPr>
          <w:rFonts w:eastAsia="Times New Roman" w:cs="Tahoma"/>
          <w:szCs w:val="20"/>
          <w:lang w:eastAsia="it-IT"/>
        </w:rPr>
        <w:t xml:space="preserve"> </w:t>
      </w:r>
      <w:r w:rsidR="00024F64" w:rsidRPr="00515872">
        <w:rPr>
          <w:rFonts w:eastAsia="Times New Roman" w:cs="Tahoma"/>
          <w:szCs w:val="20"/>
          <w:lang w:eastAsia="it-IT"/>
        </w:rPr>
        <w:t>I</w:t>
      </w:r>
      <w:r w:rsidR="00B26C6F" w:rsidRPr="00515872">
        <w:rPr>
          <w:rFonts w:eastAsia="Times New Roman" w:cs="Tahoma"/>
          <w:szCs w:val="20"/>
          <w:lang w:eastAsia="it-IT"/>
        </w:rPr>
        <w:t>l referto è, altresì, inviato al presidente del co</w:t>
      </w:r>
      <w:r w:rsidR="00B5129E" w:rsidRPr="00515872">
        <w:rPr>
          <w:rFonts w:eastAsia="Times New Roman" w:cs="Tahoma"/>
          <w:szCs w:val="20"/>
          <w:lang w:eastAsia="it-IT"/>
        </w:rPr>
        <w:t>nsiglio comunale o provinciale.</w:t>
      </w:r>
    </w:p>
    <w:p w14:paraId="4ACF8DA3" w14:textId="77777777" w:rsidR="00B26C6F" w:rsidRPr="00515872" w:rsidRDefault="003717AF" w:rsidP="00FE185C">
      <w:pPr>
        <w:spacing w:line="360" w:lineRule="auto"/>
        <w:jc w:val="both"/>
        <w:rPr>
          <w:rFonts w:eastAsia="Times New Roman" w:cs="Tahoma"/>
          <w:szCs w:val="20"/>
          <w:lang w:eastAsia="it-IT"/>
        </w:rPr>
      </w:pPr>
      <w:r w:rsidRPr="00515872">
        <w:rPr>
          <w:rFonts w:cs="Tahoma"/>
          <w:color w:val="000000"/>
          <w:szCs w:val="20"/>
        </w:rPr>
        <w:t>Alla Corte è affidato, inoltre, un potere sa</w:t>
      </w:r>
      <w:r w:rsidR="00B26C6F" w:rsidRPr="00515872">
        <w:rPr>
          <w:rFonts w:cs="Tahoma"/>
          <w:color w:val="000000"/>
          <w:szCs w:val="20"/>
        </w:rPr>
        <w:t xml:space="preserve">nzionatorio nei confronti degli </w:t>
      </w:r>
      <w:r w:rsidRPr="00515872">
        <w:rPr>
          <w:rFonts w:cs="Tahoma"/>
          <w:color w:val="000000"/>
          <w:szCs w:val="20"/>
        </w:rPr>
        <w:t>amministrator</w:t>
      </w:r>
      <w:r w:rsidR="00B26C6F" w:rsidRPr="00515872">
        <w:rPr>
          <w:rFonts w:cs="Tahoma"/>
          <w:color w:val="000000"/>
          <w:szCs w:val="20"/>
        </w:rPr>
        <w:t>i dell’ente locale responsabili</w:t>
      </w:r>
      <w:r w:rsidR="00537262" w:rsidRPr="00515872">
        <w:rPr>
          <w:rFonts w:cs="Tahoma"/>
          <w:color w:val="000000"/>
          <w:szCs w:val="20"/>
        </w:rPr>
        <w:t xml:space="preserve"> di eventuali inadempimenti in materia;</w:t>
      </w:r>
      <w:r w:rsidR="00B26C6F" w:rsidRPr="00515872">
        <w:rPr>
          <w:rFonts w:cs="Tahoma"/>
          <w:color w:val="000000"/>
          <w:szCs w:val="20"/>
        </w:rPr>
        <w:t xml:space="preserve"> infatti, il </w:t>
      </w:r>
      <w:r w:rsidR="00C75BE7" w:rsidRPr="00515872">
        <w:rPr>
          <w:rFonts w:cs="Tahoma"/>
          <w:color w:val="000000"/>
          <w:szCs w:val="20"/>
        </w:rPr>
        <w:t>c.</w:t>
      </w:r>
      <w:r w:rsidR="00B26C6F" w:rsidRPr="00515872">
        <w:rPr>
          <w:rFonts w:cs="Tahoma"/>
          <w:color w:val="000000"/>
          <w:szCs w:val="20"/>
        </w:rPr>
        <w:t xml:space="preserve"> 4 del</w:t>
      </w:r>
      <w:r w:rsidR="00537262" w:rsidRPr="00515872">
        <w:rPr>
          <w:rFonts w:cs="Tahoma"/>
          <w:color w:val="000000"/>
          <w:szCs w:val="20"/>
        </w:rPr>
        <w:t xml:space="preserve"> citato </w:t>
      </w:r>
      <w:r w:rsidR="00B26C6F" w:rsidRPr="00515872">
        <w:rPr>
          <w:rFonts w:cs="Tahoma"/>
          <w:color w:val="000000"/>
          <w:szCs w:val="20"/>
        </w:rPr>
        <w:t xml:space="preserve">art. 148 prevede che: </w:t>
      </w:r>
      <w:r w:rsidR="00B26C6F" w:rsidRPr="00515872">
        <w:rPr>
          <w:rFonts w:cs="Tahoma"/>
          <w:i/>
          <w:color w:val="000000"/>
          <w:szCs w:val="20"/>
        </w:rPr>
        <w:t>“</w:t>
      </w:r>
      <w:r w:rsidR="00B26C6F" w:rsidRPr="00515872">
        <w:rPr>
          <w:rFonts w:eastAsia="Times New Roman" w:cs="Tahoma"/>
          <w:i/>
          <w:szCs w:val="20"/>
          <w:lang w:eastAsia="it-IT"/>
        </w:rPr>
        <w:t>In caso di rilevata assenza o inadeguatezza degli strumenti e delle metodologie di cui al secondo periodo del comma 1 del presente articolo, fermo restando quanto previsto dall'articolo 1 della legge 14 gennaio 1994, n.</w:t>
      </w:r>
      <w:r w:rsidR="00043AFC" w:rsidRPr="00515872">
        <w:rPr>
          <w:rFonts w:eastAsia="Times New Roman" w:cs="Tahoma"/>
          <w:i/>
          <w:szCs w:val="20"/>
          <w:lang w:eastAsia="it-IT"/>
        </w:rPr>
        <w:t xml:space="preserve"> </w:t>
      </w:r>
      <w:r w:rsidR="00B26C6F" w:rsidRPr="00515872">
        <w:rPr>
          <w:rFonts w:eastAsia="Times New Roman" w:cs="Tahoma"/>
          <w:i/>
          <w:szCs w:val="20"/>
          <w:lang w:eastAsia="it-IT"/>
        </w:rPr>
        <w:t xml:space="preserve">20, e successive modificazioni, e dai commi 5 e 5-bis dell'articolo 248 del presente testo unico, le sezioni </w:t>
      </w:r>
      <w:r w:rsidR="00B26C6F" w:rsidRPr="00515872">
        <w:rPr>
          <w:rFonts w:eastAsia="Times New Roman" w:cs="Tahoma"/>
          <w:i/>
          <w:szCs w:val="20"/>
          <w:lang w:eastAsia="it-IT"/>
        </w:rPr>
        <w:lastRenderedPageBreak/>
        <w:t xml:space="preserve">giurisdizionali regionali della Corte dei conti irrogano agli amministratori responsabili la condanna ad una sanzione pecuniaria da un minimo di cinque fino ad un massimo di venti volte la retribuzione mensile lorda dovuta al momento </w:t>
      </w:r>
      <w:r w:rsidR="00537262" w:rsidRPr="00515872">
        <w:rPr>
          <w:rFonts w:eastAsia="Times New Roman" w:cs="Tahoma"/>
          <w:i/>
          <w:szCs w:val="20"/>
          <w:lang w:eastAsia="it-IT"/>
        </w:rPr>
        <w:t>di commissione della violazione</w:t>
      </w:r>
      <w:r w:rsidR="00B26C6F" w:rsidRPr="00515872">
        <w:rPr>
          <w:rFonts w:cs="Tahoma"/>
          <w:i/>
          <w:color w:val="000000"/>
          <w:szCs w:val="20"/>
        </w:rPr>
        <w:t>“</w:t>
      </w:r>
      <w:r w:rsidR="00537262" w:rsidRPr="00515872">
        <w:rPr>
          <w:rFonts w:cs="Tahoma"/>
          <w:i/>
          <w:color w:val="000000"/>
          <w:szCs w:val="20"/>
        </w:rPr>
        <w:t>.</w:t>
      </w:r>
    </w:p>
    <w:p w14:paraId="17797A4A" w14:textId="77777777" w:rsidR="003717AF" w:rsidRPr="00515872" w:rsidRDefault="0027511E" w:rsidP="00FE185C">
      <w:pPr>
        <w:spacing w:line="360" w:lineRule="auto"/>
        <w:jc w:val="both"/>
        <w:rPr>
          <w:rFonts w:cs="Tahoma"/>
          <w:color w:val="000000"/>
          <w:szCs w:val="20"/>
        </w:rPr>
      </w:pPr>
      <w:r w:rsidRPr="00515872">
        <w:rPr>
          <w:rFonts w:cs="Tahoma"/>
          <w:color w:val="000000"/>
          <w:szCs w:val="20"/>
        </w:rPr>
        <w:t>In base a quanto contenuto nel ridefinito art.</w:t>
      </w:r>
      <w:r w:rsidR="003717AF" w:rsidRPr="00515872">
        <w:rPr>
          <w:rFonts w:cs="Tahoma"/>
          <w:color w:val="000000"/>
          <w:szCs w:val="20"/>
        </w:rPr>
        <w:t xml:space="preserve"> 148-bis del </w:t>
      </w:r>
      <w:proofErr w:type="spellStart"/>
      <w:r w:rsidR="003717AF" w:rsidRPr="00515872">
        <w:rPr>
          <w:rFonts w:cs="Tahoma"/>
          <w:color w:val="000000"/>
          <w:szCs w:val="20"/>
        </w:rPr>
        <w:t>D.Lgs.</w:t>
      </w:r>
      <w:proofErr w:type="spellEnd"/>
      <w:r w:rsidR="003717AF" w:rsidRPr="00515872">
        <w:rPr>
          <w:rFonts w:cs="Tahoma"/>
          <w:color w:val="000000"/>
          <w:szCs w:val="20"/>
        </w:rPr>
        <w:t xml:space="preserve"> n. 267/2000, le sezioni regionali di controllo sono tenute ad esaminare i bilanci</w:t>
      </w:r>
      <w:r w:rsidR="00B26C6F" w:rsidRPr="00515872">
        <w:rPr>
          <w:rFonts w:cs="Tahoma"/>
          <w:color w:val="000000"/>
          <w:szCs w:val="20"/>
        </w:rPr>
        <w:t xml:space="preserve"> </w:t>
      </w:r>
      <w:r w:rsidR="003717AF" w:rsidRPr="00515872">
        <w:rPr>
          <w:rFonts w:cs="Tahoma"/>
          <w:color w:val="000000"/>
          <w:szCs w:val="20"/>
        </w:rPr>
        <w:t>p</w:t>
      </w:r>
      <w:r w:rsidR="00537262" w:rsidRPr="00515872">
        <w:rPr>
          <w:rFonts w:cs="Tahoma"/>
          <w:color w:val="000000"/>
          <w:szCs w:val="20"/>
        </w:rPr>
        <w:t xml:space="preserve">reventivi e i rendiconti </w:t>
      </w:r>
      <w:r w:rsidR="003717AF" w:rsidRPr="00515872">
        <w:rPr>
          <w:rFonts w:cs="Tahoma"/>
          <w:color w:val="000000"/>
          <w:szCs w:val="20"/>
        </w:rPr>
        <w:t>degli enti locali ai fini della verifica del rispetto</w:t>
      </w:r>
      <w:r w:rsidR="00B26C6F" w:rsidRPr="00515872">
        <w:rPr>
          <w:rFonts w:cs="Tahoma"/>
          <w:color w:val="000000"/>
          <w:szCs w:val="20"/>
        </w:rPr>
        <w:t xml:space="preserve"> </w:t>
      </w:r>
      <w:r w:rsidR="003717AF" w:rsidRPr="00515872">
        <w:rPr>
          <w:rFonts w:cs="Tahoma"/>
          <w:color w:val="000000"/>
          <w:szCs w:val="20"/>
        </w:rPr>
        <w:t>degli obiettivi annuali posti dal patto di stabilità interno, dell'osservanza del vincolo</w:t>
      </w:r>
      <w:r w:rsidR="00B26C6F" w:rsidRPr="00515872">
        <w:rPr>
          <w:rFonts w:cs="Tahoma"/>
          <w:color w:val="000000"/>
          <w:szCs w:val="20"/>
        </w:rPr>
        <w:t xml:space="preserve"> </w:t>
      </w:r>
      <w:r w:rsidR="003717AF" w:rsidRPr="00515872">
        <w:rPr>
          <w:rFonts w:cs="Tahoma"/>
          <w:color w:val="000000"/>
          <w:szCs w:val="20"/>
        </w:rPr>
        <w:t>previsto in materia di indebitamento dall'art</w:t>
      </w:r>
      <w:r w:rsidR="00EF513E" w:rsidRPr="00515872">
        <w:rPr>
          <w:rFonts w:cs="Tahoma"/>
          <w:color w:val="000000"/>
          <w:szCs w:val="20"/>
        </w:rPr>
        <w:t>.</w:t>
      </w:r>
      <w:r w:rsidR="003717AF" w:rsidRPr="00515872">
        <w:rPr>
          <w:rFonts w:cs="Tahoma"/>
          <w:color w:val="000000"/>
          <w:szCs w:val="20"/>
        </w:rPr>
        <w:t xml:space="preserve"> 119 della Costituzione</w:t>
      </w:r>
      <w:r w:rsidR="00024F64" w:rsidRPr="00515872">
        <w:rPr>
          <w:rFonts w:cs="Tahoma"/>
          <w:color w:val="000000"/>
          <w:szCs w:val="20"/>
        </w:rPr>
        <w:t>,</w:t>
      </w:r>
      <w:r w:rsidR="003717AF" w:rsidRPr="00515872">
        <w:rPr>
          <w:rFonts w:cs="Tahoma"/>
          <w:color w:val="000000"/>
          <w:szCs w:val="20"/>
        </w:rPr>
        <w:t xml:space="preserve"> nonché della</w:t>
      </w:r>
      <w:r w:rsidR="00B26C6F" w:rsidRPr="00515872">
        <w:rPr>
          <w:rFonts w:cs="Tahoma"/>
          <w:color w:val="000000"/>
          <w:szCs w:val="20"/>
        </w:rPr>
        <w:t xml:space="preserve"> </w:t>
      </w:r>
      <w:r w:rsidR="003717AF" w:rsidRPr="00515872">
        <w:rPr>
          <w:rFonts w:cs="Tahoma"/>
          <w:color w:val="000000"/>
          <w:szCs w:val="20"/>
        </w:rPr>
        <w:t>sostenibilità dell'indebitamento degli enti territorial</w:t>
      </w:r>
      <w:r w:rsidR="00537262" w:rsidRPr="00515872">
        <w:rPr>
          <w:rFonts w:cs="Tahoma"/>
          <w:color w:val="000000"/>
          <w:szCs w:val="20"/>
        </w:rPr>
        <w:t>i, dell'assenza di irregolarità</w:t>
      </w:r>
      <w:r w:rsidR="00B26C6F" w:rsidRPr="00515872">
        <w:rPr>
          <w:rFonts w:cs="Tahoma"/>
          <w:color w:val="000000"/>
          <w:szCs w:val="20"/>
        </w:rPr>
        <w:t xml:space="preserve"> </w:t>
      </w:r>
      <w:r w:rsidR="003717AF" w:rsidRPr="00515872">
        <w:rPr>
          <w:rFonts w:cs="Tahoma"/>
          <w:color w:val="000000"/>
          <w:szCs w:val="20"/>
        </w:rPr>
        <w:t>suscettibili di pregiudicare, anche in prospettiva, gli equilibri economico-finanziari</w:t>
      </w:r>
      <w:r w:rsidR="00B26C6F" w:rsidRPr="00515872">
        <w:rPr>
          <w:rFonts w:cs="Tahoma"/>
          <w:color w:val="000000"/>
          <w:szCs w:val="20"/>
        </w:rPr>
        <w:t xml:space="preserve"> </w:t>
      </w:r>
      <w:r w:rsidR="003717AF" w:rsidRPr="00515872">
        <w:rPr>
          <w:rFonts w:cs="Tahoma"/>
          <w:color w:val="000000"/>
          <w:szCs w:val="20"/>
        </w:rPr>
        <w:t>degli enti.</w:t>
      </w:r>
    </w:p>
    <w:p w14:paraId="2A5514B8" w14:textId="77777777" w:rsidR="0027511E" w:rsidRPr="00515872" w:rsidRDefault="0027511E" w:rsidP="00FE185C">
      <w:pPr>
        <w:spacing w:line="360" w:lineRule="auto"/>
        <w:jc w:val="both"/>
        <w:rPr>
          <w:rFonts w:eastAsia="Times New Roman" w:cs="Tahoma"/>
          <w:szCs w:val="20"/>
          <w:lang w:eastAsia="it-IT"/>
        </w:rPr>
      </w:pPr>
      <w:r w:rsidRPr="00515872">
        <w:rPr>
          <w:rFonts w:eastAsia="Times New Roman" w:cs="Tahoma"/>
          <w:szCs w:val="20"/>
          <w:lang w:eastAsia="it-IT"/>
        </w:rPr>
        <w:t>Nell'ambito di tali controlli, l'accertamento, da parte delle competenti sezioni regionali di</w:t>
      </w:r>
      <w:r w:rsidR="00537262" w:rsidRPr="00515872">
        <w:rPr>
          <w:rFonts w:eastAsia="Times New Roman" w:cs="Tahoma"/>
          <w:szCs w:val="20"/>
          <w:lang w:eastAsia="it-IT"/>
        </w:rPr>
        <w:t xml:space="preserve"> controllo della Corte dei Conti</w:t>
      </w:r>
      <w:r w:rsidRPr="00515872">
        <w:rPr>
          <w:rFonts w:eastAsia="Times New Roman" w:cs="Tahoma"/>
          <w:szCs w:val="20"/>
          <w:lang w:eastAsia="it-IT"/>
        </w:rPr>
        <w:t xml:space="preserve"> di squilibri economico-finanziari, della mancata copertura di spese, della violazione di norme finalizzate a garantire la regolarità</w:t>
      </w:r>
      <w:r w:rsidR="00537262" w:rsidRPr="00515872">
        <w:rPr>
          <w:rFonts w:eastAsia="Times New Roman" w:cs="Tahoma"/>
          <w:szCs w:val="20"/>
          <w:lang w:eastAsia="it-IT"/>
        </w:rPr>
        <w:t xml:space="preserve"> della gestione finanziaria</w:t>
      </w:r>
      <w:r w:rsidRPr="00515872">
        <w:rPr>
          <w:rFonts w:eastAsia="Times New Roman" w:cs="Tahoma"/>
          <w:szCs w:val="20"/>
          <w:lang w:eastAsia="it-IT"/>
        </w:rPr>
        <w:t xml:space="preserve"> o del mancato rispetto degli obiettivi posti con il patto di stabilità interno comporta l’invito all’adozione dei provvedimenti ido</w:t>
      </w:r>
      <w:r w:rsidR="00FE185C" w:rsidRPr="00515872">
        <w:rPr>
          <w:rFonts w:eastAsia="Times New Roman" w:cs="Tahoma"/>
          <w:szCs w:val="20"/>
          <w:lang w:eastAsia="it-IT"/>
        </w:rPr>
        <w:t>nei a rimuovere le irregolarità rilevate con il rischio, q</w:t>
      </w:r>
      <w:r w:rsidRPr="00515872">
        <w:rPr>
          <w:rFonts w:eastAsia="Times New Roman" w:cs="Tahoma"/>
          <w:szCs w:val="20"/>
          <w:lang w:eastAsia="it-IT"/>
        </w:rPr>
        <w:t xml:space="preserve">ualora l'ente non provveda alla trasmissione dei suddetti provvedimenti o la verifica delle sezioni regionali di controllo dia esito negativo, </w:t>
      </w:r>
      <w:r w:rsidR="00FE185C" w:rsidRPr="00515872">
        <w:rPr>
          <w:rFonts w:eastAsia="Times New Roman" w:cs="Tahoma"/>
          <w:szCs w:val="20"/>
          <w:lang w:eastAsia="it-IT"/>
        </w:rPr>
        <w:t>di</w:t>
      </w:r>
      <w:r w:rsidRPr="00515872">
        <w:rPr>
          <w:rFonts w:eastAsia="Times New Roman" w:cs="Tahoma"/>
          <w:szCs w:val="20"/>
          <w:lang w:eastAsia="it-IT"/>
        </w:rPr>
        <w:t xml:space="preserve"> preclus</w:t>
      </w:r>
      <w:r w:rsidR="00FE185C" w:rsidRPr="00515872">
        <w:rPr>
          <w:rFonts w:eastAsia="Times New Roman" w:cs="Tahoma"/>
          <w:szCs w:val="20"/>
          <w:lang w:eastAsia="it-IT"/>
        </w:rPr>
        <w:t>ione del</w:t>
      </w:r>
      <w:r w:rsidRPr="00515872">
        <w:rPr>
          <w:rFonts w:eastAsia="Times New Roman" w:cs="Tahoma"/>
          <w:szCs w:val="20"/>
          <w:lang w:eastAsia="it-IT"/>
        </w:rPr>
        <w:t>l'attuazione dei p</w:t>
      </w:r>
      <w:r w:rsidR="00FE185C" w:rsidRPr="00515872">
        <w:rPr>
          <w:rFonts w:eastAsia="Times New Roman" w:cs="Tahoma"/>
          <w:szCs w:val="20"/>
          <w:lang w:eastAsia="it-IT"/>
        </w:rPr>
        <w:t>rogrammi di spesa per i quali è</w:t>
      </w:r>
      <w:r w:rsidRPr="00515872">
        <w:rPr>
          <w:rFonts w:eastAsia="Times New Roman" w:cs="Tahoma"/>
          <w:szCs w:val="20"/>
          <w:lang w:eastAsia="it-IT"/>
        </w:rPr>
        <w:t xml:space="preserve"> stata accertata la mancata copertura o l'insussisten</w:t>
      </w:r>
      <w:r w:rsidR="00FE185C" w:rsidRPr="00515872">
        <w:rPr>
          <w:rFonts w:eastAsia="Times New Roman" w:cs="Tahoma"/>
          <w:szCs w:val="20"/>
          <w:lang w:eastAsia="it-IT"/>
        </w:rPr>
        <w:t>za della relativa sostenibilità</w:t>
      </w:r>
      <w:r w:rsidRPr="00515872">
        <w:rPr>
          <w:rFonts w:eastAsia="Times New Roman" w:cs="Tahoma"/>
          <w:szCs w:val="20"/>
          <w:lang w:eastAsia="it-IT"/>
        </w:rPr>
        <w:t xml:space="preserve"> finanziaria. </w:t>
      </w:r>
    </w:p>
    <w:p w14:paraId="1D08944A" w14:textId="77777777" w:rsidR="00B26C6F" w:rsidRPr="00515872" w:rsidRDefault="00EF513E" w:rsidP="00901E78">
      <w:pPr>
        <w:spacing w:after="0" w:line="360" w:lineRule="auto"/>
        <w:jc w:val="both"/>
        <w:rPr>
          <w:rFonts w:cs="Tahoma"/>
          <w:color w:val="000000"/>
          <w:szCs w:val="20"/>
        </w:rPr>
      </w:pPr>
      <w:r w:rsidRPr="00515872">
        <w:rPr>
          <w:rFonts w:cs="Tahoma"/>
          <w:color w:val="000000"/>
          <w:szCs w:val="20"/>
        </w:rPr>
        <w:t>L</w:t>
      </w:r>
      <w:r w:rsidR="003717AF" w:rsidRPr="00515872">
        <w:rPr>
          <w:rFonts w:cs="Tahoma"/>
          <w:color w:val="000000"/>
          <w:szCs w:val="20"/>
        </w:rPr>
        <w:t>’art</w:t>
      </w:r>
      <w:r w:rsidRPr="00515872">
        <w:rPr>
          <w:rFonts w:cs="Tahoma"/>
          <w:color w:val="000000"/>
          <w:szCs w:val="20"/>
        </w:rPr>
        <w:t>.</w:t>
      </w:r>
      <w:r w:rsidR="00F11FE6" w:rsidRPr="00515872">
        <w:rPr>
          <w:rFonts w:cs="Tahoma"/>
          <w:color w:val="000000"/>
          <w:szCs w:val="20"/>
        </w:rPr>
        <w:t xml:space="preserve"> 5,</w:t>
      </w:r>
      <w:r w:rsidR="003717AF" w:rsidRPr="00515872">
        <w:rPr>
          <w:rFonts w:cs="Tahoma"/>
          <w:color w:val="000000"/>
          <w:szCs w:val="20"/>
        </w:rPr>
        <w:t xml:space="preserve"> </w:t>
      </w:r>
      <w:proofErr w:type="spellStart"/>
      <w:r w:rsidR="003717AF" w:rsidRPr="00515872">
        <w:rPr>
          <w:rFonts w:cs="Tahoma"/>
          <w:color w:val="000000"/>
          <w:szCs w:val="20"/>
        </w:rPr>
        <w:t>D.Lgs.</w:t>
      </w:r>
      <w:proofErr w:type="spellEnd"/>
      <w:r w:rsidR="003717AF" w:rsidRPr="00515872">
        <w:rPr>
          <w:rFonts w:cs="Tahoma"/>
          <w:color w:val="000000"/>
          <w:szCs w:val="20"/>
        </w:rPr>
        <w:t xml:space="preserve"> n. 149/2</w:t>
      </w:r>
      <w:r w:rsidR="00537262" w:rsidRPr="00515872">
        <w:rPr>
          <w:rFonts w:cs="Tahoma"/>
          <w:color w:val="000000"/>
          <w:szCs w:val="20"/>
        </w:rPr>
        <w:t>011 consente al Ministero dell'E</w:t>
      </w:r>
      <w:r w:rsidR="003717AF" w:rsidRPr="00515872">
        <w:rPr>
          <w:rFonts w:cs="Tahoma"/>
          <w:color w:val="000000"/>
          <w:szCs w:val="20"/>
        </w:rPr>
        <w:t>conomia e delle</w:t>
      </w:r>
      <w:r w:rsidR="00537262" w:rsidRPr="00515872">
        <w:rPr>
          <w:rFonts w:cs="Tahoma"/>
          <w:color w:val="000000"/>
          <w:szCs w:val="20"/>
        </w:rPr>
        <w:t xml:space="preserve"> F</w:t>
      </w:r>
      <w:r w:rsidR="003717AF" w:rsidRPr="00515872">
        <w:rPr>
          <w:rFonts w:cs="Tahoma"/>
          <w:color w:val="000000"/>
          <w:szCs w:val="20"/>
        </w:rPr>
        <w:t xml:space="preserve">inanze </w:t>
      </w:r>
      <w:r w:rsidR="00F5011B" w:rsidRPr="00515872">
        <w:rPr>
          <w:rFonts w:cs="Tahoma"/>
          <w:color w:val="000000"/>
          <w:szCs w:val="20"/>
        </w:rPr>
        <w:t>–</w:t>
      </w:r>
      <w:r w:rsidR="003717AF" w:rsidRPr="00515872">
        <w:rPr>
          <w:rFonts w:cs="Tahoma"/>
          <w:color w:val="000000"/>
          <w:szCs w:val="20"/>
        </w:rPr>
        <w:t xml:space="preserve"> Dipartimento della</w:t>
      </w:r>
      <w:r w:rsidR="00B26C6F" w:rsidRPr="00515872">
        <w:rPr>
          <w:rFonts w:cs="Tahoma"/>
          <w:color w:val="000000"/>
          <w:szCs w:val="20"/>
        </w:rPr>
        <w:t xml:space="preserve"> </w:t>
      </w:r>
      <w:r w:rsidR="00537262" w:rsidRPr="00515872">
        <w:rPr>
          <w:rFonts w:cs="Tahoma"/>
          <w:color w:val="000000"/>
          <w:szCs w:val="20"/>
        </w:rPr>
        <w:t>Ragioneria G</w:t>
      </w:r>
      <w:r w:rsidR="003717AF" w:rsidRPr="00515872">
        <w:rPr>
          <w:rFonts w:cs="Tahoma"/>
          <w:color w:val="000000"/>
          <w:szCs w:val="20"/>
        </w:rPr>
        <w:t>enerale dello Stato</w:t>
      </w:r>
      <w:r w:rsidR="00F5011B" w:rsidRPr="00515872">
        <w:rPr>
          <w:rFonts w:cs="Tahoma"/>
          <w:color w:val="000000"/>
          <w:szCs w:val="20"/>
        </w:rPr>
        <w:t xml:space="preserve"> (RGS)</w:t>
      </w:r>
      <w:r w:rsidR="003717AF" w:rsidRPr="00515872">
        <w:rPr>
          <w:rFonts w:cs="Tahoma"/>
          <w:color w:val="000000"/>
          <w:szCs w:val="20"/>
        </w:rPr>
        <w:t xml:space="preserve"> – di attivare verifiche sulla regolarità della gestione</w:t>
      </w:r>
      <w:r w:rsidR="00B26C6F" w:rsidRPr="00515872">
        <w:rPr>
          <w:rFonts w:cs="Tahoma"/>
          <w:color w:val="000000"/>
          <w:szCs w:val="20"/>
        </w:rPr>
        <w:t xml:space="preserve"> </w:t>
      </w:r>
      <w:r w:rsidR="003717AF" w:rsidRPr="00515872">
        <w:rPr>
          <w:rFonts w:cs="Tahoma"/>
          <w:color w:val="000000"/>
          <w:szCs w:val="20"/>
        </w:rPr>
        <w:t>amministrativo-contabile, qualora un ente, anche attraverso le rilevazioni SIOPE, evidenzi</w:t>
      </w:r>
      <w:r w:rsidR="00B26C6F" w:rsidRPr="00515872">
        <w:rPr>
          <w:rFonts w:cs="Tahoma"/>
          <w:color w:val="000000"/>
          <w:szCs w:val="20"/>
        </w:rPr>
        <w:t xml:space="preserve"> </w:t>
      </w:r>
      <w:r w:rsidR="003717AF" w:rsidRPr="00515872">
        <w:rPr>
          <w:rFonts w:cs="Tahoma"/>
          <w:color w:val="000000"/>
          <w:szCs w:val="20"/>
        </w:rPr>
        <w:t>situazioni di squilibrio finanziario rif</w:t>
      </w:r>
      <w:r w:rsidR="00B26C6F" w:rsidRPr="00515872">
        <w:rPr>
          <w:rFonts w:cs="Tahoma"/>
          <w:color w:val="000000"/>
          <w:szCs w:val="20"/>
        </w:rPr>
        <w:t>eribili ai seguenti indicatori:</w:t>
      </w:r>
    </w:p>
    <w:p w14:paraId="6D2D8C42" w14:textId="77777777" w:rsidR="00B26C6F" w:rsidRPr="00515872" w:rsidRDefault="003717AF" w:rsidP="00D65838">
      <w:pPr>
        <w:pStyle w:val="Paragrafoelenco"/>
        <w:numPr>
          <w:ilvl w:val="0"/>
          <w:numId w:val="67"/>
        </w:numPr>
        <w:spacing w:line="360" w:lineRule="auto"/>
        <w:jc w:val="both"/>
        <w:rPr>
          <w:rFonts w:cs="Tahoma"/>
          <w:color w:val="000000"/>
          <w:szCs w:val="20"/>
        </w:rPr>
      </w:pPr>
      <w:r w:rsidRPr="00515872">
        <w:rPr>
          <w:rFonts w:cs="Tahoma"/>
          <w:color w:val="000000"/>
          <w:szCs w:val="20"/>
        </w:rPr>
        <w:t>ripet</w:t>
      </w:r>
      <w:r w:rsidR="00B26C6F" w:rsidRPr="00515872">
        <w:rPr>
          <w:rFonts w:cs="Tahoma"/>
          <w:color w:val="000000"/>
          <w:szCs w:val="20"/>
        </w:rPr>
        <w:t xml:space="preserve">uto utilizzo </w:t>
      </w:r>
      <w:r w:rsidRPr="00515872">
        <w:rPr>
          <w:rFonts w:cs="Tahoma"/>
          <w:color w:val="000000"/>
          <w:szCs w:val="20"/>
        </w:rPr>
        <w:t>d</w:t>
      </w:r>
      <w:r w:rsidR="00B26C6F" w:rsidRPr="00515872">
        <w:rPr>
          <w:rFonts w:cs="Tahoma"/>
          <w:color w:val="000000"/>
          <w:szCs w:val="20"/>
        </w:rPr>
        <w:t>ell'anticipazione di tesoreria;</w:t>
      </w:r>
    </w:p>
    <w:p w14:paraId="076AB4B8" w14:textId="77777777" w:rsidR="00B26C6F" w:rsidRPr="00515872" w:rsidRDefault="003717AF" w:rsidP="00D65838">
      <w:pPr>
        <w:pStyle w:val="Paragrafoelenco"/>
        <w:numPr>
          <w:ilvl w:val="0"/>
          <w:numId w:val="67"/>
        </w:numPr>
        <w:spacing w:line="360" w:lineRule="auto"/>
        <w:jc w:val="both"/>
        <w:rPr>
          <w:rFonts w:cs="Tahoma"/>
          <w:color w:val="000000"/>
          <w:szCs w:val="20"/>
        </w:rPr>
      </w:pPr>
      <w:r w:rsidRPr="00515872">
        <w:rPr>
          <w:rFonts w:cs="Tahoma"/>
          <w:color w:val="000000"/>
          <w:szCs w:val="20"/>
        </w:rPr>
        <w:t>disequilibrio consolidato della parte corrente del bilancio;</w:t>
      </w:r>
    </w:p>
    <w:p w14:paraId="23A3AA52" w14:textId="77777777" w:rsidR="003717AF" w:rsidRPr="00515872" w:rsidRDefault="003717AF" w:rsidP="00D65838">
      <w:pPr>
        <w:pStyle w:val="Paragrafoelenco"/>
        <w:numPr>
          <w:ilvl w:val="0"/>
          <w:numId w:val="67"/>
        </w:numPr>
        <w:spacing w:line="360" w:lineRule="auto"/>
        <w:jc w:val="both"/>
        <w:rPr>
          <w:rFonts w:cs="Tahoma"/>
          <w:color w:val="000000"/>
          <w:szCs w:val="20"/>
        </w:rPr>
      </w:pPr>
      <w:r w:rsidRPr="00515872">
        <w:rPr>
          <w:rFonts w:cs="Tahoma"/>
          <w:color w:val="000000"/>
          <w:szCs w:val="20"/>
        </w:rPr>
        <w:t>anomale modalità di gestione</w:t>
      </w:r>
      <w:r w:rsidR="00FE185C" w:rsidRPr="00515872">
        <w:rPr>
          <w:rFonts w:cs="Tahoma"/>
          <w:color w:val="000000"/>
          <w:szCs w:val="20"/>
        </w:rPr>
        <w:t xml:space="preserve"> dei servizi per conto di terzi;</w:t>
      </w:r>
    </w:p>
    <w:p w14:paraId="58C9DD76" w14:textId="77777777" w:rsidR="00FE185C" w:rsidRPr="00515872" w:rsidRDefault="00FE185C" w:rsidP="00D65838">
      <w:pPr>
        <w:pStyle w:val="Paragrafoelenco"/>
        <w:numPr>
          <w:ilvl w:val="0"/>
          <w:numId w:val="67"/>
        </w:numPr>
        <w:spacing w:line="360" w:lineRule="auto"/>
        <w:jc w:val="both"/>
        <w:rPr>
          <w:rFonts w:cs="Tahoma"/>
          <w:color w:val="000000"/>
          <w:szCs w:val="20"/>
        </w:rPr>
      </w:pPr>
      <w:r w:rsidRPr="00515872">
        <w:rPr>
          <w:rFonts w:cs="Tahoma"/>
          <w:color w:val="000000"/>
          <w:szCs w:val="20"/>
        </w:rPr>
        <w:t>aumento non giustificato delle spese in favore di gruppi consiliari e degli organismi istituzionali.</w:t>
      </w:r>
    </w:p>
    <w:p w14:paraId="5341D141" w14:textId="77777777" w:rsidR="008F6309" w:rsidRPr="00515872" w:rsidRDefault="00024F64" w:rsidP="00401325">
      <w:pPr>
        <w:spacing w:line="360" w:lineRule="auto"/>
        <w:jc w:val="both"/>
        <w:rPr>
          <w:rFonts w:cs="Tahoma"/>
          <w:color w:val="000000"/>
        </w:rPr>
      </w:pPr>
      <w:r w:rsidRPr="00515872">
        <w:rPr>
          <w:rFonts w:cs="Tahoma"/>
          <w:color w:val="000000"/>
        </w:rPr>
        <w:t>Le funzioni di controllo della C</w:t>
      </w:r>
      <w:r w:rsidR="00A13AA3" w:rsidRPr="00515872">
        <w:rPr>
          <w:rFonts w:cs="Tahoma"/>
          <w:color w:val="000000"/>
        </w:rPr>
        <w:t>orte dei C</w:t>
      </w:r>
      <w:r w:rsidR="005F2382" w:rsidRPr="00515872">
        <w:rPr>
          <w:rFonts w:cs="Tahoma"/>
          <w:color w:val="000000"/>
        </w:rPr>
        <w:t xml:space="preserve">onti si estendono anche </w:t>
      </w:r>
      <w:r w:rsidR="00A13AA3" w:rsidRPr="00515872">
        <w:rPr>
          <w:rFonts w:cs="Tahoma"/>
          <w:color w:val="000000"/>
        </w:rPr>
        <w:t>a</w:t>
      </w:r>
      <w:r w:rsidR="005F2382" w:rsidRPr="00515872">
        <w:rPr>
          <w:rFonts w:cs="Tahoma"/>
          <w:color w:val="000000"/>
        </w:rPr>
        <w:t>gli organismi partecipati.</w:t>
      </w:r>
      <w:r w:rsidR="00377193" w:rsidRPr="00515872">
        <w:rPr>
          <w:rFonts w:cs="Tahoma"/>
          <w:color w:val="000000"/>
        </w:rPr>
        <w:t xml:space="preserve"> In particolare, con la riforma introdotta dal </w:t>
      </w:r>
      <w:proofErr w:type="spellStart"/>
      <w:r w:rsidR="00377193" w:rsidRPr="00515872">
        <w:rPr>
          <w:rFonts w:cs="Tahoma"/>
          <w:color w:val="000000"/>
        </w:rPr>
        <w:t>D.Lgs.</w:t>
      </w:r>
      <w:proofErr w:type="spellEnd"/>
      <w:r w:rsidR="00377193" w:rsidRPr="00515872">
        <w:rPr>
          <w:rFonts w:cs="Tahoma"/>
          <w:color w:val="000000"/>
        </w:rPr>
        <w:t xml:space="preserve"> 19 agosto 2</w:t>
      </w:r>
      <w:r w:rsidR="00F11FE6" w:rsidRPr="00515872">
        <w:rPr>
          <w:rFonts w:cs="Tahoma"/>
          <w:color w:val="000000"/>
        </w:rPr>
        <w:t>016, n. 175 (Testo Unico sulle S</w:t>
      </w:r>
      <w:r w:rsidR="00377193" w:rsidRPr="00515872">
        <w:rPr>
          <w:rFonts w:cs="Tahoma"/>
          <w:color w:val="000000"/>
        </w:rPr>
        <w:t xml:space="preserve">ocietà a </w:t>
      </w:r>
      <w:r w:rsidR="00F11FE6" w:rsidRPr="00515872">
        <w:rPr>
          <w:rFonts w:cs="Tahoma"/>
          <w:color w:val="000000"/>
        </w:rPr>
        <w:t>P</w:t>
      </w:r>
      <w:r w:rsidR="00377193" w:rsidRPr="00515872">
        <w:rPr>
          <w:rFonts w:cs="Tahoma"/>
          <w:color w:val="000000"/>
        </w:rPr>
        <w:t xml:space="preserve">artecipazione </w:t>
      </w:r>
      <w:r w:rsidR="00F11FE6" w:rsidRPr="00515872">
        <w:rPr>
          <w:rFonts w:cs="Tahoma"/>
          <w:color w:val="000000"/>
        </w:rPr>
        <w:t>P</w:t>
      </w:r>
      <w:r w:rsidR="00377193" w:rsidRPr="00515872">
        <w:rPr>
          <w:rFonts w:cs="Tahoma"/>
          <w:color w:val="000000"/>
        </w:rPr>
        <w:t>ubblica) sono stati previsti diversi interventi di cont</w:t>
      </w:r>
      <w:r w:rsidR="00A13AA3" w:rsidRPr="00515872">
        <w:rPr>
          <w:rFonts w:cs="Tahoma"/>
          <w:color w:val="000000"/>
        </w:rPr>
        <w:t>rollo da parte della Corte dei C</w:t>
      </w:r>
      <w:r w:rsidR="00377193" w:rsidRPr="00515872">
        <w:rPr>
          <w:rFonts w:cs="Tahoma"/>
          <w:color w:val="000000"/>
        </w:rPr>
        <w:t>onti nell’ambito del processo di razionalizzazione delle partecipazioni pubbliche.</w:t>
      </w:r>
      <w:r w:rsidR="00D32827" w:rsidRPr="00515872">
        <w:rPr>
          <w:rFonts w:cs="Tahoma"/>
          <w:color w:val="000000"/>
        </w:rPr>
        <w:t xml:space="preserve"> </w:t>
      </w:r>
      <w:r w:rsidR="00333763" w:rsidRPr="00515872">
        <w:rPr>
          <w:rFonts w:cs="Tahoma"/>
          <w:color w:val="000000"/>
        </w:rPr>
        <w:t>A norma dell</w:t>
      </w:r>
      <w:r w:rsidR="005F2382" w:rsidRPr="00515872">
        <w:rPr>
          <w:rFonts w:cs="Tahoma"/>
          <w:color w:val="000000"/>
        </w:rPr>
        <w:t xml:space="preserve">’art. 5, </w:t>
      </w:r>
      <w:r w:rsidR="00C75BE7" w:rsidRPr="00515872">
        <w:rPr>
          <w:rFonts w:cs="Tahoma"/>
          <w:color w:val="000000"/>
        </w:rPr>
        <w:t>c.</w:t>
      </w:r>
      <w:r w:rsidR="005F2382" w:rsidRPr="00515872">
        <w:rPr>
          <w:rFonts w:cs="Tahoma"/>
          <w:color w:val="000000"/>
        </w:rPr>
        <w:t xml:space="preserve"> 3</w:t>
      </w:r>
      <w:r w:rsidR="00377193" w:rsidRPr="00515872">
        <w:rPr>
          <w:rFonts w:cs="Tahoma"/>
          <w:color w:val="000000"/>
        </w:rPr>
        <w:t>, ad esempio,</w:t>
      </w:r>
      <w:r w:rsidR="005F2382" w:rsidRPr="00515872">
        <w:rPr>
          <w:rFonts w:cs="Tahoma"/>
          <w:color w:val="000000"/>
        </w:rPr>
        <w:t xml:space="preserve"> le amministrazioni </w:t>
      </w:r>
      <w:r w:rsidR="00333763" w:rsidRPr="00515872">
        <w:rPr>
          <w:rFonts w:cs="Tahoma"/>
          <w:color w:val="000000"/>
        </w:rPr>
        <w:t xml:space="preserve">sono tenute ad </w:t>
      </w:r>
      <w:r w:rsidR="005F2382" w:rsidRPr="00515872">
        <w:rPr>
          <w:rFonts w:cs="Tahoma"/>
          <w:color w:val="000000"/>
        </w:rPr>
        <w:t>invi</w:t>
      </w:r>
      <w:r w:rsidR="00333763" w:rsidRPr="00515872">
        <w:rPr>
          <w:rFonts w:cs="Tahoma"/>
          <w:color w:val="000000"/>
        </w:rPr>
        <w:t xml:space="preserve">are alla Corte, a fini conoscitivi, e all’Autorità garante della concorrenza e del mercato, </w:t>
      </w:r>
      <w:r w:rsidR="005F2382" w:rsidRPr="00515872">
        <w:rPr>
          <w:rFonts w:cs="Tahoma"/>
          <w:color w:val="000000"/>
        </w:rPr>
        <w:t>l</w:t>
      </w:r>
      <w:r w:rsidR="00377193" w:rsidRPr="00515872">
        <w:rPr>
          <w:rFonts w:cs="Tahoma"/>
          <w:color w:val="000000"/>
        </w:rPr>
        <w:t xml:space="preserve">a delibera di costituzione di </w:t>
      </w:r>
      <w:r w:rsidR="00A13AA3" w:rsidRPr="00515872">
        <w:rPr>
          <w:rFonts w:cs="Tahoma"/>
          <w:color w:val="000000"/>
        </w:rPr>
        <w:t xml:space="preserve">nuove </w:t>
      </w:r>
      <w:r w:rsidR="005F2382" w:rsidRPr="00515872">
        <w:rPr>
          <w:rFonts w:cs="Tahoma"/>
          <w:color w:val="000000"/>
        </w:rPr>
        <w:t>società o di acquisizi</w:t>
      </w:r>
      <w:r w:rsidR="00377193" w:rsidRPr="00515872">
        <w:rPr>
          <w:rFonts w:cs="Tahoma"/>
          <w:color w:val="000000"/>
        </w:rPr>
        <w:t xml:space="preserve">one di partecipazioni dirette o </w:t>
      </w:r>
      <w:r w:rsidR="005F2382" w:rsidRPr="00515872">
        <w:rPr>
          <w:rFonts w:cs="Tahoma"/>
          <w:color w:val="000000"/>
        </w:rPr>
        <w:t>indirette</w:t>
      </w:r>
      <w:r w:rsidR="00377193" w:rsidRPr="00515872">
        <w:rPr>
          <w:rFonts w:cs="Tahoma"/>
          <w:color w:val="000000"/>
        </w:rPr>
        <w:t>.</w:t>
      </w:r>
    </w:p>
    <w:p w14:paraId="1F059F34" w14:textId="77777777" w:rsidR="005F2382" w:rsidRPr="00515872" w:rsidRDefault="007175D4" w:rsidP="00401325">
      <w:pPr>
        <w:spacing w:line="360" w:lineRule="auto"/>
        <w:jc w:val="both"/>
        <w:rPr>
          <w:rFonts w:cs="Tahoma"/>
          <w:color w:val="000000"/>
        </w:rPr>
      </w:pPr>
      <w:r w:rsidRPr="00515872">
        <w:rPr>
          <w:rFonts w:cs="Tahoma"/>
          <w:color w:val="000000"/>
        </w:rPr>
        <w:t xml:space="preserve">Anche in tema di razionalizzazione delle partecipazioni è previsto un ruolo costante di monitoraggio e controllo da parte della </w:t>
      </w:r>
      <w:r w:rsidR="00A13AA3" w:rsidRPr="00515872">
        <w:rPr>
          <w:rFonts w:cs="Tahoma"/>
          <w:color w:val="000000"/>
        </w:rPr>
        <w:t>Corte dei C</w:t>
      </w:r>
      <w:r w:rsidRPr="00515872">
        <w:rPr>
          <w:rFonts w:cs="Tahoma"/>
          <w:color w:val="000000"/>
        </w:rPr>
        <w:t>onti. A</w:t>
      </w:r>
      <w:r w:rsidR="005F2382" w:rsidRPr="00515872">
        <w:rPr>
          <w:rFonts w:cs="Tahoma"/>
          <w:color w:val="000000"/>
        </w:rPr>
        <w:t xml:space="preserve">i sensi dell’art. 20, </w:t>
      </w:r>
      <w:r w:rsidR="00C75BE7" w:rsidRPr="00515872">
        <w:rPr>
          <w:rFonts w:cs="Tahoma"/>
          <w:color w:val="000000"/>
        </w:rPr>
        <w:t>c.</w:t>
      </w:r>
      <w:r w:rsidR="005F2382" w:rsidRPr="00515872">
        <w:rPr>
          <w:rFonts w:cs="Tahoma"/>
          <w:color w:val="000000"/>
        </w:rPr>
        <w:t xml:space="preserve"> 1, </w:t>
      </w:r>
      <w:r w:rsidR="00873E2C" w:rsidRPr="00515872">
        <w:rPr>
          <w:rFonts w:cs="Tahoma"/>
          <w:color w:val="000000"/>
        </w:rPr>
        <w:t xml:space="preserve">del citato </w:t>
      </w:r>
      <w:r w:rsidR="00F11FE6" w:rsidRPr="00515872">
        <w:rPr>
          <w:rFonts w:cs="Tahoma"/>
          <w:color w:val="000000"/>
        </w:rPr>
        <w:t>decreto</w:t>
      </w:r>
      <w:r w:rsidR="00873E2C" w:rsidRPr="00515872">
        <w:rPr>
          <w:rFonts w:cs="Tahoma"/>
          <w:color w:val="000000"/>
        </w:rPr>
        <w:t xml:space="preserve"> </w:t>
      </w:r>
      <w:r w:rsidR="005F2382" w:rsidRPr="00515872">
        <w:rPr>
          <w:rFonts w:cs="Tahoma"/>
          <w:color w:val="000000"/>
        </w:rPr>
        <w:t>le amministrazioni pubbliche effettuano annualmente, con proprio provvedimento, un’analisi dell’assetto complessivo</w:t>
      </w:r>
      <w:r w:rsidRPr="00515872">
        <w:rPr>
          <w:rFonts w:cs="Tahoma"/>
          <w:color w:val="000000"/>
        </w:rPr>
        <w:t xml:space="preserve"> delle società in cui detengono </w:t>
      </w:r>
      <w:r w:rsidR="005F2382" w:rsidRPr="00515872">
        <w:rPr>
          <w:rFonts w:cs="Tahoma"/>
          <w:color w:val="000000"/>
        </w:rPr>
        <w:t xml:space="preserve">partecipazioni, dirette o indirette, predisponendo, ove </w:t>
      </w:r>
      <w:r w:rsidR="002C143A" w:rsidRPr="00515872">
        <w:rPr>
          <w:rFonts w:cs="Tahoma"/>
          <w:color w:val="000000"/>
        </w:rPr>
        <w:t xml:space="preserve">ne </w:t>
      </w:r>
      <w:r w:rsidR="005F2382" w:rsidRPr="00515872">
        <w:rPr>
          <w:rFonts w:cs="Tahoma"/>
          <w:color w:val="000000"/>
        </w:rPr>
        <w:t>ricorrano i presupposti</w:t>
      </w:r>
      <w:r w:rsidRPr="00515872">
        <w:rPr>
          <w:rFonts w:cs="Tahoma"/>
          <w:color w:val="000000"/>
        </w:rPr>
        <w:t xml:space="preserve">, un piano di </w:t>
      </w:r>
      <w:r w:rsidRPr="00515872">
        <w:rPr>
          <w:rFonts w:cs="Tahoma"/>
          <w:color w:val="000000"/>
        </w:rPr>
        <w:lastRenderedPageBreak/>
        <w:t xml:space="preserve">riassetto per la </w:t>
      </w:r>
      <w:r w:rsidR="005F2382" w:rsidRPr="00515872">
        <w:rPr>
          <w:rFonts w:cs="Tahoma"/>
          <w:color w:val="000000"/>
        </w:rPr>
        <w:t>loro razionalizzazione, fusione o soppressione, anche mediante liquidazio</w:t>
      </w:r>
      <w:r w:rsidRPr="00515872">
        <w:rPr>
          <w:rFonts w:cs="Tahoma"/>
          <w:color w:val="000000"/>
        </w:rPr>
        <w:t>ne o cessione</w:t>
      </w:r>
      <w:r w:rsidR="002C143A" w:rsidRPr="00515872">
        <w:rPr>
          <w:rFonts w:cs="Tahoma"/>
          <w:color w:val="000000"/>
        </w:rPr>
        <w:t xml:space="preserve">. Per </w:t>
      </w:r>
      <w:r w:rsidR="00A13AA3" w:rsidRPr="00515872">
        <w:rPr>
          <w:rFonts w:cs="Tahoma"/>
          <w:color w:val="000000"/>
        </w:rPr>
        <w:t xml:space="preserve">le </w:t>
      </w:r>
      <w:r w:rsidR="005F2382" w:rsidRPr="00515872">
        <w:rPr>
          <w:rFonts w:cs="Tahoma"/>
          <w:color w:val="000000"/>
        </w:rPr>
        <w:t xml:space="preserve">amministrazioni che non detengono alcuna partecipazione </w:t>
      </w:r>
      <w:r w:rsidR="002C143A" w:rsidRPr="00515872">
        <w:rPr>
          <w:rFonts w:cs="Tahoma"/>
          <w:color w:val="000000"/>
        </w:rPr>
        <w:t xml:space="preserve">è prevista </w:t>
      </w:r>
      <w:r w:rsidR="00A13AA3" w:rsidRPr="00515872">
        <w:rPr>
          <w:rFonts w:cs="Tahoma"/>
          <w:color w:val="000000"/>
        </w:rPr>
        <w:t xml:space="preserve">comunque </w:t>
      </w:r>
      <w:r w:rsidR="002C143A" w:rsidRPr="00515872">
        <w:rPr>
          <w:rFonts w:cs="Tahoma"/>
          <w:color w:val="000000"/>
        </w:rPr>
        <w:t>una comunicazione a</w:t>
      </w:r>
      <w:r w:rsidRPr="00515872">
        <w:rPr>
          <w:rFonts w:cs="Tahoma"/>
          <w:color w:val="000000"/>
        </w:rPr>
        <w:t xml:space="preserve">lla Sezione della Corte </w:t>
      </w:r>
      <w:r w:rsidR="005F2382" w:rsidRPr="00515872">
        <w:rPr>
          <w:rFonts w:cs="Tahoma"/>
          <w:color w:val="000000"/>
        </w:rPr>
        <w:t>d</w:t>
      </w:r>
      <w:r w:rsidR="00A13AA3" w:rsidRPr="00515872">
        <w:rPr>
          <w:rFonts w:cs="Tahoma"/>
          <w:color w:val="000000"/>
        </w:rPr>
        <w:t>ei C</w:t>
      </w:r>
      <w:r w:rsidR="005F2382" w:rsidRPr="00515872">
        <w:rPr>
          <w:rFonts w:cs="Tahoma"/>
          <w:color w:val="000000"/>
        </w:rPr>
        <w:t>onti competente</w:t>
      </w:r>
      <w:r w:rsidRPr="00515872">
        <w:rPr>
          <w:rFonts w:cs="Tahoma"/>
          <w:color w:val="000000"/>
        </w:rPr>
        <w:t xml:space="preserve">; il </w:t>
      </w:r>
      <w:r w:rsidR="00C75BE7" w:rsidRPr="00515872">
        <w:rPr>
          <w:rFonts w:cs="Tahoma"/>
          <w:color w:val="000000"/>
        </w:rPr>
        <w:t>c.</w:t>
      </w:r>
      <w:r w:rsidRPr="00515872">
        <w:rPr>
          <w:rFonts w:cs="Tahoma"/>
          <w:color w:val="000000"/>
        </w:rPr>
        <w:t xml:space="preserve"> 3 stabilisce che i </w:t>
      </w:r>
      <w:r w:rsidR="005F2382" w:rsidRPr="00515872">
        <w:rPr>
          <w:rFonts w:cs="Tahoma"/>
          <w:color w:val="000000"/>
        </w:rPr>
        <w:t>relativi provvedimenti siano adottati entro il 31 dicembre di ogni anno e trasmessi all</w:t>
      </w:r>
      <w:r w:rsidRPr="00515872">
        <w:rPr>
          <w:rFonts w:cs="Tahoma"/>
          <w:color w:val="000000"/>
        </w:rPr>
        <w:t xml:space="preserve">a Sezione di </w:t>
      </w:r>
      <w:r w:rsidR="00B5129E" w:rsidRPr="00515872">
        <w:rPr>
          <w:rFonts w:cs="Tahoma"/>
          <w:color w:val="000000"/>
        </w:rPr>
        <w:t>controllo della Corte</w:t>
      </w:r>
      <w:r w:rsidR="005F2382" w:rsidRPr="00515872">
        <w:rPr>
          <w:rFonts w:cs="Tahoma"/>
          <w:color w:val="000000"/>
        </w:rPr>
        <w:t>.</w:t>
      </w:r>
    </w:p>
    <w:p w14:paraId="35B959A5" w14:textId="77777777" w:rsidR="006F1CF3" w:rsidRPr="00515872" w:rsidRDefault="007175D4" w:rsidP="00FE185C">
      <w:pPr>
        <w:spacing w:line="360" w:lineRule="auto"/>
        <w:jc w:val="both"/>
        <w:rPr>
          <w:rFonts w:cs="Tahoma"/>
          <w:color w:val="000000"/>
        </w:rPr>
      </w:pPr>
      <w:r w:rsidRPr="00515872">
        <w:rPr>
          <w:rFonts w:cs="Tahoma"/>
          <w:color w:val="000000"/>
        </w:rPr>
        <w:t xml:space="preserve">In questo contesto </w:t>
      </w:r>
      <w:r w:rsidR="005F2382" w:rsidRPr="00515872">
        <w:rPr>
          <w:rFonts w:cs="Tahoma"/>
          <w:color w:val="000000"/>
        </w:rPr>
        <w:t>il c</w:t>
      </w:r>
      <w:r w:rsidR="00A13AA3" w:rsidRPr="00515872">
        <w:rPr>
          <w:rFonts w:cs="Tahoma"/>
          <w:color w:val="000000"/>
        </w:rPr>
        <w:t>ontrollo della Corte dei C</w:t>
      </w:r>
      <w:r w:rsidRPr="00515872">
        <w:rPr>
          <w:rFonts w:cs="Tahoma"/>
          <w:color w:val="000000"/>
        </w:rPr>
        <w:t xml:space="preserve">onti, </w:t>
      </w:r>
      <w:r w:rsidR="005F2382" w:rsidRPr="00515872">
        <w:rPr>
          <w:rFonts w:cs="Tahoma"/>
          <w:color w:val="000000"/>
        </w:rPr>
        <w:t xml:space="preserve">finalizzato ad accertare che nel decidere di mantenere le partecipazioni le amministrazioni pubbliche abbiano rispettato </w:t>
      </w:r>
      <w:r w:rsidR="009964DE" w:rsidRPr="00515872">
        <w:rPr>
          <w:rFonts w:cs="Tahoma"/>
          <w:color w:val="000000"/>
        </w:rPr>
        <w:t>la normativa, è</w:t>
      </w:r>
      <w:r w:rsidRPr="00515872">
        <w:rPr>
          <w:rFonts w:cs="Tahoma"/>
          <w:color w:val="000000"/>
        </w:rPr>
        <w:t xml:space="preserve"> un controllo </w:t>
      </w:r>
      <w:r w:rsidR="005F2382" w:rsidRPr="00515872">
        <w:rPr>
          <w:rFonts w:cs="Tahoma"/>
          <w:color w:val="000000"/>
        </w:rPr>
        <w:t xml:space="preserve">di legittimità </w:t>
      </w:r>
      <w:r w:rsidR="00A13AA3" w:rsidRPr="00515872">
        <w:rPr>
          <w:rFonts w:cs="Tahoma"/>
          <w:color w:val="000000"/>
        </w:rPr>
        <w:t>ch</w:t>
      </w:r>
      <w:r w:rsidR="00CB2109" w:rsidRPr="00515872">
        <w:rPr>
          <w:rFonts w:cs="Tahoma"/>
          <w:color w:val="000000"/>
        </w:rPr>
        <w:t xml:space="preserve">e </w:t>
      </w:r>
      <w:r w:rsidR="005F2382" w:rsidRPr="00515872">
        <w:rPr>
          <w:rFonts w:cs="Tahoma"/>
          <w:color w:val="000000"/>
        </w:rPr>
        <w:t xml:space="preserve">non sembra lasciare spazio alla </w:t>
      </w:r>
      <w:r w:rsidR="00A13AA3" w:rsidRPr="00515872">
        <w:rPr>
          <w:rFonts w:cs="Tahoma"/>
          <w:color w:val="000000"/>
        </w:rPr>
        <w:t>discrezionalità degli enti soci</w:t>
      </w:r>
      <w:r w:rsidR="005F2382" w:rsidRPr="00515872">
        <w:rPr>
          <w:rFonts w:cs="Tahoma"/>
          <w:color w:val="000000"/>
        </w:rPr>
        <w:t xml:space="preserve"> al momento di accertare se vi</w:t>
      </w:r>
      <w:r w:rsidRPr="00515872">
        <w:rPr>
          <w:rFonts w:cs="Tahoma"/>
          <w:color w:val="000000"/>
        </w:rPr>
        <w:t xml:space="preserve"> </w:t>
      </w:r>
      <w:r w:rsidR="005F2382" w:rsidRPr="00515872">
        <w:rPr>
          <w:rFonts w:cs="Tahoma"/>
          <w:color w:val="000000"/>
        </w:rPr>
        <w:t xml:space="preserve">siano o meno i requisiti per il </w:t>
      </w:r>
      <w:r w:rsidRPr="00515872">
        <w:rPr>
          <w:rFonts w:cs="Tahoma"/>
          <w:color w:val="000000"/>
        </w:rPr>
        <w:t xml:space="preserve">mantenimento delle </w:t>
      </w:r>
      <w:r w:rsidR="005F2382" w:rsidRPr="00515872">
        <w:rPr>
          <w:rFonts w:cs="Tahoma"/>
          <w:color w:val="000000"/>
        </w:rPr>
        <w:t>singole partecipazioni.</w:t>
      </w:r>
    </w:p>
    <w:p w14:paraId="22B0DAEC" w14:textId="77777777" w:rsidR="00423621" w:rsidRPr="00515872" w:rsidRDefault="00423621" w:rsidP="00FE185C">
      <w:pPr>
        <w:spacing w:line="360" w:lineRule="auto"/>
        <w:jc w:val="both"/>
        <w:rPr>
          <w:rFonts w:cs="Tahoma"/>
          <w:color w:val="000000"/>
        </w:rPr>
      </w:pPr>
    </w:p>
    <w:p w14:paraId="75CB4A40" w14:textId="77777777" w:rsidR="00423621" w:rsidRPr="00515872" w:rsidRDefault="00423621" w:rsidP="00297A21">
      <w:pPr>
        <w:pStyle w:val="Paragrafo"/>
      </w:pPr>
      <w:bookmarkStart w:id="8" w:name="_Toc95912207"/>
      <w:r w:rsidRPr="00515872">
        <w:t>1.4 La proposta di riforma</w:t>
      </w:r>
      <w:bookmarkEnd w:id="8"/>
    </w:p>
    <w:p w14:paraId="12EC7423" w14:textId="2768FB0C" w:rsidR="006674FC" w:rsidRPr="00515872" w:rsidRDefault="006674FC" w:rsidP="006674FC">
      <w:pPr>
        <w:spacing w:after="0" w:line="360" w:lineRule="auto"/>
        <w:jc w:val="both"/>
        <w:rPr>
          <w:rFonts w:cs="Tahoma"/>
          <w:iCs/>
          <w:szCs w:val="20"/>
        </w:rPr>
      </w:pPr>
      <w:r w:rsidRPr="00515872">
        <w:rPr>
          <w:rFonts w:eastAsia="Times New Roman" w:cs="Tahoma"/>
          <w:szCs w:val="20"/>
          <w:lang w:eastAsia="it-IT"/>
        </w:rPr>
        <w:t>Il CNDCEC ha recentemente presentato al Ministero dell’Interno un documento, elaborato dalla Commissione “</w:t>
      </w:r>
      <w:r w:rsidRPr="00515872">
        <w:rPr>
          <w:rFonts w:eastAsia="Times New Roman" w:cs="Tahoma"/>
          <w:i/>
          <w:iCs/>
          <w:szCs w:val="20"/>
          <w:lang w:eastAsia="it-IT"/>
        </w:rPr>
        <w:t>Revisione dei Principi di vigilanza e controllo dell’Organo di revisione degli Enti Locali</w:t>
      </w:r>
      <w:r w:rsidRPr="00515872">
        <w:rPr>
          <w:rFonts w:eastAsia="Times New Roman" w:cs="Tahoma"/>
          <w:szCs w:val="20"/>
          <w:lang w:eastAsia="it-IT"/>
        </w:rPr>
        <w:t>”, con proposte di modifica al Titolo VII del TUEL (in materia di revisione economico finanziaria).</w:t>
      </w:r>
      <w:r w:rsidRPr="00515872">
        <w:rPr>
          <w:rFonts w:cs="Tahoma"/>
          <w:iCs/>
          <w:szCs w:val="20"/>
        </w:rPr>
        <w:t xml:space="preserve"> </w:t>
      </w:r>
      <w:r w:rsidRPr="00515872">
        <w:rPr>
          <w:rFonts w:eastAsia="Times New Roman" w:cs="Tahoma"/>
          <w:szCs w:val="20"/>
          <w:lang w:eastAsia="it-IT"/>
        </w:rPr>
        <w:t xml:space="preserve">Le proposte sono indirizzate ad una revisione organica della disciplina della funzione di revisione economico-finanziaria e del funzionamento dell’organo di revisione, garantendone l’indipendenza e la professionalità, nonché ridefinizione delle competenze, anche al fine di rendere più rapida ed efficace l’attività di controllo sugli atti dell’ente, alla previsione di istituti organizzativi volti a favorire la formazione nonché all’ampliamento del numero di enti, in base alla soglia demografica, per i quali l’organo di revisione deve essere previsto in forma collegiale. </w:t>
      </w:r>
      <w:r w:rsidR="00F61E9D" w:rsidRPr="00515872">
        <w:rPr>
          <w:rFonts w:eastAsia="Times New Roman" w:cs="Tahoma"/>
          <w:szCs w:val="20"/>
          <w:lang w:eastAsia="it-IT"/>
        </w:rPr>
        <w:t>È</w:t>
      </w:r>
      <w:r w:rsidRPr="00515872">
        <w:rPr>
          <w:rFonts w:eastAsia="Times New Roman" w:cs="Tahoma"/>
          <w:szCs w:val="20"/>
          <w:lang w:eastAsia="it-IT"/>
        </w:rPr>
        <w:t xml:space="preserve"> richiesta, inoltre, l’individuazione di criteri per l’inserimento nell’elenco dei revisori nel rispetto dei seguenti principi:</w:t>
      </w:r>
    </w:p>
    <w:p w14:paraId="143011FF" w14:textId="77777777" w:rsidR="006674FC" w:rsidRPr="00515872" w:rsidRDefault="006674FC" w:rsidP="006674FC">
      <w:pPr>
        <w:pStyle w:val="Paragrafoelenco"/>
        <w:numPr>
          <w:ilvl w:val="0"/>
          <w:numId w:val="233"/>
        </w:numPr>
        <w:spacing w:after="0" w:line="360" w:lineRule="auto"/>
        <w:ind w:left="284" w:hanging="284"/>
        <w:jc w:val="both"/>
        <w:rPr>
          <w:rFonts w:eastAsia="Times New Roman" w:cs="Tahoma"/>
          <w:szCs w:val="20"/>
          <w:lang w:eastAsia="it-IT"/>
        </w:rPr>
      </w:pPr>
      <w:r w:rsidRPr="00515872">
        <w:rPr>
          <w:rFonts w:eastAsia="Times New Roman" w:cs="Tahoma"/>
          <w:szCs w:val="20"/>
          <w:lang w:eastAsia="it-IT"/>
        </w:rPr>
        <w:t>rapporto proporzionale tra anzianità di iscrizione negli albi e registri e popolazione di ciascun comune;</w:t>
      </w:r>
    </w:p>
    <w:p w14:paraId="132F2EB8" w14:textId="77777777" w:rsidR="006674FC" w:rsidRPr="00515872" w:rsidRDefault="006674FC" w:rsidP="006674FC">
      <w:pPr>
        <w:pStyle w:val="Paragrafoelenco"/>
        <w:numPr>
          <w:ilvl w:val="0"/>
          <w:numId w:val="233"/>
        </w:numPr>
        <w:spacing w:before="100" w:beforeAutospacing="1" w:line="360" w:lineRule="auto"/>
        <w:ind w:left="284" w:hanging="284"/>
        <w:jc w:val="both"/>
        <w:rPr>
          <w:rFonts w:eastAsia="Times New Roman" w:cs="Tahoma"/>
          <w:szCs w:val="20"/>
          <w:lang w:eastAsia="it-IT"/>
        </w:rPr>
      </w:pPr>
      <w:r w:rsidRPr="00515872">
        <w:rPr>
          <w:rFonts w:eastAsia="Times New Roman" w:cs="Tahoma"/>
          <w:szCs w:val="20"/>
          <w:lang w:eastAsia="it-IT"/>
        </w:rPr>
        <w:t>previsione della necessità, ai fini dell’iscrizione, di aver in precedenza avanzato richiesta di svolgere la funzione nell’organo di revisione degli enti locali;</w:t>
      </w:r>
    </w:p>
    <w:p w14:paraId="141FFC79" w14:textId="77777777" w:rsidR="006674FC" w:rsidRPr="00515872" w:rsidRDefault="006674FC" w:rsidP="006674FC">
      <w:pPr>
        <w:pStyle w:val="Paragrafoelenco"/>
        <w:numPr>
          <w:ilvl w:val="0"/>
          <w:numId w:val="233"/>
        </w:numPr>
        <w:spacing w:before="100" w:beforeAutospacing="1" w:line="360" w:lineRule="auto"/>
        <w:ind w:left="284" w:hanging="284"/>
        <w:jc w:val="both"/>
        <w:rPr>
          <w:rFonts w:eastAsia="Times New Roman" w:cs="Tahoma"/>
          <w:szCs w:val="20"/>
          <w:lang w:eastAsia="it-IT"/>
        </w:rPr>
      </w:pPr>
      <w:r w:rsidRPr="00515872">
        <w:rPr>
          <w:rFonts w:eastAsia="Times New Roman" w:cs="Tahoma"/>
          <w:szCs w:val="20"/>
          <w:lang w:eastAsia="it-IT"/>
        </w:rPr>
        <w:t>possesso di specifica qualificazione professionale in materia di contabilità pubblica e gestione economica e finanziaria degli Enti pubblici territoriali; </w:t>
      </w:r>
    </w:p>
    <w:p w14:paraId="2A256734" w14:textId="77777777" w:rsidR="006674FC" w:rsidRPr="00515872" w:rsidRDefault="006674FC" w:rsidP="006674FC">
      <w:pPr>
        <w:pStyle w:val="Paragrafoelenco"/>
        <w:numPr>
          <w:ilvl w:val="0"/>
          <w:numId w:val="233"/>
        </w:numPr>
        <w:spacing w:before="100" w:beforeAutospacing="1" w:line="360" w:lineRule="auto"/>
        <w:ind w:left="284" w:hanging="284"/>
        <w:jc w:val="both"/>
        <w:rPr>
          <w:rFonts w:eastAsia="Times New Roman" w:cs="Tahoma"/>
          <w:szCs w:val="20"/>
          <w:lang w:eastAsia="it-IT"/>
        </w:rPr>
      </w:pPr>
      <w:r w:rsidRPr="00515872">
        <w:rPr>
          <w:rFonts w:eastAsia="Times New Roman" w:cs="Tahoma"/>
          <w:szCs w:val="20"/>
          <w:lang w:eastAsia="it-IT"/>
        </w:rPr>
        <w:t>limitazione del divieto di più di 2 incarichi da revisore nello stesso ente solo al caso di incarichi consecutivi.</w:t>
      </w:r>
    </w:p>
    <w:p w14:paraId="77F50709" w14:textId="77777777" w:rsidR="006674FC" w:rsidRPr="00515872" w:rsidRDefault="006674FC" w:rsidP="006674FC">
      <w:pPr>
        <w:spacing w:before="100" w:beforeAutospacing="1" w:line="360" w:lineRule="auto"/>
        <w:jc w:val="both"/>
        <w:rPr>
          <w:rStyle w:val="markedcontent"/>
          <w:rFonts w:eastAsia="Times New Roman" w:cs="Tahoma"/>
          <w:szCs w:val="20"/>
          <w:lang w:eastAsia="it-IT"/>
        </w:rPr>
      </w:pPr>
      <w:r w:rsidRPr="00515872">
        <w:rPr>
          <w:rStyle w:val="markedcontent"/>
          <w:rFonts w:cs="Tahoma"/>
          <w:szCs w:val="20"/>
        </w:rPr>
        <w:t xml:space="preserve">L’intento è di fare in modo </w:t>
      </w:r>
      <w:r w:rsidR="008B0655" w:rsidRPr="00515872">
        <w:rPr>
          <w:rStyle w:val="markedcontent"/>
          <w:rFonts w:cs="Tahoma"/>
          <w:szCs w:val="20"/>
        </w:rPr>
        <w:t>che il contenuto dei</w:t>
      </w:r>
      <w:r w:rsidRPr="00515872">
        <w:rPr>
          <w:rFonts w:cs="Tahoma"/>
          <w:szCs w:val="20"/>
        </w:rPr>
        <w:t xml:space="preserve"> </w:t>
      </w:r>
      <w:r w:rsidR="008B0655" w:rsidRPr="00515872">
        <w:rPr>
          <w:rStyle w:val="markedcontent"/>
          <w:rFonts w:cs="Tahoma"/>
          <w:szCs w:val="20"/>
        </w:rPr>
        <w:t>pareri del revisore sia declinato in ragione della</w:t>
      </w:r>
      <w:r w:rsidRPr="00515872">
        <w:rPr>
          <w:rFonts w:cs="Tahoma"/>
          <w:szCs w:val="20"/>
        </w:rPr>
        <w:t xml:space="preserve"> </w:t>
      </w:r>
      <w:r w:rsidR="008B0655" w:rsidRPr="00515872">
        <w:rPr>
          <w:rStyle w:val="markedcontent"/>
          <w:rFonts w:cs="Tahoma"/>
          <w:szCs w:val="20"/>
        </w:rPr>
        <w:t>tipologia degli atti a seconda che questi</w:t>
      </w:r>
      <w:r w:rsidRPr="00515872">
        <w:rPr>
          <w:rFonts w:cs="Tahoma"/>
          <w:szCs w:val="20"/>
        </w:rPr>
        <w:t xml:space="preserve"> </w:t>
      </w:r>
      <w:r w:rsidR="008B0655" w:rsidRPr="00515872">
        <w:rPr>
          <w:rStyle w:val="markedcontent"/>
          <w:rFonts w:cs="Tahoma"/>
          <w:szCs w:val="20"/>
        </w:rPr>
        <w:t>presentino o meno un diretto riflesso sulle</w:t>
      </w:r>
      <w:r w:rsidRPr="00515872">
        <w:rPr>
          <w:rFonts w:cs="Tahoma"/>
          <w:szCs w:val="20"/>
        </w:rPr>
        <w:t xml:space="preserve"> </w:t>
      </w:r>
      <w:r w:rsidR="008B0655" w:rsidRPr="00515872">
        <w:rPr>
          <w:rStyle w:val="markedcontent"/>
          <w:rFonts w:cs="Tahoma"/>
          <w:szCs w:val="20"/>
        </w:rPr>
        <w:t>previsioni di bilancio.</w:t>
      </w:r>
    </w:p>
    <w:p w14:paraId="0E1BD99C" w14:textId="77777777" w:rsidR="008B0655" w:rsidRPr="00515872" w:rsidRDefault="006674FC" w:rsidP="006674FC">
      <w:pPr>
        <w:spacing w:before="100" w:beforeAutospacing="1" w:line="360" w:lineRule="auto"/>
        <w:jc w:val="both"/>
        <w:rPr>
          <w:rFonts w:eastAsia="Times New Roman" w:cs="Tahoma"/>
          <w:szCs w:val="20"/>
          <w:lang w:eastAsia="it-IT"/>
        </w:rPr>
      </w:pPr>
      <w:r w:rsidRPr="00515872">
        <w:rPr>
          <w:rStyle w:val="markedcontent"/>
          <w:rFonts w:eastAsia="Times New Roman" w:cs="Tahoma"/>
          <w:szCs w:val="20"/>
          <w:lang w:eastAsia="it-IT"/>
        </w:rPr>
        <w:t>N</w:t>
      </w:r>
      <w:r w:rsidR="008B0655" w:rsidRPr="00515872">
        <w:rPr>
          <w:rStyle w:val="markedcontent"/>
          <w:rFonts w:cs="Tahoma"/>
          <w:szCs w:val="20"/>
        </w:rPr>
        <w:t>ell’ottica di tutelare l’indipendenza</w:t>
      </w:r>
      <w:r w:rsidRPr="00515872">
        <w:rPr>
          <w:rFonts w:cs="Tahoma"/>
          <w:szCs w:val="20"/>
        </w:rPr>
        <w:t xml:space="preserve"> </w:t>
      </w:r>
      <w:r w:rsidR="008B0655" w:rsidRPr="00515872">
        <w:rPr>
          <w:rStyle w:val="markedcontent"/>
          <w:rFonts w:cs="Tahoma"/>
          <w:szCs w:val="20"/>
        </w:rPr>
        <w:t xml:space="preserve">del collegio di revisione, </w:t>
      </w:r>
      <w:r w:rsidR="008E5F78" w:rsidRPr="00515872">
        <w:rPr>
          <w:rStyle w:val="markedcontent"/>
          <w:rFonts w:cs="Tahoma"/>
          <w:szCs w:val="20"/>
        </w:rPr>
        <w:t>viene proposta</w:t>
      </w:r>
      <w:r w:rsidRPr="00515872">
        <w:rPr>
          <w:rFonts w:cs="Tahoma"/>
          <w:szCs w:val="20"/>
        </w:rPr>
        <w:t xml:space="preserve"> </w:t>
      </w:r>
      <w:r w:rsidR="008B0655" w:rsidRPr="00515872">
        <w:rPr>
          <w:rStyle w:val="markedcontent"/>
          <w:rFonts w:cs="Tahoma"/>
          <w:szCs w:val="20"/>
        </w:rPr>
        <w:t>l’abrogazione dell’art</w:t>
      </w:r>
      <w:r w:rsidRPr="00515872">
        <w:rPr>
          <w:rStyle w:val="markedcontent"/>
          <w:rFonts w:cs="Tahoma"/>
          <w:szCs w:val="20"/>
        </w:rPr>
        <w:t>.</w:t>
      </w:r>
      <w:r w:rsidR="008B0655" w:rsidRPr="00515872">
        <w:rPr>
          <w:rStyle w:val="markedcontent"/>
          <w:rFonts w:cs="Tahoma"/>
          <w:szCs w:val="20"/>
        </w:rPr>
        <w:t xml:space="preserve"> 16, c</w:t>
      </w:r>
      <w:r w:rsidRPr="00515872">
        <w:rPr>
          <w:rStyle w:val="markedcontent"/>
          <w:rFonts w:cs="Tahoma"/>
          <w:szCs w:val="20"/>
        </w:rPr>
        <w:t>.</w:t>
      </w:r>
      <w:r w:rsidR="008B0655" w:rsidRPr="00515872">
        <w:rPr>
          <w:rStyle w:val="markedcontent"/>
          <w:rFonts w:cs="Tahoma"/>
          <w:szCs w:val="20"/>
        </w:rPr>
        <w:t xml:space="preserve"> 25-bis</w:t>
      </w:r>
      <w:r w:rsidRPr="00515872">
        <w:rPr>
          <w:rStyle w:val="markedcontent"/>
          <w:rFonts w:cs="Tahoma"/>
          <w:szCs w:val="20"/>
        </w:rPr>
        <w:t xml:space="preserve">, D.L. </w:t>
      </w:r>
      <w:r w:rsidR="008B0655" w:rsidRPr="00515872">
        <w:rPr>
          <w:rStyle w:val="markedcontent"/>
          <w:rFonts w:cs="Tahoma"/>
          <w:szCs w:val="20"/>
        </w:rPr>
        <w:t>n. 138/2011, come introdotto</w:t>
      </w:r>
      <w:r w:rsidRPr="00515872">
        <w:rPr>
          <w:rFonts w:cs="Tahoma"/>
          <w:szCs w:val="20"/>
        </w:rPr>
        <w:t xml:space="preserve"> </w:t>
      </w:r>
      <w:r w:rsidR="008B0655" w:rsidRPr="00515872">
        <w:rPr>
          <w:rStyle w:val="markedcontent"/>
          <w:rFonts w:cs="Tahoma"/>
          <w:szCs w:val="20"/>
        </w:rPr>
        <w:t>dall’art</w:t>
      </w:r>
      <w:r w:rsidRPr="00515872">
        <w:rPr>
          <w:rStyle w:val="markedcontent"/>
          <w:rFonts w:cs="Tahoma"/>
          <w:szCs w:val="20"/>
        </w:rPr>
        <w:t>.</w:t>
      </w:r>
      <w:r w:rsidR="008B0655" w:rsidRPr="00515872">
        <w:rPr>
          <w:rStyle w:val="markedcontent"/>
          <w:rFonts w:cs="Tahoma"/>
          <w:szCs w:val="20"/>
        </w:rPr>
        <w:t xml:space="preserve"> 57-ter</w:t>
      </w:r>
      <w:r w:rsidRPr="00515872">
        <w:rPr>
          <w:rStyle w:val="markedcontent"/>
          <w:rFonts w:cs="Tahoma"/>
          <w:szCs w:val="20"/>
        </w:rPr>
        <w:t>, D.L. n.</w:t>
      </w:r>
      <w:r w:rsidR="008B0655" w:rsidRPr="00515872">
        <w:rPr>
          <w:rStyle w:val="markedcontent"/>
          <w:rFonts w:cs="Tahoma"/>
          <w:szCs w:val="20"/>
        </w:rPr>
        <w:t xml:space="preserve"> 124/2019, che</w:t>
      </w:r>
      <w:r w:rsidRPr="00515872">
        <w:rPr>
          <w:rFonts w:cs="Tahoma"/>
          <w:szCs w:val="20"/>
        </w:rPr>
        <w:t xml:space="preserve"> ri</w:t>
      </w:r>
      <w:r w:rsidR="008B0655" w:rsidRPr="00515872">
        <w:rPr>
          <w:rStyle w:val="markedcontent"/>
          <w:rFonts w:cs="Tahoma"/>
          <w:szCs w:val="20"/>
        </w:rPr>
        <w:t>assegn</w:t>
      </w:r>
      <w:r w:rsidRPr="00515872">
        <w:rPr>
          <w:rStyle w:val="markedcontent"/>
          <w:rFonts w:cs="Tahoma"/>
          <w:szCs w:val="20"/>
        </w:rPr>
        <w:t xml:space="preserve">a al consiglio dell’ente locale </w:t>
      </w:r>
      <w:r w:rsidR="008B0655" w:rsidRPr="00515872">
        <w:rPr>
          <w:rStyle w:val="markedcontent"/>
          <w:rFonts w:cs="Tahoma"/>
          <w:szCs w:val="20"/>
        </w:rPr>
        <w:t>il potere di</w:t>
      </w:r>
      <w:r w:rsidRPr="00515872">
        <w:rPr>
          <w:rFonts w:cs="Tahoma"/>
          <w:szCs w:val="20"/>
        </w:rPr>
        <w:t xml:space="preserve"> </w:t>
      </w:r>
      <w:r w:rsidR="008B0655" w:rsidRPr="00515872">
        <w:rPr>
          <w:rStyle w:val="markedcontent"/>
          <w:rFonts w:cs="Tahoma"/>
          <w:szCs w:val="20"/>
        </w:rPr>
        <w:t>nominare il presidente del collegio tra i</w:t>
      </w:r>
      <w:r w:rsidRPr="00515872">
        <w:rPr>
          <w:rFonts w:cs="Tahoma"/>
          <w:szCs w:val="20"/>
        </w:rPr>
        <w:t xml:space="preserve"> </w:t>
      </w:r>
      <w:r w:rsidR="008B0655" w:rsidRPr="00515872">
        <w:rPr>
          <w:rStyle w:val="markedcontent"/>
          <w:rFonts w:cs="Tahoma"/>
          <w:szCs w:val="20"/>
        </w:rPr>
        <w:t>soggetti inseriti nella fascia 3</w:t>
      </w:r>
      <w:r w:rsidRPr="00515872">
        <w:rPr>
          <w:rStyle w:val="markedcontent"/>
          <w:rFonts w:cs="Tahoma"/>
          <w:szCs w:val="20"/>
        </w:rPr>
        <w:t>.</w:t>
      </w:r>
    </w:p>
    <w:p w14:paraId="5D77FA88" w14:textId="77777777" w:rsidR="00901E78" w:rsidRPr="00515872" w:rsidRDefault="00901E78">
      <w:pPr>
        <w:spacing w:after="0" w:line="240" w:lineRule="auto"/>
        <w:rPr>
          <w:rFonts w:cs="Tahoma"/>
          <w:bCs/>
          <w:highlight w:val="yellow"/>
        </w:rPr>
      </w:pPr>
      <w:bookmarkStart w:id="9" w:name="_Toc464382613"/>
      <w:r w:rsidRPr="00515872">
        <w:rPr>
          <w:rFonts w:cs="Tahoma"/>
          <w:bCs/>
          <w:highlight w:val="yellow"/>
        </w:rPr>
        <w:br w:type="page"/>
      </w:r>
    </w:p>
    <w:p w14:paraId="5ED30A79" w14:textId="77777777" w:rsidR="00FB7ADA" w:rsidRPr="00515872" w:rsidRDefault="00FB7ADA" w:rsidP="00901E78">
      <w:pPr>
        <w:pStyle w:val="Titolo"/>
        <w:rPr>
          <w:rFonts w:cs="Tahoma"/>
        </w:rPr>
      </w:pPr>
      <w:bookmarkStart w:id="10" w:name="_Toc95912208"/>
      <w:r w:rsidRPr="00515872">
        <w:rPr>
          <w:rFonts w:cs="Tahoma"/>
        </w:rPr>
        <w:lastRenderedPageBreak/>
        <w:t>2. Nomina e cessazione dei revisori</w:t>
      </w:r>
      <w:bookmarkEnd w:id="9"/>
      <w:bookmarkEnd w:id="10"/>
    </w:p>
    <w:p w14:paraId="6145A058" w14:textId="77777777" w:rsidR="00FB7ADA" w:rsidRPr="00515872" w:rsidRDefault="00FB7ADA" w:rsidP="00297A21">
      <w:pPr>
        <w:pStyle w:val="Paragrafo"/>
        <w:rPr>
          <w:rFonts w:eastAsia="MS Gothic"/>
        </w:rPr>
      </w:pPr>
      <w:bookmarkStart w:id="11" w:name="_Toc95912209"/>
      <w:r w:rsidRPr="00515872">
        <w:t>2.1 Il sistema di nomina</w:t>
      </w:r>
      <w:bookmarkEnd w:id="11"/>
    </w:p>
    <w:p w14:paraId="47252862" w14:textId="77777777" w:rsidR="00A53B13" w:rsidRPr="00515872" w:rsidRDefault="00FB7ADA" w:rsidP="00176F9A">
      <w:pPr>
        <w:spacing w:after="0" w:line="360" w:lineRule="auto"/>
        <w:jc w:val="both"/>
        <w:rPr>
          <w:rFonts w:cs="Tahoma"/>
          <w:bCs/>
        </w:rPr>
      </w:pPr>
      <w:r w:rsidRPr="00515872">
        <w:rPr>
          <w:rFonts w:cs="Tahoma"/>
          <w:bCs/>
        </w:rPr>
        <w:t xml:space="preserve">Il sistema di nomina dei revisori degli </w:t>
      </w:r>
      <w:r w:rsidR="00AD204E" w:rsidRPr="00515872">
        <w:rPr>
          <w:rFonts w:cs="Tahoma"/>
          <w:bCs/>
        </w:rPr>
        <w:t xml:space="preserve">enti locali </w:t>
      </w:r>
      <w:r w:rsidR="00EF5F76" w:rsidRPr="00515872">
        <w:rPr>
          <w:rFonts w:cs="Tahoma"/>
          <w:bCs/>
        </w:rPr>
        <w:t>è</w:t>
      </w:r>
      <w:r w:rsidR="00064736" w:rsidRPr="00515872">
        <w:rPr>
          <w:rFonts w:cs="Tahoma"/>
          <w:bCs/>
        </w:rPr>
        <w:t xml:space="preserve"> stato</w:t>
      </w:r>
      <w:r w:rsidRPr="00515872">
        <w:rPr>
          <w:rFonts w:cs="Tahoma"/>
          <w:bCs/>
        </w:rPr>
        <w:t xml:space="preserve"> </w:t>
      </w:r>
      <w:r w:rsidR="00AD204E" w:rsidRPr="00515872">
        <w:rPr>
          <w:rFonts w:cs="Tahoma"/>
          <w:bCs/>
        </w:rPr>
        <w:t>radicalmente modificato da</w:t>
      </w:r>
      <w:r w:rsidRPr="00515872">
        <w:rPr>
          <w:rFonts w:cs="Tahoma"/>
          <w:bCs/>
        </w:rPr>
        <w:t>l D.L. n. 138 del 13</w:t>
      </w:r>
      <w:r w:rsidR="00DC6EEB" w:rsidRPr="00515872">
        <w:rPr>
          <w:rFonts w:cs="Tahoma"/>
          <w:bCs/>
        </w:rPr>
        <w:t xml:space="preserve"> agosto </w:t>
      </w:r>
      <w:r w:rsidRPr="00515872">
        <w:rPr>
          <w:rFonts w:cs="Tahoma"/>
          <w:bCs/>
        </w:rPr>
        <w:t>2011</w:t>
      </w:r>
      <w:r w:rsidR="00DC6EEB" w:rsidRPr="00515872">
        <w:rPr>
          <w:rFonts w:cs="Tahoma"/>
          <w:bCs/>
        </w:rPr>
        <w:t xml:space="preserve">, convertito con modificazioni </w:t>
      </w:r>
      <w:r w:rsidR="00364664" w:rsidRPr="00515872">
        <w:rPr>
          <w:rFonts w:cs="Tahoma"/>
          <w:bCs/>
        </w:rPr>
        <w:t>da</w:t>
      </w:r>
      <w:r w:rsidR="00DC6EEB" w:rsidRPr="00515872">
        <w:rPr>
          <w:rFonts w:cs="Tahoma"/>
          <w:bCs/>
        </w:rPr>
        <w:t>lla L. n. 148 del 14 settembre 2011</w:t>
      </w:r>
      <w:r w:rsidRPr="00515872">
        <w:rPr>
          <w:rFonts w:cs="Tahoma"/>
          <w:bCs/>
        </w:rPr>
        <w:t>. In base alle disposizioni in esso contenu</w:t>
      </w:r>
      <w:r w:rsidR="00DC6EEB" w:rsidRPr="00515872">
        <w:rPr>
          <w:rFonts w:cs="Tahoma"/>
          <w:bCs/>
        </w:rPr>
        <w:t xml:space="preserve">te </w:t>
      </w:r>
      <w:r w:rsidR="00EF5F76" w:rsidRPr="00515872">
        <w:rPr>
          <w:rFonts w:cs="Tahoma"/>
          <w:bCs/>
        </w:rPr>
        <w:t>è stata inizialmente</w:t>
      </w:r>
      <w:r w:rsidR="00A26765" w:rsidRPr="00515872">
        <w:rPr>
          <w:rFonts w:cs="Tahoma"/>
          <w:bCs/>
        </w:rPr>
        <w:t xml:space="preserve"> completamente</w:t>
      </w:r>
      <w:r w:rsidR="00DC6EEB" w:rsidRPr="00515872">
        <w:rPr>
          <w:rFonts w:cs="Tahoma"/>
          <w:bCs/>
        </w:rPr>
        <w:t xml:space="preserve"> sottratta all’ente locale </w:t>
      </w:r>
      <w:r w:rsidR="00894840" w:rsidRPr="00515872">
        <w:rPr>
          <w:rFonts w:cs="Tahoma"/>
          <w:bCs/>
        </w:rPr>
        <w:t>ogni discrezionalità nella sce</w:t>
      </w:r>
      <w:r w:rsidRPr="00515872">
        <w:rPr>
          <w:rFonts w:cs="Tahoma"/>
          <w:bCs/>
        </w:rPr>
        <w:t>l</w:t>
      </w:r>
      <w:r w:rsidR="00894840" w:rsidRPr="00515872">
        <w:rPr>
          <w:rFonts w:cs="Tahoma"/>
          <w:bCs/>
        </w:rPr>
        <w:t>ta</w:t>
      </w:r>
      <w:r w:rsidRPr="00515872">
        <w:rPr>
          <w:rFonts w:cs="Tahoma"/>
          <w:bCs/>
        </w:rPr>
        <w:t xml:space="preserve"> </w:t>
      </w:r>
      <w:r w:rsidR="00663681" w:rsidRPr="00515872">
        <w:rPr>
          <w:rFonts w:cs="Tahoma"/>
          <w:bCs/>
        </w:rPr>
        <w:t xml:space="preserve">dei membri </w:t>
      </w:r>
      <w:r w:rsidR="00894840" w:rsidRPr="00515872">
        <w:rPr>
          <w:rFonts w:cs="Tahoma"/>
          <w:bCs/>
        </w:rPr>
        <w:t>dell’organo di revisione</w:t>
      </w:r>
      <w:r w:rsidRPr="00515872">
        <w:rPr>
          <w:rFonts w:cs="Tahoma"/>
          <w:bCs/>
        </w:rPr>
        <w:t xml:space="preserve"> da nominare per l’esercizio delle funzioni di cui all’art.</w:t>
      </w:r>
      <w:r w:rsidR="00873409" w:rsidRPr="00515872">
        <w:rPr>
          <w:rFonts w:cs="Tahoma"/>
          <w:bCs/>
        </w:rPr>
        <w:t xml:space="preserve"> 234 e segg. del </w:t>
      </w:r>
      <w:proofErr w:type="spellStart"/>
      <w:r w:rsidR="00415DCE" w:rsidRPr="00515872">
        <w:rPr>
          <w:rFonts w:cs="Tahoma"/>
          <w:bCs/>
        </w:rPr>
        <w:t>D.Lgs.</w:t>
      </w:r>
      <w:proofErr w:type="spellEnd"/>
      <w:r w:rsidR="00873409" w:rsidRPr="00515872">
        <w:rPr>
          <w:rFonts w:cs="Tahoma"/>
          <w:bCs/>
        </w:rPr>
        <w:t xml:space="preserve"> </w:t>
      </w:r>
      <w:r w:rsidR="00364664" w:rsidRPr="00515872">
        <w:rPr>
          <w:rFonts w:cs="Tahoma"/>
          <w:bCs/>
        </w:rPr>
        <w:t xml:space="preserve">18 agosto </w:t>
      </w:r>
      <w:r w:rsidR="00873409" w:rsidRPr="00515872">
        <w:rPr>
          <w:rFonts w:cs="Tahoma"/>
          <w:bCs/>
        </w:rPr>
        <w:t>2000</w:t>
      </w:r>
      <w:r w:rsidR="00364664" w:rsidRPr="00515872">
        <w:rPr>
          <w:rFonts w:cs="Tahoma"/>
          <w:bCs/>
        </w:rPr>
        <w:t>, n. 267</w:t>
      </w:r>
      <w:r w:rsidR="00873409" w:rsidRPr="00515872">
        <w:rPr>
          <w:rFonts w:cs="Tahoma"/>
          <w:bCs/>
        </w:rPr>
        <w:t>.</w:t>
      </w:r>
      <w:r w:rsidR="00A53B13" w:rsidRPr="00515872">
        <w:rPr>
          <w:rFonts w:cs="Tahoma"/>
          <w:bCs/>
        </w:rPr>
        <w:t xml:space="preserve"> In precedenza</w:t>
      </w:r>
      <w:r w:rsidR="00AD204E" w:rsidRPr="00515872">
        <w:rPr>
          <w:rFonts w:cs="Tahoma"/>
          <w:bCs/>
        </w:rPr>
        <w:t>,</w:t>
      </w:r>
      <w:r w:rsidR="00A53B13" w:rsidRPr="00515872">
        <w:rPr>
          <w:rFonts w:cs="Tahoma"/>
          <w:bCs/>
        </w:rPr>
        <w:t xml:space="preserve"> la </w:t>
      </w:r>
      <w:r w:rsidR="00AD204E" w:rsidRPr="00515872">
        <w:rPr>
          <w:rFonts w:cs="Tahoma"/>
          <w:bCs/>
        </w:rPr>
        <w:t xml:space="preserve">legge rimetteva la </w:t>
      </w:r>
      <w:r w:rsidR="00A53B13" w:rsidRPr="00515872">
        <w:rPr>
          <w:rFonts w:cs="Tahoma"/>
          <w:bCs/>
        </w:rPr>
        <w:t>nomina</w:t>
      </w:r>
      <w:r w:rsidR="008D7B14" w:rsidRPr="00515872">
        <w:rPr>
          <w:rFonts w:cs="Tahoma"/>
          <w:bCs/>
        </w:rPr>
        <w:t xml:space="preserve"> al consiglio dell’ente che:</w:t>
      </w:r>
    </w:p>
    <w:p w14:paraId="778B1E53" w14:textId="77777777" w:rsidR="00A53B13" w:rsidRPr="00515872" w:rsidRDefault="00A53B13" w:rsidP="00D65838">
      <w:pPr>
        <w:pStyle w:val="Paragrafoelenco"/>
        <w:numPr>
          <w:ilvl w:val="0"/>
          <w:numId w:val="152"/>
        </w:numPr>
        <w:spacing w:line="360" w:lineRule="auto"/>
        <w:jc w:val="both"/>
        <w:rPr>
          <w:rFonts w:cs="Tahoma"/>
          <w:bCs/>
        </w:rPr>
      </w:pPr>
      <w:r w:rsidRPr="00515872">
        <w:rPr>
          <w:rFonts w:cs="Tahoma"/>
          <w:bCs/>
        </w:rPr>
        <w:t>in caso di organo collegiale</w:t>
      </w:r>
      <w:r w:rsidR="008D7B14" w:rsidRPr="00515872">
        <w:rPr>
          <w:rFonts w:cs="Tahoma"/>
          <w:bCs/>
        </w:rPr>
        <w:t>:</w:t>
      </w:r>
      <w:r w:rsidR="00E23270" w:rsidRPr="00515872">
        <w:rPr>
          <w:rFonts w:cs="Tahoma"/>
          <w:bCs/>
        </w:rPr>
        <w:t xml:space="preserve"> eleggeva,</w:t>
      </w:r>
      <w:r w:rsidRPr="00515872">
        <w:rPr>
          <w:rFonts w:cs="Tahoma"/>
          <w:bCs/>
        </w:rPr>
        <w:t xml:space="preserve"> con voto limitato a due componenti, </w:t>
      </w:r>
      <w:r w:rsidR="000E6A7C" w:rsidRPr="00515872">
        <w:rPr>
          <w:rFonts w:cs="Tahoma"/>
          <w:bCs/>
        </w:rPr>
        <w:t>3</w:t>
      </w:r>
      <w:r w:rsidRPr="00515872">
        <w:rPr>
          <w:rFonts w:cs="Tahoma"/>
          <w:bCs/>
        </w:rPr>
        <w:t xml:space="preserve"> membri scelti:</w:t>
      </w:r>
    </w:p>
    <w:p w14:paraId="2F17577B" w14:textId="77777777" w:rsidR="00A53B13" w:rsidRPr="00515872" w:rsidRDefault="00A53B13" w:rsidP="00D65838">
      <w:pPr>
        <w:pStyle w:val="Paragrafoelenco"/>
        <w:numPr>
          <w:ilvl w:val="0"/>
          <w:numId w:val="153"/>
        </w:numPr>
        <w:spacing w:line="360" w:lineRule="auto"/>
        <w:jc w:val="both"/>
        <w:rPr>
          <w:rFonts w:cs="Tahoma"/>
          <w:bCs/>
        </w:rPr>
      </w:pPr>
      <w:r w:rsidRPr="00515872">
        <w:rPr>
          <w:rFonts w:cs="Tahoma"/>
          <w:bCs/>
        </w:rPr>
        <w:t>uno tra gli iscritti al registro dei revisori contabili con funzioni di presidente;</w:t>
      </w:r>
    </w:p>
    <w:p w14:paraId="2D83D0F1" w14:textId="77777777" w:rsidR="00A53B13" w:rsidRPr="00515872" w:rsidRDefault="00A53B13" w:rsidP="00D65838">
      <w:pPr>
        <w:pStyle w:val="Paragrafoelenco"/>
        <w:numPr>
          <w:ilvl w:val="0"/>
          <w:numId w:val="153"/>
        </w:numPr>
        <w:spacing w:line="360" w:lineRule="auto"/>
        <w:jc w:val="both"/>
        <w:rPr>
          <w:rFonts w:cs="Tahoma"/>
          <w:bCs/>
        </w:rPr>
      </w:pPr>
      <w:r w:rsidRPr="00515872">
        <w:rPr>
          <w:rFonts w:cs="Tahoma"/>
          <w:bCs/>
        </w:rPr>
        <w:t>uno tra gli iscritti all’albo dei dottori commercialisti;</w:t>
      </w:r>
    </w:p>
    <w:p w14:paraId="34F37D6D" w14:textId="77777777" w:rsidR="00A53B13" w:rsidRPr="00515872" w:rsidRDefault="00A53B13" w:rsidP="00D65838">
      <w:pPr>
        <w:pStyle w:val="Paragrafoelenco"/>
        <w:numPr>
          <w:ilvl w:val="0"/>
          <w:numId w:val="153"/>
        </w:numPr>
        <w:spacing w:line="360" w:lineRule="auto"/>
        <w:jc w:val="both"/>
        <w:rPr>
          <w:rFonts w:cs="Tahoma"/>
          <w:bCs/>
        </w:rPr>
      </w:pPr>
      <w:r w:rsidRPr="00515872">
        <w:rPr>
          <w:rFonts w:cs="Tahoma"/>
          <w:bCs/>
        </w:rPr>
        <w:t>uno tra gli i</w:t>
      </w:r>
      <w:r w:rsidR="008D7B14" w:rsidRPr="00515872">
        <w:rPr>
          <w:rFonts w:cs="Tahoma"/>
          <w:bCs/>
        </w:rPr>
        <w:t>scritti all’albo dei ragionieri;</w:t>
      </w:r>
      <w:r w:rsidRPr="00515872">
        <w:rPr>
          <w:rFonts w:cs="Tahoma"/>
          <w:bCs/>
        </w:rPr>
        <w:t xml:space="preserve"> </w:t>
      </w:r>
    </w:p>
    <w:p w14:paraId="7C1F8A32" w14:textId="77777777" w:rsidR="00FB7ADA" w:rsidRPr="00515872" w:rsidRDefault="008D7B14" w:rsidP="00D65838">
      <w:pPr>
        <w:pStyle w:val="Paragrafoelenco"/>
        <w:numPr>
          <w:ilvl w:val="0"/>
          <w:numId w:val="151"/>
        </w:numPr>
        <w:spacing w:line="360" w:lineRule="auto"/>
        <w:jc w:val="both"/>
        <w:rPr>
          <w:rFonts w:cs="Tahoma"/>
          <w:bCs/>
        </w:rPr>
      </w:pPr>
      <w:r w:rsidRPr="00515872">
        <w:rPr>
          <w:rFonts w:cs="Tahoma"/>
          <w:bCs/>
        </w:rPr>
        <w:t>in caso di revisore unico:</w:t>
      </w:r>
      <w:r w:rsidR="00A53B13" w:rsidRPr="00515872">
        <w:rPr>
          <w:rFonts w:cs="Tahoma"/>
          <w:bCs/>
        </w:rPr>
        <w:t xml:space="preserve"> deliberava a maggioranza assoluta un soggetto scelto tra gli iscritti negli elenchi di cui al punto precedente</w:t>
      </w:r>
      <w:r w:rsidR="008A2A3F" w:rsidRPr="00515872">
        <w:rPr>
          <w:rFonts w:cs="Tahoma"/>
          <w:bCs/>
        </w:rPr>
        <w:t xml:space="preserve">. </w:t>
      </w:r>
    </w:p>
    <w:p w14:paraId="6105AAEE" w14:textId="77777777" w:rsidR="000842AC" w:rsidRPr="00515872" w:rsidRDefault="008A2A3F" w:rsidP="00F90FC3">
      <w:pPr>
        <w:spacing w:line="360" w:lineRule="auto"/>
        <w:jc w:val="both"/>
        <w:rPr>
          <w:rFonts w:cs="Tahoma"/>
          <w:bCs/>
        </w:rPr>
      </w:pPr>
      <w:r w:rsidRPr="00515872">
        <w:rPr>
          <w:rFonts w:cs="Tahoma"/>
          <w:bCs/>
        </w:rPr>
        <w:t xml:space="preserve">Queste disposizioni non trovano più applicazione a seguito </w:t>
      </w:r>
      <w:r w:rsidR="008D7B14" w:rsidRPr="00515872">
        <w:rPr>
          <w:rFonts w:cs="Tahoma"/>
          <w:bCs/>
        </w:rPr>
        <w:t xml:space="preserve">dell’entrata in vigore </w:t>
      </w:r>
      <w:r w:rsidRPr="00515872">
        <w:rPr>
          <w:rFonts w:cs="Tahoma"/>
          <w:bCs/>
        </w:rPr>
        <w:t xml:space="preserve">dell’art. 6, </w:t>
      </w:r>
      <w:r w:rsidR="00C75BE7" w:rsidRPr="00515872">
        <w:rPr>
          <w:rFonts w:cs="Tahoma"/>
          <w:bCs/>
        </w:rPr>
        <w:t>c.</w:t>
      </w:r>
      <w:r w:rsidRPr="00515872">
        <w:rPr>
          <w:rFonts w:cs="Tahoma"/>
          <w:bCs/>
        </w:rPr>
        <w:t xml:space="preserve"> 2 del D.M. 15 febbraio 2012, n. 23</w:t>
      </w:r>
      <w:r w:rsidR="00CE670F" w:rsidRPr="00515872">
        <w:rPr>
          <w:rFonts w:cs="Tahoma"/>
          <w:bCs/>
        </w:rPr>
        <w:t>.</w:t>
      </w:r>
    </w:p>
    <w:p w14:paraId="317B5596" w14:textId="77777777" w:rsidR="00857016" w:rsidRPr="00515872" w:rsidRDefault="00857016" w:rsidP="00F90FC3">
      <w:pPr>
        <w:spacing w:line="360" w:lineRule="auto"/>
        <w:jc w:val="both"/>
        <w:rPr>
          <w:rFonts w:eastAsia="Times New Roman" w:cs="Tahoma"/>
          <w:szCs w:val="20"/>
          <w:lang w:eastAsia="it-IT"/>
        </w:rPr>
      </w:pPr>
      <w:r w:rsidRPr="00515872">
        <w:rPr>
          <w:rFonts w:cs="Tahoma"/>
          <w:bCs/>
        </w:rPr>
        <w:t>L’</w:t>
      </w:r>
      <w:r w:rsidR="00146DD1" w:rsidRPr="00515872">
        <w:rPr>
          <w:rFonts w:cs="Tahoma"/>
          <w:bCs/>
        </w:rPr>
        <w:t xml:space="preserve">avvento della riforma introdotta con il D.L. n. 138/2011 </w:t>
      </w:r>
      <w:r w:rsidR="00EF5F76" w:rsidRPr="00515872">
        <w:rPr>
          <w:rFonts w:cs="Tahoma"/>
          <w:bCs/>
        </w:rPr>
        <w:t>ha</w:t>
      </w:r>
      <w:r w:rsidR="00146DD1" w:rsidRPr="00515872">
        <w:rPr>
          <w:rFonts w:cs="Tahoma"/>
          <w:bCs/>
        </w:rPr>
        <w:t xml:space="preserve"> modificato l’</w:t>
      </w:r>
      <w:r w:rsidRPr="00515872">
        <w:rPr>
          <w:rFonts w:cs="Tahoma"/>
          <w:bCs/>
        </w:rPr>
        <w:t>im</w:t>
      </w:r>
      <w:r w:rsidR="00DC6EEB" w:rsidRPr="00515872">
        <w:rPr>
          <w:rFonts w:cs="Tahoma"/>
          <w:bCs/>
        </w:rPr>
        <w:t xml:space="preserve">pianto normativo </w:t>
      </w:r>
      <w:r w:rsidR="00AD204E" w:rsidRPr="00515872">
        <w:rPr>
          <w:rFonts w:cs="Tahoma"/>
          <w:bCs/>
        </w:rPr>
        <w:t xml:space="preserve">in materia </w:t>
      </w:r>
      <w:r w:rsidR="00DC6EEB" w:rsidRPr="00515872">
        <w:rPr>
          <w:rFonts w:cs="Tahoma"/>
          <w:bCs/>
        </w:rPr>
        <w:t>prevede</w:t>
      </w:r>
      <w:r w:rsidR="00146DD1" w:rsidRPr="00515872">
        <w:rPr>
          <w:rFonts w:cs="Tahoma"/>
          <w:bCs/>
        </w:rPr>
        <w:t>ndo che, pur rimanendo</w:t>
      </w:r>
      <w:r w:rsidR="00DC6EEB" w:rsidRPr="00515872">
        <w:rPr>
          <w:rFonts w:cs="Tahoma"/>
          <w:bCs/>
        </w:rPr>
        <w:t xml:space="preserve"> </w:t>
      </w:r>
      <w:r w:rsidR="00146DD1" w:rsidRPr="00515872">
        <w:rPr>
          <w:rFonts w:cs="Tahoma"/>
          <w:bCs/>
        </w:rPr>
        <w:t xml:space="preserve">formalmente </w:t>
      </w:r>
      <w:r w:rsidR="00DC6EEB" w:rsidRPr="00515872">
        <w:rPr>
          <w:rFonts w:cs="Tahoma"/>
          <w:bCs/>
        </w:rPr>
        <w:t>in capo al consiglio comunale, provinciale o della città metropolitana il potere di</w:t>
      </w:r>
      <w:r w:rsidR="00064736" w:rsidRPr="00515872">
        <w:rPr>
          <w:rFonts w:cs="Tahoma"/>
          <w:bCs/>
        </w:rPr>
        <w:t xml:space="preserve"> eleggere l’organo di revisione</w:t>
      </w:r>
      <w:r w:rsidR="00DC6EEB" w:rsidRPr="00515872">
        <w:rPr>
          <w:rFonts w:cs="Tahoma"/>
          <w:bCs/>
        </w:rPr>
        <w:t xml:space="preserve"> </w:t>
      </w:r>
      <w:r w:rsidR="00364664" w:rsidRPr="00515872">
        <w:rPr>
          <w:rFonts w:cs="Tahoma"/>
          <w:bCs/>
        </w:rPr>
        <w:t>economico</w:t>
      </w:r>
      <w:r w:rsidR="006B1810" w:rsidRPr="00515872">
        <w:rPr>
          <w:rFonts w:cs="Tahoma"/>
          <w:bCs/>
        </w:rPr>
        <w:t>-</w:t>
      </w:r>
      <w:r w:rsidR="00364664" w:rsidRPr="00515872">
        <w:rPr>
          <w:rFonts w:cs="Tahoma"/>
          <w:bCs/>
        </w:rPr>
        <w:t>finanziaria</w:t>
      </w:r>
      <w:r w:rsidR="00146DD1" w:rsidRPr="00515872">
        <w:rPr>
          <w:rFonts w:cs="Tahoma"/>
          <w:bCs/>
        </w:rPr>
        <w:t>,</w:t>
      </w:r>
      <w:r w:rsidR="00DC6EEB" w:rsidRPr="00515872">
        <w:rPr>
          <w:rFonts w:cs="Tahoma"/>
          <w:bCs/>
        </w:rPr>
        <w:t xml:space="preserve"> </w:t>
      </w:r>
      <w:r w:rsidR="0096792E" w:rsidRPr="00515872">
        <w:rPr>
          <w:rFonts w:cs="Tahoma"/>
          <w:bCs/>
        </w:rPr>
        <w:t>l’individuazione dei suoi componenti</w:t>
      </w:r>
      <w:r w:rsidR="00226AA3" w:rsidRPr="00515872">
        <w:rPr>
          <w:rFonts w:cs="Tahoma"/>
          <w:bCs/>
          <w:szCs w:val="20"/>
        </w:rPr>
        <w:t xml:space="preserve">, invece, </w:t>
      </w:r>
      <w:r w:rsidR="00146DD1" w:rsidRPr="00515872">
        <w:rPr>
          <w:rFonts w:cs="Tahoma"/>
          <w:bCs/>
          <w:szCs w:val="20"/>
        </w:rPr>
        <w:t xml:space="preserve">veniva </w:t>
      </w:r>
      <w:r w:rsidR="00226AA3" w:rsidRPr="00515872">
        <w:rPr>
          <w:rFonts w:cs="Tahoma"/>
          <w:bCs/>
          <w:szCs w:val="20"/>
        </w:rPr>
        <w:t xml:space="preserve">“lasciata al caso”, </w:t>
      </w:r>
      <w:r w:rsidR="00146DD1" w:rsidRPr="00515872">
        <w:rPr>
          <w:rFonts w:cs="Tahoma"/>
          <w:bCs/>
          <w:szCs w:val="20"/>
        </w:rPr>
        <w:t xml:space="preserve">dal momento che </w:t>
      </w:r>
      <w:r w:rsidR="00226AA3" w:rsidRPr="00515872">
        <w:rPr>
          <w:rFonts w:cs="Tahoma"/>
          <w:bCs/>
          <w:szCs w:val="20"/>
        </w:rPr>
        <w:t xml:space="preserve">il </w:t>
      </w:r>
      <w:r w:rsidR="00C75BE7" w:rsidRPr="00515872">
        <w:rPr>
          <w:rFonts w:cs="Tahoma"/>
          <w:bCs/>
          <w:szCs w:val="20"/>
        </w:rPr>
        <w:t>c.</w:t>
      </w:r>
      <w:r w:rsidR="00226AA3" w:rsidRPr="00515872">
        <w:rPr>
          <w:rFonts w:cs="Tahoma"/>
          <w:bCs/>
          <w:szCs w:val="20"/>
        </w:rPr>
        <w:t xml:space="preserve"> 25 dell’art. 16</w:t>
      </w:r>
      <w:r w:rsidR="00146DD1" w:rsidRPr="00515872">
        <w:rPr>
          <w:rFonts w:cs="Tahoma"/>
          <w:bCs/>
          <w:szCs w:val="20"/>
        </w:rPr>
        <w:t xml:space="preserve"> del decreto</w:t>
      </w:r>
      <w:r w:rsidR="00226AA3" w:rsidRPr="00515872">
        <w:rPr>
          <w:rFonts w:cs="Tahoma"/>
          <w:bCs/>
          <w:szCs w:val="20"/>
        </w:rPr>
        <w:t xml:space="preserve">, come modificato in sede di conversione </w:t>
      </w:r>
      <w:r w:rsidR="00364664" w:rsidRPr="00515872">
        <w:rPr>
          <w:rFonts w:cs="Tahoma"/>
          <w:bCs/>
          <w:szCs w:val="20"/>
        </w:rPr>
        <w:t>da</w:t>
      </w:r>
      <w:r w:rsidR="00226AA3" w:rsidRPr="00515872">
        <w:rPr>
          <w:rFonts w:cs="Tahoma"/>
          <w:bCs/>
          <w:szCs w:val="20"/>
        </w:rPr>
        <w:t xml:space="preserve">lla L. </w:t>
      </w:r>
      <w:r w:rsidR="00364664" w:rsidRPr="00515872">
        <w:rPr>
          <w:rFonts w:cs="Tahoma"/>
          <w:bCs/>
          <w:szCs w:val="20"/>
        </w:rPr>
        <w:t xml:space="preserve">n. </w:t>
      </w:r>
      <w:r w:rsidR="00226AA3" w:rsidRPr="00515872">
        <w:rPr>
          <w:rFonts w:cs="Tahoma"/>
          <w:bCs/>
          <w:szCs w:val="20"/>
        </w:rPr>
        <w:t>148/2011, prevede che</w:t>
      </w:r>
      <w:r w:rsidR="008D7B14" w:rsidRPr="00515872">
        <w:rPr>
          <w:rFonts w:cs="Tahoma"/>
          <w:bCs/>
          <w:szCs w:val="20"/>
        </w:rPr>
        <w:t>:</w:t>
      </w:r>
      <w:r w:rsidR="00226AA3" w:rsidRPr="00515872">
        <w:rPr>
          <w:rFonts w:cs="Tahoma"/>
          <w:bCs/>
          <w:szCs w:val="20"/>
        </w:rPr>
        <w:t xml:space="preserve"> “</w:t>
      </w:r>
      <w:r w:rsidR="00226AA3" w:rsidRPr="00515872">
        <w:rPr>
          <w:rFonts w:eastAsia="Times New Roman" w:cs="Tahoma"/>
          <w:i/>
          <w:szCs w:val="20"/>
          <w:lang w:eastAsia="it-IT"/>
        </w:rPr>
        <w:t xml:space="preserve">A decorrere dal primo rinnovo dell'organo di revisione successivo alla data di entrata in vigore del presente decreto, i revisori dei conti degli enti locali sono scelti mediante estrazione da un elenco nel quale possono essere inseriti, a richiesta, i soggetti iscritti, a livello </w:t>
      </w:r>
      <w:r w:rsidR="00226AA3" w:rsidRPr="00515872">
        <w:rPr>
          <w:rFonts w:eastAsia="Times New Roman" w:cs="Tahoma"/>
          <w:b/>
          <w:i/>
          <w:szCs w:val="20"/>
          <w:lang w:eastAsia="it-IT"/>
        </w:rPr>
        <w:t>regionale</w:t>
      </w:r>
      <w:r w:rsidR="00226AA3" w:rsidRPr="00515872">
        <w:rPr>
          <w:rFonts w:eastAsia="Times New Roman" w:cs="Tahoma"/>
          <w:i/>
          <w:szCs w:val="20"/>
          <w:lang w:eastAsia="it-IT"/>
        </w:rPr>
        <w:t xml:space="preserve">, nel </w:t>
      </w:r>
      <w:r w:rsidR="00364664" w:rsidRPr="00515872">
        <w:rPr>
          <w:rFonts w:eastAsia="Times New Roman" w:cs="Tahoma"/>
          <w:i/>
          <w:szCs w:val="20"/>
          <w:lang w:eastAsia="it-IT"/>
        </w:rPr>
        <w:t>r</w:t>
      </w:r>
      <w:r w:rsidR="00226AA3" w:rsidRPr="00515872">
        <w:rPr>
          <w:rFonts w:eastAsia="Times New Roman" w:cs="Tahoma"/>
          <w:i/>
          <w:szCs w:val="20"/>
          <w:lang w:eastAsia="it-IT"/>
        </w:rPr>
        <w:t>egistro dei revisori legali di cui al decreto legislativ</w:t>
      </w:r>
      <w:r w:rsidR="00991BDD" w:rsidRPr="00515872">
        <w:rPr>
          <w:rFonts w:eastAsia="Times New Roman" w:cs="Tahoma"/>
          <w:i/>
          <w:szCs w:val="20"/>
          <w:lang w:eastAsia="it-IT"/>
        </w:rPr>
        <w:t>o 27 gennaio 2010, n. 39, nonché</w:t>
      </w:r>
      <w:r w:rsidR="00226AA3" w:rsidRPr="00515872">
        <w:rPr>
          <w:rFonts w:eastAsia="Times New Roman" w:cs="Tahoma"/>
          <w:i/>
          <w:szCs w:val="20"/>
          <w:lang w:eastAsia="it-IT"/>
        </w:rPr>
        <w:t xml:space="preserve"> gli iscritti all'</w:t>
      </w:r>
      <w:r w:rsidR="00364664" w:rsidRPr="00515872">
        <w:rPr>
          <w:rFonts w:eastAsia="Times New Roman" w:cs="Tahoma"/>
          <w:i/>
          <w:szCs w:val="20"/>
          <w:lang w:eastAsia="it-IT"/>
        </w:rPr>
        <w:t>o</w:t>
      </w:r>
      <w:r w:rsidR="00226AA3" w:rsidRPr="00515872">
        <w:rPr>
          <w:rFonts w:eastAsia="Times New Roman" w:cs="Tahoma"/>
          <w:i/>
          <w:szCs w:val="20"/>
          <w:lang w:eastAsia="it-IT"/>
        </w:rPr>
        <w:t>rdine dei dottori commercialisti e degli esperti contabili</w:t>
      </w:r>
      <w:r w:rsidR="003B54FA" w:rsidRPr="00515872">
        <w:rPr>
          <w:rFonts w:eastAsia="Times New Roman" w:cs="Tahoma"/>
          <w:i/>
          <w:szCs w:val="20"/>
          <w:lang w:eastAsia="it-IT"/>
        </w:rPr>
        <w:t xml:space="preserve"> [</w:t>
      </w:r>
      <w:r w:rsidR="00226AA3" w:rsidRPr="00515872">
        <w:rPr>
          <w:rFonts w:eastAsia="Times New Roman" w:cs="Tahoma"/>
          <w:i/>
          <w:szCs w:val="20"/>
          <w:lang w:eastAsia="it-IT"/>
        </w:rPr>
        <w:t>…</w:t>
      </w:r>
      <w:r w:rsidR="003B54FA" w:rsidRPr="00515872">
        <w:rPr>
          <w:rFonts w:eastAsia="Times New Roman" w:cs="Tahoma"/>
          <w:i/>
          <w:szCs w:val="20"/>
          <w:lang w:eastAsia="it-IT"/>
        </w:rPr>
        <w:t>]</w:t>
      </w:r>
      <w:r w:rsidR="00226AA3" w:rsidRPr="00515872">
        <w:rPr>
          <w:rFonts w:eastAsia="Times New Roman" w:cs="Tahoma"/>
          <w:szCs w:val="20"/>
          <w:lang w:eastAsia="it-IT"/>
        </w:rPr>
        <w:t>”</w:t>
      </w:r>
      <w:r w:rsidR="00991BDD" w:rsidRPr="00515872">
        <w:rPr>
          <w:rFonts w:eastAsia="Times New Roman" w:cs="Tahoma"/>
          <w:szCs w:val="20"/>
          <w:lang w:eastAsia="it-IT"/>
        </w:rPr>
        <w:t>.</w:t>
      </w:r>
      <w:r w:rsidR="00742744" w:rsidRPr="00515872">
        <w:rPr>
          <w:rFonts w:eastAsia="Times New Roman" w:cs="Tahoma"/>
          <w:szCs w:val="20"/>
          <w:lang w:eastAsia="it-IT"/>
        </w:rPr>
        <w:t xml:space="preserve"> Seppure mantenuta formalmente </w:t>
      </w:r>
      <w:r w:rsidR="00AD204E" w:rsidRPr="00515872">
        <w:rPr>
          <w:rFonts w:eastAsia="Times New Roman" w:cs="Tahoma"/>
          <w:szCs w:val="20"/>
          <w:lang w:eastAsia="it-IT"/>
        </w:rPr>
        <w:t xml:space="preserve">la nomina </w:t>
      </w:r>
      <w:r w:rsidR="00742744" w:rsidRPr="00515872">
        <w:rPr>
          <w:rFonts w:eastAsia="Times New Roman" w:cs="Tahoma"/>
          <w:szCs w:val="20"/>
          <w:lang w:eastAsia="it-IT"/>
        </w:rPr>
        <w:t>in capo al consiglio</w:t>
      </w:r>
      <w:r w:rsidR="00444854" w:rsidRPr="00515872">
        <w:rPr>
          <w:rFonts w:eastAsia="Times New Roman" w:cs="Tahoma"/>
          <w:szCs w:val="20"/>
          <w:lang w:eastAsia="it-IT"/>
        </w:rPr>
        <w:t>, quindi, risulta</w:t>
      </w:r>
      <w:r w:rsidR="00FA50CF" w:rsidRPr="00515872">
        <w:rPr>
          <w:rFonts w:eastAsia="Times New Roman" w:cs="Tahoma"/>
          <w:szCs w:val="20"/>
          <w:lang w:eastAsia="it-IT"/>
        </w:rPr>
        <w:t xml:space="preserve"> di tutta</w:t>
      </w:r>
      <w:r w:rsidR="00742744" w:rsidRPr="00515872">
        <w:rPr>
          <w:rFonts w:eastAsia="Times New Roman" w:cs="Tahoma"/>
          <w:szCs w:val="20"/>
          <w:lang w:eastAsia="it-IT"/>
        </w:rPr>
        <w:t xml:space="preserve"> </w:t>
      </w:r>
      <w:r w:rsidR="006E1734" w:rsidRPr="00515872">
        <w:rPr>
          <w:rFonts w:eastAsia="Times New Roman" w:cs="Tahoma"/>
          <w:szCs w:val="20"/>
          <w:lang w:eastAsia="it-IT"/>
        </w:rPr>
        <w:t xml:space="preserve">evidenza </w:t>
      </w:r>
      <w:r w:rsidR="00F90FC3" w:rsidRPr="00515872">
        <w:rPr>
          <w:rFonts w:eastAsia="Times New Roman" w:cs="Tahoma"/>
          <w:szCs w:val="20"/>
          <w:lang w:eastAsia="it-IT"/>
        </w:rPr>
        <w:t xml:space="preserve">come </w:t>
      </w:r>
      <w:r w:rsidR="00AD204E" w:rsidRPr="00515872">
        <w:rPr>
          <w:rFonts w:eastAsia="Times New Roman" w:cs="Tahoma"/>
          <w:szCs w:val="20"/>
          <w:lang w:eastAsia="it-IT"/>
        </w:rPr>
        <w:t>quest’ultimo</w:t>
      </w:r>
      <w:r w:rsidR="00F90FC3" w:rsidRPr="00515872">
        <w:rPr>
          <w:rFonts w:eastAsia="Times New Roman" w:cs="Tahoma"/>
          <w:szCs w:val="20"/>
          <w:lang w:eastAsia="it-IT"/>
        </w:rPr>
        <w:t xml:space="preserve"> v</w:t>
      </w:r>
      <w:r w:rsidR="00EF5F76" w:rsidRPr="00515872">
        <w:rPr>
          <w:rFonts w:eastAsia="Times New Roman" w:cs="Tahoma"/>
          <w:szCs w:val="20"/>
          <w:lang w:eastAsia="it-IT"/>
        </w:rPr>
        <w:t>iene</w:t>
      </w:r>
      <w:r w:rsidR="00742744" w:rsidRPr="00515872">
        <w:rPr>
          <w:rFonts w:eastAsia="Times New Roman" w:cs="Tahoma"/>
          <w:szCs w:val="20"/>
          <w:lang w:eastAsia="it-IT"/>
        </w:rPr>
        <w:t xml:space="preserve"> svuotato di ogni </w:t>
      </w:r>
      <w:r w:rsidR="006E1734" w:rsidRPr="00515872">
        <w:rPr>
          <w:rFonts w:eastAsia="Times New Roman" w:cs="Tahoma"/>
          <w:szCs w:val="20"/>
          <w:lang w:eastAsia="it-IT"/>
        </w:rPr>
        <w:t>potere</w:t>
      </w:r>
      <w:r w:rsidR="00742744" w:rsidRPr="00515872">
        <w:rPr>
          <w:rFonts w:eastAsia="Times New Roman" w:cs="Tahoma"/>
          <w:szCs w:val="20"/>
          <w:lang w:eastAsia="it-IT"/>
        </w:rPr>
        <w:t xml:space="preserve"> </w:t>
      </w:r>
      <w:r w:rsidR="00364664" w:rsidRPr="00515872">
        <w:rPr>
          <w:rFonts w:eastAsia="Times New Roman" w:cs="Tahoma"/>
          <w:szCs w:val="20"/>
          <w:lang w:eastAsia="it-IT"/>
        </w:rPr>
        <w:t xml:space="preserve">discrezionale </w:t>
      </w:r>
      <w:r w:rsidR="008D7B14" w:rsidRPr="00515872">
        <w:rPr>
          <w:rFonts w:eastAsia="Times New Roman" w:cs="Tahoma"/>
          <w:szCs w:val="20"/>
          <w:lang w:eastAsia="it-IT"/>
        </w:rPr>
        <w:t xml:space="preserve">in ordine </w:t>
      </w:r>
      <w:r w:rsidR="00364664" w:rsidRPr="00515872">
        <w:rPr>
          <w:rFonts w:eastAsia="Times New Roman" w:cs="Tahoma"/>
          <w:szCs w:val="20"/>
          <w:lang w:eastAsia="it-IT"/>
        </w:rPr>
        <w:t>a</w:t>
      </w:r>
      <w:r w:rsidR="006E1734" w:rsidRPr="00515872">
        <w:rPr>
          <w:rFonts w:eastAsia="Times New Roman" w:cs="Tahoma"/>
          <w:szCs w:val="20"/>
          <w:lang w:eastAsia="it-IT"/>
        </w:rPr>
        <w:t>ll</w:t>
      </w:r>
      <w:r w:rsidR="00AD204E" w:rsidRPr="00515872">
        <w:rPr>
          <w:rFonts w:eastAsia="Times New Roman" w:cs="Tahoma"/>
          <w:szCs w:val="20"/>
          <w:lang w:eastAsia="it-IT"/>
        </w:rPr>
        <w:t>’identità dei membri dell’organo e come</w:t>
      </w:r>
      <w:r w:rsidR="00742744" w:rsidRPr="00515872">
        <w:rPr>
          <w:rFonts w:eastAsia="Times New Roman" w:cs="Tahoma"/>
          <w:szCs w:val="20"/>
          <w:lang w:eastAsia="it-IT"/>
        </w:rPr>
        <w:t xml:space="preserve"> si </w:t>
      </w:r>
      <w:r w:rsidR="00F90FC3" w:rsidRPr="00515872">
        <w:rPr>
          <w:rFonts w:eastAsia="Times New Roman" w:cs="Tahoma"/>
          <w:szCs w:val="20"/>
          <w:lang w:eastAsia="it-IT"/>
        </w:rPr>
        <w:t>d</w:t>
      </w:r>
      <w:r w:rsidR="00EF5F76" w:rsidRPr="00515872">
        <w:rPr>
          <w:rFonts w:eastAsia="Times New Roman" w:cs="Tahoma"/>
          <w:szCs w:val="20"/>
          <w:lang w:eastAsia="it-IT"/>
        </w:rPr>
        <w:t>ebba</w:t>
      </w:r>
      <w:r w:rsidR="006E1734" w:rsidRPr="00515872">
        <w:rPr>
          <w:rFonts w:eastAsia="Times New Roman" w:cs="Tahoma"/>
          <w:szCs w:val="20"/>
          <w:lang w:eastAsia="it-IT"/>
        </w:rPr>
        <w:t>,</w:t>
      </w:r>
      <w:r w:rsidR="00742744" w:rsidRPr="00515872">
        <w:rPr>
          <w:rFonts w:eastAsia="Times New Roman" w:cs="Tahoma"/>
          <w:szCs w:val="20"/>
          <w:lang w:eastAsia="it-IT"/>
        </w:rPr>
        <w:t xml:space="preserve"> invece</w:t>
      </w:r>
      <w:r w:rsidR="006E1734" w:rsidRPr="00515872">
        <w:rPr>
          <w:rFonts w:eastAsia="Times New Roman" w:cs="Tahoma"/>
          <w:szCs w:val="20"/>
          <w:lang w:eastAsia="it-IT"/>
        </w:rPr>
        <w:t>,</w:t>
      </w:r>
      <w:r w:rsidR="00742744" w:rsidRPr="00515872">
        <w:rPr>
          <w:rFonts w:eastAsia="Times New Roman" w:cs="Tahoma"/>
          <w:szCs w:val="20"/>
          <w:lang w:eastAsia="it-IT"/>
        </w:rPr>
        <w:t xml:space="preserve"> limitare a </w:t>
      </w:r>
      <w:r w:rsidR="00AD204E" w:rsidRPr="00515872">
        <w:rPr>
          <w:rFonts w:eastAsia="Times New Roman" w:cs="Tahoma"/>
          <w:szCs w:val="20"/>
          <w:lang w:eastAsia="it-IT"/>
        </w:rPr>
        <w:t xml:space="preserve">ratificarne la nomina, salvo </w:t>
      </w:r>
      <w:r w:rsidR="008712EA" w:rsidRPr="00515872">
        <w:rPr>
          <w:rFonts w:eastAsia="Times New Roman" w:cs="Tahoma"/>
          <w:szCs w:val="20"/>
          <w:lang w:eastAsia="it-IT"/>
        </w:rPr>
        <w:t xml:space="preserve">verificare eventuali cause di </w:t>
      </w:r>
      <w:r w:rsidR="004F06D0" w:rsidRPr="00515872">
        <w:rPr>
          <w:rFonts w:eastAsia="Times New Roman" w:cs="Tahoma"/>
          <w:szCs w:val="20"/>
          <w:lang w:eastAsia="it-IT"/>
        </w:rPr>
        <w:t xml:space="preserve">incompatibilità del </w:t>
      </w:r>
      <w:r w:rsidR="00364664" w:rsidRPr="00515872">
        <w:rPr>
          <w:rFonts w:eastAsia="Times New Roman" w:cs="Tahoma"/>
          <w:szCs w:val="20"/>
          <w:lang w:eastAsia="it-IT"/>
        </w:rPr>
        <w:t>soggetto sorteggiato</w:t>
      </w:r>
      <w:r w:rsidR="00742744" w:rsidRPr="00515872">
        <w:rPr>
          <w:rFonts w:eastAsia="Times New Roman" w:cs="Tahoma"/>
          <w:szCs w:val="20"/>
          <w:lang w:eastAsia="it-IT"/>
        </w:rPr>
        <w:t>.</w:t>
      </w:r>
    </w:p>
    <w:p w14:paraId="638F2F43" w14:textId="77777777" w:rsidR="009016ED" w:rsidRPr="00515872" w:rsidRDefault="00F90FC3" w:rsidP="00F90FC3">
      <w:pPr>
        <w:spacing w:line="360" w:lineRule="auto"/>
        <w:jc w:val="both"/>
        <w:rPr>
          <w:rFonts w:eastAsia="Times New Roman" w:cs="Tahoma"/>
          <w:szCs w:val="20"/>
          <w:lang w:eastAsia="it-IT"/>
        </w:rPr>
      </w:pPr>
      <w:r w:rsidRPr="00515872">
        <w:rPr>
          <w:rFonts w:eastAsia="Times New Roman" w:cs="Tahoma"/>
          <w:szCs w:val="20"/>
          <w:lang w:eastAsia="it-IT"/>
        </w:rPr>
        <w:t>Tal</w:t>
      </w:r>
      <w:r w:rsidR="00AD204E" w:rsidRPr="00515872">
        <w:rPr>
          <w:rFonts w:eastAsia="Times New Roman" w:cs="Tahoma"/>
          <w:szCs w:val="20"/>
          <w:lang w:eastAsia="it-IT"/>
        </w:rPr>
        <w:t>e potere discrezionale è stato</w:t>
      </w:r>
      <w:r w:rsidRPr="00515872">
        <w:rPr>
          <w:rFonts w:eastAsia="Times New Roman" w:cs="Tahoma"/>
          <w:szCs w:val="20"/>
          <w:lang w:eastAsia="it-IT"/>
        </w:rPr>
        <w:t xml:space="preserve"> parzialmente reintrodotto</w:t>
      </w:r>
      <w:r w:rsidR="00AD204E" w:rsidRPr="00515872">
        <w:rPr>
          <w:rFonts w:eastAsia="Times New Roman" w:cs="Tahoma"/>
          <w:szCs w:val="20"/>
          <w:lang w:eastAsia="it-IT"/>
        </w:rPr>
        <w:t>, di recente,</w:t>
      </w:r>
      <w:r w:rsidRPr="00515872">
        <w:rPr>
          <w:rFonts w:eastAsia="Times New Roman" w:cs="Tahoma"/>
          <w:szCs w:val="20"/>
          <w:lang w:eastAsia="it-IT"/>
        </w:rPr>
        <w:t xml:space="preserve"> ad opera</w:t>
      </w:r>
      <w:r w:rsidR="009016ED" w:rsidRPr="00515872">
        <w:rPr>
          <w:rFonts w:eastAsia="Times New Roman" w:cs="Tahoma"/>
          <w:szCs w:val="20"/>
          <w:lang w:eastAsia="it-IT"/>
        </w:rPr>
        <w:t xml:space="preserve"> della legge di conversione</w:t>
      </w:r>
      <w:r w:rsidRPr="00515872">
        <w:rPr>
          <w:rFonts w:eastAsia="Times New Roman" w:cs="Tahoma"/>
          <w:szCs w:val="20"/>
          <w:lang w:eastAsia="it-IT"/>
        </w:rPr>
        <w:t xml:space="preserve"> del </w:t>
      </w:r>
      <w:r w:rsidR="009016ED" w:rsidRPr="00515872">
        <w:rPr>
          <w:rFonts w:eastAsia="Times New Roman" w:cs="Tahoma"/>
          <w:szCs w:val="20"/>
          <w:lang w:eastAsia="it-IT"/>
        </w:rPr>
        <w:t>D.L. n.</w:t>
      </w:r>
      <w:r w:rsidR="00EF5F76" w:rsidRPr="00515872">
        <w:rPr>
          <w:rFonts w:eastAsia="Times New Roman" w:cs="Tahoma"/>
          <w:szCs w:val="20"/>
          <w:lang w:eastAsia="it-IT"/>
        </w:rPr>
        <w:t xml:space="preserve"> </w:t>
      </w:r>
      <w:r w:rsidR="009016ED" w:rsidRPr="00515872">
        <w:rPr>
          <w:rFonts w:eastAsia="Times New Roman" w:cs="Tahoma"/>
          <w:szCs w:val="20"/>
          <w:lang w:eastAsia="it-IT"/>
        </w:rPr>
        <w:t>124/2019</w:t>
      </w:r>
      <w:r w:rsidRPr="00515872">
        <w:rPr>
          <w:rFonts w:eastAsia="Times New Roman" w:cs="Tahoma"/>
          <w:szCs w:val="20"/>
          <w:lang w:eastAsia="it-IT"/>
        </w:rPr>
        <w:t xml:space="preserve"> </w:t>
      </w:r>
      <w:r w:rsidR="009016ED" w:rsidRPr="00515872">
        <w:rPr>
          <w:rFonts w:eastAsia="Times New Roman" w:cs="Tahoma"/>
          <w:szCs w:val="20"/>
          <w:lang w:eastAsia="it-IT"/>
        </w:rPr>
        <w:t>la</w:t>
      </w:r>
      <w:r w:rsidRPr="00515872">
        <w:rPr>
          <w:rFonts w:eastAsia="Times New Roman" w:cs="Tahoma"/>
          <w:szCs w:val="20"/>
          <w:lang w:eastAsia="it-IT"/>
        </w:rPr>
        <w:t xml:space="preserve"> quale ha </w:t>
      </w:r>
      <w:r w:rsidR="009016ED" w:rsidRPr="00515872">
        <w:rPr>
          <w:rFonts w:eastAsia="Times New Roman" w:cs="Tahoma"/>
          <w:szCs w:val="20"/>
          <w:lang w:eastAsia="it-IT"/>
        </w:rPr>
        <w:t>previsto l’inserimento del nuovo</w:t>
      </w:r>
      <w:r w:rsidR="00DB748A" w:rsidRPr="00515872">
        <w:rPr>
          <w:rFonts w:eastAsia="Times New Roman" w:cs="Tahoma"/>
          <w:szCs w:val="20"/>
          <w:lang w:eastAsia="it-IT"/>
        </w:rPr>
        <w:t xml:space="preserve"> c. 25-</w:t>
      </w:r>
      <w:r w:rsidRPr="00515872">
        <w:rPr>
          <w:rFonts w:eastAsia="Times New Roman" w:cs="Tahoma"/>
          <w:szCs w:val="20"/>
          <w:lang w:eastAsia="it-IT"/>
        </w:rPr>
        <w:t xml:space="preserve">bis </w:t>
      </w:r>
      <w:r w:rsidR="00AD204E" w:rsidRPr="00515872">
        <w:rPr>
          <w:rFonts w:eastAsia="Times New Roman" w:cs="Tahoma"/>
          <w:szCs w:val="20"/>
          <w:lang w:eastAsia="it-IT"/>
        </w:rPr>
        <w:t>nel</w:t>
      </w:r>
      <w:r w:rsidRPr="00515872">
        <w:rPr>
          <w:rFonts w:eastAsia="Times New Roman" w:cs="Tahoma"/>
          <w:szCs w:val="20"/>
          <w:lang w:eastAsia="it-IT"/>
        </w:rPr>
        <w:t xml:space="preserve"> </w:t>
      </w:r>
      <w:r w:rsidR="00CF157C" w:rsidRPr="00515872">
        <w:rPr>
          <w:rFonts w:eastAsia="Times New Roman" w:cs="Tahoma"/>
          <w:szCs w:val="20"/>
          <w:lang w:eastAsia="it-IT"/>
        </w:rPr>
        <w:t>citato art. 16</w:t>
      </w:r>
      <w:r w:rsidRPr="00515872">
        <w:rPr>
          <w:rFonts w:eastAsia="Times New Roman" w:cs="Tahoma"/>
          <w:szCs w:val="20"/>
          <w:lang w:eastAsia="it-IT"/>
        </w:rPr>
        <w:t xml:space="preserve"> che riporta testuali parole: “</w:t>
      </w:r>
      <w:r w:rsidRPr="00515872">
        <w:rPr>
          <w:rFonts w:eastAsia="Times New Roman" w:cs="Tahoma"/>
          <w:i/>
          <w:szCs w:val="20"/>
          <w:lang w:eastAsia="it-IT"/>
        </w:rPr>
        <w:t xml:space="preserve">Nei casi di composizione collegiale dell'organo di revisione economico-finanziario previsti dalla legge, </w:t>
      </w:r>
      <w:r w:rsidRPr="00515872">
        <w:rPr>
          <w:rFonts w:eastAsia="Times New Roman" w:cs="Tahoma"/>
          <w:i/>
          <w:szCs w:val="20"/>
          <w:lang w:eastAsia="it-IT"/>
        </w:rPr>
        <w:lastRenderedPageBreak/>
        <w:t>in deroga al comma 25, i consigli comu</w:t>
      </w:r>
      <w:r w:rsidR="001F6245" w:rsidRPr="00515872">
        <w:rPr>
          <w:rFonts w:eastAsia="Times New Roman" w:cs="Tahoma"/>
          <w:i/>
          <w:szCs w:val="20"/>
          <w:lang w:eastAsia="it-IT"/>
        </w:rPr>
        <w:t>nali, provinciali e delle città</w:t>
      </w:r>
      <w:r w:rsidRPr="00515872">
        <w:rPr>
          <w:rFonts w:eastAsia="Times New Roman" w:cs="Tahoma"/>
          <w:i/>
          <w:szCs w:val="20"/>
          <w:lang w:eastAsia="it-IT"/>
        </w:rPr>
        <w:t xml:space="preserve"> metropolitane e le unioni di comuni che esercitano in forma associata tutte le funzioni fondamentali eleggono, a maggioranza assoluta dei membri, il componente dell'organo di revisione con funzioni di presidente, scelto tra i soggetti validamente inseriti nella fascia 3 formata ai sensi del regolamento di cui al decreto del Ministro dell'interno 15 febbraio 2012, n. 23,</w:t>
      </w:r>
      <w:r w:rsidR="001F6245" w:rsidRPr="00515872">
        <w:rPr>
          <w:rFonts w:eastAsia="Times New Roman" w:cs="Tahoma"/>
          <w:i/>
          <w:szCs w:val="20"/>
          <w:lang w:eastAsia="it-IT"/>
        </w:rPr>
        <w:t xml:space="preserve"> o comunque nella fascia di più</w:t>
      </w:r>
      <w:r w:rsidRPr="00515872">
        <w:rPr>
          <w:rFonts w:eastAsia="Times New Roman" w:cs="Tahoma"/>
          <w:i/>
          <w:szCs w:val="20"/>
          <w:lang w:eastAsia="it-IT"/>
        </w:rPr>
        <w:t xml:space="preserve"> elevata qualificazione professionale in caso di modifiche al citato regolamento</w:t>
      </w:r>
      <w:r w:rsidRPr="00515872">
        <w:rPr>
          <w:rFonts w:eastAsia="Times New Roman" w:cs="Tahoma"/>
          <w:szCs w:val="20"/>
          <w:lang w:eastAsia="it-IT"/>
        </w:rPr>
        <w:t>”</w:t>
      </w:r>
      <w:r w:rsidR="009016ED" w:rsidRPr="00515872">
        <w:rPr>
          <w:rFonts w:eastAsia="Times New Roman" w:cs="Tahoma"/>
          <w:szCs w:val="20"/>
          <w:lang w:eastAsia="it-IT"/>
        </w:rPr>
        <w:t>.</w:t>
      </w:r>
    </w:p>
    <w:p w14:paraId="0714FA08" w14:textId="77777777" w:rsidR="00F90FC3" w:rsidRPr="00515872" w:rsidRDefault="009016ED" w:rsidP="00F90FC3">
      <w:pPr>
        <w:spacing w:line="360" w:lineRule="auto"/>
        <w:jc w:val="both"/>
        <w:rPr>
          <w:rFonts w:eastAsia="Times New Roman" w:cs="Tahoma"/>
          <w:szCs w:val="20"/>
          <w:lang w:eastAsia="it-IT"/>
        </w:rPr>
      </w:pPr>
      <w:r w:rsidRPr="00515872">
        <w:rPr>
          <w:rFonts w:eastAsia="Times New Roman" w:cs="Tahoma"/>
          <w:szCs w:val="20"/>
          <w:lang w:eastAsia="it-IT"/>
        </w:rPr>
        <w:t>La disposizione</w:t>
      </w:r>
      <w:r w:rsidR="001F6245" w:rsidRPr="00515872">
        <w:rPr>
          <w:rFonts w:eastAsia="Times New Roman" w:cs="Tahoma"/>
          <w:szCs w:val="20"/>
          <w:lang w:eastAsia="it-IT"/>
        </w:rPr>
        <w:t xml:space="preserve">, seppur </w:t>
      </w:r>
      <w:r w:rsidR="009447CE" w:rsidRPr="00515872">
        <w:rPr>
          <w:rFonts w:eastAsia="Times New Roman" w:cs="Tahoma"/>
          <w:szCs w:val="20"/>
          <w:lang w:eastAsia="it-IT"/>
        </w:rPr>
        <w:t>entro</w:t>
      </w:r>
      <w:r w:rsidR="001F6245" w:rsidRPr="00515872">
        <w:rPr>
          <w:rFonts w:eastAsia="Times New Roman" w:cs="Tahoma"/>
          <w:szCs w:val="20"/>
          <w:lang w:eastAsia="it-IT"/>
        </w:rPr>
        <w:t xml:space="preserve"> paletti ben delineati volti a garantire l’idonea qu</w:t>
      </w:r>
      <w:r w:rsidR="009447CE" w:rsidRPr="00515872">
        <w:rPr>
          <w:rFonts w:eastAsia="Times New Roman" w:cs="Tahoma"/>
          <w:szCs w:val="20"/>
          <w:lang w:eastAsia="it-IT"/>
        </w:rPr>
        <w:t>alificazione professionale del p</w:t>
      </w:r>
      <w:r w:rsidR="001F6245" w:rsidRPr="00515872">
        <w:rPr>
          <w:rFonts w:eastAsia="Times New Roman" w:cs="Tahoma"/>
          <w:szCs w:val="20"/>
          <w:lang w:eastAsia="it-IT"/>
        </w:rPr>
        <w:t xml:space="preserve">residente del </w:t>
      </w:r>
      <w:r w:rsidR="00B173BB" w:rsidRPr="00515872">
        <w:rPr>
          <w:rFonts w:eastAsia="Times New Roman" w:cs="Tahoma"/>
          <w:szCs w:val="20"/>
          <w:lang w:eastAsia="it-IT"/>
        </w:rPr>
        <w:t>collegio</w:t>
      </w:r>
      <w:r w:rsidR="006B67FF" w:rsidRPr="00515872">
        <w:rPr>
          <w:rFonts w:eastAsia="Times New Roman" w:cs="Tahoma"/>
          <w:szCs w:val="20"/>
          <w:lang w:eastAsia="it-IT"/>
        </w:rPr>
        <w:t xml:space="preserve"> dei r</w:t>
      </w:r>
      <w:r w:rsidR="001F6245" w:rsidRPr="00515872">
        <w:rPr>
          <w:rFonts w:eastAsia="Times New Roman" w:cs="Tahoma"/>
          <w:szCs w:val="20"/>
          <w:lang w:eastAsia="it-IT"/>
        </w:rPr>
        <w:t xml:space="preserve">evisori, restituisce </w:t>
      </w:r>
      <w:r w:rsidR="006B67FF" w:rsidRPr="00515872">
        <w:rPr>
          <w:rFonts w:eastAsia="Times New Roman" w:cs="Tahoma"/>
          <w:szCs w:val="20"/>
          <w:lang w:eastAsia="it-IT"/>
        </w:rPr>
        <w:t>al consiglio c</w:t>
      </w:r>
      <w:r w:rsidR="0027003C" w:rsidRPr="00515872">
        <w:rPr>
          <w:rFonts w:eastAsia="Times New Roman" w:cs="Tahoma"/>
          <w:szCs w:val="20"/>
          <w:lang w:eastAsia="it-IT"/>
        </w:rPr>
        <w:t xml:space="preserve">omunale un margine di </w:t>
      </w:r>
      <w:r w:rsidR="009447CE" w:rsidRPr="00515872">
        <w:rPr>
          <w:rFonts w:eastAsia="Times New Roman" w:cs="Tahoma"/>
          <w:szCs w:val="20"/>
          <w:lang w:eastAsia="it-IT"/>
        </w:rPr>
        <w:t>discrezionalità</w:t>
      </w:r>
      <w:r w:rsidR="0027003C" w:rsidRPr="00515872">
        <w:rPr>
          <w:rFonts w:eastAsia="Times New Roman" w:cs="Tahoma"/>
          <w:szCs w:val="20"/>
          <w:lang w:eastAsia="it-IT"/>
        </w:rPr>
        <w:t xml:space="preserve"> nella selezione del soggetto in questione</w:t>
      </w:r>
      <w:r w:rsidR="00D15BA7" w:rsidRPr="00515872">
        <w:rPr>
          <w:rStyle w:val="Rimandonotaapidipagina"/>
          <w:rFonts w:eastAsia="Times New Roman" w:cs="Tahoma"/>
          <w:szCs w:val="20"/>
          <w:lang w:eastAsia="it-IT"/>
        </w:rPr>
        <w:footnoteReference w:id="2"/>
      </w:r>
      <w:r w:rsidR="0027003C" w:rsidRPr="00515872">
        <w:rPr>
          <w:rFonts w:eastAsia="Times New Roman" w:cs="Tahoma"/>
          <w:szCs w:val="20"/>
          <w:lang w:eastAsia="it-IT"/>
        </w:rPr>
        <w:t>.</w:t>
      </w:r>
    </w:p>
    <w:p w14:paraId="4AC8AC78" w14:textId="77777777" w:rsidR="009016ED" w:rsidRPr="00515872" w:rsidRDefault="009016ED" w:rsidP="004152C0">
      <w:pPr>
        <w:spacing w:line="360" w:lineRule="auto"/>
        <w:jc w:val="both"/>
        <w:rPr>
          <w:rFonts w:cs="Tahoma"/>
          <w:szCs w:val="20"/>
        </w:rPr>
      </w:pPr>
      <w:r w:rsidRPr="00515872">
        <w:rPr>
          <w:rFonts w:cs="Tahoma"/>
        </w:rPr>
        <w:t>Quanto all’entrata in vigore</w:t>
      </w:r>
      <w:r w:rsidR="009447CE" w:rsidRPr="00515872">
        <w:rPr>
          <w:rFonts w:cs="Tahoma"/>
        </w:rPr>
        <w:t xml:space="preserve"> di tale novella</w:t>
      </w:r>
      <w:r w:rsidRPr="00515872">
        <w:rPr>
          <w:rFonts w:cs="Tahoma"/>
        </w:rPr>
        <w:t xml:space="preserve">, Il Ministero dell’Interno, con parere pubblicato online sul proprio sito web in data 30 gennaio 2020, chiarisce che la </w:t>
      </w:r>
      <w:r w:rsidRPr="00515872">
        <w:rPr>
          <w:rFonts w:cs="Tahoma"/>
          <w:b/>
          <w:bCs/>
        </w:rPr>
        <w:t xml:space="preserve">decorrenza </w:t>
      </w:r>
      <w:r w:rsidRPr="00515872">
        <w:rPr>
          <w:rFonts w:cs="Tahoma"/>
        </w:rPr>
        <w:t xml:space="preserve">è da intendersi dalla data di entrata in </w:t>
      </w:r>
      <w:r w:rsidRPr="00515872">
        <w:rPr>
          <w:rFonts w:cs="Tahoma"/>
          <w:szCs w:val="20"/>
        </w:rPr>
        <w:t>vigore della legge di conversione del decreto (L. n. 157/2019), vale a dire dalle nomine effettuate a decorrere dal 25 dicembre 2019.</w:t>
      </w:r>
    </w:p>
    <w:p w14:paraId="0F8D4DD7" w14:textId="68FFA5BD" w:rsidR="004152C0" w:rsidRPr="00515872" w:rsidRDefault="00710DD9" w:rsidP="004152C0">
      <w:pPr>
        <w:spacing w:line="360" w:lineRule="auto"/>
        <w:jc w:val="both"/>
        <w:rPr>
          <w:rFonts w:eastAsia="Times New Roman" w:cs="Tahoma"/>
          <w:szCs w:val="20"/>
          <w:lang w:eastAsia="it-IT"/>
        </w:rPr>
      </w:pPr>
      <w:r w:rsidRPr="00515872">
        <w:rPr>
          <w:rFonts w:cs="Tahoma"/>
          <w:szCs w:val="20"/>
        </w:rPr>
        <w:t>Non è, inv</w:t>
      </w:r>
      <w:r w:rsidR="00F01B22" w:rsidRPr="00515872">
        <w:rPr>
          <w:rFonts w:cs="Tahoma"/>
          <w:szCs w:val="20"/>
        </w:rPr>
        <w:t>ec</w:t>
      </w:r>
      <w:r w:rsidR="004152C0" w:rsidRPr="00515872">
        <w:rPr>
          <w:rFonts w:cs="Tahoma"/>
          <w:szCs w:val="20"/>
        </w:rPr>
        <w:t>e</w:t>
      </w:r>
      <w:r w:rsidR="009016ED" w:rsidRPr="00515872">
        <w:rPr>
          <w:rFonts w:cs="Tahoma"/>
          <w:szCs w:val="20"/>
        </w:rPr>
        <w:t xml:space="preserve">, ancora </w:t>
      </w:r>
      <w:r w:rsidR="004152C0" w:rsidRPr="00515872">
        <w:rPr>
          <w:rFonts w:cs="Tahoma"/>
          <w:szCs w:val="20"/>
        </w:rPr>
        <w:t>applicabile l</w:t>
      </w:r>
      <w:r w:rsidR="009447CE" w:rsidRPr="00515872">
        <w:rPr>
          <w:rFonts w:cs="Tahoma"/>
          <w:szCs w:val="20"/>
        </w:rPr>
        <w:t>’altra modifica introdotta dalla</w:t>
      </w:r>
      <w:r w:rsidR="004152C0" w:rsidRPr="00515872">
        <w:rPr>
          <w:rFonts w:cs="Tahoma"/>
          <w:szCs w:val="20"/>
        </w:rPr>
        <w:t xml:space="preserve"> stessa norma che restringe l’ambito di competenza per l’estrazione alla carica di revisore, a livello provinciale, anziché regionale. L’art. 57-ter, c. 1, lett. a), infatti, prevede che “</w:t>
      </w:r>
      <w:r w:rsidR="004152C0" w:rsidRPr="00515872">
        <w:rPr>
          <w:rFonts w:eastAsia="Times New Roman" w:cs="Tahoma"/>
          <w:i/>
          <w:szCs w:val="20"/>
          <w:lang w:eastAsia="it-IT"/>
        </w:rPr>
        <w:t xml:space="preserve">al comma 25, [dell’art. 16, D.L. n. 138/2011, </w:t>
      </w:r>
      <w:r w:rsidR="00F61E9D" w:rsidRPr="00515872">
        <w:rPr>
          <w:rFonts w:eastAsia="Times New Roman" w:cs="Tahoma"/>
          <w:i/>
          <w:szCs w:val="20"/>
          <w:lang w:eastAsia="it-IT"/>
        </w:rPr>
        <w:t>n.d.r.</w:t>
      </w:r>
      <w:r w:rsidR="004152C0" w:rsidRPr="00515872">
        <w:rPr>
          <w:rFonts w:eastAsia="Times New Roman" w:cs="Tahoma"/>
          <w:i/>
          <w:szCs w:val="20"/>
          <w:lang w:eastAsia="it-IT"/>
        </w:rPr>
        <w:t>] alinea, le parole: "a livello regionale" sono sostituite dalle seguenti: "a livello provinciale"</w:t>
      </w:r>
      <w:r w:rsidR="009447CE" w:rsidRPr="00515872">
        <w:rPr>
          <w:rFonts w:eastAsia="Times New Roman" w:cs="Tahoma"/>
          <w:szCs w:val="20"/>
          <w:lang w:eastAsia="it-IT"/>
        </w:rPr>
        <w:t>”;</w:t>
      </w:r>
      <w:r w:rsidR="004152C0" w:rsidRPr="00515872">
        <w:rPr>
          <w:rFonts w:eastAsia="Times New Roman" w:cs="Tahoma"/>
          <w:szCs w:val="20"/>
          <w:lang w:eastAsia="it-IT"/>
        </w:rPr>
        <w:t xml:space="preserve"> né risulta, alla data attuale, predisposto </w:t>
      </w:r>
      <w:r w:rsidR="009447CE" w:rsidRPr="00515872">
        <w:rPr>
          <w:rFonts w:eastAsia="Times New Roman" w:cs="Tahoma"/>
          <w:szCs w:val="20"/>
          <w:lang w:eastAsia="it-IT"/>
        </w:rPr>
        <w:t>alc</w:t>
      </w:r>
      <w:r w:rsidR="004152C0" w:rsidRPr="00515872">
        <w:rPr>
          <w:rFonts w:eastAsia="Times New Roman" w:cs="Tahoma"/>
          <w:szCs w:val="20"/>
          <w:lang w:eastAsia="it-IT"/>
        </w:rPr>
        <w:t>un elenco su base provinciale.</w:t>
      </w:r>
    </w:p>
    <w:p w14:paraId="3AEFE734" w14:textId="77777777" w:rsidR="001672F9" w:rsidRPr="00515872" w:rsidRDefault="001672F9" w:rsidP="004152C0">
      <w:pPr>
        <w:spacing w:line="360" w:lineRule="auto"/>
        <w:jc w:val="both"/>
        <w:rPr>
          <w:rFonts w:eastAsia="Times New Roman" w:cs="Tahoma"/>
          <w:szCs w:val="20"/>
          <w:highlight w:val="yellow"/>
          <w:lang w:eastAsia="it-IT"/>
        </w:rPr>
      </w:pPr>
    </w:p>
    <w:p w14:paraId="20859547" w14:textId="77777777" w:rsidR="00FB7ADA" w:rsidRPr="00515872" w:rsidRDefault="00287022" w:rsidP="00176F9A">
      <w:pPr>
        <w:pStyle w:val="Sottoparagrafo"/>
        <w:rPr>
          <w:rFonts w:cs="Tahoma"/>
        </w:rPr>
      </w:pPr>
      <w:bookmarkStart w:id="12" w:name="_Toc95912210"/>
      <w:r w:rsidRPr="00515872">
        <w:rPr>
          <w:rFonts w:cs="Tahoma"/>
        </w:rPr>
        <w:t>2</w:t>
      </w:r>
      <w:r w:rsidR="00FB7ADA" w:rsidRPr="00515872">
        <w:rPr>
          <w:rFonts w:cs="Tahoma"/>
        </w:rPr>
        <w:t xml:space="preserve">.1.1 </w:t>
      </w:r>
      <w:r w:rsidR="00365A98" w:rsidRPr="00515872">
        <w:rPr>
          <w:rFonts w:cs="Tahoma"/>
        </w:rPr>
        <w:t>Istituzione dell’elenco</w:t>
      </w:r>
      <w:bookmarkEnd w:id="12"/>
    </w:p>
    <w:p w14:paraId="3FBC8109" w14:textId="77777777" w:rsidR="00363A66" w:rsidRPr="00515872" w:rsidRDefault="00363A66" w:rsidP="00363A66">
      <w:pPr>
        <w:spacing w:line="360" w:lineRule="auto"/>
        <w:jc w:val="both"/>
        <w:rPr>
          <w:rFonts w:cs="Tahoma"/>
          <w:bCs/>
        </w:rPr>
      </w:pPr>
      <w:r w:rsidRPr="00515872">
        <w:rPr>
          <w:rFonts w:cs="Tahoma"/>
          <w:bCs/>
        </w:rPr>
        <w:t xml:space="preserve">Al fine di consentire ai potenziali candidati l’inserimento nell’elenco dal quale poter essere sorteggiati, lo stesso </w:t>
      </w:r>
      <w:r w:rsidR="00C75BE7" w:rsidRPr="00515872">
        <w:rPr>
          <w:rFonts w:cs="Tahoma"/>
          <w:bCs/>
        </w:rPr>
        <w:t>c.</w:t>
      </w:r>
      <w:r w:rsidRPr="00515872">
        <w:rPr>
          <w:rFonts w:cs="Tahoma"/>
          <w:bCs/>
        </w:rPr>
        <w:t xml:space="preserve"> 25 dell’art. 16 prevede</w:t>
      </w:r>
      <w:r w:rsidR="00EC6070" w:rsidRPr="00515872">
        <w:rPr>
          <w:rFonts w:cs="Tahoma"/>
          <w:bCs/>
        </w:rPr>
        <w:t>va</w:t>
      </w:r>
      <w:r w:rsidRPr="00515872">
        <w:rPr>
          <w:rFonts w:cs="Tahoma"/>
          <w:bCs/>
        </w:rPr>
        <w:t xml:space="preserve"> l’emanazione di </w:t>
      </w:r>
      <w:r w:rsidR="002364CD" w:rsidRPr="00515872">
        <w:rPr>
          <w:rFonts w:cs="Tahoma"/>
          <w:bCs/>
        </w:rPr>
        <w:t xml:space="preserve">un </w:t>
      </w:r>
      <w:r w:rsidRPr="00515872">
        <w:rPr>
          <w:rFonts w:cs="Tahoma"/>
          <w:bCs/>
        </w:rPr>
        <w:t xml:space="preserve">apposito decreto </w:t>
      </w:r>
      <w:r w:rsidR="001D5221" w:rsidRPr="00515872">
        <w:rPr>
          <w:rFonts w:cs="Tahoma"/>
          <w:bCs/>
        </w:rPr>
        <w:t xml:space="preserve">di attuazione da </w:t>
      </w:r>
      <w:r w:rsidR="008D7B14" w:rsidRPr="00515872">
        <w:rPr>
          <w:rFonts w:cs="Tahoma"/>
          <w:bCs/>
        </w:rPr>
        <w:t>parte del Ministro dell’I</w:t>
      </w:r>
      <w:r w:rsidRPr="00515872">
        <w:rPr>
          <w:rFonts w:cs="Tahoma"/>
          <w:bCs/>
        </w:rPr>
        <w:t xml:space="preserve">nterno, da adottarsi entro 60 giorni dalla data di entrata in vigore della legge di conversione del </w:t>
      </w:r>
      <w:r w:rsidR="00415DCE" w:rsidRPr="00515872">
        <w:rPr>
          <w:rFonts w:cs="Tahoma"/>
          <w:bCs/>
        </w:rPr>
        <w:t>D.L.</w:t>
      </w:r>
      <w:r w:rsidRPr="00515872">
        <w:rPr>
          <w:rFonts w:cs="Tahoma"/>
          <w:bCs/>
        </w:rPr>
        <w:t xml:space="preserve"> </w:t>
      </w:r>
      <w:r w:rsidR="008D7B14" w:rsidRPr="00515872">
        <w:rPr>
          <w:rFonts w:cs="Tahoma"/>
          <w:bCs/>
        </w:rPr>
        <w:t xml:space="preserve">n. </w:t>
      </w:r>
      <w:r w:rsidRPr="00515872">
        <w:rPr>
          <w:rFonts w:cs="Tahoma"/>
          <w:bCs/>
        </w:rPr>
        <w:t>138/2011. Decreto che è stato emanato in data 15 febbraio 2012</w:t>
      </w:r>
      <w:r w:rsidR="002364CD" w:rsidRPr="00515872">
        <w:rPr>
          <w:rFonts w:cs="Tahoma"/>
          <w:bCs/>
        </w:rPr>
        <w:t xml:space="preserve"> e</w:t>
      </w:r>
      <w:r w:rsidRPr="00515872">
        <w:rPr>
          <w:rFonts w:cs="Tahoma"/>
          <w:bCs/>
        </w:rPr>
        <w:t xml:space="preserve"> pubblicato sulla G.U. n.</w:t>
      </w:r>
      <w:r w:rsidR="008D7B14" w:rsidRPr="00515872">
        <w:rPr>
          <w:rFonts w:cs="Tahoma"/>
          <w:bCs/>
        </w:rPr>
        <w:t xml:space="preserve"> </w:t>
      </w:r>
      <w:r w:rsidRPr="00515872">
        <w:rPr>
          <w:rFonts w:cs="Tahoma"/>
          <w:bCs/>
        </w:rPr>
        <w:t>67 del 20 marzo 2012</w:t>
      </w:r>
      <w:r w:rsidR="00EA4A4E" w:rsidRPr="00515872">
        <w:rPr>
          <w:rFonts w:cs="Tahoma"/>
          <w:bCs/>
        </w:rPr>
        <w:t xml:space="preserve"> con il numero 23</w:t>
      </w:r>
      <w:r w:rsidRPr="00515872">
        <w:rPr>
          <w:rFonts w:cs="Tahoma"/>
          <w:bCs/>
        </w:rPr>
        <w:t>. In base a</w:t>
      </w:r>
      <w:r w:rsidR="008D7B14" w:rsidRPr="00515872">
        <w:rPr>
          <w:rFonts w:cs="Tahoma"/>
          <w:bCs/>
        </w:rPr>
        <w:t>lle previsioni ivi contenute</w:t>
      </w:r>
      <w:r w:rsidRPr="00515872">
        <w:rPr>
          <w:rFonts w:cs="Tahoma"/>
          <w:bCs/>
        </w:rPr>
        <w:t>, l’elenco è istituito presso il Ministero dell’Interno – Dipartimento per gli Affari Interni e Territoriali e vi possono chiedere l’i</w:t>
      </w:r>
      <w:r w:rsidR="009D3E89" w:rsidRPr="00515872">
        <w:rPr>
          <w:rFonts w:cs="Tahoma"/>
          <w:bCs/>
        </w:rPr>
        <w:t>nserimento</w:t>
      </w:r>
      <w:r w:rsidR="005B106D" w:rsidRPr="00515872">
        <w:rPr>
          <w:rFonts w:cs="Tahoma"/>
          <w:bCs/>
        </w:rPr>
        <w:t xml:space="preserve"> i soggetti iscritti nel registro dei r</w:t>
      </w:r>
      <w:r w:rsidRPr="00515872">
        <w:rPr>
          <w:rFonts w:cs="Tahoma"/>
          <w:bCs/>
        </w:rPr>
        <w:t>e</w:t>
      </w:r>
      <w:r w:rsidR="005B106D" w:rsidRPr="00515872">
        <w:rPr>
          <w:rFonts w:cs="Tahoma"/>
          <w:bCs/>
        </w:rPr>
        <w:t>visori l</w:t>
      </w:r>
      <w:r w:rsidRPr="00515872">
        <w:rPr>
          <w:rFonts w:cs="Tahoma"/>
          <w:bCs/>
        </w:rPr>
        <w:t xml:space="preserve">egali di cui al </w:t>
      </w:r>
      <w:proofErr w:type="spellStart"/>
      <w:r w:rsidR="00415DCE" w:rsidRPr="00515872">
        <w:rPr>
          <w:rFonts w:cs="Tahoma"/>
          <w:bCs/>
        </w:rPr>
        <w:t>D.Lgs.</w:t>
      </w:r>
      <w:proofErr w:type="spellEnd"/>
      <w:r w:rsidRPr="00515872">
        <w:rPr>
          <w:rFonts w:cs="Tahoma"/>
          <w:bCs/>
        </w:rPr>
        <w:t xml:space="preserve"> 27 gennaio 2010</w:t>
      </w:r>
      <w:r w:rsidR="009A0436" w:rsidRPr="00515872">
        <w:rPr>
          <w:rFonts w:cs="Tahoma"/>
          <w:bCs/>
        </w:rPr>
        <w:t>, n. 39</w:t>
      </w:r>
      <w:r w:rsidR="007401AA" w:rsidRPr="00515872">
        <w:rPr>
          <w:rFonts w:cs="Tahoma"/>
          <w:bCs/>
        </w:rPr>
        <w:t xml:space="preserve"> e gli iscritti all’ordine dei Dottori Commercialisti e degli E</w:t>
      </w:r>
      <w:r w:rsidR="005B106D" w:rsidRPr="00515872">
        <w:rPr>
          <w:rFonts w:cs="Tahoma"/>
          <w:bCs/>
        </w:rPr>
        <w:t xml:space="preserve">sperti </w:t>
      </w:r>
      <w:r w:rsidR="007401AA" w:rsidRPr="00515872">
        <w:rPr>
          <w:rFonts w:cs="Tahoma"/>
          <w:bCs/>
        </w:rPr>
        <w:t>C</w:t>
      </w:r>
      <w:r w:rsidRPr="00515872">
        <w:rPr>
          <w:rFonts w:cs="Tahoma"/>
          <w:bCs/>
        </w:rPr>
        <w:t>ontabili.</w:t>
      </w:r>
    </w:p>
    <w:p w14:paraId="3DAF119C" w14:textId="77777777" w:rsidR="00EB0C4C" w:rsidRPr="00515872" w:rsidRDefault="00EB0C4C" w:rsidP="00363A66">
      <w:pPr>
        <w:spacing w:line="360" w:lineRule="auto"/>
        <w:jc w:val="both"/>
        <w:rPr>
          <w:rFonts w:cs="Tahoma"/>
          <w:bCs/>
        </w:rPr>
      </w:pPr>
      <w:r w:rsidRPr="00515872">
        <w:rPr>
          <w:rFonts w:cs="Tahoma"/>
          <w:bCs/>
        </w:rPr>
        <w:t>L’inserimento nell’elenco avviene su base regionale, in relazione al</w:t>
      </w:r>
      <w:r w:rsidR="005B106D" w:rsidRPr="00515872">
        <w:rPr>
          <w:rFonts w:cs="Tahoma"/>
          <w:bCs/>
        </w:rPr>
        <w:t xml:space="preserve"> domicilio</w:t>
      </w:r>
      <w:r w:rsidRPr="00515872">
        <w:rPr>
          <w:rFonts w:cs="Tahoma"/>
          <w:bCs/>
        </w:rPr>
        <w:t xml:space="preserve"> del richiedente.</w:t>
      </w:r>
    </w:p>
    <w:p w14:paraId="00435143" w14:textId="77777777" w:rsidR="0045259C" w:rsidRPr="00515872" w:rsidRDefault="0045259C" w:rsidP="00176F9A">
      <w:pPr>
        <w:spacing w:after="0" w:line="360" w:lineRule="auto"/>
        <w:jc w:val="both"/>
        <w:rPr>
          <w:rFonts w:cs="Tahoma"/>
          <w:bCs/>
        </w:rPr>
      </w:pPr>
      <w:r w:rsidRPr="00515872">
        <w:rPr>
          <w:rFonts w:cs="Tahoma"/>
          <w:bCs/>
        </w:rPr>
        <w:lastRenderedPageBreak/>
        <w:t>Il sistema</w:t>
      </w:r>
      <w:r w:rsidR="00C53559" w:rsidRPr="00515872">
        <w:rPr>
          <w:rFonts w:cs="Tahoma"/>
          <w:bCs/>
        </w:rPr>
        <w:t xml:space="preserve"> di estrazione</w:t>
      </w:r>
      <w:r w:rsidRPr="00515872">
        <w:rPr>
          <w:rFonts w:cs="Tahoma"/>
          <w:bCs/>
        </w:rPr>
        <w:t xml:space="preserve"> prevede un inserimento graduale dei professionisti richiedenti, basato sull’esperienza maturata </w:t>
      </w:r>
      <w:r w:rsidR="00764A27" w:rsidRPr="00515872">
        <w:rPr>
          <w:rFonts w:cs="Tahoma"/>
          <w:bCs/>
        </w:rPr>
        <w:t xml:space="preserve">(in termini di </w:t>
      </w:r>
      <w:r w:rsidR="00C53559" w:rsidRPr="00515872">
        <w:rPr>
          <w:rFonts w:cs="Tahoma"/>
          <w:bCs/>
        </w:rPr>
        <w:t>an</w:t>
      </w:r>
      <w:r w:rsidR="005B106D" w:rsidRPr="00515872">
        <w:rPr>
          <w:rFonts w:cs="Tahoma"/>
          <w:bCs/>
        </w:rPr>
        <w:t>zianità</w:t>
      </w:r>
      <w:r w:rsidR="00C53559" w:rsidRPr="00515872">
        <w:rPr>
          <w:rFonts w:cs="Tahoma"/>
          <w:bCs/>
        </w:rPr>
        <w:t xml:space="preserve"> di </w:t>
      </w:r>
      <w:r w:rsidR="00764A27" w:rsidRPr="00515872">
        <w:rPr>
          <w:rFonts w:cs="Tahoma"/>
          <w:bCs/>
        </w:rPr>
        <w:t>iscrizione</w:t>
      </w:r>
      <w:r w:rsidR="001D07C5" w:rsidRPr="00515872">
        <w:rPr>
          <w:rFonts w:cs="Tahoma"/>
          <w:bCs/>
        </w:rPr>
        <w:t xml:space="preserve"> e numero di incarichi ricoperti</w:t>
      </w:r>
      <w:r w:rsidR="00764A27" w:rsidRPr="00515872">
        <w:rPr>
          <w:rFonts w:cs="Tahoma"/>
          <w:bCs/>
        </w:rPr>
        <w:t xml:space="preserve">) </w:t>
      </w:r>
      <w:r w:rsidRPr="00515872">
        <w:rPr>
          <w:rFonts w:cs="Tahoma"/>
          <w:bCs/>
        </w:rPr>
        <w:t>e progressivo per fasce di dimensione demografica degli enti.</w:t>
      </w:r>
      <w:r w:rsidR="003B32A0" w:rsidRPr="00515872">
        <w:rPr>
          <w:rFonts w:cs="Tahoma"/>
          <w:bCs/>
        </w:rPr>
        <w:t xml:space="preserve"> A tal fine sono individuate le seguenti fasce demografiche:</w:t>
      </w:r>
    </w:p>
    <w:p w14:paraId="319124AC" w14:textId="77777777" w:rsidR="003B32A0" w:rsidRPr="00515872" w:rsidRDefault="005B106D" w:rsidP="00942903">
      <w:pPr>
        <w:pStyle w:val="Paragrafoelenco"/>
        <w:numPr>
          <w:ilvl w:val="0"/>
          <w:numId w:val="3"/>
        </w:numPr>
        <w:spacing w:line="360" w:lineRule="auto"/>
        <w:jc w:val="both"/>
        <w:rPr>
          <w:rFonts w:cs="Tahoma"/>
          <w:bCs/>
        </w:rPr>
      </w:pPr>
      <w:r w:rsidRPr="00515872">
        <w:rPr>
          <w:rFonts w:cs="Tahoma"/>
          <w:bCs/>
        </w:rPr>
        <w:t>f</w:t>
      </w:r>
      <w:r w:rsidR="001D07C5" w:rsidRPr="00515872">
        <w:rPr>
          <w:rFonts w:cs="Tahoma"/>
          <w:bCs/>
        </w:rPr>
        <w:t>ascia 1: c</w:t>
      </w:r>
      <w:r w:rsidR="003B32A0" w:rsidRPr="00515872">
        <w:rPr>
          <w:rFonts w:cs="Tahoma"/>
          <w:bCs/>
        </w:rPr>
        <w:t>omuni con popolazione fino a 4.999 abitanti;</w:t>
      </w:r>
    </w:p>
    <w:p w14:paraId="2838B035" w14:textId="77777777" w:rsidR="003B32A0" w:rsidRPr="00515872" w:rsidRDefault="005B106D" w:rsidP="00942903">
      <w:pPr>
        <w:pStyle w:val="Paragrafoelenco"/>
        <w:numPr>
          <w:ilvl w:val="0"/>
          <w:numId w:val="3"/>
        </w:numPr>
        <w:spacing w:line="360" w:lineRule="auto"/>
        <w:jc w:val="both"/>
        <w:rPr>
          <w:rFonts w:cs="Tahoma"/>
          <w:bCs/>
        </w:rPr>
      </w:pPr>
      <w:r w:rsidRPr="00515872">
        <w:rPr>
          <w:rFonts w:cs="Tahoma"/>
          <w:bCs/>
        </w:rPr>
        <w:t>f</w:t>
      </w:r>
      <w:r w:rsidR="001D07C5" w:rsidRPr="00515872">
        <w:rPr>
          <w:rFonts w:cs="Tahoma"/>
          <w:bCs/>
        </w:rPr>
        <w:t>ascia 2: c</w:t>
      </w:r>
      <w:r w:rsidR="003B32A0" w:rsidRPr="00515872">
        <w:rPr>
          <w:rFonts w:cs="Tahoma"/>
          <w:bCs/>
        </w:rPr>
        <w:t xml:space="preserve">omuni con popolazione compresa fra 5.000 e 14.999 abitanti, </w:t>
      </w:r>
      <w:r w:rsidR="001D07C5" w:rsidRPr="00515872">
        <w:rPr>
          <w:rFonts w:cs="Tahoma"/>
          <w:bCs/>
        </w:rPr>
        <w:t>u</w:t>
      </w:r>
      <w:r w:rsidR="003B32A0" w:rsidRPr="00515872">
        <w:rPr>
          <w:rFonts w:cs="Tahoma"/>
          <w:bCs/>
        </w:rPr>
        <w:t xml:space="preserve">nioni di </w:t>
      </w:r>
      <w:r w:rsidR="001D07C5" w:rsidRPr="00515872">
        <w:rPr>
          <w:rFonts w:cs="Tahoma"/>
          <w:bCs/>
        </w:rPr>
        <w:t>comuni e c</w:t>
      </w:r>
      <w:r w:rsidR="003B32A0" w:rsidRPr="00515872">
        <w:rPr>
          <w:rFonts w:cs="Tahoma"/>
          <w:bCs/>
        </w:rPr>
        <w:t>omunità montane;</w:t>
      </w:r>
    </w:p>
    <w:p w14:paraId="21CC9B53" w14:textId="77777777" w:rsidR="003B32A0" w:rsidRPr="00515872" w:rsidRDefault="005B106D" w:rsidP="00942903">
      <w:pPr>
        <w:pStyle w:val="Paragrafoelenco"/>
        <w:numPr>
          <w:ilvl w:val="0"/>
          <w:numId w:val="3"/>
        </w:numPr>
        <w:spacing w:line="360" w:lineRule="auto"/>
        <w:jc w:val="both"/>
        <w:rPr>
          <w:rFonts w:cs="Tahoma"/>
          <w:bCs/>
        </w:rPr>
      </w:pPr>
      <w:r w:rsidRPr="00515872">
        <w:rPr>
          <w:rFonts w:cs="Tahoma"/>
          <w:bCs/>
        </w:rPr>
        <w:t>f</w:t>
      </w:r>
      <w:r w:rsidR="001D07C5" w:rsidRPr="00515872">
        <w:rPr>
          <w:rFonts w:cs="Tahoma"/>
          <w:bCs/>
        </w:rPr>
        <w:t>ascia 3: c</w:t>
      </w:r>
      <w:r w:rsidR="003B32A0" w:rsidRPr="00515872">
        <w:rPr>
          <w:rFonts w:cs="Tahoma"/>
          <w:bCs/>
        </w:rPr>
        <w:t xml:space="preserve">omuni con popolazione pari o superiore a 15.000 abitanti e </w:t>
      </w:r>
      <w:r w:rsidR="001D07C5" w:rsidRPr="00515872">
        <w:rPr>
          <w:rFonts w:cs="Tahoma"/>
          <w:bCs/>
        </w:rPr>
        <w:t>p</w:t>
      </w:r>
      <w:r w:rsidR="003B32A0" w:rsidRPr="00515872">
        <w:rPr>
          <w:rFonts w:cs="Tahoma"/>
          <w:bCs/>
        </w:rPr>
        <w:t>rovince.</w:t>
      </w:r>
    </w:p>
    <w:p w14:paraId="416F903A" w14:textId="77777777" w:rsidR="0041062E" w:rsidRPr="00515872" w:rsidRDefault="005A2B84" w:rsidP="00363A66">
      <w:pPr>
        <w:spacing w:line="360" w:lineRule="auto"/>
        <w:jc w:val="both"/>
        <w:rPr>
          <w:rFonts w:cs="Tahoma"/>
          <w:bCs/>
        </w:rPr>
      </w:pPr>
      <w:r w:rsidRPr="00515872">
        <w:rPr>
          <w:rFonts w:cs="Tahoma"/>
          <w:bCs/>
        </w:rPr>
        <w:t xml:space="preserve">I requisiti di accesso alle varie fasce </w:t>
      </w:r>
      <w:r w:rsidR="0041062E" w:rsidRPr="00515872">
        <w:rPr>
          <w:rFonts w:cs="Tahoma"/>
          <w:bCs/>
        </w:rPr>
        <w:t>differisc</w:t>
      </w:r>
      <w:r w:rsidRPr="00515872">
        <w:rPr>
          <w:rFonts w:cs="Tahoma"/>
          <w:bCs/>
        </w:rPr>
        <w:t>ono</w:t>
      </w:r>
      <w:r w:rsidR="0041062E" w:rsidRPr="00515872">
        <w:rPr>
          <w:rFonts w:cs="Tahoma"/>
          <w:bCs/>
        </w:rPr>
        <w:t xml:space="preserve"> fra quanto </w:t>
      </w:r>
      <w:r w:rsidRPr="00515872">
        <w:rPr>
          <w:rFonts w:cs="Tahoma"/>
          <w:bCs/>
        </w:rPr>
        <w:t>previsto</w:t>
      </w:r>
      <w:r w:rsidR="0041062E" w:rsidRPr="00515872">
        <w:rPr>
          <w:rFonts w:cs="Tahoma"/>
          <w:bCs/>
        </w:rPr>
        <w:t xml:space="preserve"> in sede di prima formazione dell’elenco </w:t>
      </w:r>
      <w:r w:rsidRPr="00515872">
        <w:rPr>
          <w:rFonts w:cs="Tahoma"/>
          <w:bCs/>
        </w:rPr>
        <w:t>e la norma a regime</w:t>
      </w:r>
      <w:r w:rsidR="0041062E" w:rsidRPr="00515872">
        <w:rPr>
          <w:rFonts w:cs="Tahoma"/>
          <w:bCs/>
        </w:rPr>
        <w:t xml:space="preserve">; </w:t>
      </w:r>
      <w:r w:rsidR="00336BE2" w:rsidRPr="00515872">
        <w:rPr>
          <w:rFonts w:cs="Tahoma"/>
          <w:bCs/>
        </w:rPr>
        <w:t xml:space="preserve">si riassumono i requisiti necessari per </w:t>
      </w:r>
      <w:r w:rsidR="0041062E" w:rsidRPr="00515872">
        <w:rPr>
          <w:rFonts w:cs="Tahoma"/>
          <w:bCs/>
        </w:rPr>
        <w:t xml:space="preserve">poter richiedere </w:t>
      </w:r>
      <w:r w:rsidR="00336BE2" w:rsidRPr="00515872">
        <w:rPr>
          <w:rFonts w:cs="Tahoma"/>
          <w:bCs/>
        </w:rPr>
        <w:t xml:space="preserve">o mantenere </w:t>
      </w:r>
      <w:r w:rsidR="0041062E" w:rsidRPr="00515872">
        <w:rPr>
          <w:rFonts w:cs="Tahoma"/>
          <w:bCs/>
        </w:rPr>
        <w:t xml:space="preserve">l’iscrizione </w:t>
      </w:r>
      <w:r w:rsidR="00336BE2" w:rsidRPr="00515872">
        <w:rPr>
          <w:rFonts w:cs="Tahoma"/>
          <w:bCs/>
        </w:rPr>
        <w:t>n</w:t>
      </w:r>
      <w:r w:rsidR="0041062E" w:rsidRPr="00515872">
        <w:rPr>
          <w:rFonts w:cs="Tahoma"/>
          <w:bCs/>
        </w:rPr>
        <w:t>ell’elenco:</w:t>
      </w:r>
    </w:p>
    <w:tbl>
      <w:tblPr>
        <w:tblStyle w:val="Grigliatabella"/>
        <w:tblW w:w="0" w:type="auto"/>
        <w:jc w:val="center"/>
        <w:tblLook w:val="04A0" w:firstRow="1" w:lastRow="0" w:firstColumn="1" w:lastColumn="0" w:noHBand="0" w:noVBand="1"/>
      </w:tblPr>
      <w:tblGrid>
        <w:gridCol w:w="937"/>
        <w:gridCol w:w="4462"/>
        <w:gridCol w:w="4229"/>
      </w:tblGrid>
      <w:tr w:rsidR="005B106D" w:rsidRPr="00515872" w14:paraId="5A3BF9E4" w14:textId="77777777" w:rsidTr="00515872">
        <w:trPr>
          <w:jc w:val="center"/>
        </w:trPr>
        <w:tc>
          <w:tcPr>
            <w:tcW w:w="944" w:type="dxa"/>
            <w:shd w:val="clear" w:color="auto" w:fill="DBE5F1" w:themeFill="accent1" w:themeFillTint="33"/>
          </w:tcPr>
          <w:p w14:paraId="6FFCC913" w14:textId="77777777" w:rsidR="005B106D" w:rsidRPr="00515872" w:rsidRDefault="005B106D" w:rsidP="0066155A">
            <w:pPr>
              <w:spacing w:after="0" w:line="360" w:lineRule="auto"/>
              <w:jc w:val="center"/>
              <w:rPr>
                <w:rFonts w:cs="Tahoma"/>
                <w:b/>
                <w:bCs/>
                <w:sz w:val="18"/>
              </w:rPr>
            </w:pPr>
            <w:r w:rsidRPr="00515872">
              <w:rPr>
                <w:rFonts w:cs="Tahoma"/>
                <w:b/>
                <w:bCs/>
                <w:sz w:val="18"/>
              </w:rPr>
              <w:t>Fascia</w:t>
            </w:r>
          </w:p>
        </w:tc>
        <w:tc>
          <w:tcPr>
            <w:tcW w:w="4579" w:type="dxa"/>
            <w:shd w:val="clear" w:color="auto" w:fill="DBE5F1" w:themeFill="accent1" w:themeFillTint="33"/>
          </w:tcPr>
          <w:p w14:paraId="4FBACD18" w14:textId="77777777" w:rsidR="005B106D" w:rsidRPr="00515872" w:rsidRDefault="005B106D" w:rsidP="0066155A">
            <w:pPr>
              <w:spacing w:after="0" w:line="360" w:lineRule="auto"/>
              <w:jc w:val="center"/>
              <w:rPr>
                <w:rFonts w:cs="Tahoma"/>
                <w:b/>
                <w:bCs/>
                <w:sz w:val="18"/>
              </w:rPr>
            </w:pPr>
            <w:r w:rsidRPr="00515872">
              <w:rPr>
                <w:rFonts w:cs="Tahoma"/>
                <w:b/>
                <w:bCs/>
                <w:sz w:val="18"/>
              </w:rPr>
              <w:t>Requisiti in fase di prima applicazione</w:t>
            </w:r>
          </w:p>
        </w:tc>
        <w:tc>
          <w:tcPr>
            <w:tcW w:w="4331" w:type="dxa"/>
            <w:shd w:val="clear" w:color="auto" w:fill="DBE5F1" w:themeFill="accent1" w:themeFillTint="33"/>
          </w:tcPr>
          <w:p w14:paraId="4C5B00D6" w14:textId="77777777" w:rsidR="005B106D" w:rsidRPr="00515872" w:rsidRDefault="005B106D" w:rsidP="0066155A">
            <w:pPr>
              <w:spacing w:after="0" w:line="360" w:lineRule="auto"/>
              <w:jc w:val="center"/>
              <w:rPr>
                <w:rFonts w:cs="Tahoma"/>
                <w:b/>
                <w:bCs/>
                <w:sz w:val="18"/>
              </w:rPr>
            </w:pPr>
            <w:r w:rsidRPr="00515872">
              <w:rPr>
                <w:rFonts w:cs="Tahoma"/>
                <w:b/>
                <w:bCs/>
                <w:sz w:val="18"/>
              </w:rPr>
              <w:t>Requisiti a regime</w:t>
            </w:r>
          </w:p>
        </w:tc>
      </w:tr>
      <w:tr w:rsidR="005B106D" w:rsidRPr="00515872" w14:paraId="66BF7FF0" w14:textId="77777777" w:rsidTr="009063EA">
        <w:trPr>
          <w:jc w:val="center"/>
        </w:trPr>
        <w:tc>
          <w:tcPr>
            <w:tcW w:w="944" w:type="dxa"/>
          </w:tcPr>
          <w:p w14:paraId="49EE8C19" w14:textId="77777777" w:rsidR="005B106D" w:rsidRPr="00515872" w:rsidRDefault="005B106D" w:rsidP="0066155A">
            <w:pPr>
              <w:spacing w:after="0" w:line="360" w:lineRule="auto"/>
              <w:rPr>
                <w:rFonts w:cs="Tahoma"/>
                <w:bCs/>
                <w:sz w:val="18"/>
              </w:rPr>
            </w:pPr>
            <w:r w:rsidRPr="00515872">
              <w:rPr>
                <w:rFonts w:cs="Tahoma"/>
                <w:bCs/>
                <w:sz w:val="18"/>
              </w:rPr>
              <w:t>Fascia 1</w:t>
            </w:r>
          </w:p>
        </w:tc>
        <w:tc>
          <w:tcPr>
            <w:tcW w:w="4579" w:type="dxa"/>
          </w:tcPr>
          <w:p w14:paraId="5F8186FA" w14:textId="77777777" w:rsidR="00495B2B" w:rsidRPr="00515872" w:rsidRDefault="00495B2B" w:rsidP="0066155A">
            <w:pPr>
              <w:pStyle w:val="Paragrafoelenco"/>
              <w:numPr>
                <w:ilvl w:val="0"/>
                <w:numId w:val="163"/>
              </w:numPr>
              <w:spacing w:after="0" w:line="360" w:lineRule="auto"/>
              <w:rPr>
                <w:rFonts w:cs="Tahoma"/>
                <w:bCs/>
                <w:sz w:val="18"/>
              </w:rPr>
            </w:pPr>
            <w:r w:rsidRPr="00515872">
              <w:rPr>
                <w:rFonts w:cs="Tahoma"/>
                <w:bCs/>
                <w:sz w:val="18"/>
              </w:rPr>
              <w:t>i</w:t>
            </w:r>
            <w:r w:rsidR="005B106D" w:rsidRPr="00515872">
              <w:rPr>
                <w:rFonts w:cs="Tahoma"/>
                <w:bCs/>
                <w:sz w:val="18"/>
              </w:rPr>
              <w:t>scrizione da almeno 2 anni nel registro dei revisori legali o all’ordine dei dottori commercialisti e degli esperti contabili;</w:t>
            </w:r>
          </w:p>
          <w:p w14:paraId="0724143E" w14:textId="77777777" w:rsidR="00495B2B" w:rsidRPr="00515872" w:rsidRDefault="005B106D" w:rsidP="0066155A">
            <w:pPr>
              <w:pStyle w:val="Paragrafoelenco"/>
              <w:numPr>
                <w:ilvl w:val="0"/>
                <w:numId w:val="163"/>
              </w:numPr>
              <w:spacing w:after="0" w:line="360" w:lineRule="auto"/>
              <w:rPr>
                <w:rFonts w:cs="Tahoma"/>
                <w:bCs/>
                <w:sz w:val="18"/>
              </w:rPr>
            </w:pPr>
            <w:r w:rsidRPr="00515872">
              <w:rPr>
                <w:rFonts w:cs="Tahoma"/>
                <w:bCs/>
                <w:sz w:val="18"/>
              </w:rPr>
              <w:t>aver fatto richiesta, entro la data di entrata in vigore del D.M., di svolgere la funzione di organo di revisione di ente locale</w:t>
            </w:r>
            <w:r w:rsidR="00495B2B" w:rsidRPr="00515872">
              <w:rPr>
                <w:rFonts w:cs="Tahoma"/>
                <w:bCs/>
                <w:sz w:val="18"/>
              </w:rPr>
              <w:t>;</w:t>
            </w:r>
          </w:p>
          <w:p w14:paraId="0E2945D3" w14:textId="77777777" w:rsidR="005B106D" w:rsidRPr="00515872" w:rsidRDefault="005B106D" w:rsidP="0066155A">
            <w:pPr>
              <w:pStyle w:val="Paragrafoelenco"/>
              <w:numPr>
                <w:ilvl w:val="0"/>
                <w:numId w:val="163"/>
              </w:numPr>
              <w:spacing w:after="0" w:line="360" w:lineRule="auto"/>
              <w:rPr>
                <w:rFonts w:cs="Tahoma"/>
                <w:bCs/>
                <w:sz w:val="18"/>
              </w:rPr>
            </w:pPr>
            <w:r w:rsidRPr="00515872">
              <w:rPr>
                <w:rFonts w:cs="Tahoma"/>
                <w:bCs/>
                <w:sz w:val="18"/>
              </w:rPr>
              <w:t>conseguimento, nel triennio 2009-2011, di almeno 15 crediti formativi riconosciuti dai competenti ordini professionali o associazioni rappresentative degli stessi per aver partecipato a corsi e/o seminari formativi sulla contabilità pubblica e gestione economico-finanziaria degli enti territoriali.</w:t>
            </w:r>
          </w:p>
        </w:tc>
        <w:tc>
          <w:tcPr>
            <w:tcW w:w="4331" w:type="dxa"/>
          </w:tcPr>
          <w:p w14:paraId="60686513" w14:textId="77777777" w:rsidR="00495B2B" w:rsidRPr="00515872" w:rsidRDefault="005B106D" w:rsidP="0066155A">
            <w:pPr>
              <w:pStyle w:val="Paragrafoelenco"/>
              <w:numPr>
                <w:ilvl w:val="0"/>
                <w:numId w:val="163"/>
              </w:numPr>
              <w:spacing w:after="0" w:line="360" w:lineRule="auto"/>
              <w:rPr>
                <w:rFonts w:cs="Tahoma"/>
                <w:bCs/>
                <w:sz w:val="18"/>
              </w:rPr>
            </w:pPr>
            <w:r w:rsidRPr="00515872">
              <w:rPr>
                <w:rFonts w:cs="Tahoma"/>
                <w:bCs/>
                <w:sz w:val="18"/>
              </w:rPr>
              <w:t>iscrizione da almeno 2 anni nel registro dei revisori legali o all’ordine dei dottori commercialisti e degli esperti contabili;</w:t>
            </w:r>
          </w:p>
          <w:p w14:paraId="1FFA774D" w14:textId="77777777" w:rsidR="005B106D" w:rsidRPr="00515872" w:rsidRDefault="005B106D" w:rsidP="0066155A">
            <w:pPr>
              <w:pStyle w:val="Paragrafoelenco"/>
              <w:numPr>
                <w:ilvl w:val="0"/>
                <w:numId w:val="163"/>
              </w:numPr>
              <w:spacing w:after="0" w:line="360" w:lineRule="auto"/>
              <w:rPr>
                <w:rFonts w:cs="Tahoma"/>
                <w:bCs/>
                <w:sz w:val="18"/>
              </w:rPr>
            </w:pPr>
            <w:r w:rsidRPr="00515872">
              <w:rPr>
                <w:rFonts w:cs="Tahoma"/>
                <w:bCs/>
                <w:sz w:val="18"/>
              </w:rPr>
              <w:t>conseguimento, nel periodo 1° gennaio - 30 novembre dell’anno precedente, di almeno 10 crediti formativi per aver partecipato a corsi e/o seminari formativi sulla contabilità pubblica e gestione economico-finanziaria degli enti territoriali con programmi di approfondimento e relativi test di verifica preventivamente condivisi con il Ministero dell’Interno.</w:t>
            </w:r>
          </w:p>
        </w:tc>
      </w:tr>
      <w:tr w:rsidR="005B106D" w:rsidRPr="00515872" w14:paraId="6B5E3066" w14:textId="77777777" w:rsidTr="009063EA">
        <w:trPr>
          <w:jc w:val="center"/>
        </w:trPr>
        <w:tc>
          <w:tcPr>
            <w:tcW w:w="944" w:type="dxa"/>
          </w:tcPr>
          <w:p w14:paraId="5B9C1884" w14:textId="77777777" w:rsidR="005B106D" w:rsidRPr="00515872" w:rsidRDefault="005B106D" w:rsidP="0066155A">
            <w:pPr>
              <w:spacing w:after="0" w:line="360" w:lineRule="auto"/>
              <w:rPr>
                <w:rFonts w:cs="Tahoma"/>
                <w:bCs/>
                <w:sz w:val="18"/>
              </w:rPr>
            </w:pPr>
            <w:r w:rsidRPr="00515872">
              <w:rPr>
                <w:rFonts w:cs="Tahoma"/>
                <w:bCs/>
                <w:sz w:val="18"/>
              </w:rPr>
              <w:t>Fascia 2</w:t>
            </w:r>
          </w:p>
        </w:tc>
        <w:tc>
          <w:tcPr>
            <w:tcW w:w="4579" w:type="dxa"/>
          </w:tcPr>
          <w:p w14:paraId="0E65633D" w14:textId="77777777" w:rsidR="00495B2B" w:rsidRPr="00515872" w:rsidRDefault="00495B2B" w:rsidP="0066155A">
            <w:pPr>
              <w:pStyle w:val="Paragrafoelenco"/>
              <w:numPr>
                <w:ilvl w:val="0"/>
                <w:numId w:val="164"/>
              </w:numPr>
              <w:spacing w:after="0" w:line="360" w:lineRule="auto"/>
              <w:rPr>
                <w:rFonts w:cs="Tahoma"/>
                <w:bCs/>
                <w:sz w:val="18"/>
              </w:rPr>
            </w:pPr>
            <w:r w:rsidRPr="00515872">
              <w:rPr>
                <w:rFonts w:cs="Tahoma"/>
                <w:bCs/>
                <w:sz w:val="18"/>
              </w:rPr>
              <w:t>i</w:t>
            </w:r>
            <w:r w:rsidR="005B106D" w:rsidRPr="00515872">
              <w:rPr>
                <w:rFonts w:cs="Tahoma"/>
                <w:bCs/>
                <w:sz w:val="18"/>
              </w:rPr>
              <w:t>scrizione da almeno 2 anni nel registro dei revisori legali o all’ordine dei dottori commercialisti e degli esperti contabili;</w:t>
            </w:r>
          </w:p>
          <w:p w14:paraId="629CC21F" w14:textId="77777777" w:rsidR="00495B2B" w:rsidRPr="00515872" w:rsidRDefault="005B106D" w:rsidP="0066155A">
            <w:pPr>
              <w:pStyle w:val="Paragrafoelenco"/>
              <w:numPr>
                <w:ilvl w:val="0"/>
                <w:numId w:val="164"/>
              </w:numPr>
              <w:spacing w:after="0" w:line="360" w:lineRule="auto"/>
              <w:rPr>
                <w:rFonts w:cs="Tahoma"/>
                <w:bCs/>
                <w:sz w:val="18"/>
              </w:rPr>
            </w:pPr>
            <w:r w:rsidRPr="00515872">
              <w:rPr>
                <w:rFonts w:cs="Tahoma"/>
                <w:bCs/>
                <w:sz w:val="18"/>
              </w:rPr>
              <w:t>aver svolto almeno un incarico di revisione dei conti presso un ente locale per la durata di 3 anni;</w:t>
            </w:r>
          </w:p>
          <w:p w14:paraId="32D00A7C" w14:textId="77777777" w:rsidR="005B106D" w:rsidRPr="00515872" w:rsidRDefault="005B106D" w:rsidP="0066155A">
            <w:pPr>
              <w:pStyle w:val="Paragrafoelenco"/>
              <w:numPr>
                <w:ilvl w:val="0"/>
                <w:numId w:val="164"/>
              </w:numPr>
              <w:spacing w:after="0" w:line="360" w:lineRule="auto"/>
              <w:rPr>
                <w:rFonts w:cs="Tahoma"/>
                <w:bCs/>
                <w:sz w:val="18"/>
              </w:rPr>
            </w:pPr>
            <w:r w:rsidRPr="00515872">
              <w:rPr>
                <w:rFonts w:cs="Tahoma"/>
                <w:bCs/>
                <w:sz w:val="18"/>
              </w:rPr>
              <w:t>conseguimento, nel triennio 2009-2011, di almeno 15 crediti formativi riconosciuti dai competenti ordini professionali o associazioni rappresentative degli stessi per aver partecipato a corsi e/o seminari formativi sulla contabilità pubblica e gestione economico-finanziaria degli enti territoriali.</w:t>
            </w:r>
          </w:p>
        </w:tc>
        <w:tc>
          <w:tcPr>
            <w:tcW w:w="4331" w:type="dxa"/>
          </w:tcPr>
          <w:p w14:paraId="722F0E1C" w14:textId="77777777" w:rsidR="00495B2B" w:rsidRPr="00515872" w:rsidRDefault="005B106D" w:rsidP="0066155A">
            <w:pPr>
              <w:pStyle w:val="Paragrafoelenco"/>
              <w:numPr>
                <w:ilvl w:val="0"/>
                <w:numId w:val="164"/>
              </w:numPr>
              <w:spacing w:after="0" w:line="360" w:lineRule="auto"/>
              <w:rPr>
                <w:rFonts w:cs="Tahoma"/>
                <w:bCs/>
                <w:sz w:val="18"/>
              </w:rPr>
            </w:pPr>
            <w:r w:rsidRPr="00515872">
              <w:rPr>
                <w:rFonts w:cs="Tahoma"/>
                <w:bCs/>
                <w:sz w:val="18"/>
              </w:rPr>
              <w:t>iscrizione da almeno 5 anni nel registro dei revisori legali o all’ordine dei dottori commercialisti e degli esperti contabili;</w:t>
            </w:r>
          </w:p>
          <w:p w14:paraId="123D4AED" w14:textId="77777777" w:rsidR="00495B2B" w:rsidRPr="00515872" w:rsidRDefault="005B106D" w:rsidP="0066155A">
            <w:pPr>
              <w:pStyle w:val="Paragrafoelenco"/>
              <w:numPr>
                <w:ilvl w:val="0"/>
                <w:numId w:val="164"/>
              </w:numPr>
              <w:spacing w:after="0" w:line="360" w:lineRule="auto"/>
              <w:rPr>
                <w:rFonts w:cs="Tahoma"/>
                <w:bCs/>
                <w:sz w:val="18"/>
              </w:rPr>
            </w:pPr>
            <w:r w:rsidRPr="00515872">
              <w:rPr>
                <w:rFonts w:cs="Tahoma"/>
                <w:bCs/>
                <w:sz w:val="18"/>
              </w:rPr>
              <w:t>aver svolto almeno un incarico di revisore dei conti presso un ente locale per la durata di 3 anni;</w:t>
            </w:r>
          </w:p>
          <w:p w14:paraId="54701839" w14:textId="77777777" w:rsidR="005B106D" w:rsidRPr="00515872" w:rsidRDefault="005B106D" w:rsidP="0066155A">
            <w:pPr>
              <w:pStyle w:val="Paragrafoelenco"/>
              <w:numPr>
                <w:ilvl w:val="0"/>
                <w:numId w:val="164"/>
              </w:numPr>
              <w:spacing w:after="0" w:line="360" w:lineRule="auto"/>
              <w:rPr>
                <w:rFonts w:cs="Tahoma"/>
                <w:bCs/>
                <w:sz w:val="18"/>
              </w:rPr>
            </w:pPr>
            <w:r w:rsidRPr="00515872">
              <w:rPr>
                <w:rFonts w:cs="Tahoma"/>
                <w:bCs/>
                <w:sz w:val="18"/>
              </w:rPr>
              <w:t>conseguimento, nel periodo 1° gennaio - 30 novembre dell’anno precedente, di almeno 10 crediti formativi per aver partecipato a corsi e/o seminari formativi sulla contabilità pubblica e gestione economico-finanziaria degli enti territoriali con programmi di approfondimento e relativi test di verifica preventivamente condivisi con il Ministero dell’Interno.</w:t>
            </w:r>
          </w:p>
        </w:tc>
      </w:tr>
      <w:tr w:rsidR="005B106D" w:rsidRPr="00515872" w14:paraId="7387C953" w14:textId="77777777" w:rsidTr="009063EA">
        <w:trPr>
          <w:jc w:val="center"/>
        </w:trPr>
        <w:tc>
          <w:tcPr>
            <w:tcW w:w="944" w:type="dxa"/>
          </w:tcPr>
          <w:p w14:paraId="1773B643" w14:textId="77777777" w:rsidR="005B106D" w:rsidRPr="00515872" w:rsidRDefault="005B106D" w:rsidP="0066155A">
            <w:pPr>
              <w:spacing w:after="0" w:line="360" w:lineRule="auto"/>
              <w:rPr>
                <w:rFonts w:cs="Tahoma"/>
                <w:bCs/>
                <w:sz w:val="18"/>
              </w:rPr>
            </w:pPr>
            <w:r w:rsidRPr="00515872">
              <w:rPr>
                <w:rFonts w:cs="Tahoma"/>
                <w:bCs/>
                <w:sz w:val="18"/>
              </w:rPr>
              <w:lastRenderedPageBreak/>
              <w:t>Fascia 3</w:t>
            </w:r>
          </w:p>
        </w:tc>
        <w:tc>
          <w:tcPr>
            <w:tcW w:w="4579" w:type="dxa"/>
          </w:tcPr>
          <w:p w14:paraId="4D23EFE5" w14:textId="77777777" w:rsidR="00495B2B"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iscrizione da almeno 10 anni nel registro dei revisori legali o all’ordine dei dottori commercialisti e degli esperti contabili;</w:t>
            </w:r>
          </w:p>
          <w:p w14:paraId="76B70FEF" w14:textId="77777777" w:rsidR="00495B2B"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aver svolto almeno 2 incarichi di revisione dei conti presso un ente locale per la durata di 3 anni;</w:t>
            </w:r>
          </w:p>
          <w:p w14:paraId="67EB4BAB" w14:textId="77777777" w:rsidR="005B106D"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conseguimento, nel triennio 2009-2011, di almeno 15 crediti formativi riconosciuti dai co</w:t>
            </w:r>
            <w:r w:rsidR="00404C7B" w:rsidRPr="00515872">
              <w:rPr>
                <w:rFonts w:cs="Tahoma"/>
                <w:bCs/>
                <w:sz w:val="18"/>
              </w:rPr>
              <w:t xml:space="preserve">mpetenti ordini professionali o </w:t>
            </w:r>
            <w:r w:rsidRPr="00515872">
              <w:rPr>
                <w:rFonts w:cs="Tahoma"/>
                <w:bCs/>
                <w:sz w:val="18"/>
              </w:rPr>
              <w:t>associazioni rappresentative degli stessi per aver partecipato a corsi e/o seminari formativi sulla contabilità pubblica e gestione economico-finanziaria degli enti territoriali.</w:t>
            </w:r>
          </w:p>
        </w:tc>
        <w:tc>
          <w:tcPr>
            <w:tcW w:w="4331" w:type="dxa"/>
          </w:tcPr>
          <w:p w14:paraId="48C2C519" w14:textId="77777777" w:rsidR="00495B2B"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iscrizione da almeno 10 anni nel registro dei revisori legali o all’ordine dei dottori commercialisti e degli esperti contabili;</w:t>
            </w:r>
          </w:p>
          <w:p w14:paraId="73103216" w14:textId="77777777" w:rsidR="00495B2B"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aver svolto almeno 2 incarichi di revisore dei conti presso un ente locale per la durata di 3 anni;</w:t>
            </w:r>
          </w:p>
          <w:p w14:paraId="4F5E664F" w14:textId="77777777" w:rsidR="005B106D" w:rsidRPr="00515872" w:rsidRDefault="005B106D" w:rsidP="0066155A">
            <w:pPr>
              <w:pStyle w:val="Paragrafoelenco"/>
              <w:numPr>
                <w:ilvl w:val="0"/>
                <w:numId w:val="165"/>
              </w:numPr>
              <w:spacing w:after="0" w:line="360" w:lineRule="auto"/>
              <w:rPr>
                <w:rFonts w:cs="Tahoma"/>
                <w:bCs/>
                <w:sz w:val="18"/>
              </w:rPr>
            </w:pPr>
            <w:r w:rsidRPr="00515872">
              <w:rPr>
                <w:rFonts w:cs="Tahoma"/>
                <w:bCs/>
                <w:sz w:val="18"/>
              </w:rPr>
              <w:t xml:space="preserve">conseguimento, nel periodo 1° gennaio - 30 novembre dell’anno precedente, di almeno 10 crediti formativi per aver partecipato a corsi e/o seminari formativi sulla contabilità pubblica e gestione economico-finanziaria degli enti territoriali con programmi di approfondimento e relativi </w:t>
            </w:r>
            <w:r w:rsidRPr="00515872">
              <w:rPr>
                <w:rFonts w:cs="Tahoma"/>
                <w:bCs/>
                <w:sz w:val="18"/>
                <w:szCs w:val="20"/>
              </w:rPr>
              <w:t>test di verifica preventivamente condivisi con il Ministero dell’Interno.</w:t>
            </w:r>
          </w:p>
        </w:tc>
      </w:tr>
    </w:tbl>
    <w:p w14:paraId="3B43732F" w14:textId="77777777" w:rsidR="00176F9A" w:rsidRPr="00515872" w:rsidRDefault="00176F9A" w:rsidP="0066155A">
      <w:pPr>
        <w:spacing w:after="0" w:line="240" w:lineRule="auto"/>
        <w:rPr>
          <w:rFonts w:cs="Tahoma"/>
          <w:b/>
          <w:bCs/>
          <w:i/>
          <w:color w:val="000000"/>
          <w:szCs w:val="24"/>
          <w:highlight w:val="yellow"/>
        </w:rPr>
      </w:pPr>
    </w:p>
    <w:p w14:paraId="25A699A2" w14:textId="77777777" w:rsidR="001672F9" w:rsidRPr="00515872" w:rsidRDefault="001672F9" w:rsidP="00176F9A">
      <w:pPr>
        <w:pStyle w:val="Sottoparagrafo"/>
        <w:rPr>
          <w:rFonts w:cs="Tahoma"/>
          <w:highlight w:val="yellow"/>
        </w:rPr>
      </w:pPr>
    </w:p>
    <w:p w14:paraId="0360A13D" w14:textId="77777777" w:rsidR="00365A98" w:rsidRPr="00515872" w:rsidRDefault="00365A98" w:rsidP="00176F9A">
      <w:pPr>
        <w:pStyle w:val="Sottoparagrafo"/>
        <w:rPr>
          <w:rFonts w:cs="Tahoma"/>
        </w:rPr>
      </w:pPr>
      <w:bookmarkStart w:id="13" w:name="_Toc95912211"/>
      <w:r w:rsidRPr="00515872">
        <w:rPr>
          <w:rFonts w:cs="Tahoma"/>
        </w:rPr>
        <w:t>2</w:t>
      </w:r>
      <w:r w:rsidR="00004752" w:rsidRPr="00515872">
        <w:rPr>
          <w:rFonts w:cs="Tahoma"/>
        </w:rPr>
        <w:t>.1.2</w:t>
      </w:r>
      <w:r w:rsidRPr="00515872">
        <w:rPr>
          <w:rFonts w:cs="Tahoma"/>
        </w:rPr>
        <w:t xml:space="preserve"> </w:t>
      </w:r>
      <w:r w:rsidR="00004752" w:rsidRPr="00515872">
        <w:rPr>
          <w:rFonts w:cs="Tahoma"/>
        </w:rPr>
        <w:t>Domanda di iscrizione e mantenimento n</w:t>
      </w:r>
      <w:r w:rsidRPr="00515872">
        <w:rPr>
          <w:rFonts w:cs="Tahoma"/>
        </w:rPr>
        <w:t>ell’elenco</w:t>
      </w:r>
      <w:bookmarkEnd w:id="13"/>
    </w:p>
    <w:p w14:paraId="2D165C48" w14:textId="77777777" w:rsidR="006D0C28" w:rsidRPr="00515872" w:rsidRDefault="00365A98" w:rsidP="00A12305">
      <w:pPr>
        <w:spacing w:line="360" w:lineRule="auto"/>
        <w:jc w:val="both"/>
        <w:rPr>
          <w:rFonts w:eastAsia="Times New Roman" w:cs="Tahoma"/>
          <w:szCs w:val="20"/>
          <w:lang w:eastAsia="it-IT"/>
        </w:rPr>
      </w:pPr>
      <w:r w:rsidRPr="00515872">
        <w:rPr>
          <w:rFonts w:eastAsia="Times New Roman" w:cs="Tahoma"/>
          <w:szCs w:val="20"/>
          <w:lang w:eastAsia="it-IT"/>
        </w:rPr>
        <w:t xml:space="preserve">Al fine di ottenere </w:t>
      </w:r>
      <w:r w:rsidR="00206355" w:rsidRPr="00515872">
        <w:rPr>
          <w:rFonts w:eastAsia="Times New Roman" w:cs="Tahoma"/>
          <w:szCs w:val="20"/>
          <w:lang w:eastAsia="it-IT"/>
        </w:rPr>
        <w:t>l’ammis</w:t>
      </w:r>
      <w:r w:rsidR="00495B2B" w:rsidRPr="00515872">
        <w:rPr>
          <w:rFonts w:eastAsia="Times New Roman" w:cs="Tahoma"/>
          <w:szCs w:val="20"/>
          <w:lang w:eastAsia="it-IT"/>
        </w:rPr>
        <w:t>sione all’elenco è prevista un’</w:t>
      </w:r>
      <w:r w:rsidR="00206355" w:rsidRPr="00515872">
        <w:rPr>
          <w:rFonts w:eastAsia="Times New Roman" w:cs="Tahoma"/>
          <w:szCs w:val="20"/>
          <w:lang w:eastAsia="it-IT"/>
        </w:rPr>
        <w:t xml:space="preserve">istanza da </w:t>
      </w:r>
      <w:r w:rsidR="00DD78FF" w:rsidRPr="00515872">
        <w:rPr>
          <w:rFonts w:eastAsia="Times New Roman" w:cs="Tahoma"/>
          <w:szCs w:val="20"/>
          <w:lang w:eastAsia="it-IT"/>
        </w:rPr>
        <w:t>presentare</w:t>
      </w:r>
      <w:r w:rsidR="00206355" w:rsidRPr="00515872">
        <w:rPr>
          <w:rFonts w:eastAsia="Times New Roman" w:cs="Tahoma"/>
          <w:szCs w:val="20"/>
          <w:lang w:eastAsia="it-IT"/>
        </w:rPr>
        <w:t xml:space="preserve"> </w:t>
      </w:r>
      <w:r w:rsidR="00DD78FF" w:rsidRPr="00515872">
        <w:rPr>
          <w:rFonts w:eastAsia="Times New Roman" w:cs="Tahoma"/>
          <w:szCs w:val="20"/>
          <w:lang w:eastAsia="it-IT"/>
        </w:rPr>
        <w:t xml:space="preserve">esclusivamente con modalità </w:t>
      </w:r>
      <w:r w:rsidR="00206355" w:rsidRPr="00515872">
        <w:rPr>
          <w:rFonts w:eastAsia="Times New Roman" w:cs="Tahoma"/>
          <w:szCs w:val="20"/>
          <w:lang w:eastAsia="it-IT"/>
        </w:rPr>
        <w:t>telematiche</w:t>
      </w:r>
      <w:r w:rsidR="00886695" w:rsidRPr="00515872">
        <w:rPr>
          <w:rFonts w:eastAsia="Times New Roman" w:cs="Tahoma"/>
          <w:szCs w:val="20"/>
          <w:lang w:eastAsia="it-IT"/>
        </w:rPr>
        <w:t xml:space="preserve"> tramite accesso alle pagine del sito in</w:t>
      </w:r>
      <w:r w:rsidR="00BC4D9E" w:rsidRPr="00515872">
        <w:rPr>
          <w:rFonts w:eastAsia="Times New Roman" w:cs="Tahoma"/>
          <w:szCs w:val="20"/>
          <w:lang w:eastAsia="it-IT"/>
        </w:rPr>
        <w:t xml:space="preserve">ternet a tal fine dedicate </w:t>
      </w:r>
      <w:r w:rsidR="006A0300" w:rsidRPr="00515872">
        <w:rPr>
          <w:rFonts w:eastAsia="Times New Roman" w:cs="Tahoma"/>
          <w:szCs w:val="20"/>
          <w:lang w:eastAsia="it-IT"/>
        </w:rPr>
        <w:t>con</w:t>
      </w:r>
      <w:r w:rsidR="00BC4D9E" w:rsidRPr="00515872">
        <w:rPr>
          <w:rFonts w:eastAsia="Times New Roman" w:cs="Tahoma"/>
          <w:szCs w:val="20"/>
          <w:lang w:eastAsia="it-IT"/>
        </w:rPr>
        <w:t xml:space="preserve"> </w:t>
      </w:r>
      <w:r w:rsidR="00886695" w:rsidRPr="00515872">
        <w:rPr>
          <w:rFonts w:eastAsia="Times New Roman" w:cs="Tahoma"/>
          <w:szCs w:val="20"/>
          <w:lang w:eastAsia="it-IT"/>
        </w:rPr>
        <w:t>compilazione e sottoscrizione, per firma digitale, di un apposito modello destinato a raccogliere gli elementi per comprovare il possesso dei requisiti previsti.</w:t>
      </w:r>
      <w:r w:rsidR="006D0C28" w:rsidRPr="00515872">
        <w:rPr>
          <w:rFonts w:eastAsia="Times New Roman" w:cs="Tahoma"/>
          <w:szCs w:val="20"/>
          <w:lang w:eastAsia="it-IT"/>
        </w:rPr>
        <w:t xml:space="preserve"> </w:t>
      </w:r>
      <w:r w:rsidR="006A0300" w:rsidRPr="00515872">
        <w:rPr>
          <w:rFonts w:eastAsia="Times New Roman" w:cs="Tahoma"/>
          <w:szCs w:val="20"/>
          <w:lang w:eastAsia="it-IT"/>
        </w:rPr>
        <w:t xml:space="preserve">Propedeuticamente, </w:t>
      </w:r>
      <w:r w:rsidR="006D0C28" w:rsidRPr="00515872">
        <w:rPr>
          <w:rFonts w:eastAsia="Times New Roman" w:cs="Tahoma"/>
          <w:szCs w:val="20"/>
          <w:lang w:eastAsia="it-IT"/>
        </w:rPr>
        <w:t>l’inter</w:t>
      </w:r>
      <w:r w:rsidR="00307138" w:rsidRPr="00515872">
        <w:rPr>
          <w:rFonts w:eastAsia="Times New Roman" w:cs="Tahoma"/>
          <w:szCs w:val="20"/>
          <w:lang w:eastAsia="it-IT"/>
        </w:rPr>
        <w:t xml:space="preserve">essato deve effettuare la </w:t>
      </w:r>
      <w:r w:rsidR="006D0C28" w:rsidRPr="00515872">
        <w:rPr>
          <w:rFonts w:eastAsia="Times New Roman" w:cs="Tahoma"/>
          <w:szCs w:val="20"/>
          <w:lang w:eastAsia="it-IT"/>
        </w:rPr>
        <w:t>registrazione per</w:t>
      </w:r>
      <w:r w:rsidR="00A54F66" w:rsidRPr="00515872">
        <w:rPr>
          <w:rFonts w:eastAsia="Times New Roman" w:cs="Tahoma"/>
          <w:szCs w:val="20"/>
          <w:lang w:eastAsia="it-IT"/>
        </w:rPr>
        <w:t xml:space="preserve"> </w:t>
      </w:r>
      <w:r w:rsidR="006D0C28" w:rsidRPr="00515872">
        <w:rPr>
          <w:rFonts w:eastAsia="Times New Roman" w:cs="Tahoma"/>
          <w:szCs w:val="20"/>
          <w:lang w:eastAsia="it-IT"/>
        </w:rPr>
        <w:t>otten</w:t>
      </w:r>
      <w:r w:rsidR="00A54F66" w:rsidRPr="00515872">
        <w:rPr>
          <w:rFonts w:eastAsia="Times New Roman" w:cs="Tahoma"/>
          <w:szCs w:val="20"/>
          <w:lang w:eastAsia="it-IT"/>
        </w:rPr>
        <w:t xml:space="preserve">ere </w:t>
      </w:r>
      <w:r w:rsidR="006D0C28" w:rsidRPr="00515872">
        <w:rPr>
          <w:rFonts w:eastAsia="Times New Roman" w:cs="Tahoma"/>
          <w:szCs w:val="20"/>
          <w:lang w:eastAsia="it-IT"/>
        </w:rPr>
        <w:t>le credenziali di autenticazione necessarie per poter accedere alla propria area riservata.</w:t>
      </w:r>
    </w:p>
    <w:p w14:paraId="4DDEF5B2" w14:textId="77777777" w:rsidR="00A12305" w:rsidRPr="00515872" w:rsidRDefault="006D0C28" w:rsidP="00A12305">
      <w:pPr>
        <w:spacing w:line="360" w:lineRule="auto"/>
        <w:jc w:val="both"/>
        <w:rPr>
          <w:rFonts w:eastAsia="Times New Roman" w:cs="Tahoma"/>
          <w:szCs w:val="20"/>
          <w:lang w:eastAsia="it-IT"/>
        </w:rPr>
      </w:pPr>
      <w:r w:rsidRPr="00515872">
        <w:rPr>
          <w:rFonts w:eastAsia="Times New Roman" w:cs="Tahoma"/>
          <w:szCs w:val="20"/>
          <w:lang w:eastAsia="it-IT"/>
        </w:rPr>
        <w:t>La</w:t>
      </w:r>
      <w:r w:rsidR="00CB2F21" w:rsidRPr="00515872">
        <w:rPr>
          <w:rFonts w:eastAsia="Times New Roman" w:cs="Tahoma"/>
          <w:szCs w:val="20"/>
          <w:lang w:eastAsia="it-IT"/>
        </w:rPr>
        <w:t xml:space="preserve"> richiesta doveva essere fatta, in fase di prima applicazione</w:t>
      </w:r>
      <w:r w:rsidR="007C7387" w:rsidRPr="00515872">
        <w:rPr>
          <w:rFonts w:eastAsia="Times New Roman" w:cs="Tahoma"/>
          <w:szCs w:val="20"/>
          <w:lang w:eastAsia="it-IT"/>
        </w:rPr>
        <w:t>, entro il 15 luglio 2012</w:t>
      </w:r>
      <w:r w:rsidR="00CB2F21" w:rsidRPr="00515872">
        <w:rPr>
          <w:rFonts w:eastAsia="Times New Roman" w:cs="Tahoma"/>
          <w:szCs w:val="20"/>
          <w:lang w:eastAsia="it-IT"/>
        </w:rPr>
        <w:t>.</w:t>
      </w:r>
      <w:r w:rsidR="001D0948" w:rsidRPr="00515872">
        <w:rPr>
          <w:rFonts w:eastAsia="Times New Roman" w:cs="Tahoma"/>
          <w:szCs w:val="20"/>
          <w:lang w:eastAsia="it-IT"/>
        </w:rPr>
        <w:t xml:space="preserve"> Dal primo elenco formato</w:t>
      </w:r>
      <w:r w:rsidR="006E1368" w:rsidRPr="00515872">
        <w:rPr>
          <w:rFonts w:eastAsia="Times New Roman" w:cs="Tahoma"/>
          <w:szCs w:val="20"/>
          <w:lang w:eastAsia="it-IT"/>
        </w:rPr>
        <w:t xml:space="preserve"> sono stati estratti i revisori nominati</w:t>
      </w:r>
      <w:r w:rsidR="00EC6070" w:rsidRPr="00515872">
        <w:rPr>
          <w:rFonts w:eastAsia="Times New Roman" w:cs="Tahoma"/>
          <w:szCs w:val="20"/>
          <w:lang w:eastAsia="it-IT"/>
        </w:rPr>
        <w:t xml:space="preserve"> a decorrere dal 10 dicembre 2012 (data di effettivo avvio della nuova procedura)</w:t>
      </w:r>
      <w:r w:rsidR="006E1368" w:rsidRPr="00515872">
        <w:rPr>
          <w:rFonts w:eastAsia="Times New Roman" w:cs="Tahoma"/>
          <w:szCs w:val="20"/>
          <w:lang w:eastAsia="it-IT"/>
        </w:rPr>
        <w:t xml:space="preserve"> fino al 28 febbraio 2013.</w:t>
      </w:r>
      <w:r w:rsidR="00D76010" w:rsidRPr="00515872">
        <w:rPr>
          <w:rFonts w:eastAsia="Times New Roman" w:cs="Tahoma"/>
          <w:szCs w:val="20"/>
          <w:lang w:eastAsia="it-IT"/>
        </w:rPr>
        <w:t xml:space="preserve"> Per </w:t>
      </w:r>
      <w:r w:rsidR="00A54F66" w:rsidRPr="00515872">
        <w:rPr>
          <w:rFonts w:eastAsia="Times New Roman" w:cs="Tahoma"/>
          <w:szCs w:val="20"/>
          <w:lang w:eastAsia="it-IT"/>
        </w:rPr>
        <w:t>le estrazioni comprese</w:t>
      </w:r>
      <w:r w:rsidR="00D76010" w:rsidRPr="00515872">
        <w:rPr>
          <w:rFonts w:eastAsia="Times New Roman" w:cs="Tahoma"/>
          <w:szCs w:val="20"/>
          <w:lang w:eastAsia="it-IT"/>
        </w:rPr>
        <w:t xml:space="preserve"> fra il 1° marzo 2013 e il 31 dicembre 2013 era necessario presentare apposita istanza di iscrizione o mantenimento nell’elenco, previ</w:t>
      </w:r>
      <w:r w:rsidR="001D0948" w:rsidRPr="00515872">
        <w:rPr>
          <w:rFonts w:eastAsia="Times New Roman" w:cs="Tahoma"/>
          <w:szCs w:val="20"/>
          <w:lang w:eastAsia="it-IT"/>
        </w:rPr>
        <w:t>a acquisizione</w:t>
      </w:r>
      <w:r w:rsidR="00D76010" w:rsidRPr="00515872">
        <w:rPr>
          <w:rFonts w:eastAsia="Times New Roman" w:cs="Tahoma"/>
          <w:szCs w:val="20"/>
          <w:lang w:eastAsia="it-IT"/>
        </w:rPr>
        <w:t>, entro il termine dei 21 gennaio 2013, dei requisiti di cui all’art.</w:t>
      </w:r>
      <w:r w:rsidR="00A54F66" w:rsidRPr="00515872">
        <w:rPr>
          <w:rFonts w:eastAsia="Times New Roman" w:cs="Tahoma"/>
          <w:szCs w:val="20"/>
          <w:lang w:eastAsia="it-IT"/>
        </w:rPr>
        <w:t xml:space="preserve"> </w:t>
      </w:r>
      <w:r w:rsidR="00D76010" w:rsidRPr="00515872">
        <w:rPr>
          <w:rFonts w:eastAsia="Times New Roman" w:cs="Tahoma"/>
          <w:szCs w:val="20"/>
          <w:lang w:eastAsia="it-IT"/>
        </w:rPr>
        <w:t>3 del D.M. n. 23/2012.</w:t>
      </w:r>
    </w:p>
    <w:p w14:paraId="7D8488B3" w14:textId="77777777" w:rsidR="00635989" w:rsidRPr="00515872" w:rsidRDefault="00322ECC" w:rsidP="00A12305">
      <w:pPr>
        <w:spacing w:line="360" w:lineRule="auto"/>
        <w:jc w:val="both"/>
        <w:rPr>
          <w:rFonts w:eastAsia="Times New Roman" w:cs="Tahoma"/>
          <w:szCs w:val="20"/>
          <w:lang w:eastAsia="it-IT"/>
        </w:rPr>
      </w:pPr>
      <w:r w:rsidRPr="00515872">
        <w:rPr>
          <w:rFonts w:eastAsia="Times New Roman" w:cs="Tahoma"/>
          <w:szCs w:val="20"/>
          <w:lang w:eastAsia="it-IT"/>
        </w:rPr>
        <w:t>L’elenco in parol</w:t>
      </w:r>
      <w:r w:rsidR="006E1368" w:rsidRPr="00515872">
        <w:rPr>
          <w:rFonts w:eastAsia="Times New Roman" w:cs="Tahoma"/>
          <w:szCs w:val="20"/>
          <w:lang w:eastAsia="it-IT"/>
        </w:rPr>
        <w:t>a</w:t>
      </w:r>
      <w:r w:rsidRPr="00515872">
        <w:rPr>
          <w:rFonts w:eastAsia="Times New Roman" w:cs="Tahoma"/>
          <w:szCs w:val="20"/>
          <w:lang w:eastAsia="it-IT"/>
        </w:rPr>
        <w:t xml:space="preserve"> è aggiornato annualmente</w:t>
      </w:r>
      <w:r w:rsidR="006E1368" w:rsidRPr="00515872">
        <w:rPr>
          <w:rFonts w:eastAsia="Times New Roman" w:cs="Tahoma"/>
          <w:szCs w:val="20"/>
          <w:lang w:eastAsia="it-IT"/>
        </w:rPr>
        <w:t>, a decorrere dal 1° gennaio 2014,</w:t>
      </w:r>
      <w:r w:rsidRPr="00515872">
        <w:rPr>
          <w:rFonts w:eastAsia="Times New Roman" w:cs="Tahoma"/>
          <w:szCs w:val="20"/>
          <w:lang w:eastAsia="it-IT"/>
        </w:rPr>
        <w:t xml:space="preserve"> al fine di inserire i </w:t>
      </w:r>
      <w:r w:rsidR="00EF2B4F" w:rsidRPr="00515872">
        <w:rPr>
          <w:rFonts w:eastAsia="Times New Roman" w:cs="Tahoma"/>
          <w:szCs w:val="20"/>
          <w:lang w:eastAsia="it-IT"/>
        </w:rPr>
        <w:t xml:space="preserve">nominativi dei </w:t>
      </w:r>
      <w:r w:rsidRPr="00515872">
        <w:rPr>
          <w:rFonts w:eastAsia="Times New Roman" w:cs="Tahoma"/>
          <w:szCs w:val="20"/>
          <w:lang w:eastAsia="it-IT"/>
        </w:rPr>
        <w:t>nuovi richiedenti e confermare i soggetti già iscritti</w:t>
      </w:r>
      <w:r w:rsidR="00A65CA3" w:rsidRPr="00515872">
        <w:rPr>
          <w:rFonts w:eastAsia="Times New Roman" w:cs="Tahoma"/>
          <w:szCs w:val="20"/>
          <w:lang w:eastAsia="it-IT"/>
        </w:rPr>
        <w:t xml:space="preserve"> che ne facciano richiesta</w:t>
      </w:r>
      <w:r w:rsidRPr="00515872">
        <w:rPr>
          <w:rFonts w:eastAsia="Times New Roman" w:cs="Tahoma"/>
          <w:szCs w:val="20"/>
          <w:lang w:eastAsia="it-IT"/>
        </w:rPr>
        <w:t xml:space="preserve">. </w:t>
      </w:r>
      <w:r w:rsidR="007C7387" w:rsidRPr="00515872">
        <w:rPr>
          <w:rFonts w:eastAsia="Times New Roman" w:cs="Tahoma"/>
          <w:szCs w:val="20"/>
          <w:lang w:eastAsia="it-IT"/>
        </w:rPr>
        <w:t>Per mantenere l’iscrizione</w:t>
      </w:r>
      <w:r w:rsidRPr="00515872">
        <w:rPr>
          <w:rFonts w:eastAsia="Times New Roman" w:cs="Tahoma"/>
          <w:szCs w:val="20"/>
          <w:lang w:eastAsia="it-IT"/>
        </w:rPr>
        <w:t xml:space="preserve"> l’interessato deve da</w:t>
      </w:r>
      <w:r w:rsidR="00C92C51" w:rsidRPr="00515872">
        <w:rPr>
          <w:rFonts w:eastAsia="Times New Roman" w:cs="Tahoma"/>
          <w:szCs w:val="20"/>
          <w:lang w:eastAsia="it-IT"/>
        </w:rPr>
        <w:t>re</w:t>
      </w:r>
      <w:r w:rsidR="00307138" w:rsidRPr="00515872">
        <w:rPr>
          <w:rFonts w:eastAsia="Times New Roman" w:cs="Tahoma"/>
          <w:szCs w:val="20"/>
          <w:lang w:eastAsia="it-IT"/>
        </w:rPr>
        <w:t xml:space="preserve"> annualmente conferma, con</w:t>
      </w:r>
      <w:r w:rsidRPr="00515872">
        <w:rPr>
          <w:rFonts w:eastAsia="Times New Roman" w:cs="Tahoma"/>
          <w:szCs w:val="20"/>
          <w:lang w:eastAsia="it-IT"/>
        </w:rPr>
        <w:t xml:space="preserve"> le stesse modalità telematiche, entro l</w:t>
      </w:r>
      <w:r w:rsidR="00436E08" w:rsidRPr="00515872">
        <w:rPr>
          <w:rFonts w:eastAsia="Times New Roman" w:cs="Tahoma"/>
          <w:szCs w:val="20"/>
          <w:lang w:eastAsia="it-IT"/>
        </w:rPr>
        <w:t>a data che v</w:t>
      </w:r>
      <w:r w:rsidR="00A65CA3" w:rsidRPr="00515872">
        <w:rPr>
          <w:rFonts w:eastAsia="Times New Roman" w:cs="Tahoma"/>
          <w:szCs w:val="20"/>
          <w:lang w:eastAsia="it-IT"/>
        </w:rPr>
        <w:t>iene</w:t>
      </w:r>
      <w:r w:rsidR="00436E08" w:rsidRPr="00515872">
        <w:rPr>
          <w:rFonts w:eastAsia="Times New Roman" w:cs="Tahoma"/>
          <w:szCs w:val="20"/>
          <w:lang w:eastAsia="it-IT"/>
        </w:rPr>
        <w:t xml:space="preserve"> fissata di anno in anno con </w:t>
      </w:r>
      <w:r w:rsidR="00635989" w:rsidRPr="00515872">
        <w:rPr>
          <w:rFonts w:eastAsia="Times New Roman" w:cs="Tahoma"/>
          <w:szCs w:val="20"/>
          <w:lang w:eastAsia="it-IT"/>
        </w:rPr>
        <w:t>a</w:t>
      </w:r>
      <w:r w:rsidR="00026EFF" w:rsidRPr="00515872">
        <w:rPr>
          <w:rFonts w:eastAsia="Times New Roman" w:cs="Tahoma"/>
          <w:szCs w:val="20"/>
          <w:lang w:eastAsia="it-IT"/>
        </w:rPr>
        <w:t>vviso del Ministero dell’</w:t>
      </w:r>
      <w:r w:rsidR="00436E08" w:rsidRPr="00515872">
        <w:rPr>
          <w:rFonts w:eastAsia="Times New Roman" w:cs="Tahoma"/>
          <w:szCs w:val="20"/>
          <w:lang w:eastAsia="it-IT"/>
        </w:rPr>
        <w:t>Interno,</w:t>
      </w:r>
      <w:r w:rsidRPr="00515872">
        <w:rPr>
          <w:rFonts w:eastAsia="Times New Roman" w:cs="Tahoma"/>
          <w:szCs w:val="20"/>
          <w:lang w:eastAsia="it-IT"/>
        </w:rPr>
        <w:t xml:space="preserve"> del proprio interesse e del mantenimento dei requisiti </w:t>
      </w:r>
      <w:r w:rsidR="001D0948" w:rsidRPr="00515872">
        <w:rPr>
          <w:rFonts w:eastAsia="Times New Roman" w:cs="Tahoma"/>
          <w:szCs w:val="20"/>
          <w:lang w:eastAsia="it-IT"/>
        </w:rPr>
        <w:t>soprammenzionati.</w:t>
      </w:r>
    </w:p>
    <w:p w14:paraId="607D2F77" w14:textId="77777777" w:rsidR="00635989" w:rsidRPr="00515872" w:rsidRDefault="007C7387" w:rsidP="00635989">
      <w:pPr>
        <w:spacing w:line="360" w:lineRule="auto"/>
        <w:jc w:val="both"/>
        <w:rPr>
          <w:rFonts w:eastAsia="Times New Roman" w:cs="Tahoma"/>
          <w:szCs w:val="20"/>
          <w:lang w:eastAsia="it-IT"/>
        </w:rPr>
      </w:pPr>
      <w:r w:rsidRPr="00515872">
        <w:rPr>
          <w:rFonts w:eastAsia="Times New Roman" w:cs="Tahoma"/>
          <w:szCs w:val="20"/>
          <w:lang w:eastAsia="it-IT"/>
        </w:rPr>
        <w:t xml:space="preserve">Il professionista </w:t>
      </w:r>
      <w:r w:rsidR="00635989" w:rsidRPr="00515872">
        <w:rPr>
          <w:rFonts w:eastAsia="Times New Roman" w:cs="Tahoma"/>
          <w:szCs w:val="20"/>
          <w:lang w:eastAsia="it-IT"/>
        </w:rPr>
        <w:t xml:space="preserve">può limitare l’ambito territoriale di proprio interesse, escludendo, nella domanda di inserimento o di mantenimento nell’elenco, una o più province, evitando in tal modo di partecipare ai sorteggi riguardanti </w:t>
      </w:r>
      <w:r w:rsidR="001D0948" w:rsidRPr="00515872">
        <w:rPr>
          <w:rFonts w:eastAsia="Times New Roman" w:cs="Tahoma"/>
          <w:szCs w:val="20"/>
          <w:lang w:eastAsia="it-IT"/>
        </w:rPr>
        <w:lastRenderedPageBreak/>
        <w:t>gl</w:t>
      </w:r>
      <w:r w:rsidR="00635989" w:rsidRPr="00515872">
        <w:rPr>
          <w:rFonts w:eastAsia="Times New Roman" w:cs="Tahoma"/>
          <w:szCs w:val="20"/>
          <w:lang w:eastAsia="it-IT"/>
        </w:rPr>
        <w:t xml:space="preserve">i </w:t>
      </w:r>
      <w:r w:rsidR="001D0948" w:rsidRPr="00515872">
        <w:rPr>
          <w:rFonts w:eastAsia="Times New Roman" w:cs="Tahoma"/>
          <w:szCs w:val="20"/>
          <w:lang w:eastAsia="it-IT"/>
        </w:rPr>
        <w:t>enti</w:t>
      </w:r>
      <w:r w:rsidR="00635989" w:rsidRPr="00515872">
        <w:rPr>
          <w:rFonts w:eastAsia="Times New Roman" w:cs="Tahoma"/>
          <w:szCs w:val="20"/>
          <w:lang w:eastAsia="it-IT"/>
        </w:rPr>
        <w:t xml:space="preserve"> ubicati nelle stesse. Non è possibile, invece, includere provincie situate al di fuori del</w:t>
      </w:r>
      <w:r w:rsidR="00EF2B4F" w:rsidRPr="00515872">
        <w:rPr>
          <w:rFonts w:eastAsia="Times New Roman" w:cs="Tahoma"/>
          <w:szCs w:val="20"/>
          <w:lang w:eastAsia="it-IT"/>
        </w:rPr>
        <w:t>le propria regione di appartenenza</w:t>
      </w:r>
      <w:r w:rsidR="00635989" w:rsidRPr="00515872">
        <w:rPr>
          <w:rFonts w:eastAsia="Times New Roman" w:cs="Tahoma"/>
          <w:szCs w:val="20"/>
          <w:lang w:eastAsia="it-IT"/>
        </w:rPr>
        <w:t>.</w:t>
      </w:r>
      <w:r w:rsidR="00F7748B" w:rsidRPr="00515872">
        <w:rPr>
          <w:rFonts w:eastAsia="Times New Roman" w:cs="Tahoma"/>
          <w:szCs w:val="20"/>
          <w:lang w:eastAsia="it-IT"/>
        </w:rPr>
        <w:t xml:space="preserve"> </w:t>
      </w:r>
    </w:p>
    <w:p w14:paraId="3D92CC8F" w14:textId="77777777" w:rsidR="00635989" w:rsidRPr="00515872" w:rsidRDefault="00635989" w:rsidP="00635989">
      <w:pPr>
        <w:spacing w:line="360" w:lineRule="auto"/>
        <w:jc w:val="both"/>
        <w:rPr>
          <w:rFonts w:eastAsia="Times New Roman" w:cs="Tahoma"/>
          <w:szCs w:val="20"/>
          <w:lang w:eastAsia="it-IT"/>
        </w:rPr>
      </w:pPr>
      <w:r w:rsidRPr="00515872">
        <w:rPr>
          <w:rFonts w:eastAsia="Times New Roman" w:cs="Tahoma"/>
          <w:szCs w:val="20"/>
          <w:lang w:eastAsia="it-IT"/>
        </w:rPr>
        <w:t xml:space="preserve">Vi è altresì la possibilità di escludere le fasce demografiche che non interessano, fermo restando il </w:t>
      </w:r>
      <w:r w:rsidR="001D0948" w:rsidRPr="00515872">
        <w:rPr>
          <w:rFonts w:eastAsia="Times New Roman" w:cs="Tahoma"/>
          <w:szCs w:val="20"/>
          <w:lang w:eastAsia="it-IT"/>
        </w:rPr>
        <w:t xml:space="preserve">necessario </w:t>
      </w:r>
      <w:r w:rsidRPr="00515872">
        <w:rPr>
          <w:rFonts w:eastAsia="Times New Roman" w:cs="Tahoma"/>
          <w:szCs w:val="20"/>
          <w:lang w:eastAsia="it-IT"/>
        </w:rPr>
        <w:t>possesso dei requisiti per quelle che vengono optate.</w:t>
      </w:r>
      <w:r w:rsidR="00F7748B" w:rsidRPr="00515872">
        <w:rPr>
          <w:rFonts w:eastAsia="Times New Roman" w:cs="Tahoma"/>
          <w:szCs w:val="20"/>
          <w:lang w:eastAsia="it-IT"/>
        </w:rPr>
        <w:t xml:space="preserve"> </w:t>
      </w:r>
    </w:p>
    <w:p w14:paraId="43BE6C1B" w14:textId="77777777" w:rsidR="00322ECC" w:rsidRPr="00515872" w:rsidRDefault="002B6A1D" w:rsidP="00A12305">
      <w:pPr>
        <w:spacing w:line="360" w:lineRule="auto"/>
        <w:jc w:val="both"/>
        <w:rPr>
          <w:rFonts w:eastAsia="Times New Roman" w:cs="Tahoma"/>
          <w:szCs w:val="20"/>
          <w:lang w:eastAsia="it-IT"/>
        </w:rPr>
      </w:pPr>
      <w:r w:rsidRPr="00515872">
        <w:rPr>
          <w:rFonts w:eastAsia="Times New Roman" w:cs="Tahoma"/>
          <w:szCs w:val="20"/>
          <w:lang w:eastAsia="it-IT"/>
        </w:rPr>
        <w:t>A</w:t>
      </w:r>
      <w:r w:rsidR="00635989" w:rsidRPr="00515872">
        <w:rPr>
          <w:rFonts w:eastAsia="Times New Roman" w:cs="Tahoma"/>
          <w:szCs w:val="20"/>
          <w:lang w:eastAsia="it-IT"/>
        </w:rPr>
        <w:t xml:space="preserve"> ogni istanza di mantenimento nell’elenco, il revisore ha facoltà di</w:t>
      </w:r>
      <w:r w:rsidR="00322ECC" w:rsidRPr="00515872">
        <w:rPr>
          <w:rFonts w:eastAsia="Times New Roman" w:cs="Tahoma"/>
          <w:szCs w:val="20"/>
          <w:lang w:eastAsia="it-IT"/>
        </w:rPr>
        <w:t xml:space="preserve"> mutare il proprio orientamento in tema di limitazione dell’ambito territoriale e d</w:t>
      </w:r>
      <w:r w:rsidR="00635989" w:rsidRPr="00515872">
        <w:rPr>
          <w:rFonts w:eastAsia="Times New Roman" w:cs="Tahoma"/>
          <w:szCs w:val="20"/>
          <w:lang w:eastAsia="it-IT"/>
        </w:rPr>
        <w:t>elle</w:t>
      </w:r>
      <w:r w:rsidR="00322ECC" w:rsidRPr="00515872">
        <w:rPr>
          <w:rFonts w:eastAsia="Times New Roman" w:cs="Tahoma"/>
          <w:szCs w:val="20"/>
          <w:lang w:eastAsia="it-IT"/>
        </w:rPr>
        <w:t xml:space="preserve"> fasce demografiche con valenza dalle estrazioni</w:t>
      </w:r>
      <w:r w:rsidR="00C92C51" w:rsidRPr="00515872">
        <w:rPr>
          <w:rFonts w:eastAsia="Times New Roman" w:cs="Tahoma"/>
          <w:szCs w:val="20"/>
          <w:lang w:eastAsia="it-IT"/>
        </w:rPr>
        <w:t xml:space="preserve"> </w:t>
      </w:r>
      <w:r w:rsidR="00635989" w:rsidRPr="00515872">
        <w:rPr>
          <w:rFonts w:eastAsia="Times New Roman" w:cs="Tahoma"/>
          <w:szCs w:val="20"/>
          <w:lang w:eastAsia="it-IT"/>
        </w:rPr>
        <w:t xml:space="preserve">da </w:t>
      </w:r>
      <w:r w:rsidR="00C92C51" w:rsidRPr="00515872">
        <w:rPr>
          <w:rFonts w:eastAsia="Times New Roman" w:cs="Tahoma"/>
          <w:szCs w:val="20"/>
          <w:lang w:eastAsia="it-IT"/>
        </w:rPr>
        <w:t>effettua</w:t>
      </w:r>
      <w:r w:rsidR="00635989" w:rsidRPr="00515872">
        <w:rPr>
          <w:rFonts w:eastAsia="Times New Roman" w:cs="Tahoma"/>
          <w:szCs w:val="20"/>
          <w:lang w:eastAsia="it-IT"/>
        </w:rPr>
        <w:t>r</w:t>
      </w:r>
      <w:r w:rsidR="00EF2B4F" w:rsidRPr="00515872">
        <w:rPr>
          <w:rFonts w:eastAsia="Times New Roman" w:cs="Tahoma"/>
          <w:szCs w:val="20"/>
          <w:lang w:eastAsia="it-IT"/>
        </w:rPr>
        <w:t xml:space="preserve">si a decorrere </w:t>
      </w:r>
      <w:r w:rsidR="00C92C51" w:rsidRPr="00515872">
        <w:rPr>
          <w:rFonts w:eastAsia="Times New Roman" w:cs="Tahoma"/>
          <w:szCs w:val="20"/>
          <w:lang w:eastAsia="it-IT"/>
        </w:rPr>
        <w:t>dalla data di entrata in vigore dell’elenco aggiornato</w:t>
      </w:r>
      <w:r w:rsidR="00A32EBE" w:rsidRPr="00515872">
        <w:rPr>
          <w:rFonts w:eastAsia="Times New Roman" w:cs="Tahoma"/>
          <w:szCs w:val="20"/>
          <w:lang w:eastAsia="it-IT"/>
        </w:rPr>
        <w:t>.</w:t>
      </w:r>
    </w:p>
    <w:p w14:paraId="7B461FB2" w14:textId="77777777" w:rsidR="00C32302" w:rsidRPr="00515872" w:rsidRDefault="00A65CA3" w:rsidP="00A12305">
      <w:pPr>
        <w:spacing w:line="360" w:lineRule="auto"/>
        <w:jc w:val="both"/>
        <w:rPr>
          <w:rFonts w:eastAsia="Times New Roman" w:cs="Tahoma"/>
          <w:szCs w:val="20"/>
          <w:lang w:eastAsia="it-IT"/>
        </w:rPr>
      </w:pPr>
      <w:r w:rsidRPr="00515872">
        <w:rPr>
          <w:rFonts w:eastAsia="Times New Roman" w:cs="Tahoma"/>
          <w:szCs w:val="20"/>
          <w:lang w:eastAsia="it-IT"/>
        </w:rPr>
        <w:t xml:space="preserve">L’elenco </w:t>
      </w:r>
      <w:r w:rsidR="006D0C28" w:rsidRPr="00515872">
        <w:rPr>
          <w:rFonts w:eastAsia="Times New Roman" w:cs="Tahoma"/>
          <w:szCs w:val="20"/>
          <w:lang w:eastAsia="it-IT"/>
        </w:rPr>
        <w:t xml:space="preserve">è liberamente consultabile </w:t>
      </w:r>
      <w:r w:rsidR="00A32EBE" w:rsidRPr="00515872">
        <w:rPr>
          <w:rFonts w:eastAsia="Times New Roman" w:cs="Tahoma"/>
          <w:szCs w:val="20"/>
          <w:lang w:eastAsia="it-IT"/>
        </w:rPr>
        <w:t>nella sezione “Finanza locale” del</w:t>
      </w:r>
      <w:r w:rsidR="006D0C28" w:rsidRPr="00515872">
        <w:rPr>
          <w:rFonts w:eastAsia="Times New Roman" w:cs="Tahoma"/>
          <w:szCs w:val="20"/>
          <w:lang w:eastAsia="it-IT"/>
        </w:rPr>
        <w:t xml:space="preserve"> sito</w:t>
      </w:r>
      <w:r w:rsidR="00A32EBE" w:rsidRPr="00515872">
        <w:rPr>
          <w:rFonts w:eastAsia="Times New Roman" w:cs="Tahoma"/>
          <w:szCs w:val="20"/>
          <w:lang w:eastAsia="it-IT"/>
        </w:rPr>
        <w:t xml:space="preserve"> internet del Ministero dell’Interno.</w:t>
      </w:r>
      <w:r w:rsidR="005F2161" w:rsidRPr="00515872">
        <w:rPr>
          <w:rFonts w:eastAsia="Times New Roman" w:cs="Tahoma"/>
          <w:szCs w:val="20"/>
          <w:lang w:eastAsia="it-IT"/>
        </w:rPr>
        <w:t xml:space="preserve"> </w:t>
      </w:r>
      <w:r w:rsidR="0046431B" w:rsidRPr="00515872">
        <w:rPr>
          <w:rFonts w:eastAsia="Times New Roman" w:cs="Tahoma"/>
          <w:szCs w:val="20"/>
          <w:lang w:eastAsia="it-IT"/>
        </w:rPr>
        <w:t>Nello stesso sito sono inoltre disponi</w:t>
      </w:r>
      <w:r w:rsidRPr="00515872">
        <w:rPr>
          <w:rFonts w:eastAsia="Times New Roman" w:cs="Tahoma"/>
          <w:szCs w:val="20"/>
          <w:lang w:eastAsia="it-IT"/>
        </w:rPr>
        <w:t xml:space="preserve">bili altre funzioni tra </w:t>
      </w:r>
      <w:r w:rsidR="00596037" w:rsidRPr="00515872">
        <w:rPr>
          <w:rFonts w:eastAsia="Times New Roman" w:cs="Tahoma"/>
          <w:szCs w:val="20"/>
          <w:lang w:eastAsia="it-IT"/>
        </w:rPr>
        <w:t xml:space="preserve">le quali </w:t>
      </w:r>
      <w:r w:rsidR="0046431B" w:rsidRPr="00515872">
        <w:rPr>
          <w:rFonts w:eastAsia="Times New Roman" w:cs="Tahoma"/>
          <w:szCs w:val="20"/>
          <w:lang w:eastAsia="it-IT"/>
        </w:rPr>
        <w:t>la v</w:t>
      </w:r>
      <w:r w:rsidRPr="00515872">
        <w:rPr>
          <w:rFonts w:eastAsia="Times New Roman" w:cs="Tahoma"/>
          <w:szCs w:val="20"/>
          <w:lang w:eastAsia="it-IT"/>
        </w:rPr>
        <w:t>isualizza</w:t>
      </w:r>
      <w:r w:rsidR="00596037" w:rsidRPr="00515872">
        <w:rPr>
          <w:rFonts w:eastAsia="Times New Roman" w:cs="Tahoma"/>
          <w:szCs w:val="20"/>
          <w:lang w:eastAsia="it-IT"/>
        </w:rPr>
        <w:t>zione</w:t>
      </w:r>
      <w:r w:rsidR="0046431B" w:rsidRPr="00515872">
        <w:rPr>
          <w:rFonts w:eastAsia="Times New Roman" w:cs="Tahoma"/>
          <w:szCs w:val="20"/>
          <w:lang w:eastAsia="it-IT"/>
        </w:rPr>
        <w:t xml:space="preserve"> </w:t>
      </w:r>
      <w:r w:rsidR="00596037" w:rsidRPr="00515872">
        <w:rPr>
          <w:rFonts w:eastAsia="Times New Roman" w:cs="Tahoma"/>
          <w:szCs w:val="20"/>
          <w:lang w:eastAsia="it-IT"/>
        </w:rPr>
        <w:t>de</w:t>
      </w:r>
      <w:r w:rsidR="0046431B" w:rsidRPr="00515872">
        <w:rPr>
          <w:rFonts w:eastAsia="Times New Roman" w:cs="Tahoma"/>
          <w:szCs w:val="20"/>
          <w:lang w:eastAsia="it-IT"/>
        </w:rPr>
        <w:t>i nominativi estratti nei vari enti</w:t>
      </w:r>
      <w:r w:rsidRPr="00515872">
        <w:rPr>
          <w:rFonts w:eastAsia="Times New Roman" w:cs="Tahoma"/>
          <w:szCs w:val="20"/>
          <w:lang w:eastAsia="it-IT"/>
        </w:rPr>
        <w:t xml:space="preserve"> e</w:t>
      </w:r>
      <w:r w:rsidR="00307138" w:rsidRPr="00515872">
        <w:rPr>
          <w:rFonts w:eastAsia="Times New Roman" w:cs="Tahoma"/>
          <w:szCs w:val="20"/>
          <w:lang w:eastAsia="it-IT"/>
        </w:rPr>
        <w:t xml:space="preserve"> </w:t>
      </w:r>
      <w:r w:rsidR="005F2161" w:rsidRPr="00515872">
        <w:rPr>
          <w:rFonts w:eastAsia="Times New Roman" w:cs="Tahoma"/>
          <w:szCs w:val="20"/>
          <w:lang w:eastAsia="it-IT"/>
        </w:rPr>
        <w:t>l’elenco degli enti nei quali risulta in scadenza l’organo di revisione.</w:t>
      </w:r>
      <w:r w:rsidR="0046431B" w:rsidRPr="00515872">
        <w:rPr>
          <w:rFonts w:eastAsia="Times New Roman" w:cs="Tahoma"/>
          <w:szCs w:val="20"/>
          <w:lang w:eastAsia="it-IT"/>
        </w:rPr>
        <w:t xml:space="preserve"> </w:t>
      </w:r>
      <w:r w:rsidR="005F351F" w:rsidRPr="00515872">
        <w:rPr>
          <w:rFonts w:eastAsia="Times New Roman" w:cs="Tahoma"/>
          <w:szCs w:val="20"/>
          <w:lang w:eastAsia="it-IT"/>
        </w:rPr>
        <w:t>È</w:t>
      </w:r>
      <w:r w:rsidR="00C32302" w:rsidRPr="00515872">
        <w:rPr>
          <w:rFonts w:eastAsia="Times New Roman" w:cs="Tahoma"/>
          <w:szCs w:val="20"/>
          <w:lang w:eastAsia="it-IT"/>
        </w:rPr>
        <w:t xml:space="preserve"> </w:t>
      </w:r>
      <w:r w:rsidR="00F35AD7" w:rsidRPr="00515872">
        <w:rPr>
          <w:rFonts w:eastAsia="Times New Roman" w:cs="Tahoma"/>
          <w:szCs w:val="20"/>
          <w:lang w:eastAsia="it-IT"/>
        </w:rPr>
        <w:t>nell</w:t>
      </w:r>
      <w:r w:rsidR="00C32302" w:rsidRPr="00515872">
        <w:rPr>
          <w:rFonts w:eastAsia="Times New Roman" w:cs="Tahoma"/>
          <w:szCs w:val="20"/>
          <w:lang w:eastAsia="it-IT"/>
        </w:rPr>
        <w:t xml:space="preserve">’area riservata del revisore </w:t>
      </w:r>
      <w:r w:rsidR="00F35AD7" w:rsidRPr="00515872">
        <w:rPr>
          <w:rFonts w:eastAsia="Times New Roman" w:cs="Tahoma"/>
          <w:szCs w:val="20"/>
          <w:lang w:eastAsia="it-IT"/>
        </w:rPr>
        <w:t>la funzione che consente di</w:t>
      </w:r>
      <w:r w:rsidR="00C32302" w:rsidRPr="00515872">
        <w:rPr>
          <w:rFonts w:eastAsia="Times New Roman" w:cs="Tahoma"/>
          <w:szCs w:val="20"/>
          <w:lang w:eastAsia="it-IT"/>
        </w:rPr>
        <w:t xml:space="preserve"> visualizzare l’elenco delle estrazioni alle quali ha partecipato e quello degli enti nei quali è stato sorteggiato. </w:t>
      </w:r>
    </w:p>
    <w:p w14:paraId="4C3AF257" w14:textId="77777777" w:rsidR="00D45592" w:rsidRPr="00515872" w:rsidRDefault="00EF2B4F" w:rsidP="00A12305">
      <w:pPr>
        <w:spacing w:line="360" w:lineRule="auto"/>
        <w:jc w:val="both"/>
        <w:rPr>
          <w:rFonts w:eastAsia="Times New Roman" w:cs="Tahoma"/>
          <w:szCs w:val="20"/>
          <w:lang w:eastAsia="it-IT"/>
        </w:rPr>
      </w:pPr>
      <w:r w:rsidRPr="00515872">
        <w:rPr>
          <w:rFonts w:eastAsia="Times New Roman" w:cs="Tahoma"/>
          <w:szCs w:val="20"/>
          <w:lang w:eastAsia="it-IT"/>
        </w:rPr>
        <w:t>A carico deg</w:t>
      </w:r>
      <w:r w:rsidR="00813511" w:rsidRPr="00515872">
        <w:rPr>
          <w:rFonts w:eastAsia="Times New Roman" w:cs="Tahoma"/>
          <w:szCs w:val="20"/>
          <w:lang w:eastAsia="it-IT"/>
        </w:rPr>
        <w:t>li iscritti a</w:t>
      </w:r>
      <w:r w:rsidR="00D45592" w:rsidRPr="00515872">
        <w:rPr>
          <w:rFonts w:eastAsia="Times New Roman" w:cs="Tahoma"/>
          <w:szCs w:val="20"/>
          <w:lang w:eastAsia="it-IT"/>
        </w:rPr>
        <w:t xml:space="preserve">ll’elenco è previsto un contributo annuo pari a € 25 da versare entro il 30 aprile di </w:t>
      </w:r>
      <w:r w:rsidR="00A65CA3" w:rsidRPr="00515872">
        <w:rPr>
          <w:rFonts w:eastAsia="Times New Roman" w:cs="Tahoma"/>
          <w:szCs w:val="20"/>
          <w:lang w:eastAsia="it-IT"/>
        </w:rPr>
        <w:t>ciascun</w:t>
      </w:r>
      <w:r w:rsidR="00D45592" w:rsidRPr="00515872">
        <w:rPr>
          <w:rFonts w:eastAsia="Times New Roman" w:cs="Tahoma"/>
          <w:szCs w:val="20"/>
          <w:lang w:eastAsia="it-IT"/>
        </w:rPr>
        <w:t xml:space="preserve"> anno.</w:t>
      </w:r>
      <w:r w:rsidR="004F0186" w:rsidRPr="00515872">
        <w:rPr>
          <w:rFonts w:eastAsia="Times New Roman" w:cs="Tahoma"/>
          <w:szCs w:val="20"/>
          <w:lang w:eastAsia="it-IT"/>
        </w:rPr>
        <w:t xml:space="preserve"> </w:t>
      </w:r>
      <w:r w:rsidR="004F0186" w:rsidRPr="00515872">
        <w:rPr>
          <w:rFonts w:eastAsia="Times New Roman" w:cs="Tahoma"/>
          <w:b/>
          <w:szCs w:val="20"/>
          <w:lang w:eastAsia="it-IT"/>
        </w:rPr>
        <w:t xml:space="preserve">Le coordinate del versamento devono essere inserite, entro lo stesso termine, </w:t>
      </w:r>
      <w:r w:rsidR="00307138" w:rsidRPr="00515872">
        <w:rPr>
          <w:rFonts w:eastAsia="Times New Roman" w:cs="Tahoma"/>
          <w:b/>
          <w:szCs w:val="20"/>
          <w:lang w:eastAsia="it-IT"/>
        </w:rPr>
        <w:t>ne</w:t>
      </w:r>
      <w:r w:rsidR="004F0186" w:rsidRPr="00515872">
        <w:rPr>
          <w:rFonts w:eastAsia="Times New Roman" w:cs="Tahoma"/>
          <w:b/>
          <w:szCs w:val="20"/>
          <w:lang w:eastAsia="it-IT"/>
        </w:rPr>
        <w:t>lla pagina internet istituita presso il sito del Ministero dell’Interno, sezione Finanza Locale</w:t>
      </w:r>
      <w:r w:rsidR="004F0186" w:rsidRPr="00515872">
        <w:rPr>
          <w:rFonts w:eastAsia="Times New Roman" w:cs="Tahoma"/>
          <w:szCs w:val="20"/>
          <w:lang w:eastAsia="it-IT"/>
        </w:rPr>
        <w:t xml:space="preserve"> previa autenticazione del revisore tramite proprie credenziali.</w:t>
      </w:r>
    </w:p>
    <w:p w14:paraId="0C6FC50E" w14:textId="77777777" w:rsidR="001672F9" w:rsidRPr="00515872" w:rsidRDefault="001672F9" w:rsidP="00176F9A">
      <w:pPr>
        <w:pStyle w:val="Sottoparagrafo"/>
        <w:rPr>
          <w:rFonts w:cs="Tahoma"/>
          <w:highlight w:val="yellow"/>
        </w:rPr>
      </w:pPr>
    </w:p>
    <w:p w14:paraId="36E76E92" w14:textId="77777777" w:rsidR="00004752" w:rsidRPr="00515872" w:rsidRDefault="00004752" w:rsidP="00176F9A">
      <w:pPr>
        <w:pStyle w:val="Sottoparagrafo"/>
        <w:rPr>
          <w:rFonts w:cs="Tahoma"/>
        </w:rPr>
      </w:pPr>
      <w:bookmarkStart w:id="14" w:name="_Toc95912212"/>
      <w:r w:rsidRPr="00515872">
        <w:rPr>
          <w:rFonts w:cs="Tahoma"/>
        </w:rPr>
        <w:t>2.1.3 Sorteggio e nomina del revisore</w:t>
      </w:r>
      <w:bookmarkEnd w:id="14"/>
    </w:p>
    <w:p w14:paraId="6789B1A0" w14:textId="77777777" w:rsidR="00467763" w:rsidRPr="00515872" w:rsidRDefault="00367840" w:rsidP="00004752">
      <w:pPr>
        <w:spacing w:before="100" w:beforeAutospacing="1" w:line="360" w:lineRule="auto"/>
        <w:jc w:val="both"/>
        <w:rPr>
          <w:rFonts w:eastAsia="Times New Roman" w:cs="Tahoma"/>
          <w:szCs w:val="20"/>
          <w:lang w:eastAsia="it-IT"/>
        </w:rPr>
      </w:pPr>
      <w:r w:rsidRPr="00515872">
        <w:rPr>
          <w:rFonts w:eastAsia="Times New Roman" w:cs="Tahoma"/>
          <w:szCs w:val="20"/>
          <w:lang w:eastAsia="it-IT"/>
        </w:rPr>
        <w:t>In fase di prima applicazione del nuovo sistema di estrazione a sorte, g</w:t>
      </w:r>
      <w:r w:rsidR="00004752" w:rsidRPr="00515872">
        <w:rPr>
          <w:rFonts w:eastAsia="Times New Roman" w:cs="Tahoma"/>
          <w:szCs w:val="20"/>
          <w:lang w:eastAsia="it-IT"/>
        </w:rPr>
        <w:t xml:space="preserve">li enti locali </w:t>
      </w:r>
      <w:r w:rsidRPr="00515872">
        <w:rPr>
          <w:rFonts w:eastAsia="Times New Roman" w:cs="Tahoma"/>
          <w:szCs w:val="20"/>
          <w:lang w:eastAsia="it-IT"/>
        </w:rPr>
        <w:t>erano</w:t>
      </w:r>
      <w:r w:rsidR="00004752" w:rsidRPr="00515872">
        <w:rPr>
          <w:rFonts w:eastAsia="Times New Roman" w:cs="Tahoma"/>
          <w:szCs w:val="20"/>
          <w:lang w:eastAsia="it-IT"/>
        </w:rPr>
        <w:t xml:space="preserve"> tenuti a dare</w:t>
      </w:r>
      <w:r w:rsidR="00557C8D" w:rsidRPr="00515872">
        <w:rPr>
          <w:rFonts w:eastAsia="Times New Roman" w:cs="Tahoma"/>
          <w:szCs w:val="20"/>
          <w:lang w:eastAsia="it-IT"/>
        </w:rPr>
        <w:t xml:space="preserve"> comunicazione della scadenza da</w:t>
      </w:r>
      <w:r w:rsidR="00004752" w:rsidRPr="00515872">
        <w:rPr>
          <w:rFonts w:eastAsia="Times New Roman" w:cs="Tahoma"/>
          <w:szCs w:val="20"/>
          <w:lang w:eastAsia="it-IT"/>
        </w:rPr>
        <w:t>ll'incarico del proprio organo di revisione alla Prefettura-Ufficio territoriale del governo della provincia di appartenenza con almeno 15 giorni di anticipo nel primo mese di effettivo avvio del nuovo procedimento</w:t>
      </w:r>
      <w:r w:rsidRPr="00515872">
        <w:rPr>
          <w:rFonts w:eastAsia="Times New Roman" w:cs="Tahoma"/>
          <w:szCs w:val="20"/>
          <w:lang w:eastAsia="it-IT"/>
        </w:rPr>
        <w:t>. La stessa regola vale a regime, con la differenza che la comunicazione deve essere ora data con preavviso di</w:t>
      </w:r>
      <w:r w:rsidR="00004752" w:rsidRPr="00515872">
        <w:rPr>
          <w:rFonts w:eastAsia="Times New Roman" w:cs="Tahoma"/>
          <w:szCs w:val="20"/>
          <w:lang w:eastAsia="it-IT"/>
        </w:rPr>
        <w:t xml:space="preserve"> almen</w:t>
      </w:r>
      <w:r w:rsidR="00A07C61" w:rsidRPr="00515872">
        <w:rPr>
          <w:rFonts w:eastAsia="Times New Roman" w:cs="Tahoma"/>
          <w:szCs w:val="20"/>
          <w:lang w:eastAsia="it-IT"/>
        </w:rPr>
        <w:t>o 2</w:t>
      </w:r>
      <w:r w:rsidR="00004752" w:rsidRPr="00515872">
        <w:rPr>
          <w:rFonts w:eastAsia="Times New Roman" w:cs="Tahoma"/>
          <w:szCs w:val="20"/>
          <w:lang w:eastAsia="it-IT"/>
        </w:rPr>
        <w:t xml:space="preserve"> mesi </w:t>
      </w:r>
      <w:r w:rsidR="0059638D" w:rsidRPr="00515872">
        <w:rPr>
          <w:rFonts w:eastAsia="Times New Roman" w:cs="Tahoma"/>
          <w:szCs w:val="20"/>
          <w:lang w:eastAsia="it-IT"/>
        </w:rPr>
        <w:t>rispetto a</w:t>
      </w:r>
      <w:r w:rsidR="00004752" w:rsidRPr="00515872">
        <w:rPr>
          <w:rFonts w:eastAsia="Times New Roman" w:cs="Tahoma"/>
          <w:szCs w:val="20"/>
          <w:lang w:eastAsia="it-IT"/>
        </w:rPr>
        <w:t xml:space="preserve">lla scadenza stessa. In caso di cessazione anticipata </w:t>
      </w:r>
      <w:r w:rsidR="00A07C61" w:rsidRPr="00515872">
        <w:rPr>
          <w:rFonts w:eastAsia="Times New Roman" w:cs="Tahoma"/>
          <w:szCs w:val="20"/>
          <w:lang w:eastAsia="it-IT"/>
        </w:rPr>
        <w:t xml:space="preserve">del revisore </w:t>
      </w:r>
      <w:r w:rsidR="00004752" w:rsidRPr="00515872">
        <w:rPr>
          <w:rFonts w:eastAsia="Times New Roman" w:cs="Tahoma"/>
          <w:szCs w:val="20"/>
          <w:lang w:eastAsia="it-IT"/>
        </w:rPr>
        <w:t>dall'i</w:t>
      </w:r>
      <w:r w:rsidRPr="00515872">
        <w:rPr>
          <w:rFonts w:eastAsia="Times New Roman" w:cs="Tahoma"/>
          <w:szCs w:val="20"/>
          <w:lang w:eastAsia="it-IT"/>
        </w:rPr>
        <w:t>ncarico, la comunicazione deve</w:t>
      </w:r>
      <w:r w:rsidR="00004752" w:rsidRPr="00515872">
        <w:rPr>
          <w:rFonts w:eastAsia="Times New Roman" w:cs="Tahoma"/>
          <w:szCs w:val="20"/>
          <w:lang w:eastAsia="it-IT"/>
        </w:rPr>
        <w:t xml:space="preserve"> essere inoltrata immediatamente e comunque non oltre il terzo giorno successivo a tale cessazione.</w:t>
      </w:r>
    </w:p>
    <w:p w14:paraId="2870381E" w14:textId="77777777" w:rsidR="00273C2E" w:rsidRPr="00515872" w:rsidRDefault="00367840" w:rsidP="003F7B39">
      <w:pPr>
        <w:spacing w:line="360" w:lineRule="auto"/>
        <w:jc w:val="both"/>
        <w:rPr>
          <w:rFonts w:eastAsia="Times New Roman" w:cs="Tahoma"/>
          <w:szCs w:val="20"/>
          <w:lang w:eastAsia="it-IT"/>
        </w:rPr>
      </w:pPr>
      <w:r w:rsidRPr="00515872">
        <w:rPr>
          <w:rFonts w:eastAsia="Times New Roman" w:cs="Tahoma"/>
          <w:szCs w:val="20"/>
          <w:lang w:eastAsia="it-IT"/>
        </w:rPr>
        <w:t>La Prefettura comunica agli enti locali interessati il giorno in cui si procederà all</w:t>
      </w:r>
      <w:r w:rsidR="00557C8D" w:rsidRPr="00515872">
        <w:rPr>
          <w:rFonts w:eastAsia="Times New Roman" w:cs="Tahoma"/>
          <w:szCs w:val="20"/>
          <w:lang w:eastAsia="it-IT"/>
        </w:rPr>
        <w:t>’estrazione</w:t>
      </w:r>
      <w:r w:rsidRPr="00515872">
        <w:rPr>
          <w:rFonts w:eastAsia="Times New Roman" w:cs="Tahoma"/>
          <w:szCs w:val="20"/>
          <w:lang w:eastAsia="it-IT"/>
        </w:rPr>
        <w:t xml:space="preserve"> dei revisori presso</w:t>
      </w:r>
      <w:r w:rsidR="00C8230C" w:rsidRPr="00515872">
        <w:rPr>
          <w:rFonts w:eastAsia="Times New Roman" w:cs="Tahoma"/>
          <w:szCs w:val="20"/>
          <w:lang w:eastAsia="it-IT"/>
        </w:rPr>
        <w:t xml:space="preserve"> la propria sede</w:t>
      </w:r>
      <w:r w:rsidRPr="00515872">
        <w:rPr>
          <w:rFonts w:eastAsia="Times New Roman" w:cs="Tahoma"/>
          <w:szCs w:val="20"/>
          <w:lang w:eastAsia="it-IT"/>
        </w:rPr>
        <w:t>. Nel giorno fissato ed in seduta pubblica, alla presenza del Prefetto o di un suo delegato, si procede all'es</w:t>
      </w:r>
      <w:r w:rsidR="0059638D" w:rsidRPr="00515872">
        <w:rPr>
          <w:rFonts w:eastAsia="Times New Roman" w:cs="Tahoma"/>
          <w:szCs w:val="20"/>
          <w:lang w:eastAsia="it-IT"/>
        </w:rPr>
        <w:t xml:space="preserve">trazione a sorte, </w:t>
      </w:r>
      <w:r w:rsidRPr="00515872">
        <w:rPr>
          <w:rFonts w:eastAsia="Times New Roman" w:cs="Tahoma"/>
          <w:szCs w:val="20"/>
          <w:lang w:eastAsia="it-IT"/>
        </w:rPr>
        <w:t xml:space="preserve">tramite </w:t>
      </w:r>
      <w:r w:rsidR="0059638D" w:rsidRPr="00515872">
        <w:rPr>
          <w:rFonts w:eastAsia="Times New Roman" w:cs="Tahoma"/>
          <w:szCs w:val="20"/>
          <w:lang w:eastAsia="it-IT"/>
        </w:rPr>
        <w:t>procedura</w:t>
      </w:r>
      <w:r w:rsidRPr="00515872">
        <w:rPr>
          <w:rFonts w:eastAsia="Times New Roman" w:cs="Tahoma"/>
          <w:szCs w:val="20"/>
          <w:lang w:eastAsia="it-IT"/>
        </w:rPr>
        <w:t xml:space="preserve"> informatic</w:t>
      </w:r>
      <w:r w:rsidR="0059638D" w:rsidRPr="00515872">
        <w:rPr>
          <w:rFonts w:eastAsia="Times New Roman" w:cs="Tahoma"/>
          <w:szCs w:val="20"/>
          <w:lang w:eastAsia="it-IT"/>
        </w:rPr>
        <w:t>a</w:t>
      </w:r>
      <w:r w:rsidR="00BA2BD5" w:rsidRPr="00515872">
        <w:rPr>
          <w:rFonts w:eastAsia="Times New Roman" w:cs="Tahoma"/>
          <w:szCs w:val="20"/>
          <w:lang w:eastAsia="it-IT"/>
        </w:rPr>
        <w:t xml:space="preserve">. </w:t>
      </w:r>
      <w:r w:rsidRPr="00515872">
        <w:rPr>
          <w:rFonts w:eastAsia="Times New Roman" w:cs="Tahoma"/>
          <w:szCs w:val="20"/>
          <w:lang w:eastAsia="it-IT"/>
        </w:rPr>
        <w:t>Per ciascun componente dell'</w:t>
      </w:r>
      <w:r w:rsidR="00C8230C" w:rsidRPr="00515872">
        <w:rPr>
          <w:rFonts w:eastAsia="Times New Roman" w:cs="Tahoma"/>
          <w:szCs w:val="20"/>
          <w:lang w:eastAsia="it-IT"/>
        </w:rPr>
        <w:t>organo di revisione da nominare</w:t>
      </w:r>
      <w:r w:rsidRPr="00515872">
        <w:rPr>
          <w:rFonts w:eastAsia="Times New Roman" w:cs="Tahoma"/>
          <w:szCs w:val="20"/>
          <w:lang w:eastAsia="it-IT"/>
        </w:rPr>
        <w:t xml:space="preserve"> sono estratti, con annotazione dell'ordine di estrazione, </w:t>
      </w:r>
      <w:r w:rsidR="0059638D" w:rsidRPr="00515872">
        <w:rPr>
          <w:rFonts w:eastAsia="Times New Roman" w:cs="Tahoma"/>
          <w:szCs w:val="20"/>
          <w:lang w:eastAsia="it-IT"/>
        </w:rPr>
        <w:t>3</w:t>
      </w:r>
      <w:r w:rsidRPr="00515872">
        <w:rPr>
          <w:rFonts w:eastAsia="Times New Roman" w:cs="Tahoma"/>
          <w:szCs w:val="20"/>
          <w:lang w:eastAsia="it-IT"/>
        </w:rPr>
        <w:t xml:space="preserve"> n</w:t>
      </w:r>
      <w:r w:rsidR="00273C2E" w:rsidRPr="00515872">
        <w:rPr>
          <w:rFonts w:eastAsia="Times New Roman" w:cs="Tahoma"/>
          <w:szCs w:val="20"/>
          <w:lang w:eastAsia="it-IT"/>
        </w:rPr>
        <w:t>ominativi.</w:t>
      </w:r>
    </w:p>
    <w:p w14:paraId="7425AD70" w14:textId="77777777" w:rsidR="00307777" w:rsidRPr="00515872" w:rsidRDefault="00273C2E" w:rsidP="003F7B39">
      <w:pPr>
        <w:spacing w:line="360" w:lineRule="auto"/>
        <w:jc w:val="both"/>
        <w:rPr>
          <w:rFonts w:eastAsia="Times New Roman" w:cs="Tahoma"/>
          <w:szCs w:val="20"/>
          <w:lang w:eastAsia="it-IT"/>
        </w:rPr>
      </w:pPr>
      <w:r w:rsidRPr="00515872">
        <w:rPr>
          <w:rFonts w:eastAsia="Times New Roman" w:cs="Tahoma"/>
          <w:szCs w:val="20"/>
          <w:lang w:eastAsia="it-IT"/>
        </w:rPr>
        <w:t xml:space="preserve">Il revisore </w:t>
      </w:r>
      <w:r w:rsidR="00367840" w:rsidRPr="00515872">
        <w:rPr>
          <w:rFonts w:eastAsia="Times New Roman" w:cs="Tahoma"/>
          <w:szCs w:val="20"/>
          <w:lang w:eastAsia="it-IT"/>
        </w:rPr>
        <w:t xml:space="preserve">designato per la nomina </w:t>
      </w:r>
      <w:r w:rsidRPr="00515872">
        <w:rPr>
          <w:rFonts w:eastAsia="Times New Roman" w:cs="Tahoma"/>
          <w:szCs w:val="20"/>
          <w:lang w:eastAsia="it-IT"/>
        </w:rPr>
        <w:t xml:space="preserve">è il primo dell’elenco </w:t>
      </w:r>
      <w:r w:rsidR="00EF2B4F" w:rsidRPr="00515872">
        <w:rPr>
          <w:rFonts w:eastAsia="Times New Roman" w:cs="Tahoma"/>
          <w:szCs w:val="20"/>
          <w:lang w:eastAsia="it-IT"/>
        </w:rPr>
        <w:t xml:space="preserve">(i primi 2, nel caso di composizione collegiale) </w:t>
      </w:r>
      <w:r w:rsidRPr="00515872">
        <w:rPr>
          <w:rFonts w:eastAsia="Times New Roman" w:cs="Tahoma"/>
          <w:szCs w:val="20"/>
          <w:lang w:eastAsia="it-IT"/>
        </w:rPr>
        <w:t>de</w:t>
      </w:r>
      <w:r w:rsidR="00557C8D" w:rsidRPr="00515872">
        <w:rPr>
          <w:rFonts w:eastAsia="Times New Roman" w:cs="Tahoma"/>
          <w:szCs w:val="20"/>
          <w:lang w:eastAsia="it-IT"/>
        </w:rPr>
        <w:t>i nominativi</w:t>
      </w:r>
      <w:r w:rsidRPr="00515872">
        <w:rPr>
          <w:rFonts w:eastAsia="Times New Roman" w:cs="Tahoma"/>
          <w:szCs w:val="20"/>
          <w:lang w:eastAsia="it-IT"/>
        </w:rPr>
        <w:t xml:space="preserve"> estratti,</w:t>
      </w:r>
      <w:r w:rsidR="00367840" w:rsidRPr="00515872">
        <w:rPr>
          <w:rFonts w:eastAsia="Times New Roman" w:cs="Tahoma"/>
          <w:szCs w:val="20"/>
          <w:lang w:eastAsia="it-IT"/>
        </w:rPr>
        <w:t xml:space="preserve"> mentre gli altri subentrano, nell'ordine di estrazione, </w:t>
      </w:r>
      <w:r w:rsidRPr="00515872">
        <w:rPr>
          <w:rFonts w:eastAsia="Times New Roman" w:cs="Tahoma"/>
          <w:szCs w:val="20"/>
          <w:lang w:eastAsia="it-IT"/>
        </w:rPr>
        <w:t xml:space="preserve">solo in caso </w:t>
      </w:r>
      <w:r w:rsidR="00367840" w:rsidRPr="00515872">
        <w:rPr>
          <w:rFonts w:eastAsia="Times New Roman" w:cs="Tahoma"/>
          <w:szCs w:val="20"/>
          <w:lang w:eastAsia="it-IT"/>
        </w:rPr>
        <w:t>di rinuncia o impedimento ad assumere l'incarico da parte del soggetto</w:t>
      </w:r>
      <w:r w:rsidR="00F63DD0" w:rsidRPr="00515872">
        <w:rPr>
          <w:rFonts w:eastAsia="Times New Roman" w:cs="Tahoma"/>
          <w:szCs w:val="20"/>
          <w:lang w:eastAsia="it-IT"/>
        </w:rPr>
        <w:t xml:space="preserve"> che li ha preceduti in ordine di estrazione</w:t>
      </w:r>
      <w:r w:rsidR="00367840" w:rsidRPr="00515872">
        <w:rPr>
          <w:rFonts w:eastAsia="Times New Roman" w:cs="Tahoma"/>
          <w:szCs w:val="20"/>
          <w:lang w:eastAsia="it-IT"/>
        </w:rPr>
        <w:t>.</w:t>
      </w:r>
    </w:p>
    <w:p w14:paraId="647B9A05" w14:textId="77777777" w:rsidR="00273C2E" w:rsidRPr="00515872" w:rsidRDefault="00273C2E" w:rsidP="003F7B39">
      <w:pPr>
        <w:spacing w:line="360" w:lineRule="auto"/>
        <w:jc w:val="both"/>
        <w:rPr>
          <w:rFonts w:cs="Tahoma"/>
          <w:b/>
        </w:rPr>
      </w:pPr>
      <w:r w:rsidRPr="00515872">
        <w:rPr>
          <w:rFonts w:eastAsia="Times New Roman" w:cs="Tahoma"/>
          <w:szCs w:val="20"/>
          <w:lang w:eastAsia="it-IT"/>
        </w:rPr>
        <w:lastRenderedPageBreak/>
        <w:t xml:space="preserve">Come precisato </w:t>
      </w:r>
      <w:r w:rsidR="0059638D" w:rsidRPr="00515872">
        <w:rPr>
          <w:rFonts w:eastAsia="Times New Roman" w:cs="Tahoma"/>
          <w:szCs w:val="20"/>
          <w:lang w:eastAsia="it-IT"/>
        </w:rPr>
        <w:t>dal Ministero dell’Interno con c</w:t>
      </w:r>
      <w:r w:rsidRPr="00515872">
        <w:rPr>
          <w:rFonts w:eastAsia="Times New Roman" w:cs="Tahoma"/>
          <w:szCs w:val="20"/>
          <w:lang w:eastAsia="it-IT"/>
        </w:rPr>
        <w:t>omunicato dell’8 marzo 2013</w:t>
      </w:r>
      <w:r w:rsidR="00B12BB6" w:rsidRPr="00515872">
        <w:rPr>
          <w:rFonts w:eastAsia="Times New Roman" w:cs="Tahoma"/>
          <w:szCs w:val="20"/>
          <w:lang w:eastAsia="it-IT"/>
        </w:rPr>
        <w:t>,</w:t>
      </w:r>
      <w:r w:rsidRPr="00515872">
        <w:rPr>
          <w:rFonts w:eastAsia="Times New Roman" w:cs="Tahoma"/>
          <w:szCs w:val="20"/>
          <w:lang w:eastAsia="it-IT"/>
        </w:rPr>
        <w:t xml:space="preserve"> le riserve del revisore designato subentrano, in ordine di estrazione, </w:t>
      </w:r>
      <w:r w:rsidRPr="00515872">
        <w:rPr>
          <w:rFonts w:eastAsia="Times New Roman" w:cs="Tahoma"/>
          <w:b/>
          <w:szCs w:val="20"/>
          <w:lang w:eastAsia="it-IT"/>
        </w:rPr>
        <w:t>solo nel caso in cui la rinuncia avvenga in fase di nomina</w:t>
      </w:r>
      <w:r w:rsidR="00AD1EEC" w:rsidRPr="00515872">
        <w:rPr>
          <w:rFonts w:eastAsia="Times New Roman" w:cs="Tahoma"/>
          <w:szCs w:val="20"/>
          <w:lang w:eastAsia="it-IT"/>
        </w:rPr>
        <w:t>.</w:t>
      </w:r>
      <w:r w:rsidR="00AD1EEC" w:rsidRPr="00515872">
        <w:rPr>
          <w:rFonts w:cs="Tahoma"/>
        </w:rPr>
        <w:t xml:space="preserve"> In altri termini, la graduatoria che si viene a determinare </w:t>
      </w:r>
      <w:r w:rsidR="00C8230C" w:rsidRPr="00515872">
        <w:rPr>
          <w:rFonts w:cs="Tahoma"/>
        </w:rPr>
        <w:t xml:space="preserve">in occasione del sorteggio </w:t>
      </w:r>
      <w:r w:rsidR="00AD1EEC" w:rsidRPr="00515872">
        <w:rPr>
          <w:rFonts w:cs="Tahoma"/>
        </w:rPr>
        <w:t>ha efficacia limitata fino al momento della nomina e non successivamente; ne consegue che</w:t>
      </w:r>
      <w:r w:rsidR="00EF2B4F" w:rsidRPr="00515872">
        <w:rPr>
          <w:rFonts w:cs="Tahoma"/>
        </w:rPr>
        <w:t>, una volta che i revisori hanno accettato la carica,</w:t>
      </w:r>
      <w:r w:rsidR="00AD1EEC" w:rsidRPr="00515872">
        <w:rPr>
          <w:rFonts w:cs="Tahoma"/>
        </w:rPr>
        <w:t xml:space="preserve"> per le sostituzioni di componenti dello stesso organo a seguito di ev</w:t>
      </w:r>
      <w:r w:rsidR="00EF2B4F" w:rsidRPr="00515872">
        <w:rPr>
          <w:rFonts w:cs="Tahoma"/>
        </w:rPr>
        <w:t>entuali cessazioni anticipate</w:t>
      </w:r>
      <w:r w:rsidR="00AD1EEC" w:rsidRPr="00515872">
        <w:rPr>
          <w:rFonts w:cs="Tahoma"/>
        </w:rPr>
        <w:t xml:space="preserve">, si </w:t>
      </w:r>
      <w:r w:rsidR="005F1997" w:rsidRPr="00515872">
        <w:rPr>
          <w:rFonts w:cs="Tahoma"/>
        </w:rPr>
        <w:t>provv</w:t>
      </w:r>
      <w:r w:rsidR="00C8230C" w:rsidRPr="00515872">
        <w:rPr>
          <w:rFonts w:cs="Tahoma"/>
        </w:rPr>
        <w:t>ede</w:t>
      </w:r>
      <w:r w:rsidR="00AD1EEC" w:rsidRPr="00515872">
        <w:rPr>
          <w:rFonts w:cs="Tahoma"/>
        </w:rPr>
        <w:t xml:space="preserve"> a </w:t>
      </w:r>
      <w:r w:rsidR="00AD1EEC" w:rsidRPr="00515872">
        <w:rPr>
          <w:rFonts w:cs="Tahoma"/>
          <w:b/>
        </w:rPr>
        <w:t>nuovo procedimento di estrazione.</w:t>
      </w:r>
    </w:p>
    <w:p w14:paraId="74D0A73A" w14:textId="77777777" w:rsidR="003F7B39" w:rsidRPr="00515872" w:rsidRDefault="00367840" w:rsidP="00F01B22">
      <w:pPr>
        <w:spacing w:line="360" w:lineRule="auto"/>
        <w:jc w:val="both"/>
        <w:rPr>
          <w:rFonts w:eastAsia="Times New Roman" w:cs="Tahoma"/>
          <w:szCs w:val="20"/>
          <w:lang w:eastAsia="it-IT"/>
        </w:rPr>
      </w:pPr>
      <w:r w:rsidRPr="00515872">
        <w:rPr>
          <w:rFonts w:eastAsia="Times New Roman" w:cs="Tahoma"/>
          <w:szCs w:val="20"/>
          <w:lang w:eastAsia="it-IT"/>
        </w:rPr>
        <w:t>Dell'esito del proc</w:t>
      </w:r>
      <w:r w:rsidR="002B4FE6" w:rsidRPr="00515872">
        <w:rPr>
          <w:rFonts w:eastAsia="Times New Roman" w:cs="Tahoma"/>
          <w:szCs w:val="20"/>
          <w:lang w:eastAsia="it-IT"/>
        </w:rPr>
        <w:t xml:space="preserve">edimento viene redatto </w:t>
      </w:r>
      <w:r w:rsidRPr="00515872">
        <w:rPr>
          <w:rFonts w:eastAsia="Times New Roman" w:cs="Tahoma"/>
          <w:szCs w:val="20"/>
          <w:lang w:eastAsia="it-IT"/>
        </w:rPr>
        <w:t>verbale e data comunicazione a ciascun en</w:t>
      </w:r>
      <w:r w:rsidR="00D91D70" w:rsidRPr="00515872">
        <w:rPr>
          <w:rFonts w:eastAsia="Times New Roman" w:cs="Tahoma"/>
          <w:szCs w:val="20"/>
          <w:lang w:eastAsia="it-IT"/>
        </w:rPr>
        <w:t>te locale interessato, affinché</w:t>
      </w:r>
      <w:r w:rsidRPr="00515872">
        <w:rPr>
          <w:rFonts w:eastAsia="Times New Roman" w:cs="Tahoma"/>
          <w:szCs w:val="20"/>
          <w:lang w:eastAsia="it-IT"/>
        </w:rPr>
        <w:t xml:space="preserve"> provveda, con delibera consi</w:t>
      </w:r>
      <w:r w:rsidR="002B4FE6" w:rsidRPr="00515872">
        <w:rPr>
          <w:rFonts w:eastAsia="Times New Roman" w:cs="Tahoma"/>
          <w:szCs w:val="20"/>
          <w:lang w:eastAsia="it-IT"/>
        </w:rPr>
        <w:t>liare</w:t>
      </w:r>
      <w:r w:rsidR="00764457" w:rsidRPr="00515872">
        <w:rPr>
          <w:rFonts w:eastAsia="Times New Roman" w:cs="Tahoma"/>
          <w:szCs w:val="20"/>
          <w:lang w:eastAsia="it-IT"/>
        </w:rPr>
        <w:t>, a nominare quali componenti dell’</w:t>
      </w:r>
      <w:r w:rsidRPr="00515872">
        <w:rPr>
          <w:rFonts w:eastAsia="Times New Roman" w:cs="Tahoma"/>
          <w:szCs w:val="20"/>
          <w:lang w:eastAsia="it-IT"/>
        </w:rPr>
        <w:t>organo di revisione economico-finanziaria, i soggetti estratti</w:t>
      </w:r>
      <w:r w:rsidR="002B4FE6" w:rsidRPr="00515872">
        <w:rPr>
          <w:rFonts w:eastAsia="Times New Roman" w:cs="Tahoma"/>
          <w:szCs w:val="20"/>
          <w:lang w:eastAsia="it-IT"/>
        </w:rPr>
        <w:t>,</w:t>
      </w:r>
      <w:r w:rsidRPr="00515872">
        <w:rPr>
          <w:rFonts w:eastAsia="Times New Roman" w:cs="Tahoma"/>
          <w:szCs w:val="20"/>
          <w:lang w:eastAsia="it-IT"/>
        </w:rPr>
        <w:t xml:space="preserve"> previa verifica d</w:t>
      </w:r>
      <w:r w:rsidR="002B4FE6" w:rsidRPr="00515872">
        <w:rPr>
          <w:rFonts w:eastAsia="Times New Roman" w:cs="Tahoma"/>
          <w:szCs w:val="20"/>
          <w:lang w:eastAsia="it-IT"/>
        </w:rPr>
        <w:t>elle</w:t>
      </w:r>
      <w:r w:rsidRPr="00515872">
        <w:rPr>
          <w:rFonts w:eastAsia="Times New Roman" w:cs="Tahoma"/>
          <w:szCs w:val="20"/>
          <w:lang w:eastAsia="it-IT"/>
        </w:rPr>
        <w:t xml:space="preserve"> eve</w:t>
      </w:r>
      <w:r w:rsidR="00D91D70" w:rsidRPr="00515872">
        <w:rPr>
          <w:rFonts w:eastAsia="Times New Roman" w:cs="Tahoma"/>
          <w:szCs w:val="20"/>
          <w:lang w:eastAsia="it-IT"/>
        </w:rPr>
        <w:t>ntuali cause di incompatibilità</w:t>
      </w:r>
      <w:r w:rsidRPr="00515872">
        <w:rPr>
          <w:rFonts w:eastAsia="Times New Roman" w:cs="Tahoma"/>
          <w:szCs w:val="20"/>
          <w:lang w:eastAsia="it-IT"/>
        </w:rPr>
        <w:t xml:space="preserve"> di cui all'art</w:t>
      </w:r>
      <w:r w:rsidR="00EA201E" w:rsidRPr="00515872">
        <w:rPr>
          <w:rFonts w:eastAsia="Times New Roman" w:cs="Tahoma"/>
          <w:szCs w:val="20"/>
          <w:lang w:eastAsia="it-IT"/>
        </w:rPr>
        <w:t>.</w:t>
      </w:r>
      <w:r w:rsidRPr="00515872">
        <w:rPr>
          <w:rFonts w:eastAsia="Times New Roman" w:cs="Tahoma"/>
          <w:szCs w:val="20"/>
          <w:lang w:eastAsia="it-IT"/>
        </w:rPr>
        <w:t xml:space="preserve"> 236 del </w:t>
      </w:r>
      <w:r w:rsidR="00F01B22" w:rsidRPr="00515872">
        <w:rPr>
          <w:rFonts w:eastAsia="Times New Roman" w:cs="Tahoma"/>
          <w:szCs w:val="20"/>
          <w:lang w:eastAsia="it-IT"/>
        </w:rPr>
        <w:t>TUEL.</w:t>
      </w:r>
    </w:p>
    <w:p w14:paraId="03AC4E1D" w14:textId="77777777" w:rsidR="00F01B22" w:rsidRPr="00515872" w:rsidRDefault="00F01B22" w:rsidP="00F01B22">
      <w:pPr>
        <w:spacing w:line="360" w:lineRule="auto"/>
        <w:jc w:val="both"/>
        <w:rPr>
          <w:rFonts w:eastAsia="Times New Roman" w:cs="Tahoma"/>
          <w:szCs w:val="20"/>
          <w:lang w:eastAsia="it-IT"/>
        </w:rPr>
      </w:pPr>
      <w:r w:rsidRPr="00515872">
        <w:rPr>
          <w:rFonts w:cs="Tahoma"/>
        </w:rPr>
        <w:t>Si segnala che, fino al 25 dicembre 2019, per l’estrazione dei membri del collegio dei revisori per i comuni con popolazione superiore a 15.000 abitanti</w:t>
      </w:r>
      <w:r w:rsidR="002A1576" w:rsidRPr="00515872">
        <w:rPr>
          <w:rFonts w:cs="Tahoma"/>
        </w:rPr>
        <w:t xml:space="preserve"> e </w:t>
      </w:r>
      <w:r w:rsidR="000843F9" w:rsidRPr="00515872">
        <w:rPr>
          <w:rFonts w:cs="Tahoma"/>
        </w:rPr>
        <w:t xml:space="preserve">per </w:t>
      </w:r>
      <w:r w:rsidR="002A1576" w:rsidRPr="00515872">
        <w:rPr>
          <w:rFonts w:cs="Tahoma"/>
        </w:rPr>
        <w:t>le province</w:t>
      </w:r>
      <w:r w:rsidRPr="00515872">
        <w:rPr>
          <w:rFonts w:cs="Tahoma"/>
        </w:rPr>
        <w:t xml:space="preserve">, venivano estratti 9 nominativi (3 per ogni componente); a decorrere da tale data il numero dei nominativi </w:t>
      </w:r>
      <w:r w:rsidR="000843F9" w:rsidRPr="00515872">
        <w:rPr>
          <w:rFonts w:cs="Tahoma"/>
        </w:rPr>
        <w:t>sorteggiati</w:t>
      </w:r>
      <w:r w:rsidRPr="00515872">
        <w:rPr>
          <w:rFonts w:cs="Tahoma"/>
        </w:rPr>
        <w:t xml:space="preserve"> d</w:t>
      </w:r>
      <w:r w:rsidR="00D3740B" w:rsidRPr="00515872">
        <w:rPr>
          <w:rFonts w:cs="Tahoma"/>
        </w:rPr>
        <w:t>alla prefettura si è ridotto a 6</w:t>
      </w:r>
      <w:r w:rsidRPr="00515872">
        <w:rPr>
          <w:rFonts w:cs="Tahoma"/>
        </w:rPr>
        <w:t xml:space="preserve">, essendo il presidente, come già </w:t>
      </w:r>
      <w:r w:rsidR="00EF2B4F" w:rsidRPr="00515872">
        <w:rPr>
          <w:rFonts w:cs="Tahoma"/>
        </w:rPr>
        <w:t>esposto</w:t>
      </w:r>
      <w:r w:rsidRPr="00515872">
        <w:rPr>
          <w:rFonts w:cs="Tahoma"/>
        </w:rPr>
        <w:t>, oggetto di nomina diretta da parte del consiglio co</w:t>
      </w:r>
      <w:r w:rsidR="000843F9" w:rsidRPr="00515872">
        <w:rPr>
          <w:rFonts w:cs="Tahoma"/>
        </w:rPr>
        <w:t xml:space="preserve">munale. Il consiglio </w:t>
      </w:r>
      <w:r w:rsidRPr="00515872">
        <w:rPr>
          <w:rFonts w:cs="Tahoma"/>
        </w:rPr>
        <w:t>dov</w:t>
      </w:r>
      <w:r w:rsidR="00EF2B4F" w:rsidRPr="00515872">
        <w:rPr>
          <w:rFonts w:cs="Tahoma"/>
        </w:rPr>
        <w:t>e</w:t>
      </w:r>
      <w:r w:rsidRPr="00515872">
        <w:rPr>
          <w:rFonts w:cs="Tahoma"/>
        </w:rPr>
        <w:t xml:space="preserve"> </w:t>
      </w:r>
      <w:r w:rsidR="00D3740B" w:rsidRPr="00515872">
        <w:rPr>
          <w:rFonts w:cs="Tahoma"/>
        </w:rPr>
        <w:t>scegliere quest’ultimo</w:t>
      </w:r>
      <w:r w:rsidRPr="00515872">
        <w:rPr>
          <w:rFonts w:cs="Tahoma"/>
        </w:rPr>
        <w:t xml:space="preserve"> unicamente tra i nominativi inseriti nella terza fascia del</w:t>
      </w:r>
      <w:r w:rsidR="00EF2B4F" w:rsidRPr="00515872">
        <w:rPr>
          <w:rFonts w:cs="Tahoma"/>
        </w:rPr>
        <w:t>l’</w:t>
      </w:r>
      <w:r w:rsidRPr="00515872">
        <w:rPr>
          <w:rFonts w:cs="Tahoma"/>
        </w:rPr>
        <w:t>elenco</w:t>
      </w:r>
      <w:r w:rsidR="000843F9" w:rsidRPr="00515872">
        <w:rPr>
          <w:rFonts w:cs="Tahoma"/>
        </w:rPr>
        <w:t xml:space="preserve"> </w:t>
      </w:r>
      <w:r w:rsidR="000843F9" w:rsidRPr="00515872">
        <w:rPr>
          <w:rFonts w:eastAsia="Times New Roman" w:cs="Tahoma"/>
          <w:szCs w:val="20"/>
          <w:lang w:eastAsia="it-IT"/>
        </w:rPr>
        <w:t>ovvero nella fascia di più elevata qualificazione professionale in caso di modifiche al citato regolamento</w:t>
      </w:r>
      <w:r w:rsidRPr="00515872">
        <w:rPr>
          <w:rFonts w:cs="Tahoma"/>
        </w:rPr>
        <w:t xml:space="preserve">. </w:t>
      </w:r>
    </w:p>
    <w:p w14:paraId="043D73B3" w14:textId="77777777" w:rsidR="001672F9" w:rsidRPr="00515872" w:rsidRDefault="001672F9" w:rsidP="00176F9A">
      <w:pPr>
        <w:pStyle w:val="Sottoparagrafo"/>
        <w:rPr>
          <w:rFonts w:cs="Tahoma"/>
          <w:highlight w:val="yellow"/>
          <w:lang w:eastAsia="it-IT"/>
        </w:rPr>
      </w:pPr>
    </w:p>
    <w:p w14:paraId="448C403E" w14:textId="77777777" w:rsidR="00FD0B4F" w:rsidRPr="00515872" w:rsidRDefault="00FD0B4F" w:rsidP="00176F9A">
      <w:pPr>
        <w:pStyle w:val="Sottoparagrafo"/>
        <w:rPr>
          <w:rFonts w:cs="Tahoma"/>
          <w:lang w:eastAsia="it-IT"/>
        </w:rPr>
      </w:pPr>
      <w:bookmarkStart w:id="15" w:name="_Toc95912213"/>
      <w:r w:rsidRPr="00515872">
        <w:rPr>
          <w:rFonts w:cs="Tahoma"/>
          <w:lang w:eastAsia="it-IT"/>
        </w:rPr>
        <w:t xml:space="preserve">2.1.4 </w:t>
      </w:r>
      <w:r w:rsidR="005747B2" w:rsidRPr="00515872">
        <w:rPr>
          <w:rFonts w:cs="Tahoma"/>
          <w:lang w:eastAsia="it-IT"/>
        </w:rPr>
        <w:t>A</w:t>
      </w:r>
      <w:r w:rsidRPr="00515872">
        <w:rPr>
          <w:rFonts w:cs="Tahoma"/>
          <w:lang w:eastAsia="it-IT"/>
        </w:rPr>
        <w:t>ccettazione della carica</w:t>
      </w:r>
      <w:bookmarkEnd w:id="15"/>
    </w:p>
    <w:p w14:paraId="5389566D" w14:textId="77777777" w:rsidR="00AA69CF" w:rsidRPr="00515872" w:rsidRDefault="00FD0B4F" w:rsidP="00773B1D">
      <w:pPr>
        <w:spacing w:line="360" w:lineRule="auto"/>
        <w:jc w:val="both"/>
        <w:rPr>
          <w:rFonts w:cs="Tahoma"/>
          <w:lang w:eastAsia="it-IT"/>
        </w:rPr>
      </w:pPr>
      <w:r w:rsidRPr="00515872">
        <w:rPr>
          <w:rFonts w:cs="Tahoma"/>
          <w:lang w:eastAsia="it-IT"/>
        </w:rPr>
        <w:t xml:space="preserve">Non sono previste, a livello normativo, regole </w:t>
      </w:r>
      <w:r w:rsidR="00855553" w:rsidRPr="00515872">
        <w:rPr>
          <w:rFonts w:cs="Tahoma"/>
          <w:lang w:eastAsia="it-IT"/>
        </w:rPr>
        <w:t>specifiche</w:t>
      </w:r>
      <w:r w:rsidRPr="00515872">
        <w:rPr>
          <w:rFonts w:cs="Tahoma"/>
          <w:lang w:eastAsia="it-IT"/>
        </w:rPr>
        <w:t xml:space="preserve"> in merito all</w:t>
      </w:r>
      <w:r w:rsidR="00095291" w:rsidRPr="00515872">
        <w:rPr>
          <w:rFonts w:cs="Tahoma"/>
          <w:lang w:eastAsia="it-IT"/>
        </w:rPr>
        <w:t>e modalità di</w:t>
      </w:r>
      <w:r w:rsidRPr="00515872">
        <w:rPr>
          <w:rFonts w:cs="Tahoma"/>
          <w:lang w:eastAsia="it-IT"/>
        </w:rPr>
        <w:t xml:space="preserve"> comunicazione al revisore dell’</w:t>
      </w:r>
      <w:r w:rsidR="008852C1" w:rsidRPr="00515872">
        <w:rPr>
          <w:rFonts w:cs="Tahoma"/>
          <w:lang w:eastAsia="it-IT"/>
        </w:rPr>
        <w:t xml:space="preserve">avvenuta </w:t>
      </w:r>
      <w:r w:rsidRPr="00515872">
        <w:rPr>
          <w:rFonts w:cs="Tahoma"/>
          <w:lang w:eastAsia="it-IT"/>
        </w:rPr>
        <w:t xml:space="preserve">estrazione e </w:t>
      </w:r>
      <w:r w:rsidR="00095291" w:rsidRPr="00515872">
        <w:rPr>
          <w:rFonts w:cs="Tahoma"/>
          <w:lang w:eastAsia="it-IT"/>
        </w:rPr>
        <w:t xml:space="preserve">di </w:t>
      </w:r>
      <w:r w:rsidRPr="00515872">
        <w:rPr>
          <w:rFonts w:cs="Tahoma"/>
          <w:lang w:eastAsia="it-IT"/>
        </w:rPr>
        <w:t xml:space="preserve">accettazione della carica da parte di questi. Si ritiene, tuttavia, che </w:t>
      </w:r>
      <w:r w:rsidR="00855553" w:rsidRPr="00515872">
        <w:rPr>
          <w:rFonts w:cs="Tahoma"/>
          <w:lang w:eastAsia="it-IT"/>
        </w:rPr>
        <w:t>la prima debba avvenire con mezzi idonei ad assicurar</w:t>
      </w:r>
      <w:r w:rsidR="008F0487" w:rsidRPr="00515872">
        <w:rPr>
          <w:rFonts w:cs="Tahoma"/>
          <w:lang w:eastAsia="it-IT"/>
        </w:rPr>
        <w:t xml:space="preserve">e che </w:t>
      </w:r>
      <w:r w:rsidR="006A2AE6" w:rsidRPr="00515872">
        <w:rPr>
          <w:rFonts w:cs="Tahoma"/>
          <w:lang w:eastAsia="it-IT"/>
        </w:rPr>
        <w:t>l’interessato sia informato del sorteggio</w:t>
      </w:r>
      <w:r w:rsidR="008F0487" w:rsidRPr="00515872">
        <w:rPr>
          <w:rFonts w:cs="Tahoma"/>
          <w:lang w:eastAsia="it-IT"/>
        </w:rPr>
        <w:t xml:space="preserve"> e che la seconda </w:t>
      </w:r>
      <w:r w:rsidRPr="00515872">
        <w:rPr>
          <w:rFonts w:cs="Tahoma"/>
          <w:lang w:eastAsia="it-IT"/>
        </w:rPr>
        <w:t>debba essere resa in forma scritta</w:t>
      </w:r>
      <w:r w:rsidR="005747B2" w:rsidRPr="00515872">
        <w:rPr>
          <w:rFonts w:cs="Tahoma"/>
          <w:lang w:eastAsia="it-IT"/>
        </w:rPr>
        <w:t xml:space="preserve">, </w:t>
      </w:r>
      <w:r w:rsidRPr="00515872">
        <w:rPr>
          <w:rFonts w:cs="Tahoma"/>
          <w:lang w:eastAsia="it-IT"/>
        </w:rPr>
        <w:t xml:space="preserve">anche al fine di </w:t>
      </w:r>
      <w:r w:rsidR="005747B2" w:rsidRPr="00515872">
        <w:rPr>
          <w:rFonts w:cs="Tahoma"/>
          <w:lang w:eastAsia="it-IT"/>
        </w:rPr>
        <w:t>produrre la dichiarazione</w:t>
      </w:r>
      <w:r w:rsidRPr="00515872">
        <w:rPr>
          <w:rFonts w:cs="Tahoma"/>
          <w:lang w:eastAsia="it-IT"/>
        </w:rPr>
        <w:t xml:space="preserve"> </w:t>
      </w:r>
      <w:r w:rsidR="00290F13" w:rsidRPr="00515872">
        <w:rPr>
          <w:rFonts w:cs="Tahoma"/>
          <w:lang w:eastAsia="it-IT"/>
        </w:rPr>
        <w:t>di</w:t>
      </w:r>
      <w:r w:rsidRPr="00515872">
        <w:rPr>
          <w:rFonts w:cs="Tahoma"/>
          <w:lang w:eastAsia="it-IT"/>
        </w:rPr>
        <w:t xml:space="preserve"> sussistenza dei requisiti per l’esercizio della carica</w:t>
      </w:r>
      <w:r w:rsidR="005747B2" w:rsidRPr="00515872">
        <w:rPr>
          <w:rFonts w:cs="Tahoma"/>
          <w:lang w:eastAsia="it-IT"/>
        </w:rPr>
        <w:t xml:space="preserve"> e di</w:t>
      </w:r>
      <w:r w:rsidRPr="00515872">
        <w:rPr>
          <w:rFonts w:cs="Tahoma"/>
          <w:lang w:eastAsia="it-IT"/>
        </w:rPr>
        <w:t xml:space="preserve"> delimitare il periodo temporale a decorrere dal quale iniziano a maturare oneri e responsabilità del revisore neonominato. Una specifica disciplina può essere contenuta nel regolamento di contabilità </w:t>
      </w:r>
      <w:r w:rsidR="00A738B7" w:rsidRPr="00515872">
        <w:rPr>
          <w:rFonts w:cs="Tahoma"/>
          <w:lang w:eastAsia="it-IT"/>
        </w:rPr>
        <w:t xml:space="preserve">dell’ente </w:t>
      </w:r>
      <w:r w:rsidRPr="00515872">
        <w:rPr>
          <w:rFonts w:cs="Tahoma"/>
          <w:lang w:eastAsia="it-IT"/>
        </w:rPr>
        <w:t xml:space="preserve">che il revisore è </w:t>
      </w:r>
      <w:r w:rsidR="00A738B7" w:rsidRPr="00515872">
        <w:rPr>
          <w:rFonts w:cs="Tahoma"/>
          <w:lang w:eastAsia="it-IT"/>
        </w:rPr>
        <w:t xml:space="preserve">sempre </w:t>
      </w:r>
      <w:r w:rsidRPr="00515872">
        <w:rPr>
          <w:rFonts w:cs="Tahoma"/>
          <w:lang w:eastAsia="it-IT"/>
        </w:rPr>
        <w:t xml:space="preserve">tenuto </w:t>
      </w:r>
      <w:r w:rsidR="002B6A1D" w:rsidRPr="00515872">
        <w:rPr>
          <w:rFonts w:cs="Tahoma"/>
          <w:lang w:eastAsia="it-IT"/>
        </w:rPr>
        <w:t>a</w:t>
      </w:r>
      <w:r w:rsidR="006A2AE6" w:rsidRPr="00515872">
        <w:rPr>
          <w:rFonts w:cs="Tahoma"/>
          <w:lang w:eastAsia="it-IT"/>
        </w:rPr>
        <w:t>d</w:t>
      </w:r>
      <w:r w:rsidRPr="00515872">
        <w:rPr>
          <w:rFonts w:cs="Tahoma"/>
          <w:lang w:eastAsia="it-IT"/>
        </w:rPr>
        <w:t xml:space="preserve"> esaminare prima di procedere all’accettazione.</w:t>
      </w:r>
      <w:r w:rsidR="00187D3C" w:rsidRPr="00515872">
        <w:rPr>
          <w:rFonts w:cs="Tahoma"/>
          <w:lang w:eastAsia="it-IT"/>
        </w:rPr>
        <w:t xml:space="preserve"> In tale documento</w:t>
      </w:r>
      <w:r w:rsidR="005747B2" w:rsidRPr="00515872">
        <w:rPr>
          <w:rFonts w:cs="Tahoma"/>
          <w:lang w:eastAsia="it-IT"/>
        </w:rPr>
        <w:t xml:space="preserve"> </w:t>
      </w:r>
      <w:r w:rsidR="00290F13" w:rsidRPr="00515872">
        <w:rPr>
          <w:rFonts w:cs="Tahoma"/>
          <w:lang w:eastAsia="it-IT"/>
        </w:rPr>
        <w:t>il</w:t>
      </w:r>
      <w:r w:rsidR="005747B2" w:rsidRPr="00515872">
        <w:rPr>
          <w:rFonts w:cs="Tahoma"/>
          <w:lang w:eastAsia="it-IT"/>
        </w:rPr>
        <w:t xml:space="preserve"> revisore può </w:t>
      </w:r>
      <w:r w:rsidR="00187D3C" w:rsidRPr="00515872">
        <w:rPr>
          <w:rFonts w:cs="Tahoma"/>
          <w:lang w:eastAsia="it-IT"/>
        </w:rPr>
        <w:t xml:space="preserve">anche rilevare eventuali </w:t>
      </w:r>
      <w:r w:rsidR="00795889" w:rsidRPr="00515872">
        <w:rPr>
          <w:rFonts w:cs="Tahoma"/>
          <w:lang w:eastAsia="it-IT"/>
        </w:rPr>
        <w:t>funzioni aggiuntive previst</w:t>
      </w:r>
      <w:r w:rsidR="006A2AE6" w:rsidRPr="00515872">
        <w:rPr>
          <w:rFonts w:cs="Tahoma"/>
          <w:lang w:eastAsia="it-IT"/>
        </w:rPr>
        <w:t>e</w:t>
      </w:r>
      <w:r w:rsidR="00795889" w:rsidRPr="00515872">
        <w:rPr>
          <w:rFonts w:cs="Tahoma"/>
          <w:lang w:eastAsia="it-IT"/>
        </w:rPr>
        <w:t xml:space="preserve"> a </w:t>
      </w:r>
      <w:r w:rsidR="00BB1134" w:rsidRPr="00515872">
        <w:rPr>
          <w:rFonts w:cs="Tahoma"/>
          <w:lang w:eastAsia="it-IT"/>
        </w:rPr>
        <w:t xml:space="preserve">suo </w:t>
      </w:r>
      <w:r w:rsidR="00795889" w:rsidRPr="00515872">
        <w:rPr>
          <w:rFonts w:cs="Tahoma"/>
          <w:lang w:eastAsia="it-IT"/>
        </w:rPr>
        <w:t>carico.</w:t>
      </w:r>
    </w:p>
    <w:p w14:paraId="56C56D83" w14:textId="77777777" w:rsidR="00773B1D" w:rsidRPr="00515872" w:rsidRDefault="00773B1D" w:rsidP="00773B1D">
      <w:pPr>
        <w:spacing w:line="360" w:lineRule="auto"/>
        <w:jc w:val="both"/>
        <w:rPr>
          <w:rFonts w:cs="Tahoma"/>
          <w:b/>
          <w:bCs/>
          <w:i/>
          <w:color w:val="000000"/>
          <w:sz w:val="22"/>
          <w:szCs w:val="24"/>
          <w:highlight w:val="yellow"/>
          <w:lang w:eastAsia="it-IT"/>
        </w:rPr>
      </w:pPr>
    </w:p>
    <w:p w14:paraId="6F07133A" w14:textId="77777777" w:rsidR="00C460C0" w:rsidRPr="00515872" w:rsidRDefault="006E3962" w:rsidP="00176F9A">
      <w:pPr>
        <w:pStyle w:val="Sottoparagrafo"/>
        <w:rPr>
          <w:rFonts w:cs="Tahoma"/>
          <w:lang w:eastAsia="it-IT"/>
        </w:rPr>
      </w:pPr>
      <w:bookmarkStart w:id="16" w:name="_Toc95912214"/>
      <w:r w:rsidRPr="00515872">
        <w:rPr>
          <w:rFonts w:cs="Tahoma"/>
          <w:lang w:eastAsia="it-IT"/>
        </w:rPr>
        <w:t>2.1.5 Enti appartenenti a</w:t>
      </w:r>
      <w:r w:rsidR="00C460C0" w:rsidRPr="00515872">
        <w:rPr>
          <w:rFonts w:cs="Tahoma"/>
          <w:lang w:eastAsia="it-IT"/>
        </w:rPr>
        <w:t xml:space="preserve"> Regioni a statuto speciale</w:t>
      </w:r>
      <w:bookmarkEnd w:id="16"/>
    </w:p>
    <w:p w14:paraId="7D7993B3" w14:textId="77777777" w:rsidR="00BF47BA" w:rsidRPr="00515872" w:rsidRDefault="00BF47BA" w:rsidP="00C460C0">
      <w:pPr>
        <w:spacing w:line="360" w:lineRule="auto"/>
        <w:jc w:val="both"/>
        <w:rPr>
          <w:rFonts w:cs="Tahoma"/>
          <w:bCs/>
        </w:rPr>
      </w:pPr>
      <w:r w:rsidRPr="00515872">
        <w:rPr>
          <w:rFonts w:cs="Tahoma"/>
          <w:bCs/>
        </w:rPr>
        <w:t>Il</w:t>
      </w:r>
      <w:r w:rsidR="00C460C0" w:rsidRPr="00515872">
        <w:rPr>
          <w:rFonts w:cs="Tahoma"/>
          <w:bCs/>
        </w:rPr>
        <w:t xml:space="preserve"> sistema </w:t>
      </w:r>
      <w:r w:rsidRPr="00515872">
        <w:rPr>
          <w:rFonts w:cs="Tahoma"/>
          <w:bCs/>
        </w:rPr>
        <w:t xml:space="preserve">di estrazione sopra descritto </w:t>
      </w:r>
      <w:r w:rsidR="00C460C0" w:rsidRPr="00515872">
        <w:rPr>
          <w:rFonts w:cs="Tahoma"/>
          <w:bCs/>
        </w:rPr>
        <w:t xml:space="preserve">è </w:t>
      </w:r>
      <w:r w:rsidR="008E7002" w:rsidRPr="00515872">
        <w:rPr>
          <w:rFonts w:cs="Tahoma"/>
          <w:bCs/>
        </w:rPr>
        <w:t xml:space="preserve">immediatamente </w:t>
      </w:r>
      <w:r w:rsidR="00C460C0" w:rsidRPr="00515872">
        <w:rPr>
          <w:rFonts w:cs="Tahoma"/>
          <w:bCs/>
        </w:rPr>
        <w:t xml:space="preserve">applicabile agli enti </w:t>
      </w:r>
      <w:r w:rsidR="008E7002" w:rsidRPr="00515872">
        <w:rPr>
          <w:rFonts w:cs="Tahoma"/>
          <w:bCs/>
        </w:rPr>
        <w:t>ricadenti n</w:t>
      </w:r>
      <w:r w:rsidR="00C460C0" w:rsidRPr="00515872">
        <w:rPr>
          <w:rFonts w:cs="Tahoma"/>
          <w:bCs/>
        </w:rPr>
        <w:t xml:space="preserve">elle </w:t>
      </w:r>
      <w:r w:rsidR="00571065" w:rsidRPr="00515872">
        <w:rPr>
          <w:rFonts w:cs="Tahoma"/>
          <w:bCs/>
        </w:rPr>
        <w:t>r</w:t>
      </w:r>
      <w:r w:rsidR="00C460C0" w:rsidRPr="00515872">
        <w:rPr>
          <w:rFonts w:cs="Tahoma"/>
          <w:bCs/>
        </w:rPr>
        <w:t xml:space="preserve">egioni a statuto ordinario, mentre non </w:t>
      </w:r>
      <w:r w:rsidR="008E7002" w:rsidRPr="00515872">
        <w:rPr>
          <w:rFonts w:cs="Tahoma"/>
          <w:bCs/>
        </w:rPr>
        <w:t>lo è</w:t>
      </w:r>
      <w:r w:rsidRPr="00515872">
        <w:rPr>
          <w:rFonts w:cs="Tahoma"/>
          <w:bCs/>
        </w:rPr>
        <w:t xml:space="preserve"> per quelli </w:t>
      </w:r>
      <w:r w:rsidR="008E7002" w:rsidRPr="00515872">
        <w:rPr>
          <w:rFonts w:cs="Tahoma"/>
          <w:bCs/>
        </w:rPr>
        <w:t>ubicati</w:t>
      </w:r>
      <w:r w:rsidRPr="00515872">
        <w:rPr>
          <w:rFonts w:cs="Tahoma"/>
          <w:bCs/>
        </w:rPr>
        <w:t xml:space="preserve"> nel</w:t>
      </w:r>
      <w:r w:rsidR="00C460C0" w:rsidRPr="00515872">
        <w:rPr>
          <w:rFonts w:cs="Tahoma"/>
          <w:bCs/>
        </w:rPr>
        <w:t xml:space="preserve">le </w:t>
      </w:r>
      <w:r w:rsidR="00571065" w:rsidRPr="00515872">
        <w:rPr>
          <w:rFonts w:cs="Tahoma"/>
          <w:bCs/>
        </w:rPr>
        <w:t>r</w:t>
      </w:r>
      <w:r w:rsidR="00C460C0" w:rsidRPr="00515872">
        <w:rPr>
          <w:rFonts w:cs="Tahoma"/>
          <w:bCs/>
        </w:rPr>
        <w:t>egioni a statuto speciale</w:t>
      </w:r>
      <w:r w:rsidRPr="00515872">
        <w:rPr>
          <w:rFonts w:cs="Tahoma"/>
          <w:bCs/>
        </w:rPr>
        <w:t xml:space="preserve">. </w:t>
      </w:r>
      <w:r w:rsidR="000E6157" w:rsidRPr="00515872">
        <w:rPr>
          <w:rFonts w:cs="Tahoma"/>
          <w:bCs/>
        </w:rPr>
        <w:t xml:space="preserve">L’applicazione a questi ultimi, infatti, si realizza previo recepimento da parte delle relative </w:t>
      </w:r>
      <w:r w:rsidR="00571065" w:rsidRPr="00515872">
        <w:rPr>
          <w:rFonts w:cs="Tahoma"/>
          <w:bCs/>
        </w:rPr>
        <w:t>r</w:t>
      </w:r>
      <w:r w:rsidRPr="00515872">
        <w:rPr>
          <w:rFonts w:cs="Tahoma"/>
          <w:bCs/>
        </w:rPr>
        <w:t>egioni</w:t>
      </w:r>
      <w:r w:rsidR="000E6157" w:rsidRPr="00515872">
        <w:rPr>
          <w:rFonts w:cs="Tahoma"/>
          <w:bCs/>
        </w:rPr>
        <w:t xml:space="preserve"> di appartenenza, mediante </w:t>
      </w:r>
      <w:r w:rsidR="00C460C0" w:rsidRPr="00515872">
        <w:rPr>
          <w:rFonts w:cs="Tahoma"/>
          <w:bCs/>
        </w:rPr>
        <w:t>legge regionale</w:t>
      </w:r>
      <w:r w:rsidR="000E6157" w:rsidRPr="00515872">
        <w:rPr>
          <w:rFonts w:cs="Tahoma"/>
          <w:bCs/>
        </w:rPr>
        <w:t>, del</w:t>
      </w:r>
      <w:r w:rsidR="00C460C0" w:rsidRPr="00515872">
        <w:rPr>
          <w:rFonts w:cs="Tahoma"/>
          <w:bCs/>
        </w:rPr>
        <w:t xml:space="preserve"> disposto del</w:t>
      </w:r>
      <w:r w:rsidRPr="00515872">
        <w:rPr>
          <w:rFonts w:cs="Tahoma"/>
          <w:bCs/>
        </w:rPr>
        <w:t>l’</w:t>
      </w:r>
      <w:r w:rsidR="00C460C0" w:rsidRPr="00515872">
        <w:rPr>
          <w:rFonts w:cs="Tahoma"/>
          <w:bCs/>
        </w:rPr>
        <w:t xml:space="preserve">art. 16, </w:t>
      </w:r>
      <w:r w:rsidR="00C75BE7" w:rsidRPr="00515872">
        <w:rPr>
          <w:rFonts w:cs="Tahoma"/>
          <w:bCs/>
        </w:rPr>
        <w:t>c.</w:t>
      </w:r>
      <w:r w:rsidR="00C460C0" w:rsidRPr="00515872">
        <w:rPr>
          <w:rFonts w:cs="Tahoma"/>
          <w:bCs/>
        </w:rPr>
        <w:t xml:space="preserve"> 25.</w:t>
      </w:r>
    </w:p>
    <w:p w14:paraId="3C242F24" w14:textId="77777777" w:rsidR="007E176C" w:rsidRPr="00515872" w:rsidRDefault="007E176C" w:rsidP="00176F9A">
      <w:pPr>
        <w:spacing w:after="0" w:line="360" w:lineRule="auto"/>
        <w:jc w:val="both"/>
        <w:rPr>
          <w:rFonts w:cs="Tahoma"/>
          <w:b/>
          <w:bCs/>
        </w:rPr>
      </w:pPr>
    </w:p>
    <w:p w14:paraId="53314E52" w14:textId="77777777" w:rsidR="00571065" w:rsidRPr="00515872" w:rsidRDefault="00571065" w:rsidP="00176F9A">
      <w:pPr>
        <w:spacing w:after="0" w:line="360" w:lineRule="auto"/>
        <w:jc w:val="both"/>
        <w:rPr>
          <w:rFonts w:cs="Tahoma"/>
          <w:b/>
          <w:bCs/>
        </w:rPr>
      </w:pPr>
      <w:r w:rsidRPr="00515872">
        <w:rPr>
          <w:rFonts w:cs="Tahoma"/>
          <w:b/>
          <w:bCs/>
        </w:rPr>
        <w:lastRenderedPageBreak/>
        <w:t>Regione Sardegna</w:t>
      </w:r>
    </w:p>
    <w:p w14:paraId="25967C41" w14:textId="77777777" w:rsidR="00902170" w:rsidRPr="00515872" w:rsidRDefault="00C460C0" w:rsidP="00C460C0">
      <w:pPr>
        <w:spacing w:line="360" w:lineRule="auto"/>
        <w:jc w:val="both"/>
        <w:rPr>
          <w:rFonts w:cs="Tahoma"/>
        </w:rPr>
      </w:pPr>
      <w:r w:rsidRPr="00515872">
        <w:rPr>
          <w:rFonts w:cs="Tahoma"/>
          <w:bCs/>
        </w:rPr>
        <w:t xml:space="preserve">Tra </w:t>
      </w:r>
      <w:r w:rsidR="007E0AAC" w:rsidRPr="00515872">
        <w:rPr>
          <w:rFonts w:cs="Tahoma"/>
          <w:bCs/>
        </w:rPr>
        <w:t xml:space="preserve">le </w:t>
      </w:r>
      <w:r w:rsidR="00571065" w:rsidRPr="00515872">
        <w:rPr>
          <w:rFonts w:cs="Tahoma"/>
          <w:bCs/>
        </w:rPr>
        <w:t>r</w:t>
      </w:r>
      <w:r w:rsidR="007E0AAC" w:rsidRPr="00515872">
        <w:rPr>
          <w:rFonts w:cs="Tahoma"/>
          <w:bCs/>
        </w:rPr>
        <w:t xml:space="preserve">egioni a statuto speciale, </w:t>
      </w:r>
      <w:r w:rsidR="00BF47BA" w:rsidRPr="00515872">
        <w:rPr>
          <w:rFonts w:cs="Tahoma"/>
          <w:bCs/>
        </w:rPr>
        <w:t xml:space="preserve">la prima a tentare la via del recepimento </w:t>
      </w:r>
      <w:r w:rsidR="006A2AE6" w:rsidRPr="00515872">
        <w:rPr>
          <w:rFonts w:cs="Tahoma"/>
          <w:bCs/>
        </w:rPr>
        <w:t>è</w:t>
      </w:r>
      <w:r w:rsidR="00BF47BA" w:rsidRPr="00515872">
        <w:rPr>
          <w:rFonts w:cs="Tahoma"/>
          <w:bCs/>
        </w:rPr>
        <w:t xml:space="preserve"> stata </w:t>
      </w:r>
      <w:r w:rsidRPr="00515872">
        <w:rPr>
          <w:rFonts w:cs="Tahoma"/>
          <w:bCs/>
        </w:rPr>
        <w:t>la Sardegna che aveva iniziato, nel giungo del 2012, le procedure per l’adozione del sistema in parola, salvo poi sospenderne l’applicazione con la propria L.R. 8 febbraio 2013, n. 3.</w:t>
      </w:r>
      <w:r w:rsidR="0093243B" w:rsidRPr="00515872">
        <w:rPr>
          <w:rFonts w:cs="Tahoma"/>
          <w:bCs/>
        </w:rPr>
        <w:t xml:space="preserve"> S</w:t>
      </w:r>
      <w:r w:rsidR="00D6691F" w:rsidRPr="00515872">
        <w:rPr>
          <w:rFonts w:cs="Tahoma"/>
          <w:bCs/>
        </w:rPr>
        <w:t>uccessivamente</w:t>
      </w:r>
      <w:r w:rsidR="0093243B" w:rsidRPr="00515872">
        <w:rPr>
          <w:rFonts w:cs="Tahoma"/>
          <w:bCs/>
        </w:rPr>
        <w:t>, con d</w:t>
      </w:r>
      <w:r w:rsidR="00994F07" w:rsidRPr="00515872">
        <w:rPr>
          <w:rFonts w:cs="Tahoma"/>
          <w:bCs/>
        </w:rPr>
        <w:t xml:space="preserve">eliberazione n. 14/35 del 23 marzo 2016, </w:t>
      </w:r>
      <w:r w:rsidR="00994F07" w:rsidRPr="00515872">
        <w:rPr>
          <w:rFonts w:cs="Tahoma"/>
        </w:rPr>
        <w:t xml:space="preserve">la </w:t>
      </w:r>
      <w:r w:rsidR="00571065" w:rsidRPr="00515872">
        <w:rPr>
          <w:rFonts w:cs="Tahoma"/>
        </w:rPr>
        <w:t>g</w:t>
      </w:r>
      <w:r w:rsidR="00994F07" w:rsidRPr="00515872">
        <w:rPr>
          <w:rFonts w:cs="Tahoma"/>
        </w:rPr>
        <w:t>iunta regionale ha approvato i criteri per la redazione dell’elenco dei revisori dei conti degli enti locali</w:t>
      </w:r>
      <w:r w:rsidR="00081EEE" w:rsidRPr="00515872">
        <w:rPr>
          <w:rFonts w:cs="Tahoma"/>
        </w:rPr>
        <w:t>.</w:t>
      </w:r>
      <w:r w:rsidR="00994F07" w:rsidRPr="00515872">
        <w:rPr>
          <w:rFonts w:cs="Tahoma"/>
        </w:rPr>
        <w:t xml:space="preserve"> </w:t>
      </w:r>
      <w:r w:rsidR="0093243B" w:rsidRPr="00515872">
        <w:rPr>
          <w:rFonts w:cs="Tahoma"/>
        </w:rPr>
        <w:t xml:space="preserve">Esso è stato </w:t>
      </w:r>
      <w:r w:rsidR="00994F07" w:rsidRPr="00515872">
        <w:rPr>
          <w:rFonts w:cs="Tahoma"/>
        </w:rPr>
        <w:t>previsto dall’art</w:t>
      </w:r>
      <w:r w:rsidR="00571065" w:rsidRPr="00515872">
        <w:rPr>
          <w:rFonts w:cs="Tahoma"/>
        </w:rPr>
        <w:t>.</w:t>
      </w:r>
      <w:r w:rsidR="00994F07" w:rsidRPr="00515872">
        <w:rPr>
          <w:rFonts w:cs="Tahoma"/>
        </w:rPr>
        <w:t xml:space="preserve"> 36 della </w:t>
      </w:r>
      <w:r w:rsidR="0093243B" w:rsidRPr="00515872">
        <w:rPr>
          <w:rFonts w:cs="Tahoma"/>
        </w:rPr>
        <w:t>L.R.</w:t>
      </w:r>
      <w:r w:rsidR="00994F07" w:rsidRPr="00515872">
        <w:rPr>
          <w:rFonts w:cs="Tahoma"/>
        </w:rPr>
        <w:t xml:space="preserve"> 4 febbraio 2016, n. 2 concernente il riordino del sistema delle autonomie locali della Sardegna</w:t>
      </w:r>
      <w:r w:rsidR="00D6691F" w:rsidRPr="00515872">
        <w:rPr>
          <w:rFonts w:cs="Tahoma"/>
        </w:rPr>
        <w:t xml:space="preserve"> ed è operativo dall’aprile 2017</w:t>
      </w:r>
      <w:r w:rsidR="00994F07" w:rsidRPr="00515872">
        <w:rPr>
          <w:rFonts w:cs="Tahoma"/>
        </w:rPr>
        <w:t>.</w:t>
      </w:r>
    </w:p>
    <w:p w14:paraId="192982A3" w14:textId="77777777" w:rsidR="00487707" w:rsidRPr="00515872" w:rsidRDefault="007D032F" w:rsidP="00C460C0">
      <w:pPr>
        <w:spacing w:line="360" w:lineRule="auto"/>
        <w:jc w:val="both"/>
        <w:rPr>
          <w:rFonts w:cs="Tahoma"/>
        </w:rPr>
      </w:pPr>
      <w:r w:rsidRPr="00515872">
        <w:rPr>
          <w:rFonts w:cs="Tahoma"/>
        </w:rPr>
        <w:t>Con una modifica dell’art. 36 della L.R. n. 2/2016 è stata estesa agli iscritti all’ordine dei dottori commercialisti e degli esperti contabili la possibilità di accedere all’incarico in parola, in precedenza riservata dalla legge regionale ai soli iscritti al r</w:t>
      </w:r>
      <w:r w:rsidR="00487707" w:rsidRPr="00515872">
        <w:rPr>
          <w:rFonts w:cs="Tahoma"/>
        </w:rPr>
        <w:t>egistro dei revisori dei conti.</w:t>
      </w:r>
    </w:p>
    <w:p w14:paraId="68856374" w14:textId="77777777" w:rsidR="00487707" w:rsidRPr="00515872" w:rsidRDefault="00487707" w:rsidP="00BC17E0">
      <w:pPr>
        <w:spacing w:after="0" w:line="360" w:lineRule="auto"/>
        <w:jc w:val="both"/>
        <w:rPr>
          <w:rFonts w:cs="Tahoma"/>
        </w:rPr>
      </w:pPr>
      <w:r w:rsidRPr="00515872">
        <w:rPr>
          <w:rFonts w:cs="Tahoma"/>
        </w:rPr>
        <w:t>Al riguardo si evidenzia che:</w:t>
      </w:r>
    </w:p>
    <w:p w14:paraId="60455AD7"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i c</w:t>
      </w:r>
      <w:r w:rsidR="00487707" w:rsidRPr="00515872">
        <w:rPr>
          <w:rFonts w:cs="Tahoma"/>
        </w:rPr>
        <w:t>omuni sono stati raggruppati per fasce di popolazione;</w:t>
      </w:r>
    </w:p>
    <w:p w14:paraId="5FBAD40D"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è</w:t>
      </w:r>
      <w:r w:rsidR="00487707" w:rsidRPr="00515872">
        <w:rPr>
          <w:rFonts w:cs="Tahoma"/>
        </w:rPr>
        <w:t xml:space="preserve"> richiesta una anzianità di </w:t>
      </w:r>
      <w:r w:rsidRPr="00515872">
        <w:rPr>
          <w:rFonts w:cs="Tahoma"/>
        </w:rPr>
        <w:t>iscrizione minima (2 anni) nel r</w:t>
      </w:r>
      <w:r w:rsidR="00487707" w:rsidRPr="00515872">
        <w:rPr>
          <w:rFonts w:cs="Tahoma"/>
        </w:rPr>
        <w:t>egistr</w:t>
      </w:r>
      <w:r w:rsidRPr="00515872">
        <w:rPr>
          <w:rFonts w:cs="Tahoma"/>
        </w:rPr>
        <w:t>o dei revisori legali/albo dei Dottori Commerciali ed Esperti C</w:t>
      </w:r>
      <w:r w:rsidR="00487707" w:rsidRPr="00515872">
        <w:rPr>
          <w:rFonts w:cs="Tahoma"/>
        </w:rPr>
        <w:t xml:space="preserve">ontabili e una specifica qualificazione professionale; </w:t>
      </w:r>
    </w:p>
    <w:p w14:paraId="1D65F0C9"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è</w:t>
      </w:r>
      <w:r w:rsidR="00487707" w:rsidRPr="00515872">
        <w:rPr>
          <w:rFonts w:cs="Tahoma"/>
        </w:rPr>
        <w:t xml:space="preserve"> prescritta, sia ai fini dell'iscrizione che del mantenimento nell’elenco dei revisori dei</w:t>
      </w:r>
      <w:r w:rsidRPr="00515872">
        <w:rPr>
          <w:rFonts w:cs="Tahoma"/>
        </w:rPr>
        <w:t xml:space="preserve"> conti degli enti locali della r</w:t>
      </w:r>
      <w:r w:rsidR="00487707" w:rsidRPr="00515872">
        <w:rPr>
          <w:rFonts w:cs="Tahoma"/>
        </w:rPr>
        <w:t xml:space="preserve">egione, l'acquisizione di 10 crediti formativi annuali, da conseguire entro il 30 novembre di ogni anno, riconosciuti dalla </w:t>
      </w:r>
      <w:r w:rsidRPr="00515872">
        <w:rPr>
          <w:rFonts w:cs="Tahoma"/>
        </w:rPr>
        <w:t>r</w:t>
      </w:r>
      <w:r w:rsidR="00487707" w:rsidRPr="00515872">
        <w:rPr>
          <w:rFonts w:cs="Tahoma"/>
        </w:rPr>
        <w:t>egione Sardegna, per aver partecipato a corsi e/o seminari in materia di contabilità pubbl</w:t>
      </w:r>
      <w:r w:rsidRPr="00515872">
        <w:rPr>
          <w:rFonts w:cs="Tahoma"/>
        </w:rPr>
        <w:t>ica e gestione economica degli e</w:t>
      </w:r>
      <w:r w:rsidR="00487707" w:rsidRPr="00515872">
        <w:rPr>
          <w:rFonts w:cs="Tahoma"/>
        </w:rPr>
        <w:t>nti territoriali</w:t>
      </w:r>
      <w:r w:rsidRPr="00515872">
        <w:rPr>
          <w:rFonts w:cs="Tahoma"/>
        </w:rPr>
        <w:t>;</w:t>
      </w:r>
    </w:p>
    <w:p w14:paraId="6AD2FE5F"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n</w:t>
      </w:r>
      <w:r w:rsidR="00487707" w:rsidRPr="00515872">
        <w:rPr>
          <w:rFonts w:cs="Tahoma"/>
        </w:rPr>
        <w:t>ei comuni con popolazione pari o superiore a 15.000 abitanti la revisione legale dei conti è affidata a un coll</w:t>
      </w:r>
      <w:r w:rsidRPr="00515872">
        <w:rPr>
          <w:rFonts w:cs="Tahoma"/>
        </w:rPr>
        <w:t>egio composto da 3</w:t>
      </w:r>
      <w:r w:rsidR="00487707" w:rsidRPr="00515872">
        <w:rPr>
          <w:rFonts w:cs="Tahoma"/>
        </w:rPr>
        <w:t xml:space="preserve"> membri</w:t>
      </w:r>
      <w:r w:rsidRPr="00515872">
        <w:rPr>
          <w:rFonts w:cs="Tahoma"/>
        </w:rPr>
        <w:t>;</w:t>
      </w:r>
    </w:p>
    <w:p w14:paraId="3B757AEC"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n</w:t>
      </w:r>
      <w:r w:rsidR="00487707" w:rsidRPr="00515872">
        <w:rPr>
          <w:rFonts w:cs="Tahoma"/>
        </w:rPr>
        <w:t>ei comuni con popolazione inferiore a 15.000 abitanti e nelle unioni di comuni la revisione economico-finanziaria è affidata a un solo revisore</w:t>
      </w:r>
      <w:r w:rsidRPr="00515872">
        <w:rPr>
          <w:rFonts w:cs="Tahoma"/>
        </w:rPr>
        <w:t>;</w:t>
      </w:r>
    </w:p>
    <w:p w14:paraId="24F985AE"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n</w:t>
      </w:r>
      <w:r w:rsidR="00487707" w:rsidRPr="00515872">
        <w:rPr>
          <w:rFonts w:cs="Tahoma"/>
        </w:rPr>
        <w:t>el caso in cui le unioni di comuni esercit</w:t>
      </w:r>
      <w:r w:rsidRPr="00515872">
        <w:rPr>
          <w:rFonts w:cs="Tahoma"/>
        </w:rPr>
        <w:t>i</w:t>
      </w:r>
      <w:r w:rsidR="00487707" w:rsidRPr="00515872">
        <w:rPr>
          <w:rFonts w:cs="Tahoma"/>
        </w:rPr>
        <w:t xml:space="preserve">no in forma associata tutte le funzioni fondamentali dei comuni che ne fanno parte, la revisione è svolta da un collegio composto da </w:t>
      </w:r>
      <w:r w:rsidRPr="00515872">
        <w:rPr>
          <w:rFonts w:cs="Tahoma"/>
        </w:rPr>
        <w:t>3</w:t>
      </w:r>
      <w:r w:rsidR="00487707" w:rsidRPr="00515872">
        <w:rPr>
          <w:rFonts w:cs="Tahoma"/>
        </w:rPr>
        <w:t xml:space="preserve"> membri che svolge le medesime funzioni anche per i com</w:t>
      </w:r>
      <w:r w:rsidRPr="00515872">
        <w:rPr>
          <w:rFonts w:cs="Tahoma"/>
        </w:rPr>
        <w:t>uni che fanno parte dell'unione;</w:t>
      </w:r>
    </w:p>
    <w:p w14:paraId="138A24CD" w14:textId="77777777" w:rsidR="00487707" w:rsidRPr="00515872" w:rsidRDefault="00BC17E0" w:rsidP="00D65838">
      <w:pPr>
        <w:pStyle w:val="Paragrafoelenco"/>
        <w:numPr>
          <w:ilvl w:val="0"/>
          <w:numId w:val="212"/>
        </w:numPr>
        <w:spacing w:line="360" w:lineRule="auto"/>
        <w:ind w:left="426"/>
        <w:jc w:val="both"/>
        <w:rPr>
          <w:rFonts w:cs="Tahoma"/>
        </w:rPr>
      </w:pPr>
      <w:r w:rsidRPr="00515872">
        <w:rPr>
          <w:rFonts w:cs="Tahoma"/>
        </w:rPr>
        <w:t>l</w:t>
      </w:r>
      <w:r w:rsidR="00487707" w:rsidRPr="00515872">
        <w:rPr>
          <w:rFonts w:cs="Tahoma"/>
        </w:rPr>
        <w:t xml:space="preserve">'attività di revisione legale dei conti può essere svolta dalle unioni di comuni in forma associata anche per i comuni che ne fanno parte; in tal caso per le unioni di comuni con meno di 15.000 abitanti il revisore è unico. Nelle unioni di comuni con più di 15.000 abitanti il collegio dei revisori è di </w:t>
      </w:r>
      <w:r w:rsidRPr="00515872">
        <w:rPr>
          <w:rFonts w:cs="Tahoma"/>
        </w:rPr>
        <w:t>3</w:t>
      </w:r>
      <w:r w:rsidR="00487707" w:rsidRPr="00515872">
        <w:rPr>
          <w:rFonts w:cs="Tahoma"/>
        </w:rPr>
        <w:t xml:space="preserve"> membri.</w:t>
      </w:r>
    </w:p>
    <w:p w14:paraId="35B295FA" w14:textId="77777777" w:rsidR="00500504" w:rsidRPr="00515872" w:rsidRDefault="005D7E93" w:rsidP="00487707">
      <w:pPr>
        <w:spacing w:line="360" w:lineRule="auto"/>
        <w:jc w:val="both"/>
        <w:rPr>
          <w:rFonts w:cs="Tahoma"/>
        </w:rPr>
      </w:pPr>
      <w:r w:rsidRPr="00515872">
        <w:rPr>
          <w:rStyle w:val="content"/>
          <w:rFonts w:cs="Tahoma"/>
        </w:rPr>
        <w:t xml:space="preserve">La legge regionale consente agli </w:t>
      </w:r>
      <w:r w:rsidR="00500504" w:rsidRPr="00515872">
        <w:rPr>
          <w:rStyle w:val="content"/>
          <w:rFonts w:cs="Tahoma"/>
        </w:rPr>
        <w:t>enti locali, qualora il revisore o il collegio siano al primo mandato, la facoltà di ri</w:t>
      </w:r>
      <w:r w:rsidR="006A2AE6" w:rsidRPr="00515872">
        <w:rPr>
          <w:rStyle w:val="content"/>
          <w:rFonts w:cs="Tahoma"/>
        </w:rPr>
        <w:t xml:space="preserve">nnovarlo per il secondo </w:t>
      </w:r>
      <w:r w:rsidR="00500504" w:rsidRPr="00515872">
        <w:rPr>
          <w:rStyle w:val="content"/>
          <w:rFonts w:cs="Tahoma"/>
        </w:rPr>
        <w:t>senza procedere a</w:t>
      </w:r>
      <w:r w:rsidR="006A2AE6" w:rsidRPr="00515872">
        <w:rPr>
          <w:rStyle w:val="content"/>
          <w:rFonts w:cs="Tahoma"/>
        </w:rPr>
        <w:t xml:space="preserve"> nuova</w:t>
      </w:r>
      <w:r w:rsidR="00500504" w:rsidRPr="00515872">
        <w:rPr>
          <w:rStyle w:val="content"/>
          <w:rFonts w:cs="Tahoma"/>
        </w:rPr>
        <w:t xml:space="preserve"> estrazione</w:t>
      </w:r>
      <w:r w:rsidR="00324E60" w:rsidRPr="00515872">
        <w:rPr>
          <w:rStyle w:val="content"/>
          <w:rFonts w:cs="Tahoma"/>
        </w:rPr>
        <w:t xml:space="preserve"> (disposizione il cui recepimento </w:t>
      </w:r>
      <w:r w:rsidR="00BC17E0" w:rsidRPr="00515872">
        <w:rPr>
          <w:rStyle w:val="content"/>
          <w:rFonts w:cs="Tahoma"/>
        </w:rPr>
        <w:t>è</w:t>
      </w:r>
      <w:r w:rsidR="00324E60" w:rsidRPr="00515872">
        <w:rPr>
          <w:rStyle w:val="content"/>
          <w:rFonts w:cs="Tahoma"/>
        </w:rPr>
        <w:t xml:space="preserve"> auspica</w:t>
      </w:r>
      <w:r w:rsidR="00BC17E0" w:rsidRPr="00515872">
        <w:rPr>
          <w:rStyle w:val="content"/>
          <w:rFonts w:cs="Tahoma"/>
        </w:rPr>
        <w:t>to</w:t>
      </w:r>
      <w:r w:rsidR="00324E60" w:rsidRPr="00515872">
        <w:rPr>
          <w:rStyle w:val="content"/>
          <w:rFonts w:cs="Tahoma"/>
        </w:rPr>
        <w:t xml:space="preserve"> </w:t>
      </w:r>
      <w:r w:rsidR="00BC17E0" w:rsidRPr="00515872">
        <w:rPr>
          <w:rStyle w:val="content"/>
          <w:rFonts w:cs="Tahoma"/>
        </w:rPr>
        <w:t>anche a livello nazionale</w:t>
      </w:r>
      <w:r w:rsidR="00324E60" w:rsidRPr="00515872">
        <w:rPr>
          <w:rStyle w:val="content"/>
          <w:rFonts w:cs="Tahoma"/>
        </w:rPr>
        <w:t>)</w:t>
      </w:r>
      <w:r w:rsidR="00500504" w:rsidRPr="00515872">
        <w:rPr>
          <w:rStyle w:val="content"/>
          <w:rFonts w:cs="Tahoma"/>
        </w:rPr>
        <w:t xml:space="preserve">, con deliberazione dell'organo assembleare. In caso di </w:t>
      </w:r>
      <w:r w:rsidR="00BC17E0" w:rsidRPr="00515872">
        <w:rPr>
          <w:rStyle w:val="content"/>
          <w:rFonts w:cs="Tahoma"/>
        </w:rPr>
        <w:t xml:space="preserve">composizione </w:t>
      </w:r>
      <w:r w:rsidR="00500504" w:rsidRPr="00515872">
        <w:rPr>
          <w:rStyle w:val="content"/>
          <w:rFonts w:cs="Tahoma"/>
        </w:rPr>
        <w:t>collegi</w:t>
      </w:r>
      <w:r w:rsidR="00BC17E0" w:rsidRPr="00515872">
        <w:rPr>
          <w:rStyle w:val="content"/>
          <w:rFonts w:cs="Tahoma"/>
        </w:rPr>
        <w:t>ale</w:t>
      </w:r>
      <w:r w:rsidR="00500504" w:rsidRPr="00515872">
        <w:rPr>
          <w:rStyle w:val="content"/>
          <w:rFonts w:cs="Tahoma"/>
        </w:rPr>
        <w:t xml:space="preserve"> non è ammesso il rinnovo parziale dell'organo.</w:t>
      </w:r>
    </w:p>
    <w:p w14:paraId="1F3078EE" w14:textId="77777777" w:rsidR="007E176C" w:rsidRPr="00515872" w:rsidRDefault="007E176C" w:rsidP="00176F9A">
      <w:pPr>
        <w:spacing w:after="0" w:line="360" w:lineRule="auto"/>
        <w:jc w:val="both"/>
        <w:rPr>
          <w:rFonts w:cs="Tahoma"/>
          <w:b/>
        </w:rPr>
      </w:pPr>
    </w:p>
    <w:p w14:paraId="219C0586" w14:textId="77777777" w:rsidR="007E176C" w:rsidRPr="00515872" w:rsidRDefault="007E176C" w:rsidP="00176F9A">
      <w:pPr>
        <w:spacing w:after="0" w:line="360" w:lineRule="auto"/>
        <w:jc w:val="both"/>
        <w:rPr>
          <w:rFonts w:cs="Tahoma"/>
          <w:b/>
        </w:rPr>
      </w:pPr>
    </w:p>
    <w:p w14:paraId="798CAEF5" w14:textId="77777777" w:rsidR="00571065" w:rsidRPr="00515872" w:rsidRDefault="00571065" w:rsidP="00176F9A">
      <w:pPr>
        <w:spacing w:after="0" w:line="360" w:lineRule="auto"/>
        <w:jc w:val="both"/>
        <w:rPr>
          <w:rFonts w:cs="Tahoma"/>
          <w:b/>
        </w:rPr>
      </w:pPr>
      <w:r w:rsidRPr="00515872">
        <w:rPr>
          <w:rFonts w:cs="Tahoma"/>
          <w:b/>
        </w:rPr>
        <w:lastRenderedPageBreak/>
        <w:t>Regione Friuli Venezia Giulia</w:t>
      </w:r>
    </w:p>
    <w:p w14:paraId="2520DF92" w14:textId="77777777" w:rsidR="00FA6EE6" w:rsidRPr="00515872" w:rsidRDefault="00C460C0" w:rsidP="00C460C0">
      <w:pPr>
        <w:spacing w:line="360" w:lineRule="auto"/>
        <w:jc w:val="both"/>
        <w:rPr>
          <w:rFonts w:cs="Tahoma"/>
          <w:bCs/>
        </w:rPr>
      </w:pPr>
      <w:r w:rsidRPr="00515872">
        <w:rPr>
          <w:rFonts w:cs="Tahoma"/>
          <w:bCs/>
        </w:rPr>
        <w:t xml:space="preserve">La regione Friuli Venezia Giulia si è adeguata alla nuova normativa con L.R. </w:t>
      </w:r>
      <w:r w:rsidR="00F87834" w:rsidRPr="00515872">
        <w:rPr>
          <w:rFonts w:cs="Tahoma"/>
          <w:bCs/>
        </w:rPr>
        <w:t xml:space="preserve">del </w:t>
      </w:r>
      <w:r w:rsidRPr="00515872">
        <w:rPr>
          <w:rFonts w:cs="Tahoma"/>
          <w:bCs/>
        </w:rPr>
        <w:t xml:space="preserve">17 luglio 2015, n. 18, entrata in vigore il 6 agosto dello stesso anno, </w:t>
      </w:r>
      <w:r w:rsidR="00145D05" w:rsidRPr="00515872">
        <w:rPr>
          <w:rFonts w:cs="Tahoma"/>
          <w:bCs/>
        </w:rPr>
        <w:t>prevedendo</w:t>
      </w:r>
      <w:r w:rsidR="007E0AAC" w:rsidRPr="00515872">
        <w:rPr>
          <w:rFonts w:cs="Tahoma"/>
          <w:bCs/>
        </w:rPr>
        <w:t xml:space="preserve"> </w:t>
      </w:r>
      <w:r w:rsidRPr="00515872">
        <w:rPr>
          <w:rFonts w:cs="Tahoma"/>
          <w:bCs/>
        </w:rPr>
        <w:t xml:space="preserve">alcune varianti rispetto alla norma statale sia </w:t>
      </w:r>
      <w:r w:rsidR="00571065" w:rsidRPr="00515872">
        <w:rPr>
          <w:rFonts w:cs="Tahoma"/>
          <w:bCs/>
        </w:rPr>
        <w:t xml:space="preserve">per quanto </w:t>
      </w:r>
      <w:r w:rsidR="00F87834" w:rsidRPr="00515872">
        <w:rPr>
          <w:rFonts w:cs="Tahoma"/>
          <w:bCs/>
        </w:rPr>
        <w:t>attiene</w:t>
      </w:r>
      <w:r w:rsidR="00571065" w:rsidRPr="00515872">
        <w:rPr>
          <w:rFonts w:cs="Tahoma"/>
          <w:bCs/>
        </w:rPr>
        <w:t xml:space="preserve"> l</w:t>
      </w:r>
      <w:r w:rsidR="00F7448F" w:rsidRPr="00515872">
        <w:rPr>
          <w:rFonts w:cs="Tahoma"/>
          <w:bCs/>
        </w:rPr>
        <w:t>a parità</w:t>
      </w:r>
      <w:r w:rsidRPr="00515872">
        <w:rPr>
          <w:rFonts w:cs="Tahoma"/>
          <w:bCs/>
        </w:rPr>
        <w:t xml:space="preserve"> di genere, che </w:t>
      </w:r>
      <w:r w:rsidR="00EB30B3" w:rsidRPr="00515872">
        <w:rPr>
          <w:rFonts w:cs="Tahoma"/>
          <w:bCs/>
        </w:rPr>
        <w:t>per la</w:t>
      </w:r>
      <w:r w:rsidRPr="00515872">
        <w:rPr>
          <w:rFonts w:cs="Tahoma"/>
          <w:bCs/>
        </w:rPr>
        <w:t xml:space="preserve"> rieleggibilità del revisore, </w:t>
      </w:r>
      <w:r w:rsidR="006A2AE6" w:rsidRPr="00515872">
        <w:rPr>
          <w:rFonts w:cs="Tahoma"/>
          <w:bCs/>
        </w:rPr>
        <w:t>che in materia di</w:t>
      </w:r>
      <w:r w:rsidR="00EB30B3" w:rsidRPr="00515872">
        <w:rPr>
          <w:rFonts w:cs="Tahoma"/>
          <w:bCs/>
        </w:rPr>
        <w:t xml:space="preserve"> formazione</w:t>
      </w:r>
      <w:r w:rsidR="00530B9C" w:rsidRPr="00515872">
        <w:rPr>
          <w:rFonts w:cs="Tahoma"/>
          <w:bCs/>
        </w:rPr>
        <w:t xml:space="preserve"> (con un numero minimo di 30 crediti formativi)</w:t>
      </w:r>
      <w:r w:rsidR="00EB30B3" w:rsidRPr="00515872">
        <w:rPr>
          <w:rFonts w:cs="Tahoma"/>
          <w:bCs/>
        </w:rPr>
        <w:t>, che</w:t>
      </w:r>
      <w:r w:rsidRPr="00515872">
        <w:rPr>
          <w:rFonts w:cs="Tahoma"/>
          <w:bCs/>
        </w:rPr>
        <w:t xml:space="preserve">, </w:t>
      </w:r>
      <w:r w:rsidR="007A1A5B" w:rsidRPr="00515872">
        <w:rPr>
          <w:rFonts w:cs="Tahoma"/>
          <w:bCs/>
        </w:rPr>
        <w:t>infine</w:t>
      </w:r>
      <w:r w:rsidRPr="00515872">
        <w:rPr>
          <w:rFonts w:cs="Tahoma"/>
          <w:bCs/>
        </w:rPr>
        <w:t xml:space="preserve">, </w:t>
      </w:r>
      <w:r w:rsidR="006A2AE6" w:rsidRPr="00515872">
        <w:rPr>
          <w:rFonts w:cs="Tahoma"/>
          <w:bCs/>
        </w:rPr>
        <w:t>nell’ambito della</w:t>
      </w:r>
      <w:r w:rsidRPr="00515872">
        <w:rPr>
          <w:rFonts w:cs="Tahoma"/>
          <w:bCs/>
        </w:rPr>
        <w:t xml:space="preserve"> determinazione dei </w:t>
      </w:r>
      <w:r w:rsidR="007E0AAC" w:rsidRPr="00515872">
        <w:rPr>
          <w:rFonts w:cs="Tahoma"/>
          <w:bCs/>
        </w:rPr>
        <w:t xml:space="preserve">compensi prevedendone, in particolare, </w:t>
      </w:r>
      <w:r w:rsidR="00C57D1C" w:rsidRPr="00515872">
        <w:rPr>
          <w:rFonts w:cs="Tahoma"/>
          <w:bCs/>
        </w:rPr>
        <w:t xml:space="preserve">le soglie minime, </w:t>
      </w:r>
      <w:r w:rsidR="00A30CF1" w:rsidRPr="00515872">
        <w:rPr>
          <w:rFonts w:cs="Tahoma"/>
          <w:bCs/>
        </w:rPr>
        <w:t>colmando</w:t>
      </w:r>
      <w:r w:rsidR="006B36D4" w:rsidRPr="00515872">
        <w:rPr>
          <w:rFonts w:cs="Tahoma"/>
          <w:bCs/>
        </w:rPr>
        <w:t xml:space="preserve">, a livello regionale, </w:t>
      </w:r>
      <w:r w:rsidR="00F87834" w:rsidRPr="00515872">
        <w:rPr>
          <w:rFonts w:cs="Tahoma"/>
          <w:bCs/>
        </w:rPr>
        <w:t xml:space="preserve">la </w:t>
      </w:r>
      <w:r w:rsidR="00A30CF1" w:rsidRPr="00515872">
        <w:rPr>
          <w:rFonts w:cs="Tahoma"/>
          <w:bCs/>
        </w:rPr>
        <w:t>lacuna</w:t>
      </w:r>
      <w:r w:rsidR="00F87834" w:rsidRPr="00515872">
        <w:rPr>
          <w:rFonts w:cs="Tahoma"/>
          <w:bCs/>
        </w:rPr>
        <w:t xml:space="preserve"> </w:t>
      </w:r>
      <w:r w:rsidR="00A30CF1" w:rsidRPr="00515872">
        <w:rPr>
          <w:rFonts w:cs="Tahoma"/>
          <w:bCs/>
        </w:rPr>
        <w:t>dell’assenza di un limite minimo al compenso dei revisori nella normativa nazionale</w:t>
      </w:r>
      <w:r w:rsidRPr="00515872">
        <w:rPr>
          <w:rFonts w:cs="Tahoma"/>
          <w:bCs/>
        </w:rPr>
        <w:t>.</w:t>
      </w:r>
    </w:p>
    <w:p w14:paraId="792DB389" w14:textId="77777777" w:rsidR="00FA6EE6" w:rsidRPr="00515872" w:rsidRDefault="00FA6EE6" w:rsidP="00C460C0">
      <w:pPr>
        <w:spacing w:line="360" w:lineRule="auto"/>
        <w:jc w:val="both"/>
        <w:rPr>
          <w:rFonts w:cs="Tahoma"/>
        </w:rPr>
      </w:pPr>
      <w:r w:rsidRPr="00515872">
        <w:rPr>
          <w:rFonts w:cs="Tahoma"/>
        </w:rPr>
        <w:t xml:space="preserve">L'elenco regionale, un po’ più complesso rispetto a quello delle regioni a statuto ordinario, è articolato in </w:t>
      </w:r>
      <w:r w:rsidR="00F87834" w:rsidRPr="00515872">
        <w:rPr>
          <w:rFonts w:cs="Tahoma"/>
        </w:rPr>
        <w:t>2</w:t>
      </w:r>
      <w:r w:rsidRPr="00515872">
        <w:rPr>
          <w:rFonts w:cs="Tahoma"/>
        </w:rPr>
        <w:t xml:space="preserve"> fasce e altrettante sottofasce, in base alla tipologia e alla dimensione demografica degli enti locali. L'inserimento dei </w:t>
      </w:r>
      <w:r w:rsidR="00C57D1C" w:rsidRPr="00515872">
        <w:rPr>
          <w:rFonts w:cs="Tahoma"/>
        </w:rPr>
        <w:t>professionisti</w:t>
      </w:r>
      <w:r w:rsidRPr="00515872">
        <w:rPr>
          <w:rFonts w:cs="Tahoma"/>
        </w:rPr>
        <w:t xml:space="preserve"> nelle fasce e sottofasce avviene sulla base degli anni di iscrizione nel </w:t>
      </w:r>
      <w:r w:rsidR="00F87834" w:rsidRPr="00515872">
        <w:rPr>
          <w:rFonts w:cs="Tahoma"/>
        </w:rPr>
        <w:t>R</w:t>
      </w:r>
      <w:r w:rsidRPr="00515872">
        <w:rPr>
          <w:rFonts w:cs="Tahoma"/>
        </w:rPr>
        <w:t xml:space="preserve">egistro dei revisori legali o all'Ordine dei </w:t>
      </w:r>
      <w:r w:rsidR="00F87834" w:rsidRPr="00515872">
        <w:rPr>
          <w:rFonts w:cs="Tahoma"/>
        </w:rPr>
        <w:t>D</w:t>
      </w:r>
      <w:r w:rsidRPr="00515872">
        <w:rPr>
          <w:rFonts w:cs="Tahoma"/>
        </w:rPr>
        <w:t xml:space="preserve">ottori </w:t>
      </w:r>
      <w:r w:rsidR="00F87834" w:rsidRPr="00515872">
        <w:rPr>
          <w:rFonts w:cs="Tahoma"/>
        </w:rPr>
        <w:t>C</w:t>
      </w:r>
      <w:r w:rsidRPr="00515872">
        <w:rPr>
          <w:rFonts w:cs="Tahoma"/>
        </w:rPr>
        <w:t xml:space="preserve">ommercialisti e degli </w:t>
      </w:r>
      <w:r w:rsidR="00F87834" w:rsidRPr="00515872">
        <w:rPr>
          <w:rFonts w:cs="Tahoma"/>
        </w:rPr>
        <w:t>E</w:t>
      </w:r>
      <w:r w:rsidRPr="00515872">
        <w:rPr>
          <w:rFonts w:cs="Tahoma"/>
        </w:rPr>
        <w:t xml:space="preserve">sperti </w:t>
      </w:r>
      <w:r w:rsidR="00F87834" w:rsidRPr="00515872">
        <w:rPr>
          <w:rFonts w:cs="Tahoma"/>
        </w:rPr>
        <w:t>C</w:t>
      </w:r>
      <w:r w:rsidRPr="00515872">
        <w:rPr>
          <w:rFonts w:cs="Tahoma"/>
        </w:rPr>
        <w:t>ontabili, nonché sulla base del numero e della durata degli incarichi di revisore svolti presso enti locali.</w:t>
      </w:r>
    </w:p>
    <w:p w14:paraId="694D8441" w14:textId="77777777" w:rsidR="00EB30B3" w:rsidRPr="00515872" w:rsidRDefault="00EB30B3" w:rsidP="00C460C0">
      <w:pPr>
        <w:spacing w:line="360" w:lineRule="auto"/>
        <w:jc w:val="both"/>
        <w:rPr>
          <w:rFonts w:cs="Tahoma"/>
        </w:rPr>
      </w:pPr>
      <w:r w:rsidRPr="00515872">
        <w:rPr>
          <w:rFonts w:cs="Tahoma"/>
        </w:rPr>
        <w:t xml:space="preserve">Nel Bollettino Ufficiale della Regione n. 11 del 15 marzo 2017 è stato pubblicato il decreto del </w:t>
      </w:r>
      <w:r w:rsidR="00B173BB" w:rsidRPr="00515872">
        <w:rPr>
          <w:rFonts w:cs="Tahoma"/>
        </w:rPr>
        <w:t>presidente</w:t>
      </w:r>
      <w:r w:rsidRPr="00515872">
        <w:rPr>
          <w:rFonts w:cs="Tahoma"/>
        </w:rPr>
        <w:t xml:space="preserve"> della Regione 28 febbraio 2017, n. 44, c</w:t>
      </w:r>
      <w:r w:rsidR="002F6F82" w:rsidRPr="00515872">
        <w:rPr>
          <w:rFonts w:cs="Tahoma"/>
        </w:rPr>
        <w:t>on il quale è stato emanato il r</w:t>
      </w:r>
      <w:r w:rsidRPr="00515872">
        <w:rPr>
          <w:rFonts w:cs="Tahoma"/>
        </w:rPr>
        <w:t xml:space="preserve">egolamento che disciplina l’articolazione dell’elenco regionale dei revisori dei conti </w:t>
      </w:r>
      <w:r w:rsidR="002F6F82" w:rsidRPr="00515872">
        <w:rPr>
          <w:rFonts w:cs="Tahoma"/>
        </w:rPr>
        <w:t>degli enti locali. Il suddetto r</w:t>
      </w:r>
      <w:r w:rsidRPr="00515872">
        <w:rPr>
          <w:rFonts w:cs="Tahoma"/>
        </w:rPr>
        <w:t>egolamento definisce le modalità e i termini d’iscrizione nell’elenco regionale, le modalità di tenut</w:t>
      </w:r>
      <w:r w:rsidR="00C57D1C" w:rsidRPr="00515872">
        <w:rPr>
          <w:rFonts w:cs="Tahoma"/>
        </w:rPr>
        <w:t>a e di aggiornamento del</w:t>
      </w:r>
      <w:r w:rsidRPr="00515872">
        <w:rPr>
          <w:rFonts w:cs="Tahoma"/>
        </w:rPr>
        <w:t xml:space="preserve"> medesimo, le modalità del sorteggio e le c</w:t>
      </w:r>
      <w:r w:rsidR="00C57D1C" w:rsidRPr="00515872">
        <w:rPr>
          <w:rFonts w:cs="Tahoma"/>
        </w:rPr>
        <w:t>ause di esclusione</w:t>
      </w:r>
      <w:r w:rsidRPr="00515872">
        <w:rPr>
          <w:rFonts w:cs="Tahoma"/>
        </w:rPr>
        <w:t>, nonché le cause di cancellazione e sospensione dall’elenco regionale.</w:t>
      </w:r>
    </w:p>
    <w:p w14:paraId="5DD7AA9F" w14:textId="77777777" w:rsidR="009C77B7" w:rsidRPr="00515872" w:rsidRDefault="009C77B7" w:rsidP="00176F9A">
      <w:pPr>
        <w:spacing w:after="0" w:line="360" w:lineRule="auto"/>
        <w:jc w:val="both"/>
        <w:rPr>
          <w:rFonts w:cs="Tahoma"/>
          <w:b/>
          <w:bCs/>
        </w:rPr>
      </w:pPr>
      <w:r w:rsidRPr="00515872">
        <w:rPr>
          <w:rFonts w:cs="Tahoma"/>
          <w:b/>
          <w:bCs/>
        </w:rPr>
        <w:t>Regione Sicilia</w:t>
      </w:r>
    </w:p>
    <w:p w14:paraId="35B97D04" w14:textId="77777777" w:rsidR="00BC4125" w:rsidRPr="00515872" w:rsidRDefault="00CF45A6" w:rsidP="00BC4125">
      <w:pPr>
        <w:spacing w:line="360" w:lineRule="auto"/>
        <w:jc w:val="both"/>
        <w:rPr>
          <w:rFonts w:cs="Tahoma"/>
          <w:szCs w:val="20"/>
        </w:rPr>
      </w:pPr>
      <w:r w:rsidRPr="00515872">
        <w:rPr>
          <w:rFonts w:cs="Tahoma"/>
          <w:bCs/>
        </w:rPr>
        <w:t>Anche la r</w:t>
      </w:r>
      <w:r w:rsidR="00C460C0" w:rsidRPr="00515872">
        <w:rPr>
          <w:rFonts w:cs="Tahoma"/>
          <w:bCs/>
        </w:rPr>
        <w:t>egione Sicilia si è adeguata, dapprima con L.R. n.</w:t>
      </w:r>
      <w:r w:rsidR="009C77B7" w:rsidRPr="00515872">
        <w:rPr>
          <w:rFonts w:cs="Tahoma"/>
          <w:bCs/>
        </w:rPr>
        <w:t xml:space="preserve"> </w:t>
      </w:r>
      <w:r w:rsidR="00C460C0" w:rsidRPr="00515872">
        <w:rPr>
          <w:rFonts w:cs="Tahoma"/>
          <w:bCs/>
        </w:rPr>
        <w:t>3/2016, successivamente modificata con la L.R.</w:t>
      </w:r>
      <w:r w:rsidR="007C5DCE" w:rsidRPr="00515872">
        <w:rPr>
          <w:rFonts w:cs="Tahoma"/>
          <w:bCs/>
        </w:rPr>
        <w:t xml:space="preserve"> n. 17/2016.</w:t>
      </w:r>
      <w:r w:rsidR="00C460C0" w:rsidRPr="00515872">
        <w:rPr>
          <w:rFonts w:cs="Tahoma"/>
          <w:bCs/>
        </w:rPr>
        <w:t xml:space="preserve"> La norma di prima emanazione era stata </w:t>
      </w:r>
      <w:r w:rsidR="00B129BD" w:rsidRPr="00515872">
        <w:rPr>
          <w:rFonts w:cs="Tahoma"/>
          <w:bCs/>
        </w:rPr>
        <w:t xml:space="preserve">oggetto di </w:t>
      </w:r>
      <w:r w:rsidR="00C460C0" w:rsidRPr="00515872">
        <w:rPr>
          <w:rFonts w:cs="Tahoma"/>
          <w:bCs/>
        </w:rPr>
        <w:t>critic</w:t>
      </w:r>
      <w:r w:rsidR="00B129BD" w:rsidRPr="00515872">
        <w:rPr>
          <w:rFonts w:cs="Tahoma"/>
          <w:bCs/>
        </w:rPr>
        <w:t>he</w:t>
      </w:r>
      <w:r w:rsidR="00C460C0" w:rsidRPr="00515872">
        <w:rPr>
          <w:rFonts w:cs="Tahoma"/>
          <w:bCs/>
        </w:rPr>
        <w:t xml:space="preserve"> in qu</w:t>
      </w:r>
      <w:r w:rsidR="00D06C6B" w:rsidRPr="00515872">
        <w:rPr>
          <w:rFonts w:cs="Tahoma"/>
          <w:bCs/>
        </w:rPr>
        <w:t>anto contenente alcune “distorsioni</w:t>
      </w:r>
      <w:r w:rsidR="00C460C0" w:rsidRPr="00515872">
        <w:rPr>
          <w:rFonts w:cs="Tahoma"/>
          <w:bCs/>
        </w:rPr>
        <w:t>”</w:t>
      </w:r>
      <w:r w:rsidRPr="00515872">
        <w:rPr>
          <w:rFonts w:cs="Tahoma"/>
          <w:bCs/>
        </w:rPr>
        <w:t>,</w:t>
      </w:r>
      <w:r w:rsidR="00C460C0" w:rsidRPr="00515872">
        <w:rPr>
          <w:rFonts w:cs="Tahoma"/>
          <w:bCs/>
        </w:rPr>
        <w:t xml:space="preserve"> tra cui l’apertura all’iscrizione nell’elenco regionale </w:t>
      </w:r>
      <w:r w:rsidRPr="00515872">
        <w:rPr>
          <w:rFonts w:cs="Tahoma"/>
          <w:bCs/>
        </w:rPr>
        <w:t>a</w:t>
      </w:r>
      <w:r w:rsidR="00C460C0" w:rsidRPr="00515872">
        <w:rPr>
          <w:rFonts w:cs="Tahoma"/>
          <w:bCs/>
        </w:rPr>
        <w:t>i professionisti residenti fuori regione</w:t>
      </w:r>
      <w:r w:rsidR="00B129BD" w:rsidRPr="00515872">
        <w:rPr>
          <w:rFonts w:cs="Tahoma"/>
          <w:bCs/>
        </w:rPr>
        <w:t xml:space="preserve">, </w:t>
      </w:r>
      <w:r w:rsidR="009C77B7" w:rsidRPr="00515872">
        <w:rPr>
          <w:rFonts w:cs="Tahoma"/>
          <w:bCs/>
        </w:rPr>
        <w:t xml:space="preserve">che </w:t>
      </w:r>
      <w:r w:rsidR="00B129BD" w:rsidRPr="00515872">
        <w:rPr>
          <w:rFonts w:cs="Tahoma"/>
          <w:bCs/>
        </w:rPr>
        <w:t xml:space="preserve">non </w:t>
      </w:r>
      <w:r w:rsidR="009C77B7" w:rsidRPr="00515872">
        <w:rPr>
          <w:rFonts w:cs="Tahoma"/>
          <w:bCs/>
        </w:rPr>
        <w:t>trovava reciprocità</w:t>
      </w:r>
      <w:r w:rsidR="00B129BD" w:rsidRPr="00515872">
        <w:rPr>
          <w:rFonts w:cs="Tahoma"/>
          <w:bCs/>
        </w:rPr>
        <w:t xml:space="preserve"> nella regolamentazione </w:t>
      </w:r>
      <w:r w:rsidRPr="00515872">
        <w:rPr>
          <w:rFonts w:cs="Tahoma"/>
          <w:bCs/>
        </w:rPr>
        <w:t xml:space="preserve">nazionale per </w:t>
      </w:r>
      <w:r w:rsidR="00B129BD" w:rsidRPr="00515872">
        <w:rPr>
          <w:rFonts w:cs="Tahoma"/>
          <w:bCs/>
        </w:rPr>
        <w:t>le altre regioni</w:t>
      </w:r>
      <w:r w:rsidR="00C460C0" w:rsidRPr="00515872">
        <w:rPr>
          <w:rFonts w:cs="Tahoma"/>
          <w:bCs/>
        </w:rPr>
        <w:t xml:space="preserve">. </w:t>
      </w:r>
      <w:r w:rsidR="00B129BD" w:rsidRPr="00515872">
        <w:rPr>
          <w:rFonts w:cs="Tahoma"/>
          <w:bCs/>
        </w:rPr>
        <w:t>A</w:t>
      </w:r>
      <w:r w:rsidR="00C460C0" w:rsidRPr="00515872">
        <w:rPr>
          <w:rFonts w:cs="Tahoma"/>
        </w:rPr>
        <w:t>mmetteva</w:t>
      </w:r>
      <w:r w:rsidR="00B129BD" w:rsidRPr="00515872">
        <w:rPr>
          <w:rFonts w:cs="Tahoma"/>
        </w:rPr>
        <w:t>, inoltre,</w:t>
      </w:r>
      <w:r w:rsidR="00C460C0" w:rsidRPr="00515872">
        <w:rPr>
          <w:rFonts w:cs="Tahoma"/>
        </w:rPr>
        <w:t xml:space="preserve"> la </w:t>
      </w:r>
      <w:r w:rsidR="00C460C0" w:rsidRPr="00515872">
        <w:rPr>
          <w:rFonts w:cs="Tahoma"/>
          <w:bCs/>
        </w:rPr>
        <w:t>candidabilità dei professionisti</w:t>
      </w:r>
      <w:r w:rsidR="00B129BD" w:rsidRPr="00515872">
        <w:rPr>
          <w:rFonts w:cs="Tahoma"/>
        </w:rPr>
        <w:t xml:space="preserve"> iscritti nel </w:t>
      </w:r>
      <w:r w:rsidR="00DB748A" w:rsidRPr="00515872">
        <w:rPr>
          <w:rFonts w:cs="Tahoma"/>
        </w:rPr>
        <w:t>R</w:t>
      </w:r>
      <w:r w:rsidR="00C460C0" w:rsidRPr="00515872">
        <w:rPr>
          <w:rFonts w:cs="Tahoma"/>
        </w:rPr>
        <w:t xml:space="preserve">egistro dei revisori dei conti ma non </w:t>
      </w:r>
      <w:r w:rsidR="00B129BD" w:rsidRPr="00515872">
        <w:rPr>
          <w:rFonts w:cs="Tahoma"/>
        </w:rPr>
        <w:t>quella degli iscritti all’</w:t>
      </w:r>
      <w:r w:rsidR="00DB748A" w:rsidRPr="00515872">
        <w:rPr>
          <w:rFonts w:cs="Tahoma"/>
        </w:rPr>
        <w:t>O</w:t>
      </w:r>
      <w:r w:rsidR="00C460C0" w:rsidRPr="00515872">
        <w:rPr>
          <w:rFonts w:cs="Tahoma"/>
        </w:rPr>
        <w:t>rdin</w:t>
      </w:r>
      <w:r w:rsidR="00B129BD" w:rsidRPr="00515872">
        <w:rPr>
          <w:rFonts w:cs="Tahoma"/>
        </w:rPr>
        <w:t xml:space="preserve">e dei </w:t>
      </w:r>
      <w:r w:rsidR="00DB748A" w:rsidRPr="00515872">
        <w:rPr>
          <w:rFonts w:cs="Tahoma"/>
        </w:rPr>
        <w:t>D</w:t>
      </w:r>
      <w:r w:rsidR="00B129BD" w:rsidRPr="00515872">
        <w:rPr>
          <w:rFonts w:cs="Tahoma"/>
        </w:rPr>
        <w:t xml:space="preserve">ottori </w:t>
      </w:r>
      <w:r w:rsidR="00DB748A" w:rsidRPr="00515872">
        <w:rPr>
          <w:rFonts w:cs="Tahoma"/>
        </w:rPr>
        <w:t>C</w:t>
      </w:r>
      <w:r w:rsidR="00B129BD" w:rsidRPr="00515872">
        <w:rPr>
          <w:rFonts w:cs="Tahoma"/>
        </w:rPr>
        <w:t xml:space="preserve">ommercialisti e degli </w:t>
      </w:r>
      <w:r w:rsidR="00DB748A" w:rsidRPr="00515872">
        <w:rPr>
          <w:rFonts w:cs="Tahoma"/>
        </w:rPr>
        <w:t>E</w:t>
      </w:r>
      <w:r w:rsidR="00B129BD" w:rsidRPr="00515872">
        <w:rPr>
          <w:rFonts w:cs="Tahoma"/>
        </w:rPr>
        <w:t xml:space="preserve">sperti </w:t>
      </w:r>
      <w:r w:rsidR="00DB748A" w:rsidRPr="00515872">
        <w:rPr>
          <w:rFonts w:cs="Tahoma"/>
        </w:rPr>
        <w:t>C</w:t>
      </w:r>
      <w:r w:rsidR="00C460C0" w:rsidRPr="00515872">
        <w:rPr>
          <w:rFonts w:cs="Tahoma"/>
        </w:rPr>
        <w:t>ontabili</w:t>
      </w:r>
      <w:r w:rsidR="00C460C0" w:rsidRPr="00515872">
        <w:rPr>
          <w:rFonts w:cs="Tahoma"/>
          <w:bCs/>
        </w:rPr>
        <w:t xml:space="preserve">. </w:t>
      </w:r>
      <w:r w:rsidR="007C5DCE" w:rsidRPr="00515872">
        <w:rPr>
          <w:rFonts w:cs="Tahoma"/>
          <w:bCs/>
        </w:rPr>
        <w:t>L’art. 6 dell</w:t>
      </w:r>
      <w:r w:rsidR="00C460C0" w:rsidRPr="00515872">
        <w:rPr>
          <w:rFonts w:cs="Tahoma"/>
          <w:bCs/>
        </w:rPr>
        <w:t>a nuova legge</w:t>
      </w:r>
      <w:r w:rsidR="00B129BD" w:rsidRPr="00515872">
        <w:rPr>
          <w:rFonts w:cs="Tahoma"/>
          <w:bCs/>
        </w:rPr>
        <w:t xml:space="preserve"> regionale pone rimedio a tali</w:t>
      </w:r>
      <w:r w:rsidR="00C460C0" w:rsidRPr="00515872">
        <w:rPr>
          <w:rFonts w:cs="Tahoma"/>
          <w:bCs/>
        </w:rPr>
        <w:t xml:space="preserve"> “sviste” e prevede, in deroga alla norma </w:t>
      </w:r>
      <w:r w:rsidR="00B129BD" w:rsidRPr="00515872">
        <w:rPr>
          <w:rFonts w:cs="Tahoma"/>
          <w:bCs/>
        </w:rPr>
        <w:t>statale</w:t>
      </w:r>
      <w:r w:rsidR="00C460C0" w:rsidRPr="00515872">
        <w:rPr>
          <w:rFonts w:cs="Tahoma"/>
          <w:bCs/>
        </w:rPr>
        <w:t xml:space="preserve">, la forma collegiale dell’organo di revisione anche per i comuni con popolazione compresa fra </w:t>
      </w:r>
      <w:r w:rsidR="00FE212B" w:rsidRPr="00515872">
        <w:rPr>
          <w:rFonts w:cs="Tahoma"/>
          <w:bCs/>
        </w:rPr>
        <w:t>5.000</w:t>
      </w:r>
      <w:r w:rsidR="00C460C0" w:rsidRPr="00515872">
        <w:rPr>
          <w:rFonts w:cs="Tahoma"/>
          <w:bCs/>
        </w:rPr>
        <w:t xml:space="preserve"> e </w:t>
      </w:r>
      <w:r w:rsidR="00FE212B" w:rsidRPr="00515872">
        <w:rPr>
          <w:rFonts w:cs="Tahoma"/>
          <w:bCs/>
        </w:rPr>
        <w:t>15.000</w:t>
      </w:r>
      <w:r w:rsidR="00C460C0" w:rsidRPr="00515872">
        <w:rPr>
          <w:rFonts w:cs="Tahoma"/>
          <w:bCs/>
        </w:rPr>
        <w:t xml:space="preserve"> abitanti. </w:t>
      </w:r>
      <w:r w:rsidR="00B129BD" w:rsidRPr="00515872">
        <w:rPr>
          <w:rFonts w:cs="Tahoma"/>
          <w:bCs/>
        </w:rPr>
        <w:t>Peraltro, s</w:t>
      </w:r>
      <w:r w:rsidR="00C460C0" w:rsidRPr="00515872">
        <w:rPr>
          <w:rFonts w:cs="Tahoma"/>
          <w:bCs/>
        </w:rPr>
        <w:t>empre in deroga alla norma statale, v</w:t>
      </w:r>
      <w:r w:rsidR="00A13DA2" w:rsidRPr="00515872">
        <w:rPr>
          <w:rFonts w:cs="Tahoma"/>
          <w:bCs/>
        </w:rPr>
        <w:t>eniva</w:t>
      </w:r>
      <w:r w:rsidR="00C460C0" w:rsidRPr="00515872">
        <w:rPr>
          <w:rFonts w:cs="Tahoma"/>
          <w:bCs/>
        </w:rPr>
        <w:t xml:space="preserve"> prevista una </w:t>
      </w:r>
      <w:r w:rsidR="00B129BD" w:rsidRPr="00515872">
        <w:rPr>
          <w:rFonts w:cs="Tahoma"/>
          <w:bCs/>
        </w:rPr>
        <w:t xml:space="preserve">maggiore </w:t>
      </w:r>
      <w:r w:rsidR="00C460C0" w:rsidRPr="00515872">
        <w:rPr>
          <w:rFonts w:cs="Tahoma"/>
          <w:bCs/>
        </w:rPr>
        <w:t>limitazione al cumulo degli incarichi, riducendo a 2 il numero massimo di i</w:t>
      </w:r>
      <w:r w:rsidR="00C460C0" w:rsidRPr="00515872">
        <w:rPr>
          <w:rFonts w:cs="Tahoma"/>
          <w:bCs/>
          <w:szCs w:val="20"/>
        </w:rPr>
        <w:t xml:space="preserve">ncarichi assumibili contemporaneamente </w:t>
      </w:r>
      <w:r w:rsidRPr="00515872">
        <w:rPr>
          <w:rFonts w:cs="Tahoma"/>
          <w:bCs/>
          <w:szCs w:val="20"/>
        </w:rPr>
        <w:t xml:space="preserve">dal revisore </w:t>
      </w:r>
      <w:r w:rsidR="00C460C0" w:rsidRPr="00515872">
        <w:rPr>
          <w:rFonts w:cs="Tahoma"/>
          <w:bCs/>
          <w:szCs w:val="20"/>
        </w:rPr>
        <w:t xml:space="preserve">in luogo degli 8 </w:t>
      </w:r>
      <w:r w:rsidR="00B129BD" w:rsidRPr="00515872">
        <w:rPr>
          <w:rFonts w:cs="Tahoma"/>
          <w:bCs/>
          <w:szCs w:val="20"/>
        </w:rPr>
        <w:t>previsti a livello nazionale</w:t>
      </w:r>
      <w:r w:rsidR="00C460C0" w:rsidRPr="00515872">
        <w:rPr>
          <w:rFonts w:cs="Tahoma"/>
          <w:bCs/>
          <w:szCs w:val="20"/>
        </w:rPr>
        <w:t>.</w:t>
      </w:r>
      <w:r w:rsidR="00A13DA2" w:rsidRPr="00515872">
        <w:rPr>
          <w:rFonts w:cs="Tahoma"/>
          <w:bCs/>
          <w:szCs w:val="20"/>
        </w:rPr>
        <w:t xml:space="preserve"> </w:t>
      </w:r>
      <w:r w:rsidR="00DB748A" w:rsidRPr="00515872">
        <w:rPr>
          <w:rFonts w:cs="Tahoma"/>
          <w:szCs w:val="20"/>
        </w:rPr>
        <w:t>L’art. 39,</w:t>
      </w:r>
      <w:r w:rsidR="00A13DA2" w:rsidRPr="00515872">
        <w:rPr>
          <w:rFonts w:cs="Tahoma"/>
          <w:szCs w:val="20"/>
        </w:rPr>
        <w:t xml:space="preserve"> L.R. 11</w:t>
      </w:r>
      <w:r w:rsidR="002F6F82" w:rsidRPr="00515872">
        <w:rPr>
          <w:rFonts w:cs="Tahoma"/>
          <w:szCs w:val="20"/>
        </w:rPr>
        <w:t xml:space="preserve"> agosto </w:t>
      </w:r>
      <w:r w:rsidR="00A13DA2" w:rsidRPr="00515872">
        <w:rPr>
          <w:rFonts w:cs="Tahoma"/>
          <w:szCs w:val="20"/>
        </w:rPr>
        <w:t>2017, n. 1</w:t>
      </w:r>
      <w:r w:rsidR="00443D04" w:rsidRPr="00515872">
        <w:rPr>
          <w:rFonts w:cs="Tahoma"/>
          <w:szCs w:val="20"/>
        </w:rPr>
        <w:t>6</w:t>
      </w:r>
      <w:r w:rsidR="00A13DA2" w:rsidRPr="00515872">
        <w:rPr>
          <w:rFonts w:cs="Tahoma"/>
          <w:szCs w:val="20"/>
        </w:rPr>
        <w:t xml:space="preserve">, </w:t>
      </w:r>
      <w:r w:rsidR="00BC4125" w:rsidRPr="00515872">
        <w:rPr>
          <w:rFonts w:cs="Tahoma"/>
          <w:szCs w:val="20"/>
        </w:rPr>
        <w:t xml:space="preserve">tuttavia, </w:t>
      </w:r>
      <w:r w:rsidR="00A13DA2" w:rsidRPr="00515872">
        <w:rPr>
          <w:rFonts w:cs="Tahoma"/>
          <w:szCs w:val="20"/>
        </w:rPr>
        <w:t>intervenendo sul testo dell’art. 10</w:t>
      </w:r>
      <w:r w:rsidR="00DB748A" w:rsidRPr="00515872">
        <w:rPr>
          <w:rFonts w:cs="Tahoma"/>
          <w:szCs w:val="20"/>
        </w:rPr>
        <w:t>,</w:t>
      </w:r>
      <w:r w:rsidR="00A13DA2" w:rsidRPr="00515872">
        <w:rPr>
          <w:rFonts w:cs="Tahoma"/>
          <w:szCs w:val="20"/>
        </w:rPr>
        <w:t xml:space="preserve"> L.R. n. 3/2016, ha</w:t>
      </w:r>
      <w:r w:rsidR="002B6A1D" w:rsidRPr="00515872">
        <w:rPr>
          <w:rFonts w:cs="Tahoma"/>
          <w:szCs w:val="20"/>
        </w:rPr>
        <w:t xml:space="preserve"> </w:t>
      </w:r>
      <w:r w:rsidR="00A13DA2" w:rsidRPr="00515872">
        <w:rPr>
          <w:rFonts w:cs="Tahoma"/>
          <w:szCs w:val="20"/>
        </w:rPr>
        <w:t>rimosso tale maggior limite, portando a 8 il numero massimo degli incarich</w:t>
      </w:r>
      <w:r w:rsidR="00BC4125" w:rsidRPr="00515872">
        <w:rPr>
          <w:rFonts w:cs="Tahoma"/>
          <w:szCs w:val="20"/>
        </w:rPr>
        <w:t>i che un revisore può detenere.</w:t>
      </w:r>
    </w:p>
    <w:p w14:paraId="27FDC178" w14:textId="77777777" w:rsidR="001E2966" w:rsidRPr="00515872" w:rsidRDefault="001E2966" w:rsidP="00BC4125">
      <w:pPr>
        <w:spacing w:line="360" w:lineRule="auto"/>
        <w:jc w:val="both"/>
        <w:rPr>
          <w:rFonts w:cs="Tahoma"/>
          <w:szCs w:val="20"/>
        </w:rPr>
      </w:pPr>
      <w:r w:rsidRPr="00515872">
        <w:rPr>
          <w:rFonts w:cs="Tahoma"/>
          <w:szCs w:val="20"/>
        </w:rPr>
        <w:t>Si noti che il sorteggio dei revisori non viene effettuato dalla Prefettura, bensì in sed</w:t>
      </w:r>
      <w:r w:rsidR="0042533F" w:rsidRPr="00515872">
        <w:rPr>
          <w:rFonts w:cs="Tahoma"/>
          <w:szCs w:val="20"/>
        </w:rPr>
        <w:t xml:space="preserve">e di consiglio comunale, alla presenza del Segretario Comunale, tra i professionisti residenti in Sicilia, in possesso dei requisiti richiesti dalla legge, che abbiano presentato istanza di partecipazione alla procedura di scelta dell’organo di revisione </w:t>
      </w:r>
      <w:r w:rsidR="00DB748A" w:rsidRPr="00515872">
        <w:rPr>
          <w:rFonts w:cs="Tahoma"/>
          <w:szCs w:val="20"/>
        </w:rPr>
        <w:t>dell’ente l</w:t>
      </w:r>
      <w:r w:rsidR="0042533F" w:rsidRPr="00515872">
        <w:rPr>
          <w:rFonts w:cs="Tahoma"/>
          <w:szCs w:val="20"/>
        </w:rPr>
        <w:t>ocale, a seguito di avviso pubblico</w:t>
      </w:r>
      <w:r w:rsidRPr="00515872">
        <w:rPr>
          <w:rFonts w:cs="Tahoma"/>
          <w:szCs w:val="20"/>
        </w:rPr>
        <w:t>.</w:t>
      </w:r>
    </w:p>
    <w:bookmarkEnd w:id="5"/>
    <w:p w14:paraId="4CF3E937" w14:textId="77777777" w:rsidR="00190B7F" w:rsidRPr="00515872" w:rsidRDefault="00190B7F" w:rsidP="009518AF">
      <w:pPr>
        <w:spacing w:after="0" w:line="360" w:lineRule="auto"/>
        <w:jc w:val="both"/>
        <w:rPr>
          <w:rFonts w:cs="Tahoma"/>
          <w:b/>
          <w:bCs/>
          <w:szCs w:val="20"/>
        </w:rPr>
      </w:pPr>
      <w:r w:rsidRPr="00515872">
        <w:rPr>
          <w:rFonts w:cs="Tahoma"/>
          <w:b/>
          <w:bCs/>
          <w:szCs w:val="20"/>
        </w:rPr>
        <w:lastRenderedPageBreak/>
        <w:t>Provence autonome di Trento e Bolzano</w:t>
      </w:r>
    </w:p>
    <w:p w14:paraId="4446CDE7" w14:textId="77777777" w:rsidR="00DB748A" w:rsidRPr="00515872" w:rsidRDefault="00190B7F" w:rsidP="00190B7F">
      <w:pPr>
        <w:spacing w:line="360" w:lineRule="auto"/>
        <w:jc w:val="both"/>
        <w:rPr>
          <w:rFonts w:cs="Tahoma"/>
          <w:szCs w:val="20"/>
        </w:rPr>
      </w:pPr>
      <w:r w:rsidRPr="00515872">
        <w:rPr>
          <w:rFonts w:cs="Tahoma"/>
          <w:szCs w:val="20"/>
        </w:rPr>
        <w:t xml:space="preserve">La nomina dei revisori dei comuni siti nelle province autonome di Trento e Bolzano è disciplinata dalla Legge regionale 3 maggio 2018, n. 2 (Codice degli enti locali della regione autonoma </w:t>
      </w:r>
      <w:r w:rsidR="00752BEE" w:rsidRPr="00515872">
        <w:rPr>
          <w:rFonts w:cs="Tahoma"/>
          <w:szCs w:val="20"/>
        </w:rPr>
        <w:t>Trentino-Alto A</w:t>
      </w:r>
      <w:r w:rsidRPr="00515872">
        <w:rPr>
          <w:rFonts w:cs="Tahoma"/>
          <w:szCs w:val="20"/>
        </w:rPr>
        <w:t xml:space="preserve">dige). L’art. 206 </w:t>
      </w:r>
      <w:r w:rsidR="00DB748A" w:rsidRPr="00515872">
        <w:rPr>
          <w:rFonts w:cs="Tahoma"/>
          <w:szCs w:val="20"/>
        </w:rPr>
        <w:t>della norma prevede che i</w:t>
      </w:r>
      <w:r w:rsidRPr="00515872">
        <w:rPr>
          <w:rFonts w:cs="Tahoma"/>
          <w:szCs w:val="20"/>
        </w:rPr>
        <w:t xml:space="preserve"> consigli comunali eleggano, con voto limitato a due componenti, il collegio dei revisori dei conti </w:t>
      </w:r>
      <w:r w:rsidR="00DB748A" w:rsidRPr="00515872">
        <w:rPr>
          <w:rFonts w:cs="Tahoma"/>
          <w:szCs w:val="20"/>
        </w:rPr>
        <w:t>composto da 3</w:t>
      </w:r>
      <w:r w:rsidRPr="00515872">
        <w:rPr>
          <w:rFonts w:cs="Tahoma"/>
          <w:szCs w:val="20"/>
        </w:rPr>
        <w:t xml:space="preserve"> membri iscritti, a </w:t>
      </w:r>
      <w:r w:rsidR="00DB748A" w:rsidRPr="00515872">
        <w:rPr>
          <w:rFonts w:cs="Tahoma"/>
          <w:szCs w:val="20"/>
        </w:rPr>
        <w:t>livello regionale, nel R</w:t>
      </w:r>
      <w:r w:rsidRPr="00515872">
        <w:rPr>
          <w:rFonts w:cs="Tahoma"/>
          <w:szCs w:val="20"/>
        </w:rPr>
        <w:t xml:space="preserve">egistro dei revisori legali di cui al </w:t>
      </w:r>
      <w:proofErr w:type="spellStart"/>
      <w:r w:rsidRPr="00515872">
        <w:rPr>
          <w:rFonts w:cs="Tahoma"/>
          <w:szCs w:val="20"/>
        </w:rPr>
        <w:t>D.Lgs.</w:t>
      </w:r>
      <w:proofErr w:type="spellEnd"/>
      <w:r w:rsidRPr="00515872">
        <w:rPr>
          <w:rFonts w:cs="Tahoma"/>
          <w:szCs w:val="20"/>
        </w:rPr>
        <w:t xml:space="preserve"> 27 gennaio 2010, n. 39 o all’</w:t>
      </w:r>
      <w:r w:rsidR="00DB748A" w:rsidRPr="00515872">
        <w:rPr>
          <w:rFonts w:cs="Tahoma"/>
          <w:szCs w:val="20"/>
        </w:rPr>
        <w:t>O</w:t>
      </w:r>
      <w:r w:rsidRPr="00515872">
        <w:rPr>
          <w:rFonts w:cs="Tahoma"/>
          <w:szCs w:val="20"/>
        </w:rPr>
        <w:t xml:space="preserve">rdine dei </w:t>
      </w:r>
      <w:r w:rsidR="00DB748A" w:rsidRPr="00515872">
        <w:rPr>
          <w:rFonts w:cs="Tahoma"/>
          <w:szCs w:val="20"/>
        </w:rPr>
        <w:t>D</w:t>
      </w:r>
      <w:r w:rsidRPr="00515872">
        <w:rPr>
          <w:rFonts w:cs="Tahoma"/>
          <w:szCs w:val="20"/>
        </w:rPr>
        <w:t xml:space="preserve">ottori </w:t>
      </w:r>
      <w:r w:rsidR="00DB748A" w:rsidRPr="00515872">
        <w:rPr>
          <w:rFonts w:cs="Tahoma"/>
          <w:szCs w:val="20"/>
        </w:rPr>
        <w:t>C</w:t>
      </w:r>
      <w:r w:rsidRPr="00515872">
        <w:rPr>
          <w:rFonts w:cs="Tahoma"/>
          <w:szCs w:val="20"/>
        </w:rPr>
        <w:t xml:space="preserve">ommercialisti e degli </w:t>
      </w:r>
      <w:r w:rsidR="00DB748A" w:rsidRPr="00515872">
        <w:rPr>
          <w:rFonts w:cs="Tahoma"/>
          <w:szCs w:val="20"/>
        </w:rPr>
        <w:t>E</w:t>
      </w:r>
      <w:r w:rsidRPr="00515872">
        <w:rPr>
          <w:rFonts w:cs="Tahoma"/>
          <w:szCs w:val="20"/>
        </w:rPr>
        <w:t xml:space="preserve">sperti </w:t>
      </w:r>
      <w:r w:rsidR="00DB748A" w:rsidRPr="00515872">
        <w:rPr>
          <w:rFonts w:cs="Tahoma"/>
          <w:szCs w:val="20"/>
        </w:rPr>
        <w:t>C</w:t>
      </w:r>
      <w:r w:rsidRPr="00515872">
        <w:rPr>
          <w:rFonts w:cs="Tahoma"/>
          <w:szCs w:val="20"/>
        </w:rPr>
        <w:t>ontabili, in possesso dei requisiti formativi stabiliti dalle province ai sensi del c. 3 per lo svolgimento delle funzioni di revisore nei comuni rientranti nel rispettivo territorio.</w:t>
      </w:r>
    </w:p>
    <w:p w14:paraId="6B55F879" w14:textId="77777777" w:rsidR="00DB748A" w:rsidRPr="00515872" w:rsidRDefault="00190B7F" w:rsidP="00190B7F">
      <w:pPr>
        <w:spacing w:line="360" w:lineRule="auto"/>
        <w:jc w:val="both"/>
        <w:rPr>
          <w:rFonts w:cs="Tahoma"/>
          <w:szCs w:val="20"/>
        </w:rPr>
      </w:pPr>
      <w:r w:rsidRPr="00515872">
        <w:rPr>
          <w:rFonts w:cs="Tahoma"/>
          <w:szCs w:val="20"/>
        </w:rPr>
        <w:t xml:space="preserve">Nei comuni della provincia autonoma di </w:t>
      </w:r>
      <w:r w:rsidR="00DB748A" w:rsidRPr="00515872">
        <w:rPr>
          <w:rFonts w:cs="Tahoma"/>
          <w:szCs w:val="20"/>
        </w:rPr>
        <w:t xml:space="preserve">Bolzano la composizione del </w:t>
      </w:r>
      <w:r w:rsidRPr="00515872">
        <w:rPr>
          <w:rFonts w:cs="Tahoma"/>
          <w:szCs w:val="20"/>
        </w:rPr>
        <w:t>collegio dei revisori deve adeguarsi alla consistenza dei gruppi linguistici.</w:t>
      </w:r>
    </w:p>
    <w:p w14:paraId="5C2A26D4" w14:textId="77777777" w:rsidR="00DB748A" w:rsidRPr="00515872" w:rsidRDefault="00190B7F" w:rsidP="00190B7F">
      <w:pPr>
        <w:spacing w:line="360" w:lineRule="auto"/>
        <w:jc w:val="both"/>
        <w:rPr>
          <w:rFonts w:cs="Tahoma"/>
          <w:szCs w:val="20"/>
        </w:rPr>
      </w:pPr>
      <w:r w:rsidRPr="00515872">
        <w:rPr>
          <w:rFonts w:cs="Tahoma"/>
          <w:szCs w:val="20"/>
        </w:rPr>
        <w:t xml:space="preserve">Nei comuni con popolazione compresa tra i 15.000 e i 30.000 abitanti il regolamento di contabilità può prevedere che l’organo di revisione sia composto da </w:t>
      </w:r>
      <w:r w:rsidR="00DB748A" w:rsidRPr="00515872">
        <w:rPr>
          <w:rFonts w:cs="Tahoma"/>
          <w:szCs w:val="20"/>
        </w:rPr>
        <w:t xml:space="preserve">2 componenti, </w:t>
      </w:r>
      <w:r w:rsidRPr="00515872">
        <w:rPr>
          <w:rFonts w:cs="Tahoma"/>
          <w:szCs w:val="20"/>
        </w:rPr>
        <w:t xml:space="preserve">disciplinandone le modalità di funzionamento. In tale ultimo caso, uno dei </w:t>
      </w:r>
      <w:r w:rsidR="00DB748A" w:rsidRPr="00515872">
        <w:rPr>
          <w:rFonts w:cs="Tahoma"/>
          <w:szCs w:val="20"/>
        </w:rPr>
        <w:t xml:space="preserve">2 </w:t>
      </w:r>
      <w:r w:rsidRPr="00515872">
        <w:rPr>
          <w:rFonts w:cs="Tahoma"/>
          <w:szCs w:val="20"/>
        </w:rPr>
        <w:t>componenti viene designato dalle minoranze consiliari.</w:t>
      </w:r>
    </w:p>
    <w:p w14:paraId="58206A02" w14:textId="77777777" w:rsidR="00190B7F" w:rsidRPr="00515872" w:rsidRDefault="00190B7F" w:rsidP="00190B7F">
      <w:pPr>
        <w:spacing w:line="360" w:lineRule="auto"/>
        <w:jc w:val="both"/>
        <w:rPr>
          <w:rFonts w:cs="Tahoma"/>
          <w:b/>
          <w:bCs/>
          <w:szCs w:val="20"/>
        </w:rPr>
      </w:pPr>
      <w:r w:rsidRPr="00515872">
        <w:rPr>
          <w:rFonts w:cs="Tahoma"/>
          <w:szCs w:val="20"/>
        </w:rPr>
        <w:t>Nei comuni con popolazione inferiore ai 15.000 abitanti la revisione economico-finanziaria è affidata a un solo revisore eletto a maggioranza assoluta e scelto tra i soggetti di cui sopra.</w:t>
      </w:r>
      <w:r w:rsidRPr="00515872">
        <w:rPr>
          <w:rFonts w:cs="Tahoma"/>
          <w:b/>
          <w:bCs/>
          <w:szCs w:val="20"/>
        </w:rPr>
        <w:t xml:space="preserve"> </w:t>
      </w:r>
    </w:p>
    <w:p w14:paraId="6E8FA424" w14:textId="77777777" w:rsidR="009518AF" w:rsidRPr="00515872" w:rsidRDefault="00190B7F" w:rsidP="009518AF">
      <w:pPr>
        <w:spacing w:after="0" w:line="360" w:lineRule="auto"/>
        <w:jc w:val="both"/>
        <w:rPr>
          <w:rFonts w:cs="Tahoma"/>
          <w:b/>
          <w:bCs/>
        </w:rPr>
      </w:pPr>
      <w:r w:rsidRPr="00515872">
        <w:rPr>
          <w:rFonts w:cs="Tahoma"/>
          <w:b/>
          <w:bCs/>
          <w:szCs w:val="20"/>
        </w:rPr>
        <w:t>Regione Valle d’Aosta</w:t>
      </w:r>
    </w:p>
    <w:p w14:paraId="1798FBFB" w14:textId="77777777" w:rsidR="001672F9" w:rsidRPr="00515872" w:rsidRDefault="009518AF" w:rsidP="00773B1D">
      <w:pPr>
        <w:spacing w:line="360" w:lineRule="auto"/>
        <w:jc w:val="both"/>
        <w:rPr>
          <w:rFonts w:cs="Tahoma"/>
          <w:bCs/>
        </w:rPr>
      </w:pPr>
      <w:r w:rsidRPr="00515872">
        <w:rPr>
          <w:rFonts w:cs="Tahoma"/>
          <w:bCs/>
        </w:rPr>
        <w:t xml:space="preserve">Applica invece il regime previgente, non avendo recepito la riforma, </w:t>
      </w:r>
      <w:r w:rsidR="00752BEE" w:rsidRPr="00515872">
        <w:rPr>
          <w:rFonts w:cs="Tahoma"/>
          <w:bCs/>
        </w:rPr>
        <w:t>la</w:t>
      </w:r>
      <w:r w:rsidRPr="00515872">
        <w:rPr>
          <w:rFonts w:cs="Tahoma"/>
          <w:bCs/>
        </w:rPr>
        <w:t xml:space="preserve"> regione Valle d’Aosta.</w:t>
      </w:r>
      <w:bookmarkStart w:id="17" w:name="_Toc521317042"/>
    </w:p>
    <w:p w14:paraId="63078C3F" w14:textId="77777777" w:rsidR="00C03D30" w:rsidRPr="00515872" w:rsidRDefault="00C03D30">
      <w:pPr>
        <w:spacing w:after="0" w:line="240" w:lineRule="auto"/>
        <w:rPr>
          <w:rFonts w:cs="Tahoma"/>
          <w:b/>
          <w:bCs/>
          <w:i/>
          <w:color w:val="000000"/>
          <w:sz w:val="22"/>
          <w:szCs w:val="24"/>
          <w:highlight w:val="yellow"/>
          <w:lang w:eastAsia="it-IT"/>
        </w:rPr>
      </w:pPr>
    </w:p>
    <w:p w14:paraId="339C3257" w14:textId="77777777" w:rsidR="009518AF" w:rsidRPr="00515872" w:rsidRDefault="009518AF" w:rsidP="009518AF">
      <w:pPr>
        <w:pStyle w:val="Sottoparagrafo"/>
        <w:rPr>
          <w:rFonts w:cs="Tahoma"/>
          <w:lang w:eastAsia="it-IT"/>
        </w:rPr>
      </w:pPr>
      <w:bookmarkStart w:id="18" w:name="_Toc95912215"/>
      <w:r w:rsidRPr="00515872">
        <w:rPr>
          <w:rFonts w:cs="Tahoma"/>
          <w:lang w:eastAsia="it-IT"/>
        </w:rPr>
        <w:t>2.1.6 Revisori nelle unioni di comuni</w:t>
      </w:r>
      <w:bookmarkEnd w:id="17"/>
      <w:bookmarkEnd w:id="18"/>
    </w:p>
    <w:p w14:paraId="0A440B33" w14:textId="77777777" w:rsidR="009518AF" w:rsidRPr="00515872" w:rsidRDefault="009518AF" w:rsidP="009518AF">
      <w:pPr>
        <w:spacing w:line="360" w:lineRule="auto"/>
        <w:jc w:val="both"/>
        <w:rPr>
          <w:rFonts w:cs="Tahoma"/>
          <w:bCs/>
        </w:rPr>
      </w:pPr>
      <w:r w:rsidRPr="00515872">
        <w:rPr>
          <w:rFonts w:cs="Tahoma"/>
          <w:bCs/>
        </w:rPr>
        <w:t xml:space="preserve">La composizione dell’organo di revisione delle unioni di comuni è stata differenziata, ad opera del D.L. n. 174/2012, come modificato in sede di conversione dalla L. n. 213/2012, in ragione delle funzioni che sono state conferite nell’unione. </w:t>
      </w:r>
      <w:r w:rsidR="00B14F83" w:rsidRPr="00515872">
        <w:rPr>
          <w:rFonts w:cs="Tahoma"/>
          <w:bCs/>
        </w:rPr>
        <w:t>L’art. 3 del decreto, che modifica l</w:t>
      </w:r>
      <w:r w:rsidRPr="00515872">
        <w:rPr>
          <w:rFonts w:cs="Tahoma"/>
          <w:bCs/>
        </w:rPr>
        <w:t xml:space="preserve">’art. 234, </w:t>
      </w:r>
      <w:r w:rsidR="00B14F83" w:rsidRPr="00515872">
        <w:rPr>
          <w:rFonts w:cs="Tahoma"/>
          <w:bCs/>
        </w:rPr>
        <w:t>del TUEL inserendo il c</w:t>
      </w:r>
      <w:r w:rsidR="00DB748A" w:rsidRPr="00515872">
        <w:rPr>
          <w:rFonts w:cs="Tahoma"/>
          <w:bCs/>
        </w:rPr>
        <w:t>.</w:t>
      </w:r>
      <w:r w:rsidR="00B14F83" w:rsidRPr="00515872">
        <w:rPr>
          <w:rFonts w:cs="Tahoma"/>
          <w:bCs/>
        </w:rPr>
        <w:t xml:space="preserve"> 3-bis, </w:t>
      </w:r>
      <w:r w:rsidRPr="00515872">
        <w:rPr>
          <w:rFonts w:cs="Tahoma"/>
          <w:bCs/>
        </w:rPr>
        <w:t xml:space="preserve">prevede che nelle unioni che esercitano </w:t>
      </w:r>
      <w:r w:rsidR="00B14F83" w:rsidRPr="00515872">
        <w:rPr>
          <w:rFonts w:cs="Tahoma"/>
          <w:bCs/>
        </w:rPr>
        <w:t xml:space="preserve">in forma associata </w:t>
      </w:r>
      <w:r w:rsidRPr="00515872">
        <w:rPr>
          <w:rFonts w:cs="Tahoma"/>
          <w:bCs/>
        </w:rPr>
        <w:t>tutte le funzioni fondamentali</w:t>
      </w:r>
      <w:r w:rsidRPr="00515872">
        <w:rPr>
          <w:rStyle w:val="Rimandonotaapidipagina"/>
          <w:rFonts w:cs="Tahoma"/>
          <w:bCs/>
        </w:rPr>
        <w:footnoteReference w:id="3"/>
      </w:r>
      <w:r w:rsidR="009010C7" w:rsidRPr="00515872">
        <w:rPr>
          <w:rFonts w:cs="Tahoma"/>
          <w:bCs/>
        </w:rPr>
        <w:t xml:space="preserve"> dei comuni membri,</w:t>
      </w:r>
      <w:r w:rsidRPr="00515872">
        <w:rPr>
          <w:rFonts w:cs="Tahoma"/>
          <w:bCs/>
        </w:rPr>
        <w:t xml:space="preserve"> l’organo </w:t>
      </w:r>
      <w:r w:rsidRPr="00515872">
        <w:rPr>
          <w:rFonts w:cs="Tahoma"/>
          <w:bCs/>
        </w:rPr>
        <w:lastRenderedPageBreak/>
        <w:t xml:space="preserve">di revisione sia costituito da un collegio composto da 3 membri, </w:t>
      </w:r>
      <w:r w:rsidR="00B14F83" w:rsidRPr="00515872">
        <w:rPr>
          <w:rFonts w:cs="Tahoma"/>
          <w:bCs/>
        </w:rPr>
        <w:t xml:space="preserve">che svolge le medesime funzioni anche per i comuni che fanno parte dell’unione. </w:t>
      </w:r>
      <w:r w:rsidR="001F02EA" w:rsidRPr="00515872">
        <w:rPr>
          <w:rFonts w:cs="Tahoma"/>
          <w:bCs/>
        </w:rPr>
        <w:t xml:space="preserve">La nomina collegiale è prevista anche nelle unioni di comuni con popolazione superiore a 10.000 abitanti. </w:t>
      </w:r>
      <w:r w:rsidR="00B14F83" w:rsidRPr="00515872">
        <w:rPr>
          <w:rFonts w:cs="Tahoma"/>
          <w:bCs/>
        </w:rPr>
        <w:t>N</w:t>
      </w:r>
      <w:r w:rsidRPr="00515872">
        <w:rPr>
          <w:rFonts w:cs="Tahoma"/>
          <w:bCs/>
        </w:rPr>
        <w:t>elle restanti unioni vige la regola del revisore unico.</w:t>
      </w:r>
    </w:p>
    <w:p w14:paraId="6F6E63F7" w14:textId="77777777" w:rsidR="009518AF" w:rsidRPr="00515872" w:rsidRDefault="009518AF" w:rsidP="009518AF">
      <w:pPr>
        <w:spacing w:line="360" w:lineRule="auto"/>
        <w:jc w:val="both"/>
        <w:rPr>
          <w:rFonts w:cs="Tahoma"/>
          <w:bCs/>
        </w:rPr>
      </w:pPr>
      <w:r w:rsidRPr="00515872">
        <w:rPr>
          <w:rFonts w:cs="Tahoma"/>
          <w:bCs/>
        </w:rPr>
        <w:t>La Circolare del Ministero dell’Interno n. 57782 del 24 giugno 2013 rileva come per le unioni cost</w:t>
      </w:r>
      <w:r w:rsidR="00456CE0" w:rsidRPr="00515872">
        <w:rPr>
          <w:rFonts w:cs="Tahoma"/>
          <w:bCs/>
        </w:rPr>
        <w:t>ituite ai sensi dell’art. 16,</w:t>
      </w:r>
      <w:r w:rsidRPr="00515872">
        <w:rPr>
          <w:rFonts w:cs="Tahoma"/>
          <w:bCs/>
        </w:rPr>
        <w:t xml:space="preserve"> D.L. n. 138/2011 da enti con popolazione fino a 1.000 abitanti per lo svolgimento di tutte le funzioni amministrative e di tutti i servizi pubblici, il collegio composto di 3 membri risulterebbe non in linea con lo spirito della legge che persegue il principio di contenimento della spesa, lasciando quindi intendere la possibilità di derogare a favore del revisore unico.</w:t>
      </w:r>
    </w:p>
    <w:p w14:paraId="78FDDCA9"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Al fine </w:t>
      </w:r>
      <w:r w:rsidR="00575BDA" w:rsidRPr="00515872">
        <w:rPr>
          <w:rFonts w:eastAsia="Times New Roman" w:cs="Tahoma"/>
          <w:szCs w:val="20"/>
          <w:lang w:eastAsia="it-IT"/>
        </w:rPr>
        <w:t>di verificare se l’unione svolga</w:t>
      </w:r>
      <w:r w:rsidRPr="00515872">
        <w:rPr>
          <w:rFonts w:eastAsia="Times New Roman" w:cs="Tahoma"/>
          <w:szCs w:val="20"/>
          <w:lang w:eastAsia="it-IT"/>
        </w:rPr>
        <w:t xml:space="preserve"> tutte le funzioni fondamentali dei comuni membri, occorre distinguere tra diverse tipologie di unioni:</w:t>
      </w:r>
    </w:p>
    <w:p w14:paraId="3E0728D2" w14:textId="77777777" w:rsidR="009518AF" w:rsidRPr="00515872" w:rsidRDefault="009518AF" w:rsidP="00D65838">
      <w:pPr>
        <w:pStyle w:val="Paragrafoelenco"/>
        <w:numPr>
          <w:ilvl w:val="0"/>
          <w:numId w:val="86"/>
        </w:numPr>
        <w:spacing w:line="360" w:lineRule="auto"/>
        <w:jc w:val="both"/>
        <w:rPr>
          <w:rFonts w:eastAsia="Times New Roman" w:cs="Tahoma"/>
          <w:szCs w:val="20"/>
          <w:lang w:eastAsia="it-IT"/>
        </w:rPr>
      </w:pPr>
      <w:r w:rsidRPr="00515872">
        <w:rPr>
          <w:rFonts w:eastAsia="Times New Roman" w:cs="Tahoma"/>
          <w:szCs w:val="20"/>
          <w:lang w:eastAsia="it-IT"/>
        </w:rPr>
        <w:t xml:space="preserve">le unioni costituite da comuni con popolazione superiore a 5.000 abitanti, per i quali non sussiste l’obbligo della gestione in forma associata di tutte le funzioni fondamentali, </w:t>
      </w:r>
      <w:r w:rsidR="00456CE0" w:rsidRPr="00515872">
        <w:rPr>
          <w:rFonts w:eastAsia="Times New Roman" w:cs="Tahoma"/>
          <w:szCs w:val="20"/>
          <w:lang w:eastAsia="it-IT"/>
        </w:rPr>
        <w:t xml:space="preserve">nelle quali </w:t>
      </w:r>
      <w:r w:rsidRPr="00515872">
        <w:rPr>
          <w:rFonts w:eastAsia="Times New Roman" w:cs="Tahoma"/>
          <w:szCs w:val="20"/>
          <w:lang w:eastAsia="it-IT"/>
        </w:rPr>
        <w:t>le funzioni svolte con l’esercizio associato sono definite dallo statuto. Alla specifica previsione statutaria bisogna rifarsi per l’individuazione delle suddette funzioni che, se svolte nella loro totalità, danno luogo alla immediata applicazione della nuova composizione collegiale dell’organo di revisione;</w:t>
      </w:r>
    </w:p>
    <w:p w14:paraId="33B5C9A5" w14:textId="77777777" w:rsidR="009518AF" w:rsidRPr="00515872" w:rsidRDefault="009518AF" w:rsidP="00D65838">
      <w:pPr>
        <w:pStyle w:val="Paragrafoelenco"/>
        <w:numPr>
          <w:ilvl w:val="0"/>
          <w:numId w:val="86"/>
        </w:numPr>
        <w:spacing w:line="360" w:lineRule="auto"/>
        <w:jc w:val="both"/>
        <w:rPr>
          <w:rFonts w:eastAsia="Times New Roman" w:cs="Tahoma"/>
          <w:szCs w:val="20"/>
          <w:lang w:eastAsia="it-IT"/>
        </w:rPr>
      </w:pPr>
      <w:r w:rsidRPr="00515872">
        <w:rPr>
          <w:rFonts w:eastAsia="Times New Roman" w:cs="Tahoma"/>
          <w:szCs w:val="20"/>
          <w:lang w:eastAsia="it-IT"/>
        </w:rPr>
        <w:t xml:space="preserve">le unioni composte da comuni con popolazione fino a 5.000 abitanti, ovvero fino a 3.000 se si tratta di comuni montani, per i quali l’obbligo previsto dall’art. 14, cc. 28 e segg. del D.L. </w:t>
      </w:r>
      <w:r w:rsidR="00456CE0" w:rsidRPr="00515872">
        <w:rPr>
          <w:rFonts w:eastAsia="Times New Roman" w:cs="Tahoma"/>
          <w:szCs w:val="20"/>
          <w:lang w:eastAsia="it-IT"/>
        </w:rPr>
        <w:t xml:space="preserve">n. </w:t>
      </w:r>
      <w:r w:rsidRPr="00515872">
        <w:rPr>
          <w:rFonts w:eastAsia="Times New Roman" w:cs="Tahoma"/>
          <w:szCs w:val="20"/>
          <w:lang w:eastAsia="it-IT"/>
        </w:rPr>
        <w:t>78/2010 di svolgimento in forma associata di tutte le funzioni fondamentali doveva essere assicurato entro il 1° gennaio 2014</w:t>
      </w:r>
      <w:r w:rsidRPr="00515872">
        <w:rPr>
          <w:rStyle w:val="Rimandonotaapidipagina"/>
          <w:rFonts w:eastAsia="Times New Roman" w:cs="Tahoma"/>
          <w:szCs w:val="20"/>
          <w:lang w:eastAsia="it-IT"/>
        </w:rPr>
        <w:footnoteReference w:id="4"/>
      </w:r>
      <w:r w:rsidRPr="00515872">
        <w:rPr>
          <w:rFonts w:eastAsia="Times New Roman" w:cs="Tahoma"/>
          <w:szCs w:val="20"/>
          <w:lang w:eastAsia="it-IT"/>
        </w:rPr>
        <w:t>. Anche in questo caso occorre verificare che lo statuto dell’unione abbia disposto l’esercizio associato di tutte le funzioni fondamentali, circostanza che dà luogo alla immediata applicazione della nuova composizione dell’organo di revisione.</w:t>
      </w:r>
    </w:p>
    <w:p w14:paraId="6005921C" w14:textId="0A5D32C2"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L’applicazione delle disposizioni inerenti </w:t>
      </w:r>
      <w:r w:rsidR="00F61E9D" w:rsidRPr="00515872">
        <w:rPr>
          <w:rFonts w:eastAsia="Times New Roman" w:cs="Tahoma"/>
          <w:szCs w:val="20"/>
          <w:lang w:eastAsia="it-IT"/>
        </w:rPr>
        <w:t>alla</w:t>
      </w:r>
      <w:r w:rsidRPr="00515872">
        <w:rPr>
          <w:rFonts w:eastAsia="Times New Roman" w:cs="Tahoma"/>
          <w:szCs w:val="20"/>
          <w:lang w:eastAsia="it-IT"/>
        </w:rPr>
        <w:t xml:space="preserve"> nomina collegiale per le unioni </w:t>
      </w:r>
      <w:r w:rsidRPr="00515872">
        <w:rPr>
          <w:rFonts w:cs="Tahoma"/>
          <w:bCs/>
        </w:rPr>
        <w:t>che esercitano tutte le funzioni fondamentali</w:t>
      </w:r>
      <w:r w:rsidRPr="00515872">
        <w:rPr>
          <w:rFonts w:eastAsia="Times New Roman" w:cs="Tahoma"/>
          <w:szCs w:val="20"/>
          <w:lang w:eastAsia="it-IT"/>
        </w:rPr>
        <w:t>, al verificarsi dei presupposti come sopra individuati, comporta</w:t>
      </w:r>
      <w:r w:rsidR="005A25F4" w:rsidRPr="00515872">
        <w:rPr>
          <w:rFonts w:eastAsia="Times New Roman" w:cs="Tahoma"/>
          <w:szCs w:val="20"/>
          <w:lang w:eastAsia="it-IT"/>
        </w:rPr>
        <w:t>va</w:t>
      </w:r>
      <w:r w:rsidRPr="00515872">
        <w:rPr>
          <w:rFonts w:eastAsia="Times New Roman" w:cs="Tahoma"/>
          <w:szCs w:val="20"/>
          <w:lang w:eastAsia="it-IT"/>
        </w:rPr>
        <w:t xml:space="preserve">, in caso di unione già esistente, la </w:t>
      </w:r>
      <w:r w:rsidRPr="00515872">
        <w:rPr>
          <w:rFonts w:eastAsia="Times New Roman" w:cs="Tahoma"/>
          <w:b/>
          <w:szCs w:val="20"/>
          <w:lang w:eastAsia="it-IT"/>
        </w:rPr>
        <w:t>decadenza del revisore unico, ove ancora in carica</w:t>
      </w:r>
      <w:r w:rsidRPr="00515872">
        <w:rPr>
          <w:rFonts w:eastAsia="Times New Roman" w:cs="Tahoma"/>
          <w:szCs w:val="20"/>
          <w:lang w:eastAsia="it-IT"/>
        </w:rPr>
        <w:t>. A far data dalla decorrenza dell’incarico del nuovo organo di revisione colleg</w:t>
      </w:r>
      <w:r w:rsidR="00575BDA" w:rsidRPr="00515872">
        <w:rPr>
          <w:rFonts w:eastAsia="Times New Roman" w:cs="Tahoma"/>
          <w:szCs w:val="20"/>
          <w:lang w:eastAsia="it-IT"/>
        </w:rPr>
        <w:t>iale, a norma de</w:t>
      </w:r>
      <w:r w:rsidRPr="00515872">
        <w:rPr>
          <w:rFonts w:eastAsia="Times New Roman" w:cs="Tahoma"/>
          <w:szCs w:val="20"/>
          <w:lang w:eastAsia="it-IT"/>
        </w:rPr>
        <w:t xml:space="preserve">ll’art. 3, c. 4-bis, del D.L. n.174/2012, </w:t>
      </w:r>
      <w:r w:rsidRPr="00515872">
        <w:rPr>
          <w:rFonts w:eastAsia="Times New Roman" w:cs="Tahoma"/>
          <w:b/>
          <w:szCs w:val="20"/>
          <w:lang w:eastAsia="it-IT"/>
        </w:rPr>
        <w:t>i revisori in carica nei medesimi comuni decad</w:t>
      </w:r>
      <w:r w:rsidR="005A25F4" w:rsidRPr="00515872">
        <w:rPr>
          <w:rFonts w:eastAsia="Times New Roman" w:cs="Tahoma"/>
          <w:b/>
          <w:szCs w:val="20"/>
          <w:lang w:eastAsia="it-IT"/>
        </w:rPr>
        <w:t>evano</w:t>
      </w:r>
      <w:r w:rsidRPr="00515872">
        <w:rPr>
          <w:rFonts w:eastAsia="Times New Roman" w:cs="Tahoma"/>
          <w:szCs w:val="20"/>
          <w:lang w:eastAsia="it-IT"/>
        </w:rPr>
        <w:t>. L’organo di revisione dell’unione, infatti, svolge le proprie funzioni anche nei confronti dei comuni aderenti all’unione.</w:t>
      </w:r>
    </w:p>
    <w:p w14:paraId="50C32DD6" w14:textId="77777777" w:rsidR="007E176C" w:rsidRPr="00515872" w:rsidRDefault="007E176C" w:rsidP="009518AF">
      <w:pPr>
        <w:spacing w:line="360" w:lineRule="auto"/>
        <w:jc w:val="both"/>
        <w:rPr>
          <w:rFonts w:eastAsia="Times New Roman" w:cs="Tahoma"/>
          <w:szCs w:val="20"/>
          <w:lang w:eastAsia="it-IT"/>
        </w:rPr>
      </w:pPr>
    </w:p>
    <w:p w14:paraId="3CF59576" w14:textId="77777777" w:rsidR="009518AF" w:rsidRPr="00515872" w:rsidRDefault="009518AF" w:rsidP="00297A21">
      <w:pPr>
        <w:pStyle w:val="Paragrafo"/>
        <w:rPr>
          <w:rFonts w:eastAsia="MS Gothic"/>
          <w:kern w:val="28"/>
        </w:rPr>
      </w:pPr>
      <w:bookmarkStart w:id="19" w:name="_Toc521317043"/>
      <w:bookmarkStart w:id="20" w:name="_Toc95912216"/>
      <w:r w:rsidRPr="00515872">
        <w:lastRenderedPageBreak/>
        <w:t>2.2 Incompatibilità e ineleggibilità</w:t>
      </w:r>
      <w:bookmarkEnd w:id="19"/>
      <w:bookmarkEnd w:id="20"/>
    </w:p>
    <w:p w14:paraId="3473A224"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Sono incompatibili con la funzione di revisore dei conti d</w:t>
      </w:r>
      <w:r w:rsidR="000364DC" w:rsidRPr="00515872">
        <w:rPr>
          <w:rFonts w:eastAsia="Times New Roman" w:cs="Tahoma"/>
          <w:szCs w:val="20"/>
          <w:lang w:eastAsia="it-IT"/>
        </w:rPr>
        <w:t>egl</w:t>
      </w:r>
      <w:r w:rsidRPr="00515872">
        <w:rPr>
          <w:rFonts w:eastAsia="Times New Roman" w:cs="Tahoma"/>
          <w:szCs w:val="20"/>
          <w:lang w:eastAsia="it-IT"/>
        </w:rPr>
        <w:t>i enti locali, innanzitutto, i soggetti di cui all’art. 2399, c. 1 del Codice Civile, vale a dire:</w:t>
      </w:r>
    </w:p>
    <w:p w14:paraId="5320037D" w14:textId="77777777" w:rsidR="009518AF" w:rsidRPr="00515872" w:rsidRDefault="009518AF" w:rsidP="009518AF">
      <w:pPr>
        <w:pStyle w:val="Paragrafoelenco"/>
        <w:numPr>
          <w:ilvl w:val="0"/>
          <w:numId w:val="2"/>
        </w:numPr>
        <w:spacing w:line="360" w:lineRule="auto"/>
        <w:jc w:val="both"/>
        <w:rPr>
          <w:rFonts w:eastAsia="Times New Roman" w:cs="Tahoma"/>
          <w:szCs w:val="20"/>
          <w:lang w:eastAsia="it-IT"/>
        </w:rPr>
      </w:pPr>
      <w:r w:rsidRPr="00515872">
        <w:rPr>
          <w:rFonts w:eastAsia="Times New Roman" w:cs="Tahoma"/>
          <w:szCs w:val="20"/>
          <w:lang w:eastAsia="it-IT"/>
        </w:rPr>
        <w:t>coloro che si trovano nelle condizioni previste dall’art. 2382</w:t>
      </w:r>
      <w:r w:rsidR="00456CE0" w:rsidRPr="00515872">
        <w:rPr>
          <w:rFonts w:eastAsia="Times New Roman" w:cs="Tahoma"/>
          <w:szCs w:val="20"/>
          <w:lang w:eastAsia="it-IT"/>
        </w:rPr>
        <w:t xml:space="preserve"> del Codice Civile</w:t>
      </w:r>
      <w:r w:rsidRPr="00515872">
        <w:rPr>
          <w:rFonts w:eastAsia="Times New Roman" w:cs="Tahoma"/>
          <w:szCs w:val="20"/>
          <w:lang w:eastAsia="it-IT"/>
        </w:rPr>
        <w:t xml:space="preserve"> (</w:t>
      </w:r>
      <w:r w:rsidR="00456CE0" w:rsidRPr="00515872">
        <w:rPr>
          <w:rFonts w:eastAsia="Times New Roman" w:cs="Tahoma"/>
          <w:szCs w:val="20"/>
          <w:lang w:eastAsia="it-IT"/>
        </w:rPr>
        <w:t xml:space="preserve">vale a dire, </w:t>
      </w:r>
      <w:r w:rsidRPr="00515872">
        <w:rPr>
          <w:rFonts w:eastAsia="Times New Roman" w:cs="Tahoma"/>
          <w:szCs w:val="20"/>
          <w:lang w:eastAsia="it-IT"/>
        </w:rPr>
        <w:t>l’interdetto, l’inabilitato, il fallito, chi è stato condannato ad una pena che importa l’interdizione, anche temporanea, dai pubblici uffici o l’incapacità ad esercitare uffici direttivi);</w:t>
      </w:r>
    </w:p>
    <w:p w14:paraId="0E32A609" w14:textId="77777777" w:rsidR="009518AF" w:rsidRPr="00515872" w:rsidRDefault="009518AF" w:rsidP="009518AF">
      <w:pPr>
        <w:pStyle w:val="Paragrafoelenco"/>
        <w:numPr>
          <w:ilvl w:val="0"/>
          <w:numId w:val="2"/>
        </w:numPr>
        <w:spacing w:line="360" w:lineRule="auto"/>
        <w:jc w:val="both"/>
        <w:rPr>
          <w:rFonts w:eastAsia="Times New Roman" w:cs="Tahoma"/>
          <w:szCs w:val="20"/>
          <w:lang w:eastAsia="it-IT"/>
        </w:rPr>
      </w:pPr>
      <w:r w:rsidRPr="00515872">
        <w:rPr>
          <w:rFonts w:eastAsia="Times New Roman" w:cs="Tahoma"/>
          <w:szCs w:val="20"/>
          <w:lang w:eastAsia="it-IT"/>
        </w:rPr>
        <w:t>il coniuge, i parenti e gli affini entro il 4° grado degli amministratori della società, gli amministratori, il coniuge, i parenti e gli affini entro il 4° grado degli amministratori delle società da questa controllate, delle società che la controllano e di quelle sottoposte a comune controllo (tenendo conto che, al fine dell’applicazione della norma agli enti locali, per amministratori devono intendersi i componen</w:t>
      </w:r>
      <w:r w:rsidR="00C8222C" w:rsidRPr="00515872">
        <w:rPr>
          <w:rFonts w:eastAsia="Times New Roman" w:cs="Tahoma"/>
          <w:szCs w:val="20"/>
          <w:lang w:eastAsia="it-IT"/>
        </w:rPr>
        <w:t>ti della giunta dell’ente locale</w:t>
      </w:r>
      <w:r w:rsidRPr="00515872">
        <w:rPr>
          <w:rFonts w:eastAsia="Times New Roman" w:cs="Tahoma"/>
          <w:szCs w:val="20"/>
          <w:lang w:eastAsia="it-IT"/>
        </w:rPr>
        <w:t>);</w:t>
      </w:r>
    </w:p>
    <w:p w14:paraId="48184FA8" w14:textId="77777777" w:rsidR="009518AF" w:rsidRPr="00515872" w:rsidRDefault="009518AF" w:rsidP="009518AF">
      <w:pPr>
        <w:pStyle w:val="Paragrafoelenco"/>
        <w:numPr>
          <w:ilvl w:val="0"/>
          <w:numId w:val="2"/>
        </w:numPr>
        <w:spacing w:line="360" w:lineRule="auto"/>
        <w:jc w:val="both"/>
        <w:rPr>
          <w:rFonts w:eastAsia="Times New Roman" w:cs="Tahoma"/>
          <w:szCs w:val="20"/>
          <w:lang w:eastAsia="it-IT"/>
        </w:rPr>
      </w:pPr>
      <w:r w:rsidRPr="00515872">
        <w:rPr>
          <w:rFonts w:eastAsia="Times New Roman" w:cs="Tahoma"/>
          <w:szCs w:val="20"/>
          <w:lang w:eastAsia="it-IT"/>
        </w:rPr>
        <w:t>coloro che sono legati alla società (intendendosi, in questo caso, l’ente) o alle società da questa controllate o alle società che la controllano o a quelle sottoposte a comune controllo, da un rapporto di lavoro o da un rapporto continuativo di consulenza o di prestazione d’opera retribuita, ovvero da altri rapporti di natura patrimoniale che ne compromettano l’indipendenza.</w:t>
      </w:r>
    </w:p>
    <w:p w14:paraId="67B4B632"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A queste cause di incompatibilità, previste mediante richiamo alla norma del Codice Civile in materia di società per azioni, si aggiungono quelle specifiche per gli enti locali, in base alle quali sono incompatibili con la carica di revisore:</w:t>
      </w:r>
    </w:p>
    <w:p w14:paraId="1ABE9806" w14:textId="77777777" w:rsidR="009518AF" w:rsidRPr="00515872" w:rsidRDefault="009518AF" w:rsidP="009518AF">
      <w:pPr>
        <w:pStyle w:val="Paragrafoelenco"/>
        <w:numPr>
          <w:ilvl w:val="0"/>
          <w:numId w:val="6"/>
        </w:numPr>
        <w:spacing w:line="360" w:lineRule="auto"/>
        <w:jc w:val="both"/>
        <w:rPr>
          <w:rFonts w:eastAsia="Times New Roman" w:cs="Tahoma"/>
          <w:szCs w:val="20"/>
          <w:lang w:eastAsia="it-IT"/>
        </w:rPr>
      </w:pPr>
      <w:r w:rsidRPr="00515872">
        <w:rPr>
          <w:rFonts w:cs="Tahoma"/>
          <w:color w:val="000000"/>
          <w:szCs w:val="20"/>
        </w:rPr>
        <w:t>i componenti degli organi dell’ente locale e coloro che hanno ricoperto tale incarico nel biennio precedente alla nomina;</w:t>
      </w:r>
    </w:p>
    <w:p w14:paraId="1CDADB53" w14:textId="77777777" w:rsidR="009518AF" w:rsidRPr="00515872" w:rsidRDefault="00894545" w:rsidP="00B46821">
      <w:pPr>
        <w:pStyle w:val="Paragrafoelenco"/>
        <w:numPr>
          <w:ilvl w:val="0"/>
          <w:numId w:val="6"/>
        </w:numPr>
        <w:spacing w:line="360" w:lineRule="auto"/>
        <w:jc w:val="both"/>
        <w:rPr>
          <w:rFonts w:eastAsia="Times New Roman" w:cs="Tahoma"/>
          <w:szCs w:val="20"/>
          <w:lang w:eastAsia="it-IT"/>
        </w:rPr>
      </w:pPr>
      <w:r w:rsidRPr="00515872">
        <w:rPr>
          <w:rFonts w:cs="Tahoma"/>
          <w:color w:val="000000"/>
          <w:szCs w:val="20"/>
        </w:rPr>
        <w:t xml:space="preserve">il segretario e </w:t>
      </w:r>
      <w:r w:rsidR="009518AF" w:rsidRPr="00515872">
        <w:rPr>
          <w:rFonts w:cs="Tahoma"/>
          <w:color w:val="000000"/>
          <w:szCs w:val="20"/>
        </w:rPr>
        <w:t>i dipendenti dell’ente locale presso cui deve essere nominato l’organo di revisione economico-finanziaria;</w:t>
      </w:r>
    </w:p>
    <w:p w14:paraId="131CBB06" w14:textId="77777777" w:rsidR="009518AF" w:rsidRPr="00515872" w:rsidRDefault="009518AF" w:rsidP="009518AF">
      <w:pPr>
        <w:pStyle w:val="Paragrafoelenco"/>
        <w:numPr>
          <w:ilvl w:val="0"/>
          <w:numId w:val="6"/>
        </w:numPr>
        <w:spacing w:line="360" w:lineRule="auto"/>
        <w:jc w:val="both"/>
        <w:rPr>
          <w:rFonts w:eastAsia="Times New Roman" w:cs="Tahoma"/>
          <w:szCs w:val="20"/>
          <w:lang w:eastAsia="it-IT"/>
        </w:rPr>
      </w:pPr>
      <w:r w:rsidRPr="00515872">
        <w:rPr>
          <w:rFonts w:cs="Tahoma"/>
          <w:color w:val="000000"/>
          <w:szCs w:val="20"/>
        </w:rPr>
        <w:t>i dipendenti delle regioni, delle province, delle città metropolitane, delle comunità montane e delle unioni di comuni relativamente agli enti locali compresi nella circoscrizione territoriale di competenza.</w:t>
      </w:r>
    </w:p>
    <w:p w14:paraId="503F8DAD" w14:textId="77777777" w:rsidR="00887CDC" w:rsidRPr="00515872" w:rsidRDefault="009518AF" w:rsidP="009518AF">
      <w:pPr>
        <w:spacing w:line="360" w:lineRule="auto"/>
        <w:jc w:val="both"/>
        <w:rPr>
          <w:rFonts w:cs="Tahoma"/>
          <w:szCs w:val="20"/>
        </w:rPr>
      </w:pPr>
      <w:r w:rsidRPr="00515872">
        <w:rPr>
          <w:rFonts w:cs="Tahoma"/>
          <w:szCs w:val="20"/>
        </w:rPr>
        <w:t xml:space="preserve">È infine previsto che i componenti degli organi di revisione contabile non possano assumere incarichi o consulenze presso l'ente locale </w:t>
      </w:r>
      <w:r w:rsidR="00887CDC" w:rsidRPr="00515872">
        <w:rPr>
          <w:rFonts w:cs="Tahoma"/>
          <w:szCs w:val="20"/>
        </w:rPr>
        <w:t>né presso aziende speciali o consorzi a cui partecipa l’ente</w:t>
      </w:r>
      <w:r w:rsidR="00AE4AB7" w:rsidRPr="00515872">
        <w:rPr>
          <w:rStyle w:val="Rimandonotaapidipagina"/>
          <w:rFonts w:cs="Tahoma"/>
          <w:szCs w:val="20"/>
        </w:rPr>
        <w:footnoteReference w:id="5"/>
      </w:r>
      <w:r w:rsidR="00887CDC" w:rsidRPr="00515872">
        <w:rPr>
          <w:rFonts w:cs="Tahoma"/>
          <w:szCs w:val="20"/>
        </w:rPr>
        <w:t>.</w:t>
      </w:r>
    </w:p>
    <w:p w14:paraId="312AFE0A" w14:textId="77777777" w:rsidR="00887CDC" w:rsidRPr="00515872" w:rsidRDefault="00C8222C" w:rsidP="00456CE0">
      <w:pPr>
        <w:spacing w:after="0" w:line="360" w:lineRule="auto"/>
        <w:jc w:val="both"/>
        <w:rPr>
          <w:rFonts w:cs="Tahoma"/>
          <w:szCs w:val="20"/>
        </w:rPr>
      </w:pPr>
      <w:r w:rsidRPr="00515872">
        <w:rPr>
          <w:rFonts w:cs="Tahoma"/>
          <w:szCs w:val="20"/>
        </w:rPr>
        <w:t>Secondo la giurisprudenza</w:t>
      </w:r>
      <w:r w:rsidR="00887CDC" w:rsidRPr="00515872">
        <w:rPr>
          <w:rFonts w:cs="Tahoma"/>
          <w:szCs w:val="20"/>
        </w:rPr>
        <w:t>, il revisore, inoltre, non può assumere incarichi o consulenze presso:</w:t>
      </w:r>
    </w:p>
    <w:p w14:paraId="59609774" w14:textId="77777777" w:rsidR="00887CDC" w:rsidRPr="00515872" w:rsidRDefault="00887CDC" w:rsidP="00456CE0">
      <w:pPr>
        <w:pStyle w:val="Paragrafoelenco"/>
        <w:numPr>
          <w:ilvl w:val="0"/>
          <w:numId w:val="205"/>
        </w:numPr>
        <w:spacing w:line="360" w:lineRule="auto"/>
        <w:ind w:left="284" w:hanging="284"/>
        <w:jc w:val="both"/>
        <w:rPr>
          <w:rFonts w:cs="Tahoma"/>
          <w:szCs w:val="20"/>
        </w:rPr>
      </w:pPr>
      <w:r w:rsidRPr="00515872">
        <w:rPr>
          <w:rFonts w:cs="Tahoma"/>
          <w:szCs w:val="20"/>
        </w:rPr>
        <w:t xml:space="preserve">le società </w:t>
      </w:r>
      <w:r w:rsidRPr="00515872">
        <w:rPr>
          <w:rFonts w:cs="Tahoma"/>
          <w:i/>
          <w:szCs w:val="20"/>
        </w:rPr>
        <w:t>in</w:t>
      </w:r>
      <w:r w:rsidR="00BC7927" w:rsidRPr="00515872">
        <w:rPr>
          <w:rFonts w:cs="Tahoma"/>
          <w:i/>
          <w:szCs w:val="20"/>
        </w:rPr>
        <w:t xml:space="preserve"> </w:t>
      </w:r>
      <w:r w:rsidRPr="00515872">
        <w:rPr>
          <w:rFonts w:cs="Tahoma"/>
          <w:i/>
          <w:szCs w:val="20"/>
        </w:rPr>
        <w:t>house</w:t>
      </w:r>
      <w:r w:rsidRPr="00515872">
        <w:rPr>
          <w:rFonts w:cs="Tahoma"/>
          <w:szCs w:val="20"/>
        </w:rPr>
        <w:t xml:space="preserve"> soggette a controllo analogo a cui partecipa l’ente;</w:t>
      </w:r>
    </w:p>
    <w:p w14:paraId="699F2477" w14:textId="77777777" w:rsidR="009518AF" w:rsidRPr="00515872" w:rsidRDefault="00887CDC" w:rsidP="00456CE0">
      <w:pPr>
        <w:pStyle w:val="Paragrafoelenco"/>
        <w:numPr>
          <w:ilvl w:val="0"/>
          <w:numId w:val="205"/>
        </w:numPr>
        <w:spacing w:line="360" w:lineRule="auto"/>
        <w:ind w:left="284" w:hanging="284"/>
        <w:jc w:val="both"/>
        <w:rPr>
          <w:rFonts w:cs="Tahoma"/>
          <w:szCs w:val="20"/>
        </w:rPr>
      </w:pPr>
      <w:r w:rsidRPr="00515872">
        <w:rPr>
          <w:rFonts w:cs="Tahoma"/>
          <w:szCs w:val="20"/>
        </w:rPr>
        <w:t xml:space="preserve">le società di capitale controllate dall’ente locale nei modi indicati dal </w:t>
      </w:r>
      <w:proofErr w:type="spellStart"/>
      <w:r w:rsidRPr="00515872">
        <w:rPr>
          <w:rFonts w:cs="Tahoma"/>
          <w:szCs w:val="20"/>
        </w:rPr>
        <w:t>D.Lgs.</w:t>
      </w:r>
      <w:proofErr w:type="spellEnd"/>
      <w:r w:rsidRPr="00515872">
        <w:rPr>
          <w:rFonts w:cs="Tahoma"/>
          <w:szCs w:val="20"/>
        </w:rPr>
        <w:t xml:space="preserve"> n.</w:t>
      </w:r>
      <w:r w:rsidR="00456CE0" w:rsidRPr="00515872">
        <w:rPr>
          <w:rFonts w:cs="Tahoma"/>
          <w:szCs w:val="20"/>
        </w:rPr>
        <w:t xml:space="preserve"> </w:t>
      </w:r>
      <w:r w:rsidRPr="00515872">
        <w:rPr>
          <w:rFonts w:cs="Tahoma"/>
          <w:szCs w:val="20"/>
        </w:rPr>
        <w:t>175/2016;</w:t>
      </w:r>
    </w:p>
    <w:p w14:paraId="1946D594" w14:textId="77777777" w:rsidR="00887CDC" w:rsidRPr="00515872" w:rsidRDefault="00887CDC" w:rsidP="00456CE0">
      <w:pPr>
        <w:pStyle w:val="Paragrafoelenco"/>
        <w:numPr>
          <w:ilvl w:val="0"/>
          <w:numId w:val="205"/>
        </w:numPr>
        <w:spacing w:line="360" w:lineRule="auto"/>
        <w:ind w:left="284" w:hanging="284"/>
        <w:jc w:val="both"/>
        <w:rPr>
          <w:rFonts w:cs="Tahoma"/>
          <w:szCs w:val="20"/>
        </w:rPr>
      </w:pPr>
      <w:r w:rsidRPr="00515872">
        <w:rPr>
          <w:rFonts w:cs="Tahoma"/>
          <w:szCs w:val="20"/>
        </w:rPr>
        <w:t>le società nelle quali lo statuto o i patti parasociali prevedono la vigilanza e/o il controllo dell’ente anche con partecipazioni minoritarie.</w:t>
      </w:r>
    </w:p>
    <w:p w14:paraId="36C62B00" w14:textId="77777777" w:rsidR="009518AF" w:rsidRPr="00515872" w:rsidRDefault="009518AF" w:rsidP="009518AF">
      <w:pPr>
        <w:pStyle w:val="Sottoparagrafo"/>
        <w:rPr>
          <w:rFonts w:cs="Tahoma"/>
        </w:rPr>
      </w:pPr>
      <w:bookmarkStart w:id="21" w:name="_Toc521317044"/>
      <w:bookmarkStart w:id="22" w:name="_Toc95912217"/>
      <w:r w:rsidRPr="00515872">
        <w:rPr>
          <w:rFonts w:cs="Tahoma"/>
        </w:rPr>
        <w:lastRenderedPageBreak/>
        <w:t>2.2.1 Indipendenza</w:t>
      </w:r>
      <w:bookmarkEnd w:id="21"/>
      <w:bookmarkEnd w:id="22"/>
    </w:p>
    <w:p w14:paraId="6B6C7D08" w14:textId="77777777" w:rsidR="00783238" w:rsidRPr="00515872" w:rsidRDefault="009518AF" w:rsidP="009518AF">
      <w:pPr>
        <w:spacing w:line="360" w:lineRule="auto"/>
        <w:jc w:val="both"/>
        <w:rPr>
          <w:rFonts w:cs="Tahoma"/>
          <w:szCs w:val="20"/>
        </w:rPr>
      </w:pPr>
      <w:r w:rsidRPr="00515872">
        <w:rPr>
          <w:rFonts w:cs="Tahoma"/>
          <w:szCs w:val="20"/>
        </w:rPr>
        <w:t>Uno degli aspetti particolari legato alle cause di incompatibilità è quello dell’indipendenza del revisore. Per poter esprim</w:t>
      </w:r>
      <w:r w:rsidR="002055CC" w:rsidRPr="00515872">
        <w:rPr>
          <w:rFonts w:cs="Tahoma"/>
          <w:szCs w:val="20"/>
        </w:rPr>
        <w:t xml:space="preserve">ere giudizi obiettivi, </w:t>
      </w:r>
      <w:r w:rsidRPr="00515872">
        <w:rPr>
          <w:rFonts w:cs="Tahoma"/>
          <w:szCs w:val="20"/>
        </w:rPr>
        <w:t xml:space="preserve">il revisore (al pari del revisore o </w:t>
      </w:r>
      <w:r w:rsidR="00783238" w:rsidRPr="00515872">
        <w:rPr>
          <w:rFonts w:cs="Tahoma"/>
          <w:szCs w:val="20"/>
        </w:rPr>
        <w:t xml:space="preserve">del </w:t>
      </w:r>
      <w:r w:rsidRPr="00515872">
        <w:rPr>
          <w:rFonts w:cs="Tahoma"/>
          <w:szCs w:val="20"/>
        </w:rPr>
        <w:t xml:space="preserve">sindaco di società di capitali) deve trovarsi in una posizione indipendente rispetto all’ente oggetto di controllo, vale a dire: </w:t>
      </w:r>
      <w:r w:rsidRPr="00515872">
        <w:rPr>
          <w:rFonts w:cs="Tahoma"/>
          <w:b/>
          <w:szCs w:val="20"/>
        </w:rPr>
        <w:t>libero da possibili interessi conflittuali o forme di coercizione</w:t>
      </w:r>
      <w:r w:rsidR="00783238" w:rsidRPr="00515872">
        <w:rPr>
          <w:rFonts w:cs="Tahoma"/>
          <w:szCs w:val="20"/>
        </w:rPr>
        <w:t xml:space="preserve"> che da esso possono derivare.</w:t>
      </w:r>
    </w:p>
    <w:p w14:paraId="3C059A89" w14:textId="77777777" w:rsidR="009518AF" w:rsidRPr="00515872" w:rsidRDefault="009518AF" w:rsidP="009518AF">
      <w:pPr>
        <w:spacing w:line="360" w:lineRule="auto"/>
        <w:jc w:val="both"/>
        <w:rPr>
          <w:rFonts w:cs="Tahoma"/>
          <w:szCs w:val="20"/>
        </w:rPr>
      </w:pPr>
      <w:r w:rsidRPr="00515872">
        <w:rPr>
          <w:rFonts w:cs="Tahoma"/>
          <w:szCs w:val="20"/>
        </w:rPr>
        <w:t>In tale direzione va, innanzitutto, la riforma del sistema di nomina, che ha il chiaro intendo di sottrarre il revisore da qualsiasi forma di influenza che può scaturire da una nomina avvenuta in ambienti eccessivamente confidenziali.</w:t>
      </w:r>
    </w:p>
    <w:p w14:paraId="3E0652B6" w14:textId="77777777" w:rsidR="009518AF" w:rsidRPr="00515872" w:rsidRDefault="009518AF" w:rsidP="009518AF">
      <w:pPr>
        <w:spacing w:line="360" w:lineRule="auto"/>
        <w:jc w:val="both"/>
        <w:rPr>
          <w:rFonts w:cs="Tahoma"/>
          <w:szCs w:val="20"/>
        </w:rPr>
      </w:pPr>
      <w:r w:rsidRPr="00515872">
        <w:rPr>
          <w:rFonts w:cs="Tahoma"/>
          <w:szCs w:val="20"/>
        </w:rPr>
        <w:t xml:space="preserve">Tuttavia, tale misura non può ritenersi sufficiente a garantire libertà ed indipendenza del revisore. L’indipendenza, infatti, può essere minata da una pluralità di circostanze, di </w:t>
      </w:r>
      <w:r w:rsidR="009B26AC" w:rsidRPr="00515872">
        <w:rPr>
          <w:rFonts w:cs="Tahoma"/>
          <w:szCs w:val="20"/>
        </w:rPr>
        <w:t>carattere</w:t>
      </w:r>
      <w:r w:rsidRPr="00515872">
        <w:rPr>
          <w:rFonts w:cs="Tahoma"/>
          <w:szCs w:val="20"/>
        </w:rPr>
        <w:t xml:space="preserve"> generale o connesse alle condizioni specifiche dell’incarico. È compito del revisore, dopo averle esaminate, adottare le misure che si rendano necessarie al fine di ridurre il più possibile i rischi che ne derivano.</w:t>
      </w:r>
    </w:p>
    <w:p w14:paraId="139FDAE6" w14:textId="77777777" w:rsidR="009518AF" w:rsidRPr="00515872" w:rsidRDefault="009518AF" w:rsidP="009518AF">
      <w:pPr>
        <w:pStyle w:val="Default"/>
        <w:spacing w:after="200" w:line="360" w:lineRule="auto"/>
        <w:jc w:val="both"/>
        <w:rPr>
          <w:rFonts w:ascii="Tahoma" w:hAnsi="Tahoma" w:cs="Tahoma"/>
          <w:i/>
          <w:iCs/>
          <w:szCs w:val="20"/>
        </w:rPr>
      </w:pPr>
      <w:r w:rsidRPr="00515872">
        <w:rPr>
          <w:rFonts w:ascii="Tahoma" w:hAnsi="Tahoma" w:cs="Tahoma"/>
          <w:sz w:val="20"/>
          <w:szCs w:val="20"/>
        </w:rPr>
        <w:t>Nel documento n. 1 dei “</w:t>
      </w:r>
      <w:r w:rsidRPr="00515872">
        <w:rPr>
          <w:rFonts w:ascii="Tahoma" w:hAnsi="Tahoma" w:cs="Tahoma"/>
          <w:bCs/>
          <w:sz w:val="20"/>
          <w:szCs w:val="20"/>
        </w:rPr>
        <w:t>Principi di vigilanza e controllo dell’organo di revisione degli Enti locali”</w:t>
      </w:r>
      <w:r w:rsidR="006E1397" w:rsidRPr="00515872">
        <w:rPr>
          <w:rFonts w:ascii="Tahoma" w:hAnsi="Tahoma" w:cs="Tahoma"/>
          <w:bCs/>
          <w:sz w:val="20"/>
          <w:szCs w:val="20"/>
        </w:rPr>
        <w:t>, secondo la versione previgente,</w:t>
      </w:r>
      <w:r w:rsidRPr="00515872">
        <w:rPr>
          <w:rFonts w:ascii="Tahoma" w:hAnsi="Tahoma" w:cs="Tahoma"/>
          <w:bCs/>
          <w:sz w:val="20"/>
          <w:szCs w:val="20"/>
        </w:rPr>
        <w:t xml:space="preserve"> </w:t>
      </w:r>
      <w:r w:rsidRPr="00515872">
        <w:rPr>
          <w:rFonts w:ascii="Tahoma" w:hAnsi="Tahoma" w:cs="Tahoma"/>
          <w:sz w:val="20"/>
          <w:szCs w:val="20"/>
        </w:rPr>
        <w:t>il Consiglio Nazionale dei Dottori Commercialisti e degli Esperti Contabili afferma</w:t>
      </w:r>
      <w:r w:rsidR="006E1397" w:rsidRPr="00515872">
        <w:rPr>
          <w:rFonts w:ascii="Tahoma" w:hAnsi="Tahoma" w:cs="Tahoma"/>
          <w:sz w:val="20"/>
          <w:szCs w:val="20"/>
        </w:rPr>
        <w:t>va</w:t>
      </w:r>
      <w:r w:rsidRPr="00515872">
        <w:rPr>
          <w:rFonts w:ascii="Tahoma" w:hAnsi="Tahoma" w:cs="Tahoma"/>
          <w:sz w:val="20"/>
          <w:szCs w:val="20"/>
        </w:rPr>
        <w:t xml:space="preserve"> che: </w:t>
      </w:r>
      <w:r w:rsidRPr="00515872">
        <w:rPr>
          <w:rFonts w:ascii="Tahoma" w:hAnsi="Tahoma" w:cs="Tahoma"/>
          <w:i/>
          <w:iCs/>
          <w:sz w:val="20"/>
          <w:szCs w:val="20"/>
        </w:rPr>
        <w:t>“Nell’espletamento dell’incarico il revisore si deve trovare in una posizione di indipendenza formale e sostanziale. L’indipendenza formale consiste nell’insussistenza di situazioni di incompatibilità previste dalla legge. L’indipendenza professionale consiste nello svolgimento dell’incarico con imparzialità (obiettività) ed onestà intellettuale (integrità) e nell’</w:t>
      </w:r>
      <w:r w:rsidRPr="00515872">
        <w:rPr>
          <w:rFonts w:ascii="Tahoma" w:hAnsi="Tahoma" w:cs="Tahoma"/>
          <w:b/>
          <w:i/>
          <w:iCs/>
          <w:sz w:val="20"/>
          <w:szCs w:val="20"/>
        </w:rPr>
        <w:t xml:space="preserve">assenza di qualsiasi interesse che il revisore possa avere, direttamente o indirettamente, con l’ente </w:t>
      </w:r>
      <w:r w:rsidRPr="00515872">
        <w:rPr>
          <w:rFonts w:ascii="Tahoma" w:hAnsi="Tahoma" w:cs="Tahoma"/>
          <w:i/>
          <w:iCs/>
          <w:sz w:val="20"/>
          <w:szCs w:val="20"/>
        </w:rPr>
        <w:t xml:space="preserve">nei confronti del quale viene esercitata l’attività di revisione, </w:t>
      </w:r>
      <w:r w:rsidRPr="00515872">
        <w:rPr>
          <w:rFonts w:ascii="Tahoma" w:hAnsi="Tahoma" w:cs="Tahoma"/>
          <w:b/>
          <w:i/>
          <w:iCs/>
          <w:sz w:val="20"/>
          <w:szCs w:val="20"/>
        </w:rPr>
        <w:t>con gli organismi da questo partecipato, verso gli amministratori e responsabili dei servizi</w:t>
      </w:r>
      <w:r w:rsidRPr="00515872">
        <w:rPr>
          <w:rFonts w:ascii="Tahoma" w:hAnsi="Tahoma" w:cs="Tahoma"/>
          <w:i/>
          <w:iCs/>
          <w:sz w:val="20"/>
          <w:szCs w:val="20"/>
        </w:rPr>
        <w:t xml:space="preserve">. Il revisore deve pertanto </w:t>
      </w:r>
      <w:r w:rsidRPr="00515872">
        <w:rPr>
          <w:rFonts w:ascii="Tahoma" w:hAnsi="Tahoma" w:cs="Tahoma"/>
          <w:b/>
          <w:i/>
          <w:iCs/>
          <w:sz w:val="20"/>
          <w:szCs w:val="20"/>
        </w:rPr>
        <w:t>rifiutare l’incarico qualora constati la sussistenza di circostanze o vincoli che possano influenzare la sua attività</w:t>
      </w:r>
      <w:r w:rsidRPr="00515872">
        <w:rPr>
          <w:rFonts w:ascii="Tahoma" w:hAnsi="Tahoma" w:cs="Tahoma"/>
          <w:i/>
          <w:iCs/>
          <w:sz w:val="20"/>
          <w:szCs w:val="20"/>
        </w:rPr>
        <w:t xml:space="preserve">, ovvero quando particolari circostanze possano sollevare nei terzi il fondato dubbio della mancanza di indipendenza, ad esempio qualora emerga la parentela o affinità con dirigenti dell’ente locale. Non è quindi sufficiente l’onestà intellettuale del revisore ma è altresì </w:t>
      </w:r>
      <w:r w:rsidRPr="00515872">
        <w:rPr>
          <w:rFonts w:ascii="Tahoma" w:hAnsi="Tahoma" w:cs="Tahoma"/>
          <w:b/>
          <w:i/>
          <w:iCs/>
          <w:sz w:val="20"/>
          <w:szCs w:val="20"/>
        </w:rPr>
        <w:t>necessaria la condizione obiettiva di essere riconosciuto indipendente dai terzi</w:t>
      </w:r>
      <w:r w:rsidRPr="00515872">
        <w:rPr>
          <w:rFonts w:ascii="Tahoma" w:hAnsi="Tahoma" w:cs="Tahoma"/>
          <w:i/>
          <w:iCs/>
          <w:szCs w:val="20"/>
        </w:rPr>
        <w:t>”.</w:t>
      </w:r>
    </w:p>
    <w:p w14:paraId="769D67AB" w14:textId="77777777" w:rsidR="009518AF" w:rsidRPr="00515872" w:rsidRDefault="009518AF" w:rsidP="009518AF">
      <w:pPr>
        <w:spacing w:after="0" w:line="360" w:lineRule="auto"/>
        <w:jc w:val="both"/>
        <w:rPr>
          <w:rFonts w:cs="Tahoma"/>
          <w:szCs w:val="20"/>
        </w:rPr>
      </w:pPr>
      <w:r w:rsidRPr="00515872">
        <w:rPr>
          <w:rFonts w:cs="Tahoma"/>
          <w:szCs w:val="20"/>
        </w:rPr>
        <w:t>Mutuando da quanto espresso dallo stesso C.N.D.C.E.C. in materia di organi di controllo delle società di capitali, si può ritenere che le voci di rischio che possono compromettere l’indipendenza siano sostanzialmente le seguenti:</w:t>
      </w:r>
    </w:p>
    <w:p w14:paraId="0F9EFB38" w14:textId="77777777" w:rsidR="009518AF" w:rsidRPr="00515872" w:rsidRDefault="009518AF" w:rsidP="009518AF">
      <w:pPr>
        <w:pStyle w:val="Paragrafoelenco"/>
        <w:numPr>
          <w:ilvl w:val="0"/>
          <w:numId w:val="7"/>
        </w:numPr>
        <w:spacing w:line="360" w:lineRule="auto"/>
        <w:jc w:val="both"/>
        <w:rPr>
          <w:rFonts w:eastAsia="Times New Roman" w:cs="Tahoma"/>
          <w:szCs w:val="20"/>
          <w:lang w:eastAsia="it-IT"/>
        </w:rPr>
      </w:pPr>
      <w:r w:rsidRPr="00515872">
        <w:rPr>
          <w:rFonts w:eastAsia="Times New Roman" w:cs="Tahoma"/>
          <w:b/>
          <w:szCs w:val="20"/>
          <w:lang w:eastAsia="it-IT"/>
        </w:rPr>
        <w:t>interesse personale</w:t>
      </w:r>
      <w:r w:rsidRPr="00515872">
        <w:rPr>
          <w:rFonts w:eastAsia="Times New Roman" w:cs="Tahoma"/>
          <w:szCs w:val="20"/>
          <w:lang w:eastAsia="it-IT"/>
        </w:rPr>
        <w:t>: si manifesta allorquando il revisore ha un interesse economico, finanziario o di altra natura, nell’ente o nelle socie</w:t>
      </w:r>
      <w:r w:rsidR="000B70D2" w:rsidRPr="00515872">
        <w:rPr>
          <w:rFonts w:eastAsia="Times New Roman" w:cs="Tahoma"/>
          <w:szCs w:val="20"/>
          <w:lang w:eastAsia="it-IT"/>
        </w:rPr>
        <w:t>tà ed enti da questo partecipate</w:t>
      </w:r>
      <w:r w:rsidRPr="00515872">
        <w:rPr>
          <w:rFonts w:eastAsia="Times New Roman" w:cs="Tahoma"/>
          <w:szCs w:val="20"/>
          <w:lang w:eastAsia="it-IT"/>
        </w:rPr>
        <w:t>;</w:t>
      </w:r>
    </w:p>
    <w:p w14:paraId="61183CA1" w14:textId="77777777" w:rsidR="009518AF" w:rsidRPr="00515872" w:rsidRDefault="009518AF" w:rsidP="009518AF">
      <w:pPr>
        <w:pStyle w:val="Paragrafoelenco"/>
        <w:numPr>
          <w:ilvl w:val="0"/>
          <w:numId w:val="7"/>
        </w:numPr>
        <w:spacing w:line="360" w:lineRule="auto"/>
        <w:jc w:val="both"/>
        <w:rPr>
          <w:rFonts w:eastAsia="Times New Roman" w:cs="Tahoma"/>
          <w:szCs w:val="20"/>
          <w:lang w:eastAsia="it-IT"/>
        </w:rPr>
      </w:pPr>
      <w:r w:rsidRPr="00515872">
        <w:rPr>
          <w:rFonts w:eastAsia="Times New Roman" w:cs="Tahoma"/>
          <w:b/>
          <w:szCs w:val="20"/>
          <w:lang w:eastAsia="it-IT"/>
        </w:rPr>
        <w:t>rischio di auto-riesame</w:t>
      </w:r>
      <w:r w:rsidRPr="00515872">
        <w:rPr>
          <w:rFonts w:eastAsia="Times New Roman" w:cs="Tahoma"/>
          <w:szCs w:val="20"/>
          <w:lang w:eastAsia="it-IT"/>
        </w:rPr>
        <w:t>: si verifica quando il revisore si trova nella posizione di vigilare su prestazioni o giudizi espressi da egli stesso;</w:t>
      </w:r>
    </w:p>
    <w:p w14:paraId="79DAC98C" w14:textId="77777777" w:rsidR="009518AF" w:rsidRPr="00515872" w:rsidRDefault="009518AF" w:rsidP="009518AF">
      <w:pPr>
        <w:pStyle w:val="Paragrafoelenco"/>
        <w:numPr>
          <w:ilvl w:val="0"/>
          <w:numId w:val="7"/>
        </w:numPr>
        <w:spacing w:line="360" w:lineRule="auto"/>
        <w:jc w:val="both"/>
        <w:rPr>
          <w:rFonts w:eastAsia="Times New Roman" w:cs="Tahoma"/>
          <w:szCs w:val="20"/>
          <w:lang w:eastAsia="it-IT"/>
        </w:rPr>
      </w:pPr>
      <w:r w:rsidRPr="00515872">
        <w:rPr>
          <w:rFonts w:eastAsia="Times New Roman" w:cs="Tahoma"/>
          <w:b/>
          <w:szCs w:val="20"/>
          <w:lang w:eastAsia="it-IT"/>
        </w:rPr>
        <w:lastRenderedPageBreak/>
        <w:t>prestazioni di patrocinio o assistenza tecnica</w:t>
      </w:r>
      <w:r w:rsidRPr="00515872">
        <w:rPr>
          <w:rFonts w:eastAsia="Times New Roman" w:cs="Tahoma"/>
          <w:szCs w:val="20"/>
          <w:lang w:eastAsia="it-IT"/>
        </w:rPr>
        <w:t xml:space="preserve"> dinanzi alle commissioni tributarie ovvero </w:t>
      </w:r>
      <w:r w:rsidRPr="00515872">
        <w:rPr>
          <w:rFonts w:eastAsia="Times New Roman" w:cs="Tahoma"/>
          <w:b/>
          <w:szCs w:val="20"/>
          <w:lang w:eastAsia="it-IT"/>
        </w:rPr>
        <w:t>consulente tecnico di parte</w:t>
      </w:r>
      <w:r w:rsidRPr="00515872">
        <w:rPr>
          <w:rFonts w:eastAsia="Times New Roman" w:cs="Tahoma"/>
          <w:szCs w:val="20"/>
          <w:lang w:eastAsia="it-IT"/>
        </w:rPr>
        <w:t>: nell’ipotesi in cui il revisore assuma in una controversia la funzione di patrocinatore o consulente tecnico contro la posizione dell’ente oggetto di revisione;</w:t>
      </w:r>
    </w:p>
    <w:p w14:paraId="5972F0A0" w14:textId="77777777" w:rsidR="009518AF" w:rsidRPr="00515872" w:rsidRDefault="009518AF" w:rsidP="009518AF">
      <w:pPr>
        <w:pStyle w:val="Paragrafoelenco"/>
        <w:numPr>
          <w:ilvl w:val="0"/>
          <w:numId w:val="7"/>
        </w:numPr>
        <w:spacing w:line="360" w:lineRule="auto"/>
        <w:jc w:val="both"/>
        <w:rPr>
          <w:rFonts w:eastAsia="Times New Roman" w:cs="Tahoma"/>
          <w:szCs w:val="20"/>
          <w:lang w:eastAsia="it-IT"/>
        </w:rPr>
      </w:pPr>
      <w:r w:rsidRPr="00515872">
        <w:rPr>
          <w:rFonts w:eastAsia="Times New Roman" w:cs="Tahoma"/>
          <w:b/>
          <w:szCs w:val="20"/>
          <w:lang w:eastAsia="it-IT"/>
        </w:rPr>
        <w:t>familiarità o confidenzialità</w:t>
      </w:r>
      <w:r w:rsidRPr="00515872">
        <w:rPr>
          <w:rFonts w:eastAsia="Times New Roman" w:cs="Tahoma"/>
          <w:szCs w:val="20"/>
          <w:lang w:eastAsia="it-IT"/>
        </w:rPr>
        <w:t>: quando il revisore si trovi in situazioni in cui l’eccesso di familiarità o confidenzialità lo renda influenzabile dall’ambiente in cui è inserito;</w:t>
      </w:r>
    </w:p>
    <w:p w14:paraId="29861234" w14:textId="77777777" w:rsidR="009518AF" w:rsidRPr="00515872" w:rsidRDefault="009518AF" w:rsidP="009518AF">
      <w:pPr>
        <w:pStyle w:val="Paragrafoelenco"/>
        <w:numPr>
          <w:ilvl w:val="0"/>
          <w:numId w:val="7"/>
        </w:numPr>
        <w:spacing w:line="360" w:lineRule="auto"/>
        <w:jc w:val="both"/>
        <w:rPr>
          <w:rFonts w:eastAsia="Times New Roman" w:cs="Tahoma"/>
          <w:szCs w:val="20"/>
          <w:lang w:eastAsia="it-IT"/>
        </w:rPr>
      </w:pPr>
      <w:r w:rsidRPr="00515872">
        <w:rPr>
          <w:rFonts w:eastAsia="Times New Roman" w:cs="Tahoma"/>
          <w:b/>
          <w:szCs w:val="20"/>
          <w:lang w:eastAsia="it-IT"/>
        </w:rPr>
        <w:t>intimidazione</w:t>
      </w:r>
      <w:r w:rsidRPr="00515872">
        <w:rPr>
          <w:rFonts w:eastAsia="Times New Roman" w:cs="Tahoma"/>
          <w:szCs w:val="20"/>
          <w:lang w:eastAsia="it-IT"/>
        </w:rPr>
        <w:t>: in situazioni di influenza particolarmente grave esercitata dall’ente nei confronti del revisore.</w:t>
      </w:r>
    </w:p>
    <w:p w14:paraId="177513D5" w14:textId="77777777" w:rsidR="00640FF8" w:rsidRPr="00515872" w:rsidRDefault="009518AF" w:rsidP="00640FF8">
      <w:pPr>
        <w:spacing w:line="360" w:lineRule="auto"/>
        <w:jc w:val="both"/>
        <w:rPr>
          <w:rFonts w:cs="Tahoma"/>
          <w:szCs w:val="20"/>
        </w:rPr>
      </w:pPr>
      <w:r w:rsidRPr="00515872">
        <w:rPr>
          <w:rFonts w:cs="Tahoma"/>
          <w:szCs w:val="20"/>
        </w:rPr>
        <w:t>In tale ottica, assume particolare rilievo l</w:t>
      </w:r>
      <w:r w:rsidR="00640FF8" w:rsidRPr="00515872">
        <w:rPr>
          <w:rFonts w:cs="Tahoma"/>
          <w:szCs w:val="20"/>
        </w:rPr>
        <w:t>’esistenza</w:t>
      </w:r>
      <w:r w:rsidRPr="00515872">
        <w:rPr>
          <w:rFonts w:cs="Tahoma"/>
          <w:szCs w:val="20"/>
        </w:rPr>
        <w:t xml:space="preserve"> di rapporti di natura patrimoniale di cui alla lett. c) del c. 1 dell’art. 2399 tra revisore ed ente. Se, da una parte, non è possibile affermare che la semplice esistenza di qualsiasi rapporto di natura patrimoniale, esterno al rapporto di revisione, rappresenti necessariamente una compromissione dell’indipendenza, dall’altra si rende necessario stabilire in che misura quest</w:t>
      </w:r>
      <w:r w:rsidR="00640FF8" w:rsidRPr="00515872">
        <w:rPr>
          <w:rFonts w:cs="Tahoma"/>
          <w:szCs w:val="20"/>
        </w:rPr>
        <w:t>a</w:t>
      </w:r>
      <w:r w:rsidRPr="00515872">
        <w:rPr>
          <w:rFonts w:cs="Tahoma"/>
          <w:szCs w:val="20"/>
        </w:rPr>
        <w:t xml:space="preserve"> possa </w:t>
      </w:r>
      <w:r w:rsidR="00783238" w:rsidRPr="00515872">
        <w:rPr>
          <w:rFonts w:cs="Tahoma"/>
          <w:szCs w:val="20"/>
        </w:rPr>
        <w:t>verificarsi</w:t>
      </w:r>
      <w:r w:rsidRPr="00515872">
        <w:rPr>
          <w:rFonts w:cs="Tahoma"/>
          <w:szCs w:val="20"/>
        </w:rPr>
        <w:t xml:space="preserve">. Al fine di individuare un parametro oggettivo di riferimento, un contributo è stato fornito dal C.N.D.C.E.C. nella Norma di comportamento del collegio sindacale n. 1.4 </w:t>
      </w:r>
      <w:r w:rsidR="00783238" w:rsidRPr="00515872">
        <w:rPr>
          <w:rFonts w:cs="Tahoma"/>
          <w:szCs w:val="20"/>
        </w:rPr>
        <w:t xml:space="preserve">(vigente per gli incarichi di sindaco nelle società di capitali) </w:t>
      </w:r>
      <w:r w:rsidRPr="00515872">
        <w:rPr>
          <w:rFonts w:cs="Tahoma"/>
          <w:szCs w:val="20"/>
        </w:rPr>
        <w:t>nella quale viene data</w:t>
      </w:r>
      <w:r w:rsidR="003C36A3" w:rsidRPr="00515872">
        <w:rPr>
          <w:rFonts w:cs="Tahoma"/>
          <w:szCs w:val="20"/>
        </w:rPr>
        <w:t>, con riferimento all’attività del collegio sindacale,</w:t>
      </w:r>
      <w:r w:rsidRPr="00515872">
        <w:rPr>
          <w:rFonts w:cs="Tahoma"/>
          <w:szCs w:val="20"/>
        </w:rPr>
        <w:t xml:space="preserve"> una dimensione quantitativa al fenomeno, stabilendo una soglia oltre la quale l’indipendenza deve ritenersi potenzialmente compromessa, attraverso una formula che mette in rapporto i compensi percepiti nell’attività di vigilanza con il totale dei compensi percepiti dal professionista stesso o dalla sua rete di appartenenza.</w:t>
      </w:r>
    </w:p>
    <w:p w14:paraId="01869C0A" w14:textId="77777777" w:rsidR="0017622C" w:rsidRPr="00515872" w:rsidRDefault="00640FF8" w:rsidP="00640FF8">
      <w:pPr>
        <w:spacing w:line="360" w:lineRule="auto"/>
        <w:jc w:val="both"/>
        <w:rPr>
          <w:rStyle w:val="markedcontent"/>
          <w:rFonts w:cs="Tahoma"/>
          <w:szCs w:val="20"/>
        </w:rPr>
      </w:pPr>
      <w:r w:rsidRPr="00515872">
        <w:rPr>
          <w:rFonts w:cs="Tahoma"/>
          <w:szCs w:val="20"/>
        </w:rPr>
        <w:t xml:space="preserve">La norma </w:t>
      </w:r>
      <w:r w:rsidR="0017622C" w:rsidRPr="00515872">
        <w:rPr>
          <w:rFonts w:cs="Tahoma"/>
          <w:szCs w:val="20"/>
        </w:rPr>
        <w:t>afferma che i</w:t>
      </w:r>
      <w:r w:rsidR="0017622C" w:rsidRPr="00515872">
        <w:rPr>
          <w:rStyle w:val="markedcontent"/>
          <w:rFonts w:cs="Tahoma"/>
          <w:szCs w:val="20"/>
        </w:rPr>
        <w:t>l rischio di “dipendenza finanziaria” può sussistere concretamente quando i</w:t>
      </w:r>
      <w:r w:rsidR="0017622C" w:rsidRPr="00515872">
        <w:rPr>
          <w:rFonts w:cs="Tahoma"/>
          <w:szCs w:val="20"/>
        </w:rPr>
        <w:t xml:space="preserve"> </w:t>
      </w:r>
      <w:r w:rsidR="0017622C" w:rsidRPr="00515872">
        <w:rPr>
          <w:rStyle w:val="markedcontent"/>
          <w:rFonts w:cs="Tahoma"/>
          <w:szCs w:val="20"/>
        </w:rPr>
        <w:t>compensi percepiti dal professionista (o che egli prevede di percepire) da una società o da altre società</w:t>
      </w:r>
      <w:r w:rsidR="0017622C" w:rsidRPr="00515872">
        <w:rPr>
          <w:rFonts w:cs="Tahoma"/>
          <w:szCs w:val="20"/>
        </w:rPr>
        <w:t xml:space="preserve"> </w:t>
      </w:r>
      <w:r w:rsidR="0017622C" w:rsidRPr="00515872">
        <w:rPr>
          <w:rStyle w:val="markedcontent"/>
          <w:rFonts w:cs="Tahoma"/>
          <w:szCs w:val="20"/>
        </w:rPr>
        <w:t>del gruppo e comprendenti sia quelli individuali che quelli provenienti dalla partecipazione allo studio</w:t>
      </w:r>
      <w:r w:rsidR="0017622C" w:rsidRPr="00515872">
        <w:rPr>
          <w:rFonts w:cs="Tahoma"/>
          <w:szCs w:val="20"/>
        </w:rPr>
        <w:t xml:space="preserve"> </w:t>
      </w:r>
      <w:r w:rsidR="0017622C" w:rsidRPr="00515872">
        <w:rPr>
          <w:rStyle w:val="markedcontent"/>
          <w:rFonts w:cs="Tahoma"/>
          <w:szCs w:val="20"/>
        </w:rPr>
        <w:t>associato o alla società tra professionisti a cui il professionista appartiene sono superiori a un</w:t>
      </w:r>
      <w:r w:rsidR="0017622C" w:rsidRPr="00515872">
        <w:rPr>
          <w:rFonts w:cs="Tahoma"/>
          <w:szCs w:val="20"/>
        </w:rPr>
        <w:t xml:space="preserve"> </w:t>
      </w:r>
      <w:r w:rsidR="0017622C" w:rsidRPr="00515872">
        <w:rPr>
          <w:rStyle w:val="markedcontent"/>
          <w:rFonts w:cs="Tahoma"/>
          <w:szCs w:val="20"/>
        </w:rPr>
        <w:t>determinato livello rispetto al totale dei compensi da lui percepiti e, quando, allo stesso tempo, il</w:t>
      </w:r>
      <w:r w:rsidR="0017622C" w:rsidRPr="00515872">
        <w:rPr>
          <w:rFonts w:cs="Tahoma"/>
          <w:szCs w:val="20"/>
        </w:rPr>
        <w:t xml:space="preserve"> </w:t>
      </w:r>
      <w:r w:rsidR="0017622C" w:rsidRPr="00515872">
        <w:rPr>
          <w:rStyle w:val="markedcontent"/>
          <w:rFonts w:cs="Tahoma"/>
          <w:szCs w:val="20"/>
        </w:rPr>
        <w:t>compenso percepito (o che si prevede di percepire) per l’attività di sindaco da una società o da altre</w:t>
      </w:r>
      <w:r w:rsidR="0017622C" w:rsidRPr="00515872">
        <w:rPr>
          <w:rFonts w:cs="Tahoma"/>
          <w:szCs w:val="20"/>
        </w:rPr>
        <w:t xml:space="preserve"> </w:t>
      </w:r>
      <w:r w:rsidR="0017622C" w:rsidRPr="00515872">
        <w:rPr>
          <w:rStyle w:val="markedcontent"/>
          <w:rFonts w:cs="Tahoma"/>
          <w:szCs w:val="20"/>
        </w:rPr>
        <w:t>società del gruppo non è preponderante sul totale dei compensi percepiti dalla società medesima (o da altre società del gruppo). In tal caso il sindaco potrebbe privilegiare il suo interesse per gli altri servizi</w:t>
      </w:r>
      <w:r w:rsidR="0017622C" w:rsidRPr="00515872">
        <w:rPr>
          <w:rFonts w:cs="Tahoma"/>
          <w:szCs w:val="20"/>
        </w:rPr>
        <w:t xml:space="preserve"> </w:t>
      </w:r>
      <w:r w:rsidR="0017622C" w:rsidRPr="00515872">
        <w:rPr>
          <w:rStyle w:val="markedcontent"/>
          <w:rFonts w:cs="Tahoma"/>
          <w:szCs w:val="20"/>
        </w:rPr>
        <w:t xml:space="preserve">compromettendo l’obiettività di giudizio. </w:t>
      </w:r>
    </w:p>
    <w:p w14:paraId="241CCDF4" w14:textId="77777777" w:rsidR="0017622C" w:rsidRPr="00515872" w:rsidRDefault="0017622C" w:rsidP="00640FF8">
      <w:pPr>
        <w:spacing w:line="360" w:lineRule="auto"/>
        <w:jc w:val="both"/>
        <w:rPr>
          <w:rStyle w:val="markedcontent"/>
          <w:rFonts w:cs="Tahoma"/>
          <w:szCs w:val="20"/>
        </w:rPr>
      </w:pPr>
      <w:r w:rsidRPr="00515872">
        <w:rPr>
          <w:rStyle w:val="markedcontent"/>
          <w:rFonts w:cs="Tahoma"/>
          <w:szCs w:val="20"/>
        </w:rPr>
        <w:t>Al fine di dare alcune indicazioni operative che consentano di verificare la ricorrenza del requisito di</w:t>
      </w:r>
      <w:r w:rsidRPr="00515872">
        <w:rPr>
          <w:rFonts w:cs="Tahoma"/>
          <w:szCs w:val="20"/>
        </w:rPr>
        <w:t xml:space="preserve"> </w:t>
      </w:r>
      <w:r w:rsidRPr="00515872">
        <w:rPr>
          <w:rStyle w:val="markedcontent"/>
          <w:rFonts w:cs="Tahoma"/>
          <w:szCs w:val="20"/>
        </w:rPr>
        <w:t>indipendenza finanziaria, nel caso in cui nei confronti della società siano rese prestazioni ulteriori rispetto a</w:t>
      </w:r>
      <w:r w:rsidRPr="00515872">
        <w:rPr>
          <w:rFonts w:cs="Tahoma"/>
          <w:szCs w:val="20"/>
        </w:rPr>
        <w:t xml:space="preserve"> </w:t>
      </w:r>
      <w:r w:rsidRPr="00515872">
        <w:rPr>
          <w:rStyle w:val="markedcontent"/>
          <w:rFonts w:cs="Tahoma"/>
          <w:szCs w:val="20"/>
        </w:rPr>
        <w:t>quelle di sindaco, viene proposta la tabella che segue. La tabella va utilizzata eseguendo la verifica prevista nella prima colonna e</w:t>
      </w:r>
      <w:r w:rsidRPr="00515872">
        <w:rPr>
          <w:rFonts w:cs="Tahoma"/>
          <w:szCs w:val="20"/>
        </w:rPr>
        <w:t xml:space="preserve"> </w:t>
      </w:r>
      <w:r w:rsidRPr="00515872">
        <w:rPr>
          <w:rStyle w:val="markedcontent"/>
          <w:rFonts w:cs="Tahoma"/>
          <w:szCs w:val="20"/>
        </w:rPr>
        <w:t>successivamente, se superata la soglia di rilevanza, quella prevista nella seconda colonna.</w:t>
      </w:r>
    </w:p>
    <w:p w14:paraId="0015C477" w14:textId="77777777" w:rsidR="007E176C" w:rsidRPr="00515872" w:rsidRDefault="007E176C" w:rsidP="00640FF8">
      <w:pPr>
        <w:spacing w:line="360" w:lineRule="auto"/>
        <w:jc w:val="both"/>
        <w:rPr>
          <w:rStyle w:val="markedcontent"/>
          <w:rFonts w:cs="Tahoma"/>
          <w:szCs w:val="20"/>
        </w:rPr>
      </w:pPr>
    </w:p>
    <w:p w14:paraId="5E1EB865" w14:textId="77777777" w:rsidR="007E176C" w:rsidRPr="00515872" w:rsidRDefault="007E176C" w:rsidP="00640FF8">
      <w:pPr>
        <w:spacing w:line="360" w:lineRule="auto"/>
        <w:jc w:val="both"/>
        <w:rPr>
          <w:rStyle w:val="markedcontent"/>
          <w:rFonts w:cs="Tahoma"/>
          <w:szCs w:val="20"/>
        </w:rPr>
      </w:pPr>
    </w:p>
    <w:p w14:paraId="5B94F4DD" w14:textId="77777777" w:rsidR="007E176C" w:rsidRPr="00515872" w:rsidRDefault="007E176C" w:rsidP="00640FF8">
      <w:pPr>
        <w:spacing w:line="360" w:lineRule="auto"/>
        <w:jc w:val="both"/>
        <w:rPr>
          <w:rFonts w:cs="Tahoma"/>
          <w:szCs w:val="20"/>
        </w:rPr>
      </w:pPr>
    </w:p>
    <w:tbl>
      <w:tblPr>
        <w:tblStyle w:val="Grigliatabella"/>
        <w:tblW w:w="0" w:type="auto"/>
        <w:jc w:val="center"/>
        <w:tblLook w:val="04A0" w:firstRow="1" w:lastRow="0" w:firstColumn="1" w:lastColumn="0" w:noHBand="0" w:noVBand="1"/>
      </w:tblPr>
      <w:tblGrid>
        <w:gridCol w:w="2972"/>
        <w:gridCol w:w="3260"/>
        <w:gridCol w:w="3266"/>
      </w:tblGrid>
      <w:tr w:rsidR="00640FF8" w:rsidRPr="00515872" w14:paraId="215D9A54" w14:textId="77777777" w:rsidTr="00515872">
        <w:trPr>
          <w:jc w:val="center"/>
        </w:trPr>
        <w:tc>
          <w:tcPr>
            <w:tcW w:w="2972" w:type="dxa"/>
            <w:shd w:val="clear" w:color="auto" w:fill="DBE5F1" w:themeFill="accent1" w:themeFillTint="33"/>
          </w:tcPr>
          <w:p w14:paraId="7C829CF2" w14:textId="77777777" w:rsidR="00640FF8" w:rsidRPr="00515872" w:rsidRDefault="00640FF8" w:rsidP="00640FF8">
            <w:pPr>
              <w:spacing w:line="240" w:lineRule="auto"/>
              <w:jc w:val="center"/>
              <w:rPr>
                <w:rFonts w:eastAsia="Times New Roman" w:cs="Tahoma"/>
                <w:b/>
                <w:sz w:val="18"/>
                <w:szCs w:val="18"/>
                <w:lang w:eastAsia="it-IT"/>
              </w:rPr>
            </w:pPr>
            <w:r w:rsidRPr="00515872">
              <w:rPr>
                <w:rFonts w:eastAsia="Times New Roman" w:cs="Tahoma"/>
                <w:b/>
                <w:sz w:val="18"/>
                <w:szCs w:val="18"/>
                <w:lang w:eastAsia="it-IT"/>
              </w:rPr>
              <w:lastRenderedPageBreak/>
              <w:t>(S+C)/(CT)</w:t>
            </w:r>
          </w:p>
        </w:tc>
        <w:tc>
          <w:tcPr>
            <w:tcW w:w="3260" w:type="dxa"/>
            <w:shd w:val="clear" w:color="auto" w:fill="DBE5F1" w:themeFill="accent1" w:themeFillTint="33"/>
          </w:tcPr>
          <w:p w14:paraId="39CBE7E0" w14:textId="77777777" w:rsidR="00640FF8" w:rsidRPr="00515872" w:rsidRDefault="00640FF8" w:rsidP="00640FF8">
            <w:pPr>
              <w:spacing w:line="240" w:lineRule="auto"/>
              <w:jc w:val="center"/>
              <w:rPr>
                <w:rFonts w:eastAsia="Times New Roman" w:cs="Tahoma"/>
                <w:b/>
                <w:sz w:val="18"/>
                <w:szCs w:val="18"/>
                <w:lang w:eastAsia="it-IT"/>
              </w:rPr>
            </w:pPr>
            <w:r w:rsidRPr="00515872">
              <w:rPr>
                <w:rFonts w:eastAsia="Times New Roman" w:cs="Tahoma"/>
                <w:b/>
                <w:sz w:val="18"/>
                <w:szCs w:val="18"/>
                <w:lang w:eastAsia="it-IT"/>
              </w:rPr>
              <w:t>Rapporto (S)/(S+C)</w:t>
            </w:r>
          </w:p>
        </w:tc>
        <w:tc>
          <w:tcPr>
            <w:tcW w:w="3266" w:type="dxa"/>
            <w:shd w:val="clear" w:color="auto" w:fill="DBE5F1" w:themeFill="accent1" w:themeFillTint="33"/>
          </w:tcPr>
          <w:p w14:paraId="5E8B4EDF" w14:textId="77777777" w:rsidR="00640FF8" w:rsidRPr="00515872" w:rsidRDefault="00640FF8" w:rsidP="00640FF8">
            <w:pPr>
              <w:spacing w:line="240" w:lineRule="auto"/>
              <w:jc w:val="center"/>
              <w:rPr>
                <w:rFonts w:eastAsia="Times New Roman" w:cs="Tahoma"/>
                <w:b/>
                <w:sz w:val="18"/>
                <w:szCs w:val="18"/>
                <w:lang w:eastAsia="it-IT"/>
              </w:rPr>
            </w:pPr>
            <w:r w:rsidRPr="00515872">
              <w:rPr>
                <w:rFonts w:eastAsia="Times New Roman" w:cs="Tahoma"/>
                <w:b/>
                <w:sz w:val="18"/>
                <w:szCs w:val="18"/>
                <w:lang w:eastAsia="it-IT"/>
              </w:rPr>
              <w:t>Rischio indipendenza finanziaria</w:t>
            </w:r>
          </w:p>
        </w:tc>
      </w:tr>
      <w:tr w:rsidR="00640FF8" w:rsidRPr="00515872" w14:paraId="10E78D18" w14:textId="77777777" w:rsidTr="00783238">
        <w:trPr>
          <w:jc w:val="center"/>
        </w:trPr>
        <w:tc>
          <w:tcPr>
            <w:tcW w:w="2972" w:type="dxa"/>
          </w:tcPr>
          <w:p w14:paraId="1EF64FC6"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&gt; 15%</w:t>
            </w:r>
          </w:p>
        </w:tc>
        <w:tc>
          <w:tcPr>
            <w:tcW w:w="3260" w:type="dxa"/>
          </w:tcPr>
          <w:p w14:paraId="6A5F2ECD"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&gt;2/3</w:t>
            </w:r>
          </w:p>
        </w:tc>
        <w:tc>
          <w:tcPr>
            <w:tcW w:w="3266" w:type="dxa"/>
          </w:tcPr>
          <w:p w14:paraId="60936070"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NO</w:t>
            </w:r>
          </w:p>
        </w:tc>
      </w:tr>
      <w:tr w:rsidR="00640FF8" w:rsidRPr="00515872" w14:paraId="75D0CEF0" w14:textId="77777777" w:rsidTr="00783238">
        <w:trPr>
          <w:jc w:val="center"/>
        </w:trPr>
        <w:tc>
          <w:tcPr>
            <w:tcW w:w="2972" w:type="dxa"/>
          </w:tcPr>
          <w:p w14:paraId="1E1C947B"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&gt;5% &lt;= 15%</w:t>
            </w:r>
          </w:p>
        </w:tc>
        <w:tc>
          <w:tcPr>
            <w:tcW w:w="3260" w:type="dxa"/>
          </w:tcPr>
          <w:p w14:paraId="49790674"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&gt;1/3</w:t>
            </w:r>
          </w:p>
        </w:tc>
        <w:tc>
          <w:tcPr>
            <w:tcW w:w="3266" w:type="dxa"/>
          </w:tcPr>
          <w:p w14:paraId="42F96CD4"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NO</w:t>
            </w:r>
          </w:p>
        </w:tc>
      </w:tr>
      <w:tr w:rsidR="00640FF8" w:rsidRPr="00515872" w14:paraId="7925BEB5" w14:textId="77777777" w:rsidTr="00783238">
        <w:trPr>
          <w:jc w:val="center"/>
        </w:trPr>
        <w:tc>
          <w:tcPr>
            <w:tcW w:w="2972" w:type="dxa"/>
          </w:tcPr>
          <w:p w14:paraId="669FC9CB"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&lt;= 5%</w:t>
            </w:r>
          </w:p>
        </w:tc>
        <w:tc>
          <w:tcPr>
            <w:tcW w:w="3260" w:type="dxa"/>
          </w:tcPr>
          <w:p w14:paraId="1B0D4D49"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Irrilevante</w:t>
            </w:r>
          </w:p>
        </w:tc>
        <w:tc>
          <w:tcPr>
            <w:tcW w:w="3266" w:type="dxa"/>
          </w:tcPr>
          <w:p w14:paraId="685AA982" w14:textId="77777777" w:rsidR="00640FF8" w:rsidRPr="00515872" w:rsidRDefault="00640FF8" w:rsidP="00640FF8">
            <w:pPr>
              <w:spacing w:line="240" w:lineRule="auto"/>
              <w:jc w:val="center"/>
              <w:rPr>
                <w:rFonts w:eastAsia="Times New Roman" w:cs="Tahoma"/>
                <w:sz w:val="18"/>
                <w:szCs w:val="18"/>
                <w:lang w:eastAsia="it-IT"/>
              </w:rPr>
            </w:pPr>
            <w:r w:rsidRPr="00515872">
              <w:rPr>
                <w:rFonts w:eastAsia="Times New Roman" w:cs="Tahoma"/>
                <w:sz w:val="18"/>
                <w:szCs w:val="18"/>
                <w:lang w:eastAsia="it-IT"/>
              </w:rPr>
              <w:t>NO</w:t>
            </w:r>
          </w:p>
        </w:tc>
      </w:tr>
      <w:tr w:rsidR="00C73E47" w:rsidRPr="00515872" w14:paraId="2D8B8D7C" w14:textId="77777777" w:rsidTr="00050748">
        <w:trPr>
          <w:jc w:val="center"/>
        </w:trPr>
        <w:tc>
          <w:tcPr>
            <w:tcW w:w="9498" w:type="dxa"/>
            <w:gridSpan w:val="3"/>
          </w:tcPr>
          <w:p w14:paraId="381227D5" w14:textId="77777777" w:rsidR="00C73E47" w:rsidRPr="00515872" w:rsidRDefault="00C73E47" w:rsidP="00C73E47">
            <w:pPr>
              <w:spacing w:after="0" w:line="240" w:lineRule="auto"/>
              <w:jc w:val="both"/>
              <w:rPr>
                <w:rFonts w:eastAsia="Times New Roman" w:cs="Tahoma"/>
                <w:i/>
                <w:sz w:val="16"/>
                <w:szCs w:val="18"/>
                <w:lang w:eastAsia="it-IT"/>
              </w:rPr>
            </w:pPr>
            <w:r w:rsidRPr="00515872">
              <w:rPr>
                <w:rFonts w:eastAsia="Times New Roman" w:cs="Tahoma"/>
                <w:i/>
                <w:sz w:val="16"/>
                <w:szCs w:val="18"/>
                <w:lang w:eastAsia="it-IT"/>
              </w:rPr>
              <w:t>dove:</w:t>
            </w:r>
          </w:p>
          <w:p w14:paraId="2B8ED672" w14:textId="77777777" w:rsidR="00C73E47" w:rsidRPr="00515872" w:rsidRDefault="00C73E47" w:rsidP="00C73E47">
            <w:pPr>
              <w:spacing w:after="0" w:line="240" w:lineRule="auto"/>
              <w:jc w:val="both"/>
              <w:rPr>
                <w:rFonts w:eastAsia="Times New Roman" w:cs="Tahoma"/>
                <w:i/>
                <w:sz w:val="16"/>
                <w:szCs w:val="18"/>
                <w:lang w:eastAsia="it-IT"/>
              </w:rPr>
            </w:pPr>
            <w:r w:rsidRPr="00515872">
              <w:rPr>
                <w:rFonts w:eastAsia="Times New Roman" w:cs="Tahoma"/>
                <w:i/>
                <w:sz w:val="16"/>
                <w:szCs w:val="18"/>
                <w:lang w:eastAsia="it-IT"/>
              </w:rPr>
              <w:t>CT = Compensi totali del professionista comprendenti sia quelli individuali che quelli provenienti dalla partecipazione alla rete;</w:t>
            </w:r>
          </w:p>
          <w:p w14:paraId="21C59281" w14:textId="77777777" w:rsidR="00C73E47" w:rsidRPr="00515872" w:rsidRDefault="00C73E47" w:rsidP="00C73E47">
            <w:pPr>
              <w:spacing w:after="0" w:line="240" w:lineRule="auto"/>
              <w:jc w:val="both"/>
              <w:rPr>
                <w:rFonts w:eastAsia="Times New Roman" w:cs="Tahoma"/>
                <w:i/>
                <w:sz w:val="16"/>
                <w:szCs w:val="18"/>
                <w:lang w:eastAsia="it-IT"/>
              </w:rPr>
            </w:pPr>
            <w:r w:rsidRPr="00515872">
              <w:rPr>
                <w:rFonts w:eastAsia="Times New Roman" w:cs="Tahoma"/>
                <w:i/>
                <w:sz w:val="16"/>
                <w:szCs w:val="18"/>
                <w:lang w:eastAsia="it-IT"/>
              </w:rPr>
              <w:t>S+C = Compensi totali del professionista sulla società o sul gruppo;</w:t>
            </w:r>
          </w:p>
          <w:p w14:paraId="33923675" w14:textId="77777777" w:rsidR="00C73E47" w:rsidRPr="00515872" w:rsidRDefault="00C73E47" w:rsidP="00C73E47">
            <w:pPr>
              <w:spacing w:after="0" w:line="240" w:lineRule="auto"/>
              <w:jc w:val="both"/>
              <w:rPr>
                <w:rFonts w:eastAsia="Times New Roman" w:cs="Tahoma"/>
                <w:i/>
                <w:sz w:val="16"/>
                <w:szCs w:val="18"/>
                <w:lang w:eastAsia="it-IT"/>
              </w:rPr>
            </w:pPr>
            <w:r w:rsidRPr="00515872">
              <w:rPr>
                <w:rFonts w:eastAsia="Times New Roman" w:cs="Tahoma"/>
                <w:i/>
                <w:sz w:val="16"/>
                <w:szCs w:val="18"/>
                <w:lang w:eastAsia="it-IT"/>
              </w:rPr>
              <w:t>S = Compensi del professionista sulla società o sul gruppo per l’attività di sindaco;</w:t>
            </w:r>
          </w:p>
          <w:p w14:paraId="0B3FE6F2" w14:textId="77777777" w:rsidR="00C73E47" w:rsidRPr="00515872" w:rsidRDefault="00C73E47" w:rsidP="00C73E47">
            <w:pPr>
              <w:spacing w:after="0" w:line="240" w:lineRule="auto"/>
              <w:jc w:val="both"/>
              <w:rPr>
                <w:rFonts w:eastAsia="Times New Roman" w:cs="Tahoma"/>
                <w:i/>
                <w:sz w:val="16"/>
                <w:szCs w:val="18"/>
                <w:lang w:eastAsia="it-IT"/>
              </w:rPr>
            </w:pPr>
            <w:r w:rsidRPr="00515872">
              <w:rPr>
                <w:rFonts w:eastAsia="Times New Roman" w:cs="Tahoma"/>
                <w:i/>
                <w:sz w:val="16"/>
                <w:szCs w:val="18"/>
                <w:lang w:eastAsia="it-IT"/>
              </w:rPr>
              <w:t>C = Compensi del professionista sulla società o sul gruppo per attività diversa da quella di sindaco comprendenti sia quelli individuali che quelli provenienti dalla partecipazione alla rete.</w:t>
            </w:r>
          </w:p>
        </w:tc>
      </w:tr>
    </w:tbl>
    <w:p w14:paraId="5DBF9108" w14:textId="77777777" w:rsidR="00307777" w:rsidRPr="00515872" w:rsidRDefault="00307777" w:rsidP="0020630B">
      <w:pPr>
        <w:spacing w:after="0" w:line="240" w:lineRule="auto"/>
        <w:jc w:val="both"/>
        <w:rPr>
          <w:rFonts w:eastAsia="Times New Roman" w:cs="Tahoma"/>
          <w:i/>
          <w:sz w:val="16"/>
          <w:szCs w:val="18"/>
          <w:lang w:eastAsia="it-IT"/>
        </w:rPr>
      </w:pPr>
    </w:p>
    <w:p w14:paraId="192BC895" w14:textId="77777777" w:rsidR="009518AF" w:rsidRPr="00515872" w:rsidRDefault="009518AF" w:rsidP="009518AF">
      <w:pPr>
        <w:spacing w:line="360" w:lineRule="auto"/>
        <w:jc w:val="both"/>
        <w:rPr>
          <w:rFonts w:cs="Tahoma"/>
          <w:lang w:eastAsia="it-IT"/>
        </w:rPr>
      </w:pPr>
      <w:r w:rsidRPr="00515872">
        <w:rPr>
          <w:rFonts w:cs="Tahoma"/>
          <w:szCs w:val="20"/>
        </w:rPr>
        <w:t>Vi è, tuttavia, da osservare che, a seguito della riforma del sistema di nomina, che c</w:t>
      </w:r>
      <w:r w:rsidR="009860F9" w:rsidRPr="00515872">
        <w:rPr>
          <w:rFonts w:cs="Tahoma"/>
          <w:szCs w:val="20"/>
        </w:rPr>
        <w:t xml:space="preserve">omporta una selezione in massima parte </w:t>
      </w:r>
      <w:r w:rsidRPr="00515872">
        <w:rPr>
          <w:rFonts w:cs="Tahoma"/>
          <w:szCs w:val="20"/>
        </w:rPr>
        <w:t xml:space="preserve">casuale di professionisti normalmente provenienti da ambienti estranei all’ente, le circostanze sopra delineate sono destinate a rimanere </w:t>
      </w:r>
      <w:r w:rsidR="009860F9" w:rsidRPr="00515872">
        <w:rPr>
          <w:rFonts w:cs="Tahoma"/>
          <w:szCs w:val="20"/>
        </w:rPr>
        <w:t>per lo più incidentali, fatta eccezione per l’unica figura la cui nomina è stata nuovamente rimessa alla discrezionalità dell’ente,</w:t>
      </w:r>
      <w:r w:rsidR="0020630B" w:rsidRPr="00515872">
        <w:rPr>
          <w:rFonts w:cs="Tahoma"/>
          <w:szCs w:val="20"/>
        </w:rPr>
        <w:t xml:space="preserve"> vale a dire</w:t>
      </w:r>
      <w:r w:rsidR="003C36A3" w:rsidRPr="00515872">
        <w:rPr>
          <w:rFonts w:cs="Tahoma"/>
          <w:szCs w:val="20"/>
        </w:rPr>
        <w:t xml:space="preserve"> quella del</w:t>
      </w:r>
      <w:r w:rsidR="0020630B" w:rsidRPr="00515872">
        <w:rPr>
          <w:rFonts w:cs="Tahoma"/>
          <w:szCs w:val="20"/>
        </w:rPr>
        <w:t xml:space="preserve"> </w:t>
      </w:r>
      <w:r w:rsidR="00B173BB" w:rsidRPr="00515872">
        <w:rPr>
          <w:rFonts w:cs="Tahoma"/>
          <w:szCs w:val="20"/>
        </w:rPr>
        <w:t>presidente</w:t>
      </w:r>
      <w:r w:rsidRPr="00515872">
        <w:rPr>
          <w:rFonts w:cs="Tahoma"/>
          <w:szCs w:val="20"/>
        </w:rPr>
        <w:t>.</w:t>
      </w:r>
    </w:p>
    <w:p w14:paraId="3FBACC74" w14:textId="77777777" w:rsidR="001672F9" w:rsidRPr="00515872" w:rsidRDefault="001672F9" w:rsidP="009518AF">
      <w:pPr>
        <w:pStyle w:val="Sottoparagrafo"/>
        <w:rPr>
          <w:rFonts w:cs="Tahoma"/>
          <w:highlight w:val="yellow"/>
          <w:lang w:eastAsia="it-IT"/>
        </w:rPr>
      </w:pPr>
      <w:bookmarkStart w:id="23" w:name="_Toc521317045"/>
    </w:p>
    <w:p w14:paraId="7C424D30" w14:textId="77777777" w:rsidR="009518AF" w:rsidRPr="00515872" w:rsidRDefault="009518AF" w:rsidP="009518AF">
      <w:pPr>
        <w:pStyle w:val="Sottoparagrafo"/>
        <w:rPr>
          <w:rFonts w:cs="Tahoma"/>
          <w:lang w:eastAsia="it-IT"/>
        </w:rPr>
      </w:pPr>
      <w:bookmarkStart w:id="24" w:name="_Toc95912218"/>
      <w:r w:rsidRPr="00515872">
        <w:rPr>
          <w:rFonts w:cs="Tahoma"/>
          <w:lang w:eastAsia="it-IT"/>
        </w:rPr>
        <w:t>2.2.2 Concorso al dissesto dell’ente</w:t>
      </w:r>
      <w:bookmarkEnd w:id="23"/>
      <w:bookmarkEnd w:id="24"/>
    </w:p>
    <w:p w14:paraId="16981C7B" w14:textId="77777777" w:rsidR="00625816" w:rsidRPr="00515872" w:rsidRDefault="009518AF" w:rsidP="00307777">
      <w:pPr>
        <w:spacing w:after="0" w:line="360" w:lineRule="auto"/>
        <w:jc w:val="both"/>
        <w:rPr>
          <w:rFonts w:eastAsia="Times New Roman" w:cs="Tahoma"/>
          <w:szCs w:val="20"/>
          <w:lang w:eastAsia="it-IT"/>
        </w:rPr>
      </w:pPr>
      <w:r w:rsidRPr="00515872">
        <w:rPr>
          <w:rFonts w:eastAsia="Times New Roman" w:cs="Tahoma"/>
          <w:szCs w:val="20"/>
          <w:lang w:eastAsia="it-IT"/>
        </w:rPr>
        <w:t>Altr</w:t>
      </w:r>
      <w:r w:rsidR="00625816" w:rsidRPr="00515872">
        <w:rPr>
          <w:rFonts w:eastAsia="Times New Roman" w:cs="Tahoma"/>
          <w:szCs w:val="20"/>
          <w:lang w:eastAsia="it-IT"/>
        </w:rPr>
        <w:t>e</w:t>
      </w:r>
      <w:r w:rsidRPr="00515872">
        <w:rPr>
          <w:rFonts w:eastAsia="Times New Roman" w:cs="Tahoma"/>
          <w:szCs w:val="20"/>
          <w:lang w:eastAsia="it-IT"/>
        </w:rPr>
        <w:t xml:space="preserve"> causa di ineleggibilità alla carica di revisore</w:t>
      </w:r>
      <w:r w:rsidR="00625816" w:rsidRPr="00515872">
        <w:rPr>
          <w:rFonts w:eastAsia="Times New Roman" w:cs="Tahoma"/>
          <w:szCs w:val="20"/>
          <w:lang w:eastAsia="it-IT"/>
        </w:rPr>
        <w:t xml:space="preserve"> sono </w:t>
      </w:r>
      <w:r w:rsidRPr="00515872">
        <w:rPr>
          <w:rFonts w:eastAsia="Times New Roman" w:cs="Tahoma"/>
          <w:szCs w:val="20"/>
          <w:lang w:eastAsia="it-IT"/>
        </w:rPr>
        <w:t>contenut</w:t>
      </w:r>
      <w:r w:rsidR="00625816" w:rsidRPr="00515872">
        <w:rPr>
          <w:rFonts w:eastAsia="Times New Roman" w:cs="Tahoma"/>
          <w:szCs w:val="20"/>
          <w:lang w:eastAsia="it-IT"/>
        </w:rPr>
        <w:t>e</w:t>
      </w:r>
      <w:r w:rsidRPr="00515872">
        <w:rPr>
          <w:rFonts w:eastAsia="Times New Roman" w:cs="Tahoma"/>
          <w:szCs w:val="20"/>
          <w:lang w:eastAsia="it-IT"/>
        </w:rPr>
        <w:t xml:space="preserve"> ne</w:t>
      </w:r>
      <w:r w:rsidR="001D6DCB" w:rsidRPr="00515872">
        <w:rPr>
          <w:rFonts w:eastAsia="Times New Roman" w:cs="Tahoma"/>
          <w:szCs w:val="20"/>
          <w:lang w:eastAsia="it-IT"/>
        </w:rPr>
        <w:t>i c</w:t>
      </w:r>
      <w:r w:rsidR="006E57C4" w:rsidRPr="00515872">
        <w:rPr>
          <w:rFonts w:eastAsia="Times New Roman" w:cs="Tahoma"/>
          <w:szCs w:val="20"/>
          <w:lang w:eastAsia="it-IT"/>
        </w:rPr>
        <w:t>c.</w:t>
      </w:r>
      <w:r w:rsidR="001D6DCB" w:rsidRPr="00515872">
        <w:rPr>
          <w:rFonts w:eastAsia="Times New Roman" w:cs="Tahoma"/>
          <w:szCs w:val="20"/>
          <w:lang w:eastAsia="it-IT"/>
        </w:rPr>
        <w:t xml:space="preserve"> 5 e 5-</w:t>
      </w:r>
      <w:r w:rsidR="00625816" w:rsidRPr="00515872">
        <w:rPr>
          <w:rFonts w:eastAsia="Times New Roman" w:cs="Tahoma"/>
          <w:szCs w:val="20"/>
          <w:lang w:eastAsia="it-IT"/>
        </w:rPr>
        <w:t>bis</w:t>
      </w:r>
      <w:r w:rsidRPr="00515872">
        <w:rPr>
          <w:rFonts w:eastAsia="Times New Roman" w:cs="Tahoma"/>
          <w:szCs w:val="20"/>
          <w:lang w:eastAsia="it-IT"/>
        </w:rPr>
        <w:t xml:space="preserve"> dell’art. 248 del TUEL</w:t>
      </w:r>
      <w:r w:rsidR="00760F95" w:rsidRPr="00515872">
        <w:rPr>
          <w:rFonts w:eastAsia="Times New Roman" w:cs="Tahoma"/>
          <w:szCs w:val="20"/>
          <w:lang w:eastAsia="it-IT"/>
        </w:rPr>
        <w:t>, in presenza di comportamenti passati del candidato che abbiano concorso al dissesto di un ente. In particolare,</w:t>
      </w:r>
      <w:r w:rsidR="00625816" w:rsidRPr="00515872">
        <w:rPr>
          <w:rFonts w:eastAsia="Times New Roman" w:cs="Tahoma"/>
          <w:szCs w:val="20"/>
          <w:lang w:eastAsia="it-IT"/>
        </w:rPr>
        <w:t xml:space="preserve"> essi prevedono che:</w:t>
      </w:r>
    </w:p>
    <w:p w14:paraId="64895FD7" w14:textId="6ACC3FA8" w:rsidR="008E30D0" w:rsidRPr="00515872" w:rsidRDefault="00625816" w:rsidP="00D65838">
      <w:pPr>
        <w:pStyle w:val="Paragrafoelenco"/>
        <w:numPr>
          <w:ilvl w:val="0"/>
          <w:numId w:val="204"/>
        </w:numPr>
        <w:spacing w:line="360" w:lineRule="auto"/>
        <w:ind w:left="426"/>
        <w:jc w:val="both"/>
        <w:rPr>
          <w:rFonts w:eastAsia="Times New Roman" w:cs="Tahoma"/>
          <w:szCs w:val="20"/>
          <w:lang w:eastAsia="it-IT"/>
        </w:rPr>
      </w:pPr>
      <w:r w:rsidRPr="00515872">
        <w:rPr>
          <w:rFonts w:eastAsia="Times New Roman" w:cs="Tahoma"/>
          <w:szCs w:val="20"/>
          <w:lang w:eastAsia="it-IT"/>
        </w:rPr>
        <w:t xml:space="preserve">comma 5: </w:t>
      </w:r>
      <w:r w:rsidR="009518AF" w:rsidRPr="00515872">
        <w:rPr>
          <w:rFonts w:eastAsia="Times New Roman" w:cs="Tahoma"/>
          <w:szCs w:val="20"/>
          <w:lang w:eastAsia="it-IT"/>
        </w:rPr>
        <w:t>“</w:t>
      </w:r>
      <w:r w:rsidR="009518AF" w:rsidRPr="00515872">
        <w:rPr>
          <w:rFonts w:eastAsia="Times New Roman" w:cs="Tahoma"/>
          <w:i/>
          <w:szCs w:val="20"/>
          <w:lang w:eastAsia="it-IT"/>
        </w:rPr>
        <w:t>…</w:t>
      </w:r>
      <w:r w:rsidR="009518AF" w:rsidRPr="00515872">
        <w:rPr>
          <w:rFonts w:cs="Tahoma"/>
          <w:i/>
          <w:color w:val="000000"/>
        </w:rPr>
        <w:t>gli amministratori che la Corte dei conti ha riconosciuto, anche in primo grado, responsabili di aver contribuito con condotte, dolose o gravemente colpose, sia omissive che commissive, al verificarsi del dissesto finanziario, non possono ricoprire, per un periodo di dieci anni, incarichi di assessore, di revisore dei conti di enti locali e di rappresentante di enti locali presso altri enti, istituzioni ed organismi pubblici e privati</w:t>
      </w:r>
      <w:r w:rsidR="009518AF" w:rsidRPr="00515872">
        <w:rPr>
          <w:rFonts w:eastAsia="Times New Roman" w:cs="Tahoma"/>
          <w:szCs w:val="20"/>
          <w:lang w:eastAsia="it-IT"/>
        </w:rPr>
        <w:t xml:space="preserve">”. Tale sanzione, specifica per chi ha ricoperto la carica di amministratore, secondo le interpretazioni più diffuse, consegue automaticamente alla pronuncia di responsabilità da parte della Corte dei </w:t>
      </w:r>
      <w:r w:rsidR="0013795E" w:rsidRPr="00515872">
        <w:rPr>
          <w:rFonts w:eastAsia="Times New Roman" w:cs="Tahoma"/>
          <w:szCs w:val="20"/>
          <w:lang w:eastAsia="it-IT"/>
        </w:rPr>
        <w:t>C</w:t>
      </w:r>
      <w:r w:rsidR="009518AF" w:rsidRPr="00515872">
        <w:rPr>
          <w:rFonts w:eastAsia="Times New Roman" w:cs="Tahoma"/>
          <w:szCs w:val="20"/>
          <w:lang w:eastAsia="it-IT"/>
        </w:rPr>
        <w:t>onti, nell’ambito del procedimento</w:t>
      </w:r>
      <w:r w:rsidRPr="00515872">
        <w:rPr>
          <w:rFonts w:eastAsia="Times New Roman" w:cs="Tahoma"/>
          <w:szCs w:val="20"/>
          <w:lang w:eastAsia="it-IT"/>
        </w:rPr>
        <w:t xml:space="preserve"> inerente </w:t>
      </w:r>
      <w:r w:rsidR="00F61E9D" w:rsidRPr="00515872">
        <w:rPr>
          <w:rFonts w:eastAsia="Times New Roman" w:cs="Tahoma"/>
          <w:szCs w:val="20"/>
          <w:lang w:eastAsia="it-IT"/>
        </w:rPr>
        <w:t>al</w:t>
      </w:r>
      <w:r w:rsidRPr="00515872">
        <w:rPr>
          <w:rFonts w:eastAsia="Times New Roman" w:cs="Tahoma"/>
          <w:szCs w:val="20"/>
          <w:lang w:eastAsia="it-IT"/>
        </w:rPr>
        <w:t xml:space="preserve"> dissesto dell’ente;</w:t>
      </w:r>
    </w:p>
    <w:p w14:paraId="052EAE0D" w14:textId="77777777" w:rsidR="00625816" w:rsidRPr="00515872" w:rsidRDefault="001D6DCB" w:rsidP="00D65838">
      <w:pPr>
        <w:pStyle w:val="Paragrafoelenco"/>
        <w:numPr>
          <w:ilvl w:val="0"/>
          <w:numId w:val="204"/>
        </w:numPr>
        <w:spacing w:line="360" w:lineRule="auto"/>
        <w:ind w:left="426"/>
        <w:jc w:val="both"/>
        <w:rPr>
          <w:rFonts w:eastAsia="Times New Roman" w:cs="Tahoma"/>
          <w:szCs w:val="20"/>
          <w:lang w:eastAsia="it-IT"/>
        </w:rPr>
      </w:pPr>
      <w:r w:rsidRPr="00515872">
        <w:rPr>
          <w:rFonts w:eastAsia="Times New Roman" w:cs="Tahoma"/>
          <w:szCs w:val="20"/>
          <w:lang w:eastAsia="it-IT"/>
        </w:rPr>
        <w:t>comma 5-</w:t>
      </w:r>
      <w:r w:rsidR="00625816" w:rsidRPr="00515872">
        <w:rPr>
          <w:rFonts w:eastAsia="Times New Roman" w:cs="Tahoma"/>
          <w:szCs w:val="20"/>
          <w:lang w:eastAsia="it-IT"/>
        </w:rPr>
        <w:t xml:space="preserve">bis: </w:t>
      </w:r>
      <w:r w:rsidR="008E30D0" w:rsidRPr="00515872">
        <w:rPr>
          <w:rFonts w:eastAsia="Times New Roman" w:cs="Tahoma"/>
          <w:szCs w:val="20"/>
          <w:lang w:eastAsia="it-IT"/>
        </w:rPr>
        <w:t>“</w:t>
      </w:r>
      <w:r w:rsidR="00760F95" w:rsidRPr="00515872">
        <w:rPr>
          <w:rFonts w:eastAsia="Times New Roman" w:cs="Tahoma"/>
          <w:szCs w:val="20"/>
          <w:lang w:eastAsia="it-IT"/>
        </w:rPr>
        <w:t>…</w:t>
      </w:r>
      <w:r w:rsidR="008E30D0" w:rsidRPr="00515872">
        <w:rPr>
          <w:rFonts w:eastAsia="Times New Roman" w:cs="Tahoma"/>
          <w:i/>
          <w:szCs w:val="20"/>
          <w:lang w:eastAsia="it-IT"/>
        </w:rPr>
        <w:t>qualora, a seguito della dichiarazione di dissesto, la Corte dei conti accerti gravi responsabilità nello svolgimento dell'attività del collegio dei revisori, o ritardata o mancata comunicazione, secondo le normative vigenti, delle informazioni, i componenti del collegio riconosciuti responsabili in sede di giudizio della predetta Corte non possono essere nominati nel collegio dei revisori degli enti locali e degli enti ed organismi agli stessi riconducibili fino a dieci anni, in funzione della gravità accertata</w:t>
      </w:r>
      <w:r w:rsidR="008E30D0" w:rsidRPr="00515872">
        <w:rPr>
          <w:rFonts w:eastAsia="Times New Roman" w:cs="Tahoma"/>
          <w:sz w:val="24"/>
          <w:szCs w:val="24"/>
          <w:lang w:eastAsia="it-IT"/>
        </w:rPr>
        <w:t>”.</w:t>
      </w:r>
    </w:p>
    <w:p w14:paraId="6AD7CE42" w14:textId="77777777" w:rsidR="00AA69CF" w:rsidRPr="00515872" w:rsidRDefault="00AA69CF">
      <w:pPr>
        <w:spacing w:after="0" w:line="240" w:lineRule="auto"/>
        <w:rPr>
          <w:rFonts w:cs="Tahoma"/>
          <w:b/>
          <w:bCs/>
          <w:i/>
          <w:color w:val="000000"/>
          <w:sz w:val="22"/>
          <w:szCs w:val="24"/>
          <w:highlight w:val="yellow"/>
          <w:lang w:eastAsia="it-IT"/>
        </w:rPr>
      </w:pPr>
      <w:bookmarkStart w:id="25" w:name="_Toc521317046"/>
    </w:p>
    <w:p w14:paraId="7410BA40" w14:textId="77777777" w:rsidR="009518AF" w:rsidRPr="00515872" w:rsidRDefault="009518AF" w:rsidP="009518AF">
      <w:pPr>
        <w:pStyle w:val="Sottoparagrafo"/>
        <w:rPr>
          <w:rFonts w:cs="Tahoma"/>
          <w:lang w:eastAsia="it-IT"/>
        </w:rPr>
      </w:pPr>
      <w:bookmarkStart w:id="26" w:name="_Toc95912219"/>
      <w:r w:rsidRPr="00515872">
        <w:rPr>
          <w:rFonts w:cs="Tahoma"/>
          <w:lang w:eastAsia="it-IT"/>
        </w:rPr>
        <w:t>2.2.3 Limite al cumulo degli incarichi</w:t>
      </w:r>
      <w:bookmarkEnd w:id="25"/>
      <w:bookmarkEnd w:id="26"/>
    </w:p>
    <w:p w14:paraId="40C62841" w14:textId="77777777" w:rsidR="009518AF" w:rsidRPr="00515872" w:rsidRDefault="009518AF" w:rsidP="009518AF">
      <w:pPr>
        <w:spacing w:after="0" w:line="360" w:lineRule="auto"/>
        <w:jc w:val="both"/>
        <w:rPr>
          <w:rFonts w:cs="Tahoma"/>
        </w:rPr>
      </w:pPr>
      <w:r w:rsidRPr="00515872">
        <w:rPr>
          <w:rFonts w:cs="Tahoma"/>
        </w:rPr>
        <w:t xml:space="preserve">Il revisore ricade in ipotesi di incompatibilità nel caso di accettazione di una nomina che determini il superamento del limite all’assunzione degli incarichi stabilito dall’art. 238 del TUEL. Tale norma, infatti, </w:t>
      </w:r>
      <w:r w:rsidRPr="00515872">
        <w:rPr>
          <w:rFonts w:cs="Tahoma"/>
        </w:rPr>
        <w:lastRenderedPageBreak/>
        <w:t xml:space="preserve">contiene un dispositivo limitante il cumulo degli incarichi che ciascun revisore può assumere </w:t>
      </w:r>
      <w:r w:rsidR="00741020" w:rsidRPr="00515872">
        <w:rPr>
          <w:rFonts w:cs="Tahoma"/>
        </w:rPr>
        <w:t xml:space="preserve">contemporaneamente, </w:t>
      </w:r>
      <w:r w:rsidRPr="00515872">
        <w:rPr>
          <w:rFonts w:cs="Tahoma"/>
        </w:rPr>
        <w:t>stabilendo un numero massimo di 8 incarichi tra cui:</w:t>
      </w:r>
    </w:p>
    <w:p w14:paraId="0D031AF6" w14:textId="77777777" w:rsidR="009518AF" w:rsidRPr="00515872" w:rsidRDefault="009518AF" w:rsidP="009518AF">
      <w:pPr>
        <w:pStyle w:val="Paragrafoelenco"/>
        <w:numPr>
          <w:ilvl w:val="0"/>
          <w:numId w:val="5"/>
        </w:numPr>
        <w:spacing w:line="360" w:lineRule="auto"/>
        <w:jc w:val="both"/>
        <w:rPr>
          <w:rFonts w:cs="Tahoma"/>
        </w:rPr>
      </w:pPr>
      <w:r w:rsidRPr="00515872">
        <w:rPr>
          <w:rFonts w:cs="Tahoma"/>
        </w:rPr>
        <w:t>non più di 4 incarichi in comuni con popolazione inferiore a 5.000 abitanti e nelle comunità montane;</w:t>
      </w:r>
    </w:p>
    <w:p w14:paraId="4B2DFE92" w14:textId="77777777" w:rsidR="009518AF" w:rsidRPr="00515872" w:rsidRDefault="009518AF" w:rsidP="009518AF">
      <w:pPr>
        <w:pStyle w:val="Paragrafoelenco"/>
        <w:numPr>
          <w:ilvl w:val="0"/>
          <w:numId w:val="5"/>
        </w:numPr>
        <w:spacing w:line="360" w:lineRule="auto"/>
        <w:jc w:val="both"/>
        <w:rPr>
          <w:rFonts w:cs="Tahoma"/>
        </w:rPr>
      </w:pPr>
      <w:r w:rsidRPr="00515872">
        <w:rPr>
          <w:rFonts w:cs="Tahoma"/>
        </w:rPr>
        <w:t>non più di 3 incarichi in comun</w:t>
      </w:r>
      <w:r w:rsidR="006633D0" w:rsidRPr="00515872">
        <w:rPr>
          <w:rFonts w:cs="Tahoma"/>
        </w:rPr>
        <w:t>i con popolazione compresa tra 5.000 e</w:t>
      </w:r>
      <w:r w:rsidRPr="00515872">
        <w:rPr>
          <w:rFonts w:cs="Tahoma"/>
        </w:rPr>
        <w:t xml:space="preserve"> 99.999 abitanti;</w:t>
      </w:r>
    </w:p>
    <w:p w14:paraId="3E8C1183" w14:textId="77777777" w:rsidR="009518AF" w:rsidRPr="00515872" w:rsidRDefault="009518AF" w:rsidP="009518AF">
      <w:pPr>
        <w:pStyle w:val="Paragrafoelenco"/>
        <w:numPr>
          <w:ilvl w:val="0"/>
          <w:numId w:val="5"/>
        </w:numPr>
        <w:spacing w:line="360" w:lineRule="auto"/>
        <w:jc w:val="both"/>
        <w:rPr>
          <w:rFonts w:cs="Tahoma"/>
        </w:rPr>
      </w:pPr>
      <w:r w:rsidRPr="00515872">
        <w:rPr>
          <w:rFonts w:cs="Tahoma"/>
        </w:rPr>
        <w:t>non più di 1 in comune con popolazione pari o superiore a 100.000 abitanti o nelle province.</w:t>
      </w:r>
      <w:r w:rsidR="00FF6A3D" w:rsidRPr="00515872">
        <w:rPr>
          <w:rStyle w:val="Rimandonotaapidipagina"/>
          <w:rFonts w:cs="Tahoma"/>
        </w:rPr>
        <w:footnoteReference w:id="6"/>
      </w:r>
    </w:p>
    <w:p w14:paraId="1E88ACB4" w14:textId="77777777" w:rsidR="009518AF" w:rsidRPr="00515872" w:rsidRDefault="009518AF" w:rsidP="009518AF">
      <w:pPr>
        <w:spacing w:line="360" w:lineRule="auto"/>
        <w:jc w:val="both"/>
        <w:rPr>
          <w:rFonts w:cs="Tahoma"/>
        </w:rPr>
      </w:pPr>
      <w:r w:rsidRPr="00515872">
        <w:rPr>
          <w:rFonts w:cs="Tahoma"/>
        </w:rPr>
        <w:t>È onere del revisore, pertanto, verificare, prima dell’accettazione dell’incarico, l’eventuale splafonamento che questo possa determinare rispetto alle previsioni dell’art. 238.</w:t>
      </w:r>
    </w:p>
    <w:p w14:paraId="7C562E42" w14:textId="77777777" w:rsidR="009518AF" w:rsidRPr="00515872" w:rsidRDefault="009518AF" w:rsidP="009518AF">
      <w:pPr>
        <w:spacing w:line="360" w:lineRule="auto"/>
        <w:jc w:val="both"/>
        <w:rPr>
          <w:rFonts w:cs="Tahoma"/>
        </w:rPr>
      </w:pPr>
      <w:r w:rsidRPr="00515872">
        <w:rPr>
          <w:rFonts w:cs="Tahoma"/>
        </w:rPr>
        <w:t>Tale limitazione, tuttavia, non è assoluta ma derogabile dall’ente tramite apposita previsione da inserire nel regolamento di contabilità che il revisore, pertanto, è tenuto a visionare.</w:t>
      </w:r>
    </w:p>
    <w:p w14:paraId="11399503" w14:textId="77777777" w:rsidR="009518AF" w:rsidRPr="00515872" w:rsidRDefault="009518AF" w:rsidP="009518AF">
      <w:pPr>
        <w:spacing w:line="360" w:lineRule="auto"/>
        <w:jc w:val="both"/>
        <w:rPr>
          <w:rFonts w:cs="Tahoma"/>
        </w:rPr>
      </w:pPr>
      <w:r w:rsidRPr="00515872">
        <w:rPr>
          <w:rFonts w:cs="Tahoma"/>
        </w:rPr>
        <w:t>In caso di superamento del numero degli incarichi consentiti</w:t>
      </w:r>
      <w:r w:rsidR="009A357A" w:rsidRPr="00515872">
        <w:rPr>
          <w:rFonts w:cs="Tahoma"/>
        </w:rPr>
        <w:t>,</w:t>
      </w:r>
      <w:r w:rsidRPr="00515872">
        <w:rPr>
          <w:rFonts w:cs="Tahoma"/>
        </w:rPr>
        <w:t xml:space="preserve"> il revisore deve far pervenire al Ministero dell’Interno, entro 30 giorni dalla richiesta da parte di questi, una dichiarazione contenente l’indicazione degli incarichi che intende conservare nel rispetto del limite di legge. In caso di mancato inoltro di tale comunicazione, il Ministero dell’Interno, entro 30 giorni, dà comunicazione dei revisori inadempienti agli ordini professionali e al Ministero della Giustizia per il registro dei revisori contabili.</w:t>
      </w:r>
    </w:p>
    <w:p w14:paraId="69165174" w14:textId="77777777" w:rsidR="001672F9" w:rsidRPr="00515872" w:rsidRDefault="001672F9" w:rsidP="009518AF">
      <w:pPr>
        <w:pStyle w:val="Sottoparagrafo"/>
        <w:rPr>
          <w:rFonts w:cs="Tahoma"/>
          <w:highlight w:val="yellow"/>
          <w:lang w:eastAsia="it-IT"/>
        </w:rPr>
      </w:pPr>
      <w:bookmarkStart w:id="27" w:name="_Toc521317047"/>
    </w:p>
    <w:p w14:paraId="183FC648" w14:textId="77777777" w:rsidR="009518AF" w:rsidRPr="00515872" w:rsidRDefault="009518AF" w:rsidP="009518AF">
      <w:pPr>
        <w:pStyle w:val="Sottoparagrafo"/>
        <w:rPr>
          <w:rFonts w:cs="Tahoma"/>
          <w:lang w:eastAsia="it-IT"/>
        </w:rPr>
      </w:pPr>
      <w:bookmarkStart w:id="28" w:name="_Toc95912220"/>
      <w:r w:rsidRPr="00515872">
        <w:rPr>
          <w:rFonts w:cs="Tahoma"/>
          <w:lang w:eastAsia="it-IT"/>
        </w:rPr>
        <w:t>2.2.4 Dichiarazione di sussistenza dei requisiti</w:t>
      </w:r>
      <w:bookmarkEnd w:id="27"/>
      <w:bookmarkEnd w:id="28"/>
    </w:p>
    <w:p w14:paraId="61A6644A"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Il revisore, all’atto di accettazione dell’incarico, fornisce una dichiarazione ai sensi degli artt. 46 e 47 del D.P.R. 455/2000, attestante il possesso dei requisiti e l’insussistenza di cause di ineleggibilità. Nella dichiarazione, di norma, il revisore attesta:</w:t>
      </w:r>
    </w:p>
    <w:p w14:paraId="47624432"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essere iscritto all’albo dei dottori commercialisti ed esperti contabili; </w:t>
      </w:r>
    </w:p>
    <w:p w14:paraId="1FDF1FC9"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in alternativa, di essere revisore legale ai sensi del </w:t>
      </w:r>
      <w:proofErr w:type="spellStart"/>
      <w:r w:rsidRPr="00515872">
        <w:rPr>
          <w:rFonts w:cs="Tahoma"/>
          <w:color w:val="000000"/>
          <w:szCs w:val="20"/>
        </w:rPr>
        <w:t>D.Lgs.</w:t>
      </w:r>
      <w:proofErr w:type="spellEnd"/>
      <w:r w:rsidRPr="00515872">
        <w:rPr>
          <w:rFonts w:cs="Tahoma"/>
          <w:color w:val="000000"/>
          <w:szCs w:val="20"/>
        </w:rPr>
        <w:t xml:space="preserve"> n. 39/2010; </w:t>
      </w:r>
    </w:p>
    <w:p w14:paraId="4DD331E4"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non trovarsi in alcuna delle condizioni di ineleggibilità e incompatibilità previste dall’art. 236 del TUEL; </w:t>
      </w:r>
    </w:p>
    <w:p w14:paraId="3A2DE9CB"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non trovarsi in situazioni di incompatibilità rispetto al limite del numero di incarichi previsto dall’art. 238 del TUEL; </w:t>
      </w:r>
    </w:p>
    <w:p w14:paraId="0E6EF527"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non trovarsi nelle condizioni di cui all'art. 2399, C.C..; </w:t>
      </w:r>
    </w:p>
    <w:p w14:paraId="51BF9BEE"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lastRenderedPageBreak/>
        <w:t xml:space="preserve">di non aver riportato condanne penali che impediscono l’esercizio delle funzioni pubbliche; </w:t>
      </w:r>
    </w:p>
    <w:p w14:paraId="3ECDCD3B"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accettare il compenso che sarà deliberato dal consiglio dell’ente locale, tenendo conto del compenso base comunicato dall’ente e le modalità di determinazione dei rimborsi, riservandosi di richiedere, appena normativamente possibile, l’aumento e/o l’adeguamento dello stesso; </w:t>
      </w:r>
    </w:p>
    <w:p w14:paraId="78472D1E" w14:textId="77777777" w:rsidR="009518AF" w:rsidRPr="00515872" w:rsidRDefault="009518AF" w:rsidP="009518AF">
      <w:pPr>
        <w:pStyle w:val="Paragrafoelenco"/>
        <w:numPr>
          <w:ilvl w:val="0"/>
          <w:numId w:val="2"/>
        </w:numPr>
        <w:autoSpaceDE w:val="0"/>
        <w:autoSpaceDN w:val="0"/>
        <w:adjustRightInd w:val="0"/>
        <w:spacing w:line="360" w:lineRule="auto"/>
        <w:jc w:val="both"/>
        <w:rPr>
          <w:rFonts w:cs="Tahoma"/>
          <w:color w:val="000000"/>
          <w:szCs w:val="20"/>
        </w:rPr>
      </w:pPr>
      <w:r w:rsidRPr="00515872">
        <w:rPr>
          <w:rFonts w:cs="Tahoma"/>
          <w:color w:val="000000"/>
          <w:szCs w:val="20"/>
        </w:rPr>
        <w:t xml:space="preserve">di autorizzare il trattamento dei dati personali </w:t>
      </w:r>
      <w:r w:rsidR="00F319A9" w:rsidRPr="00515872">
        <w:rPr>
          <w:rFonts w:cs="Tahoma"/>
          <w:color w:val="000000"/>
          <w:szCs w:val="20"/>
        </w:rPr>
        <w:t xml:space="preserve">ai </w:t>
      </w:r>
      <w:r w:rsidR="00050748" w:rsidRPr="00515872">
        <w:rPr>
          <w:rFonts w:cs="Tahoma"/>
          <w:color w:val="000000"/>
          <w:szCs w:val="20"/>
        </w:rPr>
        <w:t>f</w:t>
      </w:r>
      <w:r w:rsidR="00F319A9" w:rsidRPr="00515872">
        <w:rPr>
          <w:rFonts w:cs="Tahoma"/>
          <w:color w:val="000000"/>
          <w:szCs w:val="20"/>
        </w:rPr>
        <w:t>ini della normativa su</w:t>
      </w:r>
      <w:r w:rsidR="00966119" w:rsidRPr="00515872">
        <w:rPr>
          <w:rFonts w:cs="Tahoma"/>
          <w:color w:val="000000"/>
          <w:szCs w:val="20"/>
        </w:rPr>
        <w:t>l</w:t>
      </w:r>
      <w:r w:rsidR="00F319A9" w:rsidRPr="00515872">
        <w:rPr>
          <w:rFonts w:cs="Tahoma"/>
          <w:color w:val="000000"/>
          <w:szCs w:val="20"/>
        </w:rPr>
        <w:t>la privacy</w:t>
      </w:r>
      <w:r w:rsidRPr="00515872">
        <w:rPr>
          <w:rStyle w:val="Rimandonotaapidipagina"/>
          <w:rFonts w:cs="Tahoma"/>
          <w:color w:val="000000"/>
          <w:szCs w:val="20"/>
        </w:rPr>
        <w:footnoteReference w:id="7"/>
      </w:r>
      <w:r w:rsidRPr="00515872">
        <w:rPr>
          <w:rFonts w:eastAsia="Times New Roman" w:cs="Tahoma"/>
          <w:szCs w:val="20"/>
          <w:lang w:eastAsia="it-IT"/>
        </w:rPr>
        <w:t>.</w:t>
      </w:r>
    </w:p>
    <w:p w14:paraId="5D9ACC30" w14:textId="77777777" w:rsidR="00AA69CF" w:rsidRPr="00515872" w:rsidRDefault="00AA69CF" w:rsidP="00AA69CF">
      <w:pPr>
        <w:pStyle w:val="Paragrafoelenco"/>
        <w:autoSpaceDE w:val="0"/>
        <w:autoSpaceDN w:val="0"/>
        <w:adjustRightInd w:val="0"/>
        <w:spacing w:line="360" w:lineRule="auto"/>
        <w:ind w:left="360"/>
        <w:jc w:val="both"/>
        <w:rPr>
          <w:rFonts w:cs="Tahoma"/>
          <w:color w:val="000000"/>
          <w:szCs w:val="20"/>
        </w:rPr>
      </w:pPr>
    </w:p>
    <w:p w14:paraId="169823AF" w14:textId="77777777" w:rsidR="009518AF" w:rsidRPr="00515872" w:rsidRDefault="009518AF" w:rsidP="00297A21">
      <w:pPr>
        <w:pStyle w:val="Paragrafo"/>
        <w:rPr>
          <w:rFonts w:eastAsia="MS Gothic"/>
          <w:kern w:val="28"/>
          <w:sz w:val="40"/>
          <w:szCs w:val="32"/>
        </w:rPr>
      </w:pPr>
      <w:bookmarkStart w:id="29" w:name="_Toc521317048"/>
      <w:bookmarkStart w:id="30" w:name="_Toc95912221"/>
      <w:r w:rsidRPr="00515872">
        <w:t>2.3 Durata dell’incarico</w:t>
      </w:r>
      <w:bookmarkEnd w:id="29"/>
      <w:bookmarkEnd w:id="30"/>
    </w:p>
    <w:p w14:paraId="659DA6AC" w14:textId="77777777" w:rsidR="0027603F" w:rsidRPr="00515872" w:rsidRDefault="009518AF" w:rsidP="009518AF">
      <w:pPr>
        <w:spacing w:line="360" w:lineRule="auto"/>
        <w:jc w:val="both"/>
        <w:rPr>
          <w:rFonts w:cs="Tahoma"/>
          <w:bCs/>
        </w:rPr>
      </w:pPr>
      <w:r w:rsidRPr="00515872">
        <w:rPr>
          <w:rFonts w:cs="Tahoma"/>
          <w:bCs/>
        </w:rPr>
        <w:t xml:space="preserve">Una volta nominato, l’organo di revisione, rimane in carica per 3 anni. </w:t>
      </w:r>
      <w:r w:rsidR="0027603F" w:rsidRPr="00515872">
        <w:rPr>
          <w:rFonts w:cs="Tahoma"/>
          <w:bCs/>
        </w:rPr>
        <w:t>La durata è calcolata da calendario. A differenza di quanto accade per il revisore dei conti di società del settore privato, infatti, la scadenza dell’incarico di revisore nell’ente locale è determinata su base prettamente temporale ed è svincolata da qualsiasi collegamento con il periodo di approvazione del bilancio (o rendiconto).</w:t>
      </w:r>
    </w:p>
    <w:p w14:paraId="6C0FF3DE" w14:textId="77777777" w:rsidR="00403ADC" w:rsidRPr="00515872" w:rsidRDefault="009518AF" w:rsidP="009518AF">
      <w:pPr>
        <w:spacing w:line="360" w:lineRule="auto"/>
        <w:jc w:val="both"/>
        <w:rPr>
          <w:rFonts w:cs="Tahoma"/>
          <w:bCs/>
        </w:rPr>
      </w:pPr>
      <w:r w:rsidRPr="00515872">
        <w:rPr>
          <w:rFonts w:cs="Tahoma"/>
          <w:bCs/>
        </w:rPr>
        <w:t xml:space="preserve">La durata dell’incarico decorre </w:t>
      </w:r>
      <w:r w:rsidRPr="00515872">
        <w:rPr>
          <w:rFonts w:cs="Tahoma"/>
          <w:b/>
          <w:bCs/>
        </w:rPr>
        <w:t>dalla data di esecutività delle delibera</w:t>
      </w:r>
      <w:r w:rsidRPr="00515872">
        <w:rPr>
          <w:rFonts w:cs="Tahoma"/>
          <w:bCs/>
        </w:rPr>
        <w:t xml:space="preserve"> del consiglio comunale, provinciale o della città metropolitana (di norma 10 giorni dopo la pubblicazione, salvo esecutività immediata deliberata nel corso della stessa adunanza). </w:t>
      </w:r>
    </w:p>
    <w:p w14:paraId="3B0B6E41" w14:textId="77777777" w:rsidR="009518AF" w:rsidRPr="00515872" w:rsidRDefault="009518AF" w:rsidP="009518AF">
      <w:pPr>
        <w:spacing w:line="360" w:lineRule="auto"/>
        <w:jc w:val="both"/>
        <w:rPr>
          <w:rFonts w:cs="Tahoma"/>
          <w:bCs/>
        </w:rPr>
      </w:pPr>
      <w:r w:rsidRPr="00515872">
        <w:rPr>
          <w:rFonts w:cs="Tahoma"/>
          <w:bCs/>
        </w:rPr>
        <w:t>Qualora la nomina avvenga per surroga ad un revisore cessato anticipatamente rispetto alla scadenza naturale, nell’ambito di un organo collegiale, la durata in carica del sostituto coincide con la durata residua del collegio nominato originariamente.</w:t>
      </w:r>
    </w:p>
    <w:p w14:paraId="40918EF3" w14:textId="77777777" w:rsidR="009518AF" w:rsidRPr="00515872" w:rsidRDefault="009518AF" w:rsidP="009518AF">
      <w:pPr>
        <w:spacing w:line="360" w:lineRule="auto"/>
        <w:jc w:val="both"/>
        <w:rPr>
          <w:rFonts w:cs="Tahoma"/>
          <w:bCs/>
        </w:rPr>
      </w:pPr>
      <w:r w:rsidRPr="00515872">
        <w:rPr>
          <w:rFonts w:cs="Tahoma"/>
          <w:bCs/>
        </w:rPr>
        <w:t>Ai sensi dell’art. 235 del TUEL, i membri dell’organo di revisione sono rieleggibili una volta sola. Tale disposizione deve intendersi, in base ai chiarimenti forniti dal Consiglio di Stato, con sentenza del 23 ottobre 2009, n. 5324, nel senso che la terza rielezione del revisore presso lo stesso ente è esclusa solo qualora questa sia consecutiva alle prime due (a loro volta consecutive tra di loro), dovendosi verificare, invece, una interruzione tra i primi due mandati (ammessi in via consecutiva) e il terzo. La portata della questione è stata comunque notevolmente ridimensionata a seguito dell’introduzione della nomina per sorteggio che, evidentemente, se non può escludere totalmente l’eventualità di una triplice rielezione consecutiva del medesimo revisore per lo stesso ente, ne riduce, di fatto, considerevolmente le probabilità a tal punto da rendere la norma</w:t>
      </w:r>
      <w:r w:rsidR="00F11034" w:rsidRPr="00515872">
        <w:rPr>
          <w:rFonts w:cs="Tahoma"/>
          <w:bCs/>
        </w:rPr>
        <w:t xml:space="preserve"> in parola per lo più superflua</w:t>
      </w:r>
      <w:r w:rsidRPr="00515872">
        <w:rPr>
          <w:rFonts w:cs="Tahoma"/>
          <w:bCs/>
        </w:rPr>
        <w:t>.</w:t>
      </w:r>
      <w:r w:rsidR="00F319A9" w:rsidRPr="00515872">
        <w:rPr>
          <w:rFonts w:cs="Tahoma"/>
          <w:bCs/>
        </w:rPr>
        <w:t xml:space="preserve"> La stessa, rimasta fondamentalmente dormiente fino a</w:t>
      </w:r>
      <w:r w:rsidR="006A483C" w:rsidRPr="00515872">
        <w:rPr>
          <w:rFonts w:cs="Tahoma"/>
          <w:bCs/>
        </w:rPr>
        <w:t>l 24 dicembre 2019,</w:t>
      </w:r>
      <w:r w:rsidR="00F319A9" w:rsidRPr="00515872">
        <w:rPr>
          <w:rFonts w:cs="Tahoma"/>
          <w:bCs/>
        </w:rPr>
        <w:t xml:space="preserve"> è stata tuttavia rivitalizzata a seguito del</w:t>
      </w:r>
      <w:r w:rsidR="00F11034" w:rsidRPr="00515872">
        <w:rPr>
          <w:rFonts w:cs="Tahoma"/>
          <w:bCs/>
        </w:rPr>
        <w:t xml:space="preserve"> ritorno a</w:t>
      </w:r>
      <w:r w:rsidR="00F319A9" w:rsidRPr="00515872">
        <w:rPr>
          <w:rFonts w:cs="Tahoma"/>
          <w:bCs/>
        </w:rPr>
        <w:t>lla nom</w:t>
      </w:r>
      <w:r w:rsidR="00F11034" w:rsidRPr="00515872">
        <w:rPr>
          <w:rFonts w:cs="Tahoma"/>
          <w:bCs/>
        </w:rPr>
        <w:t xml:space="preserve">ina diretta del </w:t>
      </w:r>
      <w:r w:rsidR="00B173BB" w:rsidRPr="00515872">
        <w:rPr>
          <w:rFonts w:cs="Tahoma"/>
          <w:bCs/>
        </w:rPr>
        <w:t>presidente</w:t>
      </w:r>
      <w:r w:rsidR="00F11034" w:rsidRPr="00515872">
        <w:rPr>
          <w:rFonts w:cs="Tahoma"/>
          <w:bCs/>
        </w:rPr>
        <w:t xml:space="preserve"> del c</w:t>
      </w:r>
      <w:r w:rsidR="00F319A9" w:rsidRPr="00515872">
        <w:rPr>
          <w:rFonts w:cs="Tahoma"/>
          <w:bCs/>
        </w:rPr>
        <w:t>ol</w:t>
      </w:r>
      <w:r w:rsidR="006A483C" w:rsidRPr="00515872">
        <w:rPr>
          <w:rFonts w:cs="Tahoma"/>
          <w:bCs/>
        </w:rPr>
        <w:t xml:space="preserve">legio dei </w:t>
      </w:r>
      <w:r w:rsidR="00F11034" w:rsidRPr="00515872">
        <w:rPr>
          <w:rFonts w:cs="Tahoma"/>
          <w:bCs/>
        </w:rPr>
        <w:t>r</w:t>
      </w:r>
      <w:r w:rsidR="006A483C" w:rsidRPr="00515872">
        <w:rPr>
          <w:rFonts w:cs="Tahoma"/>
          <w:bCs/>
        </w:rPr>
        <w:t xml:space="preserve">evisori, di modo che, ai fini della selezione del soggetto, il consiglio comunale competente deve </w:t>
      </w:r>
      <w:r w:rsidR="00F11034" w:rsidRPr="00515872">
        <w:rPr>
          <w:rFonts w:cs="Tahoma"/>
          <w:bCs/>
        </w:rPr>
        <w:t xml:space="preserve">ora </w:t>
      </w:r>
      <w:r w:rsidR="006A483C" w:rsidRPr="00515872">
        <w:rPr>
          <w:rFonts w:cs="Tahoma"/>
          <w:bCs/>
        </w:rPr>
        <w:t>senz’altro tenerne conto.</w:t>
      </w:r>
    </w:p>
    <w:p w14:paraId="2B25EA3A" w14:textId="77777777" w:rsidR="001672F9" w:rsidRPr="00515872" w:rsidRDefault="001672F9" w:rsidP="00297A21">
      <w:pPr>
        <w:pStyle w:val="Paragrafo"/>
      </w:pPr>
      <w:bookmarkStart w:id="31" w:name="_Toc521317049"/>
    </w:p>
    <w:p w14:paraId="689786C3" w14:textId="77777777" w:rsidR="009518AF" w:rsidRPr="00515872" w:rsidRDefault="009518AF" w:rsidP="00297A21">
      <w:pPr>
        <w:pStyle w:val="Paragrafo"/>
      </w:pPr>
      <w:bookmarkStart w:id="32" w:name="_Toc95912222"/>
      <w:r w:rsidRPr="00515872">
        <w:lastRenderedPageBreak/>
        <w:t>2.4 Cause di cessazione</w:t>
      </w:r>
      <w:bookmarkEnd w:id="31"/>
      <w:bookmarkEnd w:id="32"/>
    </w:p>
    <w:p w14:paraId="1819E2ED" w14:textId="77777777" w:rsidR="000803C5" w:rsidRPr="00515872" w:rsidRDefault="00142A69" w:rsidP="009518AF">
      <w:pPr>
        <w:spacing w:line="360" w:lineRule="auto"/>
        <w:jc w:val="both"/>
        <w:rPr>
          <w:rFonts w:cs="Tahoma"/>
        </w:rPr>
      </w:pPr>
      <w:r w:rsidRPr="00515872">
        <w:rPr>
          <w:rFonts w:cs="Tahoma"/>
        </w:rPr>
        <w:t xml:space="preserve">La </w:t>
      </w:r>
      <w:r w:rsidR="009518AF" w:rsidRPr="00515872">
        <w:rPr>
          <w:rFonts w:cs="Tahoma"/>
        </w:rPr>
        <w:t xml:space="preserve">causa </w:t>
      </w:r>
      <w:r w:rsidRPr="00515872">
        <w:rPr>
          <w:rFonts w:cs="Tahoma"/>
        </w:rPr>
        <w:t xml:space="preserve">più ricorrente </w:t>
      </w:r>
      <w:r w:rsidR="009518AF" w:rsidRPr="00515872">
        <w:rPr>
          <w:rFonts w:cs="Tahoma"/>
        </w:rPr>
        <w:t>di c</w:t>
      </w:r>
      <w:r w:rsidRPr="00515872">
        <w:rPr>
          <w:rFonts w:cs="Tahoma"/>
        </w:rPr>
        <w:t xml:space="preserve">essazione </w:t>
      </w:r>
      <w:r w:rsidR="00C24086" w:rsidRPr="00515872">
        <w:rPr>
          <w:rFonts w:cs="Tahoma"/>
        </w:rPr>
        <w:t xml:space="preserve">dalla carica </w:t>
      </w:r>
      <w:r w:rsidRPr="00515872">
        <w:rPr>
          <w:rFonts w:cs="Tahoma"/>
        </w:rPr>
        <w:t xml:space="preserve">del revisore </w:t>
      </w:r>
      <w:r w:rsidR="00C24086" w:rsidRPr="00515872">
        <w:rPr>
          <w:rFonts w:cs="Tahoma"/>
        </w:rPr>
        <w:t xml:space="preserve">dei conti </w:t>
      </w:r>
      <w:r w:rsidRPr="00515872">
        <w:rPr>
          <w:rFonts w:cs="Tahoma"/>
        </w:rPr>
        <w:t>è dovuta a</w:t>
      </w:r>
      <w:r w:rsidR="009518AF" w:rsidRPr="00515872">
        <w:rPr>
          <w:rFonts w:cs="Tahoma"/>
        </w:rPr>
        <w:t>lla scadenza naturale del mandato. L’approssimarsi d</w:t>
      </w:r>
      <w:r w:rsidRPr="00515872">
        <w:rPr>
          <w:rFonts w:cs="Tahoma"/>
        </w:rPr>
        <w:t>ell’</w:t>
      </w:r>
      <w:r w:rsidR="009518AF" w:rsidRPr="00515872">
        <w:rPr>
          <w:rFonts w:cs="Tahoma"/>
        </w:rPr>
        <w:t>evento impone all’ente l’obbligo della sua segnalazione alla Prefettura-Ufficio territoriale del governo della provincia di appartenenza</w:t>
      </w:r>
      <w:r w:rsidRPr="00515872">
        <w:rPr>
          <w:rFonts w:cs="Tahoma"/>
        </w:rPr>
        <w:t xml:space="preserve"> con preavviso, a</w:t>
      </w:r>
      <w:r w:rsidR="009518AF" w:rsidRPr="00515872">
        <w:rPr>
          <w:rFonts w:cs="Tahoma"/>
        </w:rPr>
        <w:t xml:space="preserve"> norma </w:t>
      </w:r>
      <w:r w:rsidRPr="00515872">
        <w:rPr>
          <w:rFonts w:cs="Tahoma"/>
        </w:rPr>
        <w:t>di legge</w:t>
      </w:r>
      <w:r w:rsidR="009518AF" w:rsidRPr="00515872">
        <w:rPr>
          <w:rFonts w:cs="Tahoma"/>
        </w:rPr>
        <w:t xml:space="preserve">, di almeno 2 mesi sulla data di </w:t>
      </w:r>
      <w:r w:rsidR="00C24086" w:rsidRPr="00515872">
        <w:rPr>
          <w:rFonts w:cs="Tahoma"/>
        </w:rPr>
        <w:t>scadenza</w:t>
      </w:r>
      <w:r w:rsidR="009518AF" w:rsidRPr="00515872">
        <w:rPr>
          <w:rFonts w:cs="Tahoma"/>
        </w:rPr>
        <w:t>.</w:t>
      </w:r>
      <w:r w:rsidRPr="00515872">
        <w:rPr>
          <w:rFonts w:cs="Tahoma"/>
        </w:rPr>
        <w:t xml:space="preserve"> </w:t>
      </w:r>
      <w:r w:rsidR="000803C5" w:rsidRPr="00515872">
        <w:rPr>
          <w:rFonts w:cs="Tahoma"/>
        </w:rPr>
        <w:t xml:space="preserve">Si palesa che, in caso di ritardo nelle procedure di comunicazione ed estrazione del revisore, si applica il regime di </w:t>
      </w:r>
      <w:r w:rsidR="000803C5" w:rsidRPr="00515872">
        <w:rPr>
          <w:rFonts w:cs="Tahoma"/>
          <w:i/>
        </w:rPr>
        <w:t xml:space="preserve">prorogatio </w:t>
      </w:r>
      <w:r w:rsidR="000803C5" w:rsidRPr="00515872">
        <w:rPr>
          <w:rFonts w:cs="Tahoma"/>
        </w:rPr>
        <w:t>previsto dagli artt. 2, 3, c. 1, 4, c. 1, 5, c. 1, e 6 del D.L. 16 maggio 1994, n. 293, convertito, con modificazioni, dalla L. 15</w:t>
      </w:r>
      <w:r w:rsidR="004568D4" w:rsidRPr="00515872">
        <w:rPr>
          <w:rFonts w:cs="Tahoma"/>
        </w:rPr>
        <w:t xml:space="preserve"> luglio 1994, n. 444, secondo i quali</w:t>
      </w:r>
      <w:r w:rsidR="000803C5" w:rsidRPr="00515872">
        <w:rPr>
          <w:rFonts w:cs="Tahoma"/>
        </w:rPr>
        <w:t xml:space="preserve"> il revisore rimane in carica oltre alla data di scadenza per un periodo massimo di 45 giorni, dopodiché l’ente si troverà sprovvisto dell’organo di revisione.</w:t>
      </w:r>
    </w:p>
    <w:p w14:paraId="342349C8" w14:textId="77777777" w:rsidR="00C24086" w:rsidRPr="00515872" w:rsidRDefault="00C24086" w:rsidP="009518AF">
      <w:pPr>
        <w:spacing w:line="360" w:lineRule="auto"/>
        <w:jc w:val="both"/>
        <w:rPr>
          <w:rFonts w:cs="Tahoma"/>
        </w:rPr>
      </w:pPr>
      <w:r w:rsidRPr="00515872">
        <w:rPr>
          <w:rFonts w:cs="Tahoma"/>
        </w:rPr>
        <w:t>Esistono, tuttavia, alcuni eventi che possono provocare una cessazione anticipata dell’incarico di revisione.</w:t>
      </w:r>
    </w:p>
    <w:p w14:paraId="48D25386" w14:textId="77777777" w:rsidR="009518AF" w:rsidRPr="00515872" w:rsidRDefault="009518AF" w:rsidP="009518AF">
      <w:pPr>
        <w:spacing w:after="0" w:line="360" w:lineRule="auto"/>
        <w:jc w:val="both"/>
        <w:rPr>
          <w:rFonts w:cs="Tahoma"/>
          <w:b/>
        </w:rPr>
      </w:pPr>
      <w:r w:rsidRPr="00515872">
        <w:rPr>
          <w:rFonts w:cs="Tahoma"/>
          <w:b/>
        </w:rPr>
        <w:t>Dimissioni del revisore</w:t>
      </w:r>
    </w:p>
    <w:p w14:paraId="47DB1BAA" w14:textId="77777777" w:rsidR="009518AF" w:rsidRPr="00515872" w:rsidRDefault="009518AF" w:rsidP="009518AF">
      <w:pPr>
        <w:spacing w:line="360" w:lineRule="auto"/>
        <w:jc w:val="both"/>
        <w:rPr>
          <w:rFonts w:cs="Tahoma"/>
        </w:rPr>
      </w:pPr>
      <w:r w:rsidRPr="00515872">
        <w:rPr>
          <w:rFonts w:cs="Tahoma"/>
        </w:rPr>
        <w:t>Qualora il revisore per qualunque motivo si trovasse impossibilitato a proseguire l’attività presso un ente, esso può procedere a rassegnare le proprie dimissioni. Queste devono essere indirizzate al consiglio dell’ente</w:t>
      </w:r>
      <w:r w:rsidR="00D64759" w:rsidRPr="00515872">
        <w:rPr>
          <w:rFonts w:cs="Tahoma"/>
        </w:rPr>
        <w:t xml:space="preserve"> con preavviso di almeno 45 giorni</w:t>
      </w:r>
      <w:r w:rsidRPr="00515872">
        <w:rPr>
          <w:rFonts w:cs="Tahoma"/>
        </w:rPr>
        <w:t xml:space="preserve"> e non richiedono, salvo diversa disposizione, accettazione da parte dello stesso. Sebbene non sia prevista normativamente una forma obbligatoria, è opportuno che le dimissioni siano rassegnate per iscritto.</w:t>
      </w:r>
    </w:p>
    <w:p w14:paraId="3BC11662" w14:textId="77777777" w:rsidR="000803C5" w:rsidRPr="00515872" w:rsidRDefault="009518AF" w:rsidP="009518AF">
      <w:pPr>
        <w:spacing w:line="360" w:lineRule="auto"/>
        <w:jc w:val="both"/>
        <w:rPr>
          <w:rFonts w:cs="Tahoma"/>
        </w:rPr>
      </w:pPr>
      <w:r w:rsidRPr="00515872">
        <w:rPr>
          <w:rFonts w:cs="Tahoma"/>
        </w:rPr>
        <w:t>Le dimissioni non hanno effetto immediato</w:t>
      </w:r>
      <w:r w:rsidR="000803C5" w:rsidRPr="00515872">
        <w:rPr>
          <w:rFonts w:cs="Tahoma"/>
        </w:rPr>
        <w:t xml:space="preserve">, dovendosi attendere la nomina del successore, pur nei limiti temporali imposti dal regime di </w:t>
      </w:r>
      <w:r w:rsidRPr="00515872">
        <w:rPr>
          <w:rFonts w:cs="Tahoma"/>
          <w:i/>
        </w:rPr>
        <w:t>prorogatio</w:t>
      </w:r>
      <w:r w:rsidRPr="00515872">
        <w:rPr>
          <w:rFonts w:cs="Tahoma"/>
        </w:rPr>
        <w:t xml:space="preserve"> </w:t>
      </w:r>
      <w:r w:rsidR="00355963" w:rsidRPr="00515872">
        <w:rPr>
          <w:rFonts w:cs="Tahoma"/>
        </w:rPr>
        <w:t>di cui sopra</w:t>
      </w:r>
      <w:r w:rsidR="00773B1D" w:rsidRPr="00515872">
        <w:rPr>
          <w:rStyle w:val="Rimandonotaapidipagina"/>
          <w:rFonts w:cs="Tahoma"/>
        </w:rPr>
        <w:footnoteReference w:id="8"/>
      </w:r>
      <w:r w:rsidR="00355963" w:rsidRPr="00515872">
        <w:rPr>
          <w:rFonts w:cs="Tahoma"/>
        </w:rPr>
        <w:t>.</w:t>
      </w:r>
    </w:p>
    <w:p w14:paraId="79848E55"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Revoca dall’incarico</w:t>
      </w:r>
    </w:p>
    <w:p w14:paraId="6D553FD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 norma dell’art. 235, c. 2 del TUEL, la revoca del revisore può avvenire solo in caso di inadempienza e, in particolare, in caso di mancata presentazione della relazione alla proposta di deliberazione consiliare del rendiconto entro il termine previsto dall’art. 239, c. 1, lett. d) del TUEL (termine stabilito dal regolamento di contabilità dell’ente in misura non inferiore a 20 giorni dalla trasmissione della proposta di deliberazione consiliare del rendiconto da parte dell’esecutivo).</w:t>
      </w:r>
    </w:p>
    <w:p w14:paraId="7A7E5FA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In tema di inadempienza, il TAR Puglia, con sentenza 12 marzo 2014, n. 747, ha sancito che </w:t>
      </w:r>
      <w:r w:rsidRPr="00515872">
        <w:rPr>
          <w:rFonts w:eastAsia="Times New Roman" w:cs="Tahoma"/>
          <w:b/>
          <w:szCs w:val="20"/>
          <w:lang w:eastAsia="it-IT"/>
        </w:rPr>
        <w:t>il mancato o ritardato esercizio delle proprie funzioni può essere considerato, per il revisore, grave inadempienza</w:t>
      </w:r>
      <w:r w:rsidRPr="00515872">
        <w:rPr>
          <w:rFonts w:eastAsia="Times New Roman" w:cs="Tahoma"/>
          <w:szCs w:val="20"/>
          <w:lang w:eastAsia="it-IT"/>
        </w:rPr>
        <w:t xml:space="preserve"> costituente giusta causa di revoca. In casi come questo occorre valutare se sia derivato grave pregiudizio alla gestione economico-finanziaria dell’ente.</w:t>
      </w:r>
    </w:p>
    <w:p w14:paraId="5D29BB4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Competente ad accertare l’inadempienza e </w:t>
      </w:r>
      <w:r w:rsidR="00C24086" w:rsidRPr="00515872">
        <w:rPr>
          <w:rFonts w:eastAsia="Times New Roman" w:cs="Tahoma"/>
          <w:szCs w:val="20"/>
          <w:lang w:eastAsia="it-IT"/>
        </w:rPr>
        <w:t xml:space="preserve">a </w:t>
      </w:r>
      <w:r w:rsidRPr="00515872">
        <w:rPr>
          <w:rFonts w:eastAsia="Times New Roman" w:cs="Tahoma"/>
          <w:szCs w:val="20"/>
          <w:lang w:eastAsia="it-IT"/>
        </w:rPr>
        <w:t xml:space="preserve">deliberare la conseguente revoca del revisore è il consiglio dell’ente. L’atto di revoca, immediatamente esecutivo, può essere impugnato dal revisore revocato davanti agli </w:t>
      </w:r>
      <w:r w:rsidRPr="00515872">
        <w:rPr>
          <w:rFonts w:eastAsia="Times New Roman" w:cs="Tahoma"/>
          <w:szCs w:val="20"/>
          <w:lang w:eastAsia="it-IT"/>
        </w:rPr>
        <w:lastRenderedPageBreak/>
        <w:t>organi di giurisdizione amministrativa. In base a quanto sancito dal TAR Puglia, Sez. II, con sentenza 14 ottobre 2005, n. 4365, il provvedimento di revoca deve sempre essere preceduto dalla comunicazione di avvio del procedimento ex art. 7, L. 241/1990.</w:t>
      </w:r>
    </w:p>
    <w:p w14:paraId="250272A1"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È necessario che l’ente regolamenti la revoca del revisore indicandone le casistiche e le modalità previa contestazione all’interessato.</w:t>
      </w:r>
    </w:p>
    <w:p w14:paraId="69F44A2D"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Cancellazione o sospensione da ordini ed elenchi</w:t>
      </w:r>
    </w:p>
    <w:p w14:paraId="5BCE895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Rappresenta causa di decadenza la cancellazione o sospensione dagli ordini professionali</w:t>
      </w:r>
      <w:r w:rsidR="00440097" w:rsidRPr="00515872">
        <w:rPr>
          <w:rStyle w:val="Rimandonotaapidipagina"/>
          <w:rFonts w:eastAsia="Times New Roman" w:cs="Tahoma"/>
          <w:szCs w:val="20"/>
          <w:lang w:eastAsia="it-IT"/>
        </w:rPr>
        <w:footnoteReference w:id="9"/>
      </w:r>
      <w:r w:rsidRPr="00515872">
        <w:rPr>
          <w:rFonts w:eastAsia="Times New Roman" w:cs="Tahoma"/>
          <w:szCs w:val="20"/>
          <w:lang w:eastAsia="it-IT"/>
        </w:rPr>
        <w:t>. Se l’iscrizione al registro dei revisori contabili o all’albo dei dottori commercialisti ed esperti contabili rappresenta un requisito necessario all’assunzione della carica, il venir meno di questa ne comporta una causa di cessazione.</w:t>
      </w:r>
    </w:p>
    <w:p w14:paraId="1D76FAF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Non costituisce invece causa di cessazione la mancata riconferma nell’elenco dei revisori degli enti locali istituito presso il Ministero degli Interni negli anni successivi </w:t>
      </w:r>
      <w:r w:rsidR="003368D4" w:rsidRPr="00515872">
        <w:rPr>
          <w:rFonts w:eastAsia="Times New Roman" w:cs="Tahoma"/>
          <w:szCs w:val="20"/>
          <w:lang w:eastAsia="it-IT"/>
        </w:rPr>
        <w:t>a quello de</w:t>
      </w:r>
      <w:r w:rsidRPr="00515872">
        <w:rPr>
          <w:rFonts w:eastAsia="Times New Roman" w:cs="Tahoma"/>
          <w:szCs w:val="20"/>
          <w:lang w:eastAsia="it-IT"/>
        </w:rPr>
        <w:t>lla nomina, in quanto trattasi di fatto che non determina una perdita dei requisiti per il mantenimento della carica già assunta, ma solamente una causa di ineleggibilità ad incarichi futuri.</w:t>
      </w:r>
    </w:p>
    <w:p w14:paraId="78877A79" w14:textId="77777777" w:rsidR="009518AF" w:rsidRPr="00515872" w:rsidRDefault="009518AF" w:rsidP="009518AF">
      <w:pPr>
        <w:spacing w:after="0" w:line="360" w:lineRule="auto"/>
        <w:jc w:val="both"/>
        <w:rPr>
          <w:rFonts w:cs="Tahoma"/>
          <w:b/>
          <w:lang w:eastAsia="it-IT"/>
        </w:rPr>
      </w:pPr>
      <w:r w:rsidRPr="00515872">
        <w:rPr>
          <w:rFonts w:eastAsia="Times New Roman" w:cs="Tahoma"/>
          <w:b/>
          <w:szCs w:val="20"/>
          <w:lang w:eastAsia="it-IT"/>
        </w:rPr>
        <w:t>Cause di cessazione automatica</w:t>
      </w:r>
    </w:p>
    <w:p w14:paraId="0072678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L’organo di revisione incorre in causa di decadenza anche nel caso di mancata trasmissione della certificazione sulla verifica del rispetto degli obiettivi di saldo di finanza pubblica </w:t>
      </w:r>
      <w:r w:rsidRPr="00515872">
        <w:rPr>
          <w:rFonts w:eastAsia="Times New Roman" w:cs="Tahoma"/>
          <w:b/>
          <w:szCs w:val="20"/>
          <w:lang w:eastAsia="it-IT"/>
        </w:rPr>
        <w:t xml:space="preserve">in qualità di commissario </w:t>
      </w:r>
      <w:r w:rsidRPr="00515872">
        <w:rPr>
          <w:rFonts w:eastAsia="Times New Roman" w:cs="Tahoma"/>
          <w:b/>
          <w:i/>
          <w:szCs w:val="20"/>
          <w:lang w:eastAsia="it-IT"/>
        </w:rPr>
        <w:t>ad acta</w:t>
      </w:r>
      <w:r w:rsidRPr="00515872">
        <w:rPr>
          <w:rFonts w:eastAsia="Times New Roman" w:cs="Tahoma"/>
          <w:szCs w:val="20"/>
          <w:lang w:eastAsia="it-IT"/>
        </w:rPr>
        <w:t xml:space="preserve">, ai sensi dell’art. 1, c. </w:t>
      </w:r>
      <w:r w:rsidR="00393822" w:rsidRPr="00515872">
        <w:rPr>
          <w:rFonts w:eastAsia="Times New Roman" w:cs="Tahoma"/>
          <w:szCs w:val="20"/>
          <w:lang w:eastAsia="it-IT"/>
        </w:rPr>
        <w:t>471</w:t>
      </w:r>
      <w:r w:rsidRPr="00515872">
        <w:rPr>
          <w:rFonts w:eastAsia="Times New Roman" w:cs="Tahoma"/>
          <w:szCs w:val="20"/>
          <w:lang w:eastAsia="it-IT"/>
        </w:rPr>
        <w:t xml:space="preserve">, L. n. </w:t>
      </w:r>
      <w:r w:rsidR="00393822" w:rsidRPr="00515872">
        <w:rPr>
          <w:rFonts w:eastAsia="Times New Roman" w:cs="Tahoma"/>
          <w:szCs w:val="20"/>
          <w:lang w:eastAsia="it-IT"/>
        </w:rPr>
        <w:t>232</w:t>
      </w:r>
      <w:r w:rsidRPr="00515872">
        <w:rPr>
          <w:rFonts w:eastAsia="Times New Roman" w:cs="Tahoma"/>
          <w:szCs w:val="20"/>
          <w:lang w:eastAsia="it-IT"/>
        </w:rPr>
        <w:t>/201</w:t>
      </w:r>
      <w:r w:rsidR="00393822" w:rsidRPr="00515872">
        <w:rPr>
          <w:rFonts w:eastAsia="Times New Roman" w:cs="Tahoma"/>
          <w:szCs w:val="20"/>
          <w:lang w:eastAsia="it-IT"/>
        </w:rPr>
        <w:t>6</w:t>
      </w:r>
      <w:r w:rsidRPr="00515872">
        <w:rPr>
          <w:rFonts w:eastAsia="Times New Roman" w:cs="Tahoma"/>
          <w:szCs w:val="20"/>
          <w:lang w:eastAsia="it-IT"/>
        </w:rPr>
        <w:t>, cioè quando all’organo di revisione compete l’onere di sostituirsi all’ente nell’invio della suddetta certificazione a causa dell’inerzia di quest’ultimo, decorsi 30 giorni dal termine stabilito per l’approvazione del rendiconto. In questo caso la decadenza è automatica.</w:t>
      </w:r>
      <w:r w:rsidR="00393822" w:rsidRPr="00515872">
        <w:rPr>
          <w:rFonts w:eastAsia="Times New Roman" w:cs="Tahoma"/>
          <w:szCs w:val="20"/>
          <w:lang w:eastAsia="it-IT"/>
        </w:rPr>
        <w:t xml:space="preserve"> La causa di decadenza opera limitatamente agli adempimenti di certi</w:t>
      </w:r>
      <w:r w:rsidR="00C96DA2" w:rsidRPr="00515872">
        <w:rPr>
          <w:rFonts w:eastAsia="Times New Roman" w:cs="Tahoma"/>
          <w:szCs w:val="20"/>
          <w:lang w:eastAsia="it-IT"/>
        </w:rPr>
        <w:t>ficazione per l’esercizio 2018.</w:t>
      </w:r>
    </w:p>
    <w:p w14:paraId="3FF95093" w14:textId="77777777" w:rsidR="009518AF" w:rsidRPr="00515872" w:rsidRDefault="009518AF" w:rsidP="009518AF">
      <w:pPr>
        <w:spacing w:line="360" w:lineRule="auto"/>
        <w:jc w:val="both"/>
        <w:rPr>
          <w:rFonts w:cs="Tahoma"/>
        </w:rPr>
      </w:pPr>
      <w:r w:rsidRPr="00515872">
        <w:rPr>
          <w:rFonts w:cs="Tahoma"/>
        </w:rPr>
        <w:t>La risoluzione di diritto dell’incarico, inoltre, è disposta dall’art .1, c. 715 della L. n. 296/2006 se, nel caso di scioglimento dei consigli comunali e provinciali ai sensi dell’art. 143 del TUEL (commissariamento per fenomeni di infiltrazione mafiosa), l’incarico di revisore non è rinnovato entro 45 giorni dall’insediamento della commissione straordinaria per la gestione dell’ente.</w:t>
      </w:r>
    </w:p>
    <w:p w14:paraId="5A94DE49" w14:textId="77777777" w:rsidR="00C03D30" w:rsidRPr="00515872" w:rsidRDefault="00C03D30" w:rsidP="00297A21">
      <w:pPr>
        <w:pStyle w:val="Paragrafo"/>
        <w:rPr>
          <w:highlight w:val="yellow"/>
        </w:rPr>
      </w:pPr>
      <w:bookmarkStart w:id="33" w:name="_Toc521317050"/>
    </w:p>
    <w:p w14:paraId="1C207562" w14:textId="77777777" w:rsidR="009518AF" w:rsidRPr="00515872" w:rsidRDefault="009518AF" w:rsidP="00297A21">
      <w:pPr>
        <w:pStyle w:val="Paragrafo"/>
      </w:pPr>
      <w:bookmarkStart w:id="34" w:name="_Toc95912223"/>
      <w:r w:rsidRPr="00515872">
        <w:t>2.5 Sostituzione del revisore</w:t>
      </w:r>
      <w:bookmarkEnd w:id="33"/>
      <w:bookmarkEnd w:id="34"/>
    </w:p>
    <w:p w14:paraId="2443E26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cessazione anticipata di un revisore, specie se trattasi di revisore unico, comporta la necessità di una sollecita attivazione dell’ente onde provvedere alla nomina del successore. Infatti, anche nei casi di </w:t>
      </w:r>
      <w:r w:rsidRPr="00515872">
        <w:rPr>
          <w:rFonts w:eastAsia="Times New Roman" w:cs="Tahoma"/>
          <w:szCs w:val="20"/>
          <w:lang w:eastAsia="it-IT"/>
        </w:rPr>
        <w:lastRenderedPageBreak/>
        <w:t xml:space="preserve">applicazione del regime di </w:t>
      </w:r>
      <w:r w:rsidRPr="00515872">
        <w:rPr>
          <w:rFonts w:eastAsia="Times New Roman" w:cs="Tahoma"/>
          <w:i/>
          <w:szCs w:val="20"/>
          <w:lang w:eastAsia="it-IT"/>
        </w:rPr>
        <w:t>prorogatio</w:t>
      </w:r>
      <w:r w:rsidRPr="00515872">
        <w:rPr>
          <w:rFonts w:eastAsia="Times New Roman" w:cs="Tahoma"/>
          <w:szCs w:val="20"/>
          <w:lang w:eastAsia="it-IT"/>
        </w:rPr>
        <w:t>, questo non può protrarsi, per legge, oltre i 45 giorni dall’efficacia della cessazione, dopodiché l’ente può trovarsi potenzialmente privo dell’organo di revisione</w:t>
      </w:r>
      <w:r w:rsidR="00DF6368" w:rsidRPr="00515872">
        <w:rPr>
          <w:rStyle w:val="Rimandonotaapidipagina"/>
          <w:rFonts w:eastAsia="Times New Roman" w:cs="Tahoma"/>
          <w:szCs w:val="20"/>
          <w:lang w:eastAsia="it-IT"/>
        </w:rPr>
        <w:footnoteReference w:id="10"/>
      </w:r>
      <w:r w:rsidRPr="00515872">
        <w:rPr>
          <w:rFonts w:eastAsia="Times New Roman" w:cs="Tahoma"/>
          <w:szCs w:val="20"/>
          <w:lang w:eastAsia="it-IT"/>
        </w:rPr>
        <w:t>.</w:t>
      </w:r>
    </w:p>
    <w:p w14:paraId="5B5267C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mancanza dell’organo di revisione può immobilizzare </w:t>
      </w:r>
      <w:r w:rsidR="006776C8" w:rsidRPr="00515872">
        <w:rPr>
          <w:rFonts w:eastAsia="Times New Roman" w:cs="Tahoma"/>
          <w:szCs w:val="20"/>
          <w:lang w:eastAsia="it-IT"/>
        </w:rPr>
        <w:t>l’attività del</w:t>
      </w:r>
      <w:r w:rsidRPr="00515872">
        <w:rPr>
          <w:rFonts w:eastAsia="Times New Roman" w:cs="Tahoma"/>
          <w:szCs w:val="20"/>
          <w:lang w:eastAsia="it-IT"/>
        </w:rPr>
        <w:t>l’ente nella misura in cui i suoi pareri siano obbligatoriamente previsti sulle decisioni del consiglio o su altri atti, impedendo così il regolare svolgimento delle funzioni amministrative.</w:t>
      </w:r>
    </w:p>
    <w:p w14:paraId="03644AF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Come già ricordato, in caso di cessazione di un revisore durante la carica per qualsiasi motivo, non è possibile ricorrere ai revisori “di riserva” sorteggiati nell’ambito del procedimento di estrazione del revisore dimissionario, in quanto gli effetti del loro sorteggio decadono nel momento dell’accettazione della carica da parte di uno di essi, secondo le regole già esposte. Non è prevista, peraltro, la nomina di revisori supplenti. Va da sé, quindi, che la decadenza del revisore, o di uno dei membri del collegio dei revisori, comporta la necessità di ripercorrere la procedura di nomina a mezzo </w:t>
      </w:r>
      <w:r w:rsidR="002840D0" w:rsidRPr="00515872">
        <w:rPr>
          <w:rFonts w:eastAsia="Times New Roman" w:cs="Tahoma"/>
          <w:szCs w:val="20"/>
          <w:lang w:eastAsia="it-IT"/>
        </w:rPr>
        <w:t>di nuovo</w:t>
      </w:r>
      <w:r w:rsidRPr="00515872">
        <w:rPr>
          <w:rFonts w:eastAsia="Times New Roman" w:cs="Tahoma"/>
          <w:szCs w:val="20"/>
          <w:lang w:eastAsia="it-IT"/>
        </w:rPr>
        <w:t xml:space="preserve"> sorteggio. L’ente deve, in questi casi, dare sollecita informazione della necessità di provvedere alla sostituzione alla Prefettura di riferimento, la quale deve procedere all’estrazione dei consueti 3 nominativi per ciascun revisore cessato, cui seguono le ordinarie procedure applicabili per la nomina del revisore.</w:t>
      </w:r>
    </w:p>
    <w:p w14:paraId="399D6B88" w14:textId="77777777" w:rsidR="00336045" w:rsidRPr="00515872" w:rsidRDefault="00336045"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In caso di necessità di sostituzione del </w:t>
      </w:r>
      <w:r w:rsidR="00B173BB" w:rsidRPr="00515872">
        <w:rPr>
          <w:rFonts w:eastAsia="Times New Roman" w:cs="Tahoma"/>
          <w:szCs w:val="20"/>
          <w:lang w:eastAsia="it-IT"/>
        </w:rPr>
        <w:t>presidente</w:t>
      </w:r>
      <w:r w:rsidRPr="00515872">
        <w:rPr>
          <w:rFonts w:eastAsia="Times New Roman" w:cs="Tahoma"/>
          <w:szCs w:val="20"/>
          <w:lang w:eastAsia="it-IT"/>
        </w:rPr>
        <w:t xml:space="preserve"> del collegio dei revisori si procederà alla nomina diretta da parte del consiglio comunale, secondo le modalità già evidenziate.</w:t>
      </w:r>
    </w:p>
    <w:p w14:paraId="67330CE8" w14:textId="77777777" w:rsidR="001672F9" w:rsidRPr="00515872" w:rsidRDefault="001672F9" w:rsidP="00297A21">
      <w:pPr>
        <w:pStyle w:val="Paragrafo"/>
      </w:pPr>
      <w:bookmarkStart w:id="35" w:name="_Toc521317051"/>
    </w:p>
    <w:p w14:paraId="2C830B94" w14:textId="77777777" w:rsidR="009518AF" w:rsidRPr="00515872" w:rsidRDefault="009518AF" w:rsidP="00297A21">
      <w:pPr>
        <w:pStyle w:val="Paragrafo"/>
      </w:pPr>
      <w:bookmarkStart w:id="36" w:name="_Toc95912224"/>
      <w:r w:rsidRPr="00515872">
        <w:t>2.6 Remunerazione del revisore</w:t>
      </w:r>
      <w:bookmarkEnd w:id="35"/>
      <w:bookmarkEnd w:id="36"/>
    </w:p>
    <w:p w14:paraId="3A600ACD" w14:textId="77777777" w:rsidR="009518AF" w:rsidRPr="00515872" w:rsidRDefault="009518AF" w:rsidP="009518AF">
      <w:pPr>
        <w:pStyle w:val="Sottoparagrafo"/>
        <w:rPr>
          <w:rFonts w:cs="Tahoma"/>
        </w:rPr>
      </w:pPr>
      <w:bookmarkStart w:id="37" w:name="_Toc521317052"/>
      <w:bookmarkStart w:id="38" w:name="_Toc95912225"/>
      <w:r w:rsidRPr="00515872">
        <w:rPr>
          <w:rFonts w:cs="Tahoma"/>
        </w:rPr>
        <w:t>2.6.1 Compenso</w:t>
      </w:r>
      <w:bookmarkEnd w:id="37"/>
      <w:bookmarkEnd w:id="38"/>
    </w:p>
    <w:p w14:paraId="118B32BE" w14:textId="77777777" w:rsidR="009518AF" w:rsidRPr="00515872" w:rsidRDefault="009518AF" w:rsidP="009518AF">
      <w:pPr>
        <w:spacing w:after="0" w:line="360" w:lineRule="auto"/>
        <w:jc w:val="both"/>
        <w:rPr>
          <w:rFonts w:cs="Tahoma"/>
          <w:b/>
        </w:rPr>
      </w:pPr>
      <w:r w:rsidRPr="00515872">
        <w:rPr>
          <w:rFonts w:cs="Tahoma"/>
          <w:b/>
        </w:rPr>
        <w:t>Compenso base</w:t>
      </w:r>
    </w:p>
    <w:p w14:paraId="24265574" w14:textId="77777777" w:rsidR="009518AF" w:rsidRPr="00515872" w:rsidRDefault="009518AF" w:rsidP="009518AF">
      <w:pPr>
        <w:spacing w:line="360" w:lineRule="auto"/>
        <w:jc w:val="both"/>
        <w:rPr>
          <w:rFonts w:cs="Tahoma"/>
        </w:rPr>
      </w:pPr>
      <w:r w:rsidRPr="00515872">
        <w:rPr>
          <w:rFonts w:cs="Tahoma"/>
        </w:rPr>
        <w:t xml:space="preserve">Occorre precisare, per cominciare, che non vi è alcun obbligo, per l’ente, di corrispondere un compenso al revisore per l’attività svolta. L’art. 241 del TUEL, infatti, prevede che il compenso dei revisori sia fissato con Decreto del Ministero dell’Interno, di concerto con il Ministero del Tesoro, del Bilancio e della Programmazione economica, che ne stabilisce unicamente il limite massimo e </w:t>
      </w:r>
      <w:r w:rsidR="006776C8" w:rsidRPr="00515872">
        <w:rPr>
          <w:rFonts w:cs="Tahoma"/>
        </w:rPr>
        <w:t xml:space="preserve">che </w:t>
      </w:r>
      <w:r w:rsidRPr="00515872">
        <w:rPr>
          <w:rFonts w:cs="Tahoma"/>
        </w:rPr>
        <w:t>viene aggiornato (o</w:t>
      </w:r>
      <w:r w:rsidR="00E80483" w:rsidRPr="00515872">
        <w:rPr>
          <w:rFonts w:cs="Tahoma"/>
        </w:rPr>
        <w:t>, per meglio dire,</w:t>
      </w:r>
      <w:r w:rsidRPr="00515872">
        <w:rPr>
          <w:rFonts w:cs="Tahoma"/>
        </w:rPr>
        <w:t xml:space="preserve"> </w:t>
      </w:r>
      <w:r w:rsidRPr="00515872">
        <w:rPr>
          <w:rFonts w:cs="Tahoma"/>
          <w:b/>
        </w:rPr>
        <w:t>dovrebbe</w:t>
      </w:r>
      <w:r w:rsidRPr="00515872">
        <w:rPr>
          <w:rFonts w:cs="Tahoma"/>
        </w:rPr>
        <w:t xml:space="preserve"> essere aggiornato) </w:t>
      </w:r>
      <w:r w:rsidR="00737CE8" w:rsidRPr="00515872">
        <w:rPr>
          <w:rFonts w:cs="Tahoma"/>
        </w:rPr>
        <w:t>con cadenza t</w:t>
      </w:r>
      <w:r w:rsidRPr="00515872">
        <w:rPr>
          <w:rFonts w:cs="Tahoma"/>
        </w:rPr>
        <w:t>riennale. La norma, evidentemente orientata al contenimento della spesa pubblica, trascura qualsiasi riferimento al compenso minimo che potrebbe, pertanto, tendere a zero.</w:t>
      </w:r>
    </w:p>
    <w:p w14:paraId="6DA8FFFB" w14:textId="77777777" w:rsidR="009518AF" w:rsidRPr="00515872" w:rsidRDefault="009518AF" w:rsidP="009518AF">
      <w:pPr>
        <w:spacing w:line="360" w:lineRule="auto"/>
        <w:jc w:val="both"/>
        <w:rPr>
          <w:rFonts w:cs="Tahoma"/>
        </w:rPr>
      </w:pPr>
      <w:r w:rsidRPr="00515872">
        <w:rPr>
          <w:rFonts w:cs="Tahoma"/>
        </w:rPr>
        <w:lastRenderedPageBreak/>
        <w:t>Deputato a stabilire il compenso effettivo, nel rispetto dei limiti sopra evidenziati, è il consiglio dell’ente, che vi provvede con la stessa delibera di nomina. Da qui, richiamato l’iter di nomina già esposto, risulta evidente come il revisore venga a conoscenza (almeno in via ufficiale) dell’ammontare della propria remunerazione solo a seguito dell’accettazione dell’incarico, con grave pregiudizio delle proprie capacità di valutazione dell’opportunità di accettazione o meno dell’incarico</w:t>
      </w:r>
      <w:r w:rsidR="00E80483" w:rsidRPr="00515872">
        <w:rPr>
          <w:rFonts w:cs="Tahoma"/>
        </w:rPr>
        <w:t xml:space="preserve"> e fermo restando che, anche in caso di rinuncia immediata all’incarico (di fatto, si tratterebbe di una cessazione anticipata), la stessa non avrebbe effetto se non a seguito della nomina del revisore subentrante e, comunque, n</w:t>
      </w:r>
      <w:r w:rsidR="00F521DE" w:rsidRPr="00515872">
        <w:rPr>
          <w:rFonts w:cs="Tahoma"/>
        </w:rPr>
        <w:t xml:space="preserve">el termine massimo </w:t>
      </w:r>
      <w:r w:rsidR="00E80483" w:rsidRPr="00515872">
        <w:rPr>
          <w:rFonts w:cs="Tahoma"/>
        </w:rPr>
        <w:t xml:space="preserve">di </w:t>
      </w:r>
      <w:r w:rsidR="00E80483" w:rsidRPr="00515872">
        <w:rPr>
          <w:rFonts w:cs="Tahoma"/>
          <w:i/>
        </w:rPr>
        <w:t>prorogatio</w:t>
      </w:r>
      <w:r w:rsidR="00E80483" w:rsidRPr="00515872">
        <w:rPr>
          <w:rFonts w:cs="Tahoma"/>
        </w:rPr>
        <w:t xml:space="preserve"> di 4</w:t>
      </w:r>
      <w:r w:rsidR="00F521DE" w:rsidRPr="00515872">
        <w:rPr>
          <w:rFonts w:cs="Tahoma"/>
        </w:rPr>
        <w:t>5 giorni</w:t>
      </w:r>
      <w:r w:rsidRPr="00515872">
        <w:rPr>
          <w:rFonts w:cs="Tahoma"/>
        </w:rPr>
        <w:t>.</w:t>
      </w:r>
    </w:p>
    <w:p w14:paraId="07712CE9" w14:textId="77777777" w:rsidR="00BE2D65" w:rsidRPr="00515872" w:rsidRDefault="009518AF" w:rsidP="009518AF">
      <w:pPr>
        <w:spacing w:line="360" w:lineRule="auto"/>
        <w:jc w:val="both"/>
        <w:rPr>
          <w:rFonts w:cs="Tahoma"/>
        </w:rPr>
      </w:pPr>
      <w:r w:rsidRPr="00515872">
        <w:rPr>
          <w:rFonts w:cs="Tahoma"/>
        </w:rPr>
        <w:t>A dispetto del previsto aggiornamento triennale dei limi</w:t>
      </w:r>
      <w:r w:rsidR="00F521DE" w:rsidRPr="00515872">
        <w:rPr>
          <w:rFonts w:cs="Tahoma"/>
        </w:rPr>
        <w:t>ti massimi dei compensi stabilito</w:t>
      </w:r>
      <w:r w:rsidRPr="00515872">
        <w:rPr>
          <w:rFonts w:cs="Tahoma"/>
        </w:rPr>
        <w:t xml:space="preserve"> dal citato art. 241</w:t>
      </w:r>
      <w:r w:rsidR="00BE2D65" w:rsidRPr="00515872">
        <w:rPr>
          <w:rFonts w:cs="Tahoma"/>
        </w:rPr>
        <w:t>,</w:t>
      </w:r>
      <w:r w:rsidR="00E80483" w:rsidRPr="00515872">
        <w:rPr>
          <w:rFonts w:cs="Tahoma"/>
        </w:rPr>
        <w:t xml:space="preserve"> a decorrere dall</w:t>
      </w:r>
      <w:r w:rsidRPr="00515872">
        <w:rPr>
          <w:rFonts w:cs="Tahoma"/>
        </w:rPr>
        <w:t>’</w:t>
      </w:r>
      <w:r w:rsidR="00E80483" w:rsidRPr="00515872">
        <w:rPr>
          <w:rFonts w:cs="Tahoma"/>
        </w:rPr>
        <w:t xml:space="preserve">aggiornamento disposto con decreto del Ministero dell’interno del 20 maggio 2005, si è registrata </w:t>
      </w:r>
      <w:r w:rsidR="00F521DE" w:rsidRPr="00515872">
        <w:rPr>
          <w:rFonts w:cs="Tahoma"/>
        </w:rPr>
        <w:t>un</w:t>
      </w:r>
      <w:r w:rsidR="00E80483" w:rsidRPr="00515872">
        <w:rPr>
          <w:rFonts w:cs="Tahoma"/>
        </w:rPr>
        <w:t xml:space="preserve">a totale trascuratezza da parte degli organi competenti interrotta, finalmente, con </w:t>
      </w:r>
      <w:r w:rsidR="00F521DE" w:rsidRPr="00515872">
        <w:rPr>
          <w:rFonts w:cs="Tahoma"/>
        </w:rPr>
        <w:t>l’emanazione de</w:t>
      </w:r>
      <w:r w:rsidR="00E80483" w:rsidRPr="00515872">
        <w:rPr>
          <w:rFonts w:cs="Tahoma"/>
        </w:rPr>
        <w:t xml:space="preserve">l decreto </w:t>
      </w:r>
      <w:r w:rsidR="00BE2D65" w:rsidRPr="00515872">
        <w:rPr>
          <w:rFonts w:cs="Tahoma"/>
        </w:rPr>
        <w:t>del Ministero dell’interno del 21 dicembre 2018</w:t>
      </w:r>
      <w:r w:rsidR="00E20F4D" w:rsidRPr="00515872">
        <w:rPr>
          <w:rFonts w:cs="Tahoma"/>
        </w:rPr>
        <w:t xml:space="preserve"> (il cui triennio di validità sarebbe peraltro </w:t>
      </w:r>
      <w:r w:rsidR="00EC6389" w:rsidRPr="00515872">
        <w:rPr>
          <w:rFonts w:cs="Tahoma"/>
        </w:rPr>
        <w:t xml:space="preserve">ormai </w:t>
      </w:r>
      <w:r w:rsidR="00E20F4D" w:rsidRPr="00515872">
        <w:rPr>
          <w:rFonts w:cs="Tahoma"/>
        </w:rPr>
        <w:t>scaduto…)</w:t>
      </w:r>
      <w:r w:rsidRPr="00515872">
        <w:rPr>
          <w:rStyle w:val="Rimandonotaapidipagina"/>
          <w:rFonts w:cs="Tahoma"/>
        </w:rPr>
        <w:footnoteReference w:id="11"/>
      </w:r>
      <w:r w:rsidR="00BE2D65" w:rsidRPr="00515872">
        <w:rPr>
          <w:rFonts w:cs="Tahoma"/>
        </w:rPr>
        <w:t>.</w:t>
      </w:r>
    </w:p>
    <w:p w14:paraId="1BD48957" w14:textId="77777777" w:rsidR="009518AF" w:rsidRPr="00515872" w:rsidRDefault="009518AF" w:rsidP="009518AF">
      <w:pPr>
        <w:spacing w:line="360" w:lineRule="auto"/>
        <w:jc w:val="both"/>
        <w:rPr>
          <w:rFonts w:cs="Tahoma"/>
          <w:szCs w:val="20"/>
        </w:rPr>
      </w:pPr>
      <w:r w:rsidRPr="00515872">
        <w:rPr>
          <w:rFonts w:cs="Tahoma"/>
        </w:rPr>
        <w:t>Il compenso</w:t>
      </w:r>
      <w:r w:rsidR="00BE2D65" w:rsidRPr="00515872">
        <w:rPr>
          <w:rFonts w:cs="Tahoma"/>
        </w:rPr>
        <w:t>, il cui limite massimo è stratificato in funzione della fascia di popolazione residente nell’ente soggetto a controllo,</w:t>
      </w:r>
      <w:r w:rsidR="00E20F4D" w:rsidRPr="00515872">
        <w:rPr>
          <w:rFonts w:cs="Tahoma"/>
        </w:rPr>
        <w:t xml:space="preserve"> è determinato avendo</w:t>
      </w:r>
      <w:r w:rsidRPr="00515872">
        <w:rPr>
          <w:rFonts w:cs="Tahoma"/>
        </w:rPr>
        <w:t xml:space="preserve"> ri</w:t>
      </w:r>
      <w:r w:rsidR="00BE2D65" w:rsidRPr="00515872">
        <w:rPr>
          <w:rFonts w:cs="Tahoma"/>
        </w:rPr>
        <w:t>guardo all</w:t>
      </w:r>
      <w:r w:rsidRPr="00515872">
        <w:rPr>
          <w:rFonts w:cs="Tahoma"/>
        </w:rPr>
        <w:t>a popolazione residente alla fine del penultimo anno precedente. Per le comunità montane si fa riferimento al comune totalmente montano più popoloso compreso nella comunità. Similmente, per le unioni di comuni</w:t>
      </w:r>
      <w:r w:rsidR="00C00D6B" w:rsidRPr="00515872">
        <w:rPr>
          <w:rFonts w:cs="Tahoma"/>
        </w:rPr>
        <w:t>,</w:t>
      </w:r>
      <w:r w:rsidRPr="00515872">
        <w:rPr>
          <w:rFonts w:cs="Tahoma"/>
        </w:rPr>
        <w:t xml:space="preserve"> </w:t>
      </w:r>
      <w:r w:rsidR="00F521DE" w:rsidRPr="00515872">
        <w:rPr>
          <w:rFonts w:cs="Tahoma"/>
        </w:rPr>
        <w:t xml:space="preserve">il </w:t>
      </w:r>
      <w:r w:rsidRPr="00515872">
        <w:rPr>
          <w:rFonts w:cs="Tahoma"/>
        </w:rPr>
        <w:t xml:space="preserve">riferimento </w:t>
      </w:r>
      <w:r w:rsidR="00F521DE" w:rsidRPr="00515872">
        <w:rPr>
          <w:rFonts w:cs="Tahoma"/>
        </w:rPr>
        <w:t xml:space="preserve">è posto </w:t>
      </w:r>
      <w:r w:rsidRPr="00515872">
        <w:rPr>
          <w:rFonts w:cs="Tahoma"/>
        </w:rPr>
        <w:t>al comune più popoloso, mentre, per le città metr</w:t>
      </w:r>
      <w:r w:rsidRPr="00515872">
        <w:rPr>
          <w:rFonts w:cs="Tahoma"/>
          <w:szCs w:val="20"/>
        </w:rPr>
        <w:t xml:space="preserve">opolitane, </w:t>
      </w:r>
      <w:r w:rsidR="00F521DE" w:rsidRPr="00515872">
        <w:rPr>
          <w:rFonts w:cs="Tahoma"/>
          <w:szCs w:val="20"/>
        </w:rPr>
        <w:t>a</w:t>
      </w:r>
      <w:r w:rsidRPr="00515872">
        <w:rPr>
          <w:rFonts w:cs="Tahoma"/>
          <w:szCs w:val="20"/>
        </w:rPr>
        <w:t>l comune capoluogo.</w:t>
      </w:r>
    </w:p>
    <w:p w14:paraId="43A585E7" w14:textId="461B7B38" w:rsidR="005D3016" w:rsidRPr="00515872" w:rsidRDefault="00036646" w:rsidP="00E9112B">
      <w:pPr>
        <w:spacing w:line="360" w:lineRule="auto"/>
        <w:jc w:val="both"/>
        <w:rPr>
          <w:rFonts w:cs="Tahoma"/>
          <w:bCs/>
        </w:rPr>
      </w:pPr>
      <w:r w:rsidRPr="00515872">
        <w:rPr>
          <w:rFonts w:cs="Tahoma"/>
          <w:bCs/>
        </w:rPr>
        <w:t>Si è già osservato come nessuna disposizione stabilisca un limite minimo al compenso dei revisori, lasciando al consiglio una apparente discrezionalità sulla sua determinazione al ribasso rispetto ai parametri massimi.</w:t>
      </w:r>
      <w:r w:rsidR="00E97444" w:rsidRPr="00515872">
        <w:rPr>
          <w:rFonts w:cs="Tahoma"/>
          <w:bCs/>
        </w:rPr>
        <w:t xml:space="preserve"> Si tratta, evidentemente, di un retaggio</w:t>
      </w:r>
      <w:r w:rsidR="00C00D6B" w:rsidRPr="00515872">
        <w:rPr>
          <w:rFonts w:cs="Tahoma"/>
          <w:bCs/>
        </w:rPr>
        <w:t xml:space="preserve"> del vecchio sistema di nomina,</w:t>
      </w:r>
      <w:r w:rsidR="00E97444" w:rsidRPr="00515872">
        <w:rPr>
          <w:rFonts w:cs="Tahoma"/>
          <w:bCs/>
        </w:rPr>
        <w:t xml:space="preserve"> nella misura in cui l’esigenza primaria della norma </w:t>
      </w:r>
      <w:r w:rsidR="00F521DE" w:rsidRPr="00515872">
        <w:rPr>
          <w:rFonts w:cs="Tahoma"/>
          <w:bCs/>
        </w:rPr>
        <w:t xml:space="preserve">che ha stabilito i limiti massimi </w:t>
      </w:r>
      <w:r w:rsidR="00E97444" w:rsidRPr="00515872">
        <w:rPr>
          <w:rFonts w:cs="Tahoma"/>
          <w:bCs/>
        </w:rPr>
        <w:t xml:space="preserve">era quella di porre un freno alla tendenza dell’ente alla fissazione di compensi eccessivamente onerosi </w:t>
      </w:r>
      <w:r w:rsidR="00F521DE" w:rsidRPr="00515872">
        <w:rPr>
          <w:rFonts w:cs="Tahoma"/>
          <w:bCs/>
        </w:rPr>
        <w:t>a</w:t>
      </w:r>
      <w:r w:rsidR="00E97444" w:rsidRPr="00515872">
        <w:rPr>
          <w:rFonts w:cs="Tahoma"/>
          <w:bCs/>
        </w:rPr>
        <w:t xml:space="preserve"> soggetti di propria nomina, senza alcun riguardo a considerazioni inerenti </w:t>
      </w:r>
      <w:r w:rsidR="00F61E9D" w:rsidRPr="00515872">
        <w:rPr>
          <w:rFonts w:cs="Tahoma"/>
          <w:bCs/>
        </w:rPr>
        <w:t>al</w:t>
      </w:r>
      <w:r w:rsidR="00E97444" w:rsidRPr="00515872">
        <w:rPr>
          <w:rFonts w:cs="Tahoma"/>
          <w:bCs/>
        </w:rPr>
        <w:t xml:space="preserve"> diritto del revisore ad una remunerazione coerente con la propria professionalità e le proprie responsabilità</w:t>
      </w:r>
      <w:r w:rsidR="00012E82" w:rsidRPr="00515872">
        <w:rPr>
          <w:rFonts w:cs="Tahoma"/>
          <w:bCs/>
        </w:rPr>
        <w:t>.</w:t>
      </w:r>
    </w:p>
    <w:p w14:paraId="400ECAB5" w14:textId="77777777" w:rsidR="00E9112B" w:rsidRPr="00515872" w:rsidRDefault="00036646" w:rsidP="00E9112B">
      <w:pPr>
        <w:spacing w:line="360" w:lineRule="auto"/>
        <w:jc w:val="both"/>
        <w:rPr>
          <w:rFonts w:cs="Tahoma"/>
          <w:bCs/>
        </w:rPr>
      </w:pPr>
      <w:r w:rsidRPr="00515872">
        <w:rPr>
          <w:rFonts w:cs="Tahoma"/>
          <w:bCs/>
        </w:rPr>
        <w:t>Sul tema di tale libertà discrezionale si segnala l’atto di orientamento dell’Osservatorio sulla finanza e la contabilità degli Enti Locali del 13 luglio 2017, nel quale, nell’evidenziare la lacuna legislativa consistente nell’assenza del limite minimo e la contestuale inopportunità dello spazio discrezionale lasciato al procedimento di determinazione del compenso, afferma c</w:t>
      </w:r>
      <w:r w:rsidR="00E9112B" w:rsidRPr="00515872">
        <w:rPr>
          <w:rFonts w:cs="Tahoma"/>
          <w:bCs/>
        </w:rPr>
        <w:t>he</w:t>
      </w:r>
      <w:r w:rsidRPr="00515872">
        <w:rPr>
          <w:rFonts w:cs="Tahoma"/>
          <w:bCs/>
        </w:rPr>
        <w:t xml:space="preserve"> la delibera di un compenso al di sotto dei limiti massimi fissati dal decreto </w:t>
      </w:r>
      <w:r w:rsidRPr="00515872">
        <w:rPr>
          <w:rFonts w:cs="Tahoma"/>
          <w:b/>
          <w:bCs/>
        </w:rPr>
        <w:t>de</w:t>
      </w:r>
      <w:r w:rsidR="00E9112B" w:rsidRPr="00515872">
        <w:rPr>
          <w:rFonts w:cs="Tahoma"/>
          <w:b/>
          <w:bCs/>
        </w:rPr>
        <w:t>ve</w:t>
      </w:r>
      <w:r w:rsidRPr="00515872">
        <w:rPr>
          <w:rFonts w:cs="Tahoma"/>
          <w:b/>
          <w:bCs/>
        </w:rPr>
        <w:t xml:space="preserve"> intendersi come eccezionale</w:t>
      </w:r>
      <w:r w:rsidRPr="00515872">
        <w:rPr>
          <w:rFonts w:cs="Tahoma"/>
          <w:bCs/>
        </w:rPr>
        <w:t xml:space="preserve"> e basata su rigorosi ed oggettivi criteri di ragionevolezza sotto il profilo dell’adeguata motivazione dell’atto e, comunque, </w:t>
      </w:r>
      <w:r w:rsidRPr="00515872">
        <w:rPr>
          <w:rFonts w:cs="Tahoma"/>
          <w:b/>
          <w:bCs/>
        </w:rPr>
        <w:t>nei limiti minimi del compenso previsto per la classe demografica inferiore</w:t>
      </w:r>
      <w:r w:rsidRPr="00515872">
        <w:rPr>
          <w:rFonts w:cs="Tahoma"/>
          <w:bCs/>
        </w:rPr>
        <w:t>. L’osservatorio sottolinea come il riconoscimento del giusto livello remunerativo sia connesso all’interesse dell’ente ad una prestazione qualificata.</w:t>
      </w:r>
    </w:p>
    <w:p w14:paraId="128348CA" w14:textId="77777777" w:rsidR="00E9112B" w:rsidRPr="00515872" w:rsidRDefault="0013795E" w:rsidP="00E9112B">
      <w:pPr>
        <w:spacing w:line="360" w:lineRule="auto"/>
        <w:jc w:val="both"/>
        <w:rPr>
          <w:rFonts w:cs="Tahoma"/>
          <w:bCs/>
        </w:rPr>
      </w:pPr>
      <w:r w:rsidRPr="00515872">
        <w:rPr>
          <w:rFonts w:cs="Tahoma"/>
          <w:sz w:val="18"/>
          <w:szCs w:val="18"/>
        </w:rPr>
        <w:lastRenderedPageBreak/>
        <w:t>Per contro, la Corte dei C</w:t>
      </w:r>
      <w:r w:rsidR="00E9112B" w:rsidRPr="00515872">
        <w:rPr>
          <w:rFonts w:cs="Tahoma"/>
          <w:sz w:val="18"/>
          <w:szCs w:val="18"/>
        </w:rPr>
        <w:t>o</w:t>
      </w:r>
      <w:r w:rsidR="0099109F" w:rsidRPr="00515872">
        <w:rPr>
          <w:rFonts w:cs="Tahoma"/>
          <w:sz w:val="18"/>
          <w:szCs w:val="18"/>
        </w:rPr>
        <w:t>nti, Sezione delle Autonomie</w:t>
      </w:r>
      <w:r w:rsidR="00E9112B" w:rsidRPr="00515872">
        <w:rPr>
          <w:rFonts w:cs="Tahoma"/>
          <w:sz w:val="18"/>
          <w:szCs w:val="18"/>
        </w:rPr>
        <w:t>, nella deliberazione n.16/SEZAUT/2017/QMIG ha sancito che l’individuazione di limiti minimi del compenso dei revisori non può competere alla magistratura contabile nell’esercizio della funzione consultiva ma spetta esclusivamente al legislatore.</w:t>
      </w:r>
    </w:p>
    <w:p w14:paraId="518C285A" w14:textId="77777777" w:rsidR="00E9112B" w:rsidRPr="00515872" w:rsidRDefault="00E9112B" w:rsidP="00E9112B">
      <w:pPr>
        <w:spacing w:line="360" w:lineRule="auto"/>
        <w:jc w:val="both"/>
        <w:rPr>
          <w:rFonts w:cs="Tahoma"/>
          <w:bCs/>
        </w:rPr>
      </w:pPr>
      <w:r w:rsidRPr="00515872">
        <w:rPr>
          <w:rFonts w:cs="Tahoma"/>
          <w:sz w:val="18"/>
          <w:szCs w:val="18"/>
        </w:rPr>
        <w:t>L’Osservatorio ha ulteriormente evidenziato il fatto che sia l’art. 241 del TUEL sia il D.M. 20 maggio 2005 non indicano alcun criterio per stabilire il limite minimo del compenso e che quindi, pur in assenza di una espressa previsione normativa, si rende necessario tutelare l’interesse dell’ente ad una prestazione qualificata, e quello dei revisori ad un compenso adeguato alla propria professionalità.</w:t>
      </w:r>
    </w:p>
    <w:p w14:paraId="08F4DCAA" w14:textId="77777777" w:rsidR="001672F9" w:rsidRPr="00515872" w:rsidRDefault="00036646" w:rsidP="00277513">
      <w:pPr>
        <w:spacing w:line="360" w:lineRule="auto"/>
        <w:jc w:val="both"/>
        <w:rPr>
          <w:rFonts w:cs="Tahoma"/>
          <w:bCs/>
        </w:rPr>
      </w:pPr>
      <w:r w:rsidRPr="00515872">
        <w:rPr>
          <w:rFonts w:cs="Tahoma"/>
          <w:bCs/>
        </w:rPr>
        <w:t xml:space="preserve">L’orientamento dell’osservatorio, tuttavia non vincolante, </w:t>
      </w:r>
      <w:r w:rsidR="00E9112B" w:rsidRPr="00515872">
        <w:rPr>
          <w:rFonts w:cs="Tahoma"/>
          <w:bCs/>
        </w:rPr>
        <w:t xml:space="preserve">benché ispirato a principi di buon senso, </w:t>
      </w:r>
      <w:r w:rsidRPr="00515872">
        <w:rPr>
          <w:rFonts w:cs="Tahoma"/>
          <w:bCs/>
        </w:rPr>
        <w:t>sembra essere spesso disatteso da parte degli enti, soprattutto di maggiori dimensioni.</w:t>
      </w:r>
    </w:p>
    <w:p w14:paraId="34C222AD" w14:textId="77777777" w:rsidR="00CC3DE9" w:rsidRPr="00515872" w:rsidRDefault="00CC3DE9" w:rsidP="00277513">
      <w:pPr>
        <w:spacing w:line="360" w:lineRule="auto"/>
        <w:jc w:val="both"/>
        <w:rPr>
          <w:rFonts w:cs="Tahoma"/>
          <w:bCs/>
        </w:rPr>
      </w:pPr>
      <w:r w:rsidRPr="00515872">
        <w:rPr>
          <w:rFonts w:cs="Tahoma"/>
          <w:bCs/>
        </w:rPr>
        <w:t xml:space="preserve">In relazione alla problematica della congruità del compenso, rilevata la presenza di episodi considerati “deprecabili” con fissazione dello stesso in misura ampiamente inferiore al minimo come proposto dall’Osservatorio, in un documento del febbraio 2021 il Consiglio Nazionale invita i colleghi a riflettere sul fatto che l’accettazione di compensi manifestamente inadeguati ed iniqui confligge con interessi di rango costituzionale e rischia di minare la qualità della prestazione professionale. </w:t>
      </w:r>
      <w:r w:rsidR="00596C2E" w:rsidRPr="00515872">
        <w:rPr>
          <w:rFonts w:cs="Tahoma"/>
          <w:bCs/>
        </w:rPr>
        <w:t>Conclude e</w:t>
      </w:r>
      <w:r w:rsidRPr="00515872">
        <w:rPr>
          <w:rFonts w:cs="Tahoma"/>
          <w:bCs/>
        </w:rPr>
        <w:t>sorta</w:t>
      </w:r>
      <w:r w:rsidR="00596C2E" w:rsidRPr="00515872">
        <w:rPr>
          <w:rFonts w:cs="Tahoma"/>
          <w:bCs/>
        </w:rPr>
        <w:t>ndo</w:t>
      </w:r>
      <w:r w:rsidRPr="00515872">
        <w:rPr>
          <w:rFonts w:cs="Tahoma"/>
          <w:bCs/>
        </w:rPr>
        <w:t xml:space="preserve"> </w:t>
      </w:r>
      <w:r w:rsidR="00E448D4" w:rsidRPr="00515872">
        <w:rPr>
          <w:rFonts w:cs="Tahoma"/>
          <w:bCs/>
        </w:rPr>
        <w:t>i professionisti</w:t>
      </w:r>
      <w:r w:rsidRPr="00515872">
        <w:rPr>
          <w:rFonts w:cs="Tahoma"/>
          <w:bCs/>
        </w:rPr>
        <w:t xml:space="preserve"> a </w:t>
      </w:r>
      <w:r w:rsidRPr="00515872">
        <w:rPr>
          <w:rFonts w:cs="Tahoma"/>
          <w:b/>
          <w:bCs/>
        </w:rPr>
        <w:t>non accettare incarichi</w:t>
      </w:r>
      <w:r w:rsidRPr="00515872">
        <w:rPr>
          <w:rFonts w:cs="Tahoma"/>
          <w:bCs/>
        </w:rPr>
        <w:t xml:space="preserve"> che prevedono compensi manifestamente inadeguati e iniqui ed invita a </w:t>
      </w:r>
      <w:r w:rsidRPr="00515872">
        <w:rPr>
          <w:rFonts w:cs="Tahoma"/>
          <w:b/>
          <w:bCs/>
        </w:rPr>
        <w:t>segnalare al Consiglio Nazionale</w:t>
      </w:r>
      <w:r w:rsidRPr="00515872">
        <w:rPr>
          <w:rFonts w:cs="Tahoma"/>
          <w:bCs/>
        </w:rPr>
        <w:t>, per il tramite degli ordini di appartenenza, offerte di compenso al di sotto del limite massimo della fascia demografica immediatamente inferiore, al fine di favorire una risposta coordinata della Professione dinanzi a pratiche lesive del decoro del Professionista e del complementare interesse pubblico ad una prestazione di qualità, impossibile da garantire al di sotto dei livelli minimi di retribuzione coincidenti con la nozione di “equo compenso”.</w:t>
      </w:r>
    </w:p>
    <w:p w14:paraId="16B9142D" w14:textId="77777777" w:rsidR="009518AF" w:rsidRPr="00515872" w:rsidRDefault="009518AF" w:rsidP="009518AF">
      <w:pPr>
        <w:spacing w:after="0" w:line="360" w:lineRule="auto"/>
        <w:jc w:val="both"/>
        <w:rPr>
          <w:rFonts w:cs="Tahoma"/>
          <w:b/>
          <w:szCs w:val="20"/>
        </w:rPr>
      </w:pPr>
      <w:r w:rsidRPr="00515872">
        <w:rPr>
          <w:rFonts w:cs="Tahoma"/>
          <w:b/>
        </w:rPr>
        <w:t>Riduzione ex D.L. 78/2010</w:t>
      </w:r>
    </w:p>
    <w:p w14:paraId="5547C735"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rPr>
        <w:t>Stante la carenza di aggiornamenti dei compensi dei revisori sopra delineata e il progressivo aggravarsi delle incombenze addossate all’organo di revisione, il C.N.D.C.E.C. ha</w:t>
      </w:r>
      <w:r w:rsidR="00BE2D65" w:rsidRPr="00515872">
        <w:rPr>
          <w:rFonts w:cs="Tahoma"/>
          <w:szCs w:val="20"/>
        </w:rPr>
        <w:t xml:space="preserve"> sollecitato, in passato</w:t>
      </w:r>
      <w:r w:rsidRPr="00515872">
        <w:rPr>
          <w:rFonts w:cs="Tahoma"/>
          <w:szCs w:val="20"/>
        </w:rPr>
        <w:t xml:space="preserve">, un adeguamento delle remunerazioni al mutato scenario istituzionale. Per contro, in luogo dell’invocato adeguamento al rialzo, </w:t>
      </w:r>
      <w:r w:rsidR="00BE2D65" w:rsidRPr="00515872">
        <w:rPr>
          <w:rFonts w:cs="Tahoma"/>
          <w:szCs w:val="20"/>
        </w:rPr>
        <w:t xml:space="preserve">nel 2010 </w:t>
      </w:r>
      <w:r w:rsidRPr="00515872">
        <w:rPr>
          <w:rFonts w:cs="Tahoma"/>
          <w:szCs w:val="20"/>
        </w:rPr>
        <w:t xml:space="preserve">è giunta la falcidia dei compensi operata, nell’ambito di più ampi interventi di contenimento della spesa pubblica, dal D.L. n. 78/2010, convertito con modificazioni dalla L. </w:t>
      </w:r>
      <w:r w:rsidR="00EF34DC" w:rsidRPr="00515872">
        <w:rPr>
          <w:rFonts w:cs="Tahoma"/>
          <w:szCs w:val="20"/>
        </w:rPr>
        <w:t xml:space="preserve">n. </w:t>
      </w:r>
      <w:r w:rsidRPr="00515872">
        <w:rPr>
          <w:rFonts w:cs="Tahoma"/>
          <w:szCs w:val="20"/>
        </w:rPr>
        <w:t xml:space="preserve">122/2010. L’art. 6 di detto decreto ha infatti previsto, tra le varie misure, a decorrere dal 1 gennaio 2011, quella relativa alle indennità, compensi, gettoni, retribuzioni o altre utilità corrisposti dalle Pubbliche Amministrazioni inserite nel Conto economico consolidato di cui all’elenco Istat (tra le quali, gli enti locali), agli organi di indirizzo, direzione e controllo, consigli di amministrazione ed organi collegiali comunque denominati, ed ai titolari di incarichi </w:t>
      </w:r>
      <w:r w:rsidR="00EF34DC" w:rsidRPr="00515872">
        <w:rPr>
          <w:rFonts w:cs="Tahoma"/>
          <w:szCs w:val="20"/>
        </w:rPr>
        <w:t>di qualsiasi tipo, per i quali è stata stabilita</w:t>
      </w:r>
      <w:r w:rsidRPr="00515872">
        <w:rPr>
          <w:rFonts w:cs="Tahoma"/>
          <w:szCs w:val="20"/>
        </w:rPr>
        <w:t xml:space="preserve"> una </w:t>
      </w:r>
      <w:r w:rsidRPr="00515872">
        <w:rPr>
          <w:rFonts w:cs="Tahoma"/>
          <w:b/>
          <w:szCs w:val="20"/>
        </w:rPr>
        <w:t>automatica riduzione del 10%</w:t>
      </w:r>
      <w:r w:rsidRPr="00515872">
        <w:rPr>
          <w:rFonts w:cs="Tahoma"/>
          <w:szCs w:val="20"/>
        </w:rPr>
        <w:t xml:space="preserve"> rispetto agli importi risultanti alla data del </w:t>
      </w:r>
      <w:r w:rsidRPr="00515872">
        <w:rPr>
          <w:rFonts w:cs="Tahoma"/>
          <w:szCs w:val="20"/>
        </w:rPr>
        <w:lastRenderedPageBreak/>
        <w:t xml:space="preserve">30 aprile 2010. </w:t>
      </w:r>
      <w:r w:rsidRPr="00515872">
        <w:rPr>
          <w:rFonts w:eastAsia="Times New Roman" w:cs="Tahoma"/>
          <w:szCs w:val="20"/>
          <w:lang w:eastAsia="it-IT"/>
        </w:rPr>
        <w:t>Sino al 31 dicembre 2017</w:t>
      </w:r>
      <w:r w:rsidRPr="00515872">
        <w:rPr>
          <w:rStyle w:val="Rimandonotaapidipagina"/>
          <w:rFonts w:eastAsia="Times New Roman" w:cs="Tahoma"/>
          <w:szCs w:val="20"/>
          <w:lang w:eastAsia="it-IT"/>
        </w:rPr>
        <w:footnoteReference w:id="12"/>
      </w:r>
      <w:r w:rsidRPr="00515872">
        <w:rPr>
          <w:rFonts w:eastAsia="Times New Roman" w:cs="Tahoma"/>
          <w:szCs w:val="20"/>
          <w:lang w:eastAsia="it-IT"/>
        </w:rPr>
        <w:t>, i compensi ivi previsti non po</w:t>
      </w:r>
      <w:r w:rsidR="005C7BE7" w:rsidRPr="00515872">
        <w:rPr>
          <w:rFonts w:eastAsia="Times New Roman" w:cs="Tahoma"/>
          <w:szCs w:val="20"/>
          <w:lang w:eastAsia="it-IT"/>
        </w:rPr>
        <w:t>tevano</w:t>
      </w:r>
      <w:r w:rsidRPr="00515872">
        <w:rPr>
          <w:rFonts w:eastAsia="Times New Roman" w:cs="Tahoma"/>
          <w:szCs w:val="20"/>
          <w:lang w:eastAsia="it-IT"/>
        </w:rPr>
        <w:t xml:space="preserve"> superare gli importi risultanti alla data del 30 aprile 2010, come ridotti ai sensi delle disposizioni anzidette.</w:t>
      </w:r>
    </w:p>
    <w:p w14:paraId="3DB21352" w14:textId="77777777" w:rsidR="009518AF" w:rsidRPr="00515872" w:rsidRDefault="009518AF" w:rsidP="009518AF">
      <w:pPr>
        <w:spacing w:line="360" w:lineRule="auto"/>
        <w:jc w:val="both"/>
        <w:rPr>
          <w:rFonts w:cs="Tahoma"/>
        </w:rPr>
      </w:pPr>
      <w:r w:rsidRPr="00515872">
        <w:rPr>
          <w:rFonts w:cs="Tahoma"/>
        </w:rPr>
        <w:t>Sulla questione dell’applicabilità di tale riduzione anche ai compensi dell’organo di revisione si era espresso il C.N.D.C.E.C. con il documento intitolato “</w:t>
      </w:r>
      <w:r w:rsidRPr="00515872">
        <w:rPr>
          <w:rFonts w:cs="Tahoma"/>
          <w:i/>
        </w:rPr>
        <w:t>Non applicabilità della riduzione del compenso dei Revisori degli Enti Locali in relazione all’art. 6, c. 3, del D.L. 78/10</w:t>
      </w:r>
      <w:r w:rsidR="005C7BE7" w:rsidRPr="00515872">
        <w:rPr>
          <w:rFonts w:cs="Tahoma"/>
        </w:rPr>
        <w:t>” nel</w:t>
      </w:r>
      <w:r w:rsidRPr="00515872">
        <w:rPr>
          <w:rFonts w:cs="Tahoma"/>
        </w:rPr>
        <w:t xml:space="preserve"> il quale </w:t>
      </w:r>
      <w:r w:rsidR="00EF34DC" w:rsidRPr="00515872">
        <w:rPr>
          <w:rFonts w:cs="Tahoma"/>
        </w:rPr>
        <w:t xml:space="preserve">l’ordine </w:t>
      </w:r>
      <w:r w:rsidRPr="00515872">
        <w:rPr>
          <w:rFonts w:cs="Tahoma"/>
        </w:rPr>
        <w:t>prendeva posizione contro la riduzione dichiarandola non applicabile, appunto, all’organo di revisione, facendo leva sul riferimento effettuato dalla norma agli “organi collegiali” che ne escluderebbe l’applicabilità al caso del revisore unico e, conseguentemente, all’organo di revisione in genere.</w:t>
      </w:r>
      <w:r w:rsidR="00D2414B" w:rsidRPr="00515872">
        <w:rPr>
          <w:rFonts w:cs="Tahoma"/>
        </w:rPr>
        <w:t xml:space="preserve"> </w:t>
      </w:r>
      <w:r w:rsidRPr="00515872">
        <w:rPr>
          <w:rFonts w:cs="Tahoma"/>
        </w:rPr>
        <w:t>La posizione del C.N.D.C.E.C. è stata, tuttavia, sovvertita dalla Corte dei Conti. Sul punto sono infatti intervenute la Sezione regionale di controllo per la Toscana con Delibera n. 204/2010/Par e la Sezione della Corte dei Conti Lombardia con Delibera 13/11, sancendo che</w:t>
      </w:r>
      <w:r w:rsidRPr="00515872">
        <w:rPr>
          <w:rFonts w:cs="Tahoma"/>
          <w:b/>
        </w:rPr>
        <w:t xml:space="preserve"> il compenso dei revisori </w:t>
      </w:r>
      <w:r w:rsidR="005C7BE7" w:rsidRPr="00515872">
        <w:rPr>
          <w:rFonts w:cs="Tahoma"/>
          <w:b/>
        </w:rPr>
        <w:t>era</w:t>
      </w:r>
      <w:r w:rsidRPr="00515872">
        <w:rPr>
          <w:rFonts w:cs="Tahoma"/>
          <w:b/>
        </w:rPr>
        <w:t xml:space="preserve"> soggetto alla riduzione in parola</w:t>
      </w:r>
      <w:r w:rsidRPr="00515872">
        <w:rPr>
          <w:rFonts w:cs="Tahoma"/>
        </w:rPr>
        <w:t>.</w:t>
      </w:r>
    </w:p>
    <w:p w14:paraId="739C0D2C" w14:textId="77777777" w:rsidR="009518AF" w:rsidRPr="00515872" w:rsidRDefault="009518AF" w:rsidP="009518AF">
      <w:pPr>
        <w:spacing w:line="360" w:lineRule="auto"/>
        <w:jc w:val="both"/>
        <w:rPr>
          <w:rFonts w:cs="Tahoma"/>
        </w:rPr>
      </w:pPr>
      <w:r w:rsidRPr="00515872">
        <w:rPr>
          <w:rFonts w:cs="Tahoma"/>
        </w:rPr>
        <w:t xml:space="preserve">Tale riduzione, invece, non </w:t>
      </w:r>
      <w:r w:rsidR="005C7BE7" w:rsidRPr="00515872">
        <w:rPr>
          <w:rFonts w:cs="Tahoma"/>
        </w:rPr>
        <w:t>risultava</w:t>
      </w:r>
      <w:r w:rsidRPr="00515872">
        <w:rPr>
          <w:rFonts w:cs="Tahoma"/>
        </w:rPr>
        <w:t xml:space="preserve"> direttamente applicabile alle Regioni e alle Province autonome.</w:t>
      </w:r>
    </w:p>
    <w:p w14:paraId="44B24FC3" w14:textId="77777777" w:rsidR="009518AF" w:rsidRPr="00515872" w:rsidRDefault="009518AF" w:rsidP="009518AF">
      <w:pPr>
        <w:spacing w:line="360" w:lineRule="auto"/>
        <w:jc w:val="both"/>
        <w:rPr>
          <w:rFonts w:eastAsiaTheme="minorEastAsia" w:cs="Tahoma"/>
          <w:szCs w:val="20"/>
        </w:rPr>
      </w:pPr>
      <w:r w:rsidRPr="00515872">
        <w:rPr>
          <w:rFonts w:cs="Tahoma"/>
          <w:szCs w:val="20"/>
        </w:rPr>
        <w:t xml:space="preserve">È invece stato superato il dubbio sulla presunta gratuità dell’incarico per i soggetti che detengono cariche pubbliche. Il caso era stato generato dalla previsione contenuta nel </w:t>
      </w:r>
      <w:r w:rsidRPr="00515872">
        <w:rPr>
          <w:rFonts w:eastAsiaTheme="minorEastAsia" w:cs="Tahoma"/>
          <w:szCs w:val="20"/>
        </w:rPr>
        <w:t xml:space="preserve">c. 5 dell’art. 5 del D.L. n. 78/2010 </w:t>
      </w:r>
      <w:r w:rsidRPr="00515872">
        <w:rPr>
          <w:rFonts w:cs="Tahoma"/>
          <w:szCs w:val="20"/>
        </w:rPr>
        <w:t xml:space="preserve">convertito dalla L. n. 122/2010 </w:t>
      </w:r>
      <w:r w:rsidRPr="00515872">
        <w:rPr>
          <w:rFonts w:eastAsiaTheme="minorEastAsia" w:cs="Tahoma"/>
          <w:szCs w:val="20"/>
        </w:rPr>
        <w:t xml:space="preserve">che prevede che lo svolgimento di qualsiasi incarico conferito da una pubblica amministrazione, nei confronti di titolari di cariche elettive, può dare luogo esclusivamente a rimborsi spese, rimanendo esclusa, pertanto, qualsiasi forma di remunerazione. </w:t>
      </w:r>
      <w:r w:rsidRPr="00515872">
        <w:rPr>
          <w:rFonts w:cs="Tahoma"/>
          <w:szCs w:val="20"/>
        </w:rPr>
        <w:t>L’orientamento giurisprudenziale prevalente ha sempre tenuto una interpretazione restrittiva, ritenendo applicabile la norma ai compensi percepiti dai revisori dei conti che si trovassero a ricoprire anche la funzione di amministratore di enti locali. A seguito di richiesta di chiarimenti avanzata da parte di un comune mediante quesito rivolto al Ministero dell‘Interno circa la corretta applicazione delle disposizioni di cui all‘art. 5, c. 5, il M</w:t>
      </w:r>
      <w:r w:rsidRPr="00515872">
        <w:rPr>
          <w:rFonts w:eastAsiaTheme="minorEastAsia" w:cs="Tahoma"/>
          <w:szCs w:val="20"/>
        </w:rPr>
        <w:t>inistero ha risposto con parere n. 0010313 del 5</w:t>
      </w:r>
      <w:r w:rsidR="002567AC" w:rsidRPr="00515872">
        <w:rPr>
          <w:rFonts w:eastAsiaTheme="minorEastAsia" w:cs="Tahoma"/>
          <w:szCs w:val="20"/>
        </w:rPr>
        <w:t xml:space="preserve"> novembre </w:t>
      </w:r>
      <w:r w:rsidRPr="00515872">
        <w:rPr>
          <w:rFonts w:eastAsiaTheme="minorEastAsia" w:cs="Tahoma"/>
          <w:szCs w:val="20"/>
        </w:rPr>
        <w:t>2015 chiarendo che l’ambito di applicazione della norma deve ritenersi limitato ai costi ed alle spese necessarie per l’esercizio degli incarichi conferiti all’amministratore in relazione alla carica elettiva; restano pertanto esclusi dalla portata applicativa della disposizione i compensi per incarichi eventualmente conferiti nell’ambito dell’attività libero professionale, da enti diversi da quello di appartenenza.</w:t>
      </w:r>
    </w:p>
    <w:p w14:paraId="07AAD292" w14:textId="77777777" w:rsidR="002567AC" w:rsidRPr="00515872" w:rsidRDefault="00CC7C3E" w:rsidP="002567AC">
      <w:pPr>
        <w:spacing w:after="0" w:line="360" w:lineRule="auto"/>
        <w:jc w:val="both"/>
        <w:rPr>
          <w:rFonts w:cs="Tahoma"/>
          <w:b/>
          <w:szCs w:val="20"/>
        </w:rPr>
      </w:pPr>
      <w:r w:rsidRPr="00515872">
        <w:rPr>
          <w:rFonts w:cs="Tahoma"/>
          <w:b/>
          <w:szCs w:val="20"/>
        </w:rPr>
        <w:t>Aggiornamento dei limiti massimi</w:t>
      </w:r>
    </w:p>
    <w:p w14:paraId="3F5CDFA4" w14:textId="77777777" w:rsidR="002567AC" w:rsidRPr="00515872" w:rsidRDefault="00C07E93" w:rsidP="002567AC">
      <w:pPr>
        <w:spacing w:line="360" w:lineRule="auto"/>
        <w:jc w:val="both"/>
        <w:rPr>
          <w:rFonts w:cs="Tahoma"/>
          <w:szCs w:val="20"/>
        </w:rPr>
      </w:pPr>
      <w:r w:rsidRPr="00515872">
        <w:rPr>
          <w:rFonts w:cs="Tahoma"/>
          <w:szCs w:val="20"/>
        </w:rPr>
        <w:t xml:space="preserve">Come accennato, </w:t>
      </w:r>
      <w:r w:rsidR="003C7DBD" w:rsidRPr="00515872">
        <w:rPr>
          <w:rFonts w:cs="Tahoma"/>
          <w:szCs w:val="20"/>
        </w:rPr>
        <w:t>i</w:t>
      </w:r>
      <w:r w:rsidRPr="00515872">
        <w:rPr>
          <w:rFonts w:cs="Tahoma"/>
          <w:szCs w:val="20"/>
        </w:rPr>
        <w:t xml:space="preserve">l Decreto del Ministero dell’Interno del 21 dicembre 2018, pubblicato sulla Gazzetta Ufficiale del 4 gennaio 2019, ha stabilito l’adeguamento dei limiti massimi del compenso base per i revisori degli enti locali. </w:t>
      </w:r>
    </w:p>
    <w:p w14:paraId="68FC5DAF" w14:textId="77777777" w:rsidR="00FA56BB" w:rsidRPr="00515872" w:rsidRDefault="00C07E93" w:rsidP="002567AC">
      <w:pPr>
        <w:spacing w:line="360" w:lineRule="auto"/>
        <w:jc w:val="both"/>
        <w:rPr>
          <w:rFonts w:cs="Tahoma"/>
          <w:szCs w:val="20"/>
        </w:rPr>
      </w:pPr>
      <w:r w:rsidRPr="00515872">
        <w:rPr>
          <w:rFonts w:cs="Tahoma"/>
          <w:szCs w:val="20"/>
        </w:rPr>
        <w:t>La decorrenza per l’applicazione dei nuovi massimali era prevista a decorrere dal 1° gennaio 2019</w:t>
      </w:r>
      <w:r w:rsidR="00F512B2" w:rsidRPr="00515872">
        <w:rPr>
          <w:rFonts w:cs="Tahoma"/>
          <w:szCs w:val="20"/>
        </w:rPr>
        <w:t>, rimanendo esclusa la possibile</w:t>
      </w:r>
      <w:r w:rsidRPr="00515872">
        <w:rPr>
          <w:rFonts w:cs="Tahoma"/>
          <w:szCs w:val="20"/>
        </w:rPr>
        <w:t xml:space="preserve"> retroattività dell’effetto della norma. Conseguentemente, mentre non vi era dubbio che in </w:t>
      </w:r>
      <w:r w:rsidRPr="00515872">
        <w:rPr>
          <w:rFonts w:cs="Tahoma"/>
          <w:szCs w:val="20"/>
        </w:rPr>
        <w:lastRenderedPageBreak/>
        <w:t>caso di nomina del revisore i</w:t>
      </w:r>
      <w:r w:rsidR="000E481F" w:rsidRPr="00515872">
        <w:rPr>
          <w:rFonts w:cs="Tahoma"/>
          <w:szCs w:val="20"/>
        </w:rPr>
        <w:t>n data successiva alla predetta il compenso potesse essere determinato con riguardo ai nuovi limiti, qualche dubbio si era manifestato in relazione alla so</w:t>
      </w:r>
      <w:r w:rsidR="00EB730A" w:rsidRPr="00515872">
        <w:rPr>
          <w:rFonts w:cs="Tahoma"/>
          <w:szCs w:val="20"/>
        </w:rPr>
        <w:t>rte dei revisori già in carica,</w:t>
      </w:r>
      <w:r w:rsidR="000E481F" w:rsidRPr="00515872">
        <w:rPr>
          <w:rFonts w:cs="Tahoma"/>
          <w:szCs w:val="20"/>
        </w:rPr>
        <w:t xml:space="preserve"> ossia come dovesse essere interpretato il principio di </w:t>
      </w:r>
      <w:r w:rsidR="00F96D70" w:rsidRPr="00515872">
        <w:rPr>
          <w:rFonts w:cs="Tahoma"/>
          <w:szCs w:val="20"/>
        </w:rPr>
        <w:t>ir</w:t>
      </w:r>
      <w:r w:rsidR="000E481F" w:rsidRPr="00515872">
        <w:rPr>
          <w:rFonts w:cs="Tahoma"/>
          <w:szCs w:val="20"/>
        </w:rPr>
        <w:t>retroattività. Il testo della norma</w:t>
      </w:r>
      <w:r w:rsidR="00FA56BB" w:rsidRPr="00515872">
        <w:rPr>
          <w:rFonts w:cs="Tahoma"/>
          <w:szCs w:val="20"/>
        </w:rPr>
        <w:t>,</w:t>
      </w:r>
      <w:r w:rsidR="000E481F" w:rsidRPr="00515872">
        <w:rPr>
          <w:rFonts w:cs="Tahoma"/>
          <w:szCs w:val="20"/>
        </w:rPr>
        <w:t xml:space="preserve"> che prevede che “</w:t>
      </w:r>
      <w:r w:rsidR="000E481F" w:rsidRPr="00515872">
        <w:rPr>
          <w:rFonts w:cs="Tahoma"/>
          <w:i/>
          <w:szCs w:val="20"/>
        </w:rPr>
        <w:t>L'eventuale adeguamento del compenso deliberato dal consiglio dell'ente in relazione ai nuovi limiti massimi fissati dal presente decreto non ha effetto retroattivo</w:t>
      </w:r>
      <w:r w:rsidR="000E481F" w:rsidRPr="00515872">
        <w:rPr>
          <w:rFonts w:cs="Tahoma"/>
          <w:szCs w:val="20"/>
        </w:rPr>
        <w:t>”</w:t>
      </w:r>
      <w:r w:rsidR="00FA56BB" w:rsidRPr="00515872">
        <w:rPr>
          <w:rFonts w:cs="Tahoma"/>
          <w:szCs w:val="20"/>
        </w:rPr>
        <w:t>,</w:t>
      </w:r>
      <w:r w:rsidR="000E481F" w:rsidRPr="00515872">
        <w:rPr>
          <w:rFonts w:cs="Tahoma"/>
          <w:szCs w:val="20"/>
        </w:rPr>
        <w:t xml:space="preserve"> ha lasciato </w:t>
      </w:r>
      <w:r w:rsidR="00FA56BB" w:rsidRPr="00515872">
        <w:rPr>
          <w:rFonts w:cs="Tahoma"/>
          <w:szCs w:val="20"/>
        </w:rPr>
        <w:t xml:space="preserve">intendere che vi sia comunque facoltà da parte del consiglio comunale di deliberare una modifica del compenso già a suo tempo deliberato in sede di </w:t>
      </w:r>
      <w:r w:rsidR="004845E3" w:rsidRPr="00515872">
        <w:rPr>
          <w:rFonts w:cs="Tahoma"/>
          <w:szCs w:val="20"/>
        </w:rPr>
        <w:t>nomina</w:t>
      </w:r>
      <w:r w:rsidR="00FA56BB" w:rsidRPr="00515872">
        <w:rPr>
          <w:rFonts w:cs="Tahoma"/>
          <w:szCs w:val="20"/>
        </w:rPr>
        <w:t xml:space="preserve"> del revisore, purché la stessa sia a valere dall’annualità decorrente dal 1° gennaio 2019, senza possibilità di procedere ad un “conguag</w:t>
      </w:r>
      <w:r w:rsidR="00EB730A" w:rsidRPr="00515872">
        <w:rPr>
          <w:rFonts w:cs="Tahoma"/>
          <w:szCs w:val="20"/>
        </w:rPr>
        <w:t xml:space="preserve">lio” </w:t>
      </w:r>
      <w:r w:rsidR="00F96D70" w:rsidRPr="00515872">
        <w:rPr>
          <w:rFonts w:cs="Tahoma"/>
          <w:szCs w:val="20"/>
        </w:rPr>
        <w:t xml:space="preserve">per </w:t>
      </w:r>
      <w:r w:rsidR="00EB730A" w:rsidRPr="00515872">
        <w:rPr>
          <w:rFonts w:cs="Tahoma"/>
          <w:szCs w:val="20"/>
        </w:rPr>
        <w:t>le annualità precedenti</w:t>
      </w:r>
      <w:r w:rsidR="00FA56BB" w:rsidRPr="00515872">
        <w:rPr>
          <w:rFonts w:cs="Tahoma"/>
          <w:szCs w:val="20"/>
        </w:rPr>
        <w:t>.</w:t>
      </w:r>
    </w:p>
    <w:p w14:paraId="34A2EAE0" w14:textId="77777777" w:rsidR="0079168B" w:rsidRPr="00515872" w:rsidRDefault="0079168B" w:rsidP="004845E3">
      <w:pPr>
        <w:spacing w:after="0" w:line="360" w:lineRule="auto"/>
        <w:jc w:val="both"/>
        <w:rPr>
          <w:rFonts w:cs="Tahoma"/>
          <w:szCs w:val="20"/>
        </w:rPr>
      </w:pPr>
      <w:r w:rsidRPr="00515872">
        <w:rPr>
          <w:rFonts w:cs="Tahoma"/>
          <w:szCs w:val="20"/>
        </w:rPr>
        <w:t xml:space="preserve">Sul punto si sono espressi dapprima la Sezione delle Autonomie della Corte dei Conti e successivamente il Ministero dell’Interno. La prima, con deliberazione n. 14/2019, </w:t>
      </w:r>
      <w:r w:rsidR="0052418C" w:rsidRPr="00515872">
        <w:rPr>
          <w:rFonts w:cs="Tahoma"/>
          <w:szCs w:val="20"/>
        </w:rPr>
        <w:t>adottata</w:t>
      </w:r>
      <w:r w:rsidRPr="00515872">
        <w:rPr>
          <w:rFonts w:cs="Tahoma"/>
          <w:szCs w:val="20"/>
        </w:rPr>
        <w:t xml:space="preserve"> in conseguenza di orientamenti divergenti d</w:t>
      </w:r>
      <w:r w:rsidR="004845E3" w:rsidRPr="00515872">
        <w:rPr>
          <w:rFonts w:cs="Tahoma"/>
          <w:szCs w:val="20"/>
        </w:rPr>
        <w:t>e</w:t>
      </w:r>
      <w:r w:rsidRPr="00515872">
        <w:rPr>
          <w:rFonts w:cs="Tahoma"/>
          <w:szCs w:val="20"/>
        </w:rPr>
        <w:t xml:space="preserve">lle sezioni regionali di controllo, </w:t>
      </w:r>
      <w:r w:rsidR="0052418C" w:rsidRPr="00515872">
        <w:rPr>
          <w:rFonts w:cs="Tahoma"/>
          <w:szCs w:val="20"/>
        </w:rPr>
        <w:t xml:space="preserve">ha </w:t>
      </w:r>
      <w:r w:rsidRPr="00515872">
        <w:rPr>
          <w:rFonts w:cs="Tahoma"/>
          <w:szCs w:val="20"/>
        </w:rPr>
        <w:t>riconosc</w:t>
      </w:r>
      <w:r w:rsidR="0052418C" w:rsidRPr="00515872">
        <w:rPr>
          <w:rFonts w:cs="Tahoma"/>
          <w:szCs w:val="20"/>
        </w:rPr>
        <w:t>iuto</w:t>
      </w:r>
      <w:r w:rsidRPr="00515872">
        <w:rPr>
          <w:rFonts w:cs="Tahoma"/>
          <w:szCs w:val="20"/>
        </w:rPr>
        <w:t xml:space="preserve"> che rientra nella facoltà degli enti procedere ad un rinnovato giudizio sull’adeguatezza dei compensi determinati anteriormente all’emanazione dell’ultimo decreto, ferma restando la compatibilità finanziaria dell’ente e l’impossibilità di procedere con effetto retroattivo. Analogamente, </w:t>
      </w:r>
      <w:r w:rsidR="0052418C" w:rsidRPr="00515872">
        <w:rPr>
          <w:rFonts w:cs="Tahoma"/>
          <w:szCs w:val="20"/>
        </w:rPr>
        <w:t>il Ministero</w:t>
      </w:r>
      <w:r w:rsidRPr="00515872">
        <w:rPr>
          <w:rFonts w:cs="Tahoma"/>
          <w:szCs w:val="20"/>
        </w:rPr>
        <w:t xml:space="preserve"> ha sostenuto:</w:t>
      </w:r>
    </w:p>
    <w:p w14:paraId="69196738" w14:textId="77777777" w:rsidR="0079168B" w:rsidRPr="00515872" w:rsidRDefault="0079168B" w:rsidP="0079168B">
      <w:pPr>
        <w:pStyle w:val="Paragrafoelenco"/>
        <w:numPr>
          <w:ilvl w:val="0"/>
          <w:numId w:val="2"/>
        </w:numPr>
        <w:spacing w:line="360" w:lineRule="auto"/>
        <w:jc w:val="both"/>
        <w:rPr>
          <w:rFonts w:cs="Tahoma"/>
          <w:szCs w:val="20"/>
        </w:rPr>
      </w:pPr>
      <w:r w:rsidRPr="00515872">
        <w:rPr>
          <w:rFonts w:cs="Tahoma"/>
          <w:szCs w:val="20"/>
        </w:rPr>
        <w:t>che l’aggiornamento del compenso non è un obbligo, bensì una facoltà dell’ente;</w:t>
      </w:r>
    </w:p>
    <w:p w14:paraId="0E99B300" w14:textId="77777777" w:rsidR="0079168B" w:rsidRPr="00515872" w:rsidRDefault="0079168B" w:rsidP="0079168B">
      <w:pPr>
        <w:pStyle w:val="Paragrafoelenco"/>
        <w:numPr>
          <w:ilvl w:val="0"/>
          <w:numId w:val="2"/>
        </w:numPr>
        <w:spacing w:line="360" w:lineRule="auto"/>
        <w:jc w:val="both"/>
        <w:rPr>
          <w:rFonts w:cs="Tahoma"/>
          <w:szCs w:val="20"/>
        </w:rPr>
      </w:pPr>
      <w:r w:rsidRPr="00515872">
        <w:rPr>
          <w:rFonts w:cs="Tahoma"/>
          <w:szCs w:val="20"/>
        </w:rPr>
        <w:t>che la decorrenza dell’aggiornamento è fissata dal 1 gennaio 2019;</w:t>
      </w:r>
    </w:p>
    <w:p w14:paraId="3974D0CE" w14:textId="77777777" w:rsidR="0079168B" w:rsidRPr="00515872" w:rsidRDefault="0079168B" w:rsidP="0079168B">
      <w:pPr>
        <w:pStyle w:val="Paragrafoelenco"/>
        <w:numPr>
          <w:ilvl w:val="0"/>
          <w:numId w:val="2"/>
        </w:numPr>
        <w:spacing w:line="360" w:lineRule="auto"/>
        <w:jc w:val="both"/>
        <w:rPr>
          <w:rFonts w:cs="Tahoma"/>
          <w:szCs w:val="20"/>
        </w:rPr>
      </w:pPr>
      <w:r w:rsidRPr="00515872">
        <w:rPr>
          <w:rFonts w:cs="Tahoma"/>
          <w:szCs w:val="20"/>
        </w:rPr>
        <w:t>che si possono distinguere due casistiche:</w:t>
      </w:r>
    </w:p>
    <w:p w14:paraId="517B4574" w14:textId="77777777" w:rsidR="0079168B" w:rsidRPr="00515872" w:rsidRDefault="0079168B" w:rsidP="00D65838">
      <w:pPr>
        <w:pStyle w:val="Paragrafoelenco"/>
        <w:numPr>
          <w:ilvl w:val="0"/>
          <w:numId w:val="153"/>
        </w:numPr>
        <w:spacing w:line="360" w:lineRule="auto"/>
        <w:jc w:val="both"/>
        <w:rPr>
          <w:rFonts w:cs="Tahoma"/>
          <w:szCs w:val="20"/>
        </w:rPr>
      </w:pPr>
      <w:r w:rsidRPr="00515872">
        <w:rPr>
          <w:rFonts w:cs="Tahoma"/>
          <w:szCs w:val="20"/>
        </w:rPr>
        <w:t>per i revisori nominati dopo il 1 gennaio 2019: il Ministero conferma che l’aggiornamento deve fare riferimento ai nuovi limiti massimi che sono suscettibili di applicazioni differenziate sulla base di determinazioni finanziarie e convenzionali delle parti da indicare nella delibera di nomina;</w:t>
      </w:r>
    </w:p>
    <w:p w14:paraId="01244C16" w14:textId="77777777" w:rsidR="0079168B" w:rsidRPr="00515872" w:rsidRDefault="0079168B" w:rsidP="00D65838">
      <w:pPr>
        <w:pStyle w:val="Paragrafoelenco"/>
        <w:numPr>
          <w:ilvl w:val="0"/>
          <w:numId w:val="153"/>
        </w:numPr>
        <w:spacing w:line="360" w:lineRule="auto"/>
        <w:jc w:val="both"/>
        <w:rPr>
          <w:rFonts w:cs="Tahoma"/>
          <w:szCs w:val="20"/>
        </w:rPr>
      </w:pPr>
      <w:r w:rsidRPr="00515872">
        <w:rPr>
          <w:rFonts w:cs="Tahoma"/>
          <w:szCs w:val="20"/>
        </w:rPr>
        <w:t>per i revisori già in carica al 1 gennaio 2019: il Ministero ritiene possibile, superando quanto previsto dall’art. 241, c. 7 del TUEL, procedere ad un incremento del compenso già deliberato, stante la natura negoziale del rapporto tra ente e revisore.</w:t>
      </w:r>
    </w:p>
    <w:p w14:paraId="68878C68" w14:textId="77777777" w:rsidR="000E481F" w:rsidRPr="00515872" w:rsidRDefault="00FA56BB" w:rsidP="002567AC">
      <w:pPr>
        <w:spacing w:line="360" w:lineRule="auto"/>
        <w:jc w:val="both"/>
        <w:rPr>
          <w:rFonts w:cs="Tahoma"/>
          <w:szCs w:val="20"/>
        </w:rPr>
      </w:pPr>
      <w:r w:rsidRPr="00515872">
        <w:rPr>
          <w:rFonts w:cs="Tahoma"/>
          <w:szCs w:val="20"/>
        </w:rPr>
        <w:t>Sembra</w:t>
      </w:r>
      <w:r w:rsidR="0052418C" w:rsidRPr="00515872">
        <w:rPr>
          <w:rFonts w:cs="Tahoma"/>
          <w:szCs w:val="20"/>
        </w:rPr>
        <w:t>,</w:t>
      </w:r>
      <w:r w:rsidRPr="00515872">
        <w:rPr>
          <w:rFonts w:cs="Tahoma"/>
          <w:szCs w:val="20"/>
        </w:rPr>
        <w:t xml:space="preserve"> inoltre</w:t>
      </w:r>
      <w:r w:rsidR="0052418C" w:rsidRPr="00515872">
        <w:rPr>
          <w:rFonts w:cs="Tahoma"/>
          <w:szCs w:val="20"/>
        </w:rPr>
        <w:t>,</w:t>
      </w:r>
      <w:r w:rsidRPr="00515872">
        <w:rPr>
          <w:rFonts w:cs="Tahoma"/>
          <w:szCs w:val="20"/>
        </w:rPr>
        <w:t xml:space="preserve"> condivisibile la tesi secondo cui, qualora il compenso sia stato inizialmente determinato dal consiglio comunale con riferimento ai limiti massimi previsti per la classe demografica di riferimento, l’ente avrebbe dovuto, conseguentemente, procedere automaticamente all’adeguamento in questione; viceversa, nei casi in cui il compenso fosse stato determinato con importo fisso tale automatismo non </w:t>
      </w:r>
      <w:r w:rsidR="006932BF" w:rsidRPr="00515872">
        <w:rPr>
          <w:rFonts w:cs="Tahoma"/>
          <w:szCs w:val="20"/>
        </w:rPr>
        <w:t>sarebbe scattato</w:t>
      </w:r>
      <w:r w:rsidR="00A96704" w:rsidRPr="00515872">
        <w:rPr>
          <w:rFonts w:cs="Tahoma"/>
          <w:szCs w:val="20"/>
        </w:rPr>
        <w:t xml:space="preserve"> e pare dubbia anche la legittimità di una possibile delibera dell’ente concernente l’adeguamento</w:t>
      </w:r>
      <w:r w:rsidRPr="00515872">
        <w:rPr>
          <w:rFonts w:cs="Tahoma"/>
          <w:szCs w:val="20"/>
        </w:rPr>
        <w:t xml:space="preserve">, </w:t>
      </w:r>
      <w:r w:rsidR="00A96704" w:rsidRPr="00515872">
        <w:rPr>
          <w:rFonts w:cs="Tahoma"/>
          <w:szCs w:val="20"/>
        </w:rPr>
        <w:t>benché opportunamente motivata</w:t>
      </w:r>
      <w:r w:rsidR="00A0615E" w:rsidRPr="00515872">
        <w:rPr>
          <w:rStyle w:val="Rimandonotaapidipagina"/>
          <w:rFonts w:cs="Tahoma"/>
          <w:szCs w:val="20"/>
        </w:rPr>
        <w:footnoteReference w:id="13"/>
      </w:r>
      <w:r w:rsidR="00A96704" w:rsidRPr="00515872">
        <w:rPr>
          <w:rFonts w:cs="Tahoma"/>
          <w:szCs w:val="20"/>
        </w:rPr>
        <w:t>.</w:t>
      </w:r>
    </w:p>
    <w:p w14:paraId="33225643" w14:textId="77777777" w:rsidR="009518AF" w:rsidRPr="00515872" w:rsidRDefault="009518AF" w:rsidP="002567AC">
      <w:pPr>
        <w:spacing w:after="0" w:line="360" w:lineRule="auto"/>
        <w:jc w:val="both"/>
        <w:rPr>
          <w:rFonts w:cs="Tahoma"/>
          <w:b/>
          <w:szCs w:val="20"/>
        </w:rPr>
      </w:pPr>
      <w:r w:rsidRPr="00515872">
        <w:rPr>
          <w:rFonts w:cs="Tahoma"/>
          <w:b/>
          <w:szCs w:val="20"/>
        </w:rPr>
        <w:t>Variazioni al compenso base</w:t>
      </w:r>
    </w:p>
    <w:p w14:paraId="47541D88" w14:textId="77777777" w:rsidR="009518AF" w:rsidRPr="00515872" w:rsidRDefault="009518AF" w:rsidP="009518AF">
      <w:pPr>
        <w:spacing w:after="0" w:line="360" w:lineRule="auto"/>
        <w:jc w:val="both"/>
        <w:rPr>
          <w:rFonts w:cs="Tahoma"/>
          <w:szCs w:val="20"/>
        </w:rPr>
      </w:pPr>
      <w:r w:rsidRPr="00515872">
        <w:rPr>
          <w:rFonts w:cs="Tahoma"/>
          <w:szCs w:val="20"/>
        </w:rPr>
        <w:t xml:space="preserve">Sono previste alcune varianti al compenso base del revisore, in funzione delle caratteristiche dell’ente. In particolare, il </w:t>
      </w:r>
      <w:r w:rsidR="0043135F" w:rsidRPr="00515872">
        <w:rPr>
          <w:rFonts w:cs="Tahoma"/>
          <w:szCs w:val="20"/>
        </w:rPr>
        <w:t>limite massimo stabilito dal D.M. Interno del 21 dicembre 2018</w:t>
      </w:r>
      <w:r w:rsidRPr="00515872">
        <w:rPr>
          <w:rFonts w:cs="Tahoma"/>
          <w:szCs w:val="20"/>
        </w:rPr>
        <w:t xml:space="preserve"> può essere aumentato:</w:t>
      </w:r>
    </w:p>
    <w:p w14:paraId="00FDD868" w14:textId="77777777" w:rsidR="009518AF" w:rsidRPr="00515872" w:rsidRDefault="009518AF" w:rsidP="00D65838">
      <w:pPr>
        <w:pStyle w:val="Paragrafoelenco"/>
        <w:numPr>
          <w:ilvl w:val="0"/>
          <w:numId w:val="154"/>
        </w:numPr>
        <w:spacing w:line="360" w:lineRule="auto"/>
        <w:jc w:val="both"/>
        <w:rPr>
          <w:rFonts w:cs="Tahoma"/>
          <w:szCs w:val="20"/>
        </w:rPr>
      </w:pPr>
      <w:r w:rsidRPr="00515872">
        <w:rPr>
          <w:rFonts w:cs="Tahoma"/>
          <w:szCs w:val="20"/>
        </w:rPr>
        <w:lastRenderedPageBreak/>
        <w:t>fino a un massimo del 10% per gli enti locali la cui spesa corrente pro-capite (titolo I/popolazione), desumibile dall’ultimo bilancio preventivo approvato, sia superiore alla media nazionale</w:t>
      </w:r>
      <w:r w:rsidR="00ED5DBF" w:rsidRPr="00515872">
        <w:rPr>
          <w:rFonts w:cs="Tahoma"/>
          <w:szCs w:val="20"/>
        </w:rPr>
        <w:t xml:space="preserve"> per fascia demografica di cui alla tabella B allegata al </w:t>
      </w:r>
      <w:r w:rsidR="0043135F" w:rsidRPr="00515872">
        <w:rPr>
          <w:rFonts w:cs="Tahoma"/>
          <w:szCs w:val="20"/>
        </w:rPr>
        <w:t>decreto</w:t>
      </w:r>
      <w:r w:rsidR="00ED5DBF" w:rsidRPr="00515872">
        <w:rPr>
          <w:rStyle w:val="Rimandonotaapidipagina"/>
          <w:rFonts w:cs="Tahoma"/>
          <w:szCs w:val="20"/>
        </w:rPr>
        <w:footnoteReference w:id="14"/>
      </w:r>
      <w:r w:rsidRPr="00515872">
        <w:rPr>
          <w:rFonts w:cs="Tahoma"/>
          <w:szCs w:val="20"/>
        </w:rPr>
        <w:t>;</w:t>
      </w:r>
    </w:p>
    <w:p w14:paraId="2563B3C6" w14:textId="77777777" w:rsidR="009518AF" w:rsidRPr="00515872" w:rsidRDefault="009518AF" w:rsidP="00D65838">
      <w:pPr>
        <w:pStyle w:val="Paragrafoelenco"/>
        <w:numPr>
          <w:ilvl w:val="0"/>
          <w:numId w:val="154"/>
        </w:numPr>
        <w:spacing w:line="360" w:lineRule="auto"/>
        <w:jc w:val="both"/>
        <w:rPr>
          <w:rFonts w:cs="Tahoma"/>
          <w:szCs w:val="20"/>
        </w:rPr>
      </w:pPr>
      <w:r w:rsidRPr="00515872">
        <w:rPr>
          <w:rFonts w:cs="Tahoma"/>
          <w:szCs w:val="20"/>
        </w:rPr>
        <w:t>fino a un ulteriore massimo del 10% per gli enti la cui spesa di investimento pro-capite (titolo II/popolazione), desumibile dall’ultimo bilancio preventivo approvato, sia superiore alla media nazionale</w:t>
      </w:r>
      <w:r w:rsidR="00ED5DBF" w:rsidRPr="00515872">
        <w:rPr>
          <w:rFonts w:cs="Tahoma"/>
          <w:szCs w:val="20"/>
        </w:rPr>
        <w:t xml:space="preserve"> per fascia demografica di cui alla tabella C allegata al medesimo decreto</w:t>
      </w:r>
      <w:r w:rsidR="00ED5DBF" w:rsidRPr="00515872">
        <w:rPr>
          <w:rStyle w:val="Rimandonotaapidipagina"/>
          <w:rFonts w:cs="Tahoma"/>
          <w:szCs w:val="20"/>
        </w:rPr>
        <w:footnoteReference w:id="15"/>
      </w:r>
      <w:r w:rsidRPr="00515872">
        <w:rPr>
          <w:rFonts w:cs="Tahoma"/>
          <w:szCs w:val="20"/>
        </w:rPr>
        <w:t>.</w:t>
      </w:r>
    </w:p>
    <w:p w14:paraId="7CF469ED" w14:textId="77777777" w:rsidR="009518AF" w:rsidRPr="00515872" w:rsidRDefault="009518AF" w:rsidP="009518AF">
      <w:pPr>
        <w:spacing w:after="0" w:line="360" w:lineRule="auto"/>
        <w:jc w:val="both"/>
        <w:rPr>
          <w:rFonts w:cs="Tahoma"/>
          <w:szCs w:val="20"/>
        </w:rPr>
      </w:pPr>
      <w:r w:rsidRPr="00515872">
        <w:rPr>
          <w:rFonts w:cs="Tahoma"/>
          <w:szCs w:val="20"/>
        </w:rPr>
        <w:t>Al compenso base, eventualmente maggiorato come sopra, possono essere applicate le variazioni di cui ai cc. 2, 3 e 4 dell’art. 241 del TUEL</w:t>
      </w:r>
      <w:r w:rsidR="00E97444" w:rsidRPr="00515872">
        <w:rPr>
          <w:rFonts w:cs="Tahoma"/>
          <w:szCs w:val="20"/>
        </w:rPr>
        <w:t>, tra loro cumulabili</w:t>
      </w:r>
      <w:r w:rsidRPr="00515872">
        <w:rPr>
          <w:rFonts w:cs="Tahoma"/>
          <w:szCs w:val="20"/>
        </w:rPr>
        <w:t>:</w:t>
      </w:r>
    </w:p>
    <w:p w14:paraId="47909AE0" w14:textId="77777777" w:rsidR="009518AF" w:rsidRPr="00515872" w:rsidRDefault="009518AF" w:rsidP="009518AF">
      <w:pPr>
        <w:pStyle w:val="Paragrafoelenco"/>
        <w:numPr>
          <w:ilvl w:val="0"/>
          <w:numId w:val="18"/>
        </w:numPr>
        <w:spacing w:line="360" w:lineRule="auto"/>
        <w:jc w:val="both"/>
        <w:rPr>
          <w:rFonts w:cs="Tahoma"/>
          <w:szCs w:val="20"/>
        </w:rPr>
      </w:pPr>
      <w:r w:rsidRPr="00515872">
        <w:rPr>
          <w:rFonts w:eastAsia="Times New Roman" w:cs="Tahoma"/>
          <w:szCs w:val="20"/>
          <w:lang w:eastAsia="it-IT"/>
        </w:rPr>
        <w:t>aumento fino al limite massimo del 20% in relazione alle ulteriori funzioni assegnate rispetto a quelle indicate nell'art. 239;</w:t>
      </w:r>
    </w:p>
    <w:p w14:paraId="119269A8" w14:textId="77777777" w:rsidR="009518AF" w:rsidRPr="00515872" w:rsidRDefault="009518AF" w:rsidP="009518AF">
      <w:pPr>
        <w:pStyle w:val="Paragrafoelenco"/>
        <w:numPr>
          <w:ilvl w:val="0"/>
          <w:numId w:val="18"/>
        </w:numPr>
        <w:spacing w:line="360" w:lineRule="auto"/>
        <w:jc w:val="both"/>
        <w:rPr>
          <w:rFonts w:cs="Tahoma"/>
          <w:szCs w:val="20"/>
        </w:rPr>
      </w:pPr>
      <w:r w:rsidRPr="00515872">
        <w:rPr>
          <w:rFonts w:eastAsia="Times New Roman" w:cs="Tahoma"/>
          <w:szCs w:val="20"/>
          <w:lang w:eastAsia="it-IT"/>
        </w:rPr>
        <w:t>aumento, quando i revisori esercitano le proprie funzioni anche nei confronti delle istituzioni dell'ente, sino al 10% per ogni istituzione e per un massimo complessivo non superiore al 30%;</w:t>
      </w:r>
    </w:p>
    <w:p w14:paraId="38EC032F" w14:textId="77777777" w:rsidR="009518AF" w:rsidRPr="00515872" w:rsidRDefault="009518AF" w:rsidP="009518AF">
      <w:pPr>
        <w:pStyle w:val="Paragrafoelenco"/>
        <w:numPr>
          <w:ilvl w:val="0"/>
          <w:numId w:val="18"/>
        </w:numPr>
        <w:spacing w:line="360" w:lineRule="auto"/>
        <w:jc w:val="both"/>
        <w:rPr>
          <w:rFonts w:cs="Tahoma"/>
          <w:szCs w:val="20"/>
        </w:rPr>
      </w:pPr>
      <w:r w:rsidRPr="00515872">
        <w:rPr>
          <w:rFonts w:eastAsia="Times New Roman" w:cs="Tahoma"/>
          <w:szCs w:val="20"/>
          <w:lang w:eastAsia="it-IT"/>
        </w:rPr>
        <w:t>aumento, quando la funzione di revisione economico-finanziaria sia esercitata dal collegio dei revisori, del 50% per il presidente del collegio stesso.</w:t>
      </w:r>
    </w:p>
    <w:p w14:paraId="514301E8" w14:textId="77777777" w:rsidR="009518AF" w:rsidRPr="00515872" w:rsidRDefault="009518AF" w:rsidP="009518AF">
      <w:pPr>
        <w:spacing w:line="360" w:lineRule="auto"/>
        <w:jc w:val="both"/>
        <w:rPr>
          <w:rFonts w:cs="Tahoma"/>
          <w:szCs w:val="20"/>
        </w:rPr>
      </w:pPr>
      <w:r w:rsidRPr="00515872">
        <w:rPr>
          <w:rFonts w:cs="Tahoma"/>
          <w:szCs w:val="20"/>
        </w:rPr>
        <w:t>Sono inoltre applicabili le riduzioni previste per i dipendenti pubblici componenti organi di amministrazione, di revisione e di collegi sindacali di cui all’art. 1, c. 126 L. n. 662/96</w:t>
      </w:r>
      <w:r w:rsidRPr="00515872">
        <w:rPr>
          <w:rStyle w:val="Rimandonotaapidipagina"/>
          <w:rFonts w:cs="Tahoma"/>
          <w:szCs w:val="20"/>
        </w:rPr>
        <w:footnoteReference w:id="16"/>
      </w:r>
      <w:r w:rsidRPr="00515872">
        <w:rPr>
          <w:rFonts w:cs="Tahoma"/>
          <w:szCs w:val="20"/>
        </w:rPr>
        <w:t>.</w:t>
      </w:r>
    </w:p>
    <w:p w14:paraId="12AD0756" w14:textId="77777777" w:rsidR="00277513" w:rsidRPr="00515872" w:rsidRDefault="00277513" w:rsidP="009518AF">
      <w:pPr>
        <w:pStyle w:val="Sottoparagrafo"/>
        <w:spacing w:line="360" w:lineRule="auto"/>
        <w:rPr>
          <w:rFonts w:cs="Tahoma"/>
        </w:rPr>
      </w:pPr>
      <w:bookmarkStart w:id="39" w:name="_Toc521317053"/>
    </w:p>
    <w:p w14:paraId="12FF30DB" w14:textId="77777777" w:rsidR="009518AF" w:rsidRPr="00515872" w:rsidRDefault="009518AF" w:rsidP="009518AF">
      <w:pPr>
        <w:pStyle w:val="Sottoparagrafo"/>
        <w:spacing w:line="360" w:lineRule="auto"/>
        <w:rPr>
          <w:rFonts w:cs="Tahoma"/>
        </w:rPr>
      </w:pPr>
      <w:bookmarkStart w:id="40" w:name="_Toc95912226"/>
      <w:r w:rsidRPr="00515872">
        <w:rPr>
          <w:rFonts w:cs="Tahoma"/>
        </w:rPr>
        <w:t>2.6.2 Rimborso spese</w:t>
      </w:r>
      <w:bookmarkEnd w:id="39"/>
      <w:bookmarkEnd w:id="40"/>
    </w:p>
    <w:p w14:paraId="63020764" w14:textId="77777777" w:rsidR="009518AF" w:rsidRPr="00515872" w:rsidRDefault="009518AF" w:rsidP="009518AF">
      <w:pPr>
        <w:spacing w:line="360" w:lineRule="auto"/>
        <w:jc w:val="both"/>
        <w:rPr>
          <w:rFonts w:cs="Tahoma"/>
        </w:rPr>
      </w:pPr>
      <w:r w:rsidRPr="00515872">
        <w:rPr>
          <w:rFonts w:cs="Tahoma"/>
        </w:rPr>
        <w:t xml:space="preserve">Ai componenti dell’organo di revisione aventi residenza al di fuori del comune presso il quale è assunto l’incarico è </w:t>
      </w:r>
      <w:r w:rsidR="0043135F" w:rsidRPr="00515872">
        <w:rPr>
          <w:rFonts w:cs="Tahoma"/>
        </w:rPr>
        <w:t>riconosciuto</w:t>
      </w:r>
      <w:r w:rsidRPr="00515872">
        <w:rPr>
          <w:rFonts w:cs="Tahoma"/>
        </w:rPr>
        <w:t xml:space="preserve"> il rimborso delle spese di viaggio sostenute per la presenza necessaria o richiesta presso la sede dell’ente. Le modalità di calcolo del rimborso sono fissate </w:t>
      </w:r>
      <w:r w:rsidR="00C9051F" w:rsidRPr="00515872">
        <w:rPr>
          <w:rFonts w:cs="Tahoma"/>
        </w:rPr>
        <w:t xml:space="preserve">dal regolamento di contabilità, ovvero </w:t>
      </w:r>
      <w:r w:rsidRPr="00515872">
        <w:rPr>
          <w:rFonts w:cs="Tahoma"/>
        </w:rPr>
        <w:t>con la delibera di nomina o in apposita convenzione che regoli lo svolgimento dell’attività di revisione. Spetta, inoltre, il rimborso delle spese di vitto e alloggio che si rendano necessarie, nella misura stabilita per i componenti dell’organo esecutivo dell’ente.</w:t>
      </w:r>
    </w:p>
    <w:p w14:paraId="5FE26C41" w14:textId="77777777" w:rsidR="009518AF" w:rsidRPr="00515872" w:rsidRDefault="009518AF" w:rsidP="009518AF">
      <w:pPr>
        <w:spacing w:line="360" w:lineRule="auto"/>
        <w:jc w:val="both"/>
        <w:rPr>
          <w:rFonts w:cs="Tahoma"/>
        </w:rPr>
      </w:pPr>
      <w:r w:rsidRPr="00515872">
        <w:rPr>
          <w:rFonts w:cs="Tahoma"/>
        </w:rPr>
        <w:lastRenderedPageBreak/>
        <w:t>Il rimborso spese, a norma del c. 6-bis dell’art. 241 TUEL, non può superare il 50% del compenso annuo del revisore stesso.</w:t>
      </w:r>
    </w:p>
    <w:p w14:paraId="0C5FED28" w14:textId="77777777" w:rsidR="009518AF" w:rsidRPr="00515872" w:rsidRDefault="009518AF" w:rsidP="009518AF">
      <w:pPr>
        <w:spacing w:before="100" w:beforeAutospacing="1" w:line="360" w:lineRule="auto"/>
        <w:jc w:val="both"/>
        <w:rPr>
          <w:rFonts w:eastAsia="Times New Roman" w:cs="Tahoma"/>
          <w:szCs w:val="20"/>
          <w:lang w:eastAsia="it-IT"/>
        </w:rPr>
      </w:pPr>
      <w:r w:rsidRPr="00515872">
        <w:rPr>
          <w:rFonts w:eastAsia="Times New Roman" w:cs="Tahoma"/>
          <w:szCs w:val="20"/>
          <w:lang w:eastAsia="it-IT"/>
        </w:rPr>
        <w:t>Il c. 13, dell’art. 77-</w:t>
      </w:r>
      <w:r w:rsidRPr="00515872">
        <w:rPr>
          <w:rFonts w:eastAsia="Times New Roman" w:cs="Tahoma"/>
          <w:i/>
          <w:iCs/>
          <w:szCs w:val="20"/>
          <w:lang w:eastAsia="it-IT"/>
        </w:rPr>
        <w:t>bis</w:t>
      </w:r>
      <w:r w:rsidRPr="00515872">
        <w:rPr>
          <w:rFonts w:eastAsia="Times New Roman" w:cs="Tahoma"/>
          <w:szCs w:val="20"/>
          <w:lang w:eastAsia="it-IT"/>
        </w:rPr>
        <w:t>, del D.L. n. 112/08, prescrive che: “</w:t>
      </w:r>
      <w:r w:rsidRPr="00515872">
        <w:rPr>
          <w:rFonts w:eastAsia="Times New Roman" w:cs="Tahoma"/>
          <w:i/>
          <w:iCs/>
          <w:szCs w:val="20"/>
          <w:lang w:eastAsia="it-IT"/>
        </w:rPr>
        <w:t>al fine di assicurare il raggiungimento degli obiettivi del Patto di stabilità interno, il rimborso per le trasferte dei Consiglieri comunali e provinciali è, per ogni chilometro, pari a un quinto del costo di un litro di benzina</w:t>
      </w:r>
      <w:r w:rsidRPr="00515872">
        <w:rPr>
          <w:rFonts w:eastAsia="Times New Roman" w:cs="Tahoma"/>
          <w:szCs w:val="20"/>
          <w:lang w:eastAsia="it-IT"/>
        </w:rPr>
        <w:t>”.</w:t>
      </w:r>
    </w:p>
    <w:p w14:paraId="5719CE74" w14:textId="77777777" w:rsidR="009518AF" w:rsidRPr="00515872" w:rsidRDefault="009518AF" w:rsidP="00964808">
      <w:pPr>
        <w:spacing w:before="100" w:beforeAutospacing="1" w:after="0" w:line="360" w:lineRule="auto"/>
        <w:jc w:val="both"/>
        <w:rPr>
          <w:rFonts w:eastAsia="Times New Roman" w:cs="Tahoma"/>
          <w:szCs w:val="20"/>
          <w:lang w:eastAsia="it-IT"/>
        </w:rPr>
      </w:pPr>
      <w:r w:rsidRPr="00515872">
        <w:rPr>
          <w:rFonts w:eastAsia="Times New Roman" w:cs="Tahoma"/>
          <w:szCs w:val="20"/>
          <w:lang w:eastAsia="it-IT"/>
        </w:rPr>
        <w:t>Il D.M. Giustizia 2 settembre 2010, n. 169, all’art. 18, dispone che: “</w:t>
      </w:r>
      <w:r w:rsidRPr="00515872">
        <w:rPr>
          <w:rFonts w:eastAsia="Times New Roman" w:cs="Tahoma"/>
          <w:i/>
          <w:iCs/>
          <w:szCs w:val="20"/>
          <w:lang w:eastAsia="it-IT"/>
        </w:rPr>
        <w:t xml:space="preserve">al professionista, che per l’adempimento dell’incarico si rechi fuori dalla sede dello studio, spetta un compenso per il rimborso delle spese di viaggio e di soggiorno. Le spese di viaggio sono determinate in misura pari: </w:t>
      </w:r>
    </w:p>
    <w:p w14:paraId="14121774" w14:textId="77777777" w:rsidR="009518AF" w:rsidRPr="00515872" w:rsidRDefault="009518AF" w:rsidP="00DA36EF">
      <w:pPr>
        <w:spacing w:before="100" w:beforeAutospacing="1" w:line="360" w:lineRule="auto"/>
        <w:contextualSpacing/>
        <w:jc w:val="both"/>
        <w:rPr>
          <w:rFonts w:eastAsia="Times New Roman" w:cs="Tahoma"/>
          <w:szCs w:val="20"/>
          <w:lang w:eastAsia="it-IT"/>
        </w:rPr>
      </w:pPr>
      <w:r w:rsidRPr="00515872">
        <w:rPr>
          <w:rFonts w:eastAsia="Times New Roman" w:cs="Tahoma"/>
          <w:i/>
          <w:iCs/>
          <w:szCs w:val="20"/>
          <w:lang w:eastAsia="it-IT"/>
        </w:rPr>
        <w:t xml:space="preserve">a) al costo del biglietto di prima classe in caso di trasporto ferroviario; </w:t>
      </w:r>
    </w:p>
    <w:p w14:paraId="151A726B" w14:textId="77777777" w:rsidR="009518AF" w:rsidRPr="00515872" w:rsidRDefault="009518AF" w:rsidP="00DA36EF">
      <w:pPr>
        <w:spacing w:before="100" w:beforeAutospacing="1" w:line="360" w:lineRule="auto"/>
        <w:contextualSpacing/>
        <w:jc w:val="both"/>
        <w:rPr>
          <w:rFonts w:eastAsia="Times New Roman" w:cs="Tahoma"/>
          <w:szCs w:val="20"/>
          <w:lang w:eastAsia="it-IT"/>
        </w:rPr>
      </w:pPr>
      <w:r w:rsidRPr="00515872">
        <w:rPr>
          <w:rFonts w:eastAsia="Times New Roman" w:cs="Tahoma"/>
          <w:i/>
          <w:iCs/>
          <w:szCs w:val="20"/>
          <w:lang w:eastAsia="it-IT"/>
        </w:rPr>
        <w:t xml:space="preserve">b) al costo del biglietto di ‘business class’ in caso di tratte intercontinentali e al costo del biglietto della ‘economy class‘ in caso di tratte nazionali e continentali del trasporto aereo; </w:t>
      </w:r>
    </w:p>
    <w:p w14:paraId="32A42BF8" w14:textId="77777777" w:rsidR="009518AF" w:rsidRPr="00515872" w:rsidRDefault="009518AF" w:rsidP="00DA36EF">
      <w:pPr>
        <w:spacing w:before="100" w:beforeAutospacing="1" w:line="360" w:lineRule="auto"/>
        <w:contextualSpacing/>
        <w:jc w:val="both"/>
        <w:rPr>
          <w:rFonts w:eastAsia="Times New Roman" w:cs="Tahoma"/>
          <w:szCs w:val="20"/>
          <w:lang w:eastAsia="it-IT"/>
        </w:rPr>
      </w:pPr>
      <w:r w:rsidRPr="00515872">
        <w:rPr>
          <w:rFonts w:eastAsia="Times New Roman" w:cs="Tahoma"/>
          <w:i/>
          <w:iCs/>
          <w:szCs w:val="20"/>
          <w:lang w:eastAsia="it-IT"/>
        </w:rPr>
        <w:t>c) al costo chilometrico risultante dalle Tariffe ACI del mezzo privato utilizzato</w:t>
      </w:r>
      <w:r w:rsidRPr="00515872">
        <w:rPr>
          <w:rFonts w:eastAsia="Times New Roman" w:cs="Tahoma"/>
          <w:szCs w:val="20"/>
          <w:lang w:eastAsia="it-IT"/>
        </w:rPr>
        <w:t>”.</w:t>
      </w:r>
    </w:p>
    <w:p w14:paraId="5F378C4E" w14:textId="77777777" w:rsidR="009518AF" w:rsidRPr="00515872" w:rsidRDefault="009518AF" w:rsidP="009518AF">
      <w:pPr>
        <w:spacing w:before="100" w:beforeAutospacing="1" w:line="360" w:lineRule="auto"/>
        <w:jc w:val="both"/>
        <w:rPr>
          <w:rFonts w:eastAsia="Times New Roman" w:cs="Tahoma"/>
          <w:szCs w:val="20"/>
          <w:lang w:eastAsia="it-IT"/>
        </w:rPr>
      </w:pPr>
      <w:r w:rsidRPr="00515872">
        <w:rPr>
          <w:rFonts w:eastAsia="Times New Roman" w:cs="Tahoma"/>
          <w:szCs w:val="20"/>
          <w:lang w:eastAsia="it-IT"/>
        </w:rPr>
        <w:t xml:space="preserve">Nella pratica, stante la mancanza di riferimenti precisi e puntuali per la determinazione del rimborso spese per i revisori, si verifica che alcuni enti, al fine di stabilire i rimborsi delle spese di viaggio, mutuano il criterio di calcolo previsto per le spese di viaggio degli amministratori, rimborsando in ragione di un quinto del costo di un litro di benzina per ogni chilometro percorso. Altri, invece, adottano il criterio previsto per i professionisti, applicando il </w:t>
      </w:r>
      <w:r w:rsidRPr="00515872">
        <w:rPr>
          <w:rFonts w:eastAsia="Times New Roman" w:cs="Tahoma"/>
          <w:iCs/>
          <w:szCs w:val="20"/>
          <w:lang w:eastAsia="it-IT"/>
        </w:rPr>
        <w:t>costo chilometrico risultante dalle tariffe ACI</w:t>
      </w:r>
      <w:r w:rsidRPr="00515872">
        <w:rPr>
          <w:rFonts w:eastAsia="Times New Roman" w:cs="Tahoma"/>
          <w:szCs w:val="20"/>
          <w:lang w:eastAsia="it-IT"/>
        </w:rPr>
        <w:t>. In altri casi, ancora, accade che l’ente individui un criterio forfettario per la determinazione delle stesse spese in oggetto.</w:t>
      </w:r>
    </w:p>
    <w:p w14:paraId="710E638D" w14:textId="77777777" w:rsidR="00C9051F" w:rsidRPr="00515872" w:rsidRDefault="00C9051F" w:rsidP="00964808">
      <w:pPr>
        <w:spacing w:line="360" w:lineRule="auto"/>
        <w:jc w:val="both"/>
        <w:rPr>
          <w:rFonts w:eastAsia="Times New Roman" w:cs="Tahoma"/>
          <w:szCs w:val="20"/>
          <w:lang w:eastAsia="it-IT"/>
        </w:rPr>
      </w:pPr>
      <w:r w:rsidRPr="00515872">
        <w:rPr>
          <w:rFonts w:eastAsia="Times New Roman" w:cs="Tahoma"/>
          <w:szCs w:val="20"/>
          <w:lang w:eastAsia="it-IT"/>
        </w:rPr>
        <w:t>Ove l’ente non intervenga con delibera di nomina, ovvero con proprio regolamento o convenzione, non si può ritenere che venga meno il diritto del revisore al rimborso delle spese sostenute dovendosi ritenere preferibile l’applicazione del costo chilometrico basato sulle tariffe ACI.</w:t>
      </w:r>
    </w:p>
    <w:p w14:paraId="500E028C" w14:textId="77777777" w:rsidR="009518AF" w:rsidRPr="00515872" w:rsidRDefault="009518AF" w:rsidP="009518AF">
      <w:pPr>
        <w:spacing w:line="360" w:lineRule="auto"/>
        <w:jc w:val="both"/>
        <w:rPr>
          <w:rFonts w:cs="Tahoma"/>
        </w:rPr>
      </w:pPr>
      <w:r w:rsidRPr="00515872">
        <w:rPr>
          <w:rFonts w:cs="Tahoma"/>
        </w:rPr>
        <w:br w:type="page"/>
      </w:r>
    </w:p>
    <w:p w14:paraId="4484851C" w14:textId="77777777" w:rsidR="009518AF" w:rsidRPr="00515872" w:rsidRDefault="009518AF" w:rsidP="009518AF">
      <w:pPr>
        <w:pStyle w:val="Titolo"/>
        <w:rPr>
          <w:rFonts w:cs="Tahoma"/>
        </w:rPr>
      </w:pPr>
      <w:bookmarkStart w:id="41" w:name="_Toc521317054"/>
      <w:bookmarkStart w:id="42" w:name="_Toc95912227"/>
      <w:r w:rsidRPr="00515872">
        <w:rPr>
          <w:rFonts w:cs="Tahoma"/>
        </w:rPr>
        <w:lastRenderedPageBreak/>
        <w:t>3. Funzionamento dell’organo di revisione</w:t>
      </w:r>
      <w:bookmarkEnd w:id="41"/>
      <w:bookmarkEnd w:id="42"/>
    </w:p>
    <w:p w14:paraId="2AF34B41" w14:textId="77777777" w:rsidR="009518AF" w:rsidRPr="00515872" w:rsidRDefault="009518AF" w:rsidP="00297A21">
      <w:pPr>
        <w:pStyle w:val="Paragrafo"/>
        <w:rPr>
          <w:rFonts w:eastAsia="MS Gothic"/>
          <w:kern w:val="28"/>
          <w:sz w:val="40"/>
          <w:szCs w:val="32"/>
        </w:rPr>
      </w:pPr>
      <w:bookmarkStart w:id="43" w:name="_Toc521317055"/>
      <w:bookmarkStart w:id="44" w:name="_Toc95912228"/>
      <w:r w:rsidRPr="00515872">
        <w:t>3.1 Composizione dell’organo di revisione</w:t>
      </w:r>
      <w:bookmarkEnd w:id="43"/>
      <w:bookmarkEnd w:id="44"/>
    </w:p>
    <w:p w14:paraId="529ACC69" w14:textId="77777777" w:rsidR="009518AF" w:rsidRPr="00515872" w:rsidRDefault="009518AF" w:rsidP="009518AF">
      <w:pPr>
        <w:spacing w:line="360" w:lineRule="auto"/>
        <w:jc w:val="both"/>
        <w:rPr>
          <w:rFonts w:cs="Tahoma"/>
          <w:bCs/>
        </w:rPr>
      </w:pPr>
      <w:r w:rsidRPr="00515872">
        <w:rPr>
          <w:rFonts w:cs="Tahoma"/>
          <w:bCs/>
        </w:rPr>
        <w:t>L’ordinamento giuridico italiano prevede composizioni differenziate dell’organo di revisione a seconda della tipologia dell’ente territoriale e delle dimensioni dello stesso in termini di popolazione residente, prevedendo in taluni casi la nomina collegiale con un organo composto di 3 membri e, nei restanti, il revisore unico.</w:t>
      </w:r>
    </w:p>
    <w:p w14:paraId="17A0C325" w14:textId="77777777" w:rsidR="009518AF" w:rsidRPr="00515872" w:rsidRDefault="009518AF" w:rsidP="009518AF">
      <w:pPr>
        <w:spacing w:after="0" w:line="360" w:lineRule="auto"/>
        <w:jc w:val="both"/>
        <w:rPr>
          <w:rFonts w:cs="Tahoma"/>
          <w:bCs/>
        </w:rPr>
      </w:pPr>
      <w:r w:rsidRPr="00515872">
        <w:rPr>
          <w:rFonts w:cs="Tahoma"/>
          <w:bCs/>
        </w:rPr>
        <w:t>Più precisamente è previsto un:</w:t>
      </w:r>
    </w:p>
    <w:p w14:paraId="0D6B249B" w14:textId="77777777" w:rsidR="009518AF" w:rsidRPr="00515872" w:rsidRDefault="009518AF" w:rsidP="009518AF">
      <w:pPr>
        <w:pStyle w:val="Paragrafoelenco"/>
        <w:numPr>
          <w:ilvl w:val="0"/>
          <w:numId w:val="12"/>
        </w:numPr>
        <w:spacing w:line="360" w:lineRule="auto"/>
        <w:jc w:val="both"/>
        <w:rPr>
          <w:rFonts w:cs="Tahoma"/>
          <w:bCs/>
        </w:rPr>
      </w:pPr>
      <w:r w:rsidRPr="00515872">
        <w:rPr>
          <w:rFonts w:cs="Tahoma"/>
          <w:b/>
          <w:bCs/>
        </w:rPr>
        <w:t>collegio dei revisori</w:t>
      </w:r>
      <w:r w:rsidRPr="00515872">
        <w:rPr>
          <w:rFonts w:cs="Tahoma"/>
          <w:bCs/>
        </w:rPr>
        <w:t>: in comuni con popolazione pari o superiore a 15.000 abitanti</w:t>
      </w:r>
      <w:r w:rsidRPr="00515872">
        <w:rPr>
          <w:rStyle w:val="Rimandonotaapidipagina"/>
          <w:rFonts w:cs="Tahoma"/>
          <w:bCs/>
        </w:rPr>
        <w:footnoteReference w:id="17"/>
      </w:r>
      <w:r w:rsidRPr="00515872">
        <w:rPr>
          <w:rFonts w:cs="Tahoma"/>
          <w:bCs/>
        </w:rPr>
        <w:t>, province, città metropolitane, unioni di comuni che esercitano in forma associata tutte le funzioni fondamentali dei comuni che ne fanno parte</w:t>
      </w:r>
      <w:r w:rsidR="00B46630" w:rsidRPr="00515872">
        <w:rPr>
          <w:rFonts w:cs="Tahoma"/>
          <w:bCs/>
        </w:rPr>
        <w:t xml:space="preserve"> o con popolazione superiore a 10.000 abitanti</w:t>
      </w:r>
      <w:r w:rsidRPr="00515872">
        <w:rPr>
          <w:rFonts w:cs="Tahoma"/>
          <w:bCs/>
        </w:rPr>
        <w:t>;</w:t>
      </w:r>
    </w:p>
    <w:p w14:paraId="626810B1" w14:textId="77777777" w:rsidR="009518AF" w:rsidRPr="00515872" w:rsidRDefault="009518AF" w:rsidP="009518AF">
      <w:pPr>
        <w:pStyle w:val="Paragrafoelenco"/>
        <w:numPr>
          <w:ilvl w:val="0"/>
          <w:numId w:val="12"/>
        </w:numPr>
        <w:spacing w:line="360" w:lineRule="auto"/>
        <w:jc w:val="both"/>
        <w:rPr>
          <w:rFonts w:cs="Tahoma"/>
          <w:bCs/>
        </w:rPr>
      </w:pPr>
      <w:r w:rsidRPr="00515872">
        <w:rPr>
          <w:rFonts w:cs="Tahoma"/>
          <w:b/>
          <w:bCs/>
        </w:rPr>
        <w:t>revisore unico</w:t>
      </w:r>
      <w:r w:rsidRPr="00515872">
        <w:rPr>
          <w:rFonts w:cs="Tahoma"/>
          <w:bCs/>
        </w:rPr>
        <w:t>: in comuni con popolazione inferiore a 15.000 abitanti, unioni di comuni diverse da quelle di cui al pun</w:t>
      </w:r>
      <w:r w:rsidR="000C6A6D" w:rsidRPr="00515872">
        <w:rPr>
          <w:rFonts w:cs="Tahoma"/>
          <w:bCs/>
        </w:rPr>
        <w:t>to precedente, comunità montane</w:t>
      </w:r>
      <w:r w:rsidR="008A00F5" w:rsidRPr="00515872">
        <w:rPr>
          <w:rStyle w:val="Rimandonotaapidipagina"/>
          <w:rFonts w:cs="Tahoma"/>
          <w:bCs/>
        </w:rPr>
        <w:footnoteReference w:id="18"/>
      </w:r>
      <w:r w:rsidR="000C6A6D" w:rsidRPr="00515872">
        <w:rPr>
          <w:rFonts w:cs="Tahoma"/>
          <w:bCs/>
        </w:rPr>
        <w:t>.</w:t>
      </w:r>
    </w:p>
    <w:p w14:paraId="4D5553F4" w14:textId="77777777" w:rsidR="009518AF" w:rsidRPr="00515872" w:rsidRDefault="009518AF" w:rsidP="009518AF">
      <w:pPr>
        <w:spacing w:line="360" w:lineRule="auto"/>
        <w:jc w:val="both"/>
        <w:rPr>
          <w:rFonts w:cs="Tahoma"/>
          <w:bCs/>
        </w:rPr>
      </w:pPr>
      <w:r w:rsidRPr="00515872">
        <w:rPr>
          <w:rFonts w:cs="Tahoma"/>
          <w:bCs/>
        </w:rPr>
        <w:t>Come già specificato nel capitolo 2, la nomina avviene per mezzo del consiglio dell’ente a seguito di estrazione a sorte ai sensi del D.L. n. 138/2011, convertito con modificazioni dalla L. n. 148/2011.</w:t>
      </w:r>
    </w:p>
    <w:p w14:paraId="5D82A8EE" w14:textId="77777777" w:rsidR="00792B52" w:rsidRPr="00515872" w:rsidRDefault="009518AF" w:rsidP="009518AF">
      <w:pPr>
        <w:spacing w:line="360" w:lineRule="auto"/>
        <w:jc w:val="both"/>
        <w:rPr>
          <w:rFonts w:cs="Tahoma"/>
          <w:bCs/>
        </w:rPr>
      </w:pPr>
      <w:r w:rsidRPr="00515872">
        <w:rPr>
          <w:rFonts w:cs="Tahoma"/>
          <w:bCs/>
        </w:rPr>
        <w:t>Si è altresì già accennato al fatto che il sorteggio contempla l’estrazione di 3 nominativi per ciascun revisore da nominare il che significa, in termini pratici, che la nomina di un revisore unico comporta il sorteggio di 3 nominativi, mentre, nel caso di rinnovo dell’organo collegiale, vengono sorteggiati</w:t>
      </w:r>
      <w:r w:rsidR="00B46630" w:rsidRPr="00515872">
        <w:rPr>
          <w:rFonts w:cs="Tahoma"/>
          <w:bCs/>
        </w:rPr>
        <w:t xml:space="preserve"> ora 6</w:t>
      </w:r>
      <w:r w:rsidRPr="00515872">
        <w:rPr>
          <w:rFonts w:cs="Tahoma"/>
          <w:bCs/>
        </w:rPr>
        <w:t xml:space="preserve"> nominativi, dei quali i primi </w:t>
      </w:r>
      <w:r w:rsidR="00B46630" w:rsidRPr="00515872">
        <w:rPr>
          <w:rFonts w:cs="Tahoma"/>
          <w:bCs/>
        </w:rPr>
        <w:t>2</w:t>
      </w:r>
      <w:r w:rsidRPr="00515872">
        <w:rPr>
          <w:rFonts w:cs="Tahoma"/>
          <w:bCs/>
        </w:rPr>
        <w:t xml:space="preserve"> in ordine di estrazione sono eletti, salvo rinuncia</w:t>
      </w:r>
      <w:r w:rsidR="000C6A6D" w:rsidRPr="00515872">
        <w:rPr>
          <w:rFonts w:cs="Tahoma"/>
          <w:bCs/>
        </w:rPr>
        <w:t>, mentre, a decorrere dal 25 dicembre 2019, il</w:t>
      </w:r>
      <w:r w:rsidR="00B46630" w:rsidRPr="00515872">
        <w:rPr>
          <w:rFonts w:cs="Tahoma"/>
          <w:bCs/>
        </w:rPr>
        <w:t xml:space="preserve"> </w:t>
      </w:r>
      <w:r w:rsidR="00B173BB" w:rsidRPr="00515872">
        <w:rPr>
          <w:rFonts w:cs="Tahoma"/>
          <w:bCs/>
        </w:rPr>
        <w:t>presidente</w:t>
      </w:r>
      <w:r w:rsidR="00B46630" w:rsidRPr="00515872">
        <w:rPr>
          <w:rFonts w:cs="Tahoma"/>
          <w:bCs/>
        </w:rPr>
        <w:t xml:space="preserve"> è </w:t>
      </w:r>
      <w:r w:rsidR="005F0CB9" w:rsidRPr="00515872">
        <w:rPr>
          <w:rFonts w:cs="Tahoma"/>
          <w:bCs/>
        </w:rPr>
        <w:t>scelto</w:t>
      </w:r>
      <w:r w:rsidR="00B46630" w:rsidRPr="00515872">
        <w:rPr>
          <w:rFonts w:cs="Tahoma"/>
          <w:bCs/>
        </w:rPr>
        <w:t xml:space="preserve"> direttamente dal consiglio comunale</w:t>
      </w:r>
      <w:r w:rsidRPr="00515872">
        <w:rPr>
          <w:rFonts w:cs="Tahoma"/>
          <w:bCs/>
        </w:rPr>
        <w:t xml:space="preserve">. </w:t>
      </w:r>
      <w:r w:rsidR="00792B52" w:rsidRPr="00515872">
        <w:rPr>
          <w:rFonts w:cs="Tahoma"/>
          <w:bCs/>
        </w:rPr>
        <w:t>In precedenza, la nomina collegiale prevedeva l’estrazione di 9 nominativi (compreso</w:t>
      </w:r>
      <w:r w:rsidR="000C6A6D" w:rsidRPr="00515872">
        <w:rPr>
          <w:rFonts w:cs="Tahoma"/>
          <w:bCs/>
        </w:rPr>
        <w:t>, quindi,</w:t>
      </w:r>
      <w:r w:rsidR="00792B52" w:rsidRPr="00515872">
        <w:rPr>
          <w:rFonts w:cs="Tahoma"/>
          <w:bCs/>
        </w:rPr>
        <w:t xml:space="preserve"> quello del</w:t>
      </w:r>
      <w:r w:rsidR="000C6A6D" w:rsidRPr="00515872">
        <w:rPr>
          <w:rFonts w:cs="Tahoma"/>
          <w:bCs/>
        </w:rPr>
        <w:t xml:space="preserve"> </w:t>
      </w:r>
      <w:r w:rsidR="00792B52" w:rsidRPr="00515872">
        <w:rPr>
          <w:rFonts w:cs="Tahoma"/>
          <w:bCs/>
        </w:rPr>
        <w:t>presidente), e assunzione della carica presidenziale da parte del membro con maggior numero di incarichi di revisione presso enti locali con preferenza, in caso di parità, per quello con incarichi</w:t>
      </w:r>
      <w:r w:rsidR="000C6A6D" w:rsidRPr="00515872">
        <w:rPr>
          <w:rFonts w:cs="Tahoma"/>
          <w:bCs/>
        </w:rPr>
        <w:t xml:space="preserve"> pregressi</w:t>
      </w:r>
      <w:r w:rsidR="00792B52" w:rsidRPr="00515872">
        <w:rPr>
          <w:rFonts w:cs="Tahoma"/>
          <w:bCs/>
        </w:rPr>
        <w:t xml:space="preserve"> in enti di maggiore dimensione demografica. </w:t>
      </w:r>
    </w:p>
    <w:p w14:paraId="7897A4E0" w14:textId="77777777" w:rsidR="009518AF" w:rsidRPr="00515872" w:rsidRDefault="009518AF" w:rsidP="009518AF">
      <w:pPr>
        <w:spacing w:line="360" w:lineRule="auto"/>
        <w:jc w:val="both"/>
        <w:rPr>
          <w:rFonts w:cs="Tahoma"/>
          <w:bCs/>
        </w:rPr>
      </w:pPr>
      <w:r w:rsidRPr="00515872">
        <w:rPr>
          <w:rFonts w:cs="Tahoma"/>
          <w:bCs/>
        </w:rPr>
        <w:t xml:space="preserve">Sempre in ambito collegiale, nel caso in cui, invece, si renda necessario procedere alla sostituzione di un solo membro (tipicamente, in caso di necessità di sostituire un revisore cessato anticipatamente rispetto alla </w:t>
      </w:r>
      <w:r w:rsidR="005F0CB9" w:rsidRPr="00515872">
        <w:rPr>
          <w:rFonts w:cs="Tahoma"/>
          <w:bCs/>
        </w:rPr>
        <w:lastRenderedPageBreak/>
        <w:t>scadenza naturale</w:t>
      </w:r>
      <w:r w:rsidRPr="00515872">
        <w:rPr>
          <w:rFonts w:cs="Tahoma"/>
          <w:bCs/>
        </w:rPr>
        <w:t xml:space="preserve"> del mandato)</w:t>
      </w:r>
      <w:r w:rsidR="00B46630" w:rsidRPr="00515872">
        <w:rPr>
          <w:rFonts w:cs="Tahoma"/>
          <w:bCs/>
        </w:rPr>
        <w:t xml:space="preserve"> diverso dal </w:t>
      </w:r>
      <w:r w:rsidR="00B173BB" w:rsidRPr="00515872">
        <w:rPr>
          <w:rFonts w:cs="Tahoma"/>
          <w:bCs/>
        </w:rPr>
        <w:t>presidente</w:t>
      </w:r>
      <w:r w:rsidRPr="00515872">
        <w:rPr>
          <w:rFonts w:cs="Tahoma"/>
          <w:bCs/>
        </w:rPr>
        <w:t>, il sorteggio comporta comunque l’estrazione di 3 nominativi.</w:t>
      </w:r>
    </w:p>
    <w:p w14:paraId="6C9D0D39" w14:textId="77777777" w:rsidR="009518AF" w:rsidRPr="00515872" w:rsidRDefault="009518AF" w:rsidP="009518AF">
      <w:pPr>
        <w:spacing w:after="0" w:line="360" w:lineRule="auto"/>
        <w:jc w:val="both"/>
        <w:rPr>
          <w:rFonts w:cs="Tahoma"/>
          <w:bCs/>
        </w:rPr>
      </w:pPr>
      <w:r w:rsidRPr="00515872">
        <w:rPr>
          <w:rFonts w:cs="Tahoma"/>
          <w:bCs/>
        </w:rPr>
        <w:t>Il consiglio deputato a ratificare tale nomina è:</w:t>
      </w:r>
    </w:p>
    <w:p w14:paraId="60113A9E" w14:textId="77777777" w:rsidR="009518AF" w:rsidRPr="00515872" w:rsidRDefault="009518AF" w:rsidP="009518AF">
      <w:pPr>
        <w:pStyle w:val="Paragrafoelenco"/>
        <w:numPr>
          <w:ilvl w:val="0"/>
          <w:numId w:val="13"/>
        </w:numPr>
        <w:spacing w:line="360" w:lineRule="auto"/>
        <w:jc w:val="both"/>
        <w:rPr>
          <w:rFonts w:cs="Tahoma"/>
          <w:bCs/>
        </w:rPr>
      </w:pPr>
      <w:r w:rsidRPr="00515872">
        <w:rPr>
          <w:rFonts w:cs="Tahoma"/>
          <w:bCs/>
        </w:rPr>
        <w:t>per i comuni: consiglio comunale;</w:t>
      </w:r>
    </w:p>
    <w:p w14:paraId="1002A36E" w14:textId="77777777" w:rsidR="009518AF" w:rsidRPr="00515872" w:rsidRDefault="009518AF" w:rsidP="009518AF">
      <w:pPr>
        <w:pStyle w:val="Paragrafoelenco"/>
        <w:numPr>
          <w:ilvl w:val="0"/>
          <w:numId w:val="13"/>
        </w:numPr>
        <w:spacing w:line="360" w:lineRule="auto"/>
        <w:jc w:val="both"/>
        <w:rPr>
          <w:rFonts w:cs="Tahoma"/>
          <w:bCs/>
        </w:rPr>
      </w:pPr>
      <w:r w:rsidRPr="00515872">
        <w:rPr>
          <w:rFonts w:cs="Tahoma"/>
          <w:bCs/>
        </w:rPr>
        <w:t>per le province: consiglio provinciale;</w:t>
      </w:r>
    </w:p>
    <w:p w14:paraId="5044793E" w14:textId="77777777" w:rsidR="009518AF" w:rsidRPr="00515872" w:rsidRDefault="009518AF" w:rsidP="009518AF">
      <w:pPr>
        <w:pStyle w:val="Paragrafoelenco"/>
        <w:numPr>
          <w:ilvl w:val="0"/>
          <w:numId w:val="13"/>
        </w:numPr>
        <w:spacing w:line="360" w:lineRule="auto"/>
        <w:jc w:val="both"/>
        <w:rPr>
          <w:rFonts w:cs="Tahoma"/>
          <w:bCs/>
        </w:rPr>
      </w:pPr>
      <w:r w:rsidRPr="00515872">
        <w:rPr>
          <w:rFonts w:cs="Tahoma"/>
          <w:bCs/>
        </w:rPr>
        <w:t>per le città metropolitane: consiglio della città metropolitana;</w:t>
      </w:r>
    </w:p>
    <w:p w14:paraId="6DEC27E5" w14:textId="77777777" w:rsidR="009518AF" w:rsidRPr="00515872" w:rsidRDefault="009518AF" w:rsidP="009518AF">
      <w:pPr>
        <w:pStyle w:val="Paragrafoelenco"/>
        <w:numPr>
          <w:ilvl w:val="0"/>
          <w:numId w:val="13"/>
        </w:numPr>
        <w:spacing w:line="360" w:lineRule="auto"/>
        <w:jc w:val="both"/>
        <w:rPr>
          <w:rFonts w:cs="Tahoma"/>
          <w:bCs/>
        </w:rPr>
      </w:pPr>
      <w:r w:rsidRPr="00515872">
        <w:rPr>
          <w:rFonts w:cs="Tahoma"/>
          <w:bCs/>
        </w:rPr>
        <w:t>per le unioni di comuni: consiglio dell’unione;</w:t>
      </w:r>
    </w:p>
    <w:p w14:paraId="17C37D5F" w14:textId="77777777" w:rsidR="009518AF" w:rsidRPr="00515872" w:rsidRDefault="009518AF" w:rsidP="009518AF">
      <w:pPr>
        <w:pStyle w:val="Paragrafoelenco"/>
        <w:numPr>
          <w:ilvl w:val="0"/>
          <w:numId w:val="13"/>
        </w:numPr>
        <w:spacing w:line="360" w:lineRule="auto"/>
        <w:jc w:val="both"/>
        <w:rPr>
          <w:rFonts w:cs="Tahoma"/>
          <w:bCs/>
        </w:rPr>
      </w:pPr>
      <w:r w:rsidRPr="00515872">
        <w:rPr>
          <w:rFonts w:cs="Tahoma"/>
          <w:bCs/>
        </w:rPr>
        <w:t>per le comunità montane: consigli</w:t>
      </w:r>
      <w:r w:rsidR="00B836DA" w:rsidRPr="00515872">
        <w:rPr>
          <w:rFonts w:cs="Tahoma"/>
          <w:bCs/>
        </w:rPr>
        <w:t>o</w:t>
      </w:r>
      <w:r w:rsidRPr="00515872">
        <w:rPr>
          <w:rFonts w:cs="Tahoma"/>
          <w:bCs/>
        </w:rPr>
        <w:t xml:space="preserve"> della comunità montana.</w:t>
      </w:r>
    </w:p>
    <w:p w14:paraId="41AD5EAF" w14:textId="77777777" w:rsidR="00792B52" w:rsidRPr="00515872" w:rsidRDefault="009518AF" w:rsidP="000C6A6D">
      <w:pPr>
        <w:spacing w:after="0" w:line="360" w:lineRule="auto"/>
        <w:jc w:val="both"/>
        <w:rPr>
          <w:rFonts w:cs="Tahoma"/>
          <w:bCs/>
        </w:rPr>
      </w:pPr>
      <w:r w:rsidRPr="00515872">
        <w:rPr>
          <w:rFonts w:cs="Tahoma"/>
          <w:bCs/>
        </w:rPr>
        <w:t>Compito del consiglio è anche la verifica</w:t>
      </w:r>
      <w:r w:rsidR="00792B52" w:rsidRPr="00515872">
        <w:rPr>
          <w:rFonts w:cs="Tahoma"/>
          <w:bCs/>
        </w:rPr>
        <w:t>:</w:t>
      </w:r>
    </w:p>
    <w:p w14:paraId="331629C1" w14:textId="77777777" w:rsidR="00792B52" w:rsidRPr="00515872" w:rsidRDefault="009518AF" w:rsidP="00792B52">
      <w:pPr>
        <w:pStyle w:val="Paragrafoelenco"/>
        <w:numPr>
          <w:ilvl w:val="0"/>
          <w:numId w:val="13"/>
        </w:numPr>
        <w:spacing w:line="360" w:lineRule="auto"/>
        <w:jc w:val="both"/>
        <w:rPr>
          <w:rFonts w:cs="Tahoma"/>
          <w:bCs/>
        </w:rPr>
      </w:pPr>
      <w:r w:rsidRPr="00515872">
        <w:rPr>
          <w:rFonts w:cs="Tahoma"/>
          <w:bCs/>
        </w:rPr>
        <w:t>dell’esistenza di possibili cause di ineleggibilità o incompatibilità</w:t>
      </w:r>
      <w:r w:rsidR="00792B52" w:rsidRPr="00515872">
        <w:rPr>
          <w:rFonts w:cs="Tahoma"/>
          <w:bCs/>
        </w:rPr>
        <w:t>;</w:t>
      </w:r>
    </w:p>
    <w:p w14:paraId="744CA435" w14:textId="77777777" w:rsidR="00556B54" w:rsidRPr="00515872" w:rsidRDefault="00792B52" w:rsidP="00792B52">
      <w:pPr>
        <w:pStyle w:val="Paragrafoelenco"/>
        <w:numPr>
          <w:ilvl w:val="0"/>
          <w:numId w:val="13"/>
        </w:numPr>
        <w:spacing w:line="360" w:lineRule="auto"/>
        <w:jc w:val="both"/>
        <w:rPr>
          <w:rFonts w:cs="Tahoma"/>
          <w:bCs/>
        </w:rPr>
      </w:pPr>
      <w:r w:rsidRPr="00515872">
        <w:rPr>
          <w:rFonts w:cs="Tahoma"/>
          <w:bCs/>
        </w:rPr>
        <w:t xml:space="preserve">dell’esistenza di possibili impedimenti </w:t>
      </w:r>
      <w:r w:rsidR="00556B54" w:rsidRPr="00515872">
        <w:rPr>
          <w:rFonts w:cs="Tahoma"/>
          <w:bCs/>
        </w:rPr>
        <w:t>alla rieleggibilità;</w:t>
      </w:r>
    </w:p>
    <w:p w14:paraId="3B446FF4" w14:textId="77777777" w:rsidR="00556B54" w:rsidRPr="00515872" w:rsidRDefault="00556B54" w:rsidP="00792B52">
      <w:pPr>
        <w:pStyle w:val="Paragrafoelenco"/>
        <w:numPr>
          <w:ilvl w:val="0"/>
          <w:numId w:val="13"/>
        </w:numPr>
        <w:spacing w:line="360" w:lineRule="auto"/>
        <w:jc w:val="both"/>
        <w:rPr>
          <w:rFonts w:cs="Tahoma"/>
          <w:bCs/>
        </w:rPr>
      </w:pPr>
      <w:r w:rsidRPr="00515872">
        <w:rPr>
          <w:rFonts w:cs="Tahoma"/>
          <w:bCs/>
        </w:rPr>
        <w:t>del rispetto del limite al</w:t>
      </w:r>
      <w:r w:rsidR="000C6A6D" w:rsidRPr="00515872">
        <w:rPr>
          <w:rFonts w:cs="Tahoma"/>
          <w:bCs/>
        </w:rPr>
        <w:t xml:space="preserve"> </w:t>
      </w:r>
      <w:r w:rsidRPr="00515872">
        <w:rPr>
          <w:rFonts w:cs="Tahoma"/>
          <w:bCs/>
        </w:rPr>
        <w:t>cumulo degli incarichi;</w:t>
      </w:r>
    </w:p>
    <w:p w14:paraId="4B87B04B" w14:textId="77777777" w:rsidR="009518AF" w:rsidRPr="00515872" w:rsidRDefault="00556B54" w:rsidP="00792B52">
      <w:pPr>
        <w:pStyle w:val="Paragrafoelenco"/>
        <w:numPr>
          <w:ilvl w:val="0"/>
          <w:numId w:val="13"/>
        </w:numPr>
        <w:spacing w:line="360" w:lineRule="auto"/>
        <w:jc w:val="both"/>
        <w:rPr>
          <w:rFonts w:cs="Tahoma"/>
          <w:bCs/>
        </w:rPr>
      </w:pPr>
      <w:r w:rsidRPr="00515872">
        <w:rPr>
          <w:rFonts w:cs="Tahoma"/>
          <w:bCs/>
        </w:rPr>
        <w:t>di eventuali rinunce da parte di soggetti estratti</w:t>
      </w:r>
      <w:r w:rsidR="009518AF" w:rsidRPr="00515872">
        <w:rPr>
          <w:rFonts w:cs="Tahoma"/>
          <w:bCs/>
        </w:rPr>
        <w:t>.</w:t>
      </w:r>
    </w:p>
    <w:p w14:paraId="2F83001E" w14:textId="77777777" w:rsidR="001672F9" w:rsidRPr="00515872" w:rsidRDefault="001672F9" w:rsidP="00297A21">
      <w:pPr>
        <w:pStyle w:val="Paragrafo"/>
      </w:pPr>
      <w:bookmarkStart w:id="45" w:name="_Toc521317056"/>
    </w:p>
    <w:p w14:paraId="4FA854B1" w14:textId="77777777" w:rsidR="009518AF" w:rsidRPr="00515872" w:rsidRDefault="009518AF" w:rsidP="00297A21">
      <w:pPr>
        <w:pStyle w:val="Paragrafo"/>
      </w:pPr>
      <w:bookmarkStart w:id="46" w:name="_Toc95912229"/>
      <w:r w:rsidRPr="00515872">
        <w:t>3.2 Insediamento dell’organo di revisione</w:t>
      </w:r>
      <w:bookmarkEnd w:id="45"/>
      <w:bookmarkEnd w:id="46"/>
    </w:p>
    <w:p w14:paraId="07C5E352" w14:textId="77777777" w:rsidR="00D86E41" w:rsidRPr="00515872" w:rsidRDefault="00D86E41" w:rsidP="009518AF">
      <w:pPr>
        <w:spacing w:line="360" w:lineRule="auto"/>
        <w:jc w:val="both"/>
        <w:rPr>
          <w:rFonts w:cs="Tahoma"/>
          <w:color w:val="000000"/>
          <w:szCs w:val="20"/>
        </w:rPr>
      </w:pPr>
      <w:r w:rsidRPr="00515872">
        <w:rPr>
          <w:rFonts w:cs="Tahoma"/>
          <w:color w:val="000000"/>
          <w:szCs w:val="20"/>
        </w:rPr>
        <w:t>Con</w:t>
      </w:r>
      <w:r w:rsidR="000C6A6D" w:rsidRPr="00515872">
        <w:rPr>
          <w:rFonts w:cs="Tahoma"/>
          <w:color w:val="000000"/>
          <w:szCs w:val="20"/>
        </w:rPr>
        <w:t xml:space="preserve"> il suo </w:t>
      </w:r>
      <w:r w:rsidRPr="00515872">
        <w:rPr>
          <w:rFonts w:cs="Tahoma"/>
          <w:color w:val="000000"/>
          <w:szCs w:val="20"/>
        </w:rPr>
        <w:t>insediamento, l’organo di revisione entra concretamente in carica.</w:t>
      </w:r>
    </w:p>
    <w:p w14:paraId="4DAE6C2C" w14:textId="77777777" w:rsidR="009518AF" w:rsidRPr="00515872" w:rsidRDefault="009518AF" w:rsidP="009518AF">
      <w:pPr>
        <w:spacing w:line="360" w:lineRule="auto"/>
        <w:jc w:val="both"/>
        <w:rPr>
          <w:rFonts w:eastAsia="Times New Roman" w:cs="Tahoma"/>
          <w:szCs w:val="20"/>
          <w:lang w:eastAsia="it-IT"/>
        </w:rPr>
      </w:pPr>
      <w:r w:rsidRPr="00515872">
        <w:rPr>
          <w:rFonts w:cs="Tahoma"/>
          <w:color w:val="000000"/>
          <w:szCs w:val="20"/>
        </w:rPr>
        <w:t>La prima convoc</w:t>
      </w:r>
      <w:r w:rsidR="000C6A6D" w:rsidRPr="00515872">
        <w:rPr>
          <w:rFonts w:cs="Tahoma"/>
          <w:color w:val="000000"/>
          <w:szCs w:val="20"/>
        </w:rPr>
        <w:t xml:space="preserve">azione </w:t>
      </w:r>
      <w:r w:rsidRPr="00515872">
        <w:rPr>
          <w:rFonts w:cs="Tahoma"/>
          <w:color w:val="000000"/>
          <w:szCs w:val="20"/>
        </w:rPr>
        <w:t>viene di norma disposta dal sindaco o dal presidente (per gli enti diversi dal comune). Generalmente, il regolamento dell’ente stabilisce la tempistica dell’insediamento a seguito dell’esecutività della delibera di nomina o, in mancanza, la convocazione avviene a cura del presidente del collegio stesso che può darne comunicazione al presidente del consiglio.</w:t>
      </w:r>
    </w:p>
    <w:p w14:paraId="3778B458"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Nel corso della riunione di insediamento l’organo di revisione determina la cadenza delle proprie adunanze e quant’altro occorra per il proprio funzionamento, qualora non sia stato previsto e disciplinato nel regolamento dell'ente, individuando altresì le eventuali:</w:t>
      </w:r>
    </w:p>
    <w:p w14:paraId="2CAB5E13" w14:textId="77777777" w:rsidR="009518AF" w:rsidRPr="00515872" w:rsidRDefault="009518AF" w:rsidP="009518AF">
      <w:pPr>
        <w:pStyle w:val="Paragrafoelenco"/>
        <w:numPr>
          <w:ilvl w:val="0"/>
          <w:numId w:val="14"/>
        </w:numPr>
        <w:spacing w:line="360" w:lineRule="auto"/>
        <w:jc w:val="both"/>
        <w:rPr>
          <w:rFonts w:eastAsia="Times New Roman" w:cs="Tahoma"/>
          <w:szCs w:val="20"/>
          <w:lang w:eastAsia="it-IT"/>
        </w:rPr>
      </w:pPr>
      <w:r w:rsidRPr="00515872">
        <w:rPr>
          <w:rFonts w:cs="Tahoma"/>
          <w:color w:val="000000"/>
          <w:szCs w:val="20"/>
        </w:rPr>
        <w:t>forme di collaborazione operativa da chiedere all'ente in aggiunta a quelle espressamente previste dagli artt. 234 e seguenti del TUEL;</w:t>
      </w:r>
    </w:p>
    <w:p w14:paraId="4544CB08" w14:textId="77777777" w:rsidR="009518AF" w:rsidRPr="00515872" w:rsidRDefault="009518AF" w:rsidP="009518AF">
      <w:pPr>
        <w:pStyle w:val="Paragrafoelenco"/>
        <w:numPr>
          <w:ilvl w:val="0"/>
          <w:numId w:val="14"/>
        </w:numPr>
        <w:spacing w:line="360" w:lineRule="auto"/>
        <w:jc w:val="both"/>
        <w:rPr>
          <w:rFonts w:eastAsia="Times New Roman" w:cs="Tahoma"/>
          <w:szCs w:val="20"/>
          <w:lang w:eastAsia="it-IT"/>
        </w:rPr>
      </w:pPr>
      <w:r w:rsidRPr="00515872">
        <w:rPr>
          <w:rFonts w:cs="Tahoma"/>
          <w:color w:val="000000"/>
          <w:szCs w:val="20"/>
        </w:rPr>
        <w:t>necessità di richiedere l'assegnazione di uno staff o, comunque, di strutture adeguate, quali, ad esempio, la segreteria e locali attrezzati.</w:t>
      </w:r>
    </w:p>
    <w:p w14:paraId="7B2DBA5C" w14:textId="77777777" w:rsidR="009518AF" w:rsidRPr="00515872" w:rsidRDefault="009518AF" w:rsidP="009518AF">
      <w:pPr>
        <w:spacing w:after="0" w:line="360" w:lineRule="auto"/>
        <w:jc w:val="both"/>
        <w:rPr>
          <w:rFonts w:cs="Tahoma"/>
          <w:lang w:eastAsia="it-IT"/>
        </w:rPr>
      </w:pPr>
      <w:r w:rsidRPr="00515872">
        <w:rPr>
          <w:rFonts w:cs="Tahoma"/>
          <w:lang w:eastAsia="it-IT"/>
        </w:rPr>
        <w:t>In questa fase è opportuno che l’organo di revisione</w:t>
      </w:r>
      <w:r w:rsidR="00FC211D" w:rsidRPr="00515872">
        <w:rPr>
          <w:rFonts w:cs="Tahoma"/>
          <w:lang w:eastAsia="it-IT"/>
        </w:rPr>
        <w:t>, qualora non via abbia già provveduto in sede di verifica preliminare,</w:t>
      </w:r>
      <w:r w:rsidRPr="00515872">
        <w:rPr>
          <w:rFonts w:cs="Tahoma"/>
          <w:lang w:eastAsia="it-IT"/>
        </w:rPr>
        <w:t xml:space="preserve"> richieda all’ente:</w:t>
      </w:r>
    </w:p>
    <w:p w14:paraId="24534E10"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lo statuto e il regolamento di contabilità dell’ente;</w:t>
      </w:r>
    </w:p>
    <w:p w14:paraId="2AE6925B"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il regolamento sul sistema dei controlli interni;</w:t>
      </w:r>
    </w:p>
    <w:p w14:paraId="6A897F07"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l’ultimo quest</w:t>
      </w:r>
      <w:r w:rsidR="0013795E" w:rsidRPr="00515872">
        <w:rPr>
          <w:rFonts w:cs="Tahoma"/>
          <w:color w:val="000000"/>
          <w:szCs w:val="20"/>
        </w:rPr>
        <w:t>ionario inviato alla Corte dei C</w:t>
      </w:r>
      <w:r w:rsidRPr="00515872">
        <w:rPr>
          <w:rFonts w:cs="Tahoma"/>
          <w:color w:val="000000"/>
          <w:szCs w:val="20"/>
        </w:rPr>
        <w:t>onti sul bilancio e sul rendiconto;</w:t>
      </w:r>
    </w:p>
    <w:p w14:paraId="37DB24CE"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lastRenderedPageBreak/>
        <w:t>il bilancio di previsione e le sue variazioni;</w:t>
      </w:r>
    </w:p>
    <w:p w14:paraId="6D1FD6F0"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gli ultimi due rendiconti;</w:t>
      </w:r>
    </w:p>
    <w:p w14:paraId="7985A8CC"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le eventua</w:t>
      </w:r>
      <w:r w:rsidR="0013795E" w:rsidRPr="00515872">
        <w:rPr>
          <w:rFonts w:cs="Tahoma"/>
          <w:color w:val="000000"/>
          <w:szCs w:val="20"/>
        </w:rPr>
        <w:t>li istruttorie della Corte dei C</w:t>
      </w:r>
      <w:r w:rsidRPr="00515872">
        <w:rPr>
          <w:rFonts w:cs="Tahoma"/>
          <w:color w:val="000000"/>
          <w:szCs w:val="20"/>
        </w:rPr>
        <w:t>onti;</w:t>
      </w:r>
    </w:p>
    <w:p w14:paraId="17A9A4CE"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se non pubblicati nel sito dell’ente, gli ultimi bilanci degli organismi partecipati;</w:t>
      </w:r>
    </w:p>
    <w:p w14:paraId="62242EB4" w14:textId="77777777" w:rsidR="00FC211D" w:rsidRPr="00515872" w:rsidRDefault="00881DE4"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 xml:space="preserve">lo </w:t>
      </w:r>
      <w:r w:rsidR="00FC211D" w:rsidRPr="00515872">
        <w:rPr>
          <w:rFonts w:cs="Tahoma"/>
          <w:color w:val="000000"/>
          <w:szCs w:val="20"/>
        </w:rPr>
        <w:t>stato del contenzioso in essere;</w:t>
      </w:r>
    </w:p>
    <w:p w14:paraId="21208E41" w14:textId="77777777" w:rsidR="009518AF" w:rsidRPr="00515872" w:rsidRDefault="009518AF" w:rsidP="009518AF">
      <w:pPr>
        <w:pStyle w:val="Paragrafoelenco"/>
        <w:numPr>
          <w:ilvl w:val="0"/>
          <w:numId w:val="2"/>
        </w:numPr>
        <w:spacing w:line="360" w:lineRule="auto"/>
        <w:jc w:val="both"/>
        <w:rPr>
          <w:rFonts w:cs="Tahoma"/>
          <w:szCs w:val="20"/>
          <w:lang w:eastAsia="it-IT"/>
        </w:rPr>
      </w:pPr>
      <w:r w:rsidRPr="00515872">
        <w:rPr>
          <w:rFonts w:cs="Tahoma"/>
          <w:color w:val="000000"/>
          <w:szCs w:val="20"/>
        </w:rPr>
        <w:t>i verbali del precedente organo di revisione.</w:t>
      </w:r>
    </w:p>
    <w:p w14:paraId="78FE0570" w14:textId="344ACB46" w:rsidR="0027041D" w:rsidRPr="00515872" w:rsidRDefault="00F61E9D" w:rsidP="0027041D">
      <w:pPr>
        <w:spacing w:line="360" w:lineRule="auto"/>
        <w:jc w:val="both"/>
        <w:rPr>
          <w:rFonts w:cs="Tahoma"/>
          <w:szCs w:val="20"/>
          <w:lang w:eastAsia="it-IT"/>
        </w:rPr>
      </w:pPr>
      <w:r w:rsidRPr="00515872">
        <w:rPr>
          <w:rFonts w:cs="Tahoma"/>
          <w:szCs w:val="20"/>
          <w:lang w:eastAsia="it-IT"/>
        </w:rPr>
        <w:t>È</w:t>
      </w:r>
      <w:r w:rsidR="0027041D" w:rsidRPr="00515872">
        <w:rPr>
          <w:rFonts w:cs="Tahoma"/>
          <w:szCs w:val="20"/>
          <w:lang w:eastAsia="it-IT"/>
        </w:rPr>
        <w:t xml:space="preserve"> bene ricordare, infine, che il revisore di nuova nomina deve registrarsi nel sistema BDAP (Banca Dati Amministrazioni Pubbliche), per potere accedere e visualizzare i documenti contabili relativi all’ente di propria competenza.</w:t>
      </w:r>
      <w:r w:rsidR="00B836DA" w:rsidRPr="00515872">
        <w:rPr>
          <w:rFonts w:cs="Tahoma"/>
          <w:szCs w:val="20"/>
          <w:lang w:eastAsia="it-IT"/>
        </w:rPr>
        <w:t xml:space="preserve"> Il revisore o il presidente devono procedere, inoltre, ad accreditarsi presso il Portale dei Servizi on-line della Corte dei Conti mediante la piattaforma di accesso FITNET (Finanza Territoriale Network) e registrarsi al GET, previa disabilitazione del suo predecessore.</w:t>
      </w:r>
    </w:p>
    <w:p w14:paraId="442391DF" w14:textId="77777777" w:rsidR="001672F9" w:rsidRPr="00515872" w:rsidRDefault="001672F9" w:rsidP="00297A21">
      <w:pPr>
        <w:pStyle w:val="Paragrafo"/>
      </w:pPr>
      <w:bookmarkStart w:id="47" w:name="_Toc521317057"/>
    </w:p>
    <w:p w14:paraId="239FFF57" w14:textId="77777777" w:rsidR="009518AF" w:rsidRPr="00515872" w:rsidRDefault="009518AF" w:rsidP="00297A21">
      <w:pPr>
        <w:pStyle w:val="Paragrafo"/>
        <w:rPr>
          <w:rFonts w:eastAsia="MS Gothic"/>
          <w:kern w:val="28"/>
          <w:sz w:val="40"/>
          <w:szCs w:val="32"/>
        </w:rPr>
      </w:pPr>
      <w:bookmarkStart w:id="48" w:name="_Toc95912230"/>
      <w:r w:rsidRPr="00515872">
        <w:t xml:space="preserve">3.3 Comportamento </w:t>
      </w:r>
      <w:r w:rsidR="002641DC" w:rsidRPr="00515872">
        <w:t>etico-professionale</w:t>
      </w:r>
      <w:bookmarkEnd w:id="47"/>
      <w:bookmarkEnd w:id="48"/>
    </w:p>
    <w:p w14:paraId="4C137297" w14:textId="77777777" w:rsidR="009518AF" w:rsidRPr="00515872" w:rsidRDefault="009518AF" w:rsidP="009518AF">
      <w:pPr>
        <w:spacing w:line="360" w:lineRule="auto"/>
        <w:jc w:val="both"/>
        <w:rPr>
          <w:rFonts w:cs="Tahoma"/>
          <w:b/>
          <w:i/>
          <w:szCs w:val="20"/>
        </w:rPr>
      </w:pPr>
      <w:r w:rsidRPr="00515872">
        <w:rPr>
          <w:rFonts w:cs="Tahoma"/>
          <w:szCs w:val="20"/>
        </w:rPr>
        <w:t xml:space="preserve">Secondo quanto previsto dal già richiamato documento n. 1 de </w:t>
      </w:r>
      <w:r w:rsidRPr="00515872">
        <w:rPr>
          <w:rFonts w:eastAsia="Times New Roman" w:cs="Tahoma"/>
          <w:i/>
          <w:szCs w:val="20"/>
          <w:lang w:eastAsia="it-IT"/>
        </w:rPr>
        <w:t>“I Principi di vigilanza e controllo dell’Organo di revisione degli Enti Locali</w:t>
      </w:r>
      <w:r w:rsidR="00FF38CB" w:rsidRPr="00515872">
        <w:rPr>
          <w:rFonts w:eastAsia="Times New Roman" w:cs="Tahoma"/>
          <w:i/>
          <w:szCs w:val="20"/>
          <w:lang w:eastAsia="it-IT"/>
        </w:rPr>
        <w:t>”</w:t>
      </w:r>
      <w:r w:rsidR="00FF38CB" w:rsidRPr="00515872">
        <w:rPr>
          <w:rFonts w:eastAsia="Times New Roman" w:cs="Tahoma"/>
          <w:szCs w:val="20"/>
          <w:lang w:eastAsia="it-IT"/>
        </w:rPr>
        <w:t xml:space="preserve">, aggiornato dall’apposita commissione istituita presso il </w:t>
      </w:r>
      <w:r w:rsidRPr="00515872">
        <w:rPr>
          <w:rFonts w:eastAsia="Times New Roman" w:cs="Tahoma"/>
          <w:szCs w:val="20"/>
          <w:lang w:eastAsia="it-IT"/>
        </w:rPr>
        <w:t xml:space="preserve">C.N.D.C.E.C. </w:t>
      </w:r>
      <w:r w:rsidR="00FF38CB" w:rsidRPr="00515872">
        <w:rPr>
          <w:rFonts w:eastAsia="Times New Roman" w:cs="Tahoma"/>
          <w:szCs w:val="20"/>
          <w:lang w:eastAsia="it-IT"/>
        </w:rPr>
        <w:t xml:space="preserve">e </w:t>
      </w:r>
      <w:r w:rsidR="00F360BF" w:rsidRPr="00515872">
        <w:rPr>
          <w:rFonts w:eastAsia="Times New Roman" w:cs="Tahoma"/>
          <w:szCs w:val="20"/>
          <w:lang w:eastAsia="it-IT"/>
        </w:rPr>
        <w:t xml:space="preserve">pubblicato </w:t>
      </w:r>
      <w:r w:rsidR="00FF38CB" w:rsidRPr="00515872">
        <w:rPr>
          <w:rFonts w:eastAsia="Times New Roman" w:cs="Tahoma"/>
          <w:szCs w:val="20"/>
          <w:lang w:eastAsia="it-IT"/>
        </w:rPr>
        <w:t>nel febbraio del 2019</w:t>
      </w:r>
      <w:r w:rsidRPr="00515872">
        <w:rPr>
          <w:rFonts w:eastAsia="Times New Roman" w:cs="Tahoma"/>
          <w:szCs w:val="20"/>
          <w:lang w:eastAsia="it-IT"/>
        </w:rPr>
        <w:t>, i</w:t>
      </w:r>
      <w:r w:rsidRPr="00515872">
        <w:rPr>
          <w:rFonts w:cs="Tahoma"/>
          <w:szCs w:val="20"/>
        </w:rPr>
        <w:t xml:space="preserve">l revisore, nell’espletamento delle proprie funzioni, deve attenersi alle norme deontologiche stabilite dal C.N.D.C.E.C. e, ove compatibili, a quelle contenute nelle </w:t>
      </w:r>
      <w:r w:rsidRPr="00515872">
        <w:rPr>
          <w:rFonts w:cs="Tahoma"/>
          <w:i/>
          <w:szCs w:val="20"/>
        </w:rPr>
        <w:t xml:space="preserve">Norme di comportamento del </w:t>
      </w:r>
      <w:r w:rsidR="00B173BB" w:rsidRPr="00515872">
        <w:rPr>
          <w:rFonts w:cs="Tahoma"/>
          <w:i/>
          <w:szCs w:val="20"/>
        </w:rPr>
        <w:t>collegio</w:t>
      </w:r>
      <w:r w:rsidR="006B67FF" w:rsidRPr="00515872">
        <w:rPr>
          <w:rFonts w:cs="Tahoma"/>
          <w:i/>
          <w:szCs w:val="20"/>
        </w:rPr>
        <w:t xml:space="preserve"> s</w:t>
      </w:r>
      <w:r w:rsidRPr="00515872">
        <w:rPr>
          <w:rFonts w:cs="Tahoma"/>
          <w:i/>
          <w:szCs w:val="20"/>
        </w:rPr>
        <w:t>indacale</w:t>
      </w:r>
      <w:r w:rsidRPr="00515872">
        <w:rPr>
          <w:rFonts w:cs="Tahoma"/>
          <w:szCs w:val="20"/>
        </w:rPr>
        <w:t xml:space="preserve"> e nei principi di revisione statuiti dallo stesso C.N.D.C.E.C..</w:t>
      </w:r>
    </w:p>
    <w:p w14:paraId="211FD75C" w14:textId="77777777" w:rsidR="009518AF" w:rsidRPr="00515872" w:rsidRDefault="009518AF" w:rsidP="009518AF">
      <w:pPr>
        <w:spacing w:line="360" w:lineRule="auto"/>
        <w:jc w:val="both"/>
        <w:rPr>
          <w:rFonts w:cs="Tahoma"/>
          <w:szCs w:val="20"/>
        </w:rPr>
      </w:pPr>
      <w:r w:rsidRPr="00515872">
        <w:rPr>
          <w:rFonts w:cs="Tahoma"/>
          <w:szCs w:val="20"/>
        </w:rPr>
        <w:t xml:space="preserve">Tra </w:t>
      </w:r>
      <w:r w:rsidR="00F360BF" w:rsidRPr="00515872">
        <w:rPr>
          <w:rFonts w:cs="Tahoma"/>
          <w:szCs w:val="20"/>
        </w:rPr>
        <w:t>i requisiti in esse previsti</w:t>
      </w:r>
      <w:r w:rsidRPr="00515872">
        <w:rPr>
          <w:rFonts w:cs="Tahoma"/>
          <w:szCs w:val="20"/>
        </w:rPr>
        <w:t xml:space="preserve">, assume particolare rilievo </w:t>
      </w:r>
      <w:r w:rsidR="00F360BF" w:rsidRPr="00515872">
        <w:rPr>
          <w:rFonts w:cs="Tahoma"/>
          <w:szCs w:val="20"/>
        </w:rPr>
        <w:t>quello</w:t>
      </w:r>
      <w:r w:rsidRPr="00515872">
        <w:rPr>
          <w:rFonts w:cs="Tahoma"/>
          <w:szCs w:val="20"/>
        </w:rPr>
        <w:t xml:space="preserve"> della </w:t>
      </w:r>
      <w:r w:rsidRPr="00515872">
        <w:rPr>
          <w:rFonts w:cs="Tahoma"/>
          <w:b/>
          <w:szCs w:val="20"/>
        </w:rPr>
        <w:t>competenza professionale</w:t>
      </w:r>
      <w:r w:rsidRPr="00515872">
        <w:rPr>
          <w:rFonts w:cs="Tahoma"/>
          <w:szCs w:val="20"/>
        </w:rPr>
        <w:t xml:space="preserve">. Esso implica che l’accettazione dell’incarico di revisore negli enti locali presupponga la conoscenza specifica della normativa </w:t>
      </w:r>
      <w:r w:rsidR="00F360BF" w:rsidRPr="00515872">
        <w:rPr>
          <w:rFonts w:cs="Tahoma"/>
          <w:szCs w:val="20"/>
        </w:rPr>
        <w:t>di riferimento</w:t>
      </w:r>
      <w:r w:rsidRPr="00515872">
        <w:rPr>
          <w:rFonts w:cs="Tahoma"/>
          <w:szCs w:val="20"/>
        </w:rPr>
        <w:t>. Ne consegue il dovere morale e professionale del revisore di declinare la nomina qualora ritenga di non possedere la competenza necessaria alla sua conduzione.</w:t>
      </w:r>
    </w:p>
    <w:p w14:paraId="5D95A95B" w14:textId="77777777" w:rsidR="009518AF" w:rsidRPr="00515872" w:rsidRDefault="009518AF" w:rsidP="009518AF">
      <w:pPr>
        <w:spacing w:line="360" w:lineRule="auto"/>
        <w:jc w:val="both"/>
        <w:rPr>
          <w:rFonts w:cs="Tahoma"/>
          <w:szCs w:val="20"/>
        </w:rPr>
      </w:pPr>
      <w:r w:rsidRPr="00515872">
        <w:rPr>
          <w:rFonts w:cs="Tahoma"/>
          <w:szCs w:val="20"/>
        </w:rPr>
        <w:t>Funzionale al mantenimento della competenza professionale è l’aggiornamento professionale. Il C.N.D.C.E.C. prevede che il revisore mantenga un costante aggiornamento professionale nelle discipline attinenti, d</w:t>
      </w:r>
      <w:r w:rsidR="004C62EA" w:rsidRPr="00515872">
        <w:rPr>
          <w:rFonts w:cs="Tahoma"/>
          <w:szCs w:val="20"/>
        </w:rPr>
        <w:t xml:space="preserve">irettamente o indirettamente, </w:t>
      </w:r>
      <w:r w:rsidRPr="00515872">
        <w:rPr>
          <w:rFonts w:cs="Tahoma"/>
          <w:szCs w:val="20"/>
        </w:rPr>
        <w:t>l’attività di revi</w:t>
      </w:r>
      <w:r w:rsidR="00435119" w:rsidRPr="00515872">
        <w:rPr>
          <w:rFonts w:cs="Tahoma"/>
          <w:szCs w:val="20"/>
        </w:rPr>
        <w:t>sione negli enti locali (aggiornamento</w:t>
      </w:r>
      <w:r w:rsidRPr="00515872">
        <w:rPr>
          <w:rFonts w:cs="Tahoma"/>
          <w:szCs w:val="20"/>
        </w:rPr>
        <w:t xml:space="preserve">, peraltro, previsto per obbligo di legge per quei revisori che intendano continuare ad essere sorteggiati per incarichi in enti locali). </w:t>
      </w:r>
    </w:p>
    <w:p w14:paraId="518EE618" w14:textId="77777777" w:rsidR="00435119" w:rsidRPr="00515872" w:rsidRDefault="009518AF" w:rsidP="009518AF">
      <w:pPr>
        <w:spacing w:line="360" w:lineRule="auto"/>
        <w:jc w:val="both"/>
        <w:rPr>
          <w:rFonts w:cs="Tahoma"/>
          <w:szCs w:val="20"/>
        </w:rPr>
      </w:pPr>
      <w:r w:rsidRPr="00515872">
        <w:rPr>
          <w:rFonts w:cs="Tahoma"/>
          <w:szCs w:val="20"/>
        </w:rPr>
        <w:t>In tema di rapporti tra revisori</w:t>
      </w:r>
      <w:r w:rsidR="00A62DC7" w:rsidRPr="00515872">
        <w:rPr>
          <w:rFonts w:cs="Tahoma"/>
          <w:szCs w:val="20"/>
        </w:rPr>
        <w:t>,</w:t>
      </w:r>
      <w:r w:rsidRPr="00515872">
        <w:rPr>
          <w:rFonts w:cs="Tahoma"/>
          <w:szCs w:val="20"/>
        </w:rPr>
        <w:t xml:space="preserve"> il C.N.D.C.E.C. sancisce come gli stessi debbano essere improntati su basi di correttezza e collaborazione. In caso di subentro di un revisore ad un altro, è necessario che il primo acquisisca un’adeguata documentazione e specifiche informazioni dal precedente</w:t>
      </w:r>
      <w:r w:rsidR="00435119" w:rsidRPr="00515872">
        <w:rPr>
          <w:rFonts w:cs="Tahoma"/>
          <w:szCs w:val="20"/>
        </w:rPr>
        <w:t xml:space="preserve"> che deve rendersi disponibile.</w:t>
      </w:r>
    </w:p>
    <w:p w14:paraId="721DFEFB" w14:textId="77777777" w:rsidR="00435119" w:rsidRPr="00515872" w:rsidRDefault="009518AF" w:rsidP="009518AF">
      <w:pPr>
        <w:spacing w:line="360" w:lineRule="auto"/>
        <w:jc w:val="both"/>
        <w:rPr>
          <w:rFonts w:cs="Tahoma"/>
          <w:szCs w:val="20"/>
        </w:rPr>
      </w:pPr>
      <w:r w:rsidRPr="00515872">
        <w:rPr>
          <w:rFonts w:cs="Tahoma"/>
          <w:szCs w:val="20"/>
        </w:rPr>
        <w:t>Nelle proprie relazioni il revisore non deve far riferimento al lavoro del precedente revisore, dovendosi assumere la completa responsabilità</w:t>
      </w:r>
      <w:r w:rsidR="00435119" w:rsidRPr="00515872">
        <w:rPr>
          <w:rFonts w:cs="Tahoma"/>
          <w:szCs w:val="20"/>
        </w:rPr>
        <w:t xml:space="preserve"> delle conclusioni raggiunte.</w:t>
      </w:r>
    </w:p>
    <w:p w14:paraId="03CBE257" w14:textId="77777777" w:rsidR="009518AF" w:rsidRPr="00515872" w:rsidRDefault="009518AF" w:rsidP="009518AF">
      <w:pPr>
        <w:spacing w:line="360" w:lineRule="auto"/>
        <w:jc w:val="both"/>
        <w:rPr>
          <w:rFonts w:cs="Tahoma"/>
          <w:szCs w:val="20"/>
        </w:rPr>
      </w:pPr>
      <w:r w:rsidRPr="00515872">
        <w:rPr>
          <w:rFonts w:cs="Tahoma"/>
          <w:szCs w:val="20"/>
        </w:rPr>
        <w:lastRenderedPageBreak/>
        <w:t>Correttezza, collaborazione e scambio di flussi informativi tra i revisori dell’ente locale e quelli degli organismi partecipati, sono requisiti determinanti per perseguire il principio della sana e corretta gestione economica e finanziaria dell’ente</w:t>
      </w:r>
      <w:r w:rsidR="00435119" w:rsidRPr="00515872">
        <w:rPr>
          <w:rFonts w:cs="Tahoma"/>
          <w:szCs w:val="20"/>
        </w:rPr>
        <w:t xml:space="preserve"> e degli organismi partecipati.</w:t>
      </w:r>
    </w:p>
    <w:p w14:paraId="3FB6E086" w14:textId="77777777" w:rsidR="00435119" w:rsidRPr="00515872" w:rsidRDefault="00435119" w:rsidP="00857CCC">
      <w:pPr>
        <w:spacing w:after="0" w:line="360" w:lineRule="auto"/>
        <w:jc w:val="both"/>
        <w:rPr>
          <w:rFonts w:cs="Tahoma"/>
          <w:szCs w:val="20"/>
        </w:rPr>
      </w:pPr>
      <w:r w:rsidRPr="00515872">
        <w:rPr>
          <w:rFonts w:cs="Tahoma"/>
          <w:szCs w:val="20"/>
        </w:rPr>
        <w:t>Secondo le raccomandazioni del C.N.D.C.E.C., il revisore deve attenersi alle seguenti norme etiche:</w:t>
      </w:r>
    </w:p>
    <w:p w14:paraId="65D04201"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non intrattenere rapporti, anche singolarmente, con gli organi di informazione tesi a divulgare il contenuto di pareri e relazioni prima della loro presentazione agli organi dell’ente;</w:t>
      </w:r>
    </w:p>
    <w:p w14:paraId="01810B97"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evitare strumentalizzazioni e/o condizionamenti politici;</w:t>
      </w:r>
    </w:p>
    <w:p w14:paraId="4EA6508F"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evitare di accettare compensi talmente esigui da ledere la dignità professionale;</w:t>
      </w:r>
    </w:p>
    <w:p w14:paraId="5D6D5A56"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evitare di accettare un numero troppo elevato di incarichi;</w:t>
      </w:r>
    </w:p>
    <w:p w14:paraId="472F791F"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privilegiare il controllo sostanziale rispetto a quello puramente formale;</w:t>
      </w:r>
    </w:p>
    <w:p w14:paraId="034678FA"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evitare di affidare le funzioni in modo continuativo a collaboratori o tutor, affidando ai collaboratori incarichi proporzionati alla loro competenza professionale;</w:t>
      </w:r>
    </w:p>
    <w:p w14:paraId="419BB2B6"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evitare di richiedere documenti non necessari;</w:t>
      </w:r>
    </w:p>
    <w:p w14:paraId="0D23CA30"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instaurare rapporti collaborativi con gli organi di controllo degli organismi partecipati, per conseguire un corretto scambio di informazioni;</w:t>
      </w:r>
    </w:p>
    <w:p w14:paraId="3110444B" w14:textId="77777777" w:rsidR="00435119" w:rsidRPr="00515872" w:rsidRDefault="00435119" w:rsidP="00857CCC">
      <w:pPr>
        <w:pStyle w:val="Paragrafoelenco"/>
        <w:numPr>
          <w:ilvl w:val="0"/>
          <w:numId w:val="206"/>
        </w:numPr>
        <w:spacing w:line="360" w:lineRule="auto"/>
        <w:ind w:left="284" w:hanging="284"/>
        <w:jc w:val="both"/>
        <w:rPr>
          <w:rFonts w:cs="Tahoma"/>
          <w:szCs w:val="20"/>
        </w:rPr>
      </w:pPr>
      <w:r w:rsidRPr="00515872">
        <w:rPr>
          <w:rFonts w:cs="Tahoma"/>
          <w:szCs w:val="20"/>
        </w:rPr>
        <w:t>al termine del mandato, fornire al revisore subentrante le informazioni necessarie a quest’ultimo.</w:t>
      </w:r>
    </w:p>
    <w:p w14:paraId="5818B534" w14:textId="77777777" w:rsidR="0009448C" w:rsidRPr="00515872" w:rsidRDefault="0009448C" w:rsidP="0009448C">
      <w:pPr>
        <w:spacing w:line="360" w:lineRule="auto"/>
        <w:jc w:val="both"/>
        <w:rPr>
          <w:rFonts w:cs="Tahoma"/>
          <w:szCs w:val="20"/>
        </w:rPr>
      </w:pPr>
      <w:r w:rsidRPr="00515872">
        <w:rPr>
          <w:rFonts w:cs="Tahoma"/>
          <w:szCs w:val="20"/>
        </w:rPr>
        <w:t xml:space="preserve">Il revisore, inoltre, è tenuto all’osservanza del segreto professionale; deve, pertanto, astenersi dal divulgare le informazioni di cui è venuto a conoscenza nello svolgimento del proprio incarico, se non </w:t>
      </w:r>
      <w:r w:rsidR="00A62DC7" w:rsidRPr="00515872">
        <w:rPr>
          <w:rFonts w:cs="Tahoma"/>
          <w:szCs w:val="20"/>
        </w:rPr>
        <w:t xml:space="preserve">nei </w:t>
      </w:r>
      <w:r w:rsidRPr="00515872">
        <w:rPr>
          <w:rFonts w:cs="Tahoma"/>
          <w:szCs w:val="20"/>
        </w:rPr>
        <w:t>limiti consentiti dalla legge.</w:t>
      </w:r>
    </w:p>
    <w:p w14:paraId="46EC826D" w14:textId="77777777" w:rsidR="001672F9" w:rsidRPr="00515872" w:rsidRDefault="001672F9" w:rsidP="009518AF">
      <w:pPr>
        <w:pStyle w:val="Sottoparagrafo"/>
        <w:ind w:left="567" w:hanging="567"/>
        <w:rPr>
          <w:rFonts w:cs="Tahoma"/>
          <w:highlight w:val="yellow"/>
        </w:rPr>
      </w:pPr>
      <w:bookmarkStart w:id="49" w:name="_Toc521317058"/>
    </w:p>
    <w:p w14:paraId="7A547712" w14:textId="77777777" w:rsidR="009518AF" w:rsidRPr="00515872" w:rsidRDefault="009518AF" w:rsidP="009518AF">
      <w:pPr>
        <w:pStyle w:val="Sottoparagrafo"/>
        <w:ind w:left="567" w:hanging="567"/>
        <w:rPr>
          <w:rFonts w:cs="Tahoma"/>
        </w:rPr>
      </w:pPr>
      <w:bookmarkStart w:id="50" w:name="_Toc95912231"/>
      <w:r w:rsidRPr="00515872">
        <w:rPr>
          <w:rFonts w:cs="Tahoma"/>
        </w:rPr>
        <w:t>3.3.1 Principi di vigilanza e controllo dell’Organo di revisione degli Enti Locali emanati dal C.N.D.C.E.C.</w:t>
      </w:r>
      <w:bookmarkEnd w:id="49"/>
      <w:bookmarkEnd w:id="50"/>
    </w:p>
    <w:p w14:paraId="1568E7D3" w14:textId="77777777" w:rsidR="009518AF" w:rsidRPr="00515872" w:rsidRDefault="009518AF" w:rsidP="009518AF">
      <w:pPr>
        <w:spacing w:line="360" w:lineRule="auto"/>
        <w:jc w:val="both"/>
        <w:rPr>
          <w:rFonts w:cs="Tahoma"/>
          <w:szCs w:val="20"/>
        </w:rPr>
      </w:pPr>
      <w:r w:rsidRPr="00515872">
        <w:rPr>
          <w:rFonts w:cs="Tahoma"/>
          <w:szCs w:val="20"/>
        </w:rPr>
        <w:t>Il Consiglio Nazionale dell’Ordine dei Dottori Commercialisti e degli Esperti Contabili ha</w:t>
      </w:r>
      <w:r w:rsidR="0009448C" w:rsidRPr="00515872">
        <w:rPr>
          <w:rFonts w:cs="Tahoma"/>
          <w:szCs w:val="20"/>
        </w:rPr>
        <w:t xml:space="preserve"> aggiornato</w:t>
      </w:r>
      <w:r w:rsidRPr="00515872">
        <w:rPr>
          <w:rFonts w:cs="Tahoma"/>
          <w:szCs w:val="20"/>
        </w:rPr>
        <w:t xml:space="preserve">, nel </w:t>
      </w:r>
      <w:r w:rsidR="0009448C" w:rsidRPr="00515872">
        <w:rPr>
          <w:rFonts w:cs="Tahoma"/>
          <w:szCs w:val="20"/>
        </w:rPr>
        <w:t>febbraio del 2019</w:t>
      </w:r>
      <w:r w:rsidRPr="00515872">
        <w:rPr>
          <w:rFonts w:cs="Tahoma"/>
          <w:szCs w:val="20"/>
        </w:rPr>
        <w:t xml:space="preserve">, i Principi di vigilanza e controllo degli enti locali. I documenti in cui si articola il lavoro predisposto dalla Commissione </w:t>
      </w:r>
      <w:r w:rsidR="0009448C" w:rsidRPr="00515872">
        <w:rPr>
          <w:rFonts w:cs="Tahoma"/>
          <w:szCs w:val="20"/>
        </w:rPr>
        <w:t xml:space="preserve">“Revisione dei principi di vigilanza e controllo dell’Organo di revisione degli Enti locali” </w:t>
      </w:r>
      <w:r w:rsidRPr="00515872">
        <w:rPr>
          <w:rFonts w:cs="Tahoma"/>
          <w:szCs w:val="20"/>
        </w:rPr>
        <w:t>sono l’espressione della necessità di rinnovare gli standard dell’attività di revisione risalenti al</w:t>
      </w:r>
      <w:r w:rsidR="0009448C" w:rsidRPr="00515872">
        <w:rPr>
          <w:rFonts w:cs="Tahoma"/>
          <w:szCs w:val="20"/>
        </w:rPr>
        <w:t xml:space="preserve"> 2011</w:t>
      </w:r>
      <w:r w:rsidRPr="00515872">
        <w:rPr>
          <w:rFonts w:cs="Tahoma"/>
          <w:szCs w:val="20"/>
        </w:rPr>
        <w:t xml:space="preserve">. I primi tre, peraltro, </w:t>
      </w:r>
      <w:r w:rsidR="00F8388E" w:rsidRPr="00515872">
        <w:rPr>
          <w:rFonts w:cs="Tahoma"/>
          <w:szCs w:val="20"/>
        </w:rPr>
        <w:t xml:space="preserve">sono stati oggetto di </w:t>
      </w:r>
      <w:r w:rsidRPr="00515872">
        <w:rPr>
          <w:rFonts w:cs="Tahoma"/>
          <w:szCs w:val="20"/>
        </w:rPr>
        <w:t xml:space="preserve">aggiornamento </w:t>
      </w:r>
      <w:r w:rsidR="00F8388E" w:rsidRPr="00515872">
        <w:rPr>
          <w:rFonts w:cs="Tahoma"/>
          <w:szCs w:val="20"/>
        </w:rPr>
        <w:t>già nel</w:t>
      </w:r>
      <w:r w:rsidRPr="00515872">
        <w:rPr>
          <w:rFonts w:cs="Tahoma"/>
          <w:szCs w:val="20"/>
        </w:rPr>
        <w:t xml:space="preserve"> mese novembre del 2016, mentre</w:t>
      </w:r>
      <w:r w:rsidR="00F8388E" w:rsidRPr="00515872">
        <w:rPr>
          <w:rFonts w:cs="Tahoma"/>
          <w:szCs w:val="20"/>
        </w:rPr>
        <w:t>,</w:t>
      </w:r>
      <w:r w:rsidRPr="00515872">
        <w:rPr>
          <w:rFonts w:cs="Tahoma"/>
          <w:szCs w:val="20"/>
        </w:rPr>
        <w:t xml:space="preserve"> per i restanti</w:t>
      </w:r>
      <w:r w:rsidR="00F8388E" w:rsidRPr="00515872">
        <w:rPr>
          <w:rFonts w:cs="Tahoma"/>
          <w:szCs w:val="20"/>
        </w:rPr>
        <w:t>,</w:t>
      </w:r>
      <w:r w:rsidR="0009448C" w:rsidRPr="00515872">
        <w:rPr>
          <w:rFonts w:cs="Tahoma"/>
          <w:szCs w:val="20"/>
        </w:rPr>
        <w:t xml:space="preserve"> </w:t>
      </w:r>
      <w:r w:rsidRPr="00515872">
        <w:rPr>
          <w:rFonts w:cs="Tahoma"/>
          <w:szCs w:val="20"/>
        </w:rPr>
        <w:t xml:space="preserve">la fase di aggiornamento </w:t>
      </w:r>
      <w:r w:rsidR="0009448C" w:rsidRPr="00515872">
        <w:rPr>
          <w:rFonts w:cs="Tahoma"/>
          <w:szCs w:val="20"/>
        </w:rPr>
        <w:t>ha richiesto più tempo, finché la versione definitiva ha preso corpo</w:t>
      </w:r>
      <w:r w:rsidR="00F8388E" w:rsidRPr="00515872">
        <w:rPr>
          <w:rFonts w:cs="Tahoma"/>
          <w:szCs w:val="20"/>
        </w:rPr>
        <w:t>, come detto,</w:t>
      </w:r>
      <w:r w:rsidR="0009448C" w:rsidRPr="00515872">
        <w:rPr>
          <w:rFonts w:cs="Tahoma"/>
          <w:szCs w:val="20"/>
        </w:rPr>
        <w:t xml:space="preserve"> nel mese di febbraio 2019</w:t>
      </w:r>
      <w:r w:rsidRPr="00515872">
        <w:rPr>
          <w:rFonts w:cs="Tahoma"/>
          <w:szCs w:val="20"/>
        </w:rPr>
        <w:t>.</w:t>
      </w:r>
    </w:p>
    <w:p w14:paraId="74924DE9" w14:textId="77777777" w:rsidR="009518AF" w:rsidRPr="00515872" w:rsidRDefault="00536A07" w:rsidP="009518AF">
      <w:pPr>
        <w:spacing w:line="360" w:lineRule="auto"/>
        <w:jc w:val="both"/>
        <w:rPr>
          <w:rFonts w:cs="Tahoma"/>
          <w:szCs w:val="20"/>
        </w:rPr>
      </w:pPr>
      <w:r w:rsidRPr="00515872">
        <w:rPr>
          <w:rFonts w:cs="Tahoma"/>
          <w:szCs w:val="20"/>
        </w:rPr>
        <w:t>La revisione ha comportato anche un accorpamento dei 15 documenti che componevano la precedente edizione, nei 12 che vengono di seguito riepilogati:</w:t>
      </w:r>
    </w:p>
    <w:p w14:paraId="2BC3CFB1" w14:textId="77777777" w:rsidR="007E176C" w:rsidRPr="00515872" w:rsidRDefault="007E176C" w:rsidP="009518AF">
      <w:pPr>
        <w:spacing w:line="360" w:lineRule="auto"/>
        <w:jc w:val="both"/>
        <w:rPr>
          <w:rFonts w:cs="Tahoma"/>
          <w:szCs w:val="20"/>
        </w:rPr>
      </w:pPr>
    </w:p>
    <w:tbl>
      <w:tblPr>
        <w:tblStyle w:val="Grigliatabella"/>
        <w:tblW w:w="0" w:type="auto"/>
        <w:jc w:val="center"/>
        <w:tblLook w:val="04A0" w:firstRow="1" w:lastRow="0" w:firstColumn="1" w:lastColumn="0" w:noHBand="0" w:noVBand="1"/>
      </w:tblPr>
      <w:tblGrid>
        <w:gridCol w:w="1788"/>
        <w:gridCol w:w="7705"/>
      </w:tblGrid>
      <w:tr w:rsidR="00536A07" w:rsidRPr="00515872" w14:paraId="1839C414" w14:textId="77777777" w:rsidTr="00515872">
        <w:trPr>
          <w:jc w:val="center"/>
        </w:trPr>
        <w:tc>
          <w:tcPr>
            <w:tcW w:w="1788" w:type="dxa"/>
            <w:shd w:val="clear" w:color="auto" w:fill="DBE5F1" w:themeFill="accent1" w:themeFillTint="33"/>
          </w:tcPr>
          <w:p w14:paraId="12039072" w14:textId="77777777" w:rsidR="00536A07" w:rsidRPr="00515872" w:rsidRDefault="00536A07" w:rsidP="00393822">
            <w:pPr>
              <w:jc w:val="center"/>
              <w:rPr>
                <w:rFonts w:cs="Tahoma"/>
                <w:b/>
              </w:rPr>
            </w:pPr>
            <w:r w:rsidRPr="00515872">
              <w:rPr>
                <w:rFonts w:cs="Tahoma"/>
                <w:b/>
              </w:rPr>
              <w:lastRenderedPageBreak/>
              <w:t>N. documento</w:t>
            </w:r>
          </w:p>
        </w:tc>
        <w:tc>
          <w:tcPr>
            <w:tcW w:w="7705" w:type="dxa"/>
            <w:shd w:val="clear" w:color="auto" w:fill="DBE5F1" w:themeFill="accent1" w:themeFillTint="33"/>
          </w:tcPr>
          <w:p w14:paraId="2DC92268" w14:textId="77777777" w:rsidR="00536A07" w:rsidRPr="00515872" w:rsidRDefault="00536A07" w:rsidP="00393822">
            <w:pPr>
              <w:spacing w:after="0" w:line="240" w:lineRule="auto"/>
              <w:jc w:val="center"/>
              <w:rPr>
                <w:rFonts w:cs="Tahoma"/>
                <w:b/>
              </w:rPr>
            </w:pPr>
            <w:r w:rsidRPr="00515872">
              <w:rPr>
                <w:rFonts w:cs="Tahoma"/>
                <w:b/>
              </w:rPr>
              <w:t>Oggetto</w:t>
            </w:r>
          </w:p>
        </w:tc>
      </w:tr>
      <w:tr w:rsidR="00536A07" w:rsidRPr="00515872" w14:paraId="22D034C7" w14:textId="77777777" w:rsidTr="009063EA">
        <w:trPr>
          <w:jc w:val="center"/>
        </w:trPr>
        <w:tc>
          <w:tcPr>
            <w:tcW w:w="1788" w:type="dxa"/>
          </w:tcPr>
          <w:p w14:paraId="7B23F400" w14:textId="77777777" w:rsidR="00536A07" w:rsidRPr="00515872" w:rsidRDefault="00536A07" w:rsidP="00393822">
            <w:pPr>
              <w:rPr>
                <w:rFonts w:cs="Tahoma"/>
              </w:rPr>
            </w:pPr>
            <w:r w:rsidRPr="00515872">
              <w:rPr>
                <w:rFonts w:cs="Tahoma"/>
              </w:rPr>
              <w:t>Documento n. 1</w:t>
            </w:r>
          </w:p>
        </w:tc>
        <w:tc>
          <w:tcPr>
            <w:tcW w:w="7705" w:type="dxa"/>
          </w:tcPr>
          <w:p w14:paraId="2D54A1CE" w14:textId="77777777" w:rsidR="00536A07" w:rsidRPr="00515872" w:rsidRDefault="00536A07" w:rsidP="00536A07">
            <w:pPr>
              <w:spacing w:line="240" w:lineRule="auto"/>
              <w:rPr>
                <w:rFonts w:cs="Tahoma"/>
                <w:szCs w:val="24"/>
              </w:rPr>
            </w:pPr>
            <w:r w:rsidRPr="00515872">
              <w:rPr>
                <w:rFonts w:cs="Tahoma"/>
              </w:rPr>
              <w:t>Organo di revisione: composizione, funzionamento, programmazione e organizzazione dell’attività di revisione</w:t>
            </w:r>
          </w:p>
        </w:tc>
      </w:tr>
      <w:tr w:rsidR="00536A07" w:rsidRPr="00515872" w14:paraId="6030AD8B" w14:textId="77777777" w:rsidTr="009063EA">
        <w:trPr>
          <w:jc w:val="center"/>
        </w:trPr>
        <w:tc>
          <w:tcPr>
            <w:tcW w:w="1788" w:type="dxa"/>
          </w:tcPr>
          <w:p w14:paraId="28858113" w14:textId="77777777" w:rsidR="00536A07" w:rsidRPr="00515872" w:rsidRDefault="00536A07" w:rsidP="00393822">
            <w:pPr>
              <w:rPr>
                <w:rFonts w:cs="Tahoma"/>
              </w:rPr>
            </w:pPr>
            <w:r w:rsidRPr="00515872">
              <w:rPr>
                <w:rFonts w:cs="Tahoma"/>
              </w:rPr>
              <w:t>Documento n. 2</w:t>
            </w:r>
          </w:p>
        </w:tc>
        <w:tc>
          <w:tcPr>
            <w:tcW w:w="7705" w:type="dxa"/>
          </w:tcPr>
          <w:p w14:paraId="24B57405" w14:textId="77777777" w:rsidR="00536A07" w:rsidRPr="00515872" w:rsidRDefault="00536A07" w:rsidP="00536A07">
            <w:pPr>
              <w:rPr>
                <w:rFonts w:cs="Tahoma"/>
              </w:rPr>
            </w:pPr>
            <w:r w:rsidRPr="00515872">
              <w:rPr>
                <w:rFonts w:cs="Tahoma"/>
              </w:rPr>
              <w:t>Funzioni dell’organo di revisione: attività di collaborazione, pareri obbligatori e vigilanza</w:t>
            </w:r>
          </w:p>
        </w:tc>
      </w:tr>
      <w:tr w:rsidR="00536A07" w:rsidRPr="00515872" w14:paraId="37ACD44A" w14:textId="77777777" w:rsidTr="009063EA">
        <w:trPr>
          <w:jc w:val="center"/>
        </w:trPr>
        <w:tc>
          <w:tcPr>
            <w:tcW w:w="1788" w:type="dxa"/>
          </w:tcPr>
          <w:p w14:paraId="467EA382" w14:textId="77777777" w:rsidR="00536A07" w:rsidRPr="00515872" w:rsidRDefault="00536A07" w:rsidP="00393822">
            <w:pPr>
              <w:rPr>
                <w:rFonts w:cs="Tahoma"/>
              </w:rPr>
            </w:pPr>
            <w:r w:rsidRPr="00515872">
              <w:rPr>
                <w:rFonts w:cs="Tahoma"/>
              </w:rPr>
              <w:t>Documento n. 3</w:t>
            </w:r>
          </w:p>
        </w:tc>
        <w:tc>
          <w:tcPr>
            <w:tcW w:w="7705" w:type="dxa"/>
          </w:tcPr>
          <w:p w14:paraId="03538F4B" w14:textId="77777777" w:rsidR="00536A07" w:rsidRPr="00515872" w:rsidRDefault="00536A07" w:rsidP="00536A07">
            <w:pPr>
              <w:rPr>
                <w:rFonts w:cs="Tahoma"/>
              </w:rPr>
            </w:pPr>
            <w:r w:rsidRPr="00515872">
              <w:rPr>
                <w:rFonts w:cs="Tahoma"/>
              </w:rPr>
              <w:t>Controlli sugli atti di programmazione e sul bilancio di previsione</w:t>
            </w:r>
          </w:p>
        </w:tc>
      </w:tr>
      <w:tr w:rsidR="00536A07" w:rsidRPr="00515872" w14:paraId="37FB24E4" w14:textId="77777777" w:rsidTr="009063EA">
        <w:trPr>
          <w:jc w:val="center"/>
        </w:trPr>
        <w:tc>
          <w:tcPr>
            <w:tcW w:w="1788" w:type="dxa"/>
          </w:tcPr>
          <w:p w14:paraId="7C58DC85" w14:textId="77777777" w:rsidR="00536A07" w:rsidRPr="00515872" w:rsidRDefault="00536A07" w:rsidP="00393822">
            <w:pPr>
              <w:rPr>
                <w:rFonts w:cs="Tahoma"/>
              </w:rPr>
            </w:pPr>
            <w:r w:rsidRPr="00515872">
              <w:rPr>
                <w:rFonts w:cs="Tahoma"/>
              </w:rPr>
              <w:t>Documento n. 4</w:t>
            </w:r>
          </w:p>
        </w:tc>
        <w:tc>
          <w:tcPr>
            <w:tcW w:w="7705" w:type="dxa"/>
          </w:tcPr>
          <w:p w14:paraId="7810CFA7" w14:textId="77777777" w:rsidR="00536A07" w:rsidRPr="00515872" w:rsidRDefault="00536A07" w:rsidP="00536A07">
            <w:pPr>
              <w:rPr>
                <w:rFonts w:cs="Tahoma"/>
              </w:rPr>
            </w:pPr>
            <w:r w:rsidRPr="00515872">
              <w:rPr>
                <w:rFonts w:cs="Tahoma"/>
              </w:rPr>
              <w:t>Controlli di regolarità amministrativo-contabile sulle entrate e sulle spese</w:t>
            </w:r>
          </w:p>
        </w:tc>
      </w:tr>
      <w:tr w:rsidR="00536A07" w:rsidRPr="00515872" w14:paraId="2CE74613" w14:textId="77777777" w:rsidTr="009063EA">
        <w:trPr>
          <w:jc w:val="center"/>
        </w:trPr>
        <w:tc>
          <w:tcPr>
            <w:tcW w:w="1788" w:type="dxa"/>
          </w:tcPr>
          <w:p w14:paraId="38C315F8" w14:textId="77777777" w:rsidR="00536A07" w:rsidRPr="00515872" w:rsidRDefault="00536A07" w:rsidP="00393822">
            <w:pPr>
              <w:rPr>
                <w:rFonts w:cs="Tahoma"/>
              </w:rPr>
            </w:pPr>
            <w:r w:rsidRPr="00515872">
              <w:rPr>
                <w:rFonts w:cs="Tahoma"/>
              </w:rPr>
              <w:t>Documento n. 5</w:t>
            </w:r>
          </w:p>
        </w:tc>
        <w:tc>
          <w:tcPr>
            <w:tcW w:w="7705" w:type="dxa"/>
          </w:tcPr>
          <w:p w14:paraId="2F2EAE73" w14:textId="77777777" w:rsidR="00536A07" w:rsidRPr="00515872" w:rsidRDefault="00536A07" w:rsidP="00393822">
            <w:pPr>
              <w:rPr>
                <w:rFonts w:cs="Tahoma"/>
              </w:rPr>
            </w:pPr>
            <w:r w:rsidRPr="00515872">
              <w:rPr>
                <w:rFonts w:cs="Tahoma"/>
              </w:rPr>
              <w:t>Controlli sul rendiconto</w:t>
            </w:r>
          </w:p>
        </w:tc>
      </w:tr>
      <w:tr w:rsidR="00536A07" w:rsidRPr="00515872" w14:paraId="30EFF6AF" w14:textId="77777777" w:rsidTr="009063EA">
        <w:trPr>
          <w:jc w:val="center"/>
        </w:trPr>
        <w:tc>
          <w:tcPr>
            <w:tcW w:w="1788" w:type="dxa"/>
          </w:tcPr>
          <w:p w14:paraId="3F7807A4" w14:textId="77777777" w:rsidR="00536A07" w:rsidRPr="00515872" w:rsidRDefault="00536A07" w:rsidP="00393822">
            <w:pPr>
              <w:rPr>
                <w:rFonts w:cs="Tahoma"/>
              </w:rPr>
            </w:pPr>
            <w:r w:rsidRPr="00515872">
              <w:rPr>
                <w:rFonts w:cs="Tahoma"/>
              </w:rPr>
              <w:t>Documento n. 6</w:t>
            </w:r>
          </w:p>
        </w:tc>
        <w:tc>
          <w:tcPr>
            <w:tcW w:w="7705" w:type="dxa"/>
          </w:tcPr>
          <w:p w14:paraId="7AC9F604" w14:textId="77777777" w:rsidR="00536A07" w:rsidRPr="00515872" w:rsidRDefault="00536A07" w:rsidP="00536A07">
            <w:pPr>
              <w:rPr>
                <w:rFonts w:cs="Tahoma"/>
              </w:rPr>
            </w:pPr>
            <w:r w:rsidRPr="00515872">
              <w:rPr>
                <w:rFonts w:cs="Tahoma"/>
              </w:rPr>
              <w:t>Controlli sui vincoli di assunzione e sulle spese del personale</w:t>
            </w:r>
          </w:p>
        </w:tc>
      </w:tr>
      <w:tr w:rsidR="00536A07" w:rsidRPr="00515872" w14:paraId="757D1306" w14:textId="77777777" w:rsidTr="009063EA">
        <w:trPr>
          <w:jc w:val="center"/>
        </w:trPr>
        <w:tc>
          <w:tcPr>
            <w:tcW w:w="1788" w:type="dxa"/>
          </w:tcPr>
          <w:p w14:paraId="00D75B8A" w14:textId="77777777" w:rsidR="00536A07" w:rsidRPr="00515872" w:rsidRDefault="00536A07" w:rsidP="00393822">
            <w:pPr>
              <w:rPr>
                <w:rFonts w:cs="Tahoma"/>
              </w:rPr>
            </w:pPr>
            <w:r w:rsidRPr="00515872">
              <w:rPr>
                <w:rFonts w:cs="Tahoma"/>
              </w:rPr>
              <w:t>Documento n. 7</w:t>
            </w:r>
          </w:p>
        </w:tc>
        <w:tc>
          <w:tcPr>
            <w:tcW w:w="7705" w:type="dxa"/>
          </w:tcPr>
          <w:p w14:paraId="60DF66F1" w14:textId="77777777" w:rsidR="00536A07" w:rsidRPr="00515872" w:rsidRDefault="00272DE1" w:rsidP="00393822">
            <w:pPr>
              <w:rPr>
                <w:rFonts w:cs="Tahoma"/>
              </w:rPr>
            </w:pPr>
            <w:r w:rsidRPr="00515872">
              <w:rPr>
                <w:rFonts w:cs="Tahoma"/>
              </w:rPr>
              <w:t>Controlli sull’indebitamento</w:t>
            </w:r>
          </w:p>
        </w:tc>
      </w:tr>
      <w:tr w:rsidR="00536A07" w:rsidRPr="00515872" w14:paraId="2F99A49A" w14:textId="77777777" w:rsidTr="009063EA">
        <w:trPr>
          <w:jc w:val="center"/>
        </w:trPr>
        <w:tc>
          <w:tcPr>
            <w:tcW w:w="1788" w:type="dxa"/>
          </w:tcPr>
          <w:p w14:paraId="5A4FD2ED" w14:textId="77777777" w:rsidR="00536A07" w:rsidRPr="00515872" w:rsidRDefault="00536A07" w:rsidP="00393822">
            <w:pPr>
              <w:rPr>
                <w:rFonts w:cs="Tahoma"/>
              </w:rPr>
            </w:pPr>
            <w:r w:rsidRPr="00515872">
              <w:rPr>
                <w:rFonts w:cs="Tahoma"/>
              </w:rPr>
              <w:t>Documento n. 8</w:t>
            </w:r>
          </w:p>
        </w:tc>
        <w:tc>
          <w:tcPr>
            <w:tcW w:w="7705" w:type="dxa"/>
          </w:tcPr>
          <w:p w14:paraId="435BB0C7" w14:textId="77777777" w:rsidR="00536A07" w:rsidRPr="00515872" w:rsidRDefault="00272DE1" w:rsidP="00393822">
            <w:pPr>
              <w:rPr>
                <w:rFonts w:cs="Tahoma"/>
              </w:rPr>
            </w:pPr>
            <w:r w:rsidRPr="00515872">
              <w:rPr>
                <w:rFonts w:cs="Tahoma"/>
              </w:rPr>
              <w:t>Controlli sugli agenti contabili e verifiche di cassa</w:t>
            </w:r>
          </w:p>
        </w:tc>
      </w:tr>
      <w:tr w:rsidR="00536A07" w:rsidRPr="00515872" w14:paraId="02DD3F2E" w14:textId="77777777" w:rsidTr="009063EA">
        <w:trPr>
          <w:jc w:val="center"/>
        </w:trPr>
        <w:tc>
          <w:tcPr>
            <w:tcW w:w="1788" w:type="dxa"/>
          </w:tcPr>
          <w:p w14:paraId="344C6769" w14:textId="77777777" w:rsidR="00536A07" w:rsidRPr="00515872" w:rsidRDefault="00536A07" w:rsidP="00393822">
            <w:pPr>
              <w:rPr>
                <w:rFonts w:cs="Tahoma"/>
              </w:rPr>
            </w:pPr>
            <w:r w:rsidRPr="00515872">
              <w:rPr>
                <w:rFonts w:cs="Tahoma"/>
              </w:rPr>
              <w:t>Documento n. 9</w:t>
            </w:r>
          </w:p>
        </w:tc>
        <w:tc>
          <w:tcPr>
            <w:tcW w:w="7705" w:type="dxa"/>
          </w:tcPr>
          <w:p w14:paraId="7227FB36" w14:textId="77777777" w:rsidR="00536A07" w:rsidRPr="00515872" w:rsidRDefault="00272DE1" w:rsidP="00393822">
            <w:pPr>
              <w:rPr>
                <w:rFonts w:cs="Tahoma"/>
              </w:rPr>
            </w:pPr>
            <w:r w:rsidRPr="00515872">
              <w:rPr>
                <w:rFonts w:cs="Tahoma"/>
              </w:rPr>
              <w:t>Controlli sulla gestione economico-patrimoniale, conto economico e stato patrimoniale</w:t>
            </w:r>
            <w:r w:rsidR="00536A07" w:rsidRPr="00515872">
              <w:rPr>
                <w:rFonts w:cs="Tahoma"/>
              </w:rPr>
              <w:t xml:space="preserve"> </w:t>
            </w:r>
          </w:p>
        </w:tc>
      </w:tr>
      <w:tr w:rsidR="00536A07" w:rsidRPr="00515872" w14:paraId="18C839FE" w14:textId="77777777" w:rsidTr="009063EA">
        <w:trPr>
          <w:jc w:val="center"/>
        </w:trPr>
        <w:tc>
          <w:tcPr>
            <w:tcW w:w="1788" w:type="dxa"/>
          </w:tcPr>
          <w:p w14:paraId="7CCD8539" w14:textId="77777777" w:rsidR="00536A07" w:rsidRPr="00515872" w:rsidRDefault="00536A07" w:rsidP="00393822">
            <w:pPr>
              <w:rPr>
                <w:rFonts w:cs="Tahoma"/>
              </w:rPr>
            </w:pPr>
            <w:r w:rsidRPr="00515872">
              <w:rPr>
                <w:rFonts w:cs="Tahoma"/>
              </w:rPr>
              <w:t>Documento n. 10</w:t>
            </w:r>
          </w:p>
        </w:tc>
        <w:tc>
          <w:tcPr>
            <w:tcW w:w="7705" w:type="dxa"/>
          </w:tcPr>
          <w:p w14:paraId="737CE0C7" w14:textId="77777777" w:rsidR="00536A07" w:rsidRPr="00515872" w:rsidRDefault="00272DE1" w:rsidP="00393822">
            <w:pPr>
              <w:rPr>
                <w:rFonts w:cs="Tahoma"/>
              </w:rPr>
            </w:pPr>
            <w:r w:rsidRPr="00515872">
              <w:rPr>
                <w:rFonts w:cs="Tahoma"/>
              </w:rPr>
              <w:t>Controlli sugli organismi partecipati</w:t>
            </w:r>
            <w:r w:rsidR="00536A07" w:rsidRPr="00515872">
              <w:rPr>
                <w:rFonts w:cs="Tahoma"/>
              </w:rPr>
              <w:t xml:space="preserve"> </w:t>
            </w:r>
          </w:p>
        </w:tc>
      </w:tr>
      <w:tr w:rsidR="00536A07" w:rsidRPr="00515872" w14:paraId="044C2E40" w14:textId="77777777" w:rsidTr="009063EA">
        <w:trPr>
          <w:jc w:val="center"/>
        </w:trPr>
        <w:tc>
          <w:tcPr>
            <w:tcW w:w="1788" w:type="dxa"/>
          </w:tcPr>
          <w:p w14:paraId="546576F3" w14:textId="77777777" w:rsidR="00536A07" w:rsidRPr="00515872" w:rsidRDefault="00536A07" w:rsidP="00393822">
            <w:pPr>
              <w:rPr>
                <w:rFonts w:cs="Tahoma"/>
              </w:rPr>
            </w:pPr>
            <w:r w:rsidRPr="00515872">
              <w:rPr>
                <w:rFonts w:cs="Tahoma"/>
              </w:rPr>
              <w:t>Documento n. 11</w:t>
            </w:r>
          </w:p>
        </w:tc>
        <w:tc>
          <w:tcPr>
            <w:tcW w:w="7705" w:type="dxa"/>
          </w:tcPr>
          <w:p w14:paraId="53913286" w14:textId="77777777" w:rsidR="00536A07" w:rsidRPr="00515872" w:rsidRDefault="00272DE1" w:rsidP="00393822">
            <w:pPr>
              <w:rPr>
                <w:rFonts w:cs="Tahoma"/>
              </w:rPr>
            </w:pPr>
            <w:r w:rsidRPr="00515872">
              <w:rPr>
                <w:rFonts w:cs="Tahoma"/>
              </w:rPr>
              <w:t>Controlli sugli adempimenti fiscali</w:t>
            </w:r>
          </w:p>
        </w:tc>
      </w:tr>
      <w:tr w:rsidR="00536A07" w:rsidRPr="00515872" w14:paraId="0CE37914" w14:textId="77777777" w:rsidTr="009063EA">
        <w:trPr>
          <w:jc w:val="center"/>
        </w:trPr>
        <w:tc>
          <w:tcPr>
            <w:tcW w:w="1788" w:type="dxa"/>
          </w:tcPr>
          <w:p w14:paraId="7997127B" w14:textId="77777777" w:rsidR="00536A07" w:rsidRPr="00515872" w:rsidRDefault="00536A07" w:rsidP="00393822">
            <w:pPr>
              <w:rPr>
                <w:rFonts w:cs="Tahoma"/>
              </w:rPr>
            </w:pPr>
            <w:r w:rsidRPr="00515872">
              <w:rPr>
                <w:rFonts w:cs="Tahoma"/>
              </w:rPr>
              <w:t>Documento n. 12</w:t>
            </w:r>
          </w:p>
        </w:tc>
        <w:tc>
          <w:tcPr>
            <w:tcW w:w="7705" w:type="dxa"/>
          </w:tcPr>
          <w:p w14:paraId="33ACF298" w14:textId="77777777" w:rsidR="00536A07" w:rsidRPr="00515872" w:rsidRDefault="00272DE1" w:rsidP="00393822">
            <w:pPr>
              <w:rPr>
                <w:rFonts w:cs="Tahoma"/>
              </w:rPr>
            </w:pPr>
            <w:r w:rsidRPr="00515872">
              <w:rPr>
                <w:rFonts w:cs="Tahoma"/>
              </w:rPr>
              <w:t>Controlli sul bilancio consolidato</w:t>
            </w:r>
          </w:p>
        </w:tc>
      </w:tr>
    </w:tbl>
    <w:p w14:paraId="0DA8AF2A" w14:textId="77777777" w:rsidR="009518AF" w:rsidRPr="00515872" w:rsidRDefault="009518AF" w:rsidP="009518AF">
      <w:pPr>
        <w:spacing w:line="360" w:lineRule="auto"/>
        <w:jc w:val="both"/>
        <w:rPr>
          <w:rFonts w:cs="Tahoma"/>
          <w:szCs w:val="20"/>
          <w:highlight w:val="yellow"/>
        </w:rPr>
      </w:pPr>
    </w:p>
    <w:p w14:paraId="1B5488E5" w14:textId="77777777" w:rsidR="009518AF" w:rsidRPr="00515872" w:rsidRDefault="009518AF" w:rsidP="009518AF">
      <w:pPr>
        <w:spacing w:line="360" w:lineRule="auto"/>
        <w:jc w:val="both"/>
        <w:rPr>
          <w:rFonts w:cs="Tahoma"/>
          <w:szCs w:val="20"/>
        </w:rPr>
      </w:pPr>
      <w:r w:rsidRPr="00515872">
        <w:rPr>
          <w:rFonts w:cs="Tahoma"/>
          <w:szCs w:val="20"/>
        </w:rPr>
        <w:t>La funzione dei principi è quella di guidare il revisore nello svolgimento dell’attività indicando i criteri che lo stesso deve seguire per svolgere le funzioni di vigilanza, controllo, collaborazione e nell’emanazione dei pareri obbligatori.</w:t>
      </w:r>
    </w:p>
    <w:p w14:paraId="15147A3B" w14:textId="77777777" w:rsidR="0038157C" w:rsidRPr="00515872" w:rsidRDefault="0038157C" w:rsidP="009518AF">
      <w:pPr>
        <w:spacing w:line="360" w:lineRule="auto"/>
        <w:jc w:val="both"/>
        <w:rPr>
          <w:rFonts w:cs="Tahoma"/>
          <w:szCs w:val="20"/>
        </w:rPr>
      </w:pPr>
      <w:r w:rsidRPr="00515872">
        <w:rPr>
          <w:rFonts w:cs="Tahoma"/>
          <w:szCs w:val="20"/>
        </w:rPr>
        <w:t>La revisione dei principi si è resa necessaria al fine di recepire le modifiche normative intervenute in materia di enti locali, second</w:t>
      </w:r>
      <w:r w:rsidR="00A62DC7" w:rsidRPr="00515872">
        <w:rPr>
          <w:rFonts w:cs="Tahoma"/>
          <w:szCs w:val="20"/>
        </w:rPr>
        <w:t>o un approccio pratico mirato a</w:t>
      </w:r>
      <w:r w:rsidRPr="00515872">
        <w:rPr>
          <w:rFonts w:cs="Tahoma"/>
          <w:szCs w:val="20"/>
        </w:rPr>
        <w:t>i controlli che il revisore deve attivare nello svolgimento dell’incarico.</w:t>
      </w:r>
      <w:r w:rsidR="00FD4000" w:rsidRPr="00515872">
        <w:rPr>
          <w:rFonts w:cs="Tahoma"/>
          <w:szCs w:val="20"/>
        </w:rPr>
        <w:t xml:space="preserve"> Si rileva, tuttavia, che la continua evoluzione normativa rende, di fatto, </w:t>
      </w:r>
      <w:r w:rsidR="00857CCC" w:rsidRPr="00515872">
        <w:rPr>
          <w:rFonts w:cs="Tahoma"/>
          <w:szCs w:val="20"/>
        </w:rPr>
        <w:t xml:space="preserve">già </w:t>
      </w:r>
      <w:r w:rsidR="00FD4000" w:rsidRPr="00515872">
        <w:rPr>
          <w:rFonts w:cs="Tahoma"/>
          <w:szCs w:val="20"/>
        </w:rPr>
        <w:t>su</w:t>
      </w:r>
      <w:r w:rsidR="00857CCC" w:rsidRPr="00515872">
        <w:rPr>
          <w:rFonts w:cs="Tahoma"/>
          <w:szCs w:val="20"/>
        </w:rPr>
        <w:t>p</w:t>
      </w:r>
      <w:r w:rsidR="00FD4000" w:rsidRPr="00515872">
        <w:rPr>
          <w:rFonts w:cs="Tahoma"/>
          <w:szCs w:val="20"/>
        </w:rPr>
        <w:t>erate alcune parti dei principi stessi che richiederebbero, indubbiamente, un aggiornamento più freque</w:t>
      </w:r>
      <w:r w:rsidR="00857CCC" w:rsidRPr="00515872">
        <w:rPr>
          <w:rFonts w:cs="Tahoma"/>
          <w:szCs w:val="20"/>
        </w:rPr>
        <w:t>nte per rimanere al passo con</w:t>
      </w:r>
      <w:r w:rsidR="00FD4000" w:rsidRPr="00515872">
        <w:rPr>
          <w:rFonts w:cs="Tahoma"/>
          <w:szCs w:val="20"/>
        </w:rPr>
        <w:t xml:space="preserve"> le norme.</w:t>
      </w:r>
    </w:p>
    <w:p w14:paraId="4DA1F662" w14:textId="77777777" w:rsidR="009518AF" w:rsidRPr="00515872" w:rsidRDefault="009518AF" w:rsidP="009518AF">
      <w:pPr>
        <w:spacing w:line="360" w:lineRule="auto"/>
        <w:jc w:val="both"/>
        <w:rPr>
          <w:rFonts w:cs="Tahoma"/>
          <w:szCs w:val="20"/>
        </w:rPr>
      </w:pPr>
      <w:r w:rsidRPr="00515872">
        <w:rPr>
          <w:rFonts w:cs="Tahoma"/>
          <w:szCs w:val="20"/>
        </w:rPr>
        <w:t xml:space="preserve">Sintetizzando il contenuto dei documenti, </w:t>
      </w:r>
      <w:r w:rsidR="00FE1EC6" w:rsidRPr="00515872">
        <w:rPr>
          <w:rFonts w:cs="Tahoma"/>
          <w:szCs w:val="20"/>
        </w:rPr>
        <w:t>i</w:t>
      </w:r>
      <w:r w:rsidR="00D87B61" w:rsidRPr="00515872">
        <w:rPr>
          <w:rFonts w:cs="Tahoma"/>
          <w:szCs w:val="20"/>
        </w:rPr>
        <w:t>l</w:t>
      </w:r>
      <w:r w:rsidRPr="00515872">
        <w:rPr>
          <w:rFonts w:cs="Tahoma"/>
          <w:szCs w:val="20"/>
        </w:rPr>
        <w:t xml:space="preserve"> n. 1 è </w:t>
      </w:r>
      <w:r w:rsidR="00FE1EC6" w:rsidRPr="00515872">
        <w:rPr>
          <w:rFonts w:cs="Tahoma"/>
          <w:szCs w:val="20"/>
        </w:rPr>
        <w:t>quello</w:t>
      </w:r>
      <w:r w:rsidR="00857CCC" w:rsidRPr="00515872">
        <w:rPr>
          <w:rFonts w:cs="Tahoma"/>
          <w:szCs w:val="20"/>
        </w:rPr>
        <w:t xml:space="preserve"> ha carattere introduttivo e generale</w:t>
      </w:r>
      <w:r w:rsidR="00D87B61" w:rsidRPr="00515872">
        <w:rPr>
          <w:rFonts w:cs="Tahoma"/>
          <w:szCs w:val="20"/>
        </w:rPr>
        <w:t>. In esso sono t</w:t>
      </w:r>
      <w:r w:rsidR="00FE1EC6" w:rsidRPr="00515872">
        <w:rPr>
          <w:rFonts w:cs="Tahoma"/>
          <w:szCs w:val="20"/>
        </w:rPr>
        <w:t>rattati argomenti quali le regole</w:t>
      </w:r>
      <w:r w:rsidR="00D87B61" w:rsidRPr="00515872">
        <w:rPr>
          <w:rFonts w:cs="Tahoma"/>
          <w:szCs w:val="20"/>
        </w:rPr>
        <w:t xml:space="preserve"> sulla nomina e accettazione dell’incarico, il comportamento dell’organo di revisione, le sue funzioni e le procedure di revisione.</w:t>
      </w:r>
    </w:p>
    <w:p w14:paraId="5975FC58" w14:textId="77777777" w:rsidR="00A03CEE" w:rsidRPr="00515872" w:rsidRDefault="009518AF" w:rsidP="009518AF">
      <w:pPr>
        <w:spacing w:line="360" w:lineRule="auto"/>
        <w:jc w:val="both"/>
        <w:rPr>
          <w:rFonts w:cs="Tahoma"/>
          <w:szCs w:val="20"/>
        </w:rPr>
      </w:pPr>
      <w:r w:rsidRPr="00515872">
        <w:rPr>
          <w:rFonts w:cs="Tahoma"/>
          <w:szCs w:val="20"/>
        </w:rPr>
        <w:t xml:space="preserve">Il documento n. 2 </w:t>
      </w:r>
      <w:r w:rsidR="002E51AA" w:rsidRPr="00515872">
        <w:rPr>
          <w:rFonts w:cs="Tahoma"/>
          <w:szCs w:val="20"/>
        </w:rPr>
        <w:t xml:space="preserve">fornisce, innanzitutto, una definizione </w:t>
      </w:r>
      <w:r w:rsidR="00FE1EC6" w:rsidRPr="00515872">
        <w:rPr>
          <w:rFonts w:cs="Tahoma"/>
          <w:szCs w:val="20"/>
        </w:rPr>
        <w:t>dell’atteggiamento collaborativo</w:t>
      </w:r>
      <w:r w:rsidR="002E51AA" w:rsidRPr="00515872">
        <w:rPr>
          <w:rFonts w:cs="Tahoma"/>
          <w:szCs w:val="20"/>
        </w:rPr>
        <w:t xml:space="preserve"> che l’organo di revisione deve </w:t>
      </w:r>
      <w:r w:rsidR="00FE1EC6" w:rsidRPr="00515872">
        <w:rPr>
          <w:rFonts w:cs="Tahoma"/>
          <w:szCs w:val="20"/>
        </w:rPr>
        <w:t>tenere</w:t>
      </w:r>
      <w:r w:rsidR="002E51AA" w:rsidRPr="00515872">
        <w:rPr>
          <w:rFonts w:cs="Tahoma"/>
          <w:szCs w:val="20"/>
        </w:rPr>
        <w:t xml:space="preserve"> con il consiglio comunale; </w:t>
      </w:r>
      <w:r w:rsidR="00A03CEE" w:rsidRPr="00515872">
        <w:rPr>
          <w:rFonts w:cs="Tahoma"/>
          <w:szCs w:val="20"/>
        </w:rPr>
        <w:t>prende</w:t>
      </w:r>
      <w:r w:rsidR="002E51AA" w:rsidRPr="00515872">
        <w:rPr>
          <w:rFonts w:cs="Tahoma"/>
          <w:szCs w:val="20"/>
        </w:rPr>
        <w:t>, poi,</w:t>
      </w:r>
      <w:r w:rsidR="00A03CEE" w:rsidRPr="00515872">
        <w:rPr>
          <w:rFonts w:cs="Tahoma"/>
          <w:szCs w:val="20"/>
        </w:rPr>
        <w:t xml:space="preserve"> in </w:t>
      </w:r>
      <w:r w:rsidR="00E776F2" w:rsidRPr="00515872">
        <w:rPr>
          <w:rFonts w:cs="Tahoma"/>
          <w:szCs w:val="20"/>
        </w:rPr>
        <w:t>esame</w:t>
      </w:r>
      <w:r w:rsidR="00A03CEE" w:rsidRPr="00515872">
        <w:rPr>
          <w:rFonts w:cs="Tahoma"/>
          <w:szCs w:val="20"/>
        </w:rPr>
        <w:t xml:space="preserve"> i vari pareri che il revisore deve </w:t>
      </w:r>
      <w:r w:rsidR="00FE1EC6" w:rsidRPr="00515872">
        <w:rPr>
          <w:rFonts w:cs="Tahoma"/>
          <w:szCs w:val="20"/>
        </w:rPr>
        <w:t>emettere</w:t>
      </w:r>
      <w:r w:rsidR="00A03CEE" w:rsidRPr="00515872">
        <w:rPr>
          <w:rFonts w:cs="Tahoma"/>
          <w:szCs w:val="20"/>
        </w:rPr>
        <w:t xml:space="preserve"> sugli atti dell’ente quali gli strumenti di programmazione economico-finanziaria, il riconoscimento di debiti fuori </w:t>
      </w:r>
      <w:r w:rsidR="00A03CEE" w:rsidRPr="00515872">
        <w:rPr>
          <w:rFonts w:cs="Tahoma"/>
          <w:szCs w:val="20"/>
        </w:rPr>
        <w:lastRenderedPageBreak/>
        <w:t>bilancio, le proposte di transazione, le variazioni di bilancio e atri ancora, oltre ad affrontare la tematica, in generale, delle funzioni di vigilanza.</w:t>
      </w:r>
    </w:p>
    <w:p w14:paraId="1E5EA7A5" w14:textId="77777777" w:rsidR="009518AF" w:rsidRPr="00515872" w:rsidRDefault="009518AF" w:rsidP="009518AF">
      <w:pPr>
        <w:spacing w:line="360" w:lineRule="auto"/>
        <w:jc w:val="both"/>
        <w:rPr>
          <w:rFonts w:cs="Tahoma"/>
          <w:szCs w:val="20"/>
        </w:rPr>
      </w:pPr>
      <w:r w:rsidRPr="00515872">
        <w:rPr>
          <w:rFonts w:cs="Tahoma"/>
          <w:szCs w:val="20"/>
        </w:rPr>
        <w:t xml:space="preserve">Il terzo documento pone l’accento sull’attività di </w:t>
      </w:r>
      <w:r w:rsidR="003E2D62" w:rsidRPr="00515872">
        <w:rPr>
          <w:rFonts w:cs="Tahoma"/>
          <w:szCs w:val="20"/>
        </w:rPr>
        <w:t>verifica dei principali strumenti di programmazione, vale a dire di Documento Unico di Programmazione (DUP) e il bilancio di previsione.</w:t>
      </w:r>
    </w:p>
    <w:p w14:paraId="30521918" w14:textId="77777777" w:rsidR="003E2D62" w:rsidRPr="00515872" w:rsidRDefault="009518AF" w:rsidP="009518AF">
      <w:pPr>
        <w:spacing w:line="360" w:lineRule="auto"/>
        <w:jc w:val="both"/>
        <w:rPr>
          <w:rFonts w:cs="Tahoma"/>
          <w:szCs w:val="20"/>
        </w:rPr>
      </w:pPr>
      <w:r w:rsidRPr="00515872">
        <w:rPr>
          <w:rFonts w:cs="Tahoma"/>
          <w:szCs w:val="20"/>
        </w:rPr>
        <w:t xml:space="preserve">Il quarto </w:t>
      </w:r>
      <w:r w:rsidR="003E2D62" w:rsidRPr="00515872">
        <w:rPr>
          <w:rFonts w:cs="Tahoma"/>
          <w:szCs w:val="20"/>
        </w:rPr>
        <w:t>affronta le tematiche della regolarità amministrativa e contabile dell’ente in termini di gestione delle entrate, delle spese, di tempestività dei pagamenti nonché di utilizzo dei beni di proprietà dell’ente.</w:t>
      </w:r>
    </w:p>
    <w:p w14:paraId="58997161" w14:textId="77777777" w:rsidR="00A20850" w:rsidRPr="00515872" w:rsidRDefault="009518AF" w:rsidP="009518AF">
      <w:pPr>
        <w:spacing w:line="360" w:lineRule="auto"/>
        <w:jc w:val="both"/>
        <w:rPr>
          <w:rFonts w:cs="Tahoma"/>
          <w:szCs w:val="20"/>
        </w:rPr>
      </w:pPr>
      <w:r w:rsidRPr="00515872">
        <w:rPr>
          <w:rFonts w:cs="Tahoma"/>
          <w:szCs w:val="20"/>
        </w:rPr>
        <w:t xml:space="preserve">Il documento n. 5 </w:t>
      </w:r>
      <w:r w:rsidR="00A20850" w:rsidRPr="00515872">
        <w:rPr>
          <w:rFonts w:cs="Tahoma"/>
          <w:szCs w:val="20"/>
        </w:rPr>
        <w:t>si occupa dei controlli che il revisore deve effettuare sul conto consuntivo dell’ente, ovv</w:t>
      </w:r>
      <w:r w:rsidR="006F5FF6" w:rsidRPr="00515872">
        <w:rPr>
          <w:rFonts w:cs="Tahoma"/>
          <w:szCs w:val="20"/>
        </w:rPr>
        <w:t xml:space="preserve">ero il rendiconto, declinati </w:t>
      </w:r>
      <w:r w:rsidR="00A20850" w:rsidRPr="00515872">
        <w:rPr>
          <w:rFonts w:cs="Tahoma"/>
          <w:szCs w:val="20"/>
        </w:rPr>
        <w:t>in termini di corrispondenza con le regole che ne presiedono la redazione e definendo l’approccio del revisore alla relazione che dovrà emettere.</w:t>
      </w:r>
    </w:p>
    <w:p w14:paraId="119F70E8" w14:textId="77777777" w:rsidR="00A20850" w:rsidRPr="00515872" w:rsidRDefault="009518AF" w:rsidP="009518AF">
      <w:pPr>
        <w:spacing w:line="360" w:lineRule="auto"/>
        <w:jc w:val="both"/>
        <w:rPr>
          <w:rFonts w:cs="Tahoma"/>
          <w:szCs w:val="20"/>
        </w:rPr>
      </w:pPr>
      <w:r w:rsidRPr="00515872">
        <w:rPr>
          <w:rFonts w:cs="Tahoma"/>
          <w:szCs w:val="20"/>
        </w:rPr>
        <w:t xml:space="preserve">Il documento n. 6 </w:t>
      </w:r>
      <w:r w:rsidR="00A20850" w:rsidRPr="00515872">
        <w:rPr>
          <w:rFonts w:cs="Tahoma"/>
          <w:szCs w:val="20"/>
        </w:rPr>
        <w:t xml:space="preserve">tratta uno degli argomenti più complessi e delicati della normativa sugli enti locali, vale a dire la gestione del personale, con particolare riferimento al concorso che gli enti devono dare al rispetto degli obbiettivi di finanza pubblica mediante il contenimento della relativa spesa (materia soggetta a continue modifiche e aggiornamenti volti, alternativamente, a stringere o allentare la morsa sul contenimento della spesa </w:t>
      </w:r>
      <w:r w:rsidR="00C202FA" w:rsidRPr="00515872">
        <w:rPr>
          <w:rFonts w:cs="Tahoma"/>
          <w:szCs w:val="20"/>
        </w:rPr>
        <w:t>con</w:t>
      </w:r>
      <w:r w:rsidR="00A20850" w:rsidRPr="00515872">
        <w:rPr>
          <w:rFonts w:cs="Tahoma"/>
          <w:szCs w:val="20"/>
        </w:rPr>
        <w:t xml:space="preserve"> conseguen</w:t>
      </w:r>
      <w:r w:rsidR="00C202FA" w:rsidRPr="00515872">
        <w:rPr>
          <w:rFonts w:cs="Tahoma"/>
          <w:szCs w:val="20"/>
        </w:rPr>
        <w:t>ze sulle</w:t>
      </w:r>
      <w:r w:rsidR="00A20850" w:rsidRPr="00515872">
        <w:rPr>
          <w:rFonts w:cs="Tahoma"/>
          <w:szCs w:val="20"/>
        </w:rPr>
        <w:t xml:space="preserve"> possibilità </w:t>
      </w:r>
      <w:proofErr w:type="spellStart"/>
      <w:r w:rsidR="00A20850" w:rsidRPr="00515872">
        <w:rPr>
          <w:rFonts w:cs="Tahoma"/>
          <w:szCs w:val="20"/>
        </w:rPr>
        <w:t>assunzionali</w:t>
      </w:r>
      <w:proofErr w:type="spellEnd"/>
      <w:r w:rsidR="00A20850" w:rsidRPr="00515872">
        <w:rPr>
          <w:rFonts w:cs="Tahoma"/>
          <w:szCs w:val="20"/>
        </w:rPr>
        <w:t xml:space="preserve"> dell’ente).</w:t>
      </w:r>
    </w:p>
    <w:p w14:paraId="2CBB1F84" w14:textId="77777777" w:rsidR="00723AFE" w:rsidRPr="00515872" w:rsidRDefault="006F5FF6" w:rsidP="009518AF">
      <w:pPr>
        <w:spacing w:line="360" w:lineRule="auto"/>
        <w:jc w:val="both"/>
        <w:rPr>
          <w:rFonts w:cs="Tahoma"/>
          <w:szCs w:val="20"/>
        </w:rPr>
      </w:pPr>
      <w:r w:rsidRPr="00515872">
        <w:rPr>
          <w:rFonts w:cs="Tahoma"/>
          <w:szCs w:val="20"/>
        </w:rPr>
        <w:t>Nel</w:t>
      </w:r>
      <w:r w:rsidR="00723AFE" w:rsidRPr="00515872">
        <w:rPr>
          <w:rFonts w:cs="Tahoma"/>
          <w:szCs w:val="20"/>
        </w:rPr>
        <w:t xml:space="preserve"> n</w:t>
      </w:r>
      <w:r w:rsidR="009518AF" w:rsidRPr="00515872">
        <w:rPr>
          <w:rFonts w:cs="Tahoma"/>
          <w:szCs w:val="20"/>
        </w:rPr>
        <w:t xml:space="preserve">. 7 </w:t>
      </w:r>
      <w:r w:rsidR="00723AFE" w:rsidRPr="00515872">
        <w:rPr>
          <w:rFonts w:cs="Tahoma"/>
          <w:szCs w:val="20"/>
        </w:rPr>
        <w:t xml:space="preserve">vengono affrontate le possibilità di indebitamento e i limiti che l’ente deve rispettare nel farvi ricorso, riepilogando le forme di indebitamento attivabili, le spese che possono esservi finanziate e le verifiche che il revisore deve svolgere </w:t>
      </w:r>
      <w:r w:rsidRPr="00515872">
        <w:rPr>
          <w:rFonts w:cs="Tahoma"/>
          <w:szCs w:val="20"/>
        </w:rPr>
        <w:t>onde</w:t>
      </w:r>
      <w:r w:rsidR="00723AFE" w:rsidRPr="00515872">
        <w:rPr>
          <w:rFonts w:cs="Tahoma"/>
          <w:szCs w:val="20"/>
        </w:rPr>
        <w:t xml:space="preserve"> garantire la salvaguardia degli equilibri finanziari dell’ente stesso.</w:t>
      </w:r>
    </w:p>
    <w:p w14:paraId="21B4DD60" w14:textId="77777777" w:rsidR="00D357DC" w:rsidRPr="00515872" w:rsidRDefault="00723AFE" w:rsidP="009518AF">
      <w:pPr>
        <w:spacing w:line="360" w:lineRule="auto"/>
        <w:jc w:val="both"/>
        <w:rPr>
          <w:rFonts w:cs="Tahoma"/>
          <w:szCs w:val="20"/>
        </w:rPr>
      </w:pPr>
      <w:r w:rsidRPr="00515872">
        <w:rPr>
          <w:rFonts w:cs="Tahoma"/>
          <w:szCs w:val="20"/>
        </w:rPr>
        <w:t xml:space="preserve">Una delle attività più tradizionali del revisore è senz’altro quella delle verifiche di cassa e dei rendiconti degli agenti contabili dell’ente, trattati nel </w:t>
      </w:r>
      <w:r w:rsidR="009518AF" w:rsidRPr="00515872">
        <w:rPr>
          <w:rFonts w:cs="Tahoma"/>
          <w:szCs w:val="20"/>
        </w:rPr>
        <w:t>documento n. 8</w:t>
      </w:r>
      <w:r w:rsidRPr="00515872">
        <w:rPr>
          <w:rFonts w:cs="Tahoma"/>
          <w:szCs w:val="20"/>
        </w:rPr>
        <w:t>. Dopo aver riepilogato le definizioni e gli obblighi degli agenti contabili, il documento delinea le verifiche e i controlli che i</w:t>
      </w:r>
      <w:r w:rsidR="00D357DC" w:rsidRPr="00515872">
        <w:rPr>
          <w:rFonts w:cs="Tahoma"/>
          <w:szCs w:val="20"/>
        </w:rPr>
        <w:t>l revisore deve porre in essere</w:t>
      </w:r>
      <w:r w:rsidR="009518AF" w:rsidRPr="00515872">
        <w:rPr>
          <w:rFonts w:cs="Tahoma"/>
          <w:szCs w:val="20"/>
        </w:rPr>
        <w:t xml:space="preserve">, </w:t>
      </w:r>
      <w:r w:rsidR="00D357DC" w:rsidRPr="00515872">
        <w:rPr>
          <w:rFonts w:cs="Tahoma"/>
          <w:szCs w:val="20"/>
        </w:rPr>
        <w:t>rimarcandone la periodicità trimestrale e la possibilità di adottare la tecnica del campionamento.</w:t>
      </w:r>
    </w:p>
    <w:p w14:paraId="329D7E39" w14:textId="77777777" w:rsidR="00D357DC" w:rsidRPr="00515872" w:rsidRDefault="00D357DC" w:rsidP="009518AF">
      <w:pPr>
        <w:spacing w:line="360" w:lineRule="auto"/>
        <w:jc w:val="both"/>
        <w:rPr>
          <w:rFonts w:cs="Tahoma"/>
          <w:szCs w:val="20"/>
        </w:rPr>
      </w:pPr>
      <w:r w:rsidRPr="00515872">
        <w:rPr>
          <w:rFonts w:cs="Tahoma"/>
          <w:szCs w:val="20"/>
        </w:rPr>
        <w:t>Nel</w:t>
      </w:r>
      <w:r w:rsidR="009518AF" w:rsidRPr="00515872">
        <w:rPr>
          <w:rFonts w:cs="Tahoma"/>
          <w:szCs w:val="20"/>
        </w:rPr>
        <w:t xml:space="preserve"> documento n. 9 </w:t>
      </w:r>
      <w:r w:rsidRPr="00515872">
        <w:rPr>
          <w:rFonts w:cs="Tahoma"/>
          <w:szCs w:val="20"/>
        </w:rPr>
        <w:t>vengono affrontati i controlli da effettuare sul conto economico e lo stato patrimoniale e, più in generale, sulla gestione economico-patrimoniale dell’ente. Si tratta di una tematica particolare in quanto tendenzialmente tenuta a margine delle attenzioni del reparto contabile dell’ente locale abituato a ragionare in termini di competenza finanziaria anziché di competenza economica (</w:t>
      </w:r>
      <w:r w:rsidR="00C202FA" w:rsidRPr="00515872">
        <w:rPr>
          <w:rFonts w:cs="Tahoma"/>
          <w:szCs w:val="20"/>
        </w:rPr>
        <w:t>alla base</w:t>
      </w:r>
      <w:r w:rsidRPr="00515872">
        <w:rPr>
          <w:rFonts w:cs="Tahoma"/>
          <w:szCs w:val="20"/>
        </w:rPr>
        <w:t>, quest’ultima, dei due documenti trattati dal principio in esame). L’organo di revisione deve, in questa sede, prestare particolare attenzione alla gestione unitaria delle rilevazioni contabili sotto il duplice profilo finanziario ed economico-patrimoniale, al fine di addivenire ad una corretta rappresentazione contabile dei risultati della gestione.</w:t>
      </w:r>
    </w:p>
    <w:p w14:paraId="5F001C15" w14:textId="77777777" w:rsidR="00D357DC"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Il documento n. 1</w:t>
      </w:r>
      <w:r w:rsidR="00D357DC" w:rsidRPr="00515872">
        <w:rPr>
          <w:rFonts w:eastAsia="Times New Roman" w:cs="Tahoma"/>
          <w:szCs w:val="20"/>
          <w:lang w:eastAsia="it-IT"/>
        </w:rPr>
        <w:t>0 richiama l’attenzione sugli adempimenti che devono essere tenuti presenti dall’organo di revisione in relazione alla gestione e agli affidamenti dei servizi agli orga</w:t>
      </w:r>
      <w:r w:rsidR="00C202FA" w:rsidRPr="00515872">
        <w:rPr>
          <w:rFonts w:eastAsia="Times New Roman" w:cs="Tahoma"/>
          <w:szCs w:val="20"/>
          <w:lang w:eastAsia="it-IT"/>
        </w:rPr>
        <w:t xml:space="preserve">nismi partecipati, nonché sulla </w:t>
      </w:r>
      <w:r w:rsidR="00D357DC" w:rsidRPr="00515872">
        <w:rPr>
          <w:rFonts w:eastAsia="Times New Roman" w:cs="Tahoma"/>
          <w:szCs w:val="20"/>
          <w:lang w:eastAsia="it-IT"/>
        </w:rPr>
        <w:t>possibilità di loro costituzione e mantenimento.</w:t>
      </w:r>
    </w:p>
    <w:p w14:paraId="2242477E" w14:textId="77777777" w:rsidR="00253951" w:rsidRPr="00515872" w:rsidRDefault="00253951" w:rsidP="009518AF">
      <w:pPr>
        <w:spacing w:line="360" w:lineRule="auto"/>
        <w:jc w:val="both"/>
        <w:rPr>
          <w:rFonts w:cs="Tahoma"/>
          <w:szCs w:val="20"/>
        </w:rPr>
      </w:pPr>
      <w:r w:rsidRPr="00515872">
        <w:rPr>
          <w:rFonts w:cs="Tahoma"/>
          <w:szCs w:val="20"/>
        </w:rPr>
        <w:lastRenderedPageBreak/>
        <w:t xml:space="preserve">L’ente locale è </w:t>
      </w:r>
      <w:r w:rsidR="006F5FF6" w:rsidRPr="00515872">
        <w:rPr>
          <w:rFonts w:cs="Tahoma"/>
          <w:szCs w:val="20"/>
        </w:rPr>
        <w:t>soggetto passivo ai fini fiscali</w:t>
      </w:r>
      <w:r w:rsidRPr="00515872">
        <w:rPr>
          <w:rFonts w:cs="Tahoma"/>
          <w:szCs w:val="20"/>
        </w:rPr>
        <w:t xml:space="preserve"> sotto molteplici aspetti e con peculiarità tipiche dell’amministrazione pubblica. La verifica sugli adempimenti fiscali, trattata nel documento n. 11, rientra nell’attività di vigilanza di cui all’art. 239 del TUEL. Tale norma assegna all’organo di revisione il compito di vigilare anche sugli adempimenti fiscali utilizzando anche tecniche motivate di campionamento.</w:t>
      </w:r>
    </w:p>
    <w:p w14:paraId="63BD7BE5" w14:textId="77777777" w:rsidR="00645A82" w:rsidRPr="00515872" w:rsidRDefault="009518AF" w:rsidP="009518AF">
      <w:pPr>
        <w:spacing w:line="360" w:lineRule="auto"/>
        <w:jc w:val="both"/>
        <w:rPr>
          <w:rFonts w:cs="Tahoma"/>
          <w:szCs w:val="20"/>
        </w:rPr>
      </w:pPr>
      <w:r w:rsidRPr="00515872">
        <w:rPr>
          <w:rFonts w:cs="Tahoma"/>
          <w:szCs w:val="20"/>
        </w:rPr>
        <w:t>Il documento n. 1</w:t>
      </w:r>
      <w:r w:rsidR="006F5FF6" w:rsidRPr="00515872">
        <w:rPr>
          <w:rFonts w:cs="Tahoma"/>
          <w:szCs w:val="20"/>
        </w:rPr>
        <w:t>2</w:t>
      </w:r>
      <w:r w:rsidRPr="00515872">
        <w:rPr>
          <w:rFonts w:cs="Tahoma"/>
          <w:szCs w:val="20"/>
        </w:rPr>
        <w:t xml:space="preserve">, </w:t>
      </w:r>
      <w:r w:rsidR="00253951" w:rsidRPr="00515872">
        <w:rPr>
          <w:rFonts w:cs="Tahoma"/>
          <w:szCs w:val="20"/>
        </w:rPr>
        <w:t xml:space="preserve">affronta la revisione del bilancio consolidato del Gruppo Amministrazione Pubblica (GAP). In particolare, oltre alle modalità con cui condurre la revisione, illustra gli aspetti che l’organo di revisione dell’ente capogruppo deve considerare al fine di formulare il giudizio sul bilancio </w:t>
      </w:r>
      <w:r w:rsidR="00645A82" w:rsidRPr="00515872">
        <w:rPr>
          <w:rFonts w:cs="Tahoma"/>
          <w:szCs w:val="20"/>
        </w:rPr>
        <w:t>del gruppo da inserire nella propria relazione finale.</w:t>
      </w:r>
    </w:p>
    <w:p w14:paraId="7746F933" w14:textId="77777777" w:rsidR="00FD4000" w:rsidRPr="00515872" w:rsidRDefault="00FD4000" w:rsidP="009518AF">
      <w:pPr>
        <w:spacing w:line="360" w:lineRule="auto"/>
        <w:jc w:val="both"/>
        <w:rPr>
          <w:rFonts w:cs="Tahoma"/>
          <w:szCs w:val="20"/>
        </w:rPr>
      </w:pPr>
    </w:p>
    <w:p w14:paraId="78D300C7" w14:textId="77777777" w:rsidR="009518AF" w:rsidRPr="00515872" w:rsidRDefault="009518AF" w:rsidP="00297A21">
      <w:pPr>
        <w:pStyle w:val="Paragrafo"/>
      </w:pPr>
      <w:bookmarkStart w:id="51" w:name="_Toc521317059"/>
      <w:bookmarkStart w:id="52" w:name="_Toc95912232"/>
      <w:r w:rsidRPr="00515872">
        <w:t>3.4 Collaboratori dell’organo di revisione</w:t>
      </w:r>
      <w:bookmarkEnd w:id="51"/>
      <w:bookmarkEnd w:id="52"/>
    </w:p>
    <w:p w14:paraId="51D1B7D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Come raccomandato dal C.N.D.C.E.C., nel caso in cui il revisore, per l’espletamento della propria attività, si avvalga di propri collaboratori deve assegnare a questi ultimi incarichi proporzionati alla loro competenza professionale, impartire adeguate direttive e controllare il loro operato.</w:t>
      </w:r>
    </w:p>
    <w:p w14:paraId="7585D1EC"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Nel caso in cui i collaboratori assumano una veste ufficiale nei confronti dell’ente, questi possono essere autorizzati ad accedere agli atti e documenti dell’ente oggetto </w:t>
      </w:r>
      <w:r w:rsidR="00A83A96" w:rsidRPr="00515872">
        <w:rPr>
          <w:rFonts w:cs="Tahoma"/>
          <w:color w:val="000000"/>
          <w:szCs w:val="20"/>
        </w:rPr>
        <w:t>di</w:t>
      </w:r>
      <w:r w:rsidRPr="00515872">
        <w:rPr>
          <w:rFonts w:cs="Tahoma"/>
          <w:color w:val="000000"/>
          <w:szCs w:val="20"/>
        </w:rPr>
        <w:t xml:space="preserve"> controllo; in tal caso, le generalità de</w:t>
      </w:r>
      <w:r w:rsidR="00F24444" w:rsidRPr="00515872">
        <w:rPr>
          <w:rFonts w:cs="Tahoma"/>
          <w:color w:val="000000"/>
          <w:szCs w:val="20"/>
        </w:rPr>
        <w:t>i</w:t>
      </w:r>
      <w:r w:rsidRPr="00515872">
        <w:rPr>
          <w:rFonts w:cs="Tahoma"/>
          <w:color w:val="000000"/>
          <w:szCs w:val="20"/>
        </w:rPr>
        <w:t xml:space="preserve"> collaborator</w:t>
      </w:r>
      <w:r w:rsidR="00F24444" w:rsidRPr="00515872">
        <w:rPr>
          <w:rFonts w:cs="Tahoma"/>
          <w:color w:val="000000"/>
          <w:szCs w:val="20"/>
        </w:rPr>
        <w:t>i</w:t>
      </w:r>
      <w:r w:rsidRPr="00515872">
        <w:rPr>
          <w:rFonts w:cs="Tahoma"/>
          <w:color w:val="000000"/>
          <w:szCs w:val="20"/>
        </w:rPr>
        <w:t xml:space="preserve"> dovranno essere comunicate al sindaco o al presidente del consiglio. Tali collaboratori devono possedere i </w:t>
      </w:r>
      <w:r w:rsidRPr="00515872">
        <w:rPr>
          <w:rFonts w:cs="Tahoma"/>
          <w:b/>
          <w:color w:val="000000"/>
          <w:szCs w:val="20"/>
        </w:rPr>
        <w:t>medesimi requisiti previsti per il revisore</w:t>
      </w:r>
      <w:r w:rsidRPr="00515872">
        <w:rPr>
          <w:rFonts w:cs="Tahoma"/>
          <w:color w:val="000000"/>
          <w:szCs w:val="20"/>
        </w:rPr>
        <w:t xml:space="preserve"> in carica. In particolare, sono soggetti alle norme sui requisiti professionali di cui al c. 2 dell’art. 234 del TUEL</w:t>
      </w:r>
      <w:r w:rsidRPr="00515872">
        <w:rPr>
          <w:rStyle w:val="Rimandonotaapidipagina"/>
          <w:rFonts w:cs="Tahoma"/>
          <w:color w:val="000000"/>
          <w:szCs w:val="20"/>
        </w:rPr>
        <w:footnoteReference w:id="19"/>
      </w:r>
      <w:r w:rsidRPr="00515872">
        <w:rPr>
          <w:rFonts w:cs="Tahoma"/>
          <w:color w:val="000000"/>
          <w:szCs w:val="20"/>
        </w:rPr>
        <w:t xml:space="preserve"> e quelli dettati dalle norme sull’incompatibilità e l’ineleggibilità. Stante il mancato coordinamento tra le previsioni di cui all’art. 234,</w:t>
      </w:r>
      <w:r w:rsidR="00BA1C7F" w:rsidRPr="00515872">
        <w:rPr>
          <w:rFonts w:cs="Tahoma"/>
          <w:color w:val="000000"/>
          <w:szCs w:val="20"/>
        </w:rPr>
        <w:t xml:space="preserve"> c. 2 del TUEL e la norma di</w:t>
      </w:r>
      <w:r w:rsidRPr="00515872">
        <w:rPr>
          <w:rFonts w:cs="Tahoma"/>
          <w:color w:val="000000"/>
          <w:szCs w:val="20"/>
        </w:rPr>
        <w:t xml:space="preserve"> riforma del sistema di nomina introdotta dal D.L. n. 138/2011, non è chiaro, invece, se il collaboratore del revisore debba figurare anche nell’elenco dei revisori sorteggiabili di cui al D.M. 23/2012, riservato, a voler ben vedere, al caso di nomina da parte dell’ente e non certamente pensato per la scelta, da parte del revisore, dei propri collaboratori.</w:t>
      </w:r>
      <w:r w:rsidR="00BA1C7F" w:rsidRPr="00515872">
        <w:rPr>
          <w:rFonts w:cs="Tahoma"/>
          <w:color w:val="000000"/>
          <w:szCs w:val="20"/>
        </w:rPr>
        <w:t xml:space="preserve"> Si ritiene, pertanto, di poter escludere tale ulteriore requisito.</w:t>
      </w:r>
    </w:p>
    <w:p w14:paraId="29D33463"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Ai collaboratori del revisore sono estesi gli obblighi di osservanza del segreto professionale.</w:t>
      </w:r>
    </w:p>
    <w:p w14:paraId="268D71F0" w14:textId="77777777" w:rsidR="009518AF" w:rsidRPr="00515872" w:rsidRDefault="003F2C98" w:rsidP="009518AF">
      <w:pPr>
        <w:spacing w:line="360" w:lineRule="auto"/>
        <w:jc w:val="both"/>
        <w:rPr>
          <w:rFonts w:cs="Tahoma"/>
          <w:color w:val="000000"/>
          <w:szCs w:val="20"/>
        </w:rPr>
      </w:pPr>
      <w:r w:rsidRPr="00515872">
        <w:rPr>
          <w:rFonts w:cs="Tahoma"/>
          <w:color w:val="000000"/>
          <w:szCs w:val="20"/>
        </w:rPr>
        <w:t>La responsabilità e l</w:t>
      </w:r>
      <w:r w:rsidR="009518AF" w:rsidRPr="00515872">
        <w:rPr>
          <w:rFonts w:cs="Tahoma"/>
          <w:color w:val="000000"/>
          <w:szCs w:val="20"/>
        </w:rPr>
        <w:t xml:space="preserve">’onere economico </w:t>
      </w:r>
      <w:r w:rsidRPr="00515872">
        <w:rPr>
          <w:rFonts w:cs="Tahoma"/>
          <w:color w:val="000000"/>
          <w:szCs w:val="20"/>
        </w:rPr>
        <w:t>per l</w:t>
      </w:r>
      <w:r w:rsidR="009518AF" w:rsidRPr="00515872">
        <w:rPr>
          <w:rFonts w:cs="Tahoma"/>
          <w:color w:val="000000"/>
          <w:szCs w:val="20"/>
        </w:rPr>
        <w:t>’utilizzo del collaboratore riman</w:t>
      </w:r>
      <w:r w:rsidRPr="00515872">
        <w:rPr>
          <w:rFonts w:cs="Tahoma"/>
          <w:color w:val="000000"/>
          <w:szCs w:val="20"/>
        </w:rPr>
        <w:t>gono</w:t>
      </w:r>
      <w:r w:rsidR="009518AF" w:rsidRPr="00515872">
        <w:rPr>
          <w:rFonts w:cs="Tahoma"/>
          <w:color w:val="000000"/>
          <w:szCs w:val="20"/>
        </w:rPr>
        <w:t xml:space="preserve"> a totale carico del revisore titolare dell’incarico.</w:t>
      </w:r>
    </w:p>
    <w:p w14:paraId="1B58D1F7" w14:textId="77777777" w:rsidR="007E176C" w:rsidRPr="00515872" w:rsidRDefault="007E176C" w:rsidP="009518AF">
      <w:pPr>
        <w:spacing w:line="360" w:lineRule="auto"/>
        <w:jc w:val="both"/>
        <w:rPr>
          <w:rFonts w:cs="Tahoma"/>
          <w:color w:val="000000"/>
          <w:szCs w:val="20"/>
        </w:rPr>
      </w:pPr>
    </w:p>
    <w:p w14:paraId="5A7672F9" w14:textId="77777777" w:rsidR="009518AF" w:rsidRPr="00515872" w:rsidRDefault="009518AF" w:rsidP="00297A21">
      <w:pPr>
        <w:pStyle w:val="Paragrafo"/>
        <w:rPr>
          <w:rFonts w:eastAsia="MS Gothic"/>
          <w:kern w:val="28"/>
          <w:sz w:val="40"/>
          <w:szCs w:val="32"/>
        </w:rPr>
      </w:pPr>
      <w:bookmarkStart w:id="53" w:name="_Toc521317060"/>
      <w:bookmarkStart w:id="54" w:name="_Toc95912233"/>
      <w:r w:rsidRPr="00515872">
        <w:lastRenderedPageBreak/>
        <w:t>3.5 Modalità di esercizio della vigilanza</w:t>
      </w:r>
      <w:bookmarkEnd w:id="53"/>
      <w:bookmarkEnd w:id="54"/>
    </w:p>
    <w:p w14:paraId="0D25991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modalità di funzionamento dell’organo di revisione devono essere disciplinate nel regolamento di contabilità dell'ente o nel regolamento interno dell'organo di revisione.</w:t>
      </w:r>
    </w:p>
    <w:p w14:paraId="766EF10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L'organo di revisione deve essere dotato dei mezzi necessari per lo svolgimento dei propri compiti, secondo quanto previsto dallo statuto e dal regolamento.</w:t>
      </w:r>
    </w:p>
    <w:p w14:paraId="1920918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Lo statuto dell'ente locale </w:t>
      </w:r>
      <w:r w:rsidR="00014436" w:rsidRPr="00515872">
        <w:rPr>
          <w:rFonts w:eastAsia="Times New Roman" w:cs="Tahoma"/>
          <w:szCs w:val="20"/>
          <w:lang w:eastAsia="it-IT"/>
        </w:rPr>
        <w:t>o il regolamento di contabilità possono</w:t>
      </w:r>
      <w:r w:rsidRPr="00515872">
        <w:rPr>
          <w:rFonts w:eastAsia="Times New Roman" w:cs="Tahoma"/>
          <w:szCs w:val="20"/>
          <w:lang w:eastAsia="it-IT"/>
        </w:rPr>
        <w:t xml:space="preserve"> prevedere</w:t>
      </w:r>
      <w:r w:rsidR="00014436" w:rsidRPr="00515872">
        <w:rPr>
          <w:rFonts w:eastAsia="Times New Roman" w:cs="Tahoma"/>
          <w:szCs w:val="20"/>
          <w:lang w:eastAsia="it-IT"/>
        </w:rPr>
        <w:t>, inoltre,</w:t>
      </w:r>
      <w:r w:rsidRPr="00515872">
        <w:rPr>
          <w:rFonts w:eastAsia="Times New Roman" w:cs="Tahoma"/>
          <w:szCs w:val="20"/>
          <w:lang w:eastAsia="it-IT"/>
        </w:rPr>
        <w:t xml:space="preserve"> ampliamenti delle funzioni </w:t>
      </w:r>
      <w:r w:rsidR="00DA56A3" w:rsidRPr="00515872">
        <w:rPr>
          <w:rFonts w:eastAsia="Times New Roman" w:cs="Tahoma"/>
          <w:szCs w:val="20"/>
          <w:lang w:eastAsia="it-IT"/>
        </w:rPr>
        <w:t>affidate ai revisori.</w:t>
      </w:r>
    </w:p>
    <w:p w14:paraId="117C8E24" w14:textId="77777777" w:rsidR="00AE32C9" w:rsidRPr="00515872" w:rsidRDefault="00AE32C9" w:rsidP="009518AF">
      <w:pPr>
        <w:spacing w:line="360" w:lineRule="auto"/>
        <w:jc w:val="both"/>
        <w:rPr>
          <w:rFonts w:eastAsia="Times New Roman" w:cs="Tahoma"/>
          <w:szCs w:val="20"/>
          <w:lang w:eastAsia="it-IT"/>
        </w:rPr>
      </w:pPr>
      <w:r w:rsidRPr="00515872">
        <w:rPr>
          <w:rFonts w:eastAsia="Times New Roman" w:cs="Tahoma"/>
          <w:szCs w:val="20"/>
          <w:lang w:eastAsia="it-IT"/>
        </w:rPr>
        <w:t>Poiché l’organo di revisione deve acquisire elementi att</w:t>
      </w:r>
      <w:r w:rsidR="000717E3" w:rsidRPr="00515872">
        <w:rPr>
          <w:rFonts w:eastAsia="Times New Roman" w:cs="Tahoma"/>
          <w:szCs w:val="20"/>
          <w:lang w:eastAsia="it-IT"/>
        </w:rPr>
        <w:t xml:space="preserve">endibili è necessario che le informazioni e la documentazione acquisita </w:t>
      </w:r>
      <w:r w:rsidR="00D47198" w:rsidRPr="00515872">
        <w:rPr>
          <w:rFonts w:eastAsia="Times New Roman" w:cs="Tahoma"/>
          <w:szCs w:val="20"/>
          <w:lang w:eastAsia="it-IT"/>
        </w:rPr>
        <w:t>siano il più possibile accurate, complete e dettagliate.</w:t>
      </w:r>
    </w:p>
    <w:p w14:paraId="7265AC3A" w14:textId="77777777" w:rsidR="00D47198" w:rsidRPr="00515872" w:rsidRDefault="0099319B" w:rsidP="009518AF">
      <w:pPr>
        <w:spacing w:line="360" w:lineRule="auto"/>
        <w:jc w:val="both"/>
        <w:rPr>
          <w:rFonts w:eastAsia="Times New Roman" w:cs="Tahoma"/>
          <w:szCs w:val="20"/>
          <w:lang w:eastAsia="it-IT"/>
        </w:rPr>
      </w:pPr>
      <w:r w:rsidRPr="00515872">
        <w:rPr>
          <w:rFonts w:eastAsia="Times New Roman" w:cs="Tahoma"/>
          <w:szCs w:val="20"/>
          <w:lang w:eastAsia="it-IT"/>
        </w:rPr>
        <w:t>La principale figura di riferimento per l’organo di revisione è il responsabile del servizio finanziario con il quale esso è tenuto ad insta</w:t>
      </w:r>
      <w:r w:rsidR="00E01603" w:rsidRPr="00515872">
        <w:rPr>
          <w:rFonts w:eastAsia="Times New Roman" w:cs="Tahoma"/>
          <w:szCs w:val="20"/>
          <w:lang w:eastAsia="it-IT"/>
        </w:rPr>
        <w:t>urare un rapporto di collaborazione basato sulla massima trasparenza delle informazioni rese.</w:t>
      </w:r>
    </w:p>
    <w:p w14:paraId="418D3344" w14:textId="77777777" w:rsidR="003058C0" w:rsidRPr="00515872" w:rsidRDefault="003058C0" w:rsidP="009518AF">
      <w:pPr>
        <w:spacing w:line="360" w:lineRule="auto"/>
        <w:jc w:val="both"/>
        <w:rPr>
          <w:rFonts w:eastAsia="Times New Roman" w:cs="Tahoma"/>
          <w:szCs w:val="20"/>
          <w:lang w:eastAsia="it-IT"/>
        </w:rPr>
      </w:pPr>
      <w:r w:rsidRPr="00515872">
        <w:rPr>
          <w:rFonts w:eastAsia="Times New Roman" w:cs="Tahoma"/>
          <w:szCs w:val="20"/>
          <w:lang w:eastAsia="it-IT"/>
        </w:rPr>
        <w:t>Il Consiglio Nazionale dei Dottori Commercialisti e degli Esperti Contabili, in collaborazione con la Fonazione Nazionale del Commercialisti, ha pubblicato, in data 15 luglio 2020, due quaderni e numerose check</w:t>
      </w:r>
      <w:r w:rsidR="00F24444" w:rsidRPr="00515872">
        <w:rPr>
          <w:rFonts w:eastAsia="Times New Roman" w:cs="Tahoma"/>
          <w:szCs w:val="20"/>
          <w:lang w:eastAsia="it-IT"/>
        </w:rPr>
        <w:t>-</w:t>
      </w:r>
      <w:r w:rsidRPr="00515872">
        <w:rPr>
          <w:rFonts w:eastAsia="Times New Roman" w:cs="Tahoma"/>
          <w:szCs w:val="20"/>
          <w:lang w:eastAsia="it-IT"/>
        </w:rPr>
        <w:t>list, nonché bozze di verbal</w:t>
      </w:r>
      <w:r w:rsidR="00F24444" w:rsidRPr="00515872">
        <w:rPr>
          <w:rFonts w:eastAsia="Times New Roman" w:cs="Tahoma"/>
          <w:szCs w:val="20"/>
          <w:lang w:eastAsia="it-IT"/>
        </w:rPr>
        <w:t>i</w:t>
      </w:r>
      <w:r w:rsidRPr="00515872">
        <w:rPr>
          <w:rFonts w:eastAsia="Times New Roman" w:cs="Tahoma"/>
          <w:szCs w:val="20"/>
          <w:lang w:eastAsia="it-IT"/>
        </w:rPr>
        <w:t xml:space="preserve"> a beneficio dei revisori dei conti, al fine di agevolarli nell’organizzazione della propria attività di verifica e nella raccolta </w:t>
      </w:r>
      <w:r w:rsidR="00F24444" w:rsidRPr="00515872">
        <w:rPr>
          <w:rFonts w:eastAsia="Times New Roman" w:cs="Tahoma"/>
          <w:szCs w:val="20"/>
          <w:lang w:eastAsia="it-IT"/>
        </w:rPr>
        <w:t xml:space="preserve">e catalogazione </w:t>
      </w:r>
      <w:r w:rsidRPr="00515872">
        <w:rPr>
          <w:rFonts w:eastAsia="Times New Roman" w:cs="Tahoma"/>
          <w:szCs w:val="20"/>
          <w:lang w:eastAsia="it-IT"/>
        </w:rPr>
        <w:t>della documentazione</w:t>
      </w:r>
      <w:r w:rsidR="00F24444" w:rsidRPr="00515872">
        <w:rPr>
          <w:rFonts w:eastAsia="Times New Roman" w:cs="Tahoma"/>
          <w:szCs w:val="20"/>
          <w:lang w:eastAsia="it-IT"/>
        </w:rPr>
        <w:t xml:space="preserve"> di revisione</w:t>
      </w:r>
      <w:r w:rsidRPr="00515872">
        <w:rPr>
          <w:rFonts w:eastAsia="Times New Roman" w:cs="Tahoma"/>
          <w:szCs w:val="20"/>
          <w:lang w:eastAsia="it-IT"/>
        </w:rPr>
        <w:t xml:space="preserve">. In particolare il </w:t>
      </w:r>
      <w:r w:rsidRPr="00515872">
        <w:rPr>
          <w:rFonts w:eastAsia="Times New Roman" w:cs="Tahoma"/>
          <w:i/>
          <w:szCs w:val="20"/>
          <w:lang w:eastAsia="it-IT"/>
        </w:rPr>
        <w:t>Quaderno I – Approccio Metodologico</w:t>
      </w:r>
      <w:r w:rsidRPr="00515872">
        <w:rPr>
          <w:rFonts w:eastAsia="Times New Roman" w:cs="Tahoma"/>
          <w:szCs w:val="20"/>
          <w:lang w:eastAsia="it-IT"/>
        </w:rPr>
        <w:t xml:space="preserve">, approfondisce le nozioni relative alle procedure di revisione, all’acquisizione degli elementi probativi, alla documentazione dell’attività e alla valutazione del rischio, soffermandosi in modo particolare sulla metodologia di campionamento. Il </w:t>
      </w:r>
      <w:r w:rsidRPr="00515872">
        <w:rPr>
          <w:rFonts w:eastAsia="Times New Roman" w:cs="Tahoma"/>
          <w:i/>
          <w:szCs w:val="20"/>
          <w:lang w:eastAsia="it-IT"/>
        </w:rPr>
        <w:t>Quaderno II – Strumenti operativi</w:t>
      </w:r>
      <w:r w:rsidRPr="00515872">
        <w:rPr>
          <w:rFonts w:eastAsia="Times New Roman" w:cs="Tahoma"/>
          <w:szCs w:val="20"/>
          <w:lang w:eastAsia="it-IT"/>
        </w:rPr>
        <w:t xml:space="preserve">, dal taglio più operativo, è invece incentrato sulle procedure di revisione e sulla relativa documentazione a supporto. Si tratta di suggerimenti non aventi carattere deontologico dai quali il revisore è, ovviamente, libero di discostarsi ovvero </w:t>
      </w:r>
      <w:r w:rsidR="00F24444" w:rsidRPr="00515872">
        <w:rPr>
          <w:rFonts w:eastAsia="Times New Roman" w:cs="Tahoma"/>
          <w:szCs w:val="20"/>
          <w:lang w:eastAsia="it-IT"/>
        </w:rPr>
        <w:t xml:space="preserve">che possono essere </w:t>
      </w:r>
      <w:r w:rsidRPr="00515872">
        <w:rPr>
          <w:rFonts w:eastAsia="Times New Roman" w:cs="Tahoma"/>
          <w:szCs w:val="20"/>
          <w:lang w:eastAsia="it-IT"/>
        </w:rPr>
        <w:t>adotta</w:t>
      </w:r>
      <w:r w:rsidR="00F24444" w:rsidRPr="00515872">
        <w:rPr>
          <w:rFonts w:eastAsia="Times New Roman" w:cs="Tahoma"/>
          <w:szCs w:val="20"/>
          <w:lang w:eastAsia="it-IT"/>
        </w:rPr>
        <w:t>ti integralmente o adattati</w:t>
      </w:r>
      <w:r w:rsidRPr="00515872">
        <w:rPr>
          <w:rFonts w:eastAsia="Times New Roman" w:cs="Tahoma"/>
          <w:szCs w:val="20"/>
          <w:lang w:eastAsia="it-IT"/>
        </w:rPr>
        <w:t xml:space="preserve"> alle esigenze e specificità dell’ente.</w:t>
      </w:r>
    </w:p>
    <w:p w14:paraId="60F49DD4" w14:textId="77777777" w:rsidR="005158A5" w:rsidRPr="00515872" w:rsidRDefault="005158A5" w:rsidP="009518AF">
      <w:pPr>
        <w:spacing w:line="360" w:lineRule="auto"/>
        <w:jc w:val="both"/>
        <w:rPr>
          <w:rFonts w:eastAsia="Times New Roman" w:cs="Tahoma"/>
          <w:szCs w:val="20"/>
          <w:lang w:eastAsia="it-IT"/>
        </w:rPr>
      </w:pPr>
    </w:p>
    <w:p w14:paraId="2357BDF6" w14:textId="77777777" w:rsidR="00A94CC2" w:rsidRPr="00515872" w:rsidRDefault="00A94CC2" w:rsidP="00A94CC2">
      <w:pPr>
        <w:pStyle w:val="Sottoparagrafo"/>
        <w:ind w:left="567" w:hanging="567"/>
        <w:rPr>
          <w:rFonts w:cs="Tahoma"/>
        </w:rPr>
      </w:pPr>
      <w:bookmarkStart w:id="55" w:name="_Toc95912234"/>
      <w:r w:rsidRPr="00515872">
        <w:rPr>
          <w:rFonts w:cs="Tahoma"/>
        </w:rPr>
        <w:t>3.5.1 Fasi della revisione</w:t>
      </w:r>
      <w:bookmarkEnd w:id="55"/>
    </w:p>
    <w:p w14:paraId="781F4814" w14:textId="77777777" w:rsidR="00DA56A3" w:rsidRPr="00515872" w:rsidRDefault="00DA56A3" w:rsidP="00DA56A3">
      <w:pPr>
        <w:spacing w:after="0" w:line="360" w:lineRule="auto"/>
        <w:jc w:val="both"/>
        <w:rPr>
          <w:rFonts w:cs="Tahoma"/>
          <w:b/>
          <w:szCs w:val="20"/>
        </w:rPr>
      </w:pPr>
      <w:r w:rsidRPr="00515872">
        <w:rPr>
          <w:rFonts w:cs="Tahoma"/>
          <w:b/>
          <w:szCs w:val="20"/>
        </w:rPr>
        <w:t>Programmazione e pianificazione dell’attività di revisione</w:t>
      </w:r>
    </w:p>
    <w:p w14:paraId="631D0C91" w14:textId="77777777" w:rsidR="00DA56A3" w:rsidRPr="00515872" w:rsidRDefault="00DA56A3" w:rsidP="00DA56A3">
      <w:pPr>
        <w:spacing w:line="360" w:lineRule="auto"/>
        <w:jc w:val="both"/>
        <w:rPr>
          <w:rFonts w:eastAsia="Times New Roman" w:cs="Tahoma"/>
          <w:szCs w:val="20"/>
          <w:lang w:eastAsia="it-IT"/>
        </w:rPr>
      </w:pPr>
      <w:r w:rsidRPr="00515872">
        <w:rPr>
          <w:rFonts w:eastAsia="Times New Roman" w:cs="Tahoma"/>
          <w:szCs w:val="20"/>
          <w:lang w:eastAsia="it-IT"/>
        </w:rPr>
        <w:t>Alla stregua di quanto previsto dai principi di revisione per i revisori legali</w:t>
      </w:r>
      <w:r w:rsidR="00A83A96" w:rsidRPr="00515872">
        <w:rPr>
          <w:rFonts w:eastAsia="Times New Roman" w:cs="Tahoma"/>
          <w:szCs w:val="20"/>
          <w:lang w:eastAsia="it-IT"/>
        </w:rPr>
        <w:t xml:space="preserve"> delle società di capitali</w:t>
      </w:r>
      <w:r w:rsidRPr="00515872">
        <w:rPr>
          <w:rFonts w:eastAsia="Times New Roman" w:cs="Tahoma"/>
          <w:szCs w:val="20"/>
          <w:lang w:eastAsia="it-IT"/>
        </w:rPr>
        <w:t>, anche nella nuova versione dei principi di vigilanza degli enti locali viene dato rilievo alla programmazione e pianificazione della revisione</w:t>
      </w:r>
      <w:r w:rsidR="00390748" w:rsidRPr="00515872">
        <w:rPr>
          <w:rFonts w:eastAsia="Times New Roman" w:cs="Tahoma"/>
          <w:szCs w:val="20"/>
          <w:lang w:eastAsia="it-IT"/>
        </w:rPr>
        <w:t>, fase importante al fine di ridurre il rischio di revisione (ovvero, il rischio che</w:t>
      </w:r>
      <w:r w:rsidR="00A83A96" w:rsidRPr="00515872">
        <w:rPr>
          <w:rFonts w:eastAsia="Times New Roman" w:cs="Tahoma"/>
          <w:szCs w:val="20"/>
          <w:lang w:eastAsia="it-IT"/>
        </w:rPr>
        <w:t xml:space="preserve"> il revisore esprima un giudizio non corretto in presenza di errori o irregolarità significative, non rilevati con le procedure di revisione)</w:t>
      </w:r>
      <w:r w:rsidR="00390748" w:rsidRPr="00515872">
        <w:rPr>
          <w:rFonts w:eastAsia="Times New Roman" w:cs="Tahoma"/>
          <w:szCs w:val="20"/>
          <w:lang w:eastAsia="it-IT"/>
        </w:rPr>
        <w:t>.</w:t>
      </w:r>
    </w:p>
    <w:p w14:paraId="6C7806B1" w14:textId="77777777" w:rsidR="000E4D76" w:rsidRPr="00515872" w:rsidRDefault="000E4D76" w:rsidP="00DA56A3">
      <w:pPr>
        <w:spacing w:line="360" w:lineRule="auto"/>
        <w:jc w:val="both"/>
        <w:rPr>
          <w:rFonts w:eastAsia="Times New Roman" w:cs="Tahoma"/>
          <w:szCs w:val="20"/>
          <w:lang w:eastAsia="it-IT"/>
        </w:rPr>
      </w:pPr>
      <w:r w:rsidRPr="00515872">
        <w:rPr>
          <w:rFonts w:eastAsia="Times New Roman" w:cs="Tahoma"/>
          <w:szCs w:val="20"/>
          <w:lang w:eastAsia="it-IT"/>
        </w:rPr>
        <w:lastRenderedPageBreak/>
        <w:t>Nella fase di pianificazione l’organo di revisione provvede ad esaminare l’ente e la sua struttura organizzativa, compreso il controllo interno, e il contesto in cui opera, al fine di individuare eventuali criticità e valutare i rischi significativi.</w:t>
      </w:r>
    </w:p>
    <w:p w14:paraId="53A5A358" w14:textId="77777777" w:rsidR="000E4D76" w:rsidRPr="00515872" w:rsidRDefault="000E4D76" w:rsidP="00DA56A3">
      <w:pPr>
        <w:spacing w:line="360" w:lineRule="auto"/>
        <w:jc w:val="both"/>
        <w:rPr>
          <w:rFonts w:eastAsia="Times New Roman" w:cs="Tahoma"/>
          <w:szCs w:val="20"/>
          <w:lang w:eastAsia="it-IT"/>
        </w:rPr>
      </w:pPr>
      <w:r w:rsidRPr="00515872">
        <w:rPr>
          <w:rFonts w:eastAsia="Times New Roman" w:cs="Tahoma"/>
          <w:szCs w:val="20"/>
          <w:lang w:eastAsia="it-IT"/>
        </w:rPr>
        <w:t>Nella fase di programmazione, successiva a quella della pianificazio</w:t>
      </w:r>
      <w:r w:rsidR="003A3A35" w:rsidRPr="00515872">
        <w:rPr>
          <w:rFonts w:eastAsia="Times New Roman" w:cs="Tahoma"/>
          <w:szCs w:val="20"/>
          <w:lang w:eastAsia="it-IT"/>
        </w:rPr>
        <w:t xml:space="preserve">ne, l’organo di revisione </w:t>
      </w:r>
      <w:r w:rsidRPr="00515872">
        <w:rPr>
          <w:rFonts w:eastAsia="Times New Roman" w:cs="Tahoma"/>
          <w:szCs w:val="20"/>
          <w:lang w:eastAsia="it-IT"/>
        </w:rPr>
        <w:t>identifica le aree e</w:t>
      </w:r>
      <w:r w:rsidR="003A3A35" w:rsidRPr="00515872">
        <w:rPr>
          <w:rFonts w:eastAsia="Times New Roman" w:cs="Tahoma"/>
          <w:szCs w:val="20"/>
          <w:lang w:eastAsia="it-IT"/>
        </w:rPr>
        <w:t>d</w:t>
      </w:r>
      <w:r w:rsidRPr="00515872">
        <w:rPr>
          <w:rFonts w:eastAsia="Times New Roman" w:cs="Tahoma"/>
          <w:szCs w:val="20"/>
          <w:lang w:eastAsia="it-IT"/>
        </w:rPr>
        <w:t xml:space="preserve"> i fattori di rischio</w:t>
      </w:r>
      <w:r w:rsidR="003A3A35" w:rsidRPr="00515872">
        <w:rPr>
          <w:rFonts w:eastAsia="Times New Roman" w:cs="Tahoma"/>
          <w:szCs w:val="20"/>
          <w:lang w:eastAsia="it-IT"/>
        </w:rPr>
        <w:t xml:space="preserve"> e</w:t>
      </w:r>
      <w:r w:rsidR="00B460CE" w:rsidRPr="00515872">
        <w:rPr>
          <w:rFonts w:eastAsia="Times New Roman" w:cs="Tahoma"/>
          <w:szCs w:val="20"/>
          <w:lang w:eastAsia="it-IT"/>
        </w:rPr>
        <w:t xml:space="preserve"> imposta l</w:t>
      </w:r>
      <w:r w:rsidR="00F24444" w:rsidRPr="00515872">
        <w:rPr>
          <w:rFonts w:eastAsia="Times New Roman" w:cs="Tahoma"/>
          <w:szCs w:val="20"/>
          <w:lang w:eastAsia="it-IT"/>
        </w:rPr>
        <w:t>’</w:t>
      </w:r>
      <w:r w:rsidR="00B460CE" w:rsidRPr="00515872">
        <w:rPr>
          <w:rFonts w:eastAsia="Times New Roman" w:cs="Tahoma"/>
          <w:szCs w:val="20"/>
          <w:lang w:eastAsia="it-IT"/>
        </w:rPr>
        <w:t>attività, definendo l’ampiezza delle procedure da svolgere, le tempistiche e, in caso di composizione collegiale dell’organo, la suddivisione dei compiti.</w:t>
      </w:r>
    </w:p>
    <w:p w14:paraId="1478484E" w14:textId="77777777" w:rsidR="00B460CE" w:rsidRPr="00515872" w:rsidRDefault="00987410" w:rsidP="00DA56A3">
      <w:pPr>
        <w:spacing w:line="360" w:lineRule="auto"/>
        <w:jc w:val="both"/>
        <w:rPr>
          <w:rFonts w:eastAsia="Times New Roman" w:cs="Tahoma"/>
          <w:szCs w:val="20"/>
          <w:lang w:eastAsia="it-IT"/>
        </w:rPr>
      </w:pPr>
      <w:r w:rsidRPr="00515872">
        <w:rPr>
          <w:rFonts w:eastAsia="Times New Roman" w:cs="Tahoma"/>
          <w:szCs w:val="20"/>
          <w:lang w:eastAsia="it-IT"/>
        </w:rPr>
        <w:t>Nel documento n.1 dei</w:t>
      </w:r>
      <w:r w:rsidR="00B460CE" w:rsidRPr="00515872">
        <w:rPr>
          <w:rFonts w:eastAsia="Times New Roman" w:cs="Tahoma"/>
          <w:szCs w:val="20"/>
          <w:lang w:eastAsia="it-IT"/>
        </w:rPr>
        <w:t xml:space="preserve"> </w:t>
      </w:r>
      <w:r w:rsidR="00F24444" w:rsidRPr="00515872">
        <w:rPr>
          <w:rFonts w:eastAsia="Times New Roman" w:cs="Tahoma"/>
          <w:szCs w:val="20"/>
          <w:lang w:eastAsia="it-IT"/>
        </w:rPr>
        <w:t xml:space="preserve">già richiamati </w:t>
      </w:r>
      <w:r w:rsidR="00B460CE" w:rsidRPr="00515872">
        <w:rPr>
          <w:rFonts w:eastAsia="Times New Roman" w:cs="Tahoma"/>
          <w:szCs w:val="20"/>
          <w:lang w:eastAsia="it-IT"/>
        </w:rPr>
        <w:t xml:space="preserve">Principi di vigilanza </w:t>
      </w:r>
      <w:r w:rsidRPr="00515872">
        <w:rPr>
          <w:rFonts w:eastAsia="Times New Roman" w:cs="Tahoma"/>
          <w:szCs w:val="20"/>
          <w:lang w:eastAsia="it-IT"/>
        </w:rPr>
        <w:t xml:space="preserve">si </w:t>
      </w:r>
      <w:r w:rsidR="00B460CE" w:rsidRPr="00515872">
        <w:rPr>
          <w:rFonts w:eastAsia="Times New Roman" w:cs="Tahoma"/>
          <w:szCs w:val="20"/>
          <w:lang w:eastAsia="it-IT"/>
        </w:rPr>
        <w:t>afferma che l’organo di revisione non deve limitarsi ai controlli trimestrali ma deve adeguare e strutturare l’attività in ragione degli obbiettivi di vigilanza e controllo prefissati nella fase di programmazione.</w:t>
      </w:r>
    </w:p>
    <w:p w14:paraId="657A89F0" w14:textId="77777777" w:rsidR="008755F4" w:rsidRPr="00515872" w:rsidRDefault="008755F4" w:rsidP="00DA56A3">
      <w:pPr>
        <w:spacing w:line="360" w:lineRule="auto"/>
        <w:jc w:val="both"/>
        <w:rPr>
          <w:rFonts w:eastAsia="Times New Roman" w:cs="Tahoma"/>
          <w:szCs w:val="20"/>
          <w:lang w:eastAsia="it-IT"/>
        </w:rPr>
      </w:pPr>
      <w:r w:rsidRPr="00515872">
        <w:rPr>
          <w:rFonts w:eastAsia="Times New Roman" w:cs="Tahoma"/>
          <w:szCs w:val="20"/>
          <w:lang w:eastAsia="it-IT"/>
        </w:rPr>
        <w:t xml:space="preserve">Pur partendo dall’assunto che il rischio di revisione non può mai essere completamente eliminato, neppure in presenza di una attività di revisione compiutamente pianificata, la programmazione e pianificazione consentono all’organo di revisione di ridurre il rischio ad un livello “accettabile”, incidendo anche sul piano delle responsabilità: qualora, infatti, l’errore si sia verificato nonostante lo svolgimento di un’attività adeguatamente programmata, segnalando le eventuali criticità riscontrate, </w:t>
      </w:r>
      <w:r w:rsidR="008E3FBD" w:rsidRPr="00515872">
        <w:rPr>
          <w:rFonts w:eastAsia="Times New Roman" w:cs="Tahoma"/>
          <w:szCs w:val="20"/>
          <w:lang w:eastAsia="it-IT"/>
        </w:rPr>
        <w:t xml:space="preserve">il revisore sarà maggiormente tutelato dalla possibile imputazione di </w:t>
      </w:r>
      <w:r w:rsidRPr="00515872">
        <w:rPr>
          <w:rFonts w:eastAsia="Times New Roman" w:cs="Tahoma"/>
          <w:szCs w:val="20"/>
          <w:lang w:eastAsia="it-IT"/>
        </w:rPr>
        <w:t>responsabilità.</w:t>
      </w:r>
    </w:p>
    <w:p w14:paraId="290A9F78" w14:textId="77777777" w:rsidR="00B460CE" w:rsidRPr="00515872" w:rsidRDefault="00B460CE" w:rsidP="00B460CE">
      <w:pPr>
        <w:spacing w:after="0" w:line="360" w:lineRule="auto"/>
        <w:jc w:val="both"/>
        <w:rPr>
          <w:rFonts w:cs="Tahoma"/>
          <w:b/>
          <w:szCs w:val="20"/>
        </w:rPr>
      </w:pPr>
      <w:r w:rsidRPr="00515872">
        <w:rPr>
          <w:rFonts w:cs="Tahoma"/>
          <w:b/>
          <w:szCs w:val="20"/>
        </w:rPr>
        <w:t>Esecuzione</w:t>
      </w:r>
    </w:p>
    <w:p w14:paraId="17948BEC" w14:textId="77777777" w:rsidR="00491FDE" w:rsidRPr="00515872" w:rsidRDefault="00B460CE" w:rsidP="00491FDE">
      <w:pPr>
        <w:spacing w:line="360" w:lineRule="auto"/>
        <w:jc w:val="both"/>
        <w:rPr>
          <w:rFonts w:cs="Tahoma"/>
          <w:szCs w:val="20"/>
        </w:rPr>
      </w:pPr>
      <w:r w:rsidRPr="00515872">
        <w:rPr>
          <w:rFonts w:cs="Tahoma"/>
          <w:szCs w:val="20"/>
        </w:rPr>
        <w:t>Una volta definito il perimetro di azione e gli obiettivi da perseguire, nella fase di esecuzione vengono definite le procedure di revisione appropriate in risposta ai rischi identificati e adeguate in base alla programmazione. Tali procedure sono finalizzate ad acquisire</w:t>
      </w:r>
      <w:r w:rsidR="00491FDE" w:rsidRPr="00515872">
        <w:rPr>
          <w:rFonts w:cs="Tahoma"/>
          <w:szCs w:val="20"/>
        </w:rPr>
        <w:t xml:space="preserve"> gli elementi necessari a f</w:t>
      </w:r>
      <w:r w:rsidR="00171BCF" w:rsidRPr="00515872">
        <w:rPr>
          <w:rFonts w:cs="Tahoma"/>
          <w:szCs w:val="20"/>
        </w:rPr>
        <w:t>ondare il giudizio di revisione,</w:t>
      </w:r>
      <w:r w:rsidR="00491FDE" w:rsidRPr="00515872">
        <w:rPr>
          <w:rFonts w:cs="Tahoma"/>
          <w:szCs w:val="20"/>
        </w:rPr>
        <w:t xml:space="preserve"> </w:t>
      </w:r>
      <w:r w:rsidR="00171BCF" w:rsidRPr="00515872">
        <w:rPr>
          <w:rFonts w:cs="Tahoma"/>
          <w:szCs w:val="20"/>
        </w:rPr>
        <w:t xml:space="preserve">non solo </w:t>
      </w:r>
      <w:r w:rsidR="00491FDE" w:rsidRPr="00515872">
        <w:rPr>
          <w:rFonts w:cs="Tahoma"/>
          <w:szCs w:val="20"/>
        </w:rPr>
        <w:t>verificando il rispetto della legge, dei regolamenti e dei principi contabili ma anche esaminando le procedure relative al sistema contabile-amministrativo e le tecniche previste dalle procedure interne dell’ente.</w:t>
      </w:r>
    </w:p>
    <w:p w14:paraId="38C8A198" w14:textId="77777777" w:rsidR="00042BD0" w:rsidRPr="00515872" w:rsidRDefault="00042BD0" w:rsidP="00491FDE">
      <w:pPr>
        <w:spacing w:line="360" w:lineRule="auto"/>
        <w:jc w:val="both"/>
        <w:rPr>
          <w:rFonts w:cs="Tahoma"/>
          <w:szCs w:val="20"/>
        </w:rPr>
      </w:pPr>
      <w:r w:rsidRPr="00515872">
        <w:rPr>
          <w:rFonts w:cs="Tahoma"/>
          <w:szCs w:val="20"/>
        </w:rPr>
        <w:t>Analogamente a quanto previsto dai principi di revisione per la revisione delle imprese, anche nell’ambito degli enti locali l’organo di revisione può adottare le c</w:t>
      </w:r>
      <w:r w:rsidR="00171BCF" w:rsidRPr="00515872">
        <w:rPr>
          <w:rFonts w:cs="Tahoma"/>
          <w:szCs w:val="20"/>
        </w:rPr>
        <w:t>c</w:t>
      </w:r>
      <w:r w:rsidRPr="00515872">
        <w:rPr>
          <w:rFonts w:cs="Tahoma"/>
          <w:szCs w:val="20"/>
        </w:rPr>
        <w:t>.d</w:t>
      </w:r>
      <w:r w:rsidR="00171BCF" w:rsidRPr="00515872">
        <w:rPr>
          <w:rFonts w:cs="Tahoma"/>
          <w:szCs w:val="20"/>
        </w:rPr>
        <w:t>d</w:t>
      </w:r>
      <w:r w:rsidRPr="00515872">
        <w:rPr>
          <w:rFonts w:cs="Tahoma"/>
          <w:szCs w:val="20"/>
        </w:rPr>
        <w:t xml:space="preserve">. “procedure di conformità”, atte a testare l’affidabilità dei controlli interni dell’ente, e </w:t>
      </w:r>
      <w:r w:rsidR="00171BCF" w:rsidRPr="00515872">
        <w:rPr>
          <w:rFonts w:cs="Tahoma"/>
          <w:szCs w:val="20"/>
        </w:rPr>
        <w:t xml:space="preserve">le </w:t>
      </w:r>
      <w:r w:rsidRPr="00515872">
        <w:rPr>
          <w:rFonts w:cs="Tahoma"/>
          <w:szCs w:val="20"/>
        </w:rPr>
        <w:t>procedure di dettaglio, tese ad individuare la presenza di errori significativi.</w:t>
      </w:r>
    </w:p>
    <w:p w14:paraId="03EC1B4A" w14:textId="77777777" w:rsidR="00491FDE" w:rsidRPr="00515872" w:rsidRDefault="00491FDE" w:rsidP="00491FDE">
      <w:pPr>
        <w:spacing w:after="0" w:line="360" w:lineRule="auto"/>
        <w:jc w:val="both"/>
        <w:rPr>
          <w:rFonts w:cs="Tahoma"/>
          <w:b/>
          <w:szCs w:val="20"/>
        </w:rPr>
      </w:pPr>
      <w:r w:rsidRPr="00515872">
        <w:rPr>
          <w:rFonts w:cs="Tahoma"/>
          <w:b/>
          <w:szCs w:val="20"/>
        </w:rPr>
        <w:t>Conclusione</w:t>
      </w:r>
    </w:p>
    <w:p w14:paraId="13DF9BE9" w14:textId="77777777" w:rsidR="00491FDE" w:rsidRPr="00515872" w:rsidRDefault="00491FDE" w:rsidP="00491FDE">
      <w:pPr>
        <w:spacing w:line="360" w:lineRule="auto"/>
        <w:jc w:val="both"/>
        <w:rPr>
          <w:rFonts w:cs="Tahoma"/>
          <w:szCs w:val="20"/>
        </w:rPr>
      </w:pPr>
      <w:r w:rsidRPr="00515872">
        <w:rPr>
          <w:rFonts w:cs="Tahoma"/>
          <w:szCs w:val="20"/>
        </w:rPr>
        <w:t>In base agli elementi acquisiti e ai risultati raggiunti, nella fase finale l’organo di revisione emette un giudizio in merito alla regolarità contabile, finanziaria ed economica, formulando rilievi ed eccezioni, esprimendo considerazioni, avanzando proposte che devono confluire nella relazione o nel parere che è chiamato ad esprimere.</w:t>
      </w:r>
    </w:p>
    <w:p w14:paraId="046CEBB3" w14:textId="77777777" w:rsidR="008755F4" w:rsidRPr="00515872" w:rsidRDefault="008755F4" w:rsidP="008755F4">
      <w:pPr>
        <w:spacing w:after="0" w:line="360" w:lineRule="auto"/>
        <w:jc w:val="both"/>
        <w:rPr>
          <w:rFonts w:cs="Tahoma"/>
          <w:b/>
          <w:szCs w:val="20"/>
        </w:rPr>
      </w:pPr>
      <w:r w:rsidRPr="00515872">
        <w:rPr>
          <w:rFonts w:cs="Tahoma"/>
          <w:b/>
          <w:szCs w:val="20"/>
        </w:rPr>
        <w:t>Carte di lavoro</w:t>
      </w:r>
    </w:p>
    <w:p w14:paraId="619AF264" w14:textId="77777777" w:rsidR="00307777" w:rsidRPr="00515872" w:rsidRDefault="008755F4" w:rsidP="008755F4">
      <w:pPr>
        <w:spacing w:line="360" w:lineRule="auto"/>
        <w:jc w:val="both"/>
        <w:rPr>
          <w:rFonts w:cs="Tahoma"/>
          <w:szCs w:val="20"/>
        </w:rPr>
      </w:pPr>
      <w:r w:rsidRPr="00515872">
        <w:rPr>
          <w:rFonts w:cs="Tahoma"/>
          <w:szCs w:val="20"/>
        </w:rPr>
        <w:t>Nell’esercizio dell’attività di verifica, l’organo di revisione deve opportunamente avva</w:t>
      </w:r>
      <w:r w:rsidR="000C6E86" w:rsidRPr="00515872">
        <w:rPr>
          <w:rFonts w:cs="Tahoma"/>
          <w:szCs w:val="20"/>
        </w:rPr>
        <w:t>lersi di carte di lavoro. Qu</w:t>
      </w:r>
      <w:r w:rsidRPr="00515872">
        <w:rPr>
          <w:rFonts w:cs="Tahoma"/>
          <w:szCs w:val="20"/>
        </w:rPr>
        <w:t>e</w:t>
      </w:r>
      <w:r w:rsidR="000C6E86" w:rsidRPr="00515872">
        <w:rPr>
          <w:rFonts w:cs="Tahoma"/>
          <w:szCs w:val="20"/>
        </w:rPr>
        <w:t>ste, infatti,</w:t>
      </w:r>
      <w:r w:rsidRPr="00515872">
        <w:rPr>
          <w:rFonts w:cs="Tahoma"/>
          <w:szCs w:val="20"/>
        </w:rPr>
        <w:t xml:space="preserve"> insieme ai verbali, hanno un valore probatorio in rife</w:t>
      </w:r>
      <w:r w:rsidR="00307777" w:rsidRPr="00515872">
        <w:rPr>
          <w:rFonts w:cs="Tahoma"/>
          <w:szCs w:val="20"/>
        </w:rPr>
        <w:t>rimento all’attività espletata.</w:t>
      </w:r>
    </w:p>
    <w:p w14:paraId="1051C14B" w14:textId="77777777" w:rsidR="008755F4" w:rsidRPr="00515872" w:rsidRDefault="00344829" w:rsidP="008755F4">
      <w:pPr>
        <w:spacing w:line="360" w:lineRule="auto"/>
        <w:jc w:val="both"/>
        <w:rPr>
          <w:rFonts w:cs="Tahoma"/>
          <w:szCs w:val="20"/>
        </w:rPr>
      </w:pPr>
      <w:r w:rsidRPr="00515872">
        <w:rPr>
          <w:rFonts w:cs="Tahoma"/>
          <w:szCs w:val="20"/>
        </w:rPr>
        <w:lastRenderedPageBreak/>
        <w:t xml:space="preserve">Solo con </w:t>
      </w:r>
      <w:r w:rsidR="00307777" w:rsidRPr="00515872">
        <w:rPr>
          <w:rFonts w:cs="Tahoma"/>
          <w:szCs w:val="20"/>
        </w:rPr>
        <w:t xml:space="preserve">carte di lavoro </w:t>
      </w:r>
      <w:r w:rsidRPr="00515872">
        <w:rPr>
          <w:rFonts w:cs="Tahoma"/>
          <w:szCs w:val="20"/>
        </w:rPr>
        <w:t>adeguatamente</w:t>
      </w:r>
      <w:r w:rsidR="00307777" w:rsidRPr="00515872">
        <w:rPr>
          <w:rFonts w:cs="Tahoma"/>
          <w:szCs w:val="20"/>
        </w:rPr>
        <w:t xml:space="preserve"> compilate e conservate, </w:t>
      </w:r>
      <w:r w:rsidR="008755F4" w:rsidRPr="00515872">
        <w:rPr>
          <w:rFonts w:cs="Tahoma"/>
          <w:szCs w:val="20"/>
        </w:rPr>
        <w:t xml:space="preserve">i revisori possono dimostrare la correttezza e </w:t>
      </w:r>
      <w:r w:rsidR="00307777" w:rsidRPr="00515872">
        <w:rPr>
          <w:rFonts w:cs="Tahoma"/>
          <w:szCs w:val="20"/>
        </w:rPr>
        <w:t xml:space="preserve">la </w:t>
      </w:r>
      <w:r w:rsidR="008755F4" w:rsidRPr="00515872">
        <w:rPr>
          <w:rFonts w:cs="Tahoma"/>
          <w:szCs w:val="20"/>
        </w:rPr>
        <w:t xml:space="preserve">completezza del lavoro svolto, nonché </w:t>
      </w:r>
      <w:r w:rsidRPr="00515872">
        <w:rPr>
          <w:rFonts w:cs="Tahoma"/>
          <w:szCs w:val="20"/>
        </w:rPr>
        <w:t>dare contezza de</w:t>
      </w:r>
      <w:r w:rsidR="008755F4" w:rsidRPr="00515872">
        <w:rPr>
          <w:rFonts w:cs="Tahoma"/>
          <w:szCs w:val="20"/>
        </w:rPr>
        <w:t>i criteri utilizzati nelle loro scelte</w:t>
      </w:r>
      <w:r w:rsidR="00307777" w:rsidRPr="00515872">
        <w:rPr>
          <w:rFonts w:cs="Tahoma"/>
          <w:szCs w:val="20"/>
        </w:rPr>
        <w:t xml:space="preserve"> e nelle loro valutazioni</w:t>
      </w:r>
      <w:r w:rsidR="008755F4" w:rsidRPr="00515872">
        <w:rPr>
          <w:rFonts w:cs="Tahoma"/>
          <w:szCs w:val="20"/>
        </w:rPr>
        <w:t>.</w:t>
      </w:r>
    </w:p>
    <w:p w14:paraId="2B71215B" w14:textId="77777777" w:rsidR="008755F4" w:rsidRPr="00515872" w:rsidRDefault="00825688" w:rsidP="008755F4">
      <w:pPr>
        <w:spacing w:line="360" w:lineRule="auto"/>
        <w:jc w:val="both"/>
        <w:rPr>
          <w:rFonts w:cs="Tahoma"/>
          <w:szCs w:val="20"/>
        </w:rPr>
      </w:pPr>
      <w:r w:rsidRPr="00515872">
        <w:rPr>
          <w:rFonts w:cs="Tahoma"/>
          <w:szCs w:val="20"/>
        </w:rPr>
        <w:t xml:space="preserve">Anche </w:t>
      </w:r>
      <w:r w:rsidR="000C6E86" w:rsidRPr="00515872">
        <w:rPr>
          <w:rFonts w:cs="Tahoma"/>
          <w:szCs w:val="20"/>
        </w:rPr>
        <w:t>in tema di</w:t>
      </w:r>
      <w:r w:rsidR="008755F4" w:rsidRPr="00515872">
        <w:rPr>
          <w:rFonts w:cs="Tahoma"/>
          <w:szCs w:val="20"/>
        </w:rPr>
        <w:t xml:space="preserve"> gestione delle carte di lavoro il </w:t>
      </w:r>
      <w:r w:rsidRPr="00515872">
        <w:rPr>
          <w:rFonts w:cs="Tahoma"/>
          <w:szCs w:val="20"/>
        </w:rPr>
        <w:t xml:space="preserve">principale </w:t>
      </w:r>
      <w:r w:rsidR="008755F4" w:rsidRPr="00515872">
        <w:rPr>
          <w:rFonts w:cs="Tahoma"/>
          <w:szCs w:val="20"/>
        </w:rPr>
        <w:t>riferimento è costituito dai principi di revisione validi per le società commerciali.</w:t>
      </w:r>
    </w:p>
    <w:p w14:paraId="2E1961FF" w14:textId="77777777" w:rsidR="005377A2" w:rsidRPr="00515872" w:rsidRDefault="005B6D39" w:rsidP="00825688">
      <w:pPr>
        <w:spacing w:line="360" w:lineRule="auto"/>
        <w:jc w:val="both"/>
        <w:rPr>
          <w:rFonts w:cs="Tahoma"/>
          <w:szCs w:val="20"/>
        </w:rPr>
      </w:pPr>
      <w:r w:rsidRPr="00515872">
        <w:rPr>
          <w:rFonts w:cs="Tahoma"/>
          <w:szCs w:val="20"/>
        </w:rPr>
        <w:t xml:space="preserve">I documenti e le carte di lavoro che </w:t>
      </w:r>
      <w:r w:rsidR="00825688" w:rsidRPr="00515872">
        <w:rPr>
          <w:rFonts w:cs="Tahoma"/>
          <w:szCs w:val="20"/>
        </w:rPr>
        <w:t>contengono</w:t>
      </w:r>
      <w:r w:rsidRPr="00515872">
        <w:rPr>
          <w:rFonts w:cs="Tahoma"/>
          <w:szCs w:val="20"/>
        </w:rPr>
        <w:t xml:space="preserve"> gli elementi probativi dell’attività svolta sono di prop</w:t>
      </w:r>
      <w:r w:rsidR="005377A2" w:rsidRPr="00515872">
        <w:rPr>
          <w:rFonts w:cs="Tahoma"/>
          <w:szCs w:val="20"/>
        </w:rPr>
        <w:t>rietà dell’organo di revisione. Costituisce elemento probativo l’insieme delle informazioni contenute nelle rilevazioni contabili e qualsiasi altra informazione utilizzata dall’organo di revisione per giungere alle conclusioni su cui basare il proprio giudizio.</w:t>
      </w:r>
    </w:p>
    <w:p w14:paraId="1ED1477C" w14:textId="77777777" w:rsidR="008755F4" w:rsidRPr="00515872" w:rsidRDefault="008755F4" w:rsidP="00825688">
      <w:pPr>
        <w:spacing w:line="360" w:lineRule="auto"/>
        <w:jc w:val="both"/>
        <w:rPr>
          <w:rFonts w:cs="Tahoma"/>
          <w:szCs w:val="20"/>
        </w:rPr>
      </w:pPr>
      <w:r w:rsidRPr="00515872">
        <w:rPr>
          <w:rFonts w:cs="Tahoma"/>
          <w:szCs w:val="20"/>
        </w:rPr>
        <w:t xml:space="preserve">In caso di organo di revisione collegiale deve essere stabilito a quale o quali componenti </w:t>
      </w:r>
      <w:r w:rsidR="005B6D39" w:rsidRPr="00515872">
        <w:rPr>
          <w:rFonts w:cs="Tahoma"/>
          <w:szCs w:val="20"/>
        </w:rPr>
        <w:t xml:space="preserve">ne </w:t>
      </w:r>
      <w:r w:rsidRPr="00515872">
        <w:rPr>
          <w:rFonts w:cs="Tahoma"/>
          <w:szCs w:val="20"/>
        </w:rPr>
        <w:t>veng</w:t>
      </w:r>
      <w:r w:rsidR="005B6D39" w:rsidRPr="00515872">
        <w:rPr>
          <w:rFonts w:cs="Tahoma"/>
          <w:szCs w:val="20"/>
        </w:rPr>
        <w:t>a</w:t>
      </w:r>
      <w:r w:rsidRPr="00515872">
        <w:rPr>
          <w:rFonts w:cs="Tahoma"/>
          <w:szCs w:val="20"/>
        </w:rPr>
        <w:t xml:space="preserve"> affidat</w:t>
      </w:r>
      <w:r w:rsidR="005B6D39" w:rsidRPr="00515872">
        <w:rPr>
          <w:rFonts w:cs="Tahoma"/>
          <w:szCs w:val="20"/>
        </w:rPr>
        <w:t>a la</w:t>
      </w:r>
      <w:r w:rsidRPr="00515872">
        <w:rPr>
          <w:rFonts w:cs="Tahoma"/>
          <w:szCs w:val="20"/>
        </w:rPr>
        <w:t xml:space="preserve"> custodia.</w:t>
      </w:r>
      <w:r w:rsidR="00825688" w:rsidRPr="00515872">
        <w:rPr>
          <w:rFonts w:cs="Tahoma"/>
          <w:szCs w:val="20"/>
        </w:rPr>
        <w:t xml:space="preserve"> </w:t>
      </w:r>
      <w:r w:rsidRPr="00515872">
        <w:rPr>
          <w:rFonts w:cs="Tahoma"/>
          <w:color w:val="000000"/>
          <w:szCs w:val="20"/>
        </w:rPr>
        <w:t xml:space="preserve">Al termine del mandato il fascicolo delle carte di lavoro potrà essere conservato alternativamente da un solo componente o da tutti, </w:t>
      </w:r>
      <w:r w:rsidRPr="00515872">
        <w:rPr>
          <w:rFonts w:cs="Tahoma"/>
          <w:b/>
          <w:color w:val="000000"/>
          <w:szCs w:val="20"/>
        </w:rPr>
        <w:t>in forma cartacea o informatica</w:t>
      </w:r>
      <w:r w:rsidRPr="00515872">
        <w:rPr>
          <w:rFonts w:cs="Tahoma"/>
          <w:color w:val="000000"/>
          <w:szCs w:val="20"/>
        </w:rPr>
        <w:t xml:space="preserve"> e, </w:t>
      </w:r>
      <w:r w:rsidR="00825688" w:rsidRPr="00515872">
        <w:rPr>
          <w:rFonts w:cs="Tahoma"/>
          <w:color w:val="000000"/>
          <w:szCs w:val="20"/>
        </w:rPr>
        <w:t>qualora</w:t>
      </w:r>
      <w:r w:rsidRPr="00515872">
        <w:rPr>
          <w:rFonts w:cs="Tahoma"/>
          <w:color w:val="000000"/>
          <w:szCs w:val="20"/>
        </w:rPr>
        <w:t xml:space="preserve"> ritenuto opportuno, depositato al protocollo dell’ente con comunicazione ad ogni componente dell’organo di revisione del numero di protocollo.</w:t>
      </w:r>
    </w:p>
    <w:p w14:paraId="5DB01D56" w14:textId="77777777" w:rsidR="009518AF" w:rsidRPr="00515872" w:rsidRDefault="009518AF" w:rsidP="009518AF">
      <w:pPr>
        <w:spacing w:after="0" w:line="360" w:lineRule="auto"/>
        <w:jc w:val="both"/>
        <w:rPr>
          <w:rFonts w:cs="Tahoma"/>
          <w:b/>
          <w:szCs w:val="20"/>
        </w:rPr>
      </w:pPr>
      <w:r w:rsidRPr="00515872">
        <w:rPr>
          <w:rFonts w:cs="Tahoma"/>
          <w:b/>
          <w:szCs w:val="20"/>
        </w:rPr>
        <w:t>Diritto di accesso agli atti</w:t>
      </w:r>
    </w:p>
    <w:p w14:paraId="48625C6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L’organo di revisione ha la possibilità di accedere a tutti gli atti e documenti dell'ente necessari per lo svolgimento della funzione, senza limiti temporali, fermo restando l’obbligo di mantenere la riservatezza in merito alle informazioni in essi contenute.</w:t>
      </w:r>
    </w:p>
    <w:p w14:paraId="007FFEC4" w14:textId="77777777" w:rsidR="00EB109B" w:rsidRPr="00515872" w:rsidRDefault="00EB109B" w:rsidP="009518AF">
      <w:pPr>
        <w:spacing w:line="360" w:lineRule="auto"/>
        <w:jc w:val="both"/>
        <w:rPr>
          <w:rFonts w:eastAsia="Times New Roman" w:cs="Tahoma"/>
          <w:szCs w:val="20"/>
          <w:lang w:eastAsia="it-IT"/>
        </w:rPr>
      </w:pPr>
      <w:r w:rsidRPr="00515872">
        <w:rPr>
          <w:rFonts w:eastAsia="Times New Roman" w:cs="Tahoma"/>
          <w:szCs w:val="20"/>
          <w:lang w:eastAsia="it-IT"/>
        </w:rPr>
        <w:t>L’organo di revisione individua gli atti e i documenti di cui chiedere copia e, se non previsto nel regolamento, stabilisce un termine massimo per la loro predisposizione da parte degli uffici dell’ente.</w:t>
      </w:r>
    </w:p>
    <w:p w14:paraId="495D57C8" w14:textId="77777777" w:rsidR="009518AF" w:rsidRPr="00515872" w:rsidRDefault="00EB109B" w:rsidP="009518AF">
      <w:pPr>
        <w:spacing w:after="0" w:line="360" w:lineRule="auto"/>
        <w:jc w:val="both"/>
        <w:rPr>
          <w:rFonts w:eastAsia="Times New Roman" w:cs="Tahoma"/>
          <w:szCs w:val="20"/>
          <w:lang w:eastAsia="it-IT"/>
        </w:rPr>
      </w:pPr>
      <w:r w:rsidRPr="00515872">
        <w:rPr>
          <w:rFonts w:eastAsia="Times New Roman" w:cs="Tahoma"/>
          <w:szCs w:val="20"/>
          <w:lang w:eastAsia="it-IT"/>
        </w:rPr>
        <w:t>Il responsabile del servizio finanziario deve trasmettere a</w:t>
      </w:r>
      <w:r w:rsidR="009518AF" w:rsidRPr="00515872">
        <w:rPr>
          <w:rFonts w:eastAsia="Times New Roman" w:cs="Tahoma"/>
          <w:szCs w:val="20"/>
          <w:lang w:eastAsia="it-IT"/>
        </w:rPr>
        <w:t>ll’organo di revisione i seguenti documenti:</w:t>
      </w:r>
    </w:p>
    <w:p w14:paraId="1CFD5E70" w14:textId="77777777" w:rsidR="009518AF" w:rsidRPr="00515872" w:rsidRDefault="009518AF"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da parte della</w:t>
      </w:r>
      <w:r w:rsidR="00825688" w:rsidRPr="00515872">
        <w:rPr>
          <w:rFonts w:eastAsia="Times New Roman" w:cs="Tahoma"/>
          <w:szCs w:val="20"/>
          <w:lang w:eastAsia="it-IT"/>
        </w:rPr>
        <w:t xml:space="preserve"> Corte dei C</w:t>
      </w:r>
      <w:r w:rsidRPr="00515872">
        <w:rPr>
          <w:rFonts w:eastAsia="Times New Roman" w:cs="Tahoma"/>
          <w:szCs w:val="20"/>
          <w:lang w:eastAsia="it-IT"/>
        </w:rPr>
        <w:t>onti: i rilievi e le decisioni assunti a tutela della sana gestione finanziaria dell'ente;</w:t>
      </w:r>
    </w:p>
    <w:p w14:paraId="3F1CB844" w14:textId="77777777" w:rsidR="009518AF" w:rsidRPr="00515872" w:rsidRDefault="009518AF"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da parte del responsabile del servizio finanziario: le attestazioni di assenza di copertura finanziaria in ordine alle delibere di impegni di spesa.</w:t>
      </w:r>
    </w:p>
    <w:p w14:paraId="4BD5F0C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ispezioni e i controlli possono essere effettuati anche da singoli componenti dell'organo di revisione collegiale.</w:t>
      </w:r>
      <w:r w:rsidR="006972CE" w:rsidRPr="00515872">
        <w:rPr>
          <w:rFonts w:eastAsia="Times New Roman" w:cs="Tahoma"/>
          <w:szCs w:val="20"/>
          <w:lang w:eastAsia="it-IT"/>
        </w:rPr>
        <w:t xml:space="preserve"> La possibilità di operare singolarmente può essere prevista dallo statuo o dal regolamento dell’ente.</w:t>
      </w:r>
    </w:p>
    <w:p w14:paraId="6982E798" w14:textId="77777777" w:rsidR="009518AF" w:rsidRPr="00515872" w:rsidRDefault="009518AF" w:rsidP="006972CE">
      <w:pPr>
        <w:tabs>
          <w:tab w:val="left" w:pos="6086"/>
        </w:tabs>
        <w:spacing w:after="0" w:line="360" w:lineRule="auto"/>
        <w:jc w:val="both"/>
        <w:rPr>
          <w:rFonts w:cs="Tahoma"/>
          <w:b/>
          <w:szCs w:val="20"/>
        </w:rPr>
      </w:pPr>
      <w:r w:rsidRPr="00515872">
        <w:rPr>
          <w:rFonts w:cs="Tahoma"/>
          <w:b/>
          <w:szCs w:val="20"/>
        </w:rPr>
        <w:t>Partecipazione alle riunioni del consiglio e della giunta</w:t>
      </w:r>
    </w:p>
    <w:p w14:paraId="5DFBA23C" w14:textId="77777777" w:rsidR="009518AF" w:rsidRPr="00515872" w:rsidRDefault="009518AF" w:rsidP="009518AF">
      <w:pPr>
        <w:spacing w:line="360" w:lineRule="auto"/>
        <w:jc w:val="both"/>
        <w:rPr>
          <w:rFonts w:cs="Tahoma"/>
          <w:szCs w:val="20"/>
        </w:rPr>
      </w:pPr>
      <w:r w:rsidRPr="00515872">
        <w:rPr>
          <w:rFonts w:cs="Tahoma"/>
          <w:szCs w:val="20"/>
        </w:rPr>
        <w:t>L’attività di revisione si svolge anche mediante partecipazione alle adunanze degli organi dell’ente.</w:t>
      </w:r>
    </w:p>
    <w:p w14:paraId="198BC6D8" w14:textId="77777777" w:rsidR="009518AF" w:rsidRPr="00515872" w:rsidRDefault="009518AF" w:rsidP="009518AF">
      <w:pPr>
        <w:spacing w:line="360" w:lineRule="auto"/>
        <w:jc w:val="both"/>
        <w:rPr>
          <w:rFonts w:cs="Tahoma"/>
          <w:szCs w:val="20"/>
        </w:rPr>
      </w:pPr>
      <w:r w:rsidRPr="00515872">
        <w:rPr>
          <w:rFonts w:cs="Tahoma"/>
          <w:szCs w:val="20"/>
        </w:rPr>
        <w:t xml:space="preserve">L’osservatorio sulla finanza pubblica e contabilità degli enti locali, con il parere del 14 febbraio 2005, ha affermato che, a norma del TUEL, i revisori hanno il diritto di partecipare alle sedute dell’organo consiliare e non l’obbligo. Tuttavia, nel momento in cui presenziano, essi </w:t>
      </w:r>
      <w:r w:rsidRPr="00515872">
        <w:rPr>
          <w:rFonts w:cs="Tahoma"/>
          <w:b/>
          <w:szCs w:val="20"/>
        </w:rPr>
        <w:t>lo fanno nell’ambito della propria attività di controllo</w:t>
      </w:r>
      <w:r w:rsidRPr="00515872">
        <w:rPr>
          <w:rFonts w:cs="Tahoma"/>
          <w:szCs w:val="20"/>
        </w:rPr>
        <w:t xml:space="preserve"> (c.d. “contr</w:t>
      </w:r>
      <w:r w:rsidR="00825688" w:rsidRPr="00515872">
        <w:rPr>
          <w:rFonts w:cs="Tahoma"/>
          <w:szCs w:val="20"/>
        </w:rPr>
        <w:t>ollo concomitante”). Ne deriva l’</w:t>
      </w:r>
      <w:r w:rsidRPr="00515872">
        <w:rPr>
          <w:rFonts w:cs="Tahoma"/>
          <w:b/>
          <w:szCs w:val="20"/>
        </w:rPr>
        <w:t>obbligo di intervento</w:t>
      </w:r>
      <w:r w:rsidRPr="00515872">
        <w:rPr>
          <w:rFonts w:cs="Tahoma"/>
          <w:szCs w:val="20"/>
        </w:rPr>
        <w:t xml:space="preserve"> nella misura in cui in tali </w:t>
      </w:r>
      <w:r w:rsidRPr="00515872">
        <w:rPr>
          <w:rFonts w:cs="Tahoma"/>
          <w:szCs w:val="20"/>
        </w:rPr>
        <w:lastRenderedPageBreak/>
        <w:t>adunanze vengano assunte deliberazioni illecite, onde evitare profili di responsabilità a loro carico. Lo statuto e il regolamento dell’ente devono disciplinare le modalità d</w:t>
      </w:r>
      <w:r w:rsidR="00825688" w:rsidRPr="00515872">
        <w:rPr>
          <w:rFonts w:cs="Tahoma"/>
          <w:szCs w:val="20"/>
        </w:rPr>
        <w:t>i intervento dei revisori</w:t>
      </w:r>
      <w:r w:rsidRPr="00515872">
        <w:rPr>
          <w:rFonts w:cs="Tahoma"/>
          <w:szCs w:val="20"/>
        </w:rPr>
        <w:t>.</w:t>
      </w:r>
    </w:p>
    <w:p w14:paraId="2258074A"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Per consentire la partecipazione alle assemblee dell'organo consiliare, all'organo di revisione sono comunicati gli ordini del giorno.</w:t>
      </w:r>
    </w:p>
    <w:p w14:paraId="261C6BEA" w14:textId="77777777" w:rsidR="009518AF" w:rsidRPr="00515872" w:rsidRDefault="009518AF" w:rsidP="009518AF">
      <w:pPr>
        <w:spacing w:line="360" w:lineRule="auto"/>
        <w:jc w:val="both"/>
        <w:rPr>
          <w:rFonts w:cs="Tahoma"/>
          <w:szCs w:val="20"/>
        </w:rPr>
      </w:pPr>
      <w:r w:rsidRPr="00515872">
        <w:rPr>
          <w:rFonts w:cs="Tahoma"/>
          <w:szCs w:val="20"/>
        </w:rPr>
        <w:t>Non esiste, in</w:t>
      </w:r>
      <w:r w:rsidR="008E3FBD" w:rsidRPr="00515872">
        <w:rPr>
          <w:rFonts w:cs="Tahoma"/>
          <w:szCs w:val="20"/>
        </w:rPr>
        <w:t>vece, un diritto dei revisori a</w:t>
      </w:r>
      <w:r w:rsidRPr="00515872">
        <w:rPr>
          <w:rFonts w:cs="Tahoma"/>
          <w:szCs w:val="20"/>
        </w:rPr>
        <w:t xml:space="preserve"> partecipare alle riunioni di giunta, salvo che questo non sia riconosciuto e regolamentato al livello statutario.</w:t>
      </w:r>
    </w:p>
    <w:p w14:paraId="2B64B52B" w14:textId="77777777" w:rsidR="00286786" w:rsidRPr="00515872" w:rsidRDefault="006972CE" w:rsidP="009518AF">
      <w:pPr>
        <w:spacing w:line="360" w:lineRule="auto"/>
        <w:jc w:val="both"/>
        <w:rPr>
          <w:rFonts w:cs="Tahoma"/>
          <w:szCs w:val="20"/>
        </w:rPr>
      </w:pPr>
      <w:r w:rsidRPr="00515872">
        <w:rPr>
          <w:rFonts w:cs="Tahoma"/>
          <w:szCs w:val="20"/>
        </w:rPr>
        <w:t>In caso di composizione collegiale dell’organo di revisione, la partecipazione alle riunioni del consiglio o della giunta dell’ente devono essere collegiali, salvo delega ad uno dei membri.</w:t>
      </w:r>
    </w:p>
    <w:p w14:paraId="5186FF32" w14:textId="77777777" w:rsidR="00277513" w:rsidRPr="00515872" w:rsidRDefault="00277513" w:rsidP="00286786">
      <w:pPr>
        <w:pStyle w:val="Sottoparagrafo"/>
        <w:ind w:left="567" w:hanging="567"/>
        <w:rPr>
          <w:rFonts w:cs="Tahoma"/>
          <w:highlight w:val="yellow"/>
        </w:rPr>
      </w:pPr>
    </w:p>
    <w:p w14:paraId="42F9136E" w14:textId="77777777" w:rsidR="00286786" w:rsidRPr="00515872" w:rsidRDefault="00286786" w:rsidP="00286786">
      <w:pPr>
        <w:pStyle w:val="Sottoparagrafo"/>
        <w:ind w:left="567" w:hanging="567"/>
        <w:rPr>
          <w:rFonts w:cs="Tahoma"/>
        </w:rPr>
      </w:pPr>
      <w:bookmarkStart w:id="56" w:name="_Toc95912235"/>
      <w:r w:rsidRPr="00515872">
        <w:rPr>
          <w:rFonts w:cs="Tahoma"/>
        </w:rPr>
        <w:t>3.5</w:t>
      </w:r>
      <w:r w:rsidR="00A94CC2" w:rsidRPr="00515872">
        <w:rPr>
          <w:rFonts w:cs="Tahoma"/>
        </w:rPr>
        <w:t>.2</w:t>
      </w:r>
      <w:r w:rsidRPr="00515872">
        <w:rPr>
          <w:rFonts w:cs="Tahoma"/>
        </w:rPr>
        <w:t xml:space="preserve"> </w:t>
      </w:r>
      <w:r w:rsidR="008E3FBD" w:rsidRPr="00515872">
        <w:rPr>
          <w:rFonts w:cs="Tahoma"/>
        </w:rPr>
        <w:t>Tecniche di c</w:t>
      </w:r>
      <w:r w:rsidRPr="00515872">
        <w:rPr>
          <w:rFonts w:cs="Tahoma"/>
        </w:rPr>
        <w:t>ampionamento</w:t>
      </w:r>
      <w:bookmarkEnd w:id="56"/>
    </w:p>
    <w:p w14:paraId="686B3CDF" w14:textId="77777777" w:rsidR="00286786" w:rsidRPr="00515872" w:rsidRDefault="00286786" w:rsidP="009518AF">
      <w:pPr>
        <w:spacing w:line="360" w:lineRule="auto"/>
        <w:jc w:val="both"/>
        <w:rPr>
          <w:rFonts w:cs="Tahoma"/>
          <w:szCs w:val="20"/>
        </w:rPr>
      </w:pPr>
      <w:r w:rsidRPr="00515872">
        <w:rPr>
          <w:rFonts w:cs="Tahoma"/>
          <w:szCs w:val="20"/>
        </w:rPr>
        <w:t>L’attività di revisione, come spesso previsto dalla stessa normativa e dalla prassi più diffusa</w:t>
      </w:r>
      <w:r w:rsidR="00A21CFF" w:rsidRPr="00515872">
        <w:rPr>
          <w:rFonts w:cs="Tahoma"/>
          <w:szCs w:val="20"/>
        </w:rPr>
        <w:t xml:space="preserve"> (tra cui, </w:t>
      </w:r>
      <w:r w:rsidR="00A21CFF" w:rsidRPr="00515872">
        <w:rPr>
          <w:rFonts w:cs="Tahoma"/>
          <w:i/>
          <w:szCs w:val="20"/>
        </w:rPr>
        <w:t>in primis</w:t>
      </w:r>
      <w:r w:rsidR="00A21CFF" w:rsidRPr="00515872">
        <w:rPr>
          <w:rFonts w:cs="Tahoma"/>
          <w:szCs w:val="20"/>
        </w:rPr>
        <w:t>, i principi di revisione)</w:t>
      </w:r>
      <w:r w:rsidRPr="00515872">
        <w:rPr>
          <w:rFonts w:cs="Tahoma"/>
          <w:szCs w:val="20"/>
        </w:rPr>
        <w:t>, può essere svolta con “</w:t>
      </w:r>
      <w:r w:rsidRPr="00515872">
        <w:rPr>
          <w:rFonts w:cs="Tahoma"/>
          <w:i/>
          <w:szCs w:val="20"/>
        </w:rPr>
        <w:t>tecniche motivate di campionamento</w:t>
      </w:r>
      <w:r w:rsidRPr="00515872">
        <w:rPr>
          <w:rFonts w:cs="Tahoma"/>
          <w:szCs w:val="20"/>
        </w:rPr>
        <w:t>”.</w:t>
      </w:r>
    </w:p>
    <w:p w14:paraId="750B3603" w14:textId="77777777" w:rsidR="00C32D04" w:rsidRPr="00515872" w:rsidRDefault="00286786" w:rsidP="00C32D04">
      <w:pPr>
        <w:spacing w:line="360" w:lineRule="auto"/>
        <w:jc w:val="both"/>
        <w:rPr>
          <w:rFonts w:cs="Tahoma"/>
          <w:szCs w:val="20"/>
        </w:rPr>
      </w:pPr>
      <w:r w:rsidRPr="00515872">
        <w:rPr>
          <w:rFonts w:cs="Tahoma"/>
          <w:szCs w:val="20"/>
        </w:rPr>
        <w:t>Il Principio di vigilanza e controllo dell’Organo di revisione degli Enti locali n.1 dedica ampio spazio alla trattazione di questo argomento</w:t>
      </w:r>
      <w:r w:rsidR="00C32D04" w:rsidRPr="00515872">
        <w:rPr>
          <w:rFonts w:cs="Tahoma"/>
          <w:szCs w:val="20"/>
        </w:rPr>
        <w:t>.</w:t>
      </w:r>
    </w:p>
    <w:p w14:paraId="4A240CB9" w14:textId="77777777" w:rsidR="00C32D04" w:rsidRPr="00515872" w:rsidRDefault="00286786" w:rsidP="00C32D04">
      <w:pPr>
        <w:spacing w:line="360" w:lineRule="auto"/>
        <w:jc w:val="both"/>
        <w:rPr>
          <w:rFonts w:cs="Tahoma"/>
          <w:szCs w:val="20"/>
        </w:rPr>
      </w:pPr>
      <w:r w:rsidRPr="00515872">
        <w:rPr>
          <w:rFonts w:cs="Tahoma"/>
          <w:szCs w:val="20"/>
        </w:rPr>
        <w:t>Va da sé, infatti, che l’utilizzo di tecniche campionarie</w:t>
      </w:r>
      <w:r w:rsidR="001A6D74" w:rsidRPr="00515872">
        <w:rPr>
          <w:rFonts w:cs="Tahoma"/>
          <w:szCs w:val="20"/>
        </w:rPr>
        <w:t xml:space="preserve"> implica</w:t>
      </w:r>
      <w:r w:rsidRPr="00515872">
        <w:rPr>
          <w:rFonts w:cs="Tahoma"/>
          <w:szCs w:val="20"/>
        </w:rPr>
        <w:t xml:space="preserve"> l’assunzione di un rischio di mancata individuazione dell’errore la cui entità è generalmente inversamente proporzionale alla dimensione del campione selezionato e</w:t>
      </w:r>
      <w:r w:rsidR="009D3253" w:rsidRPr="00515872">
        <w:rPr>
          <w:rFonts w:cs="Tahoma"/>
          <w:szCs w:val="20"/>
        </w:rPr>
        <w:t>, in definitiva,</w:t>
      </w:r>
      <w:r w:rsidRPr="00515872">
        <w:rPr>
          <w:rFonts w:cs="Tahoma"/>
          <w:szCs w:val="20"/>
        </w:rPr>
        <w:t xml:space="preserve"> alla sua rappresentatività.</w:t>
      </w:r>
    </w:p>
    <w:p w14:paraId="6408E3F4" w14:textId="77777777" w:rsidR="00C32D04" w:rsidRPr="00515872" w:rsidRDefault="00A21CFF" w:rsidP="00C32D04">
      <w:pPr>
        <w:spacing w:line="360" w:lineRule="auto"/>
        <w:jc w:val="both"/>
        <w:rPr>
          <w:rFonts w:cs="Tahoma"/>
          <w:szCs w:val="20"/>
        </w:rPr>
      </w:pPr>
      <w:r w:rsidRPr="00515872">
        <w:rPr>
          <w:rFonts w:cs="Tahoma"/>
          <w:szCs w:val="20"/>
        </w:rPr>
        <w:t>D’altra parte, tale tecnica si rende</w:t>
      </w:r>
      <w:r w:rsidR="009D3253" w:rsidRPr="00515872">
        <w:rPr>
          <w:rFonts w:cs="Tahoma"/>
          <w:szCs w:val="20"/>
        </w:rPr>
        <w:t xml:space="preserve"> vieppiù</w:t>
      </w:r>
      <w:r w:rsidRPr="00515872">
        <w:rPr>
          <w:rFonts w:cs="Tahoma"/>
          <w:szCs w:val="20"/>
        </w:rPr>
        <w:t xml:space="preserve"> necessaria in tutte le circostanze in cui la dimensione della popolazione </w:t>
      </w:r>
      <w:r w:rsidR="001A6D74" w:rsidRPr="00515872">
        <w:rPr>
          <w:rFonts w:cs="Tahoma"/>
          <w:szCs w:val="20"/>
        </w:rPr>
        <w:t>oggetto di indagine</w:t>
      </w:r>
      <w:r w:rsidRPr="00515872">
        <w:rPr>
          <w:rFonts w:cs="Tahoma"/>
          <w:szCs w:val="20"/>
        </w:rPr>
        <w:t xml:space="preserve"> è tale da non consentire all’organo di revisione una analisi completa</w:t>
      </w:r>
      <w:r w:rsidR="001A6D74" w:rsidRPr="00515872">
        <w:rPr>
          <w:rFonts w:cs="Tahoma"/>
          <w:szCs w:val="20"/>
        </w:rPr>
        <w:t>,</w:t>
      </w:r>
      <w:r w:rsidRPr="00515872">
        <w:rPr>
          <w:rFonts w:cs="Tahoma"/>
          <w:szCs w:val="20"/>
        </w:rPr>
        <w:t xml:space="preserve"> compatibilmente con i tempi ed i mezzi a sua disposizione.</w:t>
      </w:r>
    </w:p>
    <w:p w14:paraId="441E042C" w14:textId="77777777" w:rsidR="00C32D04" w:rsidRPr="00515872" w:rsidRDefault="00F67B2D" w:rsidP="00C32D04">
      <w:pPr>
        <w:spacing w:line="360" w:lineRule="auto"/>
        <w:jc w:val="both"/>
        <w:rPr>
          <w:rFonts w:eastAsia="Times New Roman" w:cs="Tahoma"/>
          <w:szCs w:val="20"/>
          <w:lang w:eastAsia="it-IT"/>
        </w:rPr>
      </w:pPr>
      <w:r w:rsidRPr="00515872">
        <w:rPr>
          <w:rFonts w:eastAsia="Times New Roman" w:cs="Tahoma"/>
          <w:szCs w:val="20"/>
          <w:lang w:eastAsia="it-IT"/>
        </w:rPr>
        <w:t>La selezione di un campione di dimensione inferiore alla popolazione intera può essere utilizzata n</w:t>
      </w:r>
      <w:r w:rsidR="00F40D66" w:rsidRPr="00515872">
        <w:rPr>
          <w:rFonts w:eastAsia="Times New Roman" w:cs="Tahoma"/>
          <w:szCs w:val="20"/>
          <w:lang w:eastAsia="it-IT"/>
        </w:rPr>
        <w:t xml:space="preserve">ell’ambito delle </w:t>
      </w:r>
      <w:r w:rsidRPr="00515872">
        <w:rPr>
          <w:rFonts w:eastAsia="Times New Roman" w:cs="Tahoma"/>
          <w:szCs w:val="20"/>
          <w:lang w:eastAsia="it-IT"/>
        </w:rPr>
        <w:t>procedure di dettaglio.</w:t>
      </w:r>
    </w:p>
    <w:p w14:paraId="4E92E17A" w14:textId="77777777" w:rsidR="00A21CFF" w:rsidRPr="00515872" w:rsidRDefault="00A21CFF" w:rsidP="00C32D04">
      <w:pPr>
        <w:spacing w:after="0" w:line="360" w:lineRule="auto"/>
        <w:jc w:val="both"/>
        <w:rPr>
          <w:rFonts w:cs="Tahoma"/>
          <w:szCs w:val="20"/>
        </w:rPr>
      </w:pPr>
      <w:r w:rsidRPr="00515872">
        <w:rPr>
          <w:rFonts w:cs="Tahoma"/>
          <w:szCs w:val="20"/>
        </w:rPr>
        <w:t>Al fine di procedere alla selezione del camp</w:t>
      </w:r>
      <w:r w:rsidR="002B3D4B" w:rsidRPr="00515872">
        <w:rPr>
          <w:rFonts w:cs="Tahoma"/>
          <w:szCs w:val="20"/>
        </w:rPr>
        <w:t>ione, il principio di vigilanza individua le seguenti metodologie, utilizzabili anche congiuntamente:</w:t>
      </w:r>
    </w:p>
    <w:p w14:paraId="73E0E8D2" w14:textId="77777777" w:rsidR="002B3D4B" w:rsidRPr="00515872" w:rsidRDefault="002B3D4B"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campionamento statistico</w:t>
      </w:r>
      <w:r w:rsidR="00042BD0" w:rsidRPr="00515872">
        <w:rPr>
          <w:rFonts w:eastAsia="Times New Roman" w:cs="Tahoma"/>
          <w:szCs w:val="20"/>
          <w:lang w:eastAsia="it-IT"/>
        </w:rPr>
        <w:t xml:space="preserve">: comporta la selezione casuale degli elementi del campione e l’utilizzo del calcolo delle probabilità, inclusa la determinazione del rischio </w:t>
      </w:r>
      <w:r w:rsidR="003058C1" w:rsidRPr="00515872">
        <w:rPr>
          <w:rFonts w:eastAsia="Times New Roman" w:cs="Tahoma"/>
          <w:szCs w:val="20"/>
          <w:lang w:eastAsia="it-IT"/>
        </w:rPr>
        <w:t>di campionamento</w:t>
      </w:r>
      <w:r w:rsidR="000207B8" w:rsidRPr="00515872">
        <w:rPr>
          <w:rFonts w:eastAsia="Times New Roman" w:cs="Tahoma"/>
          <w:szCs w:val="20"/>
          <w:lang w:eastAsia="it-IT"/>
        </w:rPr>
        <w:t xml:space="preserve"> (ovvero il rischio che le conclusioni dell’organo di revisione basate sul campione selezionato possano essere diverse da quelle che </w:t>
      </w:r>
      <w:r w:rsidR="00F40D66" w:rsidRPr="00515872">
        <w:rPr>
          <w:rFonts w:eastAsia="Times New Roman" w:cs="Tahoma"/>
          <w:szCs w:val="20"/>
          <w:lang w:eastAsia="it-IT"/>
        </w:rPr>
        <w:t xml:space="preserve">lo stesso </w:t>
      </w:r>
      <w:r w:rsidR="000207B8" w:rsidRPr="00515872">
        <w:rPr>
          <w:rFonts w:eastAsia="Times New Roman" w:cs="Tahoma"/>
          <w:szCs w:val="20"/>
          <w:lang w:eastAsia="it-IT"/>
        </w:rPr>
        <w:t>avrebbe raggiunto selezionando l’intera popolazione)</w:t>
      </w:r>
      <w:r w:rsidR="003058C1" w:rsidRPr="00515872">
        <w:rPr>
          <w:rFonts w:eastAsia="Times New Roman" w:cs="Tahoma"/>
          <w:szCs w:val="20"/>
          <w:lang w:eastAsia="it-IT"/>
        </w:rPr>
        <w:t>; con tale metodologia, ogni elemento della popolazione ha una probabilità di essere selezionato nel campione;</w:t>
      </w:r>
    </w:p>
    <w:p w14:paraId="1650C8E3" w14:textId="77777777" w:rsidR="002B3D4B" w:rsidRPr="00515872" w:rsidRDefault="003058C1"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 xml:space="preserve">selezione </w:t>
      </w:r>
      <w:r w:rsidR="009D3253" w:rsidRPr="00515872">
        <w:rPr>
          <w:rFonts w:eastAsia="Times New Roman" w:cs="Tahoma"/>
          <w:b/>
          <w:szCs w:val="20"/>
          <w:lang w:eastAsia="it-IT"/>
        </w:rPr>
        <w:t>integrale</w:t>
      </w:r>
      <w:r w:rsidRPr="00515872">
        <w:rPr>
          <w:rFonts w:eastAsia="Times New Roman" w:cs="Tahoma"/>
          <w:szCs w:val="20"/>
          <w:lang w:eastAsia="it-IT"/>
        </w:rPr>
        <w:t>: comporta l’analisi del 100% degli elementi che compongono la popolazione oggetto di analisi</w:t>
      </w:r>
      <w:r w:rsidR="00F67B2D" w:rsidRPr="00515872">
        <w:rPr>
          <w:rFonts w:eastAsia="Times New Roman" w:cs="Tahoma"/>
          <w:szCs w:val="20"/>
          <w:lang w:eastAsia="it-IT"/>
        </w:rPr>
        <w:t xml:space="preserve"> e il conseguente azzeramento del rischio di campionamento</w:t>
      </w:r>
      <w:r w:rsidRPr="00515872">
        <w:rPr>
          <w:rFonts w:eastAsia="Times New Roman" w:cs="Tahoma"/>
          <w:szCs w:val="20"/>
          <w:lang w:eastAsia="it-IT"/>
        </w:rPr>
        <w:t>;</w:t>
      </w:r>
    </w:p>
    <w:p w14:paraId="34376509" w14:textId="77777777" w:rsidR="002B3D4B" w:rsidRPr="00515872" w:rsidRDefault="002B3D4B"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lastRenderedPageBreak/>
        <w:t>selezione di voci specifiche</w:t>
      </w:r>
      <w:r w:rsidR="008A4E99" w:rsidRPr="00515872">
        <w:rPr>
          <w:rFonts w:eastAsia="Times New Roman" w:cs="Tahoma"/>
          <w:szCs w:val="20"/>
          <w:lang w:eastAsia="it-IT"/>
        </w:rPr>
        <w:t>: comporta la selezione mirata di elementi della popolazione, basata sul giudizio professionale del selezionatore</w:t>
      </w:r>
      <w:r w:rsidR="00BB34D5" w:rsidRPr="00515872">
        <w:rPr>
          <w:rFonts w:eastAsia="Times New Roman" w:cs="Tahoma"/>
          <w:szCs w:val="20"/>
          <w:lang w:eastAsia="it-IT"/>
        </w:rPr>
        <w:t xml:space="preserve"> il quale deve stabilire la dimensione del campione e </w:t>
      </w:r>
      <w:r w:rsidR="002A111B" w:rsidRPr="00515872">
        <w:rPr>
          <w:rFonts w:eastAsia="Times New Roman" w:cs="Tahoma"/>
          <w:szCs w:val="20"/>
          <w:lang w:eastAsia="it-IT"/>
        </w:rPr>
        <w:t>il criterio con cui effettuare la selezione.</w:t>
      </w:r>
    </w:p>
    <w:p w14:paraId="4C2BE96E" w14:textId="77777777" w:rsidR="00F67B2D" w:rsidRPr="00515872" w:rsidRDefault="00F67B2D" w:rsidP="00C32D04">
      <w:pPr>
        <w:spacing w:after="0" w:line="360" w:lineRule="auto"/>
        <w:jc w:val="both"/>
        <w:rPr>
          <w:rFonts w:eastAsia="Times New Roman" w:cs="Tahoma"/>
          <w:szCs w:val="20"/>
          <w:lang w:eastAsia="it-IT"/>
        </w:rPr>
      </w:pPr>
      <w:r w:rsidRPr="00515872">
        <w:rPr>
          <w:rFonts w:eastAsia="Times New Roman" w:cs="Tahoma"/>
          <w:szCs w:val="20"/>
          <w:lang w:eastAsia="it-IT"/>
        </w:rPr>
        <w:t>La scelta della metodologia di campionamento è rimessa all’apprezzamento dell’organo di revisione, pur essendo influenzata da fattori quali:</w:t>
      </w:r>
    </w:p>
    <w:p w14:paraId="4BA6EEA9"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la presenza di una popolazione non omogenea;</w:t>
      </w:r>
    </w:p>
    <w:p w14:paraId="5E1EB118"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una popolazione composta da pochi elementi;</w:t>
      </w:r>
    </w:p>
    <w:p w14:paraId="5A7CCE8B"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la presenza di una minoranza di elementi che coprono la maggior parte del saldo;</w:t>
      </w:r>
    </w:p>
    <w:p w14:paraId="010C88C3"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l’eventuale obbligo di analisi integrale della popolazione;</w:t>
      </w:r>
    </w:p>
    <w:p w14:paraId="58E74148"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la necessità di ridurre il rischio di revisione;</w:t>
      </w:r>
    </w:p>
    <w:p w14:paraId="3AC059F3" w14:textId="77777777" w:rsidR="00F67B2D" w:rsidRPr="00515872" w:rsidRDefault="00F67B2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l’opportunità di selezionare voci specifiche.</w:t>
      </w:r>
    </w:p>
    <w:p w14:paraId="004788B6" w14:textId="77777777" w:rsidR="00B92BDE" w:rsidRPr="00515872" w:rsidRDefault="00B92BDE" w:rsidP="00B92BDE">
      <w:pPr>
        <w:spacing w:line="360" w:lineRule="auto"/>
        <w:jc w:val="both"/>
        <w:rPr>
          <w:rFonts w:eastAsia="Times New Roman" w:cs="Tahoma"/>
          <w:szCs w:val="20"/>
          <w:lang w:eastAsia="it-IT"/>
        </w:rPr>
      </w:pPr>
      <w:r w:rsidRPr="00515872">
        <w:rPr>
          <w:rFonts w:eastAsia="Times New Roman" w:cs="Tahoma"/>
          <w:szCs w:val="20"/>
          <w:lang w:eastAsia="it-IT"/>
        </w:rPr>
        <w:t>Una volta individuati gli errori nel campione esaminato, l’organo di revisione deve effettuare una proiezione degli stessi sulla popolazione al fine di acquisire una percezione dell’errore complessivo potenziale ed elaborare le idonee risposte di revisione.</w:t>
      </w:r>
    </w:p>
    <w:p w14:paraId="535461E4" w14:textId="77777777" w:rsidR="00277513" w:rsidRPr="00515872" w:rsidRDefault="00277513" w:rsidP="00B92BDE">
      <w:pPr>
        <w:spacing w:line="360" w:lineRule="auto"/>
        <w:jc w:val="both"/>
        <w:rPr>
          <w:rFonts w:eastAsia="Times New Roman" w:cs="Tahoma"/>
          <w:szCs w:val="20"/>
          <w:highlight w:val="yellow"/>
          <w:lang w:eastAsia="it-IT"/>
        </w:rPr>
      </w:pPr>
    </w:p>
    <w:p w14:paraId="673C555F" w14:textId="77777777" w:rsidR="00187BC1" w:rsidRPr="00515872" w:rsidRDefault="00187BC1" w:rsidP="00D65838">
      <w:pPr>
        <w:pStyle w:val="Sottoparagrafo"/>
        <w:numPr>
          <w:ilvl w:val="2"/>
          <w:numId w:val="210"/>
        </w:numPr>
        <w:rPr>
          <w:rFonts w:cs="Tahoma"/>
        </w:rPr>
      </w:pPr>
      <w:bookmarkStart w:id="57" w:name="_Toc95912236"/>
      <w:r w:rsidRPr="00515872">
        <w:rPr>
          <w:rFonts w:cs="Tahoma"/>
        </w:rPr>
        <w:t xml:space="preserve">Significatività </w:t>
      </w:r>
      <w:r w:rsidR="00B92BDE" w:rsidRPr="00515872">
        <w:rPr>
          <w:rFonts w:cs="Tahoma"/>
        </w:rPr>
        <w:t>dell’</w:t>
      </w:r>
      <w:r w:rsidRPr="00515872">
        <w:rPr>
          <w:rFonts w:cs="Tahoma"/>
        </w:rPr>
        <w:t>errore</w:t>
      </w:r>
      <w:bookmarkEnd w:id="57"/>
    </w:p>
    <w:p w14:paraId="10A41B2B" w14:textId="77777777" w:rsidR="0037483E" w:rsidRPr="00515872" w:rsidRDefault="0037483E" w:rsidP="00187BC1">
      <w:pPr>
        <w:spacing w:line="360" w:lineRule="auto"/>
        <w:jc w:val="both"/>
        <w:rPr>
          <w:rFonts w:cs="Tahoma"/>
          <w:szCs w:val="20"/>
        </w:rPr>
      </w:pPr>
      <w:r w:rsidRPr="00515872">
        <w:rPr>
          <w:rFonts w:cs="Tahoma"/>
          <w:szCs w:val="20"/>
        </w:rPr>
        <w:t>Il concetto di significatività, già ampiamente diffuso nell’ambito della revisione delle società di diritto privato è stato inserito per la prima volta nei principi di vigilanza degli enti locali proprio con l’approvazione della nuova versione.</w:t>
      </w:r>
    </w:p>
    <w:p w14:paraId="02B30B8E" w14:textId="77777777" w:rsidR="00187BC1" w:rsidRPr="00515872" w:rsidRDefault="0037483E" w:rsidP="00187BC1">
      <w:pPr>
        <w:spacing w:line="360" w:lineRule="auto"/>
        <w:jc w:val="both"/>
        <w:rPr>
          <w:rFonts w:cs="Tahoma"/>
          <w:szCs w:val="20"/>
        </w:rPr>
      </w:pPr>
      <w:r w:rsidRPr="00515872">
        <w:rPr>
          <w:rFonts w:cs="Tahoma"/>
          <w:szCs w:val="20"/>
        </w:rPr>
        <w:t>In base a questo, u</w:t>
      </w:r>
      <w:r w:rsidR="00187BC1" w:rsidRPr="00515872">
        <w:rPr>
          <w:rFonts w:cs="Tahoma"/>
          <w:szCs w:val="20"/>
        </w:rPr>
        <w:t>n errore è considerato significativo quando è ragionevole aspettarsi che, considerato singolarmente o aggregato con altri errori, esso sia in grado di influenzare le scelte degli utilizzatori del documento cui afferisce.</w:t>
      </w:r>
    </w:p>
    <w:p w14:paraId="29CEEC47" w14:textId="77777777" w:rsidR="00187BC1" w:rsidRPr="00515872" w:rsidRDefault="00187BC1" w:rsidP="00D921F9">
      <w:pPr>
        <w:spacing w:after="0" w:line="360" w:lineRule="auto"/>
        <w:jc w:val="both"/>
        <w:rPr>
          <w:rFonts w:cs="Tahoma"/>
          <w:szCs w:val="20"/>
        </w:rPr>
      </w:pPr>
      <w:r w:rsidRPr="00515872">
        <w:rPr>
          <w:rFonts w:cs="Tahoma"/>
          <w:szCs w:val="20"/>
        </w:rPr>
        <w:t>Generalmente, la significatività viene declinata in:</w:t>
      </w:r>
    </w:p>
    <w:p w14:paraId="024B2149" w14:textId="77777777" w:rsidR="00187BC1" w:rsidRPr="00515872" w:rsidRDefault="006A724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s</w:t>
      </w:r>
      <w:r w:rsidR="00187BC1" w:rsidRPr="00515872">
        <w:rPr>
          <w:rFonts w:eastAsia="Times New Roman" w:cs="Tahoma"/>
          <w:b/>
          <w:szCs w:val="20"/>
          <w:lang w:eastAsia="it-IT"/>
        </w:rPr>
        <w:t>ignificatività complessiva</w:t>
      </w:r>
      <w:r w:rsidR="00187BC1" w:rsidRPr="00515872">
        <w:rPr>
          <w:rFonts w:eastAsia="Times New Roman" w:cs="Tahoma"/>
          <w:szCs w:val="20"/>
          <w:lang w:eastAsia="it-IT"/>
        </w:rPr>
        <w:t>: livello massimo di errore tollerabile;</w:t>
      </w:r>
    </w:p>
    <w:p w14:paraId="1748AE8F" w14:textId="77777777" w:rsidR="00187BC1" w:rsidRPr="00515872" w:rsidRDefault="006A724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s</w:t>
      </w:r>
      <w:r w:rsidR="00187BC1" w:rsidRPr="00515872">
        <w:rPr>
          <w:rFonts w:eastAsia="Times New Roman" w:cs="Tahoma"/>
          <w:b/>
          <w:szCs w:val="20"/>
          <w:lang w:eastAsia="it-IT"/>
        </w:rPr>
        <w:t>ignificatività operativa</w:t>
      </w:r>
      <w:r w:rsidR="00187BC1" w:rsidRPr="00515872">
        <w:rPr>
          <w:rFonts w:eastAsia="Times New Roman" w:cs="Tahoma"/>
          <w:szCs w:val="20"/>
          <w:lang w:eastAsia="it-IT"/>
        </w:rPr>
        <w:t>: stabilita dal revisore in misura inferiore alla significatività complessiva, al fine di ridurre ad un livello accettabilmente basso la probabilità che errori non individuati o non corretti superi</w:t>
      </w:r>
      <w:r w:rsidR="002A111B" w:rsidRPr="00515872">
        <w:rPr>
          <w:rFonts w:eastAsia="Times New Roman" w:cs="Tahoma"/>
          <w:szCs w:val="20"/>
          <w:lang w:eastAsia="it-IT"/>
        </w:rPr>
        <w:t>no</w:t>
      </w:r>
      <w:r w:rsidR="00187BC1" w:rsidRPr="00515872">
        <w:rPr>
          <w:rFonts w:eastAsia="Times New Roman" w:cs="Tahoma"/>
          <w:szCs w:val="20"/>
          <w:lang w:eastAsia="it-IT"/>
        </w:rPr>
        <w:t xml:space="preserve"> il livello di significatività complessiva;</w:t>
      </w:r>
    </w:p>
    <w:p w14:paraId="5A5D70E7" w14:textId="77777777" w:rsidR="00B512A8" w:rsidRPr="00515872" w:rsidRDefault="006A724D"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e</w:t>
      </w:r>
      <w:r w:rsidR="00187BC1" w:rsidRPr="00515872">
        <w:rPr>
          <w:rFonts w:eastAsia="Times New Roman" w:cs="Tahoma"/>
          <w:b/>
          <w:szCs w:val="20"/>
          <w:lang w:eastAsia="it-IT"/>
        </w:rPr>
        <w:t>rrore chiaramente trascurabile</w:t>
      </w:r>
      <w:r w:rsidR="00187BC1" w:rsidRPr="00515872">
        <w:rPr>
          <w:rFonts w:eastAsia="Times New Roman" w:cs="Tahoma"/>
          <w:szCs w:val="20"/>
          <w:lang w:eastAsia="it-IT"/>
        </w:rPr>
        <w:t>: importo al di sotto del quale gli errori sono considerati trascurabili e non necessitano di essere cumulati in quanto non suscettibili di avere un impatto significativo</w:t>
      </w:r>
      <w:r w:rsidR="00B512A8" w:rsidRPr="00515872">
        <w:rPr>
          <w:rFonts w:eastAsia="Times New Roman" w:cs="Tahoma"/>
          <w:szCs w:val="20"/>
          <w:lang w:eastAsia="it-IT"/>
        </w:rPr>
        <w:t>.</w:t>
      </w:r>
    </w:p>
    <w:p w14:paraId="4DC12D4D" w14:textId="77777777" w:rsidR="00A26CE4" w:rsidRPr="00515872" w:rsidRDefault="00A26CE4" w:rsidP="00D921F9">
      <w:pPr>
        <w:spacing w:after="0" w:line="360" w:lineRule="auto"/>
        <w:jc w:val="both"/>
        <w:rPr>
          <w:rFonts w:eastAsia="Times New Roman" w:cs="Tahoma"/>
          <w:szCs w:val="20"/>
          <w:lang w:eastAsia="it-IT"/>
        </w:rPr>
      </w:pPr>
      <w:r w:rsidRPr="00515872">
        <w:rPr>
          <w:rFonts w:eastAsia="Times New Roman" w:cs="Tahoma"/>
          <w:szCs w:val="20"/>
          <w:lang w:eastAsia="it-IT"/>
        </w:rPr>
        <w:t xml:space="preserve">Il </w:t>
      </w:r>
      <w:r w:rsidR="002A111B" w:rsidRPr="00515872">
        <w:rPr>
          <w:rFonts w:eastAsia="Times New Roman" w:cs="Tahoma"/>
          <w:szCs w:val="20"/>
          <w:lang w:eastAsia="it-IT"/>
        </w:rPr>
        <w:t xml:space="preserve">citato </w:t>
      </w:r>
      <w:r w:rsidRPr="00515872">
        <w:rPr>
          <w:rFonts w:eastAsia="Times New Roman" w:cs="Tahoma"/>
          <w:szCs w:val="20"/>
          <w:lang w:eastAsia="it-IT"/>
        </w:rPr>
        <w:t>principio di vigilanza n. 1 suggerisce una serie di intervalli all’interno dei quali mantenere le varie componenti della significatività, e precisamente:</w:t>
      </w:r>
    </w:p>
    <w:p w14:paraId="06F3C595" w14:textId="77777777" w:rsidR="00A26CE4" w:rsidRPr="00515872" w:rsidRDefault="00A26CE4"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significatività complessiva: da un minimo dell’1% e un massimo del 3% delle entrate correnti;</w:t>
      </w:r>
    </w:p>
    <w:p w14:paraId="50EF9A1A" w14:textId="77777777" w:rsidR="00B663C4" w:rsidRPr="00515872" w:rsidRDefault="00A26CE4"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lastRenderedPageBreak/>
        <w:t>significatività operativa</w:t>
      </w:r>
      <w:r w:rsidR="00B663C4" w:rsidRPr="00515872">
        <w:rPr>
          <w:rFonts w:eastAsia="Times New Roman" w:cs="Tahoma"/>
          <w:szCs w:val="20"/>
          <w:lang w:eastAsia="it-IT"/>
        </w:rPr>
        <w:t>:</w:t>
      </w:r>
      <w:r w:rsidRPr="00515872">
        <w:rPr>
          <w:rFonts w:eastAsia="Times New Roman" w:cs="Tahoma"/>
          <w:szCs w:val="20"/>
          <w:lang w:eastAsia="it-IT"/>
        </w:rPr>
        <w:t xml:space="preserve"> tra il 60% e l’85% de</w:t>
      </w:r>
      <w:r w:rsidR="00B663C4" w:rsidRPr="00515872">
        <w:rPr>
          <w:rFonts w:eastAsia="Times New Roman" w:cs="Tahoma"/>
          <w:szCs w:val="20"/>
          <w:lang w:eastAsia="it-IT"/>
        </w:rPr>
        <w:t>lla significatività complessiva;</w:t>
      </w:r>
    </w:p>
    <w:p w14:paraId="12F7C166" w14:textId="77777777" w:rsidR="00187BC1" w:rsidRPr="00515872" w:rsidRDefault="00A26CE4"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errore chiaramente trascurabile</w:t>
      </w:r>
      <w:r w:rsidR="00B663C4" w:rsidRPr="00515872">
        <w:rPr>
          <w:rFonts w:eastAsia="Times New Roman" w:cs="Tahoma"/>
          <w:szCs w:val="20"/>
          <w:lang w:eastAsia="it-IT"/>
        </w:rPr>
        <w:t xml:space="preserve">: </w:t>
      </w:r>
      <w:r w:rsidRPr="00515872">
        <w:rPr>
          <w:rFonts w:eastAsia="Times New Roman" w:cs="Tahoma"/>
          <w:szCs w:val="20"/>
          <w:lang w:eastAsia="it-IT"/>
        </w:rPr>
        <w:t>dal 5% al 15% della</w:t>
      </w:r>
      <w:r w:rsidR="00B663C4" w:rsidRPr="00515872">
        <w:rPr>
          <w:rFonts w:eastAsia="Times New Roman" w:cs="Tahoma"/>
          <w:szCs w:val="20"/>
          <w:lang w:eastAsia="it-IT"/>
        </w:rPr>
        <w:t xml:space="preserve"> significatività operativa.</w:t>
      </w:r>
    </w:p>
    <w:p w14:paraId="45C31363" w14:textId="77777777" w:rsidR="00B92BDE" w:rsidRPr="00515872" w:rsidRDefault="00B92BDE" w:rsidP="00B92BDE">
      <w:pPr>
        <w:spacing w:line="360" w:lineRule="auto"/>
        <w:jc w:val="both"/>
        <w:rPr>
          <w:rFonts w:eastAsia="Times New Roman" w:cs="Tahoma"/>
          <w:szCs w:val="20"/>
          <w:lang w:eastAsia="it-IT"/>
        </w:rPr>
      </w:pPr>
      <w:r w:rsidRPr="00515872">
        <w:rPr>
          <w:rFonts w:eastAsia="Times New Roman" w:cs="Tahoma"/>
          <w:szCs w:val="20"/>
          <w:lang w:eastAsia="it-IT"/>
        </w:rPr>
        <w:t>In alcuni casi può essere necessario utilizzare un livello di significatività specifica inferiore alla significatività complessiva in relazione a verifiche su particolari classi di operazioni.</w:t>
      </w:r>
    </w:p>
    <w:p w14:paraId="67CB92AE" w14:textId="77777777" w:rsidR="00277513" w:rsidRPr="00515872" w:rsidRDefault="00277513" w:rsidP="00B92BDE">
      <w:pPr>
        <w:spacing w:line="360" w:lineRule="auto"/>
        <w:jc w:val="both"/>
        <w:rPr>
          <w:rFonts w:eastAsia="Times New Roman" w:cs="Tahoma"/>
          <w:szCs w:val="20"/>
          <w:highlight w:val="yellow"/>
          <w:lang w:eastAsia="it-IT"/>
        </w:rPr>
      </w:pPr>
    </w:p>
    <w:p w14:paraId="07C715A0" w14:textId="77777777" w:rsidR="00A94CC2" w:rsidRPr="00515872" w:rsidRDefault="00A94CC2" w:rsidP="00A94CC2">
      <w:pPr>
        <w:pStyle w:val="Sottoparagrafo"/>
        <w:ind w:left="0" w:firstLine="0"/>
        <w:rPr>
          <w:rFonts w:cs="Tahoma"/>
        </w:rPr>
      </w:pPr>
      <w:bookmarkStart w:id="58" w:name="_Toc95912237"/>
      <w:r w:rsidRPr="00515872">
        <w:rPr>
          <w:rFonts w:cs="Tahoma"/>
        </w:rPr>
        <w:t>3.5.</w:t>
      </w:r>
      <w:r w:rsidR="00187BC1" w:rsidRPr="00515872">
        <w:rPr>
          <w:rFonts w:cs="Tahoma"/>
        </w:rPr>
        <w:t>4</w:t>
      </w:r>
      <w:r w:rsidRPr="00515872">
        <w:rPr>
          <w:rFonts w:cs="Tahoma"/>
        </w:rPr>
        <w:t xml:space="preserve"> Rischio di revisione</w:t>
      </w:r>
      <w:bookmarkEnd w:id="58"/>
    </w:p>
    <w:p w14:paraId="7B954AA0" w14:textId="77777777" w:rsidR="00A94CC2" w:rsidRPr="00515872" w:rsidRDefault="00A94CC2" w:rsidP="00A94CC2">
      <w:pPr>
        <w:spacing w:line="360" w:lineRule="auto"/>
        <w:jc w:val="both"/>
        <w:rPr>
          <w:rFonts w:cs="Tahoma"/>
          <w:szCs w:val="20"/>
        </w:rPr>
      </w:pPr>
      <w:r w:rsidRPr="00515872">
        <w:rPr>
          <w:rFonts w:cs="Tahoma"/>
          <w:szCs w:val="20"/>
        </w:rPr>
        <w:t>Il rischio di revisione è definito come il rischio che l’organo di revisione esprima un giudizio non corretto in presenza di errori o irregolarità significative.</w:t>
      </w:r>
    </w:p>
    <w:p w14:paraId="295CE279" w14:textId="77777777" w:rsidR="00A94CC2" w:rsidRPr="00515872" w:rsidRDefault="00A94CC2" w:rsidP="00D921F9">
      <w:pPr>
        <w:spacing w:after="0" w:line="360" w:lineRule="auto"/>
        <w:jc w:val="both"/>
        <w:rPr>
          <w:rFonts w:cs="Tahoma"/>
          <w:szCs w:val="20"/>
        </w:rPr>
      </w:pPr>
      <w:r w:rsidRPr="00515872">
        <w:rPr>
          <w:rFonts w:cs="Tahoma"/>
          <w:szCs w:val="20"/>
        </w:rPr>
        <w:t>Tale fattore viene normalmente scomposto nelle seguenti componenti:</w:t>
      </w:r>
    </w:p>
    <w:p w14:paraId="6B6909A8" w14:textId="77777777" w:rsidR="00A94CC2" w:rsidRPr="00515872" w:rsidRDefault="00A94CC2"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rischio intrinseco</w:t>
      </w:r>
      <w:r w:rsidRPr="00515872">
        <w:rPr>
          <w:rFonts w:eastAsia="Times New Roman" w:cs="Tahoma"/>
          <w:szCs w:val="20"/>
          <w:lang w:eastAsia="it-IT"/>
        </w:rPr>
        <w:t>:</w:t>
      </w:r>
      <w:r w:rsidR="009E1C6C" w:rsidRPr="00515872">
        <w:rPr>
          <w:rFonts w:eastAsia="Times New Roman" w:cs="Tahoma"/>
          <w:szCs w:val="20"/>
          <w:lang w:eastAsia="it-IT"/>
        </w:rPr>
        <w:t xml:space="preserve"> rappresenta il rischio che la gestione contabile, finanziaria ed economica presenti errori significativi a prescindere da qualsiasi attività di controllo; esso dipende, oltre che dalla natura dell’attività svolta dall’ente, dalla presenza di fattori esterni (politici, economici, ecc.) e dalle pr</w:t>
      </w:r>
      <w:r w:rsidR="00BB6559" w:rsidRPr="00515872">
        <w:rPr>
          <w:rFonts w:eastAsia="Times New Roman" w:cs="Tahoma"/>
          <w:szCs w:val="20"/>
          <w:lang w:eastAsia="it-IT"/>
        </w:rPr>
        <w:t>ocedure e organizzazione interne</w:t>
      </w:r>
      <w:r w:rsidR="009E1C6C" w:rsidRPr="00515872">
        <w:rPr>
          <w:rFonts w:eastAsia="Times New Roman" w:cs="Tahoma"/>
          <w:szCs w:val="20"/>
          <w:lang w:eastAsia="it-IT"/>
        </w:rPr>
        <w:t>;</w:t>
      </w:r>
    </w:p>
    <w:p w14:paraId="37A459BC" w14:textId="77777777" w:rsidR="00A94CC2" w:rsidRPr="00515872" w:rsidRDefault="00A94CC2"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rischio di controllo interno</w:t>
      </w:r>
      <w:r w:rsidRPr="00515872">
        <w:rPr>
          <w:rFonts w:eastAsia="Times New Roman" w:cs="Tahoma"/>
          <w:szCs w:val="20"/>
          <w:lang w:eastAsia="it-IT"/>
        </w:rPr>
        <w:t>:</w:t>
      </w:r>
      <w:r w:rsidR="009E1C6C" w:rsidRPr="00515872">
        <w:rPr>
          <w:rFonts w:eastAsia="Times New Roman" w:cs="Tahoma"/>
          <w:szCs w:val="20"/>
          <w:lang w:eastAsia="it-IT"/>
        </w:rPr>
        <w:t xml:space="preserve"> </w:t>
      </w:r>
      <w:r w:rsidR="0049792F" w:rsidRPr="00515872">
        <w:rPr>
          <w:rFonts w:eastAsia="Times New Roman" w:cs="Tahoma"/>
          <w:szCs w:val="20"/>
          <w:lang w:eastAsia="it-IT"/>
        </w:rPr>
        <w:t>è il rischio che un errore non sia prevenuto o tempestivamente individuato dal sistema di controllo interno dell’</w:t>
      </w:r>
      <w:r w:rsidR="00957350" w:rsidRPr="00515872">
        <w:rPr>
          <w:rFonts w:eastAsia="Times New Roman" w:cs="Tahoma"/>
          <w:szCs w:val="20"/>
          <w:lang w:eastAsia="it-IT"/>
        </w:rPr>
        <w:t>ente;</w:t>
      </w:r>
    </w:p>
    <w:p w14:paraId="371343C2" w14:textId="77777777" w:rsidR="00A94CC2" w:rsidRPr="00515872" w:rsidRDefault="00A94CC2" w:rsidP="00D65838">
      <w:pPr>
        <w:pStyle w:val="Paragrafoelenco"/>
        <w:numPr>
          <w:ilvl w:val="0"/>
          <w:numId w:val="99"/>
        </w:numPr>
        <w:spacing w:line="360" w:lineRule="auto"/>
        <w:jc w:val="both"/>
        <w:rPr>
          <w:rFonts w:eastAsia="Times New Roman" w:cs="Tahoma"/>
          <w:szCs w:val="20"/>
          <w:lang w:eastAsia="it-IT"/>
        </w:rPr>
      </w:pPr>
      <w:r w:rsidRPr="00515872">
        <w:rPr>
          <w:rFonts w:eastAsia="Times New Roman" w:cs="Tahoma"/>
          <w:b/>
          <w:szCs w:val="20"/>
          <w:lang w:eastAsia="it-IT"/>
        </w:rPr>
        <w:t>rischio di non individuazione</w:t>
      </w:r>
      <w:r w:rsidRPr="00515872">
        <w:rPr>
          <w:rFonts w:eastAsia="Times New Roman" w:cs="Tahoma"/>
          <w:szCs w:val="20"/>
          <w:lang w:eastAsia="it-IT"/>
        </w:rPr>
        <w:t>:</w:t>
      </w:r>
      <w:r w:rsidR="006A724D" w:rsidRPr="00515872">
        <w:rPr>
          <w:rFonts w:eastAsia="Times New Roman" w:cs="Tahoma"/>
          <w:szCs w:val="20"/>
          <w:lang w:eastAsia="it-IT"/>
        </w:rPr>
        <w:t xml:space="preserve"> è il rischio che l’organo di revisione non individui errori o irregolarità significative.</w:t>
      </w:r>
    </w:p>
    <w:p w14:paraId="791B47BC" w14:textId="41865DC8" w:rsidR="00A94CC2" w:rsidRDefault="00A94CC2" w:rsidP="00A94CC2">
      <w:pPr>
        <w:spacing w:line="360" w:lineRule="auto"/>
        <w:jc w:val="both"/>
        <w:rPr>
          <w:rFonts w:eastAsia="Times New Roman" w:cs="Tahoma"/>
          <w:szCs w:val="20"/>
          <w:lang w:eastAsia="it-IT"/>
        </w:rPr>
      </w:pPr>
      <w:r w:rsidRPr="00515872">
        <w:rPr>
          <w:rFonts w:eastAsia="Times New Roman" w:cs="Tahoma"/>
          <w:szCs w:val="20"/>
          <w:lang w:eastAsia="it-IT"/>
        </w:rPr>
        <w:t>Secondo la formula individuata dall’Audit Risk Model, il rischio di revisione è calcolato come prodotto delle sue tre componenti:</w:t>
      </w:r>
    </w:p>
    <w:p w14:paraId="5AC89068" w14:textId="77777777" w:rsidR="00EA779E" w:rsidRPr="00515872" w:rsidRDefault="00EA779E" w:rsidP="00A94CC2">
      <w:pPr>
        <w:spacing w:line="360" w:lineRule="auto"/>
        <w:jc w:val="both"/>
        <w:rPr>
          <w:rFonts w:eastAsia="Times New Roman" w:cs="Tahoma"/>
          <w:szCs w:val="20"/>
          <w:lang w:eastAsia="it-IT"/>
        </w:rPr>
      </w:pPr>
    </w:p>
    <w:p w14:paraId="269BE478" w14:textId="77777777" w:rsidR="00A94CC2" w:rsidRPr="00515872" w:rsidRDefault="00A94CC2" w:rsidP="009E1C6C">
      <w:pPr>
        <w:spacing w:line="360" w:lineRule="auto"/>
        <w:jc w:val="center"/>
        <w:rPr>
          <w:rFonts w:eastAsia="Times New Roman" w:cs="Tahoma"/>
          <w:szCs w:val="20"/>
          <w:lang w:val="en-US" w:eastAsia="it-IT"/>
        </w:rPr>
      </w:pPr>
      <w:r w:rsidRPr="00515872">
        <w:rPr>
          <w:rFonts w:eastAsia="Times New Roman" w:cs="Tahoma"/>
          <w:i/>
          <w:szCs w:val="20"/>
          <w:lang w:val="en-US" w:eastAsia="it-IT"/>
        </w:rPr>
        <w:t>AR</w:t>
      </w:r>
      <w:r w:rsidR="00A26013" w:rsidRPr="00515872">
        <w:rPr>
          <w:rFonts w:eastAsia="Times New Roman" w:cs="Tahoma"/>
          <w:i/>
          <w:szCs w:val="20"/>
          <w:lang w:val="en-US" w:eastAsia="it-IT"/>
        </w:rPr>
        <w:t xml:space="preserve"> =</w:t>
      </w:r>
      <w:r w:rsidRPr="00515872">
        <w:rPr>
          <w:rFonts w:eastAsia="Times New Roman" w:cs="Tahoma"/>
          <w:i/>
          <w:szCs w:val="20"/>
          <w:lang w:val="en-US" w:eastAsia="it-IT"/>
        </w:rPr>
        <w:t xml:space="preserve"> </w:t>
      </w:r>
      <w:r w:rsidR="009E1C6C" w:rsidRPr="00515872">
        <w:rPr>
          <w:rFonts w:eastAsia="Times New Roman" w:cs="Tahoma"/>
          <w:i/>
          <w:szCs w:val="20"/>
          <w:lang w:val="en-US" w:eastAsia="it-IT"/>
        </w:rPr>
        <w:t>IR x CR x DR</w:t>
      </w:r>
      <w:r w:rsidR="009E1C6C" w:rsidRPr="00515872">
        <w:rPr>
          <w:rStyle w:val="Rimandonotaapidipagina"/>
          <w:rFonts w:eastAsia="Times New Roman" w:cs="Tahoma"/>
          <w:szCs w:val="20"/>
          <w:lang w:eastAsia="it-IT"/>
        </w:rPr>
        <w:footnoteReference w:id="20"/>
      </w:r>
    </w:p>
    <w:p w14:paraId="762F2EC4" w14:textId="77777777" w:rsidR="00EA779E" w:rsidRPr="00EA779E" w:rsidRDefault="00EA779E" w:rsidP="00F67B2D">
      <w:pPr>
        <w:spacing w:line="360" w:lineRule="auto"/>
        <w:jc w:val="both"/>
        <w:rPr>
          <w:rFonts w:eastAsia="Times New Roman" w:cs="Tahoma"/>
          <w:szCs w:val="20"/>
          <w:lang w:val="es-ES" w:eastAsia="it-IT"/>
        </w:rPr>
      </w:pPr>
    </w:p>
    <w:p w14:paraId="45989C18" w14:textId="5B58BBF3" w:rsidR="00F67B2D" w:rsidRPr="00515872" w:rsidRDefault="00D96E8D" w:rsidP="00F67B2D">
      <w:pPr>
        <w:spacing w:line="360" w:lineRule="auto"/>
        <w:jc w:val="both"/>
        <w:rPr>
          <w:rFonts w:eastAsia="Times New Roman" w:cs="Tahoma"/>
          <w:szCs w:val="20"/>
          <w:lang w:eastAsia="it-IT"/>
        </w:rPr>
      </w:pPr>
      <w:r w:rsidRPr="00515872">
        <w:rPr>
          <w:rFonts w:eastAsia="Times New Roman" w:cs="Tahoma"/>
          <w:szCs w:val="20"/>
          <w:lang w:eastAsia="it-IT"/>
        </w:rPr>
        <w:t xml:space="preserve">L’organo di revisione deve individuare inizialmente il rischio intrinseco sulla base delle conoscenze acquisite dell’ente e del contesto nel quale esso opera, attraverso colloqui con le figure apicali e l’esame delle informazioni in qualsiasi modo reperibili. Esso deve valutare le probabilità di accadimento e l’impatto dell’errore o </w:t>
      </w:r>
      <w:r w:rsidR="002A111B" w:rsidRPr="00515872">
        <w:rPr>
          <w:rFonts w:eastAsia="Times New Roman" w:cs="Tahoma"/>
          <w:szCs w:val="20"/>
          <w:lang w:eastAsia="it-IT"/>
        </w:rPr>
        <w:t>dell’</w:t>
      </w:r>
      <w:r w:rsidRPr="00515872">
        <w:rPr>
          <w:rFonts w:eastAsia="Times New Roman" w:cs="Tahoma"/>
          <w:szCs w:val="20"/>
          <w:lang w:eastAsia="it-IT"/>
        </w:rPr>
        <w:t>irregolarità significativa.</w:t>
      </w:r>
    </w:p>
    <w:p w14:paraId="0AA93005" w14:textId="77777777" w:rsidR="00957350" w:rsidRPr="00515872" w:rsidRDefault="00957350" w:rsidP="00184195">
      <w:pPr>
        <w:spacing w:after="0" w:line="360" w:lineRule="auto"/>
        <w:jc w:val="both"/>
        <w:rPr>
          <w:rFonts w:eastAsia="Times New Roman" w:cs="Tahoma"/>
          <w:szCs w:val="20"/>
          <w:lang w:eastAsia="it-IT"/>
        </w:rPr>
      </w:pPr>
      <w:r w:rsidRPr="00515872">
        <w:rPr>
          <w:rFonts w:eastAsia="Times New Roman" w:cs="Tahoma"/>
          <w:szCs w:val="20"/>
          <w:lang w:eastAsia="it-IT"/>
        </w:rPr>
        <w:t xml:space="preserve">Una volta individuato il rischio intrinseco, l’organo di revisione deve testare il sistema di controllo interno dell’ente al fine di valutarne l’efficienza onde </w:t>
      </w:r>
      <w:r w:rsidR="0008346A" w:rsidRPr="00515872">
        <w:rPr>
          <w:rFonts w:eastAsia="Times New Roman" w:cs="Tahoma"/>
          <w:szCs w:val="20"/>
          <w:lang w:eastAsia="it-IT"/>
        </w:rPr>
        <w:t>giungere all’individuazione</w:t>
      </w:r>
      <w:r w:rsidRPr="00515872">
        <w:rPr>
          <w:rFonts w:eastAsia="Times New Roman" w:cs="Tahoma"/>
          <w:szCs w:val="20"/>
          <w:lang w:eastAsia="it-IT"/>
        </w:rPr>
        <w:t xml:space="preserve"> </w:t>
      </w:r>
      <w:r w:rsidR="002D7DFE" w:rsidRPr="00515872">
        <w:rPr>
          <w:rFonts w:eastAsia="Times New Roman" w:cs="Tahoma"/>
          <w:szCs w:val="20"/>
          <w:lang w:eastAsia="it-IT"/>
        </w:rPr>
        <w:t>de</w:t>
      </w:r>
      <w:r w:rsidRPr="00515872">
        <w:rPr>
          <w:rFonts w:eastAsia="Times New Roman" w:cs="Tahoma"/>
          <w:szCs w:val="20"/>
          <w:lang w:eastAsia="it-IT"/>
        </w:rPr>
        <w:t xml:space="preserve">l rischio di controllo interno. Tale </w:t>
      </w:r>
      <w:r w:rsidRPr="00515872">
        <w:rPr>
          <w:rFonts w:eastAsia="Times New Roman" w:cs="Tahoma"/>
          <w:szCs w:val="20"/>
          <w:lang w:eastAsia="it-IT"/>
        </w:rPr>
        <w:lastRenderedPageBreak/>
        <w:t>analisi viene condotta, generalmente, mediante indagini, osservazioni e procedure di conformità.</w:t>
      </w:r>
      <w:r w:rsidR="00184195" w:rsidRPr="00515872">
        <w:rPr>
          <w:rFonts w:eastAsia="Times New Roman" w:cs="Tahoma"/>
          <w:szCs w:val="20"/>
          <w:lang w:eastAsia="it-IT"/>
        </w:rPr>
        <w:t xml:space="preserve"> Con le procedure di conformità il revisore verifica:</w:t>
      </w:r>
    </w:p>
    <w:p w14:paraId="17A3E77E" w14:textId="77777777" w:rsidR="00184195" w:rsidRPr="00515872" w:rsidRDefault="00184195" w:rsidP="00184195">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come sono applicati i controlli;</w:t>
      </w:r>
    </w:p>
    <w:p w14:paraId="05F47EAE" w14:textId="77777777" w:rsidR="00184195" w:rsidRPr="00515872" w:rsidRDefault="00184195" w:rsidP="00184195">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la regolarità con la quale vengono svolti i controlli durante l’esercizio finanziario;</w:t>
      </w:r>
    </w:p>
    <w:p w14:paraId="0FAC8BA4" w14:textId="77777777" w:rsidR="00184195" w:rsidRPr="00515872" w:rsidRDefault="00184195" w:rsidP="00184195">
      <w:pPr>
        <w:pStyle w:val="Paragrafoelenco"/>
        <w:numPr>
          <w:ilvl w:val="0"/>
          <w:numId w:val="99"/>
        </w:numPr>
        <w:spacing w:line="360" w:lineRule="auto"/>
        <w:jc w:val="both"/>
        <w:rPr>
          <w:rFonts w:eastAsia="Times New Roman" w:cs="Tahoma"/>
          <w:szCs w:val="20"/>
          <w:lang w:eastAsia="it-IT"/>
        </w:rPr>
      </w:pPr>
      <w:r w:rsidRPr="00515872">
        <w:rPr>
          <w:rFonts w:eastAsia="Times New Roman" w:cs="Tahoma"/>
          <w:szCs w:val="20"/>
          <w:lang w:eastAsia="it-IT"/>
        </w:rPr>
        <w:t>da chi sono svolti.</w:t>
      </w:r>
    </w:p>
    <w:p w14:paraId="6975CF6B" w14:textId="77777777" w:rsidR="00B0382C" w:rsidRPr="00515872" w:rsidRDefault="00B0382C" w:rsidP="00F67B2D">
      <w:pPr>
        <w:spacing w:line="360" w:lineRule="auto"/>
        <w:jc w:val="both"/>
        <w:rPr>
          <w:rFonts w:eastAsia="Times New Roman" w:cs="Tahoma"/>
          <w:szCs w:val="20"/>
          <w:lang w:eastAsia="it-IT"/>
        </w:rPr>
      </w:pPr>
      <w:r w:rsidRPr="00515872">
        <w:rPr>
          <w:rFonts w:eastAsia="Times New Roman" w:cs="Tahoma"/>
          <w:szCs w:val="20"/>
          <w:lang w:eastAsia="it-IT"/>
        </w:rPr>
        <w:t>Il rischio di non individuazione si pone a valle dei precedenti ed è rappresentato dall</w:t>
      </w:r>
      <w:r w:rsidR="00C81686" w:rsidRPr="00515872">
        <w:rPr>
          <w:rFonts w:eastAsia="Times New Roman" w:cs="Tahoma"/>
          <w:szCs w:val="20"/>
          <w:lang w:eastAsia="it-IT"/>
        </w:rPr>
        <w:t>’eventualit</w:t>
      </w:r>
      <w:r w:rsidRPr="00515872">
        <w:rPr>
          <w:rFonts w:eastAsia="Times New Roman" w:cs="Tahoma"/>
          <w:szCs w:val="20"/>
          <w:lang w:eastAsia="it-IT"/>
        </w:rPr>
        <w:t>à che le procedure svolte dall’organo di revisione non siano idonee o sufficienti a rilevare l’errore.</w:t>
      </w:r>
    </w:p>
    <w:p w14:paraId="67A32897" w14:textId="2ED89BB4" w:rsidR="00AC6EBB" w:rsidRDefault="00AC6EBB" w:rsidP="00AC6EBB">
      <w:pPr>
        <w:spacing w:line="360" w:lineRule="auto"/>
        <w:jc w:val="both"/>
        <w:rPr>
          <w:rFonts w:eastAsia="Times New Roman" w:cs="Tahoma"/>
          <w:szCs w:val="20"/>
          <w:lang w:eastAsia="it-IT"/>
        </w:rPr>
      </w:pPr>
      <w:r w:rsidRPr="00515872">
        <w:rPr>
          <w:rFonts w:eastAsia="Times New Roman" w:cs="Tahoma"/>
          <w:szCs w:val="20"/>
          <w:lang w:eastAsia="it-IT"/>
        </w:rPr>
        <w:t>In base al rapporto evidenziato poc’anzi, si ricava che il rischio di non individuazione del revisore è pari a:</w:t>
      </w:r>
    </w:p>
    <w:p w14:paraId="46DA2287" w14:textId="77777777" w:rsidR="00515872" w:rsidRPr="00515872" w:rsidRDefault="00515872" w:rsidP="00AC6EBB">
      <w:pPr>
        <w:spacing w:line="360" w:lineRule="auto"/>
        <w:jc w:val="both"/>
        <w:rPr>
          <w:rFonts w:eastAsia="Times New Roman" w:cs="Tahoma"/>
          <w:szCs w:val="20"/>
          <w:lang w:eastAsia="it-IT"/>
        </w:rPr>
      </w:pPr>
    </w:p>
    <w:p w14:paraId="79591832" w14:textId="77777777" w:rsidR="00AC6EBB" w:rsidRPr="00515872" w:rsidRDefault="00AC6EBB" w:rsidP="00F67B2D">
      <w:pPr>
        <w:spacing w:line="360" w:lineRule="auto"/>
        <w:jc w:val="both"/>
        <w:rPr>
          <w:rFonts w:eastAsia="Times New Roman" w:cs="Tahoma"/>
          <w:szCs w:val="20"/>
          <w:lang w:eastAsia="it-IT"/>
        </w:rPr>
      </w:pPr>
      <m:oMathPara>
        <m:oMath>
          <m:r>
            <w:rPr>
              <w:rFonts w:ascii="Cambria Math" w:eastAsia="Times New Roman" w:hAnsi="Cambria Math" w:cs="Tahoma"/>
              <w:szCs w:val="20"/>
              <w:lang w:eastAsia="it-IT"/>
            </w:rPr>
            <m:t>DR</m:t>
          </m:r>
          <m:r>
            <m:rPr>
              <m:sty m:val="p"/>
            </m:rPr>
            <w:rPr>
              <w:rFonts w:ascii="Cambria Math" w:eastAsia="Times New Roman" w:hAnsi="Cambria Math" w:cs="Tahoma"/>
              <w:szCs w:val="20"/>
              <w:lang w:eastAsia="it-IT"/>
            </w:rPr>
            <m:t>=</m:t>
          </m:r>
          <m:f>
            <m:fPr>
              <m:ctrlPr>
                <w:rPr>
                  <w:rFonts w:ascii="Cambria Math" w:eastAsia="Times New Roman" w:hAnsi="Cambria Math" w:cs="Tahoma"/>
                  <w:i/>
                  <w:szCs w:val="20"/>
                  <w:lang w:eastAsia="it-IT"/>
                </w:rPr>
              </m:ctrlPr>
            </m:fPr>
            <m:num>
              <m:r>
                <w:rPr>
                  <w:rFonts w:ascii="Cambria Math" w:eastAsia="Times New Roman" w:hAnsi="Cambria Math" w:cs="Tahoma"/>
                  <w:szCs w:val="20"/>
                  <w:lang w:eastAsia="it-IT"/>
                </w:rPr>
                <m:t>AR</m:t>
              </m:r>
            </m:num>
            <m:den>
              <m:r>
                <w:rPr>
                  <w:rFonts w:ascii="Cambria Math" w:eastAsia="Times New Roman" w:hAnsi="Cambria Math" w:cs="Tahoma"/>
                  <w:szCs w:val="20"/>
                  <w:lang w:eastAsia="it-IT"/>
                </w:rPr>
                <m:t>IR x CR</m:t>
              </m:r>
            </m:den>
          </m:f>
        </m:oMath>
      </m:oMathPara>
    </w:p>
    <w:p w14:paraId="681CAAFD" w14:textId="77777777" w:rsidR="00515872" w:rsidRDefault="00515872" w:rsidP="00F67B2D">
      <w:pPr>
        <w:spacing w:line="360" w:lineRule="auto"/>
        <w:jc w:val="both"/>
        <w:rPr>
          <w:rFonts w:eastAsia="Times New Roman" w:cs="Tahoma"/>
          <w:szCs w:val="20"/>
          <w:lang w:eastAsia="it-IT"/>
        </w:rPr>
      </w:pPr>
    </w:p>
    <w:p w14:paraId="6A023338" w14:textId="43F34EA3" w:rsidR="00AC6EBB" w:rsidRPr="00515872" w:rsidRDefault="00B0382C" w:rsidP="00F67B2D">
      <w:pPr>
        <w:spacing w:line="360" w:lineRule="auto"/>
        <w:jc w:val="both"/>
        <w:rPr>
          <w:rFonts w:eastAsia="Times New Roman" w:cs="Tahoma"/>
          <w:szCs w:val="20"/>
          <w:lang w:eastAsia="it-IT"/>
        </w:rPr>
      </w:pPr>
      <w:r w:rsidRPr="00515872">
        <w:rPr>
          <w:rFonts w:eastAsia="Times New Roman" w:cs="Tahoma"/>
          <w:szCs w:val="20"/>
          <w:lang w:eastAsia="it-IT"/>
        </w:rPr>
        <w:t>Dalla formula sopra esposta è quindi evidente come il rischio di revisione sia tanto maggiore quanto più sono elevati i fattori che lo compongono.</w:t>
      </w:r>
    </w:p>
    <w:p w14:paraId="7173CB53" w14:textId="77777777" w:rsidR="00B92BDE" w:rsidRPr="00515872" w:rsidRDefault="00B0382C" w:rsidP="00F67B2D">
      <w:pPr>
        <w:spacing w:line="360" w:lineRule="auto"/>
        <w:jc w:val="both"/>
        <w:rPr>
          <w:rFonts w:eastAsia="Times New Roman" w:cs="Tahoma"/>
          <w:szCs w:val="20"/>
          <w:lang w:eastAsia="it-IT"/>
        </w:rPr>
      </w:pPr>
      <w:r w:rsidRPr="00515872">
        <w:rPr>
          <w:rFonts w:eastAsia="Times New Roman" w:cs="Tahoma"/>
          <w:szCs w:val="20"/>
          <w:lang w:eastAsia="it-IT"/>
        </w:rPr>
        <w:t xml:space="preserve">Pur nella consapevolezza che il rischio di errore non può mai essere azzerato, </w:t>
      </w:r>
      <w:r w:rsidR="00C81686" w:rsidRPr="00515872">
        <w:rPr>
          <w:rFonts w:eastAsia="Times New Roman" w:cs="Tahoma"/>
          <w:szCs w:val="20"/>
          <w:lang w:eastAsia="it-IT"/>
        </w:rPr>
        <w:t xml:space="preserve">data </w:t>
      </w:r>
      <w:r w:rsidRPr="00515872">
        <w:rPr>
          <w:rFonts w:eastAsia="Times New Roman" w:cs="Tahoma"/>
          <w:szCs w:val="20"/>
          <w:lang w:eastAsia="it-IT"/>
        </w:rPr>
        <w:t xml:space="preserve">l’esigenza di mantenerlo ad un livello accettabilmente basso, l’organo di revisione è chiamato ad esercitare un controllo tanto più esteso quanto maggiori sono gli elementi </w:t>
      </w:r>
      <w:r w:rsidR="00771B32" w:rsidRPr="00515872">
        <w:rPr>
          <w:rFonts w:eastAsia="Times New Roman" w:cs="Tahoma"/>
          <w:szCs w:val="20"/>
          <w:lang w:eastAsia="it-IT"/>
        </w:rPr>
        <w:t>di rischio. In altre parole, l’organo di revisione deve intensificare i controlli, ad esempio, quando la natura o l’ambiente in cui l’ente opera presenta fattori di rischio elevato ovvero quando rileva un sistema di controllo interno</w:t>
      </w:r>
      <w:r w:rsidR="009571BE" w:rsidRPr="00515872">
        <w:rPr>
          <w:rFonts w:eastAsia="Times New Roman" w:cs="Tahoma"/>
          <w:szCs w:val="20"/>
          <w:lang w:eastAsia="it-IT"/>
        </w:rPr>
        <w:t xml:space="preserve"> carente</w:t>
      </w:r>
      <w:r w:rsidR="00771B32" w:rsidRPr="00515872">
        <w:rPr>
          <w:rFonts w:eastAsia="Times New Roman" w:cs="Tahoma"/>
          <w:szCs w:val="20"/>
          <w:lang w:eastAsia="it-IT"/>
        </w:rPr>
        <w:t>, mentre può limitare la propria attività in presenza di condizioni più favorevoli, secondo il proprio giudizio professionale.</w:t>
      </w:r>
    </w:p>
    <w:p w14:paraId="024C2325" w14:textId="77777777" w:rsidR="00AC6EBB" w:rsidRPr="00515872" w:rsidRDefault="00AC6EBB" w:rsidP="00AC6EBB">
      <w:pPr>
        <w:pStyle w:val="Testonotaapidipagina"/>
        <w:spacing w:after="200" w:line="360" w:lineRule="auto"/>
        <w:rPr>
          <w:rFonts w:ascii="Tahoma" w:hAnsi="Tahoma" w:cs="Tahoma"/>
          <w:szCs w:val="18"/>
        </w:rPr>
      </w:pPr>
      <w:r w:rsidRPr="00515872">
        <w:rPr>
          <w:rFonts w:ascii="Tahoma" w:hAnsi="Tahoma" w:cs="Tahoma"/>
          <w:szCs w:val="18"/>
        </w:rPr>
        <w:t>Nella metodologia proposta dal CNDCEC, il livello di errore residuo è determinato in funzione dei livelli di rischio delle varie componenti il rischio di revisione secondo la matrice che segue:</w:t>
      </w:r>
    </w:p>
    <w:tbl>
      <w:tblPr>
        <w:tblStyle w:val="Grigliatabellachiara1"/>
        <w:tblW w:w="0" w:type="auto"/>
        <w:tblLook w:val="04A0" w:firstRow="1" w:lastRow="0" w:firstColumn="1" w:lastColumn="0" w:noHBand="0" w:noVBand="1"/>
      </w:tblPr>
      <w:tblGrid>
        <w:gridCol w:w="3209"/>
        <w:gridCol w:w="3209"/>
        <w:gridCol w:w="3210"/>
      </w:tblGrid>
      <w:tr w:rsidR="00AC6EBB" w:rsidRPr="00515872" w14:paraId="137DEC25" w14:textId="77777777" w:rsidTr="00EA779E">
        <w:tc>
          <w:tcPr>
            <w:tcW w:w="3209" w:type="dxa"/>
            <w:shd w:val="clear" w:color="auto" w:fill="DBE5F1" w:themeFill="accent1" w:themeFillTint="33"/>
          </w:tcPr>
          <w:p w14:paraId="3DECFCD0" w14:textId="77777777" w:rsidR="00AC6EBB" w:rsidRPr="00515872" w:rsidRDefault="00AC6EBB" w:rsidP="00C7464F">
            <w:pPr>
              <w:pStyle w:val="Testonotaapidipagina"/>
              <w:jc w:val="center"/>
              <w:rPr>
                <w:rFonts w:ascii="Tahoma" w:hAnsi="Tahoma" w:cs="Tahoma"/>
                <w:b/>
                <w:szCs w:val="18"/>
              </w:rPr>
            </w:pPr>
            <w:r w:rsidRPr="00515872">
              <w:rPr>
                <w:rFonts w:ascii="Tahoma" w:hAnsi="Tahoma" w:cs="Tahoma"/>
                <w:b/>
                <w:szCs w:val="18"/>
              </w:rPr>
              <w:t>Rischio intrinseco</w:t>
            </w:r>
          </w:p>
        </w:tc>
        <w:tc>
          <w:tcPr>
            <w:tcW w:w="3209" w:type="dxa"/>
            <w:shd w:val="clear" w:color="auto" w:fill="DBE5F1" w:themeFill="accent1" w:themeFillTint="33"/>
          </w:tcPr>
          <w:p w14:paraId="47AB7E26" w14:textId="77777777" w:rsidR="00AC6EBB" w:rsidRPr="00515872" w:rsidRDefault="00AC6EBB" w:rsidP="00C7464F">
            <w:pPr>
              <w:pStyle w:val="Testonotaapidipagina"/>
              <w:jc w:val="center"/>
              <w:rPr>
                <w:rFonts w:ascii="Tahoma" w:hAnsi="Tahoma" w:cs="Tahoma"/>
                <w:b/>
                <w:szCs w:val="18"/>
              </w:rPr>
            </w:pPr>
            <w:r w:rsidRPr="00515872">
              <w:rPr>
                <w:rFonts w:ascii="Tahoma" w:hAnsi="Tahoma" w:cs="Tahoma"/>
                <w:b/>
                <w:szCs w:val="18"/>
              </w:rPr>
              <w:t>Rischio di controllo</w:t>
            </w:r>
          </w:p>
        </w:tc>
        <w:tc>
          <w:tcPr>
            <w:tcW w:w="3210" w:type="dxa"/>
            <w:shd w:val="clear" w:color="auto" w:fill="DBE5F1" w:themeFill="accent1" w:themeFillTint="33"/>
          </w:tcPr>
          <w:p w14:paraId="19134655" w14:textId="77777777" w:rsidR="00AC6EBB" w:rsidRPr="00515872" w:rsidRDefault="00AC6EBB" w:rsidP="00C7464F">
            <w:pPr>
              <w:pStyle w:val="Testonotaapidipagina"/>
              <w:jc w:val="center"/>
              <w:rPr>
                <w:rFonts w:ascii="Tahoma" w:hAnsi="Tahoma" w:cs="Tahoma"/>
                <w:b/>
                <w:szCs w:val="18"/>
              </w:rPr>
            </w:pPr>
            <w:r w:rsidRPr="00515872">
              <w:rPr>
                <w:rFonts w:ascii="Tahoma" w:hAnsi="Tahoma" w:cs="Tahoma"/>
                <w:b/>
                <w:szCs w:val="18"/>
              </w:rPr>
              <w:t>Rischio residuo</w:t>
            </w:r>
          </w:p>
        </w:tc>
      </w:tr>
      <w:tr w:rsidR="00AC6EBB" w:rsidRPr="00515872" w14:paraId="73083FE2" w14:textId="77777777" w:rsidTr="00C7464F">
        <w:tc>
          <w:tcPr>
            <w:tcW w:w="3209" w:type="dxa"/>
          </w:tcPr>
          <w:p w14:paraId="60D902EF"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Alto</w:t>
            </w:r>
          </w:p>
        </w:tc>
        <w:tc>
          <w:tcPr>
            <w:tcW w:w="3209" w:type="dxa"/>
          </w:tcPr>
          <w:p w14:paraId="00526D36"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Alto</w:t>
            </w:r>
          </w:p>
        </w:tc>
        <w:tc>
          <w:tcPr>
            <w:tcW w:w="3210" w:type="dxa"/>
          </w:tcPr>
          <w:p w14:paraId="753450AF"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Alto</w:t>
            </w:r>
          </w:p>
        </w:tc>
      </w:tr>
      <w:tr w:rsidR="00AC6EBB" w:rsidRPr="00515872" w14:paraId="24076F7B" w14:textId="77777777" w:rsidTr="00C7464F">
        <w:tc>
          <w:tcPr>
            <w:tcW w:w="3209" w:type="dxa"/>
          </w:tcPr>
          <w:p w14:paraId="1E87C880"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Alto</w:t>
            </w:r>
          </w:p>
        </w:tc>
        <w:tc>
          <w:tcPr>
            <w:tcW w:w="3209" w:type="dxa"/>
          </w:tcPr>
          <w:p w14:paraId="5A2392AB"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Basso</w:t>
            </w:r>
          </w:p>
        </w:tc>
        <w:tc>
          <w:tcPr>
            <w:tcW w:w="3210" w:type="dxa"/>
          </w:tcPr>
          <w:p w14:paraId="21BE7E7E"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Medio</w:t>
            </w:r>
          </w:p>
        </w:tc>
      </w:tr>
      <w:tr w:rsidR="00AC6EBB" w:rsidRPr="00515872" w14:paraId="05AFB395" w14:textId="77777777" w:rsidTr="00C7464F">
        <w:tc>
          <w:tcPr>
            <w:tcW w:w="3209" w:type="dxa"/>
          </w:tcPr>
          <w:p w14:paraId="4C4C9501"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Basso</w:t>
            </w:r>
          </w:p>
        </w:tc>
        <w:tc>
          <w:tcPr>
            <w:tcW w:w="3209" w:type="dxa"/>
          </w:tcPr>
          <w:p w14:paraId="30FD209B"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Alto</w:t>
            </w:r>
          </w:p>
        </w:tc>
        <w:tc>
          <w:tcPr>
            <w:tcW w:w="3210" w:type="dxa"/>
          </w:tcPr>
          <w:p w14:paraId="79D89A98"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Medio</w:t>
            </w:r>
          </w:p>
        </w:tc>
      </w:tr>
      <w:tr w:rsidR="00AC6EBB" w:rsidRPr="00515872" w14:paraId="7A2FD54A" w14:textId="77777777" w:rsidTr="00C7464F">
        <w:tc>
          <w:tcPr>
            <w:tcW w:w="3209" w:type="dxa"/>
          </w:tcPr>
          <w:p w14:paraId="40890012"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Basso</w:t>
            </w:r>
          </w:p>
        </w:tc>
        <w:tc>
          <w:tcPr>
            <w:tcW w:w="3209" w:type="dxa"/>
          </w:tcPr>
          <w:p w14:paraId="62D47B11"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Basso</w:t>
            </w:r>
          </w:p>
        </w:tc>
        <w:tc>
          <w:tcPr>
            <w:tcW w:w="3210" w:type="dxa"/>
          </w:tcPr>
          <w:p w14:paraId="0C8234CA" w14:textId="77777777" w:rsidR="00AC6EBB" w:rsidRPr="00515872" w:rsidRDefault="00AC6EBB" w:rsidP="00C7464F">
            <w:pPr>
              <w:pStyle w:val="Testonotaapidipagina"/>
              <w:jc w:val="center"/>
              <w:rPr>
                <w:rFonts w:ascii="Tahoma" w:hAnsi="Tahoma" w:cs="Tahoma"/>
                <w:szCs w:val="18"/>
              </w:rPr>
            </w:pPr>
            <w:r w:rsidRPr="00515872">
              <w:rPr>
                <w:rFonts w:ascii="Tahoma" w:hAnsi="Tahoma" w:cs="Tahoma"/>
                <w:szCs w:val="18"/>
              </w:rPr>
              <w:t>Basso</w:t>
            </w:r>
          </w:p>
        </w:tc>
      </w:tr>
    </w:tbl>
    <w:p w14:paraId="181662A9" w14:textId="77777777" w:rsidR="00277513" w:rsidRPr="00515872" w:rsidRDefault="00277513" w:rsidP="00F67B2D">
      <w:pPr>
        <w:spacing w:line="360" w:lineRule="auto"/>
        <w:jc w:val="both"/>
        <w:rPr>
          <w:rFonts w:eastAsia="Times New Roman" w:cs="Tahoma"/>
          <w:szCs w:val="20"/>
          <w:highlight w:val="yellow"/>
          <w:lang w:eastAsia="it-IT"/>
        </w:rPr>
      </w:pPr>
    </w:p>
    <w:p w14:paraId="2DD39ABA" w14:textId="77777777" w:rsidR="009518AF" w:rsidRPr="00515872" w:rsidRDefault="009518AF" w:rsidP="00297A21">
      <w:pPr>
        <w:pStyle w:val="Paragrafo"/>
        <w:rPr>
          <w:rFonts w:eastAsia="MS Gothic"/>
          <w:kern w:val="28"/>
          <w:sz w:val="40"/>
          <w:szCs w:val="32"/>
        </w:rPr>
      </w:pPr>
      <w:bookmarkStart w:id="59" w:name="_Toc521317061"/>
      <w:bookmarkStart w:id="60" w:name="_Toc95912238"/>
      <w:r w:rsidRPr="00515872">
        <w:t>3.6 Deliberazioni dell’organo di revisione</w:t>
      </w:r>
      <w:bookmarkEnd w:id="59"/>
      <w:bookmarkEnd w:id="60"/>
    </w:p>
    <w:p w14:paraId="29E3A74A" w14:textId="77777777" w:rsidR="009518AF" w:rsidRPr="00515872" w:rsidRDefault="009518AF" w:rsidP="009518AF">
      <w:pPr>
        <w:spacing w:line="360" w:lineRule="auto"/>
        <w:jc w:val="both"/>
        <w:rPr>
          <w:rFonts w:cs="Tahoma"/>
          <w:color w:val="000000"/>
          <w:szCs w:val="20"/>
        </w:rPr>
      </w:pPr>
      <w:r w:rsidRPr="00515872">
        <w:rPr>
          <w:rFonts w:cs="Tahoma"/>
          <w:szCs w:val="20"/>
        </w:rPr>
        <w:t xml:space="preserve">La nomina dell’organo di revisione in forma collegiale comporta l’eventualità che lo stesso possa presenziare alle adunanze in via non totalitaria. L’art. 237, c. 1 del TUEL, infatti, </w:t>
      </w:r>
      <w:r w:rsidR="00C81686" w:rsidRPr="00515872">
        <w:rPr>
          <w:rFonts w:cs="Tahoma"/>
          <w:szCs w:val="20"/>
        </w:rPr>
        <w:t xml:space="preserve">contempla tale ipotesi, </w:t>
      </w:r>
      <w:r w:rsidRPr="00515872">
        <w:rPr>
          <w:rFonts w:cs="Tahoma"/>
          <w:szCs w:val="20"/>
        </w:rPr>
        <w:t>prevede</w:t>
      </w:r>
      <w:r w:rsidR="00C81686" w:rsidRPr="00515872">
        <w:rPr>
          <w:rFonts w:cs="Tahoma"/>
          <w:szCs w:val="20"/>
        </w:rPr>
        <w:t>ndo</w:t>
      </w:r>
      <w:r w:rsidRPr="00515872">
        <w:rPr>
          <w:rFonts w:cs="Tahoma"/>
          <w:szCs w:val="20"/>
        </w:rPr>
        <w:t xml:space="preserve"> che il collegio dei revisori sia validamente costituito anche nei casi in cui sia</w:t>
      </w:r>
      <w:r w:rsidR="00C81686" w:rsidRPr="00515872">
        <w:rPr>
          <w:rFonts w:cs="Tahoma"/>
          <w:szCs w:val="20"/>
        </w:rPr>
        <w:t>no presenti solo</w:t>
      </w:r>
      <w:r w:rsidR="0063162A" w:rsidRPr="00515872">
        <w:rPr>
          <w:rFonts w:cs="Tahoma"/>
          <w:szCs w:val="20"/>
        </w:rPr>
        <w:t xml:space="preserve"> due</w:t>
      </w:r>
      <w:r w:rsidR="00C81686" w:rsidRPr="00515872">
        <w:rPr>
          <w:rFonts w:cs="Tahoma"/>
          <w:szCs w:val="20"/>
        </w:rPr>
        <w:t xml:space="preserve"> componenti, ferma </w:t>
      </w:r>
      <w:r w:rsidR="00C81686" w:rsidRPr="00515872">
        <w:rPr>
          <w:rFonts w:cs="Tahoma"/>
          <w:szCs w:val="20"/>
        </w:rPr>
        <w:lastRenderedPageBreak/>
        <w:t xml:space="preserve">restando la </w:t>
      </w:r>
      <w:r w:rsidRPr="00515872">
        <w:rPr>
          <w:rFonts w:cs="Tahoma"/>
          <w:szCs w:val="20"/>
        </w:rPr>
        <w:t xml:space="preserve">necessaria convocazione dell’intero collegio. </w:t>
      </w:r>
      <w:r w:rsidRPr="00515872">
        <w:rPr>
          <w:rFonts w:cs="Tahoma"/>
          <w:color w:val="000000"/>
          <w:szCs w:val="20"/>
        </w:rPr>
        <w:t>L'assenza di due componenti, viceversa, non consente il regolare svolgimento della seduta.</w:t>
      </w:r>
    </w:p>
    <w:p w14:paraId="1D9593EF" w14:textId="77777777" w:rsidR="003B536A" w:rsidRPr="00515872" w:rsidRDefault="003B536A" w:rsidP="009518AF">
      <w:pPr>
        <w:spacing w:line="360" w:lineRule="auto"/>
        <w:jc w:val="both"/>
        <w:rPr>
          <w:rFonts w:cs="Tahoma"/>
          <w:color w:val="000000"/>
          <w:szCs w:val="20"/>
        </w:rPr>
      </w:pPr>
      <w:r w:rsidRPr="00515872">
        <w:rPr>
          <w:rFonts w:cs="Tahoma"/>
          <w:color w:val="000000"/>
          <w:szCs w:val="20"/>
        </w:rPr>
        <w:t>I membri del collegio dei revisori possono decidere di riunirsi anche in luogo diverso dalla sede dell’ente.</w:t>
      </w:r>
    </w:p>
    <w:p w14:paraId="0E58E755" w14:textId="77777777" w:rsidR="009518AF" w:rsidRPr="00515872" w:rsidRDefault="009518AF" w:rsidP="009518AF">
      <w:pPr>
        <w:spacing w:line="360" w:lineRule="auto"/>
        <w:jc w:val="both"/>
        <w:rPr>
          <w:rFonts w:cs="Tahoma"/>
          <w:szCs w:val="20"/>
        </w:rPr>
      </w:pPr>
      <w:r w:rsidRPr="00515872">
        <w:rPr>
          <w:rFonts w:cs="Tahoma"/>
          <w:color w:val="000000"/>
          <w:szCs w:val="20"/>
        </w:rPr>
        <w:t>L’assenza alle riunioni da parte di uno dei membri del collegio deve essere comunicata e giustificata. Il regolamento di contabilità può stabilire la revoca per inadempienza in caso di reiterate assenze non giustificate da parte dei singoli componenti. In ogni caso, il componente assente, alla prima occasione utile, deve prendere visione del contenuto dei verbali redatti in sua assenza ed espressamente verbalizzare la condivisione, o meno, delle conclusioni assunte dal collegio.</w:t>
      </w:r>
    </w:p>
    <w:p w14:paraId="03AF6181"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Ove non vi siano specifiche norme di legge o previsioni statutarie o regolamentari, per quanto attiene la convocazione, la votazione e la verbalizzazione delle adunanze, l’organo di revisione ha il potere di auto-organizzarsi. Organizzare il funzionamento del collegio è prerogativa del presidente.</w:t>
      </w:r>
    </w:p>
    <w:p w14:paraId="7A3C391F" w14:textId="77777777" w:rsidR="00277513" w:rsidRPr="00515872" w:rsidRDefault="00277513" w:rsidP="009518AF">
      <w:pPr>
        <w:spacing w:line="360" w:lineRule="auto"/>
        <w:jc w:val="both"/>
        <w:rPr>
          <w:rFonts w:cs="Tahoma"/>
          <w:szCs w:val="20"/>
          <w:highlight w:val="yellow"/>
        </w:rPr>
      </w:pPr>
    </w:p>
    <w:p w14:paraId="7368615B" w14:textId="77777777" w:rsidR="009518AF" w:rsidRPr="00515872" w:rsidRDefault="009518AF" w:rsidP="009518AF">
      <w:pPr>
        <w:pStyle w:val="Sottoparagrafo"/>
        <w:rPr>
          <w:rFonts w:cs="Tahoma"/>
        </w:rPr>
      </w:pPr>
      <w:bookmarkStart w:id="61" w:name="_Toc521317062"/>
      <w:bookmarkStart w:id="62" w:name="_Toc95912239"/>
      <w:r w:rsidRPr="00515872">
        <w:rPr>
          <w:rFonts w:cs="Tahoma"/>
        </w:rPr>
        <w:t>3.6.1 Verbalizzazione delle riunioni</w:t>
      </w:r>
      <w:bookmarkEnd w:id="61"/>
      <w:bookmarkEnd w:id="62"/>
    </w:p>
    <w:p w14:paraId="066BCD15" w14:textId="77777777" w:rsidR="009518AF" w:rsidRPr="00515872" w:rsidRDefault="009518AF" w:rsidP="009518AF">
      <w:pPr>
        <w:spacing w:line="360" w:lineRule="auto"/>
        <w:jc w:val="both"/>
        <w:rPr>
          <w:rFonts w:cs="Tahoma"/>
          <w:szCs w:val="20"/>
        </w:rPr>
      </w:pPr>
      <w:r w:rsidRPr="00515872">
        <w:rPr>
          <w:rFonts w:cs="Tahoma"/>
          <w:szCs w:val="20"/>
        </w:rPr>
        <w:t>Il c. 2 dell’art. 237 del TUEL prevede per il collegio dei revisori l’obbligo di redigere un verbale delle riunioni, ispezioni, verifiche, determinazioni e decisioni adottate.</w:t>
      </w:r>
    </w:p>
    <w:p w14:paraId="70A75D31"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Il primo ver</w:t>
      </w:r>
      <w:r w:rsidR="0063162A" w:rsidRPr="00515872">
        <w:rPr>
          <w:rFonts w:cs="Tahoma"/>
          <w:color w:val="000000"/>
          <w:szCs w:val="20"/>
        </w:rPr>
        <w:t xml:space="preserve">bale che l’organo di revisione </w:t>
      </w:r>
      <w:r w:rsidRPr="00515872">
        <w:rPr>
          <w:rFonts w:cs="Tahoma"/>
          <w:color w:val="000000"/>
          <w:szCs w:val="20"/>
        </w:rPr>
        <w:t xml:space="preserve">redige è quello relativo </w:t>
      </w:r>
      <w:r w:rsidR="00457474" w:rsidRPr="00515872">
        <w:rPr>
          <w:rFonts w:cs="Tahoma"/>
          <w:color w:val="000000"/>
          <w:szCs w:val="20"/>
        </w:rPr>
        <w:t xml:space="preserve">al </w:t>
      </w:r>
      <w:r w:rsidR="0063162A" w:rsidRPr="00515872">
        <w:rPr>
          <w:rFonts w:cs="Tahoma"/>
          <w:color w:val="000000"/>
          <w:szCs w:val="20"/>
        </w:rPr>
        <w:t>proprio</w:t>
      </w:r>
      <w:r w:rsidR="00457474" w:rsidRPr="00515872">
        <w:rPr>
          <w:rFonts w:cs="Tahoma"/>
          <w:color w:val="000000"/>
          <w:szCs w:val="20"/>
        </w:rPr>
        <w:t xml:space="preserve"> insediamento nel quale, </w:t>
      </w:r>
      <w:r w:rsidRPr="00515872">
        <w:rPr>
          <w:rFonts w:cs="Tahoma"/>
          <w:color w:val="000000"/>
          <w:szCs w:val="20"/>
        </w:rPr>
        <w:t>oltre a riportare le risultanze dell</w:t>
      </w:r>
      <w:r w:rsidR="0063162A" w:rsidRPr="00515872">
        <w:rPr>
          <w:rFonts w:cs="Tahoma"/>
          <w:color w:val="000000"/>
          <w:szCs w:val="20"/>
        </w:rPr>
        <w:t>’adunanza</w:t>
      </w:r>
      <w:r w:rsidRPr="00515872">
        <w:rPr>
          <w:rFonts w:cs="Tahoma"/>
          <w:color w:val="000000"/>
          <w:szCs w:val="20"/>
        </w:rPr>
        <w:t>, i componenti dell’organo confermano l’in</w:t>
      </w:r>
      <w:r w:rsidR="0063162A" w:rsidRPr="00515872">
        <w:rPr>
          <w:rFonts w:cs="Tahoma"/>
          <w:color w:val="000000"/>
          <w:szCs w:val="20"/>
        </w:rPr>
        <w:t>sussistenza</w:t>
      </w:r>
      <w:r w:rsidRPr="00515872">
        <w:rPr>
          <w:rFonts w:cs="Tahoma"/>
          <w:color w:val="000000"/>
          <w:szCs w:val="20"/>
        </w:rPr>
        <w:t xml:space="preserve"> di cause ostative all’assunzione dell’incarico.</w:t>
      </w:r>
    </w:p>
    <w:p w14:paraId="5FAF1457" w14:textId="77777777" w:rsidR="009518AF" w:rsidRPr="00515872" w:rsidRDefault="00457474" w:rsidP="00D921F9">
      <w:pPr>
        <w:spacing w:after="0" w:line="360" w:lineRule="auto"/>
        <w:jc w:val="both"/>
        <w:rPr>
          <w:rFonts w:cs="Tahoma"/>
          <w:color w:val="000000"/>
          <w:szCs w:val="20"/>
        </w:rPr>
      </w:pPr>
      <w:r w:rsidRPr="00515872">
        <w:rPr>
          <w:rFonts w:cs="Tahoma"/>
          <w:color w:val="000000"/>
          <w:szCs w:val="20"/>
        </w:rPr>
        <w:t>Come già accennato, i</w:t>
      </w:r>
      <w:r w:rsidR="009518AF" w:rsidRPr="00515872">
        <w:rPr>
          <w:rFonts w:cs="Tahoma"/>
          <w:color w:val="000000"/>
          <w:szCs w:val="20"/>
        </w:rPr>
        <w:t xml:space="preserve"> singoli componenti possono eseguire anche verifiche e controlli individuali.</w:t>
      </w:r>
      <w:r w:rsidRPr="00515872">
        <w:rPr>
          <w:rFonts w:cs="Tahoma"/>
          <w:color w:val="000000"/>
          <w:szCs w:val="20"/>
        </w:rPr>
        <w:t xml:space="preserve"> </w:t>
      </w:r>
      <w:r w:rsidR="009518AF" w:rsidRPr="00515872">
        <w:rPr>
          <w:rFonts w:cs="Tahoma"/>
          <w:color w:val="000000"/>
          <w:szCs w:val="20"/>
        </w:rPr>
        <w:t>Devono</w:t>
      </w:r>
      <w:r w:rsidRPr="00515872">
        <w:rPr>
          <w:rFonts w:cs="Tahoma"/>
          <w:color w:val="000000"/>
          <w:szCs w:val="20"/>
        </w:rPr>
        <w:t>,</w:t>
      </w:r>
      <w:r w:rsidR="009518AF" w:rsidRPr="00515872">
        <w:rPr>
          <w:rFonts w:cs="Tahoma"/>
          <w:color w:val="000000"/>
          <w:szCs w:val="20"/>
        </w:rPr>
        <w:t xml:space="preserve"> invece</w:t>
      </w:r>
      <w:r w:rsidRPr="00515872">
        <w:rPr>
          <w:rFonts w:cs="Tahoma"/>
          <w:color w:val="000000"/>
          <w:szCs w:val="20"/>
        </w:rPr>
        <w:t>,</w:t>
      </w:r>
      <w:r w:rsidR="009518AF" w:rsidRPr="00515872">
        <w:rPr>
          <w:rFonts w:cs="Tahoma"/>
          <w:color w:val="000000"/>
          <w:szCs w:val="20"/>
        </w:rPr>
        <w:t xml:space="preserve"> essere necessariamente collegiali le decisioni in ordine alle funzioni di:</w:t>
      </w:r>
    </w:p>
    <w:p w14:paraId="5AAC2B0A" w14:textId="77777777" w:rsidR="009518AF" w:rsidRPr="00515872" w:rsidRDefault="009518AF" w:rsidP="009518AF">
      <w:pPr>
        <w:pStyle w:val="Paragrafoelenco"/>
        <w:numPr>
          <w:ilvl w:val="0"/>
          <w:numId w:val="15"/>
        </w:numPr>
        <w:spacing w:line="360" w:lineRule="auto"/>
        <w:jc w:val="both"/>
        <w:rPr>
          <w:rFonts w:cs="Tahoma"/>
          <w:color w:val="000000"/>
          <w:szCs w:val="20"/>
        </w:rPr>
      </w:pPr>
      <w:r w:rsidRPr="00515872">
        <w:rPr>
          <w:rFonts w:cs="Tahoma"/>
          <w:color w:val="000000"/>
          <w:szCs w:val="20"/>
        </w:rPr>
        <w:t>collaborazione con l’organo consiliare secondo le disposizioni dello statuto e del regolamento;</w:t>
      </w:r>
    </w:p>
    <w:p w14:paraId="19FC0BE2" w14:textId="77777777" w:rsidR="009518AF" w:rsidRPr="00515872" w:rsidRDefault="009518AF" w:rsidP="009518AF">
      <w:pPr>
        <w:pStyle w:val="Paragrafoelenco"/>
        <w:numPr>
          <w:ilvl w:val="0"/>
          <w:numId w:val="15"/>
        </w:numPr>
        <w:spacing w:line="360" w:lineRule="auto"/>
        <w:jc w:val="both"/>
        <w:rPr>
          <w:rFonts w:cs="Tahoma"/>
          <w:color w:val="000000"/>
          <w:szCs w:val="20"/>
        </w:rPr>
      </w:pPr>
      <w:r w:rsidRPr="00515872">
        <w:rPr>
          <w:rFonts w:cs="Tahoma"/>
          <w:color w:val="000000"/>
          <w:szCs w:val="20"/>
        </w:rPr>
        <w:t>pareri sul bilancio di previsione e documenti di programmazione e loro variazioni, relazione sul rendiconto, referto all’organo consiliare su gravi irregolarità.</w:t>
      </w:r>
    </w:p>
    <w:p w14:paraId="75608A21" w14:textId="77777777" w:rsidR="009518AF" w:rsidRPr="00515872" w:rsidRDefault="009518AF" w:rsidP="009518AF">
      <w:pPr>
        <w:spacing w:line="360" w:lineRule="auto"/>
        <w:jc w:val="both"/>
        <w:rPr>
          <w:rFonts w:cs="Tahoma"/>
          <w:b/>
          <w:szCs w:val="20"/>
        </w:rPr>
      </w:pPr>
      <w:r w:rsidRPr="00515872">
        <w:rPr>
          <w:rFonts w:cs="Tahoma"/>
          <w:color w:val="000000"/>
          <w:szCs w:val="20"/>
        </w:rPr>
        <w:t xml:space="preserve">Il verbale dell’organo di revisione, quale atto compiuto nell’esercizio di pubbliche funzioni, è dotato di certezza legale e </w:t>
      </w:r>
      <w:r w:rsidR="0063162A" w:rsidRPr="00515872">
        <w:rPr>
          <w:rFonts w:cs="Tahoma"/>
          <w:color w:val="000000"/>
          <w:szCs w:val="20"/>
        </w:rPr>
        <w:t>fa</w:t>
      </w:r>
      <w:r w:rsidRPr="00515872">
        <w:rPr>
          <w:rFonts w:cs="Tahoma"/>
          <w:color w:val="000000"/>
          <w:szCs w:val="20"/>
        </w:rPr>
        <w:t xml:space="preserve"> fede fino a querela di falso dei fatti in esso contenuti ed avvenuti alla presenza dell’organo che li certifica</w:t>
      </w:r>
      <w:r w:rsidRPr="00515872">
        <w:rPr>
          <w:rStyle w:val="Rimandonotaapidipagina"/>
          <w:rFonts w:cs="Tahoma"/>
          <w:color w:val="000000"/>
          <w:szCs w:val="20"/>
        </w:rPr>
        <w:footnoteReference w:id="21"/>
      </w:r>
      <w:r w:rsidRPr="00515872">
        <w:rPr>
          <w:rFonts w:cs="Tahoma"/>
          <w:color w:val="000000"/>
          <w:szCs w:val="20"/>
        </w:rPr>
        <w:t xml:space="preserve">. </w:t>
      </w:r>
      <w:r w:rsidRPr="00515872">
        <w:rPr>
          <w:rFonts w:cs="Tahoma"/>
          <w:b/>
          <w:color w:val="000000"/>
          <w:szCs w:val="20"/>
        </w:rPr>
        <w:t>Non esiste</w:t>
      </w:r>
      <w:r w:rsidR="00C81686" w:rsidRPr="00515872">
        <w:rPr>
          <w:rFonts w:cs="Tahoma"/>
          <w:b/>
          <w:color w:val="000000"/>
          <w:szCs w:val="20"/>
        </w:rPr>
        <w:t>, invece,</w:t>
      </w:r>
      <w:r w:rsidRPr="00515872">
        <w:rPr>
          <w:rFonts w:cs="Tahoma"/>
          <w:b/>
          <w:color w:val="000000"/>
          <w:szCs w:val="20"/>
        </w:rPr>
        <w:t xml:space="preserve"> alcun obbligo di riportare i verbali su un libro obbligatorio previamente vidimato e bollato</w:t>
      </w:r>
      <w:r w:rsidRPr="00515872">
        <w:rPr>
          <w:rFonts w:cs="Tahoma"/>
          <w:b/>
          <w:szCs w:val="20"/>
        </w:rPr>
        <w:t>.</w:t>
      </w:r>
    </w:p>
    <w:p w14:paraId="13A01A90"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Il verbale deve assumere forma scritta (artt. 2403, c. 5, e 2404, c. 3, C.C.) e deve </w:t>
      </w:r>
      <w:r w:rsidR="00C81686" w:rsidRPr="00515872">
        <w:rPr>
          <w:rFonts w:cs="Tahoma"/>
          <w:color w:val="000000"/>
          <w:szCs w:val="20"/>
        </w:rPr>
        <w:t>riportare</w:t>
      </w:r>
      <w:r w:rsidRPr="00515872">
        <w:rPr>
          <w:rFonts w:cs="Tahoma"/>
          <w:color w:val="000000"/>
          <w:szCs w:val="20"/>
        </w:rPr>
        <w:t>, nel caso del collegio, le seguenti indicazioni:</w:t>
      </w:r>
    </w:p>
    <w:p w14:paraId="0027C27C"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numerazione progressiva per anno;</w:t>
      </w:r>
    </w:p>
    <w:p w14:paraId="105CBD0E"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lastRenderedPageBreak/>
        <w:t>indicazione di data, luogo della riunione, ora di inizio e fine della seduta;</w:t>
      </w:r>
    </w:p>
    <w:p w14:paraId="50CD89CB"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individuazione dei componenti presenti;</w:t>
      </w:r>
    </w:p>
    <w:p w14:paraId="782C126E"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motivazione dell’assenza e conseguente giustificazione;</w:t>
      </w:r>
    </w:p>
    <w:p w14:paraId="4DCC08A3"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individuazione di eventuali altri partecipanti alla seduta;</w:t>
      </w:r>
    </w:p>
    <w:p w14:paraId="277426AA"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indicazione degli argomenti trattati, delle decisioni assunte opp</w:t>
      </w:r>
      <w:r w:rsidR="0063162A" w:rsidRPr="00515872">
        <w:rPr>
          <w:rFonts w:cs="Tahoma"/>
          <w:color w:val="000000"/>
          <w:szCs w:val="20"/>
        </w:rPr>
        <w:t xml:space="preserve">ure delle ispezioni e verifiche </w:t>
      </w:r>
      <w:r w:rsidRPr="00515872">
        <w:rPr>
          <w:rFonts w:cs="Tahoma"/>
          <w:color w:val="000000"/>
          <w:szCs w:val="20"/>
        </w:rPr>
        <w:t>effettuate e dell’esito delle stesse;</w:t>
      </w:r>
    </w:p>
    <w:p w14:paraId="2DFC0C3E"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individuazione di eventuali procedimenti o provvedimenti ritenuti irregolari, dei responsabili e delle</w:t>
      </w:r>
      <w:r w:rsidRPr="00515872">
        <w:rPr>
          <w:rFonts w:cs="Tahoma"/>
          <w:color w:val="000000"/>
          <w:szCs w:val="20"/>
        </w:rPr>
        <w:br/>
        <w:t>modalità di segnalazione;</w:t>
      </w:r>
    </w:p>
    <w:p w14:paraId="396E811D"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approvazione da parte dei componenti del collegio oppure i motivi di mancata approvazione;</w:t>
      </w:r>
    </w:p>
    <w:p w14:paraId="5F5C002A" w14:textId="77777777" w:rsidR="009518AF" w:rsidRPr="00515872" w:rsidRDefault="009518AF" w:rsidP="009518AF">
      <w:pPr>
        <w:pStyle w:val="Paragrafoelenco"/>
        <w:numPr>
          <w:ilvl w:val="0"/>
          <w:numId w:val="16"/>
        </w:numPr>
        <w:spacing w:line="360" w:lineRule="auto"/>
        <w:ind w:left="426" w:hanging="426"/>
        <w:jc w:val="both"/>
        <w:rPr>
          <w:rFonts w:cs="Tahoma"/>
          <w:color w:val="000000"/>
          <w:szCs w:val="20"/>
        </w:rPr>
      </w:pPr>
      <w:r w:rsidRPr="00515872">
        <w:rPr>
          <w:rFonts w:cs="Tahoma"/>
          <w:color w:val="000000"/>
          <w:szCs w:val="20"/>
        </w:rPr>
        <w:t>sottoscrizione dei componenti presenti e del segretario verbalizzante.</w:t>
      </w:r>
    </w:p>
    <w:p w14:paraId="677F21CC" w14:textId="77777777" w:rsidR="009518AF" w:rsidRPr="00515872" w:rsidRDefault="004D1F69" w:rsidP="009518AF">
      <w:pPr>
        <w:spacing w:line="360" w:lineRule="auto"/>
        <w:jc w:val="both"/>
        <w:rPr>
          <w:rFonts w:cs="Tahoma"/>
          <w:color w:val="000000"/>
          <w:szCs w:val="20"/>
        </w:rPr>
      </w:pPr>
      <w:r w:rsidRPr="00515872">
        <w:rPr>
          <w:rFonts w:cs="Tahoma"/>
          <w:color w:val="000000"/>
          <w:szCs w:val="20"/>
        </w:rPr>
        <w:t xml:space="preserve">Il collegio decide con voto palese e a maggioranza semplice. In caso di parità, prevale il voto del presidente. </w:t>
      </w:r>
      <w:r w:rsidR="009518AF" w:rsidRPr="00515872">
        <w:rPr>
          <w:rFonts w:cs="Tahoma"/>
          <w:color w:val="000000"/>
          <w:szCs w:val="20"/>
        </w:rPr>
        <w:t xml:space="preserve">Il voto contrario del revisore dissenziente deve essere annotato nel verbale, riportando le ragioni del dissenso. Il revisore dissenziente ha inoltre diritto ad allegare </w:t>
      </w:r>
      <w:r w:rsidR="009518AF" w:rsidRPr="00515872">
        <w:rPr>
          <w:rFonts w:cs="Tahoma"/>
          <w:b/>
          <w:color w:val="000000"/>
          <w:szCs w:val="20"/>
        </w:rPr>
        <w:t>relazioni di minoranza</w:t>
      </w:r>
      <w:r w:rsidR="009518AF" w:rsidRPr="00515872">
        <w:rPr>
          <w:rFonts w:cs="Tahoma"/>
          <w:color w:val="000000"/>
          <w:szCs w:val="20"/>
        </w:rPr>
        <w:t>.</w:t>
      </w:r>
    </w:p>
    <w:p w14:paraId="1340877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 verbali, previa approvazione collegiale, sono sottoscritti da tutti i componenti e devono essere raccolti e custoditi presso la sede dell’ente a cura del presidente o del segretario.</w:t>
      </w:r>
    </w:p>
    <w:p w14:paraId="2D98EF51"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In caso di redazione di verbali o comunicazioni che riflettono atti istruttori o di acquisizione di chiarimenti, gli stessi vanno trasmessi al sindaco o al presidente (per gli enti diversi dal comune), all’assessore delegato alla materia, al direttore generale, al segretario ed </w:t>
      </w:r>
      <w:r w:rsidR="002307BF" w:rsidRPr="00515872">
        <w:rPr>
          <w:rFonts w:cs="Tahoma"/>
          <w:color w:val="000000"/>
          <w:szCs w:val="20"/>
        </w:rPr>
        <w:t>al nucleo di valutazione o all’Organismo Indipendente di V</w:t>
      </w:r>
      <w:r w:rsidRPr="00515872">
        <w:rPr>
          <w:rFonts w:cs="Tahoma"/>
          <w:color w:val="000000"/>
          <w:szCs w:val="20"/>
        </w:rPr>
        <w:t>alutazione.</w:t>
      </w:r>
    </w:p>
    <w:p w14:paraId="5F21B42A" w14:textId="77777777" w:rsidR="00277513" w:rsidRPr="00515872" w:rsidRDefault="009518AF" w:rsidP="009518AF">
      <w:pPr>
        <w:spacing w:line="360" w:lineRule="auto"/>
        <w:jc w:val="both"/>
        <w:rPr>
          <w:rFonts w:cs="Tahoma"/>
          <w:color w:val="000000"/>
          <w:szCs w:val="20"/>
        </w:rPr>
      </w:pPr>
      <w:r w:rsidRPr="00515872">
        <w:rPr>
          <w:rFonts w:cs="Tahoma"/>
          <w:color w:val="000000"/>
          <w:szCs w:val="20"/>
        </w:rPr>
        <w:t xml:space="preserve">I verbali che riflettono forme di collaborazione con l’organo consiliare oppure il </w:t>
      </w:r>
      <w:r w:rsidRPr="00515872">
        <w:rPr>
          <w:rFonts w:cs="Tahoma"/>
          <w:b/>
          <w:color w:val="000000"/>
          <w:szCs w:val="20"/>
        </w:rPr>
        <w:t xml:space="preserve">referto sulle gravi irregolarità riscontrate vanno indirizzati e trasmessi al presidente di tale organo </w:t>
      </w:r>
      <w:r w:rsidRPr="00515872">
        <w:rPr>
          <w:rFonts w:cs="Tahoma"/>
          <w:color w:val="000000"/>
          <w:szCs w:val="20"/>
        </w:rPr>
        <w:t>(per le province e comuni superiori a 15.000 abitanti al presidente del consiglio e al sindaco per gli altri).</w:t>
      </w:r>
    </w:p>
    <w:p w14:paraId="2B09A2E0" w14:textId="77777777" w:rsidR="00277513" w:rsidRPr="00515872" w:rsidRDefault="00277513" w:rsidP="009518AF">
      <w:pPr>
        <w:spacing w:line="360" w:lineRule="auto"/>
        <w:jc w:val="both"/>
        <w:rPr>
          <w:rFonts w:cs="Tahoma"/>
          <w:color w:val="000000"/>
          <w:szCs w:val="20"/>
          <w:highlight w:val="yellow"/>
        </w:rPr>
      </w:pPr>
    </w:p>
    <w:p w14:paraId="2BBA2944" w14:textId="77777777" w:rsidR="009518AF" w:rsidRPr="00515872" w:rsidRDefault="009518AF" w:rsidP="00297A21">
      <w:pPr>
        <w:pStyle w:val="Paragrafo"/>
      </w:pPr>
      <w:bookmarkStart w:id="63" w:name="_Toc521317063"/>
      <w:bookmarkStart w:id="64" w:name="_Toc95912240"/>
      <w:r w:rsidRPr="00515872">
        <w:t>3.7 Responsabilità dell’organo di revisione</w:t>
      </w:r>
      <w:bookmarkEnd w:id="63"/>
      <w:bookmarkEnd w:id="64"/>
    </w:p>
    <w:p w14:paraId="1FCDF0E5" w14:textId="77777777" w:rsidR="009518AF" w:rsidRPr="00515872" w:rsidRDefault="009518AF" w:rsidP="002C5611">
      <w:pPr>
        <w:spacing w:line="360" w:lineRule="auto"/>
        <w:jc w:val="both"/>
        <w:rPr>
          <w:rFonts w:cs="Tahoma"/>
        </w:rPr>
      </w:pPr>
      <w:r w:rsidRPr="00515872">
        <w:rPr>
          <w:rFonts w:cs="Tahoma"/>
        </w:rPr>
        <w:t>Come già accennato in premessa, l’incarico di revisore di enti pubblici comporta l’assunzione, da parte de</w:t>
      </w:r>
      <w:r w:rsidR="002C5611" w:rsidRPr="00515872">
        <w:rPr>
          <w:rFonts w:cs="Tahoma"/>
        </w:rPr>
        <w:t>l</w:t>
      </w:r>
      <w:r w:rsidRPr="00515872">
        <w:rPr>
          <w:rFonts w:cs="Tahoma"/>
        </w:rPr>
        <w:t xml:space="preserve"> suo detentore, delle relative responsabilità.</w:t>
      </w:r>
    </w:p>
    <w:p w14:paraId="3A9F36D7" w14:textId="77777777" w:rsidR="00277513" w:rsidRPr="00515872" w:rsidRDefault="00277513" w:rsidP="002C5611">
      <w:pPr>
        <w:spacing w:line="360" w:lineRule="auto"/>
        <w:jc w:val="both"/>
        <w:rPr>
          <w:rFonts w:cs="Tahoma"/>
        </w:rPr>
      </w:pPr>
    </w:p>
    <w:p w14:paraId="0907B20C" w14:textId="77777777" w:rsidR="009518AF" w:rsidRPr="00515872" w:rsidRDefault="009518AF" w:rsidP="009518AF">
      <w:pPr>
        <w:pStyle w:val="Sottoparagrafo"/>
        <w:rPr>
          <w:rFonts w:eastAsia="MS Gothic" w:cs="Tahoma"/>
          <w:kern w:val="28"/>
        </w:rPr>
      </w:pPr>
      <w:bookmarkStart w:id="65" w:name="_Toc521317064"/>
      <w:bookmarkStart w:id="66" w:name="_Toc95912241"/>
      <w:r w:rsidRPr="00515872">
        <w:rPr>
          <w:rFonts w:cs="Tahoma"/>
        </w:rPr>
        <w:t>3.7.1 La responsabilità civile</w:t>
      </w:r>
      <w:bookmarkEnd w:id="65"/>
      <w:bookmarkEnd w:id="66"/>
    </w:p>
    <w:p w14:paraId="074624F8" w14:textId="77777777" w:rsidR="009518AF" w:rsidRPr="00515872" w:rsidRDefault="009518AF" w:rsidP="009518AF">
      <w:pPr>
        <w:spacing w:after="0" w:line="360" w:lineRule="auto"/>
        <w:jc w:val="both"/>
        <w:rPr>
          <w:rFonts w:cs="Tahoma"/>
          <w:szCs w:val="20"/>
        </w:rPr>
      </w:pPr>
      <w:r w:rsidRPr="00515872">
        <w:rPr>
          <w:rFonts w:cs="Tahoma"/>
          <w:bCs/>
          <w:szCs w:val="20"/>
        </w:rPr>
        <w:t>Secondo l’art. 240 del TUEL, i</w:t>
      </w:r>
      <w:r w:rsidRPr="00515872">
        <w:rPr>
          <w:rFonts w:cs="Tahoma"/>
          <w:szCs w:val="20"/>
        </w:rPr>
        <w:t xml:space="preserve"> revisori:</w:t>
      </w:r>
    </w:p>
    <w:p w14:paraId="2904F0D2" w14:textId="77777777" w:rsidR="009518AF" w:rsidRPr="00515872" w:rsidRDefault="009518AF" w:rsidP="009518AF">
      <w:pPr>
        <w:pStyle w:val="Paragrafoelenco"/>
        <w:numPr>
          <w:ilvl w:val="0"/>
          <w:numId w:val="8"/>
        </w:numPr>
        <w:spacing w:line="360" w:lineRule="auto"/>
        <w:jc w:val="both"/>
        <w:rPr>
          <w:rFonts w:cs="Tahoma"/>
          <w:szCs w:val="20"/>
        </w:rPr>
      </w:pPr>
      <w:r w:rsidRPr="00515872">
        <w:rPr>
          <w:rFonts w:cs="Tahoma"/>
          <w:szCs w:val="20"/>
        </w:rPr>
        <w:t>rispondono della veridicità delle loro attestazioni;</w:t>
      </w:r>
    </w:p>
    <w:p w14:paraId="3D978101" w14:textId="77777777" w:rsidR="009518AF" w:rsidRPr="00515872" w:rsidRDefault="009518AF" w:rsidP="009518AF">
      <w:pPr>
        <w:pStyle w:val="Paragrafoelenco"/>
        <w:numPr>
          <w:ilvl w:val="0"/>
          <w:numId w:val="8"/>
        </w:numPr>
        <w:spacing w:line="360" w:lineRule="auto"/>
        <w:jc w:val="both"/>
        <w:rPr>
          <w:rFonts w:cs="Tahoma"/>
          <w:szCs w:val="20"/>
        </w:rPr>
      </w:pPr>
      <w:r w:rsidRPr="00515872">
        <w:rPr>
          <w:rFonts w:cs="Tahoma"/>
          <w:szCs w:val="20"/>
        </w:rPr>
        <w:t>adempiono ai loro doveri con la diligenza del mandatario;</w:t>
      </w:r>
    </w:p>
    <w:p w14:paraId="783CDF99" w14:textId="77777777" w:rsidR="009518AF" w:rsidRPr="00515872" w:rsidRDefault="009518AF" w:rsidP="009518AF">
      <w:pPr>
        <w:pStyle w:val="Paragrafoelenco"/>
        <w:numPr>
          <w:ilvl w:val="0"/>
          <w:numId w:val="8"/>
        </w:numPr>
        <w:spacing w:line="360" w:lineRule="auto"/>
        <w:contextualSpacing w:val="0"/>
        <w:jc w:val="both"/>
        <w:rPr>
          <w:rFonts w:cs="Tahoma"/>
          <w:szCs w:val="20"/>
        </w:rPr>
      </w:pPr>
      <w:r w:rsidRPr="00515872">
        <w:rPr>
          <w:rFonts w:cs="Tahoma"/>
          <w:szCs w:val="20"/>
        </w:rPr>
        <w:lastRenderedPageBreak/>
        <w:t>devono conservare la riservatezza sui fatti e documenti di cui hanno conoscenza per ragione del loro ufficio.</w:t>
      </w:r>
    </w:p>
    <w:p w14:paraId="525AE16C" w14:textId="77777777" w:rsidR="009518AF" w:rsidRPr="00515872" w:rsidRDefault="009518AF" w:rsidP="009518AF">
      <w:pPr>
        <w:spacing w:after="0" w:line="360" w:lineRule="auto"/>
        <w:jc w:val="both"/>
        <w:rPr>
          <w:rFonts w:cs="Tahoma"/>
          <w:szCs w:val="20"/>
        </w:rPr>
      </w:pPr>
      <w:r w:rsidRPr="00515872">
        <w:rPr>
          <w:rFonts w:cs="Tahoma"/>
          <w:szCs w:val="20"/>
        </w:rPr>
        <w:t>Gli elementi costitutivi della responsabilità del revisore sono:</w:t>
      </w:r>
    </w:p>
    <w:p w14:paraId="0386DB5B" w14:textId="77777777" w:rsidR="009518AF" w:rsidRPr="00515872" w:rsidRDefault="009518AF" w:rsidP="009518AF">
      <w:pPr>
        <w:pStyle w:val="Paragrafoelenco"/>
        <w:numPr>
          <w:ilvl w:val="0"/>
          <w:numId w:val="9"/>
        </w:numPr>
        <w:spacing w:line="360" w:lineRule="auto"/>
        <w:jc w:val="both"/>
        <w:rPr>
          <w:rFonts w:cs="Tahoma"/>
          <w:szCs w:val="20"/>
        </w:rPr>
      </w:pPr>
      <w:r w:rsidRPr="00515872">
        <w:rPr>
          <w:rFonts w:cs="Tahoma"/>
          <w:szCs w:val="20"/>
        </w:rPr>
        <w:t>il comportamento doloso o colposo;</w:t>
      </w:r>
    </w:p>
    <w:p w14:paraId="6799F3D8" w14:textId="77777777" w:rsidR="009518AF" w:rsidRPr="00515872" w:rsidRDefault="009518AF" w:rsidP="009518AF">
      <w:pPr>
        <w:pStyle w:val="Paragrafoelenco"/>
        <w:numPr>
          <w:ilvl w:val="0"/>
          <w:numId w:val="9"/>
        </w:numPr>
        <w:spacing w:line="360" w:lineRule="auto"/>
        <w:jc w:val="both"/>
        <w:rPr>
          <w:rFonts w:cs="Tahoma"/>
          <w:szCs w:val="20"/>
        </w:rPr>
      </w:pPr>
      <w:r w:rsidRPr="00515872">
        <w:rPr>
          <w:rFonts w:cs="Tahoma"/>
          <w:szCs w:val="20"/>
        </w:rPr>
        <w:t>l’evento dannoso;</w:t>
      </w:r>
    </w:p>
    <w:p w14:paraId="182C91BE" w14:textId="77777777" w:rsidR="009518AF" w:rsidRPr="00515872" w:rsidRDefault="009518AF" w:rsidP="009518AF">
      <w:pPr>
        <w:pStyle w:val="Paragrafoelenco"/>
        <w:numPr>
          <w:ilvl w:val="0"/>
          <w:numId w:val="9"/>
        </w:numPr>
        <w:spacing w:line="360" w:lineRule="auto"/>
        <w:jc w:val="both"/>
        <w:rPr>
          <w:rFonts w:cs="Tahoma"/>
          <w:szCs w:val="20"/>
        </w:rPr>
      </w:pPr>
      <w:r w:rsidRPr="00515872">
        <w:rPr>
          <w:rFonts w:cs="Tahoma"/>
          <w:szCs w:val="20"/>
        </w:rPr>
        <w:t>il nesso di causalità fra i due.</w:t>
      </w:r>
    </w:p>
    <w:p w14:paraId="00DFEB90" w14:textId="77777777" w:rsidR="009518AF" w:rsidRPr="00515872" w:rsidRDefault="009518AF" w:rsidP="009518AF">
      <w:pPr>
        <w:spacing w:line="360" w:lineRule="auto"/>
        <w:jc w:val="both"/>
        <w:rPr>
          <w:rFonts w:cs="Tahoma"/>
          <w:szCs w:val="20"/>
        </w:rPr>
      </w:pPr>
      <w:r w:rsidRPr="00515872">
        <w:rPr>
          <w:rFonts w:cs="Tahoma"/>
          <w:szCs w:val="20"/>
        </w:rPr>
        <w:t xml:space="preserve">Il requisito </w:t>
      </w:r>
      <w:r w:rsidRPr="00515872">
        <w:rPr>
          <w:rFonts w:cs="Tahoma"/>
          <w:b/>
          <w:szCs w:val="20"/>
        </w:rPr>
        <w:t>del dolo o della colpa</w:t>
      </w:r>
      <w:r w:rsidRPr="00515872">
        <w:rPr>
          <w:rFonts w:cs="Tahoma"/>
          <w:szCs w:val="20"/>
        </w:rPr>
        <w:t xml:space="preserve"> è connesso con il grado di responsabilità che la normativa prevede a carico dell’organo di revisione, ossia quella del mandatario. L’adozione della diligenza del mandatario impone ai revisori</w:t>
      </w:r>
      <w:r w:rsidR="00ED6B0D" w:rsidRPr="00515872">
        <w:rPr>
          <w:rFonts w:cs="Tahoma"/>
          <w:szCs w:val="20"/>
        </w:rPr>
        <w:t xml:space="preserve"> un approccio approfondito nello svolgimento delle</w:t>
      </w:r>
      <w:r w:rsidRPr="00515872">
        <w:rPr>
          <w:rFonts w:cs="Tahoma"/>
          <w:szCs w:val="20"/>
        </w:rPr>
        <w:t xml:space="preserve"> proprie verifiche, al fine di rendere più efficace il controllo sull’amministrazione e la capacità di rilevare eventuali anomalie foriere di danni nei confronti dell’ente o di soggetti terzi. Secondo la dottrina prevalente, tuttavia, tale responsabilità non può essere scollegata dal particolare tipo di incarico proprio dell’organo di revisione, che richiede un elevato livello di professionalità, tale per cui esso viene affidato a soggetti dotati di requisiti specifici. Ne deriva che il requisito del dolo o della colpa grave, senza i quali non ricorre responsabilità, </w:t>
      </w:r>
      <w:r w:rsidRPr="00515872">
        <w:rPr>
          <w:rFonts w:cs="Tahoma"/>
          <w:b/>
          <w:szCs w:val="20"/>
        </w:rPr>
        <w:t>sono necessari solo quando la prestazione richiede una perizia superiore a quella ordinaria</w:t>
      </w:r>
      <w:r w:rsidRPr="00515872">
        <w:rPr>
          <w:rFonts w:cs="Tahoma"/>
          <w:szCs w:val="20"/>
        </w:rPr>
        <w:t xml:space="preserve"> della categoria di appartenenza. In tal caso, la colpa grave sussiste quando non sono state applicate quelle nozioni tecniche che il professionista generico deve possedere in relazione a prestazioni specializzate</w:t>
      </w:r>
      <w:r w:rsidRPr="00515872">
        <w:rPr>
          <w:rStyle w:val="Rimandonotaapidipagina"/>
          <w:rFonts w:cs="Tahoma"/>
          <w:szCs w:val="20"/>
        </w:rPr>
        <w:footnoteReference w:id="22"/>
      </w:r>
      <w:r w:rsidRPr="00515872">
        <w:rPr>
          <w:rFonts w:cs="Tahoma"/>
          <w:szCs w:val="20"/>
        </w:rPr>
        <w:t>.</w:t>
      </w:r>
    </w:p>
    <w:p w14:paraId="295C9602" w14:textId="77777777" w:rsidR="009518AF" w:rsidRPr="00515872" w:rsidRDefault="009518AF" w:rsidP="009518AF">
      <w:pPr>
        <w:spacing w:line="360" w:lineRule="auto"/>
        <w:jc w:val="both"/>
        <w:rPr>
          <w:rFonts w:cs="Tahoma"/>
          <w:color w:val="231F20"/>
          <w:szCs w:val="20"/>
        </w:rPr>
      </w:pPr>
      <w:r w:rsidRPr="00515872">
        <w:rPr>
          <w:rFonts w:cs="Tahoma"/>
          <w:szCs w:val="20"/>
        </w:rPr>
        <w:t xml:space="preserve">La violazione dei doveri del revisore può comportare responsabilità civile </w:t>
      </w:r>
      <w:r w:rsidRPr="00515872">
        <w:rPr>
          <w:rFonts w:cs="Tahoma"/>
          <w:b/>
          <w:szCs w:val="20"/>
        </w:rPr>
        <w:t>quando ne derivi un danno a terzi</w:t>
      </w:r>
      <w:r w:rsidRPr="00515872">
        <w:rPr>
          <w:rFonts w:cs="Tahoma"/>
          <w:szCs w:val="20"/>
        </w:rPr>
        <w:t xml:space="preserve">. Affinché vi sia responsabilità è necessario che il danno sia effettivo e non solo potenziale. </w:t>
      </w:r>
      <w:r w:rsidRPr="00515872">
        <w:rPr>
          <w:rFonts w:cs="Tahoma"/>
        </w:rPr>
        <w:t>L’art. 1 della L. 14 gennaio 1994, n. 20 prevede che “</w:t>
      </w:r>
      <w:r w:rsidRPr="00515872">
        <w:rPr>
          <w:rFonts w:cs="Tahoma"/>
          <w:i/>
        </w:rPr>
        <w:t>L</w:t>
      </w:r>
      <w:r w:rsidRPr="00515872">
        <w:rPr>
          <w:rFonts w:cs="Tahoma"/>
          <w:i/>
          <w:szCs w:val="20"/>
        </w:rPr>
        <w:t>a responsabilità dei soggetti sottoposti alla giurisdizione della Corte dei conti in materia di contabilità pubblica è personale e limitata ai fatti ed alle omissioni commessi con dolo o con colpa grave, ferma restando l'insindacabilità nel merito delle scelte discrezionali</w:t>
      </w:r>
      <w:r w:rsidR="00FB6A1D" w:rsidRPr="00515872">
        <w:rPr>
          <w:rFonts w:cs="Tahoma"/>
          <w:i/>
          <w:szCs w:val="20"/>
        </w:rPr>
        <w:t xml:space="preserve"> […]</w:t>
      </w:r>
      <w:r w:rsidRPr="00515872">
        <w:rPr>
          <w:rFonts w:cs="Tahoma"/>
          <w:szCs w:val="20"/>
        </w:rPr>
        <w:t xml:space="preserve">”. Sembra, pertanto, essere dato rilievo alla particolare complessità del ruolo dei revisori di enti pubblici. Ne deriva che i revisori possono essere ritenuti responsabili ogniqualvolta l’ente subisca un pregiudizio a causa del mancato espletamento delle loro funzioni con la diligenza richiesta. Nessuna responsabilità, invece, potrà essere attribuita al revisore quando, in </w:t>
      </w:r>
      <w:r w:rsidRPr="00515872">
        <w:rPr>
          <w:rFonts w:cs="Tahoma"/>
          <w:color w:val="231F20"/>
          <w:szCs w:val="20"/>
        </w:rPr>
        <w:t xml:space="preserve">ipotesi di omissioni da parte di questi, si possa dimostrare che il danno si sarebbe </w:t>
      </w:r>
      <w:r w:rsidR="00907221" w:rsidRPr="00515872">
        <w:rPr>
          <w:rFonts w:cs="Tahoma"/>
          <w:color w:val="231F20"/>
          <w:szCs w:val="20"/>
        </w:rPr>
        <w:t xml:space="preserve">verificato </w:t>
      </w:r>
      <w:r w:rsidRPr="00515872">
        <w:rPr>
          <w:rFonts w:cs="Tahoma"/>
          <w:color w:val="231F20"/>
          <w:szCs w:val="20"/>
        </w:rPr>
        <w:t>comunque.</w:t>
      </w:r>
    </w:p>
    <w:p w14:paraId="5FF38206" w14:textId="77777777" w:rsidR="009518AF" w:rsidRPr="00515872" w:rsidRDefault="009518AF" w:rsidP="009518AF">
      <w:pPr>
        <w:spacing w:line="360" w:lineRule="auto"/>
        <w:jc w:val="both"/>
        <w:rPr>
          <w:rFonts w:cs="Tahoma"/>
          <w:szCs w:val="20"/>
        </w:rPr>
      </w:pPr>
      <w:r w:rsidRPr="00515872">
        <w:rPr>
          <w:rFonts w:cs="Tahoma"/>
          <w:szCs w:val="20"/>
        </w:rPr>
        <w:t xml:space="preserve">Per quanto riguarda il </w:t>
      </w:r>
      <w:r w:rsidRPr="00515872">
        <w:rPr>
          <w:rFonts w:cs="Tahoma"/>
          <w:b/>
          <w:szCs w:val="20"/>
        </w:rPr>
        <w:t>nesso di causalità</w:t>
      </w:r>
      <w:r w:rsidRPr="00515872">
        <w:rPr>
          <w:rFonts w:cs="Tahoma"/>
          <w:szCs w:val="20"/>
        </w:rPr>
        <w:t>, la giurisprudenza si è ormai orientata nel riconoscerlo come presunto nell’ambito dei rapporti di mandato.</w:t>
      </w:r>
    </w:p>
    <w:p w14:paraId="1BD00779" w14:textId="77777777" w:rsidR="00FB6A1D" w:rsidRPr="00515872" w:rsidRDefault="00FB6A1D" w:rsidP="009518AF">
      <w:pPr>
        <w:spacing w:line="360" w:lineRule="auto"/>
        <w:jc w:val="both"/>
        <w:rPr>
          <w:rFonts w:cs="Tahoma"/>
          <w:szCs w:val="20"/>
        </w:rPr>
      </w:pPr>
      <w:r w:rsidRPr="00515872">
        <w:rPr>
          <w:rFonts w:cs="Tahoma"/>
          <w:szCs w:val="20"/>
        </w:rPr>
        <w:t>In ordine alla presenza del dolo, lo stesso art. 1 prevede che “</w:t>
      </w:r>
      <w:r w:rsidRPr="00515872">
        <w:rPr>
          <w:rFonts w:cs="Tahoma"/>
          <w:i/>
          <w:szCs w:val="20"/>
        </w:rPr>
        <w:t xml:space="preserve">[…] </w:t>
      </w:r>
      <w:r w:rsidRPr="00515872">
        <w:rPr>
          <w:rFonts w:cs="Tahoma"/>
          <w:i/>
        </w:rPr>
        <w:t>La prova del dolo richiede la dimostrazione della volontà dell'evento dannoso […]</w:t>
      </w:r>
      <w:r w:rsidRPr="00515872">
        <w:rPr>
          <w:rFonts w:cs="Tahoma"/>
        </w:rPr>
        <w:t>”</w:t>
      </w:r>
    </w:p>
    <w:p w14:paraId="16BB5C51" w14:textId="77777777" w:rsidR="009518AF" w:rsidRPr="00515872" w:rsidRDefault="009518AF" w:rsidP="009518AF">
      <w:pPr>
        <w:spacing w:line="360" w:lineRule="auto"/>
        <w:jc w:val="both"/>
        <w:rPr>
          <w:rFonts w:cs="Tahoma"/>
          <w:szCs w:val="20"/>
        </w:rPr>
      </w:pPr>
      <w:r w:rsidRPr="00515872">
        <w:rPr>
          <w:rFonts w:cs="Tahoma"/>
          <w:szCs w:val="20"/>
        </w:rPr>
        <w:lastRenderedPageBreak/>
        <w:t>Nel caso in cui l’organo di revisione rilevi irregolarità nella gestione dell’ente, è tenuto a darne segnalazione all’organo consiliare e, in alcuni casi, agli organi giurisdizionali.</w:t>
      </w:r>
    </w:p>
    <w:p w14:paraId="2CD13B1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È altresì previsto che, in caso di deliberazioni di organi collegiali, la responsabilità sia imputata solo a chi vi abbia partecipato con voto favorevole. Se il fatto dannoso è causato da più persone, la Corte dei Conti valuta le singole responsabilità e condanna ciascuno per la parte che vi ha preso. </w:t>
      </w:r>
    </w:p>
    <w:p w14:paraId="71D57709" w14:textId="77777777" w:rsidR="009518AF" w:rsidRPr="00515872" w:rsidRDefault="009518AF" w:rsidP="009518AF">
      <w:pPr>
        <w:spacing w:line="360" w:lineRule="auto"/>
        <w:jc w:val="both"/>
        <w:rPr>
          <w:rFonts w:cs="Tahoma"/>
          <w:szCs w:val="20"/>
        </w:rPr>
      </w:pPr>
      <w:r w:rsidRPr="00515872">
        <w:rPr>
          <w:rFonts w:cs="Tahoma"/>
          <w:szCs w:val="20"/>
        </w:rPr>
        <w:t>A seconda che la responsabilità del revisore sia per danni nei confronti dell’ente o nei confronti dei terzi, varia la competenza a giudicare, che sarà rispettivamente della Corte dei Conti, nel primo caso, o del G</w:t>
      </w:r>
      <w:r w:rsidR="00907221" w:rsidRPr="00515872">
        <w:rPr>
          <w:rFonts w:cs="Tahoma"/>
          <w:szCs w:val="20"/>
        </w:rPr>
        <w:t>iudice ordinario, nel secondo</w:t>
      </w:r>
      <w:r w:rsidRPr="00515872">
        <w:rPr>
          <w:rFonts w:cs="Tahoma"/>
          <w:szCs w:val="20"/>
        </w:rPr>
        <w:t>.</w:t>
      </w:r>
    </w:p>
    <w:p w14:paraId="25449A9E" w14:textId="77777777" w:rsidR="009518AF" w:rsidRPr="00515872" w:rsidRDefault="009518AF" w:rsidP="009518AF">
      <w:pPr>
        <w:spacing w:line="360" w:lineRule="auto"/>
        <w:jc w:val="both"/>
        <w:rPr>
          <w:rFonts w:cs="Tahoma"/>
        </w:rPr>
      </w:pPr>
      <w:r w:rsidRPr="00515872">
        <w:rPr>
          <w:rFonts w:cs="Tahoma"/>
          <w:szCs w:val="20"/>
        </w:rPr>
        <w:t>Nel caso più grave in cui,</w:t>
      </w:r>
      <w:r w:rsidRPr="00515872">
        <w:rPr>
          <w:rFonts w:cs="Tahoma"/>
        </w:rPr>
        <w:t xml:space="preserve"> a seguito della </w:t>
      </w:r>
      <w:r w:rsidRPr="00515872">
        <w:rPr>
          <w:rFonts w:cs="Tahoma"/>
          <w:b/>
        </w:rPr>
        <w:t>dichiarazione di dissesto</w:t>
      </w:r>
      <w:r w:rsidRPr="00515872">
        <w:rPr>
          <w:rFonts w:cs="Tahoma"/>
        </w:rPr>
        <w:t xml:space="preserve"> dell’ente, la Corte dei Conti accerti gravi responsabilità nello svolgimento dell'attività del collegio dei revisori, o ritardata o mancata comunicazione, secondo le normative vigenti, delle informazioni previste, l’art. 248 del TUEL prevede che ”</w:t>
      </w:r>
      <w:r w:rsidRPr="00515872">
        <w:rPr>
          <w:rFonts w:cs="Tahoma"/>
          <w:i/>
        </w:rPr>
        <w:t>i componenti del collegio riconosciuti responsabili in sede di giudizio della predetta Corte non possono essere nominati nel collegio dei revisori degli enti locali e degli enti ed organismi agli stessi riconducibili fino a dieci anni, in funzione della gravità accertata</w:t>
      </w:r>
      <w:r w:rsidRPr="00515872">
        <w:rPr>
          <w:rFonts w:cs="Tahoma"/>
        </w:rPr>
        <w:t>”.</w:t>
      </w:r>
    </w:p>
    <w:p w14:paraId="53EC6D19" w14:textId="77777777" w:rsidR="009518AF" w:rsidRPr="00515872" w:rsidRDefault="009518AF" w:rsidP="009518AF">
      <w:pPr>
        <w:spacing w:line="360" w:lineRule="auto"/>
        <w:jc w:val="both"/>
        <w:rPr>
          <w:rFonts w:cs="Tahoma"/>
        </w:rPr>
      </w:pPr>
      <w:r w:rsidRPr="00515872">
        <w:rPr>
          <w:rFonts w:cs="Tahoma"/>
        </w:rPr>
        <w:t>Come detto, occorre tener conto della possibilità che la responsabilità riguardi l’intero organo di rev</w:t>
      </w:r>
      <w:r w:rsidR="0059183E" w:rsidRPr="00515872">
        <w:rPr>
          <w:rFonts w:cs="Tahoma"/>
        </w:rPr>
        <w:t>isione (quando questo è composto</w:t>
      </w:r>
      <w:r w:rsidRPr="00515872">
        <w:rPr>
          <w:rFonts w:cs="Tahoma"/>
        </w:rPr>
        <w:t xml:space="preserve"> in forma collegiale) o il singolo revisore. Se, infatti, vige la regola generale della responsabilità solidale </w:t>
      </w:r>
      <w:r w:rsidR="0059183E" w:rsidRPr="00515872">
        <w:rPr>
          <w:rFonts w:cs="Tahoma"/>
        </w:rPr>
        <w:t>tra</w:t>
      </w:r>
      <w:r w:rsidRPr="00515872">
        <w:rPr>
          <w:rFonts w:cs="Tahoma"/>
        </w:rPr>
        <w:t xml:space="preserve"> membri del collegio nei casi in cui il danno consegua al mancato o inadeguato esercizio delle funzioni di vigilanza o ad una deliberazione assunta in sede collegiale, è del tutto evidente come debba, invece, essere chiamato a rispondere il singolo revisore che abbia posto in essere comportamenti dannosi individuali quali, ad esempio, la violazione del dovere di riservatezza. Sull’individualità o collegialità della responsabilità si registrano comunque orientamenti contrastanti </w:t>
      </w:r>
      <w:r w:rsidR="00322E1A" w:rsidRPr="00515872">
        <w:rPr>
          <w:rFonts w:cs="Tahoma"/>
        </w:rPr>
        <w:t>in</w:t>
      </w:r>
      <w:r w:rsidRPr="00515872">
        <w:rPr>
          <w:rFonts w:cs="Tahoma"/>
        </w:rPr>
        <w:t xml:space="preserve"> giurisprudenza.</w:t>
      </w:r>
    </w:p>
    <w:p w14:paraId="30223FC9" w14:textId="77777777" w:rsidR="009518AF" w:rsidRPr="00515872" w:rsidRDefault="009518AF" w:rsidP="009518AF">
      <w:pPr>
        <w:spacing w:line="360" w:lineRule="auto"/>
        <w:jc w:val="both"/>
        <w:rPr>
          <w:rFonts w:cs="Tahoma"/>
          <w:szCs w:val="20"/>
        </w:rPr>
      </w:pPr>
      <w:r w:rsidRPr="00515872">
        <w:rPr>
          <w:rFonts w:cs="Tahoma"/>
          <w:szCs w:val="20"/>
        </w:rPr>
        <w:t>La responsabilità solidale del revisore può manifestarsi</w:t>
      </w:r>
      <w:r w:rsidR="006849E0" w:rsidRPr="00515872">
        <w:rPr>
          <w:rFonts w:cs="Tahoma"/>
          <w:szCs w:val="20"/>
        </w:rPr>
        <w:t xml:space="preserve"> anche</w:t>
      </w:r>
      <w:r w:rsidRPr="00515872">
        <w:rPr>
          <w:rFonts w:cs="Tahoma"/>
          <w:szCs w:val="20"/>
        </w:rPr>
        <w:t xml:space="preserve"> in concorso nella condotta illecita degli amministratori. In tal caso, la responsabilità deve ritenersi solidale, e non meramente sussidiaria, rispetto a quella degli amministratori.</w:t>
      </w:r>
    </w:p>
    <w:p w14:paraId="2CF5C47B" w14:textId="77777777" w:rsidR="009518AF" w:rsidRPr="00515872" w:rsidRDefault="009518AF" w:rsidP="009518AF">
      <w:pPr>
        <w:spacing w:line="360" w:lineRule="auto"/>
        <w:jc w:val="both"/>
        <w:rPr>
          <w:rFonts w:cs="Tahoma"/>
          <w:szCs w:val="20"/>
        </w:rPr>
      </w:pPr>
      <w:r w:rsidRPr="00515872">
        <w:rPr>
          <w:rFonts w:cs="Tahoma"/>
          <w:szCs w:val="20"/>
        </w:rPr>
        <w:t>Le responsabilità civili imputabili al revisore possono essere così sintetizzate:</w:t>
      </w:r>
    </w:p>
    <w:tbl>
      <w:tblPr>
        <w:tblStyle w:val="Grigliatabella"/>
        <w:tblW w:w="0" w:type="auto"/>
        <w:jc w:val="center"/>
        <w:tblLook w:val="04A0" w:firstRow="1" w:lastRow="0" w:firstColumn="1" w:lastColumn="0" w:noHBand="0" w:noVBand="1"/>
      </w:tblPr>
      <w:tblGrid>
        <w:gridCol w:w="2122"/>
        <w:gridCol w:w="7506"/>
      </w:tblGrid>
      <w:tr w:rsidR="007C427B" w:rsidRPr="00515872" w14:paraId="4C10A7B5" w14:textId="77777777" w:rsidTr="00EA779E">
        <w:trPr>
          <w:jc w:val="center"/>
        </w:trPr>
        <w:tc>
          <w:tcPr>
            <w:tcW w:w="2122" w:type="dxa"/>
            <w:shd w:val="clear" w:color="auto" w:fill="DBE5F1" w:themeFill="accent1" w:themeFillTint="33"/>
          </w:tcPr>
          <w:p w14:paraId="6B7F80F1" w14:textId="77777777" w:rsidR="007C427B" w:rsidRPr="00515872" w:rsidRDefault="007C427B" w:rsidP="007C427B">
            <w:pPr>
              <w:spacing w:after="0" w:line="360" w:lineRule="auto"/>
              <w:jc w:val="center"/>
              <w:rPr>
                <w:rFonts w:cs="Tahoma"/>
                <w:b/>
                <w:szCs w:val="20"/>
              </w:rPr>
            </w:pPr>
            <w:r w:rsidRPr="00515872">
              <w:rPr>
                <w:rFonts w:cs="Tahoma"/>
                <w:b/>
                <w:szCs w:val="20"/>
              </w:rPr>
              <w:t>Tipologia di illecito</w:t>
            </w:r>
          </w:p>
        </w:tc>
        <w:tc>
          <w:tcPr>
            <w:tcW w:w="7506" w:type="dxa"/>
            <w:shd w:val="clear" w:color="auto" w:fill="DBE5F1" w:themeFill="accent1" w:themeFillTint="33"/>
          </w:tcPr>
          <w:p w14:paraId="15828AB9" w14:textId="77777777" w:rsidR="007C427B" w:rsidRPr="00515872" w:rsidRDefault="007C427B" w:rsidP="007C427B">
            <w:pPr>
              <w:spacing w:after="0" w:line="360" w:lineRule="auto"/>
              <w:jc w:val="center"/>
              <w:rPr>
                <w:rFonts w:cs="Tahoma"/>
                <w:b/>
                <w:szCs w:val="20"/>
              </w:rPr>
            </w:pPr>
            <w:r w:rsidRPr="00515872">
              <w:rPr>
                <w:rFonts w:cs="Tahoma"/>
                <w:b/>
                <w:szCs w:val="20"/>
              </w:rPr>
              <w:t>Responsabilità</w:t>
            </w:r>
          </w:p>
        </w:tc>
      </w:tr>
      <w:tr w:rsidR="009518AF" w:rsidRPr="00515872" w14:paraId="1E7A31D1" w14:textId="77777777" w:rsidTr="007C427B">
        <w:trPr>
          <w:jc w:val="center"/>
        </w:trPr>
        <w:tc>
          <w:tcPr>
            <w:tcW w:w="2122" w:type="dxa"/>
          </w:tcPr>
          <w:p w14:paraId="35FEB60D" w14:textId="77777777" w:rsidR="009518AF" w:rsidRPr="00515872" w:rsidRDefault="007C427B" w:rsidP="007C427B">
            <w:pPr>
              <w:spacing w:after="0" w:line="360" w:lineRule="auto"/>
              <w:jc w:val="center"/>
              <w:rPr>
                <w:rFonts w:cs="Tahoma"/>
                <w:szCs w:val="20"/>
              </w:rPr>
            </w:pPr>
            <w:r w:rsidRPr="00515872">
              <w:rPr>
                <w:rFonts w:cs="Tahoma"/>
                <w:szCs w:val="20"/>
              </w:rPr>
              <w:t>Non v</w:t>
            </w:r>
            <w:r w:rsidR="009518AF" w:rsidRPr="00515872">
              <w:rPr>
                <w:rFonts w:cs="Tahoma"/>
                <w:szCs w:val="20"/>
              </w:rPr>
              <w:t>eridicità nelle attestazioni</w:t>
            </w:r>
          </w:p>
        </w:tc>
        <w:tc>
          <w:tcPr>
            <w:tcW w:w="7506" w:type="dxa"/>
          </w:tcPr>
          <w:p w14:paraId="079AEEC3" w14:textId="77777777" w:rsidR="009518AF" w:rsidRPr="00515872" w:rsidRDefault="009518AF" w:rsidP="007C427B">
            <w:pPr>
              <w:spacing w:after="0" w:line="360" w:lineRule="auto"/>
              <w:jc w:val="both"/>
              <w:rPr>
                <w:rFonts w:cs="Tahoma"/>
                <w:szCs w:val="20"/>
              </w:rPr>
            </w:pPr>
            <w:r w:rsidRPr="00515872">
              <w:rPr>
                <w:rFonts w:cs="Tahoma"/>
                <w:szCs w:val="20"/>
              </w:rPr>
              <w:t>Il dovere di veridicità nelle attestazioni si riferisce all’accertamento della regolarità contabile e della corrispondenza del bilancio alle risultanze contabili.</w:t>
            </w:r>
          </w:p>
          <w:p w14:paraId="5DC660BE" w14:textId="77777777" w:rsidR="009518AF" w:rsidRPr="00515872" w:rsidRDefault="009518AF" w:rsidP="007C427B">
            <w:pPr>
              <w:spacing w:after="0" w:line="360" w:lineRule="auto"/>
              <w:jc w:val="both"/>
              <w:rPr>
                <w:rFonts w:cs="Tahoma"/>
                <w:szCs w:val="20"/>
              </w:rPr>
            </w:pPr>
            <w:r w:rsidRPr="00515872">
              <w:rPr>
                <w:rFonts w:cs="Tahoma"/>
                <w:szCs w:val="20"/>
              </w:rPr>
              <w:t>Il revisore può incorrere in responsabilità sia di carattere penale, nel caso di attestazione dolosamente falsa, sia civile, nell’ipotesi in cui ne deriv</w:t>
            </w:r>
            <w:r w:rsidR="00FD7D48" w:rsidRPr="00515872">
              <w:rPr>
                <w:rFonts w:cs="Tahoma"/>
                <w:szCs w:val="20"/>
              </w:rPr>
              <w:t>i</w:t>
            </w:r>
            <w:r w:rsidRPr="00515872">
              <w:rPr>
                <w:rFonts w:cs="Tahoma"/>
                <w:szCs w:val="20"/>
              </w:rPr>
              <w:t xml:space="preserve"> un danno patrimoniale all’ente pubblico. Pertanto, la violazione per atti ritenuti non veritieri, </w:t>
            </w:r>
            <w:r w:rsidRPr="00515872">
              <w:rPr>
                <w:rFonts w:cs="Tahoma"/>
                <w:szCs w:val="20"/>
              </w:rPr>
              <w:lastRenderedPageBreak/>
              <w:t>con riferimento alla gestione dell’ente locale, comporta inevitabilmente come conseguenza l’onere risarcitorio.</w:t>
            </w:r>
          </w:p>
        </w:tc>
      </w:tr>
      <w:tr w:rsidR="009518AF" w:rsidRPr="00515872" w14:paraId="00477F15" w14:textId="77777777" w:rsidTr="007C427B">
        <w:trPr>
          <w:jc w:val="center"/>
        </w:trPr>
        <w:tc>
          <w:tcPr>
            <w:tcW w:w="2122" w:type="dxa"/>
          </w:tcPr>
          <w:p w14:paraId="50D5DBC4" w14:textId="77777777" w:rsidR="009518AF" w:rsidRPr="00515872" w:rsidRDefault="009518AF" w:rsidP="007C427B">
            <w:pPr>
              <w:spacing w:after="0" w:line="360" w:lineRule="auto"/>
              <w:jc w:val="center"/>
              <w:rPr>
                <w:rFonts w:cs="Tahoma"/>
                <w:szCs w:val="20"/>
              </w:rPr>
            </w:pPr>
            <w:r w:rsidRPr="00515872">
              <w:rPr>
                <w:rFonts w:cs="Tahoma"/>
                <w:szCs w:val="20"/>
              </w:rPr>
              <w:t>Negligenza</w:t>
            </w:r>
          </w:p>
        </w:tc>
        <w:tc>
          <w:tcPr>
            <w:tcW w:w="7506" w:type="dxa"/>
          </w:tcPr>
          <w:p w14:paraId="375CDAED" w14:textId="77777777" w:rsidR="009518AF" w:rsidRPr="00515872" w:rsidRDefault="009518AF" w:rsidP="007C427B">
            <w:pPr>
              <w:spacing w:after="0" w:line="360" w:lineRule="auto"/>
              <w:jc w:val="both"/>
              <w:rPr>
                <w:rFonts w:cs="Tahoma"/>
                <w:szCs w:val="20"/>
              </w:rPr>
            </w:pPr>
            <w:r w:rsidRPr="00515872">
              <w:rPr>
                <w:rFonts w:cs="Tahoma"/>
                <w:szCs w:val="20"/>
              </w:rPr>
              <w:t xml:space="preserve">Nell’esercizio delle proprie funzioni il revisore è tenuto ad eseguire la propria attività con la diligenza del mandatario, vale a dire la diligenza del “buon padre di famiglia”; ciò impone che le sue funzioni siano svolte con la perizia e </w:t>
            </w:r>
            <w:r w:rsidR="00FD7D48" w:rsidRPr="00515872">
              <w:rPr>
                <w:rFonts w:cs="Tahoma"/>
                <w:szCs w:val="20"/>
              </w:rPr>
              <w:t xml:space="preserve">con </w:t>
            </w:r>
            <w:r w:rsidRPr="00515872">
              <w:rPr>
                <w:rFonts w:cs="Tahoma"/>
                <w:szCs w:val="20"/>
              </w:rPr>
              <w:t>la prudenza dell’uomo medio, considerato con riferimento alla natura dell’incarico.</w:t>
            </w:r>
          </w:p>
        </w:tc>
      </w:tr>
      <w:tr w:rsidR="009518AF" w:rsidRPr="00515872" w14:paraId="4A74FEC8" w14:textId="77777777" w:rsidTr="007C427B">
        <w:trPr>
          <w:jc w:val="center"/>
        </w:trPr>
        <w:tc>
          <w:tcPr>
            <w:tcW w:w="2122" w:type="dxa"/>
          </w:tcPr>
          <w:p w14:paraId="51E2F8F5" w14:textId="77777777" w:rsidR="009518AF" w:rsidRPr="00515872" w:rsidRDefault="009518AF" w:rsidP="007C427B">
            <w:pPr>
              <w:spacing w:after="0" w:line="360" w:lineRule="auto"/>
              <w:jc w:val="center"/>
              <w:rPr>
                <w:rFonts w:cs="Tahoma"/>
                <w:szCs w:val="20"/>
              </w:rPr>
            </w:pPr>
            <w:r w:rsidRPr="00515872">
              <w:rPr>
                <w:rFonts w:cs="Tahoma"/>
                <w:szCs w:val="20"/>
              </w:rPr>
              <w:t>Omissione</w:t>
            </w:r>
            <w:r w:rsidRPr="00515872">
              <w:rPr>
                <w:rFonts w:cs="Tahoma"/>
                <w:szCs w:val="20"/>
              </w:rPr>
              <w:br/>
              <w:t>di vigilanza</w:t>
            </w:r>
          </w:p>
        </w:tc>
        <w:tc>
          <w:tcPr>
            <w:tcW w:w="7506" w:type="dxa"/>
          </w:tcPr>
          <w:p w14:paraId="0B75AEEB" w14:textId="77777777" w:rsidR="009518AF" w:rsidRPr="00515872" w:rsidRDefault="009518AF" w:rsidP="007C427B">
            <w:pPr>
              <w:spacing w:after="0" w:line="360" w:lineRule="auto"/>
              <w:jc w:val="both"/>
              <w:rPr>
                <w:rFonts w:cs="Tahoma"/>
                <w:szCs w:val="20"/>
              </w:rPr>
            </w:pPr>
            <w:r w:rsidRPr="00515872">
              <w:rPr>
                <w:rFonts w:cs="Tahoma"/>
                <w:szCs w:val="20"/>
              </w:rPr>
              <w:t>Stante la funzione de</w:t>
            </w:r>
            <w:r w:rsidR="00B646AA" w:rsidRPr="00515872">
              <w:rPr>
                <w:rFonts w:cs="Tahoma"/>
                <w:szCs w:val="20"/>
              </w:rPr>
              <w:t>ll’organo di</w:t>
            </w:r>
            <w:r w:rsidRPr="00515872">
              <w:rPr>
                <w:rFonts w:cs="Tahoma"/>
                <w:szCs w:val="20"/>
              </w:rPr>
              <w:t xml:space="preserve"> revis</w:t>
            </w:r>
            <w:r w:rsidR="00B646AA" w:rsidRPr="00515872">
              <w:rPr>
                <w:rFonts w:cs="Tahoma"/>
                <w:szCs w:val="20"/>
              </w:rPr>
              <w:t>ione</w:t>
            </w:r>
            <w:r w:rsidRPr="00515872">
              <w:rPr>
                <w:rFonts w:cs="Tahoma"/>
                <w:szCs w:val="20"/>
              </w:rPr>
              <w:t xml:space="preserve">, l’inosservanza del dovere di vigilanza è per </w:t>
            </w:r>
            <w:r w:rsidR="00B646AA" w:rsidRPr="00515872">
              <w:rPr>
                <w:rFonts w:cs="Tahoma"/>
                <w:szCs w:val="20"/>
              </w:rPr>
              <w:t>lo stesso</w:t>
            </w:r>
            <w:r w:rsidRPr="00515872">
              <w:rPr>
                <w:rFonts w:cs="Tahoma"/>
                <w:szCs w:val="20"/>
              </w:rPr>
              <w:t xml:space="preserve"> la principale fonte di </w:t>
            </w:r>
            <w:r w:rsidR="00B646AA" w:rsidRPr="00515872">
              <w:rPr>
                <w:rFonts w:cs="Tahoma"/>
                <w:szCs w:val="20"/>
              </w:rPr>
              <w:t>responsabilità</w:t>
            </w:r>
            <w:r w:rsidR="00905189" w:rsidRPr="00515872">
              <w:rPr>
                <w:rFonts w:cs="Tahoma"/>
                <w:szCs w:val="20"/>
              </w:rPr>
              <w:t xml:space="preserve"> di</w:t>
            </w:r>
            <w:r w:rsidR="00B646AA" w:rsidRPr="00515872">
              <w:rPr>
                <w:rFonts w:cs="Tahoma"/>
                <w:szCs w:val="20"/>
              </w:rPr>
              <w:t xml:space="preserve"> talché esso risponde</w:t>
            </w:r>
            <w:r w:rsidRPr="00515872">
              <w:rPr>
                <w:rFonts w:cs="Tahoma"/>
                <w:szCs w:val="20"/>
              </w:rPr>
              <w:t xml:space="preserve">, per i danni cagionati all’ente locale, quando questi non si sarebbero prodotti se </w:t>
            </w:r>
            <w:r w:rsidR="00B646AA" w:rsidRPr="00515872">
              <w:rPr>
                <w:rFonts w:cs="Tahoma"/>
                <w:szCs w:val="20"/>
              </w:rPr>
              <w:t>i revisori</w:t>
            </w:r>
            <w:r w:rsidRPr="00515872">
              <w:rPr>
                <w:rFonts w:cs="Tahoma"/>
                <w:szCs w:val="20"/>
              </w:rPr>
              <w:t xml:space="preserve"> avessero vigilato in conformità agli obblighi imposti </w:t>
            </w:r>
            <w:r w:rsidR="00905189" w:rsidRPr="00515872">
              <w:rPr>
                <w:rFonts w:cs="Tahoma"/>
                <w:szCs w:val="20"/>
              </w:rPr>
              <w:t>in ragione de</w:t>
            </w:r>
            <w:r w:rsidRPr="00515872">
              <w:rPr>
                <w:rFonts w:cs="Tahoma"/>
                <w:szCs w:val="20"/>
              </w:rPr>
              <w:t>lla loro carica.</w:t>
            </w:r>
          </w:p>
          <w:p w14:paraId="3CC41C0D" w14:textId="77777777" w:rsidR="009518AF" w:rsidRPr="00515872" w:rsidRDefault="009518AF" w:rsidP="007C427B">
            <w:pPr>
              <w:spacing w:after="0" w:line="360" w:lineRule="auto"/>
              <w:jc w:val="both"/>
              <w:rPr>
                <w:rFonts w:cs="Tahoma"/>
                <w:szCs w:val="20"/>
              </w:rPr>
            </w:pPr>
            <w:r w:rsidRPr="00515872">
              <w:rPr>
                <w:rFonts w:cs="Tahoma"/>
                <w:szCs w:val="20"/>
              </w:rPr>
              <w:t>Tale responsabilità ricade sul</w:t>
            </w:r>
            <w:r w:rsidR="00B646AA" w:rsidRPr="00515872">
              <w:rPr>
                <w:rFonts w:cs="Tahoma"/>
                <w:szCs w:val="20"/>
              </w:rPr>
              <w:t>l’organo di</w:t>
            </w:r>
            <w:r w:rsidRPr="00515872">
              <w:rPr>
                <w:rFonts w:cs="Tahoma"/>
                <w:szCs w:val="20"/>
              </w:rPr>
              <w:t xml:space="preserve"> revis</w:t>
            </w:r>
            <w:r w:rsidR="00B646AA" w:rsidRPr="00515872">
              <w:rPr>
                <w:rFonts w:cs="Tahoma"/>
                <w:szCs w:val="20"/>
              </w:rPr>
              <w:t>ione</w:t>
            </w:r>
            <w:r w:rsidRPr="00515872">
              <w:rPr>
                <w:rFonts w:cs="Tahoma"/>
                <w:szCs w:val="20"/>
              </w:rPr>
              <w:t xml:space="preserve"> nelle ipotesi in cui lo stesso avrebbe potuto evitare un danno semplicemente vigilando in ottemperanza agli obblighi previsti per legge.</w:t>
            </w:r>
          </w:p>
        </w:tc>
      </w:tr>
      <w:tr w:rsidR="009518AF" w:rsidRPr="00515872" w14:paraId="79FAFFE2" w14:textId="77777777" w:rsidTr="007C427B">
        <w:trPr>
          <w:jc w:val="center"/>
        </w:trPr>
        <w:tc>
          <w:tcPr>
            <w:tcW w:w="2122" w:type="dxa"/>
          </w:tcPr>
          <w:p w14:paraId="055F1341" w14:textId="77777777" w:rsidR="009518AF" w:rsidRPr="00515872" w:rsidRDefault="009518AF" w:rsidP="007C427B">
            <w:pPr>
              <w:spacing w:after="0" w:line="360" w:lineRule="auto"/>
              <w:jc w:val="center"/>
              <w:rPr>
                <w:rFonts w:cs="Tahoma"/>
                <w:szCs w:val="20"/>
              </w:rPr>
            </w:pPr>
            <w:r w:rsidRPr="00515872">
              <w:rPr>
                <w:rFonts w:cs="Tahoma"/>
                <w:szCs w:val="20"/>
              </w:rPr>
              <w:t>Gravi irregolarità di gestione</w:t>
            </w:r>
            <w:r w:rsidRPr="00515872">
              <w:rPr>
                <w:rFonts w:cs="Tahoma"/>
                <w:szCs w:val="20"/>
              </w:rPr>
              <w:br/>
              <w:t>e obbligo di denuncia</w:t>
            </w:r>
          </w:p>
        </w:tc>
        <w:tc>
          <w:tcPr>
            <w:tcW w:w="7506" w:type="dxa"/>
          </w:tcPr>
          <w:p w14:paraId="2B725ADD" w14:textId="77777777" w:rsidR="009518AF" w:rsidRPr="00515872" w:rsidRDefault="009518AF" w:rsidP="007C427B">
            <w:pPr>
              <w:spacing w:after="0" w:line="360" w:lineRule="auto"/>
              <w:jc w:val="both"/>
              <w:rPr>
                <w:rFonts w:cs="Tahoma"/>
                <w:szCs w:val="20"/>
              </w:rPr>
            </w:pPr>
            <w:r w:rsidRPr="00515872">
              <w:rPr>
                <w:rFonts w:cs="Tahoma"/>
                <w:szCs w:val="20"/>
              </w:rPr>
              <w:t>Ai sensi dell’art. 239, c. 1, lett. e), del TUEL, l’organo di revisione deve riferire al consiglio dell’ente sulle gravi irregolarità di gestione ed è obbligato alla denuncia di tali fatti ai competenti organi giurisdizionali.</w:t>
            </w:r>
          </w:p>
          <w:p w14:paraId="5D14973E" w14:textId="77777777" w:rsidR="009518AF" w:rsidRPr="00515872" w:rsidRDefault="009518AF" w:rsidP="007C427B">
            <w:pPr>
              <w:spacing w:after="0" w:line="360" w:lineRule="auto"/>
              <w:jc w:val="both"/>
              <w:rPr>
                <w:rFonts w:cs="Tahoma"/>
                <w:szCs w:val="20"/>
              </w:rPr>
            </w:pPr>
            <w:r w:rsidRPr="00515872">
              <w:rPr>
                <w:rFonts w:cs="Tahoma"/>
                <w:szCs w:val="20"/>
              </w:rPr>
              <w:t>In questi casi, come affermato dalla Corte dei Conti con deliberazione n. 2/92, i revisori sono strumento per l’accertamento delle responsabilità altrui, avendo l’obbligo, ove riscontrino gravi irregolarità nella gestione dell’ente, di riferire immediatamente al consiglio.</w:t>
            </w:r>
          </w:p>
        </w:tc>
      </w:tr>
    </w:tbl>
    <w:p w14:paraId="2D37838E" w14:textId="77777777" w:rsidR="00D921F9" w:rsidRPr="00515872" w:rsidRDefault="00D921F9" w:rsidP="009518AF">
      <w:pPr>
        <w:spacing w:line="360" w:lineRule="auto"/>
        <w:jc w:val="both"/>
        <w:rPr>
          <w:rFonts w:cs="Tahoma"/>
          <w:szCs w:val="20"/>
        </w:rPr>
      </w:pPr>
    </w:p>
    <w:p w14:paraId="45BE9B34" w14:textId="77777777" w:rsidR="009518AF" w:rsidRPr="00515872" w:rsidRDefault="009518AF" w:rsidP="009518AF">
      <w:pPr>
        <w:pStyle w:val="Sottoparagrafo"/>
        <w:rPr>
          <w:rFonts w:eastAsia="MS Gothic" w:cs="Tahoma"/>
          <w:kern w:val="28"/>
        </w:rPr>
      </w:pPr>
      <w:bookmarkStart w:id="67" w:name="_Toc521317065"/>
      <w:bookmarkStart w:id="68" w:name="_Toc95912242"/>
      <w:r w:rsidRPr="00515872">
        <w:rPr>
          <w:rFonts w:cs="Tahoma"/>
        </w:rPr>
        <w:t>3.7.2 La responsabilità penale</w:t>
      </w:r>
      <w:bookmarkEnd w:id="67"/>
      <w:bookmarkEnd w:id="68"/>
    </w:p>
    <w:p w14:paraId="3C54F1B5" w14:textId="77777777" w:rsidR="00905189" w:rsidRPr="00515872" w:rsidRDefault="009518AF" w:rsidP="009518AF">
      <w:pPr>
        <w:spacing w:line="360" w:lineRule="auto"/>
        <w:jc w:val="both"/>
        <w:rPr>
          <w:rFonts w:cs="Tahoma"/>
          <w:i/>
          <w:szCs w:val="20"/>
        </w:rPr>
      </w:pPr>
      <w:r w:rsidRPr="00515872">
        <w:rPr>
          <w:rFonts w:cs="Tahoma"/>
          <w:szCs w:val="20"/>
        </w:rPr>
        <w:t xml:space="preserve">Le ipotesi di responsabilità penale del revisore sono legate alla qualifica di </w:t>
      </w:r>
      <w:r w:rsidRPr="00515872">
        <w:rPr>
          <w:rFonts w:cs="Tahoma"/>
          <w:b/>
          <w:szCs w:val="20"/>
        </w:rPr>
        <w:t>pubblico ufficiale</w:t>
      </w:r>
      <w:r w:rsidRPr="00515872">
        <w:rPr>
          <w:rFonts w:cs="Tahoma"/>
          <w:szCs w:val="20"/>
        </w:rPr>
        <w:t xml:space="preserve"> che esso riveste </w:t>
      </w:r>
      <w:r w:rsidRPr="00515872">
        <w:rPr>
          <w:rFonts w:cs="Tahoma"/>
          <w:b/>
          <w:szCs w:val="20"/>
        </w:rPr>
        <w:t>nell’esercizio delle proprie funzioni</w:t>
      </w:r>
      <w:r w:rsidRPr="00515872">
        <w:rPr>
          <w:rFonts w:cs="Tahoma"/>
          <w:szCs w:val="20"/>
        </w:rPr>
        <w:t xml:space="preserve">, ai sensi dell’art. 357 del Codice Penale. Questo prevede che </w:t>
      </w:r>
      <w:r w:rsidRPr="00515872">
        <w:rPr>
          <w:rFonts w:cs="Tahoma"/>
          <w:i/>
          <w:szCs w:val="20"/>
        </w:rPr>
        <w:t>“Agli effetti della legge penale, sono pubblici ufficiali coloro i quali esercitano una pubblica funzione legislativa, giudiziaria o amministrativa.</w:t>
      </w:r>
    </w:p>
    <w:p w14:paraId="21C98219" w14:textId="77777777" w:rsidR="009518AF" w:rsidRPr="00515872" w:rsidRDefault="009518AF" w:rsidP="009518AF">
      <w:pPr>
        <w:spacing w:line="360" w:lineRule="auto"/>
        <w:jc w:val="both"/>
        <w:rPr>
          <w:rFonts w:cs="Tahoma"/>
          <w:szCs w:val="20"/>
        </w:rPr>
      </w:pPr>
      <w:r w:rsidRPr="00515872">
        <w:rPr>
          <w:rFonts w:cs="Tahoma"/>
          <w:i/>
          <w:szCs w:val="20"/>
        </w:rPr>
        <w:t>Agli stessi effetti è pubblica la funzione amministrativa disciplinata da norme di diritto pubblico e da atti autoritativi, e caratterizzata dalla formazione e dalla manifestazione della volontà della pubblica amministrazione o dal suo svolgersi per mezzo di poteri autoritativi o certificativi”.</w:t>
      </w:r>
      <w:r w:rsidRPr="00515872">
        <w:rPr>
          <w:rFonts w:cs="Tahoma"/>
          <w:szCs w:val="20"/>
        </w:rPr>
        <w:t xml:space="preserve"> </w:t>
      </w:r>
    </w:p>
    <w:p w14:paraId="4A90CEA6" w14:textId="77777777" w:rsidR="009518AF" w:rsidRPr="00515872" w:rsidRDefault="009518AF" w:rsidP="009518AF">
      <w:pPr>
        <w:spacing w:after="0" w:line="360" w:lineRule="auto"/>
        <w:jc w:val="both"/>
        <w:rPr>
          <w:rFonts w:cs="Tahoma"/>
          <w:szCs w:val="20"/>
        </w:rPr>
      </w:pPr>
      <w:r w:rsidRPr="00515872">
        <w:rPr>
          <w:rFonts w:cs="Tahoma"/>
          <w:szCs w:val="20"/>
        </w:rPr>
        <w:t>La condotta del revisore suscettibile di essere qualificata come reato può essere:</w:t>
      </w:r>
    </w:p>
    <w:p w14:paraId="3054A0C7" w14:textId="77777777" w:rsidR="009518AF" w:rsidRPr="00515872" w:rsidRDefault="009518AF" w:rsidP="009518AF">
      <w:pPr>
        <w:pStyle w:val="Paragrafoelenco"/>
        <w:numPr>
          <w:ilvl w:val="0"/>
          <w:numId w:val="10"/>
        </w:numPr>
        <w:spacing w:line="360" w:lineRule="auto"/>
        <w:jc w:val="both"/>
        <w:rPr>
          <w:rFonts w:cs="Tahoma"/>
          <w:szCs w:val="20"/>
        </w:rPr>
      </w:pPr>
      <w:r w:rsidRPr="00515872">
        <w:rPr>
          <w:rFonts w:cs="Tahoma"/>
          <w:b/>
          <w:szCs w:val="20"/>
        </w:rPr>
        <w:t>commissiva</w:t>
      </w:r>
      <w:r w:rsidRPr="00515872">
        <w:rPr>
          <w:rFonts w:cs="Tahoma"/>
          <w:szCs w:val="20"/>
        </w:rPr>
        <w:t>: presupponendo un comportamento attivo del revisore nella commissione del reato;</w:t>
      </w:r>
    </w:p>
    <w:p w14:paraId="39A8D067" w14:textId="77777777" w:rsidR="009518AF" w:rsidRPr="00515872" w:rsidRDefault="009518AF" w:rsidP="009518AF">
      <w:pPr>
        <w:pStyle w:val="Paragrafoelenco"/>
        <w:numPr>
          <w:ilvl w:val="0"/>
          <w:numId w:val="10"/>
        </w:numPr>
        <w:spacing w:line="360" w:lineRule="auto"/>
        <w:jc w:val="both"/>
        <w:rPr>
          <w:rFonts w:cs="Tahoma"/>
          <w:szCs w:val="20"/>
        </w:rPr>
      </w:pPr>
      <w:r w:rsidRPr="00515872">
        <w:rPr>
          <w:rFonts w:cs="Tahoma"/>
          <w:b/>
          <w:szCs w:val="20"/>
        </w:rPr>
        <w:t>omissiva</w:t>
      </w:r>
      <w:r w:rsidRPr="00515872">
        <w:rPr>
          <w:rFonts w:cs="Tahoma"/>
          <w:szCs w:val="20"/>
        </w:rPr>
        <w:t>: presupponendo l’inerzia del revisore di fronte ad un obbligo che la legge prevede a suo carico.</w:t>
      </w:r>
    </w:p>
    <w:p w14:paraId="1C4FDEA8" w14:textId="77777777" w:rsidR="00C03D30" w:rsidRPr="00515872" w:rsidRDefault="009518AF" w:rsidP="009518AF">
      <w:pPr>
        <w:spacing w:line="360" w:lineRule="auto"/>
        <w:jc w:val="both"/>
        <w:rPr>
          <w:rFonts w:cs="Tahoma"/>
          <w:szCs w:val="20"/>
        </w:rPr>
      </w:pPr>
      <w:r w:rsidRPr="00515872">
        <w:rPr>
          <w:rFonts w:cs="Tahoma"/>
          <w:szCs w:val="20"/>
        </w:rPr>
        <w:t>Le fattispecie di responsabilità penali imputabili al revisore possono essere così sintetizzate:</w:t>
      </w:r>
    </w:p>
    <w:tbl>
      <w:tblPr>
        <w:tblStyle w:val="Grigliatabella"/>
        <w:tblW w:w="0" w:type="auto"/>
        <w:jc w:val="center"/>
        <w:tblLook w:val="04A0" w:firstRow="1" w:lastRow="0" w:firstColumn="1" w:lastColumn="0" w:noHBand="0" w:noVBand="1"/>
      </w:tblPr>
      <w:tblGrid>
        <w:gridCol w:w="2153"/>
        <w:gridCol w:w="7475"/>
      </w:tblGrid>
      <w:tr w:rsidR="007C427B" w:rsidRPr="00515872" w14:paraId="5C54987D" w14:textId="77777777" w:rsidTr="00EA779E">
        <w:trPr>
          <w:jc w:val="center"/>
        </w:trPr>
        <w:tc>
          <w:tcPr>
            <w:tcW w:w="2165" w:type="dxa"/>
            <w:shd w:val="clear" w:color="auto" w:fill="DBE5F1" w:themeFill="accent1" w:themeFillTint="33"/>
          </w:tcPr>
          <w:p w14:paraId="3F1D8156" w14:textId="77777777" w:rsidR="007C427B" w:rsidRPr="00515872" w:rsidRDefault="007C427B" w:rsidP="00EA779E">
            <w:pPr>
              <w:spacing w:after="0" w:line="360" w:lineRule="auto"/>
              <w:jc w:val="center"/>
              <w:rPr>
                <w:rFonts w:cs="Tahoma"/>
                <w:b/>
                <w:color w:val="231F20"/>
                <w:szCs w:val="20"/>
              </w:rPr>
            </w:pPr>
            <w:r w:rsidRPr="00515872">
              <w:rPr>
                <w:rFonts w:cs="Tahoma"/>
                <w:b/>
                <w:color w:val="231F20"/>
                <w:szCs w:val="20"/>
              </w:rPr>
              <w:lastRenderedPageBreak/>
              <w:t>Tipologia di illecito</w:t>
            </w:r>
          </w:p>
        </w:tc>
        <w:tc>
          <w:tcPr>
            <w:tcW w:w="7543" w:type="dxa"/>
            <w:shd w:val="clear" w:color="auto" w:fill="DBE5F1" w:themeFill="accent1" w:themeFillTint="33"/>
          </w:tcPr>
          <w:p w14:paraId="69F7A3D2" w14:textId="77777777" w:rsidR="007C427B" w:rsidRPr="00515872" w:rsidRDefault="007C427B" w:rsidP="00EA779E">
            <w:pPr>
              <w:spacing w:after="0" w:line="360" w:lineRule="auto"/>
              <w:jc w:val="center"/>
              <w:rPr>
                <w:rFonts w:cs="Tahoma"/>
                <w:b/>
                <w:color w:val="231F20"/>
                <w:szCs w:val="20"/>
              </w:rPr>
            </w:pPr>
            <w:r w:rsidRPr="00515872">
              <w:rPr>
                <w:rFonts w:cs="Tahoma"/>
                <w:b/>
                <w:color w:val="231F20"/>
                <w:szCs w:val="20"/>
              </w:rPr>
              <w:t>Responsabilità</w:t>
            </w:r>
          </w:p>
        </w:tc>
      </w:tr>
      <w:tr w:rsidR="009518AF" w:rsidRPr="00515872" w14:paraId="7964ADB3" w14:textId="77777777" w:rsidTr="009063EA">
        <w:trPr>
          <w:jc w:val="center"/>
        </w:trPr>
        <w:tc>
          <w:tcPr>
            <w:tcW w:w="2165" w:type="dxa"/>
          </w:tcPr>
          <w:p w14:paraId="346ACE26" w14:textId="77777777" w:rsidR="009518AF" w:rsidRPr="00515872" w:rsidRDefault="009518AF" w:rsidP="007C427B">
            <w:pPr>
              <w:spacing w:after="0" w:line="360" w:lineRule="auto"/>
              <w:rPr>
                <w:rFonts w:cs="Tahoma"/>
                <w:color w:val="231F20"/>
                <w:szCs w:val="20"/>
              </w:rPr>
            </w:pPr>
            <w:r w:rsidRPr="00515872">
              <w:rPr>
                <w:rFonts w:cs="Tahoma"/>
                <w:color w:val="231F20"/>
                <w:szCs w:val="20"/>
              </w:rPr>
              <w:t>Abuso d’ufficio</w:t>
            </w:r>
          </w:p>
          <w:p w14:paraId="00736060" w14:textId="77777777" w:rsidR="009518AF" w:rsidRPr="00515872" w:rsidRDefault="009518AF" w:rsidP="007C427B">
            <w:pPr>
              <w:spacing w:after="0" w:line="360" w:lineRule="auto"/>
              <w:rPr>
                <w:rFonts w:cs="Tahoma"/>
                <w:szCs w:val="20"/>
              </w:rPr>
            </w:pPr>
            <w:r w:rsidRPr="00515872">
              <w:rPr>
                <w:rFonts w:cs="Tahoma"/>
                <w:i/>
                <w:iCs/>
                <w:color w:val="231F20"/>
                <w:szCs w:val="20"/>
              </w:rPr>
              <w:t>Art. 323 C.P.</w:t>
            </w:r>
          </w:p>
        </w:tc>
        <w:tc>
          <w:tcPr>
            <w:tcW w:w="7543" w:type="dxa"/>
          </w:tcPr>
          <w:p w14:paraId="6544EACF" w14:textId="77777777" w:rsidR="009518AF" w:rsidRPr="00515872" w:rsidRDefault="009518AF" w:rsidP="009975EA">
            <w:pPr>
              <w:spacing w:after="0" w:line="360" w:lineRule="auto"/>
              <w:jc w:val="both"/>
              <w:rPr>
                <w:rFonts w:cs="Tahoma"/>
                <w:i/>
                <w:color w:val="231F20"/>
                <w:szCs w:val="20"/>
              </w:rPr>
            </w:pPr>
            <w:r w:rsidRPr="00515872">
              <w:rPr>
                <w:rFonts w:cs="Tahoma"/>
                <w:i/>
                <w:color w:val="231F20"/>
                <w:szCs w:val="20"/>
              </w:rPr>
              <w:t>“Salvo che il fatto non costituisca un più grave reato, il pubblico ufficiale o l’incaricato di pubblico servizio che, nello svolgimento delle funzioni o del servizio, in violazione di norme di legge o di regolamento, ovvero omettendo di astenersi in presenza di un interesse proprio o di un prossimo congiunto o negli altri casi prescritti, intenzionalmente procura a sé o ad altri un ingiusto vantaggio</w:t>
            </w:r>
            <w:r w:rsidR="00B008E1" w:rsidRPr="00515872">
              <w:rPr>
                <w:rFonts w:cs="Tahoma"/>
                <w:i/>
                <w:color w:val="231F20"/>
                <w:szCs w:val="20"/>
              </w:rPr>
              <w:t xml:space="preserve"> </w:t>
            </w:r>
            <w:r w:rsidRPr="00515872">
              <w:rPr>
                <w:rFonts w:cs="Tahoma"/>
                <w:i/>
                <w:color w:val="231F20"/>
                <w:szCs w:val="20"/>
              </w:rPr>
              <w:t xml:space="preserve">patrimoniale ovvero arreca ad altri un danno ingiusto è punito con la reclusione da </w:t>
            </w:r>
            <w:r w:rsidR="00B008E1" w:rsidRPr="00515872">
              <w:rPr>
                <w:rFonts w:cs="Tahoma"/>
                <w:i/>
                <w:color w:val="231F20"/>
                <w:szCs w:val="20"/>
              </w:rPr>
              <w:t>1</w:t>
            </w:r>
            <w:r w:rsidR="009975EA" w:rsidRPr="00515872">
              <w:rPr>
                <w:rFonts w:cs="Tahoma"/>
                <w:i/>
                <w:color w:val="231F20"/>
                <w:szCs w:val="20"/>
              </w:rPr>
              <w:t xml:space="preserve"> a </w:t>
            </w:r>
            <w:r w:rsidR="00B008E1" w:rsidRPr="00515872">
              <w:rPr>
                <w:rFonts w:cs="Tahoma"/>
                <w:i/>
                <w:color w:val="231F20"/>
                <w:szCs w:val="20"/>
              </w:rPr>
              <w:t>4</w:t>
            </w:r>
            <w:r w:rsidR="00C640BD" w:rsidRPr="00515872">
              <w:rPr>
                <w:rFonts w:cs="Tahoma"/>
                <w:i/>
                <w:color w:val="231F20"/>
                <w:szCs w:val="20"/>
              </w:rPr>
              <w:t xml:space="preserve"> anni</w:t>
            </w:r>
            <w:r w:rsidRPr="00515872">
              <w:rPr>
                <w:rFonts w:cs="Tahoma"/>
                <w:i/>
                <w:color w:val="231F20"/>
                <w:szCs w:val="20"/>
              </w:rPr>
              <w:t>. La pena è aumentata nei casi in cui il vantaggio o il danno hanno un carattere di rilevante gravità”</w:t>
            </w:r>
            <w:r w:rsidR="00F602CF" w:rsidRPr="00515872">
              <w:rPr>
                <w:rStyle w:val="Rimandonotaapidipagina"/>
                <w:rFonts w:cs="Tahoma"/>
                <w:i/>
                <w:color w:val="231F20"/>
                <w:szCs w:val="20"/>
              </w:rPr>
              <w:footnoteReference w:id="23"/>
            </w:r>
            <w:r w:rsidRPr="00515872">
              <w:rPr>
                <w:rFonts w:cs="Tahoma"/>
                <w:i/>
                <w:color w:val="231F20"/>
                <w:szCs w:val="20"/>
              </w:rPr>
              <w:t>.</w:t>
            </w:r>
          </w:p>
          <w:p w14:paraId="1FF10049" w14:textId="77777777" w:rsidR="009518AF" w:rsidRPr="00515872" w:rsidRDefault="009518AF" w:rsidP="00246E11">
            <w:pPr>
              <w:spacing w:after="0" w:line="360" w:lineRule="auto"/>
              <w:jc w:val="both"/>
              <w:rPr>
                <w:rFonts w:cs="Tahoma"/>
                <w:color w:val="231F20"/>
                <w:szCs w:val="20"/>
              </w:rPr>
            </w:pPr>
            <w:r w:rsidRPr="00515872">
              <w:rPr>
                <w:rFonts w:cs="Tahoma"/>
                <w:color w:val="231F20"/>
                <w:szCs w:val="20"/>
              </w:rPr>
              <w:t>Il revisore incorre in tale reato quando eccede i limiti del proprio mandato oppure non osserva le norme che disciplinano la propria attività ovvero fa uso dei</w:t>
            </w:r>
            <w:r w:rsidR="00BF7A11" w:rsidRPr="00515872">
              <w:rPr>
                <w:rFonts w:cs="Tahoma"/>
                <w:color w:val="231F20"/>
                <w:szCs w:val="20"/>
              </w:rPr>
              <w:t xml:space="preserve"> propri</w:t>
            </w:r>
            <w:r w:rsidRPr="00515872">
              <w:rPr>
                <w:rFonts w:cs="Tahoma"/>
                <w:color w:val="231F20"/>
                <w:szCs w:val="20"/>
              </w:rPr>
              <w:t xml:space="preserve"> poteri discrezionali per uno scopo diverso da quello per cui gli sono stati conferiti.</w:t>
            </w:r>
          </w:p>
          <w:p w14:paraId="7BA4C3D6" w14:textId="77777777" w:rsidR="009518AF" w:rsidRPr="00515872" w:rsidRDefault="009518AF" w:rsidP="00246E11">
            <w:pPr>
              <w:spacing w:after="0" w:line="360" w:lineRule="auto"/>
              <w:jc w:val="both"/>
              <w:rPr>
                <w:rFonts w:cs="Tahoma"/>
                <w:color w:val="231F20"/>
                <w:szCs w:val="20"/>
              </w:rPr>
            </w:pPr>
            <w:r w:rsidRPr="00515872">
              <w:rPr>
                <w:rFonts w:cs="Tahoma"/>
                <w:color w:val="231F20"/>
                <w:szCs w:val="20"/>
              </w:rPr>
              <w:t xml:space="preserve">È un reato residuale di cui il revisore risponde </w:t>
            </w:r>
            <w:r w:rsidRPr="00515872">
              <w:rPr>
                <w:rFonts w:cs="Tahoma"/>
                <w:b/>
                <w:color w:val="231F20"/>
                <w:szCs w:val="20"/>
              </w:rPr>
              <w:t>salvo che il fatto non costituisca un reato più grave</w:t>
            </w:r>
            <w:r w:rsidRPr="00515872">
              <w:rPr>
                <w:rFonts w:cs="Tahoma"/>
                <w:color w:val="231F20"/>
                <w:szCs w:val="20"/>
              </w:rPr>
              <w:t>, nel qual caso l’abuso d’ufficio si ritiene assorbito e il revisore risponde solo del reato più grave.</w:t>
            </w:r>
          </w:p>
          <w:p w14:paraId="7AF9E858" w14:textId="77777777" w:rsidR="009518AF" w:rsidRPr="00515872" w:rsidRDefault="009518AF" w:rsidP="00AE3914">
            <w:pPr>
              <w:spacing w:after="0" w:line="360" w:lineRule="auto"/>
              <w:jc w:val="both"/>
              <w:rPr>
                <w:rFonts w:cs="Tahoma"/>
                <w:color w:val="231F20"/>
                <w:szCs w:val="20"/>
              </w:rPr>
            </w:pPr>
            <w:r w:rsidRPr="00515872">
              <w:rPr>
                <w:rFonts w:cs="Tahoma"/>
                <w:color w:val="231F20"/>
                <w:szCs w:val="20"/>
              </w:rPr>
              <w:t>Affinché il reato sia consumato occo</w:t>
            </w:r>
            <w:r w:rsidR="006E3F1B" w:rsidRPr="00515872">
              <w:rPr>
                <w:rFonts w:cs="Tahoma"/>
                <w:color w:val="231F20"/>
                <w:szCs w:val="20"/>
              </w:rPr>
              <w:t>rrono</w:t>
            </w:r>
            <w:r w:rsidRPr="00515872">
              <w:rPr>
                <w:rFonts w:cs="Tahoma"/>
                <w:color w:val="231F20"/>
                <w:szCs w:val="20"/>
              </w:rPr>
              <w:t xml:space="preserve"> sia dolo generico che specifico</w:t>
            </w:r>
            <w:r w:rsidRPr="00515872">
              <w:rPr>
                <w:rStyle w:val="Rimandonotaapidipagina"/>
                <w:rFonts w:cs="Tahoma"/>
                <w:color w:val="231F20"/>
                <w:szCs w:val="20"/>
              </w:rPr>
              <w:footnoteReference w:id="24"/>
            </w:r>
            <w:r w:rsidRPr="00515872">
              <w:rPr>
                <w:rFonts w:cs="Tahoma"/>
                <w:color w:val="231F20"/>
                <w:szCs w:val="20"/>
              </w:rPr>
              <w:t>.</w:t>
            </w:r>
          </w:p>
          <w:p w14:paraId="60535EB2" w14:textId="77777777" w:rsidR="009518AF" w:rsidRPr="00515872" w:rsidRDefault="009518AF" w:rsidP="00AE3914">
            <w:pPr>
              <w:spacing w:after="0" w:line="360" w:lineRule="auto"/>
              <w:jc w:val="both"/>
              <w:rPr>
                <w:rFonts w:cs="Tahoma"/>
                <w:szCs w:val="20"/>
              </w:rPr>
            </w:pPr>
            <w:r w:rsidRPr="00515872">
              <w:rPr>
                <w:rFonts w:cs="Tahoma"/>
                <w:color w:val="231F20"/>
                <w:szCs w:val="20"/>
              </w:rPr>
              <w:t>Sono previste circostanze attenuanti quando venga accertato che i fatti imputati siano di particolare tenuità, disponendo una riduzione</w:t>
            </w:r>
            <w:r w:rsidRPr="00515872">
              <w:rPr>
                <w:rFonts w:cs="Tahoma"/>
                <w:i/>
                <w:iCs/>
                <w:color w:val="231F20"/>
                <w:szCs w:val="20"/>
              </w:rPr>
              <w:t xml:space="preserve"> </w:t>
            </w:r>
            <w:r w:rsidRPr="00515872">
              <w:rPr>
                <w:rFonts w:cs="Tahoma"/>
                <w:color w:val="231F20"/>
                <w:szCs w:val="20"/>
              </w:rPr>
              <w:t>delle pene.</w:t>
            </w:r>
          </w:p>
        </w:tc>
      </w:tr>
      <w:tr w:rsidR="009518AF" w:rsidRPr="00515872" w14:paraId="0BB57793" w14:textId="77777777" w:rsidTr="009063EA">
        <w:trPr>
          <w:jc w:val="center"/>
        </w:trPr>
        <w:tc>
          <w:tcPr>
            <w:tcW w:w="2165" w:type="dxa"/>
          </w:tcPr>
          <w:p w14:paraId="2668A078" w14:textId="77777777" w:rsidR="009518AF" w:rsidRPr="00515872" w:rsidRDefault="009518AF" w:rsidP="007C427B">
            <w:pPr>
              <w:spacing w:after="0" w:line="360" w:lineRule="auto"/>
              <w:rPr>
                <w:rFonts w:cs="Tahoma"/>
                <w:color w:val="231F20"/>
                <w:szCs w:val="20"/>
              </w:rPr>
            </w:pPr>
            <w:r w:rsidRPr="00515872">
              <w:rPr>
                <w:rFonts w:cs="Tahoma"/>
                <w:color w:val="231F20"/>
                <w:szCs w:val="20"/>
              </w:rPr>
              <w:t>Rifiuto di atti d’ufficio. Omissione</w:t>
            </w:r>
          </w:p>
          <w:p w14:paraId="16E0D990" w14:textId="77777777" w:rsidR="009518AF" w:rsidRPr="00515872" w:rsidRDefault="009518AF" w:rsidP="007C427B">
            <w:pPr>
              <w:spacing w:after="0" w:line="360" w:lineRule="auto"/>
              <w:rPr>
                <w:rFonts w:cs="Tahoma"/>
                <w:szCs w:val="20"/>
              </w:rPr>
            </w:pPr>
            <w:r w:rsidRPr="00515872">
              <w:rPr>
                <w:rFonts w:cs="Tahoma"/>
                <w:i/>
                <w:iCs/>
                <w:color w:val="231F20"/>
                <w:szCs w:val="20"/>
              </w:rPr>
              <w:t>Art. 328 C.P.</w:t>
            </w:r>
          </w:p>
        </w:tc>
        <w:tc>
          <w:tcPr>
            <w:tcW w:w="7543" w:type="dxa"/>
          </w:tcPr>
          <w:p w14:paraId="4B07251B" w14:textId="77777777" w:rsidR="00BF7A11" w:rsidRPr="00515872" w:rsidRDefault="009518AF" w:rsidP="00246E11">
            <w:pPr>
              <w:spacing w:after="0" w:line="360" w:lineRule="auto"/>
              <w:jc w:val="both"/>
              <w:rPr>
                <w:rFonts w:cs="Tahoma"/>
                <w:i/>
                <w:color w:val="231F20"/>
                <w:szCs w:val="20"/>
              </w:rPr>
            </w:pPr>
            <w:r w:rsidRPr="00515872">
              <w:rPr>
                <w:rFonts w:cs="Tahoma"/>
                <w:i/>
                <w:color w:val="231F20"/>
                <w:szCs w:val="20"/>
              </w:rPr>
              <w:t>“Il pubblico ufficiale o l’incaricato di un pubblico servizio, che indebitamente rifiuta un atto del suo ufficio che, per ragioni di giustizia o di sicurezza pubblica, o di ordine pubblico o di igiene e sanità, deve essere compiuto senza ritardo, è punito con la</w:t>
            </w:r>
            <w:r w:rsidR="00BF7A11" w:rsidRPr="00515872">
              <w:rPr>
                <w:rFonts w:cs="Tahoma"/>
                <w:i/>
                <w:color w:val="231F20"/>
                <w:szCs w:val="20"/>
              </w:rPr>
              <w:t xml:space="preserve"> reclusione da 6 mesi a 2 anni.</w:t>
            </w:r>
          </w:p>
          <w:p w14:paraId="6C2754B2" w14:textId="77777777" w:rsidR="009518AF" w:rsidRPr="00515872" w:rsidRDefault="009518AF" w:rsidP="00246E11">
            <w:pPr>
              <w:spacing w:after="0" w:line="360" w:lineRule="auto"/>
              <w:jc w:val="both"/>
              <w:rPr>
                <w:rFonts w:cs="Tahoma"/>
                <w:i/>
                <w:color w:val="231F20"/>
                <w:szCs w:val="20"/>
              </w:rPr>
            </w:pPr>
            <w:r w:rsidRPr="00515872">
              <w:rPr>
                <w:rFonts w:cs="Tahoma"/>
                <w:i/>
                <w:color w:val="231F20"/>
                <w:szCs w:val="20"/>
              </w:rPr>
              <w:t>Fuori dei casi previsti dal primo comma, il pubblico ufficiale o l’incaricato di un pubblico servizio, che entro 30 giorni dalla richiesta di chi vi abbia interesse non compie l’atto del suo ufficio e non risponde per esporre le ragioni del ritardo, è punito con la reclusione fino ad 1 anno o con la multa fino a € 1.032. Tale richiesta deve essere redatta in forma scritta ed il termine di 30 giorni decorre dalla ricezione della richiesta stessa”.</w:t>
            </w:r>
          </w:p>
          <w:p w14:paraId="3BE93357" w14:textId="77777777" w:rsidR="009518AF" w:rsidRPr="00515872" w:rsidRDefault="009518AF" w:rsidP="00AE3914">
            <w:pPr>
              <w:spacing w:after="0" w:line="360" w:lineRule="auto"/>
              <w:jc w:val="both"/>
              <w:rPr>
                <w:rFonts w:cs="Tahoma"/>
                <w:color w:val="231F20"/>
                <w:szCs w:val="20"/>
              </w:rPr>
            </w:pPr>
            <w:r w:rsidRPr="00515872">
              <w:rPr>
                <w:rFonts w:cs="Tahoma"/>
                <w:color w:val="231F20"/>
                <w:szCs w:val="20"/>
              </w:rPr>
              <w:t xml:space="preserve">La norma colpisce quelle </w:t>
            </w:r>
            <w:r w:rsidR="00281E3B" w:rsidRPr="00515872">
              <w:rPr>
                <w:rFonts w:cs="Tahoma"/>
                <w:color w:val="231F20"/>
                <w:szCs w:val="20"/>
              </w:rPr>
              <w:t>condotte del pubblico ufficiale</w:t>
            </w:r>
            <w:r w:rsidRPr="00515872">
              <w:rPr>
                <w:rFonts w:cs="Tahoma"/>
                <w:color w:val="231F20"/>
                <w:szCs w:val="20"/>
              </w:rPr>
              <w:t xml:space="preserve"> aventi carattere di inerzia e di ostacolo all’esecuzione di un atto o di una richiesta che deve essere eseguita in breve tempo, comportando un danno per chi è portatore di un interesse pubblico.</w:t>
            </w:r>
          </w:p>
          <w:p w14:paraId="7C63620D" w14:textId="77777777" w:rsidR="00CF48AE" w:rsidRPr="00515872" w:rsidRDefault="009518AF" w:rsidP="00AE3914">
            <w:pPr>
              <w:spacing w:after="0" w:line="360" w:lineRule="auto"/>
              <w:jc w:val="both"/>
              <w:rPr>
                <w:rFonts w:cs="Tahoma"/>
                <w:color w:val="231F20"/>
                <w:szCs w:val="20"/>
              </w:rPr>
            </w:pPr>
            <w:r w:rsidRPr="00515872">
              <w:rPr>
                <w:rFonts w:cs="Tahoma"/>
                <w:color w:val="231F20"/>
                <w:szCs w:val="20"/>
              </w:rPr>
              <w:lastRenderedPageBreak/>
              <w:t>In tal senso</w:t>
            </w:r>
            <w:r w:rsidR="006E3F1B" w:rsidRPr="00515872">
              <w:rPr>
                <w:rFonts w:cs="Tahoma"/>
                <w:color w:val="231F20"/>
                <w:szCs w:val="20"/>
              </w:rPr>
              <w:t>,</w:t>
            </w:r>
            <w:r w:rsidRPr="00515872">
              <w:rPr>
                <w:rFonts w:cs="Tahoma"/>
                <w:color w:val="231F20"/>
                <w:szCs w:val="20"/>
              </w:rPr>
              <w:t xml:space="preserve"> diviene responsabile il revisore che, in veste di pubblico ufficiale, entro la scadenza prevista per la richiesta, non adempie all’esecuzione dell’atto</w:t>
            </w:r>
            <w:r w:rsidR="00CF48AE" w:rsidRPr="00515872">
              <w:rPr>
                <w:rFonts w:cs="Tahoma"/>
                <w:color w:val="231F20"/>
                <w:szCs w:val="20"/>
              </w:rPr>
              <w:t xml:space="preserve"> in modo intenzionale</w:t>
            </w:r>
            <w:r w:rsidRPr="00515872">
              <w:rPr>
                <w:rFonts w:cs="Tahoma"/>
                <w:color w:val="231F20"/>
                <w:szCs w:val="20"/>
              </w:rPr>
              <w:t xml:space="preserve"> e non comunica le ragioni dell’impedimento.</w:t>
            </w:r>
          </w:p>
        </w:tc>
      </w:tr>
      <w:tr w:rsidR="009518AF" w:rsidRPr="00515872" w14:paraId="2787DD39" w14:textId="77777777" w:rsidTr="009063EA">
        <w:trPr>
          <w:jc w:val="center"/>
        </w:trPr>
        <w:tc>
          <w:tcPr>
            <w:tcW w:w="2165" w:type="dxa"/>
          </w:tcPr>
          <w:p w14:paraId="4BB8F6C7" w14:textId="77777777" w:rsidR="009518AF" w:rsidRPr="00515872" w:rsidRDefault="009518AF" w:rsidP="007C427B">
            <w:pPr>
              <w:spacing w:after="0" w:line="360" w:lineRule="auto"/>
              <w:rPr>
                <w:rFonts w:cs="Tahoma"/>
                <w:color w:val="231F20"/>
                <w:szCs w:val="20"/>
              </w:rPr>
            </w:pPr>
            <w:r w:rsidRPr="00515872">
              <w:rPr>
                <w:rFonts w:cs="Tahoma"/>
                <w:color w:val="231F20"/>
                <w:szCs w:val="20"/>
              </w:rPr>
              <w:t>Falsità ideologica in atti pubblici</w:t>
            </w:r>
          </w:p>
          <w:p w14:paraId="11E008DD" w14:textId="77777777" w:rsidR="009518AF" w:rsidRPr="00515872" w:rsidRDefault="009518AF" w:rsidP="007C427B">
            <w:pPr>
              <w:spacing w:after="0" w:line="360" w:lineRule="auto"/>
              <w:rPr>
                <w:rFonts w:cs="Tahoma"/>
                <w:szCs w:val="20"/>
              </w:rPr>
            </w:pPr>
            <w:r w:rsidRPr="00515872">
              <w:rPr>
                <w:rFonts w:cs="Tahoma"/>
                <w:i/>
                <w:iCs/>
                <w:color w:val="231F20"/>
                <w:szCs w:val="20"/>
              </w:rPr>
              <w:t>Art. 479 C.P.</w:t>
            </w:r>
          </w:p>
        </w:tc>
        <w:tc>
          <w:tcPr>
            <w:tcW w:w="7543" w:type="dxa"/>
          </w:tcPr>
          <w:p w14:paraId="5AC0AE38" w14:textId="77777777" w:rsidR="009518AF" w:rsidRPr="00515872" w:rsidRDefault="009518AF" w:rsidP="00AE3914">
            <w:pPr>
              <w:spacing w:after="0" w:line="360" w:lineRule="auto"/>
              <w:jc w:val="both"/>
              <w:rPr>
                <w:rFonts w:cs="Tahoma"/>
                <w:color w:val="231F20"/>
                <w:szCs w:val="20"/>
              </w:rPr>
            </w:pPr>
            <w:r w:rsidRPr="00515872">
              <w:rPr>
                <w:rFonts w:cs="Tahoma"/>
                <w:i/>
                <w:color w:val="231F20"/>
                <w:szCs w:val="20"/>
              </w:rPr>
              <w:t>“Il pubblico ufficiale che, ricevendo o formando un atto nell’esercizio delle sue funzioni, attesta falsamente che un fatto è stato da lui compiuto o è avvenuto alla sua presenza, o attesta come da lui ricevute dichiarazioni a lui non rese, ovvero omette o altera dichiarazioni da lui ricevute, o comunque attesta falsamente fatti dei quali l’atto è destinato a provare la verità, soggiace alle pene stabilite nell’art. 476 C.P.</w:t>
            </w:r>
            <w:r w:rsidRPr="00515872">
              <w:rPr>
                <w:rStyle w:val="Rimandonotaapidipagina"/>
                <w:rFonts w:cs="Tahoma"/>
                <w:i/>
                <w:color w:val="231F20"/>
                <w:szCs w:val="20"/>
              </w:rPr>
              <w:footnoteReference w:id="25"/>
            </w:r>
            <w:r w:rsidRPr="00515872">
              <w:rPr>
                <w:rFonts w:cs="Tahoma"/>
                <w:i/>
                <w:color w:val="231F20"/>
                <w:szCs w:val="20"/>
              </w:rPr>
              <w:t>”</w:t>
            </w:r>
            <w:r w:rsidRPr="00515872">
              <w:rPr>
                <w:rFonts w:cs="Tahoma"/>
                <w:color w:val="231F20"/>
                <w:szCs w:val="20"/>
              </w:rPr>
              <w:t xml:space="preserve">. </w:t>
            </w:r>
          </w:p>
          <w:p w14:paraId="2CE8936E" w14:textId="77777777" w:rsidR="00AE3914" w:rsidRPr="00515872" w:rsidRDefault="00AE3914" w:rsidP="00AE3914">
            <w:pPr>
              <w:spacing w:after="0" w:line="360" w:lineRule="auto"/>
              <w:jc w:val="both"/>
              <w:rPr>
                <w:rFonts w:cs="Tahoma"/>
                <w:color w:val="231F20"/>
                <w:szCs w:val="20"/>
              </w:rPr>
            </w:pPr>
            <w:r w:rsidRPr="00515872">
              <w:rPr>
                <w:rFonts w:cs="Tahoma"/>
                <w:color w:val="231F20"/>
                <w:szCs w:val="20"/>
              </w:rPr>
              <w:t>Tale reato è connesso all’</w:t>
            </w:r>
            <w:r w:rsidRPr="00515872">
              <w:rPr>
                <w:rFonts w:cs="Tahoma"/>
                <w:b/>
                <w:color w:val="231F20"/>
                <w:szCs w:val="20"/>
              </w:rPr>
              <w:t>attività di attestazione</w:t>
            </w:r>
            <w:r w:rsidRPr="00515872">
              <w:rPr>
                <w:rFonts w:cs="Tahoma"/>
                <w:color w:val="231F20"/>
                <w:szCs w:val="20"/>
              </w:rPr>
              <w:t xml:space="preserve"> contabile cui sono tenuti i revisori; ad esempio, il rilascio da parte del controllore di attestazioni, riportanti dati falsi o non veritieri.</w:t>
            </w:r>
          </w:p>
          <w:p w14:paraId="716CAAD1" w14:textId="77777777" w:rsidR="008F6E9D" w:rsidRPr="00515872" w:rsidRDefault="008F6E9D" w:rsidP="00AE3914">
            <w:pPr>
              <w:spacing w:after="0" w:line="360" w:lineRule="auto"/>
              <w:jc w:val="both"/>
              <w:rPr>
                <w:rFonts w:cs="Tahoma"/>
                <w:color w:val="231F20"/>
                <w:szCs w:val="20"/>
              </w:rPr>
            </w:pPr>
            <w:r w:rsidRPr="00515872">
              <w:rPr>
                <w:rFonts w:cs="Tahoma"/>
                <w:color w:val="231F20"/>
                <w:szCs w:val="20"/>
              </w:rPr>
              <w:t>Il presupposto del reato è che il revisore muti dolosamente il vero, ponendo in essere un comportamento idoneo ad ingannare il pubblico e tale da mettere in pericolo interessi garantiti dalla veridicità delle attestazioni da lui rese.</w:t>
            </w:r>
          </w:p>
          <w:p w14:paraId="70E1F52E" w14:textId="77777777" w:rsidR="009518AF" w:rsidRPr="00515872" w:rsidRDefault="009518AF" w:rsidP="00AE3914">
            <w:pPr>
              <w:spacing w:after="0" w:line="360" w:lineRule="auto"/>
              <w:jc w:val="both"/>
              <w:rPr>
                <w:rFonts w:cs="Tahoma"/>
                <w:szCs w:val="20"/>
              </w:rPr>
            </w:pPr>
            <w:r w:rsidRPr="00515872">
              <w:rPr>
                <w:rFonts w:cs="Tahoma"/>
                <w:szCs w:val="20"/>
              </w:rPr>
              <w:t>Il revisore può incorrere nel reato anche in caso di attestazioni false rivolte verso i creditori o i terzi che possono quindi agire nei suoi confronti.</w:t>
            </w:r>
          </w:p>
        </w:tc>
      </w:tr>
      <w:tr w:rsidR="009518AF" w:rsidRPr="00515872" w14:paraId="3C252DA7" w14:textId="77777777" w:rsidTr="009063EA">
        <w:trPr>
          <w:jc w:val="center"/>
        </w:trPr>
        <w:tc>
          <w:tcPr>
            <w:tcW w:w="2165" w:type="dxa"/>
          </w:tcPr>
          <w:p w14:paraId="223EA2C2" w14:textId="77777777" w:rsidR="009518AF" w:rsidRPr="00515872" w:rsidRDefault="009518AF" w:rsidP="007C427B">
            <w:pPr>
              <w:spacing w:after="0" w:line="360" w:lineRule="auto"/>
              <w:rPr>
                <w:rFonts w:cs="Tahoma"/>
                <w:color w:val="231F20"/>
                <w:szCs w:val="20"/>
              </w:rPr>
            </w:pPr>
            <w:r w:rsidRPr="00515872">
              <w:rPr>
                <w:rFonts w:cs="Tahoma"/>
                <w:color w:val="231F20"/>
                <w:szCs w:val="20"/>
              </w:rPr>
              <w:t>Omessa denuncia di reato</w:t>
            </w:r>
          </w:p>
          <w:p w14:paraId="57F6B827" w14:textId="77777777" w:rsidR="009518AF" w:rsidRPr="00515872" w:rsidRDefault="009518AF" w:rsidP="007C427B">
            <w:pPr>
              <w:spacing w:after="0" w:line="360" w:lineRule="auto"/>
              <w:rPr>
                <w:rFonts w:cs="Tahoma"/>
                <w:color w:val="231F20"/>
                <w:szCs w:val="20"/>
              </w:rPr>
            </w:pPr>
            <w:r w:rsidRPr="00515872">
              <w:rPr>
                <w:rFonts w:cs="Tahoma"/>
                <w:i/>
                <w:iCs/>
                <w:color w:val="231F20"/>
                <w:szCs w:val="20"/>
              </w:rPr>
              <w:t>Art. 361 C.P.</w:t>
            </w:r>
          </w:p>
        </w:tc>
        <w:tc>
          <w:tcPr>
            <w:tcW w:w="7543" w:type="dxa"/>
          </w:tcPr>
          <w:p w14:paraId="2F039B8B" w14:textId="77777777" w:rsidR="00224CE3" w:rsidRPr="00515872" w:rsidRDefault="009518AF" w:rsidP="00AE3914">
            <w:pPr>
              <w:spacing w:after="0" w:line="360" w:lineRule="auto"/>
              <w:jc w:val="both"/>
              <w:rPr>
                <w:rFonts w:cs="Tahoma"/>
                <w:i/>
                <w:color w:val="231F20"/>
                <w:szCs w:val="20"/>
              </w:rPr>
            </w:pPr>
            <w:r w:rsidRPr="00515872">
              <w:rPr>
                <w:rFonts w:cs="Tahoma"/>
                <w:i/>
                <w:color w:val="231F20"/>
                <w:szCs w:val="20"/>
              </w:rPr>
              <w:t>“Il pubblico ufficiale che omette o ritarda di denunciare all’autorità giudiziaria, o a</w:t>
            </w:r>
            <w:r w:rsidR="00224CE3" w:rsidRPr="00515872">
              <w:rPr>
                <w:rFonts w:cs="Tahoma"/>
                <w:i/>
                <w:color w:val="231F20"/>
                <w:szCs w:val="20"/>
              </w:rPr>
              <w:t>d</w:t>
            </w:r>
            <w:r w:rsidRPr="00515872">
              <w:rPr>
                <w:rFonts w:cs="Tahoma"/>
                <w:i/>
                <w:color w:val="231F20"/>
                <w:szCs w:val="20"/>
              </w:rPr>
              <w:t xml:space="preserve"> un’altra autorità che a quella abbia obbligo di riferirne, un reato di cui ha avuto notizia nell’esercizio o a causa delle sue funzioni, è punit</w:t>
            </w:r>
            <w:r w:rsidR="00224CE3" w:rsidRPr="00515872">
              <w:rPr>
                <w:rFonts w:cs="Tahoma"/>
                <w:i/>
                <w:color w:val="231F20"/>
                <w:szCs w:val="20"/>
              </w:rPr>
              <w:t>o con la multa da € 30 a € 516.</w:t>
            </w:r>
          </w:p>
          <w:p w14:paraId="3872E223" w14:textId="77777777" w:rsidR="00224CE3" w:rsidRPr="00515872" w:rsidRDefault="009518AF" w:rsidP="00AE3914">
            <w:pPr>
              <w:spacing w:after="0" w:line="360" w:lineRule="auto"/>
              <w:jc w:val="both"/>
              <w:rPr>
                <w:rFonts w:cs="Tahoma"/>
                <w:i/>
                <w:color w:val="231F20"/>
                <w:szCs w:val="20"/>
              </w:rPr>
            </w:pPr>
            <w:r w:rsidRPr="00515872">
              <w:rPr>
                <w:rFonts w:cs="Tahoma"/>
                <w:i/>
                <w:color w:val="231F20"/>
                <w:szCs w:val="20"/>
              </w:rPr>
              <w:t>La pena è della reclusione fino ad 1 anno, se il colpevole è un ufficiale o un agente di polizia giudiziaria, che ha avuto comunque notizia di un reato del quale doveva fare rapporto.</w:t>
            </w:r>
          </w:p>
          <w:p w14:paraId="2A5A2CDC" w14:textId="77777777" w:rsidR="009518AF" w:rsidRPr="00515872" w:rsidRDefault="009518AF" w:rsidP="00AE3914">
            <w:pPr>
              <w:spacing w:after="0" w:line="360" w:lineRule="auto"/>
              <w:jc w:val="both"/>
              <w:rPr>
                <w:rFonts w:cs="Tahoma"/>
                <w:i/>
                <w:color w:val="231F20"/>
                <w:szCs w:val="20"/>
              </w:rPr>
            </w:pPr>
            <w:r w:rsidRPr="00515872">
              <w:rPr>
                <w:rFonts w:cs="Tahoma"/>
                <w:i/>
                <w:color w:val="231F20"/>
                <w:szCs w:val="20"/>
              </w:rPr>
              <w:t>Le disposizioni precedenti non si applicano se si tratta di delitto punibile a querela della persona offesa“.</w:t>
            </w:r>
          </w:p>
          <w:p w14:paraId="6077CD16" w14:textId="20FAF5F2" w:rsidR="009518AF" w:rsidRPr="00515872" w:rsidRDefault="00F61E9D" w:rsidP="00AE3914">
            <w:pPr>
              <w:spacing w:after="0" w:line="360" w:lineRule="auto"/>
              <w:jc w:val="both"/>
              <w:rPr>
                <w:rFonts w:cs="Tahoma"/>
                <w:color w:val="231F20"/>
                <w:szCs w:val="20"/>
              </w:rPr>
            </w:pPr>
            <w:r w:rsidRPr="00515872">
              <w:rPr>
                <w:rFonts w:cs="Tahoma"/>
                <w:color w:val="231F20"/>
                <w:szCs w:val="20"/>
              </w:rPr>
              <w:t>È</w:t>
            </w:r>
            <w:r w:rsidR="009518AF" w:rsidRPr="00515872">
              <w:rPr>
                <w:rFonts w:cs="Tahoma"/>
                <w:color w:val="231F20"/>
                <w:szCs w:val="20"/>
              </w:rPr>
              <w:t xml:space="preserve"> la fattispecie più frequente nella quale può incorrere l’organo di revisione.</w:t>
            </w:r>
          </w:p>
          <w:p w14:paraId="6F03A4AC" w14:textId="77777777" w:rsidR="009518AF" w:rsidRPr="00515872" w:rsidRDefault="009518AF" w:rsidP="00AE3914">
            <w:pPr>
              <w:spacing w:after="0" w:line="360" w:lineRule="auto"/>
              <w:jc w:val="both"/>
              <w:rPr>
                <w:rFonts w:cs="Tahoma"/>
                <w:color w:val="231F20"/>
                <w:szCs w:val="20"/>
              </w:rPr>
            </w:pPr>
            <w:r w:rsidRPr="00515872">
              <w:rPr>
                <w:rFonts w:cs="Tahoma"/>
                <w:color w:val="231F20"/>
                <w:szCs w:val="20"/>
              </w:rPr>
              <w:t>I revisori hanno l’obbligo di denunciare sia in sede di giurisdizione penale che contabile. L’art. 239 del TUEL prevede altresì l’obbligo di riferire all’organo consiliare dell’ente circa le gravi irregolarità di gestione rilevate durante l’esercizio delle proprie funzioni e di denunciare, contestualmente, ai competenti organi giurisdizionali ove si configurino ipotesi di responsabilità.</w:t>
            </w:r>
          </w:p>
          <w:p w14:paraId="79D158F6" w14:textId="77777777" w:rsidR="009518AF" w:rsidRPr="00515872" w:rsidRDefault="009518AF" w:rsidP="00AE3914">
            <w:pPr>
              <w:spacing w:after="0" w:line="360" w:lineRule="auto"/>
              <w:jc w:val="both"/>
              <w:rPr>
                <w:rFonts w:cs="Tahoma"/>
                <w:color w:val="231F20"/>
                <w:szCs w:val="20"/>
              </w:rPr>
            </w:pPr>
            <w:r w:rsidRPr="00515872">
              <w:rPr>
                <w:rFonts w:cs="Tahoma"/>
                <w:color w:val="231F20"/>
                <w:szCs w:val="20"/>
              </w:rPr>
              <w:t>In quest’ultima ipotesi, l’organo di revisione deve</w:t>
            </w:r>
            <w:r w:rsidR="00B008E1" w:rsidRPr="00515872">
              <w:rPr>
                <w:rFonts w:cs="Tahoma"/>
                <w:color w:val="231F20"/>
                <w:szCs w:val="20"/>
              </w:rPr>
              <w:t xml:space="preserve"> darne comunicazione</w:t>
            </w:r>
            <w:r w:rsidRPr="00515872">
              <w:rPr>
                <w:rFonts w:cs="Tahoma"/>
                <w:color w:val="231F20"/>
                <w:szCs w:val="20"/>
              </w:rPr>
              <w:t>, se</w:t>
            </w:r>
            <w:r w:rsidR="00B008E1" w:rsidRPr="00515872">
              <w:rPr>
                <w:rFonts w:cs="Tahoma"/>
                <w:color w:val="231F20"/>
                <w:szCs w:val="20"/>
              </w:rPr>
              <w:t>nza indugio</w:t>
            </w:r>
            <w:r w:rsidRPr="00515872">
              <w:rPr>
                <w:rFonts w:cs="Tahoma"/>
                <w:color w:val="231F20"/>
                <w:szCs w:val="20"/>
              </w:rPr>
              <w:t xml:space="preserve">, rispettivamente, alla Procura della Repubblica per gli aspetti penali e alla </w:t>
            </w:r>
            <w:r w:rsidRPr="00515872">
              <w:rPr>
                <w:rFonts w:cs="Tahoma"/>
                <w:color w:val="231F20"/>
                <w:szCs w:val="20"/>
              </w:rPr>
              <w:lastRenderedPageBreak/>
              <w:t>Procura generale presso la Corte dei Conti, per quanto riguarda l’ipotesi di danno erariale.</w:t>
            </w:r>
          </w:p>
          <w:p w14:paraId="6F4EC695" w14:textId="77777777" w:rsidR="000F27DB" w:rsidRPr="00515872" w:rsidRDefault="000F27DB" w:rsidP="00AE3914">
            <w:pPr>
              <w:spacing w:after="0" w:line="360" w:lineRule="auto"/>
              <w:jc w:val="both"/>
              <w:rPr>
                <w:rFonts w:cs="Tahoma"/>
                <w:szCs w:val="20"/>
              </w:rPr>
            </w:pPr>
            <w:r w:rsidRPr="00515872">
              <w:rPr>
                <w:rFonts w:cs="Tahoma"/>
                <w:color w:val="231F20"/>
                <w:szCs w:val="20"/>
              </w:rPr>
              <w:t>In questo senso, l’inerzia dell’organo di revisione è punibile quando sia condizione necessaria al compimento del reato, ossia</w:t>
            </w:r>
            <w:r w:rsidR="00B008E1" w:rsidRPr="00515872">
              <w:rPr>
                <w:rFonts w:cs="Tahoma"/>
                <w:color w:val="231F20"/>
                <w:szCs w:val="20"/>
              </w:rPr>
              <w:t xml:space="preserve"> quando il fatto non si sarebbe </w:t>
            </w:r>
            <w:r w:rsidRPr="00515872">
              <w:rPr>
                <w:rFonts w:cs="Tahoma"/>
                <w:color w:val="231F20"/>
                <w:szCs w:val="20"/>
              </w:rPr>
              <w:t>perfezionato se il soggetto obbligato avesse compiuto la doverosa azione impeditiva.</w:t>
            </w:r>
          </w:p>
        </w:tc>
      </w:tr>
      <w:tr w:rsidR="009518AF" w:rsidRPr="00515872" w14:paraId="17A72313" w14:textId="77777777" w:rsidTr="009063EA">
        <w:trPr>
          <w:jc w:val="center"/>
        </w:trPr>
        <w:tc>
          <w:tcPr>
            <w:tcW w:w="2165" w:type="dxa"/>
          </w:tcPr>
          <w:p w14:paraId="79552C51" w14:textId="77777777" w:rsidR="009518AF" w:rsidRPr="00515872" w:rsidRDefault="009518AF" w:rsidP="007C427B">
            <w:pPr>
              <w:spacing w:after="0" w:line="360" w:lineRule="auto"/>
              <w:rPr>
                <w:rFonts w:cs="Tahoma"/>
                <w:color w:val="231F20"/>
                <w:szCs w:val="20"/>
              </w:rPr>
            </w:pPr>
            <w:r w:rsidRPr="00515872">
              <w:rPr>
                <w:rFonts w:cs="Tahoma"/>
                <w:color w:val="231F20"/>
                <w:szCs w:val="20"/>
              </w:rPr>
              <w:t>Violazione del segreto d’ufficio</w:t>
            </w:r>
          </w:p>
          <w:p w14:paraId="539218A9" w14:textId="77777777" w:rsidR="009518AF" w:rsidRPr="00515872" w:rsidRDefault="009518AF" w:rsidP="007C427B">
            <w:pPr>
              <w:spacing w:after="0" w:line="360" w:lineRule="auto"/>
              <w:rPr>
                <w:rFonts w:cs="Tahoma"/>
                <w:i/>
                <w:color w:val="231F20"/>
                <w:szCs w:val="20"/>
              </w:rPr>
            </w:pPr>
            <w:r w:rsidRPr="00515872">
              <w:rPr>
                <w:rFonts w:cs="Tahoma"/>
                <w:i/>
                <w:color w:val="231F20"/>
                <w:szCs w:val="20"/>
              </w:rPr>
              <w:t>Art. 326 C.P.</w:t>
            </w:r>
          </w:p>
        </w:tc>
        <w:tc>
          <w:tcPr>
            <w:tcW w:w="7543" w:type="dxa"/>
          </w:tcPr>
          <w:p w14:paraId="26C8E157" w14:textId="77777777" w:rsidR="00876596" w:rsidRPr="00515872" w:rsidRDefault="009518AF" w:rsidP="00B008E1">
            <w:pPr>
              <w:spacing w:after="0" w:line="360" w:lineRule="auto"/>
              <w:jc w:val="both"/>
              <w:rPr>
                <w:rFonts w:cs="Tahoma"/>
                <w:i/>
                <w:color w:val="231F20"/>
                <w:szCs w:val="20"/>
              </w:rPr>
            </w:pPr>
            <w:r w:rsidRPr="00515872">
              <w:rPr>
                <w:rFonts w:cs="Tahoma"/>
                <w:i/>
                <w:color w:val="231F20"/>
                <w:szCs w:val="20"/>
              </w:rPr>
              <w:t>“Il pubblico ufficiale o la persona incaricata di un pubblico servizio che, violando i doveri inerenti alle funzioni o al servizio, o comunque abusando della sua qualità, rivela notizie di ufficio, le quali debbano rimanere segrete, o ne agevola in qualsiasi modo la conoscenza, è punito con la reclusione da 6 mesi a 3 anni.</w:t>
            </w:r>
          </w:p>
          <w:p w14:paraId="03798733" w14:textId="77777777" w:rsidR="00876596" w:rsidRPr="00515872" w:rsidRDefault="009518AF" w:rsidP="00B008E1">
            <w:pPr>
              <w:spacing w:after="0" w:line="360" w:lineRule="auto"/>
              <w:jc w:val="both"/>
              <w:rPr>
                <w:rFonts w:cs="Tahoma"/>
                <w:i/>
                <w:color w:val="231F20"/>
                <w:szCs w:val="20"/>
              </w:rPr>
            </w:pPr>
            <w:r w:rsidRPr="00515872">
              <w:rPr>
                <w:rFonts w:cs="Tahoma"/>
                <w:i/>
                <w:color w:val="231F20"/>
                <w:szCs w:val="20"/>
              </w:rPr>
              <w:t>Se l’agevolazione</w:t>
            </w:r>
            <w:r w:rsidRPr="00515872">
              <w:rPr>
                <w:rStyle w:val="Rimandonotaapidipagina"/>
                <w:rFonts w:cs="Tahoma"/>
                <w:color w:val="231F20"/>
                <w:szCs w:val="20"/>
              </w:rPr>
              <w:footnoteReference w:id="26"/>
            </w:r>
            <w:r w:rsidRPr="00515872">
              <w:rPr>
                <w:rFonts w:cs="Tahoma"/>
                <w:i/>
                <w:color w:val="231F20"/>
                <w:szCs w:val="20"/>
              </w:rPr>
              <w:t xml:space="preserve"> è soltanto colposa, si applica la reclusione fino a 1 anno.</w:t>
            </w:r>
          </w:p>
          <w:p w14:paraId="684452AB" w14:textId="77777777" w:rsidR="009518AF" w:rsidRPr="00515872" w:rsidRDefault="009518AF" w:rsidP="00B008E1">
            <w:pPr>
              <w:spacing w:after="0" w:line="360" w:lineRule="auto"/>
              <w:jc w:val="both"/>
              <w:rPr>
                <w:rFonts w:cs="Tahoma"/>
                <w:i/>
                <w:color w:val="231F20"/>
                <w:szCs w:val="20"/>
              </w:rPr>
            </w:pPr>
            <w:r w:rsidRPr="00515872">
              <w:rPr>
                <w:rFonts w:cs="Tahoma"/>
                <w:i/>
                <w:color w:val="231F20"/>
                <w:szCs w:val="20"/>
              </w:rPr>
              <w:t>Il pubblico ufficiale o la persona incaricata di un pubblico servizio, che, per procurare a sé o ad altri un indebito profitto patrimoniale, si avvale illegittimamente di notizie di ufficio, le quali debbano rimanere segrete, è punito con la reclusione da 2 a 5 anni. Se il fatto è commesso al fine di procurare a sé o ad altri un ingiusto profitto non patrimoniale o di cagionare ad altri un danno ingiusto, si applica la pena della reclusione fino a 2 anni”.</w:t>
            </w:r>
          </w:p>
          <w:p w14:paraId="20244B3B" w14:textId="77777777" w:rsidR="009518AF" w:rsidRPr="00515872" w:rsidRDefault="009518AF" w:rsidP="00B008E1">
            <w:pPr>
              <w:spacing w:after="0" w:line="360" w:lineRule="auto"/>
              <w:jc w:val="both"/>
              <w:rPr>
                <w:rFonts w:cs="Tahoma"/>
                <w:szCs w:val="20"/>
              </w:rPr>
            </w:pPr>
            <w:r w:rsidRPr="00515872">
              <w:rPr>
                <w:rFonts w:cs="Tahoma"/>
                <w:color w:val="231F20"/>
                <w:szCs w:val="20"/>
              </w:rPr>
              <w:t>Tale casistica è riferita ad utilizzi impropri di informazioni ricevute per ragione del proprio ufficio violandone il segreto al fine di avvantaggiare sé stessi o altri, abusando della propria posizione.</w:t>
            </w:r>
          </w:p>
          <w:p w14:paraId="2B66D97F" w14:textId="77777777" w:rsidR="009518AF" w:rsidRPr="00515872" w:rsidRDefault="0055784C" w:rsidP="00B008E1">
            <w:pPr>
              <w:spacing w:after="0" w:line="360" w:lineRule="auto"/>
              <w:jc w:val="both"/>
              <w:rPr>
                <w:rFonts w:cs="Tahoma"/>
                <w:szCs w:val="20"/>
              </w:rPr>
            </w:pPr>
            <w:r w:rsidRPr="00515872">
              <w:rPr>
                <w:rFonts w:cs="Tahoma"/>
                <w:szCs w:val="20"/>
              </w:rPr>
              <w:t>L’obbligo di riservatezza è contenuto anche</w:t>
            </w:r>
            <w:r w:rsidR="009518AF" w:rsidRPr="00515872">
              <w:rPr>
                <w:rFonts w:cs="Tahoma"/>
                <w:szCs w:val="20"/>
              </w:rPr>
              <w:t xml:space="preserve"> nell’art. 240 del TUEL.</w:t>
            </w:r>
          </w:p>
          <w:p w14:paraId="23B2A66B" w14:textId="77777777" w:rsidR="002277B7" w:rsidRPr="00515872" w:rsidRDefault="002277B7" w:rsidP="00B008E1">
            <w:pPr>
              <w:spacing w:after="0" w:line="360" w:lineRule="auto"/>
              <w:jc w:val="both"/>
              <w:rPr>
                <w:rFonts w:cs="Tahoma"/>
                <w:color w:val="231F20"/>
                <w:szCs w:val="20"/>
              </w:rPr>
            </w:pPr>
            <w:r w:rsidRPr="00515872">
              <w:rPr>
                <w:rFonts w:cs="Tahoma"/>
                <w:szCs w:val="20"/>
              </w:rPr>
              <w:t>Il revisore è tenuto alla riservatezza sui fatti e documenti di cui abbia conoscenza per ragione del suo ufficio anche in aderenza ai principi di deontologia professionale.</w:t>
            </w:r>
          </w:p>
        </w:tc>
      </w:tr>
    </w:tbl>
    <w:p w14:paraId="01F95F55" w14:textId="77777777" w:rsidR="009518AF" w:rsidRPr="00515872" w:rsidRDefault="009518AF" w:rsidP="009518AF">
      <w:pPr>
        <w:spacing w:after="0" w:line="360" w:lineRule="auto"/>
        <w:jc w:val="both"/>
        <w:rPr>
          <w:rFonts w:cs="Tahoma"/>
          <w:szCs w:val="20"/>
          <w:highlight w:val="yellow"/>
        </w:rPr>
      </w:pPr>
    </w:p>
    <w:p w14:paraId="56CAE1AC" w14:textId="77777777" w:rsidR="009518AF" w:rsidRPr="00515872" w:rsidRDefault="009518AF" w:rsidP="009518AF">
      <w:pPr>
        <w:spacing w:line="360" w:lineRule="auto"/>
        <w:jc w:val="both"/>
        <w:rPr>
          <w:rFonts w:cs="Tahoma"/>
          <w:szCs w:val="20"/>
        </w:rPr>
      </w:pPr>
      <w:r w:rsidRPr="00515872">
        <w:rPr>
          <w:rFonts w:cs="Tahoma"/>
          <w:szCs w:val="20"/>
        </w:rPr>
        <w:t xml:space="preserve">La responsabilità dell’organo di revisione può essere </w:t>
      </w:r>
      <w:r w:rsidRPr="00515872">
        <w:rPr>
          <w:rFonts w:cs="Tahoma"/>
          <w:b/>
          <w:szCs w:val="20"/>
        </w:rPr>
        <w:t>attenuata o annullata</w:t>
      </w:r>
      <w:r w:rsidRPr="00515872">
        <w:rPr>
          <w:rFonts w:cs="Tahoma"/>
          <w:szCs w:val="20"/>
        </w:rPr>
        <w:t xml:space="preserve"> nelle ipotesi di comportamenti degli amministratori che</w:t>
      </w:r>
      <w:r w:rsidR="00D4330B" w:rsidRPr="00515872">
        <w:rPr>
          <w:rFonts w:cs="Tahoma"/>
          <w:szCs w:val="20"/>
        </w:rPr>
        <w:t>,</w:t>
      </w:r>
      <w:r w:rsidRPr="00515872">
        <w:rPr>
          <w:rFonts w:cs="Tahoma"/>
          <w:szCs w:val="20"/>
        </w:rPr>
        <w:t xml:space="preserve"> tramite artifizi o raggiri posti in essere con eccezionale abilità</w:t>
      </w:r>
      <w:r w:rsidR="00D4330B" w:rsidRPr="00515872">
        <w:rPr>
          <w:rFonts w:cs="Tahoma"/>
          <w:szCs w:val="20"/>
        </w:rPr>
        <w:t>,</w:t>
      </w:r>
      <w:r w:rsidRPr="00515872">
        <w:rPr>
          <w:rFonts w:cs="Tahoma"/>
          <w:szCs w:val="20"/>
        </w:rPr>
        <w:t xml:space="preserve"> impediscano allo stesso lo svolgimento della propria attività di controllo.</w:t>
      </w:r>
      <w:r w:rsidRPr="00515872">
        <w:rPr>
          <w:rStyle w:val="Rimandonotaapidipagina"/>
          <w:rFonts w:cs="Tahoma"/>
          <w:szCs w:val="20"/>
        </w:rPr>
        <w:footnoteReference w:id="27"/>
      </w:r>
    </w:p>
    <w:p w14:paraId="40405A41" w14:textId="77777777" w:rsidR="00277513" w:rsidRPr="00515872" w:rsidRDefault="00277513" w:rsidP="009518AF">
      <w:pPr>
        <w:pStyle w:val="Sottoparagrafo"/>
        <w:rPr>
          <w:rFonts w:cs="Tahoma"/>
          <w:highlight w:val="yellow"/>
        </w:rPr>
      </w:pPr>
      <w:bookmarkStart w:id="69" w:name="_Toc521317066"/>
    </w:p>
    <w:p w14:paraId="7FD34720" w14:textId="77777777" w:rsidR="009518AF" w:rsidRPr="00515872" w:rsidRDefault="009518AF" w:rsidP="009518AF">
      <w:pPr>
        <w:pStyle w:val="Sottoparagrafo"/>
        <w:rPr>
          <w:rFonts w:eastAsia="MS Gothic" w:cs="Tahoma"/>
          <w:kern w:val="28"/>
        </w:rPr>
      </w:pPr>
      <w:bookmarkStart w:id="70" w:name="_Toc95912243"/>
      <w:r w:rsidRPr="00515872">
        <w:rPr>
          <w:rFonts w:cs="Tahoma"/>
        </w:rPr>
        <w:t>3.7.3 Responsabilità amministrativa per danno erariale</w:t>
      </w:r>
      <w:bookmarkEnd w:id="69"/>
      <w:bookmarkEnd w:id="70"/>
    </w:p>
    <w:p w14:paraId="675C9CD2" w14:textId="77777777" w:rsidR="00B008E1" w:rsidRPr="00515872" w:rsidRDefault="009518AF" w:rsidP="009518AF">
      <w:pPr>
        <w:pStyle w:val="Paragrafoelenco"/>
        <w:spacing w:line="360" w:lineRule="auto"/>
        <w:ind w:left="0"/>
        <w:contextualSpacing w:val="0"/>
        <w:jc w:val="both"/>
        <w:rPr>
          <w:rFonts w:cs="Tahoma"/>
        </w:rPr>
      </w:pPr>
      <w:r w:rsidRPr="00515872">
        <w:rPr>
          <w:rFonts w:cs="Tahoma"/>
        </w:rPr>
        <w:t>Fattispecie di responsabilità peculiare per gli enti pubblici è quella amm</w:t>
      </w:r>
      <w:r w:rsidR="00B008E1" w:rsidRPr="00515872">
        <w:rPr>
          <w:rFonts w:cs="Tahoma"/>
        </w:rPr>
        <w:t>inistrativa per danno erariale.</w:t>
      </w:r>
    </w:p>
    <w:p w14:paraId="66F90A6A" w14:textId="77777777" w:rsidR="009518AF" w:rsidRPr="00515872" w:rsidRDefault="009518AF" w:rsidP="009518AF">
      <w:pPr>
        <w:pStyle w:val="Paragrafoelenco"/>
        <w:spacing w:line="360" w:lineRule="auto"/>
        <w:ind w:left="0"/>
        <w:contextualSpacing w:val="0"/>
        <w:jc w:val="both"/>
        <w:rPr>
          <w:rFonts w:cs="Tahoma"/>
        </w:rPr>
      </w:pPr>
      <w:r w:rsidRPr="00515872">
        <w:rPr>
          <w:rFonts w:cs="Tahoma"/>
        </w:rPr>
        <w:lastRenderedPageBreak/>
        <w:t xml:space="preserve">Benché questa </w:t>
      </w:r>
      <w:r w:rsidRPr="00515872">
        <w:rPr>
          <w:rFonts w:cs="Tahoma"/>
          <w:b/>
        </w:rPr>
        <w:t>non tocchi direttamente l’organo di revisione</w:t>
      </w:r>
      <w:r w:rsidRPr="00515872">
        <w:rPr>
          <w:rFonts w:cs="Tahoma"/>
        </w:rPr>
        <w:t xml:space="preserve"> che, </w:t>
      </w:r>
      <w:r w:rsidRPr="00515872">
        <w:rPr>
          <w:rFonts w:cs="Tahoma"/>
          <w:szCs w:val="20"/>
        </w:rPr>
        <w:t xml:space="preserve">per sua natura, non rientra tra i soggetti suscettibili di procurare danno erariale, l’argomento non è privo di interesse </w:t>
      </w:r>
      <w:r w:rsidR="00116935" w:rsidRPr="00515872">
        <w:rPr>
          <w:rFonts w:cs="Tahoma"/>
          <w:szCs w:val="20"/>
        </w:rPr>
        <w:t xml:space="preserve">per quest’ultimo </w:t>
      </w:r>
      <w:r w:rsidRPr="00515872">
        <w:rPr>
          <w:rFonts w:cs="Tahoma"/>
          <w:szCs w:val="20"/>
        </w:rPr>
        <w:t xml:space="preserve">in quanto è previsto </w:t>
      </w:r>
      <w:r w:rsidR="00B008E1" w:rsidRPr="00515872">
        <w:rPr>
          <w:rFonts w:cs="Tahoma"/>
          <w:szCs w:val="20"/>
        </w:rPr>
        <w:t>l’obbligo della sua attivazione</w:t>
      </w:r>
      <w:r w:rsidRPr="00515872">
        <w:rPr>
          <w:rFonts w:cs="Tahoma"/>
          <w:szCs w:val="20"/>
        </w:rPr>
        <w:t xml:space="preserve"> una volta che il danno sia stato accertato, invitando l’organo competente a provvedere alla relativa denuncia o provvedendovi direttamente in caso di inerzia di ques</w:t>
      </w:r>
      <w:r w:rsidR="00116935" w:rsidRPr="00515872">
        <w:rPr>
          <w:rFonts w:cs="Tahoma"/>
          <w:szCs w:val="20"/>
        </w:rPr>
        <w:t>ti</w:t>
      </w:r>
      <w:r w:rsidRPr="00515872">
        <w:rPr>
          <w:rFonts w:cs="Tahoma"/>
          <w:szCs w:val="20"/>
        </w:rPr>
        <w:t xml:space="preserve">. </w:t>
      </w:r>
      <w:r w:rsidRPr="00515872">
        <w:rPr>
          <w:rFonts w:eastAsia="Times New Roman" w:cs="Tahoma"/>
          <w:szCs w:val="20"/>
          <w:lang w:eastAsia="it-IT"/>
        </w:rPr>
        <w:t>L'omessa denunzia da parte dell’organo di revisione comporta l'assunzione della relativa responsabilità qualora ne consegua la prescrizione del diritto al risarcimento derivante dal fatto non denunziato</w:t>
      </w:r>
      <w:r w:rsidR="00503E4A" w:rsidRPr="00515872">
        <w:rPr>
          <w:rStyle w:val="Rimandonotaapidipagina"/>
          <w:rFonts w:cs="Tahoma"/>
          <w:szCs w:val="20"/>
        </w:rPr>
        <w:footnoteReference w:id="28"/>
      </w:r>
      <w:r w:rsidRPr="00515872">
        <w:rPr>
          <w:rFonts w:eastAsia="Times New Roman" w:cs="Tahoma"/>
          <w:szCs w:val="20"/>
          <w:lang w:eastAsia="it-IT"/>
        </w:rPr>
        <w:t>.</w:t>
      </w:r>
    </w:p>
    <w:p w14:paraId="7B117473" w14:textId="77777777" w:rsidR="009518AF" w:rsidRPr="00515872" w:rsidRDefault="009518AF" w:rsidP="009518AF">
      <w:pPr>
        <w:pStyle w:val="Paragrafoelenco"/>
        <w:spacing w:line="360" w:lineRule="auto"/>
        <w:ind w:left="0"/>
        <w:contextualSpacing w:val="0"/>
        <w:jc w:val="both"/>
        <w:rPr>
          <w:rFonts w:cs="Tahoma"/>
        </w:rPr>
      </w:pPr>
      <w:r w:rsidRPr="00515872">
        <w:rPr>
          <w:rFonts w:cs="Tahoma"/>
        </w:rPr>
        <w:t>Il danno erariale sorge quando si verifica un danno economico o un pregiudizio in capo all’ente a seguito di comportamenti commissivi od omissivi. Esso può derivare da danno diretto (come, ad esempio, la perdita di un bene) o indiretto (quale un risarcimento per danno causato a terzi).</w:t>
      </w:r>
    </w:p>
    <w:p w14:paraId="67AD47DA" w14:textId="77777777" w:rsidR="009518AF" w:rsidRPr="00515872" w:rsidRDefault="009518AF" w:rsidP="009518AF">
      <w:pPr>
        <w:pStyle w:val="Paragrafoelenco"/>
        <w:spacing w:line="360" w:lineRule="auto"/>
        <w:ind w:left="0"/>
        <w:contextualSpacing w:val="0"/>
        <w:jc w:val="both"/>
        <w:rPr>
          <w:rFonts w:eastAsia="Times New Roman" w:cs="Tahoma"/>
          <w:szCs w:val="20"/>
          <w:lang w:eastAsia="it-IT"/>
        </w:rPr>
      </w:pPr>
      <w:r w:rsidRPr="00515872">
        <w:rPr>
          <w:rFonts w:cs="Tahoma"/>
        </w:rPr>
        <w:t>Una conseguenza tipica del danno erariale è la responsabilità contabile che ricade in capo ai soggetti che, avendo titolo per maneggiare denaro o cose dell’ente (cc.dd. agenti contabili), l</w:t>
      </w:r>
      <w:r w:rsidR="005F62C1" w:rsidRPr="00515872">
        <w:rPr>
          <w:rFonts w:cs="Tahoma"/>
        </w:rPr>
        <w:t>i</w:t>
      </w:r>
      <w:r w:rsidRPr="00515872">
        <w:rPr>
          <w:rFonts w:cs="Tahoma"/>
        </w:rPr>
        <w:t xml:space="preserve"> perdano o l</w:t>
      </w:r>
      <w:r w:rsidR="005F62C1" w:rsidRPr="00515872">
        <w:rPr>
          <w:rFonts w:cs="Tahoma"/>
        </w:rPr>
        <w:t>i</w:t>
      </w:r>
      <w:r w:rsidRPr="00515872">
        <w:rPr>
          <w:rFonts w:cs="Tahoma"/>
        </w:rPr>
        <w:t xml:space="preserve"> sottraggano, generando così un dan</w:t>
      </w:r>
      <w:r w:rsidRPr="00515872">
        <w:rPr>
          <w:rFonts w:cs="Tahoma"/>
          <w:szCs w:val="20"/>
        </w:rPr>
        <w:t>no patrimoniale all’ente stesso. Questo tipo di responsabilità è, pertanto, propria di figure come l’economo o il tesoriere</w:t>
      </w:r>
      <w:r w:rsidR="00756AE4" w:rsidRPr="00515872">
        <w:rPr>
          <w:rStyle w:val="Rimandonotaapidipagina"/>
          <w:rFonts w:cs="Tahoma"/>
          <w:szCs w:val="20"/>
        </w:rPr>
        <w:footnoteReference w:id="29"/>
      </w:r>
      <w:r w:rsidRPr="00515872">
        <w:rPr>
          <w:rFonts w:eastAsia="Times New Roman" w:cs="Tahoma"/>
          <w:szCs w:val="20"/>
          <w:lang w:eastAsia="it-IT"/>
        </w:rPr>
        <w:t>.</w:t>
      </w:r>
    </w:p>
    <w:p w14:paraId="7DAA5B92" w14:textId="77777777" w:rsidR="009518AF" w:rsidRPr="00515872" w:rsidRDefault="009518AF" w:rsidP="009518AF">
      <w:pPr>
        <w:pStyle w:val="Paragrafoelenco"/>
        <w:spacing w:line="360" w:lineRule="auto"/>
        <w:ind w:left="0"/>
        <w:contextualSpacing w:val="0"/>
        <w:jc w:val="both"/>
        <w:rPr>
          <w:rFonts w:cs="Tahoma"/>
        </w:rPr>
      </w:pPr>
      <w:r w:rsidRPr="00515872">
        <w:rPr>
          <w:rFonts w:cs="Tahoma"/>
        </w:rPr>
        <w:t>La responsabilità per danno erariale si manifesta allorché il comportamento commissivo o omissivo avvenga in presenza dell’elemento soggettivo di dolo o colpa grave.</w:t>
      </w:r>
    </w:p>
    <w:p w14:paraId="0B87E707" w14:textId="77777777" w:rsidR="009518AF" w:rsidRPr="00515872" w:rsidRDefault="009518AF" w:rsidP="009518AF">
      <w:pPr>
        <w:spacing w:after="0" w:line="360" w:lineRule="auto"/>
        <w:jc w:val="both"/>
        <w:rPr>
          <w:rFonts w:cs="Tahoma"/>
          <w:szCs w:val="20"/>
        </w:rPr>
      </w:pPr>
      <w:r w:rsidRPr="00515872">
        <w:rPr>
          <w:rFonts w:cs="Tahoma"/>
          <w:szCs w:val="20"/>
        </w:rPr>
        <w:t>Fattispecie potenzialmente foriere di danno erariale sono:</w:t>
      </w:r>
    </w:p>
    <w:p w14:paraId="77B6BC19"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adozione di provvedimenti oltre la scadenza di legge;</w:t>
      </w:r>
    </w:p>
    <w:p w14:paraId="385B1301"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variazioni di bilancio;</w:t>
      </w:r>
    </w:p>
    <w:p w14:paraId="18F4D406"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indebitamento irrituale;</w:t>
      </w:r>
    </w:p>
    <w:p w14:paraId="0376A8AD"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mancato aggiornamento dell’inventario dei beni;</w:t>
      </w:r>
    </w:p>
    <w:p w14:paraId="7A3194B0"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cancellazione di residui attivi;</w:t>
      </w:r>
    </w:p>
    <w:p w14:paraId="5B222BB5"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dissesto finanziario;</w:t>
      </w:r>
    </w:p>
    <w:p w14:paraId="48F39DB0" w14:textId="77777777" w:rsidR="009518AF" w:rsidRPr="00515872" w:rsidRDefault="009518AF" w:rsidP="009518AF">
      <w:pPr>
        <w:pStyle w:val="Paragrafoelenco"/>
        <w:numPr>
          <w:ilvl w:val="0"/>
          <w:numId w:val="11"/>
        </w:numPr>
        <w:spacing w:line="360" w:lineRule="auto"/>
        <w:jc w:val="both"/>
        <w:rPr>
          <w:rFonts w:eastAsia="Times New Roman" w:cs="Tahoma"/>
          <w:szCs w:val="20"/>
          <w:lang w:eastAsia="it-IT"/>
        </w:rPr>
      </w:pPr>
      <w:r w:rsidRPr="00515872">
        <w:rPr>
          <w:rFonts w:eastAsia="Times New Roman" w:cs="Tahoma"/>
          <w:szCs w:val="20"/>
          <w:lang w:eastAsia="it-IT"/>
        </w:rPr>
        <w:t>riconoscimenti di debiti fuori bilancio.</w:t>
      </w:r>
    </w:p>
    <w:p w14:paraId="44F5481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Il diritto al risarcimento del danno si prescrive in ogni caso in 5 anni, decorrenti dalla data in cui si è verificato l’evento dannoso, ovvero, in caso di occultamento doloso del danno, dalla data della sua scoperta.</w:t>
      </w:r>
    </w:p>
    <w:p w14:paraId="10DBB4C9" w14:textId="77777777" w:rsidR="00277513" w:rsidRPr="00515872" w:rsidRDefault="00277513" w:rsidP="009518AF">
      <w:pPr>
        <w:pStyle w:val="Sottoparagrafo"/>
        <w:rPr>
          <w:rFonts w:cs="Tahoma"/>
        </w:rPr>
      </w:pPr>
      <w:bookmarkStart w:id="71" w:name="_Toc521317067"/>
    </w:p>
    <w:p w14:paraId="57B3445B" w14:textId="77777777" w:rsidR="009518AF" w:rsidRPr="00515872" w:rsidRDefault="009518AF" w:rsidP="009518AF">
      <w:pPr>
        <w:pStyle w:val="Sottoparagrafo"/>
        <w:rPr>
          <w:rFonts w:eastAsia="MS Gothic" w:cs="Tahoma"/>
          <w:kern w:val="28"/>
        </w:rPr>
      </w:pPr>
      <w:bookmarkStart w:id="72" w:name="_Toc95912244"/>
      <w:r w:rsidRPr="00515872">
        <w:rPr>
          <w:rFonts w:cs="Tahoma"/>
        </w:rPr>
        <w:t>3.7.4 L’azione di responsabilità</w:t>
      </w:r>
      <w:bookmarkEnd w:id="71"/>
      <w:bookmarkEnd w:id="72"/>
    </w:p>
    <w:p w14:paraId="13523FE3" w14:textId="77777777" w:rsidR="009518AF" w:rsidRPr="00515872" w:rsidRDefault="009518AF" w:rsidP="009518AF">
      <w:pPr>
        <w:spacing w:line="360" w:lineRule="auto"/>
        <w:jc w:val="both"/>
        <w:rPr>
          <w:rFonts w:eastAsia="Times New Roman" w:cs="Tahoma"/>
          <w:szCs w:val="20"/>
          <w:lang w:eastAsia="it-IT"/>
        </w:rPr>
      </w:pPr>
      <w:r w:rsidRPr="00515872">
        <w:rPr>
          <w:rFonts w:cs="Tahoma"/>
          <w:color w:val="000000"/>
          <w:szCs w:val="20"/>
        </w:rPr>
        <w:t>In materia di responsabilità, il TUEL rinvia alle disposizioni contenute nella L. 14 gennaio 1994, n. 20, che detta le disposizioni fondamentali su giurisdizione e controllo della Corte dei Conti.</w:t>
      </w:r>
      <w:r w:rsidRPr="00515872">
        <w:rPr>
          <w:rFonts w:eastAsia="Times New Roman" w:cs="Tahoma"/>
          <w:szCs w:val="20"/>
          <w:lang w:eastAsia="it-IT"/>
        </w:rPr>
        <w:t xml:space="preserve"> Questa prevede che la </w:t>
      </w:r>
      <w:r w:rsidRPr="00515872">
        <w:rPr>
          <w:rFonts w:eastAsia="Times New Roman" w:cs="Tahoma"/>
          <w:szCs w:val="20"/>
          <w:lang w:eastAsia="it-IT"/>
        </w:rPr>
        <w:lastRenderedPageBreak/>
        <w:t>responsabilità dei soggetti sottoposti alla giurisdizione della Corte dei Conti in materia di contabilità pubblica è personale e limitata ai fatti e alle omissioni commessi con dolo o colpa grave, ferma restando l'insindacabilità nel merito delle scelte discrezionali.</w:t>
      </w:r>
    </w:p>
    <w:p w14:paraId="55699F5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giudizio di responsabilità prende in esame anche il possibile danno all'immagine della pubblica amministrazione che la commissione di un reato può aver provocato, quantificandolo, in via presuntiva, in misura pari al doppio della somma di denaro o del valore patrimoniale di </w:t>
      </w:r>
      <w:proofErr w:type="spellStart"/>
      <w:r w:rsidRPr="00515872">
        <w:rPr>
          <w:rFonts w:eastAsia="Times New Roman" w:cs="Tahoma"/>
          <w:szCs w:val="20"/>
          <w:lang w:eastAsia="it-IT"/>
        </w:rPr>
        <w:t>altra</w:t>
      </w:r>
      <w:proofErr w:type="spellEnd"/>
      <w:r w:rsidRPr="00515872">
        <w:rPr>
          <w:rFonts w:eastAsia="Times New Roman" w:cs="Tahoma"/>
          <w:szCs w:val="20"/>
          <w:lang w:eastAsia="it-IT"/>
        </w:rPr>
        <w:t xml:space="preserve"> utilità illecitamente percepita.</w:t>
      </w:r>
    </w:p>
    <w:p w14:paraId="50137997" w14:textId="77777777" w:rsidR="009518AF" w:rsidRPr="00515872" w:rsidRDefault="009518AF" w:rsidP="009518AF">
      <w:pPr>
        <w:spacing w:line="360" w:lineRule="auto"/>
        <w:jc w:val="both"/>
        <w:rPr>
          <w:rFonts w:cs="Tahoma"/>
          <w:szCs w:val="20"/>
        </w:rPr>
      </w:pPr>
      <w:r w:rsidRPr="00515872">
        <w:rPr>
          <w:rFonts w:cs="Tahoma"/>
          <w:szCs w:val="20"/>
        </w:rPr>
        <w:t>L’azione di responsabilità avviata nei confronti dei revisori non ne comporta automaticamente la decadenza. A tal fine è necessario attendere un eventuale Decreto del Tribunale.</w:t>
      </w:r>
    </w:p>
    <w:p w14:paraId="162C88A6" w14:textId="77777777" w:rsidR="009518AF" w:rsidRPr="00515872" w:rsidRDefault="009518AF" w:rsidP="009518AF">
      <w:pPr>
        <w:spacing w:line="360" w:lineRule="auto"/>
        <w:jc w:val="both"/>
        <w:rPr>
          <w:rFonts w:cs="Tahoma"/>
          <w:szCs w:val="20"/>
        </w:rPr>
      </w:pPr>
      <w:r w:rsidRPr="00515872">
        <w:rPr>
          <w:rFonts w:cs="Tahoma"/>
          <w:szCs w:val="20"/>
        </w:rPr>
        <w:t xml:space="preserve">Quando la responsabilità del revisore è concorrente con quella degli amministratori, la rinuncia </w:t>
      </w:r>
      <w:r w:rsidR="005A687B" w:rsidRPr="00515872">
        <w:rPr>
          <w:rFonts w:cs="Tahoma"/>
          <w:szCs w:val="20"/>
        </w:rPr>
        <w:t>all’</w:t>
      </w:r>
      <w:r w:rsidRPr="00515872">
        <w:rPr>
          <w:rFonts w:cs="Tahoma"/>
          <w:szCs w:val="20"/>
        </w:rPr>
        <w:t>azione di responsabilità nei confronti di questi ultimi comporta l’automatica decadenza anche dell’azione promossa contro i primi.</w:t>
      </w:r>
    </w:p>
    <w:p w14:paraId="45830645" w14:textId="77777777" w:rsidR="009518AF" w:rsidRPr="00515872" w:rsidRDefault="009518AF" w:rsidP="009518AF">
      <w:pPr>
        <w:spacing w:line="360" w:lineRule="auto"/>
        <w:jc w:val="both"/>
        <w:rPr>
          <w:rFonts w:cs="Tahoma"/>
          <w:szCs w:val="20"/>
          <w:highlight w:val="yellow"/>
        </w:rPr>
      </w:pPr>
      <w:r w:rsidRPr="00515872">
        <w:rPr>
          <w:rFonts w:cs="Tahoma"/>
          <w:szCs w:val="20"/>
        </w:rPr>
        <w:t xml:space="preserve">L’azione di responsabilità nei confronti dei revisori ha prescrizione quinquennale dal momento in cui si verifica o si riconosce il </w:t>
      </w:r>
      <w:r w:rsidR="00E51D58" w:rsidRPr="00515872">
        <w:rPr>
          <w:rFonts w:cs="Tahoma"/>
          <w:szCs w:val="20"/>
        </w:rPr>
        <w:t xml:space="preserve">fatto </w:t>
      </w:r>
      <w:r w:rsidRPr="00515872">
        <w:rPr>
          <w:rFonts w:cs="Tahoma"/>
          <w:szCs w:val="20"/>
        </w:rPr>
        <w:t>danno</w:t>
      </w:r>
      <w:r w:rsidR="00E51D58" w:rsidRPr="00515872">
        <w:rPr>
          <w:rFonts w:cs="Tahoma"/>
          <w:szCs w:val="20"/>
        </w:rPr>
        <w:t>so</w:t>
      </w:r>
      <w:r w:rsidRPr="00515872">
        <w:rPr>
          <w:rFonts w:cs="Tahoma"/>
          <w:szCs w:val="20"/>
        </w:rPr>
        <w:t>.</w:t>
      </w:r>
      <w:r w:rsidRPr="00515872">
        <w:rPr>
          <w:rFonts w:cs="Tahoma"/>
          <w:highlight w:val="yellow"/>
        </w:rPr>
        <w:br w:type="page"/>
      </w:r>
    </w:p>
    <w:p w14:paraId="4E946739" w14:textId="77777777" w:rsidR="009518AF" w:rsidRPr="00515872" w:rsidRDefault="009518AF" w:rsidP="009518AF">
      <w:pPr>
        <w:pStyle w:val="Titolo"/>
        <w:rPr>
          <w:rFonts w:cs="Tahoma"/>
        </w:rPr>
      </w:pPr>
      <w:bookmarkStart w:id="73" w:name="_Toc521317068"/>
      <w:bookmarkStart w:id="74" w:name="_Toc95912245"/>
      <w:r w:rsidRPr="00515872">
        <w:rPr>
          <w:rFonts w:cs="Tahoma"/>
        </w:rPr>
        <w:lastRenderedPageBreak/>
        <w:t>4. Contabilità e bilanci dell’ente</w:t>
      </w:r>
      <w:bookmarkEnd w:id="73"/>
      <w:bookmarkEnd w:id="74"/>
    </w:p>
    <w:p w14:paraId="2E48CD99" w14:textId="77777777" w:rsidR="009518AF" w:rsidRPr="00515872" w:rsidRDefault="009518AF" w:rsidP="00297A21">
      <w:pPr>
        <w:pStyle w:val="Paragrafo"/>
      </w:pPr>
      <w:bookmarkStart w:id="75" w:name="_Toc521317069"/>
      <w:bookmarkStart w:id="76" w:name="_Toc95912246"/>
      <w:r w:rsidRPr="00515872">
        <w:t>4.1 Il sistema della contabilità finanziaria</w:t>
      </w:r>
      <w:bookmarkEnd w:id="75"/>
      <w:bookmarkEnd w:id="76"/>
    </w:p>
    <w:p w14:paraId="3A0442E5"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 principi contabili della contabilità finanziaria dell’ente locale sono allegati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23 giugno 2011, n. 118 recante disposizioni in materia di armonizzazione dei sistemi contabili.</w:t>
      </w:r>
    </w:p>
    <w:p w14:paraId="50871CA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La contabilità dell’ente si basa sostanzialmente sul principio della competenza finanziaria, ora definita, a seguito della riforma contabile introdotta dal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“potenziata”. Tale principio prescrive:</w:t>
      </w:r>
    </w:p>
    <w:p w14:paraId="6A62840F" w14:textId="77777777" w:rsidR="009518AF" w:rsidRPr="00515872" w:rsidRDefault="009518AF" w:rsidP="00D65838">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criterio di registrazione delle operazioni di accertamento e di impegno con le quali vengono imputate agli esercizi finanziari le entrate e le spese derivanti da obbligazioni (attive e passive) giuridicamente perfezionate;</w:t>
      </w:r>
    </w:p>
    <w:p w14:paraId="60713466" w14:textId="77777777" w:rsidR="009518AF" w:rsidRPr="00515872" w:rsidRDefault="009518AF" w:rsidP="00D65838">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criterio di registrazione degli incassi e dei pagamenti, che devono essere imputati agli esercizi in cui il tesoriere ha effettuato l'operazione.</w:t>
      </w:r>
    </w:p>
    <w:p w14:paraId="71F41E0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contabilità finanziaria rileva le obbligazioni, attive e passive, gli incassi e i pagamenti riguardanti tutte le transazioni poste in essere da una amministrazione pubblica, anche se non determinano flussi di cassa effettivi.</w:t>
      </w:r>
    </w:p>
    <w:p w14:paraId="3D3188E7" w14:textId="77777777" w:rsidR="00277513" w:rsidRPr="00515872" w:rsidRDefault="00277513" w:rsidP="009518AF">
      <w:pPr>
        <w:pStyle w:val="Sottoparagrafo"/>
        <w:rPr>
          <w:rFonts w:cs="Tahoma"/>
          <w:highlight w:val="yellow"/>
        </w:rPr>
      </w:pPr>
      <w:bookmarkStart w:id="77" w:name="_Toc521317070"/>
    </w:p>
    <w:p w14:paraId="305DD7F7" w14:textId="77777777" w:rsidR="009518AF" w:rsidRPr="00515872" w:rsidRDefault="009518AF" w:rsidP="009518AF">
      <w:pPr>
        <w:pStyle w:val="Sottoparagrafo"/>
        <w:rPr>
          <w:rFonts w:cs="Tahoma"/>
        </w:rPr>
      </w:pPr>
      <w:bookmarkStart w:id="78" w:name="_Toc95912247"/>
      <w:r w:rsidRPr="00515872">
        <w:rPr>
          <w:rFonts w:cs="Tahoma"/>
        </w:rPr>
        <w:t>4.1.1 Fasi dell’entrata</w:t>
      </w:r>
      <w:bookmarkEnd w:id="77"/>
      <w:bookmarkEnd w:id="78"/>
    </w:p>
    <w:p w14:paraId="1B32F49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Il principio contabile applicato </w:t>
      </w:r>
      <w:r w:rsidR="00D80946" w:rsidRPr="00515872">
        <w:rPr>
          <w:rFonts w:eastAsia="Times New Roman" w:cs="Tahoma"/>
          <w:szCs w:val="20"/>
          <w:lang w:eastAsia="it-IT"/>
        </w:rPr>
        <w:t xml:space="preserve">n. </w:t>
      </w:r>
      <w:r w:rsidRPr="00515872">
        <w:rPr>
          <w:rFonts w:eastAsia="Times New Roman" w:cs="Tahoma"/>
          <w:szCs w:val="20"/>
          <w:lang w:eastAsia="it-IT"/>
        </w:rPr>
        <w:t>4/2 indica specifiche modalità di accertamento e imputazione delle entrate, individuando le seguenti fasi, già previste nel precedente ordinamento contabile:</w:t>
      </w:r>
    </w:p>
    <w:p w14:paraId="0CDE7192"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accertamento;</w:t>
      </w:r>
    </w:p>
    <w:p w14:paraId="4CB7954D"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riscossione;</w:t>
      </w:r>
    </w:p>
    <w:p w14:paraId="39E78BB5"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versamento.</w:t>
      </w:r>
    </w:p>
    <w:p w14:paraId="02E7655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Accertamento</w:t>
      </w:r>
    </w:p>
    <w:p w14:paraId="02277222" w14:textId="77777777" w:rsidR="0069641F" w:rsidRPr="00515872" w:rsidRDefault="0069641F" w:rsidP="00696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L’iscrizione della posta contabile nel bilancio avviene in relazione al criterio della scadenza del credito rispetto a ciascun esercizio finanziario. L’accertamento delle entrate è effettuato nell’esercizio in cui sorge l’obbligazione attiva con imputazione contabile all’esercizio in cui scade il credito.</w:t>
      </w:r>
    </w:p>
    <w:p w14:paraId="3E52265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rPr>
      </w:pPr>
      <w:r w:rsidRPr="00515872">
        <w:rPr>
          <w:rFonts w:eastAsia="Times New Roman" w:cs="Tahoma"/>
          <w:szCs w:val="20"/>
          <w:lang w:eastAsia="it-IT"/>
        </w:rPr>
        <w:t>L’accertamento di un’entrata comporta la nascita del relativo credito per l’ente. Con l'accertamento dell’entrata sono verificati e attestati, sulla base di idonea documentazione:</w:t>
      </w:r>
    </w:p>
    <w:p w14:paraId="7094E974" w14:textId="77777777" w:rsidR="009518AF" w:rsidRPr="00515872" w:rsidRDefault="009518AF" w:rsidP="009518A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la ragione del credito;</w:t>
      </w:r>
    </w:p>
    <w:p w14:paraId="1BCCFF41" w14:textId="77777777" w:rsidR="009518AF" w:rsidRPr="00515872" w:rsidRDefault="009518AF" w:rsidP="009518A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il titolo giuridico che supporta il credito;</w:t>
      </w:r>
    </w:p>
    <w:p w14:paraId="22691AAF" w14:textId="77777777" w:rsidR="009518AF" w:rsidRPr="00515872" w:rsidRDefault="009518AF" w:rsidP="009518A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lastRenderedPageBreak/>
        <w:t>il soggetto debitore;</w:t>
      </w:r>
    </w:p>
    <w:p w14:paraId="35317CA6" w14:textId="77777777" w:rsidR="009518AF" w:rsidRPr="00515872" w:rsidRDefault="009518AF" w:rsidP="009518A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l'ammontare del credito;</w:t>
      </w:r>
    </w:p>
    <w:p w14:paraId="4687B450" w14:textId="77777777" w:rsidR="009518AF" w:rsidRPr="00515872" w:rsidRDefault="009518AF" w:rsidP="009518AF">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relativa scadenza. </w:t>
      </w:r>
    </w:p>
    <w:p w14:paraId="5F1D29E4" w14:textId="77777777" w:rsidR="009518AF" w:rsidRPr="00515872" w:rsidRDefault="004445FB"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cs="Tahoma"/>
        </w:rPr>
        <w:t>Con riferimento alle diverse tipologie di entrata la scadenza del credito</w:t>
      </w:r>
      <w:r w:rsidR="009518AF" w:rsidRPr="00515872">
        <w:rPr>
          <w:rFonts w:eastAsia="Times New Roman" w:cs="Tahoma"/>
          <w:szCs w:val="20"/>
          <w:lang w:eastAsia="it-IT"/>
        </w:rPr>
        <w:t>:</w:t>
      </w:r>
    </w:p>
    <w:p w14:paraId="7CDCFEF2" w14:textId="77777777" w:rsidR="009518AF" w:rsidRPr="00515872" w:rsidRDefault="009518AF" w:rsidP="009518AF">
      <w:pPr>
        <w:pStyle w:val="Paragrafoelenco"/>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le entrate di carattere tributario</w:t>
      </w:r>
      <w:r w:rsidR="004445FB" w:rsidRPr="00515872">
        <w:rPr>
          <w:rFonts w:eastAsia="Times New Roman" w:cs="Tahoma"/>
          <w:szCs w:val="20"/>
          <w:lang w:eastAsia="it-IT"/>
        </w:rPr>
        <w:t xml:space="preserve"> ed extratributario</w:t>
      </w:r>
      <w:r w:rsidRPr="00515872">
        <w:rPr>
          <w:rFonts w:eastAsia="Times New Roman" w:cs="Tahoma"/>
          <w:szCs w:val="20"/>
          <w:lang w:eastAsia="it-IT"/>
        </w:rPr>
        <w:t xml:space="preserve">: </w:t>
      </w:r>
      <w:r w:rsidR="004445FB" w:rsidRPr="00515872">
        <w:rPr>
          <w:rFonts w:cs="Tahoma"/>
        </w:rPr>
        <w:t>coincide con l’esigibilità del credito</w:t>
      </w:r>
      <w:r w:rsidRPr="00515872">
        <w:rPr>
          <w:rFonts w:eastAsia="Times New Roman" w:cs="Tahoma"/>
          <w:szCs w:val="20"/>
          <w:lang w:eastAsia="it-IT"/>
        </w:rPr>
        <w:t>;</w:t>
      </w:r>
    </w:p>
    <w:p w14:paraId="452D7210" w14:textId="77777777" w:rsidR="004445FB" w:rsidRPr="00515872" w:rsidRDefault="009518AF" w:rsidP="004445FB">
      <w:pPr>
        <w:pStyle w:val="Paragrafoelenco"/>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per le entrate </w:t>
      </w:r>
      <w:r w:rsidR="004445FB" w:rsidRPr="00515872">
        <w:rPr>
          <w:rFonts w:cs="Tahoma"/>
        </w:rPr>
        <w:t>derivanti da trasferimenti e contributi da altre amministrazioni pubbliche</w:t>
      </w:r>
      <w:r w:rsidRPr="00515872">
        <w:rPr>
          <w:rFonts w:eastAsia="Times New Roman" w:cs="Tahoma"/>
          <w:szCs w:val="20"/>
          <w:lang w:eastAsia="it-IT"/>
        </w:rPr>
        <w:t xml:space="preserve">: </w:t>
      </w:r>
      <w:r w:rsidR="00605430" w:rsidRPr="00515872">
        <w:rPr>
          <w:rFonts w:eastAsia="Times New Roman" w:cs="Tahoma"/>
          <w:szCs w:val="20"/>
          <w:lang w:eastAsia="it-IT"/>
        </w:rPr>
        <w:t xml:space="preserve">di regola, </w:t>
      </w:r>
      <w:r w:rsidR="004445FB" w:rsidRPr="00515872">
        <w:rPr>
          <w:rFonts w:cs="Tahoma"/>
        </w:rPr>
        <w:t>coincide con l’esercizio finanziario in cui è adottato l’atto amministrativo di impegno relativo al contributo o al finanziamento</w:t>
      </w:r>
      <w:r w:rsidRPr="00515872">
        <w:rPr>
          <w:rFonts w:eastAsia="Times New Roman" w:cs="Tahoma"/>
          <w:szCs w:val="20"/>
          <w:lang w:eastAsia="it-IT"/>
        </w:rPr>
        <w:t>;</w:t>
      </w:r>
    </w:p>
    <w:p w14:paraId="7B7DBC3B" w14:textId="77777777" w:rsidR="004445FB" w:rsidRPr="00515872" w:rsidRDefault="009518AF" w:rsidP="004445FB">
      <w:pPr>
        <w:pStyle w:val="Paragrafoelenco"/>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per le entrate </w:t>
      </w:r>
      <w:r w:rsidR="004445FB" w:rsidRPr="00515872">
        <w:rPr>
          <w:rFonts w:eastAsia="Times New Roman" w:cs="Tahoma"/>
          <w:szCs w:val="20"/>
          <w:lang w:eastAsia="it-IT"/>
        </w:rPr>
        <w:t xml:space="preserve">derivanti da contributi a rendicontazione: </w:t>
      </w:r>
      <w:r w:rsidR="004445FB" w:rsidRPr="00515872">
        <w:rPr>
          <w:rFonts w:cs="Tahoma"/>
        </w:rPr>
        <w:t xml:space="preserve">l’accertamento è imputato secondo le seguenti </w:t>
      </w:r>
      <w:r w:rsidR="00C7464F" w:rsidRPr="00515872">
        <w:rPr>
          <w:rFonts w:cs="Tahoma"/>
        </w:rPr>
        <w:t xml:space="preserve">distinte </w:t>
      </w:r>
      <w:r w:rsidR="004445FB" w:rsidRPr="00515872">
        <w:rPr>
          <w:rFonts w:cs="Tahoma"/>
        </w:rPr>
        <w:t>modalità</w:t>
      </w:r>
      <w:r w:rsidR="00C7464F" w:rsidRPr="00515872">
        <w:rPr>
          <w:rFonts w:cs="Tahoma"/>
        </w:rPr>
        <w:t>:</w:t>
      </w:r>
    </w:p>
    <w:p w14:paraId="21AB1D45" w14:textId="77777777" w:rsidR="009518AF" w:rsidRPr="00515872" w:rsidRDefault="004445FB"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in caso di trasferimenti a rendicontazione erogati da un’amministrazione che adotta il principio della c</w:t>
      </w:r>
      <w:r w:rsidR="00E11D8D" w:rsidRPr="00515872">
        <w:rPr>
          <w:rFonts w:cs="Tahoma"/>
        </w:rPr>
        <w:t>ompetenza finanziaria potenziata</w:t>
      </w:r>
      <w:r w:rsidR="00C7464F" w:rsidRPr="00515872">
        <w:rPr>
          <w:rFonts w:cs="Tahoma"/>
        </w:rPr>
        <w:t>:</w:t>
      </w:r>
      <w:r w:rsidRPr="00515872">
        <w:rPr>
          <w:rFonts w:cs="Tahoma"/>
        </w:rPr>
        <w:t xml:space="preserve"> l’amministrazione beneficiaria del contributo accerta l’entrata con imputazione ai medesimi esercizi in cui l’amministrazione erogante ha registrato i corrispondenti impegni</w:t>
      </w:r>
      <w:r w:rsidR="009518AF" w:rsidRPr="00515872">
        <w:rPr>
          <w:rFonts w:eastAsia="Times New Roman" w:cs="Tahoma"/>
          <w:szCs w:val="20"/>
          <w:lang w:eastAsia="it-IT"/>
        </w:rPr>
        <w:t>;</w:t>
      </w:r>
    </w:p>
    <w:p w14:paraId="3C8EA108" w14:textId="77777777" w:rsidR="004445FB" w:rsidRPr="00515872" w:rsidRDefault="00E11D8D"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n</w:t>
      </w:r>
      <w:r w:rsidR="004445FB" w:rsidRPr="00515872">
        <w:rPr>
          <w:rFonts w:cs="Tahoma"/>
        </w:rPr>
        <w:t>el</w:t>
      </w:r>
      <w:r w:rsidR="00D80946" w:rsidRPr="00515872">
        <w:rPr>
          <w:rFonts w:cs="Tahoma"/>
        </w:rPr>
        <w:t xml:space="preserve"> caso di trasferimenti erogati a rendicontazione</w:t>
      </w:r>
      <w:r w:rsidR="004445FB" w:rsidRPr="00515872">
        <w:rPr>
          <w:rFonts w:cs="Tahoma"/>
        </w:rPr>
        <w:t xml:space="preserve"> da soggetti che </w:t>
      </w:r>
      <w:r w:rsidR="004445FB" w:rsidRPr="00515872">
        <w:rPr>
          <w:rFonts w:cs="Tahoma"/>
          <w:b/>
        </w:rPr>
        <w:t>non</w:t>
      </w:r>
      <w:r w:rsidR="004445FB" w:rsidRPr="00515872">
        <w:rPr>
          <w:rFonts w:cs="Tahoma"/>
        </w:rPr>
        <w:t xml:space="preserve"> adottano il medesimo principio della co</w:t>
      </w:r>
      <w:r w:rsidR="00C7464F" w:rsidRPr="00515872">
        <w:rPr>
          <w:rFonts w:cs="Tahoma"/>
        </w:rPr>
        <w:t>mpetenza finanziaria potenziata:</w:t>
      </w:r>
      <w:r w:rsidR="004445FB" w:rsidRPr="00515872">
        <w:rPr>
          <w:rFonts w:cs="Tahoma"/>
        </w:rPr>
        <w:t xml:space="preserve"> l’ente beneficiario accerta l’entrata a seguito della formale deliberazione, da parte dell’ente erogante, di erogazione del contributo a proprio favore per la realizzazione di una determinata spesa;</w:t>
      </w:r>
    </w:p>
    <w:p w14:paraId="46C475E4" w14:textId="77777777" w:rsidR="009518AF" w:rsidRPr="00515872" w:rsidRDefault="004445FB" w:rsidP="009518AF">
      <w:pPr>
        <w:pStyle w:val="Paragrafoelenco"/>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coincide con i termini di pagamento previsti nel permesso di costruire, mentre la registrazione contabile dell’operazione è effettuata al momento del rilascio del permesso.</w:t>
      </w:r>
    </w:p>
    <w:p w14:paraId="79EB785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Sono accertate per intero anche le entrate di </w:t>
      </w:r>
      <w:r w:rsidRPr="00515872">
        <w:rPr>
          <w:rFonts w:eastAsia="Times New Roman" w:cs="Tahoma"/>
          <w:b/>
          <w:szCs w:val="20"/>
          <w:lang w:eastAsia="it-IT"/>
        </w:rPr>
        <w:t>dubbia e difficile esazione</w:t>
      </w:r>
      <w:r w:rsidRPr="00515872">
        <w:rPr>
          <w:rFonts w:eastAsia="Times New Roman" w:cs="Tahoma"/>
          <w:szCs w:val="20"/>
          <w:lang w:eastAsia="it-IT"/>
        </w:rPr>
        <w:t>, per le quali non è certa la riscossione integrale, salvo e</w:t>
      </w:r>
      <w:r w:rsidR="00D80946" w:rsidRPr="00515872">
        <w:rPr>
          <w:rFonts w:eastAsia="Times New Roman" w:cs="Tahoma"/>
          <w:szCs w:val="20"/>
          <w:lang w:eastAsia="it-IT"/>
        </w:rPr>
        <w:t>ffettuare un accantonamento al f</w:t>
      </w:r>
      <w:r w:rsidRPr="00515872">
        <w:rPr>
          <w:rFonts w:eastAsia="Times New Roman" w:cs="Tahoma"/>
          <w:szCs w:val="20"/>
          <w:lang w:eastAsia="it-IT"/>
        </w:rPr>
        <w:t>ondo crediti di dubbia esigibilità (FCDE), vincolando la corrispondente quota dell’avanzo di amministrazione.</w:t>
      </w:r>
    </w:p>
    <w:p w14:paraId="597419D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L’accertamento presuppone idonea documentazione e si perfeziona mediante l’atto gestionale con il quale vengono verificati ed attestati i requisiti anzidetti e con il quale si dà atto della scadenza del credito in relazione a ciascun esercizio finanziario contemplato nel bilancio di previsione.</w:t>
      </w:r>
    </w:p>
    <w:p w14:paraId="560F1E99" w14:textId="77777777" w:rsidR="009518AF" w:rsidRPr="00515872" w:rsidRDefault="009518AF" w:rsidP="009518AF">
      <w:pPr>
        <w:tabs>
          <w:tab w:val="left" w:pos="284"/>
        </w:tabs>
        <w:suppressAutoHyphens/>
        <w:spacing w:after="0" w:line="360" w:lineRule="auto"/>
        <w:jc w:val="both"/>
        <w:rPr>
          <w:rFonts w:cs="Tahoma"/>
          <w:b/>
          <w:szCs w:val="20"/>
        </w:rPr>
      </w:pPr>
      <w:r w:rsidRPr="00515872">
        <w:rPr>
          <w:rFonts w:cs="Tahoma"/>
          <w:b/>
          <w:szCs w:val="20"/>
        </w:rPr>
        <w:t>Riscossione</w:t>
      </w:r>
    </w:p>
    <w:p w14:paraId="1D15ABDA" w14:textId="77777777" w:rsidR="009518AF" w:rsidRPr="00515872" w:rsidRDefault="009518AF" w:rsidP="009518AF">
      <w:pPr>
        <w:tabs>
          <w:tab w:val="left" w:pos="284"/>
        </w:tabs>
        <w:suppressAutoHyphens/>
        <w:spacing w:after="0" w:line="360" w:lineRule="auto"/>
        <w:jc w:val="both"/>
        <w:rPr>
          <w:rFonts w:cs="Tahoma"/>
          <w:szCs w:val="20"/>
        </w:rPr>
      </w:pPr>
      <w:r w:rsidRPr="00515872">
        <w:rPr>
          <w:rFonts w:cs="Tahoma"/>
          <w:szCs w:val="20"/>
        </w:rPr>
        <w:t>La riscossione delle entrate consiste nel materiale introito da parte del tesoriere o di altri eventuali incaricati della riscossione delle somme dovute all’ente e può avvenire:</w:t>
      </w:r>
    </w:p>
    <w:p w14:paraId="636E7C9F"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t>mediante versamento diretto presso la tesoreria comunale;</w:t>
      </w:r>
    </w:p>
    <w:p w14:paraId="20AFC2F8"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t>mediante versamento su conto corrente postale intestato all’ente presso la tesoreria;</w:t>
      </w:r>
    </w:p>
    <w:p w14:paraId="11D76A74"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t>a mezzo di incaricati della riscossione;</w:t>
      </w:r>
    </w:p>
    <w:p w14:paraId="101BAD20"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t>mediante versamenti con moneta elettronica (bancomat, carta di credito, ecc.);</w:t>
      </w:r>
    </w:p>
    <w:p w14:paraId="10CD54F5"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t>a mezzo di casse interne, ivi compresa la cassa economale;</w:t>
      </w:r>
    </w:p>
    <w:p w14:paraId="3040F48D" w14:textId="77777777" w:rsidR="009518AF" w:rsidRPr="00515872" w:rsidRDefault="009518AF" w:rsidP="00D65838">
      <w:pPr>
        <w:pStyle w:val="Paragrafoelenco"/>
        <w:numPr>
          <w:ilvl w:val="0"/>
          <w:numId w:val="36"/>
        </w:numPr>
        <w:tabs>
          <w:tab w:val="left" w:pos="426"/>
        </w:tabs>
        <w:suppressAutoHyphens/>
        <w:spacing w:line="360" w:lineRule="auto"/>
        <w:jc w:val="both"/>
        <w:rPr>
          <w:rFonts w:cs="Tahoma"/>
          <w:szCs w:val="20"/>
        </w:rPr>
      </w:pPr>
      <w:r w:rsidRPr="00515872">
        <w:rPr>
          <w:rFonts w:cs="Tahoma"/>
          <w:szCs w:val="20"/>
        </w:rPr>
        <w:lastRenderedPageBreak/>
        <w:t>a mezzo di apparecchiature automatiche.</w:t>
      </w:r>
    </w:p>
    <w:p w14:paraId="46F28BE1" w14:textId="77777777" w:rsidR="009518AF" w:rsidRPr="00515872" w:rsidRDefault="00D80946" w:rsidP="009518AF">
      <w:pPr>
        <w:tabs>
          <w:tab w:val="left" w:pos="284"/>
        </w:tabs>
        <w:suppressAutoHyphens/>
        <w:spacing w:after="0" w:line="360" w:lineRule="auto"/>
        <w:jc w:val="both"/>
        <w:rPr>
          <w:rFonts w:cs="Tahoma"/>
          <w:szCs w:val="20"/>
        </w:rPr>
      </w:pPr>
      <w:r w:rsidRPr="00515872">
        <w:rPr>
          <w:rFonts w:cs="Tahoma"/>
          <w:szCs w:val="20"/>
        </w:rPr>
        <w:t xml:space="preserve">La riscossione è disposta </w:t>
      </w:r>
      <w:r w:rsidR="00F61F43" w:rsidRPr="00515872">
        <w:rPr>
          <w:rFonts w:cs="Tahoma"/>
          <w:szCs w:val="20"/>
        </w:rPr>
        <w:t>con l’</w:t>
      </w:r>
      <w:r w:rsidR="009518AF" w:rsidRPr="00515872">
        <w:rPr>
          <w:rFonts w:cs="Tahoma"/>
          <w:szCs w:val="20"/>
        </w:rPr>
        <w:t xml:space="preserve">ordinativo di incasso (reversale) </w:t>
      </w:r>
      <w:r w:rsidR="00266300" w:rsidRPr="00515872">
        <w:rPr>
          <w:rFonts w:cs="Tahoma"/>
          <w:szCs w:val="20"/>
        </w:rPr>
        <w:t>emesso</w:t>
      </w:r>
      <w:r w:rsidR="009518AF" w:rsidRPr="00515872">
        <w:rPr>
          <w:rFonts w:cs="Tahoma"/>
          <w:szCs w:val="20"/>
        </w:rPr>
        <w:t xml:space="preserve"> dal servizio finanziario, contenente i seguenti elementi:</w:t>
      </w:r>
    </w:p>
    <w:p w14:paraId="61ED1B97"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l’indicazione del debitore;</w:t>
      </w:r>
    </w:p>
    <w:p w14:paraId="60485C6D"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l’ammontare della somma da riscuotere;</w:t>
      </w:r>
    </w:p>
    <w:p w14:paraId="530EA301"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la causale;</w:t>
      </w:r>
    </w:p>
    <w:p w14:paraId="73903C4B"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gli eventuali vincoli di destinazione delle entrate derivanti da legge, da trasferimenti o da prestiti;</w:t>
      </w:r>
    </w:p>
    <w:p w14:paraId="7F660EC4"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l’indicazione del titolo e della tipologia, distintamente per residui o competenza;</w:t>
      </w:r>
    </w:p>
    <w:p w14:paraId="0951696C"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la codifica di bilancio;</w:t>
      </w:r>
    </w:p>
    <w:p w14:paraId="1345FD39"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il numero progressivo;</w:t>
      </w:r>
    </w:p>
    <w:p w14:paraId="7F1034E4"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l’esercizio finanziario e la data di emissione;</w:t>
      </w:r>
    </w:p>
    <w:p w14:paraId="2BCA1015" w14:textId="77777777" w:rsidR="009518AF"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la codifica SIOPE</w:t>
      </w:r>
      <w:r w:rsidR="002B7C24" w:rsidRPr="00515872">
        <w:rPr>
          <w:rFonts w:cs="Tahoma"/>
          <w:szCs w:val="20"/>
        </w:rPr>
        <w:t xml:space="preserve"> di cui all’art. 14, L. 13 dicembre 2009, n. 196</w:t>
      </w:r>
      <w:r w:rsidRPr="00515872">
        <w:rPr>
          <w:rFonts w:cs="Tahoma"/>
          <w:szCs w:val="20"/>
        </w:rPr>
        <w:t>;</w:t>
      </w:r>
    </w:p>
    <w:p w14:paraId="01D7B5D9" w14:textId="77777777" w:rsidR="003913C1" w:rsidRPr="00515872" w:rsidRDefault="009518AF" w:rsidP="00D65838">
      <w:pPr>
        <w:pStyle w:val="Paragrafoelenco"/>
        <w:numPr>
          <w:ilvl w:val="0"/>
          <w:numId w:val="37"/>
        </w:numPr>
        <w:tabs>
          <w:tab w:val="left" w:pos="567"/>
        </w:tabs>
        <w:suppressAutoHyphens/>
        <w:spacing w:line="360" w:lineRule="auto"/>
        <w:jc w:val="both"/>
        <w:rPr>
          <w:rFonts w:cs="Tahoma"/>
          <w:szCs w:val="20"/>
        </w:rPr>
      </w:pPr>
      <w:r w:rsidRPr="00515872">
        <w:rPr>
          <w:rFonts w:cs="Tahoma"/>
          <w:szCs w:val="20"/>
        </w:rPr>
        <w:t>i codici della transazione elementare</w:t>
      </w:r>
      <w:r w:rsidR="002B7C24" w:rsidRPr="00515872">
        <w:rPr>
          <w:rFonts w:cs="Tahoma"/>
          <w:szCs w:val="20"/>
        </w:rPr>
        <w:t xml:space="preserve"> di cui agli artt. da 5 a 7, </w:t>
      </w:r>
      <w:proofErr w:type="spellStart"/>
      <w:r w:rsidR="002B7C24" w:rsidRPr="00515872">
        <w:rPr>
          <w:rFonts w:cs="Tahoma"/>
          <w:szCs w:val="20"/>
        </w:rPr>
        <w:t>D.Lgs.</w:t>
      </w:r>
      <w:proofErr w:type="spellEnd"/>
      <w:r w:rsidR="002B7C24" w:rsidRPr="00515872">
        <w:rPr>
          <w:rFonts w:cs="Tahoma"/>
          <w:szCs w:val="20"/>
        </w:rPr>
        <w:t xml:space="preserve"> 23 giugno 2011, n. 118</w:t>
      </w:r>
      <w:r w:rsidRPr="00515872">
        <w:rPr>
          <w:rFonts w:cs="Tahoma"/>
          <w:szCs w:val="20"/>
        </w:rPr>
        <w:t>.</w:t>
      </w:r>
    </w:p>
    <w:p w14:paraId="4B67EC7F" w14:textId="77777777" w:rsidR="003913C1" w:rsidRPr="00515872" w:rsidRDefault="003913C1" w:rsidP="00E11534">
      <w:pPr>
        <w:tabs>
          <w:tab w:val="left" w:pos="567"/>
        </w:tabs>
        <w:suppressAutoHyphens/>
        <w:spacing w:after="0" w:line="360" w:lineRule="auto"/>
        <w:jc w:val="both"/>
        <w:rPr>
          <w:rFonts w:cs="Tahoma"/>
          <w:color w:val="000000"/>
        </w:rPr>
      </w:pPr>
      <w:r w:rsidRPr="00515872">
        <w:rPr>
          <w:rFonts w:cs="Tahoma"/>
          <w:color w:val="000000"/>
        </w:rPr>
        <w:t xml:space="preserve">Le modalità di attuazione della “riscossione” rispettano i seguenti principi: </w:t>
      </w:r>
    </w:p>
    <w:p w14:paraId="6CE8937C"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certezza della somma riscossa e del soggetto versante;</w:t>
      </w:r>
    </w:p>
    <w:p w14:paraId="316EFA9A"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 xml:space="preserve">certezza della data </w:t>
      </w:r>
      <w:r w:rsidR="00E11534" w:rsidRPr="00515872">
        <w:rPr>
          <w:rFonts w:cs="Tahoma"/>
        </w:rPr>
        <w:t>del versamento e della causale;</w:t>
      </w:r>
    </w:p>
    <w:p w14:paraId="0990B7D8"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 xml:space="preserve">registrazione cronologica dei versamenti ed immodificabilità delle registrazioni stesse; </w:t>
      </w:r>
    </w:p>
    <w:p w14:paraId="0FE9A167"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 xml:space="preserve">costante verificabilità delle somme incassate e corrispondenza delle giacenze con le scritture contabili; </w:t>
      </w:r>
    </w:p>
    <w:p w14:paraId="10E1AE48"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 xml:space="preserve">obbligo del versamento degli incassi in tesoreria entro termini definiti dal regolamento di contabilità, non superiori ai 15 giorni lavorativi; </w:t>
      </w:r>
    </w:p>
    <w:p w14:paraId="3CE7CD08"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 xml:space="preserve">divieto di diverso utilizzo delle somme giacenti; </w:t>
      </w:r>
    </w:p>
    <w:p w14:paraId="23B193AF" w14:textId="77777777" w:rsidR="003913C1" w:rsidRPr="00515872" w:rsidRDefault="003913C1" w:rsidP="00D65838">
      <w:pPr>
        <w:pStyle w:val="Paragrafoelenco"/>
        <w:numPr>
          <w:ilvl w:val="0"/>
          <w:numId w:val="37"/>
        </w:numPr>
        <w:tabs>
          <w:tab w:val="left" w:pos="567"/>
        </w:tabs>
        <w:suppressAutoHyphens/>
        <w:spacing w:line="360" w:lineRule="auto"/>
        <w:jc w:val="both"/>
        <w:rPr>
          <w:rFonts w:cs="Tahoma"/>
          <w:szCs w:val="20"/>
        </w:rPr>
      </w:pPr>
      <w:r w:rsidRPr="00515872">
        <w:rPr>
          <w:rFonts w:cs="Tahoma"/>
        </w:rPr>
        <w:t>tracciabilità delle operazioni nel caso di utilizzo di strumenti informatici anche in riferimento all’identificazione degli operatori.</w:t>
      </w:r>
    </w:p>
    <w:p w14:paraId="6E7B6A00" w14:textId="77777777" w:rsidR="009518AF" w:rsidRPr="00515872" w:rsidRDefault="009518AF" w:rsidP="009518AF">
      <w:pPr>
        <w:tabs>
          <w:tab w:val="left" w:pos="284"/>
        </w:tabs>
        <w:suppressAutoHyphens/>
        <w:spacing w:line="360" w:lineRule="auto"/>
        <w:jc w:val="both"/>
        <w:rPr>
          <w:rFonts w:cs="Tahoma"/>
          <w:szCs w:val="20"/>
        </w:rPr>
      </w:pPr>
      <w:r w:rsidRPr="00515872">
        <w:rPr>
          <w:rFonts w:cs="Tahoma"/>
          <w:szCs w:val="20"/>
        </w:rPr>
        <w:t xml:space="preserve">Gli ordinativi di incasso sono sottoscritti dal responsabile del servizio finanziario </w:t>
      </w:r>
      <w:r w:rsidR="00C77C10" w:rsidRPr="00515872">
        <w:rPr>
          <w:rFonts w:cs="Tahoma"/>
          <w:szCs w:val="20"/>
        </w:rPr>
        <w:t xml:space="preserve">o da altro dipendente individuato dal regolamento di contabilità </w:t>
      </w:r>
      <w:r w:rsidRPr="00515872">
        <w:rPr>
          <w:rFonts w:cs="Tahoma"/>
          <w:szCs w:val="20"/>
        </w:rPr>
        <w:t xml:space="preserve">e sono trasmessi al tesoriere che provvede alle operazioni contabili di sua competenza. </w:t>
      </w:r>
    </w:p>
    <w:p w14:paraId="0F9E8281" w14:textId="77777777" w:rsidR="009518AF" w:rsidRPr="00515872" w:rsidRDefault="009518AF" w:rsidP="009518AF">
      <w:pPr>
        <w:tabs>
          <w:tab w:val="left" w:pos="284"/>
        </w:tabs>
        <w:suppressAutoHyphens/>
        <w:spacing w:line="360" w:lineRule="auto"/>
        <w:jc w:val="both"/>
        <w:rPr>
          <w:rFonts w:cs="Tahoma"/>
          <w:szCs w:val="20"/>
        </w:rPr>
      </w:pPr>
      <w:r w:rsidRPr="00515872">
        <w:rPr>
          <w:rFonts w:cs="Tahoma"/>
          <w:szCs w:val="20"/>
        </w:rPr>
        <w:t xml:space="preserve">Il tesoriere </w:t>
      </w:r>
      <w:r w:rsidR="001B1F0E" w:rsidRPr="00515872">
        <w:rPr>
          <w:rFonts w:cs="Tahoma"/>
          <w:szCs w:val="20"/>
        </w:rPr>
        <w:t>deve accettare la riscossione di ogni somma</w:t>
      </w:r>
      <w:r w:rsidRPr="00515872">
        <w:rPr>
          <w:rFonts w:cs="Tahoma"/>
          <w:szCs w:val="20"/>
        </w:rPr>
        <w:t xml:space="preserve"> anche in assenza degli ordinativi di incasso. In tal caso, deve darne comunicazione all’ente che deve provvedere alla relativa regolarizzazione mediante emissione della reversale a copertura.</w:t>
      </w:r>
    </w:p>
    <w:p w14:paraId="4F01561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szCs w:val="20"/>
        </w:rPr>
        <w:t>Gli ordinativi di incasso non riscossi entro il termine dell’esercizio sono restituiti dal tesoriere all’ente per l’annullamento e la successiva emissione nell’esercizio successivo in conto residui.</w:t>
      </w:r>
    </w:p>
    <w:p w14:paraId="0151B324"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36521152"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056F34D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lastRenderedPageBreak/>
        <w:t>Versamento</w:t>
      </w:r>
    </w:p>
    <w:p w14:paraId="164A9D9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szCs w:val="20"/>
        </w:rPr>
        <w:t>Il versamento rappresenta l’ultima fase dell’entrata e consiste nel trasferimento delle somme riscosse nelle casse dell’ente entro i termini previsti dalla convenzione con il tesoriere. In questa fase g</w:t>
      </w:r>
      <w:r w:rsidRPr="00515872">
        <w:rPr>
          <w:rFonts w:eastAsia="Times New Roman" w:cs="Tahoma"/>
          <w:szCs w:val="20"/>
          <w:lang w:eastAsia="it-IT"/>
        </w:rPr>
        <w:t>li incaricati della riscossione versano al tesoriere quanto incassato.</w:t>
      </w:r>
    </w:p>
    <w:p w14:paraId="478D0F10" w14:textId="77777777" w:rsidR="00B103FB" w:rsidRPr="00515872" w:rsidRDefault="00B103FB"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Style w:val="fontstyle01"/>
          <w:rFonts w:ascii="Tahoma" w:hAnsi="Tahoma" w:cs="Tahoma"/>
          <w:sz w:val="20"/>
          <w:szCs w:val="20"/>
        </w:rPr>
        <w:t>Gli incaricati interni, designati con provvedimento formale</w:t>
      </w:r>
      <w:r w:rsidRPr="00515872">
        <w:rPr>
          <w:rFonts w:cs="Tahoma"/>
          <w:color w:val="000000"/>
          <w:szCs w:val="20"/>
        </w:rPr>
        <w:t xml:space="preserve"> </w:t>
      </w:r>
      <w:r w:rsidRPr="00515872">
        <w:rPr>
          <w:rStyle w:val="fontstyle01"/>
          <w:rFonts w:ascii="Tahoma" w:hAnsi="Tahoma" w:cs="Tahoma"/>
          <w:sz w:val="20"/>
          <w:szCs w:val="20"/>
        </w:rPr>
        <w:t>dell'amministrazione, versano le somme riscosse presso la tesoreria</w:t>
      </w:r>
      <w:r w:rsidRPr="00515872">
        <w:rPr>
          <w:rFonts w:cs="Tahoma"/>
          <w:color w:val="000000"/>
          <w:szCs w:val="20"/>
        </w:rPr>
        <w:t xml:space="preserve"> </w:t>
      </w:r>
      <w:r w:rsidRPr="00515872">
        <w:rPr>
          <w:rStyle w:val="fontstyle01"/>
          <w:rFonts w:ascii="Tahoma" w:hAnsi="Tahoma" w:cs="Tahoma"/>
          <w:sz w:val="20"/>
          <w:szCs w:val="20"/>
        </w:rPr>
        <w:t>dell'ente con cadenza stabilita dal regolamento di contabilità</w:t>
      </w:r>
      <w:r w:rsidRPr="00515872">
        <w:rPr>
          <w:rStyle w:val="fontstyle01"/>
          <w:rFonts w:ascii="Tahoma" w:hAnsi="Tahoma" w:cs="Tahoma"/>
          <w:iCs/>
          <w:sz w:val="20"/>
          <w:szCs w:val="20"/>
        </w:rPr>
        <w:t>,</w:t>
      </w:r>
      <w:r w:rsidRPr="00515872">
        <w:rPr>
          <w:rFonts w:cs="Tahoma"/>
          <w:iCs/>
          <w:color w:val="000000"/>
          <w:szCs w:val="20"/>
        </w:rPr>
        <w:t xml:space="preserve"> </w:t>
      </w:r>
      <w:r w:rsidRPr="00515872">
        <w:rPr>
          <w:rStyle w:val="fontstyle01"/>
          <w:rFonts w:ascii="Tahoma" w:hAnsi="Tahoma" w:cs="Tahoma"/>
          <w:iCs/>
          <w:sz w:val="20"/>
          <w:szCs w:val="20"/>
        </w:rPr>
        <w:t>non superiori ai 15 giorni lavorativi</w:t>
      </w:r>
      <w:r w:rsidRPr="00515872">
        <w:rPr>
          <w:rStyle w:val="fontstyle01"/>
          <w:rFonts w:ascii="Tahoma" w:hAnsi="Tahoma" w:cs="Tahoma"/>
          <w:sz w:val="20"/>
          <w:szCs w:val="20"/>
        </w:rPr>
        <w:t>.</w:t>
      </w:r>
    </w:p>
    <w:p w14:paraId="0987A4C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caso in cui la riscossione sia effettuata dal tesoriere, la stessa coincide con la fase del versamento.</w:t>
      </w:r>
    </w:p>
    <w:p w14:paraId="33C9BA44" w14:textId="77777777" w:rsidR="00277513" w:rsidRPr="00515872" w:rsidRDefault="00277513" w:rsidP="003913C1">
      <w:pPr>
        <w:spacing w:line="240" w:lineRule="auto"/>
        <w:rPr>
          <w:rFonts w:cs="Tahoma"/>
          <w:b/>
          <w:bCs/>
          <w:i/>
          <w:color w:val="000000"/>
          <w:sz w:val="22"/>
          <w:szCs w:val="24"/>
          <w:highlight w:val="yellow"/>
          <w:lang w:eastAsia="it-IT"/>
        </w:rPr>
      </w:pPr>
      <w:bookmarkStart w:id="79" w:name="_Toc521317071"/>
    </w:p>
    <w:p w14:paraId="5CFB9739" w14:textId="77777777" w:rsidR="009518AF" w:rsidRPr="00515872" w:rsidRDefault="009518AF" w:rsidP="009518AF">
      <w:pPr>
        <w:pStyle w:val="Sottoparagrafo"/>
        <w:rPr>
          <w:rFonts w:cs="Tahoma"/>
          <w:lang w:eastAsia="it-IT"/>
        </w:rPr>
      </w:pPr>
      <w:bookmarkStart w:id="80" w:name="_Toc95912248"/>
      <w:r w:rsidRPr="00515872">
        <w:rPr>
          <w:rFonts w:cs="Tahoma"/>
          <w:lang w:eastAsia="it-IT"/>
        </w:rPr>
        <w:t>4.1.2 Fasi della spesa</w:t>
      </w:r>
      <w:bookmarkEnd w:id="79"/>
      <w:bookmarkEnd w:id="80"/>
    </w:p>
    <w:p w14:paraId="3AE53B5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Va innanzitutto premesso che ogni procedimento amministrativo che comporta delle spese deve trovare, fin da subito, una copertura finanziaria e deve essere prenotato nelle scritture contabili dell'esercizio individuato nel provvedimento che ha originato il procedimento di spesa.</w:t>
      </w:r>
    </w:p>
    <w:p w14:paraId="0722B6C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Le fasi della spesa sono le seguenti:</w:t>
      </w:r>
      <w:r w:rsidRPr="00515872">
        <w:rPr>
          <w:rFonts w:eastAsia="Times New Roman" w:cs="Tahoma"/>
          <w:szCs w:val="20"/>
          <w:lang w:eastAsia="it-IT"/>
        </w:rPr>
        <w:tab/>
      </w:r>
    </w:p>
    <w:p w14:paraId="59CAA3EB"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impegno;</w:t>
      </w:r>
    </w:p>
    <w:p w14:paraId="4DFF4DFB"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liquidazione;</w:t>
      </w:r>
    </w:p>
    <w:p w14:paraId="565F6754"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ordinazione;</w:t>
      </w:r>
    </w:p>
    <w:p w14:paraId="250BF6DB" w14:textId="77777777" w:rsidR="009518AF" w:rsidRPr="00515872" w:rsidRDefault="009518AF" w:rsidP="009518A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pagamento.</w:t>
      </w:r>
    </w:p>
    <w:p w14:paraId="5709F44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Impegno</w:t>
      </w:r>
    </w:p>
    <w:p w14:paraId="33ECC433" w14:textId="77777777" w:rsidR="009518AF" w:rsidRPr="00515872" w:rsidRDefault="00147AB6"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lang w:eastAsia="it-IT"/>
        </w:rPr>
      </w:pPr>
      <w:r w:rsidRPr="00515872">
        <w:rPr>
          <w:rStyle w:val="fontstyle01"/>
          <w:rFonts w:ascii="Tahoma" w:hAnsi="Tahoma" w:cs="Tahoma"/>
          <w:sz w:val="20"/>
          <w:szCs w:val="22"/>
        </w:rPr>
        <w:t>L'impegno costituisce la prima fase del procedimento di spesa</w:t>
      </w:r>
      <w:r w:rsidR="009518AF" w:rsidRPr="00515872">
        <w:rPr>
          <w:rFonts w:eastAsia="Times New Roman" w:cs="Tahoma"/>
          <w:lang w:eastAsia="it-IT"/>
        </w:rPr>
        <w:t>. Con l'impegno della spesa</w:t>
      </w:r>
      <w:r w:rsidRPr="00515872">
        <w:rPr>
          <w:rFonts w:eastAsia="Times New Roman" w:cs="Tahoma"/>
          <w:lang w:eastAsia="it-IT"/>
        </w:rPr>
        <w:t>, a seguito di obbligazione giuridicamente perfezionata,</w:t>
      </w:r>
      <w:r w:rsidR="009518AF" w:rsidRPr="00515872">
        <w:rPr>
          <w:rFonts w:eastAsia="Times New Roman" w:cs="Tahoma"/>
          <w:lang w:eastAsia="it-IT"/>
        </w:rPr>
        <w:t xml:space="preserve"> vengono determinate:</w:t>
      </w:r>
    </w:p>
    <w:p w14:paraId="1D2F96CC"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ragione del debito;</w:t>
      </w:r>
    </w:p>
    <w:p w14:paraId="45B8C16A"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somma da pagare;</w:t>
      </w:r>
    </w:p>
    <w:p w14:paraId="5BE0C6EA"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soggetto creditore;</w:t>
      </w:r>
    </w:p>
    <w:p w14:paraId="593BDCD1"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specificazione del vincolo costituito sullo stanziamento di bilancio;</w:t>
      </w:r>
    </w:p>
    <w:p w14:paraId="689327A6"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relativa scadenza.</w:t>
      </w:r>
    </w:p>
    <w:p w14:paraId="7064F075"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responsabile che adotta l’atto di impegno deve verificare la coerenza dell’operazione con il sistema delle poste di bilancio che l’autorizzano, nonché la corretta applicazione delle norme dell’ordinamento finanziario e contabile.</w:t>
      </w:r>
    </w:p>
    <w:p w14:paraId="6B699A95"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provvedimento di impegno deve indicare l'intero importo della spesa, mentre la registrazione che ne consegue avviene nel momento in cui l'impegno è giuridicamente perfezionato, con imputazione agli esercizi </w:t>
      </w:r>
      <w:r w:rsidRPr="00515872">
        <w:rPr>
          <w:rFonts w:eastAsia="Times New Roman" w:cs="Tahoma"/>
          <w:szCs w:val="20"/>
          <w:lang w:eastAsia="it-IT"/>
        </w:rPr>
        <w:lastRenderedPageBreak/>
        <w:t>finanziari in cui le singole obbligazioni passive risultano esigibili. Possono essere riferite ad un determinato esercizio finanziario unicamente le spese per le quali sia scaduta la relativa obbligazione giuridica.</w:t>
      </w:r>
    </w:p>
    <w:p w14:paraId="4D5C3D7D" w14:textId="77777777" w:rsidR="006F036F" w:rsidRPr="00515872" w:rsidRDefault="006F036F" w:rsidP="00E11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Non possono essere assunte obbligazioni concernenti spese correnti per esercizi non considerati nel bilancio di previsione, a meno delle spese derivanti da contratti:</w:t>
      </w:r>
    </w:p>
    <w:p w14:paraId="66AFCBE2"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di somministrazione;</w:t>
      </w:r>
    </w:p>
    <w:p w14:paraId="012D9764"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di locazione;</w:t>
      </w:r>
    </w:p>
    <w:p w14:paraId="4D157539"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di leasing operativo;</w:t>
      </w:r>
    </w:p>
    <w:p w14:paraId="4B3EF7C1" w14:textId="77777777" w:rsidR="006F036F" w:rsidRPr="00515872" w:rsidRDefault="00E11534"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relativi</w:t>
      </w:r>
      <w:r w:rsidR="006F036F" w:rsidRPr="00515872">
        <w:rPr>
          <w:rFonts w:eastAsia="Times New Roman" w:cs="Tahoma"/>
          <w:szCs w:val="20"/>
          <w:lang w:eastAsia="it-IT"/>
        </w:rPr>
        <w:t xml:space="preserve"> a prestazioni periodiche o continuative d</w:t>
      </w:r>
      <w:r w:rsidRPr="00515872">
        <w:rPr>
          <w:rFonts w:eastAsia="Times New Roman" w:cs="Tahoma"/>
          <w:szCs w:val="20"/>
          <w:lang w:eastAsia="it-IT"/>
        </w:rPr>
        <w:t>i servizi di cui all’art. 1677 C.C</w:t>
      </w:r>
      <w:r w:rsidR="006F036F" w:rsidRPr="00515872">
        <w:rPr>
          <w:rFonts w:eastAsia="Times New Roman" w:cs="Tahoma"/>
          <w:szCs w:val="20"/>
          <w:lang w:eastAsia="it-IT"/>
        </w:rPr>
        <w:t>.</w:t>
      </w:r>
      <w:r w:rsidRPr="00515872">
        <w:rPr>
          <w:rFonts w:eastAsia="Times New Roman" w:cs="Tahoma"/>
          <w:szCs w:val="20"/>
          <w:lang w:eastAsia="it-IT"/>
        </w:rPr>
        <w:t>;</w:t>
      </w:r>
    </w:p>
    <w:p w14:paraId="49B38992"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delle spese correnti correlate a finanziamenti comunitari;</w:t>
      </w:r>
    </w:p>
    <w:p w14:paraId="07B17372" w14:textId="77777777" w:rsidR="006F036F" w:rsidRPr="00515872" w:rsidRDefault="006F036F" w:rsidP="006F036F">
      <w:pPr>
        <w:pStyle w:val="Paragrafoelenco"/>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delle rate di ammortamento.</w:t>
      </w:r>
    </w:p>
    <w:p w14:paraId="3DA681E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Con l’approvazione del bilancio di previsione </w:t>
      </w:r>
      <w:r w:rsidR="003D0F29" w:rsidRPr="00515872">
        <w:rPr>
          <w:rFonts w:eastAsia="Times New Roman" w:cs="Tahoma"/>
          <w:szCs w:val="20"/>
          <w:lang w:eastAsia="it-IT"/>
        </w:rPr>
        <w:t xml:space="preserve">e successive variazioni </w:t>
      </w:r>
      <w:r w:rsidRPr="00515872">
        <w:rPr>
          <w:rFonts w:eastAsia="Times New Roman" w:cs="Tahoma"/>
          <w:szCs w:val="20"/>
          <w:lang w:eastAsia="it-IT"/>
        </w:rPr>
        <w:t>vengono automaticamente impegnate:</w:t>
      </w:r>
    </w:p>
    <w:p w14:paraId="37D167AF" w14:textId="77777777" w:rsidR="009518AF" w:rsidRPr="00515872" w:rsidRDefault="009518AF" w:rsidP="009518AF">
      <w:pPr>
        <w:pStyle w:val="Paragrafoelenco"/>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spese per il trattamento economico tabellare già attribuito ai dipendenti e gli oneri relativi;</w:t>
      </w:r>
    </w:p>
    <w:p w14:paraId="77838155" w14:textId="77777777" w:rsidR="009518AF" w:rsidRPr="00515872" w:rsidRDefault="009518AF" w:rsidP="009518AF">
      <w:pPr>
        <w:pStyle w:val="Paragrafoelenco"/>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rate di ammortamento di mutui e prestiti</w:t>
      </w:r>
      <w:r w:rsidR="003D0F29" w:rsidRPr="00515872">
        <w:rPr>
          <w:rFonts w:eastAsia="Times New Roman" w:cs="Tahoma"/>
          <w:szCs w:val="20"/>
          <w:lang w:eastAsia="it-IT"/>
        </w:rPr>
        <w:t xml:space="preserve">, interessi e oneri accessori </w:t>
      </w:r>
      <w:r w:rsidR="003D0F29" w:rsidRPr="00515872">
        <w:rPr>
          <w:rFonts w:cs="Tahoma"/>
        </w:rPr>
        <w:t>nei casi in cui non si sia provveduto all'impegno nell'esercizio in cui il contratto di finanziamento è stato perfezionato</w:t>
      </w:r>
      <w:r w:rsidRPr="00515872">
        <w:rPr>
          <w:rFonts w:eastAsia="Times New Roman" w:cs="Tahoma"/>
          <w:szCs w:val="20"/>
          <w:lang w:eastAsia="it-IT"/>
        </w:rPr>
        <w:t>;</w:t>
      </w:r>
    </w:p>
    <w:p w14:paraId="0B059524" w14:textId="77777777" w:rsidR="009518AF" w:rsidRPr="00515872" w:rsidRDefault="009518AF" w:rsidP="009518AF">
      <w:pPr>
        <w:pStyle w:val="Paragrafoelenco"/>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le spese dovute </w:t>
      </w:r>
      <w:r w:rsidR="003D0F29" w:rsidRPr="00515872">
        <w:rPr>
          <w:rFonts w:cs="Tahoma"/>
        </w:rPr>
        <w:t>per contratti di somministrazione riguardanti prestazioni continuative, nei casi in cui l'importo dell'obbligazione sia definita contrattualmente. Se l'importo dell'obbligazione non è predefinito nel contratto, con l'approvazione del bilancio si provvede alla prenotazione della spesa, per un importo pari al consumo dell'ultimo esercizio per il quale l'informazione è disponibile</w:t>
      </w:r>
      <w:r w:rsidRPr="00515872">
        <w:rPr>
          <w:rFonts w:eastAsia="Times New Roman" w:cs="Tahoma"/>
          <w:szCs w:val="20"/>
          <w:lang w:eastAsia="it-IT"/>
        </w:rPr>
        <w:t>.</w:t>
      </w:r>
    </w:p>
    <w:p w14:paraId="703731E9" w14:textId="77777777" w:rsidR="006A5079"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Tutte le obbligazioni giuridicamente perfezionate devono essere registrate nelle scritture contabili quando l’obbligazione è perfezionata, con imputazione all’esercizio in cui l’</w:t>
      </w:r>
      <w:r w:rsidRPr="00515872">
        <w:rPr>
          <w:rFonts w:cs="Tahoma"/>
          <w:b/>
          <w:szCs w:val="20"/>
        </w:rPr>
        <w:t>obbligazione viene a scadenza</w:t>
      </w:r>
      <w:r w:rsidRPr="00515872">
        <w:rPr>
          <w:rFonts w:cs="Tahoma"/>
          <w:szCs w:val="20"/>
        </w:rPr>
        <w:t>, secondo le modalità previste dal principio applicato della contabilità finanziaria. Non possono essere riferite ad un determinato esercizio finanziario le spese per le quali non sia venuta a scadere, nello stesso esercizio, la relativa obbligazione giuridica.</w:t>
      </w:r>
    </w:p>
    <w:p w14:paraId="10829B7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Le spese sono registrate anche se non determinano movimenti di cassa effettivi.</w:t>
      </w:r>
    </w:p>
    <w:p w14:paraId="7D926284" w14:textId="77777777" w:rsidR="009518AF" w:rsidRPr="00515872" w:rsidRDefault="009518AF" w:rsidP="00BB2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I provvedimenti di prenotazione di spesa corrente per i quali, entro il termine dell’esercizio, non si è perfezionata l’obbligazione decadono e costituis</w:t>
      </w:r>
      <w:r w:rsidR="000B01C2" w:rsidRPr="00515872">
        <w:rPr>
          <w:rFonts w:cs="Tahoma"/>
          <w:szCs w:val="20"/>
        </w:rPr>
        <w:t>cono economie di bilancio.</w:t>
      </w:r>
      <w:r w:rsidRPr="00515872">
        <w:rPr>
          <w:rFonts w:cs="Tahoma"/>
          <w:szCs w:val="20"/>
        </w:rPr>
        <w:t xml:space="preserve"> </w:t>
      </w:r>
    </w:p>
    <w:p w14:paraId="73DA56B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Liquidazione</w:t>
      </w:r>
    </w:p>
    <w:p w14:paraId="1A3C9E2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Con la liquidazione si determina la somma da pagare, nei limiti dell’impegno assunto.</w:t>
      </w:r>
    </w:p>
    <w:p w14:paraId="228B9CD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La liquidazione della spesa compete all’ufficio che ha dato esecuzione al provvedimento di spesa ed è disposta sulla base della documentazione necessaria a comprovare il diritto del creditore, a seguito del riscontro operato sulla regolarità della fornitura o della prestazione e sulla rispondenza della stessa ai requisiti quantitativi e qualitativi, ai termini ed alle condizioni pattuite.</w:t>
      </w:r>
    </w:p>
    <w:p w14:paraId="610C2B0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lastRenderedPageBreak/>
        <w:t>L’atto di liquidazione è sottoscritto dal responsabile del servizio p</w:t>
      </w:r>
      <w:r w:rsidR="00F04F70" w:rsidRPr="00515872">
        <w:rPr>
          <w:rFonts w:cs="Tahoma"/>
          <w:szCs w:val="20"/>
        </w:rPr>
        <w:t xml:space="preserve">roponente che, sulla base della </w:t>
      </w:r>
      <w:r w:rsidRPr="00515872">
        <w:rPr>
          <w:rFonts w:cs="Tahoma"/>
          <w:szCs w:val="20"/>
        </w:rPr>
        <w:t>documentazione giustificativa, riconosce il diritto acquisito del creditore e dispone la liquidazione in suo favore.</w:t>
      </w:r>
    </w:p>
    <w:p w14:paraId="2ADADC3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Ordinazione</w:t>
      </w:r>
    </w:p>
    <w:p w14:paraId="293E364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L’ordinazione consiste nella disposizione impartita al tesoriere, tramite mandato, di provvedere al</w:t>
      </w:r>
      <w:r w:rsidR="00091C46" w:rsidRPr="00515872">
        <w:rPr>
          <w:rFonts w:eastAsia="Times New Roman" w:cs="Tahoma"/>
          <w:szCs w:val="20"/>
          <w:lang w:eastAsia="it-IT"/>
        </w:rPr>
        <w:t xml:space="preserve"> pagamento del debito.</w:t>
      </w:r>
    </w:p>
    <w:p w14:paraId="52B5A3B3" w14:textId="77777777" w:rsidR="009518AF" w:rsidRPr="00515872" w:rsidRDefault="009518AF" w:rsidP="009518AF">
      <w:pPr>
        <w:tabs>
          <w:tab w:val="left" w:pos="284"/>
        </w:tabs>
        <w:suppressAutoHyphens/>
        <w:spacing w:after="0" w:line="360" w:lineRule="auto"/>
        <w:jc w:val="both"/>
        <w:rPr>
          <w:rFonts w:cs="Tahoma"/>
          <w:szCs w:val="20"/>
        </w:rPr>
      </w:pPr>
      <w:r w:rsidRPr="00515872">
        <w:rPr>
          <w:rFonts w:cs="Tahoma"/>
          <w:szCs w:val="20"/>
        </w:rPr>
        <w:t xml:space="preserve">I mandati di pagamento sono sottoscritti dal </w:t>
      </w:r>
      <w:r w:rsidR="00091C46" w:rsidRPr="00515872">
        <w:rPr>
          <w:rFonts w:cs="Tahoma"/>
          <w:szCs w:val="20"/>
        </w:rPr>
        <w:t>dipendente dell’ente individuato dal regolamento di contabilità</w:t>
      </w:r>
      <w:r w:rsidRPr="00515872">
        <w:rPr>
          <w:rFonts w:cs="Tahoma"/>
          <w:szCs w:val="20"/>
        </w:rPr>
        <w:t xml:space="preserve"> e sono trasmessi al tesoriere, il quale provvede agli adempimenti contabili di competenza. Ogni mandato di pagamento deve contenere i seguenti elementi:</w:t>
      </w:r>
    </w:p>
    <w:p w14:paraId="1D55FCAC"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il numero progressivo del mandato per esercizio finanziario;</w:t>
      </w:r>
    </w:p>
    <w:p w14:paraId="06CB0284"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la data di emissione;</w:t>
      </w:r>
    </w:p>
    <w:p w14:paraId="352C45FD"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l'indicazione della missione, del programma e del titolo di bilancio cui è riferita la spesa e la relativa disponibilità, distintamente per residui o competenza e cassa;</w:t>
      </w:r>
    </w:p>
    <w:p w14:paraId="7E85D20C"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la codifica di bilancio;</w:t>
      </w:r>
    </w:p>
    <w:p w14:paraId="6ED82013"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l'indicazione del creditore;</w:t>
      </w:r>
    </w:p>
    <w:p w14:paraId="745373B5"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l'ammontare della somma dovuta e la scadenza, qualora sia prevista dalla legge o sia stata concordata con il creditore;</w:t>
      </w:r>
    </w:p>
    <w:p w14:paraId="408ADBDE"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la causale e gli estremi dell'atto esecutivo che legittima l'erogazione della spesa;</w:t>
      </w:r>
    </w:p>
    <w:p w14:paraId="2A21A9E4"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le eventuali modalità agevolative di pagamento, se richieste dal creditore;</w:t>
      </w:r>
    </w:p>
    <w:p w14:paraId="687F6C4A"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il rispetto degli eventuali vincoli di destinazione stabiliti per legge o relativi a trasferimenti o ai prestiti;</w:t>
      </w:r>
    </w:p>
    <w:p w14:paraId="7B6A3243" w14:textId="77777777" w:rsidR="009518AF" w:rsidRPr="00515872" w:rsidRDefault="00091C46"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la codifica SIOPE di cui all’art. 14, L. 31 dicembre 2009, n. 196</w:t>
      </w:r>
      <w:r w:rsidR="009518AF" w:rsidRPr="00515872">
        <w:rPr>
          <w:rFonts w:cs="Tahoma"/>
          <w:szCs w:val="20"/>
        </w:rPr>
        <w:t>;</w:t>
      </w:r>
    </w:p>
    <w:p w14:paraId="34173D4F"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i codici della transazione elementare</w:t>
      </w:r>
      <w:r w:rsidR="00091C46" w:rsidRPr="00515872">
        <w:rPr>
          <w:rFonts w:cs="Tahoma"/>
          <w:szCs w:val="20"/>
        </w:rPr>
        <w:t xml:space="preserve"> di cui agli artt. da 5 a 7, </w:t>
      </w:r>
      <w:proofErr w:type="spellStart"/>
      <w:r w:rsidR="00091C46" w:rsidRPr="00515872">
        <w:rPr>
          <w:rFonts w:cs="Tahoma"/>
          <w:szCs w:val="20"/>
        </w:rPr>
        <w:t>D.Lgs.</w:t>
      </w:r>
      <w:proofErr w:type="spellEnd"/>
      <w:r w:rsidR="00091C46" w:rsidRPr="00515872">
        <w:rPr>
          <w:rFonts w:cs="Tahoma"/>
          <w:szCs w:val="20"/>
        </w:rPr>
        <w:t xml:space="preserve"> 23 giugno 2011, n. 118</w:t>
      </w:r>
      <w:r w:rsidRPr="00515872">
        <w:rPr>
          <w:rFonts w:cs="Tahoma"/>
          <w:szCs w:val="20"/>
        </w:rPr>
        <w:t>;</w:t>
      </w:r>
    </w:p>
    <w:p w14:paraId="7A97DB09" w14:textId="77777777" w:rsidR="009518AF" w:rsidRPr="00515872" w:rsidRDefault="009518AF" w:rsidP="00D65838">
      <w:pPr>
        <w:pStyle w:val="Paragrafoelenco"/>
        <w:numPr>
          <w:ilvl w:val="0"/>
          <w:numId w:val="38"/>
        </w:numPr>
        <w:tabs>
          <w:tab w:val="left" w:pos="709"/>
        </w:tabs>
        <w:suppressAutoHyphens/>
        <w:spacing w:line="360" w:lineRule="auto"/>
        <w:jc w:val="both"/>
        <w:rPr>
          <w:rFonts w:cs="Tahoma"/>
          <w:szCs w:val="20"/>
        </w:rPr>
      </w:pPr>
      <w:r w:rsidRPr="00515872">
        <w:rPr>
          <w:rFonts w:cs="Tahoma"/>
          <w:szCs w:val="20"/>
        </w:rPr>
        <w:t>l'identificazione delle spese non soggette al controllo dei dodicesimi, in caso di esercizio provvisorio.</w:t>
      </w:r>
    </w:p>
    <w:p w14:paraId="2EBAD238" w14:textId="77777777" w:rsidR="006D5C94" w:rsidRPr="00515872" w:rsidRDefault="006D5C94" w:rsidP="007E390D">
      <w:pPr>
        <w:tabs>
          <w:tab w:val="left" w:pos="709"/>
        </w:tabs>
        <w:suppressAutoHyphens/>
        <w:spacing w:line="360" w:lineRule="auto"/>
        <w:jc w:val="both"/>
        <w:rPr>
          <w:rFonts w:cs="Tahoma"/>
        </w:rPr>
      </w:pPr>
      <w:r w:rsidRPr="00515872">
        <w:rPr>
          <w:rFonts w:cs="Tahoma"/>
        </w:rPr>
        <w:t>Il mandato di pagamento è controllato, per quanto attiene alla sussistenza dell'impegno e della liquidazione e al rispetto dell'autorizzazione di cassa, dal servizio finanziario, che provvede altresì alle operazioni di contabilizzazione e di trasmissione al tesoriere.</w:t>
      </w:r>
    </w:p>
    <w:p w14:paraId="501F8230" w14:textId="77777777" w:rsidR="007E390D" w:rsidRPr="00515872" w:rsidRDefault="007E390D" w:rsidP="007E390D">
      <w:pPr>
        <w:tabs>
          <w:tab w:val="left" w:pos="709"/>
        </w:tabs>
        <w:suppressAutoHyphens/>
        <w:spacing w:line="360" w:lineRule="auto"/>
        <w:jc w:val="both"/>
        <w:rPr>
          <w:rFonts w:cs="Tahoma"/>
          <w:szCs w:val="20"/>
        </w:rPr>
      </w:pPr>
      <w:r w:rsidRPr="00515872">
        <w:rPr>
          <w:rFonts w:cs="Tahoma"/>
          <w:szCs w:val="20"/>
        </w:rPr>
        <w:t>Nei casi espressamente previsti dalla legge, è possibile che il tesoriere provveda direttamente al pagamento di somme prima dell’emissione del mandato da parte dell’ente. In ogni caso, l’ente emette il mandato ai fini della regolarizzazione entro 30 giorni dal pagamento (anche nel caso di esercizio provvisorio).</w:t>
      </w:r>
    </w:p>
    <w:p w14:paraId="63D24F1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Pagamento</w:t>
      </w:r>
    </w:p>
    <w:p w14:paraId="16311587" w14:textId="77777777" w:rsidR="00FB5D7E"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pagamento rappresenta la materiale estinzione del debito.</w:t>
      </w:r>
      <w:r w:rsidR="00FB5D7E" w:rsidRPr="00515872">
        <w:rPr>
          <w:rFonts w:eastAsia="Times New Roman" w:cs="Tahoma"/>
          <w:szCs w:val="20"/>
          <w:lang w:eastAsia="it-IT"/>
        </w:rPr>
        <w:t xml:space="preserve"> Con esso il tesoriere dell’ente dà esecuzione all’ordine contenuto nel mandato di pagamento con le modalità indicate nello stesso e nel rispetto delle norme regolamentari e della convenzione di tesoreria.</w:t>
      </w:r>
    </w:p>
    <w:p w14:paraId="74138C4B" w14:textId="77777777" w:rsidR="009518AF" w:rsidRPr="00515872" w:rsidRDefault="00FB5D7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hd w:val="clear" w:color="auto" w:fill="F9F8F4"/>
        </w:rPr>
      </w:pPr>
      <w:r w:rsidRPr="00515872">
        <w:rPr>
          <w:rFonts w:eastAsia="Times New Roman" w:cs="Tahoma"/>
          <w:szCs w:val="20"/>
          <w:lang w:eastAsia="it-IT"/>
        </w:rPr>
        <w:lastRenderedPageBreak/>
        <w:t>Il pagamento è imputato contabilmente all’esercizio in cui il tesoriere lo effettua, anche se la comunicazione è pervenuta all’ente nell’esercizio successivo.</w:t>
      </w:r>
    </w:p>
    <w:p w14:paraId="2CFA188D"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Con il pagamento si conclude l’iter della spesa.</w:t>
      </w:r>
    </w:p>
    <w:p w14:paraId="24953233" w14:textId="77777777" w:rsidR="00515872" w:rsidRPr="00515872" w:rsidRDefault="00515872" w:rsidP="00297A21">
      <w:pPr>
        <w:pStyle w:val="Paragrafo"/>
      </w:pPr>
      <w:bookmarkStart w:id="81" w:name="_Toc521317072"/>
    </w:p>
    <w:p w14:paraId="118CA414" w14:textId="36242B12" w:rsidR="009518AF" w:rsidRPr="00515872" w:rsidRDefault="009518AF" w:rsidP="00297A21">
      <w:pPr>
        <w:pStyle w:val="Paragrafo"/>
      </w:pPr>
      <w:bookmarkStart w:id="82" w:name="_Toc95912249"/>
      <w:r w:rsidRPr="00515872">
        <w:t>4.2 Il sistema di tesoreria</w:t>
      </w:r>
      <w:bookmarkEnd w:id="81"/>
      <w:bookmarkEnd w:id="82"/>
    </w:p>
    <w:p w14:paraId="5B7F585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cs="Tahoma"/>
          <w:color w:val="000000"/>
        </w:rPr>
        <w:t>La disciplina concernente la gestione della Tesoreria degli Enti locali ha subìto diverse modifiche nel corso del tempo. Dal 2012 è stata reintrodotta la “</w:t>
      </w:r>
      <w:r w:rsidRPr="00515872">
        <w:rPr>
          <w:rFonts w:cs="Tahoma"/>
          <w:iCs/>
          <w:color w:val="000000"/>
        </w:rPr>
        <w:t>tesoreria unica</w:t>
      </w:r>
      <w:r w:rsidRPr="00515872">
        <w:rPr>
          <w:rFonts w:cs="Tahoma"/>
          <w:color w:val="000000"/>
        </w:rPr>
        <w:t>” (istituita inizialmente nel 1984 dall’art. 1</w:t>
      </w:r>
      <w:r w:rsidR="00566E5D" w:rsidRPr="00515872">
        <w:rPr>
          <w:rFonts w:cs="Tahoma"/>
          <w:color w:val="000000"/>
        </w:rPr>
        <w:t>,</w:t>
      </w:r>
      <w:r w:rsidRPr="00515872">
        <w:rPr>
          <w:rFonts w:cs="Tahoma"/>
          <w:color w:val="000000"/>
        </w:rPr>
        <w:t xml:space="preserve"> L</w:t>
      </w:r>
      <w:r w:rsidR="00566E5D" w:rsidRPr="00515872">
        <w:rPr>
          <w:rFonts w:cs="Tahoma"/>
          <w:color w:val="000000"/>
        </w:rPr>
        <w:t>.</w:t>
      </w:r>
      <w:r w:rsidRPr="00515872">
        <w:rPr>
          <w:rFonts w:cs="Tahoma"/>
          <w:color w:val="000000"/>
        </w:rPr>
        <w:t xml:space="preserve"> n. 720/84 e</w:t>
      </w:r>
      <w:r w:rsidR="00332AC7" w:rsidRPr="00515872">
        <w:rPr>
          <w:rFonts w:cs="Tahoma"/>
          <w:color w:val="000000"/>
        </w:rPr>
        <w:t xml:space="preserve"> temporaneamente</w:t>
      </w:r>
      <w:r w:rsidRPr="00515872">
        <w:rPr>
          <w:rFonts w:cs="Tahoma"/>
          <w:color w:val="000000"/>
        </w:rPr>
        <w:t xml:space="preserve"> modificata dal 1997 al 2012 dalla c.d. “</w:t>
      </w:r>
      <w:r w:rsidRPr="00515872">
        <w:rPr>
          <w:rFonts w:cs="Tahoma"/>
          <w:iCs/>
          <w:color w:val="000000"/>
        </w:rPr>
        <w:t>tesoreria unica mista</w:t>
      </w:r>
      <w:r w:rsidRPr="00515872">
        <w:rPr>
          <w:rFonts w:cs="Tahoma"/>
          <w:color w:val="000000"/>
        </w:rPr>
        <w:t>”).</w:t>
      </w:r>
    </w:p>
    <w:p w14:paraId="3F6D3A4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cs="Tahoma"/>
          <w:color w:val="000000"/>
        </w:rPr>
        <w:t>La reintroduzione del sistema di “tesoreria unica” si è resa necessaria al fine di ridurre l’emissione del debito pubblico statale e, co</w:t>
      </w:r>
      <w:r w:rsidR="00F04F70" w:rsidRPr="00515872">
        <w:rPr>
          <w:rFonts w:cs="Tahoma"/>
          <w:color w:val="000000"/>
        </w:rPr>
        <w:t>nseguentemente,</w:t>
      </w:r>
      <w:r w:rsidRPr="00515872">
        <w:rPr>
          <w:rFonts w:cs="Tahoma"/>
          <w:color w:val="000000"/>
        </w:rPr>
        <w:t xml:space="preserve"> gli oneri finanziari a carico dello Stato. Il sistema prevedeva originariamente che l</w:t>
      </w:r>
      <w:r w:rsidRPr="00515872">
        <w:rPr>
          <w:rFonts w:cs="Tahoma"/>
          <w:iCs/>
          <w:color w:val="000000"/>
        </w:rPr>
        <w:t>e entrate proprie degli enti ed organismi assoggettati, di carattere tributario ed extratributario, per vendita</w:t>
      </w:r>
      <w:r w:rsidRPr="00515872">
        <w:rPr>
          <w:rFonts w:cs="Tahoma"/>
          <w:color w:val="000000"/>
        </w:rPr>
        <w:t xml:space="preserve"> </w:t>
      </w:r>
      <w:r w:rsidRPr="00515872">
        <w:rPr>
          <w:rFonts w:cs="Tahoma"/>
          <w:iCs/>
          <w:color w:val="000000"/>
        </w:rPr>
        <w:t xml:space="preserve">di beni e </w:t>
      </w:r>
      <w:r w:rsidR="00332AC7" w:rsidRPr="00515872">
        <w:rPr>
          <w:rFonts w:cs="Tahoma"/>
          <w:iCs/>
          <w:color w:val="000000"/>
        </w:rPr>
        <w:t xml:space="preserve">prestazioni di </w:t>
      </w:r>
      <w:r w:rsidRPr="00515872">
        <w:rPr>
          <w:rFonts w:cs="Tahoma"/>
          <w:iCs/>
          <w:color w:val="000000"/>
        </w:rPr>
        <w:t>servizi, per canoni, sovracanoni e indennizzi, o derivanti da altri introiti provenienti dal settore privato, dovessero essere</w:t>
      </w:r>
      <w:r w:rsidRPr="00515872">
        <w:rPr>
          <w:rFonts w:cs="Tahoma"/>
          <w:color w:val="000000"/>
        </w:rPr>
        <w:t xml:space="preserve"> </w:t>
      </w:r>
      <w:r w:rsidRPr="00515872">
        <w:rPr>
          <w:rFonts w:cs="Tahoma"/>
          <w:iCs/>
          <w:color w:val="000000"/>
        </w:rPr>
        <w:t>versate in contabilità speciale fruttifera presso le Sezioni di Tesoreria provinciale dello Stato. Le altre entrate, comprese</w:t>
      </w:r>
      <w:r w:rsidRPr="00515872">
        <w:rPr>
          <w:rFonts w:cs="Tahoma"/>
          <w:color w:val="000000"/>
        </w:rPr>
        <w:t xml:space="preserve"> </w:t>
      </w:r>
      <w:r w:rsidRPr="00515872">
        <w:rPr>
          <w:rFonts w:cs="Tahoma"/>
          <w:iCs/>
          <w:color w:val="000000"/>
        </w:rPr>
        <w:t>quelle provenienti da mutui, dovevano affluire in contabilità speciale infruttifera, nella quale dovevano altresì essere versate</w:t>
      </w:r>
      <w:r w:rsidRPr="00515872">
        <w:rPr>
          <w:rFonts w:cs="Tahoma"/>
          <w:color w:val="000000"/>
        </w:rPr>
        <w:t xml:space="preserve"> </w:t>
      </w:r>
      <w:r w:rsidRPr="00515872">
        <w:rPr>
          <w:rFonts w:cs="Tahoma"/>
          <w:iCs/>
          <w:color w:val="000000"/>
        </w:rPr>
        <w:t xml:space="preserve">direttamente le assegnazioni, i contributi e quanto altro proveniente dal bilancio dello Stato. </w:t>
      </w:r>
      <w:r w:rsidRPr="00515872">
        <w:rPr>
          <w:rFonts w:cs="Tahoma"/>
          <w:color w:val="000000"/>
        </w:rPr>
        <w:t xml:space="preserve">In attuazione di questa speciale regolamentazione, il Tesoriere dell’Ente si limitava a curare pagamenti e riscossioni, attivando l’anticipazione di cassa in caso di mancanza di fondi nelle contabilità speciali. Quando l’ente poneva in essere operazioni di pagamento esse erano </w:t>
      </w:r>
      <w:r w:rsidRPr="00515872">
        <w:rPr>
          <w:rFonts w:cs="Tahoma"/>
          <w:iCs/>
          <w:color w:val="000000"/>
        </w:rPr>
        <w:t>addebitate in primo luogo alla contabilità</w:t>
      </w:r>
      <w:r w:rsidRPr="00515872">
        <w:rPr>
          <w:rFonts w:cs="Tahoma"/>
          <w:color w:val="000000"/>
        </w:rPr>
        <w:t xml:space="preserve"> </w:t>
      </w:r>
      <w:r w:rsidRPr="00515872">
        <w:rPr>
          <w:rFonts w:cs="Tahoma"/>
          <w:iCs/>
          <w:color w:val="000000"/>
        </w:rPr>
        <w:t>speciale fruttifera, fino all’esaurimento dei relativi fondi</w:t>
      </w:r>
      <w:r w:rsidRPr="00515872">
        <w:rPr>
          <w:rFonts w:cs="Tahoma"/>
          <w:color w:val="000000"/>
        </w:rPr>
        <w:t>. In fase di prima applicazione della norma,</w:t>
      </w:r>
      <w:r w:rsidR="001738F7" w:rsidRPr="00515872">
        <w:rPr>
          <w:rFonts w:cs="Tahoma"/>
          <w:color w:val="000000"/>
        </w:rPr>
        <w:t xml:space="preserve"> gran parte delle risorse dell’e</w:t>
      </w:r>
      <w:r w:rsidRPr="00515872">
        <w:rPr>
          <w:rFonts w:cs="Tahoma"/>
          <w:color w:val="000000"/>
        </w:rPr>
        <w:t>nte proveniva dallo Stato e, pertanto, le somme affluivano sulla contabilità speciale infruttifera dove non vi era la possibilità di percepire interessi.</w:t>
      </w:r>
    </w:p>
    <w:p w14:paraId="5C62925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cs="Tahoma"/>
          <w:color w:val="000000"/>
        </w:rPr>
        <w:t>L’art. 7</w:t>
      </w:r>
      <w:r w:rsidR="001738F7" w:rsidRPr="00515872">
        <w:rPr>
          <w:rFonts w:cs="Tahoma"/>
          <w:color w:val="000000"/>
        </w:rPr>
        <w:t>,</w:t>
      </w:r>
      <w:r w:rsidRPr="00515872">
        <w:rPr>
          <w:rFonts w:cs="Tahoma"/>
          <w:color w:val="000000"/>
        </w:rPr>
        <w:t xml:space="preserve"> D.L. n. 279/97 ha poi introdotto la c.d. “t</w:t>
      </w:r>
      <w:r w:rsidRPr="00515872">
        <w:rPr>
          <w:rFonts w:cs="Tahoma"/>
          <w:iCs/>
          <w:color w:val="000000"/>
        </w:rPr>
        <w:t>esoreria unica mista</w:t>
      </w:r>
      <w:r w:rsidRPr="00515872">
        <w:rPr>
          <w:rFonts w:cs="Tahoma"/>
          <w:color w:val="000000"/>
        </w:rPr>
        <w:t xml:space="preserve">”; le contabilità speciali infruttifere rimanevano pressoché inalterate. Veniva, infatti, previsto che </w:t>
      </w:r>
      <w:r w:rsidRPr="00515872">
        <w:rPr>
          <w:rFonts w:cs="Tahoma"/>
          <w:iCs/>
          <w:color w:val="000000"/>
        </w:rPr>
        <w:t>le entrate costituite da</w:t>
      </w:r>
      <w:r w:rsidRPr="00515872">
        <w:rPr>
          <w:rFonts w:cs="Tahoma"/>
          <w:color w:val="000000"/>
        </w:rPr>
        <w:t xml:space="preserve"> </w:t>
      </w:r>
      <w:r w:rsidRPr="00515872">
        <w:rPr>
          <w:rFonts w:cs="Tahoma"/>
          <w:iCs/>
          <w:color w:val="000000"/>
        </w:rPr>
        <w:t>assegnazioni, contributi e quanto altro proveniente direttamente dal bilancio dello Stato dovessero essere versate</w:t>
      </w:r>
      <w:r w:rsidR="00597890" w:rsidRPr="00515872">
        <w:rPr>
          <w:rFonts w:cs="Tahoma"/>
          <w:iCs/>
          <w:color w:val="000000"/>
        </w:rPr>
        <w:t>,</w:t>
      </w:r>
      <w:r w:rsidRPr="00515872">
        <w:rPr>
          <w:rFonts w:cs="Tahoma"/>
          <w:iCs/>
          <w:color w:val="000000"/>
        </w:rPr>
        <w:t xml:space="preserve"> per le</w:t>
      </w:r>
      <w:r w:rsidRPr="00515872">
        <w:rPr>
          <w:rFonts w:cs="Tahoma"/>
          <w:color w:val="000000"/>
        </w:rPr>
        <w:t xml:space="preserve"> </w:t>
      </w:r>
      <w:r w:rsidRPr="00515872">
        <w:rPr>
          <w:rFonts w:cs="Tahoma"/>
          <w:iCs/>
          <w:color w:val="000000"/>
        </w:rPr>
        <w:t>Regioni, le Province autonome e gli enti locali</w:t>
      </w:r>
      <w:r w:rsidR="00597890" w:rsidRPr="00515872">
        <w:rPr>
          <w:rFonts w:cs="Tahoma"/>
          <w:iCs/>
          <w:color w:val="000000"/>
        </w:rPr>
        <w:t>,</w:t>
      </w:r>
      <w:r w:rsidRPr="00515872">
        <w:rPr>
          <w:rFonts w:cs="Tahoma"/>
          <w:iCs/>
          <w:color w:val="000000"/>
        </w:rPr>
        <w:t xml:space="preserve"> nelle contabilità speciali infruttifere ad essi intestate presso le Sezioni di</w:t>
      </w:r>
      <w:r w:rsidRPr="00515872">
        <w:rPr>
          <w:rFonts w:cs="Tahoma"/>
          <w:color w:val="000000"/>
        </w:rPr>
        <w:t xml:space="preserve"> </w:t>
      </w:r>
      <w:r w:rsidRPr="00515872">
        <w:rPr>
          <w:rFonts w:cs="Tahoma"/>
          <w:iCs/>
          <w:color w:val="000000"/>
        </w:rPr>
        <w:t>Tesoreria provinciale dello Stato, comprese quelle provenienti da operazioni di indebitamento</w:t>
      </w:r>
      <w:r w:rsidRPr="00515872">
        <w:rPr>
          <w:rFonts w:cs="Tahoma"/>
          <w:color w:val="000000"/>
        </w:rPr>
        <w:t xml:space="preserve"> </w:t>
      </w:r>
      <w:r w:rsidRPr="00515872">
        <w:rPr>
          <w:rFonts w:cs="Tahoma"/>
          <w:iCs/>
          <w:color w:val="000000"/>
        </w:rPr>
        <w:t>assistite, in tutto o in parte, da interventi finanziari dello Stato</w:t>
      </w:r>
      <w:r w:rsidR="00597890" w:rsidRPr="00515872">
        <w:rPr>
          <w:rFonts w:cs="Tahoma"/>
          <w:iCs/>
          <w:color w:val="000000"/>
        </w:rPr>
        <w:t>,</w:t>
      </w:r>
      <w:r w:rsidRPr="00515872">
        <w:rPr>
          <w:rFonts w:cs="Tahoma"/>
          <w:iCs/>
          <w:color w:val="000000"/>
        </w:rPr>
        <w:t xml:space="preserve"> sia in conto capitale che in conto interessi, nonché quelle</w:t>
      </w:r>
      <w:r w:rsidRPr="00515872">
        <w:rPr>
          <w:rFonts w:cs="Tahoma"/>
          <w:color w:val="000000"/>
        </w:rPr>
        <w:t xml:space="preserve"> </w:t>
      </w:r>
      <w:r w:rsidRPr="00515872">
        <w:rPr>
          <w:rFonts w:cs="Tahoma"/>
          <w:iCs/>
          <w:color w:val="000000"/>
        </w:rPr>
        <w:t>connesse alla devoluzione di tributi erariali alle regioni a statuto speciale e alle province autonome di Trento e di</w:t>
      </w:r>
      <w:r w:rsidRPr="00515872">
        <w:rPr>
          <w:rFonts w:cs="Tahoma"/>
          <w:color w:val="000000"/>
        </w:rPr>
        <w:t xml:space="preserve"> </w:t>
      </w:r>
      <w:r w:rsidRPr="00515872">
        <w:rPr>
          <w:rFonts w:cs="Tahoma"/>
          <w:iCs/>
          <w:color w:val="000000"/>
        </w:rPr>
        <w:t>Bolzano</w:t>
      </w:r>
      <w:r w:rsidRPr="00515872">
        <w:rPr>
          <w:rFonts w:cs="Tahoma"/>
          <w:color w:val="000000"/>
        </w:rPr>
        <w:t>. Tuttavia</w:t>
      </w:r>
      <w:r w:rsidR="00597890" w:rsidRPr="00515872">
        <w:rPr>
          <w:rFonts w:cs="Tahoma"/>
          <w:color w:val="000000"/>
        </w:rPr>
        <w:t>,</w:t>
      </w:r>
      <w:r w:rsidRPr="00515872">
        <w:rPr>
          <w:rFonts w:cs="Tahoma"/>
          <w:color w:val="000000"/>
        </w:rPr>
        <w:t xml:space="preserve"> </w:t>
      </w:r>
      <w:r w:rsidRPr="00515872">
        <w:rPr>
          <w:rFonts w:cs="Tahoma"/>
          <w:iCs/>
          <w:color w:val="000000"/>
        </w:rPr>
        <w:t>le disponibilità derivanti dalle</w:t>
      </w:r>
      <w:r w:rsidRPr="00515872">
        <w:rPr>
          <w:rFonts w:cs="Tahoma"/>
          <w:color w:val="000000"/>
        </w:rPr>
        <w:t xml:space="preserve"> </w:t>
      </w:r>
      <w:r w:rsidRPr="00515872">
        <w:rPr>
          <w:rFonts w:cs="Tahoma"/>
          <w:iCs/>
          <w:color w:val="000000"/>
        </w:rPr>
        <w:t>entrate diverse da quelle citate erano escluse dal river</w:t>
      </w:r>
      <w:r w:rsidR="001738F7" w:rsidRPr="00515872">
        <w:rPr>
          <w:rFonts w:cs="Tahoma"/>
          <w:iCs/>
          <w:color w:val="000000"/>
        </w:rPr>
        <w:t>samento nella tesoreria statale</w:t>
      </w:r>
      <w:r w:rsidRPr="00515872">
        <w:rPr>
          <w:rFonts w:cs="Tahoma"/>
          <w:iCs/>
          <w:color w:val="000000"/>
        </w:rPr>
        <w:t xml:space="preserve"> e dovevano essere prioritariamente utilizzate per i pagamenti disposti dagli enti.</w:t>
      </w:r>
      <w:r w:rsidRPr="00515872">
        <w:rPr>
          <w:rFonts w:cs="Tahoma"/>
          <w:color w:val="000000"/>
        </w:rPr>
        <w:t xml:space="preserve"> Gli enti potevano, in tale periodo, gestire autonomamente le proprie risorse finanziarie, realizzando sulle </w:t>
      </w:r>
      <w:r w:rsidRPr="00515872">
        <w:rPr>
          <w:rFonts w:cs="Tahoma"/>
          <w:color w:val="000000"/>
        </w:rPr>
        <w:lastRenderedPageBreak/>
        <w:t xml:space="preserve">somme in giacenza proventi derivanti dai tassi d’interesse riconosciuti dal tesoriere rispetto a quelli precedentemente riconosciuti dalla Banca d’Italia. </w:t>
      </w:r>
    </w:p>
    <w:p w14:paraId="4C95ACF6" w14:textId="77777777" w:rsidR="00167AA0" w:rsidRPr="00515872" w:rsidRDefault="001738F7"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rPr>
      </w:pPr>
      <w:r w:rsidRPr="00515872">
        <w:rPr>
          <w:rFonts w:cs="Tahoma"/>
          <w:color w:val="000000"/>
        </w:rPr>
        <w:t>L’art 35, c. 8,</w:t>
      </w:r>
      <w:r w:rsidR="009518AF" w:rsidRPr="00515872">
        <w:rPr>
          <w:rFonts w:cs="Tahoma"/>
          <w:color w:val="000000"/>
        </w:rPr>
        <w:t xml:space="preserve"> D.L. n. 1/2012 ha previsto il ritorno alla “t</w:t>
      </w:r>
      <w:r w:rsidR="009518AF" w:rsidRPr="00515872">
        <w:rPr>
          <w:rFonts w:cs="Tahoma"/>
          <w:iCs/>
          <w:color w:val="000000"/>
        </w:rPr>
        <w:t>esoreria unica</w:t>
      </w:r>
      <w:r w:rsidR="009518AF" w:rsidRPr="00515872">
        <w:rPr>
          <w:rFonts w:cs="Tahoma"/>
          <w:color w:val="000000"/>
        </w:rPr>
        <w:t>” secondo le regole del 1984, sospendendo pertanto il regime di “t</w:t>
      </w:r>
      <w:r w:rsidR="009518AF" w:rsidRPr="00515872">
        <w:rPr>
          <w:rFonts w:cs="Tahoma"/>
          <w:iCs/>
          <w:color w:val="000000"/>
        </w:rPr>
        <w:t>esoreria unica mista</w:t>
      </w:r>
      <w:r w:rsidR="009518AF" w:rsidRPr="00515872">
        <w:rPr>
          <w:rFonts w:cs="Tahoma"/>
          <w:color w:val="000000"/>
        </w:rPr>
        <w:t xml:space="preserve">” </w:t>
      </w:r>
      <w:r w:rsidR="009518AF" w:rsidRPr="00515872">
        <w:rPr>
          <w:rFonts w:cs="Tahoma"/>
          <w:iCs/>
          <w:color w:val="000000"/>
        </w:rPr>
        <w:t>fino al 31</w:t>
      </w:r>
      <w:r w:rsidR="009518AF" w:rsidRPr="00515872">
        <w:rPr>
          <w:rFonts w:cs="Tahoma"/>
          <w:color w:val="000000"/>
        </w:rPr>
        <w:t xml:space="preserve"> </w:t>
      </w:r>
      <w:r w:rsidR="009518AF" w:rsidRPr="00515872">
        <w:rPr>
          <w:rFonts w:cs="Tahoma"/>
          <w:iCs/>
          <w:color w:val="000000"/>
        </w:rPr>
        <w:t xml:space="preserve">dicembre 2017. Termine, quest’ultimo, prorogato a seguito dell’entrata in vigore della </w:t>
      </w:r>
      <w:r w:rsidR="009518AF" w:rsidRPr="00515872">
        <w:rPr>
          <w:rFonts w:eastAsia="Times New Roman" w:cs="Tahoma"/>
          <w:szCs w:val="20"/>
          <w:lang w:eastAsia="it-IT"/>
        </w:rPr>
        <w:t>L. 27 dicembre 2017, n. 205 (legge di bilancio per il 2018)</w:t>
      </w:r>
      <w:r w:rsidR="009518AF" w:rsidRPr="00515872">
        <w:rPr>
          <w:rFonts w:cs="Tahoma"/>
          <w:iCs/>
          <w:color w:val="000000"/>
        </w:rPr>
        <w:t xml:space="preserve"> che rinvia la sospensione della </w:t>
      </w:r>
      <w:r w:rsidR="009518AF" w:rsidRPr="00515872">
        <w:rPr>
          <w:rFonts w:cs="Tahoma"/>
          <w:color w:val="000000"/>
        </w:rPr>
        <w:t>“t</w:t>
      </w:r>
      <w:r w:rsidR="009518AF" w:rsidRPr="00515872">
        <w:rPr>
          <w:rFonts w:cs="Tahoma"/>
          <w:iCs/>
          <w:color w:val="000000"/>
        </w:rPr>
        <w:t>esoreria unica mista</w:t>
      </w:r>
      <w:r w:rsidR="009518AF" w:rsidRPr="00515872">
        <w:rPr>
          <w:rFonts w:cs="Tahoma"/>
          <w:color w:val="000000"/>
        </w:rPr>
        <w:t>”</w:t>
      </w:r>
      <w:r w:rsidR="009518AF" w:rsidRPr="00515872">
        <w:rPr>
          <w:rFonts w:cs="Tahoma"/>
          <w:iCs/>
          <w:color w:val="000000"/>
        </w:rPr>
        <w:t xml:space="preserve"> al 31 dicembre 2021</w:t>
      </w:r>
      <w:r w:rsidR="00167AA0" w:rsidRPr="00515872">
        <w:rPr>
          <w:rFonts w:cs="Tahoma"/>
          <w:iCs/>
          <w:color w:val="000000"/>
        </w:rPr>
        <w:t>. Ora, il c. 636 dell’art. 1 della legge di bilancio per il 2022 (L. 30 dicembre 2021, n. 234)</w:t>
      </w:r>
      <w:r w:rsidR="00E50742" w:rsidRPr="00515872">
        <w:rPr>
          <w:rFonts w:cs="Tahoma"/>
          <w:iCs/>
          <w:color w:val="000000"/>
        </w:rPr>
        <w:t xml:space="preserve"> </w:t>
      </w:r>
      <w:r w:rsidR="00167AA0" w:rsidRPr="00515872">
        <w:rPr>
          <w:rFonts w:cs="Tahoma"/>
          <w:iCs/>
          <w:color w:val="000000"/>
        </w:rPr>
        <w:t>proroga ulteriormente il sistema a tutto il 31 dicembre 2025.</w:t>
      </w:r>
    </w:p>
    <w:p w14:paraId="2519358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cs="Tahoma"/>
          <w:iCs/>
          <w:color w:val="000000"/>
        </w:rPr>
        <w:t>In questo periodo agli</w:t>
      </w:r>
      <w:r w:rsidRPr="00515872">
        <w:rPr>
          <w:rFonts w:cs="Tahoma"/>
          <w:color w:val="000000"/>
        </w:rPr>
        <w:t xml:space="preserve"> </w:t>
      </w:r>
      <w:r w:rsidRPr="00515872">
        <w:rPr>
          <w:rFonts w:cs="Tahoma"/>
          <w:iCs/>
          <w:color w:val="000000"/>
        </w:rPr>
        <w:t>enti e organismi pubblici soggetti al regime di cui all’art. 7 si applicano le disposizioni di</w:t>
      </w:r>
      <w:r w:rsidRPr="00515872">
        <w:rPr>
          <w:rFonts w:cs="Tahoma"/>
          <w:color w:val="000000"/>
        </w:rPr>
        <w:t xml:space="preserve"> </w:t>
      </w:r>
      <w:r w:rsidRPr="00515872">
        <w:rPr>
          <w:rFonts w:cs="Tahoma"/>
          <w:iCs/>
          <w:color w:val="000000"/>
        </w:rPr>
        <w:t>cui all’art. 1</w:t>
      </w:r>
      <w:r w:rsidR="001738F7" w:rsidRPr="00515872">
        <w:rPr>
          <w:rFonts w:cs="Tahoma"/>
          <w:iCs/>
          <w:color w:val="000000"/>
        </w:rPr>
        <w:t>,</w:t>
      </w:r>
      <w:r w:rsidRPr="00515872">
        <w:rPr>
          <w:rFonts w:cs="Tahoma"/>
          <w:iCs/>
          <w:color w:val="000000"/>
        </w:rPr>
        <w:t xml:space="preserve"> L</w:t>
      </w:r>
      <w:r w:rsidR="001738F7" w:rsidRPr="00515872">
        <w:rPr>
          <w:rFonts w:cs="Tahoma"/>
          <w:iCs/>
          <w:color w:val="000000"/>
        </w:rPr>
        <w:t>.</w:t>
      </w:r>
      <w:r w:rsidRPr="00515872">
        <w:rPr>
          <w:rFonts w:cs="Tahoma"/>
          <w:iCs/>
          <w:color w:val="000000"/>
        </w:rPr>
        <w:t xml:space="preserve"> n. 720/</w:t>
      </w:r>
      <w:r w:rsidR="001738F7" w:rsidRPr="00515872">
        <w:rPr>
          <w:rFonts w:cs="Tahoma"/>
          <w:iCs/>
          <w:color w:val="000000"/>
        </w:rPr>
        <w:t>19</w:t>
      </w:r>
      <w:r w:rsidRPr="00515872">
        <w:rPr>
          <w:rFonts w:cs="Tahoma"/>
          <w:iCs/>
          <w:color w:val="000000"/>
        </w:rPr>
        <w:t>84 e le relative norme amministrative di attuazione. Restano escluse dall’applicazione</w:t>
      </w:r>
      <w:r w:rsidRPr="00515872">
        <w:rPr>
          <w:rFonts w:cs="Tahoma"/>
          <w:color w:val="000000"/>
        </w:rPr>
        <w:t xml:space="preserve"> </w:t>
      </w:r>
      <w:r w:rsidRPr="00515872">
        <w:rPr>
          <w:rFonts w:cs="Tahoma"/>
          <w:iCs/>
          <w:color w:val="000000"/>
        </w:rPr>
        <w:t>della disposizione in parola le disponibilità dei predetti enti e organismi pubblici rivenienti da operazioni di mutuo,</w:t>
      </w:r>
      <w:r w:rsidRPr="00515872">
        <w:rPr>
          <w:rFonts w:cs="Tahoma"/>
          <w:color w:val="000000"/>
        </w:rPr>
        <w:t xml:space="preserve"> </w:t>
      </w:r>
      <w:r w:rsidRPr="00515872">
        <w:rPr>
          <w:rFonts w:cs="Tahoma"/>
          <w:iCs/>
          <w:color w:val="000000"/>
        </w:rPr>
        <w:t>prestito e ogni altra forma di indebitamento non sorrette da alcun contributo in conto capitale o in conto interessi da parte</w:t>
      </w:r>
      <w:r w:rsidRPr="00515872">
        <w:rPr>
          <w:rFonts w:cs="Tahoma"/>
          <w:color w:val="000000"/>
        </w:rPr>
        <w:t xml:space="preserve"> </w:t>
      </w:r>
      <w:r w:rsidRPr="00515872">
        <w:rPr>
          <w:rFonts w:cs="Tahoma"/>
          <w:iCs/>
          <w:color w:val="000000"/>
        </w:rPr>
        <w:t>dello Stato, delle Regioni e delle altre pubbliche amministrazioni</w:t>
      </w:r>
      <w:r w:rsidR="001738F7" w:rsidRPr="00515872">
        <w:rPr>
          <w:rFonts w:cs="Tahoma"/>
          <w:color w:val="000000"/>
        </w:rPr>
        <w:t>.</w:t>
      </w:r>
    </w:p>
    <w:p w14:paraId="532765EA" w14:textId="77777777" w:rsidR="00277513" w:rsidRPr="00515872" w:rsidRDefault="00277513" w:rsidP="00297A21">
      <w:pPr>
        <w:pStyle w:val="Paragrafo"/>
        <w:rPr>
          <w:highlight w:val="yellow"/>
        </w:rPr>
      </w:pPr>
      <w:bookmarkStart w:id="83" w:name="_Toc521317073"/>
    </w:p>
    <w:p w14:paraId="297DB519" w14:textId="77777777" w:rsidR="009518AF" w:rsidRPr="00515872" w:rsidRDefault="009518AF" w:rsidP="00297A21">
      <w:pPr>
        <w:pStyle w:val="Paragrafo"/>
      </w:pPr>
      <w:bookmarkStart w:id="84" w:name="_Toc95912250"/>
      <w:r w:rsidRPr="00515872">
        <w:t>4.3 L’armonizzazione contabile</w:t>
      </w:r>
      <w:bookmarkEnd w:id="83"/>
      <w:bookmarkEnd w:id="84"/>
    </w:p>
    <w:p w14:paraId="569959EC" w14:textId="77777777" w:rsidR="009518AF" w:rsidRPr="00515872" w:rsidRDefault="009518AF" w:rsidP="009518AF">
      <w:pPr>
        <w:spacing w:line="360" w:lineRule="auto"/>
        <w:jc w:val="both"/>
        <w:rPr>
          <w:rFonts w:cs="Tahoma"/>
          <w:szCs w:val="20"/>
        </w:rPr>
      </w:pPr>
      <w:r w:rsidRPr="00515872">
        <w:rPr>
          <w:rFonts w:cs="Tahoma"/>
          <w:szCs w:val="20"/>
        </w:rPr>
        <w:t>Le esigenze di coordinamento delle finanza pubblica impongono una rappresentazione uniforme dei fenomeni ai vari live</w:t>
      </w:r>
      <w:r w:rsidR="001738F7" w:rsidRPr="00515872">
        <w:rPr>
          <w:rFonts w:cs="Tahoma"/>
          <w:szCs w:val="20"/>
        </w:rPr>
        <w:t>lli di governo interni (Stato, R</w:t>
      </w:r>
      <w:r w:rsidRPr="00515872">
        <w:rPr>
          <w:rFonts w:cs="Tahoma"/>
          <w:szCs w:val="20"/>
        </w:rPr>
        <w:t>egioni ed enti locali) e</w:t>
      </w:r>
      <w:r w:rsidR="00566E5D" w:rsidRPr="00515872">
        <w:rPr>
          <w:rFonts w:cs="Tahoma"/>
          <w:szCs w:val="20"/>
        </w:rPr>
        <w:t>d</w:t>
      </w:r>
      <w:r w:rsidRPr="00515872">
        <w:rPr>
          <w:rFonts w:cs="Tahoma"/>
          <w:szCs w:val="20"/>
        </w:rPr>
        <w:t xml:space="preserve"> europei.</w:t>
      </w:r>
    </w:p>
    <w:p w14:paraId="541B8468" w14:textId="77777777" w:rsidR="009518AF" w:rsidRPr="00515872" w:rsidRDefault="009518AF" w:rsidP="009518AF">
      <w:pPr>
        <w:spacing w:line="360" w:lineRule="auto"/>
        <w:jc w:val="both"/>
        <w:rPr>
          <w:rFonts w:cs="Tahoma"/>
          <w:szCs w:val="20"/>
        </w:rPr>
      </w:pPr>
      <w:r w:rsidRPr="00515872">
        <w:rPr>
          <w:rFonts w:cs="Tahoma"/>
          <w:szCs w:val="20"/>
        </w:rPr>
        <w:t xml:space="preserve">Con l’armonizzazione contabile si è attuato il processo di riforma degli ordinamenti contabili pubblici diretto a rendere i bilanci </w:t>
      </w:r>
      <w:r w:rsidRPr="00515872">
        <w:rPr>
          <w:rFonts w:cs="Tahoma"/>
          <w:b/>
          <w:szCs w:val="20"/>
        </w:rPr>
        <w:t>omogenei, confrontabili e aggregabili</w:t>
      </w:r>
      <w:r w:rsidRPr="00515872">
        <w:rPr>
          <w:rFonts w:cs="Tahoma"/>
          <w:szCs w:val="20"/>
        </w:rPr>
        <w:t>, in quanto elaborati con le stesse metodologie e criteri contabili.</w:t>
      </w:r>
    </w:p>
    <w:p w14:paraId="3EB3632C" w14:textId="77777777" w:rsidR="009518AF" w:rsidRPr="00515872" w:rsidRDefault="009518AF" w:rsidP="009518AF">
      <w:pPr>
        <w:spacing w:line="360" w:lineRule="auto"/>
        <w:jc w:val="both"/>
        <w:rPr>
          <w:rFonts w:cs="Tahoma"/>
          <w:szCs w:val="20"/>
        </w:rPr>
      </w:pPr>
      <w:r w:rsidRPr="00515872">
        <w:rPr>
          <w:rFonts w:cs="Tahoma"/>
          <w:szCs w:val="20"/>
        </w:rPr>
        <w:t>La contabilità finanziaria rimane il sistema contabile fondamentale ai fini autorizzatori e di rendicontazione della gestione, rilevando le obbligazioni attive e passive, gli incassi e i pagamenti riguardanti tutte le transazioni poste in essere da un’amministrazione pubblica.</w:t>
      </w:r>
    </w:p>
    <w:p w14:paraId="02F05D3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 decorrere dal 2015 gli enti che nel 2014 hanno partecipato alla sperim</w:t>
      </w:r>
      <w:r w:rsidR="001738F7" w:rsidRPr="00515872">
        <w:rPr>
          <w:rFonts w:eastAsia="Times New Roman" w:cs="Tahoma"/>
          <w:szCs w:val="20"/>
          <w:lang w:eastAsia="it-IT"/>
        </w:rPr>
        <w:t>entazione di cui all'art. 78,</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adottano gli schemi di bilancio di cui al c. 1 dell’art. 11 dello stesso decreto che assumono valore a tutti gli effetti giuridici, anche con riguardo alla funzione autorizzatoria</w:t>
      </w:r>
      <w:r w:rsidR="00E963E7" w:rsidRPr="00515872">
        <w:rPr>
          <w:rFonts w:eastAsia="Times New Roman" w:cs="Tahoma"/>
          <w:szCs w:val="20"/>
          <w:lang w:eastAsia="it-IT"/>
        </w:rPr>
        <w:t>; ad essi</w:t>
      </w:r>
      <w:r w:rsidRPr="00515872">
        <w:rPr>
          <w:rFonts w:eastAsia="Times New Roman" w:cs="Tahoma"/>
          <w:szCs w:val="20"/>
          <w:lang w:eastAsia="it-IT"/>
        </w:rPr>
        <w:t xml:space="preserve"> andavano affiancati, nel 2015, con funzione conoscitiva, gli schemi di bilancio e di rendiconto vigenti nel 2014 (salvo gli allegati n. 17, 18 e 20 del D.P.R. n. 194/1996 che potevano non essere compilati).</w:t>
      </w:r>
    </w:p>
    <w:p w14:paraId="5A34AC5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 decorrere dal 2016 gli enti di cui all'art. 2</w:t>
      </w:r>
      <w:r w:rsidR="001738F7" w:rsidRPr="00515872">
        <w:rPr>
          <w:rFonts w:eastAsia="Times New Roman" w:cs="Tahoma"/>
          <w:szCs w:val="20"/>
          <w:lang w:eastAsia="it-IT"/>
        </w:rPr>
        <w:t>,</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118/2011 adottano gli schemi di bilancio previsti dal c. 1 dell’art. 11 che assumono valore a tutti gli effetti giuridici, anche con riguardo alla funzione autorizzatoria.</w:t>
      </w:r>
    </w:p>
    <w:p w14:paraId="31C5847E" w14:textId="77777777" w:rsidR="00277513" w:rsidRPr="00515872" w:rsidRDefault="009518AF" w:rsidP="009518AF">
      <w:pPr>
        <w:spacing w:line="360" w:lineRule="auto"/>
        <w:jc w:val="both"/>
        <w:rPr>
          <w:rFonts w:cs="Tahoma"/>
          <w:szCs w:val="20"/>
        </w:rPr>
      </w:pPr>
      <w:r w:rsidRPr="00515872">
        <w:rPr>
          <w:rFonts w:cs="Tahoma"/>
          <w:szCs w:val="20"/>
        </w:rPr>
        <w:t>Di seguito, a confronto, gli schemi di bilancio previsti dal decreto 118/2011 e dal decreto 194/1996</w:t>
      </w:r>
      <w:r w:rsidR="00793EC2" w:rsidRPr="00515872">
        <w:rPr>
          <w:rFonts w:cs="Tahoma"/>
          <w:szCs w:val="20"/>
        </w:rPr>
        <w:t>, riassunti per titoli</w:t>
      </w:r>
      <w:r w:rsidRPr="00515872">
        <w:rPr>
          <w:rFonts w:cs="Tahoma"/>
          <w:szCs w:val="20"/>
        </w:rPr>
        <w:t>:</w:t>
      </w:r>
    </w:p>
    <w:tbl>
      <w:tblPr>
        <w:tblW w:w="9500" w:type="dxa"/>
        <w:jc w:val="center"/>
        <w:tblCellMar>
          <w:left w:w="0" w:type="dxa"/>
          <w:right w:w="0" w:type="dxa"/>
        </w:tblCellMar>
        <w:tblLook w:val="0600" w:firstRow="0" w:lastRow="0" w:firstColumn="0" w:lastColumn="0" w:noHBand="1" w:noVBand="1"/>
      </w:tblPr>
      <w:tblGrid>
        <w:gridCol w:w="4822"/>
        <w:gridCol w:w="4678"/>
      </w:tblGrid>
      <w:tr w:rsidR="009518AF" w:rsidRPr="00515872" w14:paraId="5DD86E48" w14:textId="77777777" w:rsidTr="00EA779E">
        <w:trPr>
          <w:trHeight w:val="189"/>
          <w:jc w:val="center"/>
        </w:trPr>
        <w:tc>
          <w:tcPr>
            <w:tcW w:w="9500"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tcPr>
          <w:p w14:paraId="0CB6DA11" w14:textId="0B221F13" w:rsidR="009518AF" w:rsidRPr="00515872" w:rsidRDefault="009518AF" w:rsidP="00EA779E">
            <w:pPr>
              <w:tabs>
                <w:tab w:val="left" w:pos="2925"/>
              </w:tabs>
              <w:spacing w:after="0" w:line="240" w:lineRule="auto"/>
              <w:jc w:val="center"/>
              <w:rPr>
                <w:rFonts w:cs="Tahoma"/>
                <w:b/>
                <w:bCs/>
                <w:szCs w:val="20"/>
              </w:rPr>
            </w:pPr>
            <w:r w:rsidRPr="00515872">
              <w:rPr>
                <w:rFonts w:cs="Tahoma"/>
                <w:b/>
                <w:bCs/>
                <w:szCs w:val="20"/>
              </w:rPr>
              <w:lastRenderedPageBreak/>
              <w:t>Entrate</w:t>
            </w:r>
          </w:p>
        </w:tc>
      </w:tr>
      <w:tr w:rsidR="009518AF" w:rsidRPr="00515872" w14:paraId="4FA6C0E4" w14:textId="77777777" w:rsidTr="00EA779E">
        <w:trPr>
          <w:trHeight w:val="189"/>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14:paraId="530B96A9" w14:textId="77777777" w:rsidR="009518AF" w:rsidRPr="00515872" w:rsidRDefault="009518AF" w:rsidP="00EA779E">
            <w:pPr>
              <w:spacing w:after="0" w:line="240" w:lineRule="auto"/>
              <w:jc w:val="center"/>
              <w:rPr>
                <w:rFonts w:cs="Tahoma"/>
                <w:szCs w:val="20"/>
              </w:rPr>
            </w:pPr>
            <w:proofErr w:type="spellStart"/>
            <w:r w:rsidRPr="00515872">
              <w:rPr>
                <w:rFonts w:cs="Tahoma"/>
                <w:b/>
                <w:bCs/>
                <w:szCs w:val="20"/>
              </w:rPr>
              <w:t>D.Lgs.</w:t>
            </w:r>
            <w:proofErr w:type="spellEnd"/>
            <w:r w:rsidRPr="00515872">
              <w:rPr>
                <w:rFonts w:cs="Tahoma"/>
                <w:b/>
                <w:bCs/>
                <w:szCs w:val="20"/>
              </w:rPr>
              <w:t xml:space="preserve"> 23/06/2011, n. 118</w:t>
            </w:r>
          </w:p>
        </w:tc>
        <w:tc>
          <w:tcPr>
            <w:tcW w:w="46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14:paraId="7E9FB319" w14:textId="77777777" w:rsidR="009518AF" w:rsidRPr="00515872" w:rsidRDefault="009518AF" w:rsidP="00EA779E">
            <w:pPr>
              <w:spacing w:after="0" w:line="240" w:lineRule="auto"/>
              <w:jc w:val="center"/>
              <w:rPr>
                <w:rFonts w:cs="Tahoma"/>
                <w:szCs w:val="20"/>
              </w:rPr>
            </w:pPr>
            <w:r w:rsidRPr="00515872">
              <w:rPr>
                <w:rFonts w:cs="Tahoma"/>
                <w:b/>
                <w:bCs/>
                <w:szCs w:val="20"/>
              </w:rPr>
              <w:t>D.P.R. 31/01/1996, n. 194</w:t>
            </w:r>
          </w:p>
        </w:tc>
      </w:tr>
      <w:tr w:rsidR="009518AF" w:rsidRPr="00515872" w14:paraId="0CDB28B2" w14:textId="77777777" w:rsidTr="00393822">
        <w:trPr>
          <w:trHeight w:val="782"/>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42B994" w14:textId="77777777" w:rsidR="009518AF" w:rsidRPr="00515872" w:rsidRDefault="009518AF" w:rsidP="007E176C">
            <w:pPr>
              <w:spacing w:after="0" w:line="240" w:lineRule="auto"/>
              <w:rPr>
                <w:rFonts w:cs="Tahoma"/>
                <w:szCs w:val="20"/>
              </w:rPr>
            </w:pPr>
            <w:r w:rsidRPr="00515872">
              <w:rPr>
                <w:rFonts w:cs="Tahoma"/>
                <w:b/>
                <w:bCs/>
                <w:szCs w:val="20"/>
              </w:rPr>
              <w:t>Titolo 1</w:t>
            </w:r>
          </w:p>
          <w:p w14:paraId="59D638EF" w14:textId="77777777" w:rsidR="009518AF" w:rsidRPr="00515872" w:rsidRDefault="009518AF" w:rsidP="007E176C">
            <w:pPr>
              <w:spacing w:after="0" w:line="240" w:lineRule="auto"/>
              <w:rPr>
                <w:rFonts w:cs="Tahoma"/>
                <w:szCs w:val="20"/>
              </w:rPr>
            </w:pPr>
            <w:r w:rsidRPr="00515872">
              <w:rPr>
                <w:rFonts w:cs="Tahoma"/>
                <w:szCs w:val="20"/>
              </w:rPr>
              <w:t>Entrate correnti di natura tributaria, contributiva e perequativa</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2FE52" w14:textId="77777777" w:rsidR="009518AF" w:rsidRPr="00515872" w:rsidRDefault="009518AF" w:rsidP="007E176C">
            <w:pPr>
              <w:spacing w:after="0" w:line="240" w:lineRule="auto"/>
              <w:rPr>
                <w:rFonts w:cs="Tahoma"/>
                <w:szCs w:val="20"/>
              </w:rPr>
            </w:pPr>
            <w:r w:rsidRPr="00515872">
              <w:rPr>
                <w:rFonts w:cs="Tahoma"/>
                <w:b/>
                <w:bCs/>
                <w:szCs w:val="20"/>
              </w:rPr>
              <w:t>Titolo 1</w:t>
            </w:r>
          </w:p>
          <w:p w14:paraId="2CF34CEF" w14:textId="77777777" w:rsidR="009518AF" w:rsidRPr="00515872" w:rsidRDefault="009518AF" w:rsidP="007E176C">
            <w:pPr>
              <w:spacing w:after="0" w:line="240" w:lineRule="auto"/>
              <w:rPr>
                <w:rFonts w:cs="Tahoma"/>
                <w:szCs w:val="20"/>
              </w:rPr>
            </w:pPr>
            <w:r w:rsidRPr="00515872">
              <w:rPr>
                <w:rFonts w:cs="Tahoma"/>
                <w:szCs w:val="20"/>
              </w:rPr>
              <w:t>Entrate tributarie</w:t>
            </w:r>
          </w:p>
        </w:tc>
      </w:tr>
      <w:tr w:rsidR="009518AF" w:rsidRPr="00515872" w14:paraId="5E04ADE2" w14:textId="77777777" w:rsidTr="00393822">
        <w:trPr>
          <w:trHeight w:val="1248"/>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B4ED29" w14:textId="77777777" w:rsidR="009518AF" w:rsidRPr="00515872" w:rsidRDefault="009518AF" w:rsidP="007E176C">
            <w:pPr>
              <w:spacing w:after="0" w:line="240" w:lineRule="auto"/>
              <w:rPr>
                <w:rFonts w:cs="Tahoma"/>
                <w:szCs w:val="20"/>
              </w:rPr>
            </w:pPr>
            <w:r w:rsidRPr="00515872">
              <w:rPr>
                <w:rFonts w:cs="Tahoma"/>
                <w:b/>
                <w:bCs/>
                <w:szCs w:val="20"/>
              </w:rPr>
              <w:t>Titolo 2</w:t>
            </w:r>
          </w:p>
          <w:p w14:paraId="0DFB1617" w14:textId="77777777" w:rsidR="009518AF" w:rsidRPr="00515872" w:rsidRDefault="009518AF" w:rsidP="007E176C">
            <w:pPr>
              <w:spacing w:after="0" w:line="240" w:lineRule="auto"/>
              <w:rPr>
                <w:rFonts w:cs="Tahoma"/>
                <w:szCs w:val="20"/>
              </w:rPr>
            </w:pPr>
            <w:r w:rsidRPr="00515872">
              <w:rPr>
                <w:rFonts w:cs="Tahoma"/>
                <w:szCs w:val="20"/>
              </w:rPr>
              <w:t>Trasferimenti correnti</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B1BD0" w14:textId="77777777" w:rsidR="009518AF" w:rsidRPr="00515872" w:rsidRDefault="009518AF" w:rsidP="007E176C">
            <w:pPr>
              <w:spacing w:after="0" w:line="240" w:lineRule="auto"/>
              <w:rPr>
                <w:rFonts w:cs="Tahoma"/>
                <w:szCs w:val="20"/>
              </w:rPr>
            </w:pPr>
            <w:r w:rsidRPr="00515872">
              <w:rPr>
                <w:rFonts w:cs="Tahoma"/>
                <w:b/>
                <w:bCs/>
                <w:szCs w:val="20"/>
              </w:rPr>
              <w:t>Titolo 2</w:t>
            </w:r>
          </w:p>
          <w:p w14:paraId="17B6E1E4" w14:textId="77777777" w:rsidR="009518AF" w:rsidRPr="00515872" w:rsidRDefault="009518AF" w:rsidP="007E176C">
            <w:pPr>
              <w:spacing w:after="0" w:line="240" w:lineRule="auto"/>
              <w:rPr>
                <w:rFonts w:cs="Tahoma"/>
                <w:szCs w:val="20"/>
              </w:rPr>
            </w:pPr>
            <w:r w:rsidRPr="00515872">
              <w:rPr>
                <w:rFonts w:cs="Tahoma"/>
                <w:szCs w:val="20"/>
              </w:rPr>
              <w:t>Entrate derivanti da contributi e trasferimenti correnti dello Stato, della regione e di altri enti pubblici anche in rapporto all'esercizio di funzioni delegate dalla regione</w:t>
            </w:r>
          </w:p>
        </w:tc>
      </w:tr>
      <w:tr w:rsidR="009518AF" w:rsidRPr="00515872" w14:paraId="38083EE8" w14:textId="77777777" w:rsidTr="00393822">
        <w:trPr>
          <w:trHeight w:val="560"/>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FB0EF" w14:textId="77777777" w:rsidR="009518AF" w:rsidRPr="00515872" w:rsidRDefault="009518AF" w:rsidP="007E176C">
            <w:pPr>
              <w:spacing w:after="0" w:line="240" w:lineRule="auto"/>
              <w:rPr>
                <w:rFonts w:cs="Tahoma"/>
                <w:szCs w:val="20"/>
              </w:rPr>
            </w:pPr>
            <w:r w:rsidRPr="00515872">
              <w:rPr>
                <w:rFonts w:cs="Tahoma"/>
                <w:b/>
                <w:bCs/>
                <w:szCs w:val="20"/>
              </w:rPr>
              <w:t>Titolo 3</w:t>
            </w:r>
          </w:p>
          <w:p w14:paraId="4783A800" w14:textId="77777777" w:rsidR="009518AF" w:rsidRPr="00515872" w:rsidRDefault="009518AF" w:rsidP="007E176C">
            <w:pPr>
              <w:spacing w:after="0" w:line="240" w:lineRule="auto"/>
              <w:rPr>
                <w:rFonts w:cs="Tahoma"/>
                <w:szCs w:val="20"/>
              </w:rPr>
            </w:pPr>
            <w:r w:rsidRPr="00515872">
              <w:rPr>
                <w:rFonts w:cs="Tahoma"/>
                <w:szCs w:val="20"/>
              </w:rPr>
              <w:t>Entrate extratributarie</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0E67D" w14:textId="77777777" w:rsidR="009518AF" w:rsidRPr="00515872" w:rsidRDefault="009518AF" w:rsidP="007E176C">
            <w:pPr>
              <w:spacing w:after="0" w:line="240" w:lineRule="auto"/>
              <w:rPr>
                <w:rFonts w:cs="Tahoma"/>
                <w:szCs w:val="20"/>
              </w:rPr>
            </w:pPr>
            <w:r w:rsidRPr="00515872">
              <w:rPr>
                <w:rFonts w:cs="Tahoma"/>
                <w:b/>
                <w:bCs/>
                <w:szCs w:val="20"/>
              </w:rPr>
              <w:t>Titolo 3</w:t>
            </w:r>
          </w:p>
          <w:p w14:paraId="0926FEC3" w14:textId="77777777" w:rsidR="009518AF" w:rsidRPr="00515872" w:rsidRDefault="009518AF" w:rsidP="007E176C">
            <w:pPr>
              <w:spacing w:after="0" w:line="240" w:lineRule="auto"/>
              <w:rPr>
                <w:rFonts w:cs="Tahoma"/>
                <w:szCs w:val="20"/>
              </w:rPr>
            </w:pPr>
            <w:r w:rsidRPr="00515872">
              <w:rPr>
                <w:rFonts w:cs="Tahoma"/>
                <w:szCs w:val="20"/>
              </w:rPr>
              <w:t>Entrate extratributarie</w:t>
            </w:r>
          </w:p>
        </w:tc>
      </w:tr>
      <w:tr w:rsidR="009518AF" w:rsidRPr="00515872" w14:paraId="090FEE47" w14:textId="77777777" w:rsidTr="00393822">
        <w:trPr>
          <w:trHeight w:val="527"/>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62095F" w14:textId="77777777" w:rsidR="009518AF" w:rsidRPr="00515872" w:rsidRDefault="009518AF" w:rsidP="007E176C">
            <w:pPr>
              <w:spacing w:after="0" w:line="240" w:lineRule="auto"/>
              <w:rPr>
                <w:rFonts w:cs="Tahoma"/>
                <w:szCs w:val="20"/>
              </w:rPr>
            </w:pPr>
            <w:r w:rsidRPr="00515872">
              <w:rPr>
                <w:rFonts w:cs="Tahoma"/>
                <w:b/>
                <w:bCs/>
                <w:szCs w:val="20"/>
              </w:rPr>
              <w:t>Titolo 4</w:t>
            </w:r>
          </w:p>
          <w:p w14:paraId="5F0E591A" w14:textId="77777777" w:rsidR="009518AF" w:rsidRPr="00515872" w:rsidRDefault="009518AF" w:rsidP="007E176C">
            <w:pPr>
              <w:spacing w:after="0" w:line="240" w:lineRule="auto"/>
              <w:rPr>
                <w:rFonts w:cs="Tahoma"/>
                <w:szCs w:val="20"/>
              </w:rPr>
            </w:pPr>
            <w:r w:rsidRPr="00515872">
              <w:rPr>
                <w:rFonts w:cs="Tahoma"/>
                <w:szCs w:val="20"/>
              </w:rPr>
              <w:t>Entrate in conto capitale</w:t>
            </w:r>
          </w:p>
        </w:tc>
        <w:tc>
          <w:tcPr>
            <w:tcW w:w="46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7D213F" w14:textId="77777777" w:rsidR="009518AF" w:rsidRPr="00515872" w:rsidRDefault="009518AF" w:rsidP="007E176C">
            <w:pPr>
              <w:spacing w:after="0" w:line="240" w:lineRule="auto"/>
              <w:rPr>
                <w:rFonts w:cs="Tahoma"/>
                <w:szCs w:val="20"/>
              </w:rPr>
            </w:pPr>
            <w:r w:rsidRPr="00515872">
              <w:rPr>
                <w:rFonts w:cs="Tahoma"/>
                <w:b/>
                <w:bCs/>
                <w:szCs w:val="20"/>
              </w:rPr>
              <w:t>Titolo 4</w:t>
            </w:r>
          </w:p>
          <w:p w14:paraId="0F714FD2" w14:textId="77777777" w:rsidR="009518AF" w:rsidRPr="00515872" w:rsidRDefault="009518AF" w:rsidP="007E176C">
            <w:pPr>
              <w:spacing w:after="0" w:line="240" w:lineRule="auto"/>
              <w:rPr>
                <w:rFonts w:cs="Tahoma"/>
                <w:szCs w:val="20"/>
              </w:rPr>
            </w:pPr>
            <w:r w:rsidRPr="00515872">
              <w:rPr>
                <w:rFonts w:cs="Tahoma"/>
                <w:szCs w:val="20"/>
              </w:rPr>
              <w:t>Entrate derivanti da alienazioni, da trasferimenti di capitale e da riscossioni di crediti</w:t>
            </w:r>
          </w:p>
        </w:tc>
      </w:tr>
      <w:tr w:rsidR="009518AF" w:rsidRPr="00515872" w14:paraId="5F782E18" w14:textId="77777777" w:rsidTr="00393822">
        <w:trPr>
          <w:trHeight w:val="551"/>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34DC1B" w14:textId="77777777" w:rsidR="009518AF" w:rsidRPr="00515872" w:rsidRDefault="009518AF" w:rsidP="007E176C">
            <w:pPr>
              <w:spacing w:after="0" w:line="240" w:lineRule="auto"/>
              <w:rPr>
                <w:rFonts w:cs="Tahoma"/>
                <w:szCs w:val="20"/>
              </w:rPr>
            </w:pPr>
            <w:r w:rsidRPr="00515872">
              <w:rPr>
                <w:rFonts w:cs="Tahoma"/>
                <w:b/>
                <w:bCs/>
                <w:szCs w:val="20"/>
              </w:rPr>
              <w:t>Titolo 5</w:t>
            </w:r>
          </w:p>
          <w:p w14:paraId="5DECC821" w14:textId="77777777" w:rsidR="009518AF" w:rsidRPr="00515872" w:rsidRDefault="009518AF" w:rsidP="007E176C">
            <w:pPr>
              <w:spacing w:after="0" w:line="240" w:lineRule="auto"/>
              <w:rPr>
                <w:rFonts w:cs="Tahoma"/>
                <w:szCs w:val="20"/>
              </w:rPr>
            </w:pPr>
            <w:r w:rsidRPr="00515872">
              <w:rPr>
                <w:rFonts w:cs="Tahoma"/>
                <w:szCs w:val="20"/>
              </w:rPr>
              <w:t>Entrate da riduzione di attività finanziarie</w:t>
            </w:r>
          </w:p>
        </w:tc>
        <w:tc>
          <w:tcPr>
            <w:tcW w:w="4678" w:type="dxa"/>
            <w:vMerge/>
            <w:tcBorders>
              <w:top w:val="single" w:sz="8" w:space="0" w:color="000000"/>
              <w:left w:val="single" w:sz="8" w:space="0" w:color="000000"/>
              <w:bottom w:val="single" w:sz="8" w:space="0" w:color="000000"/>
              <w:right w:val="single" w:sz="8" w:space="0" w:color="000000"/>
            </w:tcBorders>
            <w:vAlign w:val="center"/>
            <w:hideMark/>
          </w:tcPr>
          <w:p w14:paraId="5FC68F66" w14:textId="77777777" w:rsidR="009518AF" w:rsidRPr="00515872" w:rsidRDefault="009518AF" w:rsidP="007E176C">
            <w:pPr>
              <w:spacing w:after="0" w:line="240" w:lineRule="auto"/>
              <w:rPr>
                <w:rFonts w:cs="Tahoma"/>
                <w:szCs w:val="20"/>
              </w:rPr>
            </w:pPr>
          </w:p>
        </w:tc>
      </w:tr>
      <w:tr w:rsidR="009518AF" w:rsidRPr="00515872" w14:paraId="4F48D0F0" w14:textId="77777777" w:rsidTr="00393822">
        <w:trPr>
          <w:trHeight w:val="548"/>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D3A18" w14:textId="77777777" w:rsidR="009518AF" w:rsidRPr="00515872" w:rsidRDefault="009518AF" w:rsidP="007E176C">
            <w:pPr>
              <w:spacing w:after="0" w:line="240" w:lineRule="auto"/>
              <w:rPr>
                <w:rFonts w:cs="Tahoma"/>
                <w:szCs w:val="20"/>
              </w:rPr>
            </w:pPr>
            <w:r w:rsidRPr="00515872">
              <w:rPr>
                <w:rFonts w:cs="Tahoma"/>
                <w:b/>
                <w:bCs/>
                <w:szCs w:val="20"/>
              </w:rPr>
              <w:t>Titolo 6</w:t>
            </w:r>
          </w:p>
          <w:p w14:paraId="64FA695B" w14:textId="77777777" w:rsidR="009518AF" w:rsidRPr="00515872" w:rsidRDefault="009518AF" w:rsidP="007E176C">
            <w:pPr>
              <w:spacing w:after="0" w:line="240" w:lineRule="auto"/>
              <w:rPr>
                <w:rFonts w:cs="Tahoma"/>
                <w:szCs w:val="20"/>
              </w:rPr>
            </w:pPr>
            <w:r w:rsidRPr="00515872">
              <w:rPr>
                <w:rFonts w:cs="Tahoma"/>
                <w:szCs w:val="20"/>
              </w:rPr>
              <w:t>Accensione Prestiti</w:t>
            </w:r>
          </w:p>
        </w:tc>
        <w:tc>
          <w:tcPr>
            <w:tcW w:w="46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8C290" w14:textId="77777777" w:rsidR="009518AF" w:rsidRPr="00515872" w:rsidRDefault="009518AF" w:rsidP="007E176C">
            <w:pPr>
              <w:spacing w:after="0" w:line="240" w:lineRule="auto"/>
              <w:rPr>
                <w:rFonts w:cs="Tahoma"/>
                <w:szCs w:val="20"/>
              </w:rPr>
            </w:pPr>
            <w:r w:rsidRPr="00515872">
              <w:rPr>
                <w:rFonts w:cs="Tahoma"/>
                <w:b/>
                <w:bCs/>
                <w:szCs w:val="20"/>
              </w:rPr>
              <w:t>Titolo 5</w:t>
            </w:r>
          </w:p>
          <w:p w14:paraId="663D0DD7" w14:textId="77777777" w:rsidR="009518AF" w:rsidRPr="00515872" w:rsidRDefault="009518AF" w:rsidP="007E176C">
            <w:pPr>
              <w:spacing w:after="0" w:line="240" w:lineRule="auto"/>
              <w:rPr>
                <w:rFonts w:cs="Tahoma"/>
                <w:szCs w:val="20"/>
              </w:rPr>
            </w:pPr>
            <w:r w:rsidRPr="00515872">
              <w:rPr>
                <w:rFonts w:cs="Tahoma"/>
                <w:szCs w:val="20"/>
              </w:rPr>
              <w:t>Entrate derivanti da accensioni di prestiti</w:t>
            </w:r>
          </w:p>
        </w:tc>
      </w:tr>
      <w:tr w:rsidR="009518AF" w:rsidRPr="00515872" w14:paraId="3DECA9CA" w14:textId="77777777" w:rsidTr="00393822">
        <w:trPr>
          <w:trHeight w:val="544"/>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846D3E" w14:textId="77777777" w:rsidR="009518AF" w:rsidRPr="00515872" w:rsidRDefault="009518AF" w:rsidP="007E176C">
            <w:pPr>
              <w:spacing w:after="0" w:line="240" w:lineRule="auto"/>
              <w:rPr>
                <w:rFonts w:cs="Tahoma"/>
                <w:szCs w:val="20"/>
              </w:rPr>
            </w:pPr>
            <w:r w:rsidRPr="00515872">
              <w:rPr>
                <w:rFonts w:cs="Tahoma"/>
                <w:b/>
                <w:bCs/>
                <w:szCs w:val="20"/>
              </w:rPr>
              <w:t>Titolo 7</w:t>
            </w:r>
          </w:p>
          <w:p w14:paraId="6E5FA622" w14:textId="77777777" w:rsidR="009518AF" w:rsidRPr="00515872" w:rsidRDefault="009518AF" w:rsidP="007E176C">
            <w:pPr>
              <w:spacing w:after="0" w:line="240" w:lineRule="auto"/>
              <w:rPr>
                <w:rFonts w:cs="Tahoma"/>
                <w:szCs w:val="20"/>
              </w:rPr>
            </w:pPr>
            <w:r w:rsidRPr="00515872">
              <w:rPr>
                <w:rFonts w:cs="Tahoma"/>
                <w:szCs w:val="20"/>
              </w:rPr>
              <w:t>Anticipazioni da istituto tesoriere/cassiere</w:t>
            </w:r>
          </w:p>
        </w:tc>
        <w:tc>
          <w:tcPr>
            <w:tcW w:w="4678" w:type="dxa"/>
            <w:vMerge/>
            <w:tcBorders>
              <w:top w:val="single" w:sz="8" w:space="0" w:color="000000"/>
              <w:left w:val="single" w:sz="8" w:space="0" w:color="000000"/>
              <w:bottom w:val="single" w:sz="8" w:space="0" w:color="000000"/>
              <w:right w:val="single" w:sz="8" w:space="0" w:color="000000"/>
            </w:tcBorders>
            <w:vAlign w:val="center"/>
            <w:hideMark/>
          </w:tcPr>
          <w:p w14:paraId="6675528C" w14:textId="77777777" w:rsidR="009518AF" w:rsidRPr="00515872" w:rsidRDefault="009518AF" w:rsidP="007E176C">
            <w:pPr>
              <w:spacing w:after="0" w:line="240" w:lineRule="auto"/>
              <w:rPr>
                <w:rFonts w:cs="Tahoma"/>
                <w:szCs w:val="20"/>
              </w:rPr>
            </w:pPr>
          </w:p>
        </w:tc>
      </w:tr>
      <w:tr w:rsidR="009518AF" w:rsidRPr="00515872" w14:paraId="21BF02E0" w14:textId="77777777" w:rsidTr="00393822">
        <w:trPr>
          <w:trHeight w:val="539"/>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3A778F" w14:textId="77777777" w:rsidR="009518AF" w:rsidRPr="00515872" w:rsidRDefault="009518AF" w:rsidP="007E176C">
            <w:pPr>
              <w:spacing w:after="0" w:line="240" w:lineRule="auto"/>
              <w:rPr>
                <w:rFonts w:cs="Tahoma"/>
                <w:szCs w:val="20"/>
              </w:rPr>
            </w:pPr>
            <w:r w:rsidRPr="00515872">
              <w:rPr>
                <w:rFonts w:cs="Tahoma"/>
                <w:b/>
                <w:bCs/>
                <w:szCs w:val="20"/>
              </w:rPr>
              <w:t>Titolo 9</w:t>
            </w:r>
          </w:p>
          <w:p w14:paraId="4D09863C" w14:textId="77777777" w:rsidR="009518AF" w:rsidRPr="00515872" w:rsidRDefault="009518AF" w:rsidP="007E176C">
            <w:pPr>
              <w:spacing w:after="0" w:line="240" w:lineRule="auto"/>
              <w:rPr>
                <w:rFonts w:cs="Tahoma"/>
                <w:szCs w:val="20"/>
              </w:rPr>
            </w:pPr>
            <w:r w:rsidRPr="00515872">
              <w:rPr>
                <w:rFonts w:cs="Tahoma"/>
                <w:szCs w:val="20"/>
              </w:rPr>
              <w:t>Entrate per conto</w:t>
            </w:r>
            <w:r w:rsidR="00801E42" w:rsidRPr="00515872">
              <w:rPr>
                <w:rFonts w:cs="Tahoma"/>
                <w:szCs w:val="20"/>
              </w:rPr>
              <w:t xml:space="preserve"> di</w:t>
            </w:r>
            <w:r w:rsidRPr="00515872">
              <w:rPr>
                <w:rFonts w:cs="Tahoma"/>
                <w:szCs w:val="20"/>
              </w:rPr>
              <w:t xml:space="preserve"> terzi e partite di giro</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F8B1C" w14:textId="77777777" w:rsidR="009518AF" w:rsidRPr="00515872" w:rsidRDefault="009518AF" w:rsidP="007E176C">
            <w:pPr>
              <w:spacing w:after="0" w:line="240" w:lineRule="auto"/>
              <w:rPr>
                <w:rFonts w:cs="Tahoma"/>
                <w:szCs w:val="20"/>
              </w:rPr>
            </w:pPr>
            <w:r w:rsidRPr="00515872">
              <w:rPr>
                <w:rFonts w:cs="Tahoma"/>
                <w:b/>
                <w:bCs/>
                <w:szCs w:val="20"/>
              </w:rPr>
              <w:t>Titolo 6</w:t>
            </w:r>
          </w:p>
          <w:p w14:paraId="2F386672" w14:textId="77777777" w:rsidR="009518AF" w:rsidRPr="00515872" w:rsidRDefault="009518AF" w:rsidP="007E176C">
            <w:pPr>
              <w:spacing w:after="0" w:line="240" w:lineRule="auto"/>
              <w:rPr>
                <w:rFonts w:cs="Tahoma"/>
                <w:szCs w:val="20"/>
              </w:rPr>
            </w:pPr>
            <w:r w:rsidRPr="00515872">
              <w:rPr>
                <w:rFonts w:cs="Tahoma"/>
                <w:szCs w:val="20"/>
              </w:rPr>
              <w:t>Entrate servizi per conto terzi</w:t>
            </w:r>
          </w:p>
        </w:tc>
      </w:tr>
    </w:tbl>
    <w:p w14:paraId="37DE1A17" w14:textId="77777777" w:rsidR="00543342" w:rsidRPr="00515872" w:rsidRDefault="00543342" w:rsidP="007E176C">
      <w:pPr>
        <w:tabs>
          <w:tab w:val="left" w:pos="4976"/>
        </w:tabs>
        <w:spacing w:after="0" w:line="240" w:lineRule="auto"/>
        <w:ind w:left="154"/>
        <w:rPr>
          <w:rFonts w:cs="Tahoma"/>
          <w:b/>
          <w:bCs/>
          <w:szCs w:val="20"/>
        </w:rPr>
      </w:pPr>
      <w:r w:rsidRPr="00515872">
        <w:rPr>
          <w:rFonts w:cs="Tahoma"/>
          <w:b/>
          <w:bCs/>
          <w:szCs w:val="20"/>
        </w:rPr>
        <w:tab/>
      </w:r>
    </w:p>
    <w:tbl>
      <w:tblPr>
        <w:tblW w:w="9500" w:type="dxa"/>
        <w:jc w:val="center"/>
        <w:tblCellMar>
          <w:left w:w="0" w:type="dxa"/>
          <w:right w:w="0" w:type="dxa"/>
        </w:tblCellMar>
        <w:tblLook w:val="0600" w:firstRow="0" w:lastRow="0" w:firstColumn="0" w:lastColumn="0" w:noHBand="1" w:noVBand="1"/>
      </w:tblPr>
      <w:tblGrid>
        <w:gridCol w:w="4822"/>
        <w:gridCol w:w="4678"/>
      </w:tblGrid>
      <w:tr w:rsidR="00543342" w:rsidRPr="00515872" w14:paraId="13E9F342" w14:textId="77777777" w:rsidTr="00EA779E">
        <w:trPr>
          <w:trHeight w:val="258"/>
          <w:jc w:val="center"/>
        </w:trPr>
        <w:tc>
          <w:tcPr>
            <w:tcW w:w="9500"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tcPr>
          <w:p w14:paraId="5E9BA3DB" w14:textId="77777777" w:rsidR="00543342" w:rsidRPr="00515872" w:rsidRDefault="00543342" w:rsidP="00EA779E">
            <w:pPr>
              <w:spacing w:after="0" w:line="240" w:lineRule="auto"/>
              <w:jc w:val="center"/>
              <w:rPr>
                <w:rFonts w:cs="Tahoma"/>
                <w:b/>
                <w:bCs/>
                <w:szCs w:val="20"/>
              </w:rPr>
            </w:pPr>
            <w:r w:rsidRPr="00515872">
              <w:rPr>
                <w:rFonts w:cs="Tahoma"/>
                <w:b/>
                <w:bCs/>
                <w:szCs w:val="20"/>
              </w:rPr>
              <w:t>Spesa</w:t>
            </w:r>
          </w:p>
        </w:tc>
      </w:tr>
      <w:tr w:rsidR="009518AF" w:rsidRPr="00515872" w14:paraId="3AC2D537" w14:textId="77777777" w:rsidTr="00EA779E">
        <w:trPr>
          <w:trHeight w:val="323"/>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14:paraId="1125F7A2" w14:textId="77777777" w:rsidR="009518AF" w:rsidRPr="00515872" w:rsidRDefault="009518AF" w:rsidP="00EA779E">
            <w:pPr>
              <w:spacing w:after="0" w:line="240" w:lineRule="auto"/>
              <w:jc w:val="center"/>
              <w:rPr>
                <w:rFonts w:cs="Tahoma"/>
                <w:szCs w:val="20"/>
              </w:rPr>
            </w:pPr>
            <w:proofErr w:type="spellStart"/>
            <w:r w:rsidRPr="00515872">
              <w:rPr>
                <w:rFonts w:cs="Tahoma"/>
                <w:b/>
                <w:bCs/>
                <w:szCs w:val="20"/>
              </w:rPr>
              <w:t>D.Lgs.</w:t>
            </w:r>
            <w:proofErr w:type="spellEnd"/>
            <w:r w:rsidRPr="00515872">
              <w:rPr>
                <w:rFonts w:cs="Tahoma"/>
                <w:b/>
                <w:bCs/>
                <w:szCs w:val="20"/>
              </w:rPr>
              <w:t xml:space="preserve"> 23/06/2011, n. 118</w:t>
            </w:r>
          </w:p>
        </w:tc>
        <w:tc>
          <w:tcPr>
            <w:tcW w:w="46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14:paraId="7899AE5B" w14:textId="77777777" w:rsidR="009518AF" w:rsidRPr="00515872" w:rsidRDefault="009518AF" w:rsidP="00EA779E">
            <w:pPr>
              <w:spacing w:after="0" w:line="240" w:lineRule="auto"/>
              <w:jc w:val="center"/>
              <w:rPr>
                <w:rFonts w:cs="Tahoma"/>
                <w:szCs w:val="20"/>
              </w:rPr>
            </w:pPr>
            <w:r w:rsidRPr="00515872">
              <w:rPr>
                <w:rFonts w:cs="Tahoma"/>
                <w:b/>
                <w:bCs/>
                <w:szCs w:val="20"/>
              </w:rPr>
              <w:t>D.P.R. 31/01/1996, n. 194</w:t>
            </w:r>
          </w:p>
        </w:tc>
      </w:tr>
      <w:tr w:rsidR="009518AF" w:rsidRPr="00515872" w14:paraId="4AE7E653" w14:textId="77777777" w:rsidTr="00393822">
        <w:trPr>
          <w:trHeight w:val="426"/>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7A7812" w14:textId="77777777" w:rsidR="009518AF" w:rsidRPr="00515872" w:rsidRDefault="009518AF" w:rsidP="007E176C">
            <w:pPr>
              <w:spacing w:after="0" w:line="240" w:lineRule="auto"/>
              <w:rPr>
                <w:rFonts w:cs="Tahoma"/>
                <w:szCs w:val="20"/>
              </w:rPr>
            </w:pPr>
            <w:r w:rsidRPr="00515872">
              <w:rPr>
                <w:rFonts w:cs="Tahoma"/>
                <w:b/>
                <w:bCs/>
                <w:szCs w:val="20"/>
              </w:rPr>
              <w:t>Titolo 1</w:t>
            </w:r>
          </w:p>
          <w:p w14:paraId="785D2340" w14:textId="77777777" w:rsidR="009518AF" w:rsidRPr="00515872" w:rsidRDefault="009518AF" w:rsidP="007E176C">
            <w:pPr>
              <w:spacing w:after="0" w:line="240" w:lineRule="auto"/>
              <w:rPr>
                <w:rFonts w:cs="Tahoma"/>
                <w:szCs w:val="20"/>
              </w:rPr>
            </w:pPr>
            <w:r w:rsidRPr="00515872">
              <w:rPr>
                <w:rFonts w:cs="Tahoma"/>
                <w:szCs w:val="20"/>
              </w:rPr>
              <w:t>Spese correnti</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1E50DA" w14:textId="77777777" w:rsidR="009518AF" w:rsidRPr="00515872" w:rsidRDefault="009518AF" w:rsidP="007E176C">
            <w:pPr>
              <w:spacing w:after="0" w:line="240" w:lineRule="auto"/>
              <w:rPr>
                <w:rFonts w:cs="Tahoma"/>
                <w:szCs w:val="20"/>
              </w:rPr>
            </w:pPr>
            <w:r w:rsidRPr="00515872">
              <w:rPr>
                <w:rFonts w:cs="Tahoma"/>
                <w:b/>
                <w:bCs/>
                <w:szCs w:val="20"/>
              </w:rPr>
              <w:t>Titolo 1</w:t>
            </w:r>
          </w:p>
          <w:p w14:paraId="2E1085C0" w14:textId="77777777" w:rsidR="009518AF" w:rsidRPr="00515872" w:rsidRDefault="009518AF" w:rsidP="007E176C">
            <w:pPr>
              <w:spacing w:after="0" w:line="240" w:lineRule="auto"/>
              <w:rPr>
                <w:rFonts w:cs="Tahoma"/>
                <w:szCs w:val="20"/>
              </w:rPr>
            </w:pPr>
            <w:r w:rsidRPr="00515872">
              <w:rPr>
                <w:rFonts w:cs="Tahoma"/>
                <w:szCs w:val="20"/>
              </w:rPr>
              <w:t>Spese correnti</w:t>
            </w:r>
          </w:p>
        </w:tc>
      </w:tr>
      <w:tr w:rsidR="009518AF" w:rsidRPr="00515872" w14:paraId="29ACC69E" w14:textId="77777777" w:rsidTr="00393822">
        <w:trPr>
          <w:trHeight w:val="478"/>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BD43F" w14:textId="77777777" w:rsidR="009518AF" w:rsidRPr="00515872" w:rsidRDefault="009518AF" w:rsidP="007E176C">
            <w:pPr>
              <w:spacing w:after="0" w:line="240" w:lineRule="auto"/>
              <w:rPr>
                <w:rFonts w:cs="Tahoma"/>
                <w:szCs w:val="20"/>
              </w:rPr>
            </w:pPr>
            <w:r w:rsidRPr="00515872">
              <w:rPr>
                <w:rFonts w:cs="Tahoma"/>
                <w:b/>
                <w:bCs/>
                <w:szCs w:val="20"/>
              </w:rPr>
              <w:t>Titolo 2</w:t>
            </w:r>
          </w:p>
          <w:p w14:paraId="528A4369" w14:textId="77777777" w:rsidR="009518AF" w:rsidRPr="00515872" w:rsidRDefault="009518AF" w:rsidP="007E176C">
            <w:pPr>
              <w:spacing w:after="0" w:line="240" w:lineRule="auto"/>
              <w:rPr>
                <w:rFonts w:cs="Tahoma"/>
                <w:szCs w:val="20"/>
              </w:rPr>
            </w:pPr>
            <w:r w:rsidRPr="00515872">
              <w:rPr>
                <w:rFonts w:cs="Tahoma"/>
                <w:szCs w:val="20"/>
              </w:rPr>
              <w:t>Spese in conto capitale</w:t>
            </w:r>
          </w:p>
        </w:tc>
        <w:tc>
          <w:tcPr>
            <w:tcW w:w="46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8FAC6" w14:textId="77777777" w:rsidR="009518AF" w:rsidRPr="00515872" w:rsidRDefault="009518AF" w:rsidP="007E176C">
            <w:pPr>
              <w:spacing w:after="0" w:line="240" w:lineRule="auto"/>
              <w:rPr>
                <w:rFonts w:cs="Tahoma"/>
                <w:szCs w:val="20"/>
              </w:rPr>
            </w:pPr>
            <w:r w:rsidRPr="00515872">
              <w:rPr>
                <w:rFonts w:cs="Tahoma"/>
                <w:b/>
                <w:bCs/>
                <w:szCs w:val="20"/>
              </w:rPr>
              <w:t>Titolo 2</w:t>
            </w:r>
          </w:p>
          <w:p w14:paraId="13C9396D" w14:textId="77777777" w:rsidR="009518AF" w:rsidRPr="00515872" w:rsidRDefault="009518AF" w:rsidP="007E176C">
            <w:pPr>
              <w:spacing w:after="0" w:line="240" w:lineRule="auto"/>
              <w:rPr>
                <w:rFonts w:cs="Tahoma"/>
                <w:szCs w:val="20"/>
              </w:rPr>
            </w:pPr>
            <w:r w:rsidRPr="00515872">
              <w:rPr>
                <w:rFonts w:cs="Tahoma"/>
                <w:szCs w:val="20"/>
              </w:rPr>
              <w:t>Spese in conto capitale</w:t>
            </w:r>
          </w:p>
        </w:tc>
      </w:tr>
      <w:tr w:rsidR="009518AF" w:rsidRPr="00515872" w14:paraId="2E550947" w14:textId="77777777" w:rsidTr="00393822">
        <w:trPr>
          <w:trHeight w:val="530"/>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4C61D4" w14:textId="77777777" w:rsidR="009518AF" w:rsidRPr="00515872" w:rsidRDefault="009518AF" w:rsidP="007E176C">
            <w:pPr>
              <w:spacing w:after="0" w:line="240" w:lineRule="auto"/>
              <w:rPr>
                <w:rFonts w:cs="Tahoma"/>
                <w:szCs w:val="20"/>
              </w:rPr>
            </w:pPr>
            <w:r w:rsidRPr="00515872">
              <w:rPr>
                <w:rFonts w:cs="Tahoma"/>
                <w:b/>
                <w:bCs/>
                <w:szCs w:val="20"/>
              </w:rPr>
              <w:t>Titolo 3</w:t>
            </w:r>
          </w:p>
          <w:p w14:paraId="6151F853" w14:textId="77777777" w:rsidR="009518AF" w:rsidRPr="00515872" w:rsidRDefault="009518AF" w:rsidP="007E176C">
            <w:pPr>
              <w:spacing w:after="0" w:line="240" w:lineRule="auto"/>
              <w:rPr>
                <w:rFonts w:cs="Tahoma"/>
                <w:szCs w:val="20"/>
              </w:rPr>
            </w:pPr>
            <w:r w:rsidRPr="00515872">
              <w:rPr>
                <w:rFonts w:cs="Tahoma"/>
                <w:szCs w:val="20"/>
              </w:rPr>
              <w:t xml:space="preserve">Spese per incremento </w:t>
            </w:r>
            <w:r w:rsidR="00D24191" w:rsidRPr="00515872">
              <w:rPr>
                <w:rFonts w:cs="Tahoma"/>
                <w:szCs w:val="20"/>
              </w:rPr>
              <w:t xml:space="preserve">di </w:t>
            </w:r>
            <w:r w:rsidRPr="00515872">
              <w:rPr>
                <w:rFonts w:cs="Tahoma"/>
                <w:szCs w:val="20"/>
              </w:rPr>
              <w:t>attività finanziarie</w:t>
            </w:r>
          </w:p>
        </w:tc>
        <w:tc>
          <w:tcPr>
            <w:tcW w:w="4678" w:type="dxa"/>
            <w:vMerge/>
            <w:tcBorders>
              <w:top w:val="single" w:sz="8" w:space="0" w:color="000000"/>
              <w:left w:val="single" w:sz="8" w:space="0" w:color="000000"/>
              <w:bottom w:val="single" w:sz="8" w:space="0" w:color="000000"/>
              <w:right w:val="single" w:sz="8" w:space="0" w:color="000000"/>
            </w:tcBorders>
            <w:vAlign w:val="center"/>
            <w:hideMark/>
          </w:tcPr>
          <w:p w14:paraId="20B08117" w14:textId="77777777" w:rsidR="009518AF" w:rsidRPr="00515872" w:rsidRDefault="009518AF" w:rsidP="007E176C">
            <w:pPr>
              <w:spacing w:after="0" w:line="240" w:lineRule="auto"/>
              <w:rPr>
                <w:rFonts w:cs="Tahoma"/>
                <w:szCs w:val="20"/>
              </w:rPr>
            </w:pPr>
          </w:p>
        </w:tc>
      </w:tr>
      <w:tr w:rsidR="009518AF" w:rsidRPr="00515872" w14:paraId="04447A27" w14:textId="77777777" w:rsidTr="00393822">
        <w:trPr>
          <w:trHeight w:val="539"/>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51ABEF" w14:textId="77777777" w:rsidR="009518AF" w:rsidRPr="00515872" w:rsidRDefault="009518AF" w:rsidP="007E176C">
            <w:pPr>
              <w:spacing w:after="0" w:line="240" w:lineRule="auto"/>
              <w:rPr>
                <w:rFonts w:cs="Tahoma"/>
                <w:szCs w:val="20"/>
              </w:rPr>
            </w:pPr>
            <w:r w:rsidRPr="00515872">
              <w:rPr>
                <w:rFonts w:cs="Tahoma"/>
                <w:b/>
                <w:bCs/>
                <w:szCs w:val="20"/>
              </w:rPr>
              <w:t>Titolo 4</w:t>
            </w:r>
          </w:p>
          <w:p w14:paraId="4B3D99B5" w14:textId="77777777" w:rsidR="009518AF" w:rsidRPr="00515872" w:rsidRDefault="009518AF" w:rsidP="007E176C">
            <w:pPr>
              <w:spacing w:after="0" w:line="240" w:lineRule="auto"/>
              <w:rPr>
                <w:rFonts w:cs="Tahoma"/>
                <w:szCs w:val="20"/>
              </w:rPr>
            </w:pPr>
            <w:r w:rsidRPr="00515872">
              <w:rPr>
                <w:rFonts w:cs="Tahoma"/>
                <w:szCs w:val="20"/>
              </w:rPr>
              <w:t>Rimborso Prestiti (presente solo nella Missione 50)</w:t>
            </w:r>
          </w:p>
        </w:tc>
        <w:tc>
          <w:tcPr>
            <w:tcW w:w="46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EA333" w14:textId="77777777" w:rsidR="009518AF" w:rsidRPr="00515872" w:rsidRDefault="009518AF" w:rsidP="007E176C">
            <w:pPr>
              <w:spacing w:after="0" w:line="240" w:lineRule="auto"/>
              <w:rPr>
                <w:rFonts w:cs="Tahoma"/>
                <w:szCs w:val="20"/>
              </w:rPr>
            </w:pPr>
            <w:r w:rsidRPr="00515872">
              <w:rPr>
                <w:rFonts w:cs="Tahoma"/>
                <w:b/>
                <w:bCs/>
                <w:szCs w:val="20"/>
              </w:rPr>
              <w:t>Titolo 3</w:t>
            </w:r>
          </w:p>
          <w:p w14:paraId="1F07AB54" w14:textId="77777777" w:rsidR="009518AF" w:rsidRPr="00515872" w:rsidRDefault="009518AF" w:rsidP="007E176C">
            <w:pPr>
              <w:spacing w:after="0" w:line="240" w:lineRule="auto"/>
              <w:rPr>
                <w:rFonts w:cs="Tahoma"/>
                <w:szCs w:val="20"/>
              </w:rPr>
            </w:pPr>
            <w:r w:rsidRPr="00515872">
              <w:rPr>
                <w:rFonts w:cs="Tahoma"/>
                <w:szCs w:val="20"/>
              </w:rPr>
              <w:t>Spese rimborso prestiti</w:t>
            </w:r>
          </w:p>
        </w:tc>
      </w:tr>
      <w:tr w:rsidR="009518AF" w:rsidRPr="00515872" w14:paraId="7F0CDF90" w14:textId="77777777" w:rsidTr="00393822">
        <w:trPr>
          <w:trHeight w:val="833"/>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EEC54" w14:textId="77777777" w:rsidR="009518AF" w:rsidRPr="00515872" w:rsidRDefault="009518AF" w:rsidP="007E176C">
            <w:pPr>
              <w:spacing w:after="0" w:line="240" w:lineRule="auto"/>
              <w:rPr>
                <w:rFonts w:cs="Tahoma"/>
                <w:szCs w:val="20"/>
              </w:rPr>
            </w:pPr>
            <w:r w:rsidRPr="00515872">
              <w:rPr>
                <w:rFonts w:cs="Tahoma"/>
                <w:b/>
                <w:bCs/>
                <w:szCs w:val="20"/>
              </w:rPr>
              <w:t>Titolo 5</w:t>
            </w:r>
          </w:p>
          <w:p w14:paraId="218D3B44" w14:textId="77777777" w:rsidR="009518AF" w:rsidRPr="00515872" w:rsidRDefault="009518AF" w:rsidP="007E176C">
            <w:pPr>
              <w:spacing w:after="0" w:line="240" w:lineRule="auto"/>
              <w:rPr>
                <w:rFonts w:cs="Tahoma"/>
                <w:szCs w:val="20"/>
              </w:rPr>
            </w:pPr>
            <w:r w:rsidRPr="00515872">
              <w:rPr>
                <w:rFonts w:cs="Tahoma"/>
                <w:szCs w:val="20"/>
              </w:rPr>
              <w:t>Chiusura anticipazioni ricevute da istituto tesoriere/cassiere (presente solo nella Missione 60)</w:t>
            </w:r>
          </w:p>
        </w:tc>
        <w:tc>
          <w:tcPr>
            <w:tcW w:w="4678" w:type="dxa"/>
            <w:vMerge/>
            <w:tcBorders>
              <w:top w:val="single" w:sz="8" w:space="0" w:color="000000"/>
              <w:left w:val="single" w:sz="8" w:space="0" w:color="000000"/>
              <w:bottom w:val="single" w:sz="8" w:space="0" w:color="000000"/>
              <w:right w:val="single" w:sz="8" w:space="0" w:color="000000"/>
            </w:tcBorders>
            <w:vAlign w:val="center"/>
            <w:hideMark/>
          </w:tcPr>
          <w:p w14:paraId="422776FF" w14:textId="77777777" w:rsidR="009518AF" w:rsidRPr="00515872" w:rsidRDefault="009518AF" w:rsidP="007E176C">
            <w:pPr>
              <w:spacing w:after="0" w:line="240" w:lineRule="auto"/>
              <w:rPr>
                <w:rFonts w:cs="Tahoma"/>
                <w:szCs w:val="20"/>
              </w:rPr>
            </w:pPr>
          </w:p>
        </w:tc>
      </w:tr>
      <w:tr w:rsidR="009518AF" w:rsidRPr="00515872" w14:paraId="4830A1C5" w14:textId="77777777" w:rsidTr="00393822">
        <w:trPr>
          <w:trHeight w:val="756"/>
          <w:jc w:val="center"/>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989BB" w14:textId="77777777" w:rsidR="009518AF" w:rsidRPr="00515872" w:rsidRDefault="009518AF" w:rsidP="007E176C">
            <w:pPr>
              <w:spacing w:after="0" w:line="240" w:lineRule="auto"/>
              <w:rPr>
                <w:rFonts w:cs="Tahoma"/>
                <w:szCs w:val="20"/>
              </w:rPr>
            </w:pPr>
            <w:r w:rsidRPr="00515872">
              <w:rPr>
                <w:rFonts w:cs="Tahoma"/>
                <w:b/>
                <w:bCs/>
                <w:szCs w:val="20"/>
              </w:rPr>
              <w:t>Titolo 7</w:t>
            </w:r>
          </w:p>
          <w:p w14:paraId="39558C7F" w14:textId="77777777" w:rsidR="009518AF" w:rsidRPr="00515872" w:rsidRDefault="009518AF" w:rsidP="007E176C">
            <w:pPr>
              <w:spacing w:after="0" w:line="240" w:lineRule="auto"/>
              <w:rPr>
                <w:rFonts w:cs="Tahoma"/>
                <w:szCs w:val="20"/>
              </w:rPr>
            </w:pPr>
            <w:r w:rsidRPr="00515872">
              <w:rPr>
                <w:rFonts w:cs="Tahoma"/>
                <w:szCs w:val="20"/>
              </w:rPr>
              <w:t>Spese per conto terzi e partite di giro (presente solo nella Missione 99)</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BBB81" w14:textId="77777777" w:rsidR="009518AF" w:rsidRPr="00515872" w:rsidRDefault="009518AF" w:rsidP="007E176C">
            <w:pPr>
              <w:spacing w:after="0" w:line="240" w:lineRule="auto"/>
              <w:rPr>
                <w:rFonts w:cs="Tahoma"/>
                <w:szCs w:val="20"/>
              </w:rPr>
            </w:pPr>
            <w:r w:rsidRPr="00515872">
              <w:rPr>
                <w:rFonts w:cs="Tahoma"/>
                <w:b/>
                <w:bCs/>
                <w:szCs w:val="20"/>
              </w:rPr>
              <w:t>Titolo 4</w:t>
            </w:r>
          </w:p>
          <w:p w14:paraId="515515C2" w14:textId="77777777" w:rsidR="009518AF" w:rsidRPr="00515872" w:rsidRDefault="009518AF" w:rsidP="007E176C">
            <w:pPr>
              <w:spacing w:after="0" w:line="240" w:lineRule="auto"/>
              <w:rPr>
                <w:rFonts w:cs="Tahoma"/>
                <w:szCs w:val="20"/>
              </w:rPr>
            </w:pPr>
            <w:r w:rsidRPr="00515872">
              <w:rPr>
                <w:rFonts w:cs="Tahoma"/>
                <w:szCs w:val="20"/>
              </w:rPr>
              <w:t>Spese per servizio per conto terzi</w:t>
            </w:r>
          </w:p>
        </w:tc>
      </w:tr>
    </w:tbl>
    <w:p w14:paraId="79CE3A9F" w14:textId="77777777" w:rsidR="009518AF" w:rsidRPr="00515872" w:rsidRDefault="009518AF" w:rsidP="009518AF">
      <w:pPr>
        <w:spacing w:line="360" w:lineRule="auto"/>
        <w:jc w:val="both"/>
        <w:rPr>
          <w:rFonts w:cs="Tahoma"/>
        </w:rPr>
      </w:pPr>
      <w:r w:rsidRPr="00515872">
        <w:rPr>
          <w:rFonts w:cs="Tahoma"/>
        </w:rPr>
        <w:lastRenderedPageBreak/>
        <w:t xml:space="preserve">Il nuovo schema di bilancio </w:t>
      </w:r>
      <w:r w:rsidR="000F55A6" w:rsidRPr="00515872">
        <w:rPr>
          <w:rFonts w:cs="Tahoma"/>
        </w:rPr>
        <w:t xml:space="preserve">per gli enti territoriali </w:t>
      </w:r>
      <w:r w:rsidRPr="00515872">
        <w:rPr>
          <w:rFonts w:cs="Tahoma"/>
        </w:rPr>
        <w:t>non co</w:t>
      </w:r>
      <w:r w:rsidR="00D24191" w:rsidRPr="00515872">
        <w:rPr>
          <w:rFonts w:cs="Tahoma"/>
        </w:rPr>
        <w:t>ntempla il titolo 8 dell’entrata</w:t>
      </w:r>
      <w:r w:rsidRPr="00515872">
        <w:rPr>
          <w:rFonts w:cs="Tahoma"/>
        </w:rPr>
        <w:t xml:space="preserve"> e il titolo 6 della spesa</w:t>
      </w:r>
      <w:r w:rsidR="001738F7" w:rsidRPr="00515872">
        <w:rPr>
          <w:rFonts w:cs="Tahoma"/>
        </w:rPr>
        <w:t>, riservati ad altre</w:t>
      </w:r>
      <w:r w:rsidR="000F55A6" w:rsidRPr="00515872">
        <w:rPr>
          <w:rFonts w:cs="Tahoma"/>
        </w:rPr>
        <w:t xml:space="preserve"> tipologi</w:t>
      </w:r>
      <w:r w:rsidR="001738F7" w:rsidRPr="00515872">
        <w:rPr>
          <w:rFonts w:cs="Tahoma"/>
        </w:rPr>
        <w:t>e</w:t>
      </w:r>
      <w:r w:rsidR="000F55A6" w:rsidRPr="00515872">
        <w:rPr>
          <w:rFonts w:cs="Tahoma"/>
        </w:rPr>
        <w:t xml:space="preserve"> di enti</w:t>
      </w:r>
      <w:r w:rsidRPr="00515872">
        <w:rPr>
          <w:rFonts w:cs="Tahoma"/>
        </w:rPr>
        <w:t>.</w:t>
      </w:r>
    </w:p>
    <w:p w14:paraId="77ABCD89" w14:textId="77777777" w:rsidR="009518AF" w:rsidRPr="00515872" w:rsidRDefault="009518AF" w:rsidP="009518AF">
      <w:pPr>
        <w:spacing w:line="360" w:lineRule="auto"/>
        <w:jc w:val="both"/>
        <w:rPr>
          <w:rFonts w:cs="Tahoma"/>
        </w:rPr>
      </w:pPr>
      <w:r w:rsidRPr="00515872">
        <w:rPr>
          <w:rFonts w:cs="Tahoma"/>
        </w:rPr>
        <w:t xml:space="preserve">Nel nuovo sistema contabile vengono definitivamente </w:t>
      </w:r>
      <w:r w:rsidRPr="00515872">
        <w:rPr>
          <w:rFonts w:cs="Tahoma"/>
          <w:b/>
        </w:rPr>
        <w:t>distinti il momento in cui entrate e spese sono, rispettivamente, accertabili e impegnabili</w:t>
      </w:r>
      <w:r w:rsidRPr="00515872">
        <w:rPr>
          <w:rFonts w:cs="Tahoma"/>
        </w:rPr>
        <w:t xml:space="preserve"> (e, quindi, registrabili nella contabilità dell’ente) </w:t>
      </w:r>
      <w:r w:rsidRPr="00515872">
        <w:rPr>
          <w:rFonts w:cs="Tahoma"/>
          <w:b/>
        </w:rPr>
        <w:t>rispetto a quello della loro imputazione a bilancio.</w:t>
      </w:r>
    </w:p>
    <w:p w14:paraId="14F8F0A4" w14:textId="77777777" w:rsidR="00277513" w:rsidRPr="00515872" w:rsidRDefault="00277513" w:rsidP="009518AF">
      <w:pPr>
        <w:pStyle w:val="Sottoparagrafo"/>
        <w:rPr>
          <w:rFonts w:cs="Tahoma"/>
        </w:rPr>
      </w:pPr>
      <w:bookmarkStart w:id="85" w:name="_Toc521317074"/>
    </w:p>
    <w:p w14:paraId="2D347E66" w14:textId="77777777" w:rsidR="009518AF" w:rsidRPr="00515872" w:rsidRDefault="009518AF" w:rsidP="009518AF">
      <w:pPr>
        <w:pStyle w:val="Sottoparagrafo"/>
        <w:rPr>
          <w:rFonts w:cs="Tahoma"/>
        </w:rPr>
      </w:pPr>
      <w:bookmarkStart w:id="86" w:name="_Toc95912251"/>
      <w:r w:rsidRPr="00515872">
        <w:rPr>
          <w:rFonts w:cs="Tahoma"/>
        </w:rPr>
        <w:t>4.3.1 Accertamento e imputazione delle entrate</w:t>
      </w:r>
      <w:bookmarkEnd w:id="85"/>
      <w:bookmarkEnd w:id="86"/>
    </w:p>
    <w:p w14:paraId="51E1D915" w14:textId="77777777" w:rsidR="009518AF" w:rsidRPr="00515872" w:rsidRDefault="009518AF" w:rsidP="009518AF">
      <w:pPr>
        <w:spacing w:after="0" w:line="360" w:lineRule="auto"/>
        <w:jc w:val="both"/>
        <w:rPr>
          <w:rFonts w:cs="Tahoma"/>
          <w:szCs w:val="20"/>
        </w:rPr>
      </w:pPr>
      <w:r w:rsidRPr="00515872">
        <w:rPr>
          <w:rFonts w:cs="Tahoma"/>
          <w:szCs w:val="20"/>
        </w:rPr>
        <w:t>Nel bilancio di previsione le entrate sono aggregate in:</w:t>
      </w:r>
    </w:p>
    <w:p w14:paraId="6051E626"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titoli</w:t>
      </w:r>
      <w:r w:rsidRPr="00515872">
        <w:rPr>
          <w:rFonts w:cs="Tahoma"/>
          <w:szCs w:val="20"/>
        </w:rPr>
        <w:t xml:space="preserve">: </w:t>
      </w:r>
      <w:r w:rsidRPr="00515872">
        <w:rPr>
          <w:rFonts w:cs="Tahoma"/>
          <w:bCs/>
          <w:szCs w:val="20"/>
        </w:rPr>
        <w:t>rappresentano la fonte di provenienza delle entrate;</w:t>
      </w:r>
    </w:p>
    <w:p w14:paraId="40F732BF"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tipologie</w:t>
      </w:r>
      <w:r w:rsidRPr="00515872">
        <w:rPr>
          <w:rFonts w:cs="Tahoma"/>
          <w:szCs w:val="20"/>
        </w:rPr>
        <w:t xml:space="preserve">: </w:t>
      </w:r>
      <w:r w:rsidRPr="00515872">
        <w:rPr>
          <w:rFonts w:cs="Tahoma"/>
          <w:bCs/>
          <w:szCs w:val="20"/>
        </w:rPr>
        <w:t>individuano la natura delle entrate, nell’ambito di ciascuna fonte;</w:t>
      </w:r>
    </w:p>
    <w:p w14:paraId="66629549"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categorie</w:t>
      </w:r>
      <w:r w:rsidRPr="00515872">
        <w:rPr>
          <w:rFonts w:cs="Tahoma"/>
          <w:szCs w:val="20"/>
        </w:rPr>
        <w:t xml:space="preserve">: </w:t>
      </w:r>
      <w:r w:rsidRPr="00515872">
        <w:rPr>
          <w:rFonts w:cs="Tahoma"/>
          <w:bCs/>
          <w:szCs w:val="20"/>
        </w:rPr>
        <w:t xml:space="preserve">dettagliano l’oggetto dell’entrata; nell’ambito di ciascuna categoria è data separata </w:t>
      </w:r>
      <w:r w:rsidRPr="00515872">
        <w:rPr>
          <w:rFonts w:cs="Tahoma"/>
          <w:szCs w:val="20"/>
        </w:rPr>
        <w:t>evidenza delle entrate non ricorrenti, eventualmente anche per quote.</w:t>
      </w:r>
    </w:p>
    <w:p w14:paraId="6F0611CB" w14:textId="77777777" w:rsidR="009518AF" w:rsidRPr="00515872" w:rsidRDefault="009518AF" w:rsidP="009518AF">
      <w:pPr>
        <w:spacing w:line="360" w:lineRule="auto"/>
        <w:jc w:val="both"/>
        <w:rPr>
          <w:rFonts w:cs="Tahoma"/>
          <w:szCs w:val="20"/>
        </w:rPr>
      </w:pPr>
      <w:r w:rsidRPr="00515872">
        <w:rPr>
          <w:rFonts w:cs="Tahoma"/>
          <w:szCs w:val="20"/>
        </w:rPr>
        <w:t xml:space="preserve">Esempio di dettaglio </w:t>
      </w:r>
      <w:r w:rsidR="00793EC2" w:rsidRPr="00515872">
        <w:rPr>
          <w:rFonts w:cs="Tahoma"/>
          <w:szCs w:val="20"/>
        </w:rPr>
        <w:t xml:space="preserve">di un’entrata </w:t>
      </w:r>
      <w:r w:rsidRPr="00515872">
        <w:rPr>
          <w:rFonts w:cs="Tahoma"/>
          <w:szCs w:val="20"/>
        </w:rPr>
        <w:t>nel bilancio di previsione</w:t>
      </w:r>
      <w:r w:rsidR="00793EC2" w:rsidRPr="00515872">
        <w:rPr>
          <w:rFonts w:cs="Tahoma"/>
          <w:szCs w:val="20"/>
        </w:rPr>
        <w:t xml:space="preserve"> è dato dal seguente schema</w:t>
      </w:r>
      <w:r w:rsidRPr="00515872">
        <w:rPr>
          <w:rFonts w:cs="Tahoma"/>
          <w:szCs w:val="20"/>
        </w:rPr>
        <w:t>:</w:t>
      </w:r>
    </w:p>
    <w:tbl>
      <w:tblPr>
        <w:tblStyle w:val="Grigliatabella"/>
        <w:tblW w:w="0" w:type="auto"/>
        <w:jc w:val="center"/>
        <w:tblLook w:val="04A0" w:firstRow="1" w:lastRow="0" w:firstColumn="1" w:lastColumn="0" w:noHBand="0" w:noVBand="1"/>
      </w:tblPr>
      <w:tblGrid>
        <w:gridCol w:w="3539"/>
        <w:gridCol w:w="2711"/>
        <w:gridCol w:w="3378"/>
      </w:tblGrid>
      <w:tr w:rsidR="009518AF" w:rsidRPr="00515872" w14:paraId="15F176FF" w14:textId="77777777" w:rsidTr="00EA779E">
        <w:trPr>
          <w:jc w:val="center"/>
        </w:trPr>
        <w:tc>
          <w:tcPr>
            <w:tcW w:w="3539" w:type="dxa"/>
            <w:shd w:val="clear" w:color="auto" w:fill="DBE5F1" w:themeFill="accent1" w:themeFillTint="33"/>
          </w:tcPr>
          <w:p w14:paraId="56E597C0" w14:textId="77777777" w:rsidR="009518AF" w:rsidRPr="00EA779E" w:rsidRDefault="009518AF" w:rsidP="00EA779E">
            <w:pPr>
              <w:jc w:val="center"/>
              <w:rPr>
                <w:rFonts w:cs="Tahoma"/>
                <w:b/>
                <w:bCs/>
                <w:szCs w:val="20"/>
              </w:rPr>
            </w:pPr>
            <w:r w:rsidRPr="00EA779E">
              <w:rPr>
                <w:rFonts w:cs="Tahoma"/>
                <w:b/>
                <w:bCs/>
                <w:szCs w:val="20"/>
              </w:rPr>
              <w:t>Titolo</w:t>
            </w:r>
          </w:p>
        </w:tc>
        <w:tc>
          <w:tcPr>
            <w:tcW w:w="2711" w:type="dxa"/>
            <w:shd w:val="clear" w:color="auto" w:fill="DBE5F1" w:themeFill="accent1" w:themeFillTint="33"/>
          </w:tcPr>
          <w:p w14:paraId="40FB7618" w14:textId="77777777" w:rsidR="009518AF" w:rsidRPr="00EA779E" w:rsidRDefault="009518AF" w:rsidP="00EA779E">
            <w:pPr>
              <w:jc w:val="center"/>
              <w:rPr>
                <w:rFonts w:cs="Tahoma"/>
                <w:b/>
                <w:bCs/>
                <w:szCs w:val="20"/>
              </w:rPr>
            </w:pPr>
            <w:r w:rsidRPr="00EA779E">
              <w:rPr>
                <w:rFonts w:cs="Tahoma"/>
                <w:b/>
                <w:bCs/>
                <w:szCs w:val="20"/>
              </w:rPr>
              <w:t>Tipologia</w:t>
            </w:r>
          </w:p>
        </w:tc>
        <w:tc>
          <w:tcPr>
            <w:tcW w:w="3378" w:type="dxa"/>
            <w:shd w:val="clear" w:color="auto" w:fill="DBE5F1" w:themeFill="accent1" w:themeFillTint="33"/>
          </w:tcPr>
          <w:p w14:paraId="09EE4C4A" w14:textId="77777777" w:rsidR="009518AF" w:rsidRPr="00EA779E" w:rsidRDefault="009518AF" w:rsidP="00EA779E">
            <w:pPr>
              <w:jc w:val="center"/>
              <w:rPr>
                <w:rFonts w:cs="Tahoma"/>
                <w:b/>
                <w:bCs/>
                <w:szCs w:val="20"/>
              </w:rPr>
            </w:pPr>
            <w:r w:rsidRPr="00EA779E">
              <w:rPr>
                <w:rFonts w:cs="Tahoma"/>
                <w:b/>
                <w:bCs/>
                <w:szCs w:val="20"/>
              </w:rPr>
              <w:t>Categoria</w:t>
            </w:r>
          </w:p>
        </w:tc>
      </w:tr>
      <w:tr w:rsidR="009518AF" w:rsidRPr="00515872" w14:paraId="03958799" w14:textId="77777777" w:rsidTr="009063EA">
        <w:trPr>
          <w:jc w:val="center"/>
        </w:trPr>
        <w:tc>
          <w:tcPr>
            <w:tcW w:w="3539" w:type="dxa"/>
          </w:tcPr>
          <w:p w14:paraId="6B6ECC62" w14:textId="77777777" w:rsidR="009518AF" w:rsidRPr="00515872" w:rsidRDefault="009518AF" w:rsidP="00297A21">
            <w:pPr>
              <w:spacing w:after="0"/>
              <w:jc w:val="both"/>
              <w:rPr>
                <w:rFonts w:cs="Tahoma"/>
                <w:szCs w:val="20"/>
              </w:rPr>
            </w:pPr>
            <w:r w:rsidRPr="00515872">
              <w:rPr>
                <w:rFonts w:cs="Tahoma"/>
                <w:szCs w:val="20"/>
              </w:rPr>
              <w:t xml:space="preserve">Titolo I - </w:t>
            </w:r>
            <w:r w:rsidRPr="00515872">
              <w:rPr>
                <w:rFonts w:cs="Tahoma"/>
                <w:bCs/>
                <w:iCs/>
                <w:color w:val="000000"/>
                <w:szCs w:val="20"/>
              </w:rPr>
              <w:t>Entrate correnti di natura tributaria, contributiva e perequativa</w:t>
            </w:r>
          </w:p>
        </w:tc>
        <w:tc>
          <w:tcPr>
            <w:tcW w:w="2711" w:type="dxa"/>
          </w:tcPr>
          <w:p w14:paraId="14A3AAD7" w14:textId="77777777" w:rsidR="009518AF" w:rsidRPr="00515872" w:rsidRDefault="00D6284F" w:rsidP="00297A21">
            <w:pPr>
              <w:spacing w:after="0"/>
              <w:jc w:val="both"/>
              <w:rPr>
                <w:rFonts w:cs="Tahoma"/>
                <w:szCs w:val="20"/>
              </w:rPr>
            </w:pPr>
            <w:r w:rsidRPr="00515872">
              <w:rPr>
                <w:rFonts w:cs="Tahoma"/>
                <w:szCs w:val="20"/>
              </w:rPr>
              <w:t>Imposte e tasse e proventi assimilati</w:t>
            </w:r>
          </w:p>
        </w:tc>
        <w:tc>
          <w:tcPr>
            <w:tcW w:w="3378" w:type="dxa"/>
          </w:tcPr>
          <w:p w14:paraId="65DDA87C" w14:textId="77777777" w:rsidR="009518AF" w:rsidRPr="00515872" w:rsidRDefault="00D6284F" w:rsidP="00393822">
            <w:pPr>
              <w:jc w:val="both"/>
              <w:rPr>
                <w:rFonts w:cs="Tahoma"/>
                <w:szCs w:val="20"/>
              </w:rPr>
            </w:pPr>
            <w:r w:rsidRPr="00515872">
              <w:rPr>
                <w:rFonts w:cs="Tahoma"/>
                <w:szCs w:val="20"/>
              </w:rPr>
              <w:t>Imposta municipale propria</w:t>
            </w:r>
          </w:p>
        </w:tc>
      </w:tr>
    </w:tbl>
    <w:p w14:paraId="1A7FB74D" w14:textId="77777777" w:rsidR="009518AF" w:rsidRPr="00515872" w:rsidRDefault="009518AF" w:rsidP="009518AF">
      <w:pPr>
        <w:spacing w:line="360" w:lineRule="auto"/>
        <w:jc w:val="both"/>
        <w:rPr>
          <w:rFonts w:cs="Tahoma"/>
          <w:szCs w:val="20"/>
        </w:rPr>
      </w:pPr>
    </w:p>
    <w:p w14:paraId="30A7B9B9" w14:textId="77777777" w:rsidR="009518AF" w:rsidRPr="00515872" w:rsidRDefault="009518AF" w:rsidP="009518AF">
      <w:pPr>
        <w:spacing w:line="360" w:lineRule="auto"/>
        <w:jc w:val="both"/>
        <w:rPr>
          <w:rFonts w:cs="Tahoma"/>
          <w:szCs w:val="20"/>
        </w:rPr>
      </w:pPr>
      <w:r w:rsidRPr="00515872">
        <w:rPr>
          <w:rFonts w:cs="Tahoma"/>
          <w:szCs w:val="20"/>
        </w:rPr>
        <w:t>Ai fini della gestione (nel Piano Esecutivo di Gestione) e rendicontazione</w:t>
      </w:r>
      <w:r w:rsidR="00793EC2" w:rsidRPr="00515872">
        <w:rPr>
          <w:rFonts w:cs="Tahoma"/>
          <w:szCs w:val="20"/>
        </w:rPr>
        <w:t>,</w:t>
      </w:r>
      <w:r w:rsidRPr="00515872">
        <w:rPr>
          <w:rFonts w:cs="Tahoma"/>
          <w:szCs w:val="20"/>
        </w:rPr>
        <w:t xml:space="preserve"> le categorie possono essere ulteriormente articolate in capitoli e articoli.</w:t>
      </w:r>
    </w:p>
    <w:p w14:paraId="2D8CC341" w14:textId="77777777" w:rsidR="009518AF" w:rsidRPr="00515872" w:rsidRDefault="009518AF" w:rsidP="009518AF">
      <w:pPr>
        <w:spacing w:after="0" w:line="360" w:lineRule="auto"/>
        <w:jc w:val="both"/>
        <w:rPr>
          <w:rFonts w:cs="Tahoma"/>
          <w:szCs w:val="20"/>
        </w:rPr>
      </w:pPr>
      <w:r w:rsidRPr="00515872">
        <w:rPr>
          <w:rFonts w:cs="Tahoma"/>
          <w:szCs w:val="20"/>
        </w:rPr>
        <w:t>A seconda che l’acquisizione dell’entrata sia prevista a regime ovvero limitata a uno o più esercizi, si distingue tra:</w:t>
      </w:r>
    </w:p>
    <w:p w14:paraId="0C2B4E50"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entrate ricorrenti</w:t>
      </w:r>
      <w:r w:rsidRPr="00515872">
        <w:rPr>
          <w:rFonts w:cs="Tahoma"/>
          <w:szCs w:val="20"/>
        </w:rPr>
        <w:t>: si riferiscono a proventi la cui acquisizione è prevista a regime; si ritiene che possa essere definita “a regime” un’entrata che si presenta con continuità in almeno 5 esercizi, per importi costanti nel tempo;</w:t>
      </w:r>
    </w:p>
    <w:p w14:paraId="7468014A"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entrate non ricorrenti</w:t>
      </w:r>
      <w:r w:rsidRPr="00515872">
        <w:rPr>
          <w:rFonts w:cs="Tahoma"/>
          <w:szCs w:val="20"/>
        </w:rPr>
        <w:t>: si riferiscono a proventi la cui acquisizione</w:t>
      </w:r>
      <w:r w:rsidRPr="00515872">
        <w:rPr>
          <w:rFonts w:cs="Tahoma"/>
          <w:bCs/>
          <w:szCs w:val="20"/>
        </w:rPr>
        <w:t xml:space="preserve"> è </w:t>
      </w:r>
      <w:r w:rsidRPr="00515872">
        <w:rPr>
          <w:rFonts w:cs="Tahoma"/>
          <w:szCs w:val="20"/>
        </w:rPr>
        <w:t>limitata ad uno o più esercizi; possono essere considerate “non ricorrenti” anche le entrate presenti “a regime” nei bilanci dell’ente, quando presentano importi superiori alla media riscontrata nei 5 esercizi precedenti, per l’importo del superamento di tale media.</w:t>
      </w:r>
    </w:p>
    <w:p w14:paraId="550676DB" w14:textId="77777777" w:rsidR="009518AF" w:rsidRPr="00515872" w:rsidRDefault="009518AF" w:rsidP="009518AF">
      <w:pPr>
        <w:spacing w:after="0" w:line="360" w:lineRule="auto"/>
        <w:jc w:val="both"/>
        <w:rPr>
          <w:rFonts w:cs="Tahoma"/>
          <w:szCs w:val="20"/>
        </w:rPr>
      </w:pPr>
      <w:r w:rsidRPr="00515872">
        <w:rPr>
          <w:rFonts w:cs="Tahoma"/>
          <w:szCs w:val="20"/>
        </w:rPr>
        <w:t xml:space="preserve">L’allegato n. 7 al </w:t>
      </w:r>
      <w:proofErr w:type="spellStart"/>
      <w:r w:rsidRPr="00515872">
        <w:rPr>
          <w:rFonts w:cs="Tahoma"/>
          <w:szCs w:val="20"/>
        </w:rPr>
        <w:t>D.Lgs.</w:t>
      </w:r>
      <w:proofErr w:type="spellEnd"/>
      <w:r w:rsidRPr="00515872">
        <w:rPr>
          <w:rFonts w:cs="Tahoma"/>
          <w:szCs w:val="20"/>
        </w:rPr>
        <w:t xml:space="preserve"> n. 118/2011, in considerazione della loro natura, considera </w:t>
      </w:r>
      <w:r w:rsidRPr="00515872">
        <w:rPr>
          <w:rFonts w:cs="Tahoma"/>
          <w:b/>
          <w:szCs w:val="20"/>
        </w:rPr>
        <w:t>non ricorrenti</w:t>
      </w:r>
      <w:r w:rsidRPr="00515872">
        <w:rPr>
          <w:rFonts w:cs="Tahoma"/>
          <w:szCs w:val="20"/>
        </w:rPr>
        <w:t>:</w:t>
      </w:r>
    </w:p>
    <w:p w14:paraId="740A9CE0"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donazioni, sanatorie, abusi edilizi e sanzioni; </w:t>
      </w:r>
    </w:p>
    <w:p w14:paraId="56313E1A"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condoni; </w:t>
      </w:r>
    </w:p>
    <w:p w14:paraId="3A2847AF"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gettiti derivanti dalla lotta all'evasione tributaria; </w:t>
      </w:r>
    </w:p>
    <w:p w14:paraId="3652CF0E"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entrate per eventi calamitosi;</w:t>
      </w:r>
    </w:p>
    <w:p w14:paraId="21DE14B2"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alienazione di immobilizzazioni;</w:t>
      </w:r>
    </w:p>
    <w:p w14:paraId="5FCCA483"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accensioni di prestiti; </w:t>
      </w:r>
    </w:p>
    <w:p w14:paraId="48D02A1A" w14:textId="77777777" w:rsidR="009518AF" w:rsidRPr="00515872" w:rsidRDefault="009518AF" w:rsidP="00D65838">
      <w:pPr>
        <w:pStyle w:val="Paragrafoelenco"/>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contributi agli investimenti, a meno che non siano espressamente definiti "continuativi" dal provvedimento o dalla norma che ne autorizza l'erogazione. </w:t>
      </w:r>
    </w:p>
    <w:p w14:paraId="74EC1297" w14:textId="77777777" w:rsidR="00D921F9" w:rsidRPr="00515872" w:rsidRDefault="009518AF" w:rsidP="00847F81">
      <w:pPr>
        <w:spacing w:line="360" w:lineRule="auto"/>
        <w:jc w:val="both"/>
        <w:rPr>
          <w:rFonts w:cs="Tahoma"/>
          <w:szCs w:val="20"/>
        </w:rPr>
      </w:pPr>
      <w:r w:rsidRPr="00515872">
        <w:rPr>
          <w:rFonts w:cs="Tahoma"/>
          <w:szCs w:val="20"/>
        </w:rPr>
        <w:t>Le altre entrate sono generalme</w:t>
      </w:r>
      <w:r w:rsidR="00D921F9" w:rsidRPr="00515872">
        <w:rPr>
          <w:rFonts w:cs="Tahoma"/>
          <w:szCs w:val="20"/>
        </w:rPr>
        <w:t>nte da considerarsi ricorrenti.</w:t>
      </w:r>
    </w:p>
    <w:p w14:paraId="1F922152" w14:textId="77777777" w:rsidR="00847F81" w:rsidRPr="00515872" w:rsidRDefault="009518AF" w:rsidP="00847F81">
      <w:pPr>
        <w:spacing w:line="360" w:lineRule="auto"/>
        <w:jc w:val="both"/>
        <w:rPr>
          <w:rFonts w:cs="Tahoma"/>
          <w:szCs w:val="20"/>
        </w:rPr>
      </w:pPr>
      <w:r w:rsidRPr="00515872">
        <w:rPr>
          <w:rFonts w:cs="Tahoma"/>
          <w:szCs w:val="20"/>
        </w:rPr>
        <w:t>L’identificazione delle entrate di carattere non ricorrente è fondamentale al fine di verificare la solidità degli equilibri su cui si fonda il bilancio. È chiaro, infatti, che un bilancio che si regge su entrate non ricorrenti per finanziare spese ricorrenti rischia di non poter garantire il mantenimento degli equilibri nel corso del tempo.</w:t>
      </w:r>
    </w:p>
    <w:p w14:paraId="44150102" w14:textId="77777777" w:rsidR="00D921F9" w:rsidRPr="00515872" w:rsidRDefault="009518AF" w:rsidP="009518AF">
      <w:pPr>
        <w:spacing w:line="360" w:lineRule="auto"/>
        <w:jc w:val="both"/>
        <w:rPr>
          <w:rFonts w:cs="Tahoma"/>
        </w:rPr>
      </w:pPr>
      <w:r w:rsidRPr="00515872">
        <w:rPr>
          <w:rFonts w:cs="Tahoma"/>
          <w:szCs w:val="20"/>
        </w:rPr>
        <w:t xml:space="preserve">La classificazione delle entrate è regolamentata dal punto 3 dell’allegato </w:t>
      </w:r>
      <w:r w:rsidR="00F2325D" w:rsidRPr="00515872">
        <w:rPr>
          <w:rFonts w:cs="Tahoma"/>
          <w:szCs w:val="20"/>
        </w:rPr>
        <w:t xml:space="preserve">n. </w:t>
      </w:r>
      <w:r w:rsidRPr="00515872">
        <w:rPr>
          <w:rFonts w:cs="Tahoma"/>
          <w:szCs w:val="20"/>
        </w:rPr>
        <w:t xml:space="preserve">4/2 al </w:t>
      </w:r>
      <w:proofErr w:type="spellStart"/>
      <w:r w:rsidRPr="00515872">
        <w:rPr>
          <w:rFonts w:cs="Tahoma"/>
          <w:szCs w:val="20"/>
        </w:rPr>
        <w:t>D.Lgs.</w:t>
      </w:r>
      <w:proofErr w:type="spellEnd"/>
      <w:r w:rsidRPr="00515872">
        <w:rPr>
          <w:rFonts w:cs="Tahoma"/>
          <w:szCs w:val="20"/>
        </w:rPr>
        <w:t xml:space="preserve"> n. 118/2011.</w:t>
      </w:r>
      <w:r w:rsidR="00847F81" w:rsidRPr="00515872">
        <w:rPr>
          <w:rFonts w:cs="Tahoma"/>
          <w:szCs w:val="20"/>
        </w:rPr>
        <w:t xml:space="preserve"> Esso prevede che </w:t>
      </w:r>
      <w:r w:rsidR="00847F81" w:rsidRPr="00515872">
        <w:rPr>
          <w:rFonts w:cs="Tahoma"/>
        </w:rPr>
        <w:t>l’iscrizione della posta contabile nel bilancio avviene in relazione al criterio della scadenza del credito rispetto a</w:t>
      </w:r>
      <w:r w:rsidR="00D921F9" w:rsidRPr="00515872">
        <w:rPr>
          <w:rFonts w:cs="Tahoma"/>
        </w:rPr>
        <w:t xml:space="preserve"> ciascun esercizio finanziario.</w:t>
      </w:r>
    </w:p>
    <w:p w14:paraId="74D488BC" w14:textId="77777777" w:rsidR="009518AF" w:rsidRPr="00515872" w:rsidRDefault="00847F81" w:rsidP="009518AF">
      <w:pPr>
        <w:spacing w:line="360" w:lineRule="auto"/>
        <w:jc w:val="both"/>
        <w:rPr>
          <w:rFonts w:cs="Tahoma"/>
          <w:szCs w:val="20"/>
        </w:rPr>
      </w:pPr>
      <w:r w:rsidRPr="00515872">
        <w:rPr>
          <w:rFonts w:cs="Tahoma"/>
        </w:rPr>
        <w:t>L’accertamento delle entrate è effettuato nell’esercizio in cui sorge l’obbligazione attiva con imputazione contabile all’esercizio in cui scade il credito.</w:t>
      </w:r>
    </w:p>
    <w:p w14:paraId="188E7A6D" w14:textId="77777777" w:rsidR="009518AF" w:rsidRPr="00515872" w:rsidRDefault="009518AF" w:rsidP="009518AF">
      <w:pPr>
        <w:spacing w:after="0" w:line="360" w:lineRule="auto"/>
        <w:jc w:val="both"/>
        <w:rPr>
          <w:rFonts w:cs="Tahoma"/>
        </w:rPr>
      </w:pPr>
      <w:r w:rsidRPr="00515872">
        <w:rPr>
          <w:rFonts w:cs="Tahoma"/>
          <w:b/>
        </w:rPr>
        <w:t>Entrate gestite attraverso ruoli ordinari</w:t>
      </w:r>
    </w:p>
    <w:p w14:paraId="2CFB7141" w14:textId="77777777" w:rsidR="00D921F9" w:rsidRPr="00515872" w:rsidRDefault="009518AF" w:rsidP="009518AF">
      <w:pPr>
        <w:spacing w:line="360" w:lineRule="auto"/>
        <w:jc w:val="both"/>
        <w:rPr>
          <w:rFonts w:cs="Tahoma"/>
        </w:rPr>
      </w:pPr>
      <w:r w:rsidRPr="00515872">
        <w:rPr>
          <w:rFonts w:cs="Tahoma"/>
        </w:rPr>
        <w:t xml:space="preserve">Le entrate gestite attraverso ruoli ordinari (bollettini, liste </w:t>
      </w:r>
      <w:r w:rsidR="00847F81" w:rsidRPr="00515872">
        <w:rPr>
          <w:rFonts w:cs="Tahoma"/>
        </w:rPr>
        <w:t>di carico, ecc.)</w:t>
      </w:r>
      <w:r w:rsidRPr="00515872">
        <w:rPr>
          <w:rFonts w:cs="Tahoma"/>
        </w:rPr>
        <w:t xml:space="preserve"> sono accertate e imputate contabilmente all’esercizio in cui </w:t>
      </w:r>
      <w:r w:rsidR="00AB0B5A" w:rsidRPr="00515872">
        <w:rPr>
          <w:rFonts w:cs="Tahoma"/>
        </w:rPr>
        <w:t>sono emessi</w:t>
      </w:r>
      <w:r w:rsidRPr="00515872">
        <w:rPr>
          <w:rFonts w:cs="Tahoma"/>
        </w:rPr>
        <w:t xml:space="preserve"> il ruolo</w:t>
      </w:r>
      <w:r w:rsidR="00847F81" w:rsidRPr="00515872">
        <w:rPr>
          <w:rFonts w:cs="Tahoma"/>
        </w:rPr>
        <w:t xml:space="preserve">, l’avviso </w:t>
      </w:r>
      <w:r w:rsidRPr="00515872">
        <w:rPr>
          <w:rFonts w:cs="Tahoma"/>
        </w:rPr>
        <w:t>di liquidazione e accertamento e le liste di carico a condizione che la scadenza per la riscossione sia prevista entro i termini de</w:t>
      </w:r>
      <w:r w:rsidR="00D921F9" w:rsidRPr="00515872">
        <w:rPr>
          <w:rFonts w:cs="Tahoma"/>
        </w:rPr>
        <w:t>ll’approvazione del rendiconto.</w:t>
      </w:r>
    </w:p>
    <w:p w14:paraId="4534934B" w14:textId="77777777" w:rsidR="009518AF" w:rsidRPr="00515872" w:rsidRDefault="009518AF" w:rsidP="009518AF">
      <w:pPr>
        <w:spacing w:line="360" w:lineRule="auto"/>
        <w:jc w:val="both"/>
        <w:rPr>
          <w:rFonts w:cs="Tahoma"/>
        </w:rPr>
      </w:pPr>
      <w:r w:rsidRPr="00515872">
        <w:rPr>
          <w:rFonts w:cs="Tahoma"/>
        </w:rPr>
        <w:t>Quelle contabilizzate</w:t>
      </w:r>
      <w:r w:rsidR="00847F81" w:rsidRPr="00515872">
        <w:rPr>
          <w:rFonts w:cs="Tahoma"/>
        </w:rPr>
        <w:t xml:space="preserve"> in precedenza</w:t>
      </w:r>
      <w:r w:rsidRPr="00515872">
        <w:rPr>
          <w:rFonts w:cs="Tahoma"/>
        </w:rPr>
        <w:t>, per ragioni di prudenza, per cassa (ovvero nell’esercizio del loro effettivo incasso) possono essere accertate per cassa fino al loro esaurimento.</w:t>
      </w:r>
      <w:r w:rsidR="002A76E0" w:rsidRPr="00515872">
        <w:rPr>
          <w:rFonts w:cs="Tahoma"/>
        </w:rPr>
        <w:t xml:space="preserve"> </w:t>
      </w:r>
    </w:p>
    <w:p w14:paraId="0D03856E" w14:textId="77777777" w:rsidR="009518AF" w:rsidRPr="00515872" w:rsidRDefault="009518AF" w:rsidP="009518AF">
      <w:pPr>
        <w:spacing w:after="0" w:line="360" w:lineRule="auto"/>
        <w:jc w:val="both"/>
        <w:rPr>
          <w:rFonts w:cs="Tahoma"/>
          <w:b/>
        </w:rPr>
      </w:pPr>
      <w:r w:rsidRPr="00515872">
        <w:rPr>
          <w:rFonts w:cs="Tahoma"/>
          <w:b/>
        </w:rPr>
        <w:t>Ruoli coattivi</w:t>
      </w:r>
    </w:p>
    <w:p w14:paraId="5B2296FD" w14:textId="77777777" w:rsidR="009518AF" w:rsidRPr="00515872" w:rsidRDefault="009518AF" w:rsidP="009518AF">
      <w:pPr>
        <w:spacing w:line="360" w:lineRule="auto"/>
        <w:jc w:val="both"/>
        <w:rPr>
          <w:rFonts w:cs="Tahoma"/>
        </w:rPr>
      </w:pPr>
      <w:r w:rsidRPr="00515872">
        <w:rPr>
          <w:rFonts w:cs="Tahoma"/>
        </w:rPr>
        <w:t>In quanto relativi ad entrate già accertate, i ruoli coattivi non comportano l’accertamento di nuove entrate. Le sanzioni e gli interessi ad essi correlati sono accertati per cassa.</w:t>
      </w:r>
    </w:p>
    <w:p w14:paraId="5907536E" w14:textId="77777777" w:rsidR="009518AF" w:rsidRPr="00515872" w:rsidRDefault="009518AF" w:rsidP="009518AF">
      <w:pPr>
        <w:spacing w:after="0" w:line="360" w:lineRule="auto"/>
        <w:jc w:val="both"/>
        <w:rPr>
          <w:rFonts w:cs="Tahoma"/>
        </w:rPr>
      </w:pPr>
      <w:r w:rsidRPr="00515872">
        <w:rPr>
          <w:rFonts w:cs="Tahoma"/>
          <w:b/>
        </w:rPr>
        <w:t>Entrate tributarie riscosse per autoliquidazione</w:t>
      </w:r>
    </w:p>
    <w:p w14:paraId="091895E8" w14:textId="77777777" w:rsidR="009518AF" w:rsidRPr="00515872" w:rsidRDefault="009518AF" w:rsidP="009518AF">
      <w:pPr>
        <w:spacing w:line="360" w:lineRule="auto"/>
        <w:jc w:val="both"/>
        <w:rPr>
          <w:rFonts w:cs="Tahoma"/>
        </w:rPr>
      </w:pPr>
      <w:r w:rsidRPr="00515872">
        <w:rPr>
          <w:rFonts w:cs="Tahoma"/>
        </w:rPr>
        <w:t>Le entrate tributarie riscosse per autoliquidazione dei contribuenti sono accertate sulla base delle riscossioni effettuate entro la chiusura del rendiconto e comunque entro la scadenza prevista per l’approvazione del rendiconto.</w:t>
      </w:r>
    </w:p>
    <w:p w14:paraId="0F3B8AD3" w14:textId="77777777" w:rsidR="009518AF" w:rsidRPr="00515872" w:rsidRDefault="009518AF" w:rsidP="009518AF">
      <w:pPr>
        <w:spacing w:after="0" w:line="360" w:lineRule="auto"/>
        <w:jc w:val="both"/>
        <w:rPr>
          <w:rFonts w:cs="Tahoma"/>
          <w:b/>
        </w:rPr>
      </w:pPr>
      <w:r w:rsidRPr="00515872">
        <w:rPr>
          <w:rFonts w:cs="Tahoma"/>
          <w:b/>
        </w:rPr>
        <w:t>Entrate tributarie riscosse attraverso il bilancio dello Stato o di altra amministrazione pubblica</w:t>
      </w:r>
    </w:p>
    <w:p w14:paraId="7A497433" w14:textId="77777777" w:rsidR="009518AF" w:rsidRPr="00515872" w:rsidRDefault="009518AF" w:rsidP="009518AF">
      <w:pPr>
        <w:spacing w:line="360" w:lineRule="auto"/>
        <w:jc w:val="both"/>
        <w:rPr>
          <w:rFonts w:cs="Tahoma"/>
        </w:rPr>
      </w:pPr>
      <w:r w:rsidRPr="00515872">
        <w:rPr>
          <w:rFonts w:cs="Tahoma"/>
        </w:rPr>
        <w:t>Sono accertate nell’esercizio in cui è adottato l’atto amministrativo di impegno della corrispondente spesa nel bilancio dello Stato e dell’amministrazione pubblica che ha incassato direttamente il tributo.</w:t>
      </w:r>
    </w:p>
    <w:p w14:paraId="2560DD16" w14:textId="77777777" w:rsidR="00515872" w:rsidRPr="00515872" w:rsidRDefault="00515872"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rPr>
      </w:pPr>
    </w:p>
    <w:p w14:paraId="6EFBC787" w14:textId="0AB38E25"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rPr>
      </w:pPr>
      <w:r w:rsidRPr="00515872">
        <w:rPr>
          <w:rFonts w:cs="Tahoma"/>
          <w:b/>
        </w:rPr>
        <w:lastRenderedPageBreak/>
        <w:t>Addizionale IRPEF</w:t>
      </w:r>
    </w:p>
    <w:p w14:paraId="4C2281C0" w14:textId="77777777" w:rsidR="00E873A9"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Gli enti locali possono accertare l'addizionale comunale IRPEF per un importo pari a quello accertato nel secondo anno precedente e comunque entro l’ammontare </w:t>
      </w:r>
      <w:r w:rsidR="00B227C2" w:rsidRPr="00515872">
        <w:rPr>
          <w:rFonts w:eastAsia="Times New Roman" w:cs="Tahoma"/>
          <w:szCs w:val="20"/>
          <w:lang w:eastAsia="it-IT"/>
        </w:rPr>
        <w:t xml:space="preserve">della somma </w:t>
      </w:r>
      <w:r w:rsidRPr="00515872">
        <w:rPr>
          <w:rFonts w:eastAsia="Times New Roman" w:cs="Tahoma"/>
          <w:szCs w:val="20"/>
          <w:lang w:eastAsia="it-IT"/>
        </w:rPr>
        <w:t>degli incassi dell'anno precedente in c/residui e del secondo anno precedente in c/competenza</w:t>
      </w:r>
      <w:r w:rsidRPr="00515872">
        <w:rPr>
          <w:rStyle w:val="Rimandonotaapidipagina"/>
          <w:rFonts w:eastAsia="Times New Roman" w:cs="Tahoma"/>
          <w:szCs w:val="20"/>
          <w:lang w:eastAsia="it-IT"/>
        </w:rPr>
        <w:footnoteReference w:id="30"/>
      </w:r>
      <w:r w:rsidRPr="00515872">
        <w:rPr>
          <w:rFonts w:eastAsia="Times New Roman" w:cs="Tahoma"/>
          <w:szCs w:val="20"/>
          <w:lang w:eastAsia="it-IT"/>
        </w:rPr>
        <w:t>. In caso di modifica delle aliquote, l'importo da accertare, nell'esercizio di riferimento e in quello successivo, è riproporzionato secondo le variazioni deliberate.</w:t>
      </w:r>
    </w:p>
    <w:p w14:paraId="62D87864" w14:textId="77777777" w:rsidR="00E873A9" w:rsidRPr="00515872" w:rsidRDefault="00E873A9"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In caso di modifica della fascia di esenzione, l’importo da accertare nell’esercizio di riferimento e in quello successivo, è stimato sulla base di una valutazione prudenziale.</w:t>
      </w:r>
    </w:p>
    <w:p w14:paraId="258F85C6" w14:textId="77777777" w:rsidR="00E873A9" w:rsidRPr="00515872" w:rsidRDefault="00E873A9"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In caso di istituzione del tributo, per il primo anno, l’accertamento è effettuato sulla base di una stima prudenziale effettuata dall’ente mediante l’utilizzo del simulatore fiscale disponibile sul portale del federalismo fiscale.</w:t>
      </w:r>
    </w:p>
    <w:p w14:paraId="0E0BB08F" w14:textId="77777777" w:rsidR="005D7352"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L'importo da accertare conseguente alle modifiche delle aliquote e della fascia di esenzione, o all'istituzione del tributo, non può essere superiore a quello risultante dall'utilizzo del simulatore fiscale disponibile sul portale del federalismo fiscale.</w:t>
      </w:r>
    </w:p>
    <w:p w14:paraId="71811731" w14:textId="77777777" w:rsidR="005D7352" w:rsidRPr="00515872" w:rsidRDefault="005D7352"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szCs w:val="24"/>
        </w:rPr>
        <w:t xml:space="preserve">Da segnalare che al c. 2 della legge di bilancio per il 2022, viene </w:t>
      </w:r>
      <w:r w:rsidR="00D70D11" w:rsidRPr="00515872">
        <w:rPr>
          <w:rFonts w:cs="Tahoma"/>
          <w:szCs w:val="24"/>
        </w:rPr>
        <w:t>modificato il TUIR</w:t>
      </w:r>
      <w:r w:rsidRPr="00515872">
        <w:rPr>
          <w:rFonts w:cs="Tahoma"/>
          <w:szCs w:val="24"/>
        </w:rPr>
        <w:t>, riorganizzando le aliquote IRPEF, rimodulando la detrazione spettante per tipologia di reddito e avvicinando le soglie di reddito per cui spettano tali detrazioni tra le varie tipologie di reddito (lavoro dipendente, lavoro autonomo, pensioni).</w:t>
      </w:r>
    </w:p>
    <w:p w14:paraId="0063AA5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b/>
          <w:szCs w:val="20"/>
          <w:lang w:eastAsia="it-IT"/>
        </w:rPr>
        <w:t>Tassa automobilistica, imposta provinciale di trascrizione, tassa rilascio licenze per caccia e pesca, tributo speciale per conferimento di rifiuti in discarica e imposta sulle assicurazioni RCA (esclusi i ciclomotori)</w:t>
      </w:r>
    </w:p>
    <w:p w14:paraId="0A898E1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eastAsia="Times New Roman" w:cs="Tahoma"/>
          <w:szCs w:val="20"/>
          <w:lang w:eastAsia="it-IT"/>
        </w:rPr>
        <w:t>Tali entrate sono accertate per cassa.</w:t>
      </w:r>
    </w:p>
    <w:p w14:paraId="5A1DBA3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b/>
          <w:szCs w:val="20"/>
          <w:lang w:eastAsia="it-IT"/>
        </w:rPr>
        <w:t>Entrate da lotta all’evasione</w:t>
      </w:r>
    </w:p>
    <w:p w14:paraId="417DA35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Sono accertate per cassa anche le entrate derivanti d</w:t>
      </w:r>
      <w:r w:rsidR="002A6116" w:rsidRPr="00515872">
        <w:rPr>
          <w:rFonts w:eastAsia="Times New Roman" w:cs="Tahoma"/>
          <w:szCs w:val="20"/>
          <w:lang w:eastAsia="it-IT"/>
        </w:rPr>
        <w:t xml:space="preserve">alla lotta all'evasione </w:t>
      </w:r>
      <w:r w:rsidRPr="00515872">
        <w:rPr>
          <w:rFonts w:eastAsia="Times New Roman" w:cs="Tahoma"/>
          <w:szCs w:val="20"/>
          <w:lang w:eastAsia="it-IT"/>
        </w:rPr>
        <w:t xml:space="preserve">delle entrate tributarie riscosse per cassa, salvo che la lotta all'evasione sia attuata attraverso l'emissione </w:t>
      </w:r>
      <w:r w:rsidRPr="00515872">
        <w:rPr>
          <w:rFonts w:eastAsia="Times New Roman" w:cs="Tahoma"/>
          <w:bCs/>
          <w:iCs/>
          <w:szCs w:val="20"/>
          <w:lang w:eastAsia="it-IT"/>
        </w:rPr>
        <w:t>di avvisi di liquidazione e di accertamento,</w:t>
      </w:r>
      <w:r w:rsidRPr="00515872">
        <w:rPr>
          <w:rFonts w:eastAsia="Times New Roman" w:cs="Tahoma"/>
          <w:szCs w:val="20"/>
          <w:lang w:eastAsia="it-IT"/>
        </w:rPr>
        <w:t xml:space="preserve"> ruoli e liste di carico, accertate sulla base di documenti formali emessi dall'ente e imputati all'esercizio in cui l'obbligazione scade.</w:t>
      </w:r>
    </w:p>
    <w:p w14:paraId="0BF11E13" w14:textId="77777777" w:rsidR="003070A7" w:rsidRPr="00515872" w:rsidRDefault="009518AF" w:rsidP="00307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Credito IVA</w:t>
      </w:r>
    </w:p>
    <w:p w14:paraId="3C1B78F9" w14:textId="77777777" w:rsidR="003070A7" w:rsidRPr="00515872" w:rsidRDefault="003070A7" w:rsidP="00307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La contabilità finanziaria rileva solo, tra le entrate</w:t>
      </w:r>
      <w:r w:rsidR="002A6116" w:rsidRPr="00515872">
        <w:rPr>
          <w:rFonts w:cs="Tahoma"/>
        </w:rPr>
        <w:t>,</w:t>
      </w:r>
      <w:r w:rsidRPr="00515872">
        <w:rPr>
          <w:rFonts w:cs="Tahoma"/>
        </w:rPr>
        <w:t xml:space="preserve"> l’eventuale credito IVA o l’eventuale debito IVA, tra le spese. </w:t>
      </w:r>
      <w:r w:rsidR="00CD5AAC" w:rsidRPr="00515872">
        <w:rPr>
          <w:rFonts w:cs="Tahoma"/>
        </w:rPr>
        <w:t>L</w:t>
      </w:r>
      <w:r w:rsidRPr="00515872">
        <w:rPr>
          <w:rFonts w:cs="Tahoma"/>
        </w:rPr>
        <w:t>’accertamento del credito IVA è registrato imputandolo nell’esercizio in cui l’ente presenta la richiesta di rimborso o effettua la compensazione.</w:t>
      </w:r>
    </w:p>
    <w:p w14:paraId="04FCB989" w14:textId="77777777" w:rsidR="00D26814" w:rsidRPr="00515872" w:rsidRDefault="00CD5AAC" w:rsidP="00D26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lastRenderedPageBreak/>
        <w:t xml:space="preserve">Il credito </w:t>
      </w:r>
      <w:r w:rsidR="003070A7" w:rsidRPr="00515872">
        <w:rPr>
          <w:rFonts w:cs="Tahoma"/>
        </w:rPr>
        <w:t>imputabile a investimenti finanziati da debito non può essere destinato alla compensazione di tributi o alla copertura di spese correnti. A tal</w:t>
      </w:r>
      <w:r w:rsidR="002A6116" w:rsidRPr="00515872">
        <w:rPr>
          <w:rFonts w:cs="Tahoma"/>
        </w:rPr>
        <w:t>e proposito</w:t>
      </w:r>
      <w:r w:rsidR="003070A7" w:rsidRPr="00515872">
        <w:rPr>
          <w:rFonts w:cs="Tahoma"/>
        </w:rPr>
        <w:t>, una quota del risultato di amministrazione pari al credito IVA derivante dall’Investimento finanziato dal debito, è vincolata alla realizzazione di investimenti.</w:t>
      </w:r>
    </w:p>
    <w:p w14:paraId="6E665E69" w14:textId="77777777" w:rsidR="009518AF" w:rsidRPr="00515872" w:rsidRDefault="009518AF" w:rsidP="00D26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Credito IRAP</w:t>
      </w:r>
    </w:p>
    <w:p w14:paraId="6840D15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eastAsia="Times New Roman" w:cs="Tahoma"/>
          <w:szCs w:val="20"/>
          <w:lang w:eastAsia="it-IT"/>
        </w:rPr>
        <w:t>Se l’ente ha adottato il metodo commerciale e in sede di dichiarazione risulta a credito, l’imputazione avviene nell’esercizio in cui l’ente presenta la richiesta di rimborso.</w:t>
      </w:r>
    </w:p>
    <w:p w14:paraId="19ABBF5D" w14:textId="77777777" w:rsidR="009518AF" w:rsidRPr="00515872" w:rsidRDefault="009518AF" w:rsidP="009518AF">
      <w:pPr>
        <w:spacing w:after="0" w:line="360" w:lineRule="auto"/>
        <w:jc w:val="both"/>
        <w:rPr>
          <w:rFonts w:cs="Tahoma"/>
          <w:b/>
        </w:rPr>
      </w:pPr>
      <w:r w:rsidRPr="00515872">
        <w:rPr>
          <w:rFonts w:cs="Tahoma"/>
          <w:b/>
        </w:rPr>
        <w:t>Trasferimenti</w:t>
      </w:r>
    </w:p>
    <w:p w14:paraId="6CD91492" w14:textId="77777777" w:rsidR="009518AF" w:rsidRPr="00515872" w:rsidRDefault="009518AF" w:rsidP="009518AF">
      <w:pPr>
        <w:spacing w:line="360" w:lineRule="auto"/>
        <w:jc w:val="both"/>
        <w:rPr>
          <w:rFonts w:eastAsia="Times New Roman" w:cs="Tahoma"/>
          <w:szCs w:val="20"/>
          <w:lang w:eastAsia="it-IT"/>
        </w:rPr>
      </w:pPr>
      <w:r w:rsidRPr="00515872">
        <w:rPr>
          <w:rFonts w:cs="Tahoma"/>
        </w:rPr>
        <w:t>P</w:t>
      </w:r>
      <w:r w:rsidRPr="00515872">
        <w:rPr>
          <w:rFonts w:eastAsia="Times New Roman" w:cs="Tahoma"/>
          <w:szCs w:val="20"/>
          <w:lang w:eastAsia="it-IT"/>
        </w:rPr>
        <w:t xml:space="preserve">er i trasferimenti correnti provenienti da altre amministrazioni pubbliche la scadenza coincide con l'esercizio finanziario in cui è adottato l'atto amministrativo di impegno relativo al contributo o al finanziamento. </w:t>
      </w:r>
      <w:r w:rsidR="00592138" w:rsidRPr="00515872">
        <w:rPr>
          <w:rFonts w:eastAsia="Times New Roman" w:cs="Tahoma"/>
          <w:szCs w:val="20"/>
          <w:lang w:eastAsia="it-IT"/>
        </w:rPr>
        <w:t>O</w:t>
      </w:r>
      <w:r w:rsidRPr="00515872">
        <w:rPr>
          <w:rFonts w:eastAsia="Times New Roman" w:cs="Tahoma"/>
          <w:szCs w:val="20"/>
          <w:lang w:eastAsia="it-IT"/>
        </w:rPr>
        <w:t>gni amministrazione pubblica che impegna spese a favore di altre amministrazioni pubbliche ne deve dare comunicazione ai destinatari.</w:t>
      </w:r>
    </w:p>
    <w:p w14:paraId="5EF7114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caso di trasferimenti e contributi erogati da amministrazioni pubbliche che non adottano il principio della competenza finanziaria, la contabilizzazione dell'entrata è determinata in base all'esigibilità della stessa, a prescindere dall'esercizio di imputazione dell'impegno da parte dell'amministrazione erogante.</w:t>
      </w:r>
    </w:p>
    <w:p w14:paraId="475FEFA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I contributi a rendicontazione (trasferimenti erogati sulla base della rendicontazione delle spese sostenute) sono soggetti a modalità distinte di accertamento a seconda che l’ente erogante:</w:t>
      </w:r>
    </w:p>
    <w:p w14:paraId="467A6982" w14:textId="77777777" w:rsidR="009518AF" w:rsidRPr="00515872" w:rsidRDefault="009518AF" w:rsidP="009518AF">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rPr>
      </w:pPr>
      <w:r w:rsidRPr="00515872">
        <w:rPr>
          <w:rFonts w:eastAsia="Times New Roman" w:cs="Tahoma"/>
          <w:b/>
          <w:szCs w:val="20"/>
          <w:lang w:eastAsia="it-IT"/>
        </w:rPr>
        <w:t>adotti il principio della compet</w:t>
      </w:r>
      <w:r w:rsidR="00353E86" w:rsidRPr="00515872">
        <w:rPr>
          <w:rFonts w:eastAsia="Times New Roman" w:cs="Tahoma"/>
          <w:b/>
          <w:szCs w:val="20"/>
          <w:lang w:eastAsia="it-IT"/>
        </w:rPr>
        <w:t>enza finanziaria potenziata</w:t>
      </w:r>
      <w:r w:rsidRPr="00515872">
        <w:rPr>
          <w:rFonts w:eastAsia="Times New Roman" w:cs="Tahoma"/>
          <w:szCs w:val="20"/>
          <w:lang w:eastAsia="it-IT"/>
        </w:rPr>
        <w:t>: in tal caso, l'amministrazione beneficiaria accerta l'entrata e la imputa negli stessi esercizi in cui l'amministrazione erogante imputa i corrispondenti impegni. L’ente erogante è tenuto ad impegnare l'intera spesa con imputazione agli esercizi in cui è prevista la realizzazione delle spese da parte dell'ente beneficiario. Conseguentemente, l'ente beneficiario ha titolo ad accertare le entrate, con imputazione ai medesimi esercizi cui sono stati registrati gli impegni. Nel caso in cui, nel corso della gestione, l'attuazione della spesa subisca un andamento differente rispetto a quello previsto, entrambi gli enti provvedono alle necessarie variazioni in bilancio;</w:t>
      </w:r>
    </w:p>
    <w:p w14:paraId="612E79C4" w14:textId="77777777" w:rsidR="00236E68" w:rsidRPr="00515872" w:rsidRDefault="009518AF" w:rsidP="00236E6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rPr>
      </w:pPr>
      <w:r w:rsidRPr="00515872">
        <w:rPr>
          <w:rFonts w:eastAsia="Times New Roman" w:cs="Tahoma"/>
          <w:b/>
          <w:szCs w:val="20"/>
          <w:lang w:eastAsia="it-IT"/>
        </w:rPr>
        <w:t>non adotti il principio della c</w:t>
      </w:r>
      <w:r w:rsidR="00353E86" w:rsidRPr="00515872">
        <w:rPr>
          <w:rFonts w:eastAsia="Times New Roman" w:cs="Tahoma"/>
          <w:b/>
          <w:szCs w:val="20"/>
          <w:lang w:eastAsia="it-IT"/>
        </w:rPr>
        <w:t>ompetenza finanziaria potenziata</w:t>
      </w:r>
      <w:r w:rsidRPr="00515872">
        <w:rPr>
          <w:rFonts w:eastAsia="Times New Roman" w:cs="Tahoma"/>
          <w:szCs w:val="20"/>
          <w:lang w:eastAsia="it-IT"/>
        </w:rPr>
        <w:t>: l’ente beneficiario accerta l'entrata a seguito della formale deliberazione, da parte dell'ente erogante, di erogazione del contributo, imputando l'entrata agli esercizi in cui prevede di impegnare la spesa cui il trasferimento è destinato; il diritto di riscuotere il contributo sorge a seguito del</w:t>
      </w:r>
      <w:r w:rsidR="00EC1CF3" w:rsidRPr="00515872">
        <w:rPr>
          <w:rFonts w:eastAsia="Times New Roman" w:cs="Tahoma"/>
          <w:szCs w:val="20"/>
          <w:lang w:eastAsia="it-IT"/>
        </w:rPr>
        <w:t>la re</w:t>
      </w:r>
      <w:r w:rsidR="00236E68" w:rsidRPr="00515872">
        <w:rPr>
          <w:rFonts w:eastAsia="Times New Roman" w:cs="Tahoma"/>
          <w:szCs w:val="20"/>
          <w:lang w:eastAsia="it-IT"/>
        </w:rPr>
        <w:t>alizzazione di detta spesa.</w:t>
      </w:r>
    </w:p>
    <w:p w14:paraId="4F02305D" w14:textId="77777777" w:rsidR="00EC1CF3" w:rsidRPr="00515872" w:rsidRDefault="00236E68" w:rsidP="0023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rPr>
      </w:pPr>
      <w:r w:rsidRPr="00515872">
        <w:rPr>
          <w:rFonts w:cs="Tahoma"/>
        </w:rPr>
        <w:t>P</w:t>
      </w:r>
      <w:r w:rsidR="00EC1CF3" w:rsidRPr="00515872">
        <w:rPr>
          <w:rFonts w:cs="Tahoma"/>
        </w:rPr>
        <w:t xml:space="preserve">er quanto riguarda, in particolare, i </w:t>
      </w:r>
      <w:r w:rsidR="00353E86" w:rsidRPr="00515872">
        <w:rPr>
          <w:rFonts w:cs="Tahoma"/>
        </w:rPr>
        <w:t>contributi del Ministero della G</w:t>
      </w:r>
      <w:r w:rsidR="00EC1CF3" w:rsidRPr="00515872">
        <w:rPr>
          <w:rFonts w:cs="Tahoma"/>
        </w:rPr>
        <w:t>iustizia per gli uffici giudiziari, l’accertamento è effettuato sulla base della formale comunicazione di riconoscimento</w:t>
      </w:r>
      <w:r w:rsidR="00353E86" w:rsidRPr="00515872">
        <w:rPr>
          <w:rFonts w:cs="Tahoma"/>
        </w:rPr>
        <w:t xml:space="preserve"> del credito nei confronti del c</w:t>
      </w:r>
      <w:r w:rsidR="00EC1CF3" w:rsidRPr="00515872">
        <w:rPr>
          <w:rFonts w:cs="Tahoma"/>
        </w:rPr>
        <w:t>omune da parte del Ministero, a seguito dell’esame d</w:t>
      </w:r>
      <w:r w:rsidR="00353E86" w:rsidRPr="00515872">
        <w:rPr>
          <w:rFonts w:cs="Tahoma"/>
        </w:rPr>
        <w:t>ella rendicontazione presentata</w:t>
      </w:r>
      <w:r w:rsidR="00EC1CF3" w:rsidRPr="00515872">
        <w:rPr>
          <w:rFonts w:cs="Tahoma"/>
        </w:rPr>
        <w:t xml:space="preserve"> o</w:t>
      </w:r>
      <w:r w:rsidR="00353E86" w:rsidRPr="00515872">
        <w:rPr>
          <w:rFonts w:cs="Tahoma"/>
        </w:rPr>
        <w:t>,</w:t>
      </w:r>
      <w:r w:rsidR="00EC1CF3" w:rsidRPr="00515872">
        <w:rPr>
          <w:rFonts w:cs="Tahoma"/>
        </w:rPr>
        <w:t xml:space="preserve"> in assenza, sulla base dell’effettivo incasso. In ogni caso, è annualmente considerato esigibile il 70</w:t>
      </w:r>
      <w:r w:rsidR="00353E86" w:rsidRPr="00515872">
        <w:rPr>
          <w:rFonts w:cs="Tahoma"/>
        </w:rPr>
        <w:t>%</w:t>
      </w:r>
      <w:r w:rsidR="00EC1CF3" w:rsidRPr="00515872">
        <w:rPr>
          <w:rFonts w:cs="Tahoma"/>
        </w:rPr>
        <w:t xml:space="preserve"> del contributo globalmente erogato nell’anno precedente </w:t>
      </w:r>
      <w:r w:rsidR="00EC1CF3" w:rsidRPr="00515872">
        <w:rPr>
          <w:rFonts w:cs="Tahoma"/>
          <w:szCs w:val="24"/>
        </w:rPr>
        <w:t>o nell’ultimo esercizio in cui il Ministero ha erogato il contributo a favore del comune.</w:t>
      </w:r>
    </w:p>
    <w:p w14:paraId="220649A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Le entrate provenienti dall’Unione Europea sono accertate, distintamente per la quota finanziata direttamente dalla stessa e per la quota di cofinanziamento nazionale, a seguito dell'approvazione, da parte della Commissione Europea, del piano economico-finanziario e </w:t>
      </w:r>
      <w:r w:rsidR="00353E86" w:rsidRPr="00515872">
        <w:rPr>
          <w:rFonts w:eastAsia="Times New Roman" w:cs="Tahoma"/>
          <w:szCs w:val="20"/>
          <w:lang w:eastAsia="it-IT"/>
        </w:rPr>
        <w:t xml:space="preserve">sono </w:t>
      </w:r>
      <w:r w:rsidRPr="00515872">
        <w:rPr>
          <w:rFonts w:eastAsia="Times New Roman" w:cs="Tahoma"/>
          <w:szCs w:val="20"/>
          <w:lang w:eastAsia="it-IT"/>
        </w:rPr>
        <w:t>imputate negli esercizi in cui l'ente ha programmato di eseguire la spesa. L'eventuale erogazione di acconti è accertata per cassa.</w:t>
      </w:r>
    </w:p>
    <w:p w14:paraId="6644A51E" w14:textId="77777777" w:rsidR="009518AF" w:rsidRPr="00515872" w:rsidRDefault="009518AF" w:rsidP="009518AF">
      <w:pPr>
        <w:spacing w:after="0" w:line="360" w:lineRule="auto"/>
        <w:jc w:val="both"/>
        <w:rPr>
          <w:rFonts w:cs="Tahoma"/>
          <w:b/>
          <w:bCs/>
        </w:rPr>
      </w:pPr>
      <w:r w:rsidRPr="00515872">
        <w:rPr>
          <w:rFonts w:cs="Tahoma"/>
          <w:b/>
          <w:bCs/>
        </w:rPr>
        <w:t>Proventi dei servizi pubblici</w:t>
      </w:r>
    </w:p>
    <w:p w14:paraId="727F7019" w14:textId="77777777" w:rsidR="009518AF" w:rsidRPr="00515872" w:rsidRDefault="009518AF" w:rsidP="009518AF">
      <w:pPr>
        <w:spacing w:line="360" w:lineRule="auto"/>
        <w:jc w:val="both"/>
        <w:rPr>
          <w:rFonts w:cs="Tahoma"/>
          <w:bCs/>
        </w:rPr>
      </w:pPr>
      <w:r w:rsidRPr="00515872">
        <w:rPr>
          <w:rFonts w:cs="Tahoma"/>
          <w:bCs/>
        </w:rPr>
        <w:t>I proventi dei servizi pubblici sono accertati sulla base dell’idonea documentazione che predispone l’ente creditore e imputati all’esercizio in cui il servizio è reso all’utenza; la regola si applica anche nel caso in cui la gestione del servizio sia affidata a terzi.</w:t>
      </w:r>
    </w:p>
    <w:p w14:paraId="1DFC671F" w14:textId="77777777" w:rsidR="009518AF" w:rsidRPr="00515872" w:rsidRDefault="009518AF" w:rsidP="009518AF">
      <w:pPr>
        <w:spacing w:after="0" w:line="360" w:lineRule="auto"/>
        <w:jc w:val="both"/>
        <w:rPr>
          <w:rFonts w:cs="Tahoma"/>
          <w:b/>
          <w:bCs/>
        </w:rPr>
      </w:pPr>
      <w:r w:rsidRPr="00515872">
        <w:rPr>
          <w:rFonts w:cs="Tahoma"/>
          <w:b/>
          <w:bCs/>
        </w:rPr>
        <w:t>Interessi attivi</w:t>
      </w:r>
    </w:p>
    <w:p w14:paraId="770CC36F" w14:textId="77777777" w:rsidR="009518AF" w:rsidRPr="00515872" w:rsidRDefault="009518AF" w:rsidP="009518AF">
      <w:pPr>
        <w:spacing w:line="360" w:lineRule="auto"/>
        <w:jc w:val="both"/>
        <w:rPr>
          <w:rFonts w:cs="Tahoma"/>
          <w:bCs/>
        </w:rPr>
      </w:pPr>
      <w:r w:rsidRPr="00515872">
        <w:rPr>
          <w:rFonts w:cs="Tahoma"/>
          <w:bCs/>
        </w:rPr>
        <w:t>Le entrate per interessi attivi sono imputate all’esercizio in cui l’obbligazione risulta esigibile; gli interessi bancari esigibili alla data del 31 dicembre e comunicati nei primi mesi dell’anno successivo possono essere accertati nell’anno successivo, imputando l’entrata all’esercizio precedente</w:t>
      </w:r>
      <w:r w:rsidR="00261C20" w:rsidRPr="00515872">
        <w:rPr>
          <w:rFonts w:cs="Tahoma"/>
        </w:rPr>
        <w:t>, sulla base della comunicazione della banca o dell’incasso verificatosi prima dell’approvazione del rendiconto</w:t>
      </w:r>
      <w:r w:rsidRPr="00515872">
        <w:rPr>
          <w:rFonts w:cs="Tahoma"/>
          <w:bCs/>
        </w:rPr>
        <w:t>; le entrate per interessi di mora sono accertate al momento dell’incasso.</w:t>
      </w:r>
    </w:p>
    <w:p w14:paraId="3FB27BDA" w14:textId="77777777" w:rsidR="009518AF" w:rsidRPr="00515872" w:rsidRDefault="009518AF" w:rsidP="009518AF">
      <w:pPr>
        <w:spacing w:after="0" w:line="360" w:lineRule="auto"/>
        <w:jc w:val="both"/>
        <w:rPr>
          <w:rFonts w:cs="Tahoma"/>
          <w:b/>
          <w:bCs/>
        </w:rPr>
      </w:pPr>
      <w:r w:rsidRPr="00515872">
        <w:rPr>
          <w:rFonts w:cs="Tahoma"/>
          <w:b/>
          <w:bCs/>
        </w:rPr>
        <w:t>Gestione dei beni pubblici</w:t>
      </w:r>
    </w:p>
    <w:p w14:paraId="3D461DDB" w14:textId="77777777" w:rsidR="00261C20" w:rsidRPr="00515872" w:rsidRDefault="009518AF" w:rsidP="009518AF">
      <w:pPr>
        <w:spacing w:line="360" w:lineRule="auto"/>
        <w:jc w:val="both"/>
        <w:rPr>
          <w:rFonts w:cs="Tahoma"/>
          <w:bCs/>
        </w:rPr>
      </w:pPr>
      <w:r w:rsidRPr="00515872">
        <w:rPr>
          <w:rFonts w:cs="Tahoma"/>
          <w:bCs/>
        </w:rPr>
        <w:t>Le entrate derivanti dalla gestione dei beni immobili, quali locazioni e concessioni, sono accertate sulla base dell’idonea documentazione predisposta dall’ente e imputate all’esercizi</w:t>
      </w:r>
      <w:r w:rsidR="00261C20" w:rsidRPr="00515872">
        <w:rPr>
          <w:rFonts w:cs="Tahoma"/>
          <w:bCs/>
        </w:rPr>
        <w:t>o in cui l’entrata è esigibile.</w:t>
      </w:r>
    </w:p>
    <w:p w14:paraId="45F43539" w14:textId="77777777" w:rsidR="009518AF" w:rsidRPr="00515872" w:rsidRDefault="009518AF" w:rsidP="009518AF">
      <w:pPr>
        <w:spacing w:line="360" w:lineRule="auto"/>
        <w:jc w:val="both"/>
        <w:rPr>
          <w:rFonts w:cs="Tahoma"/>
          <w:bCs/>
        </w:rPr>
      </w:pPr>
      <w:r w:rsidRPr="00515872">
        <w:rPr>
          <w:rFonts w:cs="Tahoma"/>
          <w:bCs/>
        </w:rPr>
        <w:t>Le entrate derivanti da concessioni pluriennali che non garantiscono accertamenti costanti negli esercizi e costituiscono entrate straordinarie non ricorrenti sono considerate vincolate al finanziamento di interventi di investimento.</w:t>
      </w:r>
    </w:p>
    <w:p w14:paraId="44AA9D4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bCs/>
        </w:rPr>
      </w:pPr>
      <w:r w:rsidRPr="00515872">
        <w:rPr>
          <w:rFonts w:cs="Tahoma"/>
          <w:b/>
          <w:bCs/>
        </w:rPr>
        <w:t>Entrate da sanzioni codice della strada</w:t>
      </w:r>
    </w:p>
    <w:p w14:paraId="60618BC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bCs/>
        </w:rPr>
        <w:t>C</w:t>
      </w:r>
      <w:r w:rsidRPr="00515872">
        <w:rPr>
          <w:rFonts w:eastAsia="Times New Roman" w:cs="Tahoma"/>
          <w:szCs w:val="20"/>
          <w:lang w:eastAsia="it-IT"/>
        </w:rPr>
        <w:t>on riferimento ai proventi derivanti dalle sanzioni per violazione al Codice della Strada, il legislatore ha introdotto un vincolo di specifica destinazione, al fine di correlare parte delle somme previste ed introitate ad interventi di miglioramento della circolazione stradale.</w:t>
      </w:r>
    </w:p>
    <w:p w14:paraId="193B63D3" w14:textId="77777777" w:rsidR="009518AF" w:rsidRPr="00515872" w:rsidRDefault="009518AF" w:rsidP="009518AF">
      <w:pPr>
        <w:spacing w:after="0" w:line="360" w:lineRule="auto"/>
        <w:jc w:val="both"/>
        <w:rPr>
          <w:rFonts w:cs="Tahoma"/>
          <w:bCs/>
        </w:rPr>
      </w:pPr>
      <w:r w:rsidRPr="00515872">
        <w:rPr>
          <w:rFonts w:cs="Tahoma"/>
          <w:bCs/>
        </w:rPr>
        <w:t>L’accertamento delle sanzioni avviene:</w:t>
      </w:r>
    </w:p>
    <w:p w14:paraId="16716108" w14:textId="77777777" w:rsidR="009518AF" w:rsidRPr="00515872" w:rsidRDefault="009518AF" w:rsidP="00D65838">
      <w:pPr>
        <w:pStyle w:val="Paragrafoelenco"/>
        <w:numPr>
          <w:ilvl w:val="0"/>
          <w:numId w:val="166"/>
        </w:numPr>
        <w:spacing w:line="360" w:lineRule="auto"/>
        <w:jc w:val="both"/>
        <w:rPr>
          <w:rFonts w:cs="Tahoma"/>
          <w:bCs/>
        </w:rPr>
      </w:pPr>
      <w:r w:rsidRPr="00515872">
        <w:rPr>
          <w:rFonts w:cs="Tahoma"/>
          <w:bCs/>
        </w:rPr>
        <w:t xml:space="preserve">alla data di notifica del verbale (in quanto </w:t>
      </w:r>
      <w:r w:rsidR="008B7FAE" w:rsidRPr="00515872">
        <w:rPr>
          <w:rFonts w:cs="Tahoma"/>
          <w:bCs/>
        </w:rPr>
        <w:t>la notifica de</w:t>
      </w:r>
      <w:r w:rsidRPr="00515872">
        <w:rPr>
          <w:rFonts w:cs="Tahoma"/>
          <w:bCs/>
        </w:rPr>
        <w:t>l verbale</w:t>
      </w:r>
      <w:r w:rsidR="008B7FAE" w:rsidRPr="00515872">
        <w:rPr>
          <w:rFonts w:cs="Tahoma"/>
          <w:bCs/>
        </w:rPr>
        <w:t>, come la contestazione immediata,</w:t>
      </w:r>
      <w:r w:rsidRPr="00515872">
        <w:rPr>
          <w:rFonts w:cs="Tahoma"/>
          <w:bCs/>
        </w:rPr>
        <w:t xml:space="preserve"> rende l’obbligazione esigibile);</w:t>
      </w:r>
    </w:p>
    <w:p w14:paraId="16A43F68" w14:textId="77777777" w:rsidR="009518AF" w:rsidRPr="00515872" w:rsidRDefault="009518AF" w:rsidP="00D65838">
      <w:pPr>
        <w:pStyle w:val="Paragrafoelenco"/>
        <w:numPr>
          <w:ilvl w:val="0"/>
          <w:numId w:val="166"/>
        </w:numPr>
        <w:spacing w:line="360" w:lineRule="auto"/>
        <w:jc w:val="both"/>
        <w:rPr>
          <w:rFonts w:cs="Tahoma"/>
          <w:bCs/>
        </w:rPr>
      </w:pPr>
      <w:r w:rsidRPr="00515872">
        <w:rPr>
          <w:rFonts w:cs="Tahoma"/>
          <w:bCs/>
        </w:rPr>
        <w:t>qualora il trasgressore provveda al pagamento immediato (ossia in assenza di notifica), l’accertamento avviene per cassa;</w:t>
      </w:r>
    </w:p>
    <w:p w14:paraId="362147E8" w14:textId="77777777" w:rsidR="009518AF" w:rsidRPr="00515872" w:rsidRDefault="009518AF" w:rsidP="00D65838">
      <w:pPr>
        <w:pStyle w:val="Paragrafoelenco"/>
        <w:numPr>
          <w:ilvl w:val="0"/>
          <w:numId w:val="166"/>
        </w:numPr>
        <w:spacing w:line="360" w:lineRule="auto"/>
        <w:jc w:val="both"/>
        <w:rPr>
          <w:rFonts w:cs="Tahoma"/>
          <w:bCs/>
        </w:rPr>
      </w:pPr>
      <w:r w:rsidRPr="00515872">
        <w:rPr>
          <w:rFonts w:cs="Tahoma"/>
          <w:bCs/>
        </w:rPr>
        <w:t>per le sanzioni non riscosse, che diventano titolo esecutivo dopo 60 giorni, si provvede ad integrare l’accertamento originario con le maggiori somme iscritte a ruolo;</w:t>
      </w:r>
      <w:r w:rsidR="0054511A" w:rsidRPr="00515872">
        <w:rPr>
          <w:rFonts w:cs="Tahoma"/>
          <w:bCs/>
        </w:rPr>
        <w:t xml:space="preserve"> è possibile accertare per cassa le maggiori entrate derivanti da interessi e sanzioni per ritardato pagamento;</w:t>
      </w:r>
    </w:p>
    <w:p w14:paraId="35D061EE" w14:textId="77777777" w:rsidR="009518AF" w:rsidRPr="00515872" w:rsidRDefault="009518AF" w:rsidP="00D65838">
      <w:pPr>
        <w:pStyle w:val="Paragrafoelenco"/>
        <w:numPr>
          <w:ilvl w:val="0"/>
          <w:numId w:val="166"/>
        </w:numPr>
        <w:spacing w:line="360" w:lineRule="auto"/>
        <w:jc w:val="both"/>
        <w:rPr>
          <w:rFonts w:cs="Tahoma"/>
          <w:bCs/>
        </w:rPr>
      </w:pPr>
      <w:r w:rsidRPr="00515872">
        <w:rPr>
          <w:rFonts w:cs="Tahoma"/>
          <w:bCs/>
        </w:rPr>
        <w:t xml:space="preserve">per le sanzioni archiviate/annullate in autotutela, si provvede alla riduzione dell’accertamento originario; </w:t>
      </w:r>
    </w:p>
    <w:p w14:paraId="1649A85A" w14:textId="77777777" w:rsidR="009518AF" w:rsidRPr="00515872" w:rsidRDefault="009518AF" w:rsidP="00D65838">
      <w:pPr>
        <w:pStyle w:val="Paragrafoelenco"/>
        <w:numPr>
          <w:ilvl w:val="0"/>
          <w:numId w:val="166"/>
        </w:numPr>
        <w:spacing w:line="360" w:lineRule="auto"/>
        <w:jc w:val="both"/>
        <w:rPr>
          <w:rFonts w:cs="Tahoma"/>
          <w:bCs/>
        </w:rPr>
      </w:pPr>
      <w:r w:rsidRPr="00515872">
        <w:rPr>
          <w:rFonts w:cs="Tahoma"/>
          <w:bCs/>
        </w:rPr>
        <w:lastRenderedPageBreak/>
        <w:t>per le entrate che, negli esercizi precedenti a quello di entrata in vigore dei nuovi principi contabili, sono state accertate per cassa si continua, fino al loro esaurimento, con l’accertamento per cassa.</w:t>
      </w:r>
    </w:p>
    <w:p w14:paraId="22CC43B6" w14:textId="77777777" w:rsidR="009518AF" w:rsidRPr="00515872" w:rsidRDefault="009518AF" w:rsidP="009518AF">
      <w:pPr>
        <w:spacing w:after="0" w:line="360" w:lineRule="auto"/>
        <w:jc w:val="both"/>
        <w:rPr>
          <w:rFonts w:cs="Tahoma"/>
          <w:b/>
          <w:bCs/>
        </w:rPr>
      </w:pPr>
      <w:r w:rsidRPr="00515872">
        <w:rPr>
          <w:rFonts w:cs="Tahoma"/>
          <w:b/>
          <w:bCs/>
        </w:rPr>
        <w:t>Alienazioni di beni immobili</w:t>
      </w:r>
    </w:p>
    <w:p w14:paraId="114E6DBE" w14:textId="77777777" w:rsidR="009518AF" w:rsidRPr="00515872" w:rsidRDefault="009518AF" w:rsidP="009518AF">
      <w:pPr>
        <w:spacing w:line="360" w:lineRule="auto"/>
        <w:jc w:val="both"/>
        <w:rPr>
          <w:rFonts w:cs="Tahoma"/>
          <w:bCs/>
        </w:rPr>
      </w:pPr>
      <w:r w:rsidRPr="00515872">
        <w:rPr>
          <w:rFonts w:cs="Tahoma"/>
          <w:bCs/>
        </w:rPr>
        <w:t>L’accertamento è effettuato al momento del rogito, con imputazione all’esercizio previsto nel contratto per l’esecuzione dell’obbligazione pecuniaria. Se l’entrata è incassata prima del rogito l’accertamento è registrato per cassa.</w:t>
      </w:r>
      <w:r w:rsidRPr="00515872">
        <w:rPr>
          <w:rFonts w:cs="Tahoma"/>
          <w:b/>
          <w:bCs/>
        </w:rPr>
        <w:t xml:space="preserve"> </w:t>
      </w:r>
      <w:r w:rsidRPr="00515872">
        <w:rPr>
          <w:rFonts w:cs="Tahoma"/>
          <w:bCs/>
        </w:rPr>
        <w:t>Nel caso in cui il contratto preveda il pagamento differito è consentito l’accertamento dell’entrata nel primo esercizio se il pagamento non è stabilito oltre i 12 mesi successivi.</w:t>
      </w:r>
    </w:p>
    <w:p w14:paraId="08D4D69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corrispettivo della cessione è destinato alla spesa di investimento al netto del debito per IVA. Tale principio mira a garantire la copertura finanziaria dell'eventuale posizione debitoria per l’IVA e consente, ai fini degli equilibri di bilancio, di destinare l'entrata iscritta tra le entrate in c/capitale a copertura delle spese correnti per il pagamento dell'IVA. È tuttavia possibile destinare l'entrata corrispondente al debito IVA a copertura dell'IVA dovuta sulle spese di investimento.</w:t>
      </w:r>
    </w:p>
    <w:p w14:paraId="6838F3A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Il corrispettivo della cessione di beni immobili può essere destinato anche all’</w:t>
      </w:r>
      <w:r w:rsidRPr="00515872">
        <w:rPr>
          <w:rFonts w:cs="Tahoma"/>
          <w:b/>
        </w:rPr>
        <w:t>estinzione anticipata di prestiti</w:t>
      </w:r>
      <w:r w:rsidRPr="00515872">
        <w:rPr>
          <w:rFonts w:cs="Tahoma"/>
        </w:rPr>
        <w:t>.</w:t>
      </w:r>
    </w:p>
    <w:p w14:paraId="6BE96D71" w14:textId="77777777" w:rsidR="009518AF" w:rsidRPr="00515872" w:rsidRDefault="009518AF" w:rsidP="009518AF">
      <w:pPr>
        <w:spacing w:after="0" w:line="360" w:lineRule="auto"/>
        <w:jc w:val="both"/>
        <w:rPr>
          <w:rFonts w:cs="Tahoma"/>
          <w:bCs/>
        </w:rPr>
      </w:pPr>
      <w:r w:rsidRPr="00515872">
        <w:rPr>
          <w:rFonts w:cs="Tahoma"/>
          <w:b/>
          <w:bCs/>
        </w:rPr>
        <w:t>Cessione diritti superficie</w:t>
      </w:r>
    </w:p>
    <w:p w14:paraId="75188554" w14:textId="77777777" w:rsidR="009518AF" w:rsidRPr="00515872" w:rsidRDefault="009518AF" w:rsidP="009518AF">
      <w:pPr>
        <w:spacing w:line="360" w:lineRule="auto"/>
        <w:jc w:val="both"/>
        <w:rPr>
          <w:rFonts w:cs="Tahoma"/>
          <w:bCs/>
        </w:rPr>
      </w:pPr>
      <w:r w:rsidRPr="00515872">
        <w:rPr>
          <w:rFonts w:cs="Tahoma"/>
          <w:bCs/>
        </w:rPr>
        <w:t>L’accertamento è effettuato al momento del rogito, con imputazione all’esercizio previsto per l’esecuzione dell’obbligazione pecuniaria. Se l’entrata è incassata prima del rogito, l’accertamento è registrato per cassa. Se il diritto di superficie è convertito in un diritto di proprietà, si applicano le norme della cessione dei beni.</w:t>
      </w:r>
    </w:p>
    <w:p w14:paraId="48BFDC54" w14:textId="77777777" w:rsidR="009518AF" w:rsidRPr="00515872" w:rsidRDefault="009518AF" w:rsidP="009518AF">
      <w:pPr>
        <w:spacing w:after="0" w:line="360" w:lineRule="auto"/>
        <w:jc w:val="both"/>
        <w:rPr>
          <w:rFonts w:cs="Tahoma"/>
          <w:b/>
          <w:bCs/>
        </w:rPr>
      </w:pPr>
      <w:r w:rsidRPr="00515872">
        <w:rPr>
          <w:rFonts w:cs="Tahoma"/>
          <w:b/>
          <w:bCs/>
        </w:rPr>
        <w:t>Cessione di altri beni</w:t>
      </w:r>
    </w:p>
    <w:p w14:paraId="03746341" w14:textId="77777777" w:rsidR="009518AF" w:rsidRPr="00515872" w:rsidRDefault="009518AF" w:rsidP="009518AF">
      <w:pPr>
        <w:spacing w:line="360" w:lineRule="auto"/>
        <w:jc w:val="both"/>
        <w:rPr>
          <w:rFonts w:cs="Tahoma"/>
          <w:b/>
          <w:bCs/>
        </w:rPr>
      </w:pPr>
      <w:r w:rsidRPr="00515872">
        <w:rPr>
          <w:rFonts w:cs="Tahoma"/>
          <w:bCs/>
        </w:rPr>
        <w:t>L’obbligazione giuridica attiva nasce con il passaggio della proprietà e in tale momento deve essere accertata l’entrata con imputazione all’esercizio previsto per l’esecuzione dell’obbligazione pecuniaria.</w:t>
      </w:r>
    </w:p>
    <w:p w14:paraId="231054D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bCs/>
        </w:rPr>
      </w:pPr>
      <w:r w:rsidRPr="00515872">
        <w:rPr>
          <w:rFonts w:cs="Tahoma"/>
          <w:b/>
          <w:bCs/>
        </w:rPr>
        <w:t>Permessi di costruire</w:t>
      </w:r>
    </w:p>
    <w:p w14:paraId="44934D44" w14:textId="77777777" w:rsidR="000127AE" w:rsidRPr="00515872" w:rsidRDefault="00A2638B" w:rsidP="003D7888">
      <w:pPr>
        <w:tabs>
          <w:tab w:val="left" w:pos="284"/>
        </w:tabs>
        <w:spacing w:after="0" w:line="360" w:lineRule="auto"/>
        <w:ind w:right="-284"/>
        <w:jc w:val="both"/>
        <w:rPr>
          <w:rFonts w:cs="Tahoma"/>
        </w:rPr>
      </w:pPr>
      <w:r w:rsidRPr="00515872">
        <w:rPr>
          <w:rFonts w:cs="Tahoma"/>
        </w:rPr>
        <w:t>L’obbligazione per i permessi di costr</w:t>
      </w:r>
      <w:r w:rsidR="000127AE" w:rsidRPr="00515872">
        <w:rPr>
          <w:rFonts w:cs="Tahoma"/>
        </w:rPr>
        <w:t>uire è articolata in due quote:</w:t>
      </w:r>
    </w:p>
    <w:p w14:paraId="6207F408" w14:textId="77777777" w:rsidR="000127AE" w:rsidRPr="00515872" w:rsidRDefault="000127AE" w:rsidP="00D65838">
      <w:pPr>
        <w:pStyle w:val="Paragrafoelenco"/>
        <w:numPr>
          <w:ilvl w:val="0"/>
          <w:numId w:val="166"/>
        </w:numPr>
        <w:tabs>
          <w:tab w:val="left" w:pos="284"/>
        </w:tabs>
        <w:spacing w:line="360" w:lineRule="auto"/>
        <w:ind w:left="284" w:right="-284" w:hanging="284"/>
        <w:jc w:val="both"/>
        <w:rPr>
          <w:rFonts w:cs="Tahoma"/>
        </w:rPr>
      </w:pPr>
      <w:r w:rsidRPr="00515872">
        <w:rPr>
          <w:rFonts w:cs="Tahoma"/>
        </w:rPr>
        <w:t>l</w:t>
      </w:r>
      <w:r w:rsidR="00A2638B" w:rsidRPr="00515872">
        <w:rPr>
          <w:rFonts w:cs="Tahoma"/>
        </w:rPr>
        <w:t xml:space="preserve">a prima </w:t>
      </w:r>
      <w:r w:rsidR="00A2638B" w:rsidRPr="00515872">
        <w:rPr>
          <w:rFonts w:cs="Tahoma"/>
          <w:bCs/>
        </w:rPr>
        <w:t xml:space="preserve">(oneri di urbanizzazione) </w:t>
      </w:r>
      <w:r w:rsidR="00A2638B" w:rsidRPr="00515872">
        <w:rPr>
          <w:rFonts w:cs="Tahoma"/>
        </w:rPr>
        <w:t>è immediatamente esigibile, ed è collegata al rilascio del p</w:t>
      </w:r>
      <w:r w:rsidR="009E07D9" w:rsidRPr="00515872">
        <w:rPr>
          <w:rFonts w:cs="Tahoma"/>
        </w:rPr>
        <w:t>ermesso al soggetto richiedente</w:t>
      </w:r>
      <w:r w:rsidR="00A2638B" w:rsidRPr="00515872">
        <w:rPr>
          <w:rFonts w:cs="Tahoma"/>
        </w:rPr>
        <w:t>, salva la possibilità di rateizzazione (eventualm</w:t>
      </w:r>
      <w:r w:rsidR="009E07D9" w:rsidRPr="00515872">
        <w:rPr>
          <w:rFonts w:cs="Tahoma"/>
        </w:rPr>
        <w:t>ente garantita da fidejussione);</w:t>
      </w:r>
      <w:r w:rsidRPr="00515872">
        <w:rPr>
          <w:rFonts w:cs="Tahoma"/>
        </w:rPr>
        <w:t xml:space="preserve"> essa è pertanto accertata e imputata nell’esercizio in cui avviene il rilascio del permesso;</w:t>
      </w:r>
    </w:p>
    <w:p w14:paraId="6629B7F0" w14:textId="77777777" w:rsidR="000127AE" w:rsidRPr="00515872" w:rsidRDefault="00A2638B" w:rsidP="00D65838">
      <w:pPr>
        <w:pStyle w:val="Paragrafoelenco"/>
        <w:numPr>
          <w:ilvl w:val="0"/>
          <w:numId w:val="166"/>
        </w:numPr>
        <w:tabs>
          <w:tab w:val="left" w:pos="284"/>
        </w:tabs>
        <w:spacing w:line="360" w:lineRule="auto"/>
        <w:ind w:left="284" w:right="-284" w:hanging="284"/>
        <w:jc w:val="both"/>
        <w:rPr>
          <w:rFonts w:cs="Tahoma"/>
        </w:rPr>
      </w:pPr>
      <w:r w:rsidRPr="00515872">
        <w:rPr>
          <w:rFonts w:cs="Tahoma"/>
        </w:rPr>
        <w:t xml:space="preserve">la seconda </w:t>
      </w:r>
      <w:r w:rsidRPr="00515872">
        <w:rPr>
          <w:rFonts w:cs="Tahoma"/>
          <w:bCs/>
        </w:rPr>
        <w:t xml:space="preserve">(costo di costruzione) </w:t>
      </w:r>
      <w:r w:rsidRPr="00515872">
        <w:rPr>
          <w:rFonts w:cs="Tahoma"/>
        </w:rPr>
        <w:t>è esigibile nel corso dell’opera ed, in ogni caso, entro 60 giorni dalla conclusione dell</w:t>
      </w:r>
      <w:r w:rsidR="000127AE" w:rsidRPr="00515872">
        <w:rPr>
          <w:rFonts w:cs="Tahoma"/>
        </w:rPr>
        <w:t>a stessa; essa è pertanto accertata a seguito della comunicazione di avvio lavori e imputata all’esercizio in cui, in ragione delle modalità stabilite dall’ente, viene a scadenza la relativa quota.</w:t>
      </w:r>
    </w:p>
    <w:p w14:paraId="698254A4" w14:textId="77777777" w:rsidR="009518AF" w:rsidRPr="00515872" w:rsidRDefault="009518AF" w:rsidP="009518AF">
      <w:pPr>
        <w:spacing w:after="0" w:line="360" w:lineRule="auto"/>
        <w:jc w:val="both"/>
        <w:rPr>
          <w:rFonts w:cs="Tahoma"/>
          <w:b/>
          <w:bCs/>
        </w:rPr>
      </w:pPr>
      <w:r w:rsidRPr="00515872">
        <w:rPr>
          <w:rFonts w:cs="Tahoma"/>
          <w:b/>
          <w:bCs/>
        </w:rPr>
        <w:t>Mutui</w:t>
      </w:r>
    </w:p>
    <w:p w14:paraId="47F60B58" w14:textId="77777777" w:rsidR="009518AF" w:rsidRPr="00515872" w:rsidRDefault="009518AF" w:rsidP="009518AF">
      <w:pPr>
        <w:spacing w:line="360" w:lineRule="auto"/>
        <w:jc w:val="both"/>
        <w:rPr>
          <w:rFonts w:cs="Tahoma"/>
          <w:bCs/>
        </w:rPr>
      </w:pPr>
      <w:r w:rsidRPr="00515872">
        <w:rPr>
          <w:rFonts w:cs="Tahoma"/>
          <w:bCs/>
        </w:rPr>
        <w:t xml:space="preserve">L’ottenimento di un finanziamento rappresenta per l’ente un’entrata da registrare nel titolo VI. L’accertamento è effettuato nel momento di stipula del contratto di mutuo o prestito </w:t>
      </w:r>
      <w:r w:rsidR="008E0A3E" w:rsidRPr="00515872">
        <w:rPr>
          <w:rFonts w:cs="Tahoma"/>
          <w:color w:val="000000"/>
        </w:rPr>
        <w:t xml:space="preserve">o, se disciplinata dalla legge, a seguito del provvedimento di concessione del prestito, </w:t>
      </w:r>
      <w:r w:rsidRPr="00515872">
        <w:rPr>
          <w:rFonts w:cs="Tahoma"/>
          <w:bCs/>
        </w:rPr>
        <w:t xml:space="preserve">con imputazione all’esercizio in cui la somma è esigibile, cioè </w:t>
      </w:r>
      <w:r w:rsidRPr="00515872">
        <w:rPr>
          <w:rFonts w:cs="Tahoma"/>
          <w:bCs/>
        </w:rPr>
        <w:lastRenderedPageBreak/>
        <w:t>quando il soggetto finanziatore rende disponibile l’importo richiesto. Nei mutui tradizionali la somma è generalmente esigibile al momento della stipula del contratto</w:t>
      </w:r>
      <w:r w:rsidR="008E0A3E" w:rsidRPr="00515872">
        <w:rPr>
          <w:rFonts w:cs="Tahoma"/>
          <w:bCs/>
        </w:rPr>
        <w:t xml:space="preserve"> o all’emanazione del provvedimento</w:t>
      </w:r>
      <w:r w:rsidRPr="00515872">
        <w:rPr>
          <w:rFonts w:cs="Tahoma"/>
          <w:bCs/>
        </w:rPr>
        <w:t>.</w:t>
      </w:r>
    </w:p>
    <w:p w14:paraId="451DFAC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Solo la quota di rimborso del capitale è imputata al titolo IV della spesa "Rimborso di prestiti".</w:t>
      </w:r>
    </w:p>
    <w:p w14:paraId="2A2B370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Cs/>
        </w:rPr>
      </w:pPr>
      <w:r w:rsidRPr="00515872">
        <w:rPr>
          <w:rFonts w:eastAsia="Times New Roman" w:cs="Tahoma"/>
          <w:szCs w:val="20"/>
          <w:lang w:eastAsia="it-IT"/>
        </w:rPr>
        <w:t>L'ente beneficiario del mutuo le cui rate di ammortamento sono rimborsate da altra amministrazione pubblica, iscrive il ricavato del mutuo nelle entrate per trasferimenti in conto capitale con vincolo di destinazione agli investimenti.</w:t>
      </w:r>
      <w:r w:rsidR="00804BE3" w:rsidRPr="00515872">
        <w:rPr>
          <w:rFonts w:eastAsia="Times New Roman" w:cs="Tahoma"/>
          <w:szCs w:val="20"/>
          <w:lang w:eastAsia="it-IT"/>
        </w:rPr>
        <w:t xml:space="preserve"> </w:t>
      </w:r>
      <w:r w:rsidRPr="00515872">
        <w:rPr>
          <w:rFonts w:eastAsia="Times New Roman" w:cs="Tahoma"/>
          <w:szCs w:val="20"/>
          <w:lang w:eastAsia="it-IT"/>
        </w:rPr>
        <w:t>Nel caso in cui il pagamento delle rate risulti effettuato pro-quota da più enti, anche il debito deve essere iscritto pro-quota nei bilanci degli enti coinvolti.</w:t>
      </w:r>
    </w:p>
    <w:p w14:paraId="56EBF0D9" w14:textId="77777777" w:rsidR="009518AF" w:rsidRPr="00515872" w:rsidRDefault="009518AF" w:rsidP="009518AF">
      <w:pPr>
        <w:spacing w:line="360" w:lineRule="auto"/>
        <w:jc w:val="both"/>
        <w:rPr>
          <w:rFonts w:cs="Tahoma"/>
          <w:bCs/>
        </w:rPr>
      </w:pPr>
      <w:r w:rsidRPr="00515872">
        <w:rPr>
          <w:rFonts w:cs="Tahoma"/>
          <w:bCs/>
        </w:rPr>
        <w:t xml:space="preserve">In caso di rinegoziazione dei prestiti, eventuali indennizzi o penalità dell’operazione sono da </w:t>
      </w:r>
      <w:r w:rsidR="00804BE3" w:rsidRPr="00515872">
        <w:rPr>
          <w:rFonts w:cs="Tahoma"/>
          <w:bCs/>
        </w:rPr>
        <w:t xml:space="preserve">registrare nella spesa corrente </w:t>
      </w:r>
      <w:r w:rsidR="00804BE3" w:rsidRPr="00515872">
        <w:rPr>
          <w:rFonts w:cs="Tahoma"/>
          <w:color w:val="000000"/>
        </w:rPr>
        <w:t>all’atto e al momento temporale in cui si realizza l’operazione di rinegoziazione.</w:t>
      </w:r>
    </w:p>
    <w:p w14:paraId="348389BA" w14:textId="77777777" w:rsidR="009518AF" w:rsidRPr="00515872" w:rsidRDefault="009518AF" w:rsidP="009518AF">
      <w:pPr>
        <w:spacing w:line="360" w:lineRule="auto"/>
        <w:jc w:val="both"/>
        <w:rPr>
          <w:rFonts w:cs="Tahoma"/>
          <w:bCs/>
        </w:rPr>
      </w:pPr>
      <w:r w:rsidRPr="00515872">
        <w:rPr>
          <w:rFonts w:cs="Tahoma"/>
          <w:bCs/>
        </w:rPr>
        <w:t>In caso di estinzione anticipata, la spesa sostenuta per rimborsare il capitale va allocata al titolo IV “Rimborso di prestiti”, mentre la spesa relativa agli interessi ancora dovuti o all’eventuale indennizzo o penalità va inserita nel titolo I.</w:t>
      </w:r>
    </w:p>
    <w:p w14:paraId="354776B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Cs/>
        </w:rPr>
      </w:pPr>
      <w:r w:rsidRPr="00515872">
        <w:rPr>
          <w:rFonts w:cs="Tahoma"/>
          <w:b/>
          <w:bCs/>
        </w:rPr>
        <w:t>Apertura di credito</w:t>
      </w:r>
    </w:p>
    <w:p w14:paraId="11A1412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bCs/>
        </w:rPr>
        <w:t>N</w:t>
      </w:r>
      <w:r w:rsidRPr="00515872">
        <w:rPr>
          <w:rFonts w:eastAsia="Times New Roman" w:cs="Tahoma"/>
          <w:szCs w:val="20"/>
          <w:lang w:eastAsia="it-IT"/>
        </w:rPr>
        <w:t>el caso di finanziamenti attivati con aperture di credito, che si consolidano in mutui passivi a seguito dell'effettiva necessità di liquidità, l'accertamento è effettuato in relazione agli effettivi utilizzi. Gli importi dei singoli accertamenti e i relativi esercizi di imputazione dell'entrata corrispondono a quelli degli impegni effettuati per la corrispondente spesa di investimento, in base al relativo cronoprogramma di spesa.</w:t>
      </w:r>
    </w:p>
    <w:p w14:paraId="724CB793" w14:textId="77777777" w:rsidR="009518AF" w:rsidRPr="00515872" w:rsidRDefault="004C4327"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Cs/>
        </w:rPr>
      </w:pPr>
      <w:r w:rsidRPr="00515872">
        <w:rPr>
          <w:rFonts w:cs="Tahoma"/>
          <w:b/>
          <w:bCs/>
        </w:rPr>
        <w:t>Leasing</w:t>
      </w:r>
    </w:p>
    <w:p w14:paraId="042B76C5"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bCs/>
        </w:rPr>
        <w:t>Il leasing finanziario ed i contratti assimilati costituiscono operazioni di indebitamento che finanziano l’investimento in base al principio della prevalenza della sostanza sulla forma. Pertanto, si adottano le medesime scritture utilizzate per gli investimenti finanziati da debito. In sostanza, a</w:t>
      </w:r>
      <w:r w:rsidRPr="00515872">
        <w:rPr>
          <w:rFonts w:eastAsia="Times New Roman" w:cs="Tahoma"/>
          <w:szCs w:val="20"/>
          <w:lang w:eastAsia="it-IT"/>
        </w:rPr>
        <w:t xml:space="preserve">l momento della consegna del bene oggetto del contratto, si rileva il debito pari all'importo oggetto di finanziamento, costituito dal valore iniziale del bene, da iscrivere tra le "Accensioni di prestiti" e l'acquisizione del bene tra le spese di investimento. </w:t>
      </w:r>
    </w:p>
    <w:p w14:paraId="12781A7E" w14:textId="77777777" w:rsidR="000B78A3" w:rsidRPr="00515872" w:rsidRDefault="009518AF" w:rsidP="000B7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Al momento del pagamento dei canoni periodici si rilevano sia gli interessi passivi impliciti (da imputare tra le spese correnti), sia la quota di finanziamento rimborsata (da imp</w:t>
      </w:r>
      <w:r w:rsidR="000B78A3" w:rsidRPr="00515872">
        <w:rPr>
          <w:rFonts w:eastAsia="Times New Roman" w:cs="Tahoma"/>
          <w:szCs w:val="20"/>
          <w:lang w:eastAsia="it-IT"/>
        </w:rPr>
        <w:t xml:space="preserve">utare tra i rimborsi </w:t>
      </w:r>
      <w:r w:rsidR="00C71C44" w:rsidRPr="00515872">
        <w:rPr>
          <w:rFonts w:eastAsia="Times New Roman" w:cs="Tahoma"/>
          <w:szCs w:val="20"/>
          <w:lang w:eastAsia="it-IT"/>
        </w:rPr>
        <w:t xml:space="preserve">di </w:t>
      </w:r>
      <w:r w:rsidR="000B78A3" w:rsidRPr="00515872">
        <w:rPr>
          <w:rFonts w:eastAsia="Times New Roman" w:cs="Tahoma"/>
          <w:szCs w:val="20"/>
          <w:lang w:eastAsia="it-IT"/>
        </w:rPr>
        <w:t>prestiti).</w:t>
      </w:r>
    </w:p>
    <w:p w14:paraId="249D0CB9" w14:textId="77777777" w:rsidR="000B78A3" w:rsidRPr="00515872" w:rsidRDefault="009518AF" w:rsidP="000B7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eastAsia="Times New Roman" w:cs="Tahoma"/>
          <w:szCs w:val="20"/>
          <w:lang w:eastAsia="it-IT"/>
        </w:rPr>
        <w:t>La spesa per l'esercizio del riscatto è registrata tra le spese di investimento.</w:t>
      </w:r>
    </w:p>
    <w:p w14:paraId="37FDCA7B" w14:textId="77777777" w:rsidR="004C4327" w:rsidRPr="00515872" w:rsidRDefault="004C4327" w:rsidP="000B7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 xml:space="preserve">Per contro, il leasing operativo viene qualificato come “leasing di godimento”, ove i canoni non contengono alcuna porzione di prezzo, costituendo il corrispettivo del godimento ed essendo ragguagliati al valore di utilizzazione del bene. </w:t>
      </w:r>
    </w:p>
    <w:p w14:paraId="1E4DB025" w14:textId="77777777" w:rsidR="007E176C" w:rsidRPr="00515872" w:rsidRDefault="007E176C" w:rsidP="009518AF">
      <w:pPr>
        <w:spacing w:after="0" w:line="360" w:lineRule="auto"/>
        <w:jc w:val="both"/>
        <w:rPr>
          <w:rFonts w:cs="Tahoma"/>
          <w:b/>
          <w:bCs/>
        </w:rPr>
      </w:pPr>
    </w:p>
    <w:p w14:paraId="256B3EA7" w14:textId="77777777" w:rsidR="007E176C" w:rsidRPr="00515872" w:rsidRDefault="007E176C" w:rsidP="009518AF">
      <w:pPr>
        <w:spacing w:after="0" w:line="360" w:lineRule="auto"/>
        <w:jc w:val="both"/>
        <w:rPr>
          <w:rFonts w:cs="Tahoma"/>
          <w:b/>
          <w:bCs/>
        </w:rPr>
      </w:pPr>
    </w:p>
    <w:p w14:paraId="1E4F63E3" w14:textId="77777777" w:rsidR="009518AF" w:rsidRPr="00515872" w:rsidRDefault="009518AF" w:rsidP="009518AF">
      <w:pPr>
        <w:spacing w:after="0" w:line="360" w:lineRule="auto"/>
        <w:jc w:val="both"/>
        <w:rPr>
          <w:rFonts w:cs="Tahoma"/>
          <w:b/>
          <w:bCs/>
        </w:rPr>
      </w:pPr>
      <w:r w:rsidRPr="00515872">
        <w:rPr>
          <w:rFonts w:cs="Tahoma"/>
          <w:b/>
          <w:bCs/>
        </w:rPr>
        <w:lastRenderedPageBreak/>
        <w:t>Contratti derivati</w:t>
      </w:r>
    </w:p>
    <w:p w14:paraId="66B7BF6C" w14:textId="77777777" w:rsidR="009518AF" w:rsidRPr="00515872" w:rsidRDefault="009518AF" w:rsidP="009518AF">
      <w:pPr>
        <w:spacing w:line="360" w:lineRule="auto"/>
        <w:jc w:val="both"/>
        <w:rPr>
          <w:rFonts w:cs="Tahoma"/>
          <w:bCs/>
        </w:rPr>
      </w:pPr>
      <w:r w:rsidRPr="00515872">
        <w:rPr>
          <w:rFonts w:cs="Tahoma"/>
          <w:bCs/>
        </w:rPr>
        <w:t>In caso di contratti derivati si rilevano separatamente i flussi finanziari riguardanti il debito originario rispetto ai saldi differenziali attivi o passivi rilevati nel bilancio a seguito del contratto derivato.</w:t>
      </w:r>
    </w:p>
    <w:p w14:paraId="323788C6" w14:textId="77777777" w:rsidR="009518AF" w:rsidRPr="00515872" w:rsidRDefault="009518AF" w:rsidP="009518AF">
      <w:pPr>
        <w:spacing w:line="360" w:lineRule="auto"/>
        <w:jc w:val="both"/>
        <w:rPr>
          <w:rFonts w:cs="Tahoma"/>
          <w:bCs/>
        </w:rPr>
      </w:pPr>
      <w:r w:rsidRPr="00515872">
        <w:rPr>
          <w:rFonts w:cs="Tahoma"/>
          <w:bCs/>
        </w:rPr>
        <w:t>La regolazione annuale di differenze di flussi di interessi è rilevata rispettivamente, per l’entrata, nel Titolo III e, per la spesa, nel Titolo I del bilancio. L’eventuale differenza positiva costituisce una quota vincolata dell’avanzo di amministrazione, destinata a garantire i rischi futuri del contatto o direttamente destinabile al finanziamento di investimenti o alla riduzione del debito.</w:t>
      </w:r>
    </w:p>
    <w:p w14:paraId="1786D50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Cs/>
        </w:rPr>
      </w:pPr>
      <w:r w:rsidRPr="00515872">
        <w:rPr>
          <w:rFonts w:cs="Tahoma"/>
          <w:bCs/>
        </w:rPr>
        <w:t xml:space="preserve">Nel caso di estinzione anticipata di un derivato, la somma ricevuta o pagata, corrispondente al valore di mercato rispettivamente positivo o negativo al momento della risoluzione (c.d. </w:t>
      </w:r>
      <w:proofErr w:type="spellStart"/>
      <w:r w:rsidRPr="00515872">
        <w:rPr>
          <w:rFonts w:cs="Tahoma"/>
          <w:bCs/>
          <w:i/>
        </w:rPr>
        <w:t>mark</w:t>
      </w:r>
      <w:proofErr w:type="spellEnd"/>
      <w:r w:rsidRPr="00515872">
        <w:rPr>
          <w:rFonts w:cs="Tahoma"/>
          <w:bCs/>
          <w:i/>
        </w:rPr>
        <w:t xml:space="preserve"> to market</w:t>
      </w:r>
      <w:r w:rsidRPr="00515872">
        <w:rPr>
          <w:rFonts w:cs="Tahoma"/>
          <w:bCs/>
        </w:rPr>
        <w:t>) è imputata, in caso di valore positivo, nel Titolo III delle entrate e, in caso di valore negativo, nel Titolo I delle spese.</w:t>
      </w:r>
    </w:p>
    <w:p w14:paraId="2AA7DAE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In caso di </w:t>
      </w:r>
      <w:proofErr w:type="spellStart"/>
      <w:r w:rsidRPr="00515872">
        <w:rPr>
          <w:rFonts w:eastAsia="Times New Roman" w:cs="Tahoma"/>
          <w:i/>
          <w:szCs w:val="20"/>
          <w:lang w:eastAsia="it-IT"/>
        </w:rPr>
        <w:t>mark</w:t>
      </w:r>
      <w:proofErr w:type="spellEnd"/>
      <w:r w:rsidRPr="00515872">
        <w:rPr>
          <w:rFonts w:eastAsia="Times New Roman" w:cs="Tahoma"/>
          <w:i/>
          <w:szCs w:val="20"/>
          <w:lang w:eastAsia="it-IT"/>
        </w:rPr>
        <w:t xml:space="preserve"> to market</w:t>
      </w:r>
      <w:r w:rsidRPr="00515872">
        <w:rPr>
          <w:rFonts w:eastAsia="Times New Roman" w:cs="Tahoma"/>
          <w:szCs w:val="20"/>
          <w:lang w:eastAsia="it-IT"/>
        </w:rPr>
        <w:t xml:space="preserve"> positivo è necessario stanziare </w:t>
      </w:r>
      <w:r w:rsidR="00C45E8E" w:rsidRPr="00515872">
        <w:rPr>
          <w:rFonts w:eastAsia="Times New Roman" w:cs="Tahoma"/>
          <w:szCs w:val="20"/>
          <w:lang w:eastAsia="it-IT"/>
        </w:rPr>
        <w:t xml:space="preserve">in bilancio </w:t>
      </w:r>
      <w:r w:rsidRPr="00515872">
        <w:rPr>
          <w:rFonts w:eastAsia="Times New Roman" w:cs="Tahoma"/>
          <w:szCs w:val="20"/>
          <w:lang w:eastAsia="it-IT"/>
        </w:rPr>
        <w:t>un accantonamento per un valore corrispondente alle entrate accertate, con riferimento al quale non è possibile impegnare e pagare. La conseguente economia di bilancio costituisce quota vincolata del risultato di amministrazione, fino a completa estinzione di tutti i derivati contratti dall'ente, a copertura di eventual</w:t>
      </w:r>
      <w:r w:rsidR="005D20E1" w:rsidRPr="00515872">
        <w:rPr>
          <w:rFonts w:eastAsia="Times New Roman" w:cs="Tahoma"/>
          <w:szCs w:val="20"/>
          <w:lang w:eastAsia="it-IT"/>
        </w:rPr>
        <w:t>i futur</w:t>
      </w:r>
      <w:r w:rsidRPr="00515872">
        <w:rPr>
          <w:rFonts w:eastAsia="Times New Roman" w:cs="Tahoma"/>
          <w:szCs w:val="20"/>
          <w:lang w:eastAsia="it-IT"/>
        </w:rPr>
        <w:t xml:space="preserve">i </w:t>
      </w:r>
      <w:proofErr w:type="spellStart"/>
      <w:r w:rsidRPr="00515872">
        <w:rPr>
          <w:rFonts w:eastAsia="Times New Roman" w:cs="Tahoma"/>
          <w:i/>
          <w:szCs w:val="20"/>
          <w:lang w:eastAsia="it-IT"/>
        </w:rPr>
        <w:t>mark</w:t>
      </w:r>
      <w:proofErr w:type="spellEnd"/>
      <w:r w:rsidRPr="00515872">
        <w:rPr>
          <w:rFonts w:eastAsia="Times New Roman" w:cs="Tahoma"/>
          <w:i/>
          <w:szCs w:val="20"/>
          <w:lang w:eastAsia="it-IT"/>
        </w:rPr>
        <w:t xml:space="preserve"> to market</w:t>
      </w:r>
      <w:r w:rsidRPr="00515872">
        <w:rPr>
          <w:rFonts w:eastAsia="Times New Roman" w:cs="Tahoma"/>
          <w:szCs w:val="20"/>
          <w:lang w:eastAsia="it-IT"/>
        </w:rPr>
        <w:t xml:space="preserve"> negativi.</w:t>
      </w:r>
    </w:p>
    <w:p w14:paraId="04862DA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Qualora, dopo aver estinto tutti i debiti coperti da derivati e dopo avere estinto tutti i contratti collegati, residui una quota positiva di </w:t>
      </w:r>
      <w:proofErr w:type="spellStart"/>
      <w:r w:rsidRPr="00515872">
        <w:rPr>
          <w:rFonts w:eastAsia="Times New Roman" w:cs="Tahoma"/>
          <w:i/>
          <w:szCs w:val="20"/>
          <w:lang w:eastAsia="it-IT"/>
        </w:rPr>
        <w:t>mark</w:t>
      </w:r>
      <w:proofErr w:type="spellEnd"/>
      <w:r w:rsidRPr="00515872">
        <w:rPr>
          <w:rFonts w:eastAsia="Times New Roman" w:cs="Tahoma"/>
          <w:i/>
          <w:szCs w:val="20"/>
          <w:lang w:eastAsia="it-IT"/>
        </w:rPr>
        <w:t xml:space="preserve"> to market</w:t>
      </w:r>
      <w:r w:rsidRPr="00515872">
        <w:rPr>
          <w:rFonts w:eastAsia="Times New Roman" w:cs="Tahoma"/>
          <w:szCs w:val="20"/>
          <w:lang w:eastAsia="it-IT"/>
        </w:rPr>
        <w:t>, quest'ultima è destinata alla riduzione dell'indebitamento generale.</w:t>
      </w:r>
      <w:r w:rsidR="005D20E1" w:rsidRPr="00515872">
        <w:rPr>
          <w:rFonts w:eastAsia="Times New Roman" w:cs="Tahoma"/>
          <w:szCs w:val="20"/>
          <w:lang w:eastAsia="it-IT"/>
        </w:rPr>
        <w:t xml:space="preserve"> In alternativa, l’art. 1, c.</w:t>
      </w:r>
      <w:r w:rsidR="00C45E8E" w:rsidRPr="00515872">
        <w:rPr>
          <w:rFonts w:eastAsia="Times New Roman" w:cs="Tahoma"/>
          <w:szCs w:val="20"/>
          <w:lang w:eastAsia="it-IT"/>
        </w:rPr>
        <w:t xml:space="preserve"> </w:t>
      </w:r>
      <w:r w:rsidR="005D20E1" w:rsidRPr="00515872">
        <w:rPr>
          <w:rFonts w:eastAsia="Times New Roman" w:cs="Tahoma"/>
          <w:szCs w:val="20"/>
          <w:lang w:eastAsia="it-IT"/>
        </w:rPr>
        <w:t xml:space="preserve">787, L. n. 178/2020 </w:t>
      </w:r>
      <w:r w:rsidR="0093589A" w:rsidRPr="00515872">
        <w:rPr>
          <w:rFonts w:eastAsia="Times New Roman" w:cs="Tahoma"/>
          <w:szCs w:val="20"/>
          <w:lang w:eastAsia="it-IT"/>
        </w:rPr>
        <w:t>ha introdotto</w:t>
      </w:r>
      <w:r w:rsidR="005D20E1" w:rsidRPr="00515872">
        <w:rPr>
          <w:rFonts w:eastAsia="Times New Roman" w:cs="Tahoma"/>
          <w:szCs w:val="20"/>
          <w:lang w:eastAsia="it-IT"/>
        </w:rPr>
        <w:t xml:space="preserve"> la possibilità </w:t>
      </w:r>
      <w:r w:rsidR="0093589A" w:rsidRPr="00515872">
        <w:rPr>
          <w:rFonts w:eastAsia="Times New Roman" w:cs="Tahoma"/>
          <w:szCs w:val="20"/>
          <w:lang w:eastAsia="it-IT"/>
        </w:rPr>
        <w:t xml:space="preserve">di utilizzo della medesima </w:t>
      </w:r>
      <w:r w:rsidR="009B6D09" w:rsidRPr="00515872">
        <w:rPr>
          <w:rFonts w:eastAsia="Times New Roman" w:cs="Tahoma"/>
          <w:szCs w:val="20"/>
          <w:lang w:eastAsia="it-IT"/>
        </w:rPr>
        <w:t xml:space="preserve">eccedenza </w:t>
      </w:r>
      <w:r w:rsidR="0093589A" w:rsidRPr="00515872">
        <w:rPr>
          <w:rFonts w:eastAsia="Times New Roman" w:cs="Tahoma"/>
          <w:szCs w:val="20"/>
          <w:lang w:eastAsia="it-IT"/>
        </w:rPr>
        <w:t>a riduzione del disavanzo 2020 o 2021 derivante dalle minori entrate registrate a seguito dell’epidemia da COVID-19.</w:t>
      </w:r>
      <w:r w:rsidRPr="00515872">
        <w:rPr>
          <w:rFonts w:eastAsia="Times New Roman" w:cs="Tahoma"/>
          <w:szCs w:val="20"/>
          <w:lang w:eastAsia="it-IT"/>
        </w:rPr>
        <w:t xml:space="preserve"> </w:t>
      </w:r>
    </w:p>
    <w:p w14:paraId="2A916589" w14:textId="77777777" w:rsidR="009518AF" w:rsidRPr="00515872" w:rsidRDefault="009518AF" w:rsidP="009518AF">
      <w:pPr>
        <w:spacing w:after="0" w:line="360" w:lineRule="auto"/>
        <w:jc w:val="both"/>
        <w:rPr>
          <w:rFonts w:cs="Tahoma"/>
          <w:b/>
          <w:bCs/>
        </w:rPr>
      </w:pPr>
      <w:r w:rsidRPr="00515872">
        <w:rPr>
          <w:rFonts w:cs="Tahoma"/>
          <w:b/>
          <w:bCs/>
        </w:rPr>
        <w:t>Anticipazione di tesoreria</w:t>
      </w:r>
    </w:p>
    <w:p w14:paraId="26F10FC3" w14:textId="77777777" w:rsidR="009518AF" w:rsidRPr="00515872" w:rsidRDefault="009518AF" w:rsidP="009518AF">
      <w:pPr>
        <w:spacing w:line="360" w:lineRule="auto"/>
        <w:jc w:val="both"/>
        <w:rPr>
          <w:rFonts w:cs="Tahoma"/>
          <w:bCs/>
        </w:rPr>
      </w:pPr>
      <w:r w:rsidRPr="00515872">
        <w:rPr>
          <w:rFonts w:cs="Tahoma"/>
          <w:bCs/>
        </w:rPr>
        <w:t>L'anticipazione di tesoreria ha lo scopo di fronteggiare lo sfasamento temporale che può verificarsi nei flussi delle spese rispetto a quelli delle entrate. Non deve rappresentare una risorsa aggiuntiva per l'ente in quanto si tratta di un affidamento destinato unicamente a garantire l'elasticità di cassa necessaria per lo svolgimento dell'attività ordinaria.</w:t>
      </w:r>
    </w:p>
    <w:p w14:paraId="08F68143" w14:textId="77777777" w:rsidR="002E0399" w:rsidRPr="00515872" w:rsidRDefault="009518AF" w:rsidP="002E0399">
      <w:pPr>
        <w:spacing w:line="360" w:lineRule="auto"/>
        <w:jc w:val="both"/>
        <w:rPr>
          <w:rFonts w:cs="Tahoma"/>
          <w:color w:val="000000"/>
          <w:szCs w:val="20"/>
        </w:rPr>
      </w:pPr>
      <w:r w:rsidRPr="00515872">
        <w:rPr>
          <w:rFonts w:cs="Tahoma"/>
          <w:bCs/>
        </w:rPr>
        <w:t xml:space="preserve">L’anticipazione è attivabile, a norma dell’art. 222 del TUEL, </w:t>
      </w:r>
      <w:r w:rsidRPr="00515872">
        <w:rPr>
          <w:rFonts w:cs="Tahoma"/>
          <w:color w:val="000000"/>
        </w:rPr>
        <w:t xml:space="preserve">entro il limite massimo dei 3/12 delle entrate </w:t>
      </w:r>
      <w:r w:rsidRPr="00515872">
        <w:rPr>
          <w:rFonts w:cs="Tahoma"/>
        </w:rPr>
        <w:t>accertate nel penultimo anno precedente, afferenti per i comuni, le province, le città metropolitane e le unioni di comuni ai primi 3 titoli di entrata del bilancio e per le comunità montane ai primi 2 titoli</w:t>
      </w:r>
      <w:r w:rsidRPr="00515872">
        <w:rPr>
          <w:rFonts w:cs="Tahoma"/>
          <w:color w:val="000000"/>
        </w:rPr>
        <w:t>. Tale limite, a</w:t>
      </w:r>
      <w:r w:rsidRPr="00515872">
        <w:rPr>
          <w:rFonts w:cs="Tahoma"/>
          <w:color w:val="000000"/>
          <w:shd w:val="clear" w:color="auto" w:fill="F9F8F4"/>
        </w:rPr>
        <w:t xml:space="preserve">l </w:t>
      </w:r>
      <w:r w:rsidRPr="00515872">
        <w:rPr>
          <w:rFonts w:cs="Tahoma"/>
          <w:color w:val="000000"/>
        </w:rPr>
        <w:t>fine di agevolare il rispetto dei tempi di pagamento, è stato innalzato</w:t>
      </w:r>
      <w:r w:rsidR="00492BF6" w:rsidRPr="00515872">
        <w:rPr>
          <w:rFonts w:cs="Tahoma"/>
          <w:color w:val="000000"/>
        </w:rPr>
        <w:t xml:space="preserve">, con disposizioni successive, a decorrere dal 2015 e fino al 2022, da </w:t>
      </w:r>
      <w:r w:rsidR="00492BF6" w:rsidRPr="00515872">
        <w:rPr>
          <w:rFonts w:cs="Tahoma"/>
          <w:color w:val="000000"/>
          <w:szCs w:val="20"/>
        </w:rPr>
        <w:t>3/12</w:t>
      </w:r>
      <w:r w:rsidRPr="00515872">
        <w:rPr>
          <w:rFonts w:cs="Tahoma"/>
          <w:color w:val="000000"/>
          <w:szCs w:val="20"/>
        </w:rPr>
        <w:t xml:space="preserve"> a 5/12 </w:t>
      </w:r>
      <w:r w:rsidR="00492BF6" w:rsidRPr="00515872">
        <w:rPr>
          <w:rFonts w:cs="Tahoma"/>
          <w:color w:val="000000"/>
          <w:szCs w:val="20"/>
        </w:rPr>
        <w:t>del totale delle suddette entrate</w:t>
      </w:r>
      <w:r w:rsidRPr="00515872">
        <w:rPr>
          <w:rFonts w:cs="Tahoma"/>
          <w:color w:val="000000"/>
          <w:szCs w:val="20"/>
        </w:rPr>
        <w:t>.</w:t>
      </w:r>
      <w:r w:rsidR="002E0399" w:rsidRPr="00515872">
        <w:rPr>
          <w:rFonts w:cs="Tahoma"/>
          <w:color w:val="000000"/>
          <w:szCs w:val="20"/>
        </w:rPr>
        <w:t xml:space="preserve"> Lo stesso maggior limite è previsto per gli enti locali in dissesto economico-finanziario ai sensi dell'art. 246 del TUEL, che abbiano adottato la deliberazione </w:t>
      </w:r>
      <w:r w:rsidR="00337C5F" w:rsidRPr="00515872">
        <w:rPr>
          <w:rFonts w:cs="Tahoma"/>
          <w:color w:val="000000"/>
          <w:szCs w:val="20"/>
        </w:rPr>
        <w:t>di aumento delle aliquote e tariffe relative alle imposte e tasse di propria spettanza ai sensi de</w:t>
      </w:r>
      <w:r w:rsidR="002E0399" w:rsidRPr="00515872">
        <w:rPr>
          <w:rFonts w:cs="Tahoma"/>
          <w:color w:val="000000"/>
          <w:szCs w:val="20"/>
        </w:rPr>
        <w:t xml:space="preserve">ll'art. 251, c. 1, e che si trovino in condizione di grave indisponibilità di cassa, </w:t>
      </w:r>
      <w:r w:rsidR="002E0399" w:rsidRPr="00515872">
        <w:rPr>
          <w:rFonts w:cs="Tahoma"/>
          <w:b/>
          <w:color w:val="000000"/>
          <w:szCs w:val="20"/>
        </w:rPr>
        <w:t>certificata congiuntamente dal responsabile del servizio finanziario e dall'organo di revisione</w:t>
      </w:r>
      <w:r w:rsidR="002E0399" w:rsidRPr="00515872">
        <w:rPr>
          <w:rFonts w:cs="Tahoma"/>
          <w:color w:val="000000"/>
          <w:szCs w:val="20"/>
        </w:rPr>
        <w:t>.</w:t>
      </w:r>
    </w:p>
    <w:p w14:paraId="73C99D83" w14:textId="77777777" w:rsidR="00C46C81" w:rsidRPr="00515872" w:rsidRDefault="00C45E8E" w:rsidP="002E0399">
      <w:pPr>
        <w:spacing w:line="360" w:lineRule="auto"/>
        <w:jc w:val="both"/>
        <w:rPr>
          <w:rFonts w:cs="Tahoma"/>
          <w:color w:val="000000"/>
          <w:szCs w:val="20"/>
        </w:rPr>
      </w:pPr>
      <w:r w:rsidRPr="00515872">
        <w:rPr>
          <w:rFonts w:cs="Tahoma"/>
          <w:color w:val="000000"/>
          <w:szCs w:val="20"/>
        </w:rPr>
        <w:lastRenderedPageBreak/>
        <w:t xml:space="preserve">Altre disposizioni </w:t>
      </w:r>
      <w:r w:rsidR="00C46C81" w:rsidRPr="00515872">
        <w:rPr>
          <w:rFonts w:cs="Tahoma"/>
          <w:color w:val="000000"/>
          <w:szCs w:val="20"/>
        </w:rPr>
        <w:t>prevedono la concessione di anticipazioni di liquidità per scopi specifici e a condizioni determinate.</w:t>
      </w:r>
    </w:p>
    <w:p w14:paraId="18AC90F2" w14:textId="389D38F0" w:rsidR="002C64C9" w:rsidRPr="00515872" w:rsidRDefault="00C45E8E" w:rsidP="00D921F9">
      <w:pPr>
        <w:spacing w:after="0" w:line="360" w:lineRule="auto"/>
        <w:jc w:val="both"/>
        <w:rPr>
          <w:rFonts w:cs="Tahoma"/>
          <w:szCs w:val="20"/>
          <w:shd w:val="clear" w:color="auto" w:fill="FFFFFF"/>
        </w:rPr>
      </w:pPr>
      <w:r w:rsidRPr="00515872">
        <w:rPr>
          <w:rFonts w:eastAsia="Times New Roman" w:cs="Tahoma"/>
          <w:szCs w:val="20"/>
          <w:lang w:eastAsia="it-IT"/>
        </w:rPr>
        <w:t xml:space="preserve">Ai fini contabili si possono delineare, </w:t>
      </w:r>
      <w:r w:rsidR="002C64C9" w:rsidRPr="00515872">
        <w:rPr>
          <w:rFonts w:eastAsia="Times New Roman" w:cs="Tahoma"/>
          <w:szCs w:val="20"/>
          <w:lang w:eastAsia="it-IT"/>
        </w:rPr>
        <w:t>in linea di massima</w:t>
      </w:r>
      <w:r w:rsidRPr="00515872">
        <w:rPr>
          <w:rFonts w:eastAsia="Times New Roman" w:cs="Tahoma"/>
          <w:szCs w:val="20"/>
          <w:lang w:eastAsia="it-IT"/>
        </w:rPr>
        <w:t xml:space="preserve">, le seguenti </w:t>
      </w:r>
      <w:r w:rsidR="002C64C9" w:rsidRPr="00515872">
        <w:rPr>
          <w:rFonts w:eastAsia="Times New Roman" w:cs="Tahoma"/>
          <w:szCs w:val="20"/>
          <w:lang w:eastAsia="it-IT"/>
        </w:rPr>
        <w:t>divers</w:t>
      </w:r>
      <w:r w:rsidRPr="00515872">
        <w:rPr>
          <w:rFonts w:eastAsia="Times New Roman" w:cs="Tahoma"/>
          <w:szCs w:val="20"/>
          <w:lang w:eastAsia="it-IT"/>
        </w:rPr>
        <w:t xml:space="preserve">e </w:t>
      </w:r>
      <w:r w:rsidR="00F61E9D" w:rsidRPr="00515872">
        <w:rPr>
          <w:rFonts w:eastAsia="Times New Roman" w:cs="Tahoma"/>
          <w:szCs w:val="20"/>
          <w:lang w:eastAsia="it-IT"/>
        </w:rPr>
        <w:t>casistiche</w:t>
      </w:r>
      <w:r w:rsidR="002C64C9" w:rsidRPr="00515872">
        <w:rPr>
          <w:rFonts w:eastAsia="Times New Roman" w:cs="Tahoma"/>
          <w:szCs w:val="20"/>
          <w:lang w:eastAsia="it-IT"/>
        </w:rPr>
        <w:t>:</w:t>
      </w:r>
    </w:p>
    <w:p w14:paraId="2F414C30" w14:textId="77777777" w:rsidR="002C64C9" w:rsidRPr="00515872" w:rsidRDefault="002C64C9" w:rsidP="00C45E8E">
      <w:pPr>
        <w:pStyle w:val="Paragrafoelenco"/>
        <w:numPr>
          <w:ilvl w:val="0"/>
          <w:numId w:val="208"/>
        </w:numPr>
        <w:tabs>
          <w:tab w:val="clear" w:pos="720"/>
          <w:tab w:val="num" w:pos="284"/>
        </w:tabs>
        <w:spacing w:line="360" w:lineRule="auto"/>
        <w:ind w:left="284" w:hanging="284"/>
        <w:jc w:val="both"/>
        <w:rPr>
          <w:rFonts w:cs="Tahoma"/>
          <w:szCs w:val="20"/>
          <w:shd w:val="clear" w:color="auto" w:fill="FFFFFF"/>
        </w:rPr>
      </w:pPr>
      <w:r w:rsidRPr="00515872">
        <w:rPr>
          <w:rFonts w:eastAsia="Times New Roman" w:cs="Tahoma"/>
          <w:szCs w:val="20"/>
          <w:lang w:eastAsia="it-IT"/>
        </w:rPr>
        <w:t>per le anticipazioni che devono essere chiuse entro l’anno, la natura di “anticipazione di liquidità che non comporta risorse aggiuntive” è rappresentata contabilmente dall’imputazione al medesimo esercizio dell’accertamento dell’entrata derivante dall’anticipazione e dell’impegno di spesa concernente il rimborso;</w:t>
      </w:r>
      <w:r w:rsidRPr="00515872">
        <w:rPr>
          <w:rStyle w:val="Rimandonotaapidipagina"/>
          <w:rFonts w:cs="Tahoma"/>
          <w:szCs w:val="20"/>
          <w:shd w:val="clear" w:color="auto" w:fill="FFFFFF"/>
        </w:rPr>
        <w:footnoteReference w:id="31"/>
      </w:r>
    </w:p>
    <w:p w14:paraId="771490B8" w14:textId="77777777" w:rsidR="002C64C9" w:rsidRPr="00515872" w:rsidRDefault="002C64C9" w:rsidP="00C45E8E">
      <w:pPr>
        <w:pStyle w:val="Paragrafoelenco"/>
        <w:numPr>
          <w:ilvl w:val="0"/>
          <w:numId w:val="208"/>
        </w:numPr>
        <w:tabs>
          <w:tab w:val="clear" w:pos="720"/>
          <w:tab w:val="num" w:pos="284"/>
        </w:tabs>
        <w:spacing w:line="360" w:lineRule="auto"/>
        <w:ind w:left="284" w:hanging="284"/>
        <w:jc w:val="both"/>
        <w:rPr>
          <w:rFonts w:cs="Tahoma"/>
          <w:szCs w:val="20"/>
          <w:shd w:val="clear" w:color="auto" w:fill="FFFFFF"/>
        </w:rPr>
      </w:pPr>
      <w:r w:rsidRPr="00515872">
        <w:rPr>
          <w:rFonts w:eastAsia="Times New Roman" w:cs="Tahoma"/>
          <w:szCs w:val="20"/>
          <w:lang w:eastAsia="it-IT"/>
        </w:rPr>
        <w:t>per le anticipazioni di liquidità che non devono essere chiuse entro l’anno (a rimborso pluriennale), l’evidenza contabile della natura di “anticipazione di liquidità che non comporta risorse aggiuntive” è costituita dall’iscrizione di un fondo anticipazione di liquidità nel titolo IV della spesa, di importo pari alle anticipazioni di liquidità incassate nell’esercizio e non restituite, non impegnabile e pagabile, destinato a confluire nel risultato di amministrazione, come quota accantonata. Il meccanismo di creazione del fondo con corrispondente accantonamento in ogni caso costituisce strumento di sterilizzazione degli effetti espansivi della spesa e non deve costituire forma surrettizia di copertura di spese;</w:t>
      </w:r>
    </w:p>
    <w:p w14:paraId="6B00E764" w14:textId="77777777" w:rsidR="0061180B" w:rsidRPr="00515872" w:rsidRDefault="002C64C9" w:rsidP="00C45E8E">
      <w:pPr>
        <w:pStyle w:val="Paragrafoelenco"/>
        <w:numPr>
          <w:ilvl w:val="0"/>
          <w:numId w:val="208"/>
        </w:numPr>
        <w:tabs>
          <w:tab w:val="clear" w:pos="720"/>
          <w:tab w:val="num" w:pos="284"/>
        </w:tabs>
        <w:spacing w:line="360" w:lineRule="auto"/>
        <w:ind w:left="284" w:hanging="284"/>
        <w:jc w:val="both"/>
        <w:rPr>
          <w:rFonts w:cs="Tahoma"/>
          <w:szCs w:val="20"/>
          <w:shd w:val="clear" w:color="auto" w:fill="FFFFFF"/>
        </w:rPr>
      </w:pPr>
      <w:r w:rsidRPr="00515872">
        <w:rPr>
          <w:rFonts w:eastAsia="Times New Roman" w:cs="Tahoma"/>
          <w:szCs w:val="20"/>
          <w:lang w:eastAsia="it-IT"/>
        </w:rPr>
        <w:t>per la registrazione delle anticipazioni di liquidità di cui al D.L. 8 aprile 2013, n. 35, convertito, con modificazioni, dalla L. 6 giugno 2013, n. 4, e successivi rifinanziamenti</w:t>
      </w:r>
      <w:r w:rsidR="0061180B" w:rsidRPr="00515872">
        <w:rPr>
          <w:rFonts w:eastAsia="Times New Roman" w:cs="Tahoma"/>
          <w:szCs w:val="20"/>
          <w:lang w:eastAsia="it-IT"/>
        </w:rPr>
        <w:t xml:space="preserve"> </w:t>
      </w:r>
      <w:r w:rsidR="0061180B" w:rsidRPr="00515872">
        <w:rPr>
          <w:rFonts w:cs="Tahoma"/>
          <w:lang w:bidi="he-IL"/>
        </w:rPr>
        <w:t>gli enti locali applicano</w:t>
      </w:r>
      <w:r w:rsidR="0061180B" w:rsidRPr="00515872">
        <w:rPr>
          <w:rFonts w:cs="Tahoma"/>
        </w:rPr>
        <w:t xml:space="preserve"> l’art. 52, c. 1-ter, D.L. 25 maggio 2021, n. 73, c</w:t>
      </w:r>
      <w:r w:rsidR="00CD4264" w:rsidRPr="00515872">
        <w:rPr>
          <w:rFonts w:cs="Tahoma"/>
        </w:rPr>
        <w:t>onvertito, con modificazioni, da</w:t>
      </w:r>
      <w:r w:rsidR="0061180B" w:rsidRPr="00515872">
        <w:rPr>
          <w:rFonts w:cs="Tahoma"/>
        </w:rPr>
        <w:t>lla L. 23 luglio 2021, n. 106</w:t>
      </w:r>
      <w:r w:rsidR="0061180B" w:rsidRPr="00515872">
        <w:rPr>
          <w:rStyle w:val="Rimandonotaapidipagina"/>
          <w:rFonts w:cs="Tahoma"/>
        </w:rPr>
        <w:footnoteReference w:id="32"/>
      </w:r>
      <w:r w:rsidR="0061180B" w:rsidRPr="00515872">
        <w:rPr>
          <w:rFonts w:eastAsia="Times New Roman" w:cs="Tahoma"/>
          <w:szCs w:val="20"/>
          <w:lang w:eastAsia="it-IT"/>
        </w:rPr>
        <w:t>;</w:t>
      </w:r>
    </w:p>
    <w:p w14:paraId="1CB9CD9C" w14:textId="77777777" w:rsidR="0061180B" w:rsidRPr="00515872" w:rsidRDefault="0061180B" w:rsidP="00C45E8E">
      <w:pPr>
        <w:pStyle w:val="Paragrafoelenco"/>
        <w:numPr>
          <w:ilvl w:val="0"/>
          <w:numId w:val="208"/>
        </w:numPr>
        <w:tabs>
          <w:tab w:val="clear" w:pos="720"/>
          <w:tab w:val="num" w:pos="284"/>
        </w:tabs>
        <w:spacing w:line="360" w:lineRule="auto"/>
        <w:ind w:left="284" w:hanging="284"/>
        <w:jc w:val="both"/>
        <w:rPr>
          <w:rFonts w:cs="Tahoma"/>
          <w:szCs w:val="20"/>
          <w:shd w:val="clear" w:color="auto" w:fill="FFFFFF"/>
        </w:rPr>
      </w:pPr>
      <w:r w:rsidRPr="00515872">
        <w:rPr>
          <w:rFonts w:cs="Tahoma"/>
          <w:lang w:bidi="he-IL"/>
        </w:rPr>
        <w:t xml:space="preserve">per le anticipazioni di cui all’articolo 243-quinquies del </w:t>
      </w:r>
      <w:r w:rsidR="00CD4264" w:rsidRPr="00515872">
        <w:rPr>
          <w:rFonts w:cs="Tahoma"/>
          <w:lang w:bidi="he-IL"/>
        </w:rPr>
        <w:t>TUEL</w:t>
      </w:r>
      <w:r w:rsidRPr="00515872">
        <w:rPr>
          <w:rFonts w:cs="Tahoma"/>
          <w:lang w:bidi="he-IL"/>
        </w:rPr>
        <w:t>, gli enti locali applicano le modalità di contabilizzazione definite in sede</w:t>
      </w:r>
      <w:r w:rsidR="00CD4264" w:rsidRPr="00515872">
        <w:rPr>
          <w:rFonts w:cs="Tahoma"/>
          <w:lang w:bidi="he-IL"/>
        </w:rPr>
        <w:t xml:space="preserve"> nomofilattica dalla Corte dei Conti (deliberazioni della Sez.</w:t>
      </w:r>
      <w:r w:rsidRPr="00515872">
        <w:rPr>
          <w:rFonts w:cs="Tahoma"/>
          <w:lang w:bidi="he-IL"/>
        </w:rPr>
        <w:t xml:space="preserve"> </w:t>
      </w:r>
      <w:r w:rsidR="00CD4264" w:rsidRPr="00515872">
        <w:rPr>
          <w:rFonts w:cs="Tahoma"/>
          <w:lang w:bidi="he-IL"/>
        </w:rPr>
        <w:t>A</w:t>
      </w:r>
      <w:r w:rsidRPr="00515872">
        <w:rPr>
          <w:rFonts w:cs="Tahoma"/>
          <w:lang w:bidi="he-IL"/>
        </w:rPr>
        <w:t xml:space="preserve">utonomie </w:t>
      </w:r>
      <w:proofErr w:type="spellStart"/>
      <w:r w:rsidRPr="00515872">
        <w:rPr>
          <w:rFonts w:cs="Tahoma"/>
          <w:lang w:bidi="he-IL"/>
        </w:rPr>
        <w:t>n</w:t>
      </w:r>
      <w:r w:rsidR="00CD4264" w:rsidRPr="00515872">
        <w:rPr>
          <w:rFonts w:cs="Tahoma"/>
          <w:lang w:bidi="he-IL"/>
        </w:rPr>
        <w:t>n</w:t>
      </w:r>
      <w:proofErr w:type="spellEnd"/>
      <w:r w:rsidRPr="00515872">
        <w:rPr>
          <w:rFonts w:cs="Tahoma"/>
          <w:lang w:bidi="he-IL"/>
        </w:rPr>
        <w:t>. 33/2015 e 28/2017);</w:t>
      </w:r>
    </w:p>
    <w:p w14:paraId="1F118AE7" w14:textId="77777777" w:rsidR="0061180B" w:rsidRPr="00515872" w:rsidRDefault="0061180B" w:rsidP="00C45E8E">
      <w:pPr>
        <w:pStyle w:val="Paragrafoelenco"/>
        <w:numPr>
          <w:ilvl w:val="0"/>
          <w:numId w:val="208"/>
        </w:numPr>
        <w:tabs>
          <w:tab w:val="clear" w:pos="720"/>
          <w:tab w:val="num" w:pos="284"/>
        </w:tabs>
        <w:spacing w:line="360" w:lineRule="auto"/>
        <w:ind w:left="284" w:hanging="284"/>
        <w:jc w:val="both"/>
        <w:rPr>
          <w:rFonts w:cs="Tahoma"/>
          <w:szCs w:val="20"/>
          <w:shd w:val="clear" w:color="auto" w:fill="FFFFFF"/>
        </w:rPr>
      </w:pPr>
      <w:r w:rsidRPr="00515872">
        <w:rPr>
          <w:rFonts w:cs="Tahoma"/>
          <w:lang w:bidi="he-IL"/>
        </w:rPr>
        <w:t>per le anticipazioni di liquidità concesse a valere sul fondo di rotazione di cui all’art. 243-ter</w:t>
      </w:r>
      <w:r w:rsidR="005C24D2" w:rsidRPr="00515872">
        <w:rPr>
          <w:rFonts w:cs="Tahoma"/>
          <w:lang w:bidi="he-IL"/>
        </w:rPr>
        <w:t>, TUEL</w:t>
      </w:r>
      <w:r w:rsidRPr="00515872">
        <w:rPr>
          <w:rFonts w:cs="Tahoma"/>
          <w:lang w:bidi="he-IL"/>
        </w:rPr>
        <w:t xml:space="preserve">, </w:t>
      </w:r>
      <w:r w:rsidR="00CD4264" w:rsidRPr="00515872">
        <w:rPr>
          <w:rFonts w:cs="Tahoma"/>
          <w:lang w:bidi="he-IL"/>
        </w:rPr>
        <w:t xml:space="preserve">gli enti </w:t>
      </w:r>
      <w:r w:rsidRPr="00515872">
        <w:rPr>
          <w:rFonts w:cs="Tahoma"/>
          <w:lang w:bidi="he-IL"/>
        </w:rPr>
        <w:t xml:space="preserve">applicano le modalità di contabilizzazione definite dalla deliberazione della </w:t>
      </w:r>
      <w:r w:rsidR="00CD4264" w:rsidRPr="00515872">
        <w:rPr>
          <w:rFonts w:cs="Tahoma"/>
          <w:lang w:bidi="he-IL"/>
        </w:rPr>
        <w:t>Sez. Autonomie n. 14 del 2013, salva</w:t>
      </w:r>
      <w:r w:rsidRPr="00515872">
        <w:rPr>
          <w:rFonts w:cs="Tahoma"/>
          <w:lang w:bidi="he-IL"/>
        </w:rPr>
        <w:t xml:space="preserve"> l’ipotesi di cui all’art. 43, </w:t>
      </w:r>
      <w:r w:rsidR="005C24D2" w:rsidRPr="00515872">
        <w:rPr>
          <w:rFonts w:cs="Tahoma"/>
          <w:lang w:bidi="he-IL"/>
        </w:rPr>
        <w:t>D.L.</w:t>
      </w:r>
      <w:r w:rsidRPr="00515872">
        <w:rPr>
          <w:rFonts w:cs="Tahoma"/>
          <w:lang w:bidi="he-IL"/>
        </w:rPr>
        <w:t xml:space="preserve"> n. 133</w:t>
      </w:r>
      <w:r w:rsidR="00CD4264" w:rsidRPr="00515872">
        <w:rPr>
          <w:rFonts w:cs="Tahoma"/>
          <w:lang w:bidi="he-IL"/>
        </w:rPr>
        <w:t>/2014</w:t>
      </w:r>
      <w:r w:rsidRPr="00515872">
        <w:rPr>
          <w:rFonts w:cs="Tahoma"/>
          <w:lang w:bidi="he-IL"/>
        </w:rPr>
        <w:t>, il quale prevede che “</w:t>
      </w:r>
      <w:r w:rsidRPr="00515872">
        <w:rPr>
          <w:rFonts w:cs="Tahoma"/>
          <w:i/>
          <w:lang w:bidi="he-IL"/>
        </w:rPr>
        <w:t>Nel caso di utilizzo delle risorse del "Fondo di rotazione per assicurare la stabilità finanziaria degli enti locali" di cui all'articolo 243-ter del decreto legislativo n. 267 del 2000 secondo quanto previsto dal comma 1, gli enti locali interessati iscrivono le risorse ottenute in entrata nel titolo secondo, categoria 01, voce economica 00</w:t>
      </w:r>
      <w:r w:rsidRPr="00515872">
        <w:rPr>
          <w:rFonts w:cs="Tahoma"/>
          <w:lang w:bidi="he-IL"/>
        </w:rPr>
        <w:t xml:space="preserve">, </w:t>
      </w:r>
      <w:r w:rsidRPr="00515872">
        <w:rPr>
          <w:rFonts w:cs="Tahoma"/>
          <w:i/>
          <w:lang w:bidi="he-IL"/>
        </w:rPr>
        <w:t>codice SIOPE 2102. La restit</w:t>
      </w:r>
      <w:r w:rsidR="005C24D2" w:rsidRPr="00515872">
        <w:rPr>
          <w:rFonts w:cs="Tahoma"/>
          <w:i/>
          <w:lang w:bidi="he-IL"/>
        </w:rPr>
        <w:t>uzione delle medesime risorse è</w:t>
      </w:r>
      <w:r w:rsidRPr="00515872">
        <w:rPr>
          <w:rFonts w:cs="Tahoma"/>
          <w:i/>
          <w:lang w:bidi="he-IL"/>
        </w:rPr>
        <w:t xml:space="preserve"> iscritta in spesa al titolo primo, intervento 05, voce economica 15, </w:t>
      </w:r>
      <w:r w:rsidRPr="00515872">
        <w:rPr>
          <w:rFonts w:cs="Tahoma"/>
          <w:i/>
          <w:lang w:bidi="he-IL"/>
        </w:rPr>
        <w:lastRenderedPageBreak/>
        <w:t>codice SIOPE 1570</w:t>
      </w:r>
      <w:r w:rsidRPr="00515872">
        <w:rPr>
          <w:rFonts w:cs="Tahoma"/>
          <w:lang w:bidi="he-IL"/>
        </w:rPr>
        <w:t>”. Al riguardo, si richiama la delibera</w:t>
      </w:r>
      <w:r w:rsidR="00CD4264" w:rsidRPr="00515872">
        <w:rPr>
          <w:rFonts w:cs="Tahoma"/>
          <w:lang w:bidi="he-IL"/>
        </w:rPr>
        <w:t xml:space="preserve"> n. 6 del 2018 della Corte dei C</w:t>
      </w:r>
      <w:r w:rsidRPr="00515872">
        <w:rPr>
          <w:rFonts w:cs="Tahoma"/>
          <w:lang w:bidi="he-IL"/>
        </w:rPr>
        <w:t>onti – Sez</w:t>
      </w:r>
      <w:r w:rsidR="00CD4264" w:rsidRPr="00515872">
        <w:rPr>
          <w:rFonts w:cs="Tahoma"/>
          <w:lang w:bidi="he-IL"/>
        </w:rPr>
        <w:t xml:space="preserve">. Reg. </w:t>
      </w:r>
      <w:r w:rsidRPr="00515872">
        <w:rPr>
          <w:rFonts w:cs="Tahoma"/>
          <w:lang w:bidi="he-IL"/>
        </w:rPr>
        <w:t>di controllo per il Lazio “</w:t>
      </w:r>
      <w:r w:rsidRPr="00515872">
        <w:rPr>
          <w:rFonts w:cs="Tahoma"/>
          <w:i/>
          <w:lang w:bidi="he-IL"/>
        </w:rPr>
        <w:t>L’art. 43 del DL 12 settembre 2014, n. 133 ha successivamente riconosciuto agli enti locali la possibilità di impiegare il fondo non solo con finalità di anticipazione di cassa, ma anche con funzione di copertura, espressamente prevedendo l’utilizzo delle relative risorse tra le misure di cui alla lettera c del comma 6 dell’art. 243-bis necessarie per il ripiano del disavanzo di amministrazione e per il finanziamento dei debiti fuori bilanci.</w:t>
      </w:r>
      <w:r w:rsidRPr="00515872">
        <w:rPr>
          <w:rFonts w:cs="Tahoma"/>
          <w:lang w:bidi="he-IL"/>
        </w:rPr>
        <w:t>”</w:t>
      </w:r>
    </w:p>
    <w:p w14:paraId="7F0A805A" w14:textId="77777777" w:rsidR="002B658F" w:rsidRPr="00515872" w:rsidRDefault="002B658F" w:rsidP="002B658F">
      <w:pPr>
        <w:spacing w:line="360" w:lineRule="auto"/>
        <w:jc w:val="both"/>
        <w:rPr>
          <w:rFonts w:cs="Tahoma"/>
          <w:szCs w:val="20"/>
          <w:shd w:val="clear" w:color="auto" w:fill="FFFFFF"/>
        </w:rPr>
      </w:pPr>
      <w:r w:rsidRPr="00515872">
        <w:rPr>
          <w:rFonts w:cs="Tahoma"/>
          <w:color w:val="000000"/>
        </w:rPr>
        <w:t xml:space="preserve">Le entrate derivanti dalle anticipazioni di tesoreria e le corrispondenti spese riguardanti la </w:t>
      </w:r>
      <w:r w:rsidR="007F339D" w:rsidRPr="00515872">
        <w:rPr>
          <w:rFonts w:cs="Tahoma"/>
          <w:color w:val="000000"/>
        </w:rPr>
        <w:t xml:space="preserve">loro </w:t>
      </w:r>
      <w:r w:rsidRPr="00515872">
        <w:rPr>
          <w:rFonts w:cs="Tahoma"/>
          <w:color w:val="000000"/>
        </w:rPr>
        <w:t xml:space="preserve">chiusura sono contabilizzate nel rispetto del principio contabile generale n. 4, dell’integrità, </w:t>
      </w:r>
      <w:r w:rsidR="007F339D" w:rsidRPr="00515872">
        <w:rPr>
          <w:rFonts w:cs="Tahoma"/>
          <w:color w:val="000000"/>
        </w:rPr>
        <w:t>a mente del</w:t>
      </w:r>
      <w:r w:rsidRPr="00515872">
        <w:rPr>
          <w:rFonts w:cs="Tahoma"/>
          <w:color w:val="000000"/>
        </w:rPr>
        <w:t xml:space="preserve"> quale le entrate e le spese devono essere registrate per il loro intero importo, al lordo delle correlate spese e entrate.</w:t>
      </w:r>
    </w:p>
    <w:p w14:paraId="50EB04FD" w14:textId="77777777" w:rsidR="009518AF" w:rsidRPr="00515872" w:rsidRDefault="009518AF" w:rsidP="009518AF">
      <w:pPr>
        <w:spacing w:line="360" w:lineRule="auto"/>
        <w:jc w:val="both"/>
        <w:rPr>
          <w:rFonts w:cs="Tahoma"/>
          <w:bCs/>
        </w:rPr>
      </w:pPr>
      <w:r w:rsidRPr="00515872">
        <w:rPr>
          <w:rFonts w:cs="Tahoma"/>
          <w:bCs/>
        </w:rPr>
        <w:t xml:space="preserve">Gli stanziamenti riguardanti i rimborsi delle anticipazioni di tesoreria </w:t>
      </w:r>
      <w:r w:rsidRPr="00515872">
        <w:rPr>
          <w:rFonts w:cs="Tahoma"/>
          <w:b/>
          <w:bCs/>
        </w:rPr>
        <w:t>non hanno</w:t>
      </w:r>
      <w:r w:rsidRPr="00515872">
        <w:rPr>
          <w:rFonts w:cs="Tahoma"/>
          <w:bCs/>
        </w:rPr>
        <w:t xml:space="preserve"> carattere autorizzatorio.</w:t>
      </w:r>
    </w:p>
    <w:p w14:paraId="632B4755" w14:textId="77777777" w:rsidR="002E0399" w:rsidRPr="00515872" w:rsidRDefault="002C64C9" w:rsidP="00D921F9">
      <w:pPr>
        <w:spacing w:after="0" w:line="360" w:lineRule="auto"/>
        <w:jc w:val="both"/>
        <w:rPr>
          <w:rFonts w:cs="Tahoma"/>
          <w:color w:val="000000"/>
        </w:rPr>
      </w:pPr>
      <w:r w:rsidRPr="00515872">
        <w:rPr>
          <w:rFonts w:cs="Tahoma"/>
          <w:lang w:bidi="he-IL"/>
        </w:rPr>
        <w:t>Il principio contabile prevede che l</w:t>
      </w:r>
      <w:r w:rsidR="00E741D0" w:rsidRPr="00515872">
        <w:rPr>
          <w:rFonts w:cs="Tahoma"/>
          <w:lang w:bidi="he-IL"/>
        </w:rPr>
        <w:t>e altre anticipazioni di liquidità</w:t>
      </w:r>
      <w:r w:rsidR="002E0399" w:rsidRPr="00515872">
        <w:rPr>
          <w:rFonts w:cs="Tahoma"/>
          <w:lang w:bidi="he-IL"/>
        </w:rPr>
        <w:t xml:space="preserve"> diverse da</w:t>
      </w:r>
      <w:r w:rsidRPr="00515872">
        <w:rPr>
          <w:rFonts w:cs="Tahoma"/>
          <w:lang w:bidi="he-IL"/>
        </w:rPr>
        <w:t xml:space="preserve"> quelle che non costituiscono indebitamento</w:t>
      </w:r>
      <w:r w:rsidR="002E0399" w:rsidRPr="00515872">
        <w:rPr>
          <w:rFonts w:cs="Tahoma"/>
          <w:lang w:bidi="he-IL"/>
        </w:rPr>
        <w:t xml:space="preserve">, sono registrate tra le accensioni di presiti. Qualora le stesse non siano rimborsate </w:t>
      </w:r>
      <w:r w:rsidR="00E741D0" w:rsidRPr="00515872">
        <w:rPr>
          <w:rFonts w:cs="Tahoma"/>
          <w:lang w:bidi="he-IL"/>
        </w:rPr>
        <w:t>entro l’esercizio</w:t>
      </w:r>
      <w:r w:rsidR="002E0399" w:rsidRPr="00515872">
        <w:rPr>
          <w:rFonts w:cs="Tahoma"/>
          <w:lang w:bidi="he-IL"/>
        </w:rPr>
        <w:t>,</w:t>
      </w:r>
      <w:r w:rsidR="00E741D0" w:rsidRPr="00515872">
        <w:rPr>
          <w:rFonts w:cs="Tahoma"/>
          <w:lang w:bidi="he-IL"/>
        </w:rPr>
        <w:t xml:space="preserve"> sono registrate come segue:</w:t>
      </w:r>
      <w:bookmarkStart w:id="87" w:name="_Hlk1325613"/>
    </w:p>
    <w:p w14:paraId="0E5C7787" w14:textId="77777777" w:rsidR="007F339D" w:rsidRPr="00515872" w:rsidRDefault="00E741D0" w:rsidP="00CD4264">
      <w:pPr>
        <w:pStyle w:val="Paragrafoelenco"/>
        <w:numPr>
          <w:ilvl w:val="0"/>
          <w:numId w:val="208"/>
        </w:numPr>
        <w:tabs>
          <w:tab w:val="clear" w:pos="720"/>
          <w:tab w:val="num" w:pos="284"/>
        </w:tabs>
        <w:spacing w:line="360" w:lineRule="auto"/>
        <w:ind w:left="284" w:hanging="284"/>
        <w:jc w:val="both"/>
        <w:rPr>
          <w:rFonts w:cs="Tahoma"/>
          <w:color w:val="000000"/>
        </w:rPr>
      </w:pPr>
      <w:r w:rsidRPr="00515872">
        <w:rPr>
          <w:rFonts w:cs="Tahoma"/>
          <w:lang w:bidi="he-IL"/>
        </w:rPr>
        <w:t xml:space="preserve">le entrate derivanti dall’anticipazione sono accertate nel titolo </w:t>
      </w:r>
      <w:r w:rsidR="007F339D" w:rsidRPr="00515872">
        <w:rPr>
          <w:rFonts w:cs="Tahoma"/>
          <w:lang w:bidi="he-IL"/>
        </w:rPr>
        <w:t>VI</w:t>
      </w:r>
      <w:r w:rsidRPr="00515872">
        <w:rPr>
          <w:rFonts w:cs="Tahoma"/>
          <w:lang w:bidi="he-IL"/>
        </w:rPr>
        <w:t xml:space="preserve"> delle entrate “Accensione di prestiti”;</w:t>
      </w:r>
      <w:bookmarkEnd w:id="87"/>
    </w:p>
    <w:p w14:paraId="0C621BE3" w14:textId="77777777" w:rsidR="007F339D" w:rsidRPr="00515872" w:rsidRDefault="00E741D0" w:rsidP="00CD4264">
      <w:pPr>
        <w:pStyle w:val="Paragrafoelenco"/>
        <w:numPr>
          <w:ilvl w:val="0"/>
          <w:numId w:val="208"/>
        </w:numPr>
        <w:tabs>
          <w:tab w:val="clear" w:pos="720"/>
          <w:tab w:val="num" w:pos="284"/>
        </w:tabs>
        <w:spacing w:line="360" w:lineRule="auto"/>
        <w:ind w:left="284" w:hanging="284"/>
        <w:jc w:val="both"/>
        <w:rPr>
          <w:rFonts w:cs="Tahoma"/>
          <w:color w:val="000000"/>
        </w:rPr>
      </w:pPr>
      <w:r w:rsidRPr="00515872">
        <w:rPr>
          <w:rFonts w:cs="Tahoma"/>
          <w:lang w:bidi="he-IL"/>
        </w:rPr>
        <w:t xml:space="preserve">nel titolo </w:t>
      </w:r>
      <w:r w:rsidR="007F339D" w:rsidRPr="00515872">
        <w:rPr>
          <w:rFonts w:cs="Tahoma"/>
          <w:lang w:bidi="he-IL"/>
        </w:rPr>
        <w:t>IV</w:t>
      </w:r>
      <w:r w:rsidRPr="00515872">
        <w:rPr>
          <w:rFonts w:cs="Tahoma"/>
          <w:lang w:bidi="he-IL"/>
        </w:rPr>
        <w:t xml:space="preserve"> di spesa, riguardante il rimborso dei prestiti, è iscritto un fondo anticipazione di liquidità, di importo pari alle anticipazioni accertate nell'esercizio, non impegnabile e pagabile, destinato a confluire nel risultato di amministrazione, come quota accantonata;</w:t>
      </w:r>
    </w:p>
    <w:p w14:paraId="2AD47C87" w14:textId="77777777" w:rsidR="007F339D" w:rsidRPr="00515872" w:rsidRDefault="00E741D0" w:rsidP="00CD4264">
      <w:pPr>
        <w:pStyle w:val="Paragrafoelenco"/>
        <w:numPr>
          <w:ilvl w:val="0"/>
          <w:numId w:val="208"/>
        </w:numPr>
        <w:tabs>
          <w:tab w:val="clear" w:pos="720"/>
          <w:tab w:val="num" w:pos="284"/>
        </w:tabs>
        <w:spacing w:line="360" w:lineRule="auto"/>
        <w:ind w:left="284" w:hanging="284"/>
        <w:jc w:val="both"/>
        <w:rPr>
          <w:rFonts w:cs="Tahoma"/>
          <w:color w:val="000000"/>
        </w:rPr>
      </w:pPr>
      <w:r w:rsidRPr="00515872">
        <w:rPr>
          <w:rFonts w:cs="Tahoma"/>
          <w:lang w:bidi="he-IL"/>
        </w:rPr>
        <w:t xml:space="preserve">a seguito dell’incasso dell’anticipazione, le rate annuali di rimborso dell’anticipazione sono impegnate con imputazione a ciascuno degli esercizi in cui devono essere pagate (la quota capitale nel titolo </w:t>
      </w:r>
      <w:r w:rsidR="007F339D" w:rsidRPr="00515872">
        <w:rPr>
          <w:rFonts w:cs="Tahoma"/>
          <w:lang w:bidi="he-IL"/>
        </w:rPr>
        <w:t>IV</w:t>
      </w:r>
      <w:r w:rsidRPr="00515872">
        <w:rPr>
          <w:rFonts w:cs="Tahoma"/>
          <w:lang w:bidi="he-IL"/>
        </w:rPr>
        <w:t xml:space="preserve"> del rimborso prestiti e la quota interessi nel titolo </w:t>
      </w:r>
      <w:r w:rsidR="007F339D" w:rsidRPr="00515872">
        <w:rPr>
          <w:rFonts w:cs="Tahoma"/>
          <w:lang w:bidi="he-IL"/>
        </w:rPr>
        <w:t>I</w:t>
      </w:r>
      <w:r w:rsidRPr="00515872">
        <w:rPr>
          <w:rFonts w:cs="Tahoma"/>
          <w:lang w:bidi="he-IL"/>
        </w:rPr>
        <w:t xml:space="preserve"> delle spese correnti).</w:t>
      </w:r>
      <w:r w:rsidRPr="00515872">
        <w:rPr>
          <w:rFonts w:cs="Tahoma"/>
        </w:rPr>
        <w:t xml:space="preserve"> Per gli esercizi ancora non gestiti, si predispone l’impegno automatico, sempre sulla base del piano di ammortamento dell’anticipazione</w:t>
      </w:r>
      <w:r w:rsidRPr="00515872">
        <w:rPr>
          <w:rFonts w:cs="Tahoma"/>
          <w:lang w:bidi="he-IL"/>
        </w:rPr>
        <w:t>;</w:t>
      </w:r>
    </w:p>
    <w:p w14:paraId="34BA0F33" w14:textId="77777777" w:rsidR="00714F17" w:rsidRPr="00515872" w:rsidRDefault="00E741D0" w:rsidP="00CD4264">
      <w:pPr>
        <w:pStyle w:val="Paragrafoelenco"/>
        <w:numPr>
          <w:ilvl w:val="0"/>
          <w:numId w:val="208"/>
        </w:numPr>
        <w:tabs>
          <w:tab w:val="clear" w:pos="720"/>
          <w:tab w:val="num" w:pos="284"/>
        </w:tabs>
        <w:spacing w:line="360" w:lineRule="auto"/>
        <w:ind w:left="284" w:hanging="284"/>
        <w:jc w:val="both"/>
        <w:rPr>
          <w:rFonts w:cs="Tahoma"/>
          <w:color w:val="000000"/>
        </w:rPr>
      </w:pPr>
      <w:r w:rsidRPr="00515872">
        <w:rPr>
          <w:rFonts w:cs="Tahoma"/>
          <w:lang w:bidi="he-IL"/>
        </w:rPr>
        <w:t>il fondo di cui al</w:t>
      </w:r>
      <w:r w:rsidR="007F339D" w:rsidRPr="00515872">
        <w:rPr>
          <w:rFonts w:cs="Tahoma"/>
          <w:lang w:bidi="he-IL"/>
        </w:rPr>
        <w:t xml:space="preserve"> secondo punto</w:t>
      </w:r>
      <w:r w:rsidRPr="00515872">
        <w:rPr>
          <w:rFonts w:cs="Tahoma"/>
          <w:lang w:bidi="he-IL"/>
        </w:rPr>
        <w:t xml:space="preserve"> è iscritto in entrata del bilancio dell’esercizio successivo, come quota del risultato di amministrazione presunto, per un importo corrispondente al fondo risultante dal relativo prospetto dimostrativo, ed è </w:t>
      </w:r>
      <w:proofErr w:type="spellStart"/>
      <w:r w:rsidRPr="00515872">
        <w:rPr>
          <w:rFonts w:cs="Tahoma"/>
          <w:lang w:bidi="he-IL"/>
        </w:rPr>
        <w:t>reiscritto</w:t>
      </w:r>
      <w:proofErr w:type="spellEnd"/>
      <w:r w:rsidRPr="00515872">
        <w:rPr>
          <w:rFonts w:cs="Tahoma"/>
          <w:lang w:bidi="he-IL"/>
        </w:rPr>
        <w:t xml:space="preserve"> in spesa al netto del rimborso dell’anticipazione ef</w:t>
      </w:r>
      <w:r w:rsidR="00714F17" w:rsidRPr="00515872">
        <w:rPr>
          <w:rFonts w:cs="Tahoma"/>
          <w:lang w:bidi="he-IL"/>
        </w:rPr>
        <w:t>fettuato nell’esercizio.</w:t>
      </w:r>
    </w:p>
    <w:p w14:paraId="60E5EE4B" w14:textId="77777777" w:rsidR="009518AF" w:rsidRPr="00515872" w:rsidRDefault="009518AF" w:rsidP="009518AF">
      <w:pPr>
        <w:spacing w:after="0" w:line="360" w:lineRule="auto"/>
        <w:jc w:val="both"/>
        <w:rPr>
          <w:rFonts w:cs="Tahoma"/>
          <w:b/>
          <w:szCs w:val="20"/>
        </w:rPr>
      </w:pPr>
      <w:r w:rsidRPr="00515872">
        <w:rPr>
          <w:rFonts w:cs="Tahoma"/>
          <w:b/>
          <w:szCs w:val="20"/>
        </w:rPr>
        <w:t>Entrate per conto terzi e partite di giro</w:t>
      </w:r>
    </w:p>
    <w:p w14:paraId="6FF39A1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obbligazioni giuridicamente perfezionate che danno luogo ad entrate per conto terzi e relative a partite di giro sono registrate e imputate all'esercizio in cui l'obbligazione è perfezionata e non in quello in cui la stessa è esigibile, in deroga al principio contabile generale.</w:t>
      </w:r>
    </w:p>
    <w:p w14:paraId="6F6C8029" w14:textId="77777777" w:rsidR="007E176C" w:rsidRPr="00515872" w:rsidRDefault="007E176C" w:rsidP="009518AF">
      <w:pPr>
        <w:spacing w:line="360" w:lineRule="auto"/>
        <w:jc w:val="both"/>
        <w:rPr>
          <w:rFonts w:eastAsia="Times New Roman" w:cs="Tahoma"/>
          <w:szCs w:val="20"/>
          <w:lang w:eastAsia="it-IT"/>
        </w:rPr>
      </w:pPr>
    </w:p>
    <w:p w14:paraId="307D8A20" w14:textId="77777777" w:rsidR="007E176C" w:rsidRPr="00515872" w:rsidRDefault="007E176C" w:rsidP="009518AF">
      <w:pPr>
        <w:spacing w:line="360" w:lineRule="auto"/>
        <w:jc w:val="both"/>
        <w:rPr>
          <w:rFonts w:eastAsia="Times New Roman" w:cs="Tahoma"/>
          <w:szCs w:val="20"/>
          <w:lang w:eastAsia="it-IT"/>
        </w:rPr>
      </w:pPr>
    </w:p>
    <w:p w14:paraId="5B28B063" w14:textId="77777777" w:rsidR="00277513" w:rsidRPr="00515872" w:rsidRDefault="00277513" w:rsidP="009518AF">
      <w:pPr>
        <w:pStyle w:val="Sottoparagrafo"/>
        <w:rPr>
          <w:rFonts w:cs="Tahoma"/>
          <w:highlight w:val="yellow"/>
        </w:rPr>
      </w:pPr>
      <w:bookmarkStart w:id="88" w:name="_Toc521317075"/>
    </w:p>
    <w:p w14:paraId="430399BC" w14:textId="77777777" w:rsidR="009518AF" w:rsidRPr="00515872" w:rsidRDefault="009518AF" w:rsidP="009518AF">
      <w:pPr>
        <w:pStyle w:val="Sottoparagrafo"/>
        <w:rPr>
          <w:rFonts w:cs="Tahoma"/>
        </w:rPr>
      </w:pPr>
      <w:bookmarkStart w:id="89" w:name="_Toc95912252"/>
      <w:r w:rsidRPr="00515872">
        <w:rPr>
          <w:rFonts w:cs="Tahoma"/>
        </w:rPr>
        <w:lastRenderedPageBreak/>
        <w:t>4.3.2 Impegno e imputazione delle spese</w:t>
      </w:r>
      <w:bookmarkEnd w:id="88"/>
      <w:bookmarkEnd w:id="89"/>
    </w:p>
    <w:p w14:paraId="7C2D9DFB" w14:textId="77777777" w:rsidR="00B468C1" w:rsidRPr="00515872" w:rsidRDefault="00B468C1" w:rsidP="009518AF">
      <w:pPr>
        <w:spacing w:after="0" w:line="360" w:lineRule="auto"/>
        <w:jc w:val="both"/>
        <w:rPr>
          <w:rFonts w:cs="Tahoma"/>
          <w:color w:val="000000"/>
          <w:szCs w:val="20"/>
        </w:rPr>
      </w:pPr>
      <w:r w:rsidRPr="00515872">
        <w:rPr>
          <w:rFonts w:cs="Tahoma"/>
          <w:color w:val="000000"/>
          <w:szCs w:val="20"/>
        </w:rPr>
        <w:t xml:space="preserve">Ogni procedimento amministrativo che comporta spesa deve trovare, fin dall’avvio, la relativa attestazione di copertura finanziaria ed essere prenotato nelle scritture contabili </w:t>
      </w:r>
      <w:r w:rsidR="002E6A34" w:rsidRPr="00515872">
        <w:rPr>
          <w:rFonts w:cs="Tahoma"/>
          <w:color w:val="000000"/>
          <w:szCs w:val="20"/>
        </w:rPr>
        <w:t>relative a</w:t>
      </w:r>
      <w:r w:rsidRPr="00515872">
        <w:rPr>
          <w:rFonts w:cs="Tahoma"/>
          <w:color w:val="000000"/>
          <w:szCs w:val="20"/>
        </w:rPr>
        <w:t>ll’esercizio individuato nel provvedimento che ha originato il procedimento di spesa.</w:t>
      </w:r>
    </w:p>
    <w:p w14:paraId="7D129A78" w14:textId="77777777" w:rsidR="009518AF" w:rsidRPr="00515872" w:rsidRDefault="009518AF" w:rsidP="009518AF">
      <w:pPr>
        <w:spacing w:after="0" w:line="360" w:lineRule="auto"/>
        <w:jc w:val="both"/>
        <w:rPr>
          <w:rFonts w:cs="Tahoma"/>
          <w:szCs w:val="20"/>
        </w:rPr>
      </w:pPr>
      <w:r w:rsidRPr="00515872">
        <w:rPr>
          <w:rFonts w:cs="Tahoma"/>
          <w:szCs w:val="20"/>
        </w:rPr>
        <w:t>Nel bilancio di previsione le spese sono aggregate in:</w:t>
      </w:r>
    </w:p>
    <w:p w14:paraId="4DBCEA33"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missioni</w:t>
      </w:r>
      <w:r w:rsidRPr="00515872">
        <w:rPr>
          <w:rFonts w:cs="Tahoma"/>
          <w:szCs w:val="20"/>
        </w:rPr>
        <w:t xml:space="preserve">: </w:t>
      </w:r>
      <w:r w:rsidRPr="00515872">
        <w:rPr>
          <w:rFonts w:cs="Tahoma"/>
          <w:bCs/>
          <w:szCs w:val="20"/>
        </w:rPr>
        <w:t>rappresentano le funzioni principali e gli obiettivi strategici perseguiti dalle amministrazioni utilizzando risorse finanziarie, umane e strumentali a ciò destinate;</w:t>
      </w:r>
    </w:p>
    <w:p w14:paraId="63718310"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programmi</w:t>
      </w:r>
      <w:r w:rsidRPr="00515872">
        <w:rPr>
          <w:rFonts w:cs="Tahoma"/>
          <w:szCs w:val="20"/>
        </w:rPr>
        <w:t xml:space="preserve">: </w:t>
      </w:r>
      <w:r w:rsidRPr="00515872">
        <w:rPr>
          <w:rFonts w:cs="Tahoma"/>
          <w:bCs/>
          <w:szCs w:val="20"/>
        </w:rPr>
        <w:t>esprimono gli aggregati omogenei di attività volte a perseguire gli obiettivi definiti nell’ambito delle missioni;</w:t>
      </w:r>
    </w:p>
    <w:p w14:paraId="14BDE32B" w14:textId="77777777" w:rsidR="009518AF" w:rsidRPr="00515872" w:rsidRDefault="009518AF" w:rsidP="009518AF">
      <w:pPr>
        <w:pStyle w:val="Paragrafoelenco"/>
        <w:numPr>
          <w:ilvl w:val="0"/>
          <w:numId w:val="19"/>
        </w:numPr>
        <w:spacing w:line="360" w:lineRule="auto"/>
        <w:jc w:val="both"/>
        <w:rPr>
          <w:rFonts w:cs="Tahoma"/>
          <w:szCs w:val="20"/>
        </w:rPr>
      </w:pPr>
      <w:r w:rsidRPr="00515872">
        <w:rPr>
          <w:rFonts w:cs="Tahoma"/>
          <w:b/>
          <w:szCs w:val="20"/>
        </w:rPr>
        <w:t>titoli</w:t>
      </w:r>
      <w:r w:rsidRPr="00515872">
        <w:rPr>
          <w:rFonts w:cs="Tahoma"/>
          <w:szCs w:val="20"/>
        </w:rPr>
        <w:t>: suddividono le spese in correnti e c/capitale.</w:t>
      </w:r>
    </w:p>
    <w:p w14:paraId="53C0A0BE" w14:textId="77777777" w:rsidR="009518AF" w:rsidRPr="00515872" w:rsidRDefault="009518AF" w:rsidP="009518AF">
      <w:pPr>
        <w:spacing w:line="360" w:lineRule="auto"/>
        <w:jc w:val="both"/>
        <w:rPr>
          <w:rFonts w:cs="Tahoma"/>
          <w:szCs w:val="20"/>
        </w:rPr>
      </w:pPr>
      <w:r w:rsidRPr="00515872">
        <w:rPr>
          <w:rFonts w:cs="Tahoma"/>
          <w:szCs w:val="20"/>
        </w:rPr>
        <w:t>Ogni missione è declinata nei propri programmi.</w:t>
      </w:r>
    </w:p>
    <w:p w14:paraId="1FE374BD" w14:textId="7D0D4C9B" w:rsidR="009518AF" w:rsidRPr="00515872" w:rsidRDefault="009518AF" w:rsidP="009518AF">
      <w:pPr>
        <w:spacing w:after="0" w:line="360" w:lineRule="auto"/>
        <w:jc w:val="both"/>
        <w:rPr>
          <w:rFonts w:cs="Tahoma"/>
          <w:szCs w:val="20"/>
        </w:rPr>
      </w:pPr>
      <w:r w:rsidRPr="00515872">
        <w:rPr>
          <w:rFonts w:cs="Tahoma"/>
          <w:szCs w:val="20"/>
        </w:rPr>
        <w:t xml:space="preserve">Nella contabilità dell’ente i titoli sono ulteriormente dettagliati in </w:t>
      </w:r>
      <w:r w:rsidR="00F61E9D" w:rsidRPr="00515872">
        <w:rPr>
          <w:rFonts w:cs="Tahoma"/>
          <w:szCs w:val="20"/>
        </w:rPr>
        <w:t>macro aggregati</w:t>
      </w:r>
      <w:r w:rsidRPr="00515872">
        <w:rPr>
          <w:rFonts w:cs="Tahoma"/>
          <w:szCs w:val="20"/>
        </w:rPr>
        <w:t>, capitoli e articoli:</w:t>
      </w:r>
    </w:p>
    <w:p w14:paraId="740236B9" w14:textId="77777777" w:rsidR="009518AF" w:rsidRPr="00515872" w:rsidRDefault="009518AF" w:rsidP="009518AF">
      <w:pPr>
        <w:pStyle w:val="Paragrafoelenco"/>
        <w:numPr>
          <w:ilvl w:val="0"/>
          <w:numId w:val="23"/>
        </w:numPr>
        <w:spacing w:line="360" w:lineRule="auto"/>
        <w:jc w:val="both"/>
        <w:rPr>
          <w:rFonts w:cs="Tahoma"/>
          <w:szCs w:val="20"/>
        </w:rPr>
      </w:pPr>
      <w:proofErr w:type="spellStart"/>
      <w:r w:rsidRPr="00515872">
        <w:rPr>
          <w:rFonts w:cs="Tahoma"/>
          <w:b/>
          <w:szCs w:val="20"/>
        </w:rPr>
        <w:t>macroaggregati</w:t>
      </w:r>
      <w:proofErr w:type="spellEnd"/>
      <w:r w:rsidRPr="00515872">
        <w:rPr>
          <w:rFonts w:cs="Tahoma"/>
          <w:szCs w:val="20"/>
        </w:rPr>
        <w:t>: sono un’articolazione dei programmi secondo la natura economica della spesa;</w:t>
      </w:r>
    </w:p>
    <w:p w14:paraId="13FA3CAA" w14:textId="77777777" w:rsidR="009518AF" w:rsidRPr="00515872" w:rsidRDefault="009518AF" w:rsidP="009518AF">
      <w:pPr>
        <w:pStyle w:val="Paragrafoelenco"/>
        <w:numPr>
          <w:ilvl w:val="0"/>
          <w:numId w:val="23"/>
        </w:numPr>
        <w:spacing w:line="360" w:lineRule="auto"/>
        <w:jc w:val="both"/>
        <w:rPr>
          <w:rFonts w:cs="Tahoma"/>
          <w:szCs w:val="20"/>
        </w:rPr>
      </w:pPr>
      <w:r w:rsidRPr="00515872">
        <w:rPr>
          <w:rFonts w:cs="Tahoma"/>
          <w:b/>
          <w:szCs w:val="20"/>
        </w:rPr>
        <w:t>capitoli e articoli</w:t>
      </w:r>
      <w:r w:rsidRPr="00515872">
        <w:rPr>
          <w:rFonts w:cs="Tahoma"/>
          <w:szCs w:val="20"/>
        </w:rPr>
        <w:t xml:space="preserve">: sono ripartizioni dei </w:t>
      </w:r>
      <w:proofErr w:type="spellStart"/>
      <w:r w:rsidRPr="00515872">
        <w:rPr>
          <w:rFonts w:cs="Tahoma"/>
          <w:szCs w:val="20"/>
        </w:rPr>
        <w:t>macroaggregati</w:t>
      </w:r>
      <w:proofErr w:type="spellEnd"/>
      <w:r w:rsidRPr="00515872">
        <w:rPr>
          <w:rFonts w:cs="Tahoma"/>
          <w:szCs w:val="20"/>
        </w:rPr>
        <w:t xml:space="preserve"> ai fini della gestione.</w:t>
      </w:r>
    </w:p>
    <w:p w14:paraId="01F5F72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L'imputazione dell'impegno avviene seguendo le regole di cui al punto 5 dell’allegato </w:t>
      </w:r>
      <w:r w:rsidR="002E6A34" w:rsidRPr="00515872">
        <w:rPr>
          <w:rFonts w:eastAsia="Times New Roman" w:cs="Tahoma"/>
          <w:szCs w:val="20"/>
          <w:lang w:eastAsia="it-IT"/>
        </w:rPr>
        <w:t xml:space="preserve">n. </w:t>
      </w:r>
      <w:r w:rsidRPr="00515872">
        <w:rPr>
          <w:rFonts w:eastAsia="Times New Roman" w:cs="Tahoma"/>
          <w:szCs w:val="20"/>
          <w:lang w:eastAsia="it-IT"/>
        </w:rPr>
        <w:t xml:space="preserve">4/2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w:t>
      </w:r>
      <w:r w:rsidR="002E6A34" w:rsidRPr="00515872">
        <w:rPr>
          <w:rFonts w:eastAsia="Times New Roman" w:cs="Tahoma"/>
          <w:szCs w:val="20"/>
          <w:lang w:eastAsia="it-IT"/>
        </w:rPr>
        <w:t xml:space="preserve">n. </w:t>
      </w:r>
      <w:r w:rsidRPr="00515872">
        <w:rPr>
          <w:rFonts w:eastAsia="Times New Roman" w:cs="Tahoma"/>
          <w:szCs w:val="20"/>
          <w:lang w:eastAsia="it-IT"/>
        </w:rPr>
        <w:t>11</w:t>
      </w:r>
      <w:r w:rsidR="00B81BCC" w:rsidRPr="00515872">
        <w:rPr>
          <w:rFonts w:eastAsia="Times New Roman" w:cs="Tahoma"/>
          <w:szCs w:val="20"/>
          <w:lang w:eastAsia="it-IT"/>
        </w:rPr>
        <w:t>8/2011, di seguito sintetizzate.</w:t>
      </w:r>
    </w:p>
    <w:p w14:paraId="5416C817" w14:textId="77777777" w:rsidR="00B81BCC" w:rsidRPr="00515872" w:rsidRDefault="00B81BC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Anche per le spese è prevista la distinzione fra spese ricorrenti e non ricorrenti.</w:t>
      </w:r>
    </w:p>
    <w:p w14:paraId="0906F40D" w14:textId="77777777" w:rsidR="002E6A34" w:rsidRPr="00515872" w:rsidRDefault="00B81BCC" w:rsidP="002E6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L’allegato n. 7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riconosce come spese da considerarsi comunque </w:t>
      </w:r>
      <w:r w:rsidRPr="00515872">
        <w:rPr>
          <w:rFonts w:eastAsia="Times New Roman" w:cs="Tahoma"/>
          <w:b/>
          <w:szCs w:val="20"/>
          <w:lang w:eastAsia="it-IT"/>
        </w:rPr>
        <w:t>non ricorrenti</w:t>
      </w:r>
      <w:r w:rsidRPr="00515872">
        <w:rPr>
          <w:rFonts w:eastAsia="Times New Roman" w:cs="Tahoma"/>
          <w:szCs w:val="20"/>
          <w:lang w:eastAsia="it-IT"/>
        </w:rPr>
        <w:t xml:space="preserve"> quelle relative a:</w:t>
      </w:r>
    </w:p>
    <w:p w14:paraId="6ACD4B18" w14:textId="77777777" w:rsidR="002E6A34"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eastAsia="Times New Roman" w:cs="Tahoma"/>
          <w:szCs w:val="20"/>
          <w:lang w:eastAsia="it-IT"/>
        </w:rPr>
      </w:pPr>
      <w:r w:rsidRPr="00515872">
        <w:rPr>
          <w:rFonts w:eastAsia="Times New Roman" w:cs="Tahoma"/>
          <w:szCs w:val="20"/>
          <w:lang w:eastAsia="it-IT"/>
        </w:rPr>
        <w:t>consultazioni elettorali o referendarie locali;</w:t>
      </w:r>
    </w:p>
    <w:p w14:paraId="60C6D6A5" w14:textId="77777777" w:rsidR="002E6A34"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eastAsia="Times New Roman" w:cs="Tahoma"/>
          <w:szCs w:val="20"/>
          <w:lang w:eastAsia="it-IT"/>
        </w:rPr>
      </w:pPr>
      <w:r w:rsidRPr="00515872">
        <w:rPr>
          <w:rFonts w:eastAsia="Times New Roman" w:cs="Tahoma"/>
          <w:szCs w:val="20"/>
          <w:lang w:eastAsia="it-IT"/>
        </w:rPr>
        <w:t>ripiani di disavanzi pregressi di aziende e società e gli altri trasferimenti in c/capitale;</w:t>
      </w:r>
    </w:p>
    <w:p w14:paraId="47256CC1" w14:textId="77777777" w:rsidR="002E6A34"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eastAsia="Times New Roman" w:cs="Tahoma"/>
          <w:szCs w:val="20"/>
          <w:lang w:eastAsia="it-IT"/>
        </w:rPr>
      </w:pPr>
      <w:r w:rsidRPr="00515872">
        <w:rPr>
          <w:rFonts w:eastAsia="Times New Roman" w:cs="Tahoma"/>
          <w:szCs w:val="20"/>
          <w:lang w:eastAsia="it-IT"/>
        </w:rPr>
        <w:t>eventi calamitosi;</w:t>
      </w:r>
    </w:p>
    <w:p w14:paraId="01CA08C6" w14:textId="77777777" w:rsidR="002E6A34"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eastAsia="Times New Roman" w:cs="Tahoma"/>
          <w:szCs w:val="20"/>
          <w:lang w:eastAsia="it-IT"/>
        </w:rPr>
      </w:pPr>
      <w:r w:rsidRPr="00515872">
        <w:rPr>
          <w:rFonts w:eastAsia="Times New Roman" w:cs="Tahoma"/>
          <w:szCs w:val="20"/>
          <w:lang w:eastAsia="it-IT"/>
        </w:rPr>
        <w:t>sentenze esecutive ed atti equiparati;</w:t>
      </w:r>
    </w:p>
    <w:p w14:paraId="3EBF538B" w14:textId="77777777" w:rsidR="002E6A34"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eastAsia="Times New Roman" w:cs="Tahoma"/>
          <w:szCs w:val="20"/>
          <w:lang w:eastAsia="it-IT"/>
        </w:rPr>
      </w:pPr>
      <w:r w:rsidRPr="00515872">
        <w:rPr>
          <w:rFonts w:eastAsia="Times New Roman" w:cs="Tahoma"/>
          <w:szCs w:val="20"/>
          <w:lang w:eastAsia="it-IT"/>
        </w:rPr>
        <w:t>investimenti diretti;</w:t>
      </w:r>
    </w:p>
    <w:p w14:paraId="4CF4DD81" w14:textId="77777777" w:rsidR="00B81BCC" w:rsidRPr="00515872" w:rsidRDefault="00B81BCC" w:rsidP="002E6A34">
      <w:pPr>
        <w:pStyle w:val="Paragrafoelenco"/>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5" w:hanging="425"/>
        <w:jc w:val="both"/>
        <w:rPr>
          <w:rFonts w:eastAsia="Times New Roman" w:cs="Tahoma"/>
          <w:szCs w:val="20"/>
          <w:lang w:eastAsia="it-IT"/>
        </w:rPr>
      </w:pPr>
      <w:r w:rsidRPr="00515872">
        <w:rPr>
          <w:rFonts w:eastAsia="Times New Roman" w:cs="Tahoma"/>
          <w:szCs w:val="20"/>
          <w:lang w:eastAsia="it-IT"/>
        </w:rPr>
        <w:t>contributi agli investimenti.</w:t>
      </w:r>
    </w:p>
    <w:p w14:paraId="68E27ED1" w14:textId="77777777" w:rsidR="005C0CF8" w:rsidRPr="00515872" w:rsidRDefault="005C0CF8" w:rsidP="005C0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Di seguito,</w:t>
      </w:r>
      <w:r w:rsidR="00B81BCC" w:rsidRPr="00515872">
        <w:rPr>
          <w:rFonts w:eastAsia="Times New Roman" w:cs="Tahoma"/>
          <w:szCs w:val="20"/>
          <w:lang w:eastAsia="it-IT"/>
        </w:rPr>
        <w:t xml:space="preserve"> una breve disamina</w:t>
      </w:r>
      <w:r w:rsidRPr="00515872">
        <w:rPr>
          <w:rFonts w:eastAsia="Times New Roman" w:cs="Tahoma"/>
          <w:szCs w:val="20"/>
          <w:lang w:eastAsia="it-IT"/>
        </w:rPr>
        <w:t xml:space="preserve"> del trattamento contabile delle principali voci di spesa.</w:t>
      </w:r>
    </w:p>
    <w:p w14:paraId="542819C7" w14:textId="77777777" w:rsidR="009518AF" w:rsidRPr="00515872" w:rsidRDefault="009518AF" w:rsidP="00D9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Spesa di personale</w:t>
      </w:r>
    </w:p>
    <w:p w14:paraId="2171B8D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w:t>
      </w:r>
      <w:r w:rsidRPr="00515872">
        <w:rPr>
          <w:rFonts w:eastAsia="Times New Roman" w:cs="Tahoma"/>
          <w:szCs w:val="20"/>
        </w:rPr>
        <w:t>ll’inizio dell’esercizio di riferimento si impegna automaticamente la spesa relativa al personale per l’importo risultante dai cc.dd. “tabellari”, anche se si tratta di personale comandato</w:t>
      </w:r>
      <w:r w:rsidR="00624031" w:rsidRPr="00515872">
        <w:rPr>
          <w:rFonts w:eastAsia="Times New Roman" w:cs="Tahoma"/>
          <w:szCs w:val="20"/>
        </w:rPr>
        <w:t>, avvalso o comunque utilizzato da altra amministrazione pubblica</w:t>
      </w:r>
      <w:r w:rsidRPr="00515872">
        <w:rPr>
          <w:rFonts w:eastAsia="Times New Roman" w:cs="Tahoma"/>
          <w:szCs w:val="20"/>
        </w:rPr>
        <w:t>.</w:t>
      </w:r>
    </w:p>
    <w:p w14:paraId="22CBF56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spesa per i rinnovi contrattuali, compresi i relativi oneri riflessi a carico dell’ente</w:t>
      </w:r>
      <w:r w:rsidR="00624031" w:rsidRPr="00515872">
        <w:rPr>
          <w:rFonts w:eastAsia="Times New Roman" w:cs="Tahoma"/>
          <w:szCs w:val="20"/>
          <w:lang w:eastAsia="it-IT"/>
        </w:rPr>
        <w:t xml:space="preserve"> e quelli derivanti dagli eventuali effetti retroattivi del nuovo contratto</w:t>
      </w:r>
      <w:r w:rsidRPr="00515872">
        <w:rPr>
          <w:rFonts w:eastAsia="Times New Roman" w:cs="Tahoma"/>
          <w:szCs w:val="20"/>
          <w:lang w:eastAsia="it-IT"/>
        </w:rPr>
        <w:t xml:space="preserve">, è imputata nell’esercizio in cui è firmato il contratto collettivo </w:t>
      </w:r>
      <w:r w:rsidRPr="00515872">
        <w:rPr>
          <w:rFonts w:eastAsia="Times New Roman" w:cs="Tahoma"/>
          <w:szCs w:val="20"/>
          <w:lang w:eastAsia="it-IT"/>
        </w:rPr>
        <w:lastRenderedPageBreak/>
        <w:t>nazionale (</w:t>
      </w:r>
      <w:r w:rsidR="00624031" w:rsidRPr="00515872">
        <w:rPr>
          <w:rFonts w:eastAsia="Times New Roman" w:cs="Tahoma"/>
          <w:szCs w:val="20"/>
          <w:lang w:eastAsia="it-IT"/>
        </w:rPr>
        <w:t xml:space="preserve">è, tuttavia, consigliato un </w:t>
      </w:r>
      <w:r w:rsidRPr="00515872">
        <w:rPr>
          <w:rFonts w:eastAsia="Times New Roman" w:cs="Tahoma"/>
          <w:szCs w:val="20"/>
          <w:lang w:eastAsia="it-IT"/>
        </w:rPr>
        <w:t xml:space="preserve">accantonamento </w:t>
      </w:r>
      <w:r w:rsidR="00624031" w:rsidRPr="00515872">
        <w:rPr>
          <w:rFonts w:eastAsia="Times New Roman" w:cs="Tahoma"/>
          <w:szCs w:val="20"/>
          <w:lang w:eastAsia="it-IT"/>
        </w:rPr>
        <w:t xml:space="preserve">annuale </w:t>
      </w:r>
      <w:r w:rsidRPr="00515872">
        <w:rPr>
          <w:rFonts w:eastAsia="Times New Roman" w:cs="Tahoma"/>
          <w:szCs w:val="20"/>
          <w:lang w:eastAsia="it-IT"/>
        </w:rPr>
        <w:t>al fondo rinnovi contrattuali, nelle more del rinnovo del nuovo CCNL).</w:t>
      </w:r>
    </w:p>
    <w:p w14:paraId="059160B6" w14:textId="77777777" w:rsidR="002E2A38" w:rsidRPr="00515872" w:rsidRDefault="0071417A"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4"/>
        </w:rPr>
      </w:pPr>
      <w:r w:rsidRPr="00515872">
        <w:rPr>
          <w:rFonts w:cs="Tahoma"/>
          <w:szCs w:val="24"/>
        </w:rPr>
        <w:t>Le spese relative al trattamento accessorio e premiante, liquidate nell’esercizio successivo a quello cui si riferiscono, sono stanziate e impegnate in tale esercizio</w:t>
      </w:r>
      <w:r w:rsidR="009518AF" w:rsidRPr="00515872">
        <w:rPr>
          <w:rFonts w:eastAsia="Times New Roman" w:cs="Tahoma"/>
          <w:szCs w:val="20"/>
          <w:lang w:eastAsia="it-IT"/>
        </w:rPr>
        <w:t>.</w:t>
      </w:r>
      <w:r w:rsidRPr="00515872">
        <w:rPr>
          <w:rFonts w:eastAsia="Times New Roman" w:cs="Tahoma"/>
          <w:szCs w:val="20"/>
          <w:lang w:eastAsia="it-IT"/>
        </w:rPr>
        <w:t xml:space="preserve"> </w:t>
      </w:r>
      <w:r w:rsidRPr="00515872">
        <w:rPr>
          <w:rFonts w:cs="Tahoma"/>
          <w:szCs w:val="24"/>
        </w:rPr>
        <w:t>Alla sottoscrizione della contrattazione integrativa si impegnano le obbligazioni relative al trattamento stesso accessorio e premiante, imputandole contabilmente agli esercizi del bilancio di previsione in cui tali obbligazioni scadono o diventano esigibili. Alla fine dell’esercizio, nelle more della sottoscrizione della contrattazione integrativa, sulla base della formale delibera di costituzione del fondo, vista la certificazione dei revisori, le risorse destinate al finanziamento del fondo risultano definitivamente vincolate</w:t>
      </w:r>
      <w:r w:rsidR="006444D1" w:rsidRPr="00515872">
        <w:rPr>
          <w:rFonts w:cs="Tahoma"/>
          <w:szCs w:val="24"/>
        </w:rPr>
        <w:t>.</w:t>
      </w:r>
    </w:p>
    <w:p w14:paraId="3537CAC2" w14:textId="77777777" w:rsidR="002E2A38" w:rsidRPr="00515872" w:rsidRDefault="002E2A38"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4"/>
        </w:rPr>
      </w:pPr>
      <w:r w:rsidRPr="00515872">
        <w:rPr>
          <w:rFonts w:cs="Tahoma"/>
          <w:szCs w:val="24"/>
        </w:rPr>
        <w:t>Gli impegni di spesa riguardanti gli incentivi per le funzi</w:t>
      </w:r>
      <w:r w:rsidR="002E6A34" w:rsidRPr="00515872">
        <w:rPr>
          <w:rFonts w:cs="Tahoma"/>
          <w:szCs w:val="24"/>
        </w:rPr>
        <w:t>oni tecniche di cui all’art.</w:t>
      </w:r>
      <w:r w:rsidRPr="00515872">
        <w:rPr>
          <w:rFonts w:cs="Tahoma"/>
          <w:szCs w:val="24"/>
        </w:rPr>
        <w:t xml:space="preserve"> 113</w:t>
      </w:r>
      <w:r w:rsidR="002E6A34" w:rsidRPr="00515872">
        <w:rPr>
          <w:rFonts w:cs="Tahoma"/>
          <w:szCs w:val="24"/>
        </w:rPr>
        <w:t>,</w:t>
      </w:r>
      <w:r w:rsidRPr="00515872">
        <w:rPr>
          <w:rFonts w:cs="Tahoma"/>
          <w:szCs w:val="24"/>
        </w:rPr>
        <w:t xml:space="preserve"> </w:t>
      </w:r>
      <w:proofErr w:type="spellStart"/>
      <w:r w:rsidR="002E6A34" w:rsidRPr="00515872">
        <w:rPr>
          <w:rFonts w:cs="Tahoma"/>
          <w:szCs w:val="24"/>
        </w:rPr>
        <w:t>D</w:t>
      </w:r>
      <w:r w:rsidRPr="00515872">
        <w:rPr>
          <w:rFonts w:cs="Tahoma"/>
          <w:szCs w:val="24"/>
        </w:rPr>
        <w:t>.</w:t>
      </w:r>
      <w:r w:rsidR="002E6A34" w:rsidRPr="00515872">
        <w:rPr>
          <w:rFonts w:cs="Tahoma"/>
          <w:szCs w:val="24"/>
        </w:rPr>
        <w:t>L</w:t>
      </w:r>
      <w:r w:rsidRPr="00515872">
        <w:rPr>
          <w:rFonts w:cs="Tahoma"/>
          <w:szCs w:val="24"/>
        </w:rPr>
        <w:t>gs.</w:t>
      </w:r>
      <w:proofErr w:type="spellEnd"/>
      <w:r w:rsidRPr="00515872">
        <w:rPr>
          <w:rFonts w:cs="Tahoma"/>
          <w:szCs w:val="24"/>
        </w:rPr>
        <w:t xml:space="preserve"> </w:t>
      </w:r>
      <w:r w:rsidR="002E6A34" w:rsidRPr="00515872">
        <w:rPr>
          <w:rFonts w:cs="Tahoma"/>
          <w:szCs w:val="24"/>
        </w:rPr>
        <w:t xml:space="preserve">n. </w:t>
      </w:r>
      <w:r w:rsidRPr="00515872">
        <w:rPr>
          <w:rFonts w:cs="Tahoma"/>
          <w:szCs w:val="24"/>
        </w:rPr>
        <w:t>50</w:t>
      </w:r>
      <w:r w:rsidR="002E6A34" w:rsidRPr="00515872">
        <w:rPr>
          <w:rFonts w:cs="Tahoma"/>
          <w:szCs w:val="24"/>
        </w:rPr>
        <w:t>/</w:t>
      </w:r>
      <w:r w:rsidRPr="00515872">
        <w:rPr>
          <w:rFonts w:cs="Tahoma"/>
          <w:szCs w:val="24"/>
        </w:rPr>
        <w:t>2016</w:t>
      </w:r>
      <w:r w:rsidR="002E6A34" w:rsidRPr="00515872">
        <w:rPr>
          <w:rStyle w:val="Rimandonotaapidipagina"/>
          <w:rFonts w:cs="Tahoma"/>
          <w:szCs w:val="24"/>
        </w:rPr>
        <w:footnoteReference w:id="33"/>
      </w:r>
      <w:r w:rsidRPr="00515872">
        <w:rPr>
          <w:rFonts w:cs="Tahoma"/>
          <w:szCs w:val="24"/>
        </w:rPr>
        <w:t>, compresi i relativi oneri contributivi ed erariali, sono assunti a carico degli stanziamenti di spesa riguardanti i medesimi lavori, servizi e forniture cui si riferiscono, nel titolo II della spesa ove si tratti di opere o nel titolo I, nel caso di servizi e forniture.</w:t>
      </w:r>
    </w:p>
    <w:p w14:paraId="386A477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quanto riguarda gli incentivi all’avvocatura, trattandosi di obbligazioni condizionate all’esito del giudizio favorevole per l’ente, si devono accantonare le risorse stanziando ne</w:t>
      </w:r>
      <w:r w:rsidR="00954B88" w:rsidRPr="00515872">
        <w:rPr>
          <w:rFonts w:eastAsia="Times New Roman" w:cs="Tahoma"/>
          <w:szCs w:val="20"/>
          <w:lang w:eastAsia="it-IT"/>
        </w:rPr>
        <w:t xml:space="preserve">ll’esercizio le relative spese </w:t>
      </w:r>
      <w:r w:rsidRPr="00515872">
        <w:rPr>
          <w:rFonts w:eastAsia="Times New Roman" w:cs="Tahoma"/>
          <w:szCs w:val="20"/>
          <w:lang w:eastAsia="it-IT"/>
        </w:rPr>
        <w:t>che</w:t>
      </w:r>
      <w:r w:rsidR="00954B88" w:rsidRPr="00515872">
        <w:rPr>
          <w:rFonts w:eastAsia="Times New Roman" w:cs="Tahoma"/>
          <w:szCs w:val="20"/>
          <w:lang w:eastAsia="it-IT"/>
        </w:rPr>
        <w:t>, in assenza di impegno,</w:t>
      </w:r>
      <w:r w:rsidRPr="00515872">
        <w:rPr>
          <w:rFonts w:eastAsia="Times New Roman" w:cs="Tahoma"/>
          <w:szCs w:val="20"/>
          <w:lang w:eastAsia="it-IT"/>
        </w:rPr>
        <w:t xml:space="preserve"> conflui</w:t>
      </w:r>
      <w:r w:rsidR="00954B88" w:rsidRPr="00515872">
        <w:rPr>
          <w:rFonts w:eastAsia="Times New Roman" w:cs="Tahoma"/>
          <w:szCs w:val="20"/>
          <w:lang w:eastAsia="it-IT"/>
        </w:rPr>
        <w:t>ranno nell’</w:t>
      </w:r>
      <w:r w:rsidRPr="00515872">
        <w:rPr>
          <w:rFonts w:eastAsia="Times New Roman" w:cs="Tahoma"/>
          <w:szCs w:val="20"/>
          <w:lang w:eastAsia="it-IT"/>
        </w:rPr>
        <w:t>avanzo vincolato. L’impegno potrà essere effettuato solo dopo la conclusione del giudizio, ai fini della liquidazione di quando dovuto.</w:t>
      </w:r>
    </w:p>
    <w:p w14:paraId="6045B6DD"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Acquisto di beni e servizi</w:t>
      </w:r>
    </w:p>
    <w:p w14:paraId="6D85336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L'imputazione dell'impegno per acquisto di beni e servizi avviene:</w:t>
      </w:r>
    </w:p>
    <w:p w14:paraId="2A1288BB" w14:textId="77777777" w:rsidR="009518AF" w:rsidRPr="00515872" w:rsidRDefault="009518AF" w:rsidP="00D65838">
      <w:pPr>
        <w:pStyle w:val="Paragrafoelenco"/>
        <w:numPr>
          <w:ilvl w:val="0"/>
          <w:numId w:val="161"/>
        </w:numPr>
        <w:autoSpaceDE w:val="0"/>
        <w:autoSpaceDN w:val="0"/>
        <w:adjustRightInd w:val="0"/>
        <w:spacing w:line="360" w:lineRule="auto"/>
        <w:jc w:val="both"/>
        <w:rPr>
          <w:rFonts w:cs="Tahoma"/>
          <w:color w:val="000000"/>
          <w:szCs w:val="20"/>
        </w:rPr>
      </w:pPr>
      <w:r w:rsidRPr="00515872">
        <w:rPr>
          <w:rFonts w:cs="Tahoma"/>
          <w:color w:val="000000"/>
          <w:szCs w:val="20"/>
        </w:rPr>
        <w:t xml:space="preserve">nell’esercizio in cui risulta adempiuta completamente la prestazione da cui scaturisce l’obbligazione per la spesa corrente; </w:t>
      </w:r>
    </w:p>
    <w:p w14:paraId="24144753" w14:textId="77777777" w:rsidR="009518AF" w:rsidRPr="00515872" w:rsidRDefault="009518AF" w:rsidP="00D65838">
      <w:pPr>
        <w:pStyle w:val="Paragrafoelenco"/>
        <w:numPr>
          <w:ilvl w:val="0"/>
          <w:numId w:val="161"/>
        </w:numPr>
        <w:autoSpaceDE w:val="0"/>
        <w:autoSpaceDN w:val="0"/>
        <w:adjustRightInd w:val="0"/>
        <w:spacing w:line="360" w:lineRule="auto"/>
        <w:jc w:val="both"/>
        <w:rPr>
          <w:rFonts w:cs="Tahoma"/>
          <w:color w:val="000000"/>
          <w:szCs w:val="20"/>
        </w:rPr>
      </w:pPr>
      <w:r w:rsidRPr="00515872">
        <w:rPr>
          <w:rFonts w:cs="Tahoma"/>
          <w:color w:val="000000"/>
          <w:szCs w:val="20"/>
        </w:rPr>
        <w:t xml:space="preserve">negli esercizi considerati nel bilancio di previsione, per la quota annuale della fornitura di beni e servizi nel caso di contratti di affitto e di somministrazione </w:t>
      </w:r>
      <w:r w:rsidR="006961A9" w:rsidRPr="00515872">
        <w:rPr>
          <w:rFonts w:cs="Tahoma"/>
          <w:color w:val="000000"/>
          <w:szCs w:val="20"/>
        </w:rPr>
        <w:t xml:space="preserve">e altre forniture </w:t>
      </w:r>
      <w:r w:rsidRPr="00515872">
        <w:rPr>
          <w:rFonts w:cs="Tahoma"/>
          <w:color w:val="000000"/>
          <w:szCs w:val="20"/>
        </w:rPr>
        <w:t>periodic</w:t>
      </w:r>
      <w:r w:rsidR="006961A9" w:rsidRPr="00515872">
        <w:rPr>
          <w:rFonts w:cs="Tahoma"/>
          <w:color w:val="000000"/>
          <w:szCs w:val="20"/>
        </w:rPr>
        <w:t>he</w:t>
      </w:r>
      <w:r w:rsidRPr="00515872">
        <w:rPr>
          <w:rFonts w:cs="Tahoma"/>
          <w:color w:val="000000"/>
          <w:szCs w:val="20"/>
        </w:rPr>
        <w:t xml:space="preserve"> ultrannual</w:t>
      </w:r>
      <w:r w:rsidR="006961A9" w:rsidRPr="00515872">
        <w:rPr>
          <w:rFonts w:cs="Tahoma"/>
          <w:color w:val="000000"/>
          <w:szCs w:val="20"/>
        </w:rPr>
        <w:t>i</w:t>
      </w:r>
      <w:r w:rsidRPr="00515872">
        <w:rPr>
          <w:rFonts w:cs="Tahoma"/>
          <w:szCs w:val="20"/>
        </w:rPr>
        <w:t>.</w:t>
      </w:r>
    </w:p>
    <w:p w14:paraId="3901096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Aggi corrisposti sui ruoli</w:t>
      </w:r>
    </w:p>
    <w:p w14:paraId="77D199FD"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Gli aggi corrisposti sui ruoli sono imputati nello stesso esercizio in cui le corrispondenti entrate sono accertate</w:t>
      </w:r>
      <w:r w:rsidR="00547A4C" w:rsidRPr="00515872">
        <w:rPr>
          <w:rFonts w:eastAsia="Times New Roman" w:cs="Tahoma"/>
          <w:szCs w:val="20"/>
          <w:lang w:eastAsia="it-IT"/>
        </w:rPr>
        <w:t xml:space="preserve"> </w:t>
      </w:r>
      <w:r w:rsidR="00547A4C" w:rsidRPr="00515872">
        <w:rPr>
          <w:rFonts w:cs="Tahoma"/>
        </w:rPr>
        <w:t>per un importo pari a quello previsto nella convenzione per la riscossione dei tributi applicato all’ammontare delle entrate accertato, al netto dell’eventuale relativo accantonamento al fondo crediti di dubbia esigibilità</w:t>
      </w:r>
      <w:r w:rsidRPr="00515872">
        <w:rPr>
          <w:rFonts w:eastAsia="Times New Roman" w:cs="Tahoma"/>
          <w:szCs w:val="20"/>
          <w:lang w:eastAsia="it-IT"/>
        </w:rPr>
        <w:t>.</w:t>
      </w:r>
    </w:p>
    <w:p w14:paraId="3F0D7140"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01BE8549"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050BFD9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lastRenderedPageBreak/>
        <w:t>Gettoni di presenza dei componenti del consiglio</w:t>
      </w:r>
    </w:p>
    <w:p w14:paraId="380D3D7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Gli impegni sono imputati nell’esercizio in cui è resa la prestazione anche se le spese sono liquidate e pagate nell'esercizio successivo.</w:t>
      </w:r>
    </w:p>
    <w:p w14:paraId="6EFAD48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Commissioni per l'alienazione di beni, titoli e partecipazioni</w:t>
      </w:r>
    </w:p>
    <w:p w14:paraId="27B76030" w14:textId="77777777" w:rsidR="009518AF" w:rsidRPr="00515872" w:rsidRDefault="006961A9"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spese s</w:t>
      </w:r>
      <w:r w:rsidR="009518AF" w:rsidRPr="00515872">
        <w:rPr>
          <w:rFonts w:eastAsia="Times New Roman" w:cs="Tahoma"/>
          <w:szCs w:val="20"/>
          <w:lang w:eastAsia="it-IT"/>
        </w:rPr>
        <w:t>ono imputate nello stesso esercizio in cui le corrispondenti entrate sono accertate. La contabilizzazione viene effettuata anche nel caso di assenza di un pagamento effettivo.</w:t>
      </w:r>
    </w:p>
    <w:p w14:paraId="40F1C6B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Spesa relativa a trasferimenti</w:t>
      </w:r>
    </w:p>
    <w:p w14:paraId="1661139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L’imputazione dell’impegno avviene: </w:t>
      </w:r>
    </w:p>
    <w:p w14:paraId="2538D7FA" w14:textId="77777777" w:rsidR="009518AF" w:rsidRPr="00515872" w:rsidRDefault="009518AF" w:rsidP="00D65838">
      <w:pPr>
        <w:pStyle w:val="Paragrafoelenco"/>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nell'esercizio finanziario in cui è adottato l'atto amministrativo di attribuzione del contributo; se l'atto amministrativo prevede espressamente le scadenze in cui il trasferimento è erogato, l'impegno è imputato negli esercizi in cui l'obbligazione viene a scadenza;</w:t>
      </w:r>
    </w:p>
    <w:p w14:paraId="10C2690A" w14:textId="77777777" w:rsidR="009518AF" w:rsidRPr="00515872" w:rsidRDefault="009518AF" w:rsidP="00D65838">
      <w:pPr>
        <w:pStyle w:val="Paragrafoelenco"/>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caso di contributi in conto interessi o contributi correnti pluriennali, negli esercizi finanziari in cui scadono le singole obbligazioni, individuati sulla base del piano di ammortamento del prestito;</w:t>
      </w:r>
    </w:p>
    <w:p w14:paraId="0D446899" w14:textId="77777777" w:rsidR="009518AF" w:rsidRPr="00515872" w:rsidRDefault="009518AF" w:rsidP="00D65838">
      <w:pPr>
        <w:pStyle w:val="Paragrafoelenco"/>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i contributi agli investimenti e trasferimenti in conto capitale, con le stesse modalità di contabilizzazione previste per i trasferimenti correnti.</w:t>
      </w:r>
    </w:p>
    <w:p w14:paraId="146D5F65"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Utilizzo di beni di terzi</w:t>
      </w:r>
    </w:p>
    <w:p w14:paraId="42F166C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L'imputazione dell'impegno si realizza per l'intero onere dell'obbligazione perfezionata, con imputazione negli esercizi in cui l'obbligazione giuridica passiva viene a scadere.</w:t>
      </w:r>
    </w:p>
    <w:p w14:paraId="4201C0C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Incarichi a legali</w:t>
      </w:r>
    </w:p>
    <w:p w14:paraId="584C96BC" w14:textId="77777777" w:rsidR="00D921F9"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G</w:t>
      </w:r>
      <w:r w:rsidRPr="00515872">
        <w:rPr>
          <w:rFonts w:eastAsia="Times New Roman" w:cs="Tahoma"/>
          <w:szCs w:val="20"/>
        </w:rPr>
        <w:t>li impegni derivanti dal conferimento di incarichi a legali</w:t>
      </w:r>
      <w:r w:rsidRPr="00515872">
        <w:rPr>
          <w:rFonts w:cs="Tahoma"/>
          <w:szCs w:val="20"/>
        </w:rPr>
        <w:t xml:space="preserve"> e</w:t>
      </w:r>
      <w:r w:rsidRPr="00515872">
        <w:rPr>
          <w:rFonts w:eastAsia="Times New Roman" w:cs="Tahoma"/>
          <w:szCs w:val="20"/>
          <w:lang w:eastAsia="it-IT"/>
        </w:rPr>
        <w:t xml:space="preserve">sterni, la cui esigibilità non è determinabile, sono imputati all’esercizio in cui il contratto è firmato, </w:t>
      </w:r>
      <w:r w:rsidRPr="00515872">
        <w:rPr>
          <w:rFonts w:eastAsia="Times New Roman" w:cs="Tahoma"/>
          <w:bCs/>
          <w:szCs w:val="20"/>
          <w:lang w:eastAsia="it-IT"/>
        </w:rPr>
        <w:t>in deroga al principio generale</w:t>
      </w:r>
      <w:r w:rsidRPr="00515872">
        <w:rPr>
          <w:rFonts w:eastAsia="Times New Roman" w:cs="Tahoma"/>
          <w:szCs w:val="20"/>
          <w:lang w:eastAsia="it-IT"/>
        </w:rPr>
        <w:t>, al fine di gara</w:t>
      </w:r>
      <w:r w:rsidR="00D921F9" w:rsidRPr="00515872">
        <w:rPr>
          <w:rFonts w:eastAsia="Times New Roman" w:cs="Tahoma"/>
          <w:szCs w:val="20"/>
          <w:lang w:eastAsia="it-IT"/>
        </w:rPr>
        <w:t>ntire la copertura della spesa.</w:t>
      </w:r>
    </w:p>
    <w:p w14:paraId="0D3F9659" w14:textId="77777777" w:rsidR="00D921F9"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Se l’obbligazione non è esigibile in sede di rendiconto, si provvede alla cancellazione dell’impegno ed alla sua </w:t>
      </w:r>
      <w:proofErr w:type="spellStart"/>
      <w:r w:rsidRPr="00515872">
        <w:rPr>
          <w:rFonts w:eastAsia="Times New Roman" w:cs="Tahoma"/>
          <w:szCs w:val="20"/>
          <w:lang w:eastAsia="it-IT"/>
        </w:rPr>
        <w:t>reimputazione</w:t>
      </w:r>
      <w:proofErr w:type="spellEnd"/>
      <w:r w:rsidRPr="00515872">
        <w:rPr>
          <w:rFonts w:eastAsia="Times New Roman" w:cs="Tahoma"/>
          <w:szCs w:val="20"/>
          <w:lang w:eastAsia="it-IT"/>
        </w:rPr>
        <w:t xml:space="preserve"> all’esercizio in cui si prevede che sarà e</w:t>
      </w:r>
      <w:r w:rsidR="00D921F9" w:rsidRPr="00515872">
        <w:rPr>
          <w:rFonts w:eastAsia="Times New Roman" w:cs="Tahoma"/>
          <w:szCs w:val="20"/>
          <w:lang w:eastAsia="it-IT"/>
        </w:rPr>
        <w:t>sigibile.</w:t>
      </w:r>
    </w:p>
    <w:p w14:paraId="5B7784F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Nell’esercizio in cui l’impegno è cancellato si iscrive, tra le spese, il fondo pluriennale vincolato, al fine di consentire la copertura dell’impegno nell’esercizio in cui l’obbligazione sarà imputata.</w:t>
      </w:r>
    </w:p>
    <w:p w14:paraId="1334A6C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Interessi passivi</w:t>
      </w:r>
    </w:p>
    <w:p w14:paraId="65EF498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Sono i</w:t>
      </w:r>
      <w:r w:rsidRPr="00515872">
        <w:rPr>
          <w:rFonts w:eastAsia="Times New Roman" w:cs="Tahoma"/>
          <w:szCs w:val="20"/>
        </w:rPr>
        <w:t>mputati negli esercizi in cui l’obbligazione giuridica passiva viene a scadere. Quelli</w:t>
      </w:r>
      <w:r w:rsidRPr="00515872">
        <w:rPr>
          <w:rFonts w:eastAsia="Times New Roman" w:cs="Tahoma"/>
          <w:szCs w:val="20"/>
          <w:lang w:eastAsia="it-IT"/>
        </w:rPr>
        <w:t xml:space="preserve"> derivanti da operazioni di indebitamento sono imputati nell’anno in cui scade l’obbligazione giuridica in funzione del piano di ammortamento.</w:t>
      </w:r>
    </w:p>
    <w:p w14:paraId="27E5B2F1"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320E7FAC" w14:textId="77777777" w:rsidR="007E176C" w:rsidRPr="00515872" w:rsidRDefault="007E176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p>
    <w:p w14:paraId="7144C53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lastRenderedPageBreak/>
        <w:t>Debito per IVA</w:t>
      </w:r>
    </w:p>
    <w:p w14:paraId="764DF597" w14:textId="77777777" w:rsidR="00014A83" w:rsidRPr="00515872" w:rsidRDefault="009518AF" w:rsidP="0001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debito per IVA è imputato nell’esercizio in cui è presentata la dichiarazione o, se il versamento è effettuato durante l’anno, nell’esercizio in </w:t>
      </w:r>
      <w:r w:rsidR="00014A83" w:rsidRPr="00515872">
        <w:rPr>
          <w:rFonts w:eastAsia="Times New Roman" w:cs="Tahoma"/>
          <w:szCs w:val="20"/>
          <w:lang w:eastAsia="it-IT"/>
        </w:rPr>
        <w:t>cui è effettuato il versamento.</w:t>
      </w:r>
    </w:p>
    <w:p w14:paraId="27D38763" w14:textId="77777777" w:rsidR="009518AF" w:rsidRPr="00515872" w:rsidRDefault="00014A83" w:rsidP="00CD5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Le s</w:t>
      </w:r>
      <w:r w:rsidR="009518AF" w:rsidRPr="00515872">
        <w:rPr>
          <w:rFonts w:eastAsia="Times New Roman" w:cs="Tahoma"/>
          <w:szCs w:val="20"/>
          <w:lang w:eastAsia="it-IT"/>
        </w:rPr>
        <w:t>pese effettuate nell'ambito di attività commerciali soggette al meccanismo dell'inversione contabile (</w:t>
      </w:r>
      <w:r w:rsidR="009518AF" w:rsidRPr="00515872">
        <w:rPr>
          <w:rFonts w:eastAsia="Times New Roman" w:cs="Tahoma"/>
          <w:i/>
          <w:szCs w:val="20"/>
          <w:lang w:eastAsia="it-IT"/>
        </w:rPr>
        <w:t>reverse charge</w:t>
      </w:r>
      <w:r w:rsidR="009518AF" w:rsidRPr="00515872">
        <w:rPr>
          <w:rFonts w:eastAsia="Times New Roman" w:cs="Tahoma"/>
          <w:szCs w:val="20"/>
          <w:lang w:eastAsia="it-IT"/>
        </w:rPr>
        <w:t>)</w:t>
      </w:r>
      <w:r w:rsidRPr="00515872">
        <w:rPr>
          <w:rFonts w:eastAsia="Times New Roman" w:cs="Tahoma"/>
          <w:szCs w:val="20"/>
          <w:lang w:eastAsia="it-IT"/>
        </w:rPr>
        <w:t xml:space="preserve"> s</w:t>
      </w:r>
      <w:r w:rsidR="009518AF" w:rsidRPr="00515872">
        <w:rPr>
          <w:rFonts w:eastAsia="Times New Roman" w:cs="Tahoma"/>
          <w:szCs w:val="20"/>
          <w:lang w:eastAsia="it-IT"/>
        </w:rPr>
        <w:t>ono registrate in contabilità finanziaria come segue:</w:t>
      </w:r>
    </w:p>
    <w:p w14:paraId="78FD993C" w14:textId="77777777" w:rsidR="009518AF" w:rsidRPr="00515872" w:rsidRDefault="009518AF" w:rsidP="00D65838">
      <w:pPr>
        <w:pStyle w:val="Paragrafoelenco"/>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spesa concernente l'acquisizione di beni o di servizi è impegnata per l'importo comprensivo di IVA;</w:t>
      </w:r>
    </w:p>
    <w:p w14:paraId="33EC7C72" w14:textId="77777777" w:rsidR="009518AF" w:rsidRPr="00515872" w:rsidRDefault="009518AF" w:rsidP="00D65838">
      <w:pPr>
        <w:pStyle w:val="Paragrafoelenco"/>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si accerta un'entrata pari all'IVA derivante dall'operazione di inversione contabile;</w:t>
      </w:r>
    </w:p>
    <w:p w14:paraId="126EFFC0" w14:textId="77777777" w:rsidR="009518AF" w:rsidRPr="00515872" w:rsidRDefault="009518AF" w:rsidP="00D65838">
      <w:pPr>
        <w:pStyle w:val="Paragrafoelenco"/>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proofErr w:type="spellStart"/>
      <w:r w:rsidRPr="00515872">
        <w:rPr>
          <w:rFonts w:eastAsia="Times New Roman" w:cs="Tahoma"/>
          <w:szCs w:val="20"/>
          <w:lang w:eastAsia="it-IT"/>
        </w:rPr>
        <w:t>si</w:t>
      </w:r>
      <w:proofErr w:type="spellEnd"/>
      <w:r w:rsidRPr="00515872">
        <w:rPr>
          <w:rFonts w:eastAsia="Times New Roman" w:cs="Tahoma"/>
          <w:szCs w:val="20"/>
          <w:lang w:eastAsia="it-IT"/>
        </w:rPr>
        <w:t xml:space="preserve"> emette un ordine di pagamento a favore del fornitore per l'importo fatturato al lordo dell'IVA con contestuale ritenuta per l'importo dell'IVA;</w:t>
      </w:r>
    </w:p>
    <w:p w14:paraId="47563687" w14:textId="77777777" w:rsidR="009518AF" w:rsidRPr="00515872" w:rsidRDefault="009518AF" w:rsidP="00D65838">
      <w:pPr>
        <w:pStyle w:val="Paragrafoelenco"/>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 fronte della ritenuta IVA si provvede all'emissione di una reversale in entrata di pari importo;</w:t>
      </w:r>
    </w:p>
    <w:p w14:paraId="5176A159" w14:textId="77777777" w:rsidR="009518AF" w:rsidRPr="00515872" w:rsidRDefault="009518AF" w:rsidP="00D65838">
      <w:pPr>
        <w:pStyle w:val="Paragrafoelenco"/>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alle scadenze per la liquidazione dell'IVA, l'ente determina la propria posizione IVA e, se risulta un debito, impegna la relativa spesa.</w:t>
      </w:r>
    </w:p>
    <w:p w14:paraId="4F18B809" w14:textId="77777777" w:rsidR="00014A83" w:rsidRPr="00515872" w:rsidRDefault="00014A83" w:rsidP="0001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Debito per IRAP</w:t>
      </w:r>
    </w:p>
    <w:p w14:paraId="02590FE8" w14:textId="77777777" w:rsidR="00014A83" w:rsidRPr="00515872" w:rsidRDefault="00014A83" w:rsidP="00D9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rPr>
      </w:pPr>
      <w:r w:rsidRPr="00515872">
        <w:rPr>
          <w:rFonts w:eastAsia="Times New Roman" w:cs="Tahoma"/>
          <w:szCs w:val="20"/>
          <w:lang w:eastAsia="it-IT"/>
        </w:rPr>
        <w:t xml:space="preserve">Il debito per IRAP segue lo </w:t>
      </w:r>
      <w:r w:rsidRPr="00515872">
        <w:rPr>
          <w:rFonts w:eastAsia="Times New Roman" w:cs="Tahoma"/>
          <w:szCs w:val="20"/>
        </w:rPr>
        <w:t>stesso criterio della voce di spesa alla quale l’IRAP è riferita.</w:t>
      </w:r>
    </w:p>
    <w:p w14:paraId="2DC3FA91" w14:textId="77777777" w:rsidR="009518AF" w:rsidRPr="00515872" w:rsidRDefault="009518AF" w:rsidP="009518AF">
      <w:pPr>
        <w:spacing w:after="0" w:line="360" w:lineRule="auto"/>
        <w:jc w:val="both"/>
        <w:rPr>
          <w:rFonts w:cs="Tahoma"/>
          <w:b/>
          <w:szCs w:val="20"/>
        </w:rPr>
      </w:pPr>
      <w:r w:rsidRPr="00515872">
        <w:rPr>
          <w:rFonts w:cs="Tahoma"/>
          <w:b/>
          <w:szCs w:val="20"/>
        </w:rPr>
        <w:t>Spese per investimenti</w:t>
      </w:r>
    </w:p>
    <w:p w14:paraId="52706ADD"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rPr>
        <w:t>L</w:t>
      </w:r>
      <w:r w:rsidRPr="00515872">
        <w:rPr>
          <w:rFonts w:eastAsia="Times New Roman" w:cs="Tahoma"/>
          <w:szCs w:val="20"/>
          <w:lang w:eastAsia="it-IT"/>
        </w:rPr>
        <w:t>e spese di investimento sono impegnate negli esercizi in cui scadono le singole obbligazioni passive previste nel contratto o nella convenzione avente ad oggetto l’investimento, sulla base del relativo cronoprogramma. Anche in caso di mancanza di cronoprogramma, l'imputazione è effettuata nel rispetto del principio della competenza finanziaria potenziata, in considerazione dell'esigibilità della spesa.</w:t>
      </w:r>
    </w:p>
    <w:p w14:paraId="3DC07721" w14:textId="77777777" w:rsidR="009518AF" w:rsidRPr="00515872" w:rsidRDefault="009518AF" w:rsidP="00145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caso di acquisizione di un investimento già realizzato, con pagamento frazionato negli esercizi successivi, è necessario registrare la spesa imputandola interamente all'esercizio in cui il bene entra nel patrimonio dell'ente e impegnando il rimborso del prestito, con imputazione agli esercizi secondo le scadenze previste contrattualmente.</w:t>
      </w:r>
    </w:p>
    <w:p w14:paraId="1BA6F479" w14:textId="77777777" w:rsidR="009518AF" w:rsidRPr="00515872" w:rsidRDefault="009518AF" w:rsidP="00747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Concessioni di credito</w:t>
      </w:r>
    </w:p>
    <w:p w14:paraId="6EFD845F" w14:textId="77777777" w:rsidR="00566C3E" w:rsidRPr="00515872" w:rsidRDefault="00566C3E" w:rsidP="00747B34">
      <w:pPr>
        <w:tabs>
          <w:tab w:val="left" w:pos="567"/>
        </w:tabs>
        <w:spacing w:after="0" w:line="360" w:lineRule="auto"/>
        <w:ind w:right="-284"/>
        <w:jc w:val="both"/>
        <w:rPr>
          <w:rFonts w:cs="Tahoma"/>
        </w:rPr>
      </w:pPr>
      <w:r w:rsidRPr="00515872">
        <w:rPr>
          <w:rFonts w:cs="Tahoma"/>
        </w:rPr>
        <w:t>Le concessioni di credito possono essere costituite:</w:t>
      </w:r>
    </w:p>
    <w:p w14:paraId="0ECC161E" w14:textId="77777777" w:rsidR="00566C3E" w:rsidRPr="00515872" w:rsidRDefault="00566C3E" w:rsidP="00D65838">
      <w:pPr>
        <w:pStyle w:val="Paragrafoelenco"/>
        <w:numPr>
          <w:ilvl w:val="0"/>
          <w:numId w:val="40"/>
        </w:numPr>
        <w:tabs>
          <w:tab w:val="left" w:pos="426"/>
        </w:tabs>
        <w:spacing w:line="360" w:lineRule="auto"/>
        <w:ind w:right="-285"/>
        <w:jc w:val="both"/>
        <w:rPr>
          <w:rFonts w:cs="Tahoma"/>
        </w:rPr>
      </w:pPr>
      <w:r w:rsidRPr="00515872">
        <w:rPr>
          <w:rFonts w:cs="Tahoma"/>
        </w:rPr>
        <w:t>da anticipazioni di liquidità nei confronti dei propri enti ed organismi strumentali e delle proprie società controllate o partecipate (da estinguere entro un anno e non rinnovabili);</w:t>
      </w:r>
    </w:p>
    <w:p w14:paraId="46793C10" w14:textId="77777777" w:rsidR="00566C3E" w:rsidRPr="00515872" w:rsidRDefault="00566C3E" w:rsidP="00D65838">
      <w:pPr>
        <w:pStyle w:val="Paragrafoelenco"/>
        <w:numPr>
          <w:ilvl w:val="0"/>
          <w:numId w:val="40"/>
        </w:numPr>
        <w:tabs>
          <w:tab w:val="left" w:pos="426"/>
        </w:tabs>
        <w:spacing w:line="360" w:lineRule="auto"/>
        <w:ind w:right="-285"/>
        <w:jc w:val="both"/>
        <w:rPr>
          <w:rFonts w:cs="Tahoma"/>
        </w:rPr>
      </w:pPr>
      <w:r w:rsidRPr="00515872">
        <w:rPr>
          <w:rFonts w:cs="Tahoma"/>
        </w:rPr>
        <w:t>dalla concessione di finanziamenti nei casi espressamente previsti dalla legge (compresi i fondi di rotazione).</w:t>
      </w:r>
    </w:p>
    <w:p w14:paraId="34021060" w14:textId="77777777" w:rsidR="00566C3E" w:rsidRPr="00515872" w:rsidRDefault="00566C3E" w:rsidP="001453A1">
      <w:pPr>
        <w:tabs>
          <w:tab w:val="left" w:pos="284"/>
        </w:tabs>
        <w:spacing w:line="360" w:lineRule="auto"/>
        <w:ind w:right="-285"/>
        <w:jc w:val="both"/>
        <w:rPr>
          <w:rFonts w:cs="Tahoma"/>
        </w:rPr>
      </w:pPr>
      <w:r w:rsidRPr="00515872">
        <w:rPr>
          <w:rFonts w:cs="Tahoma"/>
        </w:rPr>
        <w:t>Nel caso di concessioni di liquidità, l’impegno di spesa ed il corrispondente accertamento di entrata (tra le riscossioni di crediti) sono imputati al medesimo esercizio.</w:t>
      </w:r>
    </w:p>
    <w:p w14:paraId="4E3AEF31" w14:textId="77777777" w:rsidR="00566C3E" w:rsidRPr="00515872" w:rsidRDefault="00566C3E" w:rsidP="001453A1">
      <w:pPr>
        <w:tabs>
          <w:tab w:val="left" w:pos="284"/>
        </w:tabs>
        <w:spacing w:line="360" w:lineRule="auto"/>
        <w:ind w:right="-285"/>
        <w:jc w:val="both"/>
        <w:rPr>
          <w:rFonts w:cs="Tahoma"/>
          <w:color w:val="000000"/>
        </w:rPr>
      </w:pPr>
      <w:r w:rsidRPr="00515872">
        <w:rPr>
          <w:rFonts w:cs="Tahoma"/>
        </w:rPr>
        <w:t xml:space="preserve">Le concessioni di finanziamento sono impegnate nell’esercizio </w:t>
      </w:r>
      <w:r w:rsidRPr="00515872">
        <w:rPr>
          <w:rFonts w:cs="Tahoma"/>
          <w:color w:val="000000"/>
        </w:rPr>
        <w:t xml:space="preserve">finanziario in cui viene adottato </w:t>
      </w:r>
      <w:r w:rsidR="00CD5AAC" w:rsidRPr="00515872">
        <w:rPr>
          <w:rFonts w:cs="Tahoma"/>
          <w:color w:val="000000"/>
        </w:rPr>
        <w:t xml:space="preserve">il relativo </w:t>
      </w:r>
      <w:r w:rsidRPr="00515872">
        <w:rPr>
          <w:rFonts w:cs="Tahoma"/>
          <w:color w:val="000000"/>
        </w:rPr>
        <w:t>atto amministrativo. Nel caso in cui l’atto amministrativo preveda espressamente le modalità temporali e le scadenze in cui il finanziamento è erogato, l’impegno è imputato negli esercizi in cui l’obbligazione viene a scadenza.</w:t>
      </w:r>
    </w:p>
    <w:p w14:paraId="45F70D1B" w14:textId="77777777" w:rsidR="00566C3E" w:rsidRPr="00515872" w:rsidRDefault="00566C3E" w:rsidP="00747B34">
      <w:pPr>
        <w:tabs>
          <w:tab w:val="left" w:pos="284"/>
        </w:tabs>
        <w:spacing w:after="0" w:line="360" w:lineRule="auto"/>
        <w:ind w:right="-284"/>
        <w:jc w:val="both"/>
        <w:rPr>
          <w:rFonts w:cs="Tahoma"/>
          <w:b/>
        </w:rPr>
      </w:pPr>
      <w:r w:rsidRPr="00515872">
        <w:rPr>
          <w:rFonts w:cs="Tahoma"/>
          <w:b/>
        </w:rPr>
        <w:lastRenderedPageBreak/>
        <w:t>Concessione di garanzie</w:t>
      </w:r>
    </w:p>
    <w:p w14:paraId="31BEAAA3" w14:textId="77777777" w:rsidR="00566C3E" w:rsidRPr="00515872" w:rsidRDefault="00566C3E" w:rsidP="00747B34">
      <w:pPr>
        <w:spacing w:after="0" w:line="360" w:lineRule="auto"/>
        <w:jc w:val="both"/>
        <w:rPr>
          <w:rFonts w:cs="Tahoma"/>
        </w:rPr>
      </w:pPr>
      <w:r w:rsidRPr="00515872">
        <w:rPr>
          <w:rFonts w:cs="Tahoma"/>
        </w:rPr>
        <w:t>Il trattamento delle garanzie fornite dall’ente sulle passività emesse da terzi è il seguente:</w:t>
      </w:r>
    </w:p>
    <w:p w14:paraId="7AA50348" w14:textId="77777777" w:rsidR="00520C79" w:rsidRPr="00515872" w:rsidRDefault="00566C3E" w:rsidP="00D65838">
      <w:pPr>
        <w:pStyle w:val="Paragrafoelenco"/>
        <w:numPr>
          <w:ilvl w:val="0"/>
          <w:numId w:val="40"/>
        </w:numPr>
        <w:tabs>
          <w:tab w:val="left" w:pos="426"/>
        </w:tabs>
        <w:spacing w:line="360" w:lineRule="auto"/>
        <w:ind w:right="-285"/>
        <w:jc w:val="both"/>
        <w:rPr>
          <w:rFonts w:cs="Tahoma"/>
        </w:rPr>
      </w:pPr>
      <w:r w:rsidRPr="00515872">
        <w:rPr>
          <w:rFonts w:cs="Tahoma"/>
        </w:rPr>
        <w:t>al momento della concessione della garanzia, in contabilità finanziaria non si effettua alcuna contabilizzazione;</w:t>
      </w:r>
    </w:p>
    <w:p w14:paraId="277BD9B8" w14:textId="77777777" w:rsidR="00837C56" w:rsidRPr="00515872" w:rsidRDefault="00566C3E" w:rsidP="00D65838">
      <w:pPr>
        <w:pStyle w:val="Paragrafoelenco"/>
        <w:numPr>
          <w:ilvl w:val="0"/>
          <w:numId w:val="40"/>
        </w:numPr>
        <w:tabs>
          <w:tab w:val="left" w:pos="426"/>
        </w:tabs>
        <w:spacing w:line="360" w:lineRule="auto"/>
        <w:ind w:right="-285"/>
        <w:jc w:val="both"/>
        <w:rPr>
          <w:rFonts w:cs="Tahoma"/>
        </w:rPr>
      </w:pPr>
      <w:r w:rsidRPr="00515872">
        <w:rPr>
          <w:rFonts w:cs="Tahoma"/>
        </w:rPr>
        <w:t>nel rispetto del principio della prudenza, il principio contabile consiglia un accantonamento tra le spese correnti</w:t>
      </w:r>
      <w:r w:rsidR="00520C79" w:rsidRPr="00515872">
        <w:rPr>
          <w:rFonts w:cs="Tahoma"/>
        </w:rPr>
        <w:t>,</w:t>
      </w:r>
      <w:r w:rsidRPr="00515872">
        <w:rPr>
          <w:rFonts w:cs="Tahoma"/>
        </w:rPr>
        <w:t xml:space="preserve"> tra i “Fondi di riserva e altri accantonamenti”</w:t>
      </w:r>
      <w:r w:rsidR="00520C79" w:rsidRPr="00515872">
        <w:rPr>
          <w:rFonts w:cs="Tahoma"/>
        </w:rPr>
        <w:t>,</w:t>
      </w:r>
      <w:r w:rsidRPr="00515872">
        <w:rPr>
          <w:rFonts w:cs="Tahoma"/>
        </w:rPr>
        <w:t xml:space="preserve"> nell’esercizio in cui la garanzia è concessa, a copertura dell’eventuale onere a carico dell’ente in caso di </w:t>
      </w:r>
      <w:r w:rsidR="00AA7B73" w:rsidRPr="00515872">
        <w:rPr>
          <w:rFonts w:cs="Tahoma"/>
        </w:rPr>
        <w:t>escussione del debito garantito.</w:t>
      </w:r>
    </w:p>
    <w:p w14:paraId="555C255C" w14:textId="77777777" w:rsidR="00837C56" w:rsidRPr="00515872" w:rsidRDefault="00520C79" w:rsidP="00747B34">
      <w:pPr>
        <w:spacing w:after="0" w:line="360" w:lineRule="auto"/>
        <w:jc w:val="both"/>
        <w:rPr>
          <w:rFonts w:cs="Tahoma"/>
        </w:rPr>
      </w:pPr>
      <w:r w:rsidRPr="00515872">
        <w:rPr>
          <w:rFonts w:cs="Tahoma"/>
        </w:rPr>
        <w:t>I</w:t>
      </w:r>
      <w:r w:rsidR="00566C3E" w:rsidRPr="00515872">
        <w:rPr>
          <w:rFonts w:cs="Tahoma"/>
        </w:rPr>
        <w:t>n caso di escussione della garanzia riguardante una rata, l’ente garante:</w:t>
      </w:r>
    </w:p>
    <w:p w14:paraId="4B121922" w14:textId="77777777" w:rsidR="00520C79" w:rsidRPr="00515872" w:rsidRDefault="00566C3E" w:rsidP="00D65838">
      <w:pPr>
        <w:pStyle w:val="Paragrafoelenco"/>
        <w:numPr>
          <w:ilvl w:val="0"/>
          <w:numId w:val="40"/>
        </w:numPr>
        <w:spacing w:line="360" w:lineRule="auto"/>
        <w:ind w:left="357" w:hanging="357"/>
        <w:jc w:val="both"/>
        <w:rPr>
          <w:rFonts w:cs="Tahoma"/>
        </w:rPr>
      </w:pPr>
      <w:r w:rsidRPr="00515872">
        <w:rPr>
          <w:rFonts w:cs="Tahoma"/>
        </w:rPr>
        <w:t xml:space="preserve">impegna e paga, tra le concessioni di crediti, la spesa necessaria a </w:t>
      </w:r>
      <w:r w:rsidR="00CE4CB6" w:rsidRPr="00515872">
        <w:rPr>
          <w:rFonts w:cs="Tahoma"/>
        </w:rPr>
        <w:t>saldare</w:t>
      </w:r>
      <w:r w:rsidRPr="00515872">
        <w:rPr>
          <w:rFonts w:cs="Tahoma"/>
        </w:rPr>
        <w:t xml:space="preserve"> la rata richiesta dal finanziatore che ha attivato la garanzia. La spesa è imputata alla voce del piano dei conti riguardante la concessione di crediti al comparto di appartenenza del debitore originario in deroga al principio generale che richiede l’imputazione della spesa all’effe</w:t>
      </w:r>
      <w:r w:rsidR="001453A1" w:rsidRPr="00515872">
        <w:rPr>
          <w:rFonts w:cs="Tahoma"/>
        </w:rPr>
        <w:t>ttivo destinatario della stessa</w:t>
      </w:r>
      <w:r w:rsidRPr="00515872">
        <w:rPr>
          <w:rFonts w:cs="Tahoma"/>
        </w:rPr>
        <w:t>;</w:t>
      </w:r>
    </w:p>
    <w:p w14:paraId="105AF79C" w14:textId="77777777" w:rsidR="00520C79" w:rsidRPr="00515872" w:rsidRDefault="00566C3E" w:rsidP="00D65838">
      <w:pPr>
        <w:pStyle w:val="Paragrafoelenco"/>
        <w:numPr>
          <w:ilvl w:val="0"/>
          <w:numId w:val="40"/>
        </w:numPr>
        <w:spacing w:before="200" w:line="360" w:lineRule="auto"/>
        <w:jc w:val="both"/>
        <w:rPr>
          <w:rFonts w:cs="Tahoma"/>
        </w:rPr>
      </w:pPr>
      <w:r w:rsidRPr="00515872">
        <w:rPr>
          <w:rFonts w:cs="Tahoma"/>
        </w:rPr>
        <w:t xml:space="preserve">accerta il credito nei confronti del debitore originario, in quanto non è consentito rinunciare al </w:t>
      </w:r>
      <w:r w:rsidR="001453A1" w:rsidRPr="00515872">
        <w:rPr>
          <w:rFonts w:cs="Tahoma"/>
        </w:rPr>
        <w:t>diritto di rivalsa,</w:t>
      </w:r>
      <w:r w:rsidRPr="00515872">
        <w:rPr>
          <w:rFonts w:cs="Tahoma"/>
        </w:rPr>
        <w:t xml:space="preserve"> impu</w:t>
      </w:r>
      <w:r w:rsidR="001453A1" w:rsidRPr="00515872">
        <w:rPr>
          <w:rFonts w:cs="Tahoma"/>
        </w:rPr>
        <w:t>tandolo</w:t>
      </w:r>
      <w:r w:rsidRPr="00515872">
        <w:rPr>
          <w:rFonts w:cs="Tahoma"/>
        </w:rPr>
        <w:t xml:space="preserve"> all’esercizio in corso</w:t>
      </w:r>
      <w:r w:rsidR="00CE4CB6" w:rsidRPr="00515872">
        <w:rPr>
          <w:rFonts w:cs="Tahoma"/>
        </w:rPr>
        <w:t>;</w:t>
      </w:r>
    </w:p>
    <w:p w14:paraId="0CD9CF60" w14:textId="77777777" w:rsidR="00566C3E" w:rsidRPr="00515872" w:rsidRDefault="00566C3E" w:rsidP="00D65838">
      <w:pPr>
        <w:pStyle w:val="Paragrafoelenco"/>
        <w:numPr>
          <w:ilvl w:val="0"/>
          <w:numId w:val="40"/>
        </w:numPr>
        <w:spacing w:before="200" w:line="360" w:lineRule="auto"/>
        <w:jc w:val="both"/>
        <w:rPr>
          <w:rFonts w:cs="Tahoma"/>
        </w:rPr>
      </w:pPr>
      <w:r w:rsidRPr="00515872">
        <w:rPr>
          <w:rFonts w:cs="Tahoma"/>
        </w:rPr>
        <w:t xml:space="preserve">stanzia </w:t>
      </w:r>
      <w:r w:rsidR="001453A1" w:rsidRPr="00515872">
        <w:rPr>
          <w:rFonts w:cs="Tahoma"/>
        </w:rPr>
        <w:t>nella</w:t>
      </w:r>
      <w:r w:rsidRPr="00515872">
        <w:rPr>
          <w:rFonts w:cs="Tahoma"/>
        </w:rPr>
        <w:t xml:space="preserve"> spesa un fondo rischi per escussione per l’intero importo del credito di cui al punto </w:t>
      </w:r>
      <w:r w:rsidR="001453A1" w:rsidRPr="00515872">
        <w:rPr>
          <w:rFonts w:cs="Tahoma"/>
        </w:rPr>
        <w:t>precedente.</w:t>
      </w:r>
    </w:p>
    <w:p w14:paraId="1AF55617" w14:textId="77777777" w:rsidR="00566C3E" w:rsidRPr="00515872" w:rsidRDefault="00566C3E" w:rsidP="001453A1">
      <w:pPr>
        <w:tabs>
          <w:tab w:val="left" w:pos="284"/>
        </w:tabs>
        <w:spacing w:line="360" w:lineRule="auto"/>
        <w:ind w:right="-285"/>
        <w:jc w:val="both"/>
        <w:rPr>
          <w:rFonts w:cs="Tahoma"/>
        </w:rPr>
      </w:pPr>
      <w:r w:rsidRPr="00515872">
        <w:rPr>
          <w:rFonts w:cs="Tahoma"/>
        </w:rPr>
        <w:t>Ai sensi di quanto previsto dal c</w:t>
      </w:r>
      <w:r w:rsidR="00AA7B73" w:rsidRPr="00515872">
        <w:rPr>
          <w:rFonts w:cs="Tahoma"/>
        </w:rPr>
        <w:t>.</w:t>
      </w:r>
      <w:r w:rsidR="00CE4CB6" w:rsidRPr="00515872">
        <w:rPr>
          <w:rFonts w:cs="Tahoma"/>
        </w:rPr>
        <w:t xml:space="preserve"> </w:t>
      </w:r>
      <w:r w:rsidRPr="00515872">
        <w:rPr>
          <w:rFonts w:cs="Tahoma"/>
        </w:rPr>
        <w:t>17, dell’art</w:t>
      </w:r>
      <w:r w:rsidR="00AA7B73" w:rsidRPr="00515872">
        <w:rPr>
          <w:rFonts w:cs="Tahoma"/>
        </w:rPr>
        <w:t>.</w:t>
      </w:r>
      <w:r w:rsidRPr="00515872">
        <w:rPr>
          <w:rFonts w:cs="Tahoma"/>
        </w:rPr>
        <w:t xml:space="preserve"> 3, </w:t>
      </w:r>
      <w:r w:rsidR="00AA7B73" w:rsidRPr="00515872">
        <w:rPr>
          <w:rFonts w:cs="Tahoma"/>
        </w:rPr>
        <w:t>L.</w:t>
      </w:r>
      <w:r w:rsidRPr="00515872">
        <w:rPr>
          <w:rFonts w:cs="Tahoma"/>
        </w:rPr>
        <w:t xml:space="preserve"> 24 dicembre 2003, n. 350, a seguito della terza richiesta consecutiva di pagare le annualità di un prestito garantito, il residuo debito oggetto della garanzia è registrato come debito dell’ente, fermo restando il diritto di credito nei confronti del debitore originario.</w:t>
      </w:r>
    </w:p>
    <w:p w14:paraId="50F47D62" w14:textId="77777777" w:rsidR="009518AF" w:rsidRPr="00515872" w:rsidRDefault="009518AF" w:rsidP="000266EB">
      <w:pPr>
        <w:tabs>
          <w:tab w:val="left" w:pos="2292"/>
        </w:tabs>
        <w:spacing w:after="0" w:line="360" w:lineRule="auto"/>
        <w:jc w:val="both"/>
        <w:rPr>
          <w:rFonts w:eastAsia="Times New Roman" w:cs="Tahoma"/>
          <w:b/>
          <w:szCs w:val="20"/>
          <w:lang w:eastAsia="it-IT"/>
        </w:rPr>
      </w:pPr>
      <w:r w:rsidRPr="00515872">
        <w:rPr>
          <w:rFonts w:eastAsia="Times New Roman" w:cs="Tahoma"/>
          <w:b/>
          <w:szCs w:val="20"/>
          <w:lang w:eastAsia="it-IT"/>
        </w:rPr>
        <w:t>Rimbors</w:t>
      </w:r>
      <w:r w:rsidR="00CE4CB6" w:rsidRPr="00515872">
        <w:rPr>
          <w:rFonts w:eastAsia="Times New Roman" w:cs="Tahoma"/>
          <w:b/>
          <w:szCs w:val="20"/>
          <w:lang w:eastAsia="it-IT"/>
        </w:rPr>
        <w:t>o</w:t>
      </w:r>
      <w:r w:rsidRPr="00515872">
        <w:rPr>
          <w:rFonts w:eastAsia="Times New Roman" w:cs="Tahoma"/>
          <w:b/>
          <w:szCs w:val="20"/>
          <w:lang w:eastAsia="it-IT"/>
        </w:rPr>
        <w:t xml:space="preserve"> </w:t>
      </w:r>
      <w:r w:rsidR="00CE4CB6" w:rsidRPr="00515872">
        <w:rPr>
          <w:rFonts w:eastAsia="Times New Roman" w:cs="Tahoma"/>
          <w:b/>
          <w:szCs w:val="20"/>
          <w:lang w:eastAsia="it-IT"/>
        </w:rPr>
        <w:t xml:space="preserve">di </w:t>
      </w:r>
      <w:r w:rsidRPr="00515872">
        <w:rPr>
          <w:rFonts w:eastAsia="Times New Roman" w:cs="Tahoma"/>
          <w:b/>
          <w:szCs w:val="20"/>
          <w:lang w:eastAsia="it-IT"/>
        </w:rPr>
        <w:t>prestiti</w:t>
      </w:r>
    </w:p>
    <w:p w14:paraId="4E7AE7F3" w14:textId="77777777" w:rsidR="000266EB"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Gli impegni riguardanti la spesa per il rimborso di prestiti (quota capitale) sono imputati al bilancio dell'esercizio in cui viene a scadenza l’obbligazione giuridica corrispondente alla rata di ammortamento annuale sulla</w:t>
      </w:r>
      <w:r w:rsidR="00CE4CB6" w:rsidRPr="00515872">
        <w:rPr>
          <w:rFonts w:eastAsia="Times New Roman" w:cs="Tahoma"/>
          <w:szCs w:val="20"/>
          <w:lang w:eastAsia="it-IT"/>
        </w:rPr>
        <w:t xml:space="preserve"> base del piano di ammortamento;</w:t>
      </w:r>
      <w:r w:rsidRPr="00515872">
        <w:rPr>
          <w:rFonts w:eastAsia="Times New Roman" w:cs="Tahoma"/>
          <w:szCs w:val="20"/>
          <w:lang w:eastAsia="it-IT"/>
        </w:rPr>
        <w:t xml:space="preserve"> per gli esercizi non gestiti nel bilancio di previsione, si predispone l'impegno automatico, sempre sulla base del piano di ammortamento.</w:t>
      </w:r>
    </w:p>
    <w:p w14:paraId="5C213CD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Gli impegni sono effettuati a seguito dell'effettiva erogazione del prestito o della messa a disposizione del finanziamento. </w:t>
      </w:r>
    </w:p>
    <w:p w14:paraId="02276BE8" w14:textId="77777777" w:rsidR="009518AF" w:rsidRPr="00515872" w:rsidRDefault="009518AF" w:rsidP="009518AF">
      <w:pPr>
        <w:spacing w:after="0" w:line="360" w:lineRule="auto"/>
        <w:jc w:val="both"/>
        <w:rPr>
          <w:rFonts w:cs="Tahoma"/>
          <w:b/>
          <w:szCs w:val="20"/>
        </w:rPr>
      </w:pPr>
      <w:r w:rsidRPr="00515872">
        <w:rPr>
          <w:rFonts w:cs="Tahoma"/>
          <w:b/>
          <w:szCs w:val="20"/>
        </w:rPr>
        <w:t>Spese per conto terzi e partite di giro</w:t>
      </w:r>
    </w:p>
    <w:p w14:paraId="3D63636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obbligazioni giuridicamente perfezionate che danno luogo a spese per conto terzi e relative a partite di giro sono registrate e imputate all'esercizio in cui l'obbligazione è perfezionata e non in quello in cui la stessa è esigibile, in deroga al principio contabile generale.</w:t>
      </w:r>
    </w:p>
    <w:p w14:paraId="28E9EC4C" w14:textId="77777777" w:rsidR="007E176C" w:rsidRPr="00515872" w:rsidRDefault="007E176C" w:rsidP="009518AF">
      <w:pPr>
        <w:spacing w:line="360" w:lineRule="auto"/>
        <w:jc w:val="both"/>
        <w:rPr>
          <w:rFonts w:eastAsia="Times New Roman" w:cs="Tahoma"/>
          <w:szCs w:val="20"/>
          <w:lang w:eastAsia="it-IT"/>
        </w:rPr>
      </w:pPr>
    </w:p>
    <w:p w14:paraId="311AE3B8" w14:textId="77777777" w:rsidR="007E176C" w:rsidRPr="00515872" w:rsidRDefault="007E176C" w:rsidP="009518AF">
      <w:pPr>
        <w:spacing w:line="360" w:lineRule="auto"/>
        <w:jc w:val="both"/>
        <w:rPr>
          <w:rFonts w:eastAsia="Times New Roman" w:cs="Tahoma"/>
          <w:szCs w:val="20"/>
          <w:lang w:eastAsia="it-IT"/>
        </w:rPr>
      </w:pPr>
    </w:p>
    <w:p w14:paraId="6F9EE7F3" w14:textId="77777777" w:rsidR="00277513" w:rsidRPr="00515872" w:rsidRDefault="00277513" w:rsidP="009518AF">
      <w:pPr>
        <w:pStyle w:val="Sottoparagrafo"/>
        <w:rPr>
          <w:rFonts w:cs="Tahoma"/>
          <w:highlight w:val="yellow"/>
        </w:rPr>
      </w:pPr>
      <w:bookmarkStart w:id="90" w:name="_Toc521317076"/>
    </w:p>
    <w:p w14:paraId="3E355AE0" w14:textId="77777777" w:rsidR="009518AF" w:rsidRPr="00515872" w:rsidRDefault="009518AF" w:rsidP="009518AF">
      <w:pPr>
        <w:pStyle w:val="Sottoparagrafo"/>
        <w:rPr>
          <w:rFonts w:cs="Tahoma"/>
        </w:rPr>
      </w:pPr>
      <w:bookmarkStart w:id="91" w:name="_Toc95912253"/>
      <w:r w:rsidRPr="00515872">
        <w:rPr>
          <w:rFonts w:cs="Tahoma"/>
        </w:rPr>
        <w:lastRenderedPageBreak/>
        <w:t xml:space="preserve">4.3.3 Accantonamenti </w:t>
      </w:r>
      <w:r w:rsidR="00200EFB" w:rsidRPr="00515872">
        <w:rPr>
          <w:rFonts w:cs="Tahoma"/>
        </w:rPr>
        <w:t xml:space="preserve">a fondi </w:t>
      </w:r>
      <w:r w:rsidRPr="00515872">
        <w:rPr>
          <w:rFonts w:cs="Tahoma"/>
        </w:rPr>
        <w:t>e vincoli</w:t>
      </w:r>
      <w:bookmarkEnd w:id="90"/>
      <w:bookmarkEnd w:id="91"/>
    </w:p>
    <w:p w14:paraId="1FEC181F" w14:textId="77777777" w:rsidR="009518AF" w:rsidRPr="00515872" w:rsidRDefault="009518AF" w:rsidP="009518AF">
      <w:pPr>
        <w:spacing w:after="0" w:line="360" w:lineRule="auto"/>
        <w:jc w:val="both"/>
        <w:rPr>
          <w:rFonts w:cs="Tahoma"/>
          <w:b/>
        </w:rPr>
      </w:pPr>
      <w:r w:rsidRPr="00515872">
        <w:rPr>
          <w:rFonts w:cs="Tahoma"/>
          <w:b/>
        </w:rPr>
        <w:t xml:space="preserve">Fondo crediti di dubbia </w:t>
      </w:r>
      <w:r w:rsidR="000266EB" w:rsidRPr="00515872">
        <w:rPr>
          <w:rFonts w:cs="Tahoma"/>
          <w:b/>
        </w:rPr>
        <w:t>esigibilità</w:t>
      </w:r>
      <w:r w:rsidRPr="00515872">
        <w:rPr>
          <w:rFonts w:cs="Tahoma"/>
          <w:b/>
        </w:rPr>
        <w:t xml:space="preserve"> (FCDE)</w:t>
      </w:r>
    </w:p>
    <w:p w14:paraId="3F662172" w14:textId="77777777" w:rsidR="00C0332D" w:rsidRPr="00515872" w:rsidRDefault="009518AF" w:rsidP="00C03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principio contabile applicato </w:t>
      </w:r>
      <w:r w:rsidR="001D0A72" w:rsidRPr="00515872">
        <w:rPr>
          <w:rFonts w:eastAsia="Times New Roman" w:cs="Tahoma"/>
          <w:szCs w:val="20"/>
          <w:lang w:eastAsia="it-IT"/>
        </w:rPr>
        <w:t xml:space="preserve">n. 4/2, al punto </w:t>
      </w:r>
      <w:r w:rsidRPr="00515872">
        <w:rPr>
          <w:rFonts w:eastAsia="Times New Roman" w:cs="Tahoma"/>
          <w:szCs w:val="20"/>
          <w:lang w:eastAsia="it-IT"/>
        </w:rPr>
        <w:t>3.3</w:t>
      </w:r>
      <w:r w:rsidR="001D0A72" w:rsidRPr="00515872">
        <w:rPr>
          <w:rFonts w:eastAsia="Times New Roman" w:cs="Tahoma"/>
          <w:szCs w:val="20"/>
          <w:lang w:eastAsia="it-IT"/>
        </w:rPr>
        <w:t>,</w:t>
      </w:r>
      <w:r w:rsidRPr="00515872">
        <w:rPr>
          <w:rFonts w:eastAsia="Times New Roman" w:cs="Tahoma"/>
          <w:szCs w:val="20"/>
          <w:lang w:eastAsia="it-IT"/>
        </w:rPr>
        <w:t xml:space="preserve"> prevede che le entrate di difficile esazione</w:t>
      </w:r>
      <w:r w:rsidR="00D679FB" w:rsidRPr="00515872">
        <w:rPr>
          <w:rFonts w:eastAsia="Times New Roman" w:cs="Tahoma"/>
          <w:szCs w:val="20"/>
          <w:lang w:eastAsia="it-IT"/>
        </w:rPr>
        <w:t>, per le quali non sia certa la riscossione integrale,</w:t>
      </w:r>
      <w:r w:rsidRPr="00515872">
        <w:rPr>
          <w:rFonts w:eastAsia="Times New Roman" w:cs="Tahoma"/>
          <w:szCs w:val="20"/>
          <w:lang w:eastAsia="it-IT"/>
        </w:rPr>
        <w:t xml:space="preserve"> siano accertate per l’intero importo del credito. A fronte di tali accertamenti è effettuato un accantonamento ad un fondo denominato “Fondo crediti di dubbia esigibilità” (FCDE). </w:t>
      </w:r>
      <w:r w:rsidR="00BB6E1C" w:rsidRPr="00515872">
        <w:rPr>
          <w:rFonts w:eastAsia="Times New Roman" w:cs="Tahoma"/>
          <w:szCs w:val="20"/>
          <w:lang w:eastAsia="it-IT"/>
        </w:rPr>
        <w:t xml:space="preserve">Tale </w:t>
      </w:r>
      <w:r w:rsidR="00D679FB" w:rsidRPr="00515872">
        <w:rPr>
          <w:rFonts w:eastAsia="Times New Roman" w:cs="Tahoma"/>
          <w:szCs w:val="20"/>
          <w:lang w:eastAsia="it-IT"/>
        </w:rPr>
        <w:t xml:space="preserve">accantonamento, divenuto obbligatorio </w:t>
      </w:r>
      <w:r w:rsidR="00BB6E1C" w:rsidRPr="00515872">
        <w:rPr>
          <w:rFonts w:eastAsia="Times New Roman" w:cs="Tahoma"/>
          <w:szCs w:val="20"/>
          <w:lang w:eastAsia="it-IT"/>
        </w:rPr>
        <w:t xml:space="preserve">con </w:t>
      </w:r>
      <w:r w:rsidR="00D679FB" w:rsidRPr="00515872">
        <w:rPr>
          <w:rFonts w:eastAsia="Times New Roman" w:cs="Tahoma"/>
          <w:szCs w:val="20"/>
          <w:lang w:eastAsia="it-IT"/>
        </w:rPr>
        <w:t xml:space="preserve">l’entrata in vigore del </w:t>
      </w:r>
      <w:proofErr w:type="spellStart"/>
      <w:r w:rsidR="00D679FB" w:rsidRPr="00515872">
        <w:rPr>
          <w:rFonts w:eastAsia="Times New Roman" w:cs="Tahoma"/>
          <w:szCs w:val="20"/>
          <w:lang w:eastAsia="it-IT"/>
        </w:rPr>
        <w:t>D.Lgs</w:t>
      </w:r>
      <w:proofErr w:type="spellEnd"/>
      <w:r w:rsidR="00D679FB" w:rsidRPr="00515872">
        <w:rPr>
          <w:rFonts w:eastAsia="Times New Roman" w:cs="Tahoma"/>
          <w:szCs w:val="20"/>
          <w:lang w:eastAsia="it-IT"/>
        </w:rPr>
        <w:t xml:space="preserve"> n. 118/2011, è</w:t>
      </w:r>
      <w:r w:rsidRPr="00515872">
        <w:rPr>
          <w:rFonts w:eastAsia="Times New Roman" w:cs="Tahoma"/>
          <w:szCs w:val="20"/>
          <w:lang w:eastAsia="it-IT"/>
        </w:rPr>
        <w:t xml:space="preserve"> destinato ad evitare l’utilizzo di entrate per le quali risulta dubbia e difficile la possibilità di realizzo e trova collocazione tra le spese di parte corrente nel bilancio di previsione.</w:t>
      </w:r>
    </w:p>
    <w:p w14:paraId="4C1DF77E" w14:textId="77777777" w:rsidR="00C0332D" w:rsidRPr="00515872" w:rsidRDefault="00C0332D"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Il primo accantonamento di una quota del risultato di amministrazione al fondo crediti di dubbia esigibilità è stato eseguito in occasione del riaccertamento straordinario dei residui, con riferimento all’importo complessivo dei residui attivi risultanti dopo la cancellazione dei crediti al 31 dicembre 2014 cui non corrispondevano obbligazioni perfezionate e scadute alla data del 1° gennaio 2015.</w:t>
      </w:r>
    </w:p>
    <w:p w14:paraId="34AC77E3" w14:textId="77777777" w:rsidR="00BB6E1C" w:rsidRPr="00515872" w:rsidRDefault="009518AF" w:rsidP="0033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fase previsionale, per tutti gli anni oggetto di previsione, viene stanziata in bilancio una posta contabile, denominata "Accantonamento al fondo crediti di dubbia esigibilità" il cui ammontare è determinato in ragione del volume degli stanziamenti relativi ai crediti che si prevede si formeranno nell'esercizio, della loro natura e dell'andamento degli inc</w:t>
      </w:r>
      <w:r w:rsidR="00333A50" w:rsidRPr="00515872">
        <w:rPr>
          <w:rFonts w:eastAsia="Times New Roman" w:cs="Tahoma"/>
          <w:szCs w:val="20"/>
          <w:lang w:eastAsia="it-IT"/>
        </w:rPr>
        <w:t>assi nei 5 esercizi precedenti.</w:t>
      </w:r>
    </w:p>
    <w:p w14:paraId="57801482" w14:textId="0C63760D" w:rsidR="009518AF" w:rsidRPr="00515872" w:rsidRDefault="00F61E9D" w:rsidP="00BB6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È</w:t>
      </w:r>
      <w:r w:rsidR="00333A50" w:rsidRPr="00515872">
        <w:rPr>
          <w:rFonts w:eastAsia="Times New Roman" w:cs="Tahoma"/>
          <w:szCs w:val="20"/>
          <w:lang w:eastAsia="it-IT"/>
        </w:rPr>
        <w:t xml:space="preserve"> compito dell’ente </w:t>
      </w:r>
      <w:r w:rsidR="00333A50" w:rsidRPr="00515872">
        <w:rPr>
          <w:rFonts w:cs="Tahoma"/>
        </w:rPr>
        <w:t xml:space="preserve">individuare le categorie di entrate </w:t>
      </w:r>
      <w:r w:rsidR="00BB6E1C" w:rsidRPr="00515872">
        <w:rPr>
          <w:rFonts w:cs="Tahoma"/>
        </w:rPr>
        <w:t>previste</w:t>
      </w:r>
      <w:r w:rsidR="00333A50" w:rsidRPr="00515872">
        <w:rPr>
          <w:rFonts w:cs="Tahoma"/>
        </w:rPr>
        <w:t xml:space="preserve"> che possono dare luogo a crediti di dubbia e difficile esazione.</w:t>
      </w:r>
      <w:r w:rsidR="00BB6E1C" w:rsidRPr="00515872">
        <w:rPr>
          <w:rFonts w:eastAsia="Times New Roman" w:cs="Tahoma"/>
          <w:szCs w:val="20"/>
          <w:lang w:eastAsia="it-IT"/>
        </w:rPr>
        <w:t xml:space="preserve"> </w:t>
      </w:r>
      <w:r w:rsidR="00333A50" w:rsidRPr="00515872">
        <w:rPr>
          <w:rFonts w:eastAsia="Times New Roman" w:cs="Tahoma"/>
          <w:szCs w:val="20"/>
          <w:lang w:eastAsia="it-IT"/>
        </w:rPr>
        <w:t>Il principio contabile stabilisce che sono</w:t>
      </w:r>
      <w:r w:rsidR="009518AF" w:rsidRPr="00515872">
        <w:rPr>
          <w:rFonts w:eastAsia="Times New Roman" w:cs="Tahoma"/>
          <w:szCs w:val="20"/>
          <w:lang w:eastAsia="it-IT"/>
        </w:rPr>
        <w:t xml:space="preserve"> considerate sicure, e pertanto non richiedono l’accantonamento al fondo</w:t>
      </w:r>
      <w:r w:rsidR="00BB6E1C" w:rsidRPr="00515872">
        <w:rPr>
          <w:rFonts w:eastAsia="Times New Roman" w:cs="Tahoma"/>
          <w:szCs w:val="20"/>
          <w:lang w:eastAsia="it-IT"/>
        </w:rPr>
        <w:t xml:space="preserve"> </w:t>
      </w:r>
      <w:r w:rsidR="00BB6E1C" w:rsidRPr="00515872">
        <w:rPr>
          <w:rFonts w:eastAsia="Times New Roman" w:cs="Tahoma"/>
          <w:i/>
          <w:szCs w:val="20"/>
          <w:lang w:eastAsia="it-IT"/>
        </w:rPr>
        <w:t>de quo</w:t>
      </w:r>
      <w:r w:rsidR="009518AF" w:rsidRPr="00515872">
        <w:rPr>
          <w:rFonts w:eastAsia="Times New Roman" w:cs="Tahoma"/>
          <w:szCs w:val="20"/>
          <w:lang w:eastAsia="it-IT"/>
        </w:rPr>
        <w:t>, le seguenti entrate:</w:t>
      </w:r>
    </w:p>
    <w:p w14:paraId="679F9F48" w14:textId="77777777" w:rsidR="009518AF" w:rsidRPr="00515872" w:rsidRDefault="009518AF" w:rsidP="00D65838">
      <w:pPr>
        <w:pStyle w:val="Paragrafoelenco"/>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 crediti da altre amministrazioni pubbliche, in quanto entrate destinate ad essere accertate a seguito dell’impegno da parte dell’amministrazione erogante;</w:t>
      </w:r>
    </w:p>
    <w:p w14:paraId="71AE881C" w14:textId="77777777" w:rsidR="009518AF" w:rsidRPr="00515872" w:rsidRDefault="009518AF" w:rsidP="00D65838">
      <w:pPr>
        <w:pStyle w:val="Paragrafoelenco"/>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 crediti assistiti da fideiussione;</w:t>
      </w:r>
    </w:p>
    <w:p w14:paraId="4FA89D25" w14:textId="77777777" w:rsidR="009518AF" w:rsidRPr="00515872" w:rsidRDefault="009518AF" w:rsidP="00D65838">
      <w:pPr>
        <w:pStyle w:val="Paragrafoelenco"/>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entrate tributarie che, sulla base dei nuovi principi, sono accertate per cassa;</w:t>
      </w:r>
    </w:p>
    <w:p w14:paraId="12A181C4" w14:textId="77777777" w:rsidR="00333A50" w:rsidRPr="00515872" w:rsidRDefault="009518AF" w:rsidP="00D65838">
      <w:pPr>
        <w:pStyle w:val="Paragrafoelenco"/>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entrate riscosse per conto di altro ente da versare al beneficiario</w:t>
      </w:r>
      <w:r w:rsidR="00E8018D" w:rsidRPr="00515872">
        <w:rPr>
          <w:rFonts w:eastAsia="Times New Roman" w:cs="Tahoma"/>
          <w:szCs w:val="20"/>
          <w:lang w:eastAsia="it-IT"/>
        </w:rPr>
        <w:t xml:space="preserve"> (in questo caso, il fondo deve essere accantonato dall’ente beneficiario finale)</w:t>
      </w:r>
      <w:r w:rsidRPr="00515872">
        <w:rPr>
          <w:rFonts w:eastAsia="Times New Roman" w:cs="Tahoma"/>
          <w:szCs w:val="20"/>
          <w:lang w:eastAsia="it-IT"/>
        </w:rPr>
        <w:t>.</w:t>
      </w:r>
    </w:p>
    <w:p w14:paraId="58FBF034" w14:textId="77777777" w:rsidR="00333A50" w:rsidRPr="00515872" w:rsidRDefault="00333A50" w:rsidP="0033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 xml:space="preserve">Con riferimento alle entrate che l’ente non considera di dubbia e difficile esazione, per le quali non si provvede all’accantonamento al fondo crediti di dubbia esigibilità, è necessario dare adeguata illustrazione </w:t>
      </w:r>
      <w:r w:rsidR="000266EB" w:rsidRPr="00515872">
        <w:rPr>
          <w:rFonts w:cs="Tahoma"/>
        </w:rPr>
        <w:t>d</w:t>
      </w:r>
      <w:r w:rsidR="00BB6E1C" w:rsidRPr="00515872">
        <w:rPr>
          <w:rFonts w:cs="Tahoma"/>
        </w:rPr>
        <w:t>i tale valutazione</w:t>
      </w:r>
      <w:r w:rsidR="000266EB" w:rsidRPr="00515872">
        <w:rPr>
          <w:rFonts w:cs="Tahoma"/>
        </w:rPr>
        <w:t xml:space="preserve"> </w:t>
      </w:r>
      <w:r w:rsidRPr="00515872">
        <w:rPr>
          <w:rFonts w:cs="Tahoma"/>
        </w:rPr>
        <w:t xml:space="preserve">nella </w:t>
      </w:r>
      <w:r w:rsidR="008278AC" w:rsidRPr="00515872">
        <w:rPr>
          <w:rFonts w:cs="Tahoma"/>
        </w:rPr>
        <w:t>n</w:t>
      </w:r>
      <w:r w:rsidRPr="00515872">
        <w:rPr>
          <w:rFonts w:cs="Tahoma"/>
        </w:rPr>
        <w:t>ota integrativa al bilancio.</w:t>
      </w:r>
    </w:p>
    <w:p w14:paraId="543AD6F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Gli enti che negli ultimi 3 esercizi hanno formalizzato un processo di miglioramento della propria capacità di riscossione possono determinare il fondo con riferimento ai risultati di tali 3 esercizi.</w:t>
      </w:r>
    </w:p>
    <w:p w14:paraId="705617B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Al fine di consentire un avvio graduale dell’accantonamento in esame, </w:t>
      </w:r>
      <w:r w:rsidR="00BB6E1C" w:rsidRPr="00515872">
        <w:rPr>
          <w:rFonts w:eastAsia="Times New Roman" w:cs="Tahoma"/>
          <w:szCs w:val="20"/>
          <w:lang w:eastAsia="it-IT"/>
        </w:rPr>
        <w:t>era</w:t>
      </w:r>
      <w:r w:rsidRPr="00515872">
        <w:rPr>
          <w:rFonts w:eastAsia="Times New Roman" w:cs="Tahoma"/>
          <w:szCs w:val="20"/>
          <w:lang w:eastAsia="it-IT"/>
        </w:rPr>
        <w:t xml:space="preserve"> consentito stanziare nel bilancio di previsione una quota dell’importo dell’accantonamento quantificato almeno pari:</w:t>
      </w:r>
    </w:p>
    <w:p w14:paraId="31D90B6B" w14:textId="77777777" w:rsidR="009518AF" w:rsidRPr="00515872" w:rsidRDefault="009518AF"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nel bilancio 2015 (primo esercizio): al 36% dell’importo quantificato (55% per gli enti sperimentatori);</w:t>
      </w:r>
    </w:p>
    <w:p w14:paraId="6E97E168" w14:textId="77777777" w:rsidR="009518AF" w:rsidRPr="00515872" w:rsidRDefault="009518AF"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bilancio 2016: al 55% dell’importo quantificato;</w:t>
      </w:r>
    </w:p>
    <w:p w14:paraId="53AF554E" w14:textId="77777777" w:rsidR="009518AF" w:rsidRPr="00515872" w:rsidRDefault="009518AF"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bilancio 2017: al 70% dell’importo quantificato;</w:t>
      </w:r>
    </w:p>
    <w:p w14:paraId="08687B5D" w14:textId="77777777" w:rsidR="009518AF" w:rsidRPr="00515872" w:rsidRDefault="000266EB"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nel bilancio 2018: al </w:t>
      </w:r>
      <w:r w:rsidR="00335337" w:rsidRPr="00515872">
        <w:rPr>
          <w:rFonts w:eastAsia="Times New Roman" w:cs="Tahoma"/>
          <w:szCs w:val="20"/>
          <w:lang w:eastAsia="it-IT"/>
        </w:rPr>
        <w:t>7</w:t>
      </w:r>
      <w:r w:rsidR="009518AF" w:rsidRPr="00515872">
        <w:rPr>
          <w:rFonts w:eastAsia="Times New Roman" w:cs="Tahoma"/>
          <w:szCs w:val="20"/>
          <w:lang w:eastAsia="it-IT"/>
        </w:rPr>
        <w:t>5% dell’importo quantificato;</w:t>
      </w:r>
    </w:p>
    <w:p w14:paraId="2B515316" w14:textId="77777777" w:rsidR="009518AF" w:rsidRPr="00515872" w:rsidRDefault="00372933"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w:t>
      </w:r>
      <w:r w:rsidR="009518AF" w:rsidRPr="00515872">
        <w:rPr>
          <w:rFonts w:eastAsia="Times New Roman" w:cs="Tahoma"/>
          <w:szCs w:val="20"/>
          <w:lang w:eastAsia="it-IT"/>
        </w:rPr>
        <w:t xml:space="preserve">l bilancio 2019: al </w:t>
      </w:r>
      <w:r w:rsidR="00335337" w:rsidRPr="00515872">
        <w:rPr>
          <w:rFonts w:eastAsia="Times New Roman" w:cs="Tahoma"/>
          <w:szCs w:val="20"/>
          <w:lang w:eastAsia="it-IT"/>
        </w:rPr>
        <w:t>85</w:t>
      </w:r>
      <w:r w:rsidR="009518AF" w:rsidRPr="00515872">
        <w:rPr>
          <w:rFonts w:eastAsia="Times New Roman" w:cs="Tahoma"/>
          <w:szCs w:val="20"/>
          <w:lang w:eastAsia="it-IT"/>
        </w:rPr>
        <w:t>% dell’importo quantificato</w:t>
      </w:r>
      <w:r w:rsidR="00837C56" w:rsidRPr="00515872">
        <w:rPr>
          <w:rFonts w:eastAsia="Times New Roman" w:cs="Tahoma"/>
          <w:szCs w:val="20"/>
          <w:lang w:eastAsia="it-IT"/>
        </w:rPr>
        <w:t>;</w:t>
      </w:r>
    </w:p>
    <w:p w14:paraId="69ED4496" w14:textId="77777777" w:rsidR="00335337" w:rsidRPr="00515872" w:rsidRDefault="00372933"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w:t>
      </w:r>
      <w:r w:rsidR="00335337" w:rsidRPr="00515872">
        <w:rPr>
          <w:rFonts w:eastAsia="Times New Roman" w:cs="Tahoma"/>
          <w:szCs w:val="20"/>
          <w:lang w:eastAsia="it-IT"/>
        </w:rPr>
        <w:t xml:space="preserve"> bilancio 2020: al 95% dell’importo quantificato</w:t>
      </w:r>
      <w:r w:rsidR="00837C56" w:rsidRPr="00515872">
        <w:rPr>
          <w:rFonts w:eastAsia="Times New Roman" w:cs="Tahoma"/>
          <w:szCs w:val="20"/>
          <w:lang w:eastAsia="it-IT"/>
        </w:rPr>
        <w:t>;</w:t>
      </w:r>
    </w:p>
    <w:p w14:paraId="4E6D2747" w14:textId="77777777" w:rsidR="00703C5F" w:rsidRPr="00515872" w:rsidRDefault="00BB6E1C"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w:t>
      </w:r>
      <w:r w:rsidR="00837C56" w:rsidRPr="00515872">
        <w:rPr>
          <w:rFonts w:eastAsia="Times New Roman" w:cs="Tahoma"/>
          <w:szCs w:val="20"/>
          <w:lang w:eastAsia="it-IT"/>
        </w:rPr>
        <w:t>al bilancio 2021: al 100% dell’importo quantificato</w:t>
      </w:r>
      <w:r w:rsidR="00837C56" w:rsidRPr="00515872">
        <w:rPr>
          <w:rStyle w:val="Rimandonotaapidipagina"/>
          <w:rFonts w:eastAsia="Times New Roman" w:cs="Tahoma"/>
          <w:szCs w:val="20"/>
          <w:lang w:eastAsia="it-IT"/>
        </w:rPr>
        <w:footnoteReference w:id="34"/>
      </w:r>
      <w:r w:rsidR="00837C56" w:rsidRPr="00515872">
        <w:rPr>
          <w:rFonts w:eastAsia="Times New Roman" w:cs="Tahoma"/>
          <w:szCs w:val="20"/>
          <w:lang w:eastAsia="it-IT"/>
        </w:rPr>
        <w:t>.</w:t>
      </w:r>
    </w:p>
    <w:p w14:paraId="4C88A124" w14:textId="77777777" w:rsidR="00703C5F" w:rsidRPr="00515872" w:rsidRDefault="00703C5F" w:rsidP="00703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 xml:space="preserve">In sede di rendiconto, fin dal primo esercizio di applicazione del principio contabile, l’ente accantona nell’avanzo di amministrazione l’intero importo del </w:t>
      </w:r>
      <w:r w:rsidR="00BB6E1C" w:rsidRPr="00515872">
        <w:rPr>
          <w:rFonts w:cs="Tahoma"/>
        </w:rPr>
        <w:t>FCDE</w:t>
      </w:r>
      <w:r w:rsidRPr="00515872">
        <w:rPr>
          <w:rFonts w:cs="Tahoma"/>
        </w:rPr>
        <w:t xml:space="preserve"> quantificato nel prospetto riguardante il fondo allegato al rendiconto di esercizio, salva la facoltà prevista per gli esercizi dal 2015 al 2018, di</w:t>
      </w:r>
      <w:r w:rsidR="00F37A6C" w:rsidRPr="00515872">
        <w:rPr>
          <w:rFonts w:cs="Tahoma"/>
        </w:rPr>
        <w:t xml:space="preserve"> utilizzo del metodo semplificato di seguito esposto</w:t>
      </w:r>
      <w:r w:rsidRPr="00515872">
        <w:rPr>
          <w:rFonts w:cs="Tahoma"/>
        </w:rPr>
        <w:t>.</w:t>
      </w:r>
    </w:p>
    <w:p w14:paraId="309AAD75" w14:textId="77777777" w:rsidR="00837C56" w:rsidRPr="00515872" w:rsidRDefault="00837C56" w:rsidP="00747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191B0E"/>
          <w:szCs w:val="20"/>
        </w:rPr>
      </w:pPr>
      <w:r w:rsidRPr="00515872">
        <w:rPr>
          <w:rFonts w:cs="Tahoma"/>
          <w:color w:val="191B0E"/>
          <w:szCs w:val="20"/>
        </w:rPr>
        <w:t>Riguardo all’importo da inserire nel bilancio 2019, con l’art. 1, cc. 1015, 1016 e 1017, L. n. 145/2018, v</w:t>
      </w:r>
      <w:r w:rsidR="00F37A6C" w:rsidRPr="00515872">
        <w:rPr>
          <w:rFonts w:cs="Tahoma"/>
          <w:color w:val="191B0E"/>
          <w:szCs w:val="20"/>
        </w:rPr>
        <w:t xml:space="preserve">eniva </w:t>
      </w:r>
      <w:r w:rsidRPr="00515872">
        <w:rPr>
          <w:rFonts w:cs="Tahoma"/>
          <w:color w:val="191B0E"/>
          <w:szCs w:val="20"/>
        </w:rPr>
        <w:t xml:space="preserve">disposto che il fondo </w:t>
      </w:r>
      <w:r w:rsidR="00F37A6C" w:rsidRPr="00515872">
        <w:rPr>
          <w:rFonts w:cs="Tahoma"/>
          <w:color w:val="191B0E"/>
          <w:szCs w:val="20"/>
        </w:rPr>
        <w:t>potesse</w:t>
      </w:r>
      <w:r w:rsidRPr="00515872">
        <w:rPr>
          <w:rFonts w:cs="Tahoma"/>
          <w:color w:val="191B0E"/>
          <w:szCs w:val="20"/>
        </w:rPr>
        <w:t xml:space="preserve"> essere stanziato nel bilancio 2019 nella misura dell’80% dell'accantonamento quantificato nel relativo allegato da parte degli enti che al 31 dicembre 2018 rispetta</w:t>
      </w:r>
      <w:r w:rsidR="00F37A6C" w:rsidRPr="00515872">
        <w:rPr>
          <w:rFonts w:cs="Tahoma"/>
          <w:color w:val="191B0E"/>
          <w:szCs w:val="20"/>
        </w:rPr>
        <w:t>va</w:t>
      </w:r>
      <w:r w:rsidRPr="00515872">
        <w:rPr>
          <w:rFonts w:cs="Tahoma"/>
          <w:color w:val="191B0E"/>
          <w:szCs w:val="20"/>
        </w:rPr>
        <w:t>no entrambe le seguenti condizioni:</w:t>
      </w:r>
    </w:p>
    <w:p w14:paraId="38FD3101" w14:textId="77777777" w:rsidR="00837C56" w:rsidRPr="00515872" w:rsidRDefault="00837C56"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indicatore annuale di tempestività dei pagamenti rispettoso dei termini di pagamento del</w:t>
      </w:r>
      <w:r w:rsidR="00F37A6C" w:rsidRPr="00515872">
        <w:rPr>
          <w:rFonts w:cs="Tahoma"/>
          <w:color w:val="191B0E"/>
          <w:szCs w:val="20"/>
        </w:rPr>
        <w:t xml:space="preserve">le transazioni commerciali e </w:t>
      </w:r>
      <w:r w:rsidRPr="00515872">
        <w:rPr>
          <w:rFonts w:cs="Tahoma"/>
          <w:color w:val="191B0E"/>
          <w:szCs w:val="20"/>
        </w:rPr>
        <w:t>fatture ricevute e scadute nell'esercizio 2018 pagate per un importo complessivo superiore al 75% del totale ricevuto;</w:t>
      </w:r>
    </w:p>
    <w:p w14:paraId="644DC27C" w14:textId="77777777" w:rsidR="00837C56" w:rsidRPr="00515872" w:rsidRDefault="00837C56"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debito commerciale residuo rilevato alla fine del 2018 ridotto del 10% rispetto a quello del 2017, o nullo o costituito solo da debiti oggetto di contenzioso o contestazione.</w:t>
      </w:r>
    </w:p>
    <w:p w14:paraId="162B080F" w14:textId="77777777" w:rsidR="00837C56" w:rsidRPr="00515872" w:rsidRDefault="00837C56" w:rsidP="00747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191B0E"/>
          <w:szCs w:val="20"/>
        </w:rPr>
      </w:pPr>
      <w:r w:rsidRPr="00515872">
        <w:rPr>
          <w:rFonts w:cs="Tahoma"/>
          <w:color w:val="191B0E"/>
          <w:szCs w:val="20"/>
        </w:rPr>
        <w:t>La suddetta facoltà p</w:t>
      </w:r>
      <w:r w:rsidR="00F37A6C" w:rsidRPr="00515872">
        <w:rPr>
          <w:rFonts w:cs="Tahoma"/>
          <w:color w:val="191B0E"/>
          <w:szCs w:val="20"/>
        </w:rPr>
        <w:t>oteva</w:t>
      </w:r>
      <w:r w:rsidRPr="00515872">
        <w:rPr>
          <w:rFonts w:cs="Tahoma"/>
          <w:color w:val="191B0E"/>
          <w:szCs w:val="20"/>
        </w:rPr>
        <w:t xml:space="preserve"> essere esercitata anche dagli enti locali che, pur non rispettando le precedenti condizioni, al 30 giugno 2019 present</w:t>
      </w:r>
      <w:r w:rsidR="00F37A6C" w:rsidRPr="00515872">
        <w:rPr>
          <w:rFonts w:cs="Tahoma"/>
          <w:color w:val="191B0E"/>
          <w:szCs w:val="20"/>
        </w:rPr>
        <w:t>avano</w:t>
      </w:r>
      <w:r w:rsidRPr="00515872">
        <w:rPr>
          <w:rFonts w:cs="Tahoma"/>
          <w:color w:val="191B0E"/>
          <w:szCs w:val="20"/>
        </w:rPr>
        <w:t xml:space="preserve"> la seguente situazione:</w:t>
      </w:r>
    </w:p>
    <w:p w14:paraId="0BE0E857" w14:textId="77777777" w:rsidR="00837C56" w:rsidRPr="00515872" w:rsidRDefault="00837C56"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indicatore di tempestività dei pagamenti rispettoso dei termini di pagamento delle transazioni commerciali e fatture ricevute e scadute nel semestre pagate per un importo complessivo superiore al 75% del totale ricevuto;</w:t>
      </w:r>
    </w:p>
    <w:p w14:paraId="4E3E109F" w14:textId="77777777" w:rsidR="00837C56" w:rsidRPr="00515872" w:rsidRDefault="00837C56"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debito commerciale residuo ridotto del 5% rispet</w:t>
      </w:r>
      <w:r w:rsidR="00832739" w:rsidRPr="00515872">
        <w:rPr>
          <w:rFonts w:cs="Tahoma"/>
          <w:color w:val="191B0E"/>
          <w:szCs w:val="20"/>
        </w:rPr>
        <w:t>to a quello al 31 dicembre 2018</w:t>
      </w:r>
      <w:r w:rsidRPr="00515872">
        <w:rPr>
          <w:rFonts w:cs="Tahoma"/>
          <w:color w:val="191B0E"/>
          <w:szCs w:val="20"/>
        </w:rPr>
        <w:t xml:space="preserve"> o nullo o costituito solo da debiti oggetto di contenzioso o contestazione.</w:t>
      </w:r>
    </w:p>
    <w:p w14:paraId="3E107463" w14:textId="77777777" w:rsidR="00DD2F8B" w:rsidRPr="00515872" w:rsidRDefault="00DD2F8B" w:rsidP="00747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191B0E"/>
          <w:szCs w:val="20"/>
        </w:rPr>
      </w:pPr>
      <w:r w:rsidRPr="00515872">
        <w:rPr>
          <w:rFonts w:cs="Tahoma"/>
          <w:color w:val="191B0E"/>
          <w:szCs w:val="20"/>
        </w:rPr>
        <w:t>Della facoltà di cui sopra non po</w:t>
      </w:r>
      <w:r w:rsidR="00EB75D6" w:rsidRPr="00515872">
        <w:rPr>
          <w:rFonts w:cs="Tahoma"/>
          <w:color w:val="191B0E"/>
          <w:szCs w:val="20"/>
        </w:rPr>
        <w:t>tevano</w:t>
      </w:r>
      <w:r w:rsidRPr="00515872">
        <w:rPr>
          <w:rFonts w:cs="Tahoma"/>
          <w:color w:val="191B0E"/>
          <w:szCs w:val="20"/>
        </w:rPr>
        <w:t xml:space="preserve"> avvalersi gli enti che, pur rispettando le condizioni anzidette, con riferimento agli esercizi 2017 e 2018:</w:t>
      </w:r>
    </w:p>
    <w:p w14:paraId="184DBE87" w14:textId="77777777" w:rsidR="00DD2F8B" w:rsidRPr="00515872" w:rsidRDefault="00DD2F8B"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 xml:space="preserve">non </w:t>
      </w:r>
      <w:r w:rsidR="00EB75D6" w:rsidRPr="00515872">
        <w:rPr>
          <w:rFonts w:cs="Tahoma"/>
          <w:color w:val="191B0E"/>
          <w:szCs w:val="20"/>
        </w:rPr>
        <w:t>avevano</w:t>
      </w:r>
      <w:r w:rsidRPr="00515872">
        <w:rPr>
          <w:rFonts w:cs="Tahoma"/>
          <w:color w:val="191B0E"/>
          <w:szCs w:val="20"/>
        </w:rPr>
        <w:t xml:space="preserve"> pubblicato sul proprio sito internet, nei termini previsti dalla normativa, i dati relativi al debito commerciale residuo e agli indicatori dei tempi di pagamento;</w:t>
      </w:r>
    </w:p>
    <w:p w14:paraId="7992FC3C" w14:textId="77777777" w:rsidR="00F37A6C" w:rsidRPr="00515872" w:rsidRDefault="00F37A6C" w:rsidP="00F37A6C">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rFonts w:eastAsia="Times New Roman" w:cs="Tahoma"/>
          <w:szCs w:val="20"/>
          <w:lang w:eastAsia="it-IT"/>
        </w:rPr>
      </w:pPr>
      <w:r w:rsidRPr="00515872">
        <w:rPr>
          <w:rFonts w:cs="Tahoma"/>
          <w:color w:val="191B0E"/>
          <w:szCs w:val="20"/>
        </w:rPr>
        <w:t>ovvero</w:t>
      </w:r>
    </w:p>
    <w:p w14:paraId="16E376AC" w14:textId="77777777" w:rsidR="00DD2F8B" w:rsidRPr="00515872" w:rsidRDefault="00DD2F8B"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lastRenderedPageBreak/>
        <w:t xml:space="preserve">con riferimento ai mesi precedenti l’avvio del SIOPE+ non </w:t>
      </w:r>
      <w:r w:rsidR="00EB75D6" w:rsidRPr="00515872">
        <w:rPr>
          <w:rFonts w:cs="Tahoma"/>
          <w:color w:val="191B0E"/>
          <w:szCs w:val="20"/>
        </w:rPr>
        <w:t>avevano</w:t>
      </w:r>
      <w:r w:rsidRPr="00515872">
        <w:rPr>
          <w:rFonts w:cs="Tahoma"/>
          <w:color w:val="191B0E"/>
          <w:szCs w:val="20"/>
        </w:rPr>
        <w:t xml:space="preserve"> trasmesso alla piattaforma elettronica dei crediti commerciali le comunicazioni relative al pagamento delle fatture.</w:t>
      </w:r>
    </w:p>
    <w:p w14:paraId="2F4C551D" w14:textId="77777777" w:rsidR="009518AF" w:rsidRPr="00515872" w:rsidRDefault="009518AF" w:rsidP="00747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000000"/>
        </w:rPr>
      </w:pPr>
      <w:r w:rsidRPr="00515872">
        <w:rPr>
          <w:rFonts w:cs="Tahoma"/>
          <w:color w:val="000000"/>
        </w:rPr>
        <w:t xml:space="preserve">Al fine di adeguare </w:t>
      </w:r>
      <w:r w:rsidR="00832739" w:rsidRPr="00515872">
        <w:rPr>
          <w:rFonts w:cs="Tahoma"/>
          <w:color w:val="000000"/>
        </w:rPr>
        <w:t xml:space="preserve">nel corso dell’anno </w:t>
      </w:r>
      <w:r w:rsidRPr="00515872">
        <w:rPr>
          <w:rFonts w:cs="Tahoma"/>
          <w:color w:val="000000"/>
        </w:rPr>
        <w:t xml:space="preserve">l'importo del </w:t>
      </w:r>
      <w:r w:rsidR="00F37A6C" w:rsidRPr="00515872">
        <w:rPr>
          <w:rFonts w:cs="Tahoma"/>
          <w:color w:val="000000"/>
        </w:rPr>
        <w:t>FCDE l’ente</w:t>
      </w:r>
      <w:r w:rsidRPr="00515872">
        <w:rPr>
          <w:rFonts w:cs="Tahoma"/>
          <w:color w:val="000000"/>
        </w:rPr>
        <w:t xml:space="preserve"> procede:</w:t>
      </w:r>
    </w:p>
    <w:p w14:paraId="1E6A0EF5" w14:textId="77777777" w:rsidR="00B70A07" w:rsidRPr="00515872" w:rsidRDefault="00B70A07"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in sede di assestamento, alla variazione dello stanziamento di bilancio riguardante l'accantonamento al</w:t>
      </w:r>
      <w:r w:rsidR="00F37A6C" w:rsidRPr="00515872">
        <w:rPr>
          <w:rFonts w:cs="Tahoma"/>
          <w:color w:val="000000"/>
        </w:rPr>
        <w:t xml:space="preserve"> FCDE</w:t>
      </w:r>
      <w:r w:rsidRPr="00515872">
        <w:rPr>
          <w:rFonts w:cs="Tahoma"/>
          <w:color w:val="000000"/>
        </w:rPr>
        <w:t>;</w:t>
      </w:r>
    </w:p>
    <w:p w14:paraId="65CC832D" w14:textId="77777777" w:rsidR="00B70A07" w:rsidRPr="00515872" w:rsidRDefault="00B70A07" w:rsidP="00D65838">
      <w:pPr>
        <w:pStyle w:val="Paragrafoelenco"/>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in sede di rendiconto e di controllo della salvaguardia degli equilibri, vincolando o svincolando le necessarie quote dell'avanzo di amministrazione.</w:t>
      </w:r>
    </w:p>
    <w:p w14:paraId="71D13BB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hd w:val="clear" w:color="auto" w:fill="F9F8F4"/>
        </w:rPr>
      </w:pPr>
      <w:r w:rsidRPr="00515872">
        <w:rPr>
          <w:rFonts w:cs="Tahoma"/>
          <w:color w:val="000000"/>
        </w:rPr>
        <w:t>Fino a quando il fondo non risulta adeguato non è possibile utilizzare l'avanzo di amministrazione.</w:t>
      </w:r>
    </w:p>
    <w:p w14:paraId="02EC208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FCDE può essere utilizzato in caso di cancellazione dei crediti dal conto del bilancio, riducendo di pari ammontare la quota accantonata.</w:t>
      </w:r>
    </w:p>
    <w:p w14:paraId="37A81D61" w14:textId="77777777" w:rsidR="009518AF" w:rsidRPr="00515872" w:rsidRDefault="009518AF" w:rsidP="009518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Per la procedura di calcolo del fondo in questione il principio contabile rinvia all’esempio n. 5, parte integrante dello stesso, nel quale vengono evidenziate </w:t>
      </w:r>
      <w:r w:rsidR="00297A21" w:rsidRPr="00515872">
        <w:rPr>
          <w:rFonts w:eastAsia="Times New Roman" w:cs="Tahoma"/>
          <w:szCs w:val="20"/>
          <w:lang w:eastAsia="it-IT"/>
        </w:rPr>
        <w:t>3</w:t>
      </w:r>
      <w:r w:rsidRPr="00515872">
        <w:rPr>
          <w:rFonts w:eastAsia="Times New Roman" w:cs="Tahoma"/>
          <w:szCs w:val="20"/>
          <w:lang w:eastAsia="it-IT"/>
        </w:rPr>
        <w:t xml:space="preserve"> procedure alternative per determinare il rapporto fra incassi e accertamenti, e precisamente:</w:t>
      </w:r>
    </w:p>
    <w:p w14:paraId="477BD946" w14:textId="77777777" w:rsidR="009518AF" w:rsidRPr="00515872" w:rsidRDefault="009518AF"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media semplice (sia la media fra totale incassato e totale accertato, sia la media dei rapporti annui);</w:t>
      </w:r>
    </w:p>
    <w:p w14:paraId="754B2466" w14:textId="77777777" w:rsidR="009518AF" w:rsidRPr="00515872" w:rsidRDefault="009518AF"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rapporto tra la sommatoria degli incassi di ciascun anno ponderati con i seguenti pesi: 0,35 in ciascuno degli anni nel biennio precedente e 0,10 in ciascuno degli anni del primo triennio - rispetto alla sommatoria degli accertamenti di ciascun anno ponderati con i medesimi pesi;</w:t>
      </w:r>
    </w:p>
    <w:p w14:paraId="5EC05251" w14:textId="77777777" w:rsidR="009518AF" w:rsidRPr="00515872" w:rsidRDefault="009518AF"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media ponderata del rapporto tra incassi e accertamenti registrato in ciascun anno del quinquennio con i seguenti pesi: 0,35 in ciascuno degli anni nel biennio precedente e 0,10 in ciascuno degli anni del primo triennio.</w:t>
      </w:r>
    </w:p>
    <w:p w14:paraId="1322D19C" w14:textId="370ED7C5" w:rsidR="009518AF"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ciascuna formula è possibile determinare il rapporto tra incassi di competenza e i relativi accertamenti, considerando tra gli incassi anche le riscossioni effettuate nell'anno successivo in conto residui dell'anno precedente.</w:t>
      </w:r>
      <w:r w:rsidR="00FD0BBB" w:rsidRPr="00515872">
        <w:rPr>
          <w:rFonts w:eastAsia="Times New Roman" w:cs="Tahoma"/>
          <w:szCs w:val="20"/>
          <w:lang w:eastAsia="it-IT"/>
        </w:rPr>
        <w:t xml:space="preserve"> </w:t>
      </w:r>
      <w:r w:rsidRPr="00515872">
        <w:rPr>
          <w:rFonts w:eastAsia="Times New Roman" w:cs="Tahoma"/>
          <w:szCs w:val="20"/>
          <w:lang w:eastAsia="it-IT"/>
        </w:rPr>
        <w:t>La formula che ne scaturisce è la seguente:</w:t>
      </w:r>
    </w:p>
    <w:p w14:paraId="4F787F6D" w14:textId="77777777" w:rsidR="00EA779E" w:rsidRPr="00515872"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p>
    <w:bookmarkStart w:id="92" w:name="_Toc94908479"/>
    <w:p w14:paraId="39CFFB87" w14:textId="77777777" w:rsidR="00FD0BBB" w:rsidRPr="00515872" w:rsidRDefault="001B6224" w:rsidP="00A531B2">
      <w:pPr>
        <w:rPr>
          <w:rFonts w:cs="Tahoma"/>
          <w:lang w:eastAsia="it-IT"/>
        </w:rPr>
      </w:pPr>
      <m:oMathPara>
        <m:oMath>
          <m:f>
            <m:fPr>
              <m:ctrlPr>
                <w:rPr>
                  <w:rFonts w:ascii="Cambria Math" w:hAnsi="Cambria Math" w:cs="Tahoma"/>
                </w:rPr>
              </m:ctrlPr>
            </m:fPr>
            <m:num>
              <m:r>
                <w:rPr>
                  <w:rFonts w:ascii="Cambria Math" w:hAnsi="Cambria Math" w:cs="Tahoma"/>
                </w:rPr>
                <m:t>Incassi</m:t>
              </m:r>
              <m:r>
                <m:rPr>
                  <m:sty m:val="p"/>
                </m:rPr>
                <w:rPr>
                  <w:rFonts w:ascii="Cambria Math" w:hAnsi="Cambria Math" w:cs="Tahoma"/>
                </w:rPr>
                <m:t xml:space="preserve"> </m:t>
              </m:r>
              <m:r>
                <w:rPr>
                  <w:rFonts w:ascii="Cambria Math" w:hAnsi="Cambria Math" w:cs="Tahoma"/>
                </w:rPr>
                <m:t>di</m:t>
              </m:r>
              <m:r>
                <m:rPr>
                  <m:sty m:val="p"/>
                </m:rPr>
                <w:rPr>
                  <w:rFonts w:ascii="Cambria Math" w:hAnsi="Cambria Math" w:cs="Tahoma"/>
                </w:rPr>
                <m:t xml:space="preserve"> </m:t>
              </m:r>
              <m:r>
                <w:rPr>
                  <w:rFonts w:ascii="Cambria Math" w:hAnsi="Cambria Math" w:cs="Tahoma"/>
                </w:rPr>
                <m:t>competenza</m:t>
              </m:r>
              <m:r>
                <m:rPr>
                  <m:sty m:val="p"/>
                </m:rPr>
                <w:rPr>
                  <w:rFonts w:ascii="Cambria Math" w:hAnsi="Cambria Math" w:cs="Tahoma"/>
                </w:rPr>
                <m:t xml:space="preserve"> </m:t>
              </m:r>
              <m:r>
                <w:rPr>
                  <w:rFonts w:ascii="Cambria Math" w:hAnsi="Cambria Math" w:cs="Tahoma"/>
                </w:rPr>
                <m:t>es</m:t>
              </m:r>
              <m:r>
                <m:rPr>
                  <m:sty m:val="p"/>
                </m:rPr>
                <w:rPr>
                  <w:rFonts w:ascii="Cambria Math" w:hAnsi="Cambria Math" w:cs="Tahoma"/>
                </w:rPr>
                <m:t xml:space="preserve">. </m:t>
              </m:r>
              <m:r>
                <w:rPr>
                  <w:rFonts w:ascii="Cambria Math" w:hAnsi="Cambria Math" w:cs="Tahoma"/>
                </w:rPr>
                <m:t>X</m:t>
              </m:r>
              <m:r>
                <m:rPr>
                  <m:sty m:val="p"/>
                </m:rPr>
                <w:rPr>
                  <w:rFonts w:ascii="Cambria Math" w:hAnsi="Cambria Math" w:cs="Tahoma"/>
                </w:rPr>
                <m:t xml:space="preserve"> + </m:t>
              </m:r>
              <m:r>
                <w:rPr>
                  <w:rFonts w:ascii="Cambria Math" w:hAnsi="Cambria Math" w:cs="Tahoma"/>
                </w:rPr>
                <m:t>incassi</m:t>
              </m:r>
              <m:r>
                <m:rPr>
                  <m:sty m:val="p"/>
                </m:rPr>
                <w:rPr>
                  <w:rFonts w:ascii="Cambria Math" w:hAnsi="Cambria Math" w:cs="Tahoma"/>
                </w:rPr>
                <m:t xml:space="preserve"> </m:t>
              </m:r>
              <m:r>
                <w:rPr>
                  <w:rFonts w:ascii="Cambria Math" w:hAnsi="Cambria Math" w:cs="Tahoma"/>
                </w:rPr>
                <m:t>esercizio</m:t>
              </m:r>
              <m:r>
                <m:rPr>
                  <m:sty m:val="p"/>
                </m:rPr>
                <w:rPr>
                  <w:rFonts w:ascii="Cambria Math" w:hAnsi="Cambria Math" w:cs="Tahoma"/>
                </w:rPr>
                <m:t xml:space="preserve"> </m:t>
              </m:r>
              <m:r>
                <w:rPr>
                  <w:rFonts w:ascii="Cambria Math" w:hAnsi="Cambria Math" w:cs="Tahoma"/>
                </w:rPr>
                <m:t>X</m:t>
              </m:r>
              <m:r>
                <m:rPr>
                  <m:sty m:val="p"/>
                </m:rPr>
                <w:rPr>
                  <w:rFonts w:ascii="Cambria Math" w:hAnsi="Cambria Math" w:cs="Tahoma"/>
                </w:rPr>
                <m:t xml:space="preserve">+1 </m:t>
              </m:r>
              <m:r>
                <w:rPr>
                  <w:rFonts w:ascii="Cambria Math" w:hAnsi="Cambria Math" w:cs="Tahoma"/>
                </w:rPr>
                <m:t>in</m:t>
              </m:r>
              <m:r>
                <m:rPr>
                  <m:sty m:val="p"/>
                </m:rPr>
                <w:rPr>
                  <w:rFonts w:ascii="Cambria Math" w:hAnsi="Cambria Math" w:cs="Tahoma"/>
                </w:rPr>
                <m:t xml:space="preserve"> </m:t>
              </m:r>
              <m:r>
                <w:rPr>
                  <w:rFonts w:ascii="Cambria Math" w:hAnsi="Cambria Math" w:cs="Tahoma"/>
                </w:rPr>
                <m:t>c</m:t>
              </m:r>
              <m:r>
                <m:rPr>
                  <m:sty m:val="p"/>
                </m:rPr>
                <w:rPr>
                  <w:rFonts w:ascii="Cambria Math" w:hAnsi="Cambria Math" w:cs="Tahoma"/>
                </w:rPr>
                <m:t>/</m:t>
              </m:r>
              <m:r>
                <w:rPr>
                  <w:rFonts w:ascii="Cambria Math" w:hAnsi="Cambria Math" w:cs="Tahoma"/>
                </w:rPr>
                <m:t>residui</m:t>
              </m:r>
              <m:r>
                <m:rPr>
                  <m:sty m:val="p"/>
                </m:rPr>
                <w:rPr>
                  <w:rFonts w:ascii="Cambria Math" w:hAnsi="Cambria Math" w:cs="Tahoma"/>
                </w:rPr>
                <m:t xml:space="preserve"> </m:t>
              </m:r>
              <m:r>
                <w:rPr>
                  <w:rFonts w:ascii="Cambria Math" w:hAnsi="Cambria Math" w:cs="Tahoma"/>
                </w:rPr>
                <m:t>X</m:t>
              </m:r>
            </m:num>
            <m:den>
              <m:r>
                <w:rPr>
                  <w:rFonts w:ascii="Cambria Math" w:hAnsi="Cambria Math" w:cs="Tahoma"/>
                </w:rPr>
                <m:t>Accertamenti</m:t>
              </m:r>
              <m:r>
                <m:rPr>
                  <m:sty m:val="p"/>
                </m:rPr>
                <w:rPr>
                  <w:rFonts w:ascii="Cambria Math" w:hAnsi="Cambria Math" w:cs="Tahoma"/>
                </w:rPr>
                <m:t xml:space="preserve"> </m:t>
              </m:r>
              <m:r>
                <w:rPr>
                  <w:rFonts w:ascii="Cambria Math" w:hAnsi="Cambria Math" w:cs="Tahoma"/>
                </w:rPr>
                <m:t>esercizio</m:t>
              </m:r>
              <m:r>
                <m:rPr>
                  <m:sty m:val="p"/>
                </m:rPr>
                <w:rPr>
                  <w:rFonts w:ascii="Cambria Math" w:hAnsi="Cambria Math" w:cs="Tahoma"/>
                </w:rPr>
                <m:t xml:space="preserve"> </m:t>
              </m:r>
              <m:r>
                <w:rPr>
                  <w:rFonts w:ascii="Cambria Math" w:hAnsi="Cambria Math" w:cs="Tahoma"/>
                </w:rPr>
                <m:t>X</m:t>
              </m:r>
            </m:den>
          </m:f>
        </m:oMath>
      </m:oMathPara>
      <w:bookmarkEnd w:id="92"/>
    </w:p>
    <w:p w14:paraId="65D12734" w14:textId="77777777" w:rsidR="00EA779E" w:rsidRDefault="00EA779E" w:rsidP="0053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p>
    <w:p w14:paraId="7AF14A2C" w14:textId="5CBD50C9" w:rsidR="00532CD6" w:rsidRPr="00515872" w:rsidRDefault="00532CD6" w:rsidP="0053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tale caso è necessario slittare il quinquennio di riferimento per il calcolo della media indietro di un anno.</w:t>
      </w:r>
    </w:p>
    <w:p w14:paraId="15B77BEA" w14:textId="77777777" w:rsidR="00E71994" w:rsidRPr="00515872" w:rsidRDefault="00532CD6" w:rsidP="00E71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eastAsia="Times New Roman" w:cs="Tahoma"/>
          <w:szCs w:val="20"/>
          <w:lang w:eastAsia="it-IT"/>
        </w:rPr>
        <w:t>L’</w:t>
      </w:r>
      <w:r w:rsidRPr="00515872">
        <w:rPr>
          <w:rFonts w:cs="Tahoma"/>
        </w:rPr>
        <w:t>adeguamento non riguarda gli esercizi del quinquennio precedente, con riferimento ai quali i principi contabili prevedono di calcolare la media facendo riferimento agli incassi (in c/competenza e in c/residui) e agli accertamenti, ma con riferimento agli esercizi del quinquennio per i quali il principio prevede che la media sia determinata facendo rapporto tra gli incassi di competenza e gli accertamenti dell’anno precedente.</w:t>
      </w:r>
    </w:p>
    <w:p w14:paraId="3B197249" w14:textId="77777777" w:rsidR="00DF2764" w:rsidRPr="00515872" w:rsidRDefault="00DF2764" w:rsidP="00DF2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rPr>
      </w:pPr>
      <w:r w:rsidRPr="00515872">
        <w:rPr>
          <w:rFonts w:cs="Tahoma"/>
        </w:rPr>
        <w:lastRenderedPageBreak/>
        <w:t>Nel secondo anno di applicazione dei nuovi principi:</w:t>
      </w:r>
    </w:p>
    <w:p w14:paraId="5A422FC9" w14:textId="77777777" w:rsidR="00DF2764" w:rsidRPr="00515872" w:rsidRDefault="00DF2764" w:rsidP="00DF2764">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per le entrate accertate per competenza la media era calcolata facendo riferimento agli incassi (in c/competenza e in c/residui) e agli accertamenti del primo quadriennio del quinquennio precedente e al rapporto tra gli incassi di competenza e gli accertamenti dell’anno precedente. E così via negli anni successivi;</w:t>
      </w:r>
    </w:p>
    <w:p w14:paraId="383026FC" w14:textId="77777777" w:rsidR="00DF2764" w:rsidRPr="00515872" w:rsidRDefault="00DF2764" w:rsidP="00DF2764">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per le entrate accertate per cassa, si calcolava la media facendo riferimento ai dati extra-contabili dei primi quattro anni del quinquennio precedente e ai dati contabili rilevati nell’ esercizio precedente. E così via negli anni successivi.</w:t>
      </w:r>
    </w:p>
    <w:p w14:paraId="2A5459C8" w14:textId="77777777" w:rsidR="009D3079" w:rsidRPr="00515872" w:rsidRDefault="009D3079" w:rsidP="002C0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Il responsabile finanziario dell’ente sceglieva la modalità di calcolo della media per ciascuna tipologia di entrata o per tutte le tipologie di entrata, indicandone la motivazione nella nota integrativa al bilancio.</w:t>
      </w:r>
    </w:p>
    <w:p w14:paraId="01050508" w14:textId="77777777" w:rsidR="002C0AB2" w:rsidRPr="00515872" w:rsidRDefault="002C0AB2" w:rsidP="002C0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rPr>
      </w:pPr>
      <w:r w:rsidRPr="00515872">
        <w:rPr>
          <w:rFonts w:cs="Tahoma"/>
        </w:rPr>
        <w:t xml:space="preserve">Dopo 5 anni dall’adozione del principio della competenza finanziaria a regime, il FCDE è determinato sulla base della </w:t>
      </w:r>
      <w:r w:rsidRPr="00515872">
        <w:rPr>
          <w:rFonts w:cs="Tahoma"/>
          <w:b/>
        </w:rPr>
        <w:t xml:space="preserve">media calcolata, come media semplice, rispetto agli incassi in c/competenza e agli accertamenti nel quinquennio precedente. </w:t>
      </w:r>
    </w:p>
    <w:p w14:paraId="389EC04D" w14:textId="77777777" w:rsidR="00A020E2" w:rsidRPr="00515872" w:rsidRDefault="00E71994"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Il fondo crediti di dubbia esigibilità dell’esercizio è determinato applicando una percentuale pari al complemento a</w:t>
      </w:r>
      <w:r w:rsidR="00A020E2" w:rsidRPr="00515872">
        <w:rPr>
          <w:rFonts w:cs="Tahoma"/>
        </w:rPr>
        <w:t xml:space="preserve"> 100 delle medie di cui sopra. </w:t>
      </w:r>
    </w:p>
    <w:p w14:paraId="3D440CE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principio contabile, in considerazione delle difficoltà di applicazione dei nuovi principi riguardanti la gestione </w:t>
      </w:r>
      <w:r w:rsidR="00D6120A" w:rsidRPr="00515872">
        <w:rPr>
          <w:rFonts w:eastAsia="Times New Roman" w:cs="Tahoma"/>
          <w:szCs w:val="20"/>
          <w:lang w:eastAsia="it-IT"/>
        </w:rPr>
        <w:t>dei residui e del FCDE, consentiva</w:t>
      </w:r>
      <w:r w:rsidRPr="00515872">
        <w:rPr>
          <w:rFonts w:eastAsia="Times New Roman" w:cs="Tahoma"/>
          <w:szCs w:val="20"/>
          <w:lang w:eastAsia="it-IT"/>
        </w:rPr>
        <w:t xml:space="preserve"> l’adozione di un sistema</w:t>
      </w:r>
      <w:r w:rsidR="00CE2001" w:rsidRPr="00515872">
        <w:rPr>
          <w:rFonts w:eastAsia="Times New Roman" w:cs="Tahoma"/>
          <w:szCs w:val="20"/>
          <w:lang w:eastAsia="it-IT"/>
        </w:rPr>
        <w:t xml:space="preserve"> alternativo</w:t>
      </w:r>
      <w:r w:rsidRPr="00515872">
        <w:rPr>
          <w:rFonts w:eastAsia="Times New Roman" w:cs="Tahoma"/>
          <w:szCs w:val="20"/>
          <w:lang w:eastAsia="it-IT"/>
        </w:rPr>
        <w:t xml:space="preserve"> di</w:t>
      </w:r>
      <w:r w:rsidRPr="00515872">
        <w:rPr>
          <w:rFonts w:eastAsia="Times New Roman" w:cs="Tahoma"/>
          <w:b/>
          <w:szCs w:val="20"/>
          <w:lang w:eastAsia="it-IT"/>
        </w:rPr>
        <w:t xml:space="preserve"> determinazione semplificato del fondo</w:t>
      </w:r>
      <w:r w:rsidRPr="00515872">
        <w:rPr>
          <w:rFonts w:eastAsia="Times New Roman" w:cs="Tahoma"/>
          <w:szCs w:val="20"/>
          <w:lang w:eastAsia="it-IT"/>
        </w:rPr>
        <w:t xml:space="preserve"> stesso. In sede di rendiconto relativo all'esercizio 2015 e agli esercizi successivi, fino al 2018, la quota di risultato di amministrazione accantonata al fondo</w:t>
      </w:r>
      <w:r w:rsidR="00C0332D" w:rsidRPr="00515872">
        <w:rPr>
          <w:rFonts w:eastAsia="Times New Roman" w:cs="Tahoma"/>
          <w:szCs w:val="20"/>
          <w:lang w:eastAsia="it-IT"/>
        </w:rPr>
        <w:t xml:space="preserve"> poteva</w:t>
      </w:r>
      <w:r w:rsidRPr="00515872">
        <w:rPr>
          <w:rFonts w:eastAsia="Times New Roman" w:cs="Tahoma"/>
          <w:szCs w:val="20"/>
          <w:lang w:eastAsia="it-IT"/>
        </w:rPr>
        <w:t xml:space="preserve"> essere determinata per un importo non</w:t>
      </w:r>
      <w:r w:rsidR="00DF2764" w:rsidRPr="00515872">
        <w:rPr>
          <w:rFonts w:eastAsia="Times New Roman" w:cs="Tahoma"/>
          <w:szCs w:val="20"/>
          <w:lang w:eastAsia="it-IT"/>
        </w:rPr>
        <w:t xml:space="preserve"> inferiore alla seguente somma:</w:t>
      </w:r>
    </w:p>
    <w:tbl>
      <w:tblPr>
        <w:tblW w:w="9634" w:type="dxa"/>
        <w:tblBorders>
          <w:top w:val="single" w:sz="4" w:space="0" w:color="auto"/>
          <w:left w:val="single" w:sz="4" w:space="0" w:color="auto"/>
          <w:bottom w:val="single" w:sz="4" w:space="0" w:color="auto"/>
          <w:right w:val="single" w:sz="4" w:space="0" w:color="auto"/>
        </w:tblBorders>
        <w:shd w:val="clear" w:color="auto" w:fill="DBE5F1" w:themeFill="accent1" w:themeFillTint="33"/>
        <w:tblLook w:val="0600" w:firstRow="0" w:lastRow="0" w:firstColumn="0" w:lastColumn="0" w:noHBand="1" w:noVBand="1"/>
      </w:tblPr>
      <w:tblGrid>
        <w:gridCol w:w="9634"/>
      </w:tblGrid>
      <w:tr w:rsidR="00CE2001" w:rsidRPr="00515872" w14:paraId="388274DB" w14:textId="77777777" w:rsidTr="00CE2001">
        <w:trPr>
          <w:trHeight w:val="271"/>
        </w:trPr>
        <w:tc>
          <w:tcPr>
            <w:tcW w:w="9634" w:type="dxa"/>
            <w:shd w:val="clear" w:color="auto" w:fill="DBE5F1" w:themeFill="accent1" w:themeFillTint="33"/>
            <w:hideMark/>
          </w:tcPr>
          <w:p w14:paraId="76AF2745" w14:textId="77777777" w:rsidR="00CE2001" w:rsidRPr="00515872" w:rsidRDefault="00CE2001" w:rsidP="00CE2001">
            <w:pPr>
              <w:spacing w:before="240" w:line="240" w:lineRule="auto"/>
              <w:jc w:val="center"/>
              <w:rPr>
                <w:rFonts w:cs="Tahoma"/>
                <w:szCs w:val="20"/>
              </w:rPr>
            </w:pPr>
            <w:r w:rsidRPr="00515872">
              <w:rPr>
                <w:rFonts w:cs="Tahoma"/>
                <w:szCs w:val="20"/>
              </w:rPr>
              <w:t>FCDE nel risultato di amministrazione al 1° gennaio dell'esercizio cui il rendiconto si riferisce</w:t>
            </w:r>
          </w:p>
        </w:tc>
      </w:tr>
      <w:tr w:rsidR="00CE2001" w:rsidRPr="00515872" w14:paraId="7DB8BB9E" w14:textId="77777777" w:rsidTr="00CE2001">
        <w:trPr>
          <w:trHeight w:val="271"/>
        </w:trPr>
        <w:tc>
          <w:tcPr>
            <w:tcW w:w="9634" w:type="dxa"/>
            <w:shd w:val="clear" w:color="auto" w:fill="DBE5F1" w:themeFill="accent1" w:themeFillTint="33"/>
            <w:hideMark/>
          </w:tcPr>
          <w:p w14:paraId="7FC9D9E2" w14:textId="77777777" w:rsidR="00CE2001" w:rsidRPr="00515872" w:rsidRDefault="00CE2001" w:rsidP="00CE2001">
            <w:pPr>
              <w:spacing w:line="240" w:lineRule="auto"/>
              <w:jc w:val="center"/>
              <w:rPr>
                <w:rFonts w:cs="Tahoma"/>
                <w:szCs w:val="20"/>
              </w:rPr>
            </w:pPr>
            <w:r w:rsidRPr="00515872">
              <w:rPr>
                <w:rFonts w:cs="Tahoma"/>
                <w:szCs w:val="20"/>
              </w:rPr>
              <w:t>- utilizzi del fondo effettuati per la cancellazione o lo stralcio dei crediti</w:t>
            </w:r>
          </w:p>
        </w:tc>
      </w:tr>
      <w:tr w:rsidR="00CE2001" w:rsidRPr="00515872" w14:paraId="05F994CD" w14:textId="77777777" w:rsidTr="00CE2001">
        <w:trPr>
          <w:trHeight w:val="271"/>
        </w:trPr>
        <w:tc>
          <w:tcPr>
            <w:tcW w:w="9634" w:type="dxa"/>
            <w:shd w:val="clear" w:color="auto" w:fill="DBE5F1" w:themeFill="accent1" w:themeFillTint="33"/>
          </w:tcPr>
          <w:p w14:paraId="33029ACE" w14:textId="77777777" w:rsidR="00CE2001" w:rsidRPr="00515872" w:rsidRDefault="00CE2001" w:rsidP="00CE2001">
            <w:pPr>
              <w:spacing w:line="240" w:lineRule="auto"/>
              <w:jc w:val="center"/>
              <w:rPr>
                <w:rFonts w:cs="Tahoma"/>
                <w:szCs w:val="20"/>
              </w:rPr>
            </w:pPr>
            <w:r w:rsidRPr="00515872">
              <w:rPr>
                <w:rFonts w:cs="Tahoma"/>
                <w:szCs w:val="20"/>
              </w:rPr>
              <w:t>+ importo definitivamente accantonato nel bilancio di previsione dell'esercizio cui il rendiconto si riferisce</w:t>
            </w:r>
          </w:p>
        </w:tc>
      </w:tr>
    </w:tbl>
    <w:p w14:paraId="52CE2648" w14:textId="77777777" w:rsidR="009518AF" w:rsidRPr="00515872" w:rsidRDefault="009518AF" w:rsidP="009518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ahoma"/>
          <w:szCs w:val="20"/>
          <w:lang w:eastAsia="it-IT"/>
        </w:rPr>
      </w:pPr>
    </w:p>
    <w:p w14:paraId="499F7FA2" w14:textId="77777777" w:rsidR="00DF2764" w:rsidRPr="00515872" w:rsidRDefault="00DF2764" w:rsidP="0053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szCs w:val="20"/>
        </w:rPr>
        <w:t>Il metodo semplificato è stato superato a decorrere dal rendiconto 2019.</w:t>
      </w:r>
    </w:p>
    <w:p w14:paraId="06F03DC6" w14:textId="77777777" w:rsidR="00532CD6" w:rsidRPr="00515872" w:rsidRDefault="009518AF" w:rsidP="00532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L'accantonamento al </w:t>
      </w:r>
      <w:r w:rsidR="00656C71" w:rsidRPr="00515872">
        <w:rPr>
          <w:rFonts w:eastAsia="Times New Roman" w:cs="Tahoma"/>
          <w:szCs w:val="20"/>
          <w:lang w:eastAsia="it-IT"/>
        </w:rPr>
        <w:t>FCDE</w:t>
      </w:r>
      <w:r w:rsidRPr="00515872">
        <w:rPr>
          <w:rFonts w:eastAsia="Times New Roman" w:cs="Tahoma"/>
          <w:szCs w:val="20"/>
          <w:lang w:eastAsia="it-IT"/>
        </w:rPr>
        <w:t xml:space="preserve"> non è oggetto di impegno e genera un'economia di bilancio che confluisce nel risultato di amministrazione come quota accantonata.</w:t>
      </w:r>
    </w:p>
    <w:p w14:paraId="497E9930" w14:textId="77777777" w:rsidR="002865C2" w:rsidRPr="00515872" w:rsidRDefault="002865C2" w:rsidP="002865C2">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sede di rendiconto il FCDE è stanziato mediante apposizione di un accantonamento a valere sull’avanzo di amministrazione. Qualora il risultato di amministrazione non risulti complessivamente capiente a co</w:t>
      </w:r>
      <w:r w:rsidR="00656C71" w:rsidRPr="00515872">
        <w:rPr>
          <w:rFonts w:eastAsia="Times New Roman" w:cs="Tahoma"/>
          <w:szCs w:val="20"/>
          <w:lang w:eastAsia="it-IT"/>
        </w:rPr>
        <w:t>prire</w:t>
      </w:r>
      <w:r w:rsidRPr="00515872">
        <w:rPr>
          <w:rFonts w:eastAsia="Times New Roman" w:cs="Tahoma"/>
          <w:szCs w:val="20"/>
          <w:lang w:eastAsia="it-IT"/>
        </w:rPr>
        <w:t xml:space="preserve"> </w:t>
      </w:r>
      <w:r w:rsidR="00656C71" w:rsidRPr="00515872">
        <w:rPr>
          <w:rFonts w:eastAsia="Times New Roman" w:cs="Tahoma"/>
          <w:szCs w:val="20"/>
          <w:lang w:eastAsia="it-IT"/>
        </w:rPr>
        <w:t>l’accantonamento</w:t>
      </w:r>
      <w:r w:rsidRPr="00515872">
        <w:rPr>
          <w:rFonts w:eastAsia="Times New Roman" w:cs="Tahoma"/>
          <w:szCs w:val="20"/>
          <w:lang w:eastAsia="it-IT"/>
        </w:rPr>
        <w:t xml:space="preserve"> in parola, </w:t>
      </w:r>
      <w:r w:rsidRPr="00515872">
        <w:rPr>
          <w:rFonts w:eastAsia="Times New Roman" w:cs="Tahoma"/>
          <w:b/>
          <w:szCs w:val="20"/>
          <w:lang w:eastAsia="it-IT"/>
        </w:rPr>
        <w:t>si registra un disavanzo corrispondente alla quota di fondo eccedente il risultato di amministrazione</w:t>
      </w:r>
      <w:r w:rsidRPr="00515872">
        <w:rPr>
          <w:rFonts w:eastAsia="Times New Roman" w:cs="Tahoma"/>
          <w:szCs w:val="20"/>
          <w:lang w:eastAsia="it-IT"/>
        </w:rPr>
        <w:t xml:space="preserve">; tale disavanzo deve essere recuperato negli esercizi considerati nel bilancio </w:t>
      </w:r>
      <w:r w:rsidRPr="00515872">
        <w:rPr>
          <w:rFonts w:eastAsia="Times New Roman" w:cs="Tahoma"/>
          <w:szCs w:val="20"/>
          <w:lang w:eastAsia="it-IT"/>
        </w:rPr>
        <w:lastRenderedPageBreak/>
        <w:t>di previsione.</w:t>
      </w:r>
      <w:r w:rsidR="00656C71" w:rsidRPr="00515872">
        <w:rPr>
          <w:rFonts w:eastAsia="Times New Roman" w:cs="Tahoma"/>
          <w:szCs w:val="20"/>
          <w:lang w:eastAsia="it-IT"/>
        </w:rPr>
        <w:t xml:space="preserve"> In sede di prima applicazione, </w:t>
      </w:r>
      <w:r w:rsidR="002F7D57" w:rsidRPr="00515872">
        <w:rPr>
          <w:rFonts w:eastAsia="Times New Roman" w:cs="Tahoma"/>
          <w:szCs w:val="20"/>
          <w:lang w:eastAsia="it-IT"/>
        </w:rPr>
        <w:t xml:space="preserve">l’art. 3, c. </w:t>
      </w:r>
      <w:r w:rsidR="00E61B6E" w:rsidRPr="00515872">
        <w:rPr>
          <w:rFonts w:eastAsia="Times New Roman" w:cs="Tahoma"/>
          <w:szCs w:val="20"/>
          <w:lang w:eastAsia="it-IT"/>
        </w:rPr>
        <w:t>16</w:t>
      </w:r>
      <w:r w:rsidR="002F7D57" w:rsidRPr="00515872">
        <w:rPr>
          <w:rFonts w:eastAsia="Times New Roman" w:cs="Tahoma"/>
          <w:szCs w:val="20"/>
          <w:lang w:eastAsia="it-IT"/>
        </w:rPr>
        <w:t xml:space="preserve"> del </w:t>
      </w:r>
      <w:proofErr w:type="spellStart"/>
      <w:r w:rsidR="002F7D57" w:rsidRPr="00515872">
        <w:rPr>
          <w:rFonts w:eastAsia="Times New Roman" w:cs="Tahoma"/>
          <w:szCs w:val="20"/>
          <w:lang w:eastAsia="it-IT"/>
        </w:rPr>
        <w:t>D.Lgs.</w:t>
      </w:r>
      <w:proofErr w:type="spellEnd"/>
      <w:r w:rsidR="002F7D57" w:rsidRPr="00515872">
        <w:rPr>
          <w:rFonts w:eastAsia="Times New Roman" w:cs="Tahoma"/>
          <w:szCs w:val="20"/>
          <w:lang w:eastAsia="it-IT"/>
        </w:rPr>
        <w:t xml:space="preserve"> 23 giugno 2011 n. 18</w:t>
      </w:r>
      <w:r w:rsidR="00E61B6E" w:rsidRPr="00515872">
        <w:rPr>
          <w:rFonts w:eastAsia="Times New Roman" w:cs="Tahoma"/>
          <w:szCs w:val="20"/>
          <w:lang w:eastAsia="it-IT"/>
        </w:rPr>
        <w:t>, nelle more dell’emanazione di apposito decreto che definisse le modalità e i tempi per la copertura del maggior disavanzo al 1/01/2015 rispetto al risultato di amministrazione al 31/12/2014 in conseguenza del riaccertamento straordinario dei residui,</w:t>
      </w:r>
      <w:r w:rsidR="002F7D57" w:rsidRPr="00515872">
        <w:rPr>
          <w:rFonts w:eastAsia="Times New Roman" w:cs="Tahoma"/>
          <w:szCs w:val="20"/>
          <w:lang w:eastAsia="it-IT"/>
        </w:rPr>
        <w:t xml:space="preserve"> </w:t>
      </w:r>
      <w:r w:rsidR="00656C71" w:rsidRPr="00515872">
        <w:rPr>
          <w:rFonts w:eastAsia="Times New Roman" w:cs="Tahoma"/>
          <w:szCs w:val="20"/>
          <w:lang w:eastAsia="it-IT"/>
        </w:rPr>
        <w:t>conce</w:t>
      </w:r>
      <w:r w:rsidR="002F7D57" w:rsidRPr="00515872">
        <w:rPr>
          <w:rFonts w:eastAsia="Times New Roman" w:cs="Tahoma"/>
          <w:szCs w:val="20"/>
          <w:lang w:eastAsia="it-IT"/>
        </w:rPr>
        <w:t xml:space="preserve">deva </w:t>
      </w:r>
      <w:r w:rsidR="00656C71" w:rsidRPr="00515872">
        <w:rPr>
          <w:rFonts w:eastAsia="Times New Roman" w:cs="Tahoma"/>
          <w:szCs w:val="20"/>
          <w:lang w:eastAsia="it-IT"/>
        </w:rPr>
        <w:t xml:space="preserve">la facoltà di procedere al recupero </w:t>
      </w:r>
      <w:r w:rsidR="00E61B6E" w:rsidRPr="00515872">
        <w:rPr>
          <w:rFonts w:eastAsia="Times New Roman" w:cs="Tahoma"/>
          <w:szCs w:val="20"/>
          <w:lang w:eastAsia="it-IT"/>
        </w:rPr>
        <w:t>di tale</w:t>
      </w:r>
      <w:r w:rsidR="00656C71" w:rsidRPr="00515872">
        <w:rPr>
          <w:rFonts w:eastAsia="Times New Roman" w:cs="Tahoma"/>
          <w:szCs w:val="20"/>
          <w:lang w:eastAsia="it-IT"/>
        </w:rPr>
        <w:t xml:space="preserve"> maggior disavanzo nell’arco di un periodo massimo pari a 30 anni.</w:t>
      </w:r>
      <w:r w:rsidR="00E61B6E" w:rsidRPr="00515872">
        <w:rPr>
          <w:rFonts w:eastAsia="Times New Roman" w:cs="Tahoma"/>
          <w:szCs w:val="20"/>
          <w:lang w:eastAsia="it-IT"/>
        </w:rPr>
        <w:t xml:space="preserve"> In attuazione di quanto disposto da tale norma è stato emanato il D.M. Economia e Finanze del 19 dicembre 2016 pubblicato nella Gazzetta Ufficiale del 25 gennaio 2017, n.</w:t>
      </w:r>
      <w:r w:rsidR="00DF2764" w:rsidRPr="00515872">
        <w:rPr>
          <w:rFonts w:eastAsia="Times New Roman" w:cs="Tahoma"/>
          <w:szCs w:val="20"/>
          <w:lang w:eastAsia="it-IT"/>
        </w:rPr>
        <w:t xml:space="preserve"> </w:t>
      </w:r>
      <w:r w:rsidR="00E61B6E" w:rsidRPr="00515872">
        <w:rPr>
          <w:rFonts w:eastAsia="Times New Roman" w:cs="Tahoma"/>
          <w:szCs w:val="20"/>
          <w:lang w:eastAsia="it-IT"/>
        </w:rPr>
        <w:t>20.</w:t>
      </w:r>
    </w:p>
    <w:p w14:paraId="18C7B27D" w14:textId="77777777" w:rsidR="002C0AB2" w:rsidRPr="00515872" w:rsidRDefault="00DF2764" w:rsidP="002C0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eastAsia="Times New Roman" w:cs="Tahoma"/>
          <w:szCs w:val="20"/>
          <w:lang w:eastAsia="it-IT"/>
        </w:rPr>
        <w:t>L’art. 39-quater,</w:t>
      </w:r>
      <w:r w:rsidR="002C0AB2" w:rsidRPr="00515872">
        <w:rPr>
          <w:rFonts w:eastAsia="Times New Roman" w:cs="Tahoma"/>
          <w:szCs w:val="20"/>
          <w:lang w:eastAsia="it-IT"/>
        </w:rPr>
        <w:t xml:space="preserve"> D.L. 30 dicembre 2019, n. 162, </w:t>
      </w:r>
      <w:proofErr w:type="spellStart"/>
      <w:r w:rsidR="002C0AB2" w:rsidRPr="00515872">
        <w:rPr>
          <w:rFonts w:eastAsia="Times New Roman" w:cs="Tahoma"/>
          <w:szCs w:val="20"/>
          <w:lang w:eastAsia="it-IT"/>
        </w:rPr>
        <w:t>conv</w:t>
      </w:r>
      <w:proofErr w:type="spellEnd"/>
      <w:r w:rsidR="002C0AB2" w:rsidRPr="00515872">
        <w:rPr>
          <w:rFonts w:eastAsia="Times New Roman" w:cs="Tahoma"/>
          <w:szCs w:val="20"/>
          <w:lang w:eastAsia="it-IT"/>
        </w:rPr>
        <w:t>. L. 28 febbraio 2020, n. 8, ha inoltre previsto che,</w:t>
      </w:r>
      <w:r w:rsidR="002C0AB2" w:rsidRPr="00515872">
        <w:rPr>
          <w:rFonts w:cs="Tahoma"/>
          <w:color w:val="000000"/>
          <w:szCs w:val="20"/>
        </w:rPr>
        <w:t xml:space="preserve"> al fine di prevenire l'incremento del numero di enti locali in situazioni di precarietà finanziaria, l'eventuale maggiore disavanzo emergente in sede di approvazione del rendiconto 2019, determinato in misura non superiore alla differenza tra l'importo del FCDE accantonato nel risultato di amministrazione in sede di approvazione del rendiconto 2018, determinato con il metodo semplificato, sommato allo stanziamento assestato iscritto nel bilancio 2019 per il FCDE al netto degli utilizzi effettuati per la cancellazione e lo stralcio dei crediti, e l'importo del fondo accantonato in sede di rendiconto 2019, determinato nel rispetto dei principi contabili, può essere ripianato in un periodo massimo di 15 annualità, a decorrere dall'esercizio finanziario 2021, in quote annuali costanti. Le modalità di recupero devono essere definite dal consiglio dell'ente, previa acquisizione del </w:t>
      </w:r>
      <w:r w:rsidR="002C0AB2" w:rsidRPr="00515872">
        <w:rPr>
          <w:rFonts w:cs="Tahoma"/>
          <w:b/>
          <w:color w:val="000000"/>
          <w:szCs w:val="20"/>
        </w:rPr>
        <w:t>parere dell'organo di revisione</w:t>
      </w:r>
      <w:r w:rsidR="002C0AB2" w:rsidRPr="00515872">
        <w:rPr>
          <w:rFonts w:cs="Tahoma"/>
          <w:color w:val="000000"/>
          <w:szCs w:val="20"/>
        </w:rPr>
        <w:t>, entro 45 giorni dall'approvazione del rendiconto. La mancata adozione di tale deliberazione è equiparata a tutti gli effetti alla mancata approvazione del rendiconto di gestione.</w:t>
      </w:r>
    </w:p>
    <w:p w14:paraId="4017160A"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eastAsia="Times New Roman" w:hAnsi="Tahoma" w:cs="Tahoma"/>
          <w:sz w:val="20"/>
          <w:szCs w:val="20"/>
          <w:lang w:eastAsia="it-IT"/>
        </w:rPr>
        <w:t>In relazione alla corretta quantificazione del fondo in parola, vale la pena segnalare che la Corte dei Conti Toscana, con delibera n. 116/2016, ha ritenuto che d</w:t>
      </w:r>
      <w:r w:rsidRPr="00515872">
        <w:rPr>
          <w:rFonts w:ascii="Tahoma" w:hAnsi="Tahoma" w:cs="Tahoma"/>
          <w:sz w:val="20"/>
          <w:szCs w:val="20"/>
        </w:rPr>
        <w:t>eve essere considerata grave irregolarità contabile l’accertamento di un risultato negativo di amministrazione a causa di una erronea determinazione del FCDE, poiché è espressione di situazioni sottostanti contrarie ai principi di sana gestione e sostenibilità finanziaria.</w:t>
      </w:r>
    </w:p>
    <w:p w14:paraId="50B5530D" w14:textId="77777777" w:rsidR="00813227" w:rsidRPr="00515872" w:rsidRDefault="0060070A" w:rsidP="00813227">
      <w:pPr>
        <w:pStyle w:val="Default"/>
        <w:spacing w:after="200" w:line="360" w:lineRule="auto"/>
        <w:jc w:val="both"/>
        <w:rPr>
          <w:rFonts w:ascii="Tahoma" w:hAnsi="Tahoma" w:cs="Tahoma"/>
        </w:rPr>
      </w:pPr>
      <w:r w:rsidRPr="00515872">
        <w:rPr>
          <w:rFonts w:ascii="Tahoma" w:hAnsi="Tahoma" w:cs="Tahoma"/>
          <w:sz w:val="20"/>
          <w:szCs w:val="20"/>
        </w:rPr>
        <w:t xml:space="preserve">Normativa di favore è stata istituita a seguito dell’emergenza sanitaria (ed economica) causata dal diffondersi del virus COVID-19, destinata a far crollare le entrate degli enti locali, non solo in termini di minori accertamenti ma anche minori incassi, </w:t>
      </w:r>
      <w:r w:rsidR="00AB7EB1" w:rsidRPr="00515872">
        <w:rPr>
          <w:rFonts w:ascii="Tahoma" w:hAnsi="Tahoma" w:cs="Tahoma"/>
          <w:sz w:val="20"/>
          <w:szCs w:val="20"/>
        </w:rPr>
        <w:t>conseguenti</w:t>
      </w:r>
      <w:r w:rsidRPr="00515872">
        <w:rPr>
          <w:rFonts w:ascii="Tahoma" w:hAnsi="Tahoma" w:cs="Tahoma"/>
          <w:sz w:val="20"/>
          <w:szCs w:val="20"/>
        </w:rPr>
        <w:t xml:space="preserve"> al blocco delle attività previsti dai decreti emergenziali. Per evitare che questa situazione penalizzi oltre misura le amministra</w:t>
      </w:r>
      <w:r w:rsidR="00AB7EB1" w:rsidRPr="00515872">
        <w:rPr>
          <w:rFonts w:ascii="Tahoma" w:hAnsi="Tahoma" w:cs="Tahoma"/>
          <w:sz w:val="20"/>
          <w:szCs w:val="20"/>
        </w:rPr>
        <w:t>zioni locali, l’art. 107-bis,</w:t>
      </w:r>
      <w:r w:rsidRPr="00515872">
        <w:rPr>
          <w:rFonts w:ascii="Tahoma" w:hAnsi="Tahoma" w:cs="Tahoma"/>
          <w:sz w:val="20"/>
          <w:szCs w:val="20"/>
        </w:rPr>
        <w:t xml:space="preserve"> D.L. n. 18/2020, inserito in sede di conversione, ha introdotto una norma che consente di sterilizzare nel calcolo della media i dati del 2020, sostituendoli con quelli del 2019. La norma in questione, infatti, prevede</w:t>
      </w:r>
      <w:r w:rsidR="00813227" w:rsidRPr="00515872">
        <w:rPr>
          <w:rFonts w:ascii="Tahoma" w:hAnsi="Tahoma" w:cs="Tahoma"/>
          <w:sz w:val="20"/>
          <w:szCs w:val="20"/>
        </w:rPr>
        <w:t xml:space="preserve"> che “</w:t>
      </w:r>
      <w:r w:rsidR="00813227" w:rsidRPr="00515872">
        <w:rPr>
          <w:rFonts w:ascii="Tahoma" w:hAnsi="Tahoma" w:cs="Tahoma"/>
          <w:i/>
          <w:color w:val="auto"/>
          <w:sz w:val="20"/>
          <w:szCs w:val="20"/>
        </w:rPr>
        <w:t>A decorrere dal rendiconto 2020 e dal bilancio di previsione 2021 gli enti di cui all'</w:t>
      </w:r>
      <w:hyperlink r:id="rId15" w:history="1">
        <w:r w:rsidR="00813227" w:rsidRPr="00515872">
          <w:rPr>
            <w:rStyle w:val="linkneltesto"/>
            <w:rFonts w:ascii="Tahoma" w:hAnsi="Tahoma" w:cs="Tahoma"/>
            <w:i/>
            <w:color w:val="auto"/>
            <w:sz w:val="20"/>
            <w:szCs w:val="20"/>
          </w:rPr>
          <w:t>articolo 2 del decreto legislativo 23 giugno 2011, n. 118</w:t>
        </w:r>
      </w:hyperlink>
      <w:r w:rsidR="00813227" w:rsidRPr="00515872">
        <w:rPr>
          <w:rFonts w:ascii="Tahoma" w:hAnsi="Tahoma" w:cs="Tahoma"/>
          <w:i/>
          <w:color w:val="auto"/>
          <w:sz w:val="20"/>
          <w:szCs w:val="20"/>
        </w:rPr>
        <w:t>, possono calcolare il fondo crediti di dubbia esigibilità delle entrate dei titoli 1 e 3 accantonato nel risultato di amministrazione o stanziato nel bilancio di previsione calcolando la percentuale di riscossione del quinquennio precedente con i dati del 2019 in luogo di quelli del 2020</w:t>
      </w:r>
      <w:r w:rsidR="00F938AC" w:rsidRPr="00515872">
        <w:rPr>
          <w:rFonts w:ascii="Tahoma" w:hAnsi="Tahoma" w:cs="Tahoma"/>
          <w:sz w:val="20"/>
          <w:szCs w:val="20"/>
        </w:rPr>
        <w:t>”</w:t>
      </w:r>
      <w:r w:rsidR="00813227" w:rsidRPr="00515872">
        <w:rPr>
          <w:rFonts w:ascii="Tahoma" w:hAnsi="Tahoma" w:cs="Tahoma"/>
          <w:sz w:val="20"/>
          <w:szCs w:val="20"/>
        </w:rPr>
        <w:t>.</w:t>
      </w:r>
    </w:p>
    <w:p w14:paraId="78087353" w14:textId="77777777" w:rsidR="00EA779E" w:rsidRDefault="00EA779E">
      <w:pPr>
        <w:spacing w:after="0" w:line="240" w:lineRule="auto"/>
        <w:rPr>
          <w:rFonts w:eastAsia="Times New Roman" w:cs="Tahoma"/>
          <w:b/>
          <w:color w:val="000000"/>
          <w:szCs w:val="20"/>
          <w:lang w:eastAsia="it-IT"/>
        </w:rPr>
      </w:pPr>
      <w:r>
        <w:rPr>
          <w:rFonts w:eastAsia="Times New Roman" w:cs="Tahoma"/>
          <w:b/>
          <w:szCs w:val="20"/>
          <w:lang w:eastAsia="it-IT"/>
        </w:rPr>
        <w:br w:type="page"/>
      </w:r>
    </w:p>
    <w:p w14:paraId="573FF642" w14:textId="23D9DD38" w:rsidR="009518AF" w:rsidRPr="00515872" w:rsidRDefault="009518AF" w:rsidP="00F938AC">
      <w:pPr>
        <w:pStyle w:val="Default"/>
        <w:spacing w:line="360" w:lineRule="auto"/>
        <w:jc w:val="both"/>
        <w:rPr>
          <w:rFonts w:ascii="Tahoma" w:eastAsia="Times New Roman" w:hAnsi="Tahoma" w:cs="Tahoma"/>
          <w:b/>
          <w:sz w:val="20"/>
          <w:szCs w:val="20"/>
          <w:lang w:eastAsia="it-IT"/>
        </w:rPr>
      </w:pPr>
      <w:r w:rsidRPr="00515872">
        <w:rPr>
          <w:rFonts w:ascii="Tahoma" w:eastAsia="Times New Roman" w:hAnsi="Tahoma" w:cs="Tahoma"/>
          <w:b/>
          <w:sz w:val="20"/>
          <w:szCs w:val="20"/>
          <w:lang w:eastAsia="it-IT"/>
        </w:rPr>
        <w:lastRenderedPageBreak/>
        <w:t>Fondo rischi per contenziosi</w:t>
      </w:r>
    </w:p>
    <w:p w14:paraId="4BD7285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Nel caso in cui l'ente, a seguito di contenzioso in cui ha significative probabilità di soccombere o di sentenza non definitiva e non esecutiva, sia condannato al pagamento di spese, in attesa degli esiti del giudizio, si configura una passività potenziale a fronte della quale </w:t>
      </w:r>
      <w:r w:rsidRPr="00515872">
        <w:rPr>
          <w:rFonts w:eastAsia="Times New Roman" w:cs="Tahoma"/>
          <w:b/>
          <w:szCs w:val="20"/>
          <w:lang w:eastAsia="it-IT"/>
        </w:rPr>
        <w:t>non è possibile impegnare alcuna spesa</w:t>
      </w:r>
      <w:r w:rsidRPr="00515872">
        <w:rPr>
          <w:rFonts w:eastAsia="Times New Roman" w:cs="Tahoma"/>
          <w:szCs w:val="20"/>
          <w:lang w:eastAsia="it-IT"/>
        </w:rPr>
        <w:t>. In tale situazione l'ente è tenuto ad accantonare le risorse necessarie per il pagamento degli oneri previsti dalla sentenza, stanziando nell'esercizio le relative spese che, in sede di rendiconto andranno ad incrementare la quota di risultato che dovrà essere vincolata alla copertura delle eventuali spese derivanti dalla sentenza definitiva.</w:t>
      </w:r>
    </w:p>
    <w:p w14:paraId="1832FD01" w14:textId="77777777" w:rsidR="00AB7EB1" w:rsidRPr="00515872" w:rsidRDefault="009518AF" w:rsidP="0078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È prevista quindi la costituzi</w:t>
      </w:r>
      <w:r w:rsidR="00247AFD" w:rsidRPr="00515872">
        <w:rPr>
          <w:rFonts w:eastAsia="Times New Roman" w:cs="Tahoma"/>
          <w:szCs w:val="20"/>
          <w:lang w:eastAsia="it-IT"/>
        </w:rPr>
        <w:t>one di un apposito fondo rischi. Le modalità della sua costituzione, però, non sono regolamentate nei principi contabili, motivo per cui la stessa può essere facilmente oggetto di contestazione in sede di controllo della Corte dei Conti</w:t>
      </w:r>
      <w:r w:rsidR="00AB7EB1" w:rsidRPr="00515872">
        <w:rPr>
          <w:rStyle w:val="Rimandonotaapidipagina"/>
          <w:rFonts w:eastAsia="Times New Roman" w:cs="Tahoma"/>
          <w:szCs w:val="20"/>
          <w:lang w:eastAsia="it-IT"/>
        </w:rPr>
        <w:footnoteReference w:id="35"/>
      </w:r>
      <w:r w:rsidR="00247AFD" w:rsidRPr="00515872">
        <w:rPr>
          <w:rFonts w:eastAsia="Times New Roman" w:cs="Tahoma"/>
          <w:szCs w:val="20"/>
          <w:lang w:eastAsia="it-IT"/>
        </w:rPr>
        <w:t>.</w:t>
      </w:r>
    </w:p>
    <w:p w14:paraId="7720C4B6" w14:textId="77777777" w:rsidR="00563474" w:rsidRPr="00515872" w:rsidRDefault="00563474" w:rsidP="0078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determinazione del fondo non può avvenire attraverso una percentuale forfettaria ma necessariamente attraverso la valutazione delle singole controversie, tenendo conto delle specificità in termini di soccombenza.</w:t>
      </w:r>
    </w:p>
    <w:p w14:paraId="3F27608B" w14:textId="77777777" w:rsidR="00783D44" w:rsidRPr="00515872" w:rsidRDefault="00783D44"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È possibile ridurre gli stanziamenti di bilancio riguardanti il fondo ris</w:t>
      </w:r>
      <w:r w:rsidR="002710A6" w:rsidRPr="00515872">
        <w:rPr>
          <w:rFonts w:cs="Tahoma"/>
        </w:rPr>
        <w:t>chi contenzioso in corso d’anno</w:t>
      </w:r>
      <w:r w:rsidRPr="00515872">
        <w:rPr>
          <w:rFonts w:cs="Tahoma"/>
        </w:rPr>
        <w:t xml:space="preserve"> qualora</w:t>
      </w:r>
      <w:r w:rsidR="002710A6" w:rsidRPr="00515872">
        <w:rPr>
          <w:rFonts w:cs="Tahoma"/>
        </w:rPr>
        <w:t>,</w:t>
      </w:r>
      <w:r w:rsidRPr="00515872">
        <w:rPr>
          <w:rFonts w:cs="Tahoma"/>
        </w:rPr>
        <w:t xml:space="preserve"> nel cors</w:t>
      </w:r>
      <w:r w:rsidR="002710A6" w:rsidRPr="00515872">
        <w:rPr>
          <w:rFonts w:cs="Tahoma"/>
        </w:rPr>
        <w:t>o dell’esercizio, il rischio di soccombenza,</w:t>
      </w:r>
      <w:r w:rsidRPr="00515872">
        <w:rPr>
          <w:rFonts w:cs="Tahoma"/>
        </w:rPr>
        <w:t xml:space="preserve"> per il quale sono stati già effettuati accantonamenti confluiti nel risultato di amministrazione dell’esercizio precedente, si riduca per effetto della conclusione dello stesso </w:t>
      </w:r>
      <w:r w:rsidR="002710A6" w:rsidRPr="00515872">
        <w:rPr>
          <w:rFonts w:cs="Tahoma"/>
        </w:rPr>
        <w:t xml:space="preserve">contenzioso </w:t>
      </w:r>
      <w:r w:rsidRPr="00515872">
        <w:rPr>
          <w:rFonts w:cs="Tahoma"/>
        </w:rPr>
        <w:t>(ad es. sentenza, estinzione del giudizio, transazione, ecc.).</w:t>
      </w:r>
    </w:p>
    <w:p w14:paraId="64AF9A06" w14:textId="77777777" w:rsidR="00F72466" w:rsidRPr="00515872" w:rsidRDefault="00F72466"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191B0E"/>
          <w:szCs w:val="20"/>
        </w:rPr>
        <w:t>Per la corretta quantificazione dell’accantonamento (la cui verifica è onere specifico dell'organo di revisione, nell'ambito della relazione allegata ai documenti programmatori) risulta essenziale procedere a una costante ricognizione e all'aggiornamento del contenzioso formatosi, sulla base di approfondite istruttorie.</w:t>
      </w:r>
    </w:p>
    <w:p w14:paraId="3FB4B6BD"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Fondo rischi spese legali</w:t>
      </w:r>
    </w:p>
    <w:p w14:paraId="12D3535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fase di prima appli</w:t>
      </w:r>
      <w:r w:rsidR="006F678E" w:rsidRPr="00515872">
        <w:rPr>
          <w:rFonts w:eastAsia="Times New Roman" w:cs="Tahoma"/>
          <w:szCs w:val="20"/>
          <w:lang w:eastAsia="it-IT"/>
        </w:rPr>
        <w:t>cazione dei principi contabili era</w:t>
      </w:r>
      <w:r w:rsidRPr="00515872">
        <w:rPr>
          <w:rFonts w:eastAsia="Times New Roman" w:cs="Tahoma"/>
          <w:szCs w:val="20"/>
          <w:lang w:eastAsia="it-IT"/>
        </w:rPr>
        <w:t xml:space="preserve"> prevista la statuizione dell’accantonamento ad un fondo rischi spese legali sulla base di una ricognizione del contenzioso esistente.</w:t>
      </w:r>
    </w:p>
    <w:p w14:paraId="503112E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L’onere p</w:t>
      </w:r>
      <w:r w:rsidR="006F678E" w:rsidRPr="00515872">
        <w:rPr>
          <w:rFonts w:eastAsia="Times New Roman" w:cs="Tahoma"/>
          <w:szCs w:val="20"/>
          <w:lang w:eastAsia="it-IT"/>
        </w:rPr>
        <w:t>oteva</w:t>
      </w:r>
      <w:r w:rsidRPr="00515872">
        <w:rPr>
          <w:rFonts w:eastAsia="Times New Roman" w:cs="Tahoma"/>
          <w:szCs w:val="20"/>
          <w:lang w:eastAsia="it-IT"/>
        </w:rPr>
        <w:t xml:space="preserve"> essere ripartito in quote uguali, tra gli esercizi considerati nel bilancio di previsione o a prudente valutazione dell'ente, fermo restando l'obbligo di accantonare, nel primo esercizio considerato nel bilancio, il fondo riguardante il nuovo contenzioso formatosi nel corso dell'esercizio precedente.</w:t>
      </w:r>
    </w:p>
    <w:p w14:paraId="77D0C476" w14:textId="0081C6D4" w:rsidR="007E176C" w:rsidRPr="00EA779E" w:rsidRDefault="009518AF" w:rsidP="00EA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All'approvazione del rendiconto è possibile vincolare una quota del risultato di amministrazione pari alla quota degli accantonamenti riguardanti il fondo rischi spese legali rinviati agli esercizi successivi, liberando gli stanziamenti di bilancio riguardanti il fondo stesso. </w:t>
      </w:r>
    </w:p>
    <w:p w14:paraId="1F0DE0F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lastRenderedPageBreak/>
        <w:t>Fondo spese per indennità di fine mandato</w:t>
      </w:r>
    </w:p>
    <w:p w14:paraId="727C7EE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Anche le spese per indennità di fine mandato costituiscono una spesa potenziale dell'ente, in considerazione della quale il principio contabile ritiene opportuno prevedere, tra le spese del bilancio, un appo</w:t>
      </w:r>
      <w:r w:rsidR="00944EE6" w:rsidRPr="00515872">
        <w:rPr>
          <w:rFonts w:eastAsia="Times New Roman" w:cs="Tahoma"/>
          <w:szCs w:val="20"/>
          <w:lang w:eastAsia="it-IT"/>
        </w:rPr>
        <w:t>sito accantonamento ad un fondo.</w:t>
      </w:r>
    </w:p>
    <w:p w14:paraId="2D1D6AF1" w14:textId="77777777" w:rsidR="004646B7" w:rsidRPr="00515872" w:rsidRDefault="004646B7" w:rsidP="00464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Fondo perdite partecipate</w:t>
      </w:r>
    </w:p>
    <w:p w14:paraId="5C9C5F50" w14:textId="77777777" w:rsidR="00EC0ACC" w:rsidRPr="00515872" w:rsidRDefault="00EC0ACC" w:rsidP="00B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 xml:space="preserve">L’art. 21, </w:t>
      </w:r>
      <w:proofErr w:type="spellStart"/>
      <w:r w:rsidRPr="00515872">
        <w:rPr>
          <w:rFonts w:cs="Tahoma"/>
          <w:color w:val="191B0E"/>
          <w:szCs w:val="20"/>
        </w:rPr>
        <w:t>D.Lgs.</w:t>
      </w:r>
      <w:proofErr w:type="spellEnd"/>
      <w:r w:rsidRPr="00515872">
        <w:rPr>
          <w:rFonts w:cs="Tahoma"/>
          <w:color w:val="191B0E"/>
          <w:szCs w:val="20"/>
        </w:rPr>
        <w:t xml:space="preserve"> n.175/2016</w:t>
      </w:r>
      <w:r w:rsidR="00A376D5" w:rsidRPr="00515872">
        <w:rPr>
          <w:rFonts w:cs="Tahoma"/>
          <w:color w:val="191B0E"/>
          <w:szCs w:val="20"/>
        </w:rPr>
        <w:t xml:space="preserve"> impone di accantonare nel bilancio preventivo un apposito fondo non impegnabile, la cui dotazione deve essere calibrata in relazione ai risultati</w:t>
      </w:r>
      <w:r w:rsidR="00B13499" w:rsidRPr="00515872">
        <w:rPr>
          <w:rFonts w:cs="Tahoma"/>
          <w:color w:val="191B0E"/>
          <w:szCs w:val="20"/>
        </w:rPr>
        <w:t xml:space="preserve"> negativi</w:t>
      </w:r>
      <w:r w:rsidR="00A376D5" w:rsidRPr="00515872">
        <w:rPr>
          <w:rFonts w:cs="Tahoma"/>
          <w:color w:val="191B0E"/>
          <w:szCs w:val="20"/>
        </w:rPr>
        <w:t xml:space="preserve"> conseguiti </w:t>
      </w:r>
      <w:r w:rsidR="00B13499" w:rsidRPr="00515872">
        <w:rPr>
          <w:rFonts w:cs="Tahoma"/>
          <w:color w:val="191B0E"/>
          <w:szCs w:val="20"/>
        </w:rPr>
        <w:t xml:space="preserve">dalle società partecipate o </w:t>
      </w:r>
      <w:r w:rsidR="00A376D5" w:rsidRPr="00515872">
        <w:rPr>
          <w:rFonts w:cs="Tahoma"/>
          <w:color w:val="191B0E"/>
          <w:szCs w:val="20"/>
        </w:rPr>
        <w:t>controllat</w:t>
      </w:r>
      <w:r w:rsidR="00B13499" w:rsidRPr="00515872">
        <w:rPr>
          <w:rFonts w:cs="Tahoma"/>
          <w:color w:val="191B0E"/>
          <w:szCs w:val="20"/>
        </w:rPr>
        <w:t>e</w:t>
      </w:r>
      <w:r w:rsidR="00A376D5" w:rsidRPr="00515872">
        <w:rPr>
          <w:rFonts w:cs="Tahoma"/>
          <w:color w:val="191B0E"/>
          <w:szCs w:val="20"/>
        </w:rPr>
        <w:t>, nonché alla quota di possesso.</w:t>
      </w:r>
    </w:p>
    <w:p w14:paraId="76017001" w14:textId="77777777" w:rsidR="00B13499" w:rsidRPr="00515872" w:rsidRDefault="00A376D5" w:rsidP="00B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L'accantonamento è dovuto qualora gli or</w:t>
      </w:r>
      <w:r w:rsidR="00EC0ACC" w:rsidRPr="00515872">
        <w:rPr>
          <w:rFonts w:cs="Tahoma"/>
          <w:color w:val="191B0E"/>
          <w:szCs w:val="20"/>
        </w:rPr>
        <w:t xml:space="preserve">ganismi partecipati presentino, </w:t>
      </w:r>
      <w:r w:rsidRPr="00515872">
        <w:rPr>
          <w:rFonts w:cs="Tahoma"/>
          <w:color w:val="191B0E"/>
          <w:szCs w:val="20"/>
        </w:rPr>
        <w:t>nell'ultimo bilancio disponibile, un risultato di esercizio o un sa</w:t>
      </w:r>
      <w:r w:rsidR="00EC0ACC" w:rsidRPr="00515872">
        <w:rPr>
          <w:rFonts w:cs="Tahoma"/>
          <w:color w:val="191B0E"/>
          <w:szCs w:val="20"/>
        </w:rPr>
        <w:t xml:space="preserve">ldo finanziario </w:t>
      </w:r>
      <w:r w:rsidRPr="00515872">
        <w:rPr>
          <w:rFonts w:cs="Tahoma"/>
          <w:color w:val="191B0E"/>
          <w:szCs w:val="20"/>
        </w:rPr>
        <w:t>negativo, non immediatamente ri</w:t>
      </w:r>
      <w:r w:rsidR="00EC0ACC" w:rsidRPr="00515872">
        <w:rPr>
          <w:rFonts w:cs="Tahoma"/>
          <w:color w:val="191B0E"/>
          <w:szCs w:val="20"/>
        </w:rPr>
        <w:t xml:space="preserve">pianato dall'ente partecipante. </w:t>
      </w:r>
      <w:r w:rsidRPr="00515872">
        <w:rPr>
          <w:rFonts w:cs="Tahoma"/>
          <w:color w:val="191B0E"/>
          <w:szCs w:val="20"/>
        </w:rPr>
        <w:t>Per le società che redigono il bilancio consolidato, il r</w:t>
      </w:r>
      <w:r w:rsidR="00EC0ACC" w:rsidRPr="00515872">
        <w:rPr>
          <w:rFonts w:cs="Tahoma"/>
          <w:color w:val="191B0E"/>
          <w:szCs w:val="20"/>
        </w:rPr>
        <w:t xml:space="preserve">isultato di esercizio è quello </w:t>
      </w:r>
      <w:r w:rsidRPr="00515872">
        <w:rPr>
          <w:rFonts w:cs="Tahoma"/>
          <w:color w:val="191B0E"/>
          <w:szCs w:val="20"/>
        </w:rPr>
        <w:t xml:space="preserve">relativo a tale bilancio. Limitatamente alle società </w:t>
      </w:r>
      <w:r w:rsidR="00B13499" w:rsidRPr="00515872">
        <w:rPr>
          <w:rFonts w:cs="Tahoma"/>
          <w:color w:val="191B0E"/>
          <w:szCs w:val="20"/>
        </w:rPr>
        <w:t xml:space="preserve">che svolgono servizi pubblici a </w:t>
      </w:r>
      <w:r w:rsidRPr="00515872">
        <w:rPr>
          <w:rFonts w:cs="Tahoma"/>
          <w:color w:val="191B0E"/>
          <w:szCs w:val="20"/>
        </w:rPr>
        <w:t>rete di rilevanza economica, per risultato si intende la differenza tra valore e costi</w:t>
      </w:r>
      <w:r w:rsidR="00EC0ACC" w:rsidRPr="00515872">
        <w:rPr>
          <w:rFonts w:cs="Tahoma"/>
          <w:color w:val="191B0E"/>
          <w:szCs w:val="20"/>
        </w:rPr>
        <w:t xml:space="preserve"> </w:t>
      </w:r>
      <w:r w:rsidRPr="00515872">
        <w:rPr>
          <w:rFonts w:cs="Tahoma"/>
          <w:color w:val="191B0E"/>
          <w:szCs w:val="20"/>
        </w:rPr>
        <w:t>della produzione ai sensi dell'art</w:t>
      </w:r>
      <w:r w:rsidR="00E32C89" w:rsidRPr="00515872">
        <w:rPr>
          <w:rFonts w:cs="Tahoma"/>
          <w:color w:val="191B0E"/>
          <w:szCs w:val="20"/>
        </w:rPr>
        <w:t>.</w:t>
      </w:r>
      <w:r w:rsidRPr="00515872">
        <w:rPr>
          <w:rFonts w:cs="Tahoma"/>
          <w:color w:val="191B0E"/>
          <w:szCs w:val="20"/>
        </w:rPr>
        <w:t xml:space="preserve"> 2425</w:t>
      </w:r>
      <w:r w:rsidR="00E32C89" w:rsidRPr="00515872">
        <w:rPr>
          <w:rFonts w:cs="Tahoma"/>
          <w:color w:val="191B0E"/>
          <w:szCs w:val="20"/>
        </w:rPr>
        <w:t>, C.C.</w:t>
      </w:r>
      <w:r w:rsidRPr="00515872">
        <w:rPr>
          <w:rFonts w:cs="Tahoma"/>
          <w:color w:val="191B0E"/>
          <w:szCs w:val="20"/>
        </w:rPr>
        <w:t>.</w:t>
      </w:r>
      <w:r w:rsidR="00E32C89" w:rsidRPr="00515872">
        <w:rPr>
          <w:rFonts w:cs="Tahoma"/>
          <w:szCs w:val="20"/>
        </w:rPr>
        <w:t xml:space="preserve"> </w:t>
      </w:r>
      <w:r w:rsidRPr="00515872">
        <w:rPr>
          <w:rFonts w:cs="Tahoma"/>
          <w:color w:val="191B0E"/>
          <w:szCs w:val="20"/>
        </w:rPr>
        <w:t>In sede di prima applicazione, per gli anni 2015,</w:t>
      </w:r>
      <w:r w:rsidR="00EC0ACC" w:rsidRPr="00515872">
        <w:rPr>
          <w:rFonts w:cs="Tahoma"/>
          <w:color w:val="191B0E"/>
          <w:szCs w:val="20"/>
        </w:rPr>
        <w:t xml:space="preserve"> 2016 e 2017, il legislatore ha previsto un </w:t>
      </w:r>
      <w:r w:rsidRPr="00515872">
        <w:rPr>
          <w:rFonts w:cs="Tahoma"/>
          <w:color w:val="191B0E"/>
          <w:szCs w:val="20"/>
        </w:rPr>
        <w:t>periodo transitorio in cui l'accantonamento è via v</w:t>
      </w:r>
      <w:r w:rsidR="00EC0ACC" w:rsidRPr="00515872">
        <w:rPr>
          <w:rFonts w:cs="Tahoma"/>
          <w:color w:val="191B0E"/>
          <w:szCs w:val="20"/>
        </w:rPr>
        <w:t xml:space="preserve">ia crescente, con un'importante </w:t>
      </w:r>
      <w:r w:rsidRPr="00515872">
        <w:rPr>
          <w:rFonts w:cs="Tahoma"/>
          <w:color w:val="191B0E"/>
          <w:szCs w:val="20"/>
        </w:rPr>
        <w:t>distinzione tra la partecipazione in organismi che,</w:t>
      </w:r>
      <w:r w:rsidR="00EC0ACC" w:rsidRPr="00515872">
        <w:rPr>
          <w:rFonts w:cs="Tahoma"/>
          <w:color w:val="191B0E"/>
          <w:szCs w:val="20"/>
        </w:rPr>
        <w:t xml:space="preserve"> avendo riportato una perdita </w:t>
      </w:r>
      <w:r w:rsidRPr="00515872">
        <w:rPr>
          <w:rFonts w:cs="Tahoma"/>
          <w:color w:val="191B0E"/>
          <w:szCs w:val="20"/>
        </w:rPr>
        <w:t>nell'ultimo bilancio disponibile, hanno peggiorato i conti e</w:t>
      </w:r>
      <w:r w:rsidR="00EC0ACC" w:rsidRPr="00515872">
        <w:rPr>
          <w:rFonts w:cs="Tahoma"/>
          <w:color w:val="191B0E"/>
          <w:szCs w:val="20"/>
        </w:rPr>
        <w:t xml:space="preserve"> quelli che li hanno migliorati </w:t>
      </w:r>
      <w:r w:rsidRPr="00515872">
        <w:rPr>
          <w:rFonts w:cs="Tahoma"/>
          <w:color w:val="191B0E"/>
          <w:szCs w:val="20"/>
        </w:rPr>
        <w:t>rispetto alla</w:t>
      </w:r>
      <w:r w:rsidR="00B13499" w:rsidRPr="00515872">
        <w:rPr>
          <w:rFonts w:cs="Tahoma"/>
          <w:color w:val="191B0E"/>
          <w:szCs w:val="20"/>
        </w:rPr>
        <w:t xml:space="preserve"> media del triennio precedente.</w:t>
      </w:r>
    </w:p>
    <w:p w14:paraId="3032BE71" w14:textId="77777777" w:rsidR="00EC0ACC" w:rsidRPr="00515872" w:rsidRDefault="00A376D5" w:rsidP="00B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Gli importi accantonati nell'apposito fondo vincolato</w:t>
      </w:r>
      <w:r w:rsidR="00EC0ACC" w:rsidRPr="00515872">
        <w:rPr>
          <w:rFonts w:cs="Tahoma"/>
          <w:color w:val="191B0E"/>
          <w:szCs w:val="20"/>
        </w:rPr>
        <w:t xml:space="preserve"> saranno nuovamente disponibili </w:t>
      </w:r>
      <w:r w:rsidR="00E32C89" w:rsidRPr="00515872">
        <w:rPr>
          <w:rFonts w:cs="Tahoma"/>
          <w:color w:val="191B0E"/>
          <w:szCs w:val="20"/>
        </w:rPr>
        <w:t xml:space="preserve">qualora l'ente </w:t>
      </w:r>
      <w:r w:rsidRPr="00515872">
        <w:rPr>
          <w:rFonts w:cs="Tahoma"/>
          <w:color w:val="191B0E"/>
          <w:szCs w:val="20"/>
        </w:rPr>
        <w:t xml:space="preserve">partecipante ripiani la perdita di esercizio o </w:t>
      </w:r>
      <w:r w:rsidR="00EC0ACC" w:rsidRPr="00515872">
        <w:rPr>
          <w:rFonts w:cs="Tahoma"/>
          <w:color w:val="191B0E"/>
          <w:szCs w:val="20"/>
        </w:rPr>
        <w:t xml:space="preserve">dismetta la partecipazione o il </w:t>
      </w:r>
      <w:r w:rsidRPr="00515872">
        <w:rPr>
          <w:rFonts w:cs="Tahoma"/>
          <w:color w:val="191B0E"/>
          <w:szCs w:val="20"/>
        </w:rPr>
        <w:t>soggetto partecipato sia posto in liquidazione. Lo stesso risu</w:t>
      </w:r>
      <w:r w:rsidR="00EC0ACC" w:rsidRPr="00515872">
        <w:rPr>
          <w:rFonts w:cs="Tahoma"/>
          <w:color w:val="191B0E"/>
          <w:szCs w:val="20"/>
        </w:rPr>
        <w:t xml:space="preserve">ltato si realizza se le perdite </w:t>
      </w:r>
      <w:r w:rsidRPr="00515872">
        <w:rPr>
          <w:rFonts w:cs="Tahoma"/>
          <w:color w:val="191B0E"/>
          <w:szCs w:val="20"/>
        </w:rPr>
        <w:t>conseguite negli esercizi precedenti vengono ripianate dai soggetti partecipati</w:t>
      </w:r>
      <w:r w:rsidR="00EC0ACC" w:rsidRPr="00515872">
        <w:rPr>
          <w:rFonts w:cs="Tahoma"/>
          <w:color w:val="191B0E"/>
          <w:szCs w:val="20"/>
        </w:rPr>
        <w:t>.</w:t>
      </w:r>
    </w:p>
    <w:p w14:paraId="25C0B411" w14:textId="77777777" w:rsidR="00EC0ACC" w:rsidRPr="00515872" w:rsidRDefault="00A376D5" w:rsidP="00B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Al di fuori di questi casi, il fondo accantonato a preventiv</w:t>
      </w:r>
      <w:r w:rsidR="00EC0ACC" w:rsidRPr="00515872">
        <w:rPr>
          <w:rFonts w:cs="Tahoma"/>
          <w:color w:val="191B0E"/>
          <w:szCs w:val="20"/>
        </w:rPr>
        <w:t xml:space="preserve">o confluisce a rendiconto nella </w:t>
      </w:r>
      <w:r w:rsidRPr="00515872">
        <w:rPr>
          <w:rFonts w:cs="Tahoma"/>
          <w:color w:val="191B0E"/>
          <w:szCs w:val="20"/>
        </w:rPr>
        <w:t>quota parimenti accantonata del</w:t>
      </w:r>
      <w:r w:rsidR="00EC0ACC" w:rsidRPr="00515872">
        <w:rPr>
          <w:rFonts w:cs="Tahoma"/>
          <w:color w:val="191B0E"/>
          <w:szCs w:val="20"/>
        </w:rPr>
        <w:t xml:space="preserve"> risultato di amministrazione.</w:t>
      </w:r>
    </w:p>
    <w:p w14:paraId="6CC8C0CC" w14:textId="77777777" w:rsidR="00B13499" w:rsidRPr="00515872" w:rsidRDefault="00B13499" w:rsidP="00B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 xml:space="preserve">Per le perdite realizzate da aziende speciali e istituzioni partecipate, analoghe disposizioni sono previste nei cc. 551 e 552, </w:t>
      </w:r>
      <w:r w:rsidR="006F678E" w:rsidRPr="00515872">
        <w:rPr>
          <w:rFonts w:cs="Tahoma"/>
          <w:color w:val="191B0E"/>
          <w:szCs w:val="20"/>
        </w:rPr>
        <w:t xml:space="preserve">della </w:t>
      </w:r>
      <w:r w:rsidRPr="00515872">
        <w:rPr>
          <w:rFonts w:cs="Tahoma"/>
          <w:color w:val="191B0E"/>
          <w:szCs w:val="20"/>
        </w:rPr>
        <w:t xml:space="preserve">L. </w:t>
      </w:r>
      <w:r w:rsidR="00E32C89" w:rsidRPr="00515872">
        <w:rPr>
          <w:rFonts w:cs="Tahoma"/>
          <w:color w:val="191B0E"/>
          <w:szCs w:val="20"/>
        </w:rPr>
        <w:t xml:space="preserve">n. </w:t>
      </w:r>
      <w:r w:rsidRPr="00515872">
        <w:rPr>
          <w:rFonts w:cs="Tahoma"/>
          <w:color w:val="191B0E"/>
          <w:szCs w:val="20"/>
        </w:rPr>
        <w:t>147/2013.</w:t>
      </w:r>
    </w:p>
    <w:p w14:paraId="6C993D08" w14:textId="77777777" w:rsidR="006D15CA" w:rsidRPr="00515872" w:rsidRDefault="006D15CA" w:rsidP="006D1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 xml:space="preserve">Fondo </w:t>
      </w:r>
      <w:r w:rsidR="006D067A" w:rsidRPr="00515872">
        <w:rPr>
          <w:rFonts w:eastAsia="Times New Roman" w:cs="Tahoma"/>
          <w:b/>
          <w:szCs w:val="20"/>
          <w:lang w:eastAsia="it-IT"/>
        </w:rPr>
        <w:t>garanzia</w:t>
      </w:r>
      <w:r w:rsidRPr="00515872">
        <w:rPr>
          <w:rFonts w:eastAsia="Times New Roman" w:cs="Tahoma"/>
          <w:b/>
          <w:szCs w:val="20"/>
          <w:lang w:eastAsia="it-IT"/>
        </w:rPr>
        <w:t xml:space="preserve"> debiti commerciali</w:t>
      </w:r>
    </w:p>
    <w:p w14:paraId="4DC73D8A" w14:textId="77777777" w:rsidR="006D15CA" w:rsidRPr="00515872" w:rsidRDefault="006D15CA" w:rsidP="00E32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191B0E"/>
          <w:szCs w:val="20"/>
        </w:rPr>
      </w:pPr>
      <w:r w:rsidRPr="00515872">
        <w:rPr>
          <w:rFonts w:cs="Tahoma"/>
          <w:color w:val="191B0E"/>
          <w:szCs w:val="20"/>
        </w:rPr>
        <w:t>L’art. 1, c. 862, L. 30 dicembre 2018, n. 145 (legge di bilancio 20</w:t>
      </w:r>
      <w:r w:rsidR="006F678E" w:rsidRPr="00515872">
        <w:rPr>
          <w:rFonts w:cs="Tahoma"/>
          <w:color w:val="191B0E"/>
          <w:szCs w:val="20"/>
        </w:rPr>
        <w:t>19) ha</w:t>
      </w:r>
      <w:r w:rsidRPr="00515872">
        <w:rPr>
          <w:rFonts w:cs="Tahoma"/>
          <w:color w:val="191B0E"/>
          <w:szCs w:val="20"/>
        </w:rPr>
        <w:t xml:space="preserve"> previsto che entro il 28 febbraio le amministrazioni diverse dalle amministrazioni dello Stato che adottano la contabilità finanziaria stanzi</w:t>
      </w:r>
      <w:r w:rsidR="006F678E" w:rsidRPr="00515872">
        <w:rPr>
          <w:rFonts w:cs="Tahoma"/>
          <w:color w:val="191B0E"/>
          <w:szCs w:val="20"/>
        </w:rPr>
        <w:t>no</w:t>
      </w:r>
      <w:r w:rsidRPr="00515872">
        <w:rPr>
          <w:rFonts w:cs="Tahoma"/>
          <w:color w:val="191B0E"/>
          <w:szCs w:val="20"/>
        </w:rPr>
        <w:t xml:space="preserve"> nella parte corrente del proprio bilancio un accantonamento denominato “Fondo garanzie debiti commerciali” </w:t>
      </w:r>
      <w:r w:rsidR="0006272A" w:rsidRPr="00515872">
        <w:rPr>
          <w:rFonts w:cs="Tahoma"/>
          <w:color w:val="191B0E"/>
          <w:szCs w:val="20"/>
        </w:rPr>
        <w:t>calcolato sull’ammontare degli stanziamenti riguardanti la spesa per l’acquisto di beni e servizi, nella misura</w:t>
      </w:r>
      <w:r w:rsidRPr="00515872">
        <w:rPr>
          <w:rFonts w:cs="Tahoma"/>
          <w:color w:val="191B0E"/>
          <w:szCs w:val="20"/>
        </w:rPr>
        <w:t>:</w:t>
      </w:r>
    </w:p>
    <w:p w14:paraId="6F90A4AE" w14:textId="77777777" w:rsidR="006D15CA" w:rsidRPr="00515872" w:rsidRDefault="0006272A"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del</w:t>
      </w:r>
      <w:r w:rsidR="006D15CA" w:rsidRPr="00515872">
        <w:rPr>
          <w:rFonts w:cs="Tahoma"/>
          <w:color w:val="191B0E"/>
          <w:szCs w:val="20"/>
        </w:rPr>
        <w:t xml:space="preserve"> 5%</w:t>
      </w:r>
      <w:r w:rsidRPr="00515872">
        <w:rPr>
          <w:rFonts w:cs="Tahoma"/>
          <w:color w:val="191B0E"/>
          <w:szCs w:val="20"/>
        </w:rPr>
        <w:t>,</w:t>
      </w:r>
      <w:r w:rsidR="006D15CA" w:rsidRPr="00515872">
        <w:rPr>
          <w:rFonts w:cs="Tahoma"/>
          <w:color w:val="191B0E"/>
          <w:szCs w:val="20"/>
        </w:rPr>
        <w:t xml:space="preserve"> in caso di mancata riduzione del 10% del debito commerciale residuo oppure per ritardi superiori a 60 giorni registrati nell’esercizio precedente;</w:t>
      </w:r>
    </w:p>
    <w:p w14:paraId="1B0AA757" w14:textId="77777777" w:rsidR="006D15CA" w:rsidRPr="00515872" w:rsidRDefault="0006272A"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 xml:space="preserve">del 3%, </w:t>
      </w:r>
      <w:r w:rsidR="006D15CA" w:rsidRPr="00515872">
        <w:rPr>
          <w:rFonts w:cs="Tahoma"/>
          <w:color w:val="191B0E"/>
          <w:szCs w:val="20"/>
        </w:rPr>
        <w:t>per ritardi compresi fra 31 e 60 giorni</w:t>
      </w:r>
      <w:r w:rsidR="006F678E" w:rsidRPr="00515872">
        <w:rPr>
          <w:rFonts w:cs="Tahoma"/>
          <w:color w:val="191B0E"/>
          <w:szCs w:val="20"/>
        </w:rPr>
        <w:t>,</w:t>
      </w:r>
      <w:r w:rsidR="006D15CA" w:rsidRPr="00515872">
        <w:rPr>
          <w:rFonts w:cs="Tahoma"/>
          <w:color w:val="191B0E"/>
          <w:szCs w:val="20"/>
        </w:rPr>
        <w:t xml:space="preserve"> registrati nell’esercizio precedente;</w:t>
      </w:r>
    </w:p>
    <w:p w14:paraId="02C27F77" w14:textId="77777777" w:rsidR="006D15CA" w:rsidRPr="00515872" w:rsidRDefault="0006272A"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lastRenderedPageBreak/>
        <w:t>del</w:t>
      </w:r>
      <w:r w:rsidR="006D15CA" w:rsidRPr="00515872">
        <w:rPr>
          <w:rFonts w:cs="Tahoma"/>
          <w:color w:val="191B0E"/>
          <w:szCs w:val="20"/>
        </w:rPr>
        <w:t xml:space="preserve"> 2%, per ritardi compresi fra 11 e 30 giorni, registrati nell’esercizio precedente;</w:t>
      </w:r>
    </w:p>
    <w:p w14:paraId="7AA096F3" w14:textId="77777777" w:rsidR="006D15CA" w:rsidRPr="00515872" w:rsidRDefault="0006272A" w:rsidP="00D65838">
      <w:pPr>
        <w:pStyle w:val="Paragrafoelenco"/>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de</w:t>
      </w:r>
      <w:r w:rsidR="006D15CA" w:rsidRPr="00515872">
        <w:rPr>
          <w:rFonts w:cs="Tahoma"/>
          <w:color w:val="191B0E"/>
          <w:szCs w:val="20"/>
        </w:rPr>
        <w:t>ll’1%, per ritardi compresi fra 1 e 10 giorni, regis</w:t>
      </w:r>
      <w:r w:rsidRPr="00515872">
        <w:rPr>
          <w:rFonts w:cs="Tahoma"/>
          <w:color w:val="191B0E"/>
          <w:szCs w:val="20"/>
        </w:rPr>
        <w:t>trati nell’esercizio precedente.</w:t>
      </w:r>
    </w:p>
    <w:p w14:paraId="7DCBD43F" w14:textId="77777777" w:rsidR="0006272A" w:rsidRPr="00515872" w:rsidRDefault="0006272A" w:rsidP="006D1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L’accantonamento deve essere adeguato nel corso dell’esercizio alle variazioni di bilancio relat</w:t>
      </w:r>
      <w:r w:rsidR="00E32C89" w:rsidRPr="00515872">
        <w:rPr>
          <w:rFonts w:cs="Tahoma"/>
          <w:color w:val="191B0E"/>
          <w:szCs w:val="20"/>
        </w:rPr>
        <w:t xml:space="preserve">ive agli </w:t>
      </w:r>
      <w:r w:rsidRPr="00515872">
        <w:rPr>
          <w:rFonts w:cs="Tahoma"/>
          <w:color w:val="191B0E"/>
          <w:szCs w:val="20"/>
        </w:rPr>
        <w:t>stanziam</w:t>
      </w:r>
      <w:r w:rsidR="005122CE" w:rsidRPr="00515872">
        <w:rPr>
          <w:rFonts w:cs="Tahoma"/>
          <w:color w:val="191B0E"/>
          <w:szCs w:val="20"/>
        </w:rPr>
        <w:t>enti della spesa di riferimento e confluisce, a fine anno, nella quota accantonata del risultato di amministrazione.</w:t>
      </w:r>
    </w:p>
    <w:p w14:paraId="0F9A8248" w14:textId="77777777" w:rsidR="006D15CA" w:rsidRPr="00515872" w:rsidRDefault="0006272A" w:rsidP="006D1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91B0E"/>
          <w:szCs w:val="20"/>
        </w:rPr>
      </w:pPr>
      <w:r w:rsidRPr="00515872">
        <w:rPr>
          <w:rFonts w:cs="Tahoma"/>
          <w:color w:val="191B0E"/>
          <w:szCs w:val="20"/>
        </w:rPr>
        <w:t>L’obbligo in parola, inizialmente previsto a decorrere dall’anno 2020, è stato prorogato al 2021 dal c. 854 della legge di bilancio per il 2020.</w:t>
      </w:r>
      <w:r w:rsidR="006D15CA" w:rsidRPr="00515872">
        <w:rPr>
          <w:rFonts w:cs="Tahoma"/>
          <w:color w:val="191B0E"/>
          <w:szCs w:val="20"/>
        </w:rPr>
        <w:t xml:space="preserve"> </w:t>
      </w:r>
    </w:p>
    <w:p w14:paraId="3584AE5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color w:val="191B0E"/>
          <w:sz w:val="34"/>
          <w:szCs w:val="34"/>
        </w:rPr>
      </w:pPr>
      <w:r w:rsidRPr="00515872">
        <w:rPr>
          <w:rFonts w:cs="Tahoma"/>
          <w:b/>
          <w:color w:val="000000"/>
          <w:szCs w:val="20"/>
        </w:rPr>
        <w:t>Fondo di riserva</w:t>
      </w:r>
    </w:p>
    <w:p w14:paraId="3E21238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Gli enti locali iscrivono nel proprio bilancio di previsione un fondo di riserva non inferiore allo 0,30% e non superiore al 2% del totale delle spese correnti di competenza inizialmente previste in bilancio.</w:t>
      </w:r>
    </w:p>
    <w:p w14:paraId="185E0AA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Il fondo è utilizzato, con deliberazioni dell'organo esecutivo da comunicare all'organo consiliare nei tempi stabiliti dal regolamento di contabilità, nei casi in cui si verifichino esigenze straordinarie di bilancio o le dotazioni degli interventi di spesa corr</w:t>
      </w:r>
      <w:r w:rsidR="00E32C89" w:rsidRPr="00515872">
        <w:rPr>
          <w:rFonts w:cs="Tahoma"/>
          <w:color w:val="000000"/>
          <w:szCs w:val="20"/>
        </w:rPr>
        <w:t>ente si rivelino insufficienti.</w:t>
      </w:r>
    </w:p>
    <w:p w14:paraId="6ACA889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Nel caso in cui l’ente si trovi in anticipazione di tesoreria oppure ad avere utilizzato, in termini di cassa, e non ricostituito, entrate aventi specifica destinazione per il finanziamento di spese correnti, il limite minimo del fondo di riserva è elevato dallo 0,30% allo 0,45%.</w:t>
      </w:r>
    </w:p>
    <w:p w14:paraId="76E8163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La metà della quota minima dello 0,30% o dello 0,45% deve essere riservata alla copertura di eventuali spese la cui mancata effettuazione comporta danni certi all’ente.</w:t>
      </w:r>
    </w:p>
    <w:p w14:paraId="40A885A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Il fondo di riserva è ridotto dell’importo eventualmente utilizzato nel corso dell’esercizio provvisorio.</w:t>
      </w:r>
    </w:p>
    <w:p w14:paraId="1C1C63D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color w:val="000000"/>
          <w:szCs w:val="20"/>
        </w:rPr>
      </w:pPr>
      <w:r w:rsidRPr="00515872">
        <w:rPr>
          <w:rFonts w:cs="Tahoma"/>
          <w:b/>
          <w:color w:val="000000"/>
          <w:szCs w:val="20"/>
        </w:rPr>
        <w:t>Fondo di riserva di cassa</w:t>
      </w:r>
    </w:p>
    <w:p w14:paraId="082FC2F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A norma dell’art. 166, c. 2-quater del TUEL, gli enti locali iscrivono nel proprio bilancio di previsione un fondo di riserva di cassa non inferiore allo 0,2% delle spese finali.</w:t>
      </w:r>
    </w:p>
    <w:p w14:paraId="2B585C79" w14:textId="77777777" w:rsidR="00A97524" w:rsidRPr="00515872" w:rsidRDefault="00A97524" w:rsidP="00A97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color w:val="000000"/>
          <w:szCs w:val="20"/>
        </w:rPr>
      </w:pPr>
      <w:r w:rsidRPr="00515872">
        <w:rPr>
          <w:rFonts w:cs="Tahoma"/>
          <w:b/>
          <w:color w:val="000000"/>
          <w:szCs w:val="20"/>
        </w:rPr>
        <w:t>Fondo anticipazione di liquidità</w:t>
      </w:r>
    </w:p>
    <w:p w14:paraId="77E04B65" w14:textId="77777777" w:rsidR="00A97524" w:rsidRPr="00515872" w:rsidRDefault="00A97524" w:rsidP="00C03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szCs w:val="20"/>
        </w:rPr>
        <w:t xml:space="preserve">La legge di conversione del D.L. n. 162/2019 ha stabilito che, in sede di approvazione del rendiconto 2019, gli enti locali accantonano il “Fondo anticipazione di liquidità” nel risultato di amministrazione per un importo pari all’ammontare delle anticipazioni di cui al D.L. n. 35/2013 incassate negli esercizi precedenti e non ancora rimborsate alla data del 31 dicembre 2019. </w:t>
      </w:r>
      <w:r w:rsidRPr="00515872">
        <w:rPr>
          <w:rFonts w:eastAsia="Times New Roman" w:cs="Tahoma"/>
          <w:szCs w:val="20"/>
          <w:lang w:eastAsia="it-IT"/>
        </w:rPr>
        <w:t>L'eventuale peggioramento del disavanzo di amministrazione rispetto all'esercizio precedente, per un importo non superiore all'incremento dell'accantonamento al fondo anticipazione di liquidità, è ripianato annualmente, a decorrere dall'anno 2020, per un importo pari all'ammontare dell'anticipazione rimborsata nel corso dell'esercizio.</w:t>
      </w:r>
      <w:r w:rsidR="001A792E" w:rsidRPr="00515872">
        <w:rPr>
          <w:rFonts w:eastAsia="Times New Roman" w:cs="Tahoma"/>
          <w:szCs w:val="20"/>
          <w:lang w:eastAsia="it-IT"/>
        </w:rPr>
        <w:t xml:space="preserve"> Tale ultima disposizione, tuttavia, è stata dichiarata incostituzionale dalla Corte Costituzionale con sentenza del 10 febbraio-29 aprile 2021, n. 80.</w:t>
      </w:r>
    </w:p>
    <w:p w14:paraId="72B95FCB" w14:textId="77777777" w:rsidR="00985683" w:rsidRPr="00515872" w:rsidRDefault="00985683" w:rsidP="0098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
        </w:rPr>
      </w:pPr>
      <w:r w:rsidRPr="00515872">
        <w:rPr>
          <w:rFonts w:eastAsia="Times New Roman" w:cs="Tahoma"/>
          <w:szCs w:val="20"/>
          <w:lang w:eastAsia="it-IT"/>
        </w:rPr>
        <w:lastRenderedPageBreak/>
        <w:t xml:space="preserve">L’art. 52, c. 1-ter, D.L. 25 maggio 2021, n. 73, inserito dalla legge di conversione 23 luglio 2021, n. 106, ha previsto che </w:t>
      </w:r>
      <w:r w:rsidRPr="00515872">
        <w:rPr>
          <w:rFonts w:eastAsia="Times New Roman" w:cs="Tahoma"/>
          <w:i/>
          <w:szCs w:val="20"/>
          <w:lang w:eastAsia="it-IT"/>
        </w:rPr>
        <w:t>“</w:t>
      </w:r>
      <w:r w:rsidRPr="00515872">
        <w:rPr>
          <w:rFonts w:cs="Tahoma"/>
          <w:i/>
        </w:rPr>
        <w:t>A decorrere dall’esercizio 2021, gli enti locali iscrivono nel bilancio di previsione il rimborso annuale delle anticipazioni di liquidità nel titolo 4 della spesa, riguardante il rimborso dei prestiti. A decorrere dal medesimo anno 2021, in sede di rendiconto, gli enti locali riducono, per un importo pari alla quota annuale rimborsata con risorse di parte corrente, il fondo anticipazione di liquidità accantonato ai sensi del comma 1. La quota del risultato di amministrazione liberata a seguito della riduzione del fondo anticipazione di liquidità è iscritta nell’entrata del bilancio dell’esercizio successivo come “Utilizzo del fondo anticipazione di liquidità”, in deroga ai limiti previsti dall’</w:t>
      </w:r>
      <w:hyperlink r:id="rId16" w:history="1">
        <w:r w:rsidRPr="00515872">
          <w:rPr>
            <w:rStyle w:val="Collegamentoipertestuale"/>
            <w:rFonts w:cs="Tahoma"/>
            <w:i/>
            <w:color w:val="auto"/>
            <w:u w:val="none"/>
          </w:rPr>
          <w:t>articolo 1, commi 897</w:t>
        </w:r>
      </w:hyperlink>
      <w:r w:rsidRPr="00515872">
        <w:rPr>
          <w:rFonts w:cs="Tahoma"/>
          <w:i/>
        </w:rPr>
        <w:t xml:space="preserve"> e </w:t>
      </w:r>
      <w:hyperlink r:id="rId17" w:history="1">
        <w:r w:rsidRPr="00515872">
          <w:rPr>
            <w:rStyle w:val="Collegamentoipertestuale"/>
            <w:rFonts w:cs="Tahoma"/>
            <w:i/>
            <w:color w:val="auto"/>
            <w:u w:val="none"/>
          </w:rPr>
          <w:t>898, della legge 30 dicembre 2018, n. 145</w:t>
        </w:r>
      </w:hyperlink>
      <w:r w:rsidRPr="00515872">
        <w:rPr>
          <w:rFonts w:cs="Tahoma"/>
          <w:i/>
        </w:rPr>
        <w:t>. Nella nota integrativa allegata al bilancio di previsione e nella relazione sulla gestione allegata al rendiconto è data evidenza della copertura delle spese riguardanti le rate di ammortamento delle anticipazioni di liquidità, che non possono essere finanziate dall’utilizzo del fondo anticipazioni di liquidità stesso</w:t>
      </w:r>
      <w:r w:rsidRPr="00515872">
        <w:rPr>
          <w:rFonts w:cs="Tahoma"/>
        </w:rPr>
        <w:t xml:space="preserve">.” </w:t>
      </w:r>
      <w:r w:rsidRPr="00515872">
        <w:rPr>
          <w:rFonts w:eastAsia="Times New Roman" w:cs="Tahoma"/>
          <w:szCs w:val="20"/>
          <w:lang w:eastAsia="it-IT"/>
        </w:rPr>
        <w:t xml:space="preserve">. Il </w:t>
      </w:r>
      <w:r w:rsidR="001A792E" w:rsidRPr="00515872">
        <w:rPr>
          <w:rFonts w:eastAsia="Times New Roman" w:cs="Tahoma"/>
          <w:szCs w:val="20"/>
          <w:lang w:eastAsia="it-IT"/>
        </w:rPr>
        <w:t xml:space="preserve">successivo c. 1-quater </w:t>
      </w:r>
      <w:r w:rsidRPr="00515872">
        <w:rPr>
          <w:rFonts w:eastAsia="Times New Roman" w:cs="Tahoma"/>
          <w:szCs w:val="20"/>
          <w:lang w:eastAsia="it-IT"/>
        </w:rPr>
        <w:t>prevede che “</w:t>
      </w:r>
      <w:r w:rsidRPr="00515872">
        <w:rPr>
          <w:rFonts w:cs="Tahoma"/>
          <w:i/>
        </w:rPr>
        <w:t>A seguito dell’utilizzo dell’intero importo del contributo di cui al comma 1, il maggiore ripiano del disavanzo da ricostituzione del fondo anticipazione di liquidità applicato al primo esercizio del bilancio di previsione 2021 rispetto a quanto previsto ai sensi del comma 1-bis può non essere applicato al bilancio degli esercizi successivi</w:t>
      </w:r>
      <w:r w:rsidRPr="00515872">
        <w:rPr>
          <w:rFonts w:cs="Tahoma"/>
        </w:rPr>
        <w:t xml:space="preserve">”. Il D.M. 1 settembre 2021 ha, conseguentemente, modificato il principio contabile n.4/2, che ora dispone: </w:t>
      </w:r>
      <w:r w:rsidRPr="00515872">
        <w:rPr>
          <w:rFonts w:cs="Tahoma"/>
          <w:i/>
        </w:rPr>
        <w:t>“</w:t>
      </w:r>
      <w:r w:rsidRPr="00515872">
        <w:rPr>
          <w:rFonts w:cs="Tahoma"/>
          <w:i/>
          <w:lang w:bidi="he-IL"/>
        </w:rPr>
        <w:t>Le altre anticipazioni di liquidità che non si chiudono entro l’esercizio sono registrate come segue:</w:t>
      </w:r>
    </w:p>
    <w:p w14:paraId="4C9CE38F" w14:textId="77777777" w:rsidR="00985683" w:rsidRPr="00515872" w:rsidRDefault="00985683" w:rsidP="00EA779E">
      <w:pPr>
        <w:pStyle w:val="Paragrafoelenco"/>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rFonts w:cs="Tahoma"/>
          <w:i/>
        </w:rPr>
      </w:pPr>
      <w:r w:rsidRPr="00515872">
        <w:rPr>
          <w:rFonts w:cs="Tahoma"/>
          <w:i/>
          <w:lang w:bidi="he-IL"/>
        </w:rPr>
        <w:t>le entrate derivanti dall’anticipazione sono accertate nel titolo 6 delle entrate “Accensione di prestiti”;</w:t>
      </w:r>
    </w:p>
    <w:p w14:paraId="39D2C5AF" w14:textId="77777777" w:rsidR="00985683" w:rsidRPr="00515872" w:rsidRDefault="00985683" w:rsidP="00EA779E">
      <w:pPr>
        <w:pStyle w:val="Paragrafoelenco"/>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rFonts w:cs="Tahoma"/>
          <w:i/>
        </w:rPr>
      </w:pPr>
      <w:r w:rsidRPr="00515872">
        <w:rPr>
          <w:rFonts w:cs="Tahoma"/>
          <w:i/>
          <w:lang w:bidi="he-IL"/>
        </w:rPr>
        <w:t>nel titolo 4 di spesa, riguardante il rimborso dei prestiti, è iscritto un fondo anticipazione di liquidità, di importo pari alle anticipazioni di liquidità accertate nell'esercizio, non impegnabile e pagabile, destinato a confluire nel risultato di amministrazione, come quota accantonata;</w:t>
      </w:r>
    </w:p>
    <w:p w14:paraId="65F69128" w14:textId="77777777" w:rsidR="00985683" w:rsidRPr="00515872" w:rsidRDefault="00985683" w:rsidP="00EA779E">
      <w:pPr>
        <w:pStyle w:val="Paragrafoelenco"/>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rFonts w:cs="Tahoma"/>
          <w:i/>
        </w:rPr>
      </w:pPr>
      <w:r w:rsidRPr="00515872">
        <w:rPr>
          <w:rFonts w:cs="Tahoma"/>
          <w:i/>
          <w:lang w:bidi="he-IL"/>
        </w:rPr>
        <w:t>a seguito dell’incasso dell’anticipazione, le rate annuali di rimborso dell’anticipazione sono impegnate con imputazione a ciascuno degli esercizi in cui devono essere pagate (la quota capitale nel titolo 4 del rimborso prestiti e la quota interessi nel titolo 1 delle spese correnti).</w:t>
      </w:r>
      <w:r w:rsidRPr="00515872">
        <w:rPr>
          <w:rFonts w:cs="Tahoma"/>
          <w:i/>
        </w:rPr>
        <w:t xml:space="preserve"> Per gli esercizi ancora non gestiti, si predispone l’impegno automatico, sempre sulla base del piano di ammortamento dell’anticipazione</w:t>
      </w:r>
      <w:r w:rsidRPr="00515872">
        <w:rPr>
          <w:rFonts w:cs="Tahoma"/>
          <w:i/>
          <w:lang w:bidi="he-IL"/>
        </w:rPr>
        <w:t>;</w:t>
      </w:r>
    </w:p>
    <w:p w14:paraId="04439834" w14:textId="01C535E0" w:rsidR="004D32BA" w:rsidRPr="00EA779E" w:rsidRDefault="00985683" w:rsidP="00EA779E">
      <w:pPr>
        <w:pStyle w:val="Paragrafoelenco"/>
        <w:numPr>
          <w:ilvl w:val="0"/>
          <w:numId w:val="2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rFonts w:cs="Tahoma"/>
          <w:i/>
        </w:rPr>
      </w:pPr>
      <w:r w:rsidRPr="00515872">
        <w:rPr>
          <w:rFonts w:cs="Tahoma"/>
          <w:i/>
          <w:lang w:bidi="he-IL"/>
        </w:rPr>
        <w:t xml:space="preserve">il fondo di cui alla lettera b) è iscritto in entrata del bilancio dell’esercizio successivo, come quota del risultato di amministrazione presunto allegato al bilancio di previsione, per un importo corrispondente al fondo risultante dal relativo prospetto dimostrativo, ed è </w:t>
      </w:r>
      <w:proofErr w:type="spellStart"/>
      <w:r w:rsidRPr="00515872">
        <w:rPr>
          <w:rFonts w:cs="Tahoma"/>
          <w:i/>
          <w:lang w:bidi="he-IL"/>
        </w:rPr>
        <w:t>reiscritto</w:t>
      </w:r>
      <w:proofErr w:type="spellEnd"/>
      <w:r w:rsidRPr="00515872">
        <w:rPr>
          <w:rFonts w:cs="Tahoma"/>
          <w:i/>
          <w:lang w:bidi="he-IL"/>
        </w:rPr>
        <w:t xml:space="preserve"> in spesa al netto del rimborso dell’anticipazione effettuato nell’esercizio. </w:t>
      </w:r>
      <w:r w:rsidRPr="00515872">
        <w:rPr>
          <w:rFonts w:cs="Tahoma"/>
          <w:i/>
        </w:rPr>
        <w:t>Gli enti locali applicano l’articolo 52, comma 1-ter, del decreto legge 25 maggio 2021, n. 73, convertito, con modificazioni, nella legge 23 luglio 2021, n. 106.”</w:t>
      </w:r>
    </w:p>
    <w:p w14:paraId="3032BD90" w14:textId="77777777" w:rsidR="00C03D30" w:rsidRPr="00515872" w:rsidRDefault="00C03D30" w:rsidP="009518AF">
      <w:pPr>
        <w:pStyle w:val="Sottoparagrafo"/>
        <w:rPr>
          <w:rFonts w:cs="Tahoma"/>
          <w:highlight w:val="yellow"/>
        </w:rPr>
      </w:pPr>
      <w:bookmarkStart w:id="93" w:name="_Toc521317077"/>
    </w:p>
    <w:p w14:paraId="5DB02907" w14:textId="77777777" w:rsidR="00EA779E" w:rsidRDefault="00EA779E">
      <w:pPr>
        <w:spacing w:after="0" w:line="240" w:lineRule="auto"/>
        <w:rPr>
          <w:rFonts w:cs="Tahoma"/>
          <w:b/>
          <w:bCs/>
          <w:i/>
          <w:color w:val="000000"/>
          <w:szCs w:val="24"/>
        </w:rPr>
      </w:pPr>
      <w:r>
        <w:rPr>
          <w:rFonts w:cs="Tahoma"/>
        </w:rPr>
        <w:br w:type="page"/>
      </w:r>
    </w:p>
    <w:p w14:paraId="259EF968" w14:textId="05B0761F" w:rsidR="009518AF" w:rsidRPr="00515872" w:rsidRDefault="009518AF" w:rsidP="009518AF">
      <w:pPr>
        <w:pStyle w:val="Sottoparagrafo"/>
        <w:rPr>
          <w:rFonts w:cs="Tahoma"/>
        </w:rPr>
      </w:pPr>
      <w:bookmarkStart w:id="94" w:name="_Toc95912254"/>
      <w:r w:rsidRPr="00515872">
        <w:rPr>
          <w:rFonts w:cs="Tahoma"/>
        </w:rPr>
        <w:lastRenderedPageBreak/>
        <w:t>4.3.4 Il fondo pluriennale vincolato (FPV)</w:t>
      </w:r>
      <w:bookmarkEnd w:id="93"/>
      <w:bookmarkEnd w:id="94"/>
    </w:p>
    <w:p w14:paraId="5ED2D82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riforma della contabilità ha, tra gli obiettivi, quello di rappresentare, attraverso lo strumento del bilancio, i tempi previsti delle risorse acquisite per gli interventi soprattutto finalizzati agli investimenti. Lo strumento utilizzato a tal fine è rappresentato dal fondo pluriennale vincolato (FPV). </w:t>
      </w:r>
    </w:p>
    <w:p w14:paraId="59BC4EE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w:t>
      </w:r>
      <w:r w:rsidR="00531409" w:rsidRPr="00515872">
        <w:rPr>
          <w:rFonts w:eastAsia="Times New Roman" w:cs="Tahoma"/>
          <w:szCs w:val="20"/>
          <w:lang w:eastAsia="it-IT"/>
        </w:rPr>
        <w:t>FPV</w:t>
      </w:r>
      <w:r w:rsidRPr="00515872">
        <w:rPr>
          <w:rFonts w:eastAsia="Times New Roman" w:cs="Tahoma"/>
          <w:szCs w:val="20"/>
          <w:lang w:eastAsia="it-IT"/>
        </w:rPr>
        <w:t xml:space="preserve">, del quale si è già fatto cenno in precedenti passaggi, rappresenta contabilmente l’elemento di congiunzione tra l’acquisizione della risorsa e il suo effettivo impiego nei casi in cui le entrate vincolate e le spese correlate siano accertate e impegnate nel corso del medesimo esercizio ma imputate </w:t>
      </w:r>
      <w:r w:rsidR="00926EF9" w:rsidRPr="00515872">
        <w:rPr>
          <w:rFonts w:eastAsia="Times New Roman" w:cs="Tahoma"/>
          <w:szCs w:val="20"/>
          <w:lang w:eastAsia="it-IT"/>
        </w:rPr>
        <w:t>ad</w:t>
      </w:r>
      <w:r w:rsidRPr="00515872">
        <w:rPr>
          <w:rFonts w:eastAsia="Times New Roman" w:cs="Tahoma"/>
          <w:szCs w:val="20"/>
          <w:lang w:eastAsia="it-IT"/>
        </w:rPr>
        <w:t xml:space="preserve"> esercizi diversi. In questo senso, il FPV è un saldo finanziario costituito da risorse già accertate destinate al finanziamento di obbligazioni passive dell’ente già impegnate, ma esigibili in esercizi successivi a quello di accertamento dell’entrata.</w:t>
      </w:r>
    </w:p>
    <w:p w14:paraId="282BC6DE" w14:textId="77777777" w:rsidR="009339E9" w:rsidRPr="00515872" w:rsidRDefault="009518AF" w:rsidP="00933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FPV è formato solo da entrate correnti vincolate e da entrate destinate al finanziamento di investimenti, accertate e imputate agli esercizi precedenti a quelli di imputazione delle relative spese.</w:t>
      </w:r>
    </w:p>
    <w:p w14:paraId="3278E90C" w14:textId="77777777" w:rsidR="00260903" w:rsidRPr="00515872" w:rsidRDefault="00260903" w:rsidP="00933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 xml:space="preserve">Prescinde dalla natura vincolata o destinata </w:t>
      </w:r>
      <w:r w:rsidR="00F32B35" w:rsidRPr="00515872">
        <w:rPr>
          <w:rFonts w:cs="Tahoma"/>
          <w:color w:val="000000"/>
        </w:rPr>
        <w:t>delle entrate che lo alimentano</w:t>
      </w:r>
      <w:r w:rsidRPr="00515872">
        <w:rPr>
          <w:rFonts w:cs="Tahoma"/>
          <w:color w:val="000000"/>
        </w:rPr>
        <w:t xml:space="preserve"> il </w:t>
      </w:r>
      <w:r w:rsidR="00531409" w:rsidRPr="00515872">
        <w:rPr>
          <w:rFonts w:cs="Tahoma"/>
          <w:color w:val="000000"/>
        </w:rPr>
        <w:t>FPV</w:t>
      </w:r>
      <w:r w:rsidR="009339E9" w:rsidRPr="00515872">
        <w:rPr>
          <w:rFonts w:cs="Tahoma"/>
          <w:color w:val="000000"/>
        </w:rPr>
        <w:t xml:space="preserve"> </w:t>
      </w:r>
      <w:r w:rsidR="00F32B35" w:rsidRPr="00515872">
        <w:rPr>
          <w:rFonts w:cs="Tahoma"/>
          <w:color w:val="000000"/>
        </w:rPr>
        <w:t>costituito</w:t>
      </w:r>
      <w:r w:rsidRPr="00515872">
        <w:rPr>
          <w:rFonts w:cs="Tahoma"/>
          <w:color w:val="000000"/>
        </w:rPr>
        <w:t xml:space="preserve"> in occasione del riaccertamento ordinario dei residui al fine di consentire la </w:t>
      </w:r>
      <w:proofErr w:type="spellStart"/>
      <w:r w:rsidRPr="00515872">
        <w:rPr>
          <w:rFonts w:cs="Tahoma"/>
          <w:color w:val="000000"/>
        </w:rPr>
        <w:t>reimputazione</w:t>
      </w:r>
      <w:proofErr w:type="spellEnd"/>
      <w:r w:rsidRPr="00515872">
        <w:rPr>
          <w:rFonts w:cs="Tahoma"/>
          <w:color w:val="000000"/>
        </w:rPr>
        <w:t xml:space="preserve"> di un impegno che, a seguito di eventi verificatisi successivamente alla registrazione, risulta non più esigibile nell’esercizio cui il rendico</w:t>
      </w:r>
      <w:r w:rsidR="00F32B35" w:rsidRPr="00515872">
        <w:rPr>
          <w:rFonts w:cs="Tahoma"/>
          <w:color w:val="000000"/>
        </w:rPr>
        <w:t>nto</w:t>
      </w:r>
      <w:r w:rsidRPr="00515872">
        <w:rPr>
          <w:rFonts w:cs="Tahoma"/>
          <w:color w:val="000000"/>
        </w:rPr>
        <w:t xml:space="preserve"> si riferisce</w:t>
      </w:r>
      <w:r w:rsidR="00F32B35" w:rsidRPr="00515872">
        <w:rPr>
          <w:rFonts w:cs="Tahoma"/>
        </w:rPr>
        <w:t>.</w:t>
      </w:r>
    </w:p>
    <w:p w14:paraId="63914640" w14:textId="77777777" w:rsidR="009518AF" w:rsidRPr="00515872" w:rsidRDefault="009518AF" w:rsidP="009339E9">
      <w:pPr>
        <w:spacing w:line="360" w:lineRule="auto"/>
        <w:jc w:val="both"/>
        <w:rPr>
          <w:rFonts w:eastAsia="Times New Roman" w:cs="Tahoma"/>
          <w:szCs w:val="20"/>
          <w:lang w:eastAsia="it-IT"/>
        </w:rPr>
      </w:pPr>
      <w:r w:rsidRPr="00515872">
        <w:rPr>
          <w:rFonts w:eastAsia="Times New Roman" w:cs="Tahoma"/>
          <w:szCs w:val="20"/>
          <w:lang w:eastAsia="it-IT"/>
        </w:rPr>
        <w:t>Limitatamente all’esercizio 2015 (per gli enti non sperimentatori) lo stesso è stato alimentato anche in conseguenza del riaccertamento straordinario dei residui, fase cruciale del passaggio dalla vecchia alla nuova contabilità, in occasione del quale ha fatto la sua prima comparizione nel sistema contabile degli enti locali.</w:t>
      </w:r>
    </w:p>
    <w:p w14:paraId="5740FDBC" w14:textId="77777777" w:rsidR="009518AF" w:rsidRPr="00515872" w:rsidRDefault="00F32B35" w:rsidP="009518AF">
      <w:pPr>
        <w:spacing w:after="0" w:line="360" w:lineRule="auto"/>
        <w:jc w:val="both"/>
        <w:rPr>
          <w:rFonts w:eastAsia="Times New Roman" w:cs="Tahoma"/>
          <w:szCs w:val="20"/>
          <w:lang w:eastAsia="it-IT"/>
        </w:rPr>
      </w:pPr>
      <w:r w:rsidRPr="00515872">
        <w:rPr>
          <w:rFonts w:eastAsia="Times New Roman" w:cs="Tahoma"/>
          <w:szCs w:val="20"/>
          <w:lang w:eastAsia="it-IT"/>
        </w:rPr>
        <w:t>Il FPV</w:t>
      </w:r>
      <w:r w:rsidR="009518AF" w:rsidRPr="00515872">
        <w:rPr>
          <w:rFonts w:eastAsia="Times New Roman" w:cs="Tahoma"/>
          <w:szCs w:val="20"/>
          <w:lang w:eastAsia="it-IT"/>
        </w:rPr>
        <w:t xml:space="preserve"> è rilevato separatamente per quanto </w:t>
      </w:r>
      <w:r w:rsidR="00D81211" w:rsidRPr="00515872">
        <w:rPr>
          <w:rFonts w:eastAsia="Times New Roman" w:cs="Tahoma"/>
          <w:szCs w:val="20"/>
          <w:lang w:eastAsia="it-IT"/>
        </w:rPr>
        <w:t>è distinto in</w:t>
      </w:r>
      <w:r w:rsidR="009518AF" w:rsidRPr="00515872">
        <w:rPr>
          <w:rFonts w:eastAsia="Times New Roman" w:cs="Tahoma"/>
          <w:szCs w:val="20"/>
          <w:lang w:eastAsia="it-IT"/>
        </w:rPr>
        <w:t xml:space="preserve">: </w:t>
      </w:r>
    </w:p>
    <w:p w14:paraId="7352F221" w14:textId="77777777" w:rsidR="009518AF" w:rsidRPr="00515872" w:rsidRDefault="009518AF" w:rsidP="00D65838">
      <w:pPr>
        <w:pStyle w:val="Paragrafoelenco"/>
        <w:numPr>
          <w:ilvl w:val="0"/>
          <w:numId w:val="44"/>
        </w:numPr>
        <w:spacing w:line="360" w:lineRule="auto"/>
        <w:jc w:val="both"/>
        <w:rPr>
          <w:rFonts w:eastAsia="Times New Roman" w:cs="Tahoma"/>
          <w:szCs w:val="20"/>
          <w:lang w:eastAsia="it-IT"/>
        </w:rPr>
      </w:pPr>
      <w:r w:rsidRPr="00515872">
        <w:rPr>
          <w:rFonts w:eastAsia="Times New Roman" w:cs="Tahoma"/>
          <w:szCs w:val="20"/>
          <w:lang w:eastAsia="it-IT"/>
        </w:rPr>
        <w:t>parte corrente;</w:t>
      </w:r>
    </w:p>
    <w:p w14:paraId="501FDE37" w14:textId="77777777" w:rsidR="009518AF" w:rsidRPr="00515872" w:rsidRDefault="009518AF" w:rsidP="00D65838">
      <w:pPr>
        <w:pStyle w:val="Paragrafoelenco"/>
        <w:numPr>
          <w:ilvl w:val="0"/>
          <w:numId w:val="44"/>
        </w:numPr>
        <w:spacing w:line="360" w:lineRule="auto"/>
        <w:jc w:val="both"/>
        <w:rPr>
          <w:rFonts w:eastAsia="Times New Roman" w:cs="Tahoma"/>
          <w:szCs w:val="20"/>
          <w:lang w:eastAsia="it-IT"/>
        </w:rPr>
      </w:pPr>
      <w:r w:rsidRPr="00515872">
        <w:rPr>
          <w:rFonts w:eastAsia="Times New Roman" w:cs="Tahoma"/>
          <w:szCs w:val="20"/>
          <w:lang w:eastAsia="it-IT"/>
        </w:rPr>
        <w:t>parte in conto capitale.</w:t>
      </w:r>
    </w:p>
    <w:p w14:paraId="719CB22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Esso</w:t>
      </w:r>
      <w:r w:rsidR="00D81211" w:rsidRPr="00515872">
        <w:rPr>
          <w:rFonts w:eastAsia="Times New Roman" w:cs="Tahoma"/>
          <w:szCs w:val="20"/>
          <w:lang w:eastAsia="it-IT"/>
        </w:rPr>
        <w:t>, infatti,</w:t>
      </w:r>
      <w:r w:rsidRPr="00515872">
        <w:rPr>
          <w:rFonts w:eastAsia="Times New Roman" w:cs="Tahoma"/>
          <w:szCs w:val="20"/>
          <w:lang w:eastAsia="it-IT"/>
        </w:rPr>
        <w:t xml:space="preserve"> riguarda in prevalenza le spese in conto capitale ma può essere destinato anche a garantire la copertura di spese correnti </w:t>
      </w:r>
      <w:r w:rsidR="00D81211" w:rsidRPr="00515872">
        <w:rPr>
          <w:rFonts w:eastAsia="Times New Roman" w:cs="Tahoma"/>
          <w:szCs w:val="20"/>
          <w:lang w:eastAsia="it-IT"/>
        </w:rPr>
        <w:t xml:space="preserve">quali, </w:t>
      </w:r>
      <w:r w:rsidRPr="00515872">
        <w:rPr>
          <w:rFonts w:eastAsia="Times New Roman" w:cs="Tahoma"/>
          <w:szCs w:val="20"/>
          <w:lang w:eastAsia="it-IT"/>
        </w:rPr>
        <w:t xml:space="preserve">ad esempio, quelle impegnate a fronte di entrate derivanti da trasferimenti correnti vincolati, esigibili in esercizi precedenti </w:t>
      </w:r>
      <w:r w:rsidR="00D81211" w:rsidRPr="00515872">
        <w:rPr>
          <w:rFonts w:eastAsia="Times New Roman" w:cs="Tahoma"/>
          <w:szCs w:val="20"/>
          <w:lang w:eastAsia="it-IT"/>
        </w:rPr>
        <w:t xml:space="preserve">rispetto </w:t>
      </w:r>
      <w:r w:rsidRPr="00515872">
        <w:rPr>
          <w:rFonts w:eastAsia="Times New Roman" w:cs="Tahoma"/>
          <w:szCs w:val="20"/>
          <w:lang w:eastAsia="it-IT"/>
        </w:rPr>
        <w:t>a quelli in cui è esigibile la corrispondente spes</w:t>
      </w:r>
      <w:r w:rsidR="00D81211" w:rsidRPr="00515872">
        <w:rPr>
          <w:rFonts w:eastAsia="Times New Roman" w:cs="Tahoma"/>
          <w:szCs w:val="20"/>
          <w:lang w:eastAsia="it-IT"/>
        </w:rPr>
        <w:t>a</w:t>
      </w:r>
      <w:r w:rsidR="00CD6596" w:rsidRPr="00515872">
        <w:rPr>
          <w:rFonts w:eastAsia="Times New Roman" w:cs="Tahoma"/>
          <w:szCs w:val="20"/>
          <w:lang w:eastAsia="it-IT"/>
        </w:rPr>
        <w:t>, nonché, in deroga al principio generale, a copertura del fondo per la produttività del personale e delle spese per incarichi a legali esterni.</w:t>
      </w:r>
    </w:p>
    <w:p w14:paraId="236A8723" w14:textId="77777777" w:rsidR="009518AF" w:rsidRPr="00515872" w:rsidRDefault="0055673D"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fondo è</w:t>
      </w:r>
      <w:r w:rsidR="009518AF" w:rsidRPr="00515872">
        <w:rPr>
          <w:rFonts w:eastAsia="Times New Roman" w:cs="Tahoma"/>
          <w:szCs w:val="20"/>
          <w:lang w:eastAsia="it-IT"/>
        </w:rPr>
        <w:t xml:space="preserve"> registrato sia in entrata che in spesa. Il fondo in entrata è pari alla somma degli accantonamenti riguardanti il fondo stanziati nella spesa dell’esercizio precedente (si tratta, </w:t>
      </w:r>
      <w:r w:rsidRPr="00515872">
        <w:rPr>
          <w:rFonts w:eastAsia="Times New Roman" w:cs="Tahoma"/>
          <w:szCs w:val="20"/>
          <w:lang w:eastAsia="it-IT"/>
        </w:rPr>
        <w:t>semplicemente</w:t>
      </w:r>
      <w:r w:rsidR="009518AF" w:rsidRPr="00515872">
        <w:rPr>
          <w:rFonts w:eastAsia="Times New Roman" w:cs="Tahoma"/>
          <w:szCs w:val="20"/>
          <w:lang w:eastAsia="it-IT"/>
        </w:rPr>
        <w:t xml:space="preserve">, di un riporto). Solo con riferimento al primo esercizio, l'importo complessivo iscritto tra le entrate, poteva risultare inferiore a quello dei fondi pluriennali di spesa dell'esercizio precedente, nel caso in cui fosse possibile stimare o far </w:t>
      </w:r>
      <w:r w:rsidR="009518AF" w:rsidRPr="00515872">
        <w:rPr>
          <w:rFonts w:eastAsia="Times New Roman" w:cs="Tahoma"/>
          <w:szCs w:val="20"/>
          <w:lang w:eastAsia="it-IT"/>
        </w:rPr>
        <w:lastRenderedPageBreak/>
        <w:t>riferimento, sulla base di dati di preconsuntivo, all'importo degli impegni imputati agli esercizi precedenti finanziati dal FPV, riferito al 31 dicembre dell'anno precedente.</w:t>
      </w:r>
    </w:p>
    <w:p w14:paraId="48CF19F6"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Nella parte spesa, il fondo è imputato nell’esercizio in cui si prevede di realizzare l’investimento in corso di definizione, alla missione e programma cui si riferisce la spesa e nel PEG è “intestato” alla specifica spesa programmata.</w:t>
      </w:r>
    </w:p>
    <w:p w14:paraId="4C23E0D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In fase di previsione</w:t>
      </w:r>
      <w:r w:rsidR="00F32B35" w:rsidRPr="00515872">
        <w:rPr>
          <w:rFonts w:eastAsia="Times New Roman" w:cs="Tahoma"/>
          <w:szCs w:val="20"/>
          <w:lang w:eastAsia="it-IT"/>
        </w:rPr>
        <w:t>,</w:t>
      </w:r>
      <w:r w:rsidRPr="00515872">
        <w:rPr>
          <w:rFonts w:eastAsia="Times New Roman" w:cs="Tahoma"/>
          <w:szCs w:val="20"/>
          <w:lang w:eastAsia="it-IT"/>
        </w:rPr>
        <w:t xml:space="preserve"> il FPV stanziato tra le spese è composto di due parti logicamente distinte: </w:t>
      </w:r>
    </w:p>
    <w:p w14:paraId="17745B5D" w14:textId="77777777" w:rsidR="009518AF" w:rsidRPr="00515872" w:rsidRDefault="009518AF" w:rsidP="00D65838">
      <w:pPr>
        <w:pStyle w:val="Paragrafoelenco"/>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risorse accertate in esercizi precedenti che costituiscono la copertura di spese già impegnate negli esercizi precedenti a quello cui si riferisce il bilancio e imputate agli esercizi successivi;</w:t>
      </w:r>
    </w:p>
    <w:p w14:paraId="65E1C36B" w14:textId="77777777" w:rsidR="009518AF" w:rsidRPr="00515872" w:rsidRDefault="009518AF" w:rsidP="00D65838">
      <w:pPr>
        <w:pStyle w:val="Paragrafoelenco"/>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risorse che si prevede di accertare nel corso dell'esercizio, destinate a costituire la copertura di spese che si prevede di impegnare nel corso dell'esercizio cui si riferisce il bilancio, con imputazione agli esercizi successivi.</w:t>
      </w:r>
    </w:p>
    <w:p w14:paraId="2112C866" w14:textId="77777777" w:rsidR="0055673D" w:rsidRPr="00515872" w:rsidRDefault="009518AF" w:rsidP="00556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 corso dell'esercizio, la cancellazione di un impegno finanziato dal FPV comporta la necessità di procedere alla contestuale dichiarazione di indisponibilità della corrispondente quota del fondo iscritto in entrata, che viene conseguentemente ridotto.</w:t>
      </w:r>
    </w:p>
    <w:p w14:paraId="689EB370" w14:textId="77777777" w:rsidR="006C15F1" w:rsidRPr="00515872" w:rsidRDefault="006C15F1" w:rsidP="00556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rPr>
        <w:t xml:space="preserve">Il </w:t>
      </w:r>
      <w:r w:rsidR="00531409" w:rsidRPr="00515872">
        <w:rPr>
          <w:rFonts w:cs="Tahoma"/>
        </w:rPr>
        <w:t>FPV</w:t>
      </w:r>
      <w:r w:rsidRPr="00515872">
        <w:rPr>
          <w:rFonts w:cs="Tahoma"/>
        </w:rPr>
        <w:t xml:space="preserve"> non si costituisce nei casi in cui l’entrata posta a copertura della spesa di inve</w:t>
      </w:r>
      <w:r w:rsidRPr="00515872">
        <w:rPr>
          <w:rFonts w:cs="Tahoma"/>
          <w:szCs w:val="20"/>
        </w:rPr>
        <w:t>sti</w:t>
      </w:r>
      <w:r w:rsidR="007D0042" w:rsidRPr="00515872">
        <w:rPr>
          <w:rFonts w:cs="Tahoma"/>
          <w:szCs w:val="20"/>
        </w:rPr>
        <w:t>mento non sia stata accertata.</w:t>
      </w:r>
    </w:p>
    <w:p w14:paraId="2B56CD5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In ordine al fondo in parola, le verifiche dell’organo di revisione, da svolgersi con la tecnica del campionamento, interesseranno:</w:t>
      </w:r>
    </w:p>
    <w:p w14:paraId="3C1073E6"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fonti di finanziamento del FPV di parte corrente e di parte capitale;</w:t>
      </w:r>
    </w:p>
    <w:p w14:paraId="5E3B0A9B"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sussistenza degli accertamenti di entrata relativi a obbligazioni attive scadute ed esigibili che contribuiscono alla formazione del FPV;</w:t>
      </w:r>
    </w:p>
    <w:p w14:paraId="1A12C429"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costituzione del FPV in presenza di obbligazioni giuridiche passive perfezionate;</w:t>
      </w:r>
    </w:p>
    <w:p w14:paraId="5CFC294B"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corretta applicazione dell’art. 183, c. 3 del TUEL in ordine al FPV riferito ai lavori pubblici;</w:t>
      </w:r>
    </w:p>
    <w:p w14:paraId="50C8F843"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formulazione di adeguati cronoprogrammi di spesa in ordine alla </w:t>
      </w:r>
      <w:proofErr w:type="spellStart"/>
      <w:r w:rsidRPr="00515872">
        <w:rPr>
          <w:rFonts w:eastAsia="Times New Roman" w:cs="Tahoma"/>
          <w:szCs w:val="20"/>
          <w:lang w:eastAsia="it-IT"/>
        </w:rPr>
        <w:t>reimputazione</w:t>
      </w:r>
      <w:proofErr w:type="spellEnd"/>
      <w:r w:rsidRPr="00515872">
        <w:rPr>
          <w:rFonts w:eastAsia="Times New Roman" w:cs="Tahoma"/>
          <w:szCs w:val="20"/>
          <w:lang w:eastAsia="it-IT"/>
        </w:rPr>
        <w:t xml:space="preserve"> di residui passivi coperti dal FPV;</w:t>
      </w:r>
    </w:p>
    <w:p w14:paraId="48E91042" w14:textId="77777777" w:rsidR="009518AF" w:rsidRPr="00515872" w:rsidRDefault="009518AF" w:rsidP="00D65838">
      <w:pPr>
        <w:pStyle w:val="Paragrafoelenco"/>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l’esigibilità dei residui passivi coperti dal FPV negli esercizi di riferimento.</w:t>
      </w:r>
    </w:p>
    <w:p w14:paraId="30219FB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L’allegato </w:t>
      </w:r>
      <w:r w:rsidR="00531409" w:rsidRPr="00515872">
        <w:rPr>
          <w:rFonts w:eastAsia="Times New Roman" w:cs="Tahoma"/>
          <w:szCs w:val="20"/>
          <w:lang w:eastAsia="it-IT"/>
        </w:rPr>
        <w:t xml:space="preserve">n. </w:t>
      </w:r>
      <w:r w:rsidRPr="00515872">
        <w:rPr>
          <w:rFonts w:eastAsia="Times New Roman" w:cs="Tahoma"/>
          <w:szCs w:val="20"/>
          <w:lang w:eastAsia="it-IT"/>
        </w:rPr>
        <w:t xml:space="preserve">4/2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118/2011 contiene alcuni esempi di determinazione e utilizzo del FPV.</w:t>
      </w:r>
    </w:p>
    <w:p w14:paraId="14F95DB1" w14:textId="77777777" w:rsidR="00277513" w:rsidRPr="00515872" w:rsidRDefault="00277513" w:rsidP="009518AF">
      <w:pPr>
        <w:pStyle w:val="Sottoparagrafo"/>
        <w:rPr>
          <w:rFonts w:cs="Tahoma"/>
          <w:highlight w:val="yellow"/>
        </w:rPr>
      </w:pPr>
      <w:bookmarkStart w:id="95" w:name="_Toc521317078"/>
    </w:p>
    <w:p w14:paraId="3D8C0ED7" w14:textId="77777777" w:rsidR="009518AF" w:rsidRPr="00515872" w:rsidRDefault="009518AF" w:rsidP="009518AF">
      <w:pPr>
        <w:pStyle w:val="Sottoparagrafo"/>
        <w:rPr>
          <w:rFonts w:cs="Tahoma"/>
        </w:rPr>
      </w:pPr>
      <w:bookmarkStart w:id="96" w:name="_Toc95912255"/>
      <w:r w:rsidRPr="00515872">
        <w:rPr>
          <w:rFonts w:cs="Tahoma"/>
        </w:rPr>
        <w:t>4.3.5 Piano dei conti integrato e contabilità economico-patrimoniale</w:t>
      </w:r>
      <w:bookmarkEnd w:id="95"/>
      <w:bookmarkEnd w:id="96"/>
    </w:p>
    <w:p w14:paraId="41222925"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Allo scopo di consentire il consolidamento ed il monitoraggio dei conti pubblici, nonché il miglioramento della </w:t>
      </w:r>
      <w:proofErr w:type="spellStart"/>
      <w:r w:rsidRPr="00515872">
        <w:rPr>
          <w:rFonts w:eastAsia="Times New Roman" w:cs="Tahoma"/>
          <w:szCs w:val="20"/>
          <w:lang w:eastAsia="it-IT"/>
        </w:rPr>
        <w:t>raccordabilità</w:t>
      </w:r>
      <w:proofErr w:type="spellEnd"/>
      <w:r w:rsidRPr="00515872">
        <w:rPr>
          <w:rFonts w:eastAsia="Times New Roman" w:cs="Tahoma"/>
          <w:szCs w:val="20"/>
          <w:lang w:eastAsia="it-IT"/>
        </w:rPr>
        <w:t xml:space="preserve"> dei conti delle amministrazioni pubbliche con il sistema europeo dei conti nazionali, le regioni, </w:t>
      </w:r>
      <w:r w:rsidRPr="00515872">
        <w:rPr>
          <w:rFonts w:eastAsia="Times New Roman" w:cs="Tahoma"/>
          <w:szCs w:val="20"/>
          <w:lang w:eastAsia="it-IT"/>
        </w:rPr>
        <w:lastRenderedPageBreak/>
        <w:t>gli enti locali e i loro enti strumentali, adottano il piano dei conti integrato di cui all'allegato n. 6</w:t>
      </w:r>
      <w:r w:rsidR="00531409" w:rsidRPr="00515872">
        <w:rPr>
          <w:rFonts w:eastAsia="Times New Roman" w:cs="Tahoma"/>
          <w:szCs w:val="20"/>
          <w:lang w:eastAsia="it-IT"/>
        </w:rPr>
        <w:t xml:space="preserve"> al </w:t>
      </w:r>
      <w:proofErr w:type="spellStart"/>
      <w:r w:rsidR="00531409" w:rsidRPr="00515872">
        <w:rPr>
          <w:rFonts w:eastAsia="Times New Roman" w:cs="Tahoma"/>
          <w:szCs w:val="20"/>
          <w:lang w:eastAsia="it-IT"/>
        </w:rPr>
        <w:t>D.Lgs.</w:t>
      </w:r>
      <w:proofErr w:type="spellEnd"/>
      <w:r w:rsidR="00531409" w:rsidRPr="00515872">
        <w:rPr>
          <w:rFonts w:eastAsia="Times New Roman" w:cs="Tahoma"/>
          <w:szCs w:val="20"/>
          <w:lang w:eastAsia="it-IT"/>
        </w:rPr>
        <w:t xml:space="preserve"> n. 118/2011</w:t>
      </w:r>
      <w:r w:rsidRPr="00515872">
        <w:rPr>
          <w:rFonts w:eastAsia="Times New Roman" w:cs="Tahoma"/>
          <w:szCs w:val="20"/>
          <w:lang w:eastAsia="it-IT"/>
        </w:rPr>
        <w:t xml:space="preserve">, raccordato al piano dei conti di cui all'art. 4, c. 3, lett. a), del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31 maggio 2011, n. 91.</w:t>
      </w:r>
    </w:p>
    <w:p w14:paraId="56913E84"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Il piano dei conti integrato è considerato l’architrave operativa dell’armonizzazione contabile. Esso è costituito dall’elenco delle voci del bilancio gestionale-finanziario e dei conti economici e patrimoniali, definito in modo da consentire la rilevazione unitaria e contestuale dei fatti gestionali; </w:t>
      </w:r>
      <w:r w:rsidRPr="00515872">
        <w:rPr>
          <w:rFonts w:cs="Tahoma"/>
          <w:b/>
          <w:szCs w:val="20"/>
          <w:lang w:eastAsia="it-IT"/>
        </w:rPr>
        <w:t>è unico e obbligatorio per tutte le amministrazioni pubbliche</w:t>
      </w:r>
      <w:r w:rsidRPr="00515872">
        <w:rPr>
          <w:rFonts w:cs="Tahoma"/>
          <w:szCs w:val="20"/>
          <w:lang w:eastAsia="it-IT"/>
        </w:rPr>
        <w:t xml:space="preserve"> e rappresenta la struttura di riferimento per la predisposizione dei documenti contabili e di finanza pubblica.</w:t>
      </w:r>
    </w:p>
    <w:p w14:paraId="1D183222" w14:textId="77777777" w:rsidR="00F57C70" w:rsidRPr="00515872" w:rsidRDefault="00F57C70" w:rsidP="009518AF">
      <w:pPr>
        <w:spacing w:line="360" w:lineRule="auto"/>
        <w:jc w:val="both"/>
        <w:rPr>
          <w:rFonts w:cs="Tahoma"/>
          <w:szCs w:val="20"/>
        </w:rPr>
      </w:pPr>
      <w:r w:rsidRPr="00515872">
        <w:rPr>
          <w:rFonts w:cs="Tahoma"/>
          <w:szCs w:val="20"/>
        </w:rPr>
        <w:t xml:space="preserve">Esso prevede che ogni atto di gestione generi una </w:t>
      </w:r>
      <w:r w:rsidRPr="00515872">
        <w:rPr>
          <w:rFonts w:cs="Tahoma"/>
          <w:b/>
          <w:szCs w:val="20"/>
        </w:rPr>
        <w:t>transazione elementare</w:t>
      </w:r>
      <w:r w:rsidRPr="00515872">
        <w:rPr>
          <w:rFonts w:cs="Tahoma"/>
          <w:szCs w:val="20"/>
        </w:rPr>
        <w:t xml:space="preserve"> alla quale è attribuita una codifica che deve consentire di tracciare le operazioni contabili e di movimentare il piano dei conti integrato.</w:t>
      </w:r>
    </w:p>
    <w:p w14:paraId="44481692" w14:textId="77777777" w:rsidR="00695B63" w:rsidRPr="00515872" w:rsidRDefault="009518AF" w:rsidP="009518AF">
      <w:pPr>
        <w:spacing w:line="360" w:lineRule="auto"/>
        <w:jc w:val="both"/>
        <w:rPr>
          <w:rFonts w:cs="Tahoma"/>
          <w:szCs w:val="20"/>
        </w:rPr>
      </w:pPr>
      <w:r w:rsidRPr="00515872">
        <w:rPr>
          <w:rFonts w:cs="Tahoma"/>
          <w:szCs w:val="20"/>
          <w:lang w:eastAsia="it-IT"/>
        </w:rPr>
        <w:t>Con il piano dei conti integrato è possibile rilevare, contemporaneamente, per ogni fatto gestionale/transazione elementare, sia l’aspetto finanziario che quello economico-patrimoniale. Tramite esso l</w:t>
      </w:r>
      <w:r w:rsidRPr="00515872">
        <w:rPr>
          <w:rFonts w:cs="Tahoma"/>
          <w:szCs w:val="20"/>
        </w:rPr>
        <w:t xml:space="preserve">e transazioni sono registrate contestualmente nei </w:t>
      </w:r>
      <w:r w:rsidR="00531409" w:rsidRPr="00515872">
        <w:rPr>
          <w:rFonts w:cs="Tahoma"/>
          <w:szCs w:val="20"/>
        </w:rPr>
        <w:t>3</w:t>
      </w:r>
      <w:r w:rsidRPr="00515872">
        <w:rPr>
          <w:rFonts w:cs="Tahoma"/>
          <w:szCs w:val="20"/>
        </w:rPr>
        <w:t xml:space="preserve"> moduli evitando la necessità di riconciliazioni </w:t>
      </w:r>
      <w:r w:rsidRPr="00515872">
        <w:rPr>
          <w:rFonts w:cs="Tahoma"/>
          <w:i/>
          <w:szCs w:val="20"/>
        </w:rPr>
        <w:t>ex post</w:t>
      </w:r>
      <w:r w:rsidR="00695B63" w:rsidRPr="00515872">
        <w:rPr>
          <w:rFonts w:cs="Tahoma"/>
          <w:szCs w:val="20"/>
        </w:rPr>
        <w:t>.</w:t>
      </w:r>
    </w:p>
    <w:p w14:paraId="1C96BF2D" w14:textId="77777777" w:rsidR="00695B63" w:rsidRPr="00515872" w:rsidRDefault="00695B63" w:rsidP="009518AF">
      <w:pPr>
        <w:spacing w:line="360" w:lineRule="auto"/>
        <w:jc w:val="both"/>
        <w:rPr>
          <w:rFonts w:cs="Tahoma"/>
          <w:szCs w:val="20"/>
        </w:rPr>
      </w:pPr>
      <w:r w:rsidRPr="00515872">
        <w:rPr>
          <w:rFonts w:cs="Tahoma"/>
          <w:szCs w:val="20"/>
        </w:rPr>
        <w:t xml:space="preserve">Il </w:t>
      </w:r>
      <w:r w:rsidRPr="00515872">
        <w:rPr>
          <w:rFonts w:cs="Tahoma"/>
          <w:bCs/>
          <w:color w:val="000000"/>
          <w:szCs w:val="20"/>
        </w:rPr>
        <w:t xml:space="preserve">D.P.R. 4 ottobre 2013, n. 132 sancisce che </w:t>
      </w:r>
      <w:r w:rsidRPr="00515872">
        <w:rPr>
          <w:rFonts w:cs="Tahoma"/>
          <w:bCs/>
          <w:i/>
          <w:color w:val="000000"/>
          <w:szCs w:val="20"/>
        </w:rPr>
        <w:t>“</w:t>
      </w:r>
      <w:r w:rsidRPr="00515872">
        <w:rPr>
          <w:rFonts w:cs="Tahoma"/>
          <w:i/>
          <w:color w:val="000000"/>
          <w:szCs w:val="20"/>
        </w:rPr>
        <w:t xml:space="preserve">Al fine di </w:t>
      </w:r>
      <w:r w:rsidRPr="00515872">
        <w:rPr>
          <w:rFonts w:cs="Tahoma"/>
          <w:bCs/>
          <w:i/>
          <w:color w:val="000000"/>
          <w:szCs w:val="20"/>
        </w:rPr>
        <w:t>garantire l’integrazione contabile tra i moduli del piano di cui all’allegato 1</w:t>
      </w:r>
      <w:r w:rsidRPr="00515872">
        <w:rPr>
          <w:rFonts w:cs="Tahoma"/>
          <w:i/>
          <w:color w:val="000000"/>
          <w:szCs w:val="20"/>
        </w:rPr>
        <w:t>, ciascuna voce del piano relativo alla</w:t>
      </w:r>
      <w:r w:rsidR="00452C64" w:rsidRPr="00515872">
        <w:rPr>
          <w:rFonts w:cs="Tahoma"/>
          <w:i/>
          <w:color w:val="000000"/>
          <w:szCs w:val="20"/>
        </w:rPr>
        <w:t xml:space="preserve"> </w:t>
      </w:r>
      <w:r w:rsidRPr="00515872">
        <w:rPr>
          <w:rFonts w:cs="Tahoma"/>
          <w:i/>
          <w:color w:val="000000"/>
          <w:szCs w:val="20"/>
        </w:rPr>
        <w:t xml:space="preserve">contabilità finanziaria viene </w:t>
      </w:r>
      <w:r w:rsidRPr="00515872">
        <w:rPr>
          <w:rFonts w:cs="Tahoma"/>
          <w:bCs/>
          <w:i/>
          <w:color w:val="000000"/>
          <w:szCs w:val="20"/>
        </w:rPr>
        <w:t xml:space="preserve">correlata </w:t>
      </w:r>
      <w:r w:rsidRPr="00515872">
        <w:rPr>
          <w:rFonts w:cs="Tahoma"/>
          <w:i/>
          <w:color w:val="000000"/>
          <w:szCs w:val="20"/>
        </w:rPr>
        <w:t xml:space="preserve">alle corrispondenti voci del piano relativo alla contabilità economico-patrimoniale mediante </w:t>
      </w:r>
      <w:r w:rsidR="00452C64" w:rsidRPr="00515872">
        <w:rPr>
          <w:rFonts w:cs="Tahoma"/>
          <w:b/>
          <w:bCs/>
          <w:i/>
          <w:color w:val="000000"/>
          <w:szCs w:val="20"/>
        </w:rPr>
        <w:t xml:space="preserve">schemi </w:t>
      </w:r>
      <w:r w:rsidRPr="00515872">
        <w:rPr>
          <w:rFonts w:cs="Tahoma"/>
          <w:b/>
          <w:bCs/>
          <w:i/>
          <w:color w:val="000000"/>
          <w:szCs w:val="20"/>
        </w:rPr>
        <w:t xml:space="preserve">di transizione </w:t>
      </w:r>
      <w:r w:rsidRPr="00515872">
        <w:rPr>
          <w:rFonts w:cs="Tahoma"/>
          <w:i/>
          <w:color w:val="000000"/>
          <w:szCs w:val="20"/>
        </w:rPr>
        <w:t>predisposti periodicamente dal</w:t>
      </w:r>
      <w:r w:rsidR="00452C64" w:rsidRPr="00515872">
        <w:rPr>
          <w:rFonts w:cs="Tahoma"/>
          <w:i/>
          <w:color w:val="000000"/>
          <w:szCs w:val="20"/>
        </w:rPr>
        <w:t xml:space="preserve"> </w:t>
      </w:r>
      <w:r w:rsidRPr="00515872">
        <w:rPr>
          <w:rFonts w:cs="Tahoma"/>
          <w:i/>
          <w:color w:val="000000"/>
          <w:szCs w:val="20"/>
        </w:rPr>
        <w:t>Dipartimento della Ragioneria generale dello Stato e pubblicati sul sito</w:t>
      </w:r>
      <w:r w:rsidR="00452C64" w:rsidRPr="00515872">
        <w:rPr>
          <w:rFonts w:cs="Tahoma"/>
          <w:i/>
          <w:color w:val="000000"/>
          <w:szCs w:val="20"/>
        </w:rPr>
        <w:t xml:space="preserve"> </w:t>
      </w:r>
      <w:r w:rsidRPr="00515872">
        <w:rPr>
          <w:rFonts w:cs="Tahoma"/>
          <w:i/>
          <w:color w:val="000000"/>
          <w:szCs w:val="20"/>
        </w:rPr>
        <w:t>Internet</w:t>
      </w:r>
      <w:r w:rsidR="00452C64" w:rsidRPr="00515872">
        <w:rPr>
          <w:rFonts w:cs="Tahoma"/>
          <w:i/>
          <w:color w:val="000000"/>
          <w:szCs w:val="20"/>
        </w:rPr>
        <w:t>”</w:t>
      </w:r>
      <w:r w:rsidRPr="00515872">
        <w:rPr>
          <w:rFonts w:cs="Tahoma"/>
          <w:color w:val="000000"/>
          <w:szCs w:val="20"/>
        </w:rPr>
        <w:t>.</w:t>
      </w:r>
      <w:r w:rsidRPr="00515872">
        <w:rPr>
          <w:rFonts w:cs="Tahoma"/>
        </w:rPr>
        <w:t xml:space="preserve"> </w:t>
      </w:r>
    </w:p>
    <w:p w14:paraId="5E30D68C" w14:textId="77777777" w:rsidR="009518AF" w:rsidRPr="00515872" w:rsidRDefault="009518AF" w:rsidP="009518AF">
      <w:pPr>
        <w:spacing w:line="360" w:lineRule="auto"/>
        <w:jc w:val="both"/>
        <w:rPr>
          <w:rFonts w:cs="Tahoma"/>
          <w:szCs w:val="20"/>
        </w:rPr>
      </w:pPr>
      <w:r w:rsidRPr="00515872">
        <w:rPr>
          <w:rFonts w:cs="Tahoma"/>
          <w:szCs w:val="20"/>
        </w:rPr>
        <w:t xml:space="preserve">Il piano dei conti integrato si inserisce nel sistema della contabilità armonizzata secondo uno schema rigido finalizzato all’inquadramento in un criterio di contabilizzazione comune alle pubbliche amministrazioni e confrontabile con quelli adottati in ambito europeo. Vengono in tal modo eliminati quei </w:t>
      </w:r>
      <w:r w:rsidR="00531409" w:rsidRPr="00515872">
        <w:rPr>
          <w:rFonts w:cs="Tahoma"/>
          <w:szCs w:val="20"/>
        </w:rPr>
        <w:t>margini</w:t>
      </w:r>
      <w:r w:rsidRPr="00515872">
        <w:rPr>
          <w:rFonts w:cs="Tahoma"/>
          <w:szCs w:val="20"/>
        </w:rPr>
        <w:t xml:space="preserve"> di discrezionalità che consentivano agli enti</w:t>
      </w:r>
      <w:r w:rsidR="00531409" w:rsidRPr="00515872">
        <w:rPr>
          <w:rFonts w:cs="Tahoma"/>
          <w:szCs w:val="20"/>
        </w:rPr>
        <w:t>, nel precedente regime,</w:t>
      </w:r>
      <w:r w:rsidRPr="00515872">
        <w:rPr>
          <w:rFonts w:cs="Tahoma"/>
          <w:szCs w:val="20"/>
        </w:rPr>
        <w:t xml:space="preserve"> di personalizzare il proprio piano dei conti, ma penalizzavano la comparabilità di bilanci e rendiconti con quelli degli altri enti. Viene in questo modo rafforzata la trasparenza dei conti pubblici e agevolato il loro monitoraggio.</w:t>
      </w:r>
    </w:p>
    <w:p w14:paraId="12A3915A" w14:textId="77777777" w:rsidR="00747B34" w:rsidRPr="00515872" w:rsidRDefault="009518AF" w:rsidP="009518AF">
      <w:pPr>
        <w:spacing w:line="360" w:lineRule="auto"/>
        <w:jc w:val="both"/>
        <w:rPr>
          <w:rFonts w:cs="Tahoma"/>
          <w:szCs w:val="20"/>
        </w:rPr>
      </w:pPr>
      <w:r w:rsidRPr="00515872">
        <w:rPr>
          <w:rFonts w:cs="Tahoma"/>
          <w:szCs w:val="20"/>
        </w:rPr>
        <w:t xml:space="preserve">Il piano dei conti imposto agli enti locali non è altro che un sottoinsieme di conti del più generale piano dei conti della contabilità pubblica. </w:t>
      </w:r>
    </w:p>
    <w:p w14:paraId="280BF107" w14:textId="77777777" w:rsidR="009518AF" w:rsidRPr="00515872" w:rsidRDefault="009518AF" w:rsidP="009518AF">
      <w:pPr>
        <w:spacing w:line="360" w:lineRule="auto"/>
        <w:jc w:val="both"/>
        <w:rPr>
          <w:rFonts w:cs="Tahoma"/>
          <w:szCs w:val="20"/>
        </w:rPr>
      </w:pPr>
      <w:r w:rsidRPr="00515872">
        <w:rPr>
          <w:rFonts w:cs="Tahoma"/>
          <w:color w:val="000000"/>
        </w:rPr>
        <w:t xml:space="preserve">Ai fini del raccordo con i capitoli e gli articoli, ove previsti, il livello minimo di articolazione del piano dei conti è costituito almeno dal quarto livello. Ai fini della gestione, </w:t>
      </w:r>
      <w:r w:rsidR="00F57C70" w:rsidRPr="00515872">
        <w:rPr>
          <w:rFonts w:cs="Tahoma"/>
          <w:color w:val="000000"/>
        </w:rPr>
        <w:t xml:space="preserve">gli enti fanno riferimento anche al </w:t>
      </w:r>
      <w:r w:rsidRPr="00515872">
        <w:rPr>
          <w:rFonts w:cs="Tahoma"/>
          <w:color w:val="000000"/>
        </w:rPr>
        <w:t>quinto livello</w:t>
      </w:r>
      <w:r w:rsidR="00F57C70" w:rsidRPr="00515872">
        <w:rPr>
          <w:rFonts w:cs="Tahoma"/>
          <w:color w:val="000000"/>
        </w:rPr>
        <w:t xml:space="preserve"> di articolazione</w:t>
      </w:r>
      <w:r w:rsidRPr="00515872">
        <w:rPr>
          <w:rFonts w:cs="Tahoma"/>
          <w:color w:val="000000"/>
        </w:rPr>
        <w:t>.</w:t>
      </w:r>
    </w:p>
    <w:p w14:paraId="6D2A7062" w14:textId="77777777" w:rsidR="009518AF" w:rsidRPr="00515872" w:rsidRDefault="009518AF" w:rsidP="009518AF">
      <w:pPr>
        <w:spacing w:line="360" w:lineRule="auto"/>
        <w:jc w:val="both"/>
        <w:rPr>
          <w:rFonts w:cs="Tahoma"/>
          <w:szCs w:val="20"/>
        </w:rPr>
      </w:pPr>
      <w:r w:rsidRPr="00515872">
        <w:rPr>
          <w:rFonts w:cs="Tahoma"/>
          <w:szCs w:val="20"/>
        </w:rPr>
        <w:t>Il piano dei conti non rappresenta una struttura stabile e definitiva</w:t>
      </w:r>
      <w:r w:rsidR="00A020E2" w:rsidRPr="00515872">
        <w:rPr>
          <w:rFonts w:cs="Tahoma"/>
          <w:szCs w:val="20"/>
        </w:rPr>
        <w:t xml:space="preserve"> nel tempo</w:t>
      </w:r>
      <w:r w:rsidRPr="00515872">
        <w:rPr>
          <w:rFonts w:cs="Tahoma"/>
          <w:szCs w:val="20"/>
        </w:rPr>
        <w:t xml:space="preserve">, ma è suscettibile di </w:t>
      </w:r>
      <w:r w:rsidR="000E027F" w:rsidRPr="00515872">
        <w:rPr>
          <w:rFonts w:cs="Tahoma"/>
          <w:szCs w:val="20"/>
        </w:rPr>
        <w:t>aggiornamento</w:t>
      </w:r>
      <w:r w:rsidRPr="00515872">
        <w:rPr>
          <w:rFonts w:cs="Tahoma"/>
          <w:szCs w:val="20"/>
        </w:rPr>
        <w:t xml:space="preserve"> da parte della Ragioneria Generale dello Stato </w:t>
      </w:r>
      <w:r w:rsidR="000E027F" w:rsidRPr="00515872">
        <w:rPr>
          <w:rFonts w:cs="Tahoma"/>
          <w:szCs w:val="20"/>
        </w:rPr>
        <w:t xml:space="preserve">(RGS) </w:t>
      </w:r>
      <w:r w:rsidRPr="00515872">
        <w:rPr>
          <w:rFonts w:cs="Tahoma"/>
          <w:szCs w:val="20"/>
        </w:rPr>
        <w:t xml:space="preserve">su proposta della commissione </w:t>
      </w:r>
      <w:r w:rsidRPr="00515872">
        <w:rPr>
          <w:rFonts w:cs="Tahoma"/>
          <w:szCs w:val="20"/>
        </w:rPr>
        <w:lastRenderedPageBreak/>
        <w:t>ARCONET</w:t>
      </w:r>
      <w:r w:rsidRPr="00515872">
        <w:rPr>
          <w:rStyle w:val="Rimandonotaapidipagina"/>
          <w:rFonts w:cs="Tahoma"/>
          <w:szCs w:val="20"/>
        </w:rPr>
        <w:footnoteReference w:id="36"/>
      </w:r>
      <w:r w:rsidRPr="00515872">
        <w:rPr>
          <w:rFonts w:cs="Tahoma"/>
          <w:szCs w:val="20"/>
        </w:rPr>
        <w:t xml:space="preserve">, al fine di recepire modifiche normative rilevanti nella contabilità della pubblica amministrazione (si pensi, ad esempio, alla soppressione o istituzione di nuove imposte). </w:t>
      </w:r>
    </w:p>
    <w:p w14:paraId="10264D73" w14:textId="77777777" w:rsidR="009518AF" w:rsidRPr="00515872" w:rsidRDefault="009518AF" w:rsidP="009518AF">
      <w:pPr>
        <w:spacing w:line="360" w:lineRule="auto"/>
        <w:jc w:val="both"/>
        <w:rPr>
          <w:rFonts w:cs="Tahoma"/>
          <w:szCs w:val="20"/>
        </w:rPr>
      </w:pPr>
      <w:r w:rsidRPr="00515872">
        <w:rPr>
          <w:rFonts w:cs="Tahoma"/>
          <w:szCs w:val="20"/>
        </w:rPr>
        <w:t>La rigidità del piano dei conti è tale per cui il sistema informativo contabile non consente l’accerta</w:t>
      </w:r>
      <w:r w:rsidR="000E027F" w:rsidRPr="00515872">
        <w:rPr>
          <w:rFonts w:cs="Tahoma"/>
          <w:szCs w:val="20"/>
        </w:rPr>
        <w:t>mento, la riscossione</w:t>
      </w:r>
      <w:r w:rsidRPr="00515872">
        <w:rPr>
          <w:rFonts w:cs="Tahoma"/>
          <w:szCs w:val="20"/>
        </w:rPr>
        <w:t xml:space="preserve"> o il versamento di entrate e l’impegno, </w:t>
      </w:r>
      <w:r w:rsidR="000E027F" w:rsidRPr="00515872">
        <w:rPr>
          <w:rFonts w:cs="Tahoma"/>
          <w:szCs w:val="20"/>
        </w:rPr>
        <w:t>la liquidazione, l’ordinazione o</w:t>
      </w:r>
      <w:r w:rsidRPr="00515872">
        <w:rPr>
          <w:rFonts w:cs="Tahoma"/>
          <w:szCs w:val="20"/>
        </w:rPr>
        <w:t xml:space="preserve"> il pagamento di spese, in assenza di una codifica completa.</w:t>
      </w:r>
    </w:p>
    <w:p w14:paraId="2875F358"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La composizione del piano dei conti previsto dal legislatore è riconducibile a </w:t>
      </w:r>
      <w:r w:rsidR="00A020E2" w:rsidRPr="00515872">
        <w:rPr>
          <w:rFonts w:eastAsia="Times New Roman" w:cs="Tahoma"/>
          <w:szCs w:val="20"/>
          <w:lang w:eastAsia="it-IT"/>
        </w:rPr>
        <w:t>3</w:t>
      </w:r>
      <w:r w:rsidRPr="00515872">
        <w:rPr>
          <w:rFonts w:eastAsia="Times New Roman" w:cs="Tahoma"/>
          <w:szCs w:val="20"/>
          <w:lang w:eastAsia="it-IT"/>
        </w:rPr>
        <w:t xml:space="preserve"> schemi riportati in allegato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w:t>
      </w:r>
    </w:p>
    <w:p w14:paraId="50054425" w14:textId="77777777" w:rsidR="009518AF" w:rsidRPr="00515872" w:rsidRDefault="009518AF" w:rsidP="00D65838">
      <w:pPr>
        <w:pStyle w:val="Paragrafoelenco"/>
        <w:numPr>
          <w:ilvl w:val="0"/>
          <w:numId w:val="46"/>
        </w:numPr>
        <w:spacing w:line="360" w:lineRule="auto"/>
        <w:jc w:val="both"/>
        <w:rPr>
          <w:rFonts w:eastAsia="Times New Roman" w:cs="Tahoma"/>
          <w:szCs w:val="20"/>
          <w:lang w:eastAsia="it-IT"/>
        </w:rPr>
      </w:pPr>
      <w:r w:rsidRPr="00515872">
        <w:rPr>
          <w:rFonts w:eastAsia="Times New Roman" w:cs="Tahoma"/>
          <w:szCs w:val="20"/>
          <w:lang w:eastAsia="it-IT"/>
        </w:rPr>
        <w:t>il piano dei conti finanziario (Allegato n. 6/1);</w:t>
      </w:r>
    </w:p>
    <w:p w14:paraId="75141CB9" w14:textId="77777777" w:rsidR="009518AF" w:rsidRPr="00515872" w:rsidRDefault="009518AF" w:rsidP="00D65838">
      <w:pPr>
        <w:pStyle w:val="Paragrafoelenco"/>
        <w:numPr>
          <w:ilvl w:val="0"/>
          <w:numId w:val="46"/>
        </w:numPr>
        <w:spacing w:line="360" w:lineRule="auto"/>
        <w:jc w:val="both"/>
        <w:rPr>
          <w:rFonts w:eastAsia="Times New Roman" w:cs="Tahoma"/>
          <w:szCs w:val="20"/>
          <w:lang w:eastAsia="it-IT"/>
        </w:rPr>
      </w:pPr>
      <w:r w:rsidRPr="00515872">
        <w:rPr>
          <w:rFonts w:eastAsia="Times New Roman" w:cs="Tahoma"/>
          <w:szCs w:val="20"/>
          <w:lang w:eastAsia="it-IT"/>
        </w:rPr>
        <w:t>il piano dei conti economico (Allegato n. 6/2);</w:t>
      </w:r>
    </w:p>
    <w:p w14:paraId="2EA59561" w14:textId="15F6B797" w:rsidR="00A020E2" w:rsidRPr="00EA779E" w:rsidRDefault="009518AF" w:rsidP="00795078">
      <w:pPr>
        <w:pStyle w:val="Paragrafoelenco"/>
        <w:numPr>
          <w:ilvl w:val="0"/>
          <w:numId w:val="46"/>
        </w:numPr>
        <w:spacing w:line="360" w:lineRule="auto"/>
        <w:jc w:val="both"/>
        <w:rPr>
          <w:rFonts w:eastAsia="Times New Roman" w:cs="Tahoma"/>
          <w:szCs w:val="20"/>
          <w:lang w:eastAsia="it-IT"/>
        </w:rPr>
      </w:pPr>
      <w:r w:rsidRPr="00515872">
        <w:rPr>
          <w:rFonts w:eastAsia="Times New Roman" w:cs="Tahoma"/>
          <w:szCs w:val="20"/>
          <w:lang w:eastAsia="it-IT"/>
        </w:rPr>
        <w:t>il piano dei conti patrimoniale (Allegato n. 6/3).</w:t>
      </w:r>
    </w:p>
    <w:p w14:paraId="21606356" w14:textId="77777777" w:rsidR="004D32BA" w:rsidRPr="00515872" w:rsidRDefault="00795078" w:rsidP="00795078">
      <w:pPr>
        <w:spacing w:line="360" w:lineRule="auto"/>
        <w:jc w:val="both"/>
        <w:rPr>
          <w:rFonts w:eastAsia="Times New Roman" w:cs="Tahoma"/>
          <w:b/>
          <w:szCs w:val="20"/>
          <w:lang w:eastAsia="it-IT"/>
        </w:rPr>
      </w:pPr>
      <w:r w:rsidRPr="00515872">
        <w:rPr>
          <w:rFonts w:eastAsia="Times New Roman" w:cs="Tahoma"/>
          <w:b/>
          <w:szCs w:val="20"/>
          <w:lang w:eastAsia="it-IT"/>
        </w:rPr>
        <w:t>Esempio di correlazione delle voci relative all’IMU (Matrice di raccordo)</w:t>
      </w:r>
    </w:p>
    <w:tbl>
      <w:tblPr>
        <w:tblStyle w:val="Grigliatabellachiara1"/>
        <w:tblW w:w="9355" w:type="dxa"/>
        <w:tblLook w:val="04A0" w:firstRow="1" w:lastRow="0" w:firstColumn="1" w:lastColumn="0" w:noHBand="0" w:noVBand="1"/>
      </w:tblPr>
      <w:tblGrid>
        <w:gridCol w:w="957"/>
        <w:gridCol w:w="801"/>
        <w:gridCol w:w="4923"/>
        <w:gridCol w:w="2947"/>
      </w:tblGrid>
      <w:tr w:rsidR="00EA779E" w:rsidRPr="00EA779E" w14:paraId="7CD8425B" w14:textId="77777777" w:rsidTr="00EA779E">
        <w:trPr>
          <w:trHeight w:val="855"/>
        </w:trPr>
        <w:tc>
          <w:tcPr>
            <w:tcW w:w="9355" w:type="dxa"/>
            <w:gridSpan w:val="4"/>
            <w:noWrap/>
            <w:hideMark/>
          </w:tcPr>
          <w:p w14:paraId="09CF9D75" w14:textId="77777777" w:rsidR="00795078" w:rsidRPr="00EA779E" w:rsidRDefault="00795078" w:rsidP="00795078">
            <w:pPr>
              <w:spacing w:after="0" w:line="240" w:lineRule="auto"/>
              <w:jc w:val="center"/>
              <w:rPr>
                <w:rFonts w:eastAsia="Times New Roman" w:cs="Tahoma"/>
                <w:b/>
                <w:bCs/>
                <w:sz w:val="40"/>
                <w:szCs w:val="40"/>
                <w:lang w:eastAsia="it-IT"/>
              </w:rPr>
            </w:pPr>
            <w:r w:rsidRPr="00EA779E">
              <w:rPr>
                <w:rFonts w:eastAsia="Times New Roman" w:cs="Tahoma"/>
                <w:b/>
                <w:bCs/>
                <w:sz w:val="40"/>
                <w:szCs w:val="40"/>
                <w:lang w:eastAsia="it-IT"/>
              </w:rPr>
              <w:t>Piano finanziario</w:t>
            </w:r>
          </w:p>
        </w:tc>
      </w:tr>
      <w:tr w:rsidR="00EA779E" w:rsidRPr="00EA779E" w14:paraId="7F274FD9" w14:textId="77777777" w:rsidTr="00EA779E">
        <w:trPr>
          <w:trHeight w:val="525"/>
        </w:trPr>
        <w:tc>
          <w:tcPr>
            <w:tcW w:w="790" w:type="dxa"/>
            <w:hideMark/>
          </w:tcPr>
          <w:p w14:paraId="0F768763" w14:textId="77777777" w:rsidR="00795078" w:rsidRPr="00EA779E" w:rsidRDefault="00795078" w:rsidP="00795078">
            <w:pPr>
              <w:spacing w:after="0" w:line="240" w:lineRule="auto"/>
              <w:jc w:val="center"/>
              <w:rPr>
                <w:rFonts w:eastAsia="Times New Roman" w:cs="Tahoma"/>
                <w:b/>
                <w:bCs/>
                <w:szCs w:val="20"/>
                <w:lang w:eastAsia="it-IT"/>
              </w:rPr>
            </w:pPr>
            <w:r w:rsidRPr="00EA779E">
              <w:rPr>
                <w:rFonts w:eastAsia="Times New Roman" w:cs="Tahoma"/>
                <w:b/>
                <w:bCs/>
                <w:szCs w:val="20"/>
                <w:lang w:eastAsia="it-IT"/>
              </w:rPr>
              <w:t>MACRO</w:t>
            </w:r>
          </w:p>
        </w:tc>
        <w:tc>
          <w:tcPr>
            <w:tcW w:w="617" w:type="dxa"/>
            <w:hideMark/>
          </w:tcPr>
          <w:p w14:paraId="51348AD9" w14:textId="77777777" w:rsidR="00795078" w:rsidRPr="00EA779E" w:rsidRDefault="00795078" w:rsidP="00795078">
            <w:pPr>
              <w:spacing w:after="0" w:line="240" w:lineRule="auto"/>
              <w:jc w:val="center"/>
              <w:rPr>
                <w:rFonts w:eastAsia="Times New Roman" w:cs="Tahoma"/>
                <w:b/>
                <w:bCs/>
                <w:szCs w:val="20"/>
                <w:lang w:eastAsia="it-IT"/>
              </w:rPr>
            </w:pPr>
            <w:r w:rsidRPr="00EA779E">
              <w:rPr>
                <w:rFonts w:eastAsia="Times New Roman" w:cs="Tahoma"/>
                <w:b/>
                <w:bCs/>
                <w:szCs w:val="20"/>
                <w:lang w:eastAsia="it-IT"/>
              </w:rPr>
              <w:t>Livelli</w:t>
            </w:r>
          </w:p>
        </w:tc>
        <w:tc>
          <w:tcPr>
            <w:tcW w:w="4972" w:type="dxa"/>
            <w:hideMark/>
          </w:tcPr>
          <w:p w14:paraId="67BF9546"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Voce</w:t>
            </w:r>
          </w:p>
        </w:tc>
        <w:tc>
          <w:tcPr>
            <w:tcW w:w="2976" w:type="dxa"/>
            <w:hideMark/>
          </w:tcPr>
          <w:p w14:paraId="3BCE9498" w14:textId="77777777" w:rsidR="00795078" w:rsidRPr="00EA779E" w:rsidRDefault="00795078" w:rsidP="00795078">
            <w:pPr>
              <w:spacing w:after="0" w:line="240" w:lineRule="auto"/>
              <w:jc w:val="right"/>
              <w:rPr>
                <w:rFonts w:eastAsia="Times New Roman" w:cs="Tahoma"/>
                <w:b/>
                <w:bCs/>
                <w:szCs w:val="20"/>
                <w:lang w:eastAsia="it-IT"/>
              </w:rPr>
            </w:pPr>
            <w:r w:rsidRPr="00EA779E">
              <w:rPr>
                <w:rFonts w:eastAsia="Times New Roman" w:cs="Tahoma"/>
                <w:b/>
                <w:bCs/>
                <w:szCs w:val="20"/>
                <w:lang w:eastAsia="it-IT"/>
              </w:rPr>
              <w:t>Codice finale</w:t>
            </w:r>
          </w:p>
        </w:tc>
      </w:tr>
      <w:tr w:rsidR="00EA779E" w:rsidRPr="00EA779E" w14:paraId="7C7DE1A5" w14:textId="77777777" w:rsidTr="00EA779E">
        <w:trPr>
          <w:trHeight w:val="690"/>
        </w:trPr>
        <w:tc>
          <w:tcPr>
            <w:tcW w:w="790" w:type="dxa"/>
            <w:noWrap/>
            <w:hideMark/>
          </w:tcPr>
          <w:p w14:paraId="222F46B9" w14:textId="77777777" w:rsidR="00795078" w:rsidRPr="00EA779E" w:rsidRDefault="00795078" w:rsidP="00795078">
            <w:pPr>
              <w:spacing w:after="0" w:line="240" w:lineRule="auto"/>
              <w:jc w:val="center"/>
              <w:rPr>
                <w:rFonts w:eastAsia="Times New Roman" w:cs="Tahoma"/>
                <w:b/>
                <w:bCs/>
                <w:szCs w:val="26"/>
                <w:lang w:eastAsia="it-IT"/>
              </w:rPr>
            </w:pPr>
            <w:r w:rsidRPr="00EA779E">
              <w:rPr>
                <w:rFonts w:eastAsia="Times New Roman" w:cs="Tahoma"/>
                <w:b/>
                <w:bCs/>
                <w:szCs w:val="26"/>
                <w:lang w:eastAsia="it-IT"/>
              </w:rPr>
              <w:t>E</w:t>
            </w:r>
          </w:p>
        </w:tc>
        <w:tc>
          <w:tcPr>
            <w:tcW w:w="617" w:type="dxa"/>
            <w:noWrap/>
            <w:hideMark/>
          </w:tcPr>
          <w:p w14:paraId="0AB8E9AC" w14:textId="77777777" w:rsidR="00795078" w:rsidRPr="00EA779E" w:rsidRDefault="00795078" w:rsidP="00795078">
            <w:pPr>
              <w:spacing w:after="0" w:line="240" w:lineRule="auto"/>
              <w:jc w:val="center"/>
              <w:rPr>
                <w:rFonts w:eastAsia="Times New Roman" w:cs="Tahoma"/>
                <w:b/>
                <w:bCs/>
                <w:szCs w:val="26"/>
                <w:lang w:eastAsia="it-IT"/>
              </w:rPr>
            </w:pPr>
            <w:r w:rsidRPr="00EA779E">
              <w:rPr>
                <w:rFonts w:eastAsia="Times New Roman" w:cs="Tahoma"/>
                <w:b/>
                <w:bCs/>
                <w:szCs w:val="26"/>
                <w:lang w:eastAsia="it-IT"/>
              </w:rPr>
              <w:t>I</w:t>
            </w:r>
          </w:p>
        </w:tc>
        <w:tc>
          <w:tcPr>
            <w:tcW w:w="4972" w:type="dxa"/>
            <w:hideMark/>
          </w:tcPr>
          <w:p w14:paraId="72E92361" w14:textId="77777777" w:rsidR="00795078" w:rsidRPr="00EA779E" w:rsidRDefault="00795078" w:rsidP="00795078">
            <w:pPr>
              <w:spacing w:after="0" w:line="240" w:lineRule="auto"/>
              <w:rPr>
                <w:rFonts w:eastAsia="Times New Roman" w:cs="Tahoma"/>
                <w:b/>
                <w:bCs/>
                <w:szCs w:val="26"/>
                <w:lang w:eastAsia="it-IT"/>
              </w:rPr>
            </w:pPr>
            <w:r w:rsidRPr="00EA779E">
              <w:rPr>
                <w:rFonts w:eastAsia="Times New Roman" w:cs="Tahoma"/>
                <w:b/>
                <w:bCs/>
                <w:szCs w:val="26"/>
                <w:lang w:eastAsia="it-IT"/>
              </w:rPr>
              <w:t>Entrate correnti di natura tributaria, contributiva e perequativa</w:t>
            </w:r>
          </w:p>
        </w:tc>
        <w:tc>
          <w:tcPr>
            <w:tcW w:w="2976" w:type="dxa"/>
            <w:noWrap/>
            <w:hideMark/>
          </w:tcPr>
          <w:p w14:paraId="74FF2D68" w14:textId="77777777" w:rsidR="00795078" w:rsidRPr="00EA779E" w:rsidRDefault="00795078" w:rsidP="00795078">
            <w:pPr>
              <w:spacing w:after="0" w:line="240" w:lineRule="auto"/>
              <w:jc w:val="right"/>
              <w:rPr>
                <w:rFonts w:eastAsia="Times New Roman" w:cs="Tahoma"/>
                <w:b/>
                <w:bCs/>
                <w:szCs w:val="26"/>
                <w:lang w:eastAsia="it-IT"/>
              </w:rPr>
            </w:pPr>
            <w:r w:rsidRPr="00EA779E">
              <w:rPr>
                <w:rFonts w:eastAsia="Times New Roman" w:cs="Tahoma"/>
                <w:b/>
                <w:bCs/>
                <w:szCs w:val="26"/>
                <w:lang w:eastAsia="it-IT"/>
              </w:rPr>
              <w:t>E.1.00.00.00.000</w:t>
            </w:r>
          </w:p>
        </w:tc>
      </w:tr>
      <w:tr w:rsidR="00EA779E" w:rsidRPr="00EA779E" w14:paraId="378DE687" w14:textId="77777777" w:rsidTr="00EA779E">
        <w:trPr>
          <w:trHeight w:val="285"/>
        </w:trPr>
        <w:tc>
          <w:tcPr>
            <w:tcW w:w="790" w:type="dxa"/>
            <w:noWrap/>
            <w:hideMark/>
          </w:tcPr>
          <w:p w14:paraId="04466251" w14:textId="77777777" w:rsidR="00795078" w:rsidRPr="00EA779E" w:rsidRDefault="00795078" w:rsidP="00795078">
            <w:pPr>
              <w:spacing w:after="0" w:line="240" w:lineRule="auto"/>
              <w:jc w:val="center"/>
              <w:rPr>
                <w:rFonts w:eastAsia="Times New Roman" w:cs="Tahoma"/>
                <w:b/>
                <w:bCs/>
                <w:szCs w:val="21"/>
                <w:lang w:eastAsia="it-IT"/>
              </w:rPr>
            </w:pPr>
            <w:r w:rsidRPr="00EA779E">
              <w:rPr>
                <w:rFonts w:eastAsia="Times New Roman" w:cs="Tahoma"/>
                <w:b/>
                <w:bCs/>
                <w:szCs w:val="21"/>
                <w:lang w:eastAsia="it-IT"/>
              </w:rPr>
              <w:t>E</w:t>
            </w:r>
          </w:p>
        </w:tc>
        <w:tc>
          <w:tcPr>
            <w:tcW w:w="617" w:type="dxa"/>
            <w:noWrap/>
            <w:hideMark/>
          </w:tcPr>
          <w:p w14:paraId="1B367C25" w14:textId="77777777" w:rsidR="00795078" w:rsidRPr="00EA779E" w:rsidRDefault="00795078" w:rsidP="00795078">
            <w:pPr>
              <w:spacing w:after="0" w:line="240" w:lineRule="auto"/>
              <w:jc w:val="center"/>
              <w:rPr>
                <w:rFonts w:eastAsia="Times New Roman" w:cs="Tahoma"/>
                <w:b/>
                <w:bCs/>
                <w:szCs w:val="21"/>
                <w:lang w:eastAsia="it-IT"/>
              </w:rPr>
            </w:pPr>
            <w:r w:rsidRPr="00EA779E">
              <w:rPr>
                <w:rFonts w:eastAsia="Times New Roman" w:cs="Tahoma"/>
                <w:b/>
                <w:bCs/>
                <w:szCs w:val="21"/>
                <w:lang w:eastAsia="it-IT"/>
              </w:rPr>
              <w:t>II</w:t>
            </w:r>
          </w:p>
        </w:tc>
        <w:tc>
          <w:tcPr>
            <w:tcW w:w="4972" w:type="dxa"/>
            <w:noWrap/>
            <w:hideMark/>
          </w:tcPr>
          <w:p w14:paraId="14454C32" w14:textId="77777777" w:rsidR="00795078" w:rsidRPr="00EA779E" w:rsidRDefault="00795078" w:rsidP="00795078">
            <w:pPr>
              <w:spacing w:after="0" w:line="240" w:lineRule="auto"/>
              <w:rPr>
                <w:rFonts w:eastAsia="Times New Roman" w:cs="Tahoma"/>
                <w:b/>
                <w:bCs/>
                <w:szCs w:val="21"/>
                <w:lang w:eastAsia="it-IT"/>
              </w:rPr>
            </w:pPr>
            <w:r w:rsidRPr="00EA779E">
              <w:rPr>
                <w:rFonts w:eastAsia="Times New Roman" w:cs="Tahoma"/>
                <w:b/>
                <w:bCs/>
                <w:szCs w:val="21"/>
                <w:lang w:eastAsia="it-IT"/>
              </w:rPr>
              <w:t>Tributi</w:t>
            </w:r>
          </w:p>
        </w:tc>
        <w:tc>
          <w:tcPr>
            <w:tcW w:w="2976" w:type="dxa"/>
            <w:noWrap/>
            <w:hideMark/>
          </w:tcPr>
          <w:p w14:paraId="4188C8D8" w14:textId="77777777" w:rsidR="00795078" w:rsidRPr="00EA779E" w:rsidRDefault="00795078" w:rsidP="00795078">
            <w:pPr>
              <w:spacing w:after="0" w:line="240" w:lineRule="auto"/>
              <w:jc w:val="right"/>
              <w:rPr>
                <w:rFonts w:eastAsia="Times New Roman" w:cs="Tahoma"/>
                <w:b/>
                <w:bCs/>
                <w:szCs w:val="21"/>
                <w:lang w:eastAsia="it-IT"/>
              </w:rPr>
            </w:pPr>
            <w:r w:rsidRPr="00EA779E">
              <w:rPr>
                <w:rFonts w:eastAsia="Times New Roman" w:cs="Tahoma"/>
                <w:b/>
                <w:bCs/>
                <w:szCs w:val="21"/>
                <w:lang w:eastAsia="it-IT"/>
              </w:rPr>
              <w:t>E.1.01.00.00.000</w:t>
            </w:r>
          </w:p>
        </w:tc>
      </w:tr>
      <w:tr w:rsidR="00EA779E" w:rsidRPr="00EA779E" w14:paraId="7A48535F" w14:textId="77777777" w:rsidTr="00EA779E">
        <w:trPr>
          <w:trHeight w:val="255"/>
        </w:trPr>
        <w:tc>
          <w:tcPr>
            <w:tcW w:w="790" w:type="dxa"/>
            <w:noWrap/>
            <w:hideMark/>
          </w:tcPr>
          <w:p w14:paraId="59D19DA3" w14:textId="77777777" w:rsidR="00795078" w:rsidRPr="00EA779E" w:rsidRDefault="00795078" w:rsidP="00795078">
            <w:pPr>
              <w:spacing w:after="0" w:line="240" w:lineRule="auto"/>
              <w:jc w:val="center"/>
              <w:rPr>
                <w:rFonts w:eastAsia="Times New Roman" w:cs="Tahoma"/>
                <w:b/>
                <w:bCs/>
                <w:szCs w:val="20"/>
                <w:lang w:eastAsia="it-IT"/>
              </w:rPr>
            </w:pPr>
            <w:r w:rsidRPr="00EA779E">
              <w:rPr>
                <w:rFonts w:eastAsia="Times New Roman" w:cs="Tahoma"/>
                <w:b/>
                <w:bCs/>
                <w:szCs w:val="20"/>
                <w:lang w:eastAsia="it-IT"/>
              </w:rPr>
              <w:t>E</w:t>
            </w:r>
          </w:p>
        </w:tc>
        <w:tc>
          <w:tcPr>
            <w:tcW w:w="617" w:type="dxa"/>
            <w:noWrap/>
            <w:hideMark/>
          </w:tcPr>
          <w:p w14:paraId="599952D3" w14:textId="77777777" w:rsidR="00795078" w:rsidRPr="00EA779E" w:rsidRDefault="00795078" w:rsidP="00795078">
            <w:pPr>
              <w:spacing w:after="0" w:line="240" w:lineRule="auto"/>
              <w:jc w:val="center"/>
              <w:rPr>
                <w:rFonts w:eastAsia="Times New Roman" w:cs="Tahoma"/>
                <w:b/>
                <w:bCs/>
                <w:szCs w:val="20"/>
                <w:lang w:eastAsia="it-IT"/>
              </w:rPr>
            </w:pPr>
            <w:r w:rsidRPr="00EA779E">
              <w:rPr>
                <w:rFonts w:eastAsia="Times New Roman" w:cs="Tahoma"/>
                <w:b/>
                <w:bCs/>
                <w:szCs w:val="20"/>
                <w:lang w:eastAsia="it-IT"/>
              </w:rPr>
              <w:t>III</w:t>
            </w:r>
          </w:p>
        </w:tc>
        <w:tc>
          <w:tcPr>
            <w:tcW w:w="4972" w:type="dxa"/>
            <w:noWrap/>
            <w:hideMark/>
          </w:tcPr>
          <w:p w14:paraId="6A0B55F8" w14:textId="77777777" w:rsidR="00795078" w:rsidRPr="00EA779E" w:rsidRDefault="00795078" w:rsidP="00795078">
            <w:pPr>
              <w:spacing w:after="0" w:line="240" w:lineRule="auto"/>
              <w:ind w:firstLineChars="100" w:firstLine="201"/>
              <w:rPr>
                <w:rFonts w:eastAsia="Times New Roman" w:cs="Tahoma"/>
                <w:b/>
                <w:bCs/>
                <w:szCs w:val="20"/>
                <w:lang w:eastAsia="it-IT"/>
              </w:rPr>
            </w:pPr>
            <w:r w:rsidRPr="00EA779E">
              <w:rPr>
                <w:rFonts w:eastAsia="Times New Roman" w:cs="Tahoma"/>
                <w:b/>
                <w:bCs/>
                <w:szCs w:val="20"/>
                <w:lang w:eastAsia="it-IT"/>
              </w:rPr>
              <w:t>Imposte, tasse e proventi assimilati</w:t>
            </w:r>
          </w:p>
        </w:tc>
        <w:tc>
          <w:tcPr>
            <w:tcW w:w="2976" w:type="dxa"/>
            <w:noWrap/>
            <w:hideMark/>
          </w:tcPr>
          <w:p w14:paraId="4FEE0BD2" w14:textId="77777777" w:rsidR="00795078" w:rsidRPr="00EA779E" w:rsidRDefault="00795078" w:rsidP="00795078">
            <w:pPr>
              <w:spacing w:after="0" w:line="240" w:lineRule="auto"/>
              <w:jc w:val="right"/>
              <w:rPr>
                <w:rFonts w:eastAsia="Times New Roman" w:cs="Tahoma"/>
                <w:b/>
                <w:bCs/>
                <w:szCs w:val="20"/>
                <w:lang w:eastAsia="it-IT"/>
              </w:rPr>
            </w:pPr>
            <w:r w:rsidRPr="00EA779E">
              <w:rPr>
                <w:rFonts w:eastAsia="Times New Roman" w:cs="Tahoma"/>
                <w:b/>
                <w:bCs/>
                <w:szCs w:val="20"/>
                <w:lang w:eastAsia="it-IT"/>
              </w:rPr>
              <w:t>E.1.01.01.00.000</w:t>
            </w:r>
          </w:p>
        </w:tc>
      </w:tr>
      <w:tr w:rsidR="00EA779E" w:rsidRPr="00EA779E" w14:paraId="2F4D23C0" w14:textId="77777777" w:rsidTr="00EA779E">
        <w:trPr>
          <w:trHeight w:val="240"/>
        </w:trPr>
        <w:tc>
          <w:tcPr>
            <w:tcW w:w="790" w:type="dxa"/>
            <w:noWrap/>
            <w:hideMark/>
          </w:tcPr>
          <w:p w14:paraId="43B36CC8" w14:textId="77777777" w:rsidR="00795078" w:rsidRPr="00EA779E" w:rsidRDefault="00795078" w:rsidP="00795078">
            <w:pPr>
              <w:spacing w:after="0" w:line="240" w:lineRule="auto"/>
              <w:jc w:val="center"/>
              <w:rPr>
                <w:rFonts w:eastAsia="Times New Roman" w:cs="Tahoma"/>
                <w:b/>
                <w:bCs/>
                <w:szCs w:val="18"/>
                <w:lang w:eastAsia="it-IT"/>
              </w:rPr>
            </w:pPr>
            <w:r w:rsidRPr="00EA779E">
              <w:rPr>
                <w:rFonts w:eastAsia="Times New Roman" w:cs="Tahoma"/>
                <w:b/>
                <w:bCs/>
                <w:szCs w:val="18"/>
                <w:lang w:eastAsia="it-IT"/>
              </w:rPr>
              <w:t>E</w:t>
            </w:r>
          </w:p>
        </w:tc>
        <w:tc>
          <w:tcPr>
            <w:tcW w:w="617" w:type="dxa"/>
            <w:noWrap/>
            <w:hideMark/>
          </w:tcPr>
          <w:p w14:paraId="55610581" w14:textId="77777777" w:rsidR="00795078" w:rsidRPr="00EA779E" w:rsidRDefault="00795078" w:rsidP="00795078">
            <w:pPr>
              <w:spacing w:after="0" w:line="240" w:lineRule="auto"/>
              <w:jc w:val="center"/>
              <w:rPr>
                <w:rFonts w:eastAsia="Times New Roman" w:cs="Tahoma"/>
                <w:b/>
                <w:bCs/>
                <w:szCs w:val="18"/>
                <w:lang w:eastAsia="it-IT"/>
              </w:rPr>
            </w:pPr>
            <w:r w:rsidRPr="00EA779E">
              <w:rPr>
                <w:rFonts w:eastAsia="Times New Roman" w:cs="Tahoma"/>
                <w:b/>
                <w:bCs/>
                <w:szCs w:val="18"/>
                <w:lang w:eastAsia="it-IT"/>
              </w:rPr>
              <w:t>IV</w:t>
            </w:r>
          </w:p>
        </w:tc>
        <w:tc>
          <w:tcPr>
            <w:tcW w:w="4972" w:type="dxa"/>
            <w:hideMark/>
          </w:tcPr>
          <w:p w14:paraId="061CFF55" w14:textId="77777777" w:rsidR="00795078" w:rsidRPr="00EA779E" w:rsidRDefault="00795078" w:rsidP="00795078">
            <w:pPr>
              <w:spacing w:after="0" w:line="240" w:lineRule="auto"/>
              <w:ind w:firstLineChars="200" w:firstLine="402"/>
              <w:rPr>
                <w:rFonts w:eastAsia="Times New Roman" w:cs="Tahoma"/>
                <w:b/>
                <w:bCs/>
                <w:szCs w:val="18"/>
                <w:lang w:eastAsia="it-IT"/>
              </w:rPr>
            </w:pPr>
            <w:r w:rsidRPr="00EA779E">
              <w:rPr>
                <w:rFonts w:eastAsia="Times New Roman" w:cs="Tahoma"/>
                <w:b/>
                <w:bCs/>
                <w:szCs w:val="18"/>
                <w:lang w:eastAsia="it-IT"/>
              </w:rPr>
              <w:t>Imposta municipale propria</w:t>
            </w:r>
          </w:p>
        </w:tc>
        <w:tc>
          <w:tcPr>
            <w:tcW w:w="2976" w:type="dxa"/>
            <w:noWrap/>
            <w:hideMark/>
          </w:tcPr>
          <w:p w14:paraId="217C0EB6" w14:textId="77777777" w:rsidR="00795078" w:rsidRPr="00EA779E" w:rsidRDefault="00795078" w:rsidP="00795078">
            <w:pPr>
              <w:spacing w:after="0" w:line="240" w:lineRule="auto"/>
              <w:jc w:val="right"/>
              <w:rPr>
                <w:rFonts w:eastAsia="Times New Roman" w:cs="Tahoma"/>
                <w:b/>
                <w:bCs/>
                <w:szCs w:val="18"/>
                <w:lang w:eastAsia="it-IT"/>
              </w:rPr>
            </w:pPr>
            <w:r w:rsidRPr="00EA779E">
              <w:rPr>
                <w:rFonts w:eastAsia="Times New Roman" w:cs="Tahoma"/>
                <w:b/>
                <w:bCs/>
                <w:szCs w:val="18"/>
                <w:lang w:eastAsia="it-IT"/>
              </w:rPr>
              <w:t>E.1.01.01.06.000</w:t>
            </w:r>
          </w:p>
        </w:tc>
      </w:tr>
      <w:tr w:rsidR="00EA779E" w:rsidRPr="00EA779E" w14:paraId="03EB528F" w14:textId="77777777" w:rsidTr="00EA779E">
        <w:trPr>
          <w:trHeight w:val="720"/>
        </w:trPr>
        <w:tc>
          <w:tcPr>
            <w:tcW w:w="790" w:type="dxa"/>
            <w:noWrap/>
            <w:hideMark/>
          </w:tcPr>
          <w:p w14:paraId="3D61491A" w14:textId="77777777" w:rsidR="00795078" w:rsidRPr="00EA779E" w:rsidRDefault="00795078" w:rsidP="00795078">
            <w:pPr>
              <w:spacing w:after="0" w:line="240" w:lineRule="auto"/>
              <w:jc w:val="center"/>
              <w:rPr>
                <w:rFonts w:eastAsia="Times New Roman" w:cs="Tahoma"/>
                <w:szCs w:val="18"/>
                <w:lang w:eastAsia="it-IT"/>
              </w:rPr>
            </w:pPr>
            <w:r w:rsidRPr="00EA779E">
              <w:rPr>
                <w:rFonts w:eastAsia="Times New Roman" w:cs="Tahoma"/>
                <w:szCs w:val="18"/>
                <w:lang w:eastAsia="it-IT"/>
              </w:rPr>
              <w:t>E</w:t>
            </w:r>
          </w:p>
        </w:tc>
        <w:tc>
          <w:tcPr>
            <w:tcW w:w="617" w:type="dxa"/>
            <w:noWrap/>
            <w:hideMark/>
          </w:tcPr>
          <w:p w14:paraId="583E47CE" w14:textId="77777777" w:rsidR="00795078" w:rsidRPr="00EA779E" w:rsidRDefault="00795078" w:rsidP="00795078">
            <w:pPr>
              <w:spacing w:after="0" w:line="240" w:lineRule="auto"/>
              <w:jc w:val="center"/>
              <w:rPr>
                <w:rFonts w:eastAsia="Times New Roman" w:cs="Tahoma"/>
                <w:szCs w:val="18"/>
                <w:lang w:eastAsia="it-IT"/>
              </w:rPr>
            </w:pPr>
            <w:r w:rsidRPr="00EA779E">
              <w:rPr>
                <w:rFonts w:eastAsia="Times New Roman" w:cs="Tahoma"/>
                <w:szCs w:val="18"/>
                <w:lang w:eastAsia="it-IT"/>
              </w:rPr>
              <w:t>V</w:t>
            </w:r>
          </w:p>
        </w:tc>
        <w:tc>
          <w:tcPr>
            <w:tcW w:w="4972" w:type="dxa"/>
            <w:hideMark/>
          </w:tcPr>
          <w:p w14:paraId="6855901C" w14:textId="77777777" w:rsidR="00795078" w:rsidRPr="00EA779E" w:rsidRDefault="00795078" w:rsidP="00795078">
            <w:pPr>
              <w:spacing w:after="0" w:line="240" w:lineRule="auto"/>
              <w:ind w:firstLineChars="400" w:firstLine="800"/>
              <w:rPr>
                <w:rFonts w:eastAsia="Times New Roman" w:cs="Tahoma"/>
                <w:szCs w:val="18"/>
                <w:lang w:eastAsia="it-IT"/>
              </w:rPr>
            </w:pPr>
            <w:r w:rsidRPr="00EA779E">
              <w:rPr>
                <w:rFonts w:eastAsia="Times New Roman" w:cs="Tahoma"/>
                <w:szCs w:val="18"/>
                <w:lang w:eastAsia="it-IT"/>
              </w:rPr>
              <w:t>Imposta municipale propria riscossa a seguito dell'attività ordinaria di gestione</w:t>
            </w:r>
          </w:p>
        </w:tc>
        <w:tc>
          <w:tcPr>
            <w:tcW w:w="2976" w:type="dxa"/>
            <w:noWrap/>
            <w:hideMark/>
          </w:tcPr>
          <w:p w14:paraId="3586800D" w14:textId="77777777" w:rsidR="00795078" w:rsidRPr="00EA779E" w:rsidRDefault="00795078" w:rsidP="00795078">
            <w:pPr>
              <w:spacing w:after="0" w:line="240" w:lineRule="auto"/>
              <w:jc w:val="right"/>
              <w:rPr>
                <w:rFonts w:eastAsia="Times New Roman" w:cs="Tahoma"/>
                <w:szCs w:val="18"/>
                <w:lang w:eastAsia="it-IT"/>
              </w:rPr>
            </w:pPr>
            <w:r w:rsidRPr="00EA779E">
              <w:rPr>
                <w:rFonts w:eastAsia="Times New Roman" w:cs="Tahoma"/>
                <w:szCs w:val="18"/>
                <w:lang w:eastAsia="it-IT"/>
              </w:rPr>
              <w:t>E.1.01.01.06.001</w:t>
            </w:r>
          </w:p>
        </w:tc>
      </w:tr>
      <w:tr w:rsidR="00EA779E" w:rsidRPr="00EA779E" w14:paraId="7286E8B8" w14:textId="77777777" w:rsidTr="00EA779E">
        <w:trPr>
          <w:trHeight w:val="720"/>
        </w:trPr>
        <w:tc>
          <w:tcPr>
            <w:tcW w:w="790" w:type="dxa"/>
            <w:noWrap/>
            <w:hideMark/>
          </w:tcPr>
          <w:p w14:paraId="75CAF7A3" w14:textId="77777777" w:rsidR="00795078" w:rsidRPr="00EA779E" w:rsidRDefault="00795078" w:rsidP="00795078">
            <w:pPr>
              <w:spacing w:after="0" w:line="240" w:lineRule="auto"/>
              <w:jc w:val="center"/>
              <w:rPr>
                <w:rFonts w:eastAsia="Times New Roman" w:cs="Tahoma"/>
                <w:szCs w:val="18"/>
                <w:lang w:eastAsia="it-IT"/>
              </w:rPr>
            </w:pPr>
            <w:r w:rsidRPr="00EA779E">
              <w:rPr>
                <w:rFonts w:eastAsia="Times New Roman" w:cs="Tahoma"/>
                <w:szCs w:val="18"/>
                <w:lang w:eastAsia="it-IT"/>
              </w:rPr>
              <w:t>E</w:t>
            </w:r>
          </w:p>
        </w:tc>
        <w:tc>
          <w:tcPr>
            <w:tcW w:w="617" w:type="dxa"/>
            <w:noWrap/>
            <w:hideMark/>
          </w:tcPr>
          <w:p w14:paraId="068B1131" w14:textId="77777777" w:rsidR="00795078" w:rsidRPr="00EA779E" w:rsidRDefault="00795078" w:rsidP="00795078">
            <w:pPr>
              <w:spacing w:after="0" w:line="240" w:lineRule="auto"/>
              <w:jc w:val="center"/>
              <w:rPr>
                <w:rFonts w:eastAsia="Times New Roman" w:cs="Tahoma"/>
                <w:szCs w:val="18"/>
                <w:lang w:eastAsia="it-IT"/>
              </w:rPr>
            </w:pPr>
            <w:r w:rsidRPr="00EA779E">
              <w:rPr>
                <w:rFonts w:eastAsia="Times New Roman" w:cs="Tahoma"/>
                <w:szCs w:val="18"/>
                <w:lang w:eastAsia="it-IT"/>
              </w:rPr>
              <w:t>V</w:t>
            </w:r>
          </w:p>
        </w:tc>
        <w:tc>
          <w:tcPr>
            <w:tcW w:w="4972" w:type="dxa"/>
            <w:hideMark/>
          </w:tcPr>
          <w:p w14:paraId="201F4AB6" w14:textId="77777777" w:rsidR="00795078" w:rsidRPr="00EA779E" w:rsidRDefault="00795078" w:rsidP="00795078">
            <w:pPr>
              <w:spacing w:after="0" w:line="240" w:lineRule="auto"/>
              <w:ind w:firstLineChars="400" w:firstLine="800"/>
              <w:rPr>
                <w:rFonts w:eastAsia="Times New Roman" w:cs="Tahoma"/>
                <w:szCs w:val="18"/>
                <w:lang w:eastAsia="it-IT"/>
              </w:rPr>
            </w:pPr>
            <w:r w:rsidRPr="00EA779E">
              <w:rPr>
                <w:rFonts w:eastAsia="Times New Roman" w:cs="Tahoma"/>
                <w:szCs w:val="18"/>
                <w:lang w:eastAsia="it-IT"/>
              </w:rPr>
              <w:t>Imposte municipale propria riscosse a seguito di attività di verifica e controllo</w:t>
            </w:r>
          </w:p>
        </w:tc>
        <w:tc>
          <w:tcPr>
            <w:tcW w:w="2976" w:type="dxa"/>
            <w:noWrap/>
            <w:hideMark/>
          </w:tcPr>
          <w:p w14:paraId="6B81EDA6" w14:textId="77777777" w:rsidR="00795078" w:rsidRPr="00EA779E" w:rsidRDefault="00795078" w:rsidP="00795078">
            <w:pPr>
              <w:spacing w:after="0" w:line="240" w:lineRule="auto"/>
              <w:jc w:val="right"/>
              <w:rPr>
                <w:rFonts w:eastAsia="Times New Roman" w:cs="Tahoma"/>
                <w:szCs w:val="18"/>
                <w:lang w:eastAsia="it-IT"/>
              </w:rPr>
            </w:pPr>
            <w:r w:rsidRPr="00EA779E">
              <w:rPr>
                <w:rFonts w:eastAsia="Times New Roman" w:cs="Tahoma"/>
                <w:szCs w:val="18"/>
                <w:lang w:eastAsia="it-IT"/>
              </w:rPr>
              <w:t>E.1.01.01.06.002</w:t>
            </w:r>
          </w:p>
        </w:tc>
      </w:tr>
    </w:tbl>
    <w:p w14:paraId="4C5B06E3" w14:textId="34EDDF4B" w:rsidR="004D32BA" w:rsidRDefault="004D32BA"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249C0602" w14:textId="109F3254" w:rsidR="00EA779E"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465A6B73" w14:textId="15D8F7B1" w:rsidR="00EA779E"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3FA2FDC5" w14:textId="6AEE3872" w:rsidR="00EA779E"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4FF84B00" w14:textId="036213E6" w:rsidR="00EA779E"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64A20A50" w14:textId="77777777" w:rsidR="00EA779E" w:rsidRPr="00515872" w:rsidRDefault="00EA779E"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tbl>
      <w:tblPr>
        <w:tblStyle w:val="Grigliatabellachiara1"/>
        <w:tblW w:w="9420" w:type="dxa"/>
        <w:tblLook w:val="04A0" w:firstRow="1" w:lastRow="0" w:firstColumn="1" w:lastColumn="0" w:noHBand="0" w:noVBand="1"/>
      </w:tblPr>
      <w:tblGrid>
        <w:gridCol w:w="1640"/>
        <w:gridCol w:w="3280"/>
        <w:gridCol w:w="1697"/>
        <w:gridCol w:w="2860"/>
      </w:tblGrid>
      <w:tr w:rsidR="00EA779E" w:rsidRPr="00EA779E" w14:paraId="0EC5775C" w14:textId="77777777" w:rsidTr="00EA779E">
        <w:trPr>
          <w:trHeight w:val="540"/>
        </w:trPr>
        <w:tc>
          <w:tcPr>
            <w:tcW w:w="9420" w:type="dxa"/>
            <w:gridSpan w:val="4"/>
            <w:noWrap/>
            <w:hideMark/>
          </w:tcPr>
          <w:p w14:paraId="5B23FD9E" w14:textId="77777777" w:rsidR="00795078" w:rsidRPr="00EA779E" w:rsidRDefault="00795078" w:rsidP="00795078">
            <w:pPr>
              <w:spacing w:after="0" w:line="240" w:lineRule="auto"/>
              <w:jc w:val="center"/>
              <w:rPr>
                <w:rFonts w:eastAsia="Times New Roman" w:cs="Tahoma"/>
                <w:b/>
                <w:bCs/>
                <w:sz w:val="40"/>
                <w:szCs w:val="40"/>
                <w:lang w:eastAsia="it-IT"/>
              </w:rPr>
            </w:pPr>
            <w:r w:rsidRPr="00EA779E">
              <w:rPr>
                <w:rFonts w:eastAsia="Times New Roman" w:cs="Tahoma"/>
                <w:b/>
                <w:bCs/>
                <w:sz w:val="40"/>
                <w:szCs w:val="40"/>
                <w:lang w:eastAsia="it-IT"/>
              </w:rPr>
              <w:lastRenderedPageBreak/>
              <w:t>Piano economico</w:t>
            </w:r>
          </w:p>
        </w:tc>
      </w:tr>
      <w:tr w:rsidR="00EA779E" w:rsidRPr="00EA779E" w14:paraId="2CFA7DBE" w14:textId="77777777" w:rsidTr="00EA779E">
        <w:trPr>
          <w:trHeight w:val="855"/>
        </w:trPr>
        <w:tc>
          <w:tcPr>
            <w:tcW w:w="1640" w:type="dxa"/>
            <w:hideMark/>
          </w:tcPr>
          <w:p w14:paraId="4880B98C" w14:textId="77777777" w:rsidR="00795078" w:rsidRPr="00EA779E" w:rsidRDefault="00795078" w:rsidP="00795078">
            <w:pPr>
              <w:spacing w:after="0" w:line="240" w:lineRule="auto"/>
              <w:jc w:val="center"/>
              <w:rPr>
                <w:rFonts w:eastAsia="Times New Roman" w:cs="Tahoma"/>
                <w:b/>
                <w:bCs/>
                <w:sz w:val="32"/>
                <w:szCs w:val="32"/>
                <w:lang w:eastAsia="it-IT"/>
              </w:rPr>
            </w:pPr>
            <w:r w:rsidRPr="00EA779E">
              <w:rPr>
                <w:rFonts w:eastAsia="Times New Roman" w:cs="Tahoma"/>
                <w:b/>
                <w:bCs/>
                <w:sz w:val="32"/>
                <w:szCs w:val="32"/>
                <w:lang w:eastAsia="it-IT"/>
              </w:rPr>
              <w:t>Dare</w:t>
            </w:r>
            <w:r w:rsidRPr="00EA779E">
              <w:rPr>
                <w:rFonts w:eastAsia="Times New Roman" w:cs="Tahoma"/>
                <w:b/>
                <w:bCs/>
                <w:sz w:val="32"/>
                <w:szCs w:val="32"/>
                <w:lang w:eastAsia="it-IT"/>
              </w:rPr>
              <w:br/>
              <w:t>(COSTI)</w:t>
            </w:r>
          </w:p>
        </w:tc>
        <w:tc>
          <w:tcPr>
            <w:tcW w:w="3280" w:type="dxa"/>
            <w:noWrap/>
            <w:hideMark/>
          </w:tcPr>
          <w:p w14:paraId="0D5B0163" w14:textId="77777777" w:rsidR="00795078" w:rsidRPr="00EA779E" w:rsidRDefault="00795078" w:rsidP="00795078">
            <w:pPr>
              <w:spacing w:after="0" w:line="240" w:lineRule="auto"/>
              <w:jc w:val="center"/>
              <w:rPr>
                <w:rFonts w:eastAsia="Times New Roman" w:cs="Tahoma"/>
                <w:b/>
                <w:bCs/>
                <w:sz w:val="32"/>
                <w:szCs w:val="32"/>
                <w:lang w:eastAsia="it-IT"/>
              </w:rPr>
            </w:pPr>
            <w:r w:rsidRPr="00EA779E">
              <w:rPr>
                <w:rFonts w:eastAsia="Times New Roman" w:cs="Tahoma"/>
                <w:b/>
                <w:bCs/>
                <w:sz w:val="32"/>
                <w:szCs w:val="32"/>
                <w:lang w:eastAsia="it-IT"/>
              </w:rPr>
              <w:t> </w:t>
            </w:r>
          </w:p>
        </w:tc>
        <w:tc>
          <w:tcPr>
            <w:tcW w:w="1640" w:type="dxa"/>
            <w:hideMark/>
          </w:tcPr>
          <w:p w14:paraId="7750D80D" w14:textId="77777777" w:rsidR="00795078" w:rsidRPr="00EA779E" w:rsidRDefault="00795078" w:rsidP="00795078">
            <w:pPr>
              <w:spacing w:after="0" w:line="240" w:lineRule="auto"/>
              <w:jc w:val="center"/>
              <w:rPr>
                <w:rFonts w:eastAsia="Times New Roman" w:cs="Tahoma"/>
                <w:b/>
                <w:bCs/>
                <w:sz w:val="32"/>
                <w:szCs w:val="32"/>
                <w:lang w:eastAsia="it-IT"/>
              </w:rPr>
            </w:pPr>
            <w:r w:rsidRPr="00EA779E">
              <w:rPr>
                <w:rFonts w:eastAsia="Times New Roman" w:cs="Tahoma"/>
                <w:b/>
                <w:bCs/>
                <w:sz w:val="32"/>
                <w:szCs w:val="32"/>
                <w:lang w:eastAsia="it-IT"/>
              </w:rPr>
              <w:t>Avere</w:t>
            </w:r>
            <w:r w:rsidRPr="00EA779E">
              <w:rPr>
                <w:rFonts w:eastAsia="Times New Roman" w:cs="Tahoma"/>
                <w:b/>
                <w:bCs/>
                <w:sz w:val="32"/>
                <w:szCs w:val="32"/>
                <w:lang w:eastAsia="it-IT"/>
              </w:rPr>
              <w:br/>
              <w:t>(RICAVI)</w:t>
            </w:r>
          </w:p>
        </w:tc>
        <w:tc>
          <w:tcPr>
            <w:tcW w:w="2860" w:type="dxa"/>
            <w:noWrap/>
            <w:hideMark/>
          </w:tcPr>
          <w:p w14:paraId="737D678D" w14:textId="77777777" w:rsidR="00795078" w:rsidRPr="00EA779E" w:rsidRDefault="00795078" w:rsidP="00795078">
            <w:pPr>
              <w:spacing w:after="0" w:line="240" w:lineRule="auto"/>
              <w:jc w:val="center"/>
              <w:rPr>
                <w:rFonts w:eastAsia="Times New Roman" w:cs="Tahoma"/>
                <w:b/>
                <w:bCs/>
                <w:sz w:val="32"/>
                <w:szCs w:val="32"/>
                <w:lang w:eastAsia="it-IT"/>
              </w:rPr>
            </w:pPr>
            <w:r w:rsidRPr="00EA779E">
              <w:rPr>
                <w:rFonts w:eastAsia="Times New Roman" w:cs="Tahoma"/>
                <w:b/>
                <w:bCs/>
                <w:sz w:val="32"/>
                <w:szCs w:val="32"/>
                <w:lang w:eastAsia="it-IT"/>
              </w:rPr>
              <w:t> </w:t>
            </w:r>
          </w:p>
        </w:tc>
      </w:tr>
      <w:tr w:rsidR="00EA779E" w:rsidRPr="00EA779E" w14:paraId="37DB9F9F" w14:textId="77777777" w:rsidTr="00EA779E">
        <w:trPr>
          <w:trHeight w:val="525"/>
        </w:trPr>
        <w:tc>
          <w:tcPr>
            <w:tcW w:w="1640" w:type="dxa"/>
            <w:hideMark/>
          </w:tcPr>
          <w:p w14:paraId="20B69CB2"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Codice voce</w:t>
            </w:r>
          </w:p>
        </w:tc>
        <w:tc>
          <w:tcPr>
            <w:tcW w:w="3280" w:type="dxa"/>
            <w:hideMark/>
          </w:tcPr>
          <w:p w14:paraId="18A614C2"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Voce</w:t>
            </w:r>
          </w:p>
        </w:tc>
        <w:tc>
          <w:tcPr>
            <w:tcW w:w="1640" w:type="dxa"/>
            <w:hideMark/>
          </w:tcPr>
          <w:p w14:paraId="367723E1"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Codice voce</w:t>
            </w:r>
          </w:p>
        </w:tc>
        <w:tc>
          <w:tcPr>
            <w:tcW w:w="2860" w:type="dxa"/>
            <w:hideMark/>
          </w:tcPr>
          <w:p w14:paraId="13A83A92"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Voce</w:t>
            </w:r>
          </w:p>
        </w:tc>
      </w:tr>
      <w:tr w:rsidR="00EA779E" w:rsidRPr="00EA779E" w14:paraId="7D3C6BB4" w14:textId="77777777" w:rsidTr="00EA779E">
        <w:trPr>
          <w:trHeight w:val="690"/>
        </w:trPr>
        <w:tc>
          <w:tcPr>
            <w:tcW w:w="1640" w:type="dxa"/>
            <w:noWrap/>
            <w:hideMark/>
          </w:tcPr>
          <w:p w14:paraId="7F877385"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3280" w:type="dxa"/>
            <w:noWrap/>
            <w:hideMark/>
          </w:tcPr>
          <w:p w14:paraId="0A67B094"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1640" w:type="dxa"/>
            <w:noWrap/>
            <w:hideMark/>
          </w:tcPr>
          <w:p w14:paraId="46EDC999"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2860" w:type="dxa"/>
            <w:noWrap/>
            <w:hideMark/>
          </w:tcPr>
          <w:p w14:paraId="2B5BD663"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r>
      <w:tr w:rsidR="00EA779E" w:rsidRPr="00EA779E" w14:paraId="3A5E33BE" w14:textId="77777777" w:rsidTr="00EA779E">
        <w:trPr>
          <w:trHeight w:val="285"/>
        </w:trPr>
        <w:tc>
          <w:tcPr>
            <w:tcW w:w="1640" w:type="dxa"/>
            <w:hideMark/>
          </w:tcPr>
          <w:p w14:paraId="11FCCD22"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3280" w:type="dxa"/>
            <w:hideMark/>
          </w:tcPr>
          <w:p w14:paraId="2A5644D4"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1640" w:type="dxa"/>
            <w:hideMark/>
          </w:tcPr>
          <w:p w14:paraId="4A9B4AB0"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2860" w:type="dxa"/>
            <w:hideMark/>
          </w:tcPr>
          <w:p w14:paraId="428D1B54"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r>
      <w:tr w:rsidR="00EA779E" w:rsidRPr="00EA779E" w14:paraId="7212EDC0" w14:textId="77777777" w:rsidTr="00EA779E">
        <w:trPr>
          <w:trHeight w:val="255"/>
        </w:trPr>
        <w:tc>
          <w:tcPr>
            <w:tcW w:w="1640" w:type="dxa"/>
            <w:hideMark/>
          </w:tcPr>
          <w:p w14:paraId="4AF3CBC7"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3280" w:type="dxa"/>
            <w:hideMark/>
          </w:tcPr>
          <w:p w14:paraId="05DD5D46"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1640" w:type="dxa"/>
            <w:hideMark/>
          </w:tcPr>
          <w:p w14:paraId="185000F4"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2860" w:type="dxa"/>
            <w:hideMark/>
          </w:tcPr>
          <w:p w14:paraId="50413ECC"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r>
      <w:tr w:rsidR="00EA779E" w:rsidRPr="00EA779E" w14:paraId="38F864B1" w14:textId="77777777" w:rsidTr="00EA779E">
        <w:trPr>
          <w:trHeight w:val="240"/>
        </w:trPr>
        <w:tc>
          <w:tcPr>
            <w:tcW w:w="1640" w:type="dxa"/>
            <w:hideMark/>
          </w:tcPr>
          <w:p w14:paraId="5B37D031"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3280" w:type="dxa"/>
            <w:hideMark/>
          </w:tcPr>
          <w:p w14:paraId="073AC1F1"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1640" w:type="dxa"/>
            <w:hideMark/>
          </w:tcPr>
          <w:p w14:paraId="742F01BB" w14:textId="77777777" w:rsidR="00795078" w:rsidRPr="00EA779E" w:rsidRDefault="00795078" w:rsidP="00795078">
            <w:pPr>
              <w:spacing w:after="0" w:line="240" w:lineRule="auto"/>
              <w:rPr>
                <w:rFonts w:eastAsia="Times New Roman" w:cs="Tahoma"/>
                <w:b/>
                <w:bCs/>
                <w:sz w:val="18"/>
                <w:szCs w:val="18"/>
                <w:lang w:eastAsia="it-IT"/>
              </w:rPr>
            </w:pPr>
          </w:p>
        </w:tc>
        <w:tc>
          <w:tcPr>
            <w:tcW w:w="2860" w:type="dxa"/>
            <w:hideMark/>
          </w:tcPr>
          <w:p w14:paraId="4A625234"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r>
      <w:tr w:rsidR="00EA779E" w:rsidRPr="00EA779E" w14:paraId="653EC6A9" w14:textId="77777777" w:rsidTr="00EA779E">
        <w:trPr>
          <w:trHeight w:val="720"/>
        </w:trPr>
        <w:tc>
          <w:tcPr>
            <w:tcW w:w="1640" w:type="dxa"/>
            <w:hideMark/>
          </w:tcPr>
          <w:p w14:paraId="2C3B9EF0"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c>
          <w:tcPr>
            <w:tcW w:w="3280" w:type="dxa"/>
            <w:hideMark/>
          </w:tcPr>
          <w:p w14:paraId="064D1F5A"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c>
          <w:tcPr>
            <w:tcW w:w="1640" w:type="dxa"/>
            <w:hideMark/>
          </w:tcPr>
          <w:p w14:paraId="57B88215"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1.1.1.01.06.001</w:t>
            </w:r>
          </w:p>
        </w:tc>
        <w:tc>
          <w:tcPr>
            <w:tcW w:w="2860" w:type="dxa"/>
            <w:hideMark/>
          </w:tcPr>
          <w:p w14:paraId="5C6336EB"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Imposta municipale propria riscossa a seguito dell'attività ordinaria di gestione</w:t>
            </w:r>
          </w:p>
        </w:tc>
      </w:tr>
      <w:tr w:rsidR="00EA779E" w:rsidRPr="00EA779E" w14:paraId="72CB9FB6" w14:textId="77777777" w:rsidTr="00EA779E">
        <w:trPr>
          <w:trHeight w:val="720"/>
        </w:trPr>
        <w:tc>
          <w:tcPr>
            <w:tcW w:w="1640" w:type="dxa"/>
            <w:hideMark/>
          </w:tcPr>
          <w:p w14:paraId="345833D0"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c>
          <w:tcPr>
            <w:tcW w:w="3280" w:type="dxa"/>
            <w:hideMark/>
          </w:tcPr>
          <w:p w14:paraId="36C8740D"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c>
          <w:tcPr>
            <w:tcW w:w="1640" w:type="dxa"/>
            <w:hideMark/>
          </w:tcPr>
          <w:p w14:paraId="4318E71F"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1.1.1.01.06.002</w:t>
            </w:r>
          </w:p>
        </w:tc>
        <w:tc>
          <w:tcPr>
            <w:tcW w:w="2860" w:type="dxa"/>
            <w:hideMark/>
          </w:tcPr>
          <w:p w14:paraId="2D676648"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Imposte municipale propria riscosse a seguito di attività di verifica e controllo</w:t>
            </w:r>
          </w:p>
        </w:tc>
      </w:tr>
    </w:tbl>
    <w:p w14:paraId="08BAF4DE" w14:textId="77777777" w:rsidR="00795078" w:rsidRPr="00515872" w:rsidRDefault="00795078"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tbl>
      <w:tblPr>
        <w:tblStyle w:val="Grigliatabellachiara1"/>
        <w:tblW w:w="9415" w:type="dxa"/>
        <w:tblLook w:val="04A0" w:firstRow="1" w:lastRow="0" w:firstColumn="1" w:lastColumn="0" w:noHBand="0" w:noVBand="1"/>
      </w:tblPr>
      <w:tblGrid>
        <w:gridCol w:w="1723"/>
        <w:gridCol w:w="2935"/>
        <w:gridCol w:w="1760"/>
        <w:gridCol w:w="3000"/>
      </w:tblGrid>
      <w:tr w:rsidR="00EA779E" w:rsidRPr="00EA779E" w14:paraId="3BAD3BD9" w14:textId="77777777" w:rsidTr="00EA779E">
        <w:trPr>
          <w:trHeight w:val="540"/>
        </w:trPr>
        <w:tc>
          <w:tcPr>
            <w:tcW w:w="9415" w:type="dxa"/>
            <w:gridSpan w:val="4"/>
            <w:noWrap/>
            <w:hideMark/>
          </w:tcPr>
          <w:p w14:paraId="0750A3EC" w14:textId="77777777" w:rsidR="00795078" w:rsidRPr="00EA779E" w:rsidRDefault="00795078" w:rsidP="00795078">
            <w:pPr>
              <w:spacing w:after="0" w:line="240" w:lineRule="auto"/>
              <w:jc w:val="center"/>
              <w:rPr>
                <w:rFonts w:eastAsia="Times New Roman" w:cs="Tahoma"/>
                <w:b/>
                <w:bCs/>
                <w:sz w:val="40"/>
                <w:szCs w:val="40"/>
                <w:lang w:eastAsia="it-IT"/>
              </w:rPr>
            </w:pPr>
            <w:r w:rsidRPr="00EA779E">
              <w:rPr>
                <w:rFonts w:eastAsia="Times New Roman" w:cs="Tahoma"/>
                <w:b/>
                <w:bCs/>
                <w:sz w:val="40"/>
                <w:szCs w:val="40"/>
                <w:lang w:eastAsia="it-IT"/>
              </w:rPr>
              <w:t>Piano patrimoniale</w:t>
            </w:r>
          </w:p>
        </w:tc>
      </w:tr>
      <w:tr w:rsidR="00EA779E" w:rsidRPr="00EA779E" w14:paraId="7E9D374D" w14:textId="77777777" w:rsidTr="00EA779E">
        <w:trPr>
          <w:trHeight w:val="855"/>
        </w:trPr>
        <w:tc>
          <w:tcPr>
            <w:tcW w:w="1720" w:type="dxa"/>
            <w:hideMark/>
          </w:tcPr>
          <w:p w14:paraId="7FDDC6A0"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xml:space="preserve">Dare </w:t>
            </w:r>
            <w:r w:rsidRPr="00EA779E">
              <w:rPr>
                <w:rFonts w:eastAsia="Times New Roman" w:cs="Tahoma"/>
                <w:b/>
                <w:bCs/>
                <w:sz w:val="28"/>
                <w:szCs w:val="28"/>
                <w:lang w:eastAsia="it-IT"/>
              </w:rPr>
              <w:br/>
              <w:t>(ATTIVO)</w:t>
            </w:r>
          </w:p>
        </w:tc>
        <w:tc>
          <w:tcPr>
            <w:tcW w:w="2935" w:type="dxa"/>
            <w:hideMark/>
          </w:tcPr>
          <w:p w14:paraId="7A19DD4F"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w:t>
            </w:r>
          </w:p>
        </w:tc>
        <w:tc>
          <w:tcPr>
            <w:tcW w:w="1760" w:type="dxa"/>
            <w:hideMark/>
          </w:tcPr>
          <w:p w14:paraId="4D4C2333"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xml:space="preserve">Avere </w:t>
            </w:r>
            <w:r w:rsidRPr="00EA779E">
              <w:rPr>
                <w:rFonts w:eastAsia="Times New Roman" w:cs="Tahoma"/>
                <w:b/>
                <w:bCs/>
                <w:sz w:val="28"/>
                <w:szCs w:val="28"/>
                <w:lang w:eastAsia="it-IT"/>
              </w:rPr>
              <w:br/>
              <w:t>(PASSIVO)</w:t>
            </w:r>
          </w:p>
        </w:tc>
        <w:tc>
          <w:tcPr>
            <w:tcW w:w="3000" w:type="dxa"/>
            <w:hideMark/>
          </w:tcPr>
          <w:p w14:paraId="7CEF2CF9"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w:t>
            </w:r>
          </w:p>
        </w:tc>
      </w:tr>
      <w:tr w:rsidR="00EA779E" w:rsidRPr="00EA779E" w14:paraId="0221F61D" w14:textId="77777777" w:rsidTr="00EA779E">
        <w:trPr>
          <w:trHeight w:val="525"/>
        </w:trPr>
        <w:tc>
          <w:tcPr>
            <w:tcW w:w="1720" w:type="dxa"/>
            <w:hideMark/>
          </w:tcPr>
          <w:p w14:paraId="705F8612"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Codice voce SP -DARE</w:t>
            </w:r>
          </w:p>
        </w:tc>
        <w:tc>
          <w:tcPr>
            <w:tcW w:w="2935" w:type="dxa"/>
            <w:hideMark/>
          </w:tcPr>
          <w:p w14:paraId="1BA75F8C"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Voce SP - DARE</w:t>
            </w:r>
          </w:p>
        </w:tc>
        <w:tc>
          <w:tcPr>
            <w:tcW w:w="1760" w:type="dxa"/>
            <w:hideMark/>
          </w:tcPr>
          <w:p w14:paraId="7F092CD6"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Codice voce SP - AVERE</w:t>
            </w:r>
          </w:p>
        </w:tc>
        <w:tc>
          <w:tcPr>
            <w:tcW w:w="3000" w:type="dxa"/>
            <w:hideMark/>
          </w:tcPr>
          <w:p w14:paraId="1E0A09AD"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Voce SP - AVERE</w:t>
            </w:r>
          </w:p>
        </w:tc>
      </w:tr>
      <w:tr w:rsidR="00EA779E" w:rsidRPr="00EA779E" w14:paraId="447BBE52" w14:textId="77777777" w:rsidTr="00EA779E">
        <w:trPr>
          <w:trHeight w:val="690"/>
        </w:trPr>
        <w:tc>
          <w:tcPr>
            <w:tcW w:w="1720" w:type="dxa"/>
            <w:noWrap/>
            <w:hideMark/>
          </w:tcPr>
          <w:p w14:paraId="6BEB55DA"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2935" w:type="dxa"/>
            <w:noWrap/>
            <w:hideMark/>
          </w:tcPr>
          <w:p w14:paraId="3E49898E"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1760" w:type="dxa"/>
            <w:noWrap/>
            <w:hideMark/>
          </w:tcPr>
          <w:p w14:paraId="262ED2A5"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3000" w:type="dxa"/>
            <w:noWrap/>
            <w:hideMark/>
          </w:tcPr>
          <w:p w14:paraId="6D53D769"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r>
      <w:tr w:rsidR="00EA779E" w:rsidRPr="00EA779E" w14:paraId="3EDB3B04" w14:textId="77777777" w:rsidTr="00EA779E">
        <w:trPr>
          <w:trHeight w:val="285"/>
        </w:trPr>
        <w:tc>
          <w:tcPr>
            <w:tcW w:w="1720" w:type="dxa"/>
            <w:hideMark/>
          </w:tcPr>
          <w:p w14:paraId="5A412E46"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2935" w:type="dxa"/>
            <w:hideMark/>
          </w:tcPr>
          <w:p w14:paraId="11990F25"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1760" w:type="dxa"/>
            <w:hideMark/>
          </w:tcPr>
          <w:p w14:paraId="37E6BE82"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3000" w:type="dxa"/>
            <w:hideMark/>
          </w:tcPr>
          <w:p w14:paraId="2A274051"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r>
      <w:tr w:rsidR="00EA779E" w:rsidRPr="00EA779E" w14:paraId="69D42FA7" w14:textId="77777777" w:rsidTr="00EA779E">
        <w:trPr>
          <w:trHeight w:val="255"/>
        </w:trPr>
        <w:tc>
          <w:tcPr>
            <w:tcW w:w="1720" w:type="dxa"/>
            <w:hideMark/>
          </w:tcPr>
          <w:p w14:paraId="7B73EF40"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2935" w:type="dxa"/>
            <w:hideMark/>
          </w:tcPr>
          <w:p w14:paraId="29AE728C"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1760" w:type="dxa"/>
            <w:hideMark/>
          </w:tcPr>
          <w:p w14:paraId="246D27EC"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3000" w:type="dxa"/>
            <w:hideMark/>
          </w:tcPr>
          <w:p w14:paraId="0AA15205"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r>
      <w:tr w:rsidR="00EA779E" w:rsidRPr="00EA779E" w14:paraId="6F223677" w14:textId="77777777" w:rsidTr="00EA779E">
        <w:trPr>
          <w:trHeight w:val="240"/>
        </w:trPr>
        <w:tc>
          <w:tcPr>
            <w:tcW w:w="1720" w:type="dxa"/>
            <w:hideMark/>
          </w:tcPr>
          <w:p w14:paraId="0C350F75"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2935" w:type="dxa"/>
            <w:hideMark/>
          </w:tcPr>
          <w:p w14:paraId="6A9EC3A8"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1760" w:type="dxa"/>
            <w:hideMark/>
          </w:tcPr>
          <w:p w14:paraId="67C50129" w14:textId="77777777" w:rsidR="00795078" w:rsidRPr="00EA779E" w:rsidRDefault="00795078" w:rsidP="00795078">
            <w:pPr>
              <w:spacing w:after="0" w:line="240" w:lineRule="auto"/>
              <w:rPr>
                <w:rFonts w:eastAsia="Times New Roman" w:cs="Tahoma"/>
                <w:b/>
                <w:bCs/>
                <w:sz w:val="18"/>
                <w:szCs w:val="18"/>
                <w:lang w:eastAsia="it-IT"/>
              </w:rPr>
            </w:pPr>
          </w:p>
        </w:tc>
        <w:tc>
          <w:tcPr>
            <w:tcW w:w="3000" w:type="dxa"/>
            <w:hideMark/>
          </w:tcPr>
          <w:p w14:paraId="0BCA68C6"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r>
      <w:tr w:rsidR="00EA779E" w:rsidRPr="00EA779E" w14:paraId="6131A8AE" w14:textId="77777777" w:rsidTr="00EA779E">
        <w:trPr>
          <w:trHeight w:val="720"/>
        </w:trPr>
        <w:tc>
          <w:tcPr>
            <w:tcW w:w="1720" w:type="dxa"/>
            <w:hideMark/>
          </w:tcPr>
          <w:p w14:paraId="0E905876"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1.3.2.01.01.01.006</w:t>
            </w:r>
          </w:p>
        </w:tc>
        <w:tc>
          <w:tcPr>
            <w:tcW w:w="2935" w:type="dxa"/>
            <w:hideMark/>
          </w:tcPr>
          <w:p w14:paraId="529E69A1"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Crediti da riscossione Imposta municipale propria</w:t>
            </w:r>
          </w:p>
        </w:tc>
        <w:tc>
          <w:tcPr>
            <w:tcW w:w="1760" w:type="dxa"/>
            <w:hideMark/>
          </w:tcPr>
          <w:p w14:paraId="22471943" w14:textId="77777777" w:rsidR="00795078" w:rsidRPr="00EA779E" w:rsidRDefault="00795078" w:rsidP="00795078">
            <w:pPr>
              <w:spacing w:after="0" w:line="240" w:lineRule="auto"/>
              <w:rPr>
                <w:rFonts w:eastAsia="Times New Roman" w:cs="Tahoma"/>
                <w:sz w:val="18"/>
                <w:szCs w:val="18"/>
                <w:lang w:eastAsia="it-IT"/>
              </w:rPr>
            </w:pPr>
          </w:p>
        </w:tc>
        <w:tc>
          <w:tcPr>
            <w:tcW w:w="3000" w:type="dxa"/>
            <w:hideMark/>
          </w:tcPr>
          <w:p w14:paraId="1CA0D5AA"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r>
      <w:tr w:rsidR="00EA779E" w:rsidRPr="00EA779E" w14:paraId="7A7AF486" w14:textId="77777777" w:rsidTr="00EA779E">
        <w:trPr>
          <w:trHeight w:val="720"/>
        </w:trPr>
        <w:tc>
          <w:tcPr>
            <w:tcW w:w="1720" w:type="dxa"/>
            <w:hideMark/>
          </w:tcPr>
          <w:p w14:paraId="492117D1"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1.3.2.01.01.01.006</w:t>
            </w:r>
          </w:p>
        </w:tc>
        <w:tc>
          <w:tcPr>
            <w:tcW w:w="2935" w:type="dxa"/>
            <w:hideMark/>
          </w:tcPr>
          <w:p w14:paraId="159B8964"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Crediti da riscossione Imposta municipale propria</w:t>
            </w:r>
          </w:p>
        </w:tc>
        <w:tc>
          <w:tcPr>
            <w:tcW w:w="1760" w:type="dxa"/>
            <w:hideMark/>
          </w:tcPr>
          <w:p w14:paraId="0AF27A5A" w14:textId="77777777" w:rsidR="00795078" w:rsidRPr="00EA779E" w:rsidRDefault="00795078" w:rsidP="00795078">
            <w:pPr>
              <w:spacing w:after="0" w:line="240" w:lineRule="auto"/>
              <w:rPr>
                <w:rFonts w:eastAsia="Times New Roman" w:cs="Tahoma"/>
                <w:sz w:val="18"/>
                <w:szCs w:val="18"/>
                <w:lang w:eastAsia="it-IT"/>
              </w:rPr>
            </w:pPr>
          </w:p>
        </w:tc>
        <w:tc>
          <w:tcPr>
            <w:tcW w:w="3000" w:type="dxa"/>
            <w:hideMark/>
          </w:tcPr>
          <w:p w14:paraId="134C8AF1"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 </w:t>
            </w:r>
          </w:p>
        </w:tc>
      </w:tr>
    </w:tbl>
    <w:p w14:paraId="5A03A2A1" w14:textId="77777777" w:rsidR="00795078" w:rsidRPr="00515872" w:rsidRDefault="00795078"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5882CE55" w14:textId="77777777" w:rsidR="004D32BA" w:rsidRPr="00515872" w:rsidRDefault="004D32BA"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2D327689" w14:textId="77777777" w:rsidR="004D32BA" w:rsidRPr="00515872" w:rsidRDefault="004D32BA"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03FA2F94" w14:textId="77777777" w:rsidR="004D32BA" w:rsidRPr="00515872" w:rsidRDefault="004D32BA"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tbl>
      <w:tblPr>
        <w:tblStyle w:val="Grigliatabellachiara1"/>
        <w:tblW w:w="9295" w:type="dxa"/>
        <w:tblLook w:val="04A0" w:firstRow="1" w:lastRow="0" w:firstColumn="1" w:lastColumn="0" w:noHBand="0" w:noVBand="1"/>
      </w:tblPr>
      <w:tblGrid>
        <w:gridCol w:w="1780"/>
        <w:gridCol w:w="2875"/>
        <w:gridCol w:w="1741"/>
        <w:gridCol w:w="2920"/>
      </w:tblGrid>
      <w:tr w:rsidR="00EA779E" w:rsidRPr="00EA779E" w14:paraId="08CE25C3" w14:textId="77777777" w:rsidTr="00EA779E">
        <w:trPr>
          <w:trHeight w:val="540"/>
        </w:trPr>
        <w:tc>
          <w:tcPr>
            <w:tcW w:w="9295" w:type="dxa"/>
            <w:gridSpan w:val="4"/>
            <w:noWrap/>
            <w:hideMark/>
          </w:tcPr>
          <w:p w14:paraId="2FFFF105" w14:textId="77777777" w:rsidR="00795078" w:rsidRPr="00EA779E" w:rsidRDefault="00795078" w:rsidP="00795078">
            <w:pPr>
              <w:spacing w:after="0" w:line="240" w:lineRule="auto"/>
              <w:jc w:val="center"/>
              <w:rPr>
                <w:rFonts w:eastAsia="Times New Roman" w:cs="Tahoma"/>
                <w:b/>
                <w:bCs/>
                <w:sz w:val="40"/>
                <w:szCs w:val="40"/>
                <w:lang w:eastAsia="it-IT"/>
              </w:rPr>
            </w:pPr>
            <w:r w:rsidRPr="00EA779E">
              <w:rPr>
                <w:rFonts w:eastAsia="Times New Roman" w:cs="Tahoma"/>
                <w:b/>
                <w:bCs/>
                <w:sz w:val="40"/>
                <w:szCs w:val="40"/>
                <w:lang w:eastAsia="it-IT"/>
              </w:rPr>
              <w:lastRenderedPageBreak/>
              <w:t>Piano patrimoniale (variazione della liquidità)</w:t>
            </w:r>
          </w:p>
        </w:tc>
      </w:tr>
      <w:tr w:rsidR="00EA779E" w:rsidRPr="00EA779E" w14:paraId="71FDFBA8" w14:textId="77777777" w:rsidTr="00EA779E">
        <w:trPr>
          <w:trHeight w:val="855"/>
        </w:trPr>
        <w:tc>
          <w:tcPr>
            <w:tcW w:w="1780" w:type="dxa"/>
            <w:hideMark/>
          </w:tcPr>
          <w:p w14:paraId="678B4E41"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xml:space="preserve">Dare </w:t>
            </w:r>
            <w:r w:rsidRPr="00EA779E">
              <w:rPr>
                <w:rFonts w:eastAsia="Times New Roman" w:cs="Tahoma"/>
                <w:b/>
                <w:bCs/>
                <w:sz w:val="28"/>
                <w:szCs w:val="28"/>
                <w:lang w:eastAsia="it-IT"/>
              </w:rPr>
              <w:br/>
              <w:t>(ATTIVO)</w:t>
            </w:r>
          </w:p>
        </w:tc>
        <w:tc>
          <w:tcPr>
            <w:tcW w:w="2875" w:type="dxa"/>
            <w:hideMark/>
          </w:tcPr>
          <w:p w14:paraId="6645F817"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w:t>
            </w:r>
          </w:p>
        </w:tc>
        <w:tc>
          <w:tcPr>
            <w:tcW w:w="1720" w:type="dxa"/>
            <w:hideMark/>
          </w:tcPr>
          <w:p w14:paraId="254B7A73"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xml:space="preserve">Avere </w:t>
            </w:r>
            <w:r w:rsidRPr="00EA779E">
              <w:rPr>
                <w:rFonts w:eastAsia="Times New Roman" w:cs="Tahoma"/>
                <w:b/>
                <w:bCs/>
                <w:sz w:val="28"/>
                <w:szCs w:val="28"/>
                <w:lang w:eastAsia="it-IT"/>
              </w:rPr>
              <w:br/>
              <w:t>(PASSIVO)</w:t>
            </w:r>
          </w:p>
        </w:tc>
        <w:tc>
          <w:tcPr>
            <w:tcW w:w="2920" w:type="dxa"/>
            <w:hideMark/>
          </w:tcPr>
          <w:p w14:paraId="5BA55D6D" w14:textId="77777777" w:rsidR="00795078" w:rsidRPr="00EA779E" w:rsidRDefault="00795078" w:rsidP="00795078">
            <w:pPr>
              <w:spacing w:after="0" w:line="240" w:lineRule="auto"/>
              <w:jc w:val="center"/>
              <w:rPr>
                <w:rFonts w:eastAsia="Times New Roman" w:cs="Tahoma"/>
                <w:b/>
                <w:bCs/>
                <w:sz w:val="28"/>
                <w:szCs w:val="28"/>
                <w:lang w:eastAsia="it-IT"/>
              </w:rPr>
            </w:pPr>
            <w:r w:rsidRPr="00EA779E">
              <w:rPr>
                <w:rFonts w:eastAsia="Times New Roman" w:cs="Tahoma"/>
                <w:b/>
                <w:bCs/>
                <w:sz w:val="28"/>
                <w:szCs w:val="28"/>
                <w:lang w:eastAsia="it-IT"/>
              </w:rPr>
              <w:t> </w:t>
            </w:r>
          </w:p>
        </w:tc>
      </w:tr>
      <w:tr w:rsidR="00EA779E" w:rsidRPr="00EA779E" w14:paraId="6086C1DF" w14:textId="77777777" w:rsidTr="00EA779E">
        <w:trPr>
          <w:trHeight w:val="525"/>
        </w:trPr>
        <w:tc>
          <w:tcPr>
            <w:tcW w:w="1780" w:type="dxa"/>
            <w:hideMark/>
          </w:tcPr>
          <w:p w14:paraId="37AC4CCD"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xml:space="preserve">Codice voce SP </w:t>
            </w:r>
            <w:proofErr w:type="spellStart"/>
            <w:r w:rsidRPr="00EA779E">
              <w:rPr>
                <w:rFonts w:eastAsia="Times New Roman" w:cs="Tahoma"/>
                <w:b/>
                <w:bCs/>
                <w:szCs w:val="20"/>
                <w:lang w:eastAsia="it-IT"/>
              </w:rPr>
              <w:t>Liq</w:t>
            </w:r>
            <w:proofErr w:type="spellEnd"/>
            <w:r w:rsidRPr="00EA779E">
              <w:rPr>
                <w:rFonts w:eastAsia="Times New Roman" w:cs="Tahoma"/>
                <w:b/>
                <w:bCs/>
                <w:szCs w:val="20"/>
                <w:lang w:eastAsia="it-IT"/>
              </w:rPr>
              <w:t xml:space="preserve"> - DARE</w:t>
            </w:r>
          </w:p>
        </w:tc>
        <w:tc>
          <w:tcPr>
            <w:tcW w:w="2875" w:type="dxa"/>
            <w:hideMark/>
          </w:tcPr>
          <w:p w14:paraId="680B162F"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xml:space="preserve">Voce SP </w:t>
            </w:r>
            <w:proofErr w:type="spellStart"/>
            <w:r w:rsidRPr="00EA779E">
              <w:rPr>
                <w:rFonts w:eastAsia="Times New Roman" w:cs="Tahoma"/>
                <w:b/>
                <w:bCs/>
                <w:szCs w:val="20"/>
                <w:lang w:eastAsia="it-IT"/>
              </w:rPr>
              <w:t>Liq</w:t>
            </w:r>
            <w:proofErr w:type="spellEnd"/>
            <w:r w:rsidRPr="00EA779E">
              <w:rPr>
                <w:rFonts w:eastAsia="Times New Roman" w:cs="Tahoma"/>
                <w:b/>
                <w:bCs/>
                <w:szCs w:val="20"/>
                <w:lang w:eastAsia="it-IT"/>
              </w:rPr>
              <w:t xml:space="preserve"> - DARE</w:t>
            </w:r>
          </w:p>
        </w:tc>
        <w:tc>
          <w:tcPr>
            <w:tcW w:w="1720" w:type="dxa"/>
            <w:hideMark/>
          </w:tcPr>
          <w:p w14:paraId="0C5EEE61"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xml:space="preserve">Codice voce SP </w:t>
            </w:r>
            <w:proofErr w:type="spellStart"/>
            <w:r w:rsidRPr="00EA779E">
              <w:rPr>
                <w:rFonts w:eastAsia="Times New Roman" w:cs="Tahoma"/>
                <w:b/>
                <w:bCs/>
                <w:szCs w:val="20"/>
                <w:lang w:eastAsia="it-IT"/>
              </w:rPr>
              <w:t>Liq</w:t>
            </w:r>
            <w:proofErr w:type="spellEnd"/>
            <w:r w:rsidRPr="00EA779E">
              <w:rPr>
                <w:rFonts w:eastAsia="Times New Roman" w:cs="Tahoma"/>
                <w:b/>
                <w:bCs/>
                <w:szCs w:val="20"/>
                <w:lang w:eastAsia="it-IT"/>
              </w:rPr>
              <w:t xml:space="preserve"> - AVERE</w:t>
            </w:r>
          </w:p>
        </w:tc>
        <w:tc>
          <w:tcPr>
            <w:tcW w:w="2920" w:type="dxa"/>
            <w:hideMark/>
          </w:tcPr>
          <w:p w14:paraId="30EBC8E5"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xml:space="preserve">Voce SP </w:t>
            </w:r>
            <w:proofErr w:type="spellStart"/>
            <w:r w:rsidRPr="00EA779E">
              <w:rPr>
                <w:rFonts w:eastAsia="Times New Roman" w:cs="Tahoma"/>
                <w:b/>
                <w:bCs/>
                <w:szCs w:val="20"/>
                <w:lang w:eastAsia="it-IT"/>
              </w:rPr>
              <w:t>Liq</w:t>
            </w:r>
            <w:proofErr w:type="spellEnd"/>
            <w:r w:rsidRPr="00EA779E">
              <w:rPr>
                <w:rFonts w:eastAsia="Times New Roman" w:cs="Tahoma"/>
                <w:b/>
                <w:bCs/>
                <w:szCs w:val="20"/>
                <w:lang w:eastAsia="it-IT"/>
              </w:rPr>
              <w:t xml:space="preserve"> - AVERE</w:t>
            </w:r>
          </w:p>
        </w:tc>
      </w:tr>
      <w:tr w:rsidR="00EA779E" w:rsidRPr="00EA779E" w14:paraId="711D59D5" w14:textId="77777777" w:rsidTr="00EA779E">
        <w:trPr>
          <w:trHeight w:val="690"/>
        </w:trPr>
        <w:tc>
          <w:tcPr>
            <w:tcW w:w="1780" w:type="dxa"/>
            <w:noWrap/>
            <w:hideMark/>
          </w:tcPr>
          <w:p w14:paraId="2CC86932"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2875" w:type="dxa"/>
            <w:noWrap/>
            <w:hideMark/>
          </w:tcPr>
          <w:p w14:paraId="1F786D32"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1720" w:type="dxa"/>
            <w:noWrap/>
            <w:hideMark/>
          </w:tcPr>
          <w:p w14:paraId="6A01DC52"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c>
          <w:tcPr>
            <w:tcW w:w="2920" w:type="dxa"/>
            <w:noWrap/>
            <w:hideMark/>
          </w:tcPr>
          <w:p w14:paraId="646E28BA" w14:textId="77777777" w:rsidR="00795078" w:rsidRPr="00EA779E" w:rsidRDefault="00795078" w:rsidP="00795078">
            <w:pPr>
              <w:spacing w:after="0" w:line="240" w:lineRule="auto"/>
              <w:rPr>
                <w:rFonts w:eastAsia="Times New Roman" w:cs="Tahoma"/>
                <w:b/>
                <w:bCs/>
                <w:sz w:val="26"/>
                <w:szCs w:val="26"/>
                <w:lang w:eastAsia="it-IT"/>
              </w:rPr>
            </w:pPr>
            <w:r w:rsidRPr="00EA779E">
              <w:rPr>
                <w:rFonts w:eastAsia="Times New Roman" w:cs="Tahoma"/>
                <w:b/>
                <w:bCs/>
                <w:sz w:val="26"/>
                <w:szCs w:val="26"/>
                <w:lang w:eastAsia="it-IT"/>
              </w:rPr>
              <w:t> </w:t>
            </w:r>
          </w:p>
        </w:tc>
      </w:tr>
      <w:tr w:rsidR="00EA779E" w:rsidRPr="00EA779E" w14:paraId="6211D2C9" w14:textId="77777777" w:rsidTr="00EA779E">
        <w:trPr>
          <w:trHeight w:val="285"/>
        </w:trPr>
        <w:tc>
          <w:tcPr>
            <w:tcW w:w="1780" w:type="dxa"/>
            <w:hideMark/>
          </w:tcPr>
          <w:p w14:paraId="0E0C40A9"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2875" w:type="dxa"/>
            <w:hideMark/>
          </w:tcPr>
          <w:p w14:paraId="071945AD"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1720" w:type="dxa"/>
            <w:hideMark/>
          </w:tcPr>
          <w:p w14:paraId="6F92ACC0"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c>
          <w:tcPr>
            <w:tcW w:w="2920" w:type="dxa"/>
            <w:hideMark/>
          </w:tcPr>
          <w:p w14:paraId="68FA36B6" w14:textId="77777777" w:rsidR="00795078" w:rsidRPr="00EA779E" w:rsidRDefault="00795078" w:rsidP="00795078">
            <w:pPr>
              <w:spacing w:after="0" w:line="240" w:lineRule="auto"/>
              <w:rPr>
                <w:rFonts w:eastAsia="Times New Roman" w:cs="Tahoma"/>
                <w:b/>
                <w:bCs/>
                <w:sz w:val="21"/>
                <w:szCs w:val="21"/>
                <w:lang w:eastAsia="it-IT"/>
              </w:rPr>
            </w:pPr>
            <w:r w:rsidRPr="00EA779E">
              <w:rPr>
                <w:rFonts w:eastAsia="Times New Roman" w:cs="Tahoma"/>
                <w:b/>
                <w:bCs/>
                <w:strike/>
                <w:sz w:val="21"/>
                <w:szCs w:val="21"/>
                <w:lang w:eastAsia="it-IT"/>
              </w:rPr>
              <w:t> </w:t>
            </w:r>
          </w:p>
        </w:tc>
      </w:tr>
      <w:tr w:rsidR="00EA779E" w:rsidRPr="00EA779E" w14:paraId="1FDB64D0" w14:textId="77777777" w:rsidTr="00EA779E">
        <w:trPr>
          <w:trHeight w:val="255"/>
        </w:trPr>
        <w:tc>
          <w:tcPr>
            <w:tcW w:w="1780" w:type="dxa"/>
            <w:hideMark/>
          </w:tcPr>
          <w:p w14:paraId="60D04DB9"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2875" w:type="dxa"/>
            <w:hideMark/>
          </w:tcPr>
          <w:p w14:paraId="324290D8"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1720" w:type="dxa"/>
            <w:hideMark/>
          </w:tcPr>
          <w:p w14:paraId="3EBB71C1"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c>
          <w:tcPr>
            <w:tcW w:w="2920" w:type="dxa"/>
            <w:hideMark/>
          </w:tcPr>
          <w:p w14:paraId="3807D74D" w14:textId="77777777" w:rsidR="00795078" w:rsidRPr="00EA779E" w:rsidRDefault="00795078" w:rsidP="00795078">
            <w:pPr>
              <w:spacing w:after="0" w:line="240" w:lineRule="auto"/>
              <w:rPr>
                <w:rFonts w:eastAsia="Times New Roman" w:cs="Tahoma"/>
                <w:b/>
                <w:bCs/>
                <w:szCs w:val="20"/>
                <w:lang w:eastAsia="it-IT"/>
              </w:rPr>
            </w:pPr>
            <w:r w:rsidRPr="00EA779E">
              <w:rPr>
                <w:rFonts w:eastAsia="Times New Roman" w:cs="Tahoma"/>
                <w:b/>
                <w:bCs/>
                <w:szCs w:val="20"/>
                <w:lang w:eastAsia="it-IT"/>
              </w:rPr>
              <w:t> </w:t>
            </w:r>
          </w:p>
        </w:tc>
      </w:tr>
      <w:tr w:rsidR="00EA779E" w:rsidRPr="00EA779E" w14:paraId="6B746B08" w14:textId="77777777" w:rsidTr="00EA779E">
        <w:trPr>
          <w:trHeight w:val="240"/>
        </w:trPr>
        <w:tc>
          <w:tcPr>
            <w:tcW w:w="1780" w:type="dxa"/>
            <w:hideMark/>
          </w:tcPr>
          <w:p w14:paraId="3EB7501C"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2875" w:type="dxa"/>
            <w:hideMark/>
          </w:tcPr>
          <w:p w14:paraId="19892621"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c>
          <w:tcPr>
            <w:tcW w:w="1720" w:type="dxa"/>
            <w:hideMark/>
          </w:tcPr>
          <w:p w14:paraId="3D887F4E" w14:textId="77777777" w:rsidR="00795078" w:rsidRPr="00EA779E" w:rsidRDefault="00795078" w:rsidP="00795078">
            <w:pPr>
              <w:spacing w:after="0" w:line="240" w:lineRule="auto"/>
              <w:rPr>
                <w:rFonts w:eastAsia="Times New Roman" w:cs="Tahoma"/>
                <w:b/>
                <w:bCs/>
                <w:sz w:val="18"/>
                <w:szCs w:val="18"/>
                <w:lang w:eastAsia="it-IT"/>
              </w:rPr>
            </w:pPr>
          </w:p>
        </w:tc>
        <w:tc>
          <w:tcPr>
            <w:tcW w:w="2920" w:type="dxa"/>
            <w:hideMark/>
          </w:tcPr>
          <w:p w14:paraId="38889978" w14:textId="77777777" w:rsidR="00795078" w:rsidRPr="00EA779E" w:rsidRDefault="00795078" w:rsidP="00795078">
            <w:pPr>
              <w:spacing w:after="0" w:line="240" w:lineRule="auto"/>
              <w:rPr>
                <w:rFonts w:eastAsia="Times New Roman" w:cs="Tahoma"/>
                <w:b/>
                <w:bCs/>
                <w:sz w:val="18"/>
                <w:szCs w:val="18"/>
                <w:lang w:eastAsia="it-IT"/>
              </w:rPr>
            </w:pPr>
            <w:r w:rsidRPr="00EA779E">
              <w:rPr>
                <w:rFonts w:eastAsia="Times New Roman" w:cs="Tahoma"/>
                <w:b/>
                <w:bCs/>
                <w:sz w:val="18"/>
                <w:szCs w:val="18"/>
                <w:lang w:eastAsia="it-IT"/>
              </w:rPr>
              <w:t> </w:t>
            </w:r>
          </w:p>
        </w:tc>
      </w:tr>
      <w:tr w:rsidR="00EA779E" w:rsidRPr="00EA779E" w14:paraId="14CF2351" w14:textId="77777777" w:rsidTr="00EA779E">
        <w:trPr>
          <w:trHeight w:val="720"/>
        </w:trPr>
        <w:tc>
          <w:tcPr>
            <w:tcW w:w="1780" w:type="dxa"/>
            <w:hideMark/>
          </w:tcPr>
          <w:p w14:paraId="6C3AF4F6"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1.3.4</w:t>
            </w:r>
          </w:p>
        </w:tc>
        <w:tc>
          <w:tcPr>
            <w:tcW w:w="2875" w:type="dxa"/>
            <w:hideMark/>
          </w:tcPr>
          <w:p w14:paraId="2CD4604E"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Disponibilità liquide</w:t>
            </w:r>
          </w:p>
        </w:tc>
        <w:tc>
          <w:tcPr>
            <w:tcW w:w="1720" w:type="dxa"/>
            <w:hideMark/>
          </w:tcPr>
          <w:p w14:paraId="6A7F4934"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1.3.2.01.01.01.006</w:t>
            </w:r>
          </w:p>
        </w:tc>
        <w:tc>
          <w:tcPr>
            <w:tcW w:w="2920" w:type="dxa"/>
            <w:hideMark/>
          </w:tcPr>
          <w:p w14:paraId="30284AED"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Crediti da riscossione Imposta municipale propria</w:t>
            </w:r>
          </w:p>
        </w:tc>
      </w:tr>
      <w:tr w:rsidR="00EA779E" w:rsidRPr="00EA779E" w14:paraId="30B68FEF" w14:textId="77777777" w:rsidTr="00EA779E">
        <w:trPr>
          <w:trHeight w:val="720"/>
        </w:trPr>
        <w:tc>
          <w:tcPr>
            <w:tcW w:w="1780" w:type="dxa"/>
            <w:hideMark/>
          </w:tcPr>
          <w:p w14:paraId="698A9D42"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1.3.4</w:t>
            </w:r>
          </w:p>
        </w:tc>
        <w:tc>
          <w:tcPr>
            <w:tcW w:w="2875" w:type="dxa"/>
            <w:hideMark/>
          </w:tcPr>
          <w:p w14:paraId="05BFEE15"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Disponibilità liquide</w:t>
            </w:r>
          </w:p>
        </w:tc>
        <w:tc>
          <w:tcPr>
            <w:tcW w:w="1720" w:type="dxa"/>
            <w:hideMark/>
          </w:tcPr>
          <w:p w14:paraId="2F1D4DD5"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1.3.2.01.01.01.006</w:t>
            </w:r>
          </w:p>
        </w:tc>
        <w:tc>
          <w:tcPr>
            <w:tcW w:w="2920" w:type="dxa"/>
            <w:hideMark/>
          </w:tcPr>
          <w:p w14:paraId="123FB2AF" w14:textId="77777777" w:rsidR="00795078" w:rsidRPr="00EA779E" w:rsidRDefault="00795078" w:rsidP="00795078">
            <w:pPr>
              <w:spacing w:after="0" w:line="240" w:lineRule="auto"/>
              <w:rPr>
                <w:rFonts w:eastAsia="Times New Roman" w:cs="Tahoma"/>
                <w:sz w:val="18"/>
                <w:szCs w:val="18"/>
                <w:lang w:eastAsia="it-IT"/>
              </w:rPr>
            </w:pPr>
            <w:r w:rsidRPr="00EA779E">
              <w:rPr>
                <w:rFonts w:eastAsia="Times New Roman" w:cs="Tahoma"/>
                <w:sz w:val="18"/>
                <w:szCs w:val="18"/>
                <w:lang w:eastAsia="it-IT"/>
              </w:rPr>
              <w:t>Crediti da riscossione Imposta municipale propria</w:t>
            </w:r>
          </w:p>
        </w:tc>
      </w:tr>
    </w:tbl>
    <w:p w14:paraId="66BC8BAE" w14:textId="77777777" w:rsidR="00795078" w:rsidRPr="00515872" w:rsidRDefault="00795078"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highlight w:val="red"/>
          <w:lang w:eastAsia="it-IT"/>
        </w:rPr>
      </w:pPr>
    </w:p>
    <w:p w14:paraId="6A47737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I principi della contabilità</w:t>
      </w:r>
      <w:r w:rsidR="00F57C70" w:rsidRPr="00515872">
        <w:rPr>
          <w:rFonts w:eastAsia="Times New Roman" w:cs="Tahoma"/>
          <w:bCs/>
          <w:szCs w:val="20"/>
          <w:lang w:eastAsia="it-IT"/>
        </w:rPr>
        <w:t xml:space="preserve"> finanziaria sono contenuti nell’allegato </w:t>
      </w:r>
      <w:r w:rsidR="007E29BD" w:rsidRPr="00515872">
        <w:rPr>
          <w:rFonts w:eastAsia="Times New Roman" w:cs="Tahoma"/>
          <w:bCs/>
          <w:szCs w:val="20"/>
          <w:lang w:eastAsia="it-IT"/>
        </w:rPr>
        <w:t xml:space="preserve">n. </w:t>
      </w:r>
      <w:r w:rsidR="00F57C70" w:rsidRPr="00515872">
        <w:rPr>
          <w:rFonts w:eastAsia="Times New Roman" w:cs="Tahoma"/>
          <w:bCs/>
          <w:szCs w:val="20"/>
          <w:lang w:eastAsia="it-IT"/>
        </w:rPr>
        <w:t xml:space="preserve">4/2 al </w:t>
      </w:r>
      <w:proofErr w:type="spellStart"/>
      <w:r w:rsidR="00F57C70" w:rsidRPr="00515872">
        <w:rPr>
          <w:rFonts w:eastAsia="Times New Roman" w:cs="Tahoma"/>
          <w:bCs/>
          <w:szCs w:val="20"/>
          <w:lang w:eastAsia="it-IT"/>
        </w:rPr>
        <w:t>D.Lg</w:t>
      </w:r>
      <w:r w:rsidR="00BB393B" w:rsidRPr="00515872">
        <w:rPr>
          <w:rFonts w:eastAsia="Times New Roman" w:cs="Tahoma"/>
          <w:bCs/>
          <w:szCs w:val="20"/>
          <w:lang w:eastAsia="it-IT"/>
        </w:rPr>
        <w:t>s.</w:t>
      </w:r>
      <w:proofErr w:type="spellEnd"/>
      <w:r w:rsidR="00BB393B" w:rsidRPr="00515872">
        <w:rPr>
          <w:rFonts w:eastAsia="Times New Roman" w:cs="Tahoma"/>
          <w:bCs/>
          <w:szCs w:val="20"/>
          <w:lang w:eastAsia="it-IT"/>
        </w:rPr>
        <w:t xml:space="preserve"> n. 118/2011</w:t>
      </w:r>
      <w:r w:rsidR="00F57C70" w:rsidRPr="00515872">
        <w:rPr>
          <w:rFonts w:eastAsia="Times New Roman" w:cs="Tahoma"/>
          <w:bCs/>
          <w:szCs w:val="20"/>
          <w:lang w:eastAsia="it-IT"/>
        </w:rPr>
        <w:t>, mentre quelli della contabilità</w:t>
      </w:r>
      <w:r w:rsidRPr="00515872">
        <w:rPr>
          <w:rFonts w:eastAsia="Times New Roman" w:cs="Tahoma"/>
          <w:bCs/>
          <w:szCs w:val="20"/>
          <w:lang w:eastAsia="it-IT"/>
        </w:rPr>
        <w:t xml:space="preserve"> economico-patrimoniale sono contenuti nell’allegato </w:t>
      </w:r>
      <w:r w:rsidR="007E29BD" w:rsidRPr="00515872">
        <w:rPr>
          <w:rFonts w:eastAsia="Times New Roman" w:cs="Tahoma"/>
          <w:bCs/>
          <w:szCs w:val="20"/>
          <w:lang w:eastAsia="it-IT"/>
        </w:rPr>
        <w:t xml:space="preserve">n. </w:t>
      </w:r>
      <w:r w:rsidRPr="00515872">
        <w:rPr>
          <w:rFonts w:eastAsia="Times New Roman" w:cs="Tahoma"/>
          <w:bCs/>
          <w:szCs w:val="20"/>
          <w:lang w:eastAsia="it-IT"/>
        </w:rPr>
        <w:t xml:space="preserve">4/3 allo stesso </w:t>
      </w:r>
      <w:r w:rsidR="00F57C70" w:rsidRPr="00515872">
        <w:rPr>
          <w:rFonts w:eastAsia="Times New Roman" w:cs="Tahoma"/>
          <w:bCs/>
          <w:szCs w:val="20"/>
          <w:lang w:eastAsia="it-IT"/>
        </w:rPr>
        <w:t>decreto</w:t>
      </w:r>
      <w:r w:rsidRPr="00515872">
        <w:rPr>
          <w:rFonts w:eastAsia="Times New Roman" w:cs="Tahoma"/>
          <w:bCs/>
          <w:szCs w:val="20"/>
          <w:lang w:eastAsia="it-IT"/>
        </w:rPr>
        <w:t>.</w:t>
      </w:r>
    </w:p>
    <w:p w14:paraId="52259397" w14:textId="77777777" w:rsidR="00AE281E" w:rsidRPr="00515872" w:rsidRDefault="009518AF" w:rsidP="009518AF">
      <w:pPr>
        <w:spacing w:line="360" w:lineRule="auto"/>
        <w:jc w:val="both"/>
        <w:rPr>
          <w:rFonts w:eastAsia="Times New Roman" w:cs="Tahoma"/>
          <w:bCs/>
          <w:szCs w:val="20"/>
          <w:lang w:eastAsia="it-IT"/>
        </w:rPr>
      </w:pPr>
      <w:r w:rsidRPr="00515872">
        <w:rPr>
          <w:rFonts w:eastAsia="Times New Roman" w:cs="Tahoma"/>
          <w:szCs w:val="20"/>
          <w:lang w:eastAsia="it-IT"/>
        </w:rPr>
        <w:t>L'adozione dei principi applicati della contabilità economico-patrimoniale e il conseguente affiancamento della contabilità economico-patrimoniale alla contabilità finanziaria previsto dall'art. 2, cc. 1 e 2, unitamente all'adozione del piano dei conti integrato di cui all'art. 4, poteva essere rinviata all'esercizio 2016, con l'esclusione degli enti che nel 2014 avevano partecipato alla sperimentazione di cui all'art. 78. L’art. 232, c. 2 del TUEL prevede</w:t>
      </w:r>
      <w:r w:rsidR="00AE281E" w:rsidRPr="00515872">
        <w:rPr>
          <w:rFonts w:eastAsia="Times New Roman" w:cs="Tahoma"/>
          <w:szCs w:val="20"/>
          <w:lang w:eastAsia="it-IT"/>
        </w:rPr>
        <w:t>va</w:t>
      </w:r>
      <w:r w:rsidRPr="00515872">
        <w:rPr>
          <w:rFonts w:eastAsia="Times New Roman" w:cs="Tahoma"/>
          <w:szCs w:val="20"/>
          <w:lang w:eastAsia="it-IT"/>
        </w:rPr>
        <w:t xml:space="preserve"> che gli</w:t>
      </w:r>
      <w:r w:rsidRPr="00515872">
        <w:rPr>
          <w:rFonts w:eastAsia="Times New Roman" w:cs="Tahoma"/>
          <w:bCs/>
          <w:szCs w:val="20"/>
          <w:lang w:eastAsia="it-IT"/>
        </w:rPr>
        <w:t xml:space="preserve"> enti locali con popolazione </w:t>
      </w:r>
      <w:r w:rsidR="00AE281E" w:rsidRPr="00515872">
        <w:rPr>
          <w:rFonts w:eastAsia="Times New Roman" w:cs="Tahoma"/>
          <w:bCs/>
          <w:szCs w:val="20"/>
          <w:lang w:eastAsia="it-IT"/>
        </w:rPr>
        <w:t>inferiore a 5.000 abitanti potessero</w:t>
      </w:r>
      <w:r w:rsidRPr="00515872">
        <w:rPr>
          <w:rFonts w:eastAsia="Times New Roman" w:cs="Tahoma"/>
          <w:bCs/>
          <w:szCs w:val="20"/>
          <w:lang w:eastAsia="it-IT"/>
        </w:rPr>
        <w:t xml:space="preserve"> non tenere la contabilità economico-patrimoniale fino all’esercizio 2017</w:t>
      </w:r>
      <w:r w:rsidR="00AE281E" w:rsidRPr="00515872">
        <w:rPr>
          <w:rFonts w:eastAsia="Times New Roman" w:cs="Tahoma"/>
          <w:bCs/>
          <w:szCs w:val="20"/>
          <w:lang w:eastAsia="it-IT"/>
        </w:rPr>
        <w:t>, scadenza successivamente prorogata al 2019</w:t>
      </w:r>
      <w:r w:rsidRPr="00515872">
        <w:rPr>
          <w:rFonts w:eastAsia="Times New Roman" w:cs="Tahoma"/>
          <w:bCs/>
          <w:szCs w:val="20"/>
          <w:lang w:eastAsia="it-IT"/>
        </w:rPr>
        <w:t>.</w:t>
      </w:r>
      <w:r w:rsidR="007E29BD" w:rsidRPr="00515872">
        <w:rPr>
          <w:rFonts w:eastAsia="Times New Roman" w:cs="Tahoma"/>
          <w:bCs/>
          <w:szCs w:val="20"/>
          <w:lang w:eastAsia="it-IT"/>
        </w:rPr>
        <w:t xml:space="preserve"> </w:t>
      </w:r>
      <w:r w:rsidR="00747B34" w:rsidRPr="00515872">
        <w:rPr>
          <w:rFonts w:eastAsia="Times New Roman" w:cs="Tahoma"/>
          <w:bCs/>
          <w:szCs w:val="20"/>
          <w:lang w:eastAsia="it-IT"/>
        </w:rPr>
        <w:t>L</w:t>
      </w:r>
      <w:r w:rsidR="00AE281E" w:rsidRPr="00515872">
        <w:rPr>
          <w:rFonts w:eastAsia="Times New Roman" w:cs="Tahoma"/>
          <w:bCs/>
          <w:szCs w:val="20"/>
          <w:lang w:eastAsia="it-IT"/>
        </w:rPr>
        <w:t xml:space="preserve">’art. 57 del D.L. 26 ottobre 2019, n. 124 è intervenuto sull’argomento, modificando l’art. 232 del TUEL e stabilendo l’esonero </w:t>
      </w:r>
      <w:r w:rsidR="00AE281E" w:rsidRPr="00515872">
        <w:rPr>
          <w:rFonts w:eastAsia="Times New Roman" w:cs="Tahoma"/>
          <w:bCs/>
          <w:i/>
          <w:szCs w:val="20"/>
          <w:lang w:eastAsia="it-IT"/>
        </w:rPr>
        <w:t>sine die</w:t>
      </w:r>
      <w:r w:rsidR="00AE281E" w:rsidRPr="00515872">
        <w:rPr>
          <w:rFonts w:eastAsia="Times New Roman" w:cs="Tahoma"/>
          <w:bCs/>
          <w:szCs w:val="20"/>
          <w:lang w:eastAsia="it-IT"/>
        </w:rPr>
        <w:t xml:space="preserve"> dalla tenuta della contabilità economico-patrimoniale per gli enti con popolazione</w:t>
      </w:r>
      <w:r w:rsidR="004A089B" w:rsidRPr="00515872">
        <w:rPr>
          <w:rFonts w:eastAsia="Times New Roman" w:cs="Tahoma"/>
          <w:bCs/>
          <w:szCs w:val="20"/>
          <w:lang w:eastAsia="it-IT"/>
        </w:rPr>
        <w:t xml:space="preserve"> inferiore a 5.000 abitanti, a condizione che sia allegata al rendiconto una situazione patrimoniale al 31 dicembre dell’anno precedente.</w:t>
      </w:r>
      <w:r w:rsidR="001A1CED" w:rsidRPr="00515872">
        <w:rPr>
          <w:rFonts w:eastAsia="Times New Roman" w:cs="Tahoma"/>
          <w:bCs/>
          <w:szCs w:val="20"/>
          <w:lang w:eastAsia="it-IT"/>
        </w:rPr>
        <w:t xml:space="preserve"> Le modalità semplificate di elaborazione della situazione in parola sono state definite con D.M. Economia e Finanze del 12 ottobre 2021.</w:t>
      </w:r>
    </w:p>
    <w:p w14:paraId="069BEF43" w14:textId="77777777" w:rsidR="00710E70" w:rsidRPr="00515872" w:rsidRDefault="00710E70">
      <w:pPr>
        <w:spacing w:after="0" w:line="240" w:lineRule="auto"/>
        <w:rPr>
          <w:rFonts w:cs="Tahoma"/>
          <w:b/>
          <w:bCs/>
          <w:i/>
          <w:color w:val="000000"/>
          <w:sz w:val="22"/>
          <w:szCs w:val="24"/>
        </w:rPr>
      </w:pPr>
      <w:bookmarkStart w:id="97" w:name="_Toc521317079"/>
    </w:p>
    <w:p w14:paraId="273683EE" w14:textId="77777777" w:rsidR="009518AF" w:rsidRPr="00515872" w:rsidRDefault="009518AF" w:rsidP="009518AF">
      <w:pPr>
        <w:pStyle w:val="Sottoparagrafo"/>
        <w:rPr>
          <w:rFonts w:cs="Tahoma"/>
        </w:rPr>
      </w:pPr>
      <w:bookmarkStart w:id="98" w:name="_Toc95912256"/>
      <w:r w:rsidRPr="00515872">
        <w:rPr>
          <w:rFonts w:cs="Tahoma"/>
        </w:rPr>
        <w:t>4.3.6 Il bilancio consolidato</w:t>
      </w:r>
      <w:bookmarkEnd w:id="97"/>
      <w:bookmarkEnd w:id="98"/>
    </w:p>
    <w:p w14:paraId="717009D7" w14:textId="77777777" w:rsidR="007E29BD" w:rsidRPr="00515872" w:rsidRDefault="005C2349"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Il bilancio consolidato è predisposto dall’amministrazione capogruppo in attuazione degli artt. da 11-bis a 11-quinquies del</w:t>
      </w:r>
      <w:r w:rsidR="009518AF" w:rsidRPr="00515872">
        <w:rPr>
          <w:rFonts w:eastAsia="Times New Roman" w:cs="Tahoma"/>
          <w:bCs/>
          <w:szCs w:val="20"/>
          <w:lang w:eastAsia="it-IT"/>
        </w:rPr>
        <w:t xml:space="preserve"> </w:t>
      </w:r>
      <w:proofErr w:type="spellStart"/>
      <w:r w:rsidR="009518AF" w:rsidRPr="00515872">
        <w:rPr>
          <w:rFonts w:eastAsia="Times New Roman" w:cs="Tahoma"/>
          <w:bCs/>
          <w:szCs w:val="20"/>
          <w:lang w:eastAsia="it-IT"/>
        </w:rPr>
        <w:t>D.Lgs.</w:t>
      </w:r>
      <w:proofErr w:type="spellEnd"/>
      <w:r w:rsidR="009518AF" w:rsidRPr="00515872">
        <w:rPr>
          <w:rFonts w:eastAsia="Times New Roman" w:cs="Tahoma"/>
          <w:bCs/>
          <w:szCs w:val="20"/>
          <w:lang w:eastAsia="it-IT"/>
        </w:rPr>
        <w:t xml:space="preserve"> </w:t>
      </w:r>
      <w:r w:rsidRPr="00515872">
        <w:rPr>
          <w:rFonts w:eastAsia="Times New Roman" w:cs="Tahoma"/>
          <w:bCs/>
          <w:szCs w:val="20"/>
          <w:lang w:eastAsia="it-IT"/>
        </w:rPr>
        <w:t xml:space="preserve">n. </w:t>
      </w:r>
      <w:r w:rsidR="009518AF" w:rsidRPr="00515872">
        <w:rPr>
          <w:rFonts w:eastAsia="Times New Roman" w:cs="Tahoma"/>
          <w:bCs/>
          <w:szCs w:val="20"/>
          <w:lang w:eastAsia="it-IT"/>
        </w:rPr>
        <w:t>118/2011</w:t>
      </w:r>
      <w:r w:rsidRPr="00515872">
        <w:rPr>
          <w:rFonts w:eastAsia="Times New Roman" w:cs="Tahoma"/>
          <w:bCs/>
          <w:szCs w:val="20"/>
          <w:lang w:eastAsia="it-IT"/>
        </w:rPr>
        <w:t>. Ad esso è interamente dedicato l’</w:t>
      </w:r>
      <w:r w:rsidR="009518AF" w:rsidRPr="00515872">
        <w:rPr>
          <w:rFonts w:eastAsia="Times New Roman" w:cs="Tahoma"/>
          <w:bCs/>
          <w:szCs w:val="20"/>
          <w:lang w:eastAsia="it-IT"/>
        </w:rPr>
        <w:t xml:space="preserve">allegato </w:t>
      </w:r>
      <w:r w:rsidR="007E29BD" w:rsidRPr="00515872">
        <w:rPr>
          <w:rFonts w:eastAsia="Times New Roman" w:cs="Tahoma"/>
          <w:bCs/>
          <w:szCs w:val="20"/>
          <w:lang w:eastAsia="it-IT"/>
        </w:rPr>
        <w:t xml:space="preserve">n. </w:t>
      </w:r>
      <w:r w:rsidR="009518AF" w:rsidRPr="00515872">
        <w:rPr>
          <w:rFonts w:eastAsia="Times New Roman" w:cs="Tahoma"/>
          <w:bCs/>
          <w:szCs w:val="20"/>
          <w:lang w:eastAsia="it-IT"/>
        </w:rPr>
        <w:t xml:space="preserve">4/4 </w:t>
      </w:r>
      <w:r w:rsidRPr="00515872">
        <w:rPr>
          <w:rFonts w:eastAsia="Times New Roman" w:cs="Tahoma"/>
          <w:bCs/>
          <w:szCs w:val="20"/>
          <w:lang w:eastAsia="it-IT"/>
        </w:rPr>
        <w:t>al suddetto decreto</w:t>
      </w:r>
      <w:r w:rsidR="009518AF" w:rsidRPr="00515872">
        <w:rPr>
          <w:rFonts w:eastAsia="Times New Roman" w:cs="Tahoma"/>
          <w:bCs/>
          <w:szCs w:val="20"/>
          <w:lang w:eastAsia="it-IT"/>
        </w:rPr>
        <w:t>.</w:t>
      </w:r>
    </w:p>
    <w:p w14:paraId="723668C6" w14:textId="77777777" w:rsidR="009518AF" w:rsidRPr="00515872" w:rsidRDefault="007E29BD"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lastRenderedPageBreak/>
        <w:t>Il consolidato</w:t>
      </w:r>
      <w:r w:rsidR="009518AF" w:rsidRPr="00515872">
        <w:rPr>
          <w:rFonts w:eastAsia="Times New Roman" w:cs="Tahoma"/>
          <w:bCs/>
          <w:szCs w:val="20"/>
          <w:lang w:eastAsia="it-IT"/>
        </w:rPr>
        <w:t xml:space="preserve"> è stato introdotto nella normativa degli enti pubblici al fine di consentire una lettura più unitaria della gestione complessiva della pubblica amministrazione.</w:t>
      </w:r>
    </w:p>
    <w:p w14:paraId="2C5E74E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w:t>
      </w:r>
      <w:r w:rsidR="007E29BD" w:rsidRPr="00515872">
        <w:rPr>
          <w:rFonts w:eastAsia="Times New Roman" w:cs="Tahoma"/>
          <w:szCs w:val="20"/>
          <w:lang w:eastAsia="it-IT"/>
        </w:rPr>
        <w:t>sua funzione</w:t>
      </w:r>
      <w:r w:rsidRPr="00515872">
        <w:rPr>
          <w:rFonts w:eastAsia="Times New Roman" w:cs="Tahoma"/>
          <w:szCs w:val="20"/>
          <w:lang w:eastAsia="it-IT"/>
        </w:rPr>
        <w:t>, quindi, è quella di conferire una maggiore capacità informativa al bilancio e consentire una migliore pianificazione e programmazione del “gruppo ente locale”, mediante una visione completa delle consistenze patrimoniali e finanziarie delle aziende</w:t>
      </w:r>
      <w:r w:rsidR="00E15A86" w:rsidRPr="00515872">
        <w:rPr>
          <w:rFonts w:eastAsia="Times New Roman" w:cs="Tahoma"/>
          <w:szCs w:val="20"/>
          <w:lang w:eastAsia="it-IT"/>
        </w:rPr>
        <w:t xml:space="preserve"> del gruppo</w:t>
      </w:r>
      <w:r w:rsidRPr="00515872">
        <w:rPr>
          <w:rFonts w:eastAsia="Times New Roman" w:cs="Tahoma"/>
          <w:szCs w:val="20"/>
          <w:lang w:eastAsia="it-IT"/>
        </w:rPr>
        <w:t>.</w:t>
      </w:r>
    </w:p>
    <w:p w14:paraId="3EB6CCCE" w14:textId="77777777" w:rsidR="009518AF" w:rsidRPr="00515872" w:rsidRDefault="009518AF" w:rsidP="00747B34">
      <w:pPr>
        <w:spacing w:after="0" w:line="360" w:lineRule="auto"/>
        <w:jc w:val="both"/>
        <w:rPr>
          <w:rFonts w:cs="Tahoma"/>
          <w:color w:val="000000"/>
          <w:shd w:val="clear" w:color="auto" w:fill="F9F8F4"/>
        </w:rPr>
      </w:pPr>
      <w:r w:rsidRPr="00515872">
        <w:rPr>
          <w:rFonts w:cs="Tahoma"/>
          <w:color w:val="000000"/>
        </w:rPr>
        <w:t>In particolare, il bilancio consolidato deve consentire di:</w:t>
      </w:r>
      <w:r w:rsidRPr="00515872">
        <w:rPr>
          <w:rFonts w:cs="Tahoma"/>
          <w:color w:val="000000"/>
          <w:shd w:val="clear" w:color="auto" w:fill="F9F8F4"/>
        </w:rPr>
        <w:t xml:space="preserve"> </w:t>
      </w:r>
    </w:p>
    <w:p w14:paraId="05DBD85A" w14:textId="77777777" w:rsidR="009518AF" w:rsidRPr="00515872" w:rsidRDefault="009518AF" w:rsidP="00D65838">
      <w:pPr>
        <w:pStyle w:val="Paragrafoelenco"/>
        <w:numPr>
          <w:ilvl w:val="0"/>
          <w:numId w:val="181"/>
        </w:numPr>
        <w:spacing w:line="360" w:lineRule="auto"/>
        <w:ind w:left="426"/>
        <w:jc w:val="both"/>
        <w:rPr>
          <w:rFonts w:eastAsia="Times New Roman" w:cs="Tahoma"/>
          <w:szCs w:val="20"/>
          <w:lang w:eastAsia="it-IT"/>
        </w:rPr>
      </w:pPr>
      <w:r w:rsidRPr="00515872">
        <w:rPr>
          <w:rFonts w:cs="Tahoma"/>
          <w:color w:val="000000"/>
        </w:rPr>
        <w:t>sopperire alle carenze informative e valutative dei bilanci degli enti che perseguono le proprie funzioni anche attraverso enti strumentali e detengono rilevanti parteci</w:t>
      </w:r>
      <w:r w:rsidR="007E29BD" w:rsidRPr="00515872">
        <w:rPr>
          <w:rFonts w:cs="Tahoma"/>
          <w:color w:val="000000"/>
        </w:rPr>
        <w:t xml:space="preserve">pazioni in società, dando una </w:t>
      </w:r>
      <w:r w:rsidRPr="00515872">
        <w:rPr>
          <w:rFonts w:cs="Tahoma"/>
          <w:color w:val="000000"/>
        </w:rPr>
        <w:t>rappresentazione, anche di natura contabile, delle proprie scelte di indirizzo, pianificazione e controllo;</w:t>
      </w:r>
    </w:p>
    <w:p w14:paraId="5E079C2E" w14:textId="77777777" w:rsidR="009518AF" w:rsidRPr="00515872" w:rsidRDefault="009518AF" w:rsidP="00D65838">
      <w:pPr>
        <w:pStyle w:val="Paragrafoelenco"/>
        <w:numPr>
          <w:ilvl w:val="0"/>
          <w:numId w:val="181"/>
        </w:numPr>
        <w:spacing w:line="360" w:lineRule="auto"/>
        <w:ind w:left="426"/>
        <w:jc w:val="both"/>
        <w:rPr>
          <w:rFonts w:eastAsia="Times New Roman" w:cs="Tahoma"/>
          <w:szCs w:val="20"/>
          <w:lang w:eastAsia="it-IT"/>
        </w:rPr>
      </w:pPr>
      <w:r w:rsidRPr="00515872">
        <w:rPr>
          <w:rFonts w:cs="Tahoma"/>
          <w:color w:val="000000"/>
        </w:rPr>
        <w:t>a</w:t>
      </w:r>
      <w:r w:rsidR="00E15A86" w:rsidRPr="00515872">
        <w:rPr>
          <w:rFonts w:cs="Tahoma"/>
          <w:color w:val="000000"/>
        </w:rPr>
        <w:t>ttribuire all’</w:t>
      </w:r>
      <w:r w:rsidRPr="00515872">
        <w:rPr>
          <w:rFonts w:cs="Tahoma"/>
          <w:color w:val="000000"/>
        </w:rPr>
        <w:t>amministrazione capogruppo un nuovo strumento per programmare, gestire e controllare con maggiore efficacia il proprio gruppo comprensivo di enti e società;</w:t>
      </w:r>
    </w:p>
    <w:p w14:paraId="64FF8659" w14:textId="77777777" w:rsidR="009518AF" w:rsidRPr="00515872" w:rsidRDefault="009518AF" w:rsidP="00D65838">
      <w:pPr>
        <w:pStyle w:val="Paragrafoelenco"/>
        <w:numPr>
          <w:ilvl w:val="0"/>
          <w:numId w:val="181"/>
        </w:numPr>
        <w:spacing w:line="360" w:lineRule="auto"/>
        <w:ind w:left="426"/>
        <w:jc w:val="both"/>
        <w:rPr>
          <w:rFonts w:eastAsia="Times New Roman" w:cs="Tahoma"/>
          <w:szCs w:val="20"/>
          <w:lang w:eastAsia="it-IT"/>
        </w:rPr>
      </w:pPr>
      <w:r w:rsidRPr="00515872">
        <w:rPr>
          <w:rFonts w:cs="Tahoma"/>
          <w:color w:val="000000"/>
        </w:rPr>
        <w:t>ottenere una visione completa delle consistenze patrimoniali e finanziarie di un gruppo di enti e società che fa capo ad un'amministrazione pubblica, incluso il risultato economico.</w:t>
      </w:r>
    </w:p>
    <w:p w14:paraId="39D1E4EA" w14:textId="77777777" w:rsidR="000B1CB2" w:rsidRPr="00515872" w:rsidRDefault="000B1CB2" w:rsidP="000B1CB2">
      <w:pPr>
        <w:spacing w:line="360" w:lineRule="auto"/>
        <w:jc w:val="both"/>
        <w:rPr>
          <w:rFonts w:eastAsia="Times New Roman" w:cs="Tahoma"/>
          <w:szCs w:val="20"/>
          <w:lang w:eastAsia="it-IT"/>
        </w:rPr>
      </w:pPr>
      <w:r w:rsidRPr="00515872">
        <w:rPr>
          <w:rFonts w:eastAsia="Times New Roman" w:cs="Tahoma"/>
          <w:szCs w:val="20"/>
          <w:lang w:eastAsia="it-IT"/>
        </w:rPr>
        <w:t xml:space="preserve">Il bilancio consolidato supera le divisioni rappresentate dalle singole personalità giuridiche di enti, istituzioni, società, ecc., che vengono assimilate a settori operativi del gruppo amministrazione pubblica e sono tenuti a collaborare fattivamente alla riuscita del processo di consolidamento, nel rispetto dei dettami del principio contabile di cui all’allegato n. 4/4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w:t>
      </w:r>
    </w:p>
    <w:p w14:paraId="4447C404"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Il bilancio consolidato </w:t>
      </w:r>
      <w:r w:rsidR="00DE07DE" w:rsidRPr="00515872">
        <w:rPr>
          <w:rFonts w:eastAsia="Times New Roman" w:cs="Tahoma"/>
          <w:szCs w:val="20"/>
          <w:lang w:eastAsia="it-IT"/>
        </w:rPr>
        <w:t xml:space="preserve">è, di fatto, un tipico bilancio civilistico che </w:t>
      </w:r>
      <w:r w:rsidRPr="00515872">
        <w:rPr>
          <w:rFonts w:eastAsia="Times New Roman" w:cs="Tahoma"/>
          <w:szCs w:val="20"/>
          <w:lang w:eastAsia="it-IT"/>
        </w:rPr>
        <w:t>si compone di:</w:t>
      </w:r>
    </w:p>
    <w:p w14:paraId="1037B395" w14:textId="77777777" w:rsidR="009518AF" w:rsidRPr="00515872" w:rsidRDefault="009518AF" w:rsidP="00D65838">
      <w:pPr>
        <w:pStyle w:val="Paragrafoelenco"/>
        <w:numPr>
          <w:ilvl w:val="0"/>
          <w:numId w:val="162"/>
        </w:numPr>
        <w:spacing w:line="360" w:lineRule="auto"/>
        <w:jc w:val="both"/>
        <w:rPr>
          <w:rFonts w:eastAsia="Times New Roman" w:cs="Tahoma"/>
          <w:szCs w:val="20"/>
          <w:lang w:eastAsia="it-IT"/>
        </w:rPr>
      </w:pPr>
      <w:r w:rsidRPr="00515872">
        <w:rPr>
          <w:rFonts w:eastAsia="Times New Roman" w:cs="Tahoma"/>
          <w:szCs w:val="20"/>
          <w:lang w:eastAsia="it-IT"/>
        </w:rPr>
        <w:t>stato patrimoniale;</w:t>
      </w:r>
    </w:p>
    <w:p w14:paraId="43F124B5" w14:textId="77777777" w:rsidR="009518AF" w:rsidRPr="00515872" w:rsidRDefault="009518AF" w:rsidP="00D65838">
      <w:pPr>
        <w:pStyle w:val="Paragrafoelenco"/>
        <w:numPr>
          <w:ilvl w:val="0"/>
          <w:numId w:val="162"/>
        </w:numPr>
        <w:spacing w:line="360" w:lineRule="auto"/>
        <w:jc w:val="both"/>
        <w:rPr>
          <w:rFonts w:eastAsia="Times New Roman" w:cs="Tahoma"/>
          <w:szCs w:val="20"/>
          <w:lang w:eastAsia="it-IT"/>
        </w:rPr>
      </w:pPr>
      <w:r w:rsidRPr="00515872">
        <w:rPr>
          <w:rFonts w:eastAsia="Times New Roman" w:cs="Tahoma"/>
          <w:szCs w:val="20"/>
          <w:lang w:eastAsia="it-IT"/>
        </w:rPr>
        <w:t>conto economico;</w:t>
      </w:r>
    </w:p>
    <w:p w14:paraId="151A1BD5"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e dei seguenti allegati:</w:t>
      </w:r>
    </w:p>
    <w:p w14:paraId="25AA7952" w14:textId="77777777" w:rsidR="009518AF" w:rsidRPr="00515872" w:rsidRDefault="009518AF" w:rsidP="00D65838">
      <w:pPr>
        <w:pStyle w:val="Paragrafoelenco"/>
        <w:numPr>
          <w:ilvl w:val="0"/>
          <w:numId w:val="162"/>
        </w:numPr>
        <w:spacing w:line="360" w:lineRule="auto"/>
        <w:jc w:val="both"/>
        <w:rPr>
          <w:rFonts w:eastAsia="Times New Roman" w:cs="Tahoma"/>
          <w:szCs w:val="20"/>
          <w:lang w:eastAsia="it-IT"/>
        </w:rPr>
      </w:pPr>
      <w:r w:rsidRPr="00515872">
        <w:rPr>
          <w:rFonts w:eastAsia="Times New Roman" w:cs="Tahoma"/>
          <w:szCs w:val="20"/>
          <w:lang w:eastAsia="it-IT"/>
        </w:rPr>
        <w:t>relazione sulla gestione consolidata che comprende la nota integrativa;</w:t>
      </w:r>
    </w:p>
    <w:p w14:paraId="17FD0872" w14:textId="77777777" w:rsidR="009518AF" w:rsidRPr="00515872" w:rsidRDefault="009518AF" w:rsidP="00D65838">
      <w:pPr>
        <w:pStyle w:val="Paragrafoelenco"/>
        <w:numPr>
          <w:ilvl w:val="0"/>
          <w:numId w:val="162"/>
        </w:numPr>
        <w:spacing w:line="360" w:lineRule="auto"/>
        <w:jc w:val="both"/>
        <w:rPr>
          <w:rFonts w:eastAsia="Times New Roman" w:cs="Tahoma"/>
          <w:szCs w:val="20"/>
          <w:lang w:eastAsia="it-IT"/>
        </w:rPr>
      </w:pPr>
      <w:r w:rsidRPr="00515872">
        <w:rPr>
          <w:rFonts w:eastAsia="Times New Roman" w:cs="Tahoma"/>
          <w:szCs w:val="20"/>
          <w:lang w:eastAsia="it-IT"/>
        </w:rPr>
        <w:t>relazione dell’organo di revisione.</w:t>
      </w:r>
    </w:p>
    <w:p w14:paraId="6139C618"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Scadenze</w:t>
      </w:r>
    </w:p>
    <w:p w14:paraId="007167E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bilancio consolidato deve essere approvato dall’amministrazione locale </w:t>
      </w:r>
      <w:r w:rsidRPr="00515872">
        <w:rPr>
          <w:rFonts w:eastAsia="Times New Roman" w:cs="Tahoma"/>
          <w:b/>
          <w:szCs w:val="20"/>
          <w:lang w:eastAsia="it-IT"/>
        </w:rPr>
        <w:t>entro il 30 settembre dell’anno successivo a quello di riferimento</w:t>
      </w:r>
      <w:r w:rsidRPr="00515872">
        <w:rPr>
          <w:rFonts w:eastAsia="Times New Roman" w:cs="Tahoma"/>
          <w:szCs w:val="20"/>
          <w:lang w:eastAsia="it-IT"/>
        </w:rPr>
        <w:t>.</w:t>
      </w:r>
    </w:p>
    <w:p w14:paraId="19ABD2F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Entro 30 giorni dalla deliberazione di approvazione del bilancio consolidato gli enti devono trasmettere alla B</w:t>
      </w:r>
      <w:r w:rsidR="00E15A86" w:rsidRPr="00515872">
        <w:rPr>
          <w:rFonts w:eastAsia="Times New Roman" w:cs="Tahoma"/>
          <w:bCs/>
          <w:szCs w:val="20"/>
          <w:lang w:eastAsia="it-IT"/>
        </w:rPr>
        <w:t>DAP</w:t>
      </w:r>
      <w:r w:rsidRPr="00515872">
        <w:rPr>
          <w:rFonts w:eastAsia="Times New Roman" w:cs="Tahoma"/>
          <w:bCs/>
          <w:szCs w:val="20"/>
          <w:lang w:eastAsia="it-IT"/>
        </w:rPr>
        <w:t xml:space="preserve"> lo stato patrimoniale e il conto economico consolidati in formato </w:t>
      </w:r>
      <w:proofErr w:type="spellStart"/>
      <w:r w:rsidRPr="00515872">
        <w:rPr>
          <w:rFonts w:eastAsia="Times New Roman" w:cs="Tahoma"/>
          <w:bCs/>
          <w:szCs w:val="20"/>
          <w:lang w:eastAsia="it-IT"/>
        </w:rPr>
        <w:t>Xbrl</w:t>
      </w:r>
      <w:proofErr w:type="spellEnd"/>
      <w:r w:rsidRPr="00515872">
        <w:rPr>
          <w:rFonts w:eastAsia="Times New Roman" w:cs="Tahoma"/>
          <w:bCs/>
          <w:szCs w:val="20"/>
          <w:lang w:eastAsia="it-IT"/>
        </w:rPr>
        <w:t xml:space="preserve"> e la relazione sulla gestione consolidata, oltre a quella dell’organo di revisione.</w:t>
      </w:r>
    </w:p>
    <w:p w14:paraId="6FC8796F" w14:textId="77777777" w:rsidR="00583E5C" w:rsidRPr="00515872" w:rsidRDefault="00583E5C"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 xml:space="preserve">In fase di prima applicazione era previsto un avvio scaglionato del nuovo adempimento che ne prevedeva l’obbligo, per gli enti locali con popolazione superiore ai 5.000 abitanti che non avessero aderito alla fase sperimentale, a decorrere dall’esercizio 2016, mentre per i comuni minori l’inizio era previsto per il bilancio </w:t>
      </w:r>
      <w:r w:rsidRPr="00515872">
        <w:rPr>
          <w:rFonts w:eastAsia="Times New Roman" w:cs="Tahoma"/>
          <w:bCs/>
          <w:szCs w:val="20"/>
          <w:lang w:eastAsia="it-IT"/>
        </w:rPr>
        <w:lastRenderedPageBreak/>
        <w:t>riferito al 2017. La commissione A</w:t>
      </w:r>
      <w:r w:rsidR="00E61E41" w:rsidRPr="00515872">
        <w:rPr>
          <w:rFonts w:eastAsia="Times New Roman" w:cs="Tahoma"/>
          <w:bCs/>
          <w:szCs w:val="20"/>
          <w:lang w:eastAsia="it-IT"/>
        </w:rPr>
        <w:t>RCONET</w:t>
      </w:r>
      <w:r w:rsidRPr="00515872">
        <w:rPr>
          <w:rFonts w:eastAsia="Times New Roman" w:cs="Tahoma"/>
          <w:bCs/>
          <w:szCs w:val="20"/>
          <w:lang w:eastAsia="it-IT"/>
        </w:rPr>
        <w:t>, nella seduta del 11 aprile 2018, ha consentito ai comuni minori</w:t>
      </w:r>
      <w:r w:rsidR="007272D6" w:rsidRPr="00515872">
        <w:rPr>
          <w:rFonts w:eastAsia="Times New Roman" w:cs="Tahoma"/>
          <w:bCs/>
          <w:szCs w:val="20"/>
          <w:lang w:eastAsia="it-IT"/>
        </w:rPr>
        <w:t>, stante la formulazione poco chiara della norma,</w:t>
      </w:r>
      <w:r w:rsidRPr="00515872">
        <w:rPr>
          <w:rFonts w:eastAsia="Times New Roman" w:cs="Tahoma"/>
          <w:bCs/>
          <w:szCs w:val="20"/>
          <w:lang w:eastAsia="it-IT"/>
        </w:rPr>
        <w:t xml:space="preserve"> di rinviare al 2018 l’applicazione della contabilità economico-patrimoniale e, </w:t>
      </w:r>
      <w:r w:rsidR="007272D6" w:rsidRPr="00515872">
        <w:rPr>
          <w:rFonts w:eastAsia="Times New Roman" w:cs="Tahoma"/>
          <w:bCs/>
          <w:szCs w:val="20"/>
          <w:lang w:eastAsia="it-IT"/>
        </w:rPr>
        <w:t>si rit</w:t>
      </w:r>
      <w:r w:rsidRPr="00515872">
        <w:rPr>
          <w:rFonts w:eastAsia="Times New Roman" w:cs="Tahoma"/>
          <w:bCs/>
          <w:szCs w:val="20"/>
          <w:lang w:eastAsia="it-IT"/>
        </w:rPr>
        <w:t>iene, la redazione del bilancio consolidato.</w:t>
      </w:r>
    </w:p>
    <w:p w14:paraId="78E795C3" w14:textId="77777777" w:rsidR="005B5730" w:rsidRPr="00515872" w:rsidRDefault="00E15A86"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L’art. 23</w:t>
      </w:r>
      <w:r w:rsidR="005B5730" w:rsidRPr="00515872">
        <w:rPr>
          <w:rFonts w:eastAsia="Times New Roman" w:cs="Tahoma"/>
          <w:bCs/>
          <w:szCs w:val="20"/>
          <w:lang w:eastAsia="it-IT"/>
        </w:rPr>
        <w:t xml:space="preserve">3-bis, c. 3 del TUEL come modificato dal c. 831 della legge di bilancio per il 2019, </w:t>
      </w:r>
      <w:r w:rsidR="005B3F44" w:rsidRPr="00515872">
        <w:rPr>
          <w:rFonts w:eastAsia="Times New Roman" w:cs="Tahoma"/>
          <w:bCs/>
          <w:szCs w:val="20"/>
          <w:lang w:eastAsia="it-IT"/>
        </w:rPr>
        <w:t>prevede ora l’esonero dalla predisposizione del bilancio consolidato per gli enti locali con popolazione inferiore a 5.000 abitanti.</w:t>
      </w:r>
    </w:p>
    <w:p w14:paraId="67695ACA" w14:textId="77777777" w:rsidR="009518AF" w:rsidRPr="00515872" w:rsidRDefault="009518AF" w:rsidP="009518AF">
      <w:pPr>
        <w:spacing w:after="0" w:line="360" w:lineRule="auto"/>
        <w:jc w:val="both"/>
        <w:rPr>
          <w:rFonts w:cs="Tahoma"/>
          <w:b/>
          <w:color w:val="000000"/>
          <w:szCs w:val="20"/>
        </w:rPr>
      </w:pPr>
      <w:r w:rsidRPr="00515872">
        <w:rPr>
          <w:rFonts w:cs="Tahoma"/>
          <w:b/>
          <w:color w:val="000000"/>
          <w:szCs w:val="20"/>
        </w:rPr>
        <w:t>Area di consolidamento</w:t>
      </w:r>
    </w:p>
    <w:p w14:paraId="4FCCE873" w14:textId="77777777" w:rsidR="009518AF" w:rsidRPr="00515872" w:rsidRDefault="00F95EF0" w:rsidP="009518AF">
      <w:pPr>
        <w:spacing w:line="360" w:lineRule="auto"/>
        <w:jc w:val="both"/>
        <w:rPr>
          <w:rFonts w:eastAsia="Times New Roman" w:cs="Tahoma"/>
          <w:b/>
          <w:szCs w:val="20"/>
          <w:lang w:eastAsia="it-IT"/>
        </w:rPr>
      </w:pPr>
      <w:r w:rsidRPr="00515872">
        <w:rPr>
          <w:rFonts w:cs="Tahoma"/>
          <w:color w:val="000000"/>
          <w:szCs w:val="20"/>
        </w:rPr>
        <w:t>Operazione preliminare alla redazione del bilancio consolidato è la definizione dell’area di consolidamento. Tale attività</w:t>
      </w:r>
      <w:r w:rsidR="009518AF" w:rsidRPr="00515872">
        <w:rPr>
          <w:rFonts w:cs="Tahoma"/>
          <w:color w:val="000000"/>
          <w:szCs w:val="20"/>
        </w:rPr>
        <w:t xml:space="preserve"> comporta un’attenta analisi delle partecipazioni dell’ente locale, mediante esame degli atti che regolano l’attività sociale delle partecipate e i rapporti giuridico-finanziari intercorrenti fra l’ente e le sue partecipate.</w:t>
      </w:r>
    </w:p>
    <w:p w14:paraId="02FE614B" w14:textId="77777777" w:rsidR="00C21E72" w:rsidRPr="00515872" w:rsidRDefault="009518AF" w:rsidP="00C21E72">
      <w:pPr>
        <w:spacing w:line="360" w:lineRule="auto"/>
        <w:jc w:val="both"/>
        <w:rPr>
          <w:rFonts w:eastAsia="Times New Roman" w:cs="Tahoma"/>
          <w:szCs w:val="20"/>
          <w:lang w:eastAsia="it-IT"/>
        </w:rPr>
      </w:pPr>
      <w:r w:rsidRPr="00515872">
        <w:rPr>
          <w:rFonts w:eastAsia="Times New Roman" w:cs="Tahoma"/>
          <w:szCs w:val="20"/>
          <w:lang w:eastAsia="it-IT"/>
        </w:rPr>
        <w:t>Secondo il disposto dell’art. 11-bis</w:t>
      </w:r>
      <w:r w:rsidR="00E61E41" w:rsidRPr="00515872">
        <w:rPr>
          <w:rFonts w:eastAsia="Times New Roman" w:cs="Tahoma"/>
          <w:szCs w:val="20"/>
          <w:lang w:eastAsia="it-IT"/>
        </w:rPr>
        <w:t>,</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118/2011, </w:t>
      </w:r>
      <w:r w:rsidR="00E15A86" w:rsidRPr="00515872">
        <w:rPr>
          <w:rFonts w:eastAsia="Times New Roman" w:cs="Tahoma"/>
          <w:szCs w:val="20"/>
          <w:lang w:eastAsia="it-IT"/>
        </w:rPr>
        <w:t>è potenzialmente interessato dal consolidamento</w:t>
      </w:r>
      <w:r w:rsidRPr="00515872">
        <w:rPr>
          <w:rFonts w:eastAsia="Times New Roman" w:cs="Tahoma"/>
          <w:szCs w:val="20"/>
          <w:lang w:eastAsia="it-IT"/>
        </w:rPr>
        <w:t xml:space="preserve"> qualsiasi ente strumentale, partecipato dall’ente pubblico, indipendentemente dalla forma giuridica pubblica o privata e dall’attività svolta eventualmente diversa da quella degli altri componenti del gruppo.</w:t>
      </w:r>
    </w:p>
    <w:p w14:paraId="73E721B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iCs/>
          <w:szCs w:val="20"/>
          <w:lang w:eastAsia="it-IT"/>
        </w:rPr>
      </w:pPr>
      <w:r w:rsidRPr="00515872">
        <w:rPr>
          <w:rFonts w:eastAsia="Times New Roman" w:cs="Tahoma"/>
          <w:bCs/>
          <w:iCs/>
          <w:szCs w:val="20"/>
          <w:lang w:eastAsia="it-IT"/>
        </w:rPr>
        <w:t xml:space="preserve">Costituiscono componenti del </w:t>
      </w:r>
      <w:r w:rsidRPr="00515872">
        <w:rPr>
          <w:rFonts w:eastAsia="Times New Roman" w:cs="Tahoma"/>
          <w:b/>
          <w:bCs/>
          <w:iCs/>
          <w:szCs w:val="20"/>
          <w:lang w:eastAsia="it-IT"/>
        </w:rPr>
        <w:t>"</w:t>
      </w:r>
      <w:r w:rsidR="00E61E41" w:rsidRPr="00515872">
        <w:rPr>
          <w:rFonts w:eastAsia="Times New Roman" w:cs="Tahoma"/>
          <w:b/>
          <w:bCs/>
          <w:iCs/>
          <w:szCs w:val="20"/>
          <w:lang w:eastAsia="it-IT"/>
        </w:rPr>
        <w:t>G</w:t>
      </w:r>
      <w:r w:rsidRPr="00515872">
        <w:rPr>
          <w:rFonts w:eastAsia="Times New Roman" w:cs="Tahoma"/>
          <w:b/>
          <w:bCs/>
          <w:iCs/>
          <w:szCs w:val="20"/>
          <w:lang w:eastAsia="it-IT"/>
        </w:rPr>
        <w:t xml:space="preserve">ruppo </w:t>
      </w:r>
      <w:r w:rsidR="00E61E41" w:rsidRPr="00515872">
        <w:rPr>
          <w:rFonts w:eastAsia="Times New Roman" w:cs="Tahoma"/>
          <w:b/>
          <w:bCs/>
          <w:iCs/>
          <w:szCs w:val="20"/>
          <w:lang w:eastAsia="it-IT"/>
        </w:rPr>
        <w:t>A</w:t>
      </w:r>
      <w:r w:rsidRPr="00515872">
        <w:rPr>
          <w:rFonts w:eastAsia="Times New Roman" w:cs="Tahoma"/>
          <w:b/>
          <w:bCs/>
          <w:iCs/>
          <w:szCs w:val="20"/>
          <w:lang w:eastAsia="it-IT"/>
        </w:rPr>
        <w:t xml:space="preserve">mministrazione </w:t>
      </w:r>
      <w:r w:rsidR="00E61E41" w:rsidRPr="00515872">
        <w:rPr>
          <w:rFonts w:eastAsia="Times New Roman" w:cs="Tahoma"/>
          <w:b/>
          <w:bCs/>
          <w:iCs/>
          <w:szCs w:val="20"/>
          <w:lang w:eastAsia="it-IT"/>
        </w:rPr>
        <w:t>P</w:t>
      </w:r>
      <w:r w:rsidRPr="00515872">
        <w:rPr>
          <w:rFonts w:eastAsia="Times New Roman" w:cs="Tahoma"/>
          <w:b/>
          <w:bCs/>
          <w:iCs/>
          <w:szCs w:val="20"/>
          <w:lang w:eastAsia="it-IT"/>
        </w:rPr>
        <w:t>ubblica</w:t>
      </w:r>
      <w:r w:rsidRPr="00515872">
        <w:rPr>
          <w:rFonts w:eastAsia="Times New Roman" w:cs="Tahoma"/>
          <w:bCs/>
          <w:iCs/>
          <w:szCs w:val="20"/>
          <w:lang w:eastAsia="it-IT"/>
        </w:rPr>
        <w:t>"</w:t>
      </w:r>
      <w:r w:rsidR="00730E49" w:rsidRPr="00515872">
        <w:rPr>
          <w:rFonts w:eastAsia="Times New Roman" w:cs="Tahoma"/>
          <w:bCs/>
          <w:iCs/>
          <w:szCs w:val="20"/>
          <w:lang w:eastAsia="it-IT"/>
        </w:rPr>
        <w:t xml:space="preserve"> (GAP)</w:t>
      </w:r>
      <w:r w:rsidRPr="00515872">
        <w:rPr>
          <w:rFonts w:eastAsia="Times New Roman" w:cs="Tahoma"/>
          <w:bCs/>
          <w:iCs/>
          <w:szCs w:val="20"/>
          <w:lang w:eastAsia="it-IT"/>
        </w:rPr>
        <w:t>:</w:t>
      </w:r>
    </w:p>
    <w:p w14:paraId="0505F894" w14:textId="77777777" w:rsidR="009518AF" w:rsidRPr="00515872" w:rsidRDefault="009518AF" w:rsidP="00D65838">
      <w:pPr>
        <w:pStyle w:val="Paragrafoelenco"/>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gli organismi strumentali dell'amministrazione pubblica capogruppo</w:t>
      </w:r>
      <w:r w:rsidRPr="00515872">
        <w:rPr>
          <w:rStyle w:val="Rimandonotaapidipagina"/>
          <w:rFonts w:eastAsia="Times New Roman" w:cs="Tahoma"/>
          <w:bCs/>
          <w:iCs/>
          <w:szCs w:val="20"/>
          <w:lang w:eastAsia="it-IT"/>
        </w:rPr>
        <w:footnoteReference w:id="37"/>
      </w:r>
      <w:r w:rsidRPr="00515872">
        <w:rPr>
          <w:rFonts w:eastAsia="Times New Roman" w:cs="Tahoma"/>
          <w:bCs/>
          <w:iCs/>
          <w:szCs w:val="20"/>
          <w:lang w:eastAsia="it-IT"/>
        </w:rPr>
        <w:t>;</w:t>
      </w:r>
    </w:p>
    <w:p w14:paraId="511DF0B3" w14:textId="77777777" w:rsidR="009518AF" w:rsidRPr="00515872" w:rsidRDefault="009518AF" w:rsidP="00D65838">
      <w:pPr>
        <w:pStyle w:val="Paragrafoelenco"/>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gli enti strumentali controllati dell’amministrazione pubblica capogruppo</w:t>
      </w:r>
      <w:r w:rsidRPr="00515872">
        <w:rPr>
          <w:rStyle w:val="Rimandonotaapidipagina"/>
          <w:rFonts w:eastAsia="Times New Roman" w:cs="Tahoma"/>
          <w:bCs/>
          <w:iCs/>
          <w:szCs w:val="20"/>
          <w:lang w:eastAsia="it-IT"/>
        </w:rPr>
        <w:footnoteReference w:id="38"/>
      </w:r>
      <w:r w:rsidRPr="00515872">
        <w:rPr>
          <w:rFonts w:eastAsia="Times New Roman" w:cs="Tahoma"/>
          <w:bCs/>
          <w:iCs/>
          <w:szCs w:val="20"/>
          <w:lang w:eastAsia="it-IT"/>
        </w:rPr>
        <w:t xml:space="preserve">; </w:t>
      </w:r>
    </w:p>
    <w:p w14:paraId="04A7DFF1" w14:textId="77777777" w:rsidR="009518AF" w:rsidRPr="00515872" w:rsidRDefault="009518AF" w:rsidP="00D65838">
      <w:pPr>
        <w:pStyle w:val="Paragrafoelenco"/>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gli enti strumentali partecipati da un'amministrazione pubblica</w:t>
      </w:r>
      <w:r w:rsidRPr="00515872">
        <w:rPr>
          <w:rStyle w:val="Rimandonotaapidipagina"/>
          <w:rFonts w:eastAsia="Times New Roman" w:cs="Tahoma"/>
          <w:bCs/>
          <w:iCs/>
          <w:szCs w:val="20"/>
          <w:lang w:eastAsia="it-IT"/>
        </w:rPr>
        <w:footnoteReference w:id="39"/>
      </w:r>
      <w:r w:rsidRPr="00515872">
        <w:rPr>
          <w:rFonts w:eastAsia="Times New Roman" w:cs="Tahoma"/>
          <w:bCs/>
          <w:iCs/>
          <w:szCs w:val="20"/>
          <w:lang w:eastAsia="it-IT"/>
        </w:rPr>
        <w:t>;</w:t>
      </w:r>
    </w:p>
    <w:p w14:paraId="3746DD05" w14:textId="77777777" w:rsidR="006B75CC" w:rsidRPr="00515872" w:rsidRDefault="006B75CC" w:rsidP="00D65838">
      <w:pPr>
        <w:pStyle w:val="Paragrafoelenco"/>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 w:val="16"/>
          <w:szCs w:val="20"/>
          <w:lang w:eastAsia="it-IT"/>
        </w:rPr>
      </w:pPr>
      <w:r w:rsidRPr="00515872">
        <w:rPr>
          <w:rFonts w:eastAsia="Times New Roman" w:cs="Tahoma"/>
          <w:szCs w:val="24"/>
          <w:lang w:eastAsia="zh-TW"/>
        </w:rPr>
        <w:t>le società, intese come enti organizzati in una delle</w:t>
      </w:r>
      <w:r w:rsidR="00E61E41" w:rsidRPr="00515872">
        <w:rPr>
          <w:rFonts w:eastAsia="Times New Roman" w:cs="Tahoma"/>
          <w:szCs w:val="24"/>
          <w:lang w:eastAsia="zh-TW"/>
        </w:rPr>
        <w:t xml:space="preserve"> forme societarie previste dal Codice C</w:t>
      </w:r>
      <w:r w:rsidRPr="00515872">
        <w:rPr>
          <w:rFonts w:eastAsia="Times New Roman" w:cs="Tahoma"/>
          <w:szCs w:val="24"/>
          <w:lang w:eastAsia="zh-TW"/>
        </w:rPr>
        <w:t xml:space="preserve">ivile Libro V, Titolo V, Capi V, VI e VII (società di capitali), o i gruppi di tali società nelle quali l’amministrazione esercita </w:t>
      </w:r>
      <w:r w:rsidRPr="00515872">
        <w:rPr>
          <w:rFonts w:eastAsia="Times New Roman" w:cs="Tahoma"/>
          <w:szCs w:val="24"/>
          <w:lang w:eastAsia="zh-TW"/>
        </w:rPr>
        <w:lastRenderedPageBreak/>
        <w:t>il controllo o detiene una partecipazione. In presenza di gruppi di società che redigono il bilancio consolidato, rientranti nell’area di consolidamento dell’amministrazione come di seguito descritta, oggetto del consolidamento sarà il bilancio consolidato del gruppo</w:t>
      </w:r>
      <w:r w:rsidR="001A467A" w:rsidRPr="00515872">
        <w:rPr>
          <w:rFonts w:eastAsia="Times New Roman" w:cs="Tahoma"/>
          <w:szCs w:val="24"/>
          <w:lang w:eastAsia="zh-TW"/>
        </w:rPr>
        <w:t xml:space="preserve"> (sono escluse</w:t>
      </w:r>
      <w:bookmarkStart w:id="99" w:name="_Hlk486044076"/>
      <w:r w:rsidRPr="00515872">
        <w:rPr>
          <w:rFonts w:eastAsia="Times New Roman" w:cs="Tahoma"/>
          <w:szCs w:val="24"/>
          <w:lang w:eastAsia="zh-TW"/>
        </w:rPr>
        <w:t xml:space="preserve"> le società per le quali sia stata avviata una procedura concorsuale, mentre sono comprese le società in liquidazione</w:t>
      </w:r>
      <w:bookmarkEnd w:id="99"/>
      <w:r w:rsidR="001A467A" w:rsidRPr="00515872">
        <w:rPr>
          <w:rFonts w:eastAsia="Times New Roman" w:cs="Tahoma"/>
          <w:szCs w:val="24"/>
          <w:lang w:eastAsia="zh-TW"/>
        </w:rPr>
        <w:t>)</w:t>
      </w:r>
      <w:r w:rsidRPr="00515872">
        <w:rPr>
          <w:rFonts w:eastAsia="Times New Roman" w:cs="Tahoma"/>
          <w:szCs w:val="24"/>
          <w:lang w:eastAsia="zh-TW"/>
        </w:rPr>
        <w:t>;</w:t>
      </w:r>
    </w:p>
    <w:p w14:paraId="3499D2B2" w14:textId="77777777" w:rsidR="009518AF" w:rsidRPr="00515872" w:rsidRDefault="009518AF" w:rsidP="00D65838">
      <w:pPr>
        <w:pStyle w:val="Paragrafoelenco"/>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le società controllate dall'amministrazione pubblica capogruppo, nei cui confronti la capogruppo:</w:t>
      </w:r>
    </w:p>
    <w:p w14:paraId="0C34D441" w14:textId="77777777" w:rsidR="009518AF" w:rsidRPr="00515872" w:rsidRDefault="009518AF"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ha il possesso, diretto o indiretto, anche sulla scorta di patti parasociali, della maggioranza dei voti esercitabili nell'assemblea ordinaria o dispone di voti sufficienti per esercitare un’influenza dominante sull'assemblea ordinaria;</w:t>
      </w:r>
    </w:p>
    <w:p w14:paraId="61BF7011" w14:textId="77777777" w:rsidR="009518AF" w:rsidRPr="00515872" w:rsidRDefault="009518AF"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ha il diritto, in virtù di contratto o di clausola statutaria, di esercitare un'influenza dominante</w:t>
      </w:r>
      <w:r w:rsidR="00736ABF" w:rsidRPr="00515872">
        <w:rPr>
          <w:rStyle w:val="Rimandonotaapidipagina"/>
          <w:rFonts w:eastAsia="Times New Roman" w:cs="Tahoma"/>
          <w:bCs/>
          <w:iCs/>
          <w:szCs w:val="20"/>
          <w:lang w:eastAsia="it-IT"/>
        </w:rPr>
        <w:footnoteReference w:id="40"/>
      </w:r>
      <w:r w:rsidRPr="00515872">
        <w:rPr>
          <w:rFonts w:eastAsia="Times New Roman" w:cs="Tahoma"/>
          <w:bCs/>
          <w:iCs/>
          <w:szCs w:val="20"/>
          <w:lang w:eastAsia="it-IT"/>
        </w:rPr>
        <w:t>. I contratti di servizio pubblico e di concessione stipulati con società che svolgono prevalentemente l'attività oggetto di tali contratti presuppongono l'esercizio di influenza dominante</w:t>
      </w:r>
      <w:r w:rsidR="00FB582A" w:rsidRPr="00515872">
        <w:rPr>
          <w:rStyle w:val="Rimandonotaapidipagina"/>
          <w:rFonts w:eastAsia="Times New Roman" w:cs="Tahoma"/>
          <w:bCs/>
          <w:iCs/>
          <w:szCs w:val="20"/>
          <w:lang w:eastAsia="it-IT"/>
        </w:rPr>
        <w:footnoteReference w:id="41"/>
      </w:r>
      <w:r w:rsidR="00FB582A" w:rsidRPr="00515872">
        <w:rPr>
          <w:rFonts w:eastAsia="Times New Roman" w:cs="Tahoma"/>
          <w:bCs/>
          <w:iCs/>
          <w:szCs w:val="20"/>
          <w:lang w:eastAsia="it-IT"/>
        </w:rPr>
        <w:t>.</w:t>
      </w:r>
      <w:r w:rsidRPr="00515872">
        <w:rPr>
          <w:rFonts w:eastAsia="Times New Roman" w:cs="Tahoma"/>
          <w:bCs/>
          <w:iCs/>
          <w:szCs w:val="20"/>
          <w:lang w:eastAsia="it-IT"/>
        </w:rPr>
        <w:t xml:space="preserve"> In fase di prima applicazione, con riferimento agli esercizi 2015-2017, non sono considerate le società quotate e quelle da esse controllate ai sensi dell'art. 2359, C.C.</w:t>
      </w:r>
      <w:r w:rsidRPr="00515872">
        <w:rPr>
          <w:rStyle w:val="Rimandonotaapidipagina"/>
          <w:rFonts w:eastAsia="Times New Roman" w:cs="Tahoma"/>
          <w:bCs/>
          <w:iCs/>
          <w:szCs w:val="20"/>
          <w:lang w:eastAsia="it-IT"/>
        </w:rPr>
        <w:footnoteReference w:id="42"/>
      </w:r>
      <w:r w:rsidRPr="00515872">
        <w:rPr>
          <w:rFonts w:eastAsia="Times New Roman" w:cs="Tahoma"/>
          <w:bCs/>
          <w:iCs/>
          <w:szCs w:val="20"/>
          <w:lang w:eastAsia="it-IT"/>
        </w:rPr>
        <w:t>;</w:t>
      </w:r>
    </w:p>
    <w:p w14:paraId="083B2DB2" w14:textId="77777777" w:rsidR="009518AF" w:rsidRPr="00515872" w:rsidRDefault="009518AF" w:rsidP="00D65838">
      <w:pPr>
        <w:pStyle w:val="Paragrafoelenco"/>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le società partecipate dell'amministrazione pubblica capogruppo, costituite dalle società a totale partecipazione pubblica</w:t>
      </w:r>
      <w:r w:rsidR="00730E49" w:rsidRPr="00515872">
        <w:rPr>
          <w:rFonts w:eastAsia="Times New Roman" w:cs="Tahoma"/>
          <w:bCs/>
          <w:iCs/>
          <w:szCs w:val="20"/>
          <w:lang w:eastAsia="it-IT"/>
        </w:rPr>
        <w:t>,</w:t>
      </w:r>
      <w:r w:rsidRPr="00515872">
        <w:rPr>
          <w:rFonts w:eastAsia="Times New Roman" w:cs="Tahoma"/>
          <w:bCs/>
          <w:iCs/>
          <w:szCs w:val="20"/>
          <w:lang w:eastAsia="it-IT"/>
        </w:rPr>
        <w:t xml:space="preserve"> affidatarie dirette di servizi p</w:t>
      </w:r>
      <w:r w:rsidR="00730E49" w:rsidRPr="00515872">
        <w:rPr>
          <w:rFonts w:eastAsia="Times New Roman" w:cs="Tahoma"/>
          <w:bCs/>
          <w:iCs/>
          <w:szCs w:val="20"/>
          <w:lang w:eastAsia="it-IT"/>
        </w:rPr>
        <w:t xml:space="preserve">ubblici locali dell'ente, </w:t>
      </w:r>
      <w:r w:rsidRPr="00515872">
        <w:rPr>
          <w:rFonts w:eastAsia="Times New Roman" w:cs="Tahoma"/>
          <w:bCs/>
          <w:iCs/>
          <w:szCs w:val="20"/>
          <w:lang w:eastAsia="it-IT"/>
        </w:rPr>
        <w:t>indipendentemente dalla quota di partecipazione</w:t>
      </w:r>
      <w:r w:rsidR="00C761F3" w:rsidRPr="00515872">
        <w:rPr>
          <w:rStyle w:val="Rimandonotaapidipagina"/>
          <w:rFonts w:eastAsia="Times New Roman" w:cs="Tahoma"/>
          <w:bCs/>
          <w:iCs/>
          <w:szCs w:val="20"/>
          <w:lang w:eastAsia="it-IT"/>
        </w:rPr>
        <w:footnoteReference w:id="43"/>
      </w:r>
      <w:r w:rsidRPr="00515872">
        <w:rPr>
          <w:rFonts w:eastAsia="Times New Roman" w:cs="Tahoma"/>
          <w:bCs/>
          <w:iCs/>
          <w:szCs w:val="20"/>
          <w:lang w:eastAsia="it-IT"/>
        </w:rPr>
        <w:t xml:space="preserve">. </w:t>
      </w:r>
    </w:p>
    <w:p w14:paraId="6154C042"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Una volta definita la composizione del </w:t>
      </w:r>
      <w:r w:rsidRPr="00515872">
        <w:rPr>
          <w:rFonts w:eastAsia="Times New Roman" w:cs="Tahoma"/>
          <w:bCs/>
          <w:iCs/>
          <w:szCs w:val="20"/>
          <w:lang w:eastAsia="it-IT"/>
        </w:rPr>
        <w:t>"gruppo amministrazione pubblica", si tratta di individuare quali bilanci devono essere ricompresi nel consolidato. In particolare s</w:t>
      </w:r>
      <w:r w:rsidRPr="00515872">
        <w:rPr>
          <w:rFonts w:eastAsia="Times New Roman" w:cs="Tahoma"/>
          <w:szCs w:val="20"/>
          <w:lang w:eastAsia="it-IT"/>
        </w:rPr>
        <w:t xml:space="preserve">ono previste alcune </w:t>
      </w:r>
      <w:r w:rsidRPr="00515872">
        <w:rPr>
          <w:rFonts w:eastAsia="Times New Roman" w:cs="Tahoma"/>
          <w:b/>
          <w:szCs w:val="20"/>
          <w:lang w:eastAsia="it-IT"/>
        </w:rPr>
        <w:t>cause di esclusione</w:t>
      </w:r>
      <w:r w:rsidRPr="00515872">
        <w:rPr>
          <w:rFonts w:eastAsia="Times New Roman" w:cs="Tahoma"/>
          <w:szCs w:val="20"/>
          <w:lang w:eastAsia="it-IT"/>
        </w:rPr>
        <w:t xml:space="preserve"> dal gruppo di consolidamento dovute a:</w:t>
      </w:r>
    </w:p>
    <w:p w14:paraId="0B607F78" w14:textId="77777777" w:rsidR="009518AF" w:rsidRPr="00515872" w:rsidRDefault="009518AF" w:rsidP="00D65838">
      <w:pPr>
        <w:pStyle w:val="Paragrafoelenco"/>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b/>
          <w:bCs/>
          <w:color w:val="000000"/>
          <w:szCs w:val="20"/>
        </w:rPr>
        <w:t>irrilevanza</w:t>
      </w:r>
      <w:r w:rsidRPr="00515872">
        <w:rPr>
          <w:rFonts w:cs="Tahoma"/>
          <w:color w:val="000000"/>
          <w:szCs w:val="20"/>
        </w:rPr>
        <w:t>: quando il bilancio di un componente del gruppo è ininfluente ai fini della rappresentazione veritiera e corretta della situazione patrimoniale e finanziaria e del risultato economico del gruppo; s</w:t>
      </w:r>
      <w:r w:rsidRPr="00515872">
        <w:rPr>
          <w:rFonts w:eastAsia="Times New Roman" w:cs="Tahoma"/>
          <w:bCs/>
          <w:iCs/>
          <w:szCs w:val="20"/>
          <w:lang w:eastAsia="it-IT"/>
        </w:rPr>
        <w:t>ono considerati irrilevanti i bilanci che presentano, per ciascuno dei seguenti parametri, una incidenza inferiore al 10% per gli enti locali e al 5% per le regioni e le province autonome rispetto alla posizione patrimoniale, economica e finanziaria della capogruppo:</w:t>
      </w:r>
    </w:p>
    <w:p w14:paraId="1006C9C1" w14:textId="77777777" w:rsidR="009518AF" w:rsidRPr="00515872" w:rsidRDefault="009518AF"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bCs/>
          <w:iCs/>
          <w:szCs w:val="20"/>
          <w:lang w:eastAsia="it-IT"/>
        </w:rPr>
        <w:t>totale dell'attivo;</w:t>
      </w:r>
    </w:p>
    <w:p w14:paraId="6F76BC90" w14:textId="77777777" w:rsidR="009518AF" w:rsidRPr="00515872" w:rsidRDefault="009518AF"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bCs/>
          <w:iCs/>
          <w:szCs w:val="20"/>
          <w:lang w:eastAsia="it-IT"/>
        </w:rPr>
        <w:t>patrimonio netto;</w:t>
      </w:r>
    </w:p>
    <w:p w14:paraId="392CDD25" w14:textId="77777777" w:rsidR="009518AF" w:rsidRPr="00515872" w:rsidRDefault="009518AF"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eastAsia="Times New Roman" w:cs="Tahoma"/>
          <w:szCs w:val="20"/>
          <w:lang w:eastAsia="it-IT"/>
        </w:rPr>
      </w:pPr>
      <w:r w:rsidRPr="00515872">
        <w:rPr>
          <w:rFonts w:eastAsia="Times New Roman" w:cs="Tahoma"/>
          <w:bCs/>
          <w:iCs/>
          <w:szCs w:val="20"/>
          <w:lang w:eastAsia="it-IT"/>
        </w:rPr>
        <w:t>t</w:t>
      </w:r>
      <w:r w:rsidR="00983224" w:rsidRPr="00515872">
        <w:rPr>
          <w:rFonts w:eastAsia="Times New Roman" w:cs="Tahoma"/>
          <w:bCs/>
          <w:iCs/>
          <w:szCs w:val="20"/>
          <w:lang w:eastAsia="it-IT"/>
        </w:rPr>
        <w:t>otale dei ricavi caratteristici.</w:t>
      </w:r>
    </w:p>
    <w:p w14:paraId="092C9F99" w14:textId="77777777" w:rsidR="00983224" w:rsidRPr="00515872" w:rsidRDefault="00983224" w:rsidP="00983224">
      <w:pPr>
        <w:spacing w:after="0" w:line="360" w:lineRule="auto"/>
        <w:ind w:left="360"/>
        <w:jc w:val="both"/>
        <w:rPr>
          <w:rFonts w:cs="Tahoma"/>
          <w:szCs w:val="20"/>
          <w:lang w:eastAsia="it-IT"/>
        </w:rPr>
      </w:pPr>
      <w:r w:rsidRPr="00515872">
        <w:rPr>
          <w:rFonts w:cs="Tahoma"/>
          <w:szCs w:val="20"/>
          <w:lang w:eastAsia="it-IT"/>
        </w:rPr>
        <w:lastRenderedPageBreak/>
        <w:t>In presenza di patrimonio netto negativo, l’irrilevanza è determinata con riferimento ai soli due parametri restanti.</w:t>
      </w:r>
    </w:p>
    <w:p w14:paraId="0FF36B2E" w14:textId="77777777" w:rsidR="00983224" w:rsidRPr="00515872" w:rsidRDefault="00983224" w:rsidP="00983224">
      <w:pPr>
        <w:spacing w:after="0" w:line="360" w:lineRule="auto"/>
        <w:ind w:left="360"/>
        <w:jc w:val="both"/>
        <w:rPr>
          <w:rFonts w:cs="Tahoma"/>
          <w:szCs w:val="20"/>
          <w:lang w:eastAsia="it-IT"/>
        </w:rPr>
      </w:pPr>
      <w:r w:rsidRPr="00515872">
        <w:rPr>
          <w:rFonts w:cs="Tahoma"/>
          <w:szCs w:val="20"/>
          <w:lang w:eastAsia="it-IT"/>
        </w:rPr>
        <w:t xml:space="preserve">Con riferimento all’esercizio 2018 e successivi sono considerati irrilevanti i bilanci che presentano, per ciascuno dei predetti parametri, una incidenza inferiore al 3%. </w:t>
      </w:r>
    </w:p>
    <w:p w14:paraId="086378D7" w14:textId="77777777" w:rsidR="0079541B" w:rsidRPr="00515872" w:rsidRDefault="00983224" w:rsidP="0079541B">
      <w:pPr>
        <w:spacing w:after="0" w:line="360" w:lineRule="auto"/>
        <w:ind w:left="357"/>
        <w:jc w:val="both"/>
        <w:rPr>
          <w:rFonts w:cs="Tahoma"/>
          <w:szCs w:val="20"/>
          <w:lang w:eastAsia="it-IT"/>
        </w:rPr>
      </w:pPr>
      <w:r w:rsidRPr="00515872">
        <w:rPr>
          <w:rFonts w:cs="Tahoma"/>
          <w:szCs w:val="20"/>
          <w:lang w:eastAsia="it-IT"/>
        </w:rPr>
        <w:t>La valutazione di irrilevanza deve essere formulata sia con riferimento al singolo ente o società, sia all’insieme degli enti e delle società ritenuti scarsamente significativi, in quanto la considerazione di più situazioni modeste potrebbe rilevarsi di interesse ai fini del consolidamento</w:t>
      </w:r>
      <w:r w:rsidR="000D7AAB" w:rsidRPr="00515872">
        <w:rPr>
          <w:rFonts w:cs="Tahoma"/>
          <w:szCs w:val="20"/>
          <w:lang w:eastAsia="it-IT"/>
        </w:rPr>
        <w:t xml:space="preserve">; </w:t>
      </w:r>
      <w:r w:rsidRPr="00515872">
        <w:rPr>
          <w:rFonts w:cs="Tahoma"/>
          <w:szCs w:val="20"/>
          <w:lang w:eastAsia="it-IT"/>
        </w:rPr>
        <w:t>si intende, in questo modo, evitare che l’esclusione di tante realtà autonomamente insignificanti sottragga al bilancio di grup</w:t>
      </w:r>
      <w:r w:rsidR="000D7AAB" w:rsidRPr="00515872">
        <w:rPr>
          <w:rFonts w:cs="Tahoma"/>
          <w:szCs w:val="20"/>
          <w:lang w:eastAsia="it-IT"/>
        </w:rPr>
        <w:t>po informazioni di rilievo</w:t>
      </w:r>
      <w:r w:rsidRPr="00515872">
        <w:rPr>
          <w:rFonts w:cs="Tahoma"/>
          <w:szCs w:val="20"/>
          <w:lang w:eastAsia="it-IT"/>
        </w:rPr>
        <w:t>. Pertanto, ai fini dell’esclusione per irrilevanza, a decorrere dall’esercizio 2018, la sommatoria delle percentuali dei bilanci singolarmente considerati irrilevanti deve presentare, per ciascuno dei parametri sopra indicati, un’incidenza inferiore al 10</w:t>
      </w:r>
      <w:r w:rsidR="0079541B" w:rsidRPr="00515872">
        <w:rPr>
          <w:rFonts w:cs="Tahoma"/>
          <w:szCs w:val="20"/>
          <w:lang w:eastAsia="it-IT"/>
        </w:rPr>
        <w:t>%</w:t>
      </w:r>
      <w:r w:rsidRPr="00515872">
        <w:rPr>
          <w:rFonts w:cs="Tahoma"/>
          <w:szCs w:val="20"/>
          <w:lang w:eastAsia="it-IT"/>
        </w:rPr>
        <w:t xml:space="preserve"> rispetto alla posizione patrimoniale, economica e finanziaria della capogruppo. Se tali sommatorie presentano un valore pari o superiore, l</w:t>
      </w:r>
      <w:r w:rsidR="000D7AAB" w:rsidRPr="00515872">
        <w:rPr>
          <w:rFonts w:cs="Tahoma"/>
          <w:szCs w:val="20"/>
          <w:lang w:eastAsia="it-IT"/>
        </w:rPr>
        <w:t>’ente</w:t>
      </w:r>
      <w:r w:rsidRPr="00515872">
        <w:rPr>
          <w:rFonts w:cs="Tahoma"/>
          <w:szCs w:val="20"/>
          <w:lang w:eastAsia="it-IT"/>
        </w:rPr>
        <w:t xml:space="preserve"> capogruppo individua i bilanci degli enti singolarmente irrilevanti da inserire nel bilancio consolidato, fino a ricondurre la sommatoria delle percentuali dei bilanci esclusi per irrilevanza ad una incidenza inferiore </w:t>
      </w:r>
      <w:r w:rsidR="0079541B" w:rsidRPr="00515872">
        <w:rPr>
          <w:rFonts w:cs="Tahoma"/>
          <w:szCs w:val="20"/>
          <w:lang w:eastAsia="it-IT"/>
        </w:rPr>
        <w:t>a detta soglia</w:t>
      </w:r>
      <w:r w:rsidRPr="00515872">
        <w:rPr>
          <w:rFonts w:cs="Tahoma"/>
          <w:szCs w:val="20"/>
          <w:lang w:eastAsia="it-IT"/>
        </w:rPr>
        <w:t>.</w:t>
      </w:r>
    </w:p>
    <w:p w14:paraId="6B1F7B43" w14:textId="77777777" w:rsidR="000858CA" w:rsidRPr="00515872" w:rsidRDefault="00717F91" w:rsidP="0079541B">
      <w:pPr>
        <w:spacing w:after="0" w:line="360" w:lineRule="auto"/>
        <w:ind w:left="357"/>
        <w:jc w:val="both"/>
        <w:rPr>
          <w:rFonts w:cs="Tahoma"/>
          <w:szCs w:val="20"/>
          <w:lang w:eastAsia="it-IT"/>
        </w:rPr>
      </w:pPr>
      <w:r w:rsidRPr="00515872">
        <w:rPr>
          <w:rFonts w:cs="Tahoma"/>
          <w:szCs w:val="20"/>
          <w:lang w:eastAsia="it-IT"/>
        </w:rPr>
        <w:t xml:space="preserve">A decorrere dall’esercizio 2017 sono considerati rilevanti gli enti e le società totalmente partecipati dalla capogruppo, le società </w:t>
      </w:r>
      <w:r w:rsidRPr="00515872">
        <w:rPr>
          <w:rFonts w:cs="Tahoma"/>
          <w:i/>
          <w:szCs w:val="20"/>
          <w:lang w:eastAsia="it-IT"/>
        </w:rPr>
        <w:t>in house</w:t>
      </w:r>
      <w:r w:rsidRPr="00515872">
        <w:rPr>
          <w:rFonts w:cs="Tahoma"/>
          <w:szCs w:val="20"/>
          <w:lang w:eastAsia="it-IT"/>
        </w:rPr>
        <w:t xml:space="preserve"> e gli enti partecipati titolari di affidamento diretto da parte dei componenti del gruppo, a prescindere dalla quota di partecipazione.</w:t>
      </w:r>
      <w:bookmarkStart w:id="100" w:name="_Hlk484237518"/>
    </w:p>
    <w:p w14:paraId="31C8AB28" w14:textId="77777777" w:rsidR="000858CA" w:rsidRPr="00515872" w:rsidRDefault="000858CA" w:rsidP="00F22A72">
      <w:pPr>
        <w:spacing w:line="360" w:lineRule="auto"/>
        <w:ind w:left="357"/>
        <w:jc w:val="both"/>
        <w:rPr>
          <w:rFonts w:cs="Tahoma"/>
          <w:szCs w:val="20"/>
          <w:lang w:eastAsia="it-IT"/>
        </w:rPr>
      </w:pPr>
      <w:r w:rsidRPr="00515872">
        <w:rPr>
          <w:rFonts w:cs="Tahoma"/>
          <w:szCs w:val="20"/>
          <w:lang w:eastAsia="it-IT"/>
        </w:rPr>
        <w:t>In ogni caso, salvo il caso dell’affidamento diretto, sono considerate irrilevanti, e non oggetto di consolidamento, le quote di partec</w:t>
      </w:r>
      <w:r w:rsidR="000D7AAB" w:rsidRPr="00515872">
        <w:rPr>
          <w:rFonts w:cs="Tahoma"/>
          <w:szCs w:val="20"/>
          <w:lang w:eastAsia="it-IT"/>
        </w:rPr>
        <w:t>ipazione inferiori all’1%</w:t>
      </w:r>
      <w:r w:rsidRPr="00515872">
        <w:rPr>
          <w:rFonts w:cs="Tahoma"/>
          <w:szCs w:val="20"/>
          <w:lang w:eastAsia="it-IT"/>
        </w:rPr>
        <w:t>.</w:t>
      </w:r>
      <w:bookmarkEnd w:id="100"/>
    </w:p>
    <w:p w14:paraId="7A5AF412" w14:textId="77777777" w:rsidR="009518AF" w:rsidRPr="00515872" w:rsidRDefault="009518AF" w:rsidP="00D65838">
      <w:pPr>
        <w:pStyle w:val="Paragrafoelenco"/>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b/>
          <w:color w:val="000000"/>
          <w:szCs w:val="20"/>
        </w:rPr>
        <w:t>impossibilità di reperire le informazioni necessarie al consolidamento</w:t>
      </w:r>
      <w:r w:rsidRPr="00515872">
        <w:rPr>
          <w:rFonts w:cs="Tahoma"/>
          <w:color w:val="000000"/>
          <w:szCs w:val="20"/>
        </w:rPr>
        <w:t xml:space="preserve"> in tempi ragionevoli e senza spese sproporzionate: questa ipotesi contempla le situazioni ritenute impreviste e riguarda eventi di natura straordinaria come terremoti, allu</w:t>
      </w:r>
      <w:r w:rsidR="00717F91" w:rsidRPr="00515872">
        <w:rPr>
          <w:rFonts w:cs="Tahoma"/>
          <w:color w:val="000000"/>
          <w:szCs w:val="20"/>
        </w:rPr>
        <w:t>vioni e altre calamità naturali</w:t>
      </w:r>
      <w:r w:rsidR="00717F91" w:rsidRPr="00515872">
        <w:rPr>
          <w:rFonts w:cs="Tahoma"/>
          <w:szCs w:val="20"/>
          <w:lang w:eastAsia="it-IT"/>
        </w:rPr>
        <w:t>. Se alle scadenze previste i bilanci dei componenti del gruppo non sono ancora stati approvati, è trasmesso il pre-consuntivo o il bilancio predisposto ai fini dell’approvazione.</w:t>
      </w:r>
    </w:p>
    <w:p w14:paraId="0E524EE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Definizione e trasmissione degli elenchi</w:t>
      </w:r>
    </w:p>
    <w:p w14:paraId="06A8B66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szCs w:val="20"/>
          <w:lang w:eastAsia="it-IT"/>
        </w:rPr>
      </w:pPr>
      <w:r w:rsidRPr="00515872">
        <w:rPr>
          <w:rFonts w:eastAsia="Times New Roman" w:cs="Tahoma"/>
          <w:bCs/>
          <w:szCs w:val="20"/>
          <w:lang w:eastAsia="it-IT"/>
        </w:rPr>
        <w:t xml:space="preserve">L’individuazione degli enti rientranti nel </w:t>
      </w:r>
      <w:r w:rsidRPr="00515872">
        <w:rPr>
          <w:rFonts w:eastAsia="Times New Roman" w:cs="Tahoma"/>
          <w:bCs/>
          <w:iCs/>
          <w:szCs w:val="20"/>
          <w:lang w:eastAsia="it-IT"/>
        </w:rPr>
        <w:t>"gruppo amministrazione pubblica" e dell’area di consolidamento passa</w:t>
      </w:r>
      <w:r w:rsidRPr="00515872">
        <w:rPr>
          <w:rFonts w:eastAsia="Times New Roman" w:cs="Tahoma"/>
          <w:bCs/>
          <w:szCs w:val="20"/>
          <w:lang w:eastAsia="it-IT"/>
        </w:rPr>
        <w:t xml:space="preserve"> attraverso la predisposizione e approvazione in giunta di due distinti elenchi riguardanti: </w:t>
      </w:r>
    </w:p>
    <w:p w14:paraId="116B3F47" w14:textId="77777777" w:rsidR="009518AF" w:rsidRPr="00515872" w:rsidRDefault="009518A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gli enti, le aziende e le società che compongono il</w:t>
      </w:r>
      <w:r w:rsidR="00EB08B4" w:rsidRPr="00515872">
        <w:rPr>
          <w:rFonts w:eastAsia="Times New Roman" w:cs="Tahoma"/>
          <w:bCs/>
          <w:szCs w:val="20"/>
          <w:lang w:eastAsia="it-IT"/>
        </w:rPr>
        <w:t xml:space="preserve"> GAP</w:t>
      </w:r>
      <w:r w:rsidRPr="00515872">
        <w:rPr>
          <w:rFonts w:eastAsia="Times New Roman" w:cs="Tahoma"/>
          <w:bCs/>
          <w:szCs w:val="20"/>
          <w:lang w:eastAsia="it-IT"/>
        </w:rPr>
        <w:t xml:space="preserve">, evidenziando gli enti, le aziende e le società che, a loro volta, sono a capo di un gruppo di amministrazioni pubbliche o di imprese; </w:t>
      </w:r>
    </w:p>
    <w:p w14:paraId="5A674BCD" w14:textId="77777777" w:rsidR="009518AF" w:rsidRPr="00515872" w:rsidRDefault="009518A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gli enti, le aziende e le società che sono ricomprese nell'ambito del bilancio consolidato.</w:t>
      </w:r>
    </w:p>
    <w:p w14:paraId="47D3DC7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 xml:space="preserve">I due elenchi </w:t>
      </w:r>
      <w:r w:rsidRPr="00515872">
        <w:rPr>
          <w:rFonts w:eastAsia="Times New Roman" w:cs="Tahoma"/>
          <w:b/>
          <w:bCs/>
          <w:szCs w:val="20"/>
          <w:lang w:eastAsia="it-IT"/>
        </w:rPr>
        <w:t>non sono necessariamente coincidenti</w:t>
      </w:r>
      <w:r w:rsidRPr="00515872">
        <w:rPr>
          <w:rFonts w:eastAsia="Times New Roman" w:cs="Tahoma"/>
          <w:bCs/>
          <w:szCs w:val="20"/>
          <w:lang w:eastAsia="it-IT"/>
        </w:rPr>
        <w:t>, in quanto alcuni componenti del gruppo potrebbero risultare irrilevanti ai fini della redazione del bilancio consolidato.</w:t>
      </w:r>
    </w:p>
    <w:p w14:paraId="25BE087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lastRenderedPageBreak/>
        <w:t>Entrambi gli elenchi</w:t>
      </w:r>
      <w:r w:rsidR="007D4F3F" w:rsidRPr="00515872">
        <w:rPr>
          <w:rFonts w:eastAsia="Times New Roman" w:cs="Tahoma"/>
          <w:bCs/>
          <w:szCs w:val="20"/>
          <w:lang w:eastAsia="it-IT"/>
        </w:rPr>
        <w:t xml:space="preserve"> </w:t>
      </w:r>
      <w:r w:rsidR="0035132C" w:rsidRPr="00515872">
        <w:rPr>
          <w:rFonts w:eastAsia="Times New Roman" w:cs="Tahoma"/>
          <w:bCs/>
          <w:szCs w:val="20"/>
          <w:lang w:eastAsia="it-IT"/>
        </w:rPr>
        <w:t xml:space="preserve">sono </w:t>
      </w:r>
      <w:r w:rsidR="007D4F3F" w:rsidRPr="00515872">
        <w:rPr>
          <w:rFonts w:eastAsia="Times New Roman" w:cs="Tahoma"/>
          <w:bCs/>
          <w:szCs w:val="20"/>
          <w:lang w:eastAsia="it-IT"/>
        </w:rPr>
        <w:t>approvati dalla giunta comunale e</w:t>
      </w:r>
      <w:r w:rsidRPr="00515872">
        <w:rPr>
          <w:rFonts w:eastAsia="Times New Roman" w:cs="Tahoma"/>
          <w:bCs/>
          <w:szCs w:val="20"/>
          <w:lang w:eastAsia="it-IT"/>
        </w:rPr>
        <w:t xml:space="preserve"> sono aggiornati alla fine dell’esercizio per tenere conto di quanto avvenuto nel corso della gestione. La versione definitiva dei due elenchi è inserita nella nota integrativa al bilancio consolidato.</w:t>
      </w:r>
    </w:p>
    <w:p w14:paraId="06579666" w14:textId="77777777" w:rsidR="009518AF" w:rsidRPr="00515872" w:rsidRDefault="007D4F3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L’ente deve</w:t>
      </w:r>
      <w:r w:rsidR="009518AF" w:rsidRPr="00515872">
        <w:rPr>
          <w:rFonts w:eastAsia="Times New Roman" w:cs="Tahoma"/>
          <w:bCs/>
          <w:szCs w:val="20"/>
          <w:lang w:eastAsia="it-IT"/>
        </w:rPr>
        <w:t xml:space="preserve"> trasmettere le direttive agli enti i cui bilanci sono destinati </w:t>
      </w:r>
      <w:r w:rsidR="000D7AAB" w:rsidRPr="00515872">
        <w:rPr>
          <w:rFonts w:eastAsia="Times New Roman" w:cs="Tahoma"/>
          <w:bCs/>
          <w:szCs w:val="20"/>
          <w:lang w:eastAsia="it-IT"/>
        </w:rPr>
        <w:t xml:space="preserve">ad essere compresi nel bilancio </w:t>
      </w:r>
      <w:r w:rsidR="009518AF" w:rsidRPr="00515872">
        <w:rPr>
          <w:rFonts w:eastAsia="Times New Roman" w:cs="Tahoma"/>
          <w:bCs/>
          <w:szCs w:val="20"/>
          <w:lang w:eastAsia="it-IT"/>
        </w:rPr>
        <w:t>consolidato, concernenti le modalità e le scadenze per l’invio dell</w:t>
      </w:r>
      <w:r w:rsidR="000D7AAB" w:rsidRPr="00515872">
        <w:rPr>
          <w:rFonts w:eastAsia="Times New Roman" w:cs="Tahoma"/>
          <w:bCs/>
          <w:szCs w:val="20"/>
          <w:lang w:eastAsia="it-IT"/>
        </w:rPr>
        <w:t xml:space="preserve">a documentazione necessaria per </w:t>
      </w:r>
      <w:r w:rsidR="009518AF" w:rsidRPr="00515872">
        <w:rPr>
          <w:rFonts w:eastAsia="Times New Roman" w:cs="Tahoma"/>
          <w:bCs/>
          <w:szCs w:val="20"/>
          <w:lang w:eastAsia="it-IT"/>
        </w:rPr>
        <w:t>l’elaborazione del consolidato.</w:t>
      </w:r>
    </w:p>
    <w:p w14:paraId="6931805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In assenza di enti o società controllate o partecipate oggetto di consolidamento, la delibera di approvazione del rendiconto dichiara formalmente che l’ente non ha enti o società controllate o partecipate oggetto di consolidamento e che, conseguentemente, non procede all’approvazione del bilancio consolidato.</w:t>
      </w:r>
    </w:p>
    <w:p w14:paraId="2B16BAF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bCs/>
          <w:iCs/>
          <w:szCs w:val="20"/>
          <w:lang w:eastAsia="it-IT"/>
        </w:rPr>
      </w:pPr>
      <w:r w:rsidRPr="00515872">
        <w:rPr>
          <w:rFonts w:eastAsia="Times New Roman" w:cs="Tahoma"/>
          <w:b/>
          <w:bCs/>
          <w:iCs/>
          <w:szCs w:val="20"/>
          <w:lang w:eastAsia="it-IT"/>
        </w:rPr>
        <w:t>Principi di consolidamento</w:t>
      </w:r>
    </w:p>
    <w:p w14:paraId="22106D2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 xml:space="preserve">Il bilancio consolidato deve includere soltanto le operazioni che i componenti inclusi nel consolidamento hanno </w:t>
      </w:r>
      <w:r w:rsidRPr="00515872">
        <w:rPr>
          <w:rFonts w:eastAsia="Times New Roman" w:cs="Tahoma"/>
          <w:b/>
          <w:bCs/>
          <w:iCs/>
          <w:szCs w:val="20"/>
          <w:lang w:eastAsia="it-IT"/>
        </w:rPr>
        <w:t>effettuato nei confronti dei terzi</w:t>
      </w:r>
      <w:r w:rsidRPr="00515872">
        <w:rPr>
          <w:rFonts w:eastAsia="Times New Roman" w:cs="Tahoma"/>
          <w:bCs/>
          <w:iCs/>
          <w:szCs w:val="20"/>
          <w:lang w:eastAsia="it-IT"/>
        </w:rPr>
        <w:t xml:space="preserve">. Devono, pertanto, essere eliminati, in sede di consolidamento, le operazioni e i saldi reciproci, perché costituiscono semplicemente il trasferimento di risorse all'interno del gruppo. La procedura di eliminazione di tali poste presuppone, naturalmente, l'equivalenza delle partite reciproche e la verifica di eventuali discordanze. La redazione del bilancio consolidato richiede pertanto operazioni di rettifica dei bilanci compresi, in ordine a saldi, operazioni, proventi e oneri riguardanti operazioni infragruppo, previa </w:t>
      </w:r>
      <w:r w:rsidRPr="00515872">
        <w:rPr>
          <w:rFonts w:cs="Tahoma"/>
          <w:color w:val="000000"/>
        </w:rPr>
        <w:t>riconciliazione dei saldi contabili</w:t>
      </w:r>
      <w:r w:rsidRPr="00515872">
        <w:rPr>
          <w:rFonts w:eastAsia="Times New Roman" w:cs="Tahoma"/>
          <w:bCs/>
          <w:iCs/>
          <w:szCs w:val="20"/>
          <w:lang w:eastAsia="it-IT"/>
        </w:rPr>
        <w:t>.</w:t>
      </w:r>
    </w:p>
    <w:p w14:paraId="6B37501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Problematiche particolari scaturiscono quanto le società ed organismi partecipati adottano sistemi contabili diversi, prevalentemente di tipo economico, rispetto al sistema contabile dell’ente locale di tipo finanziario. In questi casi, la redazione del bilancio consolidato è gravata, inevitabilmente, dei problemi di eterogeneità dei criteri di valutazione</w:t>
      </w:r>
      <w:r w:rsidR="0035132C" w:rsidRPr="00515872">
        <w:rPr>
          <w:rFonts w:eastAsia="Times New Roman" w:cs="Tahoma"/>
          <w:szCs w:val="20"/>
          <w:lang w:eastAsia="it-IT"/>
        </w:rPr>
        <w:t xml:space="preserve"> e rilevazione contabile</w:t>
      </w:r>
      <w:r w:rsidRPr="00515872">
        <w:rPr>
          <w:rFonts w:eastAsia="Times New Roman" w:cs="Tahoma"/>
          <w:szCs w:val="20"/>
          <w:lang w:eastAsia="it-IT"/>
        </w:rPr>
        <w:t>. Per ovviare a</w:t>
      </w:r>
      <w:r w:rsidR="0035132C" w:rsidRPr="00515872">
        <w:rPr>
          <w:rFonts w:eastAsia="Times New Roman" w:cs="Tahoma"/>
          <w:szCs w:val="20"/>
          <w:lang w:eastAsia="it-IT"/>
        </w:rPr>
        <w:t xml:space="preserve"> tali disallineamenti </w:t>
      </w:r>
      <w:r w:rsidRPr="00515872">
        <w:rPr>
          <w:rFonts w:eastAsia="Times New Roman" w:cs="Tahoma"/>
          <w:szCs w:val="20"/>
          <w:lang w:eastAsia="it-IT"/>
        </w:rPr>
        <w:t>la norma</w:t>
      </w:r>
      <w:r w:rsidR="0035132C" w:rsidRPr="00515872">
        <w:rPr>
          <w:rFonts w:eastAsia="Times New Roman" w:cs="Tahoma"/>
          <w:szCs w:val="20"/>
          <w:lang w:eastAsia="it-IT"/>
        </w:rPr>
        <w:t>tiva</w:t>
      </w:r>
      <w:r w:rsidRPr="00515872">
        <w:rPr>
          <w:rFonts w:eastAsia="Times New Roman" w:cs="Tahoma"/>
          <w:szCs w:val="20"/>
          <w:lang w:eastAsia="it-IT"/>
        </w:rPr>
        <w:t xml:space="preserve"> prevede correttivi da attuare mediante scritture di rettifica e prospetti di riconciliazione.</w:t>
      </w:r>
    </w:p>
    <w:p w14:paraId="4407AE8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iCs/>
          <w:szCs w:val="20"/>
          <w:lang w:eastAsia="it-IT"/>
        </w:rPr>
      </w:pPr>
      <w:r w:rsidRPr="00515872">
        <w:rPr>
          <w:rFonts w:eastAsia="Times New Roman" w:cs="Tahoma"/>
          <w:bCs/>
          <w:iCs/>
          <w:szCs w:val="20"/>
          <w:lang w:eastAsia="it-IT"/>
        </w:rPr>
        <w:t>I bilanci della capogruppo e dei componenti del gruppo, rettificati come sopra richiamato, sono aggregati voce per voce, facendo riferimento ai sing</w:t>
      </w:r>
      <w:r w:rsidR="0035132C" w:rsidRPr="00515872">
        <w:rPr>
          <w:rFonts w:eastAsia="Times New Roman" w:cs="Tahoma"/>
          <w:bCs/>
          <w:iCs/>
          <w:szCs w:val="20"/>
          <w:lang w:eastAsia="it-IT"/>
        </w:rPr>
        <w:t>oli valori contabili</w:t>
      </w:r>
      <w:r w:rsidRPr="00515872">
        <w:rPr>
          <w:rFonts w:eastAsia="Times New Roman" w:cs="Tahoma"/>
          <w:bCs/>
          <w:iCs/>
          <w:szCs w:val="20"/>
          <w:lang w:eastAsia="it-IT"/>
        </w:rPr>
        <w:t>, sommando tra loro i corrispondenti saldi dello stato patrimoniale e del conto economico:</w:t>
      </w:r>
    </w:p>
    <w:p w14:paraId="75BEA7AF" w14:textId="77777777" w:rsidR="009518AF" w:rsidRPr="00515872" w:rsidRDefault="009518AF" w:rsidP="00D65838">
      <w:pPr>
        <w:pStyle w:val="Paragrafoelenco"/>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per l'intero importo delle voci contabili con riferimento ai bilanci degli enti strumentali controllati e delle società controllate (cd.</w:t>
      </w:r>
      <w:r w:rsidRPr="00515872">
        <w:rPr>
          <w:rFonts w:eastAsia="Times New Roman" w:cs="Tahoma"/>
          <w:b/>
          <w:bCs/>
          <w:iCs/>
          <w:szCs w:val="20"/>
          <w:lang w:eastAsia="it-IT"/>
        </w:rPr>
        <w:t xml:space="preserve"> metodo integrale</w:t>
      </w:r>
      <w:r w:rsidRPr="00515872">
        <w:rPr>
          <w:rFonts w:eastAsia="Times New Roman" w:cs="Tahoma"/>
          <w:bCs/>
          <w:iCs/>
          <w:szCs w:val="20"/>
          <w:lang w:eastAsia="it-IT"/>
        </w:rPr>
        <w:t>);</w:t>
      </w:r>
    </w:p>
    <w:p w14:paraId="2E33EB72" w14:textId="77777777" w:rsidR="009518AF" w:rsidRPr="00515872" w:rsidRDefault="009518AF" w:rsidP="00D65838">
      <w:pPr>
        <w:pStyle w:val="Paragrafoelenco"/>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bCs/>
          <w:iCs/>
          <w:szCs w:val="20"/>
          <w:lang w:eastAsia="it-IT"/>
        </w:rPr>
        <w:t xml:space="preserve">per un importo proporzionale alla quota di partecipazione, con riferimento ai bilanci delle società partecipate e degli enti strumentali partecipati (cd. </w:t>
      </w:r>
      <w:r w:rsidRPr="00515872">
        <w:rPr>
          <w:rFonts w:eastAsia="Times New Roman" w:cs="Tahoma"/>
          <w:b/>
          <w:bCs/>
          <w:iCs/>
          <w:szCs w:val="20"/>
          <w:lang w:eastAsia="it-IT"/>
        </w:rPr>
        <w:t>metodo proporzionale</w:t>
      </w:r>
      <w:r w:rsidRPr="00515872">
        <w:rPr>
          <w:rFonts w:eastAsia="Times New Roman" w:cs="Tahoma"/>
          <w:bCs/>
          <w:iCs/>
          <w:szCs w:val="20"/>
          <w:lang w:eastAsia="it-IT"/>
        </w:rPr>
        <w:t>).</w:t>
      </w:r>
    </w:p>
    <w:p w14:paraId="18DC4C75" w14:textId="77777777" w:rsidR="00791569" w:rsidRPr="00515872" w:rsidRDefault="00791569" w:rsidP="00791569">
      <w:pPr>
        <w:tabs>
          <w:tab w:val="left" w:pos="284"/>
        </w:tabs>
        <w:spacing w:line="240" w:lineRule="auto"/>
        <w:jc w:val="both"/>
        <w:rPr>
          <w:rFonts w:eastAsia="Times New Roman" w:cs="Tahoma"/>
          <w:szCs w:val="20"/>
          <w:lang w:eastAsia="zh-TW"/>
        </w:rPr>
      </w:pPr>
      <w:r w:rsidRPr="00515872">
        <w:rPr>
          <w:rFonts w:eastAsia="Times New Roman" w:cs="Tahoma"/>
          <w:szCs w:val="20"/>
          <w:lang w:eastAsia="zh-TW"/>
        </w:rPr>
        <w:t>Particolari interventi di elisione sono costituiti da:</w:t>
      </w:r>
    </w:p>
    <w:p w14:paraId="566DE863" w14:textId="77777777" w:rsidR="00793B80" w:rsidRPr="00515872" w:rsidRDefault="00791569" w:rsidP="00793B80">
      <w:pPr>
        <w:pStyle w:val="Paragrafoelenco"/>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szCs w:val="20"/>
          <w:lang w:eastAsia="zh-TW"/>
        </w:rPr>
        <w:t>l’eliminazione del valore contabile delle partecipazioni della capogruppo in ciascuna componente del gruppo e la corrispondente parte del patrimonio netto di ciascuna componente del gruppo;</w:t>
      </w:r>
    </w:p>
    <w:p w14:paraId="51790D88" w14:textId="77777777" w:rsidR="00793B80" w:rsidRPr="00515872" w:rsidRDefault="00793B80" w:rsidP="00793B80">
      <w:pPr>
        <w:pStyle w:val="Paragrafoelenco"/>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szCs w:val="20"/>
          <w:lang w:eastAsia="zh-TW"/>
        </w:rPr>
        <w:lastRenderedPageBreak/>
        <w:t>l’analoga eliminazione dei valori delle partecipazioni tra i componenti del gruppo e delle corrispondenti quote del patrimonio netto;</w:t>
      </w:r>
    </w:p>
    <w:p w14:paraId="2C090601" w14:textId="77777777" w:rsidR="00791569" w:rsidRPr="00515872" w:rsidRDefault="00791569" w:rsidP="00D65838">
      <w:pPr>
        <w:pStyle w:val="Paragrafoelenco"/>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iCs/>
          <w:szCs w:val="20"/>
          <w:lang w:eastAsia="it-IT"/>
        </w:rPr>
      </w:pPr>
      <w:r w:rsidRPr="00515872">
        <w:rPr>
          <w:rFonts w:eastAsia="Times New Roman" w:cs="Tahoma"/>
          <w:szCs w:val="20"/>
          <w:lang w:eastAsia="zh-TW"/>
        </w:rPr>
        <w:t>l’eliminazione degli utili e delle perdite derivanti da operazioni infragruppo compresi nel valore contabile di attività, quali le rimanenze e le immobilizzazioni costituite, ad esempio, l’eliminazione delle minusvalenze e plusvalenze derivanti dall’alienazione di immobilizzazioni che sono ancora di proprietà del gruppo.</w:t>
      </w:r>
    </w:p>
    <w:p w14:paraId="713827E8" w14:textId="77777777" w:rsidR="009518AF" w:rsidRPr="00515872" w:rsidRDefault="009518AF" w:rsidP="00791569">
      <w:pPr>
        <w:spacing w:line="360" w:lineRule="auto"/>
        <w:rPr>
          <w:rFonts w:eastAsia="Times New Roman" w:cs="Tahoma"/>
          <w:szCs w:val="20"/>
          <w:lang w:eastAsia="it-IT"/>
        </w:rPr>
      </w:pPr>
      <w:r w:rsidRPr="00515872">
        <w:rPr>
          <w:rFonts w:eastAsia="Times New Roman" w:cs="Tahoma"/>
          <w:szCs w:val="20"/>
          <w:lang w:eastAsia="it-IT"/>
        </w:rPr>
        <w:t>La rettifica dei dati contabili può essere evitata se relativa a operazioni infragruppo di importo irrilevante. Di questo deve essere data notizia motivata nella nota integrativa.</w:t>
      </w:r>
    </w:p>
    <w:p w14:paraId="125FDD6E" w14:textId="77777777" w:rsidR="009518AF" w:rsidRPr="00515872" w:rsidRDefault="009518AF" w:rsidP="009518AF">
      <w:pPr>
        <w:spacing w:line="360" w:lineRule="auto"/>
        <w:jc w:val="both"/>
        <w:rPr>
          <w:rFonts w:eastAsia="Times New Roman" w:cs="Tahoma"/>
          <w:bCs/>
          <w:iCs/>
          <w:szCs w:val="20"/>
          <w:lang w:eastAsia="it-IT"/>
        </w:rPr>
      </w:pPr>
      <w:r w:rsidRPr="00515872">
        <w:rPr>
          <w:rFonts w:cs="Tahoma"/>
          <w:color w:val="000000"/>
          <w:szCs w:val="20"/>
        </w:rPr>
        <w:t xml:space="preserve">I principi contabili da considerare per le operazioni di consolidamento dell’ente locale sono, oltre a quelli previsti nell’allegato </w:t>
      </w:r>
      <w:r w:rsidR="00793B80" w:rsidRPr="00515872">
        <w:rPr>
          <w:rFonts w:cs="Tahoma"/>
          <w:color w:val="000000"/>
          <w:szCs w:val="20"/>
        </w:rPr>
        <w:t xml:space="preserve">n. </w:t>
      </w:r>
      <w:r w:rsidRPr="00515872">
        <w:rPr>
          <w:rFonts w:cs="Tahoma"/>
          <w:color w:val="000000"/>
          <w:szCs w:val="20"/>
        </w:rPr>
        <w:t>4/4</w:t>
      </w:r>
      <w:r w:rsidR="0035132C" w:rsidRPr="00515872">
        <w:rPr>
          <w:rFonts w:cs="Tahoma"/>
          <w:color w:val="000000"/>
          <w:szCs w:val="20"/>
        </w:rPr>
        <w:t>, quelli civilistic</w:t>
      </w:r>
      <w:r w:rsidRPr="00515872">
        <w:rPr>
          <w:rFonts w:cs="Tahoma"/>
          <w:color w:val="000000"/>
          <w:szCs w:val="20"/>
        </w:rPr>
        <w:t>i e quelli emanati dall’OIC</w:t>
      </w:r>
      <w:r w:rsidR="0035132C" w:rsidRPr="00515872">
        <w:rPr>
          <w:rFonts w:cs="Tahoma"/>
          <w:color w:val="000000"/>
          <w:szCs w:val="20"/>
        </w:rPr>
        <w:t>, generalmente utilizzati nel consolidamento dei conti</w:t>
      </w:r>
      <w:r w:rsidRPr="00515872">
        <w:rPr>
          <w:rFonts w:cs="Tahoma"/>
          <w:color w:val="000000"/>
          <w:szCs w:val="20"/>
        </w:rPr>
        <w:t>.</w:t>
      </w:r>
      <w:r w:rsidRPr="00515872">
        <w:rPr>
          <w:rFonts w:eastAsia="Times New Roman" w:cs="Tahoma"/>
          <w:bCs/>
          <w:iCs/>
          <w:szCs w:val="20"/>
          <w:lang w:eastAsia="it-IT"/>
        </w:rPr>
        <w:t xml:space="preserve"> </w:t>
      </w:r>
    </w:p>
    <w:p w14:paraId="02BE790A" w14:textId="77777777" w:rsidR="00C03D30" w:rsidRPr="00515872" w:rsidRDefault="00C03D30" w:rsidP="009518AF">
      <w:pPr>
        <w:spacing w:line="360" w:lineRule="auto"/>
        <w:jc w:val="both"/>
        <w:rPr>
          <w:rFonts w:cs="Tahoma"/>
          <w:color w:val="000000"/>
          <w:szCs w:val="20"/>
        </w:rPr>
      </w:pPr>
    </w:p>
    <w:p w14:paraId="60363153" w14:textId="77777777" w:rsidR="009518AF" w:rsidRPr="00515872" w:rsidRDefault="009518AF" w:rsidP="00297A21">
      <w:pPr>
        <w:pStyle w:val="Paragrafo"/>
      </w:pPr>
      <w:bookmarkStart w:id="101" w:name="_Toc521317080"/>
      <w:bookmarkStart w:id="102" w:name="_Toc95912257"/>
      <w:r w:rsidRPr="00515872">
        <w:t>4.4 Il Bilancio di previsione</w:t>
      </w:r>
      <w:bookmarkEnd w:id="101"/>
      <w:bookmarkEnd w:id="102"/>
    </w:p>
    <w:p w14:paraId="1A0F1BF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Peculiarità della contabilità pubblica, rispetto a quella delle imprese del settore privato, è data dalla preminenza del bilancio di previsione (che viene, per l’appunto, identificato con il termine “bilancio”) rispetto </w:t>
      </w:r>
      <w:r w:rsidR="004A65DC" w:rsidRPr="00515872">
        <w:rPr>
          <w:rFonts w:eastAsia="Times New Roman" w:cs="Tahoma"/>
          <w:szCs w:val="20"/>
          <w:lang w:eastAsia="it-IT"/>
        </w:rPr>
        <w:t>al conto consuntivo (identificato come “rendiconto”)</w:t>
      </w:r>
      <w:r w:rsidRPr="00515872">
        <w:rPr>
          <w:rFonts w:eastAsia="Times New Roman" w:cs="Tahoma"/>
          <w:szCs w:val="20"/>
          <w:lang w:eastAsia="it-IT"/>
        </w:rPr>
        <w:t xml:space="preserve">. Il motivo sta, fondamentalmente, nel ruolo autorizzatorio che </w:t>
      </w:r>
      <w:r w:rsidR="004A65DC" w:rsidRPr="00515872">
        <w:rPr>
          <w:rFonts w:eastAsia="Times New Roman" w:cs="Tahoma"/>
          <w:szCs w:val="20"/>
          <w:lang w:eastAsia="it-IT"/>
        </w:rPr>
        <w:t>il primo</w:t>
      </w:r>
      <w:r w:rsidRPr="00515872">
        <w:rPr>
          <w:rFonts w:eastAsia="Times New Roman" w:cs="Tahoma"/>
          <w:szCs w:val="20"/>
          <w:lang w:eastAsia="it-IT"/>
        </w:rPr>
        <w:t xml:space="preserve"> riveste.</w:t>
      </w:r>
    </w:p>
    <w:p w14:paraId="50AFAE6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carattere autorizzatorio del bilancio di previsione consta nel fatto che </w:t>
      </w:r>
      <w:r w:rsidR="00793B80" w:rsidRPr="00515872">
        <w:rPr>
          <w:rFonts w:eastAsia="Times New Roman" w:cs="Tahoma"/>
          <w:szCs w:val="20"/>
          <w:lang w:eastAsia="it-IT"/>
        </w:rPr>
        <w:t xml:space="preserve">le previsioni in </w:t>
      </w:r>
      <w:r w:rsidRPr="00515872">
        <w:rPr>
          <w:rFonts w:eastAsia="Times New Roman" w:cs="Tahoma"/>
          <w:szCs w:val="20"/>
          <w:lang w:eastAsia="it-IT"/>
        </w:rPr>
        <w:t>esso</w:t>
      </w:r>
      <w:r w:rsidR="00793B80" w:rsidRPr="00515872">
        <w:rPr>
          <w:rFonts w:eastAsia="Times New Roman" w:cs="Tahoma"/>
          <w:szCs w:val="20"/>
          <w:lang w:eastAsia="it-IT"/>
        </w:rPr>
        <w:t xml:space="preserve"> contenute</w:t>
      </w:r>
      <w:r w:rsidRPr="00515872">
        <w:rPr>
          <w:rFonts w:eastAsia="Times New Roman" w:cs="Tahoma"/>
          <w:szCs w:val="20"/>
          <w:lang w:eastAsia="it-IT"/>
        </w:rPr>
        <w:t xml:space="preserve"> </w:t>
      </w:r>
      <w:r w:rsidRPr="00515872">
        <w:rPr>
          <w:rFonts w:eastAsia="Times New Roman" w:cs="Tahoma"/>
          <w:b/>
          <w:szCs w:val="20"/>
          <w:lang w:eastAsia="it-IT"/>
        </w:rPr>
        <w:t>costituisc</w:t>
      </w:r>
      <w:r w:rsidR="00793B80" w:rsidRPr="00515872">
        <w:rPr>
          <w:rFonts w:eastAsia="Times New Roman" w:cs="Tahoma"/>
          <w:b/>
          <w:szCs w:val="20"/>
          <w:lang w:eastAsia="it-IT"/>
        </w:rPr>
        <w:t>ono</w:t>
      </w:r>
      <w:r w:rsidRPr="00515872">
        <w:rPr>
          <w:rFonts w:eastAsia="Times New Roman" w:cs="Tahoma"/>
          <w:b/>
          <w:szCs w:val="20"/>
          <w:lang w:eastAsia="it-IT"/>
        </w:rPr>
        <w:t xml:space="preserve"> il limite agli impegni di spesa ed ai pagamenti</w:t>
      </w:r>
      <w:r w:rsidRPr="00515872">
        <w:rPr>
          <w:rFonts w:eastAsia="Times New Roman" w:cs="Tahoma"/>
          <w:szCs w:val="20"/>
          <w:lang w:eastAsia="it-IT"/>
        </w:rPr>
        <w:t xml:space="preserve"> per l’intero periodo di riferimento, fatta eccezione per i servizi per conto di terzi e per i rimborsi delle anticipazioni di tesoreria. La funzione autorizzatoria riguarda anche le entrate per accensione di prestiti.</w:t>
      </w:r>
    </w:p>
    <w:p w14:paraId="7EC2E56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Con l’adozione degli schemi di bilancio previsti </w:t>
      </w:r>
      <w:r w:rsidR="00793B80" w:rsidRPr="00515872">
        <w:rPr>
          <w:rFonts w:eastAsia="Times New Roman" w:cs="Tahoma"/>
          <w:szCs w:val="20"/>
          <w:lang w:eastAsia="it-IT"/>
        </w:rPr>
        <w:t>negli allegati a</w:t>
      </w:r>
      <w:r w:rsidRPr="00515872">
        <w:rPr>
          <w:rFonts w:eastAsia="Times New Roman" w:cs="Tahoma"/>
          <w:szCs w:val="20"/>
          <w:lang w:eastAsia="it-IT"/>
        </w:rPr>
        <w:t xml:space="preserve">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w:t>
      </w:r>
      <w:r w:rsidR="00D072EC" w:rsidRPr="00515872">
        <w:rPr>
          <w:rStyle w:val="Rimandonotaapidipagina"/>
          <w:rFonts w:eastAsia="Times New Roman" w:cs="Tahoma"/>
          <w:szCs w:val="20"/>
          <w:lang w:eastAsia="it-IT"/>
        </w:rPr>
        <w:footnoteReference w:id="44"/>
      </w:r>
      <w:r w:rsidRPr="00515872">
        <w:rPr>
          <w:rFonts w:eastAsia="Times New Roman" w:cs="Tahoma"/>
          <w:szCs w:val="20"/>
          <w:lang w:eastAsia="it-IT"/>
        </w:rPr>
        <w:t xml:space="preserve"> viene abbandonata definitivamente la classificazione prevista dal D.P.R. </w:t>
      </w:r>
      <w:r w:rsidR="00793B80" w:rsidRPr="00515872">
        <w:rPr>
          <w:rFonts w:eastAsia="Times New Roman" w:cs="Tahoma"/>
          <w:szCs w:val="20"/>
          <w:lang w:eastAsia="it-IT"/>
        </w:rPr>
        <w:t xml:space="preserve">n. </w:t>
      </w:r>
      <w:r w:rsidRPr="00515872">
        <w:rPr>
          <w:rFonts w:eastAsia="Times New Roman" w:cs="Tahoma"/>
          <w:szCs w:val="20"/>
          <w:lang w:eastAsia="it-IT"/>
        </w:rPr>
        <w:t>194/1996. A decorrere dal 2016, infatti, gli enti territoriali, i loro organismi strumentali in contabilità finanziaria devono approvare il bilancio di previsione triennale, secondo i nuovi schemi.</w:t>
      </w:r>
    </w:p>
    <w:p w14:paraId="15E6C86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Viene inoltre soppressa la distinzione tra il bilancio annuale e il bilancio pluriennale, presente nel precedente ordinamento, a favore di un’impostazione che prevede un </w:t>
      </w:r>
      <w:r w:rsidRPr="00515872">
        <w:rPr>
          <w:rFonts w:eastAsia="Times New Roman" w:cs="Tahoma"/>
          <w:b/>
          <w:szCs w:val="20"/>
          <w:lang w:eastAsia="it-IT"/>
        </w:rPr>
        <w:t>unico documento contabile con un p</w:t>
      </w:r>
      <w:r w:rsidR="004A65DC" w:rsidRPr="00515872">
        <w:rPr>
          <w:rFonts w:eastAsia="Times New Roman" w:cs="Tahoma"/>
          <w:b/>
          <w:szCs w:val="20"/>
          <w:lang w:eastAsia="it-IT"/>
        </w:rPr>
        <w:t xml:space="preserve">eriodo di riferimento </w:t>
      </w:r>
      <w:r w:rsidRPr="00515872">
        <w:rPr>
          <w:rFonts w:eastAsia="Times New Roman" w:cs="Tahoma"/>
          <w:b/>
          <w:szCs w:val="20"/>
          <w:lang w:eastAsia="it-IT"/>
        </w:rPr>
        <w:t>trienn</w:t>
      </w:r>
      <w:r w:rsidR="00716491" w:rsidRPr="00515872">
        <w:rPr>
          <w:rFonts w:eastAsia="Times New Roman" w:cs="Tahoma"/>
          <w:b/>
          <w:szCs w:val="20"/>
          <w:lang w:eastAsia="it-IT"/>
        </w:rPr>
        <w:t>ale</w:t>
      </w:r>
      <w:r w:rsidRPr="00515872">
        <w:rPr>
          <w:rFonts w:eastAsia="Times New Roman" w:cs="Tahoma"/>
          <w:szCs w:val="20"/>
          <w:lang w:eastAsia="it-IT"/>
        </w:rPr>
        <w:t xml:space="preserve">, per quanto riguarda la competenza, e </w:t>
      </w:r>
      <w:r w:rsidR="00716491" w:rsidRPr="00515872">
        <w:rPr>
          <w:rFonts w:eastAsia="Times New Roman" w:cs="Tahoma"/>
          <w:szCs w:val="20"/>
          <w:lang w:eastAsia="it-IT"/>
        </w:rPr>
        <w:t>annuale</w:t>
      </w:r>
      <w:r w:rsidRPr="00515872">
        <w:rPr>
          <w:rFonts w:eastAsia="Times New Roman" w:cs="Tahoma"/>
          <w:szCs w:val="20"/>
          <w:lang w:eastAsia="it-IT"/>
        </w:rPr>
        <w:t>, per quanto riguarda le previsioni di cassa.</w:t>
      </w:r>
    </w:p>
    <w:p w14:paraId="51A1FAB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szCs w:val="20"/>
          <w:lang w:eastAsia="it-IT"/>
        </w:rPr>
      </w:pPr>
      <w:r w:rsidRPr="00515872">
        <w:rPr>
          <w:rFonts w:eastAsia="Times New Roman" w:cs="Tahoma"/>
          <w:bCs/>
          <w:szCs w:val="20"/>
          <w:lang w:eastAsia="it-IT"/>
        </w:rPr>
        <w:t>Nel bilancio di previsione:</w:t>
      </w:r>
    </w:p>
    <w:p w14:paraId="4E1D2C21" w14:textId="77777777" w:rsidR="009518AF" w:rsidRPr="00515872" w:rsidRDefault="009518AF" w:rsidP="00D65838">
      <w:pPr>
        <w:pStyle w:val="Paragrafoelenco"/>
        <w:numPr>
          <w:ilvl w:val="0"/>
          <w:numId w:val="47"/>
        </w:numPr>
        <w:tabs>
          <w:tab w:val="left" w:pos="709"/>
        </w:tabs>
        <w:autoSpaceDE w:val="0"/>
        <w:autoSpaceDN w:val="0"/>
        <w:adjustRightInd w:val="0"/>
        <w:spacing w:line="360" w:lineRule="auto"/>
        <w:jc w:val="both"/>
        <w:rPr>
          <w:rFonts w:cs="Tahoma"/>
          <w:color w:val="000000"/>
          <w:szCs w:val="20"/>
          <w:lang w:eastAsia="it-IT"/>
        </w:rPr>
      </w:pPr>
      <w:r w:rsidRPr="00515872">
        <w:rPr>
          <w:rFonts w:cs="Tahoma"/>
          <w:color w:val="000000"/>
          <w:szCs w:val="20"/>
          <w:lang w:eastAsia="it-IT"/>
        </w:rPr>
        <w:lastRenderedPageBreak/>
        <w:t>la previsione delle entrate rappresenta quanto l’amministrazione ritiene di poter ragionevolmente accertare in ciascun</w:t>
      </w:r>
      <w:r w:rsidR="00716491" w:rsidRPr="00515872">
        <w:rPr>
          <w:rFonts w:cs="Tahoma"/>
          <w:color w:val="000000"/>
          <w:szCs w:val="20"/>
          <w:lang w:eastAsia="it-IT"/>
        </w:rPr>
        <w:t>o degli</w:t>
      </w:r>
      <w:r w:rsidRPr="00515872">
        <w:rPr>
          <w:rFonts w:cs="Tahoma"/>
          <w:color w:val="000000"/>
          <w:szCs w:val="20"/>
          <w:lang w:eastAsia="it-IT"/>
        </w:rPr>
        <w:t xml:space="preserve"> esercizi contemplato nel bilancio, anche nel rispetto dei principi contabili generali dell’attendibilità e della congruità;</w:t>
      </w:r>
    </w:p>
    <w:p w14:paraId="5032D769" w14:textId="77777777" w:rsidR="00716491" w:rsidRPr="00515872" w:rsidRDefault="009518AF" w:rsidP="00D65838">
      <w:pPr>
        <w:pStyle w:val="Paragrafoelenco"/>
        <w:numPr>
          <w:ilvl w:val="0"/>
          <w:numId w:val="47"/>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 New Roman" w:cs="Tahoma"/>
          <w:szCs w:val="20"/>
          <w:lang w:eastAsia="it-IT"/>
        </w:rPr>
      </w:pPr>
      <w:r w:rsidRPr="00515872">
        <w:rPr>
          <w:rFonts w:cs="Tahoma"/>
          <w:color w:val="000000"/>
          <w:szCs w:val="20"/>
          <w:lang w:eastAsia="it-IT"/>
        </w:rPr>
        <w:t>la previsione delle spese è predisposta nel rispetto dei principi contabili generali della veridicità e della coerenza, tenendo conto degli impegni già assunti a seguito di obbligazioni giuridicamente perfezionate, esigibili negli esercizi considera</w:t>
      </w:r>
      <w:r w:rsidR="00716491" w:rsidRPr="00515872">
        <w:rPr>
          <w:rFonts w:cs="Tahoma"/>
          <w:color w:val="000000"/>
          <w:szCs w:val="20"/>
          <w:lang w:eastAsia="it-IT"/>
        </w:rPr>
        <w:t>ti e delle spese di competenza;</w:t>
      </w:r>
    </w:p>
    <w:p w14:paraId="497EC6CA" w14:textId="77777777" w:rsidR="009518AF" w:rsidRPr="00515872" w:rsidRDefault="009518AF" w:rsidP="00D65838">
      <w:pPr>
        <w:pStyle w:val="Paragrafoelenco"/>
        <w:numPr>
          <w:ilvl w:val="0"/>
          <w:numId w:val="47"/>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 New Roman" w:cs="Tahoma"/>
          <w:szCs w:val="20"/>
          <w:lang w:eastAsia="it-IT"/>
        </w:rPr>
      </w:pPr>
      <w:r w:rsidRPr="00515872">
        <w:rPr>
          <w:rFonts w:cs="Tahoma"/>
          <w:color w:val="000000"/>
          <w:szCs w:val="20"/>
          <w:lang w:eastAsia="it-IT"/>
        </w:rPr>
        <w:t>gli stanziamenti d</w:t>
      </w:r>
      <w:r w:rsidR="004A65DC" w:rsidRPr="00515872">
        <w:rPr>
          <w:rFonts w:cs="Tahoma"/>
          <w:color w:val="000000"/>
          <w:szCs w:val="20"/>
          <w:lang w:eastAsia="it-IT"/>
        </w:rPr>
        <w:t>evono</w:t>
      </w:r>
      <w:r w:rsidRPr="00515872">
        <w:rPr>
          <w:rFonts w:cs="Tahoma"/>
          <w:color w:val="000000"/>
          <w:szCs w:val="20"/>
          <w:lang w:eastAsia="it-IT"/>
        </w:rPr>
        <w:t xml:space="preserve"> essere quantificati nella misura necessaria per lo svolgimento delle attività o interventi che, sulla base della legislazione vigente, daranno luogo ad obbligazioni esigibili negli esercizi considerati;</w:t>
      </w:r>
    </w:p>
    <w:p w14:paraId="1F9CFF96" w14:textId="77777777" w:rsidR="009518AF" w:rsidRPr="00515872" w:rsidRDefault="009518AF" w:rsidP="00D65838">
      <w:pPr>
        <w:pStyle w:val="Paragrafoelenco"/>
        <w:numPr>
          <w:ilvl w:val="0"/>
          <w:numId w:val="47"/>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 New Roman" w:cs="Tahoma"/>
          <w:szCs w:val="20"/>
          <w:lang w:eastAsia="it-IT"/>
        </w:rPr>
      </w:pPr>
      <w:r w:rsidRPr="00515872">
        <w:rPr>
          <w:rFonts w:cs="Tahoma"/>
          <w:color w:val="000000"/>
          <w:szCs w:val="20"/>
          <w:lang w:eastAsia="it-IT"/>
        </w:rPr>
        <w:t>le previsioni di cassa sono effettuate in considerazione dell’esigibilità dei residui attivi, delle entrate di competenza e del rispetto dei termini di pagamento con riferimento ai cronoprogrammi e alle scadenze di legge, per le spese.</w:t>
      </w:r>
    </w:p>
    <w:p w14:paraId="6505ECEA" w14:textId="77777777" w:rsidR="00277513" w:rsidRPr="00515872" w:rsidRDefault="00277513" w:rsidP="009518AF">
      <w:pPr>
        <w:pStyle w:val="Sottoparagrafo"/>
        <w:rPr>
          <w:rFonts w:cs="Tahoma"/>
          <w:lang w:eastAsia="it-IT"/>
        </w:rPr>
      </w:pPr>
      <w:bookmarkStart w:id="103" w:name="_Toc521317081"/>
    </w:p>
    <w:p w14:paraId="2F5EBB87" w14:textId="77777777" w:rsidR="009518AF" w:rsidRPr="00515872" w:rsidRDefault="009518AF" w:rsidP="009518AF">
      <w:pPr>
        <w:pStyle w:val="Sottoparagrafo"/>
        <w:rPr>
          <w:rFonts w:cs="Tahoma"/>
          <w:lang w:eastAsia="it-IT"/>
        </w:rPr>
      </w:pPr>
      <w:bookmarkStart w:id="104" w:name="_Toc95912258"/>
      <w:r w:rsidRPr="00515872">
        <w:rPr>
          <w:rFonts w:cs="Tahoma"/>
          <w:lang w:eastAsia="it-IT"/>
        </w:rPr>
        <w:t>4.4.1 Termini di approvazione</w:t>
      </w:r>
      <w:bookmarkEnd w:id="103"/>
      <w:bookmarkEnd w:id="104"/>
    </w:p>
    <w:p w14:paraId="604D00CF" w14:textId="7E47F37E" w:rsidR="00070088" w:rsidRPr="00515872" w:rsidRDefault="009518AF" w:rsidP="009518A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cs="Tahoma"/>
          <w:bCs/>
          <w:shd w:val="clear" w:color="auto" w:fill="DAEEF3" w:themeFill="accent5" w:themeFillTint="33"/>
        </w:rPr>
      </w:pPr>
      <w:r w:rsidRPr="00515872">
        <w:rPr>
          <w:rFonts w:cs="Tahoma"/>
          <w:color w:val="000000"/>
          <w:szCs w:val="20"/>
        </w:rPr>
        <w:t xml:space="preserve">Termine per l’approvazione del bilancio di previsione è, di regola, il 31 dicembre dell’anno precedente a quello di riferimento. Entro questa scadenza deve essere deliberata dal consiglio dell’ente l’approvazione del bilancio completo dei relativi allegati. </w:t>
      </w:r>
      <w:r w:rsidR="00716491" w:rsidRPr="00515872">
        <w:rPr>
          <w:rFonts w:cs="Tahoma"/>
          <w:color w:val="000000"/>
          <w:szCs w:val="20"/>
        </w:rPr>
        <w:t>Tale</w:t>
      </w:r>
      <w:r w:rsidRPr="00515872">
        <w:rPr>
          <w:rFonts w:cs="Tahoma"/>
          <w:color w:val="000000"/>
          <w:szCs w:val="20"/>
        </w:rPr>
        <w:t xml:space="preserve"> termine può essere differito, in presenza di motivate esigenze, con decreto ministeriale; eventualità, questa, che, negli ultimi anni, si è verificata puntualmente, fino a prevedere</w:t>
      </w:r>
      <w:r w:rsidR="00716491" w:rsidRPr="00515872">
        <w:rPr>
          <w:rFonts w:cs="Tahoma"/>
          <w:color w:val="000000"/>
          <w:szCs w:val="20"/>
        </w:rPr>
        <w:t>, in anni passati,</w:t>
      </w:r>
      <w:r w:rsidRPr="00515872">
        <w:rPr>
          <w:rFonts w:cs="Tahoma"/>
          <w:color w:val="000000"/>
          <w:szCs w:val="20"/>
        </w:rPr>
        <w:t xml:space="preserve"> il differimento dell’approvazione del bilancio</w:t>
      </w:r>
      <w:r w:rsidR="004A65DC" w:rsidRPr="00515872">
        <w:rPr>
          <w:rFonts w:cs="Tahoma"/>
          <w:color w:val="000000"/>
          <w:szCs w:val="20"/>
        </w:rPr>
        <w:t>, talvolta,</w:t>
      </w:r>
      <w:r w:rsidRPr="00515872">
        <w:rPr>
          <w:rFonts w:cs="Tahoma"/>
          <w:color w:val="000000"/>
          <w:szCs w:val="20"/>
        </w:rPr>
        <w:t xml:space="preserve"> a date </w:t>
      </w:r>
      <w:r w:rsidR="00716491" w:rsidRPr="00515872">
        <w:rPr>
          <w:rFonts w:cs="Tahoma"/>
          <w:color w:val="000000"/>
          <w:szCs w:val="20"/>
        </w:rPr>
        <w:t xml:space="preserve">alle quali </w:t>
      </w:r>
      <w:r w:rsidRPr="00515872">
        <w:rPr>
          <w:rFonts w:cs="Tahoma"/>
          <w:color w:val="000000"/>
          <w:szCs w:val="20"/>
        </w:rPr>
        <w:t>l’esercizio oggetto di previsione risultava ormai prossimo alla conclusione. Per quanto riguarda gli esercizi più recenti, ad esempio</w:t>
      </w:r>
      <w:r w:rsidR="0052454D" w:rsidRPr="00515872">
        <w:rPr>
          <w:rFonts w:cs="Tahoma"/>
          <w:color w:val="000000"/>
          <w:szCs w:val="20"/>
        </w:rPr>
        <w:t xml:space="preserve">, con </w:t>
      </w:r>
      <w:r w:rsidR="00070088" w:rsidRPr="00515872">
        <w:rPr>
          <w:rFonts w:cs="Tahoma"/>
        </w:rPr>
        <w:t xml:space="preserve">il decreto 13 dicembre 2019 (Gazzetta Ufficiale n. 295 del 17 dicembre 2019), il Ministero dell'Interno </w:t>
      </w:r>
      <w:r w:rsidR="005159EE" w:rsidRPr="00515872">
        <w:rPr>
          <w:rFonts w:cs="Tahoma"/>
        </w:rPr>
        <w:t xml:space="preserve">ha </w:t>
      </w:r>
      <w:r w:rsidR="00070088" w:rsidRPr="00515872">
        <w:rPr>
          <w:rFonts w:cs="Tahoma"/>
        </w:rPr>
        <w:t>stabili</w:t>
      </w:r>
      <w:r w:rsidR="005159EE" w:rsidRPr="00515872">
        <w:rPr>
          <w:rFonts w:cs="Tahoma"/>
        </w:rPr>
        <w:t>to</w:t>
      </w:r>
      <w:r w:rsidR="00070088" w:rsidRPr="00515872">
        <w:rPr>
          <w:rFonts w:cs="Tahoma"/>
        </w:rPr>
        <w:t xml:space="preserve"> </w:t>
      </w:r>
      <w:r w:rsidR="005159EE" w:rsidRPr="00515872">
        <w:rPr>
          <w:rFonts w:cs="Tahoma"/>
        </w:rPr>
        <w:t xml:space="preserve">il differimento del </w:t>
      </w:r>
      <w:r w:rsidR="00070088" w:rsidRPr="00515872">
        <w:rPr>
          <w:rFonts w:cs="Tahoma"/>
          <w:bCs/>
        </w:rPr>
        <w:t xml:space="preserve">termine per la deliberazione del bilancio di previsione </w:t>
      </w:r>
      <w:r w:rsidR="00716491" w:rsidRPr="00515872">
        <w:rPr>
          <w:rFonts w:cs="Tahoma"/>
          <w:bCs/>
        </w:rPr>
        <w:t xml:space="preserve">per il triennio </w:t>
      </w:r>
      <w:r w:rsidR="00070088" w:rsidRPr="00515872">
        <w:rPr>
          <w:rFonts w:cs="Tahoma"/>
          <w:bCs/>
        </w:rPr>
        <w:t xml:space="preserve">2020/2022 da parte degli enti locali al 31 marzo 2020. Tale termine è stato ulteriormente prorogato, a seguito dell’emergenza sanitaria </w:t>
      </w:r>
      <w:r w:rsidR="00716491" w:rsidRPr="00515872">
        <w:rPr>
          <w:rFonts w:cs="Tahoma"/>
          <w:bCs/>
        </w:rPr>
        <w:t xml:space="preserve">scatenata dal virus </w:t>
      </w:r>
      <w:r w:rsidR="00070088" w:rsidRPr="00515872">
        <w:rPr>
          <w:rFonts w:cs="Tahoma"/>
          <w:bCs/>
        </w:rPr>
        <w:t>COVID-19, al</w:t>
      </w:r>
      <w:r w:rsidR="00ED1786" w:rsidRPr="00515872">
        <w:rPr>
          <w:rFonts w:cs="Tahoma"/>
          <w:bCs/>
        </w:rPr>
        <w:t xml:space="preserve"> 31 maggio ad opera del D.L. 17 marzo 2020, n. 18</w:t>
      </w:r>
      <w:r w:rsidR="00331F2F" w:rsidRPr="00515872">
        <w:rPr>
          <w:rFonts w:cs="Tahoma"/>
          <w:bCs/>
        </w:rPr>
        <w:t xml:space="preserve"> e, successivamente, a</w:t>
      </w:r>
      <w:r w:rsidR="00F851DA" w:rsidRPr="00515872">
        <w:rPr>
          <w:rFonts w:cs="Tahoma"/>
          <w:bCs/>
        </w:rPr>
        <w:t>l 31 luglio 2020 in sede di conversione dello stesso decreto</w:t>
      </w:r>
      <w:r w:rsidR="00AC3C10" w:rsidRPr="00515872">
        <w:rPr>
          <w:rFonts w:cs="Tahoma"/>
          <w:bCs/>
        </w:rPr>
        <w:t xml:space="preserve"> e, di</w:t>
      </w:r>
      <w:r w:rsidR="00716491" w:rsidRPr="00515872">
        <w:rPr>
          <w:rFonts w:cs="Tahoma"/>
          <w:bCs/>
        </w:rPr>
        <w:t xml:space="preserve"> nuovo, al 30 settembre 2020 a mezzo</w:t>
      </w:r>
      <w:r w:rsidR="00AC3C10" w:rsidRPr="00515872">
        <w:rPr>
          <w:rFonts w:cs="Tahoma"/>
          <w:bCs/>
        </w:rPr>
        <w:t xml:space="preserve"> del c. 3-bis dell’art. 106 inserito in sede di conversione del D.L. n. 34/2020</w:t>
      </w:r>
      <w:r w:rsidR="00070088" w:rsidRPr="00515872">
        <w:rPr>
          <w:rFonts w:cs="Tahoma"/>
          <w:bCs/>
        </w:rPr>
        <w:t>.</w:t>
      </w:r>
      <w:r w:rsidR="005159EE" w:rsidRPr="00515872">
        <w:rPr>
          <w:rFonts w:cs="Tahoma"/>
          <w:bCs/>
        </w:rPr>
        <w:t xml:space="preserve"> Analogamente, il D.M. Interno del 13 gennaio 2021 </w:t>
      </w:r>
      <w:r w:rsidR="00716491" w:rsidRPr="00515872">
        <w:rPr>
          <w:rFonts w:cs="Tahoma"/>
          <w:bCs/>
        </w:rPr>
        <w:t xml:space="preserve">ha </w:t>
      </w:r>
      <w:r w:rsidR="005159EE" w:rsidRPr="00515872">
        <w:rPr>
          <w:rFonts w:cs="Tahoma"/>
          <w:bCs/>
        </w:rPr>
        <w:t>differi</w:t>
      </w:r>
      <w:r w:rsidR="00716491" w:rsidRPr="00515872">
        <w:rPr>
          <w:rFonts w:cs="Tahoma"/>
          <w:bCs/>
        </w:rPr>
        <w:t>to</w:t>
      </w:r>
      <w:r w:rsidR="005159EE" w:rsidRPr="00515872">
        <w:rPr>
          <w:rFonts w:cs="Tahoma"/>
          <w:bCs/>
        </w:rPr>
        <w:t xml:space="preserve"> il termine per la deliberazione del bilancio di previsione 2021/2023 al 31 marzo 2021</w:t>
      </w:r>
      <w:r w:rsidR="004E28AF" w:rsidRPr="00515872">
        <w:rPr>
          <w:rFonts w:cs="Tahoma"/>
          <w:bCs/>
        </w:rPr>
        <w:t>, già in precedenza differito al 31 gennaio</w:t>
      </w:r>
      <w:r w:rsidR="005159EE" w:rsidRPr="00515872">
        <w:rPr>
          <w:rFonts w:cs="Tahoma"/>
          <w:bCs/>
        </w:rPr>
        <w:t xml:space="preserve">. </w:t>
      </w:r>
      <w:r w:rsidR="00D83C85" w:rsidRPr="00515872">
        <w:rPr>
          <w:rFonts w:cs="Tahoma"/>
        </w:rPr>
        <w:t>L’art. 30, c. 4, D.L. n. 41/2021 ha ulteriormente differito il termine al 30 aprile 2021</w:t>
      </w:r>
      <w:r w:rsidR="00964579" w:rsidRPr="00515872">
        <w:rPr>
          <w:rStyle w:val="Rimandonotaapidipagina"/>
          <w:rFonts w:cs="Tahoma"/>
        </w:rPr>
        <w:footnoteReference w:id="45"/>
      </w:r>
      <w:r w:rsidR="00D83C85" w:rsidRPr="00515872">
        <w:rPr>
          <w:rFonts w:cs="Tahoma"/>
        </w:rPr>
        <w:t xml:space="preserve">. </w:t>
      </w:r>
      <w:r w:rsidR="005159EE" w:rsidRPr="00515872">
        <w:rPr>
          <w:rFonts w:cs="Tahoma"/>
          <w:bCs/>
        </w:rPr>
        <w:t>Così pure</w:t>
      </w:r>
      <w:r w:rsidR="004E28AF" w:rsidRPr="00515872">
        <w:rPr>
          <w:rFonts w:cs="Tahoma"/>
          <w:bCs/>
        </w:rPr>
        <w:t xml:space="preserve">, in relazione </w:t>
      </w:r>
      <w:r w:rsidR="00F61E9D" w:rsidRPr="00515872">
        <w:rPr>
          <w:rFonts w:cs="Tahoma"/>
          <w:bCs/>
        </w:rPr>
        <w:t>all’esercizio</w:t>
      </w:r>
      <w:r w:rsidR="004E28AF" w:rsidRPr="00515872">
        <w:rPr>
          <w:rFonts w:cs="Tahoma"/>
          <w:bCs/>
        </w:rPr>
        <w:t xml:space="preserve"> finanziario 2022/2024, il D.M. Interno del 24 dicembre 2021 ha previsto il differimento del termine per la deliberazione del relativo bilancio di previsione al 31 marzo 2022. I decreti che sanciscono il differimento dei suddetti termini, </w:t>
      </w:r>
      <w:r w:rsidR="004E28AF" w:rsidRPr="00515872">
        <w:rPr>
          <w:rFonts w:cs="Tahoma"/>
          <w:b/>
          <w:bCs/>
        </w:rPr>
        <w:t>autorizzano contestualmente l’esercizio provvisorio</w:t>
      </w:r>
      <w:r w:rsidR="004E28AF" w:rsidRPr="00515872">
        <w:rPr>
          <w:rFonts w:cs="Tahoma"/>
          <w:bCs/>
        </w:rPr>
        <w:t>.</w:t>
      </w:r>
      <w:r w:rsidR="005159EE" w:rsidRPr="00515872">
        <w:rPr>
          <w:rFonts w:cs="Tahoma"/>
          <w:bCs/>
        </w:rPr>
        <w:t xml:space="preserve"> </w:t>
      </w:r>
    </w:p>
    <w:p w14:paraId="0524EC14" w14:textId="77777777" w:rsidR="009518AF" w:rsidRPr="00515872" w:rsidRDefault="009518AF" w:rsidP="009518A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cs="Tahoma"/>
          <w:color w:val="000000"/>
          <w:szCs w:val="20"/>
        </w:rPr>
      </w:pPr>
      <w:r w:rsidRPr="00515872">
        <w:rPr>
          <w:rFonts w:cs="Tahoma"/>
          <w:color w:val="000000"/>
          <w:szCs w:val="20"/>
        </w:rPr>
        <w:lastRenderedPageBreak/>
        <w:t xml:space="preserve">Vengono altresì differiti alla data fissata da norme statali per la deliberazione del bilancio i termini relativi alle deliberazioni sulle tariffe, sulle aliquote di imposta, compresa l’aliquota dell’addizionale all’IRPEF, nonché quelli per approvare i regolamenti sulle entrate, propedeutici alla quantificazione delle previsioni di entrate dello stesso bilancio di previsione. La stretta correlazione fra la determinazione dell’ammontare delle entrate e la formulazione delle previsioni di bilancio, infatti, comporta che, qualora adottate, le deliberazioni con le quali sono approvate le aliquote e le tariffe dei tributi, le tariffe sui servizi pubblici locali e sui costi di gestione dei servizi a domanda individuale, debbano precedere </w:t>
      </w:r>
      <w:r w:rsidR="00D65B39" w:rsidRPr="00515872">
        <w:rPr>
          <w:rFonts w:cs="Tahoma"/>
          <w:color w:val="000000"/>
          <w:szCs w:val="20"/>
        </w:rPr>
        <w:t xml:space="preserve">la </w:t>
      </w:r>
      <w:r w:rsidRPr="00515872">
        <w:rPr>
          <w:rFonts w:cs="Tahoma"/>
          <w:color w:val="000000"/>
          <w:szCs w:val="20"/>
        </w:rPr>
        <w:t>deliberazion</w:t>
      </w:r>
      <w:r w:rsidR="00D65B39" w:rsidRPr="00515872">
        <w:rPr>
          <w:rFonts w:cs="Tahoma"/>
          <w:color w:val="000000"/>
          <w:szCs w:val="20"/>
        </w:rPr>
        <w:t>e di approvazione del bilancio</w:t>
      </w:r>
      <w:r w:rsidR="00695775" w:rsidRPr="00515872">
        <w:rPr>
          <w:rStyle w:val="Rimandonotaapidipagina"/>
          <w:rFonts w:cs="Tahoma"/>
          <w:color w:val="000000"/>
          <w:szCs w:val="20"/>
        </w:rPr>
        <w:footnoteReference w:id="46"/>
      </w:r>
      <w:r w:rsidR="00DB6446" w:rsidRPr="00515872">
        <w:rPr>
          <w:rFonts w:cs="Tahoma"/>
          <w:color w:val="000000"/>
          <w:szCs w:val="20"/>
        </w:rPr>
        <w:t>.</w:t>
      </w:r>
    </w:p>
    <w:p w14:paraId="74817DCD" w14:textId="77777777" w:rsidR="005D7352" w:rsidRPr="00515872" w:rsidRDefault="005D7352" w:rsidP="005D735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cs="Tahoma"/>
          <w:color w:val="000000"/>
          <w:szCs w:val="20"/>
        </w:rPr>
      </w:pPr>
      <w:r w:rsidRPr="00515872">
        <w:rPr>
          <w:rFonts w:cs="Tahoma"/>
          <w:color w:val="000000"/>
          <w:szCs w:val="20"/>
        </w:rPr>
        <w:t>A tal proposito giova segnalare che il c. 5 della legge di bilancio 2022 prevede che i c</w:t>
      </w:r>
      <w:r w:rsidRPr="00515872">
        <w:rPr>
          <w:rFonts w:cs="Tahoma"/>
          <w:color w:val="242021"/>
          <w:szCs w:val="20"/>
        </w:rPr>
        <w:t xml:space="preserve">omuni sono tenuti a modificare gli scaglioni e le aliquote dell’addizionale comunale IRPEF entro il 31 marzo 2022, o, in caso di scadenza successiva, entro il termine di approvazione del bilancio di previsione, al fine di conformarsi alla nuova articolazione </w:t>
      </w:r>
      <w:r w:rsidR="00716491" w:rsidRPr="00515872">
        <w:rPr>
          <w:rFonts w:cs="Tahoma"/>
          <w:color w:val="242021"/>
          <w:szCs w:val="20"/>
        </w:rPr>
        <w:t xml:space="preserve">di scaglioni e aliquote </w:t>
      </w:r>
      <w:r w:rsidRPr="00515872">
        <w:rPr>
          <w:rFonts w:cs="Tahoma"/>
          <w:color w:val="242021"/>
          <w:szCs w:val="20"/>
        </w:rPr>
        <w:t>prevista per l’Irpef</w:t>
      </w:r>
      <w:r w:rsidR="00716491" w:rsidRPr="00515872">
        <w:rPr>
          <w:rFonts w:cs="Tahoma"/>
          <w:color w:val="242021"/>
          <w:szCs w:val="20"/>
        </w:rPr>
        <w:t xml:space="preserve"> dalla stessa legge di bilancio</w:t>
      </w:r>
      <w:r w:rsidRPr="00515872">
        <w:rPr>
          <w:rFonts w:cs="Tahoma"/>
          <w:color w:val="242021"/>
          <w:szCs w:val="20"/>
        </w:rPr>
        <w:t>.</w:t>
      </w:r>
    </w:p>
    <w:p w14:paraId="26C406B4" w14:textId="77777777" w:rsidR="009518AF" w:rsidRPr="00515872" w:rsidRDefault="009518AF" w:rsidP="009518A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cs="Tahoma"/>
          <w:color w:val="000000"/>
          <w:szCs w:val="20"/>
        </w:rPr>
      </w:pPr>
      <w:r w:rsidRPr="00515872">
        <w:rPr>
          <w:rFonts w:cs="Tahoma"/>
          <w:color w:val="000000"/>
          <w:szCs w:val="20"/>
        </w:rPr>
        <w:t xml:space="preserve">La mancata approvazione del bilancio di previsione comporta fatto grave che può portare allo </w:t>
      </w:r>
      <w:r w:rsidRPr="00515872">
        <w:rPr>
          <w:rFonts w:cs="Tahoma"/>
          <w:b/>
          <w:color w:val="000000"/>
          <w:szCs w:val="20"/>
        </w:rPr>
        <w:t>scioglimento del consiglio dell’ente</w:t>
      </w:r>
      <w:r w:rsidRPr="00515872">
        <w:rPr>
          <w:rFonts w:cs="Tahoma"/>
          <w:color w:val="000000"/>
          <w:szCs w:val="20"/>
        </w:rPr>
        <w:t xml:space="preserve"> ex art. 141, c.1, lett. c), TUEL. Lo scioglimento del consiglio determina il commissariamento dell’ente.</w:t>
      </w:r>
    </w:p>
    <w:p w14:paraId="4941EA27" w14:textId="77777777" w:rsidR="00277513" w:rsidRPr="00515872" w:rsidRDefault="00277513" w:rsidP="009518AF">
      <w:pPr>
        <w:pStyle w:val="Sottoparagrafo"/>
        <w:rPr>
          <w:rFonts w:cs="Tahoma"/>
          <w:lang w:eastAsia="it-IT"/>
        </w:rPr>
      </w:pPr>
      <w:bookmarkStart w:id="105" w:name="_Toc521317082"/>
    </w:p>
    <w:p w14:paraId="00C0ADF1" w14:textId="77777777" w:rsidR="009518AF" w:rsidRPr="00515872" w:rsidRDefault="009518AF" w:rsidP="009518AF">
      <w:pPr>
        <w:pStyle w:val="Sottoparagrafo"/>
        <w:rPr>
          <w:rFonts w:cs="Tahoma"/>
          <w:lang w:eastAsia="it-IT"/>
        </w:rPr>
      </w:pPr>
      <w:bookmarkStart w:id="106" w:name="_Toc95912259"/>
      <w:r w:rsidRPr="00515872">
        <w:rPr>
          <w:rFonts w:cs="Tahoma"/>
          <w:lang w:eastAsia="it-IT"/>
        </w:rPr>
        <w:t>4.4.2 Esercizio provvisorio e gestione provvisoria</w:t>
      </w:r>
      <w:bookmarkEnd w:id="105"/>
      <w:bookmarkEnd w:id="106"/>
    </w:p>
    <w:p w14:paraId="7ADDACD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 xml:space="preserve">Se il bilancio di </w:t>
      </w:r>
      <w:r w:rsidR="007601E8" w:rsidRPr="00515872">
        <w:rPr>
          <w:rFonts w:cs="Tahoma"/>
          <w:color w:val="000000"/>
        </w:rPr>
        <w:t>previsione non è approvato dal c</w:t>
      </w:r>
      <w:r w:rsidRPr="00515872">
        <w:rPr>
          <w:rFonts w:cs="Tahoma"/>
          <w:color w:val="000000"/>
        </w:rPr>
        <w:t xml:space="preserve">onsiglio entro il 31 dicembre dell'anno precedente, la gestione finanziaria dell'ente si svolge nel rispetto dei principi applicati della contabilità finanziaria riguardanti l'esercizio provvisorio o la gestione provvisoria. Nel corso dell'esercizio provvisorio o della gestione provvisoria, gli enti gestiscono gli stanziamenti di competenza previsti nell'ultimo bilancio approvato per l'esercizio cui si riferisce la gestione o l'esercizio provvisorio. </w:t>
      </w:r>
      <w:r w:rsidRPr="00515872">
        <w:rPr>
          <w:rFonts w:eastAsia="Times New Roman" w:cs="Tahoma"/>
          <w:szCs w:val="20"/>
          <w:lang w:eastAsia="it-IT"/>
        </w:rPr>
        <w:t xml:space="preserve">In </w:t>
      </w:r>
      <w:r w:rsidR="003852E7" w:rsidRPr="00515872">
        <w:rPr>
          <w:rFonts w:eastAsia="Times New Roman" w:cs="Tahoma"/>
          <w:szCs w:val="20"/>
          <w:lang w:eastAsia="it-IT"/>
        </w:rPr>
        <w:t>particolare</w:t>
      </w:r>
      <w:r w:rsidRPr="00515872">
        <w:rPr>
          <w:rFonts w:eastAsia="Times New Roman" w:cs="Tahoma"/>
          <w:szCs w:val="20"/>
          <w:lang w:eastAsia="it-IT"/>
        </w:rPr>
        <w:t xml:space="preserve">, fino a tale termine la gestione è effettuata sulla base delle autorizzazioni </w:t>
      </w:r>
      <w:r w:rsidRPr="00515872">
        <w:rPr>
          <w:rFonts w:eastAsia="Times New Roman" w:cs="Tahoma"/>
          <w:b/>
          <w:szCs w:val="20"/>
          <w:lang w:eastAsia="it-IT"/>
        </w:rPr>
        <w:t>del secondo esercizio compreso nel triennio di riferimento dell'ultimo bilancio di previsione approvato</w:t>
      </w:r>
      <w:r w:rsidRPr="00515872">
        <w:rPr>
          <w:rFonts w:eastAsia="Times New Roman" w:cs="Tahoma"/>
          <w:szCs w:val="20"/>
          <w:lang w:eastAsia="it-IT"/>
        </w:rPr>
        <w:t>.</w:t>
      </w:r>
      <w:r w:rsidRPr="00515872">
        <w:rPr>
          <w:rFonts w:cs="Tahoma"/>
          <w:color w:val="000000"/>
        </w:rPr>
        <w:t xml:space="preserve"> I pagamenti possono essere effettuati entro i limiti determinati dalla somma dei residui al 31 dicembre dell'anno precedente e degli stanziamenti di competenza al netto del </w:t>
      </w:r>
      <w:r w:rsidR="00696E6D" w:rsidRPr="00515872">
        <w:rPr>
          <w:rFonts w:cs="Tahoma"/>
          <w:color w:val="000000"/>
        </w:rPr>
        <w:t>FPV</w:t>
      </w:r>
      <w:r w:rsidRPr="00515872">
        <w:rPr>
          <w:rFonts w:cs="Tahoma"/>
          <w:color w:val="000000"/>
        </w:rPr>
        <w:t>.</w:t>
      </w:r>
    </w:p>
    <w:p w14:paraId="253DDB4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Esercizio provvisorio</w:t>
      </w:r>
    </w:p>
    <w:p w14:paraId="5112FAC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Quando la scadenza del termine per l’approvazione del bilancio di previsione sia prorogata da norme statali oltre l’inizio dell’esercizio finanziario di riferimento, l’ente entra in una fase denominata “esercizio provvisorio”. In questi casi l’esercizio provvisorio è automaticamente autorizzato</w:t>
      </w:r>
      <w:r w:rsidR="00696E6D" w:rsidRPr="00515872">
        <w:rPr>
          <w:rFonts w:eastAsia="Times New Roman" w:cs="Tahoma"/>
          <w:szCs w:val="20"/>
          <w:lang w:eastAsia="it-IT"/>
        </w:rPr>
        <w:t xml:space="preserve"> dalla norma che proroga il termine,</w:t>
      </w:r>
      <w:r w:rsidRPr="00515872">
        <w:rPr>
          <w:rFonts w:eastAsia="Times New Roman" w:cs="Tahoma"/>
          <w:szCs w:val="20"/>
          <w:lang w:eastAsia="it-IT"/>
        </w:rPr>
        <w:t xml:space="preserve"> sino al termine stabilito.</w:t>
      </w:r>
    </w:p>
    <w:p w14:paraId="602A9986" w14:textId="77777777" w:rsidR="009518AF" w:rsidRPr="00515872" w:rsidRDefault="005B508D"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 xml:space="preserve">Come detto, durante </w:t>
      </w:r>
      <w:r w:rsidRPr="00515872">
        <w:rPr>
          <w:rFonts w:cs="Tahoma"/>
          <w:color w:val="000000"/>
        </w:rPr>
        <w:t xml:space="preserve">l'esercizio provvisorio gli enti gestiscono gli stanziamenti di competenza previsti nell'ultimo bilancio approvato per l'esercizio cui si riferisce l'esercizio </w:t>
      </w:r>
      <w:r w:rsidR="00696E6D" w:rsidRPr="00515872">
        <w:rPr>
          <w:rFonts w:cs="Tahoma"/>
          <w:color w:val="000000"/>
        </w:rPr>
        <w:t>in questione</w:t>
      </w:r>
      <w:r w:rsidRPr="00515872">
        <w:rPr>
          <w:rFonts w:cs="Tahoma"/>
          <w:color w:val="000000"/>
        </w:rPr>
        <w:t xml:space="preserve">. </w:t>
      </w:r>
      <w:r w:rsidR="009518AF" w:rsidRPr="00515872">
        <w:rPr>
          <w:rFonts w:cs="Tahoma"/>
          <w:szCs w:val="20"/>
        </w:rPr>
        <w:t xml:space="preserve">Tale impostazione risulta modificata </w:t>
      </w:r>
      <w:r w:rsidR="009518AF" w:rsidRPr="00515872">
        <w:rPr>
          <w:rFonts w:cs="Tahoma"/>
          <w:szCs w:val="20"/>
        </w:rPr>
        <w:lastRenderedPageBreak/>
        <w:t xml:space="preserve">rispetto al precedente ordinamento. Pur restando confermata la previsione in dodicesimi, infatti, </w:t>
      </w:r>
      <w:r w:rsidR="00A93B76" w:rsidRPr="00515872">
        <w:rPr>
          <w:rFonts w:cs="Tahoma"/>
          <w:szCs w:val="20"/>
        </w:rPr>
        <w:t>gli stanziamenti</w:t>
      </w:r>
      <w:r w:rsidR="009518AF" w:rsidRPr="00515872">
        <w:rPr>
          <w:rFonts w:cs="Tahoma"/>
          <w:szCs w:val="20"/>
        </w:rPr>
        <w:t xml:space="preserve"> di riferimento non </w:t>
      </w:r>
      <w:r w:rsidR="00A93B76" w:rsidRPr="00515872">
        <w:rPr>
          <w:rFonts w:cs="Tahoma"/>
          <w:szCs w:val="20"/>
        </w:rPr>
        <w:t>sono più rappresentati</w:t>
      </w:r>
      <w:r w:rsidR="009518AF" w:rsidRPr="00515872">
        <w:rPr>
          <w:rFonts w:cs="Tahoma"/>
          <w:szCs w:val="20"/>
        </w:rPr>
        <w:t xml:space="preserve"> da</w:t>
      </w:r>
      <w:r w:rsidR="00A93B76" w:rsidRPr="00515872">
        <w:rPr>
          <w:rFonts w:cs="Tahoma"/>
          <w:szCs w:val="20"/>
        </w:rPr>
        <w:t xml:space="preserve"> quelli dell’anno precedente</w:t>
      </w:r>
      <w:r w:rsidR="009518AF" w:rsidRPr="00515872">
        <w:rPr>
          <w:rFonts w:cs="Tahoma"/>
          <w:szCs w:val="20"/>
        </w:rPr>
        <w:t xml:space="preserve"> ma da quelli dell’anno in corso. Per il 20</w:t>
      </w:r>
      <w:r w:rsidRPr="00515872">
        <w:rPr>
          <w:rFonts w:cs="Tahoma"/>
          <w:szCs w:val="20"/>
        </w:rPr>
        <w:t>22</w:t>
      </w:r>
      <w:r w:rsidR="009518AF" w:rsidRPr="00515872">
        <w:rPr>
          <w:rFonts w:cs="Tahoma"/>
          <w:szCs w:val="20"/>
        </w:rPr>
        <w:t xml:space="preserve">, ad esempio, il </w:t>
      </w:r>
      <w:r w:rsidRPr="00515872">
        <w:rPr>
          <w:rFonts w:cs="Tahoma"/>
          <w:szCs w:val="20"/>
        </w:rPr>
        <w:t xml:space="preserve">periodo da prendere in considerazione </w:t>
      </w:r>
      <w:r w:rsidR="009518AF" w:rsidRPr="00515872">
        <w:rPr>
          <w:rFonts w:cs="Tahoma"/>
          <w:szCs w:val="20"/>
        </w:rPr>
        <w:t xml:space="preserve">è </w:t>
      </w:r>
      <w:r w:rsidRPr="00515872">
        <w:rPr>
          <w:rFonts w:cs="Tahoma"/>
          <w:szCs w:val="20"/>
        </w:rPr>
        <w:t>i</w:t>
      </w:r>
      <w:r w:rsidR="009518AF" w:rsidRPr="00515872">
        <w:rPr>
          <w:rFonts w:cs="Tahoma"/>
          <w:szCs w:val="20"/>
        </w:rPr>
        <w:t>l secondo esercizio contemplato nel bilancio di prevision</w:t>
      </w:r>
      <w:r w:rsidRPr="00515872">
        <w:rPr>
          <w:rFonts w:cs="Tahoma"/>
          <w:szCs w:val="20"/>
        </w:rPr>
        <w:t>e approvato per il triennio 2021-2023</w:t>
      </w:r>
      <w:r w:rsidR="009518AF" w:rsidRPr="00515872">
        <w:rPr>
          <w:rFonts w:cs="Tahoma"/>
          <w:szCs w:val="20"/>
        </w:rPr>
        <w:t xml:space="preserve">. </w:t>
      </w:r>
    </w:p>
    <w:p w14:paraId="5D509A9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szCs w:val="20"/>
        </w:rPr>
        <w:t xml:space="preserve">La questione </w:t>
      </w:r>
      <w:r w:rsidR="005B508D" w:rsidRPr="00515872">
        <w:rPr>
          <w:rFonts w:cs="Tahoma"/>
          <w:szCs w:val="20"/>
        </w:rPr>
        <w:t>aveva</w:t>
      </w:r>
      <w:r w:rsidRPr="00515872">
        <w:rPr>
          <w:rFonts w:cs="Tahoma"/>
          <w:szCs w:val="20"/>
        </w:rPr>
        <w:t xml:space="preserve"> comportato qualche complicanza </w:t>
      </w:r>
      <w:r w:rsidR="00696E6D" w:rsidRPr="00515872">
        <w:rPr>
          <w:rFonts w:cs="Tahoma"/>
          <w:szCs w:val="20"/>
        </w:rPr>
        <w:t>per gli enti ricadenti ne</w:t>
      </w:r>
      <w:r w:rsidRPr="00515872">
        <w:rPr>
          <w:rFonts w:cs="Tahoma"/>
          <w:szCs w:val="20"/>
        </w:rPr>
        <w:t>ll’esercizio provvisorio del 2016, anno nel quale il bilancio di riferimento era rappresentato dal secondo periodo relativo al triennio 2</w:t>
      </w:r>
      <w:r w:rsidR="005B508D" w:rsidRPr="00515872">
        <w:rPr>
          <w:rFonts w:cs="Tahoma"/>
          <w:szCs w:val="20"/>
        </w:rPr>
        <w:t xml:space="preserve">015-2017. Mentre quest’ultimo era stato redatto, per gli enti non sperimentatori, </w:t>
      </w:r>
      <w:r w:rsidRPr="00515872">
        <w:rPr>
          <w:rFonts w:cs="Tahoma"/>
          <w:szCs w:val="20"/>
        </w:rPr>
        <w:t xml:space="preserve">sulla base del precedente modello ex D.P.R. </w:t>
      </w:r>
      <w:r w:rsidR="00696E6D" w:rsidRPr="00515872">
        <w:rPr>
          <w:rFonts w:cs="Tahoma"/>
          <w:szCs w:val="20"/>
        </w:rPr>
        <w:t xml:space="preserve">n. </w:t>
      </w:r>
      <w:r w:rsidRPr="00515872">
        <w:rPr>
          <w:rFonts w:cs="Tahoma"/>
          <w:szCs w:val="20"/>
        </w:rPr>
        <w:t>194/1996</w:t>
      </w:r>
      <w:r w:rsidR="005B508D" w:rsidRPr="00515872">
        <w:rPr>
          <w:rFonts w:cs="Tahoma"/>
          <w:szCs w:val="20"/>
        </w:rPr>
        <w:t>, nell’esercizio 2016 entrava in vigore la riforma contabile con le nuove regole</w:t>
      </w:r>
      <w:r w:rsidRPr="00515872">
        <w:rPr>
          <w:rFonts w:cs="Tahoma"/>
          <w:szCs w:val="20"/>
        </w:rPr>
        <w:t xml:space="preserve">. </w:t>
      </w:r>
      <w:r w:rsidR="005B508D" w:rsidRPr="00515872">
        <w:rPr>
          <w:rFonts w:cs="Tahoma"/>
          <w:szCs w:val="20"/>
        </w:rPr>
        <w:t xml:space="preserve">Il problema si poneva, in particolare, </w:t>
      </w:r>
      <w:r w:rsidRPr="00515872">
        <w:rPr>
          <w:rFonts w:cs="Tahoma"/>
          <w:szCs w:val="20"/>
        </w:rPr>
        <w:t xml:space="preserve">riguardo </w:t>
      </w:r>
      <w:r w:rsidR="005B508D" w:rsidRPr="00515872">
        <w:rPr>
          <w:rFonts w:cs="Tahoma"/>
          <w:szCs w:val="20"/>
        </w:rPr>
        <w:t>a</w:t>
      </w:r>
      <w:r w:rsidRPr="00515872">
        <w:rPr>
          <w:rFonts w:cs="Tahoma"/>
          <w:szCs w:val="20"/>
        </w:rPr>
        <w:t>gli interventi di spesa</w:t>
      </w:r>
      <w:r w:rsidR="000562B2" w:rsidRPr="00515872">
        <w:rPr>
          <w:rFonts w:cs="Tahoma"/>
          <w:szCs w:val="20"/>
        </w:rPr>
        <w:t xml:space="preserve"> in quanto</w:t>
      </w:r>
      <w:r w:rsidRPr="00515872">
        <w:rPr>
          <w:rFonts w:cs="Tahoma"/>
          <w:szCs w:val="20"/>
        </w:rPr>
        <w:t xml:space="preserve">, con la modifica alla struttura del bilancio di previsione, </w:t>
      </w:r>
      <w:r w:rsidR="000562B2" w:rsidRPr="00515872">
        <w:rPr>
          <w:rFonts w:cs="Tahoma"/>
          <w:szCs w:val="20"/>
        </w:rPr>
        <w:t xml:space="preserve">mutava </w:t>
      </w:r>
      <w:r w:rsidRPr="00515872">
        <w:rPr>
          <w:rFonts w:cs="Tahoma"/>
          <w:szCs w:val="20"/>
        </w:rPr>
        <w:t>il riferimento sul quale applicare il limite della spesa (c.d. tetto): non più l’</w:t>
      </w:r>
      <w:r w:rsidRPr="00515872">
        <w:rPr>
          <w:rFonts w:cs="Tahoma"/>
          <w:b/>
          <w:szCs w:val="20"/>
        </w:rPr>
        <w:t>intervento</w:t>
      </w:r>
      <w:r w:rsidRPr="00515872">
        <w:rPr>
          <w:rFonts w:cs="Tahoma"/>
          <w:szCs w:val="20"/>
        </w:rPr>
        <w:t xml:space="preserve"> di spesa ma il </w:t>
      </w:r>
      <w:r w:rsidRPr="00515872">
        <w:rPr>
          <w:rFonts w:cs="Tahoma"/>
          <w:b/>
          <w:szCs w:val="20"/>
        </w:rPr>
        <w:t>programma</w:t>
      </w:r>
      <w:r w:rsidRPr="00515872">
        <w:rPr>
          <w:rFonts w:cs="Tahoma"/>
          <w:szCs w:val="20"/>
        </w:rPr>
        <w:t xml:space="preserve"> di spesa del nuovo modello di bilancio (corrispondente al vecchio servizio).</w:t>
      </w:r>
    </w:p>
    <w:p w14:paraId="7847AF2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gestione </w:t>
      </w:r>
      <w:r w:rsidR="00696E6D" w:rsidRPr="00515872">
        <w:rPr>
          <w:rFonts w:eastAsia="Times New Roman" w:cs="Tahoma"/>
          <w:szCs w:val="20"/>
          <w:lang w:eastAsia="it-IT"/>
        </w:rPr>
        <w:t>per</w:t>
      </w:r>
      <w:r w:rsidRPr="00515872">
        <w:rPr>
          <w:rFonts w:eastAsia="Times New Roman" w:cs="Tahoma"/>
          <w:szCs w:val="20"/>
          <w:lang w:eastAsia="it-IT"/>
        </w:rPr>
        <w:t xml:space="preserve"> dodicesimi interessa soltanto gli stanziamenti di competenza diversi dagli impegni assunti negli esercizi precedenti con imputazione all’esercizio provvisorio.</w:t>
      </w:r>
    </w:p>
    <w:p w14:paraId="7117679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In materia di investimenti, è vietato il ricorso all’indebitamento e possono essere impegnate solo spese riguardanti lavori pubblici di somma urgenza o altri interventi di somma urgenza, </w:t>
      </w:r>
      <w:r w:rsidR="003859F5" w:rsidRPr="00515872">
        <w:rPr>
          <w:rFonts w:eastAsia="Times New Roman" w:cs="Tahoma"/>
          <w:szCs w:val="20"/>
          <w:lang w:eastAsia="it-IT"/>
        </w:rPr>
        <w:t>restando, tuttavia, consentito il ricorso all’anticipazione di tesoreria di cui all’art. 222 del TUEL.</w:t>
      </w:r>
    </w:p>
    <w:p w14:paraId="29EF33BA" w14:textId="77777777" w:rsidR="009518AF" w:rsidRPr="00515872" w:rsidRDefault="009518AF" w:rsidP="00696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shd w:val="clear" w:color="auto" w:fill="F9F8F4"/>
        </w:rPr>
      </w:pPr>
      <w:r w:rsidRPr="00515872">
        <w:rPr>
          <w:rFonts w:cs="Tahoma"/>
        </w:rPr>
        <w:t>Nel corso dell'esercizio provvisorio, gli enti possono impegnare mensilmente, unitamente alla quota dei dodicesimi non utilizzata nei mesi precedenti, per ciascun programma, le spese sopraccitate per importi non superiori ad 1/12 degli stanziamenti del secondo esercizio del bilancio di previsione deliberato l'anno precedente, ridotti delle somme già impegnate negli esercizi precedenti e dell'importo accantonato al FPV, con l'esclusione delle spese:</w:t>
      </w:r>
      <w:r w:rsidRPr="00515872">
        <w:rPr>
          <w:rFonts w:cs="Tahoma"/>
          <w:shd w:val="clear" w:color="auto" w:fill="F9F8F4"/>
        </w:rPr>
        <w:t xml:space="preserve"> </w:t>
      </w:r>
    </w:p>
    <w:p w14:paraId="58A02EE0" w14:textId="77777777" w:rsidR="009518AF" w:rsidRPr="00515872" w:rsidRDefault="009518AF" w:rsidP="00D65838">
      <w:pPr>
        <w:pStyle w:val="Paragrafoelenco"/>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tassativamente regolate dalla legge;</w:t>
      </w:r>
    </w:p>
    <w:p w14:paraId="14332C15" w14:textId="77777777" w:rsidR="009518AF" w:rsidRPr="00515872" w:rsidRDefault="009518AF" w:rsidP="00D65838">
      <w:pPr>
        <w:pStyle w:val="Paragrafoelenco"/>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non suscettibili di pagamento frazionato in dodicesimi;</w:t>
      </w:r>
    </w:p>
    <w:p w14:paraId="0A2ED9E7" w14:textId="77777777" w:rsidR="009518AF" w:rsidRPr="00515872" w:rsidRDefault="009518AF" w:rsidP="00D65838">
      <w:pPr>
        <w:pStyle w:val="Paragrafoelenco"/>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color w:val="000000"/>
        </w:rPr>
        <w:t>a carattere continuativo necessarie per garantire il mantenimento del livello qualitativo e quantitativo dei servizi esistenti, impegnate a seguito della scadenza dei relativi contratti.</w:t>
      </w:r>
    </w:p>
    <w:p w14:paraId="426A3634" w14:textId="77777777" w:rsidR="00FE709B" w:rsidRPr="00515872" w:rsidRDefault="00FE709B" w:rsidP="00FE7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highlight w:val="yellow"/>
          <w:lang w:eastAsia="it-IT"/>
        </w:rPr>
      </w:pPr>
      <w:r w:rsidRPr="00515872">
        <w:rPr>
          <w:rFonts w:cs="Tahoma"/>
        </w:rPr>
        <w:t>Sono consentite le variazioni di bilancio previste dall'art. 187, c</w:t>
      </w:r>
      <w:r w:rsidR="00696E6D" w:rsidRPr="00515872">
        <w:rPr>
          <w:rFonts w:cs="Tahoma"/>
        </w:rPr>
        <w:t>.</w:t>
      </w:r>
      <w:r w:rsidRPr="00515872">
        <w:rPr>
          <w:rFonts w:cs="Tahoma"/>
        </w:rPr>
        <w:t xml:space="preserve"> 3-quinquies, quelle riguardanti le variazioni del FPV, quelle necessarie alla </w:t>
      </w:r>
      <w:proofErr w:type="spellStart"/>
      <w:r w:rsidRPr="00515872">
        <w:rPr>
          <w:rFonts w:cs="Tahoma"/>
        </w:rPr>
        <w:t>reimputazione</w:t>
      </w:r>
      <w:proofErr w:type="spellEnd"/>
      <w:r w:rsidRPr="00515872">
        <w:rPr>
          <w:rFonts w:cs="Tahoma"/>
        </w:rPr>
        <w:t xml:space="preserve"> agli esercizi in cui sono esigibili, di obbligazioni riguardanti entrate vincolate già assunte, e delle spese correlate, nei casi in cui anche la spesa è oggetto di </w:t>
      </w:r>
      <w:proofErr w:type="spellStart"/>
      <w:r w:rsidRPr="00515872">
        <w:rPr>
          <w:rFonts w:cs="Tahoma"/>
        </w:rPr>
        <w:t>reimputazione</w:t>
      </w:r>
      <w:proofErr w:type="spellEnd"/>
      <w:r w:rsidRPr="00515872">
        <w:rPr>
          <w:rFonts w:cs="Tahoma"/>
        </w:rPr>
        <w:t xml:space="preserve"> </w:t>
      </w:r>
      <w:r w:rsidR="00696E6D" w:rsidRPr="00515872">
        <w:rPr>
          <w:rFonts w:cs="Tahoma"/>
        </w:rPr>
        <w:t xml:space="preserve">e </w:t>
      </w:r>
      <w:r w:rsidRPr="00515872">
        <w:rPr>
          <w:rFonts w:cs="Tahoma"/>
        </w:rPr>
        <w:t>l'eventuale aggiornamento delle spese già impegnate. Tali variazioni rilevano solo ai fini della gestione dei dodicesimi.</w:t>
      </w:r>
    </w:p>
    <w:p w14:paraId="7FAE471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quanto riguarda l’utilizzo delle quote vincolate e accantonate del risultato di amministrazione, esso è consentito esclusivamente per garantire la prosecuzione o l’avvio di attività soggette a termini o scadenze</w:t>
      </w:r>
      <w:r w:rsidR="00E30328" w:rsidRPr="00515872">
        <w:rPr>
          <w:rFonts w:eastAsia="Times New Roman" w:cs="Tahoma"/>
          <w:szCs w:val="20"/>
          <w:lang w:eastAsia="it-IT"/>
        </w:rPr>
        <w:t>, sulla base di una relazione documentata del dirigente competente.</w:t>
      </w:r>
      <w:r w:rsidRPr="00515872">
        <w:rPr>
          <w:rFonts w:eastAsia="Times New Roman" w:cs="Tahoma"/>
          <w:szCs w:val="20"/>
          <w:lang w:eastAsia="it-IT"/>
        </w:rPr>
        <w:t xml:space="preserve"> È onere della giunta deliberare una </w:t>
      </w:r>
      <w:r w:rsidRPr="00515872">
        <w:rPr>
          <w:rFonts w:eastAsia="Times New Roman" w:cs="Tahoma"/>
          <w:szCs w:val="20"/>
          <w:lang w:eastAsia="it-IT"/>
        </w:rPr>
        <w:lastRenderedPageBreak/>
        <w:t>variazione del bilancio provvisorio con la quale disporre l’utilizzo dell’avanzo</w:t>
      </w:r>
      <w:r w:rsidR="00FE709B" w:rsidRPr="00515872">
        <w:rPr>
          <w:rFonts w:eastAsia="Times New Roman" w:cs="Tahoma"/>
          <w:szCs w:val="20"/>
          <w:lang w:eastAsia="it-IT"/>
        </w:rPr>
        <w:t xml:space="preserve"> di amministrazione vincolato determinato sulla base dei dati di pre-consuntivo dell’esercizio precedente</w:t>
      </w:r>
      <w:r w:rsidRPr="00515872">
        <w:rPr>
          <w:rFonts w:eastAsia="Times New Roman" w:cs="Tahoma"/>
          <w:szCs w:val="20"/>
          <w:lang w:eastAsia="it-IT"/>
        </w:rPr>
        <w:t xml:space="preserve">. Come previsto nel punto 8.11 del principio contabile </w:t>
      </w:r>
      <w:r w:rsidR="00696E6D" w:rsidRPr="00515872">
        <w:rPr>
          <w:rFonts w:eastAsia="Times New Roman" w:cs="Tahoma"/>
          <w:szCs w:val="20"/>
          <w:lang w:eastAsia="it-IT"/>
        </w:rPr>
        <w:t xml:space="preserve">n. </w:t>
      </w:r>
      <w:r w:rsidRPr="00515872">
        <w:rPr>
          <w:rFonts w:eastAsia="Times New Roman" w:cs="Tahoma"/>
          <w:szCs w:val="20"/>
          <w:lang w:eastAsia="it-IT"/>
        </w:rPr>
        <w:t xml:space="preserve">4/2, la giunta adotta la delibera di variazione </w:t>
      </w:r>
      <w:r w:rsidRPr="00515872">
        <w:rPr>
          <w:rFonts w:eastAsia="Times New Roman" w:cs="Tahoma"/>
          <w:b/>
          <w:szCs w:val="20"/>
          <w:lang w:eastAsia="it-IT"/>
        </w:rPr>
        <w:t>previa acquisizione del parere dell’organo di revisione contabile</w:t>
      </w:r>
      <w:r w:rsidRPr="00515872">
        <w:rPr>
          <w:rFonts w:eastAsia="Times New Roman" w:cs="Tahoma"/>
          <w:szCs w:val="20"/>
          <w:lang w:eastAsia="it-IT"/>
        </w:rPr>
        <w:t>.</w:t>
      </w:r>
    </w:p>
    <w:p w14:paraId="5BE98A1A"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Gestione provvisoria</w:t>
      </w:r>
    </w:p>
    <w:p w14:paraId="2963FE5C"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t>Nel caso in cui il bilancio di esercizio non sia approvato entro il 31 dicembre e non sia stato autorizzato l'esercizio provvisorio o</w:t>
      </w:r>
      <w:r w:rsidR="00083A99" w:rsidRPr="00515872">
        <w:rPr>
          <w:rFonts w:cs="Tahoma"/>
          <w:color w:val="000000"/>
        </w:rPr>
        <w:t>vvero</w:t>
      </w:r>
      <w:r w:rsidRPr="00515872">
        <w:rPr>
          <w:rFonts w:cs="Tahoma"/>
          <w:color w:val="000000"/>
        </w:rPr>
        <w:t xml:space="preserve"> </w:t>
      </w:r>
      <w:r w:rsidR="004978D0" w:rsidRPr="00515872">
        <w:rPr>
          <w:rFonts w:cs="Tahoma"/>
          <w:color w:val="000000"/>
        </w:rPr>
        <w:t xml:space="preserve">nel caso in cui </w:t>
      </w:r>
      <w:r w:rsidRPr="00515872">
        <w:rPr>
          <w:rFonts w:cs="Tahoma"/>
          <w:color w:val="000000"/>
        </w:rPr>
        <w:t xml:space="preserve">il bilancio non sia stato approvato entro i </w:t>
      </w:r>
      <w:r w:rsidR="00083A99" w:rsidRPr="00515872">
        <w:rPr>
          <w:rFonts w:cs="Tahoma"/>
          <w:color w:val="000000"/>
        </w:rPr>
        <w:t xml:space="preserve">maggiori </w:t>
      </w:r>
      <w:r w:rsidRPr="00515872">
        <w:rPr>
          <w:rFonts w:cs="Tahoma"/>
          <w:color w:val="000000"/>
        </w:rPr>
        <w:t xml:space="preserve">termini </w:t>
      </w:r>
      <w:r w:rsidR="00083A99" w:rsidRPr="00515872">
        <w:rPr>
          <w:rFonts w:cs="Tahoma"/>
          <w:color w:val="000000"/>
        </w:rPr>
        <w:t xml:space="preserve">eventualmente </w:t>
      </w:r>
      <w:r w:rsidRPr="00515872">
        <w:rPr>
          <w:rFonts w:cs="Tahoma"/>
          <w:color w:val="000000"/>
        </w:rPr>
        <w:t>previsti</w:t>
      </w:r>
      <w:r w:rsidR="004978D0" w:rsidRPr="00515872">
        <w:rPr>
          <w:rFonts w:cs="Tahoma"/>
          <w:color w:val="000000"/>
        </w:rPr>
        <w:t xml:space="preserve"> per l’esercizio provvisorio</w:t>
      </w:r>
      <w:r w:rsidRPr="00515872">
        <w:rPr>
          <w:rFonts w:cs="Tahoma"/>
          <w:color w:val="000000"/>
        </w:rPr>
        <w:t xml:space="preserve">, è consentita esclusivamente una gestione provvisoria </w:t>
      </w:r>
      <w:r w:rsidRPr="00515872">
        <w:rPr>
          <w:rFonts w:cs="Tahoma"/>
          <w:b/>
          <w:color w:val="000000"/>
        </w:rPr>
        <w:t>nei limiti dei corrispondenti stanziamenti di spesa dell'ultimo bilancio approvato</w:t>
      </w:r>
      <w:r w:rsidRPr="00515872">
        <w:rPr>
          <w:rFonts w:cs="Tahoma"/>
          <w:color w:val="000000"/>
        </w:rPr>
        <w:t xml:space="preserve"> per l'esercizio cui si riferisce la gestione provvisoria.</w:t>
      </w:r>
    </w:p>
    <w:p w14:paraId="7C21CD02" w14:textId="77777777" w:rsidR="009518AF" w:rsidRPr="00515872" w:rsidRDefault="009518AF" w:rsidP="009518AF">
      <w:pPr>
        <w:spacing w:line="360" w:lineRule="auto"/>
        <w:jc w:val="both"/>
        <w:rPr>
          <w:rFonts w:cs="Tahoma"/>
          <w:color w:val="000000"/>
        </w:rPr>
      </w:pPr>
      <w:r w:rsidRPr="00515872">
        <w:rPr>
          <w:rFonts w:cs="Tahoma"/>
          <w:color w:val="000000"/>
        </w:rPr>
        <w:t>Nel corso della gestione provvisoria l'ente può assumere solo obbligazioni derivanti da provvedimenti giurisdizionali esecutivi, quelle tassativamente regolate dalla legge e quelle necessarie ad evitare che siano arrecati danni patrimoniali certi e gravi all'ente.</w:t>
      </w:r>
    </w:p>
    <w:p w14:paraId="37C2D1C5" w14:textId="77777777" w:rsidR="00E63E12" w:rsidRPr="00515872" w:rsidRDefault="00E63E12" w:rsidP="009518AF">
      <w:pPr>
        <w:spacing w:line="360" w:lineRule="auto"/>
        <w:jc w:val="both"/>
        <w:rPr>
          <w:rFonts w:cs="Tahoma"/>
          <w:color w:val="000000"/>
          <w:shd w:val="clear" w:color="auto" w:fill="F9F8F4"/>
        </w:rPr>
      </w:pPr>
    </w:p>
    <w:p w14:paraId="47F638C6" w14:textId="77777777" w:rsidR="009518AF" w:rsidRPr="00515872" w:rsidRDefault="009518AF" w:rsidP="009518AF">
      <w:pPr>
        <w:pStyle w:val="Sottoparagrafo"/>
        <w:spacing w:line="360" w:lineRule="auto"/>
        <w:rPr>
          <w:rFonts w:cs="Tahoma"/>
          <w:lang w:eastAsia="it-IT"/>
        </w:rPr>
      </w:pPr>
      <w:bookmarkStart w:id="107" w:name="_Toc521317083"/>
      <w:bookmarkStart w:id="108" w:name="_Toc95912260"/>
      <w:r w:rsidRPr="00515872">
        <w:rPr>
          <w:rFonts w:cs="Tahoma"/>
          <w:lang w:eastAsia="it-IT"/>
        </w:rPr>
        <w:t>4.4.</w:t>
      </w:r>
      <w:r w:rsidR="00041406" w:rsidRPr="00515872">
        <w:rPr>
          <w:rFonts w:cs="Tahoma"/>
          <w:lang w:eastAsia="it-IT"/>
        </w:rPr>
        <w:t>3 Obblighi di comunicazione</w:t>
      </w:r>
      <w:bookmarkEnd w:id="107"/>
      <w:bookmarkEnd w:id="108"/>
    </w:p>
    <w:p w14:paraId="4BECE556" w14:textId="77777777" w:rsidR="00C2264F" w:rsidRPr="00515872" w:rsidRDefault="00C2264F" w:rsidP="009518AF">
      <w:pPr>
        <w:spacing w:line="360" w:lineRule="auto"/>
        <w:jc w:val="both"/>
        <w:rPr>
          <w:rFonts w:cs="Tahoma"/>
          <w:szCs w:val="20"/>
          <w:lang w:eastAsia="it-IT"/>
        </w:rPr>
      </w:pPr>
      <w:r w:rsidRPr="00515872">
        <w:rPr>
          <w:rFonts w:cs="Tahoma"/>
          <w:szCs w:val="20"/>
          <w:lang w:eastAsia="it-IT"/>
        </w:rPr>
        <w:t xml:space="preserve">L’art. 9, c. 1-quinquies, D.L. n. 113/2016, </w:t>
      </w:r>
      <w:proofErr w:type="spellStart"/>
      <w:r w:rsidRPr="00515872">
        <w:rPr>
          <w:rFonts w:cs="Tahoma"/>
          <w:szCs w:val="20"/>
          <w:lang w:eastAsia="it-IT"/>
        </w:rPr>
        <w:t>conv</w:t>
      </w:r>
      <w:proofErr w:type="spellEnd"/>
      <w:r w:rsidRPr="00515872">
        <w:rPr>
          <w:rFonts w:cs="Tahoma"/>
          <w:szCs w:val="20"/>
          <w:lang w:eastAsia="it-IT"/>
        </w:rPr>
        <w:t>. L. n. 160/2016 dispone, l’obbligo di inviare il bilancio di prevision</w:t>
      </w:r>
      <w:r w:rsidR="00083A99" w:rsidRPr="00515872">
        <w:rPr>
          <w:rFonts w:cs="Tahoma"/>
          <w:szCs w:val="20"/>
          <w:lang w:eastAsia="it-IT"/>
        </w:rPr>
        <w:t>e antro 30 giorni dalla sua</w:t>
      </w:r>
      <w:r w:rsidRPr="00515872">
        <w:rPr>
          <w:rFonts w:cs="Tahoma"/>
          <w:szCs w:val="20"/>
          <w:lang w:eastAsia="it-IT"/>
        </w:rPr>
        <w:t xml:space="preserve"> approvazione alla banca dati delle amministrazioni pubbliche (BDAP) di cui all’art. 13, L. 196/2009, compresi i dati aggregati per voce del piano dei conti integrato. L’art. 1, c. 902, L. n. 145/2018 stabilisce che tale adempimento sostituisce, a partire dal 2019, la trasmissione delle certificazioni del bilancio di previsione al ministero dell’interno</w:t>
      </w:r>
      <w:r w:rsidRPr="00515872">
        <w:rPr>
          <w:rStyle w:val="Rimandonotaapidipagina"/>
          <w:rFonts w:cs="Tahoma"/>
          <w:szCs w:val="20"/>
          <w:lang w:eastAsia="it-IT"/>
        </w:rPr>
        <w:footnoteReference w:id="47"/>
      </w:r>
      <w:r w:rsidRPr="00515872">
        <w:rPr>
          <w:rFonts w:cs="Tahoma"/>
          <w:szCs w:val="20"/>
          <w:lang w:eastAsia="it-IT"/>
        </w:rPr>
        <w:t>.</w:t>
      </w:r>
    </w:p>
    <w:p w14:paraId="5A26F32D" w14:textId="77777777" w:rsidR="00C2264F" w:rsidRPr="00515872" w:rsidRDefault="00C2264F" w:rsidP="009518AF">
      <w:pPr>
        <w:spacing w:line="360" w:lineRule="auto"/>
        <w:jc w:val="both"/>
        <w:rPr>
          <w:rFonts w:cs="Tahoma"/>
          <w:szCs w:val="20"/>
          <w:lang w:eastAsia="it-IT"/>
        </w:rPr>
      </w:pPr>
      <w:r w:rsidRPr="00515872">
        <w:rPr>
          <w:rFonts w:cs="Tahoma"/>
          <w:szCs w:val="20"/>
          <w:lang w:eastAsia="it-IT"/>
        </w:rPr>
        <w:t>Con il successivo c</w:t>
      </w:r>
      <w:r w:rsidR="005451FA" w:rsidRPr="00515872">
        <w:rPr>
          <w:rFonts w:cs="Tahoma"/>
          <w:szCs w:val="20"/>
          <w:lang w:eastAsia="it-IT"/>
        </w:rPr>
        <w:t>.</w:t>
      </w:r>
      <w:r w:rsidRPr="00515872">
        <w:rPr>
          <w:rFonts w:cs="Tahoma"/>
          <w:szCs w:val="20"/>
          <w:lang w:eastAsia="it-IT"/>
        </w:rPr>
        <w:t xml:space="preserve"> 903, </w:t>
      </w:r>
      <w:r w:rsidR="005451FA" w:rsidRPr="00515872">
        <w:rPr>
          <w:rFonts w:cs="Tahoma"/>
          <w:szCs w:val="20"/>
          <w:lang w:eastAsia="it-IT"/>
        </w:rPr>
        <w:t xml:space="preserve">che </w:t>
      </w:r>
      <w:r w:rsidRPr="00515872">
        <w:rPr>
          <w:rFonts w:cs="Tahoma"/>
          <w:szCs w:val="20"/>
          <w:lang w:eastAsia="it-IT"/>
        </w:rPr>
        <w:t>modifica l’art. 161 del TUEL, viene previsto che</w:t>
      </w:r>
      <w:r w:rsidR="00083A99" w:rsidRPr="00515872">
        <w:rPr>
          <w:rFonts w:cs="Tahoma"/>
          <w:szCs w:val="20"/>
          <w:lang w:eastAsia="it-IT"/>
        </w:rPr>
        <w:t>,</w:t>
      </w:r>
      <w:r w:rsidRPr="00515872">
        <w:rPr>
          <w:rFonts w:cs="Tahoma"/>
          <w:szCs w:val="20"/>
          <w:lang w:eastAsia="it-IT"/>
        </w:rPr>
        <w:t xml:space="preserve"> con decor</w:t>
      </w:r>
      <w:r w:rsidR="00083A99" w:rsidRPr="00515872">
        <w:rPr>
          <w:rFonts w:cs="Tahoma"/>
          <w:szCs w:val="20"/>
          <w:lang w:eastAsia="it-IT"/>
        </w:rPr>
        <w:t>renza dal 1° novembre 2019, il Ministero dell’I</w:t>
      </w:r>
      <w:r w:rsidRPr="00515872">
        <w:rPr>
          <w:rFonts w:cs="Tahoma"/>
          <w:szCs w:val="20"/>
          <w:lang w:eastAsia="it-IT"/>
        </w:rPr>
        <w:t xml:space="preserve">nterno possa richiedere specifiche certificazioni (firmate dal responsabile finanziario) su particolari dati finanziari non presenti nella BDAP. Decorsi 30 giorni dal termine previsto per l’approvazione dei bilanci di previsione, il mancato invio dei dati alla BDAP comporta la sospensione dei pagamenti delle risorse finanziarie a qualsiasi titolo dovute dal Ministero dell’Interno, comprese quelle a titolo di fondo di solidarietà comunale. In fase di prima applicazione, con riferimento al bilancio di previsione 2019, la sanzione si applica a decorrere dal 1° </w:t>
      </w:r>
      <w:r w:rsidR="005D6D9C" w:rsidRPr="00515872">
        <w:rPr>
          <w:rFonts w:cs="Tahoma"/>
          <w:szCs w:val="20"/>
          <w:lang w:eastAsia="it-IT"/>
        </w:rPr>
        <w:t>novembre</w:t>
      </w:r>
      <w:r w:rsidRPr="00515872">
        <w:rPr>
          <w:rFonts w:cs="Tahoma"/>
          <w:szCs w:val="20"/>
          <w:lang w:eastAsia="it-IT"/>
        </w:rPr>
        <w:t xml:space="preserve"> 2019.</w:t>
      </w:r>
    </w:p>
    <w:p w14:paraId="234BE482" w14:textId="77777777" w:rsidR="00277513" w:rsidRPr="00515872" w:rsidRDefault="00277513" w:rsidP="00041406">
      <w:pPr>
        <w:pStyle w:val="Sottoparagrafo"/>
        <w:spacing w:line="360" w:lineRule="auto"/>
        <w:rPr>
          <w:rFonts w:cs="Tahoma"/>
          <w:lang w:eastAsia="it-IT"/>
        </w:rPr>
      </w:pPr>
    </w:p>
    <w:p w14:paraId="26053445" w14:textId="77777777" w:rsidR="00EA779E" w:rsidRDefault="00EA779E">
      <w:pPr>
        <w:spacing w:after="0" w:line="240" w:lineRule="auto"/>
        <w:rPr>
          <w:rFonts w:cs="Tahoma"/>
          <w:b/>
          <w:bCs/>
          <w:i/>
          <w:color w:val="000000"/>
          <w:szCs w:val="24"/>
          <w:lang w:eastAsia="it-IT"/>
        </w:rPr>
      </w:pPr>
      <w:r>
        <w:rPr>
          <w:rFonts w:cs="Tahoma"/>
          <w:lang w:eastAsia="it-IT"/>
        </w:rPr>
        <w:br w:type="page"/>
      </w:r>
    </w:p>
    <w:p w14:paraId="318A1CEE" w14:textId="2575748E" w:rsidR="00041406" w:rsidRPr="00515872" w:rsidRDefault="00041406" w:rsidP="00041406">
      <w:pPr>
        <w:pStyle w:val="Sottoparagrafo"/>
        <w:spacing w:line="360" w:lineRule="auto"/>
        <w:rPr>
          <w:rFonts w:cs="Tahoma"/>
          <w:lang w:eastAsia="it-IT"/>
        </w:rPr>
      </w:pPr>
      <w:bookmarkStart w:id="109" w:name="_Toc95912261"/>
      <w:r w:rsidRPr="00515872">
        <w:rPr>
          <w:rFonts w:cs="Tahoma"/>
          <w:lang w:eastAsia="it-IT"/>
        </w:rPr>
        <w:lastRenderedPageBreak/>
        <w:t>4.4.4 Principi di redazione del bilancio</w:t>
      </w:r>
      <w:bookmarkEnd w:id="109"/>
    </w:p>
    <w:p w14:paraId="1A8497CD" w14:textId="77777777" w:rsidR="00041406" w:rsidRPr="00515872" w:rsidRDefault="00041406" w:rsidP="009518AF">
      <w:pPr>
        <w:spacing w:line="360" w:lineRule="auto"/>
        <w:jc w:val="both"/>
        <w:rPr>
          <w:rFonts w:eastAsia="Times New Roman" w:cs="Tahoma"/>
          <w:szCs w:val="20"/>
          <w:lang w:eastAsia="it-IT"/>
        </w:rPr>
      </w:pPr>
      <w:r w:rsidRPr="00515872">
        <w:rPr>
          <w:rFonts w:cs="Tahoma"/>
          <w:szCs w:val="20"/>
          <w:lang w:eastAsia="it-IT"/>
        </w:rPr>
        <w:t xml:space="preserve">I principi di redazione del bilancio di previsione sono sanciti nell’allegato </w:t>
      </w:r>
      <w:r w:rsidR="00083A99" w:rsidRPr="00515872">
        <w:rPr>
          <w:rFonts w:cs="Tahoma"/>
          <w:szCs w:val="20"/>
          <w:lang w:eastAsia="it-IT"/>
        </w:rPr>
        <w:t>n.</w:t>
      </w:r>
      <w:r w:rsidRPr="00515872">
        <w:rPr>
          <w:rFonts w:cs="Tahoma"/>
          <w:szCs w:val="20"/>
          <w:lang w:eastAsia="it-IT"/>
        </w:rPr>
        <w:t xml:space="preserve">1 al </w:t>
      </w:r>
      <w:proofErr w:type="spellStart"/>
      <w:r w:rsidRPr="00515872">
        <w:rPr>
          <w:rFonts w:cs="Tahoma"/>
          <w:szCs w:val="20"/>
          <w:lang w:eastAsia="it-IT"/>
        </w:rPr>
        <w:t>D.Lgs.</w:t>
      </w:r>
      <w:proofErr w:type="spellEnd"/>
      <w:r w:rsidRPr="00515872">
        <w:rPr>
          <w:rFonts w:cs="Tahoma"/>
          <w:szCs w:val="20"/>
          <w:lang w:eastAsia="it-IT"/>
        </w:rPr>
        <w:t xml:space="preserve"> 118/2011 e sono </w:t>
      </w:r>
      <w:r w:rsidR="00F9181A" w:rsidRPr="00515872">
        <w:rPr>
          <w:rFonts w:eastAsia="Times New Roman" w:cs="Tahoma"/>
          <w:szCs w:val="20"/>
          <w:lang w:eastAsia="it-IT"/>
        </w:rPr>
        <w:t>di seguito sintetizzati.</w:t>
      </w:r>
    </w:p>
    <w:tbl>
      <w:tblPr>
        <w:tblStyle w:val="Grigliatabella"/>
        <w:tblW w:w="0" w:type="auto"/>
        <w:jc w:val="center"/>
        <w:tblLook w:val="04A0" w:firstRow="1" w:lastRow="0" w:firstColumn="1" w:lastColumn="0" w:noHBand="0" w:noVBand="1"/>
      </w:tblPr>
      <w:tblGrid>
        <w:gridCol w:w="1665"/>
        <w:gridCol w:w="7963"/>
      </w:tblGrid>
      <w:tr w:rsidR="009518AF" w:rsidRPr="00515872" w14:paraId="397D62F3" w14:textId="77777777" w:rsidTr="00EA779E">
        <w:trPr>
          <w:jc w:val="center"/>
        </w:trPr>
        <w:tc>
          <w:tcPr>
            <w:tcW w:w="1668" w:type="dxa"/>
            <w:shd w:val="clear" w:color="auto" w:fill="DBE5F1" w:themeFill="accent1" w:themeFillTint="33"/>
          </w:tcPr>
          <w:p w14:paraId="6BC055EF" w14:textId="77777777" w:rsidR="009518AF" w:rsidRPr="00515872" w:rsidRDefault="009518AF" w:rsidP="00690D56">
            <w:pPr>
              <w:spacing w:after="0"/>
              <w:jc w:val="center"/>
              <w:rPr>
                <w:rFonts w:eastAsia="Times New Roman" w:cs="Tahoma"/>
                <w:b/>
                <w:szCs w:val="20"/>
                <w:lang w:eastAsia="it-IT"/>
              </w:rPr>
            </w:pPr>
            <w:r w:rsidRPr="00515872">
              <w:rPr>
                <w:rFonts w:eastAsia="Times New Roman" w:cs="Tahoma"/>
                <w:b/>
                <w:szCs w:val="20"/>
                <w:lang w:eastAsia="it-IT"/>
              </w:rPr>
              <w:t>Principio</w:t>
            </w:r>
          </w:p>
        </w:tc>
        <w:tc>
          <w:tcPr>
            <w:tcW w:w="8110" w:type="dxa"/>
            <w:shd w:val="clear" w:color="auto" w:fill="DBE5F1" w:themeFill="accent1" w:themeFillTint="33"/>
          </w:tcPr>
          <w:p w14:paraId="4CAD9015" w14:textId="77777777" w:rsidR="009518AF" w:rsidRPr="00515872" w:rsidRDefault="009518AF" w:rsidP="00690D56">
            <w:pPr>
              <w:spacing w:after="0"/>
              <w:jc w:val="center"/>
              <w:rPr>
                <w:rFonts w:eastAsia="Times New Roman" w:cs="Tahoma"/>
                <w:b/>
                <w:szCs w:val="20"/>
                <w:lang w:eastAsia="it-IT"/>
              </w:rPr>
            </w:pPr>
            <w:r w:rsidRPr="00515872">
              <w:rPr>
                <w:rFonts w:eastAsia="Times New Roman" w:cs="Tahoma"/>
                <w:b/>
                <w:szCs w:val="20"/>
                <w:lang w:eastAsia="it-IT"/>
              </w:rPr>
              <w:t>Sintesi</w:t>
            </w:r>
          </w:p>
        </w:tc>
      </w:tr>
      <w:tr w:rsidR="009518AF" w:rsidRPr="00515872" w14:paraId="20F6339C" w14:textId="77777777" w:rsidTr="009063EA">
        <w:trPr>
          <w:jc w:val="center"/>
        </w:trPr>
        <w:tc>
          <w:tcPr>
            <w:tcW w:w="1668" w:type="dxa"/>
          </w:tcPr>
          <w:p w14:paraId="1A49DEA5"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Annualità</w:t>
            </w:r>
          </w:p>
        </w:tc>
        <w:tc>
          <w:tcPr>
            <w:tcW w:w="8110" w:type="dxa"/>
          </w:tcPr>
          <w:p w14:paraId="1EEF15A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 documenti del sistema di bilancio, sia di previsione che di rendicontazione, sono predisposti con cadenza annuale e si riferiscono a distinti periodi di gestione coincidenti con l'anno solare.</w:t>
            </w:r>
          </w:p>
          <w:p w14:paraId="551EFDAA"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Nella predisposizione dei documenti di bilancio, le previsioni di ciascun esercizio sono elaborate sulla base di una programmazione di medio periodo, con un orizzonte temporale almeno triennale.</w:t>
            </w:r>
          </w:p>
        </w:tc>
      </w:tr>
      <w:tr w:rsidR="009518AF" w:rsidRPr="00515872" w14:paraId="37F86254" w14:textId="77777777" w:rsidTr="009063EA">
        <w:trPr>
          <w:jc w:val="center"/>
        </w:trPr>
        <w:tc>
          <w:tcPr>
            <w:tcW w:w="1668" w:type="dxa"/>
          </w:tcPr>
          <w:p w14:paraId="20269AC6"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Unità</w:t>
            </w:r>
          </w:p>
        </w:tc>
        <w:tc>
          <w:tcPr>
            <w:tcW w:w="8110" w:type="dxa"/>
          </w:tcPr>
          <w:p w14:paraId="040C7321"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singola amministrazione pubblica è una entità giuridica unica e unitaria; pertanto, dev</w:t>
            </w:r>
            <w:r w:rsidR="00083A99" w:rsidRPr="00515872">
              <w:rPr>
                <w:rFonts w:eastAsia="Times New Roman" w:cs="Tahoma"/>
                <w:szCs w:val="20"/>
                <w:lang w:eastAsia="it-IT"/>
              </w:rPr>
              <w:t>ono</w:t>
            </w:r>
            <w:r w:rsidRPr="00515872">
              <w:rPr>
                <w:rFonts w:eastAsia="Times New Roman" w:cs="Tahoma"/>
                <w:szCs w:val="20"/>
                <w:lang w:eastAsia="it-IT"/>
              </w:rPr>
              <w:t xml:space="preserve"> essere unico e unitario sia il suo bilancio di previsione che il suo rendiconto.</w:t>
            </w:r>
          </w:p>
          <w:p w14:paraId="6CA95A41"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È il complesso unitario delle entrate che finanzia l'amministrazione pubblica e sostiene così la totalità delle</w:t>
            </w:r>
            <w:r w:rsidR="00994EAF" w:rsidRPr="00515872">
              <w:rPr>
                <w:rFonts w:eastAsia="Times New Roman" w:cs="Tahoma"/>
                <w:szCs w:val="20"/>
                <w:lang w:eastAsia="it-IT"/>
              </w:rPr>
              <w:t xml:space="preserve"> sue spese durante la gestione.</w:t>
            </w:r>
          </w:p>
        </w:tc>
      </w:tr>
      <w:tr w:rsidR="009518AF" w:rsidRPr="00515872" w14:paraId="1BF9911D" w14:textId="77777777" w:rsidTr="009063EA">
        <w:trPr>
          <w:jc w:val="center"/>
        </w:trPr>
        <w:tc>
          <w:tcPr>
            <w:tcW w:w="1668" w:type="dxa"/>
          </w:tcPr>
          <w:p w14:paraId="4EE10DF3"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Universalità</w:t>
            </w:r>
          </w:p>
        </w:tc>
        <w:tc>
          <w:tcPr>
            <w:tcW w:w="8110" w:type="dxa"/>
          </w:tcPr>
          <w:p w14:paraId="2AE11086"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sistema di bilancio ricomprende tutte le finalità e gli obiettivi di gestione, nonché i relativi valori finanziari, economici e patrimoniali riconducibili alla singola amministrazione pubblica, al fine di fornire una rappresentazione veritiera e corretta della complessa attività amministrativa.</w:t>
            </w:r>
          </w:p>
          <w:p w14:paraId="1743B814"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Sono incompatibili con il principio dell'universalità le gestioni fuori bilancio.</w:t>
            </w:r>
          </w:p>
        </w:tc>
      </w:tr>
      <w:tr w:rsidR="009518AF" w:rsidRPr="00515872" w14:paraId="1808882F" w14:textId="77777777" w:rsidTr="009063EA">
        <w:trPr>
          <w:jc w:val="center"/>
        </w:trPr>
        <w:tc>
          <w:tcPr>
            <w:tcW w:w="1668" w:type="dxa"/>
          </w:tcPr>
          <w:p w14:paraId="5040C1B4"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Integrità</w:t>
            </w:r>
          </w:p>
        </w:tc>
        <w:tc>
          <w:tcPr>
            <w:tcW w:w="8110" w:type="dxa"/>
          </w:tcPr>
          <w:p w14:paraId="5F53EAC2"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Nel bilancio di previsione e nei documenti di rendicontazione le entrate devono essere iscritte al lordo delle spese sostenute per la loro riscossione e di altre eventuali spese ad esse connesse e, parimenti, le spese devono essere iscritte al lordo delle correlate entrate, senza compensazioni di partite.</w:t>
            </w:r>
          </w:p>
          <w:p w14:paraId="3162028C"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Lo stesso principio si applica a tutti i valori del sistema di bilancio, anche economici e patrimoniali che si ritrovano nel conto economico e nel conto del patrimonio.</w:t>
            </w:r>
          </w:p>
        </w:tc>
      </w:tr>
      <w:tr w:rsidR="009518AF" w:rsidRPr="00515872" w14:paraId="374A5737" w14:textId="77777777" w:rsidTr="009063EA">
        <w:trPr>
          <w:jc w:val="center"/>
        </w:trPr>
        <w:tc>
          <w:tcPr>
            <w:tcW w:w="1668" w:type="dxa"/>
          </w:tcPr>
          <w:p w14:paraId="1A5D25F4"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Veridicità, attendibilità, correttezza e comprensibilità</w:t>
            </w:r>
          </w:p>
        </w:tc>
        <w:tc>
          <w:tcPr>
            <w:tcW w:w="8110" w:type="dxa"/>
          </w:tcPr>
          <w:p w14:paraId="0285C1EF"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Il principio della </w:t>
            </w:r>
            <w:r w:rsidRPr="00515872">
              <w:rPr>
                <w:rFonts w:eastAsia="Times New Roman" w:cs="Tahoma"/>
                <w:b/>
                <w:szCs w:val="20"/>
                <w:lang w:eastAsia="it-IT"/>
              </w:rPr>
              <w:t>veridicità</w:t>
            </w:r>
            <w:r w:rsidRPr="00515872">
              <w:rPr>
                <w:rFonts w:eastAsia="Times New Roman" w:cs="Tahoma"/>
                <w:szCs w:val="20"/>
                <w:lang w:eastAsia="it-IT"/>
              </w:rPr>
              <w:t xml:space="preserve"> ricerca nei dati contabili di bilancio la rappresentazione delle reali condizioni delle operazioni di gestione di natura economica, patrimoniale e finanziaria dell’esercizio. La veridicità nei documenti di previsione è da intendersi come rigorosa valutazione dei flussi finanziari generati dalle operazioni che si svolgeranno nel futuro periodo di riferimento.</w:t>
            </w:r>
          </w:p>
          <w:p w14:paraId="606D9B74"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Le previsioni devono essere sostenute da accurate analisi di tipo storico e programmatico o, in mancanza, da altri idonei parametri di riferimento, nonché da fondate aspettative di acquisizione e di utilizzo delle risorse (principio dell'</w:t>
            </w:r>
            <w:r w:rsidRPr="00515872">
              <w:rPr>
                <w:rFonts w:eastAsia="Times New Roman" w:cs="Tahoma"/>
                <w:b/>
                <w:szCs w:val="20"/>
                <w:lang w:eastAsia="it-IT"/>
              </w:rPr>
              <w:t>attendibilità</w:t>
            </w:r>
            <w:r w:rsidRPr="00515872">
              <w:rPr>
                <w:rFonts w:eastAsia="Times New Roman" w:cs="Tahoma"/>
                <w:szCs w:val="20"/>
                <w:lang w:eastAsia="it-IT"/>
              </w:rPr>
              <w:t>). Tale principio è applicabile anche al rendiconto e ai documenti descrittivi ed accompagnatori. Un'informazione contabile è attendibile se è scevra da errori e distorsioni rilevanti e se gli utilizzatori possono fare affidamento su di essa.</w:t>
            </w:r>
          </w:p>
          <w:p w14:paraId="67F1A2B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Il rispetto formale e sostanziale delle norme che disciplinano la redazione dei documenti contabili di programmazione e previsione, di gestione e controllo e di rendicontazione deve, inoltre, caratterizzare la formazione dei citati documenti. Infatti, il principio della </w:t>
            </w:r>
            <w:r w:rsidRPr="00515872">
              <w:rPr>
                <w:rFonts w:eastAsia="Times New Roman" w:cs="Tahoma"/>
                <w:b/>
                <w:szCs w:val="20"/>
                <w:lang w:eastAsia="it-IT"/>
              </w:rPr>
              <w:t>correttezza</w:t>
            </w:r>
            <w:r w:rsidRPr="00515872">
              <w:rPr>
                <w:rFonts w:eastAsia="Times New Roman" w:cs="Tahoma"/>
                <w:szCs w:val="20"/>
                <w:lang w:eastAsia="it-IT"/>
              </w:rPr>
              <w:t xml:space="preserve"> si estende anche ai principi contabili generali e applicati che costituiscono i fondamenti e le regole di carattere generale cui deve uniformarsi l'intero sistema di bilancio. Il principio della correttezza si applica anche alle comunicazioni e ai dati oggetto del monitoraggio da parte delle istituzioni preposte al governo della finanza pubblica.</w:t>
            </w:r>
          </w:p>
          <w:p w14:paraId="3BFCDEDD" w14:textId="77777777" w:rsidR="007F61F3"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Infine, il sistema di bilancio deve essere </w:t>
            </w:r>
            <w:r w:rsidRPr="00515872">
              <w:rPr>
                <w:rFonts w:eastAsia="Times New Roman" w:cs="Tahoma"/>
                <w:b/>
                <w:szCs w:val="20"/>
                <w:lang w:eastAsia="it-IT"/>
              </w:rPr>
              <w:t>comprensibile</w:t>
            </w:r>
            <w:r w:rsidRPr="00515872">
              <w:rPr>
                <w:rFonts w:eastAsia="Times New Roman" w:cs="Tahoma"/>
                <w:szCs w:val="20"/>
                <w:lang w:eastAsia="it-IT"/>
              </w:rPr>
              <w:t xml:space="preserve"> e deve perciò presentare una chiara classificazione delle voci finanziarie, economiche e patrimoniali. Al tal fine, le </w:t>
            </w:r>
            <w:r w:rsidRPr="00515872">
              <w:rPr>
                <w:rFonts w:eastAsia="Times New Roman" w:cs="Tahoma"/>
                <w:szCs w:val="20"/>
                <w:lang w:eastAsia="it-IT"/>
              </w:rPr>
              <w:lastRenderedPageBreak/>
              <w:t xml:space="preserve">registrazioni contabili ed i documenti di bilancio adottano il sistema di classificazione previsto dall'ordinamento contabile e finanziario, uniformandosi alle istruzioni dei relativi glossari. Il sistema di bilancio è inoltre corredato da una informativa supplementare che ne facilita la comprensione e l'intelligibilità. </w:t>
            </w:r>
          </w:p>
          <w:p w14:paraId="6EFE9295"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 documenti contabili che non rispettano il principio della veridicità e tutti gli altri principi ad esso collegati, </w:t>
            </w:r>
            <w:r w:rsidRPr="00515872">
              <w:rPr>
                <w:rFonts w:eastAsia="Times New Roman" w:cs="Tahoma"/>
                <w:b/>
                <w:szCs w:val="20"/>
                <w:lang w:eastAsia="it-IT"/>
              </w:rPr>
              <w:t>non possono acquisire il parere favorevole da parte degli organi preposti al controllo e alla revisione contabile</w:t>
            </w:r>
            <w:r w:rsidRPr="00515872">
              <w:rPr>
                <w:rFonts w:eastAsia="Times New Roman" w:cs="Tahoma"/>
                <w:szCs w:val="20"/>
                <w:lang w:eastAsia="it-IT"/>
              </w:rPr>
              <w:t>.</w:t>
            </w:r>
          </w:p>
        </w:tc>
      </w:tr>
      <w:tr w:rsidR="009518AF" w:rsidRPr="00515872" w14:paraId="276F990A" w14:textId="77777777" w:rsidTr="009063EA">
        <w:trPr>
          <w:jc w:val="center"/>
        </w:trPr>
        <w:tc>
          <w:tcPr>
            <w:tcW w:w="1668" w:type="dxa"/>
          </w:tcPr>
          <w:p w14:paraId="3A00A0D6"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Significatività e rilevanza</w:t>
            </w:r>
          </w:p>
        </w:tc>
        <w:tc>
          <w:tcPr>
            <w:tcW w:w="8110" w:type="dxa"/>
          </w:tcPr>
          <w:p w14:paraId="45271300"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Per essere utile, un'informazione deve essere </w:t>
            </w:r>
            <w:r w:rsidRPr="00515872">
              <w:rPr>
                <w:rFonts w:eastAsia="Times New Roman" w:cs="Tahoma"/>
                <w:b/>
                <w:szCs w:val="20"/>
                <w:lang w:eastAsia="it-IT"/>
              </w:rPr>
              <w:t>significativa</w:t>
            </w:r>
            <w:r w:rsidRPr="00515872">
              <w:rPr>
                <w:rFonts w:eastAsia="Times New Roman" w:cs="Tahoma"/>
                <w:szCs w:val="20"/>
                <w:lang w:eastAsia="it-IT"/>
              </w:rPr>
              <w:t xml:space="preserve"> per le esigenze informative connesse al processo decisionale degli utilizzatori. L'informazione è qualitativamente significativa quando è in grado di influenzare le decisioni degli utilizzatori. Il procedimento di formazione del sistema di bilancio implica delle stime o previsioni. Errori, semplificazioni e arrotondamenti non devono essere di portata tale da avere un effetto rilevante sui dati del sistema di bilancio e sul loro significato per i destinatari. L'effetto deve essere anche valutato ai fini degli equilibri finanziari ed economici.</w:t>
            </w:r>
          </w:p>
          <w:p w14:paraId="0710B800"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L'informazione è </w:t>
            </w:r>
            <w:r w:rsidRPr="00515872">
              <w:rPr>
                <w:rFonts w:eastAsia="Times New Roman" w:cs="Tahoma"/>
                <w:b/>
                <w:szCs w:val="20"/>
                <w:lang w:eastAsia="it-IT"/>
              </w:rPr>
              <w:t>rilevante</w:t>
            </w:r>
            <w:r w:rsidRPr="00515872">
              <w:rPr>
                <w:rFonts w:eastAsia="Times New Roman" w:cs="Tahoma"/>
                <w:szCs w:val="20"/>
                <w:lang w:eastAsia="it-IT"/>
              </w:rPr>
              <w:t xml:space="preserve"> se la sua omissione o errata presentazione può influenzare le decisioni degli utilizzatori. La rilevanza dipende dalla dimensione quantitativa della posta</w:t>
            </w:r>
            <w:r w:rsidR="007F61F3" w:rsidRPr="00515872">
              <w:rPr>
                <w:rFonts w:eastAsia="Times New Roman" w:cs="Tahoma"/>
                <w:szCs w:val="20"/>
                <w:lang w:eastAsia="it-IT"/>
              </w:rPr>
              <w:t xml:space="preserve"> in rapporto a</w:t>
            </w:r>
            <w:r w:rsidRPr="00515872">
              <w:rPr>
                <w:rFonts w:eastAsia="Times New Roman" w:cs="Tahoma"/>
                <w:szCs w:val="20"/>
                <w:lang w:eastAsia="it-IT"/>
              </w:rPr>
              <w:t>i valori complessivi del sistema di bilancio e dall'errore giudicato nelle specifiche circostanze di omissione o errata presentazione.</w:t>
            </w:r>
          </w:p>
        </w:tc>
      </w:tr>
      <w:tr w:rsidR="009518AF" w:rsidRPr="00515872" w14:paraId="1DD3CECD" w14:textId="77777777" w:rsidTr="009063EA">
        <w:trPr>
          <w:jc w:val="center"/>
        </w:trPr>
        <w:tc>
          <w:tcPr>
            <w:tcW w:w="1668" w:type="dxa"/>
          </w:tcPr>
          <w:p w14:paraId="7F4EE195"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Flessibilità</w:t>
            </w:r>
          </w:p>
        </w:tc>
        <w:tc>
          <w:tcPr>
            <w:tcW w:w="8110" w:type="dxa"/>
          </w:tcPr>
          <w:p w14:paraId="1030FFE0"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principio di flessibilità è volto a trovare, all'interno dei documenti contabili di programmazione e previsione di bilancio, la possibilità di fronteggiare gli effetti derivanti dalle circostanze imprevedibili e straordinarie che, durante la gestione, possono modificare i valori a suo tempo approvati. Per tale finalità la legge disciplina l'utilizzo di strumenti ordinari, come il fondo di riserva, destinati a garantire le risorse da impiegare a copertura delle spese sopravvenute.</w:t>
            </w:r>
          </w:p>
          <w:p w14:paraId="42D4F9D5"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Un eccessivo ricorso agli altri strumenti di flessibilità, quali le variazioni di bilancio, va visto comunque come fatto negativo, in quanto inficia l'attendibilità del processo di programmazione e rende non credibile il complesso del sistema di bilancio.</w:t>
            </w:r>
          </w:p>
          <w:p w14:paraId="7F8148D3"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Differente funzione ha la flessibilità dei bilanci in sede gestionale, volta a consentire variazioni compensative tra le missioni e tra programmi conseguenti a provvedimenti di trasferimenti del personale all'interno di ciascuna amministrazione e la rimodulazione delle dotazioni finanziarie interne a ogni programma.</w:t>
            </w:r>
          </w:p>
        </w:tc>
      </w:tr>
      <w:tr w:rsidR="009518AF" w:rsidRPr="00515872" w14:paraId="420141CF" w14:textId="77777777" w:rsidTr="009063EA">
        <w:trPr>
          <w:jc w:val="center"/>
        </w:trPr>
        <w:tc>
          <w:tcPr>
            <w:tcW w:w="1668" w:type="dxa"/>
          </w:tcPr>
          <w:p w14:paraId="61B14398"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Congruità</w:t>
            </w:r>
          </w:p>
        </w:tc>
        <w:tc>
          <w:tcPr>
            <w:tcW w:w="8110" w:type="dxa"/>
          </w:tcPr>
          <w:p w14:paraId="687B161A"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congruità consiste nella verifica dell'adeguatezza dei mezzi disponibili rispetto ai fini stabiliti.</w:t>
            </w:r>
          </w:p>
          <w:p w14:paraId="550BD543"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congruità delle entrate e delle spese deve essere valutata in relazione agli obiettivi programmati, agli andamenti storici ed al riflesso nel periodo degli impegni pluriennali che sono coerentemente rappresentati nel sistema di bilancio nelle fasi di previsione e programmazione, di gestione e rendicontazione.</w:t>
            </w:r>
          </w:p>
        </w:tc>
      </w:tr>
      <w:tr w:rsidR="009518AF" w:rsidRPr="00515872" w14:paraId="60A105CD" w14:textId="77777777" w:rsidTr="009063EA">
        <w:trPr>
          <w:jc w:val="center"/>
        </w:trPr>
        <w:tc>
          <w:tcPr>
            <w:tcW w:w="1668" w:type="dxa"/>
          </w:tcPr>
          <w:p w14:paraId="45466D34"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Prudenza</w:t>
            </w:r>
          </w:p>
        </w:tc>
        <w:tc>
          <w:tcPr>
            <w:tcW w:w="8110" w:type="dxa"/>
          </w:tcPr>
          <w:p w14:paraId="39D836E9"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Nel bilancio di previsione devono essere iscritte solo le componenti positive che ragionevolmente saranno disponibili nel periodo amministrativo considerato, mentre le componenti negative sono limitate alle sole voci degli impegni sostenibili e direttamente collegate alle risorse previste.</w:t>
            </w:r>
          </w:p>
          <w:p w14:paraId="36BF6C60"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Nei documenti contabili di rendicontazione il principio della prudenza comporta che le componenti positive non realizzate non siano contabilizzate, mentre tutte le componenti negative siano contabilizzate anche se non sono definitivamente realizzate.</w:t>
            </w:r>
          </w:p>
          <w:p w14:paraId="68AD6FA5"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Sono da evitare eccessi perché possono pregiudicare la rappresentazione veritiera e corretta e l’attendibilità del bilancio.</w:t>
            </w:r>
          </w:p>
        </w:tc>
      </w:tr>
      <w:tr w:rsidR="009518AF" w:rsidRPr="00515872" w14:paraId="03279760" w14:textId="77777777" w:rsidTr="009063EA">
        <w:trPr>
          <w:jc w:val="center"/>
        </w:trPr>
        <w:tc>
          <w:tcPr>
            <w:tcW w:w="1668" w:type="dxa"/>
          </w:tcPr>
          <w:p w14:paraId="1C6862CA"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lastRenderedPageBreak/>
              <w:t>Coerenza</w:t>
            </w:r>
          </w:p>
        </w:tc>
        <w:tc>
          <w:tcPr>
            <w:tcW w:w="8110" w:type="dxa"/>
          </w:tcPr>
          <w:p w14:paraId="6BA2A6A3"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coerenza consiste nel nesso logico fra la programmazione, la previsione, gli atti di gestione e la rendicontazione generale. Ciò implica che queste stesse funzioni ed i documenti contabili e non, ad esse collegati, siano strumentali al perseguimento dei medesimi obiettivi.</w:t>
            </w:r>
          </w:p>
          <w:p w14:paraId="59DFB173"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La </w:t>
            </w:r>
            <w:r w:rsidRPr="00515872">
              <w:rPr>
                <w:rFonts w:eastAsia="Times New Roman" w:cs="Tahoma"/>
                <w:b/>
                <w:szCs w:val="20"/>
                <w:lang w:eastAsia="it-IT"/>
              </w:rPr>
              <w:t>coerenza interna</w:t>
            </w:r>
            <w:r w:rsidRPr="00515872">
              <w:rPr>
                <w:rFonts w:eastAsia="Times New Roman" w:cs="Tahoma"/>
                <w:szCs w:val="20"/>
                <w:lang w:eastAsia="it-IT"/>
              </w:rPr>
              <w:t xml:space="preserve"> comporta:</w:t>
            </w:r>
          </w:p>
          <w:p w14:paraId="75A77AE4" w14:textId="77777777" w:rsidR="009518AF" w:rsidRPr="00515872" w:rsidRDefault="009518AF" w:rsidP="00690D56">
            <w:pPr>
              <w:pStyle w:val="Paragrafoelenco"/>
              <w:numPr>
                <w:ilvl w:val="0"/>
                <w:numId w:val="50"/>
              </w:numPr>
              <w:spacing w:after="0"/>
              <w:jc w:val="both"/>
              <w:rPr>
                <w:rFonts w:eastAsia="Times New Roman" w:cs="Tahoma"/>
                <w:szCs w:val="20"/>
                <w:lang w:eastAsia="it-IT"/>
              </w:rPr>
            </w:pPr>
            <w:r w:rsidRPr="00515872">
              <w:rPr>
                <w:rFonts w:eastAsia="Times New Roman" w:cs="Tahoma"/>
                <w:szCs w:val="20"/>
                <w:lang w:eastAsia="it-IT"/>
              </w:rPr>
              <w:t>in sede preventiva: che gli strumenti di programmazione pluriennale e annuale siano conseguenti alla pianificazione dell'ente;</w:t>
            </w:r>
          </w:p>
          <w:p w14:paraId="35226F2B" w14:textId="77777777" w:rsidR="009518AF" w:rsidRPr="00515872" w:rsidRDefault="009518AF" w:rsidP="00690D56">
            <w:pPr>
              <w:pStyle w:val="Paragrafoelenco"/>
              <w:numPr>
                <w:ilvl w:val="0"/>
                <w:numId w:val="50"/>
              </w:numPr>
              <w:spacing w:after="0"/>
              <w:jc w:val="both"/>
              <w:rPr>
                <w:rFonts w:eastAsia="Times New Roman" w:cs="Tahoma"/>
                <w:szCs w:val="20"/>
                <w:lang w:eastAsia="it-IT"/>
              </w:rPr>
            </w:pPr>
            <w:r w:rsidRPr="00515872">
              <w:rPr>
                <w:rFonts w:eastAsia="Times New Roman" w:cs="Tahoma"/>
                <w:szCs w:val="20"/>
                <w:lang w:eastAsia="it-IT"/>
              </w:rPr>
              <w:t>in sede di gestione: che le decisioni e gli atti non siano in contrasto con gli indirizzi e gli obiettivi indicati negli strumenti di programmazione e non pregiudichino gli equilibri finanziari ed economici;</w:t>
            </w:r>
          </w:p>
          <w:p w14:paraId="050FA5A8" w14:textId="77777777" w:rsidR="009518AF" w:rsidRPr="00515872" w:rsidRDefault="009518AF" w:rsidP="00690D56">
            <w:pPr>
              <w:pStyle w:val="Paragrafoelenco"/>
              <w:numPr>
                <w:ilvl w:val="0"/>
                <w:numId w:val="50"/>
              </w:numPr>
              <w:spacing w:after="0"/>
              <w:jc w:val="both"/>
              <w:rPr>
                <w:rFonts w:eastAsia="Times New Roman" w:cs="Tahoma"/>
                <w:szCs w:val="20"/>
                <w:lang w:eastAsia="it-IT"/>
              </w:rPr>
            </w:pPr>
            <w:r w:rsidRPr="00515872">
              <w:rPr>
                <w:rFonts w:eastAsia="Times New Roman" w:cs="Tahoma"/>
                <w:szCs w:val="20"/>
                <w:lang w:eastAsia="it-IT"/>
              </w:rPr>
              <w:t>in sede di rendicontazione: che sia dimostrato e motivato lo scostamento fra risultati ottenuti e quelli attesi.</w:t>
            </w:r>
          </w:p>
          <w:p w14:paraId="4452DA20" w14:textId="77777777" w:rsidR="00BF0357" w:rsidRPr="00515872" w:rsidRDefault="00BF0357" w:rsidP="00690D56">
            <w:pPr>
              <w:spacing w:after="0"/>
              <w:jc w:val="both"/>
              <w:rPr>
                <w:rFonts w:eastAsia="Times New Roman" w:cs="Tahoma"/>
                <w:szCs w:val="20"/>
                <w:lang w:eastAsia="it-IT"/>
              </w:rPr>
            </w:pPr>
            <w:r w:rsidRPr="00515872">
              <w:rPr>
                <w:rFonts w:cs="Tahoma"/>
              </w:rPr>
              <w:t>La coerenza interna del sistema di bilancio riguarda anche i criteri particolari di valutazione delle singole poste in conformità ai postulati e principi generali.</w:t>
            </w:r>
          </w:p>
          <w:p w14:paraId="3986CB07"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La </w:t>
            </w:r>
            <w:r w:rsidRPr="00515872">
              <w:rPr>
                <w:rFonts w:eastAsia="Times New Roman" w:cs="Tahoma"/>
                <w:b/>
                <w:szCs w:val="20"/>
                <w:lang w:eastAsia="it-IT"/>
              </w:rPr>
              <w:t>coerenza esterna</w:t>
            </w:r>
            <w:r w:rsidRPr="00515872">
              <w:rPr>
                <w:rFonts w:eastAsia="Times New Roman" w:cs="Tahoma"/>
                <w:szCs w:val="20"/>
                <w:lang w:eastAsia="it-IT"/>
              </w:rPr>
              <w:t xml:space="preserve"> comporta una connessione fra il processo di programmazione, previsione, gestione e rendicontazione dell'amministrazione pubblica, con le direttive e le scelte strategiche di altri livelli di governo del sistema pubblico, anche secondo i principi di coordinamento della finanza pubblica.</w:t>
            </w:r>
          </w:p>
        </w:tc>
      </w:tr>
      <w:tr w:rsidR="009518AF" w:rsidRPr="00515872" w14:paraId="6071E800" w14:textId="77777777" w:rsidTr="009063EA">
        <w:trPr>
          <w:jc w:val="center"/>
        </w:trPr>
        <w:tc>
          <w:tcPr>
            <w:tcW w:w="1668" w:type="dxa"/>
          </w:tcPr>
          <w:p w14:paraId="20E6EA76"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Continuità e costanza</w:t>
            </w:r>
          </w:p>
        </w:tc>
        <w:tc>
          <w:tcPr>
            <w:tcW w:w="8110" w:type="dxa"/>
          </w:tcPr>
          <w:p w14:paraId="55BD6744"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La valutazione delle poste contabili di bilancio deve essere fatta nella prospettiva della </w:t>
            </w:r>
            <w:r w:rsidRPr="00515872">
              <w:rPr>
                <w:rFonts w:eastAsia="Times New Roman" w:cs="Tahoma"/>
                <w:b/>
                <w:szCs w:val="20"/>
                <w:lang w:eastAsia="it-IT"/>
              </w:rPr>
              <w:t>continuazione</w:t>
            </w:r>
            <w:r w:rsidRPr="00515872">
              <w:rPr>
                <w:rFonts w:eastAsia="Times New Roman" w:cs="Tahoma"/>
                <w:szCs w:val="20"/>
                <w:lang w:eastAsia="it-IT"/>
              </w:rPr>
              <w:t xml:space="preserve"> dell’attività. Il principio si fonda sulla considerazione che il sistema aziendale, sia pubblico che privato, deve essere atto a perdurare nel tempo. Il principio si applica anche al fine di garantire equilibri economico-finanziari che siano salvaguardati e perdurino nel tempo.</w:t>
            </w:r>
          </w:p>
          <w:p w14:paraId="5E2F8799"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La </w:t>
            </w:r>
            <w:r w:rsidRPr="00515872">
              <w:rPr>
                <w:rFonts w:eastAsia="Times New Roman" w:cs="Tahoma"/>
                <w:b/>
                <w:szCs w:val="20"/>
                <w:lang w:eastAsia="it-IT"/>
              </w:rPr>
              <w:t>costanza</w:t>
            </w:r>
            <w:r w:rsidRPr="00515872">
              <w:rPr>
                <w:rFonts w:eastAsia="Times New Roman" w:cs="Tahoma"/>
                <w:szCs w:val="20"/>
                <w:lang w:eastAsia="it-IT"/>
              </w:rPr>
              <w:t xml:space="preserve"> di applicazione dei principi contabili è condizione essenziale per consentire la comparabilità dei documenti contabili del bilancio di previsione e del rendiconto nonché delle singole valutazioni nel tempo. L'eventuale cambiamento dei criteri di valutazione deve rappresentare un'eccezione opportunamente descritta e documentata.</w:t>
            </w:r>
          </w:p>
        </w:tc>
      </w:tr>
      <w:tr w:rsidR="009518AF" w:rsidRPr="00515872" w14:paraId="198C3C55" w14:textId="77777777" w:rsidTr="009063EA">
        <w:trPr>
          <w:jc w:val="center"/>
        </w:trPr>
        <w:tc>
          <w:tcPr>
            <w:tcW w:w="1668" w:type="dxa"/>
          </w:tcPr>
          <w:p w14:paraId="0CDE25AA"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Comparabilità e verificabilità</w:t>
            </w:r>
          </w:p>
        </w:tc>
        <w:tc>
          <w:tcPr>
            <w:tcW w:w="8110" w:type="dxa"/>
          </w:tcPr>
          <w:p w14:paraId="4157A02F"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 fruitori del bilancio devono essere in grado di </w:t>
            </w:r>
            <w:r w:rsidRPr="00515872">
              <w:rPr>
                <w:rFonts w:eastAsia="Times New Roman" w:cs="Tahoma"/>
                <w:b/>
                <w:szCs w:val="20"/>
                <w:lang w:eastAsia="it-IT"/>
              </w:rPr>
              <w:t>comparare</w:t>
            </w:r>
            <w:r w:rsidRPr="00515872">
              <w:rPr>
                <w:rFonts w:eastAsia="Times New Roman" w:cs="Tahoma"/>
                <w:szCs w:val="20"/>
                <w:lang w:eastAsia="it-IT"/>
              </w:rPr>
              <w:t xml:space="preserve"> nel tempo le informazioni, analitiche e sintetiche, di singole o complessive poste del sistema di bilancio; devono poter comparare le informazioni di bilancio anche tra enti pubblici diversi. Essi, inoltre, devono essere informati circa i principi contabili impiegati nella predisposizione dei documenti e dei dati che compongono il sistema di bilancio.</w:t>
            </w:r>
          </w:p>
          <w:p w14:paraId="59A8F21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requisito di comparabilità non deve, tuttavia, ostacolare l'introduzione di principi contabili più adeguati alla specifica operazione. Non è appropriato che un'amministrazione pubblica continui a contabilizzare nel medesimo modo un'operazione o un evento se il criterio adottato non è più conforme al disposto normativo ed ai principi contabili.</w:t>
            </w:r>
          </w:p>
          <w:p w14:paraId="415CD724"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Condizioni necessarie a consentire la comparabilità sono:</w:t>
            </w:r>
          </w:p>
          <w:p w14:paraId="21B6580C" w14:textId="77777777" w:rsidR="009518AF" w:rsidRPr="00515872" w:rsidRDefault="009518AF" w:rsidP="00690D56">
            <w:pPr>
              <w:pStyle w:val="Paragrafoelenco"/>
              <w:numPr>
                <w:ilvl w:val="0"/>
                <w:numId w:val="51"/>
              </w:numPr>
              <w:spacing w:after="0"/>
              <w:jc w:val="both"/>
              <w:rPr>
                <w:rFonts w:eastAsia="Times New Roman" w:cs="Tahoma"/>
                <w:szCs w:val="20"/>
                <w:lang w:eastAsia="it-IT"/>
              </w:rPr>
            </w:pPr>
            <w:r w:rsidRPr="00515872">
              <w:rPr>
                <w:rFonts w:eastAsia="Times New Roman" w:cs="Tahoma"/>
                <w:szCs w:val="20"/>
                <w:lang w:eastAsia="it-IT"/>
              </w:rPr>
              <w:t>forma di presentazione costante dell’esposizione delle voci;</w:t>
            </w:r>
          </w:p>
          <w:p w14:paraId="6B5C8146" w14:textId="77777777" w:rsidR="009518AF" w:rsidRPr="00515872" w:rsidRDefault="009518AF" w:rsidP="00690D56">
            <w:pPr>
              <w:pStyle w:val="Paragrafoelenco"/>
              <w:numPr>
                <w:ilvl w:val="0"/>
                <w:numId w:val="51"/>
              </w:numPr>
              <w:spacing w:after="0"/>
              <w:jc w:val="both"/>
              <w:rPr>
                <w:rFonts w:eastAsia="Times New Roman" w:cs="Tahoma"/>
                <w:szCs w:val="20"/>
                <w:lang w:eastAsia="it-IT"/>
              </w:rPr>
            </w:pPr>
            <w:r w:rsidRPr="00515872">
              <w:rPr>
                <w:rFonts w:eastAsia="Times New Roman" w:cs="Tahoma"/>
                <w:szCs w:val="20"/>
                <w:lang w:eastAsia="it-IT"/>
              </w:rPr>
              <w:t>criteri di valutazione adottati costanti (l'eventuale cambiamento deve essere giustificato da circostanza eccezionale e l'effetto sul risultato dell'esercizio e sul patrimonio netto deve essere adeguatamente illustrato e motivato);</w:t>
            </w:r>
          </w:p>
          <w:p w14:paraId="56D84E1E" w14:textId="77777777" w:rsidR="009518AF" w:rsidRPr="00515872" w:rsidRDefault="009518AF" w:rsidP="00690D56">
            <w:pPr>
              <w:pStyle w:val="Paragrafoelenco"/>
              <w:numPr>
                <w:ilvl w:val="0"/>
                <w:numId w:val="51"/>
              </w:numPr>
              <w:spacing w:after="0"/>
              <w:jc w:val="both"/>
              <w:rPr>
                <w:rFonts w:eastAsia="Times New Roman" w:cs="Tahoma"/>
                <w:szCs w:val="20"/>
                <w:lang w:eastAsia="it-IT"/>
              </w:rPr>
            </w:pPr>
            <w:r w:rsidRPr="00515872">
              <w:rPr>
                <w:rFonts w:eastAsia="Times New Roman" w:cs="Tahoma"/>
                <w:szCs w:val="20"/>
                <w:lang w:eastAsia="it-IT"/>
              </w:rPr>
              <w:t>mutamenti strutturali nell'organizzazione ed eventi di natura straordinaria chiaramente evidenziati.</w:t>
            </w:r>
          </w:p>
          <w:p w14:paraId="4339C01F"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 xml:space="preserve">Inoltre, l'informazione patrimoniale, economica e finanziaria, e tutte le altre fornite dal sistema di bilancio di ogni amministrazione pubblica, devono essere </w:t>
            </w:r>
            <w:r w:rsidRPr="00515872">
              <w:rPr>
                <w:rFonts w:eastAsia="Times New Roman" w:cs="Tahoma"/>
                <w:b/>
                <w:szCs w:val="20"/>
                <w:lang w:eastAsia="it-IT"/>
              </w:rPr>
              <w:t>verificabili</w:t>
            </w:r>
            <w:r w:rsidRPr="00515872">
              <w:rPr>
                <w:rFonts w:eastAsia="Times New Roman" w:cs="Tahoma"/>
                <w:szCs w:val="20"/>
                <w:lang w:eastAsia="it-IT"/>
              </w:rPr>
              <w:t xml:space="preserve"> </w:t>
            </w:r>
            <w:r w:rsidRPr="00515872">
              <w:rPr>
                <w:rFonts w:eastAsia="Times New Roman" w:cs="Tahoma"/>
                <w:szCs w:val="20"/>
                <w:lang w:eastAsia="it-IT"/>
              </w:rPr>
              <w:lastRenderedPageBreak/>
              <w:t>attraverso la ricostruzione del procedimento valutativo seguito. A tale scopo le amministrazioni pubbliche devono conservare la necessaria documentazione probatoria.</w:t>
            </w:r>
          </w:p>
        </w:tc>
      </w:tr>
      <w:tr w:rsidR="009518AF" w:rsidRPr="00515872" w14:paraId="54382845" w14:textId="77777777" w:rsidTr="009063EA">
        <w:trPr>
          <w:jc w:val="center"/>
        </w:trPr>
        <w:tc>
          <w:tcPr>
            <w:tcW w:w="1668" w:type="dxa"/>
          </w:tcPr>
          <w:p w14:paraId="33F33EE7"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Neutralità o imparzialità</w:t>
            </w:r>
          </w:p>
        </w:tc>
        <w:tc>
          <w:tcPr>
            <w:tcW w:w="8110" w:type="dxa"/>
          </w:tcPr>
          <w:p w14:paraId="15C0FC56"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redazione dei documenti contabili deve fondarsi su principi contabili indipendenti ed imparziali verso tutti i destinatari, senza servire o favorire gli interessi o le esigenze di particolari gruppi.</w:t>
            </w:r>
          </w:p>
          <w:p w14:paraId="279D2F9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neutralità o imparzialità deve essere presente in tutto il procedimento formativo del sistema di bilancio, sia di programmazione e previsione, sia di gestione e di rendicontazione.</w:t>
            </w:r>
          </w:p>
        </w:tc>
      </w:tr>
      <w:tr w:rsidR="009518AF" w:rsidRPr="00515872" w14:paraId="17A66263" w14:textId="77777777" w:rsidTr="009063EA">
        <w:trPr>
          <w:jc w:val="center"/>
        </w:trPr>
        <w:tc>
          <w:tcPr>
            <w:tcW w:w="1668" w:type="dxa"/>
          </w:tcPr>
          <w:p w14:paraId="096DCC8A"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Pubblicità</w:t>
            </w:r>
          </w:p>
        </w:tc>
        <w:tc>
          <w:tcPr>
            <w:tcW w:w="8110" w:type="dxa"/>
          </w:tcPr>
          <w:p w14:paraId="544C8C12"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bilancio assolve una funzione informativa nei confronti degli utilizzatori. Affinché i documenti contabili di previsione e di rendicontazione assumano a pieno la loro valenza politica, giuridica, economica e sociale devono essere resi pubblici.</w:t>
            </w:r>
          </w:p>
        </w:tc>
      </w:tr>
      <w:tr w:rsidR="009518AF" w:rsidRPr="00515872" w14:paraId="6A0AEA4A" w14:textId="77777777" w:rsidTr="009063EA">
        <w:trPr>
          <w:jc w:val="center"/>
        </w:trPr>
        <w:tc>
          <w:tcPr>
            <w:tcW w:w="1668" w:type="dxa"/>
          </w:tcPr>
          <w:p w14:paraId="65192D41"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Equilibrio di bilancio</w:t>
            </w:r>
          </w:p>
        </w:tc>
        <w:tc>
          <w:tcPr>
            <w:tcW w:w="8110" w:type="dxa"/>
          </w:tcPr>
          <w:p w14:paraId="11EA06C9"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pareggio di bilancio è un vincolo posto dalle norme sulla contabilità pubblica. L'osservanza di tale principio riguarda il pareggio complessivo di competenza</w:t>
            </w:r>
            <w:r w:rsidR="00CB37EB" w:rsidRPr="00515872">
              <w:rPr>
                <w:rFonts w:eastAsia="Times New Roman" w:cs="Tahoma"/>
                <w:szCs w:val="20"/>
                <w:lang w:eastAsia="it-IT"/>
              </w:rPr>
              <w:t xml:space="preserve"> e di cassa</w:t>
            </w:r>
            <w:r w:rsidRPr="00515872">
              <w:rPr>
                <w:rFonts w:eastAsia="Times New Roman" w:cs="Tahoma"/>
                <w:szCs w:val="20"/>
                <w:lang w:eastAsia="it-IT"/>
              </w:rPr>
              <w:t xml:space="preserve"> e di tutti gli altri equilibri finanziari, economici e patrimoniali, da verificare sia in fase previsionale che durante la gestione, in modo concomitante con lo svolgersi delle operazioni di esercizio, per essere, quindi, riflesso nei risultati complessivi evidenziati nei documenti contabili di rendicontazione.</w:t>
            </w:r>
          </w:p>
          <w:p w14:paraId="5A12FD46"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realizzazione dell'equilibrio è garanzia della capacità dell’ente di perseguire le proprie finalità in un mercato dinamico.</w:t>
            </w:r>
          </w:p>
          <w:p w14:paraId="258B3F5F"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L'equilibrio finanziario del bilancio non comporta necessariamente una stabilità anche di carattere economico e patrimoniale.</w:t>
            </w:r>
          </w:p>
        </w:tc>
      </w:tr>
      <w:tr w:rsidR="009518AF" w:rsidRPr="00515872" w14:paraId="56AF18A9" w14:textId="77777777" w:rsidTr="009063EA">
        <w:trPr>
          <w:jc w:val="center"/>
        </w:trPr>
        <w:tc>
          <w:tcPr>
            <w:tcW w:w="1668" w:type="dxa"/>
          </w:tcPr>
          <w:p w14:paraId="3FCAFD5D"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Competenza finanziaria</w:t>
            </w:r>
          </w:p>
        </w:tc>
        <w:tc>
          <w:tcPr>
            <w:tcW w:w="8110" w:type="dxa"/>
          </w:tcPr>
          <w:p w14:paraId="6966A283"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principio della competenza finanziaria costituisce il criterio di imputazione agli esercizi finanziari delle obbligazioni giuridicamente perfezionate attive e passive (accertamenti e impegni).</w:t>
            </w:r>
          </w:p>
          <w:p w14:paraId="2175719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Il principio è applicato solo a quei documenti di natura finanziaria che compongono il sistema di bilancio di ogni pubblica amministrazione che adotta la contabilità finanziaria e attua il contenuto autorizzatorio degli stanziamenti del bilancio di previsione.</w:t>
            </w:r>
          </w:p>
          <w:p w14:paraId="3193FE02" w14:textId="77777777" w:rsidR="009518AF" w:rsidRPr="00515872" w:rsidRDefault="00CB37EB" w:rsidP="00690D56">
            <w:pPr>
              <w:spacing w:after="0"/>
              <w:jc w:val="both"/>
              <w:rPr>
                <w:rFonts w:eastAsia="Times New Roman" w:cs="Tahoma"/>
                <w:szCs w:val="20"/>
                <w:lang w:eastAsia="it-IT"/>
              </w:rPr>
            </w:pPr>
            <w:r w:rsidRPr="00515872">
              <w:rPr>
                <w:rFonts w:eastAsia="Times New Roman" w:cs="Tahoma"/>
                <w:szCs w:val="20"/>
                <w:lang w:eastAsia="it-IT"/>
              </w:rPr>
              <w:t>Tale principio prevede che t</w:t>
            </w:r>
            <w:r w:rsidR="009518AF" w:rsidRPr="00515872">
              <w:rPr>
                <w:rFonts w:eastAsia="Times New Roman" w:cs="Tahoma"/>
                <w:szCs w:val="20"/>
                <w:lang w:eastAsia="it-IT"/>
              </w:rPr>
              <w:t>utte le obbligazioni giuridicamente perfezionate attive e passive, che danno luogo a entrate e spese per l'ente, devono essere registrate nelle scritture contabili quando l'obbligazione è perfezionata, con imputazione all'esercizio in cui l'obbligazione viene a scadenza. È, in ogni caso, fatta salva la piena copertura finanziaria degli impegni di spesa giuridicamente assunti, a prescindere dall'esercizio finanziario in cui gli stessi sono imputati.</w:t>
            </w:r>
          </w:p>
          <w:p w14:paraId="15845D22" w14:textId="77777777" w:rsidR="00546025" w:rsidRPr="00515872" w:rsidRDefault="00546025" w:rsidP="00690D56">
            <w:pPr>
              <w:spacing w:after="0"/>
              <w:jc w:val="both"/>
              <w:rPr>
                <w:rFonts w:eastAsia="Times New Roman" w:cs="Tahoma"/>
                <w:szCs w:val="20"/>
                <w:lang w:eastAsia="it-IT"/>
              </w:rPr>
            </w:pPr>
            <w:r w:rsidRPr="00515872">
              <w:rPr>
                <w:rFonts w:eastAsia="Times New Roman" w:cs="Tahoma"/>
                <w:szCs w:val="20"/>
                <w:lang w:eastAsia="it-IT"/>
              </w:rPr>
              <w:t>Secondo tale principio:</w:t>
            </w:r>
          </w:p>
          <w:p w14:paraId="11F5A2FE" w14:textId="77777777" w:rsidR="00546025" w:rsidRPr="00515872" w:rsidRDefault="00546025" w:rsidP="00690D56">
            <w:pPr>
              <w:pStyle w:val="Paragrafoelenco"/>
              <w:numPr>
                <w:ilvl w:val="0"/>
                <w:numId w:val="215"/>
              </w:numPr>
              <w:spacing w:after="0"/>
              <w:ind w:left="349"/>
              <w:jc w:val="both"/>
              <w:rPr>
                <w:rFonts w:eastAsia="Times New Roman" w:cs="Tahoma"/>
                <w:szCs w:val="20"/>
                <w:lang w:eastAsia="it-IT"/>
              </w:rPr>
            </w:pPr>
            <w:r w:rsidRPr="00515872">
              <w:rPr>
                <w:rFonts w:cs="Tahoma"/>
              </w:rPr>
              <w:t>l'</w:t>
            </w:r>
            <w:r w:rsidRPr="00515872">
              <w:rPr>
                <w:rFonts w:cs="Tahoma"/>
                <w:b/>
              </w:rPr>
              <w:t xml:space="preserve">accertamento </w:t>
            </w:r>
            <w:r w:rsidRPr="00515872">
              <w:rPr>
                <w:rFonts w:cs="Tahoma"/>
              </w:rPr>
              <w:t>costituisce la fase dell'entrata con la quale si perfeziona un diritto di credito relativo ad una riscossione da realizzare e si imputa contabilmente all'esercizio finanziario nel quale il diritto di credito viene a scadenza;</w:t>
            </w:r>
          </w:p>
          <w:p w14:paraId="177AA23F" w14:textId="77777777" w:rsidR="00546025" w:rsidRPr="00515872" w:rsidRDefault="00546025" w:rsidP="00690D56">
            <w:pPr>
              <w:pStyle w:val="Paragrafoelenco"/>
              <w:numPr>
                <w:ilvl w:val="0"/>
                <w:numId w:val="215"/>
              </w:numPr>
              <w:spacing w:after="0"/>
              <w:ind w:left="349"/>
              <w:jc w:val="both"/>
              <w:rPr>
                <w:rFonts w:eastAsia="Times New Roman" w:cs="Tahoma"/>
                <w:szCs w:val="20"/>
                <w:lang w:eastAsia="it-IT"/>
              </w:rPr>
            </w:pPr>
            <w:r w:rsidRPr="00515872">
              <w:rPr>
                <w:rFonts w:cs="Tahoma"/>
              </w:rPr>
              <w:t>l'</w:t>
            </w:r>
            <w:r w:rsidRPr="00515872">
              <w:rPr>
                <w:rFonts w:cs="Tahoma"/>
                <w:b/>
              </w:rPr>
              <w:t>impegno</w:t>
            </w:r>
            <w:r w:rsidRPr="00515872">
              <w:rPr>
                <w:rFonts w:cs="Tahoma"/>
              </w:rPr>
              <w:t xml:space="preserve"> costituisce la fase della spesa con la quale viene registrata nelle scritture contabili la spesa conseguente ad una obbligazione giuridicamente perfezionata e relativa ad un pagamento da effettuare, con imputazione all'esercizio finanziario in cui l'obbligazione passiva viene a scadenza.</w:t>
            </w:r>
          </w:p>
        </w:tc>
      </w:tr>
      <w:tr w:rsidR="009518AF" w:rsidRPr="00515872" w14:paraId="1630AE25" w14:textId="77777777" w:rsidTr="009063EA">
        <w:trPr>
          <w:jc w:val="center"/>
        </w:trPr>
        <w:tc>
          <w:tcPr>
            <w:tcW w:w="1668" w:type="dxa"/>
          </w:tcPr>
          <w:p w14:paraId="1651FA11" w14:textId="77777777" w:rsidR="009518AF" w:rsidRPr="00515872" w:rsidRDefault="009518AF" w:rsidP="00690D56">
            <w:pPr>
              <w:spacing w:after="0"/>
              <w:rPr>
                <w:rFonts w:eastAsia="Times New Roman" w:cs="Tahoma"/>
                <w:szCs w:val="20"/>
                <w:lang w:eastAsia="it-IT"/>
              </w:rPr>
            </w:pPr>
            <w:r w:rsidRPr="00515872">
              <w:rPr>
                <w:rFonts w:cs="Tahoma"/>
                <w:color w:val="000000"/>
              </w:rPr>
              <w:t>Competenza</w:t>
            </w:r>
            <w:r w:rsidRPr="00515872">
              <w:rPr>
                <w:rFonts w:cs="Tahoma"/>
                <w:color w:val="000000"/>
                <w:shd w:val="clear" w:color="auto" w:fill="F9F8F4"/>
              </w:rPr>
              <w:t xml:space="preserve"> </w:t>
            </w:r>
            <w:r w:rsidRPr="00515872">
              <w:rPr>
                <w:rFonts w:cs="Tahoma"/>
                <w:color w:val="000000"/>
              </w:rPr>
              <w:t>economica</w:t>
            </w:r>
          </w:p>
        </w:tc>
        <w:tc>
          <w:tcPr>
            <w:tcW w:w="8110" w:type="dxa"/>
          </w:tcPr>
          <w:p w14:paraId="61F31C84" w14:textId="77777777" w:rsidR="009518AF" w:rsidRPr="00515872" w:rsidRDefault="009518AF" w:rsidP="00690D56">
            <w:pPr>
              <w:spacing w:after="0"/>
              <w:jc w:val="both"/>
              <w:rPr>
                <w:rFonts w:cs="Tahoma"/>
                <w:color w:val="000000"/>
                <w:shd w:val="clear" w:color="auto" w:fill="F9F8F4"/>
              </w:rPr>
            </w:pPr>
            <w:r w:rsidRPr="00515872">
              <w:rPr>
                <w:rFonts w:cs="Tahoma"/>
                <w:color w:val="000000"/>
              </w:rPr>
              <w:t>Per il principio della competenza economica l'effetto delle operazioni e degli altri eventi deve essere rilevato contabilmente ed attribuito all'esercizio al quale tali operazioni ed eventi si riferiscono e non a quello in cui si concretizzano i relativi movimenti finanziari. Esso è riferibile ai soli prospetti di natura economica e patrimoniale facenti parte di ogni sistema di bilancio</w:t>
            </w:r>
            <w:r w:rsidR="00613DAD" w:rsidRPr="00515872">
              <w:rPr>
                <w:rFonts w:cs="Tahoma"/>
                <w:color w:val="000000"/>
              </w:rPr>
              <w:t xml:space="preserve"> (</w:t>
            </w:r>
            <w:r w:rsidR="00613DAD" w:rsidRPr="00515872">
              <w:rPr>
                <w:rFonts w:cs="Tahoma"/>
              </w:rPr>
              <w:t>in particolare, al budget economico e/o preventivo economico, al conto economico ed al conto del patrimonio)</w:t>
            </w:r>
            <w:r w:rsidRPr="00515872">
              <w:rPr>
                <w:rFonts w:cs="Tahoma"/>
                <w:color w:val="000000"/>
              </w:rPr>
              <w:t>.</w:t>
            </w:r>
          </w:p>
          <w:p w14:paraId="4699D296" w14:textId="77777777" w:rsidR="009518AF" w:rsidRPr="00515872" w:rsidRDefault="009518AF" w:rsidP="00690D56">
            <w:pPr>
              <w:spacing w:after="0"/>
              <w:jc w:val="both"/>
              <w:rPr>
                <w:rFonts w:eastAsia="Times New Roman" w:cs="Tahoma"/>
                <w:szCs w:val="20"/>
                <w:lang w:eastAsia="it-IT"/>
              </w:rPr>
            </w:pPr>
            <w:r w:rsidRPr="00515872">
              <w:rPr>
                <w:rFonts w:cs="Tahoma"/>
                <w:color w:val="000000"/>
              </w:rPr>
              <w:lastRenderedPageBreak/>
              <w:t>Corollario fondamentale di tale principio è che i componenti economici negativi devono essere correlati con i ricavi dell'esercizio o con le altre risorse rese disponibili per il regolare svolgimento delle attività istituzionali.</w:t>
            </w:r>
          </w:p>
        </w:tc>
      </w:tr>
      <w:tr w:rsidR="009518AF" w:rsidRPr="00515872" w14:paraId="316B47F4" w14:textId="77777777" w:rsidTr="009063EA">
        <w:trPr>
          <w:jc w:val="center"/>
        </w:trPr>
        <w:tc>
          <w:tcPr>
            <w:tcW w:w="1668" w:type="dxa"/>
          </w:tcPr>
          <w:p w14:paraId="64957943" w14:textId="77777777" w:rsidR="009518AF" w:rsidRPr="00515872" w:rsidRDefault="009518AF" w:rsidP="00690D56">
            <w:pPr>
              <w:spacing w:after="0"/>
              <w:rPr>
                <w:rFonts w:eastAsia="Times New Roman" w:cs="Tahoma"/>
                <w:szCs w:val="20"/>
                <w:lang w:eastAsia="it-IT"/>
              </w:rPr>
            </w:pPr>
            <w:r w:rsidRPr="00515872">
              <w:rPr>
                <w:rFonts w:eastAsia="Times New Roman" w:cs="Tahoma"/>
                <w:szCs w:val="20"/>
                <w:lang w:eastAsia="it-IT"/>
              </w:rPr>
              <w:t>Prevalenza della sostanza sulla forma</w:t>
            </w:r>
          </w:p>
        </w:tc>
        <w:tc>
          <w:tcPr>
            <w:tcW w:w="8110" w:type="dxa"/>
          </w:tcPr>
          <w:p w14:paraId="5559E58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Se l'informazione contabile deve rappresentare fedelmente ed in modo veritiero le operazioni ed i fatti che sono accaduti durante l'esercizio, è necessario che essi siano rilevati contabilmente secondo la loro natura finanziaria, economica e patrimoniale in conformità alla loro sostanza effettiva e quindi alla realtà economica che li ha generati e ai contenuti della stessa, e non solamente secondo le regole e le norme vigenti che ne disciplinano la contabilizzazione formale.</w:t>
            </w:r>
          </w:p>
          <w:p w14:paraId="74C7D60B" w14:textId="77777777" w:rsidR="009518AF" w:rsidRPr="00515872" w:rsidRDefault="009518AF" w:rsidP="00690D56">
            <w:pPr>
              <w:spacing w:after="0"/>
              <w:jc w:val="both"/>
              <w:rPr>
                <w:rFonts w:eastAsia="Times New Roman" w:cs="Tahoma"/>
                <w:szCs w:val="20"/>
                <w:lang w:eastAsia="it-IT"/>
              </w:rPr>
            </w:pPr>
            <w:r w:rsidRPr="00515872">
              <w:rPr>
                <w:rFonts w:eastAsia="Times New Roman" w:cs="Tahoma"/>
                <w:szCs w:val="20"/>
                <w:lang w:eastAsia="it-IT"/>
              </w:rPr>
              <w:t>La sostanza economica, finanziaria e patrimoniale delle operazioni rappresenta l'elemento prevalente per la contabilizzazione, valutazione ed esposizione nella rappresentazione dei fatti amministrativi.</w:t>
            </w:r>
          </w:p>
        </w:tc>
      </w:tr>
    </w:tbl>
    <w:p w14:paraId="7BB41B1A" w14:textId="77777777" w:rsidR="00C03D30" w:rsidRPr="00515872" w:rsidRDefault="00C03D30" w:rsidP="009518AF">
      <w:pPr>
        <w:pStyle w:val="Sottoparagrafo"/>
        <w:rPr>
          <w:rFonts w:cs="Tahoma"/>
          <w:lang w:eastAsia="it-IT"/>
        </w:rPr>
      </w:pPr>
      <w:bookmarkStart w:id="110" w:name="_Toc521317084"/>
    </w:p>
    <w:p w14:paraId="5C8FCF7E" w14:textId="77777777" w:rsidR="00EA779E" w:rsidRDefault="00EA779E" w:rsidP="009518AF">
      <w:pPr>
        <w:pStyle w:val="Sottoparagrafo"/>
        <w:rPr>
          <w:rFonts w:cs="Tahoma"/>
          <w:lang w:eastAsia="it-IT"/>
        </w:rPr>
      </w:pPr>
    </w:p>
    <w:p w14:paraId="4780AEE1" w14:textId="30B2F5E3" w:rsidR="009518AF" w:rsidRPr="00515872" w:rsidRDefault="00E5115C" w:rsidP="009518AF">
      <w:pPr>
        <w:pStyle w:val="Sottoparagrafo"/>
        <w:rPr>
          <w:rFonts w:cs="Tahoma"/>
          <w:lang w:eastAsia="it-IT"/>
        </w:rPr>
      </w:pPr>
      <w:bookmarkStart w:id="111" w:name="_Toc95912262"/>
      <w:r w:rsidRPr="00515872">
        <w:rPr>
          <w:rFonts w:cs="Tahoma"/>
          <w:lang w:eastAsia="it-IT"/>
        </w:rPr>
        <w:t>4.4.5</w:t>
      </w:r>
      <w:r w:rsidR="009518AF" w:rsidRPr="00515872">
        <w:rPr>
          <w:rFonts w:cs="Tahoma"/>
          <w:lang w:eastAsia="it-IT"/>
        </w:rPr>
        <w:t xml:space="preserve"> Allegati al bilancio di previsione</w:t>
      </w:r>
      <w:bookmarkEnd w:id="110"/>
      <w:bookmarkEnd w:id="111"/>
    </w:p>
    <w:p w14:paraId="2EC1C016" w14:textId="77777777" w:rsidR="009518AF" w:rsidRPr="00515872" w:rsidRDefault="009518AF" w:rsidP="009518A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Times New Roman" w:cs="Tahoma"/>
          <w:szCs w:val="20"/>
          <w:lang w:eastAsia="it-IT"/>
        </w:rPr>
      </w:pPr>
      <w:r w:rsidRPr="00515872">
        <w:rPr>
          <w:rFonts w:eastAsia="Times New Roman" w:cs="Tahoma"/>
          <w:szCs w:val="20"/>
          <w:lang w:eastAsia="it-IT"/>
        </w:rPr>
        <w:t>La normativa prevede una serie corposa di documenti, contabili e non, che devono essere allegati al bilancio di previsione.</w:t>
      </w:r>
    </w:p>
    <w:p w14:paraId="59F2D75E" w14:textId="77777777" w:rsidR="009518AF" w:rsidRPr="00515872" w:rsidRDefault="00690D56" w:rsidP="009518A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eastAsia="Times New Roman" w:cs="Tahoma"/>
          <w:szCs w:val="20"/>
          <w:lang w:eastAsia="it-IT"/>
        </w:rPr>
      </w:pPr>
      <w:r w:rsidRPr="00515872">
        <w:rPr>
          <w:rFonts w:eastAsia="Times New Roman" w:cs="Tahoma"/>
          <w:szCs w:val="20"/>
          <w:lang w:eastAsia="it-IT"/>
        </w:rPr>
        <w:t>L’art. 11, c. 3,</w:t>
      </w:r>
      <w:r w:rsidR="009518AF" w:rsidRPr="00515872">
        <w:rPr>
          <w:rFonts w:eastAsia="Times New Roman" w:cs="Tahoma"/>
          <w:szCs w:val="20"/>
          <w:lang w:eastAsia="it-IT"/>
        </w:rPr>
        <w:t xml:space="preserve"> </w:t>
      </w:r>
      <w:proofErr w:type="spellStart"/>
      <w:r w:rsidR="009518AF" w:rsidRPr="00515872">
        <w:rPr>
          <w:rFonts w:eastAsia="Times New Roman" w:cs="Tahoma"/>
          <w:szCs w:val="20"/>
          <w:lang w:eastAsia="it-IT"/>
        </w:rPr>
        <w:t>D.Lgs.</w:t>
      </w:r>
      <w:proofErr w:type="spellEnd"/>
      <w:r w:rsidR="009518AF" w:rsidRPr="00515872">
        <w:rPr>
          <w:rFonts w:eastAsia="Times New Roman" w:cs="Tahoma"/>
          <w:szCs w:val="20"/>
          <w:lang w:eastAsia="it-IT"/>
        </w:rPr>
        <w:t xml:space="preserve"> 118/2011 dispone che al bilancio di previsione finanziario debbano essere allegati:</w:t>
      </w:r>
    </w:p>
    <w:p w14:paraId="543D2702"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prospetto esplicativo del presunto risultato di amministrazione; </w:t>
      </w:r>
    </w:p>
    <w:p w14:paraId="490E6D37"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prospetto concernente la composizione, per missioni e programmi, del FPV per ciascuno degli esercizi considerati nel bilancio di previsione; </w:t>
      </w:r>
    </w:p>
    <w:p w14:paraId="4980A9A0"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prospetto concernente la composizione del FCDE per ciascuno degli esercizi considerati nel bilancio di previsione; </w:t>
      </w:r>
    </w:p>
    <w:p w14:paraId="67F84660"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prospetto dimostrativo del rispetto dei vincoli di indebitamento</w:t>
      </w:r>
      <w:r w:rsidRPr="00515872">
        <w:rPr>
          <w:rFonts w:eastAsia="Times New Roman" w:cs="Tahoma"/>
          <w:i/>
          <w:iCs/>
          <w:szCs w:val="20"/>
          <w:lang w:eastAsia="it-IT"/>
        </w:rPr>
        <w:t xml:space="preserve">; </w:t>
      </w:r>
    </w:p>
    <w:p w14:paraId="3AB0B641"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prospetto delle spese previste per l’utilizzo di contributi e trasferimenti da parte di organismi comunitari e internazionali, per ciascuno degli anni considerati nel bilancio di previsione (facoltativo per i comuni fino a 5.000 abitanti); </w:t>
      </w:r>
    </w:p>
    <w:p w14:paraId="284CAC3D"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prospetto delle spese previste per lo svolgimento delle funzioni delegate dalle regioni per ciascuno degli anni considerati nel bilancio di previsione (facoltativo per i comuni fino a 5.000 abitanti);</w:t>
      </w:r>
    </w:p>
    <w:p w14:paraId="207864B9"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nota integrativa;</w:t>
      </w:r>
    </w:p>
    <w:p w14:paraId="45BCC866" w14:textId="77777777" w:rsidR="009518AF" w:rsidRPr="00515872" w:rsidRDefault="009518AF" w:rsidP="00D65838">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relazione del collegio dei revisori dei conti. </w:t>
      </w:r>
    </w:p>
    <w:p w14:paraId="7660DDE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Vanno allegati anche i documenti previsti dall’art. 172</w:t>
      </w:r>
      <w:r w:rsidR="00690D56" w:rsidRPr="00515872">
        <w:rPr>
          <w:rFonts w:eastAsia="Times New Roman" w:cs="Tahoma"/>
          <w:szCs w:val="20"/>
          <w:lang w:eastAsia="it-IT"/>
        </w:rPr>
        <w:t>,</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267/2000 come modificato dal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vale a dire:</w:t>
      </w:r>
    </w:p>
    <w:p w14:paraId="7D2EA403" w14:textId="77777777" w:rsidR="009518AF" w:rsidRPr="00515872" w:rsidRDefault="009518AF" w:rsidP="00D65838">
      <w:pPr>
        <w:pStyle w:val="Paragrafoelenco"/>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l'elenco degli indirizzi internet di pubblicazione del rendiconto della gestione e del bilancio consolidato relativi al penultimo esercizio antecedente, dei rendiconti e dei bilanci consolidati delle unioni di comuni e dei s</w:t>
      </w:r>
      <w:r w:rsidR="006E3903" w:rsidRPr="00515872">
        <w:rPr>
          <w:rFonts w:eastAsia="Times New Roman" w:cs="Tahoma"/>
          <w:szCs w:val="20"/>
          <w:lang w:eastAsia="it-IT"/>
        </w:rPr>
        <w:t xml:space="preserve">oggetti considerati nel “gruppo </w:t>
      </w:r>
      <w:r w:rsidRPr="00515872">
        <w:rPr>
          <w:rFonts w:eastAsia="Times New Roman" w:cs="Tahoma"/>
          <w:szCs w:val="20"/>
          <w:lang w:eastAsia="it-IT"/>
        </w:rPr>
        <w:t xml:space="preserve">amministrazione pubblica", relativi al penultimo esercizio antecedente </w:t>
      </w:r>
      <w:r w:rsidRPr="00515872">
        <w:rPr>
          <w:rFonts w:eastAsia="Times New Roman" w:cs="Tahoma"/>
          <w:szCs w:val="20"/>
          <w:lang w:eastAsia="it-IT"/>
        </w:rPr>
        <w:lastRenderedPageBreak/>
        <w:t>quello cui il bilancio si riferisce (documenti da allegare, qualora non integralmente pubblicati nei relativi siti internet);</w:t>
      </w:r>
    </w:p>
    <w:p w14:paraId="0156FBE8" w14:textId="77777777" w:rsidR="009518AF" w:rsidRPr="00515872" w:rsidRDefault="009518AF" w:rsidP="00D65838">
      <w:pPr>
        <w:pStyle w:val="Paragrafoelenco"/>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deliberazione annuale concernente la verifica della quantità e qualità di aree e fabbricati da destinarsi alla residenza, alle attività produttive e terziarie, che potranno essere ceduti in proprietà o diritto di superficie</w:t>
      </w:r>
      <w:r w:rsidR="00B83E75" w:rsidRPr="00515872">
        <w:rPr>
          <w:rFonts w:eastAsia="Times New Roman" w:cs="Tahoma"/>
          <w:szCs w:val="20"/>
          <w:lang w:eastAsia="it-IT"/>
        </w:rPr>
        <w:t xml:space="preserve"> e relativo prezzo di cessione</w:t>
      </w:r>
      <w:r w:rsidRPr="00515872">
        <w:rPr>
          <w:rFonts w:eastAsia="Times New Roman" w:cs="Tahoma"/>
          <w:szCs w:val="20"/>
          <w:lang w:eastAsia="it-IT"/>
        </w:rPr>
        <w:t>;</w:t>
      </w:r>
    </w:p>
    <w:p w14:paraId="010AADA8" w14:textId="77777777" w:rsidR="009518AF" w:rsidRPr="00515872" w:rsidRDefault="009518AF" w:rsidP="00D65838">
      <w:pPr>
        <w:pStyle w:val="Paragrafoelenco"/>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le deliberazio</w:t>
      </w:r>
      <w:r w:rsidR="006E3903" w:rsidRPr="00515872">
        <w:rPr>
          <w:rFonts w:eastAsia="Times New Roman" w:cs="Tahoma"/>
          <w:szCs w:val="20"/>
          <w:lang w:eastAsia="it-IT"/>
        </w:rPr>
        <w:t>ni con le quali sono determinate</w:t>
      </w:r>
      <w:r w:rsidRPr="00515872">
        <w:rPr>
          <w:rFonts w:eastAsia="Times New Roman" w:cs="Tahoma"/>
          <w:szCs w:val="20"/>
          <w:lang w:eastAsia="it-IT"/>
        </w:rPr>
        <w:t>, per l'esercizio successivo, le tariffe, le aliquote d'imposta e le eventuali maggiori detrazioni, le variazioni dei limiti di reddito per i tributi locali e per i servizi locali, nonché, per i servizi a domanda individuale, i tassi di copertura in percentuale del costo di gestione dei servizi stessi;</w:t>
      </w:r>
    </w:p>
    <w:p w14:paraId="11B4A641" w14:textId="77777777" w:rsidR="009518AF" w:rsidRPr="00515872" w:rsidRDefault="009518AF" w:rsidP="00D65838">
      <w:pPr>
        <w:pStyle w:val="Paragrafoelenco"/>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tabella relativa ai parametri di riscontro della situazione di </w:t>
      </w:r>
      <w:proofErr w:type="spellStart"/>
      <w:r w:rsidRPr="00515872">
        <w:rPr>
          <w:rFonts w:eastAsia="Times New Roman" w:cs="Tahoma"/>
          <w:szCs w:val="20"/>
          <w:lang w:eastAsia="it-IT"/>
        </w:rPr>
        <w:t>deficitarietà</w:t>
      </w:r>
      <w:proofErr w:type="spellEnd"/>
      <w:r w:rsidRPr="00515872">
        <w:rPr>
          <w:rFonts w:eastAsia="Times New Roman" w:cs="Tahoma"/>
          <w:szCs w:val="20"/>
          <w:lang w:eastAsia="it-IT"/>
        </w:rPr>
        <w:t xml:space="preserve"> strutturale;</w:t>
      </w:r>
    </w:p>
    <w:p w14:paraId="5A5ACEA2" w14:textId="77777777" w:rsidR="009518AF" w:rsidRPr="00515872" w:rsidRDefault="009518AF" w:rsidP="00D65838">
      <w:pPr>
        <w:pStyle w:val="Paragrafoelenco"/>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prospetto della concordanza tra bilancio di previsione e obiettivo programmatico del patto di stabilità interno (sostituito, a decorrere dal bilancio di previsione 2016-2018, dal prospetto attestante il rispetto dell’equilibrio fra entrate e spese finali).</w:t>
      </w:r>
    </w:p>
    <w:p w14:paraId="77D0302F" w14:textId="77777777" w:rsidR="00EA779E" w:rsidRDefault="00EA779E" w:rsidP="009518AF">
      <w:pPr>
        <w:pStyle w:val="Sottoparagrafo"/>
        <w:rPr>
          <w:rFonts w:cs="Tahoma"/>
        </w:rPr>
      </w:pPr>
      <w:bookmarkStart w:id="112" w:name="_Toc521317085"/>
    </w:p>
    <w:p w14:paraId="29F1ECFD" w14:textId="1418004C" w:rsidR="009518AF" w:rsidRPr="00515872" w:rsidRDefault="00E5115C" w:rsidP="009518AF">
      <w:pPr>
        <w:pStyle w:val="Sottoparagrafo"/>
        <w:rPr>
          <w:rFonts w:cs="Tahoma"/>
        </w:rPr>
      </w:pPr>
      <w:bookmarkStart w:id="113" w:name="_Toc95912263"/>
      <w:r w:rsidRPr="00515872">
        <w:rPr>
          <w:rFonts w:cs="Tahoma"/>
        </w:rPr>
        <w:t>4.4.6</w:t>
      </w:r>
      <w:r w:rsidR="009518AF" w:rsidRPr="00515872">
        <w:rPr>
          <w:rFonts w:cs="Tahoma"/>
        </w:rPr>
        <w:t xml:space="preserve"> Gli equilibri di bilancio</w:t>
      </w:r>
      <w:bookmarkEnd w:id="112"/>
      <w:bookmarkEnd w:id="113"/>
    </w:p>
    <w:p w14:paraId="411D64A0" w14:textId="77777777" w:rsidR="009518AF" w:rsidRPr="00515872" w:rsidRDefault="009518AF" w:rsidP="009518AF">
      <w:pPr>
        <w:spacing w:line="360" w:lineRule="auto"/>
        <w:jc w:val="both"/>
        <w:rPr>
          <w:rFonts w:eastAsia="Times New Roman" w:cs="Tahoma"/>
          <w:i/>
          <w:szCs w:val="20"/>
          <w:lang w:eastAsia="it-IT"/>
        </w:rPr>
      </w:pPr>
      <w:r w:rsidRPr="00515872">
        <w:rPr>
          <w:rFonts w:eastAsia="Times New Roman" w:cs="Tahoma"/>
          <w:szCs w:val="20"/>
          <w:lang w:eastAsia="it-IT"/>
        </w:rPr>
        <w:t>Il principio del rispetto degli equilibri di bilancio è sancito nella Costituzione italiana a seguito degli interventi operati dalla legge costituzionale n. 1/2012. Essa prevede, all’art. 97, c. 1, che</w:t>
      </w:r>
      <w:r w:rsidR="006E3903" w:rsidRPr="00515872">
        <w:rPr>
          <w:rFonts w:eastAsia="Times New Roman" w:cs="Tahoma"/>
          <w:szCs w:val="20"/>
          <w:lang w:eastAsia="it-IT"/>
        </w:rPr>
        <w:t>:</w:t>
      </w:r>
      <w:r w:rsidRPr="00515872">
        <w:rPr>
          <w:rFonts w:eastAsia="Times New Roman" w:cs="Tahoma"/>
          <w:szCs w:val="20"/>
          <w:lang w:eastAsia="it-IT"/>
        </w:rPr>
        <w:t xml:space="preserve"> </w:t>
      </w:r>
      <w:r w:rsidRPr="00515872">
        <w:rPr>
          <w:rFonts w:eastAsia="Times New Roman" w:cs="Tahoma"/>
          <w:i/>
          <w:szCs w:val="20"/>
          <w:lang w:eastAsia="it-IT"/>
        </w:rPr>
        <w:t>“Le pubbliche amministrazioni, in coerenza con l'ordinamento dell'Unione Europea, assicurano l'equilibrio dei bilanci e la sostenibilità del debito pubblico”</w:t>
      </w:r>
      <w:r w:rsidRPr="00515872">
        <w:rPr>
          <w:rFonts w:eastAsia="Times New Roman" w:cs="Tahoma"/>
          <w:szCs w:val="20"/>
          <w:lang w:eastAsia="it-IT"/>
        </w:rPr>
        <w:t>. L’art. 119, c. 1 prevede che</w:t>
      </w:r>
      <w:r w:rsidR="006E3903" w:rsidRPr="00515872">
        <w:rPr>
          <w:rFonts w:eastAsia="Times New Roman" w:cs="Tahoma"/>
          <w:szCs w:val="20"/>
          <w:lang w:eastAsia="it-IT"/>
        </w:rPr>
        <w:t>:</w:t>
      </w:r>
      <w:r w:rsidRPr="00515872">
        <w:rPr>
          <w:rFonts w:eastAsia="Times New Roman" w:cs="Tahoma"/>
          <w:szCs w:val="20"/>
          <w:lang w:eastAsia="it-IT"/>
        </w:rPr>
        <w:t xml:space="preserve"> </w:t>
      </w:r>
      <w:r w:rsidRPr="00515872">
        <w:rPr>
          <w:rFonts w:eastAsia="Times New Roman" w:cs="Tahoma"/>
          <w:i/>
          <w:szCs w:val="20"/>
          <w:lang w:eastAsia="it-IT"/>
        </w:rPr>
        <w:t>“I Comuni, le Province, le Città Metropolitane e le Regioni hanno autonomia finanziaria di entrata e di spesa, nel rispetto dell'equilibrio dei relativi bilanci, e concorrono ad assicurare l'osservanza dei vincoli economici e finanziari derivanti dall'ordinamento dell'Unione europea”.</w:t>
      </w:r>
    </w:p>
    <w:p w14:paraId="1FAA293D"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Gli equilibri di bilancio che l’ente deve rispettare possono essere classificati in tre categorie:</w:t>
      </w:r>
    </w:p>
    <w:p w14:paraId="5DFCDE34" w14:textId="77777777" w:rsidR="009518AF" w:rsidRPr="00515872" w:rsidRDefault="009518AF" w:rsidP="009518AF">
      <w:pPr>
        <w:pStyle w:val="Paragrafoelenco"/>
        <w:numPr>
          <w:ilvl w:val="0"/>
          <w:numId w:val="24"/>
        </w:numPr>
        <w:spacing w:line="360" w:lineRule="auto"/>
        <w:jc w:val="both"/>
        <w:rPr>
          <w:rFonts w:eastAsia="Times New Roman" w:cs="Tahoma"/>
          <w:szCs w:val="20"/>
          <w:lang w:eastAsia="it-IT"/>
        </w:rPr>
      </w:pPr>
      <w:r w:rsidRPr="00515872">
        <w:rPr>
          <w:rFonts w:eastAsia="Times New Roman" w:cs="Tahoma"/>
          <w:b/>
          <w:szCs w:val="20"/>
          <w:lang w:eastAsia="it-IT"/>
        </w:rPr>
        <w:t>equilibrio generale</w:t>
      </w:r>
      <w:r w:rsidRPr="00515872">
        <w:rPr>
          <w:rFonts w:eastAsia="Times New Roman" w:cs="Tahoma"/>
          <w:szCs w:val="20"/>
          <w:lang w:eastAsia="it-IT"/>
        </w:rPr>
        <w:t>: consiste nella corrispondenza fra entrate e uscite;</w:t>
      </w:r>
    </w:p>
    <w:p w14:paraId="48E550F3" w14:textId="77777777" w:rsidR="009518AF" w:rsidRPr="00515872" w:rsidRDefault="009518AF" w:rsidP="009518AF">
      <w:pPr>
        <w:pStyle w:val="Paragrafoelenco"/>
        <w:numPr>
          <w:ilvl w:val="0"/>
          <w:numId w:val="24"/>
        </w:numPr>
        <w:spacing w:line="360" w:lineRule="auto"/>
        <w:jc w:val="both"/>
        <w:rPr>
          <w:rFonts w:eastAsia="Times New Roman" w:cs="Tahoma"/>
          <w:szCs w:val="20"/>
          <w:lang w:eastAsia="it-IT"/>
        </w:rPr>
      </w:pPr>
      <w:r w:rsidRPr="00515872">
        <w:rPr>
          <w:rFonts w:eastAsia="Times New Roman" w:cs="Tahoma"/>
          <w:b/>
          <w:szCs w:val="20"/>
          <w:lang w:eastAsia="it-IT"/>
        </w:rPr>
        <w:t>equilibri parziali</w:t>
      </w:r>
      <w:r w:rsidRPr="00515872">
        <w:rPr>
          <w:rFonts w:eastAsia="Times New Roman" w:cs="Tahoma"/>
          <w:szCs w:val="20"/>
          <w:lang w:eastAsia="it-IT"/>
        </w:rPr>
        <w:t>: prendono a riferimento alcune delle grandezze che costituiscono il bilancio (equilibrio di cassa, equilibrio economico-finanziario, equilibrio della gestione movimento fondi, equilibrio gestione per conto terzi, equilibrio entrate e spese a specifica destinazione);</w:t>
      </w:r>
    </w:p>
    <w:p w14:paraId="205F4EE0" w14:textId="77777777" w:rsidR="009518AF" w:rsidRPr="00515872" w:rsidRDefault="009518AF" w:rsidP="009518AF">
      <w:pPr>
        <w:pStyle w:val="Paragrafoelenco"/>
        <w:numPr>
          <w:ilvl w:val="0"/>
          <w:numId w:val="24"/>
        </w:numPr>
        <w:spacing w:line="360" w:lineRule="auto"/>
        <w:jc w:val="both"/>
        <w:rPr>
          <w:rFonts w:eastAsia="Times New Roman" w:cs="Tahoma"/>
          <w:szCs w:val="20"/>
          <w:lang w:eastAsia="it-IT"/>
        </w:rPr>
      </w:pPr>
      <w:r w:rsidRPr="00515872">
        <w:rPr>
          <w:rFonts w:eastAsia="Times New Roman" w:cs="Tahoma"/>
          <w:b/>
          <w:szCs w:val="20"/>
          <w:lang w:eastAsia="it-IT"/>
        </w:rPr>
        <w:t>equilibrio fra entrate e spese finali</w:t>
      </w:r>
      <w:r w:rsidR="00497E00" w:rsidRPr="00515872">
        <w:rPr>
          <w:rFonts w:eastAsia="Times New Roman" w:cs="Tahoma"/>
          <w:szCs w:val="20"/>
          <w:lang w:eastAsia="it-IT"/>
        </w:rPr>
        <w:t xml:space="preserve"> (L. n. 232</w:t>
      </w:r>
      <w:r w:rsidRPr="00515872">
        <w:rPr>
          <w:rFonts w:eastAsia="Times New Roman" w:cs="Tahoma"/>
          <w:szCs w:val="20"/>
          <w:lang w:eastAsia="it-IT"/>
        </w:rPr>
        <w:t>/2016).</w:t>
      </w:r>
    </w:p>
    <w:p w14:paraId="03619DA1"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Andiamo brevemente ad analizzarli.</w:t>
      </w:r>
    </w:p>
    <w:p w14:paraId="52E8CA15" w14:textId="77777777" w:rsidR="009518AF" w:rsidRPr="00515872" w:rsidRDefault="009518AF" w:rsidP="00092D13">
      <w:pPr>
        <w:spacing w:after="0" w:line="360" w:lineRule="auto"/>
        <w:jc w:val="both"/>
        <w:rPr>
          <w:rFonts w:eastAsia="Times New Roman" w:cs="Tahoma"/>
          <w:b/>
          <w:szCs w:val="20"/>
          <w:lang w:eastAsia="it-IT"/>
        </w:rPr>
      </w:pPr>
      <w:r w:rsidRPr="00515872">
        <w:rPr>
          <w:rFonts w:eastAsia="Times New Roman" w:cs="Tahoma"/>
          <w:b/>
          <w:szCs w:val="20"/>
          <w:lang w:eastAsia="it-IT"/>
        </w:rPr>
        <w:t>Equilibrio generale</w:t>
      </w:r>
    </w:p>
    <w:p w14:paraId="479D61F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L’equilibrio generale è stabilito dall’art. 162, c. 6 del TUEL che prevede che il bilancio di previsione deve </w:t>
      </w:r>
      <w:r w:rsidRPr="00515872">
        <w:rPr>
          <w:rFonts w:eastAsia="Times New Roman" w:cs="Tahoma"/>
          <w:b/>
          <w:szCs w:val="20"/>
          <w:lang w:eastAsia="it-IT"/>
        </w:rPr>
        <w:t>essere deliberato in pareggio finanziario complessivo per la competenza, comprensivo dell'utilizzo dell'avanzo di amministrazione o del recupero del disavanzo di amministrazione, garantendo un fondo di cassa finale non negativo.</w:t>
      </w:r>
      <w:r w:rsidRPr="00515872">
        <w:rPr>
          <w:rFonts w:eastAsia="Times New Roman" w:cs="Tahoma"/>
          <w:szCs w:val="20"/>
          <w:lang w:eastAsia="it-IT"/>
        </w:rPr>
        <w:t xml:space="preserve"> </w:t>
      </w:r>
    </w:p>
    <w:p w14:paraId="7BC5295B"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lastRenderedPageBreak/>
        <w:t xml:space="preserve">Vengono, pertanto, fissati due concetti fondamentali: </w:t>
      </w:r>
    </w:p>
    <w:p w14:paraId="55D09154" w14:textId="77777777" w:rsidR="009518AF" w:rsidRPr="00515872" w:rsidRDefault="009518AF" w:rsidP="00D65838">
      <w:pPr>
        <w:pStyle w:val="Paragrafoelenco"/>
        <w:numPr>
          <w:ilvl w:val="0"/>
          <w:numId w:val="52"/>
        </w:numPr>
        <w:spacing w:line="360" w:lineRule="auto"/>
        <w:jc w:val="both"/>
        <w:rPr>
          <w:rFonts w:eastAsia="Times New Roman" w:cs="Tahoma"/>
          <w:szCs w:val="20"/>
          <w:lang w:eastAsia="it-IT"/>
        </w:rPr>
      </w:pPr>
      <w:r w:rsidRPr="00515872">
        <w:rPr>
          <w:rFonts w:eastAsia="Times New Roman" w:cs="Tahoma"/>
          <w:b/>
          <w:szCs w:val="20"/>
          <w:lang w:eastAsia="it-IT"/>
        </w:rPr>
        <w:t>il pareggio finanziario complessivo per competenza</w:t>
      </w:r>
      <w:r w:rsidRPr="00515872">
        <w:rPr>
          <w:rFonts w:eastAsia="Times New Roman" w:cs="Tahoma"/>
          <w:szCs w:val="20"/>
          <w:lang w:eastAsia="it-IT"/>
        </w:rPr>
        <w:t>: consta nel fatto che il totale delle entrate previste (compreso l’eventuale avanzo di amministrazione riportato dall’esercizio precedente) deve coincidere con il totale delle spese previste (compreso l’eventuale disavanzo di amministrazione riportato dall’esercizio precedente);</w:t>
      </w:r>
    </w:p>
    <w:p w14:paraId="3D64145D" w14:textId="77777777" w:rsidR="009518AF" w:rsidRPr="00515872" w:rsidRDefault="009518AF" w:rsidP="00D65838">
      <w:pPr>
        <w:pStyle w:val="Paragrafoelenco"/>
        <w:numPr>
          <w:ilvl w:val="0"/>
          <w:numId w:val="52"/>
        </w:numPr>
        <w:spacing w:line="360" w:lineRule="auto"/>
        <w:jc w:val="both"/>
        <w:rPr>
          <w:rFonts w:eastAsia="Times New Roman" w:cs="Tahoma"/>
          <w:szCs w:val="20"/>
          <w:lang w:eastAsia="it-IT"/>
        </w:rPr>
      </w:pPr>
      <w:r w:rsidRPr="00515872">
        <w:rPr>
          <w:rFonts w:eastAsia="Times New Roman" w:cs="Tahoma"/>
          <w:b/>
          <w:szCs w:val="20"/>
          <w:lang w:eastAsia="it-IT"/>
        </w:rPr>
        <w:t>il saldo di cassa non negativo</w:t>
      </w:r>
      <w:r w:rsidRPr="00515872">
        <w:rPr>
          <w:rFonts w:eastAsia="Times New Roman" w:cs="Tahoma"/>
          <w:szCs w:val="20"/>
          <w:lang w:eastAsia="it-IT"/>
        </w:rPr>
        <w:t>: ogni esercizio finanziario deve concludersi con un saldo di cassa non negativo (compreso il rientro dall’eventuale anticipazione di cassa di cui l’ente può aver usufruito nel corso dell’esercizio).</w:t>
      </w:r>
    </w:p>
    <w:p w14:paraId="436E0D40" w14:textId="77777777" w:rsidR="009518AF" w:rsidRPr="00515872" w:rsidRDefault="006E3903" w:rsidP="009518AF">
      <w:pPr>
        <w:spacing w:line="360" w:lineRule="auto"/>
        <w:jc w:val="both"/>
        <w:rPr>
          <w:rFonts w:eastAsia="Times New Roman" w:cs="Tahoma"/>
          <w:szCs w:val="20"/>
          <w:lang w:eastAsia="it-IT"/>
        </w:rPr>
      </w:pPr>
      <w:r w:rsidRPr="00515872">
        <w:rPr>
          <w:rFonts w:eastAsia="Times New Roman" w:cs="Tahoma"/>
          <w:szCs w:val="20"/>
          <w:lang w:eastAsia="it-IT"/>
        </w:rPr>
        <w:t>Per raggiungere questo obiettivo è necessario che n</w:t>
      </w:r>
      <w:r w:rsidR="009518AF" w:rsidRPr="00515872">
        <w:rPr>
          <w:rFonts w:eastAsia="Times New Roman" w:cs="Tahoma"/>
          <w:szCs w:val="20"/>
          <w:lang w:eastAsia="it-IT"/>
        </w:rPr>
        <w:t xml:space="preserve">ella fase che precede l’approvazione del bilancio di previsione vi </w:t>
      </w:r>
      <w:r w:rsidRPr="00515872">
        <w:rPr>
          <w:rFonts w:eastAsia="Times New Roman" w:cs="Tahoma"/>
          <w:szCs w:val="20"/>
          <w:lang w:eastAsia="it-IT"/>
        </w:rPr>
        <w:t>sia</w:t>
      </w:r>
      <w:r w:rsidR="009518AF" w:rsidRPr="00515872">
        <w:rPr>
          <w:rFonts w:eastAsia="Times New Roman" w:cs="Tahoma"/>
          <w:szCs w:val="20"/>
          <w:lang w:eastAsia="it-IT"/>
        </w:rPr>
        <w:t xml:space="preserve"> un confronto fra gli organi politici e gli uffici dell’ente, al fine di definire le priorità che consentano l’espletamento delle funzioni dell’ente </w:t>
      </w:r>
      <w:r w:rsidR="004B42B6" w:rsidRPr="00515872">
        <w:rPr>
          <w:rFonts w:eastAsia="Times New Roman" w:cs="Tahoma"/>
          <w:szCs w:val="20"/>
          <w:lang w:eastAsia="it-IT"/>
        </w:rPr>
        <w:t xml:space="preserve">in modo da </w:t>
      </w:r>
      <w:r w:rsidR="009518AF" w:rsidRPr="00515872">
        <w:rPr>
          <w:rFonts w:eastAsia="Times New Roman" w:cs="Tahoma"/>
          <w:szCs w:val="20"/>
          <w:lang w:eastAsia="it-IT"/>
        </w:rPr>
        <w:t>evitare</w:t>
      </w:r>
      <w:r w:rsidR="004B42B6" w:rsidRPr="00515872">
        <w:rPr>
          <w:rFonts w:eastAsia="Times New Roman" w:cs="Tahoma"/>
          <w:szCs w:val="20"/>
          <w:lang w:eastAsia="it-IT"/>
        </w:rPr>
        <w:t xml:space="preserve"> l’insorgere</w:t>
      </w:r>
      <w:r w:rsidR="009518AF" w:rsidRPr="00515872">
        <w:rPr>
          <w:rFonts w:eastAsia="Times New Roman" w:cs="Tahoma"/>
          <w:szCs w:val="20"/>
          <w:lang w:eastAsia="it-IT"/>
        </w:rPr>
        <w:t xml:space="preserve"> possibili squilibri di bilancio.</w:t>
      </w:r>
    </w:p>
    <w:p w14:paraId="6FFF2571" w14:textId="77777777" w:rsidR="002126D6" w:rsidRPr="00515872" w:rsidRDefault="00696E54" w:rsidP="002126D6">
      <w:pPr>
        <w:spacing w:line="360" w:lineRule="auto"/>
        <w:jc w:val="both"/>
        <w:rPr>
          <w:rFonts w:eastAsia="Times New Roman" w:cs="Tahoma"/>
          <w:szCs w:val="20"/>
          <w:lang w:eastAsia="it-IT"/>
        </w:rPr>
      </w:pPr>
      <w:r w:rsidRPr="00515872">
        <w:rPr>
          <w:rFonts w:eastAsia="Times New Roman" w:cs="Tahoma"/>
          <w:szCs w:val="20"/>
          <w:lang w:eastAsia="it-IT"/>
        </w:rPr>
        <w:t>Il rispetto dell’equilibrio generale viene evidenziato nel quadro</w:t>
      </w:r>
      <w:r w:rsidR="00497E00" w:rsidRPr="00515872">
        <w:rPr>
          <w:rFonts w:eastAsia="Times New Roman" w:cs="Tahoma"/>
          <w:szCs w:val="20"/>
          <w:lang w:eastAsia="it-IT"/>
        </w:rPr>
        <w:t xml:space="preserve"> generale</w:t>
      </w:r>
      <w:r w:rsidRPr="00515872">
        <w:rPr>
          <w:rFonts w:eastAsia="Times New Roman" w:cs="Tahoma"/>
          <w:szCs w:val="20"/>
          <w:lang w:eastAsia="it-IT"/>
        </w:rPr>
        <w:t xml:space="preserve"> riassuntivo</w:t>
      </w:r>
      <w:r w:rsidR="00497E00" w:rsidRPr="00515872">
        <w:rPr>
          <w:rFonts w:eastAsia="Times New Roman" w:cs="Tahoma"/>
          <w:szCs w:val="20"/>
          <w:lang w:eastAsia="it-IT"/>
        </w:rPr>
        <w:t xml:space="preserve"> </w:t>
      </w:r>
      <w:r w:rsidR="002126D6" w:rsidRPr="00515872">
        <w:rPr>
          <w:rFonts w:eastAsia="Times New Roman" w:cs="Tahoma"/>
          <w:szCs w:val="20"/>
          <w:lang w:eastAsia="it-IT"/>
        </w:rPr>
        <w:t>il quale</w:t>
      </w:r>
      <w:r w:rsidR="002126D6" w:rsidRPr="00515872">
        <w:rPr>
          <w:rFonts w:cs="Tahoma"/>
        </w:rPr>
        <w:t xml:space="preserve"> reca l’esposizione delle previsioni complessive del bilancio in termini di competenza e di cassa classificate per titoli, ed è costituito da un prospetto a sezioni divise nel quale sono indicate:</w:t>
      </w:r>
    </w:p>
    <w:p w14:paraId="2A4C4E0C" w14:textId="77777777" w:rsidR="002126D6" w:rsidRPr="00515872" w:rsidRDefault="002126D6" w:rsidP="00D65838">
      <w:pPr>
        <w:pStyle w:val="Paragrafoelenco"/>
        <w:numPr>
          <w:ilvl w:val="0"/>
          <w:numId w:val="216"/>
        </w:numPr>
        <w:spacing w:line="360" w:lineRule="auto"/>
        <w:ind w:left="284" w:hanging="284"/>
        <w:jc w:val="both"/>
        <w:rPr>
          <w:rFonts w:cs="Tahoma"/>
        </w:rPr>
      </w:pPr>
      <w:r w:rsidRPr="00515872">
        <w:rPr>
          <w:rFonts w:cs="Tahoma"/>
        </w:rPr>
        <w:t xml:space="preserve">per le entrate gli importi di ciascun titolo, il totale delle entrate finali (costituito dalla somma dei primi 5 titoli), il totale delle entrate (costituito dalla somma di tutti i titoli delle entrate) e il totale complessivo delle entrate (il totale complessivo delle entrate di cassa è costituito dalla somma del totale delle entrate con il fondo di cassa, il totale complessivo delle entrate di competenza è costituito dalla somma del totale delle entrate con il </w:t>
      </w:r>
      <w:r w:rsidR="00497E00" w:rsidRPr="00515872">
        <w:rPr>
          <w:rFonts w:cs="Tahoma"/>
        </w:rPr>
        <w:t>FPV</w:t>
      </w:r>
      <w:r w:rsidRPr="00515872">
        <w:rPr>
          <w:rFonts w:cs="Tahoma"/>
        </w:rPr>
        <w:t xml:space="preserve"> e l’utilizzo del risultato di amministrazione);</w:t>
      </w:r>
    </w:p>
    <w:p w14:paraId="4C5AEEB6" w14:textId="77777777" w:rsidR="002126D6" w:rsidRPr="00515872" w:rsidRDefault="002126D6" w:rsidP="00D65838">
      <w:pPr>
        <w:pStyle w:val="Paragrafoelenco"/>
        <w:numPr>
          <w:ilvl w:val="0"/>
          <w:numId w:val="216"/>
        </w:numPr>
        <w:spacing w:line="360" w:lineRule="auto"/>
        <w:ind w:left="284" w:hanging="284"/>
        <w:jc w:val="both"/>
        <w:rPr>
          <w:rFonts w:cs="Tahoma"/>
        </w:rPr>
      </w:pPr>
      <w:r w:rsidRPr="00515872">
        <w:rPr>
          <w:rFonts w:cs="Tahoma"/>
        </w:rPr>
        <w:t>per le spese gli importi di ciascun titolo di spesa, il totale delle spese finali (costituito dalla somma dei primi tre titoli delle spese), il totale delle spese (costituito dalla somma di tutti i titoli delle spese e il totale complessivo delle spese (il totale complessivo di cassa è sempre uguale al totale delle spese, mentre il totale complessivo di competenza è costituito dalla somma del totale di spesa con l’eventuale disavanzo di amministrazione riportato in bilancio per la copertura).</w:t>
      </w:r>
    </w:p>
    <w:p w14:paraId="5784997A" w14:textId="77777777" w:rsidR="002126D6" w:rsidRPr="00515872" w:rsidRDefault="002126D6" w:rsidP="002126D6">
      <w:pPr>
        <w:spacing w:line="360" w:lineRule="auto"/>
        <w:jc w:val="both"/>
        <w:rPr>
          <w:rFonts w:cs="Tahoma"/>
        </w:rPr>
      </w:pPr>
      <w:r w:rsidRPr="00515872">
        <w:rPr>
          <w:rFonts w:cs="Tahoma"/>
        </w:rPr>
        <w:t>Il quadro generale riassuntivo del bilancio fornisce una visione sintetica e globale dell’intera gestione dell’ente, relativa alle operazioni di competenza finanziaria dell’esercizio, secondo lo schema di seguito esposto:</w:t>
      </w:r>
    </w:p>
    <w:p w14:paraId="7ED07C97" w14:textId="77777777" w:rsidR="00EA779E" w:rsidRDefault="00EA779E">
      <w:pPr>
        <w:spacing w:after="0" w:line="240" w:lineRule="auto"/>
        <w:rPr>
          <w:rFonts w:cs="Tahoma"/>
          <w:b/>
        </w:rPr>
      </w:pPr>
      <w:r>
        <w:rPr>
          <w:rFonts w:cs="Tahoma"/>
          <w:b/>
        </w:rPr>
        <w:br w:type="page"/>
      </w:r>
    </w:p>
    <w:p w14:paraId="1500C39A" w14:textId="08D56D58" w:rsidR="00EB5976" w:rsidRPr="00515872" w:rsidRDefault="00EB5976" w:rsidP="00EB5976">
      <w:pPr>
        <w:spacing w:line="360" w:lineRule="auto"/>
        <w:jc w:val="center"/>
        <w:rPr>
          <w:rFonts w:cs="Tahoma"/>
        </w:rPr>
      </w:pPr>
      <w:r w:rsidRPr="00515872">
        <w:rPr>
          <w:rFonts w:cs="Tahoma"/>
          <w:b/>
        </w:rPr>
        <w:lastRenderedPageBreak/>
        <w:t xml:space="preserve">Allegato 9 al </w:t>
      </w:r>
      <w:proofErr w:type="spellStart"/>
      <w:r w:rsidRPr="00515872">
        <w:rPr>
          <w:rFonts w:cs="Tahoma"/>
          <w:b/>
        </w:rPr>
        <w:t>D.Lgs</w:t>
      </w:r>
      <w:proofErr w:type="spellEnd"/>
      <w:r w:rsidRPr="00515872">
        <w:rPr>
          <w:rFonts w:cs="Tahoma"/>
          <w:b/>
        </w:rPr>
        <w:t xml:space="preserve"> 118/2011, come modificato dal decreto MEF 11 agosto 2016</w:t>
      </w:r>
    </w:p>
    <w:p w14:paraId="595C9C19" w14:textId="77777777" w:rsidR="002126D6" w:rsidRPr="00515872" w:rsidRDefault="00EB5976" w:rsidP="009518AF">
      <w:pPr>
        <w:spacing w:line="360" w:lineRule="auto"/>
        <w:jc w:val="both"/>
        <w:rPr>
          <w:rFonts w:eastAsia="Times New Roman" w:cs="Tahoma"/>
          <w:szCs w:val="20"/>
          <w:lang w:eastAsia="it-IT"/>
        </w:rPr>
      </w:pPr>
      <w:r w:rsidRPr="00515872">
        <w:rPr>
          <w:rFonts w:cs="Tahoma"/>
          <w:noProof/>
          <w:lang w:eastAsia="it-IT"/>
        </w:rPr>
        <w:drawing>
          <wp:inline distT="0" distB="0" distL="0" distR="0" wp14:anchorId="4C220FA1" wp14:editId="51BE7678">
            <wp:extent cx="6242523" cy="3160166"/>
            <wp:effectExtent l="0" t="0" r="635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8" t="11555" r="1464" b="11334"/>
                    <a:stretch/>
                  </pic:blipFill>
                  <pic:spPr bwMode="auto">
                    <a:xfrm>
                      <a:off x="0" y="0"/>
                      <a:ext cx="6259442" cy="3168731"/>
                    </a:xfrm>
                    <a:prstGeom prst="rect">
                      <a:avLst/>
                    </a:prstGeom>
                    <a:ln>
                      <a:noFill/>
                    </a:ln>
                    <a:extLst>
                      <a:ext uri="{53640926-AAD7-44D8-BBD7-CCE9431645EC}">
                        <a14:shadowObscured xmlns:a14="http://schemas.microsoft.com/office/drawing/2010/main"/>
                      </a:ext>
                    </a:extLst>
                  </pic:spPr>
                </pic:pic>
              </a:graphicData>
            </a:graphic>
          </wp:inline>
        </w:drawing>
      </w:r>
    </w:p>
    <w:p w14:paraId="50DD4AEA" w14:textId="77777777" w:rsidR="002126D6" w:rsidRPr="00515872" w:rsidRDefault="002126D6" w:rsidP="009518AF">
      <w:pPr>
        <w:spacing w:line="360" w:lineRule="auto"/>
        <w:jc w:val="both"/>
        <w:rPr>
          <w:rFonts w:cs="Tahoma"/>
        </w:rPr>
      </w:pPr>
      <w:r w:rsidRPr="00515872">
        <w:rPr>
          <w:rFonts w:cs="Tahoma"/>
        </w:rPr>
        <w:t>Tutte le voci del prospetto devono essere valorizzate, anche se di importo pari a 0.</w:t>
      </w:r>
    </w:p>
    <w:p w14:paraId="548FD90F"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Equilibrio di cassa</w:t>
      </w:r>
    </w:p>
    <w:p w14:paraId="2D86FD6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previsioni di cassa, alla luce del nuovo principio della competenza finanziaria potenziata, diventano elementi chiave del bilancio per consentire all’ente di realizzare flussi finanziari di entrata in grado di alimentare i flussi in uscita, avvicinando, in questo modo, la competenza alla cassa, mediante la valorizzazione del momento dell’esigibilità dell’obbligazione.</w:t>
      </w:r>
    </w:p>
    <w:p w14:paraId="2EB5046F" w14:textId="77777777" w:rsidR="00E63E12"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previsioni di cassa in entrata, quindi, devono tendere ad allinearsi con le previsioni di competenza, sulla base dei postulati di veridicità ed attendibilità</w:t>
      </w:r>
      <w:r w:rsidRPr="00515872">
        <w:rPr>
          <w:rStyle w:val="Rimandonotaapidipagina"/>
          <w:rFonts w:eastAsia="Times New Roman" w:cs="Tahoma"/>
          <w:szCs w:val="20"/>
          <w:lang w:eastAsia="it-IT"/>
        </w:rPr>
        <w:footnoteReference w:id="48"/>
      </w:r>
      <w:r w:rsidR="000927AE" w:rsidRPr="00515872">
        <w:rPr>
          <w:rFonts w:eastAsia="Times New Roman" w:cs="Tahoma"/>
          <w:szCs w:val="20"/>
          <w:lang w:eastAsia="it-IT"/>
        </w:rPr>
        <w:t>.</w:t>
      </w:r>
      <w:r w:rsidRPr="00515872">
        <w:rPr>
          <w:rFonts w:eastAsia="Times New Roman" w:cs="Tahoma"/>
          <w:szCs w:val="20"/>
          <w:lang w:eastAsia="it-IT"/>
        </w:rPr>
        <w:t xml:space="preserve"> D’altra parte, gli stanziamenti di spesa devono riflettere le provviste finanziarie necessarie a garantire lo svolgimento delle attività e gli interventi programmati. Le previsioni di cassa diventano il limite entro il quale possono essere disposte spese in grado di essere tempestivamente onorate, nel rispetto dei tempi di pagamento ex art. 183, c. 8 del TUEL</w:t>
      </w:r>
      <w:r w:rsidR="004B42B6" w:rsidRPr="00515872">
        <w:rPr>
          <w:rStyle w:val="Rimandonotaapidipagina"/>
          <w:rFonts w:eastAsia="Times New Roman" w:cs="Tahoma"/>
          <w:szCs w:val="20"/>
          <w:lang w:eastAsia="it-IT"/>
        </w:rPr>
        <w:footnoteReference w:id="49"/>
      </w:r>
      <w:r w:rsidRPr="00515872">
        <w:rPr>
          <w:rFonts w:eastAsia="Times New Roman" w:cs="Tahoma"/>
          <w:szCs w:val="20"/>
          <w:lang w:eastAsia="it-IT"/>
        </w:rPr>
        <w:t>, nonché ai sensi della disciplina introdotta dal D.L. n. 66/2014.</w:t>
      </w:r>
    </w:p>
    <w:p w14:paraId="7177D4E3" w14:textId="77777777" w:rsidR="009518AF" w:rsidRPr="00515872" w:rsidRDefault="00E63E12" w:rsidP="009518AF">
      <w:pPr>
        <w:spacing w:line="360" w:lineRule="auto"/>
        <w:jc w:val="both"/>
        <w:rPr>
          <w:rFonts w:eastAsia="Times New Roman" w:cs="Tahoma"/>
          <w:szCs w:val="20"/>
          <w:lang w:eastAsia="it-IT"/>
        </w:rPr>
      </w:pPr>
      <w:r w:rsidRPr="00515872">
        <w:rPr>
          <w:rFonts w:eastAsia="Times New Roman" w:cs="Tahoma"/>
          <w:szCs w:val="20"/>
          <w:lang w:eastAsia="it-IT"/>
        </w:rPr>
        <w:lastRenderedPageBreak/>
        <w:t>Il rispetto d</w:t>
      </w:r>
      <w:r w:rsidR="000927AE" w:rsidRPr="00515872">
        <w:rPr>
          <w:rFonts w:eastAsia="Times New Roman" w:cs="Tahoma"/>
          <w:szCs w:val="20"/>
          <w:lang w:eastAsia="it-IT"/>
        </w:rPr>
        <w:t xml:space="preserve">ell’equilibrio </w:t>
      </w:r>
      <w:r w:rsidRPr="00515872">
        <w:rPr>
          <w:rFonts w:eastAsia="Times New Roman" w:cs="Tahoma"/>
          <w:szCs w:val="20"/>
          <w:lang w:eastAsia="it-IT"/>
        </w:rPr>
        <w:t>non può essere conseguito attraverso</w:t>
      </w:r>
      <w:r w:rsidR="009518AF" w:rsidRPr="00515872">
        <w:rPr>
          <w:rFonts w:eastAsia="Times New Roman" w:cs="Tahoma"/>
          <w:szCs w:val="20"/>
          <w:lang w:eastAsia="it-IT"/>
        </w:rPr>
        <w:t xml:space="preserve"> </w:t>
      </w:r>
      <w:r w:rsidRPr="00515872">
        <w:rPr>
          <w:rFonts w:eastAsia="Times New Roman" w:cs="Tahoma"/>
          <w:szCs w:val="20"/>
          <w:lang w:eastAsia="it-IT"/>
        </w:rPr>
        <w:t xml:space="preserve">la semplice sommatoria dei residui alla competenza, in quanto ciò disattenderebbe i postulati di veridicità e attendibilità, presupponendo la certa realizzazione di tutti i crediti e di tutti i debiti nella prima annualità. Le previsioni di cassa delle entrate vanno </w:t>
      </w:r>
      <w:r w:rsidR="000927AE" w:rsidRPr="00515872">
        <w:rPr>
          <w:rFonts w:eastAsia="Times New Roman" w:cs="Tahoma"/>
          <w:szCs w:val="20"/>
          <w:lang w:eastAsia="it-IT"/>
        </w:rPr>
        <w:t xml:space="preserve">invece </w:t>
      </w:r>
      <w:r w:rsidRPr="00515872">
        <w:rPr>
          <w:rFonts w:eastAsia="Times New Roman" w:cs="Tahoma"/>
          <w:szCs w:val="20"/>
          <w:lang w:eastAsia="it-IT"/>
        </w:rPr>
        <w:t>circoscritte, limitatamente ai crediti che si prevede verranno riscossi nell’esercizio di competenza, tenendo conto della media delle riscossioni degli ultimi anni, in modo da rappresentare compiutamente, e con elevat</w:t>
      </w:r>
      <w:r w:rsidR="000927AE" w:rsidRPr="00515872">
        <w:rPr>
          <w:rFonts w:eastAsia="Times New Roman" w:cs="Tahoma"/>
          <w:szCs w:val="20"/>
          <w:lang w:eastAsia="it-IT"/>
        </w:rPr>
        <w:t>o grado di</w:t>
      </w:r>
      <w:r w:rsidRPr="00515872">
        <w:rPr>
          <w:rFonts w:eastAsia="Times New Roman" w:cs="Tahoma"/>
          <w:szCs w:val="20"/>
          <w:lang w:eastAsia="it-IT"/>
        </w:rPr>
        <w:t xml:space="preserve"> attendibilità, il flusso di entrata presumibile.</w:t>
      </w:r>
      <w:r w:rsidR="00F23202" w:rsidRPr="00515872">
        <w:rPr>
          <w:rFonts w:eastAsia="Times New Roman" w:cs="Tahoma"/>
          <w:szCs w:val="20"/>
          <w:lang w:eastAsia="it-IT"/>
        </w:rPr>
        <w:t xml:space="preserve"> La previsione di cassa delle entrate che presentano un certo grado di inesigibilità, pertanto, non dovrà eccedere la media delle riscossioni degli ultimi esercizi.</w:t>
      </w:r>
      <w:r w:rsidR="00F32E74" w:rsidRPr="00515872">
        <w:rPr>
          <w:rFonts w:eastAsia="Times New Roman" w:cs="Tahoma"/>
          <w:szCs w:val="20"/>
          <w:lang w:eastAsia="it-IT"/>
        </w:rPr>
        <w:t xml:space="preserve"> Per il resto, l’art. 183, c. 8 del TUEL prevede </w:t>
      </w:r>
      <w:r w:rsidR="00F32E74" w:rsidRPr="00515872">
        <w:rPr>
          <w:rFonts w:eastAsia="Times New Roman" w:cs="Tahoma"/>
          <w:i/>
          <w:szCs w:val="20"/>
          <w:lang w:eastAsia="it-IT"/>
        </w:rPr>
        <w:t>“l’obbligo di accertare preventivamente che il programma dei conseguenti pagamenti sia compatibile con i relativi stanziamenti di bilancio”</w:t>
      </w:r>
      <w:r w:rsidR="00F32E74" w:rsidRPr="00515872">
        <w:rPr>
          <w:rFonts w:eastAsia="Times New Roman" w:cs="Tahoma"/>
          <w:szCs w:val="20"/>
          <w:lang w:eastAsia="it-IT"/>
        </w:rPr>
        <w:t>.</w:t>
      </w:r>
    </w:p>
    <w:p w14:paraId="1D2EFC02" w14:textId="77777777" w:rsidR="00696E54"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Rientra fra gli adempimenti principali, ai fini di un’adeguata programmazione, la corretta determinazione delle componenti del fondo di cassa, suddiviso fra fondi vincolati e liberi.</w:t>
      </w:r>
      <w:r w:rsidR="00F54DE5" w:rsidRPr="00515872">
        <w:rPr>
          <w:rFonts w:eastAsia="Times New Roman" w:cs="Tahoma"/>
          <w:szCs w:val="20"/>
          <w:lang w:eastAsia="it-IT"/>
        </w:rPr>
        <w:t xml:space="preserve"> La determinazione del fondo cassa vincolato è operata all’inizio dell’esercizio con determinazione del responsabile del servizio finanziario.</w:t>
      </w:r>
    </w:p>
    <w:p w14:paraId="7EFAE073" w14:textId="1F48B2D4" w:rsidR="004D32BA"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L’equilibrio di cassa in fase di previsione è evidenziato nella tabella che segue:</w:t>
      </w:r>
    </w:p>
    <w:tbl>
      <w:tblPr>
        <w:tblStyle w:val="Grigliatabella"/>
        <w:tblW w:w="9652" w:type="dxa"/>
        <w:jc w:val="center"/>
        <w:tblLook w:val="0600" w:firstRow="0" w:lastRow="0" w:firstColumn="0" w:lastColumn="0" w:noHBand="1" w:noVBand="1"/>
      </w:tblPr>
      <w:tblGrid>
        <w:gridCol w:w="1289"/>
        <w:gridCol w:w="6521"/>
        <w:gridCol w:w="1842"/>
      </w:tblGrid>
      <w:tr w:rsidR="009518AF" w:rsidRPr="00515872" w14:paraId="7D40F2CE" w14:textId="77777777" w:rsidTr="00EA779E">
        <w:trPr>
          <w:trHeight w:val="358"/>
          <w:jc w:val="center"/>
        </w:trPr>
        <w:tc>
          <w:tcPr>
            <w:tcW w:w="9652" w:type="dxa"/>
            <w:gridSpan w:val="3"/>
            <w:shd w:val="clear" w:color="auto" w:fill="DBE5F1" w:themeFill="accent1" w:themeFillTint="33"/>
            <w:hideMark/>
          </w:tcPr>
          <w:p w14:paraId="7981A26C" w14:textId="77777777" w:rsidR="009518AF" w:rsidRPr="00EA779E" w:rsidRDefault="009518AF" w:rsidP="00393822">
            <w:pPr>
              <w:spacing w:line="240" w:lineRule="auto"/>
              <w:jc w:val="center"/>
              <w:rPr>
                <w:rFonts w:eastAsia="Times New Roman" w:cs="Tahoma"/>
                <w:b/>
                <w:bCs/>
                <w:szCs w:val="20"/>
                <w:lang w:eastAsia="it-IT"/>
              </w:rPr>
            </w:pPr>
            <w:r w:rsidRPr="00EA779E">
              <w:rPr>
                <w:rFonts w:eastAsia="Times New Roman" w:cs="Tahoma"/>
                <w:b/>
                <w:bCs/>
                <w:szCs w:val="20"/>
                <w:lang w:eastAsia="it-IT"/>
              </w:rPr>
              <w:t>RIEPILOGO GENERALE ENTRATE PER TITOLI</w:t>
            </w:r>
          </w:p>
        </w:tc>
      </w:tr>
      <w:tr w:rsidR="009518AF" w:rsidRPr="00515872" w14:paraId="130DBBCC" w14:textId="77777777" w:rsidTr="009063EA">
        <w:trPr>
          <w:trHeight w:val="573"/>
          <w:jc w:val="center"/>
        </w:trPr>
        <w:tc>
          <w:tcPr>
            <w:tcW w:w="1289" w:type="dxa"/>
            <w:hideMark/>
          </w:tcPr>
          <w:p w14:paraId="3FAFC67E"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555E9AC7" w14:textId="77777777" w:rsidR="009518AF" w:rsidRPr="00515872" w:rsidRDefault="009518AF" w:rsidP="00393822">
            <w:pPr>
              <w:spacing w:line="240" w:lineRule="auto"/>
              <w:jc w:val="center"/>
              <w:rPr>
                <w:rFonts w:eastAsia="Times New Roman" w:cs="Tahoma"/>
                <w:szCs w:val="20"/>
                <w:lang w:eastAsia="it-IT"/>
              </w:rPr>
            </w:pPr>
          </w:p>
        </w:tc>
        <w:tc>
          <w:tcPr>
            <w:tcW w:w="1842" w:type="dxa"/>
            <w:hideMark/>
          </w:tcPr>
          <w:p w14:paraId="29649751"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 xml:space="preserve">PREVISIONI </w:t>
            </w:r>
            <w:r w:rsidRPr="00515872">
              <w:rPr>
                <w:rFonts w:eastAsia="Times New Roman" w:cs="Tahoma"/>
                <w:szCs w:val="20"/>
                <w:lang w:eastAsia="it-IT"/>
              </w:rPr>
              <w:br/>
              <w:t>ANNO …..</w:t>
            </w:r>
          </w:p>
        </w:tc>
      </w:tr>
      <w:tr w:rsidR="009518AF" w:rsidRPr="00515872" w14:paraId="746589FF" w14:textId="77777777" w:rsidTr="009063EA">
        <w:trPr>
          <w:trHeight w:val="271"/>
          <w:jc w:val="center"/>
        </w:trPr>
        <w:tc>
          <w:tcPr>
            <w:tcW w:w="1289" w:type="dxa"/>
            <w:hideMark/>
          </w:tcPr>
          <w:p w14:paraId="10EA2B86"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02945FD1"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Fondo di Cassa all'1/1/esercizio di riferimento</w:t>
            </w:r>
          </w:p>
        </w:tc>
        <w:tc>
          <w:tcPr>
            <w:tcW w:w="1842" w:type="dxa"/>
          </w:tcPr>
          <w:p w14:paraId="112C87E1"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3CC58407" w14:textId="77777777" w:rsidTr="009063EA">
        <w:trPr>
          <w:trHeight w:val="271"/>
          <w:jc w:val="center"/>
        </w:trPr>
        <w:tc>
          <w:tcPr>
            <w:tcW w:w="1289" w:type="dxa"/>
            <w:hideMark/>
          </w:tcPr>
          <w:p w14:paraId="766BE283"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23DDA491" w14:textId="77777777" w:rsidR="009518AF" w:rsidRPr="00515872" w:rsidRDefault="009518AF" w:rsidP="00393822">
            <w:pPr>
              <w:spacing w:line="240" w:lineRule="auto"/>
              <w:jc w:val="center"/>
              <w:rPr>
                <w:rFonts w:eastAsia="Times New Roman" w:cs="Tahoma"/>
                <w:szCs w:val="20"/>
                <w:lang w:eastAsia="it-IT"/>
              </w:rPr>
            </w:pPr>
          </w:p>
        </w:tc>
        <w:tc>
          <w:tcPr>
            <w:tcW w:w="1842" w:type="dxa"/>
          </w:tcPr>
          <w:p w14:paraId="08FF1496"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66CBF078" w14:textId="77777777" w:rsidTr="009063EA">
        <w:trPr>
          <w:trHeight w:val="172"/>
          <w:jc w:val="center"/>
        </w:trPr>
        <w:tc>
          <w:tcPr>
            <w:tcW w:w="1289" w:type="dxa"/>
            <w:hideMark/>
          </w:tcPr>
          <w:p w14:paraId="0066C99A"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1</w:t>
            </w:r>
          </w:p>
        </w:tc>
        <w:tc>
          <w:tcPr>
            <w:tcW w:w="6521" w:type="dxa"/>
            <w:hideMark/>
          </w:tcPr>
          <w:p w14:paraId="0250D03F"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Entrate correnti di natura tributaria, contributiva e perequativa</w:t>
            </w:r>
          </w:p>
        </w:tc>
        <w:tc>
          <w:tcPr>
            <w:tcW w:w="1842" w:type="dxa"/>
          </w:tcPr>
          <w:p w14:paraId="7151B64F"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0A65F67A" w14:textId="77777777" w:rsidTr="009063EA">
        <w:trPr>
          <w:trHeight w:val="271"/>
          <w:jc w:val="center"/>
        </w:trPr>
        <w:tc>
          <w:tcPr>
            <w:tcW w:w="1289" w:type="dxa"/>
            <w:hideMark/>
          </w:tcPr>
          <w:p w14:paraId="38D50848"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2</w:t>
            </w:r>
          </w:p>
        </w:tc>
        <w:tc>
          <w:tcPr>
            <w:tcW w:w="6521" w:type="dxa"/>
            <w:hideMark/>
          </w:tcPr>
          <w:p w14:paraId="5FAB8014"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Trasferimenti correnti</w:t>
            </w:r>
          </w:p>
        </w:tc>
        <w:tc>
          <w:tcPr>
            <w:tcW w:w="1842" w:type="dxa"/>
          </w:tcPr>
          <w:p w14:paraId="515D7BDF"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62EA8B96" w14:textId="77777777" w:rsidTr="009063EA">
        <w:trPr>
          <w:trHeight w:val="271"/>
          <w:jc w:val="center"/>
        </w:trPr>
        <w:tc>
          <w:tcPr>
            <w:tcW w:w="1289" w:type="dxa"/>
            <w:hideMark/>
          </w:tcPr>
          <w:p w14:paraId="04AD5F58"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3</w:t>
            </w:r>
          </w:p>
        </w:tc>
        <w:tc>
          <w:tcPr>
            <w:tcW w:w="6521" w:type="dxa"/>
            <w:hideMark/>
          </w:tcPr>
          <w:p w14:paraId="0A2F6F37"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Entrate extratributarie</w:t>
            </w:r>
          </w:p>
        </w:tc>
        <w:tc>
          <w:tcPr>
            <w:tcW w:w="1842" w:type="dxa"/>
          </w:tcPr>
          <w:p w14:paraId="58CA45F4"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7F667B72" w14:textId="77777777" w:rsidTr="009063EA">
        <w:trPr>
          <w:trHeight w:val="271"/>
          <w:jc w:val="center"/>
        </w:trPr>
        <w:tc>
          <w:tcPr>
            <w:tcW w:w="1289" w:type="dxa"/>
            <w:hideMark/>
          </w:tcPr>
          <w:p w14:paraId="5AF9F38D"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4</w:t>
            </w:r>
          </w:p>
        </w:tc>
        <w:tc>
          <w:tcPr>
            <w:tcW w:w="6521" w:type="dxa"/>
            <w:hideMark/>
          </w:tcPr>
          <w:p w14:paraId="42013DF1"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Entrate in conto capitale</w:t>
            </w:r>
          </w:p>
        </w:tc>
        <w:tc>
          <w:tcPr>
            <w:tcW w:w="1842" w:type="dxa"/>
          </w:tcPr>
          <w:p w14:paraId="44B21899"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32C09D34" w14:textId="77777777" w:rsidTr="009063EA">
        <w:trPr>
          <w:trHeight w:val="271"/>
          <w:jc w:val="center"/>
        </w:trPr>
        <w:tc>
          <w:tcPr>
            <w:tcW w:w="1289" w:type="dxa"/>
            <w:hideMark/>
          </w:tcPr>
          <w:p w14:paraId="199ACAC3"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5</w:t>
            </w:r>
          </w:p>
        </w:tc>
        <w:tc>
          <w:tcPr>
            <w:tcW w:w="6521" w:type="dxa"/>
            <w:hideMark/>
          </w:tcPr>
          <w:p w14:paraId="6261688A"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Entrate da riduzione di attività finanziarie</w:t>
            </w:r>
          </w:p>
        </w:tc>
        <w:tc>
          <w:tcPr>
            <w:tcW w:w="1842" w:type="dxa"/>
          </w:tcPr>
          <w:p w14:paraId="4DF45DD5"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59693437" w14:textId="77777777" w:rsidTr="009063EA">
        <w:trPr>
          <w:trHeight w:val="271"/>
          <w:jc w:val="center"/>
        </w:trPr>
        <w:tc>
          <w:tcPr>
            <w:tcW w:w="1289" w:type="dxa"/>
            <w:hideMark/>
          </w:tcPr>
          <w:p w14:paraId="225BB227"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6</w:t>
            </w:r>
          </w:p>
        </w:tc>
        <w:tc>
          <w:tcPr>
            <w:tcW w:w="6521" w:type="dxa"/>
            <w:hideMark/>
          </w:tcPr>
          <w:p w14:paraId="32CE48FA"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Accensione prestiti</w:t>
            </w:r>
          </w:p>
        </w:tc>
        <w:tc>
          <w:tcPr>
            <w:tcW w:w="1842" w:type="dxa"/>
          </w:tcPr>
          <w:p w14:paraId="2ED26B40"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132EFD36" w14:textId="77777777" w:rsidTr="009063EA">
        <w:trPr>
          <w:trHeight w:val="271"/>
          <w:jc w:val="center"/>
        </w:trPr>
        <w:tc>
          <w:tcPr>
            <w:tcW w:w="1289" w:type="dxa"/>
            <w:hideMark/>
          </w:tcPr>
          <w:p w14:paraId="34050423"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7</w:t>
            </w:r>
          </w:p>
        </w:tc>
        <w:tc>
          <w:tcPr>
            <w:tcW w:w="6521" w:type="dxa"/>
            <w:hideMark/>
          </w:tcPr>
          <w:p w14:paraId="3F7C8A9B"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Anticipazioni da istituto tesoriere/cassiere</w:t>
            </w:r>
          </w:p>
        </w:tc>
        <w:tc>
          <w:tcPr>
            <w:tcW w:w="1842" w:type="dxa"/>
          </w:tcPr>
          <w:p w14:paraId="27DE389F"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3EDA9E19" w14:textId="77777777" w:rsidTr="009063EA">
        <w:trPr>
          <w:trHeight w:val="271"/>
          <w:jc w:val="center"/>
        </w:trPr>
        <w:tc>
          <w:tcPr>
            <w:tcW w:w="1289" w:type="dxa"/>
            <w:hideMark/>
          </w:tcPr>
          <w:p w14:paraId="0CB4C51B"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9</w:t>
            </w:r>
          </w:p>
        </w:tc>
        <w:tc>
          <w:tcPr>
            <w:tcW w:w="6521" w:type="dxa"/>
            <w:hideMark/>
          </w:tcPr>
          <w:p w14:paraId="0DFA5109"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Entrate per conto terzi e partite di giro</w:t>
            </w:r>
          </w:p>
        </w:tc>
        <w:tc>
          <w:tcPr>
            <w:tcW w:w="1842" w:type="dxa"/>
          </w:tcPr>
          <w:p w14:paraId="570390E6"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1B3CB0EC" w14:textId="77777777" w:rsidTr="009063EA">
        <w:trPr>
          <w:trHeight w:val="321"/>
          <w:jc w:val="center"/>
        </w:trPr>
        <w:tc>
          <w:tcPr>
            <w:tcW w:w="1289" w:type="dxa"/>
            <w:hideMark/>
          </w:tcPr>
          <w:p w14:paraId="63EFF70D"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07E5A2FD"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TOTALE TITOLI</w:t>
            </w:r>
          </w:p>
        </w:tc>
        <w:tc>
          <w:tcPr>
            <w:tcW w:w="1842" w:type="dxa"/>
          </w:tcPr>
          <w:p w14:paraId="0FAA81A8"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14DD14D8" w14:textId="77777777" w:rsidTr="009063EA">
        <w:trPr>
          <w:trHeight w:val="531"/>
          <w:jc w:val="center"/>
        </w:trPr>
        <w:tc>
          <w:tcPr>
            <w:tcW w:w="1289" w:type="dxa"/>
            <w:hideMark/>
          </w:tcPr>
          <w:p w14:paraId="025C0BA1"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2036D451"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TOTALE GENERALE DELLE ENTRATE</w:t>
            </w:r>
          </w:p>
        </w:tc>
        <w:tc>
          <w:tcPr>
            <w:tcW w:w="1842" w:type="dxa"/>
          </w:tcPr>
          <w:p w14:paraId="727BDD13"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6BD9C755" w14:textId="77777777" w:rsidTr="009063EA">
        <w:trPr>
          <w:trHeight w:val="271"/>
          <w:jc w:val="center"/>
        </w:trPr>
        <w:tc>
          <w:tcPr>
            <w:tcW w:w="1289" w:type="dxa"/>
            <w:hideMark/>
          </w:tcPr>
          <w:p w14:paraId="00756E86" w14:textId="77777777" w:rsidR="009518AF" w:rsidRPr="00515872" w:rsidRDefault="009518AF" w:rsidP="00393822">
            <w:pPr>
              <w:spacing w:line="240" w:lineRule="auto"/>
              <w:jc w:val="both"/>
              <w:rPr>
                <w:rFonts w:eastAsia="Times New Roman" w:cs="Tahoma"/>
                <w:szCs w:val="20"/>
                <w:lang w:eastAsia="it-IT"/>
              </w:rPr>
            </w:pPr>
            <w:r w:rsidRPr="00515872">
              <w:rPr>
                <w:rFonts w:eastAsia="Times New Roman" w:cs="Tahoma"/>
                <w:szCs w:val="20"/>
                <w:lang w:eastAsia="it-IT"/>
              </w:rPr>
              <w:t> </w:t>
            </w:r>
          </w:p>
        </w:tc>
        <w:tc>
          <w:tcPr>
            <w:tcW w:w="6521" w:type="dxa"/>
            <w:hideMark/>
          </w:tcPr>
          <w:p w14:paraId="341DCC2B" w14:textId="77777777" w:rsidR="009518AF" w:rsidRPr="00515872" w:rsidRDefault="009518AF" w:rsidP="00393822">
            <w:pPr>
              <w:spacing w:line="240" w:lineRule="auto"/>
              <w:jc w:val="both"/>
              <w:rPr>
                <w:rFonts w:eastAsia="Times New Roman" w:cs="Tahoma"/>
                <w:szCs w:val="20"/>
                <w:lang w:eastAsia="it-IT"/>
              </w:rPr>
            </w:pPr>
            <w:r w:rsidRPr="00515872">
              <w:rPr>
                <w:rFonts w:eastAsia="Times New Roman" w:cs="Tahoma"/>
                <w:szCs w:val="20"/>
                <w:lang w:eastAsia="it-IT"/>
              </w:rPr>
              <w:t> </w:t>
            </w:r>
          </w:p>
        </w:tc>
        <w:tc>
          <w:tcPr>
            <w:tcW w:w="1842" w:type="dxa"/>
          </w:tcPr>
          <w:p w14:paraId="762E5E04" w14:textId="77777777" w:rsidR="009518AF" w:rsidRPr="00515872" w:rsidRDefault="009518AF" w:rsidP="00393822">
            <w:pPr>
              <w:spacing w:line="240" w:lineRule="auto"/>
              <w:jc w:val="both"/>
              <w:rPr>
                <w:rFonts w:eastAsia="Times New Roman" w:cs="Tahoma"/>
                <w:szCs w:val="20"/>
                <w:lang w:eastAsia="it-IT"/>
              </w:rPr>
            </w:pPr>
          </w:p>
        </w:tc>
      </w:tr>
      <w:tr w:rsidR="009518AF" w:rsidRPr="00515872" w14:paraId="29892C2B" w14:textId="77777777" w:rsidTr="009063EA">
        <w:trPr>
          <w:trHeight w:val="531"/>
          <w:jc w:val="center"/>
        </w:trPr>
        <w:tc>
          <w:tcPr>
            <w:tcW w:w="1289" w:type="dxa"/>
            <w:hideMark/>
          </w:tcPr>
          <w:p w14:paraId="1CC1047D"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33D5E596" w14:textId="77777777" w:rsidR="009518AF" w:rsidRPr="00515872" w:rsidRDefault="009518AF" w:rsidP="00393822">
            <w:pPr>
              <w:spacing w:line="240" w:lineRule="auto"/>
              <w:jc w:val="center"/>
              <w:rPr>
                <w:rFonts w:eastAsia="Times New Roman" w:cs="Tahoma"/>
                <w:szCs w:val="20"/>
                <w:lang w:eastAsia="it-IT"/>
              </w:rPr>
            </w:pPr>
          </w:p>
        </w:tc>
        <w:tc>
          <w:tcPr>
            <w:tcW w:w="1842" w:type="dxa"/>
            <w:hideMark/>
          </w:tcPr>
          <w:p w14:paraId="2FD56B7B"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 xml:space="preserve">PREVISIONI </w:t>
            </w:r>
            <w:r w:rsidRPr="00515872">
              <w:rPr>
                <w:rFonts w:eastAsia="Times New Roman" w:cs="Tahoma"/>
                <w:szCs w:val="20"/>
                <w:lang w:eastAsia="it-IT"/>
              </w:rPr>
              <w:br/>
              <w:t>ANNO …..</w:t>
            </w:r>
          </w:p>
        </w:tc>
      </w:tr>
      <w:tr w:rsidR="009518AF" w:rsidRPr="00515872" w14:paraId="16E8A5FA" w14:textId="77777777" w:rsidTr="009063EA">
        <w:trPr>
          <w:trHeight w:val="271"/>
          <w:jc w:val="center"/>
        </w:trPr>
        <w:tc>
          <w:tcPr>
            <w:tcW w:w="1289" w:type="dxa"/>
            <w:hideMark/>
          </w:tcPr>
          <w:p w14:paraId="0E704956"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1</w:t>
            </w:r>
          </w:p>
        </w:tc>
        <w:tc>
          <w:tcPr>
            <w:tcW w:w="6521" w:type="dxa"/>
            <w:hideMark/>
          </w:tcPr>
          <w:p w14:paraId="04BA284F"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Spese correnti</w:t>
            </w:r>
          </w:p>
        </w:tc>
        <w:tc>
          <w:tcPr>
            <w:tcW w:w="1842" w:type="dxa"/>
          </w:tcPr>
          <w:p w14:paraId="74A91DC9"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2807A75E" w14:textId="77777777" w:rsidTr="009063EA">
        <w:trPr>
          <w:trHeight w:val="271"/>
          <w:jc w:val="center"/>
        </w:trPr>
        <w:tc>
          <w:tcPr>
            <w:tcW w:w="1289" w:type="dxa"/>
            <w:hideMark/>
          </w:tcPr>
          <w:p w14:paraId="76342855"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2</w:t>
            </w:r>
          </w:p>
        </w:tc>
        <w:tc>
          <w:tcPr>
            <w:tcW w:w="6521" w:type="dxa"/>
            <w:hideMark/>
          </w:tcPr>
          <w:p w14:paraId="49FC2DC7"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Spese in conto capitale</w:t>
            </w:r>
          </w:p>
        </w:tc>
        <w:tc>
          <w:tcPr>
            <w:tcW w:w="1842" w:type="dxa"/>
          </w:tcPr>
          <w:p w14:paraId="6A751085"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774A6742" w14:textId="77777777" w:rsidTr="009063EA">
        <w:trPr>
          <w:trHeight w:val="271"/>
          <w:jc w:val="center"/>
        </w:trPr>
        <w:tc>
          <w:tcPr>
            <w:tcW w:w="1289" w:type="dxa"/>
            <w:hideMark/>
          </w:tcPr>
          <w:p w14:paraId="48AC8DF3"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3</w:t>
            </w:r>
          </w:p>
        </w:tc>
        <w:tc>
          <w:tcPr>
            <w:tcW w:w="6521" w:type="dxa"/>
            <w:hideMark/>
          </w:tcPr>
          <w:p w14:paraId="1ECE8416"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Spese per incremento attività finanziarie</w:t>
            </w:r>
          </w:p>
        </w:tc>
        <w:tc>
          <w:tcPr>
            <w:tcW w:w="1842" w:type="dxa"/>
          </w:tcPr>
          <w:p w14:paraId="73AE0D8A"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07A758B6" w14:textId="77777777" w:rsidTr="009063EA">
        <w:trPr>
          <w:trHeight w:val="271"/>
          <w:jc w:val="center"/>
        </w:trPr>
        <w:tc>
          <w:tcPr>
            <w:tcW w:w="1289" w:type="dxa"/>
            <w:hideMark/>
          </w:tcPr>
          <w:p w14:paraId="7C684031"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4</w:t>
            </w:r>
          </w:p>
        </w:tc>
        <w:tc>
          <w:tcPr>
            <w:tcW w:w="6521" w:type="dxa"/>
            <w:hideMark/>
          </w:tcPr>
          <w:p w14:paraId="46738353"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Rimborso di prestiti</w:t>
            </w:r>
          </w:p>
        </w:tc>
        <w:tc>
          <w:tcPr>
            <w:tcW w:w="1842" w:type="dxa"/>
          </w:tcPr>
          <w:p w14:paraId="5881D3CE"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5329C89E" w14:textId="77777777" w:rsidTr="009063EA">
        <w:trPr>
          <w:trHeight w:val="271"/>
          <w:jc w:val="center"/>
        </w:trPr>
        <w:tc>
          <w:tcPr>
            <w:tcW w:w="1289" w:type="dxa"/>
            <w:hideMark/>
          </w:tcPr>
          <w:p w14:paraId="3A02ED8C"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5</w:t>
            </w:r>
          </w:p>
        </w:tc>
        <w:tc>
          <w:tcPr>
            <w:tcW w:w="6521" w:type="dxa"/>
            <w:hideMark/>
          </w:tcPr>
          <w:p w14:paraId="1D5FECE0"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Chiusura anticipazioni di istituto tesoriere/cassiere</w:t>
            </w:r>
          </w:p>
        </w:tc>
        <w:tc>
          <w:tcPr>
            <w:tcW w:w="1842" w:type="dxa"/>
          </w:tcPr>
          <w:p w14:paraId="040F1F20"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536D6D07" w14:textId="77777777" w:rsidTr="009063EA">
        <w:trPr>
          <w:trHeight w:val="271"/>
          <w:jc w:val="center"/>
        </w:trPr>
        <w:tc>
          <w:tcPr>
            <w:tcW w:w="1289" w:type="dxa"/>
            <w:hideMark/>
          </w:tcPr>
          <w:p w14:paraId="050245DF"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7</w:t>
            </w:r>
          </w:p>
        </w:tc>
        <w:tc>
          <w:tcPr>
            <w:tcW w:w="6521" w:type="dxa"/>
            <w:hideMark/>
          </w:tcPr>
          <w:p w14:paraId="433F21C7"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Spese per conto terzi e partite di giro</w:t>
            </w:r>
          </w:p>
        </w:tc>
        <w:tc>
          <w:tcPr>
            <w:tcW w:w="1842" w:type="dxa"/>
          </w:tcPr>
          <w:p w14:paraId="67FF97BF"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5FAFDF2F" w14:textId="77777777" w:rsidTr="009063EA">
        <w:trPr>
          <w:trHeight w:val="248"/>
          <w:jc w:val="center"/>
        </w:trPr>
        <w:tc>
          <w:tcPr>
            <w:tcW w:w="1289" w:type="dxa"/>
            <w:hideMark/>
          </w:tcPr>
          <w:p w14:paraId="27FC7BF0"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1C2B6A3A" w14:textId="77777777" w:rsidR="009518AF" w:rsidRPr="00515872" w:rsidRDefault="009518AF" w:rsidP="00393822">
            <w:pPr>
              <w:spacing w:line="240" w:lineRule="auto"/>
              <w:jc w:val="center"/>
              <w:rPr>
                <w:rFonts w:eastAsia="Times New Roman" w:cs="Tahoma"/>
                <w:szCs w:val="20"/>
                <w:lang w:eastAsia="it-IT"/>
              </w:rPr>
            </w:pPr>
            <w:r w:rsidRPr="00515872">
              <w:rPr>
                <w:rFonts w:eastAsia="Times New Roman" w:cs="Tahoma"/>
                <w:szCs w:val="20"/>
                <w:lang w:eastAsia="it-IT"/>
              </w:rPr>
              <w:t>TOTALE GENERALE DELLE SPESE</w:t>
            </w:r>
          </w:p>
        </w:tc>
        <w:tc>
          <w:tcPr>
            <w:tcW w:w="1842" w:type="dxa"/>
          </w:tcPr>
          <w:p w14:paraId="4896E3D9"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7324CBFB" w14:textId="77777777" w:rsidTr="009063EA">
        <w:trPr>
          <w:trHeight w:val="212"/>
          <w:jc w:val="center"/>
        </w:trPr>
        <w:tc>
          <w:tcPr>
            <w:tcW w:w="1289" w:type="dxa"/>
            <w:hideMark/>
          </w:tcPr>
          <w:p w14:paraId="791208BB" w14:textId="77777777" w:rsidR="009518AF" w:rsidRPr="00515872" w:rsidRDefault="009518AF" w:rsidP="00393822">
            <w:pPr>
              <w:spacing w:line="240" w:lineRule="auto"/>
              <w:jc w:val="center"/>
              <w:rPr>
                <w:rFonts w:eastAsia="Times New Roman" w:cs="Tahoma"/>
                <w:szCs w:val="20"/>
                <w:lang w:eastAsia="it-IT"/>
              </w:rPr>
            </w:pPr>
          </w:p>
        </w:tc>
        <w:tc>
          <w:tcPr>
            <w:tcW w:w="6521" w:type="dxa"/>
            <w:hideMark/>
          </w:tcPr>
          <w:p w14:paraId="43E5D509" w14:textId="77777777" w:rsidR="009518AF" w:rsidRPr="00515872" w:rsidRDefault="009518AF" w:rsidP="00393822">
            <w:pPr>
              <w:spacing w:line="240" w:lineRule="auto"/>
              <w:jc w:val="center"/>
              <w:rPr>
                <w:rFonts w:eastAsia="Times New Roman" w:cs="Tahoma"/>
                <w:szCs w:val="20"/>
                <w:lang w:eastAsia="it-IT"/>
              </w:rPr>
            </w:pPr>
          </w:p>
        </w:tc>
        <w:tc>
          <w:tcPr>
            <w:tcW w:w="1842" w:type="dxa"/>
          </w:tcPr>
          <w:p w14:paraId="632A91B6" w14:textId="77777777" w:rsidR="009518AF" w:rsidRPr="00515872" w:rsidRDefault="009518AF" w:rsidP="00393822">
            <w:pPr>
              <w:spacing w:line="240" w:lineRule="auto"/>
              <w:jc w:val="center"/>
              <w:rPr>
                <w:rFonts w:eastAsia="Times New Roman" w:cs="Tahoma"/>
                <w:szCs w:val="20"/>
                <w:lang w:eastAsia="it-IT"/>
              </w:rPr>
            </w:pPr>
          </w:p>
        </w:tc>
      </w:tr>
      <w:tr w:rsidR="009518AF" w:rsidRPr="00515872" w14:paraId="1911AFD1" w14:textId="77777777" w:rsidTr="009063EA">
        <w:trPr>
          <w:trHeight w:val="271"/>
          <w:jc w:val="center"/>
        </w:trPr>
        <w:tc>
          <w:tcPr>
            <w:tcW w:w="1289" w:type="dxa"/>
            <w:hideMark/>
          </w:tcPr>
          <w:p w14:paraId="65B2465B" w14:textId="77777777" w:rsidR="009518AF" w:rsidRPr="00515872" w:rsidRDefault="009518AF" w:rsidP="00393822">
            <w:pPr>
              <w:spacing w:line="240" w:lineRule="auto"/>
              <w:jc w:val="center"/>
              <w:rPr>
                <w:rFonts w:eastAsia="Times New Roman" w:cs="Tahoma"/>
                <w:szCs w:val="20"/>
                <w:highlight w:val="yellow"/>
                <w:lang w:eastAsia="it-IT"/>
              </w:rPr>
            </w:pPr>
          </w:p>
        </w:tc>
        <w:tc>
          <w:tcPr>
            <w:tcW w:w="6521" w:type="dxa"/>
            <w:hideMark/>
          </w:tcPr>
          <w:p w14:paraId="0341F9BD" w14:textId="77777777" w:rsidR="009518AF" w:rsidRPr="00515872" w:rsidRDefault="009518AF" w:rsidP="00393822">
            <w:pPr>
              <w:spacing w:line="240" w:lineRule="auto"/>
              <w:jc w:val="center"/>
              <w:rPr>
                <w:rFonts w:eastAsia="Times New Roman" w:cs="Tahoma"/>
                <w:szCs w:val="20"/>
                <w:highlight w:val="yellow"/>
                <w:lang w:eastAsia="it-IT"/>
              </w:rPr>
            </w:pPr>
            <w:r w:rsidRPr="00515872">
              <w:rPr>
                <w:rFonts w:eastAsia="Times New Roman" w:cs="Tahoma"/>
                <w:szCs w:val="20"/>
                <w:lang w:eastAsia="it-IT"/>
              </w:rPr>
              <w:t>SALDO DI CASSA</w:t>
            </w:r>
          </w:p>
        </w:tc>
        <w:tc>
          <w:tcPr>
            <w:tcW w:w="1842" w:type="dxa"/>
          </w:tcPr>
          <w:p w14:paraId="1516719F" w14:textId="77777777" w:rsidR="009518AF" w:rsidRPr="00515872" w:rsidRDefault="009518AF" w:rsidP="00393822">
            <w:pPr>
              <w:spacing w:line="240" w:lineRule="auto"/>
              <w:jc w:val="center"/>
              <w:rPr>
                <w:rFonts w:eastAsia="Times New Roman" w:cs="Tahoma"/>
                <w:szCs w:val="20"/>
                <w:highlight w:val="yellow"/>
                <w:lang w:eastAsia="it-IT"/>
              </w:rPr>
            </w:pPr>
          </w:p>
        </w:tc>
      </w:tr>
    </w:tbl>
    <w:p w14:paraId="5692A13E" w14:textId="77777777" w:rsidR="009518AF" w:rsidRPr="00515872" w:rsidRDefault="009518AF" w:rsidP="009518AF">
      <w:pPr>
        <w:spacing w:line="360" w:lineRule="auto"/>
        <w:jc w:val="both"/>
        <w:rPr>
          <w:rFonts w:eastAsia="Times New Roman" w:cs="Tahoma"/>
          <w:szCs w:val="20"/>
          <w:lang w:eastAsia="it-IT"/>
        </w:rPr>
      </w:pPr>
    </w:p>
    <w:p w14:paraId="5240A9D4" w14:textId="77777777" w:rsidR="00833CD5" w:rsidRPr="00515872" w:rsidRDefault="00833CD5" w:rsidP="009518AF">
      <w:pPr>
        <w:spacing w:line="360" w:lineRule="auto"/>
        <w:jc w:val="both"/>
        <w:rPr>
          <w:rFonts w:eastAsia="Times New Roman" w:cs="Tahoma"/>
          <w:szCs w:val="20"/>
          <w:lang w:eastAsia="it-IT"/>
        </w:rPr>
      </w:pPr>
      <w:r w:rsidRPr="00515872">
        <w:rPr>
          <w:rFonts w:eastAsia="Times New Roman" w:cs="Tahoma"/>
          <w:szCs w:val="20"/>
          <w:lang w:eastAsia="it-IT"/>
        </w:rPr>
        <w:t>Le verifiche dell’organo di revisione sugli equilibri di cassa devono estendersi ai rapporti fra ente e tesoriere.</w:t>
      </w:r>
    </w:p>
    <w:p w14:paraId="15C00FD9" w14:textId="77777777" w:rsidR="00A04C03" w:rsidRPr="00515872" w:rsidRDefault="0033444F" w:rsidP="009518AF">
      <w:pPr>
        <w:spacing w:line="360" w:lineRule="auto"/>
        <w:jc w:val="both"/>
        <w:rPr>
          <w:rFonts w:eastAsia="Times New Roman" w:cs="Tahoma"/>
          <w:szCs w:val="20"/>
          <w:lang w:eastAsia="it-IT"/>
        </w:rPr>
      </w:pPr>
      <w:r w:rsidRPr="00515872">
        <w:rPr>
          <w:rFonts w:eastAsia="Times New Roman" w:cs="Tahoma"/>
          <w:szCs w:val="20"/>
          <w:lang w:eastAsia="it-IT"/>
        </w:rPr>
        <w:t>Sugli equilibri di cassa pesa, nei tem</w:t>
      </w:r>
      <w:r w:rsidR="00320AEC" w:rsidRPr="00515872">
        <w:rPr>
          <w:rFonts w:eastAsia="Times New Roman" w:cs="Tahoma"/>
          <w:szCs w:val="20"/>
          <w:lang w:eastAsia="it-IT"/>
        </w:rPr>
        <w:t xml:space="preserve">pi più recenti, l’effetto </w:t>
      </w:r>
      <w:r w:rsidRPr="00515872">
        <w:rPr>
          <w:rFonts w:eastAsia="Times New Roman" w:cs="Tahoma"/>
          <w:szCs w:val="20"/>
          <w:lang w:eastAsia="it-IT"/>
        </w:rPr>
        <w:t>pandemico</w:t>
      </w:r>
      <w:r w:rsidR="00320AEC" w:rsidRPr="00515872">
        <w:rPr>
          <w:rFonts w:eastAsia="Times New Roman" w:cs="Tahoma"/>
          <w:szCs w:val="20"/>
          <w:lang w:eastAsia="it-IT"/>
        </w:rPr>
        <w:t xml:space="preserve"> con </w:t>
      </w:r>
      <w:r w:rsidRPr="00515872">
        <w:rPr>
          <w:rFonts w:eastAsia="Times New Roman" w:cs="Tahoma"/>
          <w:szCs w:val="20"/>
          <w:lang w:eastAsia="it-IT"/>
        </w:rPr>
        <w:t>enti che, a seguito del rallentamento nella riscossione delle entrate, hanno visto e vedranno pesantemente ridimensionarsi le giacenze disponibili ovvero dovranno fare maggiore ricorso all’anticipazione di tesoreria.</w:t>
      </w:r>
      <w:r w:rsidR="00A04C03" w:rsidRPr="00515872">
        <w:rPr>
          <w:rFonts w:eastAsia="Times New Roman" w:cs="Tahoma"/>
          <w:szCs w:val="20"/>
          <w:lang w:eastAsia="it-IT"/>
        </w:rPr>
        <w:t xml:space="preserve"> Sugli </w:t>
      </w:r>
      <w:r w:rsidR="00320AEC" w:rsidRPr="00515872">
        <w:rPr>
          <w:rFonts w:eastAsia="Times New Roman" w:cs="Tahoma"/>
          <w:szCs w:val="20"/>
          <w:lang w:eastAsia="it-IT"/>
        </w:rPr>
        <w:t>equilibri di cassa</w:t>
      </w:r>
      <w:r w:rsidR="00A04C03" w:rsidRPr="00515872">
        <w:rPr>
          <w:rFonts w:eastAsia="Times New Roman" w:cs="Tahoma"/>
          <w:szCs w:val="20"/>
          <w:lang w:eastAsia="it-IT"/>
        </w:rPr>
        <w:t xml:space="preserve">, ad esempio, pesano </w:t>
      </w:r>
      <w:r w:rsidR="00320AEC" w:rsidRPr="00515872">
        <w:rPr>
          <w:rFonts w:eastAsia="Times New Roman" w:cs="Tahoma"/>
          <w:szCs w:val="20"/>
          <w:lang w:eastAsia="it-IT"/>
        </w:rPr>
        <w:t xml:space="preserve">maggiormente </w:t>
      </w:r>
      <w:r w:rsidR="00A04C03" w:rsidRPr="00515872">
        <w:rPr>
          <w:rFonts w:eastAsia="Times New Roman" w:cs="Tahoma"/>
          <w:szCs w:val="20"/>
          <w:lang w:eastAsia="it-IT"/>
        </w:rPr>
        <w:t>i costi per interessi sulle anticipazioni di tesoreria, le spese di sanificazione, l’acquisto di dotazioni informatiche per l’attivazione del</w:t>
      </w:r>
      <w:r w:rsidR="00320AEC" w:rsidRPr="00515872">
        <w:rPr>
          <w:rFonts w:eastAsia="Times New Roman" w:cs="Tahoma"/>
          <w:szCs w:val="20"/>
          <w:lang w:eastAsia="it-IT"/>
        </w:rPr>
        <w:t xml:space="preserve"> lavoro in</w:t>
      </w:r>
      <w:r w:rsidR="00A04C03" w:rsidRPr="00515872">
        <w:rPr>
          <w:rFonts w:eastAsia="Times New Roman" w:cs="Tahoma"/>
          <w:szCs w:val="20"/>
          <w:lang w:eastAsia="it-IT"/>
        </w:rPr>
        <w:t xml:space="preserve"> modalità </w:t>
      </w:r>
      <w:r w:rsidR="00A04C03" w:rsidRPr="00515872">
        <w:rPr>
          <w:rFonts w:eastAsia="Times New Roman" w:cs="Tahoma"/>
          <w:i/>
          <w:szCs w:val="20"/>
          <w:lang w:eastAsia="it-IT"/>
        </w:rPr>
        <w:t>smart working</w:t>
      </w:r>
      <w:r w:rsidR="00320AEC" w:rsidRPr="00515872">
        <w:rPr>
          <w:rFonts w:eastAsia="Times New Roman" w:cs="Tahoma"/>
          <w:szCs w:val="20"/>
          <w:lang w:eastAsia="it-IT"/>
        </w:rPr>
        <w:t xml:space="preserve"> ed altre spese</w:t>
      </w:r>
      <w:r w:rsidR="000A1D5E" w:rsidRPr="00515872">
        <w:rPr>
          <w:rFonts w:eastAsia="Times New Roman" w:cs="Tahoma"/>
          <w:szCs w:val="20"/>
          <w:lang w:eastAsia="it-IT"/>
        </w:rPr>
        <w:t>, benché tali maggiori spese siano state talvolta mitigate da misure compensative o anticipazioni di trasferimenti statali</w:t>
      </w:r>
      <w:r w:rsidR="00A04C03" w:rsidRPr="00515872">
        <w:rPr>
          <w:rFonts w:eastAsia="Times New Roman" w:cs="Tahoma"/>
          <w:szCs w:val="20"/>
          <w:lang w:eastAsia="it-IT"/>
        </w:rPr>
        <w:t>.</w:t>
      </w:r>
    </w:p>
    <w:p w14:paraId="042CA58B" w14:textId="77777777" w:rsidR="009518AF" w:rsidRPr="00515872" w:rsidRDefault="009518AF" w:rsidP="009518AF">
      <w:pPr>
        <w:spacing w:after="0" w:line="360" w:lineRule="auto"/>
        <w:jc w:val="both"/>
        <w:rPr>
          <w:rFonts w:cs="Tahoma"/>
          <w:b/>
          <w:szCs w:val="20"/>
          <w:lang w:eastAsia="it-IT"/>
        </w:rPr>
      </w:pPr>
      <w:r w:rsidRPr="00515872">
        <w:rPr>
          <w:rFonts w:cs="Tahoma"/>
          <w:b/>
          <w:szCs w:val="20"/>
          <w:lang w:eastAsia="it-IT"/>
        </w:rPr>
        <w:t>Equilibrio economico-finanziario</w:t>
      </w:r>
    </w:p>
    <w:p w14:paraId="3FD77154" w14:textId="77777777" w:rsidR="00747B34"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spese correnti e quelle per investimenti devono trovare copertura, in linea di principio, rispettivamente nelle entrate correnti e nelle entrate in conto capitale.</w:t>
      </w:r>
      <w:r w:rsidR="00747B34" w:rsidRPr="00515872">
        <w:rPr>
          <w:rFonts w:eastAsia="Times New Roman" w:cs="Tahoma"/>
          <w:szCs w:val="20"/>
          <w:lang w:eastAsia="it-IT"/>
        </w:rPr>
        <w:t xml:space="preserve"> </w:t>
      </w:r>
    </w:p>
    <w:p w14:paraId="47238752"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In generale, quindi, le spese correnti devono essere finanziate con entrate correnti. Questo principio consente di evitare il mantenimento di equilibri precari, laddove il raggiungimento del pareggio di bilancio sia perseguito finanziando spese correnti con entrate in conto capitale o di carattere non ricorrente.</w:t>
      </w:r>
    </w:p>
    <w:p w14:paraId="390B2C88" w14:textId="77777777" w:rsidR="009518AF" w:rsidRPr="00515872" w:rsidRDefault="00CE0360" w:rsidP="00CE0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Secondo il principio </w:t>
      </w:r>
      <w:r w:rsidR="009518AF" w:rsidRPr="00515872">
        <w:rPr>
          <w:rFonts w:eastAsia="Times New Roman" w:cs="Tahoma"/>
          <w:szCs w:val="20"/>
          <w:lang w:eastAsia="it-IT"/>
        </w:rPr>
        <w:t xml:space="preserve">della contabilità finanziaria, il bilancio di previsione deve garantire l'equilibrio di parte corrente in termini di competenza finanziaria tra le </w:t>
      </w:r>
      <w:r w:rsidR="009518AF" w:rsidRPr="00515872">
        <w:rPr>
          <w:rFonts w:cs="Tahoma"/>
          <w:color w:val="000000"/>
        </w:rPr>
        <w:t>spese correnti sommate alle previsioni di competenza relative ai trasferimenti in c/capitale, al saldo negativo delle partite finanziarie</w:t>
      </w:r>
      <w:r w:rsidR="00071119" w:rsidRPr="00515872">
        <w:rPr>
          <w:rFonts w:cs="Tahoma"/>
          <w:color w:val="000000"/>
        </w:rPr>
        <w:t xml:space="preserve"> (quello positivo, invece, è destinato </w:t>
      </w:r>
      <w:r w:rsidR="00071119" w:rsidRPr="00515872">
        <w:rPr>
          <w:rFonts w:cs="Tahoma"/>
        </w:rPr>
        <w:t>al rimborso anticipato dei prestiti e al finanziamento degli investimenti</w:t>
      </w:r>
      <w:r w:rsidR="00741F18" w:rsidRPr="00515872">
        <w:rPr>
          <w:rFonts w:cs="Tahoma"/>
        </w:rPr>
        <w:t>)</w:t>
      </w:r>
      <w:r w:rsidR="009518AF" w:rsidRPr="00515872">
        <w:rPr>
          <w:rFonts w:cs="Tahoma"/>
          <w:color w:val="000000"/>
        </w:rPr>
        <w:t xml:space="preserve"> e alle quote di capitale delle rate di ammortamento dei mutui e degli altri prestiti, con l'esclusione dei rimborsi anticipati, e le entrate </w:t>
      </w:r>
      <w:r w:rsidR="009518AF" w:rsidRPr="00515872">
        <w:rPr>
          <w:rFonts w:cs="Tahoma"/>
          <w:color w:val="000000"/>
        </w:rPr>
        <w:lastRenderedPageBreak/>
        <w:t>afferenti i primi 3 titoli dell'entrata, sommate ai contribuiti destinati al rimborso dei prestiti e all'utilizzo dell'avanzo di competenza di parte corrente</w:t>
      </w:r>
      <w:r w:rsidRPr="00515872">
        <w:rPr>
          <w:rFonts w:eastAsia="Times New Roman" w:cs="Tahoma"/>
          <w:szCs w:val="20"/>
          <w:lang w:eastAsia="it-IT"/>
        </w:rPr>
        <w:t>. S</w:t>
      </w:r>
      <w:r w:rsidR="009518AF" w:rsidRPr="00515872">
        <w:rPr>
          <w:rFonts w:eastAsia="Times New Roman" w:cs="Tahoma"/>
          <w:szCs w:val="20"/>
          <w:lang w:eastAsia="it-IT"/>
        </w:rPr>
        <w:t>chematizza</w:t>
      </w:r>
      <w:r w:rsidRPr="00515872">
        <w:rPr>
          <w:rFonts w:eastAsia="Times New Roman" w:cs="Tahoma"/>
          <w:szCs w:val="20"/>
          <w:lang w:eastAsia="it-IT"/>
        </w:rPr>
        <w:t>ndo</w:t>
      </w:r>
      <w:r w:rsidR="009518AF" w:rsidRPr="00515872">
        <w:rPr>
          <w:rFonts w:eastAsia="Times New Roman" w:cs="Tahoma"/>
          <w:szCs w:val="20"/>
          <w:lang w:eastAsia="it-IT"/>
        </w:rPr>
        <w:t>:</w:t>
      </w:r>
    </w:p>
    <w:tbl>
      <w:tblPr>
        <w:tblStyle w:val="Grigliatabella"/>
        <w:tblW w:w="0" w:type="auto"/>
        <w:jc w:val="center"/>
        <w:tblLook w:val="04A0" w:firstRow="1" w:lastRow="0" w:firstColumn="1" w:lastColumn="0" w:noHBand="0" w:noVBand="1"/>
      </w:tblPr>
      <w:tblGrid>
        <w:gridCol w:w="4639"/>
        <w:gridCol w:w="705"/>
        <w:gridCol w:w="4284"/>
      </w:tblGrid>
      <w:tr w:rsidR="009518AF" w:rsidRPr="00515872" w14:paraId="7B16301B" w14:textId="77777777" w:rsidTr="00EA779E">
        <w:trPr>
          <w:jc w:val="center"/>
        </w:trPr>
        <w:tc>
          <w:tcPr>
            <w:tcW w:w="4678" w:type="dxa"/>
          </w:tcPr>
          <w:p w14:paraId="7CB82BC7"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spese correnti</w:t>
            </w:r>
          </w:p>
          <w:p w14:paraId="40747159"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w:t>
            </w:r>
          </w:p>
          <w:p w14:paraId="4E2D2724"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previsioni di competenza relative ai trasferimenti in conto capitale</w:t>
            </w:r>
          </w:p>
          <w:p w14:paraId="354378AE"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w:t>
            </w:r>
          </w:p>
          <w:p w14:paraId="78797490"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saldo negativo delle partite finanziarie</w:t>
            </w:r>
          </w:p>
          <w:p w14:paraId="6679B1D8"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w:t>
            </w:r>
          </w:p>
          <w:p w14:paraId="65A89D48"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quote capitale delle rate di ammortamento dei mutui e altri prestiti (esclusi i rimborsi anticipati)</w:t>
            </w:r>
          </w:p>
        </w:tc>
        <w:tc>
          <w:tcPr>
            <w:tcW w:w="709" w:type="dxa"/>
            <w:shd w:val="clear" w:color="auto" w:fill="DBE5F1" w:themeFill="accent1" w:themeFillTint="33"/>
          </w:tcPr>
          <w:p w14:paraId="10A6CFFD" w14:textId="77777777" w:rsidR="009518AF" w:rsidRPr="00515872" w:rsidRDefault="009518AF" w:rsidP="00393822">
            <w:pPr>
              <w:jc w:val="center"/>
              <w:rPr>
                <w:rFonts w:cs="Tahoma"/>
              </w:rPr>
            </w:pPr>
          </w:p>
          <w:p w14:paraId="6A85E7E9" w14:textId="77777777" w:rsidR="009518AF" w:rsidRPr="00515872" w:rsidRDefault="009518AF" w:rsidP="00393822">
            <w:pPr>
              <w:jc w:val="center"/>
              <w:rPr>
                <w:rFonts w:cs="Tahoma"/>
              </w:rPr>
            </w:pPr>
          </w:p>
          <w:p w14:paraId="2E1ECF08" w14:textId="77777777" w:rsidR="009518AF" w:rsidRPr="00515872" w:rsidRDefault="009518AF" w:rsidP="00393822">
            <w:pPr>
              <w:jc w:val="center"/>
              <w:rPr>
                <w:rFonts w:cs="Tahoma"/>
              </w:rPr>
            </w:pPr>
          </w:p>
          <w:p w14:paraId="6EF92345" w14:textId="77777777" w:rsidR="009518AF" w:rsidRPr="00515872" w:rsidRDefault="009518AF" w:rsidP="00393822">
            <w:pPr>
              <w:jc w:val="center"/>
              <w:rPr>
                <w:rFonts w:cs="Tahoma"/>
              </w:rPr>
            </w:pPr>
          </w:p>
          <w:p w14:paraId="66CB0533" w14:textId="77777777" w:rsidR="009518AF" w:rsidRPr="00515872" w:rsidRDefault="009518AF" w:rsidP="00393822">
            <w:pPr>
              <w:jc w:val="center"/>
              <w:rPr>
                <w:rFonts w:eastAsia="Times New Roman" w:cs="Tahoma"/>
                <w:szCs w:val="20"/>
                <w:lang w:eastAsia="it-IT"/>
              </w:rPr>
            </w:pPr>
            <w:r w:rsidRPr="00515872">
              <w:rPr>
                <w:rFonts w:cs="Tahoma"/>
              </w:rPr>
              <w:t>≤</w:t>
            </w:r>
          </w:p>
        </w:tc>
        <w:tc>
          <w:tcPr>
            <w:tcW w:w="4321" w:type="dxa"/>
          </w:tcPr>
          <w:p w14:paraId="15936E8A"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entrate dei primi tre titoli dell’entrata</w:t>
            </w:r>
          </w:p>
          <w:p w14:paraId="54046505"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w:t>
            </w:r>
          </w:p>
          <w:p w14:paraId="47A45632"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contributi destinati al rimborso dei prestiti</w:t>
            </w:r>
          </w:p>
          <w:p w14:paraId="068B8CCA"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w:t>
            </w:r>
          </w:p>
          <w:p w14:paraId="32A4E5F1" w14:textId="77777777" w:rsidR="009518AF" w:rsidRPr="00515872" w:rsidRDefault="009518AF" w:rsidP="00393822">
            <w:pPr>
              <w:jc w:val="center"/>
              <w:rPr>
                <w:rFonts w:eastAsia="Times New Roman" w:cs="Tahoma"/>
                <w:szCs w:val="20"/>
                <w:lang w:eastAsia="it-IT"/>
              </w:rPr>
            </w:pPr>
            <w:r w:rsidRPr="00515872">
              <w:rPr>
                <w:rFonts w:eastAsia="Times New Roman" w:cs="Tahoma"/>
                <w:szCs w:val="20"/>
                <w:lang w:eastAsia="it-IT"/>
              </w:rPr>
              <w:t>utilizzo dell’avanzo di competenza di parte corrente</w:t>
            </w:r>
          </w:p>
        </w:tc>
      </w:tr>
    </w:tbl>
    <w:p w14:paraId="1D4068AF" w14:textId="77777777" w:rsidR="009518AF" w:rsidRPr="00515872" w:rsidRDefault="009518AF" w:rsidP="009518AF">
      <w:pPr>
        <w:spacing w:line="360" w:lineRule="auto"/>
        <w:jc w:val="both"/>
        <w:rPr>
          <w:rFonts w:cs="Tahoma"/>
          <w:szCs w:val="20"/>
          <w:highlight w:val="yellow"/>
          <w:lang w:eastAsia="it-IT"/>
        </w:rPr>
      </w:pPr>
    </w:p>
    <w:p w14:paraId="4AFCB234"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1A171B"/>
          <w:szCs w:val="20"/>
        </w:rPr>
      </w:pPr>
      <w:r w:rsidRPr="00515872">
        <w:rPr>
          <w:rFonts w:eastAsia="Times New Roman" w:cs="Tahoma"/>
          <w:szCs w:val="20"/>
          <w:lang w:eastAsia="it-IT"/>
        </w:rPr>
        <w:t>All'equilibrio di parte corrente concorrono anche le entrate in c/capitale destinate al finanziamento di spese correnti in base a specifiche disposizioni di legge o dei principi contabili e l'eventuale saldo negativo delle partite finanziarie. Ad esempio, i</w:t>
      </w:r>
      <w:r w:rsidRPr="00515872">
        <w:rPr>
          <w:rFonts w:cs="Tahoma"/>
          <w:color w:val="1A171B"/>
          <w:szCs w:val="20"/>
        </w:rPr>
        <w:t>n deroga a questo principio generale, l’art. 1, c. 737, L. 208/2015, in vigore fino alla fine dell’esercizio 2017, consentiva di impiegare integralmente gli oneri di urbanizzazione (costituenti entrate in c/capitale) per finanziare sperse di manutenzione ordinaria del verde e delle strade (rientranti tra le spese correnti). Tale facoltà è stata modificata a decorrere dal 2018 limitandola, per quanto concerne la spesa corrente, alle spese di manutenzione ordinaria delle opere di urbanizzazione primaria e secondaria</w:t>
      </w:r>
      <w:r w:rsidR="00071119" w:rsidRPr="00515872">
        <w:rPr>
          <w:rFonts w:cs="Tahoma"/>
          <w:color w:val="1A171B"/>
          <w:szCs w:val="20"/>
        </w:rPr>
        <w:t xml:space="preserve"> e, dal 1° aprile 2020, per la parte non utilizzata, alle spese inerenti infrastrutture e opere di urbanizzazione primaria e secondaria</w:t>
      </w:r>
      <w:r w:rsidR="00071119" w:rsidRPr="00515872">
        <w:rPr>
          <w:rStyle w:val="Rimandonotaapidipagina"/>
          <w:rFonts w:cs="Tahoma"/>
          <w:color w:val="1A171B"/>
          <w:szCs w:val="20"/>
        </w:rPr>
        <w:t xml:space="preserve"> </w:t>
      </w:r>
      <w:r w:rsidRPr="00515872">
        <w:rPr>
          <w:rStyle w:val="Rimandonotaapidipagina"/>
          <w:rFonts w:cs="Tahoma"/>
          <w:color w:val="1A171B"/>
          <w:szCs w:val="20"/>
        </w:rPr>
        <w:footnoteReference w:id="50"/>
      </w:r>
      <w:r w:rsidR="00071119" w:rsidRPr="00515872">
        <w:rPr>
          <w:rFonts w:cs="Tahoma"/>
          <w:color w:val="1A171B"/>
          <w:szCs w:val="20"/>
        </w:rPr>
        <w:t>.</w:t>
      </w:r>
    </w:p>
    <w:p w14:paraId="5B4D4A4F" w14:textId="77777777" w:rsidR="009518AF" w:rsidRPr="00515872" w:rsidRDefault="00F04FBF" w:rsidP="00F9181A">
      <w:pPr>
        <w:pStyle w:val="NormaleWeb"/>
        <w:spacing w:after="120" w:line="324" w:lineRule="atLeast"/>
        <w:jc w:val="both"/>
        <w:rPr>
          <w:rFonts w:ascii="Tahoma" w:hAnsi="Tahoma" w:cs="Tahoma"/>
          <w:color w:val="1A171B"/>
          <w:sz w:val="20"/>
          <w:szCs w:val="20"/>
        </w:rPr>
      </w:pPr>
      <w:r w:rsidRPr="00515872">
        <w:rPr>
          <w:rFonts w:ascii="Tahoma" w:hAnsi="Tahoma" w:cs="Tahoma"/>
          <w:color w:val="1A171B"/>
          <w:sz w:val="20"/>
          <w:szCs w:val="20"/>
        </w:rPr>
        <w:t>G</w:t>
      </w:r>
      <w:r w:rsidR="009518AF" w:rsidRPr="00515872">
        <w:rPr>
          <w:rFonts w:ascii="Tahoma" w:hAnsi="Tahoma" w:cs="Tahoma"/>
          <w:color w:val="1A171B"/>
          <w:sz w:val="20"/>
          <w:szCs w:val="20"/>
        </w:rPr>
        <w:t xml:space="preserve">li enti locali </w:t>
      </w:r>
      <w:r w:rsidRPr="00515872">
        <w:rPr>
          <w:rFonts w:ascii="Tahoma" w:hAnsi="Tahoma" w:cs="Tahoma"/>
          <w:color w:val="1A171B"/>
          <w:sz w:val="20"/>
          <w:szCs w:val="20"/>
        </w:rPr>
        <w:t>hanno</w:t>
      </w:r>
      <w:r w:rsidR="009518AF" w:rsidRPr="00515872">
        <w:rPr>
          <w:rFonts w:ascii="Tahoma" w:hAnsi="Tahoma" w:cs="Tahoma"/>
          <w:color w:val="1A171B"/>
          <w:sz w:val="20"/>
          <w:szCs w:val="20"/>
        </w:rPr>
        <w:t xml:space="preserve"> inoltre la possibilità di utilizzare i proventi derivanti dalle alienazioni patrimoniali, anche da cessione di azioni o dai piani di razionalizzazione, per finanziare le quote capitale dei mutui o dei prestiti </w:t>
      </w:r>
      <w:r w:rsidR="009518AF" w:rsidRPr="00515872">
        <w:rPr>
          <w:rFonts w:ascii="Tahoma" w:hAnsi="Tahoma" w:cs="Tahoma"/>
          <w:color w:val="1A171B"/>
          <w:sz w:val="20"/>
          <w:szCs w:val="20"/>
        </w:rPr>
        <w:lastRenderedPageBreak/>
        <w:t>obbligazionari in ammortamento nell'anno o anche in anticipo rispetto all'originario piano di</w:t>
      </w:r>
      <w:r w:rsidR="00693DF4" w:rsidRPr="00515872">
        <w:rPr>
          <w:rFonts w:ascii="Tahoma" w:hAnsi="Tahoma" w:cs="Tahoma"/>
          <w:color w:val="1A171B"/>
          <w:sz w:val="20"/>
          <w:szCs w:val="20"/>
        </w:rPr>
        <w:t xml:space="preserve"> ammortamento. Tali risorse </w:t>
      </w:r>
      <w:r w:rsidRPr="00515872">
        <w:rPr>
          <w:rFonts w:ascii="Tahoma" w:hAnsi="Tahoma" w:cs="Tahoma"/>
          <w:color w:val="1A171B"/>
          <w:sz w:val="20"/>
          <w:szCs w:val="20"/>
        </w:rPr>
        <w:t>possono</w:t>
      </w:r>
      <w:r w:rsidR="009518AF" w:rsidRPr="00515872">
        <w:rPr>
          <w:rFonts w:ascii="Tahoma" w:hAnsi="Tahoma" w:cs="Tahoma"/>
          <w:color w:val="1A171B"/>
          <w:sz w:val="20"/>
          <w:szCs w:val="20"/>
        </w:rPr>
        <w:t xml:space="preserve"> essere convogliate all'equilibrio corrente a condizione che l'ente locale</w:t>
      </w:r>
      <w:r w:rsidR="009518AF" w:rsidRPr="00515872">
        <w:rPr>
          <w:rFonts w:ascii="Tahoma" w:hAnsi="Tahoma" w:cs="Tahoma"/>
          <w:color w:val="000000"/>
          <w:sz w:val="20"/>
          <w:szCs w:val="20"/>
          <w:shd w:val="clear" w:color="auto" w:fill="F9F8F4"/>
        </w:rPr>
        <w:t xml:space="preserve">: </w:t>
      </w:r>
    </w:p>
    <w:p w14:paraId="3F28953C" w14:textId="77777777" w:rsidR="009518AF" w:rsidRPr="00515872" w:rsidRDefault="009518AF" w:rsidP="009518AF">
      <w:pPr>
        <w:pStyle w:val="Paragrafoelenco"/>
        <w:numPr>
          <w:ilvl w:val="0"/>
          <w:numId w:val="25"/>
        </w:numPr>
        <w:spacing w:line="360" w:lineRule="auto"/>
        <w:ind w:left="360"/>
        <w:jc w:val="both"/>
        <w:rPr>
          <w:rFonts w:eastAsia="Times New Roman" w:cs="Tahoma"/>
          <w:szCs w:val="20"/>
          <w:lang w:eastAsia="it-IT"/>
        </w:rPr>
      </w:pPr>
      <w:r w:rsidRPr="00515872">
        <w:rPr>
          <w:rFonts w:cs="Tahoma"/>
          <w:color w:val="000000"/>
          <w:szCs w:val="20"/>
        </w:rPr>
        <w:t>dimostr</w:t>
      </w:r>
      <w:r w:rsidR="00F04FBF" w:rsidRPr="00515872">
        <w:rPr>
          <w:rFonts w:cs="Tahoma"/>
          <w:color w:val="000000"/>
          <w:szCs w:val="20"/>
        </w:rPr>
        <w:t>i</w:t>
      </w:r>
      <w:r w:rsidRPr="00515872">
        <w:rPr>
          <w:rFonts w:cs="Tahoma"/>
          <w:color w:val="000000"/>
          <w:szCs w:val="20"/>
        </w:rPr>
        <w:t>, con riferimento al bilancio consolidato dell'esercizio precedente, un rapporto tra totale delle immobilizzazioni e debiti da finanziamento superiore a 2;</w:t>
      </w:r>
    </w:p>
    <w:p w14:paraId="12F20527" w14:textId="77777777" w:rsidR="009518AF" w:rsidRPr="00515872" w:rsidRDefault="009518AF" w:rsidP="009518AF">
      <w:pPr>
        <w:pStyle w:val="Paragrafoelenco"/>
        <w:numPr>
          <w:ilvl w:val="0"/>
          <w:numId w:val="25"/>
        </w:numPr>
        <w:spacing w:line="360" w:lineRule="auto"/>
        <w:ind w:left="360"/>
        <w:jc w:val="both"/>
        <w:rPr>
          <w:rFonts w:eastAsia="Times New Roman" w:cs="Tahoma"/>
          <w:szCs w:val="20"/>
          <w:lang w:eastAsia="it-IT"/>
        </w:rPr>
      </w:pPr>
      <w:r w:rsidRPr="00515872">
        <w:rPr>
          <w:rFonts w:cs="Tahoma"/>
          <w:color w:val="000000"/>
          <w:szCs w:val="20"/>
        </w:rPr>
        <w:t>in sede di bilancio di previsione non registr</w:t>
      </w:r>
      <w:r w:rsidR="00F04FBF" w:rsidRPr="00515872">
        <w:rPr>
          <w:rFonts w:cs="Tahoma"/>
          <w:color w:val="000000"/>
          <w:szCs w:val="20"/>
        </w:rPr>
        <w:t>i</w:t>
      </w:r>
      <w:r w:rsidRPr="00515872">
        <w:rPr>
          <w:rFonts w:cs="Tahoma"/>
          <w:color w:val="000000"/>
          <w:szCs w:val="20"/>
        </w:rPr>
        <w:t xml:space="preserve"> incrementi di spesa corrente ricorrente, come definita dall'allegato 7 annesso al </w:t>
      </w:r>
      <w:proofErr w:type="spellStart"/>
      <w:r w:rsidRPr="00515872">
        <w:rPr>
          <w:rFonts w:cs="Tahoma"/>
          <w:color w:val="000000"/>
          <w:szCs w:val="20"/>
        </w:rPr>
        <w:t>D.Lgs.</w:t>
      </w:r>
      <w:proofErr w:type="spellEnd"/>
      <w:r w:rsidRPr="00515872">
        <w:rPr>
          <w:rFonts w:cs="Tahoma"/>
          <w:color w:val="000000"/>
          <w:szCs w:val="20"/>
        </w:rPr>
        <w:t xml:space="preserve"> 23 giugno 2011, n. 118;</w:t>
      </w:r>
    </w:p>
    <w:p w14:paraId="69BC6149" w14:textId="77777777" w:rsidR="009518AF" w:rsidRPr="00515872" w:rsidRDefault="00F04FBF" w:rsidP="009518AF">
      <w:pPr>
        <w:pStyle w:val="Paragrafoelenco"/>
        <w:numPr>
          <w:ilvl w:val="0"/>
          <w:numId w:val="25"/>
        </w:numPr>
        <w:spacing w:line="360" w:lineRule="auto"/>
        <w:ind w:left="360"/>
        <w:jc w:val="both"/>
        <w:rPr>
          <w:rFonts w:eastAsia="Times New Roman" w:cs="Tahoma"/>
          <w:szCs w:val="20"/>
          <w:lang w:eastAsia="it-IT"/>
        </w:rPr>
      </w:pPr>
      <w:r w:rsidRPr="00515872">
        <w:rPr>
          <w:rFonts w:cs="Tahoma"/>
          <w:color w:val="000000"/>
          <w:szCs w:val="20"/>
        </w:rPr>
        <w:t>sia</w:t>
      </w:r>
      <w:r w:rsidR="009518AF" w:rsidRPr="00515872">
        <w:rPr>
          <w:rFonts w:cs="Tahoma"/>
          <w:color w:val="000000"/>
          <w:szCs w:val="20"/>
        </w:rPr>
        <w:t xml:space="preserve"> in regola con gli accantonamenti al FCDE</w:t>
      </w:r>
      <w:r w:rsidRPr="00515872">
        <w:rPr>
          <w:rStyle w:val="Rimandonotaapidipagina"/>
          <w:rFonts w:cs="Tahoma"/>
          <w:color w:val="000000"/>
          <w:szCs w:val="20"/>
        </w:rPr>
        <w:footnoteReference w:id="51"/>
      </w:r>
      <w:r w:rsidR="009518AF" w:rsidRPr="00515872">
        <w:rPr>
          <w:rFonts w:cs="Tahoma"/>
          <w:color w:val="000000"/>
          <w:szCs w:val="20"/>
        </w:rPr>
        <w:t>.</w:t>
      </w:r>
    </w:p>
    <w:p w14:paraId="7AED2F97" w14:textId="77777777" w:rsidR="009518AF" w:rsidRPr="00515872" w:rsidRDefault="009518AF" w:rsidP="009518AF">
      <w:pPr>
        <w:pStyle w:val="NormaleWeb"/>
        <w:spacing w:after="200" w:line="324" w:lineRule="atLeast"/>
        <w:jc w:val="both"/>
        <w:rPr>
          <w:rFonts w:ascii="Tahoma" w:hAnsi="Tahoma" w:cs="Tahoma"/>
          <w:color w:val="1A171B"/>
          <w:sz w:val="20"/>
          <w:szCs w:val="20"/>
        </w:rPr>
      </w:pPr>
      <w:r w:rsidRPr="00515872">
        <w:rPr>
          <w:rFonts w:ascii="Tahoma" w:hAnsi="Tahoma" w:cs="Tahoma"/>
          <w:color w:val="1A171B"/>
          <w:sz w:val="20"/>
          <w:szCs w:val="20"/>
        </w:rPr>
        <w:t>L’art. 7, c. 2, D.L. 19 giugno 2015, n. 78, come modificato dall’art. 1, c. 867, L. 205/2017 concede a comuni e province la possibilità di utilizzare fino al 202</w:t>
      </w:r>
      <w:r w:rsidR="00611DA1" w:rsidRPr="00515872">
        <w:rPr>
          <w:rFonts w:ascii="Tahoma" w:hAnsi="Tahoma" w:cs="Tahoma"/>
          <w:color w:val="1A171B"/>
          <w:sz w:val="20"/>
          <w:szCs w:val="20"/>
        </w:rPr>
        <w:t>3</w:t>
      </w:r>
      <w:r w:rsidRPr="00515872">
        <w:rPr>
          <w:rFonts w:ascii="Tahoma" w:hAnsi="Tahoma" w:cs="Tahoma"/>
          <w:color w:val="1A171B"/>
          <w:sz w:val="20"/>
          <w:szCs w:val="20"/>
        </w:rPr>
        <w:t xml:space="preserve"> le risorse derivanti da operazioni di rinegoziazione di mutui e di riacquisto dei titoli obbligazionari emessi</w:t>
      </w:r>
      <w:r w:rsidR="00B54A2E" w:rsidRPr="00515872">
        <w:rPr>
          <w:rFonts w:ascii="Tahoma" w:hAnsi="Tahoma" w:cs="Tahoma"/>
          <w:color w:val="1A171B"/>
          <w:sz w:val="20"/>
          <w:szCs w:val="20"/>
        </w:rPr>
        <w:t>,</w:t>
      </w:r>
      <w:r w:rsidRPr="00515872">
        <w:rPr>
          <w:rFonts w:ascii="Tahoma" w:hAnsi="Tahoma" w:cs="Tahoma"/>
          <w:color w:val="1A171B"/>
          <w:sz w:val="20"/>
          <w:szCs w:val="20"/>
        </w:rPr>
        <w:t xml:space="preserve"> senza vincolo di destinazione.</w:t>
      </w:r>
    </w:p>
    <w:p w14:paraId="7847C0A5" w14:textId="77777777" w:rsidR="009518AF" w:rsidRPr="00515872" w:rsidRDefault="009518AF" w:rsidP="009518AF">
      <w:pPr>
        <w:spacing w:after="0" w:line="360" w:lineRule="auto"/>
        <w:jc w:val="both"/>
        <w:rPr>
          <w:rFonts w:cs="Tahoma"/>
          <w:szCs w:val="20"/>
          <w:lang w:eastAsia="it-IT"/>
        </w:rPr>
      </w:pPr>
      <w:r w:rsidRPr="00515872">
        <w:rPr>
          <w:rFonts w:cs="Tahoma"/>
          <w:szCs w:val="20"/>
          <w:lang w:eastAsia="it-IT"/>
        </w:rPr>
        <w:t>Anche per la parte capitale è previsto il generale principio di equilibrio laddove le entrate in conto capitale devono finanziare la spesa per investimenti</w:t>
      </w:r>
      <w:r w:rsidR="005952AC" w:rsidRPr="00515872">
        <w:rPr>
          <w:rFonts w:cs="Tahoma"/>
          <w:szCs w:val="20"/>
          <w:lang w:eastAsia="it-IT"/>
        </w:rPr>
        <w:t>, salva la possibilità di integrare dette entrate con l’eventuale avanzo di parte corrente</w:t>
      </w:r>
      <w:r w:rsidRPr="00515872">
        <w:rPr>
          <w:rFonts w:cs="Tahoma"/>
          <w:szCs w:val="20"/>
          <w:lang w:eastAsia="it-IT"/>
        </w:rPr>
        <w:t xml:space="preserve">. In particolare, ai sensi dell’art. 199, </w:t>
      </w:r>
      <w:proofErr w:type="spellStart"/>
      <w:r w:rsidRPr="00515872">
        <w:rPr>
          <w:rFonts w:cs="Tahoma"/>
          <w:szCs w:val="20"/>
          <w:lang w:eastAsia="it-IT"/>
        </w:rPr>
        <w:t>D.Lgs.</w:t>
      </w:r>
      <w:proofErr w:type="spellEnd"/>
      <w:r w:rsidRPr="00515872">
        <w:rPr>
          <w:rFonts w:cs="Tahoma"/>
          <w:szCs w:val="20"/>
          <w:lang w:eastAsia="it-IT"/>
        </w:rPr>
        <w:t xml:space="preserve"> n. 267/2000, p</w:t>
      </w:r>
      <w:r w:rsidRPr="00515872">
        <w:rPr>
          <w:rFonts w:eastAsia="Times New Roman" w:cs="Tahoma"/>
          <w:szCs w:val="20"/>
          <w:lang w:eastAsia="it-IT"/>
        </w:rPr>
        <w:t>er l'attivazione degli investimenti gli enti locali possono utilizzare:</w:t>
      </w:r>
    </w:p>
    <w:p w14:paraId="73B65F77" w14:textId="77777777" w:rsidR="009518AF" w:rsidRPr="00515872" w:rsidRDefault="009518AF" w:rsidP="009518AF">
      <w:pPr>
        <w:pStyle w:val="Paragrafoelenco"/>
        <w:numPr>
          <w:ilvl w:val="0"/>
          <w:numId w:val="25"/>
        </w:numPr>
        <w:spacing w:line="360" w:lineRule="auto"/>
        <w:ind w:left="360"/>
        <w:jc w:val="both"/>
        <w:rPr>
          <w:rFonts w:eastAsia="Times New Roman" w:cs="Tahoma"/>
          <w:szCs w:val="20"/>
          <w:lang w:eastAsia="it-IT"/>
        </w:rPr>
      </w:pPr>
      <w:r w:rsidRPr="00515872">
        <w:rPr>
          <w:rFonts w:eastAsia="Times New Roman" w:cs="Tahoma"/>
          <w:szCs w:val="20"/>
          <w:lang w:eastAsia="it-IT"/>
        </w:rPr>
        <w:t>entrate correnti destinate per legge agli investimenti;</w:t>
      </w:r>
    </w:p>
    <w:p w14:paraId="36795D3B" w14:textId="77777777" w:rsidR="009518AF" w:rsidRPr="00515872" w:rsidRDefault="009518AF" w:rsidP="009518AF">
      <w:pPr>
        <w:pStyle w:val="Paragrafoelenco"/>
        <w:numPr>
          <w:ilvl w:val="0"/>
          <w:numId w:val="25"/>
        </w:numPr>
        <w:spacing w:line="360" w:lineRule="auto"/>
        <w:ind w:left="360"/>
        <w:jc w:val="both"/>
        <w:rPr>
          <w:rFonts w:eastAsia="Times New Roman" w:cs="Tahoma"/>
          <w:szCs w:val="20"/>
          <w:lang w:eastAsia="it-IT"/>
        </w:rPr>
      </w:pPr>
      <w:r w:rsidRPr="00515872">
        <w:rPr>
          <w:rFonts w:eastAsia="Times New Roman" w:cs="Tahoma"/>
          <w:szCs w:val="20"/>
          <w:lang w:eastAsia="it-IT"/>
        </w:rPr>
        <w:t>avanzo di parte corrente del bilancio, costituito da eccedenze di entrate correnti rispetto alle spese correnti aumentate delle quote capital</w:t>
      </w:r>
      <w:r w:rsidR="00B54A2E" w:rsidRPr="00515872">
        <w:rPr>
          <w:rFonts w:eastAsia="Times New Roman" w:cs="Tahoma"/>
          <w:szCs w:val="20"/>
          <w:lang w:eastAsia="it-IT"/>
        </w:rPr>
        <w:t>e</w:t>
      </w:r>
      <w:r w:rsidRPr="00515872">
        <w:rPr>
          <w:rFonts w:eastAsia="Times New Roman" w:cs="Tahoma"/>
          <w:szCs w:val="20"/>
          <w:lang w:eastAsia="it-IT"/>
        </w:rPr>
        <w:t xml:space="preserve"> di ammortamento dei prestiti;</w:t>
      </w:r>
    </w:p>
    <w:p w14:paraId="68FA63CB" w14:textId="77777777" w:rsidR="009518AF" w:rsidRPr="00515872" w:rsidRDefault="009518AF" w:rsidP="009518AF">
      <w:pPr>
        <w:pStyle w:val="Paragrafoelenco"/>
        <w:numPr>
          <w:ilvl w:val="0"/>
          <w:numId w:val="26"/>
        </w:numPr>
        <w:spacing w:line="360" w:lineRule="auto"/>
        <w:ind w:left="360"/>
        <w:jc w:val="both"/>
        <w:rPr>
          <w:rFonts w:eastAsia="Times New Roman" w:cs="Tahoma"/>
          <w:szCs w:val="20"/>
          <w:lang w:eastAsia="it-IT"/>
        </w:rPr>
      </w:pPr>
      <w:r w:rsidRPr="00515872">
        <w:rPr>
          <w:rFonts w:eastAsia="Times New Roman" w:cs="Tahoma"/>
          <w:szCs w:val="20"/>
          <w:lang w:eastAsia="it-IT"/>
        </w:rPr>
        <w:t>entrate derivanti dall'alienazione di beni e diritti patrimoniali, riscossioni di crediti, proventi da concessioni edilizie e relative sanzioni;</w:t>
      </w:r>
    </w:p>
    <w:p w14:paraId="68D347E6" w14:textId="77777777" w:rsidR="009518AF" w:rsidRPr="00515872" w:rsidRDefault="009518AF" w:rsidP="009518AF">
      <w:pPr>
        <w:pStyle w:val="Paragrafoelenco"/>
        <w:numPr>
          <w:ilvl w:val="0"/>
          <w:numId w:val="26"/>
        </w:numPr>
        <w:spacing w:line="360" w:lineRule="auto"/>
        <w:ind w:left="360"/>
        <w:jc w:val="both"/>
        <w:rPr>
          <w:rFonts w:eastAsia="Times New Roman" w:cs="Tahoma"/>
          <w:szCs w:val="20"/>
          <w:lang w:eastAsia="it-IT"/>
        </w:rPr>
      </w:pPr>
      <w:r w:rsidRPr="00515872">
        <w:rPr>
          <w:rFonts w:eastAsia="Times New Roman" w:cs="Tahoma"/>
          <w:szCs w:val="20"/>
          <w:lang w:eastAsia="it-IT"/>
        </w:rPr>
        <w:t>entrate derivanti da trasferimenti in conto capitale dello Stato, delle regioni, da altri interventi pubblici e privati finalizzati agli investimenti, da interventi finalizzati da parte di organismi comunitari e internazionali;</w:t>
      </w:r>
    </w:p>
    <w:p w14:paraId="0C7A24A4" w14:textId="77777777" w:rsidR="009518AF" w:rsidRPr="00515872" w:rsidRDefault="009518AF" w:rsidP="009518AF">
      <w:pPr>
        <w:pStyle w:val="Paragrafoelenco"/>
        <w:numPr>
          <w:ilvl w:val="0"/>
          <w:numId w:val="26"/>
        </w:numPr>
        <w:spacing w:line="360" w:lineRule="auto"/>
        <w:ind w:left="360"/>
        <w:jc w:val="both"/>
        <w:rPr>
          <w:rFonts w:eastAsia="Times New Roman" w:cs="Tahoma"/>
          <w:szCs w:val="20"/>
          <w:lang w:eastAsia="it-IT"/>
        </w:rPr>
      </w:pPr>
      <w:r w:rsidRPr="00515872">
        <w:rPr>
          <w:rFonts w:eastAsia="Times New Roman" w:cs="Tahoma"/>
          <w:szCs w:val="20"/>
          <w:lang w:eastAsia="it-IT"/>
        </w:rPr>
        <w:t>avanzo di amministrazione, nelle forme disciplinate dall'art. 187 del TUEL;</w:t>
      </w:r>
    </w:p>
    <w:p w14:paraId="44DC5223" w14:textId="77777777" w:rsidR="009518AF" w:rsidRPr="00515872" w:rsidRDefault="009518AF" w:rsidP="009518AF">
      <w:pPr>
        <w:pStyle w:val="Paragrafoelenco"/>
        <w:numPr>
          <w:ilvl w:val="0"/>
          <w:numId w:val="26"/>
        </w:numPr>
        <w:spacing w:line="360" w:lineRule="auto"/>
        <w:ind w:left="360"/>
        <w:jc w:val="both"/>
        <w:rPr>
          <w:rFonts w:eastAsia="Times New Roman" w:cs="Tahoma"/>
          <w:szCs w:val="20"/>
          <w:lang w:eastAsia="it-IT"/>
        </w:rPr>
      </w:pPr>
      <w:r w:rsidRPr="00515872">
        <w:rPr>
          <w:rFonts w:eastAsia="Times New Roman" w:cs="Tahoma"/>
          <w:szCs w:val="20"/>
          <w:lang w:eastAsia="it-IT"/>
        </w:rPr>
        <w:t>mutui passivi;</w:t>
      </w:r>
    </w:p>
    <w:p w14:paraId="5347E926" w14:textId="77777777" w:rsidR="00714F17" w:rsidRPr="00515872" w:rsidRDefault="009518AF" w:rsidP="00714F17">
      <w:pPr>
        <w:pStyle w:val="Paragrafoelenco"/>
        <w:numPr>
          <w:ilvl w:val="0"/>
          <w:numId w:val="26"/>
        </w:numPr>
        <w:spacing w:line="360" w:lineRule="auto"/>
        <w:ind w:left="360"/>
        <w:jc w:val="both"/>
        <w:rPr>
          <w:rFonts w:eastAsia="Times New Roman" w:cs="Tahoma"/>
          <w:szCs w:val="20"/>
          <w:lang w:eastAsia="it-IT"/>
        </w:rPr>
      </w:pPr>
      <w:r w:rsidRPr="00515872">
        <w:rPr>
          <w:rFonts w:eastAsia="Times New Roman" w:cs="Tahoma"/>
          <w:szCs w:val="20"/>
          <w:lang w:eastAsia="it-IT"/>
        </w:rPr>
        <w:t>altre forme di ricorso al mercato finanziario consentito dalla legge.</w:t>
      </w:r>
    </w:p>
    <w:p w14:paraId="08C827E1" w14:textId="001CE234"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rispetto dell’equilibrio economico-finanziario è dimostrato con il prospetto di cui all’allegato n. 9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118/2011</w:t>
      </w:r>
      <w:r w:rsidR="009F656C" w:rsidRPr="00515872">
        <w:rPr>
          <w:rFonts w:eastAsia="Times New Roman" w:cs="Tahoma"/>
          <w:szCs w:val="20"/>
          <w:lang w:eastAsia="it-IT"/>
        </w:rPr>
        <w:t xml:space="preserve"> </w:t>
      </w:r>
      <w:r w:rsidR="00F61E9D" w:rsidRPr="00515872">
        <w:rPr>
          <w:rFonts w:eastAsia="Times New Roman" w:cs="Tahoma"/>
          <w:szCs w:val="20"/>
          <w:lang w:eastAsia="it-IT"/>
        </w:rPr>
        <w:t>sotto riportato</w:t>
      </w:r>
      <w:r w:rsidRPr="00515872">
        <w:rPr>
          <w:rFonts w:eastAsia="Times New Roman" w:cs="Tahoma"/>
          <w:szCs w:val="20"/>
          <w:lang w:eastAsia="it-IT"/>
        </w:rPr>
        <w:t>.</w:t>
      </w:r>
    </w:p>
    <w:p w14:paraId="22075A3C" w14:textId="77777777" w:rsidR="00EA779E" w:rsidRDefault="00EA779E">
      <w:pPr>
        <w:spacing w:after="0" w:line="240" w:lineRule="auto"/>
        <w:rPr>
          <w:rFonts w:cs="Tahoma"/>
          <w:b/>
        </w:rPr>
      </w:pPr>
      <w:r>
        <w:rPr>
          <w:rFonts w:cs="Tahoma"/>
          <w:b/>
        </w:rPr>
        <w:br w:type="page"/>
      </w:r>
    </w:p>
    <w:p w14:paraId="55FCA767" w14:textId="4301402A" w:rsidR="009F656C" w:rsidRPr="00515872" w:rsidRDefault="009F656C" w:rsidP="004D32BA">
      <w:pPr>
        <w:spacing w:line="360" w:lineRule="auto"/>
        <w:jc w:val="center"/>
        <w:rPr>
          <w:rFonts w:cs="Tahoma"/>
          <w:b/>
        </w:rPr>
      </w:pPr>
      <w:r w:rsidRPr="00515872">
        <w:rPr>
          <w:rFonts w:cs="Tahoma"/>
          <w:b/>
        </w:rPr>
        <w:lastRenderedPageBreak/>
        <w:t xml:space="preserve">Allegato 9 al </w:t>
      </w:r>
      <w:proofErr w:type="spellStart"/>
      <w:r w:rsidRPr="00515872">
        <w:rPr>
          <w:rFonts w:cs="Tahoma"/>
          <w:b/>
        </w:rPr>
        <w:t>D.Lgs</w:t>
      </w:r>
      <w:proofErr w:type="spellEnd"/>
      <w:r w:rsidRPr="00515872">
        <w:rPr>
          <w:rFonts w:cs="Tahoma"/>
          <w:b/>
        </w:rPr>
        <w:t xml:space="preserve"> 118/2011, come modificato dal decreto MEF 11 agosto 2016</w:t>
      </w:r>
    </w:p>
    <w:p w14:paraId="58AEF395" w14:textId="77777777" w:rsidR="009B039D" w:rsidRPr="00515872" w:rsidRDefault="009B039D" w:rsidP="009B039D">
      <w:pPr>
        <w:spacing w:after="0" w:line="360" w:lineRule="auto"/>
        <w:jc w:val="center"/>
        <w:rPr>
          <w:rFonts w:cs="Tahoma"/>
          <w:b/>
        </w:rPr>
      </w:pPr>
      <w:r w:rsidRPr="00515872">
        <w:rPr>
          <w:rFonts w:cs="Tahoma"/>
          <w:noProof/>
          <w:lang w:eastAsia="it-IT"/>
        </w:rPr>
        <w:drawing>
          <wp:inline distT="0" distB="0" distL="0" distR="0" wp14:anchorId="12D3B16A" wp14:editId="5E49DE7D">
            <wp:extent cx="6435850" cy="3935896"/>
            <wp:effectExtent l="0" t="0" r="3175"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09" t="10610" r="5672" b="10991"/>
                    <a:stretch/>
                  </pic:blipFill>
                  <pic:spPr bwMode="auto">
                    <a:xfrm>
                      <a:off x="0" y="0"/>
                      <a:ext cx="6448363" cy="3943548"/>
                    </a:xfrm>
                    <a:prstGeom prst="rect">
                      <a:avLst/>
                    </a:prstGeom>
                    <a:ln>
                      <a:noFill/>
                    </a:ln>
                    <a:extLst>
                      <a:ext uri="{53640926-AAD7-44D8-BBD7-CCE9431645EC}">
                        <a14:shadowObscured xmlns:a14="http://schemas.microsoft.com/office/drawing/2010/main"/>
                      </a:ext>
                    </a:extLst>
                  </pic:spPr>
                </pic:pic>
              </a:graphicData>
            </a:graphic>
          </wp:inline>
        </w:drawing>
      </w:r>
      <w:r w:rsidRPr="00515872">
        <w:rPr>
          <w:rFonts w:cs="Tahoma"/>
          <w:noProof/>
          <w:lang w:eastAsia="it-IT"/>
        </w:rPr>
        <w:drawing>
          <wp:inline distT="0" distB="0" distL="0" distR="0" wp14:anchorId="52E936FA" wp14:editId="57EEFF4B">
            <wp:extent cx="6458585" cy="1996337"/>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10" t="42307" r="5407" b="17933"/>
                    <a:stretch/>
                  </pic:blipFill>
                  <pic:spPr bwMode="auto">
                    <a:xfrm>
                      <a:off x="0" y="0"/>
                      <a:ext cx="6489390" cy="2005859"/>
                    </a:xfrm>
                    <a:prstGeom prst="rect">
                      <a:avLst/>
                    </a:prstGeom>
                    <a:ln>
                      <a:noFill/>
                    </a:ln>
                    <a:extLst>
                      <a:ext uri="{53640926-AAD7-44D8-BBD7-CCE9431645EC}">
                        <a14:shadowObscured xmlns:a14="http://schemas.microsoft.com/office/drawing/2010/main"/>
                      </a:ext>
                    </a:extLst>
                  </pic:spPr>
                </pic:pic>
              </a:graphicData>
            </a:graphic>
          </wp:inline>
        </w:drawing>
      </w:r>
    </w:p>
    <w:p w14:paraId="4AC37AD0" w14:textId="77777777" w:rsidR="009B039D" w:rsidRPr="00515872" w:rsidRDefault="00AF4F81" w:rsidP="009F656C">
      <w:pPr>
        <w:spacing w:line="360" w:lineRule="auto"/>
        <w:jc w:val="center"/>
        <w:rPr>
          <w:rFonts w:cs="Tahoma"/>
          <w:b/>
        </w:rPr>
      </w:pPr>
      <w:r w:rsidRPr="00515872">
        <w:rPr>
          <w:rFonts w:cs="Tahoma"/>
          <w:noProof/>
          <w:lang w:eastAsia="it-IT"/>
        </w:rPr>
        <w:lastRenderedPageBreak/>
        <w:drawing>
          <wp:inline distT="0" distB="0" distL="0" distR="0" wp14:anchorId="06C4BE5C" wp14:editId="44C7884B">
            <wp:extent cx="6233823" cy="2070634"/>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744" t="28149" r="19039" b="32427"/>
                    <a:stretch/>
                  </pic:blipFill>
                  <pic:spPr bwMode="auto">
                    <a:xfrm>
                      <a:off x="0" y="0"/>
                      <a:ext cx="6297688" cy="2091847"/>
                    </a:xfrm>
                    <a:prstGeom prst="rect">
                      <a:avLst/>
                    </a:prstGeom>
                    <a:ln>
                      <a:noFill/>
                    </a:ln>
                    <a:extLst>
                      <a:ext uri="{53640926-AAD7-44D8-BBD7-CCE9431645EC}">
                        <a14:shadowObscured xmlns:a14="http://schemas.microsoft.com/office/drawing/2010/main"/>
                      </a:ext>
                    </a:extLst>
                  </pic:spPr>
                </pic:pic>
              </a:graphicData>
            </a:graphic>
          </wp:inline>
        </w:drawing>
      </w:r>
      <w:r w:rsidRPr="00515872">
        <w:rPr>
          <w:rFonts w:cs="Tahoma"/>
          <w:noProof/>
          <w:lang w:eastAsia="it-IT"/>
        </w:rPr>
        <w:drawing>
          <wp:inline distT="0" distB="0" distL="0" distR="0" wp14:anchorId="35C479EA" wp14:editId="4D85E996">
            <wp:extent cx="6233795" cy="2225675"/>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003" t="27502" r="18920" b="29401"/>
                    <a:stretch/>
                  </pic:blipFill>
                  <pic:spPr bwMode="auto">
                    <a:xfrm>
                      <a:off x="0" y="0"/>
                      <a:ext cx="6235787" cy="2226386"/>
                    </a:xfrm>
                    <a:prstGeom prst="rect">
                      <a:avLst/>
                    </a:prstGeom>
                    <a:ln>
                      <a:noFill/>
                    </a:ln>
                    <a:extLst>
                      <a:ext uri="{53640926-AAD7-44D8-BBD7-CCE9431645EC}">
                        <a14:shadowObscured xmlns:a14="http://schemas.microsoft.com/office/drawing/2010/main"/>
                      </a:ext>
                    </a:extLst>
                  </pic:spPr>
                </pic:pic>
              </a:graphicData>
            </a:graphic>
          </wp:inline>
        </w:drawing>
      </w:r>
      <w:r w:rsidR="009B039D" w:rsidRPr="00515872">
        <w:rPr>
          <w:rFonts w:cs="Tahoma"/>
          <w:noProof/>
          <w:lang w:eastAsia="it-IT"/>
        </w:rPr>
        <w:drawing>
          <wp:inline distT="0" distB="0" distL="0" distR="0" wp14:anchorId="255F08B2" wp14:editId="49DD490A">
            <wp:extent cx="6261417" cy="2647785"/>
            <wp:effectExtent l="0" t="0" r="635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279" t="18622" r="5271" b="26793"/>
                    <a:stretch/>
                  </pic:blipFill>
                  <pic:spPr bwMode="auto">
                    <a:xfrm>
                      <a:off x="0" y="0"/>
                      <a:ext cx="6279092" cy="2655259"/>
                    </a:xfrm>
                    <a:prstGeom prst="rect">
                      <a:avLst/>
                    </a:prstGeom>
                    <a:ln>
                      <a:noFill/>
                    </a:ln>
                    <a:extLst>
                      <a:ext uri="{53640926-AAD7-44D8-BBD7-CCE9431645EC}">
                        <a14:shadowObscured xmlns:a14="http://schemas.microsoft.com/office/drawing/2010/main"/>
                      </a:ext>
                    </a:extLst>
                  </pic:spPr>
                </pic:pic>
              </a:graphicData>
            </a:graphic>
          </wp:inline>
        </w:drawing>
      </w:r>
    </w:p>
    <w:p w14:paraId="484B55AE" w14:textId="77777777" w:rsidR="009B039D" w:rsidRPr="00515872" w:rsidRDefault="009B039D" w:rsidP="009F656C">
      <w:pPr>
        <w:spacing w:line="360" w:lineRule="auto"/>
        <w:jc w:val="center"/>
        <w:rPr>
          <w:rFonts w:cs="Tahoma"/>
          <w:b/>
        </w:rPr>
      </w:pPr>
    </w:p>
    <w:p w14:paraId="0D22BF11" w14:textId="77777777" w:rsidR="009F656C" w:rsidRPr="00515872" w:rsidRDefault="009B039D" w:rsidP="009B039D">
      <w:pPr>
        <w:spacing w:line="360" w:lineRule="auto"/>
        <w:jc w:val="center"/>
        <w:rPr>
          <w:rFonts w:cs="Tahoma"/>
          <w:b/>
        </w:rPr>
      </w:pPr>
      <w:r w:rsidRPr="00515872">
        <w:rPr>
          <w:rFonts w:cs="Tahoma"/>
          <w:noProof/>
          <w:lang w:eastAsia="it-IT"/>
        </w:rPr>
        <w:lastRenderedPageBreak/>
        <w:drawing>
          <wp:inline distT="0" distB="0" distL="0" distR="0" wp14:anchorId="4947DD33" wp14:editId="64FDBBD3">
            <wp:extent cx="6018231" cy="2965837"/>
            <wp:effectExtent l="0" t="0" r="1905"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134" t="24905" r="18930" b="16834"/>
                    <a:stretch/>
                  </pic:blipFill>
                  <pic:spPr bwMode="auto">
                    <a:xfrm>
                      <a:off x="0" y="0"/>
                      <a:ext cx="6033971" cy="2973594"/>
                    </a:xfrm>
                    <a:prstGeom prst="rect">
                      <a:avLst/>
                    </a:prstGeom>
                    <a:ln>
                      <a:noFill/>
                    </a:ln>
                    <a:extLst>
                      <a:ext uri="{53640926-AAD7-44D8-BBD7-CCE9431645EC}">
                        <a14:shadowObscured xmlns:a14="http://schemas.microsoft.com/office/drawing/2010/main"/>
                      </a:ext>
                    </a:extLst>
                  </pic:spPr>
                </pic:pic>
              </a:graphicData>
            </a:graphic>
          </wp:inline>
        </w:drawing>
      </w:r>
    </w:p>
    <w:p w14:paraId="0908B443" w14:textId="77777777" w:rsidR="009518AF" w:rsidRPr="00515872" w:rsidRDefault="009518AF" w:rsidP="009518AF">
      <w:pPr>
        <w:spacing w:after="0" w:line="360" w:lineRule="auto"/>
        <w:jc w:val="both"/>
        <w:rPr>
          <w:rFonts w:cs="Tahoma"/>
          <w:b/>
          <w:szCs w:val="20"/>
          <w:lang w:eastAsia="it-IT"/>
        </w:rPr>
      </w:pPr>
      <w:r w:rsidRPr="00515872">
        <w:rPr>
          <w:rFonts w:cs="Tahoma"/>
          <w:b/>
          <w:szCs w:val="20"/>
          <w:lang w:eastAsia="it-IT"/>
        </w:rPr>
        <w:t>Equilibrio della gestione movimento fondi</w:t>
      </w:r>
    </w:p>
    <w:p w14:paraId="2DF833F3" w14:textId="77777777" w:rsidR="009518AF" w:rsidRPr="00515872" w:rsidRDefault="009518AF" w:rsidP="009518AF">
      <w:pPr>
        <w:spacing w:after="0" w:line="360" w:lineRule="auto"/>
        <w:jc w:val="both"/>
        <w:rPr>
          <w:rFonts w:cs="Tahoma"/>
          <w:szCs w:val="20"/>
          <w:lang w:eastAsia="it-IT"/>
        </w:rPr>
      </w:pPr>
      <w:r w:rsidRPr="00515872">
        <w:rPr>
          <w:rFonts w:cs="Tahoma"/>
          <w:szCs w:val="20"/>
          <w:lang w:eastAsia="it-IT"/>
        </w:rPr>
        <w:t>L’equilibrio della gestione movimento fondi interessa tutte le operazioni di natura meramente finanziaria:</w:t>
      </w:r>
    </w:p>
    <w:p w14:paraId="25EDC14D" w14:textId="77777777" w:rsidR="009518AF" w:rsidRPr="00515872" w:rsidRDefault="009518AF" w:rsidP="009518AF">
      <w:pPr>
        <w:pStyle w:val="Paragrafoelenco"/>
        <w:numPr>
          <w:ilvl w:val="0"/>
          <w:numId w:val="27"/>
        </w:numPr>
        <w:spacing w:line="360" w:lineRule="auto"/>
        <w:jc w:val="both"/>
        <w:rPr>
          <w:rFonts w:cs="Tahoma"/>
          <w:szCs w:val="20"/>
          <w:lang w:eastAsia="it-IT"/>
        </w:rPr>
      </w:pPr>
      <w:r w:rsidRPr="00515872">
        <w:rPr>
          <w:rFonts w:cs="Tahoma"/>
          <w:szCs w:val="20"/>
          <w:lang w:eastAsia="it-IT"/>
        </w:rPr>
        <w:t>finanziamenti a breve termine o anticipazioni di cassa e relativi rimborsi;</w:t>
      </w:r>
    </w:p>
    <w:p w14:paraId="2D1D8083" w14:textId="77777777" w:rsidR="009518AF" w:rsidRPr="00515872" w:rsidRDefault="009518AF" w:rsidP="009518AF">
      <w:pPr>
        <w:pStyle w:val="Paragrafoelenco"/>
        <w:numPr>
          <w:ilvl w:val="0"/>
          <w:numId w:val="27"/>
        </w:numPr>
        <w:spacing w:line="360" w:lineRule="auto"/>
        <w:jc w:val="both"/>
        <w:rPr>
          <w:rFonts w:cs="Tahoma"/>
          <w:szCs w:val="20"/>
          <w:lang w:eastAsia="it-IT"/>
        </w:rPr>
      </w:pPr>
      <w:r w:rsidRPr="00515872">
        <w:rPr>
          <w:rFonts w:cs="Tahoma"/>
          <w:szCs w:val="20"/>
          <w:lang w:eastAsia="it-IT"/>
        </w:rPr>
        <w:t>riscossioni e concessioni di crediti.</w:t>
      </w:r>
    </w:p>
    <w:p w14:paraId="5FD7FDC0"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In particolare, con riferimento all’anticipazione di cassa, si rammenta che la stessa può essere concessa </w:t>
      </w:r>
      <w:r w:rsidR="001438F0" w:rsidRPr="00515872">
        <w:rPr>
          <w:rFonts w:cs="Tahoma"/>
          <w:szCs w:val="20"/>
          <w:lang w:eastAsia="it-IT"/>
        </w:rPr>
        <w:t xml:space="preserve">generalmente </w:t>
      </w:r>
      <w:r w:rsidRPr="00515872">
        <w:rPr>
          <w:rFonts w:cs="Tahoma"/>
          <w:szCs w:val="20"/>
          <w:lang w:eastAsia="it-IT"/>
        </w:rPr>
        <w:t>nel limite massimo dei 3/12 (</w:t>
      </w:r>
      <w:r w:rsidR="001438F0" w:rsidRPr="00515872">
        <w:rPr>
          <w:rFonts w:cs="Tahoma"/>
          <w:szCs w:val="20"/>
          <w:lang w:eastAsia="it-IT"/>
        </w:rPr>
        <w:t>salvo deroghe di legge</w:t>
      </w:r>
      <w:r w:rsidRPr="00515872">
        <w:rPr>
          <w:rFonts w:cs="Tahoma"/>
          <w:szCs w:val="20"/>
          <w:lang w:eastAsia="it-IT"/>
        </w:rPr>
        <w:t>) delle entrate accertate nel penultimo anno precedente, afferenti ai primi 3 titoli. Vige, inoltre, l’obbligo di rimborso totale dell’erogazione concessa entro la fine dell’esercizio.</w:t>
      </w:r>
    </w:p>
    <w:p w14:paraId="7C2E989F" w14:textId="77777777" w:rsidR="009518AF" w:rsidRPr="00515872" w:rsidRDefault="009518AF" w:rsidP="009518AF">
      <w:pPr>
        <w:spacing w:after="0" w:line="360" w:lineRule="auto"/>
        <w:jc w:val="both"/>
        <w:rPr>
          <w:rFonts w:cs="Tahoma"/>
          <w:b/>
          <w:szCs w:val="20"/>
          <w:lang w:eastAsia="it-IT"/>
        </w:rPr>
      </w:pPr>
      <w:r w:rsidRPr="00515872">
        <w:rPr>
          <w:rFonts w:cs="Tahoma"/>
          <w:b/>
          <w:szCs w:val="20"/>
          <w:lang w:eastAsia="it-IT"/>
        </w:rPr>
        <w:t>Equilibrio della gestione conto terzi</w:t>
      </w:r>
    </w:p>
    <w:p w14:paraId="22A1FEDB"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Riguarda quelle operazioni poste in essere dall’ente per conto di altri soggetti e le cc.dd. partite di giro, nelle quali l’ente è al tempo stesso creditore e debitore (es. ritenute sull’imposta sui redditi, somme destinate al servizio economato, depositi contrattuali, cauzioni).</w:t>
      </w:r>
    </w:p>
    <w:p w14:paraId="3BBACB09"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Sono imputabili tra le operazioni per conto terzi e partite di giro unicamente quelle operazioni per le quali è esclusa ogni autonomia decisionale da parte dell’ente nella gestione delle stesse. Il principio contabile applicato di cui all’allegato n. 4/2, al punto 7, afferma che, ai fini dell'individuazione delle operazioni per conto di terzi, l'autonomia decisionale sussiste quando l'ente concorre alla definizione di almeno uno dei seguenti elementi della transazione:</w:t>
      </w:r>
    </w:p>
    <w:p w14:paraId="080BE9F2" w14:textId="77777777" w:rsidR="009518AF" w:rsidRPr="00515872" w:rsidRDefault="009518AF" w:rsidP="00D65838">
      <w:pPr>
        <w:pStyle w:val="Paragrafoelenco"/>
        <w:numPr>
          <w:ilvl w:val="0"/>
          <w:numId w:val="167"/>
        </w:numPr>
        <w:spacing w:line="360" w:lineRule="auto"/>
        <w:jc w:val="both"/>
        <w:rPr>
          <w:rFonts w:eastAsia="Times New Roman" w:cs="Tahoma"/>
          <w:szCs w:val="20"/>
          <w:lang w:eastAsia="it-IT"/>
        </w:rPr>
      </w:pPr>
      <w:r w:rsidRPr="00515872">
        <w:rPr>
          <w:rFonts w:eastAsia="Times New Roman" w:cs="Tahoma"/>
          <w:szCs w:val="20"/>
          <w:lang w:eastAsia="it-IT"/>
        </w:rPr>
        <w:t>ammontare;</w:t>
      </w:r>
    </w:p>
    <w:p w14:paraId="4C1A9BF1" w14:textId="77777777" w:rsidR="009518AF" w:rsidRPr="00515872" w:rsidRDefault="009518AF" w:rsidP="00D65838">
      <w:pPr>
        <w:pStyle w:val="Paragrafoelenco"/>
        <w:numPr>
          <w:ilvl w:val="0"/>
          <w:numId w:val="167"/>
        </w:numPr>
        <w:spacing w:line="360" w:lineRule="auto"/>
        <w:jc w:val="both"/>
        <w:rPr>
          <w:rFonts w:eastAsia="Times New Roman" w:cs="Tahoma"/>
          <w:szCs w:val="20"/>
          <w:lang w:eastAsia="it-IT"/>
        </w:rPr>
      </w:pPr>
      <w:r w:rsidRPr="00515872">
        <w:rPr>
          <w:rFonts w:eastAsia="Times New Roman" w:cs="Tahoma"/>
          <w:szCs w:val="20"/>
          <w:lang w:eastAsia="it-IT"/>
        </w:rPr>
        <w:t>tempi;</w:t>
      </w:r>
    </w:p>
    <w:p w14:paraId="33DD3AC7" w14:textId="77777777" w:rsidR="009518AF" w:rsidRPr="00515872" w:rsidRDefault="009518AF" w:rsidP="00D65838">
      <w:pPr>
        <w:pStyle w:val="Paragrafoelenco"/>
        <w:numPr>
          <w:ilvl w:val="0"/>
          <w:numId w:val="167"/>
        </w:numPr>
        <w:spacing w:line="360" w:lineRule="auto"/>
        <w:jc w:val="both"/>
        <w:rPr>
          <w:rFonts w:eastAsia="Times New Roman" w:cs="Tahoma"/>
          <w:szCs w:val="20"/>
          <w:lang w:eastAsia="it-IT"/>
        </w:rPr>
      </w:pPr>
      <w:r w:rsidRPr="00515872">
        <w:rPr>
          <w:rFonts w:eastAsia="Times New Roman" w:cs="Tahoma"/>
          <w:szCs w:val="20"/>
          <w:lang w:eastAsia="it-IT"/>
        </w:rPr>
        <w:t>destinatari.</w:t>
      </w:r>
    </w:p>
    <w:p w14:paraId="4924B00C" w14:textId="77777777" w:rsidR="00F15650" w:rsidRPr="00515872" w:rsidRDefault="00F15650" w:rsidP="009518AF">
      <w:pPr>
        <w:spacing w:line="360" w:lineRule="auto"/>
        <w:jc w:val="both"/>
        <w:rPr>
          <w:rFonts w:eastAsia="Times New Roman" w:cs="Tahoma"/>
          <w:szCs w:val="20"/>
          <w:lang w:eastAsia="it-IT"/>
        </w:rPr>
      </w:pPr>
      <w:r w:rsidRPr="00515872">
        <w:rPr>
          <w:rFonts w:eastAsia="Times New Roman" w:cs="Tahoma"/>
          <w:szCs w:val="20"/>
          <w:lang w:eastAsia="it-IT"/>
        </w:rPr>
        <w:lastRenderedPageBreak/>
        <w:t>In presenza di uno di tali elementi, pertanto, la movimentazione non potrà essere classificata tra le poste di giro o per c/terzi.</w:t>
      </w:r>
    </w:p>
    <w:p w14:paraId="1F82885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previsioni e gli accertamenti d'entrata riguardanti i servizi per conto di terzi e le partite di giro conservano l'equivalenza con le corrispondenti previsioni e impegni di spesa, e viceversa.</w:t>
      </w:r>
    </w:p>
    <w:p w14:paraId="6DB52C1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Al fine di consentire tale equilibrio, le obbligazioni giuridicamente perfezionate attive e passive che danno luogo ad entrate e spese riguardanti tale fattispecie sono registrate e imputate all'esercizio in </w:t>
      </w:r>
      <w:r w:rsidRPr="00515872">
        <w:rPr>
          <w:rFonts w:eastAsia="Times New Roman" w:cs="Tahoma"/>
          <w:b/>
          <w:szCs w:val="20"/>
          <w:lang w:eastAsia="it-IT"/>
        </w:rPr>
        <w:t>cu</w:t>
      </w:r>
      <w:r w:rsidR="00DF7905" w:rsidRPr="00515872">
        <w:rPr>
          <w:rFonts w:eastAsia="Times New Roman" w:cs="Tahoma"/>
          <w:b/>
          <w:szCs w:val="20"/>
          <w:lang w:eastAsia="it-IT"/>
        </w:rPr>
        <w:t>i l'obbligazione è perfezionata</w:t>
      </w:r>
      <w:r w:rsidR="00DF7905" w:rsidRPr="00515872">
        <w:rPr>
          <w:rFonts w:eastAsia="Times New Roman" w:cs="Tahoma"/>
          <w:szCs w:val="20"/>
          <w:lang w:eastAsia="it-IT"/>
        </w:rPr>
        <w:t xml:space="preserve"> e non</w:t>
      </w:r>
      <w:r w:rsidR="00B54A2E" w:rsidRPr="00515872">
        <w:rPr>
          <w:rFonts w:eastAsia="Times New Roman" w:cs="Tahoma"/>
          <w:szCs w:val="20"/>
          <w:lang w:eastAsia="it-IT"/>
        </w:rPr>
        <w:t xml:space="preserve"> a quello in cui </w:t>
      </w:r>
      <w:r w:rsidR="00DF7905" w:rsidRPr="00515872">
        <w:rPr>
          <w:rFonts w:eastAsia="Times New Roman" w:cs="Tahoma"/>
          <w:szCs w:val="20"/>
          <w:lang w:eastAsia="it-IT"/>
        </w:rPr>
        <w:t>è esigibile,</w:t>
      </w:r>
      <w:r w:rsidRPr="00515872">
        <w:rPr>
          <w:rFonts w:eastAsia="Times New Roman" w:cs="Tahoma"/>
          <w:szCs w:val="20"/>
          <w:lang w:eastAsia="it-IT"/>
        </w:rPr>
        <w:t xml:space="preserve"> in deroga al principio contabile generale n. 16.</w:t>
      </w:r>
    </w:p>
    <w:p w14:paraId="5A6A9C25"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Equilibrio fra entrate e spese finali</w:t>
      </w:r>
    </w:p>
    <w:p w14:paraId="46F50D16"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Con l’art. 1, c. 707, della L. 28 dicembre 2015 n. 208 (legge di stabilità per il 2016) </w:t>
      </w:r>
      <w:r w:rsidR="00B54A2E" w:rsidRPr="00515872">
        <w:rPr>
          <w:rFonts w:eastAsia="Times New Roman" w:cs="Tahoma"/>
          <w:szCs w:val="20"/>
          <w:lang w:eastAsia="it-IT"/>
        </w:rPr>
        <w:t>è stato</w:t>
      </w:r>
      <w:r w:rsidRPr="00515872">
        <w:rPr>
          <w:rFonts w:eastAsia="Times New Roman" w:cs="Tahoma"/>
          <w:szCs w:val="20"/>
          <w:lang w:eastAsia="it-IT"/>
        </w:rPr>
        <w:t xml:space="preserve"> definitivamente “pensionato” il </w:t>
      </w:r>
      <w:r w:rsidR="00B54A2E" w:rsidRPr="00515872">
        <w:rPr>
          <w:rFonts w:eastAsia="Times New Roman" w:cs="Tahoma"/>
          <w:szCs w:val="20"/>
          <w:lang w:eastAsia="it-IT"/>
        </w:rPr>
        <w:t>c.d. “</w:t>
      </w:r>
      <w:r w:rsidRPr="00515872">
        <w:rPr>
          <w:rFonts w:eastAsia="Times New Roman" w:cs="Tahoma"/>
          <w:szCs w:val="20"/>
          <w:lang w:eastAsia="it-IT"/>
        </w:rPr>
        <w:t>patto di stabilità</w:t>
      </w:r>
      <w:r w:rsidR="00B54A2E" w:rsidRPr="00515872">
        <w:rPr>
          <w:rFonts w:eastAsia="Times New Roman" w:cs="Tahoma"/>
          <w:szCs w:val="20"/>
          <w:lang w:eastAsia="it-IT"/>
        </w:rPr>
        <w:t>”</w:t>
      </w:r>
      <w:r w:rsidRPr="00515872">
        <w:rPr>
          <w:rFonts w:eastAsia="Times New Roman" w:cs="Tahoma"/>
          <w:szCs w:val="20"/>
          <w:lang w:eastAsia="it-IT"/>
        </w:rPr>
        <w:t xml:space="preserve">. E’, infatti, stabilito che </w:t>
      </w:r>
      <w:r w:rsidRPr="00515872">
        <w:rPr>
          <w:rFonts w:eastAsia="Times New Roman" w:cs="Tahoma"/>
          <w:b/>
          <w:szCs w:val="20"/>
          <w:lang w:eastAsia="it-IT"/>
        </w:rPr>
        <w:t>a decorrere dall’anno 2016 cessano di avere applicazione le disposizioni concernenti la disciplina del patto di stabilità interno degli enti locali</w:t>
      </w:r>
      <w:r w:rsidRPr="00515872">
        <w:rPr>
          <w:rFonts w:eastAsia="Times New Roman" w:cs="Tahoma"/>
          <w:szCs w:val="20"/>
          <w:lang w:eastAsia="it-IT"/>
        </w:rPr>
        <w:t>.</w:t>
      </w:r>
    </w:p>
    <w:p w14:paraId="4203D01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legge di stabilità, per evitare l'impatto di una serie di regole che avrebbero messo in crisi gli enti locali, ha sospeso l'applicazione dell'intero pacchetto previsto dalla L. 24 dicembre 2012, n. 243, imponendo agli enti il pareggio di bilancio nel solo saldo finale di competenza.</w:t>
      </w:r>
    </w:p>
    <w:p w14:paraId="27521C88" w14:textId="77777777" w:rsidR="009518AF" w:rsidRPr="00515872" w:rsidRDefault="009518AF" w:rsidP="009518AF">
      <w:pPr>
        <w:spacing w:after="0" w:line="360" w:lineRule="auto"/>
        <w:jc w:val="both"/>
        <w:rPr>
          <w:rFonts w:cs="Tahoma"/>
          <w:color w:val="000000"/>
        </w:rPr>
      </w:pPr>
      <w:r w:rsidRPr="00515872">
        <w:rPr>
          <w:rFonts w:cs="Tahoma"/>
          <w:color w:val="000000"/>
        </w:rPr>
        <w:t>Per l’anno 2016 e successivi sono soggetti all’obbligo di conseguire un saldo non negativo, in termini</w:t>
      </w:r>
      <w:r w:rsidRPr="00515872">
        <w:rPr>
          <w:rFonts w:cs="Tahoma"/>
          <w:color w:val="000000"/>
        </w:rPr>
        <w:br/>
        <w:t>di competenza, tra le entrate finali e le spese finali:</w:t>
      </w:r>
    </w:p>
    <w:p w14:paraId="141D46A8" w14:textId="77777777" w:rsidR="009518AF" w:rsidRPr="00515872" w:rsidRDefault="009518AF" w:rsidP="00D65838">
      <w:pPr>
        <w:pStyle w:val="Paragrafoelenco"/>
        <w:numPr>
          <w:ilvl w:val="0"/>
          <w:numId w:val="94"/>
        </w:numPr>
        <w:spacing w:line="360" w:lineRule="auto"/>
        <w:jc w:val="both"/>
        <w:rPr>
          <w:rFonts w:eastAsia="Times New Roman" w:cs="Tahoma"/>
          <w:szCs w:val="20"/>
          <w:lang w:eastAsia="it-IT"/>
        </w:rPr>
      </w:pPr>
      <w:r w:rsidRPr="00515872">
        <w:rPr>
          <w:rFonts w:cs="Tahoma"/>
          <w:color w:val="000000"/>
        </w:rPr>
        <w:t>le regioni;</w:t>
      </w:r>
    </w:p>
    <w:p w14:paraId="422C45D1" w14:textId="77777777" w:rsidR="009518AF" w:rsidRPr="00515872" w:rsidRDefault="009518AF" w:rsidP="00D65838">
      <w:pPr>
        <w:pStyle w:val="Paragrafoelenco"/>
        <w:numPr>
          <w:ilvl w:val="0"/>
          <w:numId w:val="94"/>
        </w:numPr>
        <w:spacing w:line="360" w:lineRule="auto"/>
        <w:jc w:val="both"/>
        <w:rPr>
          <w:rFonts w:eastAsia="Times New Roman" w:cs="Tahoma"/>
          <w:szCs w:val="20"/>
          <w:lang w:eastAsia="it-IT"/>
        </w:rPr>
      </w:pPr>
      <w:r w:rsidRPr="00515872">
        <w:rPr>
          <w:rFonts w:cs="Tahoma"/>
          <w:color w:val="000000"/>
        </w:rPr>
        <w:t>le province;</w:t>
      </w:r>
    </w:p>
    <w:p w14:paraId="377F31E7" w14:textId="77777777" w:rsidR="009518AF" w:rsidRPr="00515872" w:rsidRDefault="009518AF" w:rsidP="00D65838">
      <w:pPr>
        <w:pStyle w:val="Paragrafoelenco"/>
        <w:numPr>
          <w:ilvl w:val="0"/>
          <w:numId w:val="94"/>
        </w:numPr>
        <w:spacing w:line="360" w:lineRule="auto"/>
        <w:jc w:val="both"/>
        <w:rPr>
          <w:rFonts w:eastAsia="Times New Roman" w:cs="Tahoma"/>
          <w:szCs w:val="20"/>
          <w:lang w:eastAsia="it-IT"/>
        </w:rPr>
      </w:pPr>
      <w:r w:rsidRPr="00515872">
        <w:rPr>
          <w:rFonts w:cs="Tahoma"/>
          <w:color w:val="000000"/>
        </w:rPr>
        <w:t>i comuni;</w:t>
      </w:r>
    </w:p>
    <w:p w14:paraId="25AA2FA1" w14:textId="77777777" w:rsidR="009518AF" w:rsidRPr="00515872" w:rsidRDefault="009518AF" w:rsidP="00D65838">
      <w:pPr>
        <w:pStyle w:val="Paragrafoelenco"/>
        <w:numPr>
          <w:ilvl w:val="0"/>
          <w:numId w:val="94"/>
        </w:numPr>
        <w:spacing w:line="360" w:lineRule="auto"/>
        <w:jc w:val="both"/>
        <w:rPr>
          <w:rFonts w:eastAsia="Times New Roman" w:cs="Tahoma"/>
          <w:szCs w:val="20"/>
          <w:lang w:eastAsia="it-IT"/>
        </w:rPr>
      </w:pPr>
      <w:r w:rsidRPr="00515872">
        <w:rPr>
          <w:rFonts w:cs="Tahoma"/>
          <w:color w:val="000000"/>
        </w:rPr>
        <w:t>le città metropolitane.</w:t>
      </w:r>
    </w:p>
    <w:p w14:paraId="0CF1FC9F" w14:textId="77777777" w:rsidR="003A607E"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Pertanto dal 2016 gli enti locali, compresi i comuni fino a 1.000 abitanti, quelli de</w:t>
      </w:r>
      <w:r w:rsidR="00F15650" w:rsidRPr="00515872">
        <w:rPr>
          <w:rFonts w:eastAsia="Times New Roman" w:cs="Tahoma"/>
          <w:szCs w:val="20"/>
          <w:lang w:eastAsia="it-IT"/>
        </w:rPr>
        <w:t>rivanti da fusioni</w:t>
      </w:r>
      <w:r w:rsidRPr="00515872">
        <w:rPr>
          <w:rFonts w:eastAsia="Times New Roman" w:cs="Tahoma"/>
          <w:szCs w:val="20"/>
          <w:lang w:eastAsia="it-IT"/>
        </w:rPr>
        <w:t>, devono sottostare al suddetto vincolo.</w:t>
      </w:r>
      <w:r w:rsidR="00F15650" w:rsidRPr="00515872">
        <w:rPr>
          <w:rFonts w:eastAsia="Times New Roman" w:cs="Tahoma"/>
          <w:szCs w:val="20"/>
          <w:lang w:eastAsia="it-IT"/>
        </w:rPr>
        <w:t xml:space="preserve"> </w:t>
      </w:r>
      <w:r w:rsidR="003A607E" w:rsidRPr="00515872">
        <w:rPr>
          <w:rFonts w:eastAsia="Times New Roman" w:cs="Tahoma"/>
          <w:szCs w:val="20"/>
          <w:lang w:eastAsia="it-IT"/>
        </w:rPr>
        <w:t>Rimangono, invece, escluse dal vincolo le unioni di comuni.</w:t>
      </w:r>
    </w:p>
    <w:p w14:paraId="3A751E07" w14:textId="01C876D9" w:rsidR="009518AF" w:rsidRPr="00515872" w:rsidRDefault="00F15650"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A fronte dell’abrogazione degli obblighi inerenti </w:t>
      </w:r>
      <w:r w:rsidR="00F61E9D" w:rsidRPr="00515872">
        <w:rPr>
          <w:rFonts w:eastAsia="Times New Roman" w:cs="Tahoma"/>
          <w:szCs w:val="20"/>
          <w:lang w:eastAsia="it-IT"/>
        </w:rPr>
        <w:t>al</w:t>
      </w:r>
      <w:r w:rsidRPr="00515872">
        <w:rPr>
          <w:rFonts w:eastAsia="Times New Roman" w:cs="Tahoma"/>
          <w:szCs w:val="20"/>
          <w:lang w:eastAsia="it-IT"/>
        </w:rPr>
        <w:t xml:space="preserve"> patto di stabilità, r</w:t>
      </w:r>
      <w:r w:rsidR="009518AF" w:rsidRPr="00515872">
        <w:rPr>
          <w:rFonts w:eastAsia="Times New Roman" w:cs="Tahoma"/>
          <w:szCs w:val="20"/>
          <w:lang w:eastAsia="it-IT"/>
        </w:rPr>
        <w:t xml:space="preserve">estavano </w:t>
      </w:r>
      <w:r w:rsidRPr="00515872">
        <w:rPr>
          <w:rFonts w:eastAsia="Times New Roman" w:cs="Tahoma"/>
          <w:szCs w:val="20"/>
          <w:lang w:eastAsia="it-IT"/>
        </w:rPr>
        <w:t xml:space="preserve">tuttavia </w:t>
      </w:r>
      <w:r w:rsidR="009518AF" w:rsidRPr="00515872">
        <w:rPr>
          <w:rFonts w:eastAsia="Times New Roman" w:cs="Tahoma"/>
          <w:szCs w:val="20"/>
          <w:lang w:eastAsia="it-IT"/>
        </w:rPr>
        <w:t>fermi</w:t>
      </w:r>
      <w:r w:rsidR="001F40ED" w:rsidRPr="00515872">
        <w:rPr>
          <w:rFonts w:eastAsia="Times New Roman" w:cs="Tahoma"/>
          <w:szCs w:val="20"/>
          <w:lang w:eastAsia="it-IT"/>
        </w:rPr>
        <w:t>, in fase di prima applicazione,</w:t>
      </w:r>
      <w:r w:rsidR="009518AF" w:rsidRPr="00515872">
        <w:rPr>
          <w:rFonts w:eastAsia="Times New Roman" w:cs="Tahoma"/>
          <w:szCs w:val="20"/>
          <w:lang w:eastAsia="it-IT"/>
        </w:rPr>
        <w:t xml:space="preserve"> gli adempimenti degli enti locali relativi al monitoraggio e alla certificazione del</w:t>
      </w:r>
      <w:r w:rsidRPr="00515872">
        <w:rPr>
          <w:rFonts w:eastAsia="Times New Roman" w:cs="Tahoma"/>
          <w:szCs w:val="20"/>
          <w:lang w:eastAsia="it-IT"/>
        </w:rPr>
        <w:t xml:space="preserve"> rispetto dello stesso per</w:t>
      </w:r>
      <w:r w:rsidR="009518AF" w:rsidRPr="00515872">
        <w:rPr>
          <w:rFonts w:eastAsia="Times New Roman" w:cs="Tahoma"/>
          <w:szCs w:val="20"/>
          <w:lang w:eastAsia="it-IT"/>
        </w:rPr>
        <w:t xml:space="preserve"> 2015 nonché l’applicazione delle sanzioni in caso di mancato rispetto</w:t>
      </w:r>
      <w:r w:rsidRPr="00515872">
        <w:rPr>
          <w:rFonts w:eastAsia="Times New Roman" w:cs="Tahoma"/>
          <w:szCs w:val="20"/>
          <w:lang w:eastAsia="it-IT"/>
        </w:rPr>
        <w:t xml:space="preserve"> </w:t>
      </w:r>
      <w:r w:rsidR="009518AF" w:rsidRPr="00515872">
        <w:rPr>
          <w:rFonts w:eastAsia="Times New Roman" w:cs="Tahoma"/>
          <w:szCs w:val="20"/>
          <w:lang w:eastAsia="it-IT"/>
        </w:rPr>
        <w:t>relativ</w:t>
      </w:r>
      <w:r w:rsidRPr="00515872">
        <w:rPr>
          <w:rFonts w:eastAsia="Times New Roman" w:cs="Tahoma"/>
          <w:szCs w:val="20"/>
          <w:lang w:eastAsia="it-IT"/>
        </w:rPr>
        <w:t>amente</w:t>
      </w:r>
      <w:r w:rsidR="009518AF" w:rsidRPr="00515872">
        <w:rPr>
          <w:rFonts w:eastAsia="Times New Roman" w:cs="Tahoma"/>
          <w:szCs w:val="20"/>
          <w:lang w:eastAsia="it-IT"/>
        </w:rPr>
        <w:t xml:space="preserve"> all’anno 2015 o ai precedenti.</w:t>
      </w:r>
    </w:p>
    <w:p w14:paraId="3A0DCA36" w14:textId="77777777" w:rsidR="009518AF" w:rsidRPr="00515872" w:rsidRDefault="001F40ED" w:rsidP="009518AF">
      <w:pPr>
        <w:spacing w:line="360" w:lineRule="auto"/>
        <w:jc w:val="both"/>
        <w:rPr>
          <w:rFonts w:eastAsia="Times New Roman" w:cs="Tahoma"/>
          <w:szCs w:val="20"/>
          <w:lang w:eastAsia="it-IT"/>
        </w:rPr>
      </w:pPr>
      <w:r w:rsidRPr="00515872">
        <w:rPr>
          <w:rFonts w:eastAsia="Times New Roman" w:cs="Tahoma"/>
          <w:szCs w:val="20"/>
          <w:lang w:eastAsia="it-IT"/>
        </w:rPr>
        <w:t>Erano</w:t>
      </w:r>
      <w:r w:rsidR="009518AF" w:rsidRPr="00515872">
        <w:rPr>
          <w:rFonts w:eastAsia="Times New Roman" w:cs="Tahoma"/>
          <w:szCs w:val="20"/>
          <w:lang w:eastAsia="it-IT"/>
        </w:rPr>
        <w:t xml:space="preserve"> fatti salvi, inoltre, gli effetti connessi all’applicazion</w:t>
      </w:r>
      <w:r w:rsidR="00E079E7" w:rsidRPr="00515872">
        <w:rPr>
          <w:rFonts w:eastAsia="Times New Roman" w:cs="Tahoma"/>
          <w:szCs w:val="20"/>
          <w:lang w:eastAsia="it-IT"/>
        </w:rPr>
        <w:t>e</w:t>
      </w:r>
      <w:r w:rsidR="009518AF" w:rsidRPr="00515872">
        <w:rPr>
          <w:rFonts w:eastAsia="Times New Roman" w:cs="Tahoma"/>
          <w:szCs w:val="20"/>
          <w:lang w:eastAsia="it-IT"/>
        </w:rPr>
        <w:t xml:space="preserve"> ne</w:t>
      </w:r>
      <w:r w:rsidR="00E079E7" w:rsidRPr="00515872">
        <w:rPr>
          <w:rFonts w:eastAsia="Times New Roman" w:cs="Tahoma"/>
          <w:szCs w:val="20"/>
          <w:lang w:eastAsia="it-IT"/>
        </w:rPr>
        <w:t>ll’anno 2016 d</w:t>
      </w:r>
      <w:r w:rsidR="009518AF" w:rsidRPr="00515872">
        <w:rPr>
          <w:rFonts w:eastAsia="Times New Roman" w:cs="Tahoma"/>
          <w:szCs w:val="20"/>
          <w:lang w:eastAsia="it-IT"/>
        </w:rPr>
        <w:t>ei patti orizzontali. Si tratta</w:t>
      </w:r>
      <w:r w:rsidR="00F15650" w:rsidRPr="00515872">
        <w:rPr>
          <w:rFonts w:eastAsia="Times New Roman" w:cs="Tahoma"/>
          <w:szCs w:val="20"/>
          <w:lang w:eastAsia="it-IT"/>
        </w:rPr>
        <w:t>va</w:t>
      </w:r>
      <w:r w:rsidR="009518AF" w:rsidRPr="00515872">
        <w:rPr>
          <w:rFonts w:eastAsia="Times New Roman" w:cs="Tahoma"/>
          <w:szCs w:val="20"/>
          <w:lang w:eastAsia="it-IT"/>
        </w:rPr>
        <w:t xml:space="preserve"> delle code di vecchi patti di solidarietà dovute a cessioni e acquisizioni di spazi finanziari che d</w:t>
      </w:r>
      <w:r w:rsidRPr="00515872">
        <w:rPr>
          <w:rFonts w:eastAsia="Times New Roman" w:cs="Tahoma"/>
          <w:szCs w:val="20"/>
          <w:lang w:eastAsia="it-IT"/>
        </w:rPr>
        <w:t>ovevano</w:t>
      </w:r>
      <w:r w:rsidR="009518AF" w:rsidRPr="00515872">
        <w:rPr>
          <w:rFonts w:eastAsia="Times New Roman" w:cs="Tahoma"/>
          <w:szCs w:val="20"/>
          <w:lang w:eastAsia="it-IT"/>
        </w:rPr>
        <w:t xml:space="preserve"> entrare a far parte</w:t>
      </w:r>
      <w:r w:rsidR="00E079E7" w:rsidRPr="00515872">
        <w:rPr>
          <w:rFonts w:eastAsia="Times New Roman" w:cs="Tahoma"/>
          <w:szCs w:val="20"/>
          <w:lang w:eastAsia="it-IT"/>
        </w:rPr>
        <w:t xml:space="preserve"> del prospetto dimostrativo 2018-2020</w:t>
      </w:r>
      <w:r w:rsidR="009518AF" w:rsidRPr="00515872">
        <w:rPr>
          <w:rFonts w:eastAsia="Times New Roman" w:cs="Tahoma"/>
          <w:szCs w:val="20"/>
          <w:lang w:eastAsia="it-IT"/>
        </w:rPr>
        <w:t>, con effetti di riduzione del saldo, se si tratta</w:t>
      </w:r>
      <w:r w:rsidR="00F15650" w:rsidRPr="00515872">
        <w:rPr>
          <w:rFonts w:eastAsia="Times New Roman" w:cs="Tahoma"/>
          <w:szCs w:val="20"/>
          <w:lang w:eastAsia="it-IT"/>
        </w:rPr>
        <w:t>va</w:t>
      </w:r>
      <w:r w:rsidR="009518AF" w:rsidRPr="00515872">
        <w:rPr>
          <w:rFonts w:eastAsia="Times New Roman" w:cs="Tahoma"/>
          <w:szCs w:val="20"/>
          <w:lang w:eastAsia="it-IT"/>
        </w:rPr>
        <w:t xml:space="preserve"> di spazi ricevuti nei due anni precedenti, o di aumento, nel caso di spazi ceduti sempre nello stesso periodo.</w:t>
      </w:r>
    </w:p>
    <w:p w14:paraId="3E134106" w14:textId="77777777" w:rsidR="009518AF" w:rsidRPr="00515872" w:rsidRDefault="003A607E" w:rsidP="009518AF">
      <w:pPr>
        <w:spacing w:line="360" w:lineRule="auto"/>
        <w:jc w:val="both"/>
        <w:rPr>
          <w:rFonts w:eastAsia="Times New Roman" w:cs="Tahoma"/>
          <w:szCs w:val="20"/>
          <w:lang w:eastAsia="it-IT"/>
        </w:rPr>
      </w:pPr>
      <w:r w:rsidRPr="00515872">
        <w:rPr>
          <w:rFonts w:eastAsia="Times New Roman" w:cs="Tahoma"/>
          <w:szCs w:val="20"/>
          <w:lang w:eastAsia="it-IT"/>
        </w:rPr>
        <w:lastRenderedPageBreak/>
        <w:t>Il passaggio dal vecchio patto di stabilità a</w:t>
      </w:r>
      <w:r w:rsidR="009518AF" w:rsidRPr="00515872">
        <w:rPr>
          <w:rFonts w:eastAsia="Times New Roman" w:cs="Tahoma"/>
          <w:szCs w:val="20"/>
          <w:lang w:eastAsia="it-IT"/>
        </w:rPr>
        <w:t>l nuovo vincolo rappresenta, a tutti gli effetti, un’agevolazione nella programmazione finanziaria dell’ente che può concentrarsi ora sulla sola competenza evitando, pertanto, difficili manovre sulle previsioni di cassa che inducevano molti enti, secondo le previgenti regole, ad adottare misure restrittive sui pagamenti dei debiti in conto capitale, pur in presenza di consistenze di cassa capienti, al fine di evitare lo sforamento dell’obiettivo e l’applicazione dei conseguenti dispositivi sanzionatori, con sacrificio, talvolta, della tempestività del pagamento dei debiti</w:t>
      </w:r>
      <w:r w:rsidR="00B54A2E" w:rsidRPr="00515872">
        <w:rPr>
          <w:rFonts w:eastAsia="Times New Roman" w:cs="Tahoma"/>
          <w:szCs w:val="20"/>
          <w:lang w:eastAsia="it-IT"/>
        </w:rPr>
        <w:t xml:space="preserve"> e alimentando, in tal modo, la reputazione di “cattiva pagatrice” della pubblica amministrazione</w:t>
      </w:r>
      <w:r w:rsidR="009518AF" w:rsidRPr="00515872">
        <w:rPr>
          <w:rFonts w:eastAsia="Times New Roman" w:cs="Tahoma"/>
          <w:szCs w:val="20"/>
          <w:lang w:eastAsia="it-IT"/>
        </w:rPr>
        <w:t>.</w:t>
      </w:r>
    </w:p>
    <w:p w14:paraId="03B260F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L’art. 9</w:t>
      </w:r>
      <w:r w:rsidR="00B41A28" w:rsidRPr="00515872">
        <w:rPr>
          <w:rFonts w:eastAsia="Times New Roman" w:cs="Tahoma"/>
          <w:szCs w:val="20"/>
          <w:lang w:eastAsia="it-IT"/>
        </w:rPr>
        <w:t>,</w:t>
      </w:r>
      <w:r w:rsidRPr="00515872">
        <w:rPr>
          <w:rFonts w:eastAsia="Times New Roman" w:cs="Tahoma"/>
          <w:szCs w:val="20"/>
          <w:lang w:eastAsia="it-IT"/>
        </w:rPr>
        <w:t xml:space="preserve"> L. 24 dicembre 2012, n. 243, come modificato dalla L. 12 agosto 2016, n. 164, prevede che “</w:t>
      </w:r>
      <w:r w:rsidRPr="00515872">
        <w:rPr>
          <w:rFonts w:eastAsia="Times New Roman" w:cs="Tahoma"/>
          <w:i/>
          <w:szCs w:val="20"/>
          <w:lang w:eastAsia="it-IT"/>
        </w:rPr>
        <w:t>I bilanci delle regioni, dei comuni, delle province, delle città metropolitane e delle province autonome di Trento e di Bolzano si considerano in equilibrio quando, sia nella fase di previsione che di rendiconto, conseguono un saldo non negativo, in termini di competenza, tra le entrate finali e le spese finali, come eventualmente modificato ai sensi dell'articolo 10</w:t>
      </w:r>
      <w:r w:rsidRPr="00515872">
        <w:rPr>
          <w:rStyle w:val="Rimandonotaapidipagina"/>
          <w:rFonts w:eastAsia="Times New Roman" w:cs="Tahoma"/>
          <w:szCs w:val="20"/>
          <w:lang w:eastAsia="it-IT"/>
        </w:rPr>
        <w:footnoteReference w:id="52"/>
      </w:r>
      <w:r w:rsidRPr="00515872">
        <w:rPr>
          <w:rFonts w:eastAsia="Times New Roman" w:cs="Tahoma"/>
          <w:szCs w:val="20"/>
          <w:lang w:eastAsia="it-IT"/>
        </w:rPr>
        <w:t>”.</w:t>
      </w:r>
    </w:p>
    <w:p w14:paraId="6D3FB3A2" w14:textId="77777777" w:rsidR="000A5091" w:rsidRPr="00515872" w:rsidRDefault="009518AF" w:rsidP="000A5091">
      <w:pPr>
        <w:spacing w:line="360" w:lineRule="auto"/>
        <w:jc w:val="both"/>
        <w:rPr>
          <w:rFonts w:eastAsia="Times New Roman" w:cs="Tahoma"/>
          <w:szCs w:val="20"/>
          <w:lang w:eastAsia="it-IT"/>
        </w:rPr>
      </w:pPr>
      <w:r w:rsidRPr="00515872">
        <w:rPr>
          <w:rFonts w:eastAsia="Times New Roman" w:cs="Tahoma"/>
          <w:szCs w:val="20"/>
          <w:lang w:eastAsia="it-IT"/>
        </w:rPr>
        <w:t xml:space="preserve">Al fine della verifica del rispetto dell’obiettivo, le entrate finali da conteggiare sono quelle ascrivibili ai titoli 1, 2, 3, 4 e 5, mentre le spese sono quelle di cui ai titoli 1, 2 e 3. Tra le entrate e le spese finali è contemplato anche il FPV, al netto della quota riveniente dal ricorso all’indebitamento (o da avanzo derivante da devoluzione di mutui). </w:t>
      </w:r>
      <w:r w:rsidR="000A5091" w:rsidRPr="00515872">
        <w:rPr>
          <w:rFonts w:eastAsia="Times New Roman" w:cs="Tahoma"/>
          <w:szCs w:val="20"/>
          <w:lang w:eastAsia="it-IT"/>
        </w:rPr>
        <w:t>L’art. 1, c. 466, L. 11 dicembre 2016, n. 232, prevedeva che d</w:t>
      </w:r>
      <w:r w:rsidRPr="00515872">
        <w:rPr>
          <w:rFonts w:eastAsia="Times New Roman" w:cs="Tahoma"/>
          <w:szCs w:val="20"/>
          <w:lang w:eastAsia="it-IT"/>
        </w:rPr>
        <w:t xml:space="preserve">al 2020 tra le entrate e le spese finali </w:t>
      </w:r>
      <w:r w:rsidR="000A5091" w:rsidRPr="00515872">
        <w:rPr>
          <w:rFonts w:eastAsia="Times New Roman" w:cs="Tahoma"/>
          <w:szCs w:val="20"/>
          <w:lang w:eastAsia="it-IT"/>
        </w:rPr>
        <w:t>fosse</w:t>
      </w:r>
      <w:r w:rsidRPr="00515872">
        <w:rPr>
          <w:rFonts w:eastAsia="Times New Roman" w:cs="Tahoma"/>
          <w:szCs w:val="20"/>
          <w:lang w:eastAsia="it-IT"/>
        </w:rPr>
        <w:t xml:space="preserve"> incluso solo il FPV di entrata e spesa, finanziato dalle entrate finali</w:t>
      </w:r>
      <w:r w:rsidR="00232166" w:rsidRPr="00515872">
        <w:rPr>
          <w:rFonts w:eastAsia="Times New Roman" w:cs="Tahoma"/>
          <w:szCs w:val="20"/>
          <w:lang w:eastAsia="it-IT"/>
        </w:rPr>
        <w:t xml:space="preserve">; </w:t>
      </w:r>
      <w:r w:rsidRPr="00515872">
        <w:rPr>
          <w:rFonts w:eastAsia="Times New Roman" w:cs="Tahoma"/>
          <w:szCs w:val="20"/>
          <w:lang w:eastAsia="it-IT"/>
        </w:rPr>
        <w:t>non da debito o avanzo.</w:t>
      </w:r>
      <w:r w:rsidR="000A5091" w:rsidRPr="00515872">
        <w:rPr>
          <w:rFonts w:eastAsia="Times New Roman" w:cs="Tahoma"/>
          <w:szCs w:val="20"/>
          <w:lang w:eastAsia="it-IT"/>
        </w:rPr>
        <w:t xml:space="preserve"> Con la sentenza n. 101 del 2018, la Corte Costituzionale ha dichiarato l’illegittimità di tale assunzione.</w:t>
      </w:r>
      <w:r w:rsidR="00232166" w:rsidRPr="00515872">
        <w:rPr>
          <w:rFonts w:eastAsia="Times New Roman" w:cs="Tahoma"/>
          <w:szCs w:val="20"/>
          <w:lang w:eastAsia="it-IT"/>
        </w:rPr>
        <w:t xml:space="preserve"> </w:t>
      </w:r>
      <w:r w:rsidR="000A5091" w:rsidRPr="00515872">
        <w:rPr>
          <w:rFonts w:cs="Tahoma"/>
          <w:color w:val="191B0E"/>
          <w:szCs w:val="20"/>
        </w:rPr>
        <w:t xml:space="preserve">Con la circolare n. 25/2018, la Ragioneria </w:t>
      </w:r>
      <w:r w:rsidR="00B41A28" w:rsidRPr="00515872">
        <w:rPr>
          <w:rFonts w:cs="Tahoma"/>
          <w:color w:val="191B0E"/>
          <w:szCs w:val="20"/>
        </w:rPr>
        <w:t>G</w:t>
      </w:r>
      <w:r w:rsidR="000A5091" w:rsidRPr="00515872">
        <w:rPr>
          <w:rFonts w:cs="Tahoma"/>
          <w:color w:val="191B0E"/>
          <w:szCs w:val="20"/>
        </w:rPr>
        <w:t xml:space="preserve">enerale dello Stato, a seguito delle pronunce della Corte </w:t>
      </w:r>
      <w:r w:rsidR="00247AFD" w:rsidRPr="00515872">
        <w:rPr>
          <w:rFonts w:cs="Tahoma"/>
          <w:color w:val="191B0E"/>
          <w:szCs w:val="20"/>
        </w:rPr>
        <w:t>C</w:t>
      </w:r>
      <w:r w:rsidR="000A5091" w:rsidRPr="00515872">
        <w:rPr>
          <w:rFonts w:cs="Tahoma"/>
          <w:color w:val="191B0E"/>
          <w:szCs w:val="20"/>
        </w:rPr>
        <w:t xml:space="preserve">ostituzione n. 247/2017 e n. 101/2018 ha affermato che </w:t>
      </w:r>
      <w:r w:rsidR="00232166" w:rsidRPr="00515872">
        <w:rPr>
          <w:rFonts w:cs="Tahoma"/>
          <w:color w:val="191B0E"/>
          <w:szCs w:val="20"/>
        </w:rPr>
        <w:t>“</w:t>
      </w:r>
      <w:r w:rsidR="000A5091" w:rsidRPr="00515872">
        <w:rPr>
          <w:rFonts w:cs="Tahoma"/>
          <w:i/>
          <w:color w:val="191B0E"/>
          <w:szCs w:val="20"/>
        </w:rPr>
        <w:t>l'avanzo di amministrazione rimane nella disponibilità dell'ente che lo realizza</w:t>
      </w:r>
      <w:r w:rsidR="00232166" w:rsidRPr="00515872">
        <w:rPr>
          <w:rFonts w:cs="Tahoma"/>
          <w:color w:val="191B0E"/>
          <w:szCs w:val="20"/>
        </w:rPr>
        <w:t>”</w:t>
      </w:r>
      <w:r w:rsidR="000A5091" w:rsidRPr="00515872">
        <w:rPr>
          <w:rFonts w:cs="Tahoma"/>
          <w:color w:val="191B0E"/>
          <w:szCs w:val="20"/>
        </w:rPr>
        <w:t xml:space="preserve"> e </w:t>
      </w:r>
      <w:r w:rsidR="00232166" w:rsidRPr="00515872">
        <w:rPr>
          <w:rFonts w:cs="Tahoma"/>
          <w:color w:val="191B0E"/>
          <w:szCs w:val="20"/>
        </w:rPr>
        <w:t>“</w:t>
      </w:r>
      <w:r w:rsidR="000A5091" w:rsidRPr="00515872">
        <w:rPr>
          <w:rFonts w:cs="Tahoma"/>
          <w:i/>
          <w:color w:val="191B0E"/>
          <w:szCs w:val="20"/>
        </w:rPr>
        <w:t>non può essere oggetto di prelievo forzoso</w:t>
      </w:r>
      <w:r w:rsidR="00232166" w:rsidRPr="00515872">
        <w:rPr>
          <w:rFonts w:cs="Tahoma"/>
          <w:color w:val="191B0E"/>
          <w:szCs w:val="20"/>
        </w:rPr>
        <w:t>”</w:t>
      </w:r>
      <w:r w:rsidR="000A5091" w:rsidRPr="00515872">
        <w:rPr>
          <w:rFonts w:cs="Tahoma"/>
          <w:color w:val="191B0E"/>
          <w:szCs w:val="20"/>
        </w:rPr>
        <w:t xml:space="preserve"> attraverso i vincoli del pareggio di bilancio. Conseguentemente, ai fini della determinazione del saldo di finanza pubblica per l'anno 2018 gli enti considerano tra le entrate finali anche l'avanzo di amministrazione per investimenti applicato al bilancio di previsione del medesimo esercizio.</w:t>
      </w:r>
    </w:p>
    <w:p w14:paraId="3FDB3301" w14:textId="77777777" w:rsidR="00232166" w:rsidRPr="00515872" w:rsidRDefault="00232166" w:rsidP="00232166">
      <w:pPr>
        <w:spacing w:line="360" w:lineRule="auto"/>
        <w:jc w:val="both"/>
        <w:rPr>
          <w:rFonts w:eastAsia="Times New Roman" w:cs="Tahoma"/>
          <w:szCs w:val="20"/>
          <w:lang w:eastAsia="it-IT"/>
        </w:rPr>
      </w:pPr>
      <w:r w:rsidRPr="00515872">
        <w:rPr>
          <w:rFonts w:cs="Tahoma"/>
        </w:rPr>
        <w:t>Ulteriormente, il saldo non considera la quota del FPV di entrata che finanzia gli impegni cancellati definitivamente dopo l'approvazione del rendiconto dell'anno precedente.</w:t>
      </w:r>
    </w:p>
    <w:p w14:paraId="57408F98" w14:textId="77777777" w:rsidR="00FF03B0" w:rsidRPr="00515872" w:rsidRDefault="00C72505" w:rsidP="009518AF">
      <w:pPr>
        <w:spacing w:line="360" w:lineRule="auto"/>
        <w:jc w:val="both"/>
        <w:rPr>
          <w:rFonts w:cs="Tahoma"/>
          <w:szCs w:val="20"/>
        </w:rPr>
      </w:pPr>
      <w:r w:rsidRPr="00515872">
        <w:rPr>
          <w:rFonts w:cs="Tahoma"/>
          <w:color w:val="191B0E"/>
          <w:szCs w:val="20"/>
        </w:rPr>
        <w:t>L’</w:t>
      </w:r>
      <w:r w:rsidR="000D65E9" w:rsidRPr="00515872">
        <w:rPr>
          <w:rFonts w:cs="Tahoma"/>
          <w:color w:val="191B0E"/>
          <w:szCs w:val="20"/>
        </w:rPr>
        <w:t>art</w:t>
      </w:r>
      <w:r w:rsidR="00B41A28" w:rsidRPr="00515872">
        <w:rPr>
          <w:rFonts w:cs="Tahoma"/>
          <w:color w:val="191B0E"/>
          <w:szCs w:val="20"/>
        </w:rPr>
        <w:t>.</w:t>
      </w:r>
      <w:r w:rsidR="000D65E9" w:rsidRPr="00515872">
        <w:rPr>
          <w:rFonts w:cs="Tahoma"/>
          <w:color w:val="191B0E"/>
          <w:szCs w:val="20"/>
        </w:rPr>
        <w:t xml:space="preserve"> 1, c</w:t>
      </w:r>
      <w:r w:rsidR="00B41A28" w:rsidRPr="00515872">
        <w:rPr>
          <w:rFonts w:cs="Tahoma"/>
          <w:color w:val="191B0E"/>
          <w:szCs w:val="20"/>
        </w:rPr>
        <w:t>c.</w:t>
      </w:r>
      <w:r w:rsidR="000D65E9" w:rsidRPr="00515872">
        <w:rPr>
          <w:rFonts w:cs="Tahoma"/>
          <w:color w:val="191B0E"/>
          <w:szCs w:val="20"/>
        </w:rPr>
        <w:t xml:space="preserve"> 819, 820 e 82</w:t>
      </w:r>
      <w:r w:rsidR="002A2497" w:rsidRPr="00515872">
        <w:rPr>
          <w:rFonts w:cs="Tahoma"/>
          <w:color w:val="191B0E"/>
          <w:szCs w:val="20"/>
        </w:rPr>
        <w:t>4</w:t>
      </w:r>
      <w:r w:rsidRPr="00515872">
        <w:rPr>
          <w:rFonts w:cs="Tahoma"/>
          <w:color w:val="191B0E"/>
          <w:szCs w:val="20"/>
        </w:rPr>
        <w:t xml:space="preserve">, della richiamata </w:t>
      </w:r>
      <w:r w:rsidR="00B41A28" w:rsidRPr="00515872">
        <w:rPr>
          <w:rFonts w:cs="Tahoma"/>
          <w:color w:val="191B0E"/>
          <w:szCs w:val="20"/>
        </w:rPr>
        <w:t>L.</w:t>
      </w:r>
      <w:r w:rsidRPr="00515872">
        <w:rPr>
          <w:rFonts w:cs="Tahoma"/>
          <w:color w:val="191B0E"/>
          <w:szCs w:val="20"/>
        </w:rPr>
        <w:t xml:space="preserve"> n. 145</w:t>
      </w:r>
      <w:r w:rsidR="00B41A28" w:rsidRPr="00515872">
        <w:rPr>
          <w:rFonts w:cs="Tahoma"/>
          <w:color w:val="191B0E"/>
          <w:szCs w:val="20"/>
        </w:rPr>
        <w:t>/</w:t>
      </w:r>
      <w:r w:rsidRPr="00515872">
        <w:rPr>
          <w:rFonts w:cs="Tahoma"/>
          <w:color w:val="191B0E"/>
          <w:szCs w:val="20"/>
        </w:rPr>
        <w:t>2018, nel dare attuaz</w:t>
      </w:r>
      <w:r w:rsidR="00247AFD" w:rsidRPr="00515872">
        <w:rPr>
          <w:rFonts w:cs="Tahoma"/>
          <w:color w:val="191B0E"/>
          <w:szCs w:val="20"/>
        </w:rPr>
        <w:t>ione alle sentenze della Corte C</w:t>
      </w:r>
      <w:r w:rsidRPr="00515872">
        <w:rPr>
          <w:rFonts w:cs="Tahoma"/>
          <w:color w:val="191B0E"/>
          <w:szCs w:val="20"/>
        </w:rPr>
        <w:t>ostituzionale n. 247</w:t>
      </w:r>
      <w:r w:rsidR="00B41A28" w:rsidRPr="00515872">
        <w:rPr>
          <w:rFonts w:cs="Tahoma"/>
          <w:color w:val="191B0E"/>
          <w:szCs w:val="20"/>
        </w:rPr>
        <w:t>/</w:t>
      </w:r>
      <w:r w:rsidRPr="00515872">
        <w:rPr>
          <w:rFonts w:cs="Tahoma"/>
          <w:color w:val="191B0E"/>
          <w:szCs w:val="20"/>
        </w:rPr>
        <w:t>2017 e n. 101</w:t>
      </w:r>
      <w:r w:rsidR="00B41A28" w:rsidRPr="00515872">
        <w:rPr>
          <w:rFonts w:cs="Tahoma"/>
          <w:color w:val="191B0E"/>
          <w:szCs w:val="20"/>
        </w:rPr>
        <w:t>/</w:t>
      </w:r>
      <w:r w:rsidRPr="00515872">
        <w:rPr>
          <w:rFonts w:cs="Tahoma"/>
          <w:color w:val="191B0E"/>
          <w:szCs w:val="20"/>
        </w:rPr>
        <w:t>2018, prevede che le regioni a statuto speciale, le province autonome e gli enti locali, a partire dal 2019, e le regioni a statuto ordinario, a partire dal 2021, utilizz</w:t>
      </w:r>
      <w:r w:rsidR="00B41A28" w:rsidRPr="00515872">
        <w:rPr>
          <w:rFonts w:cs="Tahoma"/>
          <w:color w:val="191B0E"/>
          <w:szCs w:val="20"/>
        </w:rPr>
        <w:t>i</w:t>
      </w:r>
      <w:r w:rsidRPr="00515872">
        <w:rPr>
          <w:rFonts w:cs="Tahoma"/>
          <w:color w:val="191B0E"/>
          <w:szCs w:val="20"/>
        </w:rPr>
        <w:t xml:space="preserve">no il risultato di amministrazione e il </w:t>
      </w:r>
      <w:r w:rsidR="00B41A28" w:rsidRPr="00515872">
        <w:rPr>
          <w:rFonts w:cs="Tahoma"/>
          <w:color w:val="191B0E"/>
          <w:szCs w:val="20"/>
        </w:rPr>
        <w:t>FPV</w:t>
      </w:r>
      <w:r w:rsidRPr="00515872">
        <w:rPr>
          <w:rFonts w:cs="Tahoma"/>
          <w:color w:val="191B0E"/>
          <w:szCs w:val="20"/>
        </w:rPr>
        <w:t xml:space="preserve"> di entrata e di spesa </w:t>
      </w:r>
      <w:r w:rsidRPr="00515872">
        <w:rPr>
          <w:rFonts w:cs="Tahoma"/>
          <w:b/>
          <w:color w:val="191B0E"/>
          <w:szCs w:val="20"/>
        </w:rPr>
        <w:t>nel rispetto delle sole disposizioni</w:t>
      </w:r>
      <w:r w:rsidRPr="00515872">
        <w:rPr>
          <w:rFonts w:cs="Tahoma"/>
          <w:color w:val="191B0E"/>
          <w:szCs w:val="20"/>
        </w:rPr>
        <w:t xml:space="preserve"> previste dal </w:t>
      </w:r>
      <w:proofErr w:type="spellStart"/>
      <w:r w:rsidR="00B41A28" w:rsidRPr="00515872">
        <w:rPr>
          <w:rFonts w:cs="Tahoma"/>
          <w:color w:val="191B0E"/>
          <w:szCs w:val="20"/>
        </w:rPr>
        <w:t>D.Lgs.</w:t>
      </w:r>
      <w:proofErr w:type="spellEnd"/>
      <w:r w:rsidRPr="00515872">
        <w:rPr>
          <w:rFonts w:cs="Tahoma"/>
          <w:color w:val="191B0E"/>
          <w:szCs w:val="20"/>
        </w:rPr>
        <w:t xml:space="preserve"> 23 giugno 2011, n. 118.</w:t>
      </w:r>
      <w:r w:rsidR="002A2497" w:rsidRPr="00515872">
        <w:rPr>
          <w:rFonts w:cs="Tahoma"/>
          <w:color w:val="191B0E"/>
          <w:szCs w:val="20"/>
        </w:rPr>
        <w:t xml:space="preserve"> Il c</w:t>
      </w:r>
      <w:r w:rsidR="00B41A28" w:rsidRPr="00515872">
        <w:rPr>
          <w:rFonts w:cs="Tahoma"/>
          <w:color w:val="191B0E"/>
          <w:szCs w:val="20"/>
        </w:rPr>
        <w:t>.</w:t>
      </w:r>
      <w:r w:rsidR="002A2497" w:rsidRPr="00515872">
        <w:rPr>
          <w:rFonts w:cs="Tahoma"/>
          <w:color w:val="191B0E"/>
          <w:szCs w:val="20"/>
        </w:rPr>
        <w:t xml:space="preserve"> 823</w:t>
      </w:r>
      <w:r w:rsidR="00FF03B0" w:rsidRPr="00515872">
        <w:rPr>
          <w:rFonts w:cs="Tahoma"/>
          <w:color w:val="191B0E"/>
          <w:szCs w:val="20"/>
        </w:rPr>
        <w:t xml:space="preserve">, dispone che resta ferma l’applicazione delle sanzioni agli enti in caso di mancato </w:t>
      </w:r>
      <w:r w:rsidR="00FF03B0" w:rsidRPr="00515872">
        <w:rPr>
          <w:rFonts w:cs="Tahoma"/>
          <w:color w:val="191B0E"/>
          <w:szCs w:val="20"/>
        </w:rPr>
        <w:lastRenderedPageBreak/>
        <w:t xml:space="preserve">conseguimento del saldo non negativo </w:t>
      </w:r>
      <w:r w:rsidR="00FF03B0" w:rsidRPr="00515872">
        <w:rPr>
          <w:rFonts w:cs="Tahoma"/>
          <w:szCs w:val="20"/>
        </w:rPr>
        <w:t xml:space="preserve">2017 </w:t>
      </w:r>
      <w:r w:rsidR="0013795E" w:rsidRPr="00515872">
        <w:rPr>
          <w:rFonts w:cs="Tahoma"/>
          <w:b/>
          <w:bCs/>
          <w:szCs w:val="20"/>
        </w:rPr>
        <w:t>accertato dalla Corte dei C</w:t>
      </w:r>
      <w:r w:rsidR="00FF03B0" w:rsidRPr="00515872">
        <w:rPr>
          <w:rFonts w:cs="Tahoma"/>
          <w:b/>
          <w:bCs/>
          <w:szCs w:val="20"/>
        </w:rPr>
        <w:t xml:space="preserve">onti </w:t>
      </w:r>
      <w:r w:rsidR="00FF03B0" w:rsidRPr="00515872">
        <w:rPr>
          <w:rFonts w:cs="Tahoma"/>
          <w:color w:val="191B0E"/>
          <w:szCs w:val="20"/>
        </w:rPr>
        <w:t>successivamente all’anno seguente a quello cui la violazione si riferisce, ai sensi dei cc. 477 e 478, dell’art. 1 della legge di bilancio 2017.</w:t>
      </w:r>
    </w:p>
    <w:p w14:paraId="62D19913" w14:textId="77777777" w:rsidR="00FF03B0" w:rsidRPr="00515872" w:rsidRDefault="00FF03B0" w:rsidP="00B9443E">
      <w:pPr>
        <w:spacing w:line="360" w:lineRule="auto"/>
        <w:jc w:val="both"/>
        <w:rPr>
          <w:rFonts w:cs="Tahoma"/>
          <w:szCs w:val="20"/>
        </w:rPr>
      </w:pPr>
      <w:r w:rsidRPr="00515872">
        <w:rPr>
          <w:rFonts w:cs="Tahoma"/>
          <w:color w:val="191B0E"/>
          <w:szCs w:val="20"/>
        </w:rPr>
        <w:t>I c</w:t>
      </w:r>
      <w:r w:rsidR="00B41A28" w:rsidRPr="00515872">
        <w:rPr>
          <w:rFonts w:cs="Tahoma"/>
          <w:color w:val="191B0E"/>
          <w:szCs w:val="20"/>
        </w:rPr>
        <w:t>c.</w:t>
      </w:r>
      <w:r w:rsidRPr="00515872">
        <w:rPr>
          <w:rFonts w:cs="Tahoma"/>
          <w:color w:val="191B0E"/>
          <w:szCs w:val="20"/>
        </w:rPr>
        <w:t xml:space="preserve"> da 827 a 8</w:t>
      </w:r>
      <w:r w:rsidR="00232166" w:rsidRPr="00515872">
        <w:rPr>
          <w:rFonts w:cs="Tahoma"/>
          <w:color w:val="191B0E"/>
          <w:szCs w:val="20"/>
        </w:rPr>
        <w:t>29</w:t>
      </w:r>
      <w:r w:rsidRPr="00515872">
        <w:rPr>
          <w:rFonts w:cs="Tahoma"/>
          <w:color w:val="191B0E"/>
          <w:szCs w:val="20"/>
        </w:rPr>
        <w:t xml:space="preserve"> della legge di bilancio 2019 escludono, in determinate ipotesi, l’applicazione delle sanzioni previste a carico degli enti locali per le violazioni della normativa sul patto di stabilità interno e sul pareggio di bilancio. </w:t>
      </w:r>
    </w:p>
    <w:p w14:paraId="1DEA6C75" w14:textId="77777777" w:rsidR="009518AF" w:rsidRPr="00515872" w:rsidRDefault="009518AF" w:rsidP="009518AF">
      <w:pPr>
        <w:spacing w:line="360" w:lineRule="auto"/>
        <w:jc w:val="both"/>
        <w:rPr>
          <w:rFonts w:cs="Tahoma"/>
          <w:color w:val="000000"/>
        </w:rPr>
      </w:pPr>
      <w:r w:rsidRPr="00515872">
        <w:rPr>
          <w:rFonts w:cs="Tahoma"/>
          <w:color w:val="000000"/>
        </w:rPr>
        <w:t>Con l’inserimento del c. 712-</w:t>
      </w:r>
      <w:r w:rsidRPr="00515872">
        <w:rPr>
          <w:rFonts w:cs="Tahoma"/>
          <w:iCs/>
          <w:color w:val="000000"/>
        </w:rPr>
        <w:t>bis</w:t>
      </w:r>
      <w:r w:rsidRPr="00515872">
        <w:rPr>
          <w:rFonts w:cs="Tahoma"/>
          <w:color w:val="000000"/>
        </w:rPr>
        <w:t xml:space="preserve"> nell’art. 1 della L. n. 208/</w:t>
      </w:r>
      <w:r w:rsidR="00B9443E" w:rsidRPr="00515872">
        <w:rPr>
          <w:rFonts w:cs="Tahoma"/>
          <w:color w:val="000000"/>
        </w:rPr>
        <w:t>20</w:t>
      </w:r>
      <w:r w:rsidRPr="00515872">
        <w:rPr>
          <w:rFonts w:cs="Tahoma"/>
          <w:color w:val="000000"/>
        </w:rPr>
        <w:t>15, è stabilito che per l’anno 2016 le regioni, le province autonome, le città metropolitane e le province conseguono il saldo di “p</w:t>
      </w:r>
      <w:r w:rsidRPr="00515872">
        <w:rPr>
          <w:rFonts w:cs="Tahoma"/>
          <w:iCs/>
          <w:color w:val="000000"/>
        </w:rPr>
        <w:t>areggio di bilancio</w:t>
      </w:r>
      <w:r w:rsidRPr="00515872">
        <w:rPr>
          <w:rFonts w:cs="Tahoma"/>
          <w:color w:val="000000"/>
        </w:rPr>
        <w:t xml:space="preserve">” </w:t>
      </w:r>
      <w:r w:rsidRPr="00515872">
        <w:rPr>
          <w:rFonts w:cs="Tahoma"/>
          <w:b/>
          <w:color w:val="000000"/>
        </w:rPr>
        <w:t>solo in sede di rendiconto</w:t>
      </w:r>
      <w:r w:rsidRPr="00515872">
        <w:rPr>
          <w:rFonts w:cs="Tahoma"/>
          <w:color w:val="000000"/>
        </w:rPr>
        <w:t xml:space="preserve"> e non sono tenute ad allegare al bilancio di previsione e ad ogni variazione dello stesso il prospetto dimostrativo. Dal 2018 è venuto meno anche per gli altri enti locali l’obbligo di allegare il prospetto alle variazioni.</w:t>
      </w:r>
    </w:p>
    <w:p w14:paraId="454F9653" w14:textId="77777777" w:rsidR="00F41A79" w:rsidRPr="00515872" w:rsidRDefault="004F5942" w:rsidP="009518AF">
      <w:pPr>
        <w:spacing w:line="360" w:lineRule="auto"/>
        <w:jc w:val="both"/>
        <w:rPr>
          <w:rFonts w:cs="Tahoma"/>
          <w:color w:val="191B0E"/>
          <w:szCs w:val="20"/>
        </w:rPr>
      </w:pPr>
      <w:r w:rsidRPr="00515872">
        <w:rPr>
          <w:rFonts w:cs="Tahoma"/>
          <w:color w:val="191B0E"/>
          <w:szCs w:val="20"/>
        </w:rPr>
        <w:t>L’art. 1, c. 823, della legge di bilancio 2019, a decorrere dal 2019, prevede la cessazione, per le regioni a statuto speciale, le province autonome di Trento e di Bolzano, le città metropolitane, le province e i comuni, degli obblighi di monitoraggio e di certificazione di cui ai c</w:t>
      </w:r>
      <w:r w:rsidR="00B41A28" w:rsidRPr="00515872">
        <w:rPr>
          <w:rFonts w:cs="Tahoma"/>
          <w:color w:val="191B0E"/>
          <w:szCs w:val="20"/>
        </w:rPr>
        <w:t>c.</w:t>
      </w:r>
      <w:r w:rsidRPr="00515872">
        <w:rPr>
          <w:rFonts w:cs="Tahoma"/>
          <w:color w:val="191B0E"/>
          <w:szCs w:val="20"/>
        </w:rPr>
        <w:t xml:space="preserve"> 469 e seg</w:t>
      </w:r>
      <w:r w:rsidR="00B41A28" w:rsidRPr="00515872">
        <w:rPr>
          <w:rFonts w:cs="Tahoma"/>
          <w:color w:val="191B0E"/>
          <w:szCs w:val="20"/>
        </w:rPr>
        <w:t>g.</w:t>
      </w:r>
      <w:r w:rsidRPr="00515872">
        <w:rPr>
          <w:rFonts w:cs="Tahoma"/>
          <w:color w:val="191B0E"/>
          <w:szCs w:val="20"/>
        </w:rPr>
        <w:t xml:space="preserve"> dell’art</w:t>
      </w:r>
      <w:r w:rsidR="00B41A28" w:rsidRPr="00515872">
        <w:rPr>
          <w:rFonts w:cs="Tahoma"/>
          <w:color w:val="191B0E"/>
          <w:szCs w:val="20"/>
        </w:rPr>
        <w:t>.</w:t>
      </w:r>
      <w:r w:rsidRPr="00515872">
        <w:rPr>
          <w:rFonts w:cs="Tahoma"/>
          <w:color w:val="191B0E"/>
          <w:szCs w:val="20"/>
        </w:rPr>
        <w:t xml:space="preserve"> 1</w:t>
      </w:r>
      <w:r w:rsidR="00B41A28" w:rsidRPr="00515872">
        <w:rPr>
          <w:rFonts w:cs="Tahoma"/>
          <w:color w:val="191B0E"/>
          <w:szCs w:val="20"/>
        </w:rPr>
        <w:t>, L.</w:t>
      </w:r>
      <w:r w:rsidRPr="00515872">
        <w:rPr>
          <w:rFonts w:cs="Tahoma"/>
          <w:color w:val="191B0E"/>
          <w:szCs w:val="20"/>
        </w:rPr>
        <w:t xml:space="preserve"> n. 232</w:t>
      </w:r>
      <w:r w:rsidR="00B41A28" w:rsidRPr="00515872">
        <w:rPr>
          <w:rFonts w:cs="Tahoma"/>
          <w:color w:val="191B0E"/>
          <w:szCs w:val="20"/>
        </w:rPr>
        <w:t>/</w:t>
      </w:r>
      <w:r w:rsidRPr="00515872">
        <w:rPr>
          <w:rFonts w:cs="Tahoma"/>
          <w:color w:val="191B0E"/>
          <w:szCs w:val="20"/>
        </w:rPr>
        <w:t xml:space="preserve">2016. </w:t>
      </w:r>
      <w:r w:rsidR="00F41A79" w:rsidRPr="00515872">
        <w:rPr>
          <w:rFonts w:cs="Tahoma"/>
          <w:color w:val="191B0E"/>
          <w:szCs w:val="20"/>
        </w:rPr>
        <w:t>A decorrere dall’anno 2019 la verifica sugli andamenti della finanza pubblica in corso d’anno sarà effettuata attraverso il Sistema Informativo sulle operazioni degli enti pubblici (SIOPE).</w:t>
      </w:r>
    </w:p>
    <w:p w14:paraId="1946D57B" w14:textId="77777777" w:rsidR="00F16BAD" w:rsidRPr="00515872" w:rsidRDefault="00F16BAD" w:rsidP="009518AF">
      <w:pPr>
        <w:spacing w:line="360" w:lineRule="auto"/>
        <w:jc w:val="both"/>
        <w:rPr>
          <w:rFonts w:cs="Tahoma"/>
          <w:color w:val="191B0E"/>
          <w:szCs w:val="20"/>
        </w:rPr>
      </w:pPr>
      <w:r w:rsidRPr="00515872">
        <w:rPr>
          <w:rFonts w:cs="Tahoma"/>
          <w:color w:val="191B0E"/>
          <w:szCs w:val="20"/>
        </w:rPr>
        <w:t xml:space="preserve">Il c. 463 dell’art. 1, L. 11 dicembre 2016, n. 232 ha disposto la </w:t>
      </w:r>
      <w:r w:rsidRPr="00515872">
        <w:rPr>
          <w:rFonts w:cs="Tahoma"/>
          <w:b/>
          <w:color w:val="191B0E"/>
          <w:szCs w:val="20"/>
        </w:rPr>
        <w:t>cessazione dell’applicazione de</w:t>
      </w:r>
      <w:r w:rsidR="000A6400" w:rsidRPr="00515872">
        <w:rPr>
          <w:rFonts w:cs="Tahoma"/>
          <w:b/>
          <w:color w:val="191B0E"/>
          <w:szCs w:val="20"/>
        </w:rPr>
        <w:t xml:space="preserve">lle disposizioni di cui ai cc. 709 e segg. </w:t>
      </w:r>
      <w:r w:rsidR="000A6400" w:rsidRPr="00515872">
        <w:rPr>
          <w:rFonts w:cs="Tahoma"/>
          <w:color w:val="191B0E"/>
          <w:szCs w:val="20"/>
        </w:rPr>
        <w:t>dell’art. 1, L. 28 dicembre 2015, n. 208</w:t>
      </w:r>
      <w:r w:rsidRPr="00515872">
        <w:rPr>
          <w:rFonts w:cs="Tahoma"/>
          <w:color w:val="191B0E"/>
          <w:szCs w:val="20"/>
        </w:rPr>
        <w:t>.</w:t>
      </w:r>
    </w:p>
    <w:p w14:paraId="4D7895AB" w14:textId="77777777" w:rsidR="009518AF" w:rsidRPr="00515872" w:rsidRDefault="009518AF" w:rsidP="009518AF">
      <w:pPr>
        <w:pStyle w:val="NormaleWeb"/>
        <w:spacing w:line="360" w:lineRule="auto"/>
        <w:jc w:val="both"/>
        <w:rPr>
          <w:rFonts w:ascii="Tahoma" w:hAnsi="Tahoma" w:cs="Tahoma"/>
          <w:b/>
          <w:bCs/>
          <w:sz w:val="20"/>
          <w:szCs w:val="20"/>
        </w:rPr>
      </w:pPr>
      <w:r w:rsidRPr="00515872">
        <w:rPr>
          <w:rFonts w:ascii="Tahoma" w:hAnsi="Tahoma" w:cs="Tahoma"/>
          <w:b/>
          <w:bCs/>
          <w:sz w:val="20"/>
          <w:szCs w:val="20"/>
        </w:rPr>
        <w:t>Salvaguardia degli equilibri e assestamento generale di bilancio</w:t>
      </w:r>
    </w:p>
    <w:p w14:paraId="26128DA0" w14:textId="77777777" w:rsidR="009518AF" w:rsidRPr="00515872" w:rsidRDefault="009518AF" w:rsidP="009518AF">
      <w:pPr>
        <w:spacing w:after="0" w:line="360" w:lineRule="auto"/>
        <w:jc w:val="both"/>
        <w:rPr>
          <w:rFonts w:cs="Tahoma"/>
          <w:szCs w:val="20"/>
        </w:rPr>
      </w:pPr>
      <w:r w:rsidRPr="00515872">
        <w:rPr>
          <w:rFonts w:cs="Tahoma"/>
          <w:szCs w:val="20"/>
        </w:rPr>
        <w:t>L’art. 193 del TUEL prevede che gli en</w:t>
      </w:r>
      <w:r w:rsidR="002A38C6" w:rsidRPr="00515872">
        <w:rPr>
          <w:rFonts w:cs="Tahoma"/>
          <w:szCs w:val="20"/>
        </w:rPr>
        <w:t xml:space="preserve">ti locali garantiscano, </w:t>
      </w:r>
      <w:r w:rsidRPr="00515872">
        <w:rPr>
          <w:rFonts w:cs="Tahoma"/>
          <w:szCs w:val="20"/>
        </w:rPr>
        <w:t>durante la gestione e in occasione delle variazioni di bilancio, il mantenimento degli equilibri in termini di competenza e di cassa.</w:t>
      </w:r>
    </w:p>
    <w:p w14:paraId="30CFF80F" w14:textId="77777777" w:rsidR="009518AF" w:rsidRPr="00515872" w:rsidRDefault="009518AF" w:rsidP="009518AF">
      <w:pPr>
        <w:pStyle w:val="NormaleWeb"/>
        <w:spacing w:line="360" w:lineRule="auto"/>
        <w:jc w:val="both"/>
        <w:rPr>
          <w:rFonts w:ascii="Tahoma" w:hAnsi="Tahoma" w:cs="Tahoma"/>
          <w:bCs/>
          <w:sz w:val="20"/>
          <w:szCs w:val="20"/>
        </w:rPr>
      </w:pPr>
      <w:r w:rsidRPr="00515872">
        <w:rPr>
          <w:rFonts w:ascii="Tahoma" w:hAnsi="Tahoma" w:cs="Tahoma"/>
          <w:bCs/>
          <w:sz w:val="20"/>
          <w:szCs w:val="20"/>
        </w:rPr>
        <w:t>La verifica degli equilibri generali di bilancio prevista dall’art. 193, c. 2 deve avvenire con la periodicità stabilita dal regolamento di contabilità dell’ente e comunque almeno una volta entro il 31 luglio di ciascun anno</w:t>
      </w:r>
      <w:r w:rsidR="00DA0D9D" w:rsidRPr="00515872">
        <w:rPr>
          <w:rStyle w:val="Rimandonotaapidipagina"/>
          <w:rFonts w:ascii="Tahoma" w:hAnsi="Tahoma" w:cs="Tahoma"/>
          <w:bCs/>
          <w:sz w:val="20"/>
          <w:szCs w:val="20"/>
        </w:rPr>
        <w:footnoteReference w:id="53"/>
      </w:r>
      <w:r w:rsidRPr="00515872">
        <w:rPr>
          <w:rFonts w:ascii="Tahoma" w:hAnsi="Tahoma" w:cs="Tahoma"/>
          <w:bCs/>
          <w:sz w:val="20"/>
          <w:szCs w:val="20"/>
        </w:rPr>
        <w:t>. Con apposita delibera</w:t>
      </w:r>
      <w:r w:rsidR="002A38C6" w:rsidRPr="00515872">
        <w:rPr>
          <w:rFonts w:ascii="Tahoma" w:hAnsi="Tahoma" w:cs="Tahoma"/>
          <w:bCs/>
          <w:sz w:val="20"/>
          <w:szCs w:val="20"/>
        </w:rPr>
        <w:t xml:space="preserve"> dell’organo consigliare</w:t>
      </w:r>
      <w:r w:rsidRPr="00515872">
        <w:rPr>
          <w:rFonts w:ascii="Tahoma" w:hAnsi="Tahoma" w:cs="Tahoma"/>
          <w:bCs/>
          <w:sz w:val="20"/>
          <w:szCs w:val="20"/>
        </w:rPr>
        <w:t>, l’ente dà atto del permanere degli equilibri ovvero, in caso di accertamento negativo, adotta i provvedimenti necessari al recupero degli stessi, che possono consistere in:</w:t>
      </w:r>
    </w:p>
    <w:p w14:paraId="356C357C" w14:textId="77777777" w:rsidR="009518AF" w:rsidRPr="00515872" w:rsidRDefault="009518AF" w:rsidP="00D65838">
      <w:pPr>
        <w:pStyle w:val="Rientrocorpodeltesto1"/>
        <w:numPr>
          <w:ilvl w:val="0"/>
          <w:numId w:val="175"/>
        </w:numPr>
        <w:spacing w:line="360" w:lineRule="auto"/>
        <w:jc w:val="both"/>
        <w:rPr>
          <w:rFonts w:ascii="Tahoma" w:hAnsi="Tahoma" w:cs="Tahoma"/>
          <w:bCs/>
          <w:sz w:val="20"/>
          <w:szCs w:val="20"/>
        </w:rPr>
      </w:pPr>
      <w:r w:rsidRPr="00515872">
        <w:rPr>
          <w:rFonts w:ascii="Tahoma" w:hAnsi="Tahoma" w:cs="Tahoma"/>
          <w:bCs/>
          <w:sz w:val="20"/>
          <w:szCs w:val="20"/>
        </w:rPr>
        <w:t>misure necessarie al ripristino del pareggio, qualora i dati della gestione finanziaria facciano prevedere un disavanzo, di gestione o di amministrazione, per squilibrio della gestione di competenza, di cassa ovvero della gestione dei residui;</w:t>
      </w:r>
    </w:p>
    <w:p w14:paraId="134CAE51" w14:textId="77777777" w:rsidR="009518AF" w:rsidRPr="00515872" w:rsidRDefault="009518AF" w:rsidP="00D65838">
      <w:pPr>
        <w:pStyle w:val="Rientrocorpodeltesto1"/>
        <w:numPr>
          <w:ilvl w:val="0"/>
          <w:numId w:val="175"/>
        </w:numPr>
        <w:spacing w:line="360" w:lineRule="auto"/>
        <w:jc w:val="both"/>
        <w:rPr>
          <w:rFonts w:ascii="Tahoma" w:hAnsi="Tahoma" w:cs="Tahoma"/>
          <w:bCs/>
          <w:sz w:val="20"/>
          <w:szCs w:val="20"/>
        </w:rPr>
      </w:pPr>
      <w:r w:rsidRPr="00515872">
        <w:rPr>
          <w:rFonts w:ascii="Tahoma" w:hAnsi="Tahoma" w:cs="Tahoma"/>
          <w:bCs/>
          <w:sz w:val="20"/>
          <w:szCs w:val="20"/>
        </w:rPr>
        <w:t xml:space="preserve">provvedimenti per il ripiano degli eventuali debiti fuori bilancio; </w:t>
      </w:r>
    </w:p>
    <w:p w14:paraId="7FC80BD9" w14:textId="77777777" w:rsidR="009518AF" w:rsidRPr="00515872" w:rsidRDefault="009518AF" w:rsidP="00D65838">
      <w:pPr>
        <w:pStyle w:val="Rientrocorpodeltesto1"/>
        <w:numPr>
          <w:ilvl w:val="0"/>
          <w:numId w:val="175"/>
        </w:numPr>
        <w:spacing w:after="200" w:line="360" w:lineRule="auto"/>
        <w:ind w:left="357" w:hanging="357"/>
        <w:jc w:val="both"/>
        <w:rPr>
          <w:rFonts w:ascii="Tahoma" w:hAnsi="Tahoma" w:cs="Tahoma"/>
          <w:bCs/>
          <w:sz w:val="20"/>
          <w:szCs w:val="20"/>
        </w:rPr>
      </w:pPr>
      <w:r w:rsidRPr="00515872">
        <w:rPr>
          <w:rFonts w:ascii="Tahoma" w:hAnsi="Tahoma" w:cs="Tahoma"/>
          <w:bCs/>
          <w:sz w:val="20"/>
          <w:szCs w:val="20"/>
        </w:rPr>
        <w:t>iniziative necessarie ad adeguare il fondo crediti di dubbia esigibilità accantonato nel risultato di amministrazione, in caso di gravi squilibri riguardanti la gestione dei residui.</w:t>
      </w:r>
    </w:p>
    <w:p w14:paraId="387B8D67" w14:textId="77777777" w:rsidR="00E7660F" w:rsidRPr="00515872" w:rsidRDefault="00E7660F" w:rsidP="009518AF">
      <w:pPr>
        <w:pStyle w:val="NormaleWeb"/>
        <w:spacing w:after="200" w:line="360" w:lineRule="auto"/>
        <w:jc w:val="both"/>
        <w:rPr>
          <w:rFonts w:ascii="Tahoma" w:hAnsi="Tahoma" w:cs="Tahoma"/>
          <w:bCs/>
          <w:sz w:val="20"/>
          <w:szCs w:val="20"/>
        </w:rPr>
      </w:pPr>
      <w:r w:rsidRPr="00515872">
        <w:rPr>
          <w:rFonts w:ascii="Tahoma" w:hAnsi="Tahoma" w:cs="Tahoma"/>
          <w:bCs/>
          <w:sz w:val="20"/>
          <w:szCs w:val="20"/>
        </w:rPr>
        <w:lastRenderedPageBreak/>
        <w:t>I responsabili dei servizi ed il responsabile del servizio finanziario devono formulare apposite relazioni sullo stato di attuazione degli accertamenti e degli impegni e sulla sussistenza di debiti fuori bilancio.</w:t>
      </w:r>
    </w:p>
    <w:p w14:paraId="76EC6EC6" w14:textId="77777777" w:rsidR="009518AF" w:rsidRPr="00515872" w:rsidRDefault="009518AF" w:rsidP="009518AF">
      <w:pPr>
        <w:pStyle w:val="NormaleWeb"/>
        <w:spacing w:after="200" w:line="360" w:lineRule="auto"/>
        <w:jc w:val="both"/>
        <w:rPr>
          <w:rFonts w:ascii="Tahoma" w:hAnsi="Tahoma" w:cs="Tahoma"/>
          <w:bCs/>
          <w:sz w:val="20"/>
          <w:szCs w:val="20"/>
        </w:rPr>
      </w:pPr>
      <w:r w:rsidRPr="00515872">
        <w:rPr>
          <w:rFonts w:ascii="Tahoma" w:hAnsi="Tahoma" w:cs="Tahoma"/>
          <w:bCs/>
          <w:sz w:val="20"/>
          <w:szCs w:val="20"/>
        </w:rPr>
        <w:t>La deliberazione è allegata al rendiconto dell'esercizio relativo.</w:t>
      </w:r>
    </w:p>
    <w:p w14:paraId="67629145" w14:textId="77777777" w:rsidR="009518AF" w:rsidRPr="00515872" w:rsidRDefault="009518AF" w:rsidP="000A6400">
      <w:pPr>
        <w:spacing w:after="0" w:line="360" w:lineRule="auto"/>
        <w:jc w:val="both"/>
        <w:rPr>
          <w:rFonts w:eastAsia="Times New Roman" w:cs="Tahoma"/>
          <w:szCs w:val="20"/>
          <w:lang w:eastAsia="it-IT"/>
        </w:rPr>
      </w:pPr>
      <w:r w:rsidRPr="00515872">
        <w:rPr>
          <w:rFonts w:eastAsia="Times New Roman" w:cs="Tahoma"/>
          <w:szCs w:val="20"/>
          <w:lang w:eastAsia="it-IT"/>
        </w:rPr>
        <w:t>Ai fini del ripristino degli equilibri possono essere utilizzate per l'anno in corso e per i due successivi:</w:t>
      </w:r>
    </w:p>
    <w:p w14:paraId="4B6C0145" w14:textId="77777777" w:rsidR="009518AF" w:rsidRPr="00515872" w:rsidRDefault="009518AF" w:rsidP="00D65838">
      <w:pPr>
        <w:pStyle w:val="Paragrafoelenco"/>
        <w:numPr>
          <w:ilvl w:val="0"/>
          <w:numId w:val="201"/>
        </w:numPr>
        <w:spacing w:line="360" w:lineRule="auto"/>
        <w:ind w:left="426"/>
        <w:jc w:val="both"/>
        <w:rPr>
          <w:rFonts w:eastAsia="Times New Roman" w:cs="Tahoma"/>
          <w:szCs w:val="20"/>
          <w:lang w:eastAsia="it-IT"/>
        </w:rPr>
      </w:pPr>
      <w:r w:rsidRPr="00515872">
        <w:rPr>
          <w:rFonts w:eastAsia="Times New Roman" w:cs="Tahoma"/>
          <w:szCs w:val="20"/>
          <w:lang w:eastAsia="it-IT"/>
        </w:rPr>
        <w:t>le possibili economie di spesa e tutte le entrate, ad eccezione di quelle provenienti dall'assunzione di prestiti e di quelle con specifico vincolo di destinazione;</w:t>
      </w:r>
    </w:p>
    <w:p w14:paraId="0979A1EA" w14:textId="77777777" w:rsidR="009518AF" w:rsidRPr="00515872" w:rsidRDefault="009518AF" w:rsidP="00D65838">
      <w:pPr>
        <w:pStyle w:val="Paragrafoelenco"/>
        <w:numPr>
          <w:ilvl w:val="0"/>
          <w:numId w:val="201"/>
        </w:numPr>
        <w:spacing w:line="360" w:lineRule="auto"/>
        <w:ind w:left="426"/>
        <w:jc w:val="both"/>
        <w:rPr>
          <w:rFonts w:eastAsia="Times New Roman" w:cs="Tahoma"/>
          <w:szCs w:val="20"/>
          <w:lang w:eastAsia="it-IT"/>
        </w:rPr>
      </w:pPr>
      <w:r w:rsidRPr="00515872">
        <w:rPr>
          <w:rFonts w:eastAsia="Times New Roman" w:cs="Tahoma"/>
          <w:szCs w:val="20"/>
          <w:lang w:eastAsia="it-IT"/>
        </w:rPr>
        <w:t>i p</w:t>
      </w:r>
      <w:r w:rsidR="000A6400" w:rsidRPr="00515872">
        <w:rPr>
          <w:rFonts w:eastAsia="Times New Roman" w:cs="Tahoma"/>
          <w:szCs w:val="20"/>
          <w:lang w:eastAsia="it-IT"/>
        </w:rPr>
        <w:t>roventi derivanti da alienazioni</w:t>
      </w:r>
      <w:r w:rsidRPr="00515872">
        <w:rPr>
          <w:rFonts w:eastAsia="Times New Roman" w:cs="Tahoma"/>
          <w:szCs w:val="20"/>
          <w:lang w:eastAsia="it-IT"/>
        </w:rPr>
        <w:t xml:space="preserve"> di beni patrimoniali disponibili e da altre entrate in c/capitale con riferimento a squilibri di parte capitale.</w:t>
      </w:r>
    </w:p>
    <w:p w14:paraId="1A454C6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Ove non possa provvedersi con le modalità sopra indicate è possibile impiegare la quota libera del risultato di amministrazione.</w:t>
      </w:r>
    </w:p>
    <w:p w14:paraId="6F91B0D6"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Per il ripristino degli equilibri di bilancio e in deroga all'art. 1, c. 169, L. 27 dicembre 2006, n. 296, l'ente può modificare le tariffe e le aliquote relative ai tributi di propria competenza entro la data di prevista per la verifica degli equilibri in commento.</w:t>
      </w:r>
    </w:p>
    <w:p w14:paraId="4339E745" w14:textId="77777777" w:rsidR="009518AF" w:rsidRPr="00515872" w:rsidRDefault="009518AF" w:rsidP="009518AF">
      <w:pPr>
        <w:pStyle w:val="NormaleWeb"/>
        <w:spacing w:after="200" w:line="360" w:lineRule="auto"/>
        <w:jc w:val="both"/>
        <w:rPr>
          <w:rFonts w:ascii="Tahoma" w:hAnsi="Tahoma" w:cs="Tahoma"/>
          <w:bCs/>
          <w:sz w:val="20"/>
          <w:szCs w:val="20"/>
        </w:rPr>
      </w:pPr>
      <w:r w:rsidRPr="00515872">
        <w:rPr>
          <w:rFonts w:ascii="Tahoma" w:hAnsi="Tahoma" w:cs="Tahoma"/>
          <w:sz w:val="20"/>
          <w:szCs w:val="20"/>
        </w:rPr>
        <w:t xml:space="preserve">L’art. 147-quinquies del TUEL, introdotto dal D.L. n. 174/2012, </w:t>
      </w:r>
      <w:proofErr w:type="spellStart"/>
      <w:r w:rsidRPr="00515872">
        <w:rPr>
          <w:rFonts w:ascii="Tahoma" w:hAnsi="Tahoma" w:cs="Tahoma"/>
          <w:sz w:val="20"/>
          <w:szCs w:val="20"/>
        </w:rPr>
        <w:t>conv</w:t>
      </w:r>
      <w:proofErr w:type="spellEnd"/>
      <w:r w:rsidRPr="00515872">
        <w:rPr>
          <w:rFonts w:ascii="Tahoma" w:hAnsi="Tahoma" w:cs="Tahoma"/>
          <w:sz w:val="20"/>
          <w:szCs w:val="20"/>
        </w:rPr>
        <w:t xml:space="preserve">. L. n. 213/2012, art. 3, c. 1, lett. d), prevede l’attribuzione al Responsabile del Servizio Finanziario della direzione e del coordinamento delle attività di verifica degli equilibri finanziari, da svolgersi </w:t>
      </w:r>
      <w:r w:rsidRPr="00515872">
        <w:rPr>
          <w:rFonts w:ascii="Tahoma" w:hAnsi="Tahoma" w:cs="Tahoma"/>
          <w:b/>
          <w:sz w:val="20"/>
          <w:szCs w:val="20"/>
        </w:rPr>
        <w:t>sotto la vigilanza dell’organo di revisione</w:t>
      </w:r>
      <w:r w:rsidRPr="00515872">
        <w:rPr>
          <w:rFonts w:ascii="Tahoma" w:hAnsi="Tahoma" w:cs="Tahoma"/>
          <w:sz w:val="20"/>
          <w:szCs w:val="20"/>
        </w:rPr>
        <w:t>.</w:t>
      </w:r>
    </w:p>
    <w:p w14:paraId="1F6A20B4" w14:textId="77777777" w:rsidR="009518AF" w:rsidRPr="00515872" w:rsidRDefault="009518AF" w:rsidP="004F3CBB">
      <w:pPr>
        <w:spacing w:line="360" w:lineRule="auto"/>
        <w:jc w:val="both"/>
        <w:rPr>
          <w:rFonts w:cs="Tahoma"/>
          <w:szCs w:val="20"/>
        </w:rPr>
      </w:pPr>
      <w:r w:rsidRPr="00515872">
        <w:rPr>
          <w:rFonts w:cs="Tahoma"/>
          <w:szCs w:val="20"/>
        </w:rPr>
        <w:t>L’analisi in questione è condotta attraverso una attenta verifica sull’andamento delle entrate e delle spese come previste nel bilancio preventivo onde verificare se lo stesso, per la parte corrente, per la parte capitale oltre che per la gestione residui, risulti in linea con gli stanziamenti previsti e che, pertanto, non si profilino possibili situazioni di squilibrio.</w:t>
      </w:r>
    </w:p>
    <w:p w14:paraId="45755CAD" w14:textId="77777777" w:rsidR="009518AF" w:rsidRPr="00515872" w:rsidRDefault="009518AF" w:rsidP="009518AF">
      <w:pPr>
        <w:spacing w:after="0" w:line="360" w:lineRule="auto"/>
        <w:rPr>
          <w:rFonts w:cs="Tahoma"/>
          <w:szCs w:val="20"/>
        </w:rPr>
      </w:pPr>
      <w:r w:rsidRPr="00515872">
        <w:rPr>
          <w:rFonts w:cs="Tahoma"/>
          <w:szCs w:val="20"/>
        </w:rPr>
        <w:t>Nello specifico si tratta di verificare:</w:t>
      </w:r>
    </w:p>
    <w:p w14:paraId="42713708" w14:textId="77777777" w:rsidR="009518AF" w:rsidRPr="00515872" w:rsidRDefault="009518AF" w:rsidP="000A6400">
      <w:pPr>
        <w:pStyle w:val="Paragrafoelenco"/>
        <w:numPr>
          <w:ilvl w:val="0"/>
          <w:numId w:val="196"/>
        </w:numPr>
        <w:spacing w:after="0" w:line="360" w:lineRule="auto"/>
        <w:ind w:left="284" w:hanging="284"/>
        <w:jc w:val="both"/>
        <w:rPr>
          <w:rFonts w:cs="Tahoma"/>
          <w:szCs w:val="20"/>
        </w:rPr>
      </w:pPr>
      <w:r w:rsidRPr="00515872">
        <w:rPr>
          <w:rFonts w:cs="Tahoma"/>
          <w:szCs w:val="20"/>
        </w:rPr>
        <w:t>la propensione degli stanziamenti iscritti in entrata e in spesa a tradursi in effettivi accertamenti e impegni entro la fine dell’esercizio;</w:t>
      </w:r>
    </w:p>
    <w:p w14:paraId="0C59141D" w14:textId="77777777" w:rsidR="009518AF" w:rsidRPr="00515872" w:rsidRDefault="009518AF" w:rsidP="000A6400">
      <w:pPr>
        <w:pStyle w:val="Paragrafoelenco"/>
        <w:numPr>
          <w:ilvl w:val="0"/>
          <w:numId w:val="196"/>
        </w:numPr>
        <w:spacing w:line="360" w:lineRule="auto"/>
        <w:ind w:left="284" w:hanging="284"/>
        <w:jc w:val="both"/>
        <w:rPr>
          <w:rFonts w:cs="Tahoma"/>
          <w:szCs w:val="20"/>
        </w:rPr>
      </w:pPr>
      <w:r w:rsidRPr="00515872">
        <w:rPr>
          <w:rFonts w:cs="Tahoma"/>
          <w:szCs w:val="20"/>
        </w:rPr>
        <w:t>che tali accertamenti e impegni risultino idonei a garantire il permanere degli equilibri di bilancio di parte corrente, parte capitale e non risulti una situazione di deficit di cassa.</w:t>
      </w:r>
    </w:p>
    <w:p w14:paraId="506546B8" w14:textId="1D61C885" w:rsidR="009518AF" w:rsidRPr="00515872" w:rsidRDefault="00F61E9D" w:rsidP="009518AF">
      <w:pPr>
        <w:spacing w:line="360" w:lineRule="auto"/>
        <w:jc w:val="both"/>
        <w:rPr>
          <w:rFonts w:cs="Tahoma"/>
          <w:szCs w:val="20"/>
        </w:rPr>
      </w:pPr>
      <w:r w:rsidRPr="00515872">
        <w:rPr>
          <w:rFonts w:cs="Tahoma"/>
          <w:szCs w:val="20"/>
        </w:rPr>
        <w:t>È</w:t>
      </w:r>
      <w:r w:rsidR="009518AF" w:rsidRPr="00515872">
        <w:rPr>
          <w:rFonts w:cs="Tahoma"/>
          <w:szCs w:val="20"/>
        </w:rPr>
        <w:t xml:space="preserve"> opportuno sottolineare che, mentre </w:t>
      </w:r>
      <w:r w:rsidR="000A6400" w:rsidRPr="00515872">
        <w:rPr>
          <w:rFonts w:cs="Tahoma"/>
          <w:szCs w:val="20"/>
        </w:rPr>
        <w:t>quello</w:t>
      </w:r>
      <w:r w:rsidR="009518AF" w:rsidRPr="00515872">
        <w:rPr>
          <w:rFonts w:cs="Tahoma"/>
          <w:szCs w:val="20"/>
        </w:rPr>
        <w:t xml:space="preserve"> degli equilibri finanziari costituisce una forma di controllo interno che deve essere esercitato mediante periodica e costante verifica durante tutto il corso dell’esercizio, avendo carattere permanente, la salvaguardia di cui al citato art. 193 rappresenta il momento di verifica dello stato di attuazione dei programmi e degli equilibri generali di bilancio, non solo finanziari, ma anche economici e patrimoniali.</w:t>
      </w:r>
    </w:p>
    <w:p w14:paraId="5856E4CC" w14:textId="77777777" w:rsidR="009518AF" w:rsidRPr="00515872" w:rsidRDefault="009518AF" w:rsidP="009518AF">
      <w:pPr>
        <w:spacing w:line="360" w:lineRule="auto"/>
        <w:jc w:val="both"/>
        <w:rPr>
          <w:rFonts w:cs="Tahoma"/>
        </w:rPr>
      </w:pPr>
      <w:r w:rsidRPr="00515872">
        <w:rPr>
          <w:rFonts w:cs="Tahoma"/>
        </w:rPr>
        <w:lastRenderedPageBreak/>
        <w:t>L’assestamento del bilancio non può prescindere dalla valutazione della congruità dell'accantonamento al FCDE che si sta maturando in competenza. Al fine di adeguare l’importo del fondo, in s</w:t>
      </w:r>
      <w:r w:rsidR="00284119" w:rsidRPr="00515872">
        <w:rPr>
          <w:rFonts w:cs="Tahoma"/>
        </w:rPr>
        <w:t>ede di assestamento si procede</w:t>
      </w:r>
      <w:r w:rsidRPr="00515872">
        <w:rPr>
          <w:rFonts w:cs="Tahoma"/>
        </w:rPr>
        <w:t>, ove necessario, alla variazione dell</w:t>
      </w:r>
      <w:r w:rsidR="00E12F1A" w:rsidRPr="00515872">
        <w:rPr>
          <w:rFonts w:cs="Tahoma"/>
        </w:rPr>
        <w:t xml:space="preserve">’accantonamento </w:t>
      </w:r>
      <w:r w:rsidRPr="00515872">
        <w:rPr>
          <w:rFonts w:cs="Tahoma"/>
        </w:rPr>
        <w:t xml:space="preserve">stanziato </w:t>
      </w:r>
      <w:r w:rsidR="00E12F1A" w:rsidRPr="00515872">
        <w:rPr>
          <w:rFonts w:cs="Tahoma"/>
        </w:rPr>
        <w:t>in</w:t>
      </w:r>
      <w:r w:rsidRPr="00515872">
        <w:rPr>
          <w:rFonts w:cs="Tahoma"/>
        </w:rPr>
        <w:t xml:space="preserve"> bilancio</w:t>
      </w:r>
      <w:r w:rsidR="00E12F1A" w:rsidRPr="00515872">
        <w:rPr>
          <w:rFonts w:cs="Tahoma"/>
        </w:rPr>
        <w:t>.</w:t>
      </w:r>
    </w:p>
    <w:p w14:paraId="18944BCA" w14:textId="77777777" w:rsidR="009518AF" w:rsidRPr="00515872" w:rsidRDefault="009518AF" w:rsidP="009518AF">
      <w:pPr>
        <w:tabs>
          <w:tab w:val="left" w:pos="1451"/>
        </w:tabs>
        <w:spacing w:line="360" w:lineRule="auto"/>
        <w:jc w:val="both"/>
        <w:rPr>
          <w:rFonts w:eastAsia="Times New Roman" w:cs="Tahoma"/>
          <w:lang w:eastAsia="it-IT"/>
        </w:rPr>
      </w:pPr>
      <w:r w:rsidRPr="00515872">
        <w:rPr>
          <w:rFonts w:eastAsia="Times New Roman" w:cs="Tahoma"/>
          <w:lang w:eastAsia="it-IT"/>
        </w:rPr>
        <w:t xml:space="preserve">Qualora </w:t>
      </w:r>
      <w:r w:rsidR="00E12F1A" w:rsidRPr="00515872">
        <w:rPr>
          <w:rFonts w:eastAsia="Times New Roman" w:cs="Tahoma"/>
          <w:lang w:eastAsia="it-IT"/>
        </w:rPr>
        <w:t xml:space="preserve">la verifica </w:t>
      </w:r>
      <w:r w:rsidRPr="00515872">
        <w:rPr>
          <w:rFonts w:eastAsia="Times New Roman" w:cs="Tahoma"/>
          <w:lang w:eastAsia="it-IT"/>
        </w:rPr>
        <w:t xml:space="preserve">evidenzi il costituirsi di situazioni tali da pregiudicare gli equilibri del bilancio, il responsabile finanziario è tenuto ad effettuare le opportune segnalazioni al legale rappresentante dell'ente, al consiglio, al segretario, </w:t>
      </w:r>
      <w:r w:rsidRPr="00515872">
        <w:rPr>
          <w:rFonts w:eastAsia="Times New Roman" w:cs="Tahoma"/>
          <w:b/>
          <w:lang w:eastAsia="it-IT"/>
        </w:rPr>
        <w:t>all'organo di revisione</w:t>
      </w:r>
      <w:r w:rsidR="00284119" w:rsidRPr="00515872">
        <w:rPr>
          <w:rFonts w:eastAsia="Times New Roman" w:cs="Tahoma"/>
          <w:lang w:eastAsia="it-IT"/>
        </w:rPr>
        <w:t xml:space="preserve"> e alla Corte dei C</w:t>
      </w:r>
      <w:r w:rsidRPr="00515872">
        <w:rPr>
          <w:rFonts w:eastAsia="Times New Roman" w:cs="Tahoma"/>
          <w:lang w:eastAsia="it-IT"/>
        </w:rPr>
        <w:t>onti ai sensi dell’art. 153, c. 6, TUEL.</w:t>
      </w:r>
    </w:p>
    <w:p w14:paraId="0C2C4A85"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mancata adozione, da parte dell'ente, dei provvedimenti di riequilibrio previsti dall’art. 193 è equiparata ad ogni effetto alla mancata approvazione del bilancio d</w:t>
      </w:r>
      <w:r w:rsidR="00284119" w:rsidRPr="00515872">
        <w:rPr>
          <w:rFonts w:eastAsia="Times New Roman" w:cs="Tahoma"/>
          <w:szCs w:val="20"/>
          <w:lang w:eastAsia="it-IT"/>
        </w:rPr>
        <w:t>i previsione</w:t>
      </w:r>
      <w:r w:rsidRPr="00515872">
        <w:rPr>
          <w:rFonts w:eastAsia="Times New Roman" w:cs="Tahoma"/>
          <w:szCs w:val="20"/>
          <w:lang w:eastAsia="it-IT"/>
        </w:rPr>
        <w:t>, con applicazione della procedura di scioglimento del consiglio comunale prevista dal c. 2 d</w:t>
      </w:r>
      <w:r w:rsidR="00284119" w:rsidRPr="00515872">
        <w:rPr>
          <w:rFonts w:eastAsia="Times New Roman" w:cs="Tahoma"/>
          <w:szCs w:val="20"/>
          <w:lang w:eastAsia="it-IT"/>
        </w:rPr>
        <w:t>ell’</w:t>
      </w:r>
      <w:r w:rsidRPr="00515872">
        <w:rPr>
          <w:rFonts w:eastAsia="Times New Roman" w:cs="Tahoma"/>
          <w:szCs w:val="20"/>
          <w:lang w:eastAsia="it-IT"/>
        </w:rPr>
        <w:t>art</w:t>
      </w:r>
      <w:r w:rsidR="00284119" w:rsidRPr="00515872">
        <w:rPr>
          <w:rFonts w:eastAsia="Times New Roman" w:cs="Tahoma"/>
          <w:szCs w:val="20"/>
          <w:lang w:eastAsia="it-IT"/>
        </w:rPr>
        <w:t>. 141</w:t>
      </w:r>
      <w:r w:rsidR="00997AB0" w:rsidRPr="00515872">
        <w:rPr>
          <w:rStyle w:val="Rimandonotaapidipagina"/>
          <w:rFonts w:eastAsia="Times New Roman" w:cs="Tahoma"/>
          <w:szCs w:val="20"/>
          <w:lang w:eastAsia="it-IT"/>
        </w:rPr>
        <w:footnoteReference w:id="54"/>
      </w:r>
      <w:r w:rsidRPr="00515872">
        <w:rPr>
          <w:rFonts w:eastAsia="Times New Roman" w:cs="Tahoma"/>
          <w:szCs w:val="20"/>
          <w:lang w:eastAsia="it-IT"/>
        </w:rPr>
        <w:t>.</w:t>
      </w:r>
      <w:r w:rsidR="00997BBD" w:rsidRPr="00515872">
        <w:rPr>
          <w:rFonts w:eastAsia="Times New Roman" w:cs="Tahoma"/>
          <w:szCs w:val="20"/>
          <w:lang w:eastAsia="it-IT"/>
        </w:rPr>
        <w:t xml:space="preserve"> </w:t>
      </w:r>
    </w:p>
    <w:p w14:paraId="1A338465" w14:textId="77777777" w:rsidR="00277513" w:rsidRPr="00515872" w:rsidRDefault="00277513" w:rsidP="00997BBD">
      <w:pPr>
        <w:pStyle w:val="Sottoparagrafo"/>
        <w:rPr>
          <w:rFonts w:cs="Tahoma"/>
          <w:highlight w:val="yellow"/>
          <w:lang w:eastAsia="it-IT"/>
        </w:rPr>
      </w:pPr>
    </w:p>
    <w:p w14:paraId="456AD362" w14:textId="77777777" w:rsidR="00997BBD" w:rsidRPr="00515872" w:rsidRDefault="00E5115C" w:rsidP="00997BBD">
      <w:pPr>
        <w:pStyle w:val="Sottoparagrafo"/>
        <w:rPr>
          <w:rFonts w:cs="Tahoma"/>
          <w:lang w:eastAsia="it-IT"/>
        </w:rPr>
      </w:pPr>
      <w:bookmarkStart w:id="114" w:name="_Toc95912264"/>
      <w:r w:rsidRPr="00515872">
        <w:rPr>
          <w:rFonts w:cs="Tahoma"/>
          <w:lang w:eastAsia="it-IT"/>
        </w:rPr>
        <w:t>4.4.7</w:t>
      </w:r>
      <w:r w:rsidR="00997BBD" w:rsidRPr="00515872">
        <w:rPr>
          <w:rFonts w:cs="Tahoma"/>
          <w:lang w:eastAsia="it-IT"/>
        </w:rPr>
        <w:t xml:space="preserve"> Emendamenti al bilancio</w:t>
      </w:r>
      <w:bookmarkEnd w:id="114"/>
    </w:p>
    <w:p w14:paraId="2E3C3563" w14:textId="77777777" w:rsidR="00997BBD" w:rsidRPr="00515872" w:rsidRDefault="00997BBD"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Una volta notificato il deposito dei documenti previsionali ai capigruppo consigliari, i consiglieri, il sindaco e la giunta possono </w:t>
      </w:r>
      <w:r w:rsidR="00284119" w:rsidRPr="00515872">
        <w:rPr>
          <w:rFonts w:eastAsia="Times New Roman" w:cs="Tahoma"/>
          <w:szCs w:val="20"/>
          <w:lang w:eastAsia="it-IT"/>
        </w:rPr>
        <w:t xml:space="preserve">proporre </w:t>
      </w:r>
      <w:r w:rsidRPr="00515872">
        <w:rPr>
          <w:rFonts w:eastAsia="Times New Roman" w:cs="Tahoma"/>
          <w:szCs w:val="20"/>
          <w:lang w:eastAsia="it-IT"/>
        </w:rPr>
        <w:t xml:space="preserve">emendamenti allo schema di bilancio, nel termine previsto dal regolamento di contabilità. </w:t>
      </w:r>
      <w:r w:rsidR="00B87858" w:rsidRPr="00515872">
        <w:rPr>
          <w:rFonts w:eastAsia="Times New Roman" w:cs="Tahoma"/>
          <w:szCs w:val="20"/>
          <w:lang w:eastAsia="it-IT"/>
        </w:rPr>
        <w:t>Gli emendamenti altro non sono</w:t>
      </w:r>
      <w:r w:rsidRPr="00515872">
        <w:rPr>
          <w:rFonts w:eastAsia="Times New Roman" w:cs="Tahoma"/>
          <w:szCs w:val="20"/>
          <w:lang w:eastAsia="it-IT"/>
        </w:rPr>
        <w:t xml:space="preserve"> </w:t>
      </w:r>
      <w:r w:rsidR="00B87858" w:rsidRPr="00515872">
        <w:rPr>
          <w:rFonts w:eastAsia="Times New Roman" w:cs="Tahoma"/>
          <w:szCs w:val="20"/>
          <w:lang w:eastAsia="it-IT"/>
        </w:rPr>
        <w:t xml:space="preserve">che </w:t>
      </w:r>
      <w:r w:rsidRPr="00515872">
        <w:rPr>
          <w:rFonts w:eastAsia="Times New Roman" w:cs="Tahoma"/>
          <w:szCs w:val="20"/>
          <w:lang w:eastAsia="it-IT"/>
        </w:rPr>
        <w:t xml:space="preserve">atti con </w:t>
      </w:r>
      <w:r w:rsidR="00B87858" w:rsidRPr="00515872">
        <w:rPr>
          <w:rFonts w:eastAsia="Times New Roman" w:cs="Tahoma"/>
          <w:szCs w:val="20"/>
          <w:lang w:eastAsia="it-IT"/>
        </w:rPr>
        <w:t>i quali</w:t>
      </w:r>
      <w:r w:rsidRPr="00515872">
        <w:rPr>
          <w:rFonts w:eastAsia="Times New Roman" w:cs="Tahoma"/>
          <w:szCs w:val="20"/>
          <w:lang w:eastAsia="it-IT"/>
        </w:rPr>
        <w:t xml:space="preserve"> si chiede la modifica o l’integrazione del testo della proposta di deliberazione.</w:t>
      </w:r>
    </w:p>
    <w:p w14:paraId="56D8E830" w14:textId="77777777" w:rsidR="00997BBD" w:rsidRPr="00515872" w:rsidRDefault="00997BBD" w:rsidP="009518AF">
      <w:pPr>
        <w:spacing w:line="360" w:lineRule="auto"/>
        <w:jc w:val="both"/>
        <w:rPr>
          <w:rFonts w:eastAsia="Times New Roman" w:cs="Tahoma"/>
          <w:b/>
          <w:szCs w:val="20"/>
          <w:lang w:eastAsia="it-IT"/>
        </w:rPr>
      </w:pPr>
      <w:r w:rsidRPr="00515872">
        <w:rPr>
          <w:rFonts w:eastAsia="Times New Roman" w:cs="Tahoma"/>
          <w:szCs w:val="20"/>
          <w:lang w:eastAsia="it-IT"/>
        </w:rPr>
        <w:t xml:space="preserve">Gli emendamenti, che non possono provocare squilibri di bilancio, devono essere motivati e presentati in forma scritta. Devono riportare il parere di regolarità contabile ed </w:t>
      </w:r>
      <w:r w:rsidRPr="00515872">
        <w:rPr>
          <w:rFonts w:eastAsia="Times New Roman" w:cs="Tahoma"/>
          <w:b/>
          <w:szCs w:val="20"/>
          <w:lang w:eastAsia="it-IT"/>
        </w:rPr>
        <w:t>essere sottoposti a verifica e parere dell’organo di revisione.</w:t>
      </w:r>
    </w:p>
    <w:p w14:paraId="5A504F61" w14:textId="77777777" w:rsidR="00277513" w:rsidRPr="00515872" w:rsidRDefault="00277513" w:rsidP="009518AF">
      <w:pPr>
        <w:pStyle w:val="Sottoparagrafo"/>
        <w:rPr>
          <w:rFonts w:cs="Tahoma"/>
          <w:lang w:eastAsia="it-IT"/>
        </w:rPr>
      </w:pPr>
      <w:bookmarkStart w:id="115" w:name="_Toc521317086"/>
    </w:p>
    <w:p w14:paraId="56022330" w14:textId="77777777" w:rsidR="009518AF" w:rsidRPr="00515872" w:rsidRDefault="009518AF" w:rsidP="009518AF">
      <w:pPr>
        <w:pStyle w:val="Sottoparagrafo"/>
        <w:rPr>
          <w:rFonts w:cs="Tahoma"/>
          <w:lang w:eastAsia="it-IT"/>
        </w:rPr>
      </w:pPr>
      <w:bookmarkStart w:id="116" w:name="_Toc95912265"/>
      <w:r w:rsidRPr="00515872">
        <w:rPr>
          <w:rFonts w:cs="Tahoma"/>
          <w:lang w:eastAsia="it-IT"/>
        </w:rPr>
        <w:t>4.4.</w:t>
      </w:r>
      <w:r w:rsidR="00E5115C" w:rsidRPr="00515872">
        <w:rPr>
          <w:rFonts w:cs="Tahoma"/>
          <w:lang w:eastAsia="it-IT"/>
        </w:rPr>
        <w:t>8</w:t>
      </w:r>
      <w:r w:rsidRPr="00515872">
        <w:rPr>
          <w:rFonts w:cs="Tahoma"/>
          <w:lang w:eastAsia="it-IT"/>
        </w:rPr>
        <w:t xml:space="preserve"> Variazioni di bilancio</w:t>
      </w:r>
      <w:bookmarkEnd w:id="115"/>
      <w:bookmarkEnd w:id="116"/>
    </w:p>
    <w:p w14:paraId="2B0CD84F" w14:textId="77777777" w:rsidR="009518AF" w:rsidRPr="00515872" w:rsidRDefault="009518AF" w:rsidP="009518AF">
      <w:pPr>
        <w:autoSpaceDE w:val="0"/>
        <w:autoSpaceDN w:val="0"/>
        <w:adjustRightInd w:val="0"/>
        <w:spacing w:line="360" w:lineRule="auto"/>
        <w:jc w:val="both"/>
        <w:rPr>
          <w:rFonts w:cs="Tahoma"/>
          <w:iCs/>
          <w:szCs w:val="20"/>
        </w:rPr>
      </w:pPr>
      <w:r w:rsidRPr="00515872">
        <w:rPr>
          <w:rFonts w:cs="Tahoma"/>
          <w:iCs/>
          <w:szCs w:val="20"/>
        </w:rPr>
        <w:t xml:space="preserve">L’art. 175 del TUEL, riveduto e corretto dal </w:t>
      </w:r>
      <w:hyperlink r:id="rId25" w:history="1">
        <w:proofErr w:type="spellStart"/>
        <w:r w:rsidRPr="00515872">
          <w:rPr>
            <w:rStyle w:val="Collegamentoipertestuale"/>
            <w:rFonts w:cs="Tahoma"/>
            <w:color w:val="auto"/>
            <w:szCs w:val="20"/>
            <w:u w:val="none"/>
          </w:rPr>
          <w:t>D.Lgs.</w:t>
        </w:r>
        <w:proofErr w:type="spellEnd"/>
        <w:r w:rsidRPr="00515872">
          <w:rPr>
            <w:rStyle w:val="Collegamentoipertestuale"/>
            <w:rFonts w:cs="Tahoma"/>
            <w:color w:val="auto"/>
            <w:szCs w:val="20"/>
            <w:u w:val="none"/>
          </w:rPr>
          <w:t xml:space="preserve"> 23 giugno 2011, n. 118</w:t>
        </w:r>
      </w:hyperlink>
      <w:r w:rsidRPr="00515872">
        <w:rPr>
          <w:rStyle w:val="Collegamentoipertestuale"/>
          <w:rFonts w:cs="Tahoma"/>
          <w:color w:val="auto"/>
          <w:szCs w:val="20"/>
          <w:u w:val="none"/>
        </w:rPr>
        <w:t xml:space="preserve"> e dal</w:t>
      </w:r>
      <w:r w:rsidRPr="00515872">
        <w:rPr>
          <w:rFonts w:cs="Tahoma"/>
          <w:szCs w:val="20"/>
        </w:rPr>
        <w:t xml:space="preserve"> </w:t>
      </w:r>
      <w:hyperlink r:id="rId26" w:history="1">
        <w:proofErr w:type="spellStart"/>
        <w:r w:rsidRPr="00515872">
          <w:rPr>
            <w:rStyle w:val="Collegamentoipertestuale"/>
            <w:rFonts w:cs="Tahoma"/>
            <w:color w:val="auto"/>
            <w:szCs w:val="20"/>
            <w:u w:val="none"/>
          </w:rPr>
          <w:t>D.Lgs.</w:t>
        </w:r>
        <w:proofErr w:type="spellEnd"/>
        <w:r w:rsidRPr="00515872">
          <w:rPr>
            <w:rStyle w:val="Collegamentoipertestuale"/>
            <w:rFonts w:cs="Tahoma"/>
            <w:color w:val="auto"/>
            <w:szCs w:val="20"/>
            <w:u w:val="none"/>
          </w:rPr>
          <w:t xml:space="preserve"> 10 agosto 2014, n.126, disciplina le variazioni di bilancio. Esso prevede che</w:t>
        </w:r>
        <w:r w:rsidR="001A4E19" w:rsidRPr="00515872">
          <w:rPr>
            <w:rStyle w:val="Collegamentoipertestuale"/>
            <w:rFonts w:cs="Tahoma"/>
            <w:color w:val="auto"/>
            <w:szCs w:val="20"/>
            <w:u w:val="none"/>
          </w:rPr>
          <w:t>:</w:t>
        </w:r>
        <w:r w:rsidRPr="00515872">
          <w:rPr>
            <w:rStyle w:val="Collegamentoipertestuale"/>
            <w:rFonts w:cs="Tahoma"/>
            <w:color w:val="auto"/>
            <w:szCs w:val="20"/>
            <w:u w:val="none"/>
          </w:rPr>
          <w:t xml:space="preserve"> </w:t>
        </w:r>
        <w:r w:rsidRPr="00515872">
          <w:rPr>
            <w:rStyle w:val="Collegamentoipertestuale"/>
            <w:rFonts w:cs="Tahoma"/>
            <w:i/>
            <w:color w:val="auto"/>
            <w:szCs w:val="20"/>
            <w:u w:val="none"/>
          </w:rPr>
          <w:t>“</w:t>
        </w:r>
        <w:r w:rsidRPr="00515872">
          <w:rPr>
            <w:rFonts w:cs="Tahoma"/>
            <w:i/>
            <w:szCs w:val="20"/>
          </w:rPr>
          <w:t>Il bilancio di previsione finanziario può subire variazioni nel corso dell'esercizio di competenza e di cassa sia nella parte prima, relativa alle entrate, che nella parte seconda, relativa alle spese, per ciascuno degli esercizi considerati nel documento”</w:t>
        </w:r>
      </w:hyperlink>
      <w:r w:rsidRPr="00515872">
        <w:rPr>
          <w:rStyle w:val="Collegamentoipertestuale"/>
          <w:rFonts w:cs="Tahoma"/>
          <w:color w:val="auto"/>
          <w:szCs w:val="20"/>
          <w:u w:val="none"/>
        </w:rPr>
        <w:t xml:space="preserve">. </w:t>
      </w:r>
      <w:r w:rsidRPr="00515872">
        <w:rPr>
          <w:rFonts w:cs="Tahoma"/>
          <w:iCs/>
          <w:szCs w:val="20"/>
        </w:rPr>
        <w:t>Le competenze sono disciplinate dallo stesso art. 175 del TUEL, evidenziando, con l’adozione della nuova contabilità, un ampliamento dei poteri da parte non solo della giunta ma anche dei dirigenti a scapito del consiglio e a vantaggio di una maggiore snellezza del bilancio.</w:t>
      </w:r>
    </w:p>
    <w:p w14:paraId="26D30972" w14:textId="77777777" w:rsidR="00075D3B" w:rsidRPr="00515872" w:rsidRDefault="00075D3B" w:rsidP="00075D3B">
      <w:pPr>
        <w:pStyle w:val="Rientrocorpodeltesto1"/>
        <w:spacing w:after="200" w:line="360" w:lineRule="auto"/>
        <w:jc w:val="both"/>
        <w:rPr>
          <w:rFonts w:ascii="Tahoma" w:hAnsi="Tahoma" w:cs="Tahoma"/>
          <w:sz w:val="20"/>
          <w:szCs w:val="20"/>
        </w:rPr>
      </w:pPr>
      <w:r w:rsidRPr="00515872">
        <w:rPr>
          <w:rFonts w:ascii="Tahoma" w:hAnsi="Tahoma" w:cs="Tahoma"/>
          <w:sz w:val="20"/>
          <w:szCs w:val="20"/>
        </w:rPr>
        <w:t>Le variazioni garantiscono flessibilità al bilancio di previsione.</w:t>
      </w:r>
    </w:p>
    <w:p w14:paraId="091E1D7B" w14:textId="77777777" w:rsidR="009518AF" w:rsidRPr="00515872" w:rsidRDefault="009518AF" w:rsidP="00075D3B">
      <w:pPr>
        <w:pStyle w:val="Rientrocorpodeltesto1"/>
        <w:spacing w:line="360" w:lineRule="auto"/>
        <w:jc w:val="both"/>
        <w:rPr>
          <w:rFonts w:ascii="Tahoma" w:hAnsi="Tahoma" w:cs="Tahoma"/>
          <w:sz w:val="20"/>
          <w:szCs w:val="20"/>
        </w:rPr>
      </w:pPr>
      <w:r w:rsidRPr="00515872">
        <w:rPr>
          <w:rFonts w:ascii="Tahoma" w:hAnsi="Tahoma" w:cs="Tahoma"/>
          <w:sz w:val="20"/>
          <w:szCs w:val="20"/>
        </w:rPr>
        <w:t>Il bilancio di previsione, pertanto, può essere variato nel corso dell’esercizio con riferimento</w:t>
      </w:r>
      <w:r w:rsidR="00075D3B" w:rsidRPr="00515872">
        <w:rPr>
          <w:rFonts w:ascii="Tahoma" w:hAnsi="Tahoma" w:cs="Tahoma"/>
          <w:sz w:val="20"/>
          <w:szCs w:val="20"/>
        </w:rPr>
        <w:t xml:space="preserve"> tanto </w:t>
      </w:r>
      <w:r w:rsidRPr="00515872">
        <w:rPr>
          <w:rFonts w:ascii="Tahoma" w:hAnsi="Tahoma" w:cs="Tahoma"/>
          <w:sz w:val="20"/>
          <w:szCs w:val="20"/>
        </w:rPr>
        <w:t>agli stanziamenti di competenza</w:t>
      </w:r>
      <w:r w:rsidR="00075D3B" w:rsidRPr="00515872">
        <w:rPr>
          <w:rFonts w:ascii="Tahoma" w:hAnsi="Tahoma" w:cs="Tahoma"/>
          <w:sz w:val="20"/>
          <w:szCs w:val="20"/>
        </w:rPr>
        <w:t xml:space="preserve"> quanto </w:t>
      </w:r>
      <w:r w:rsidRPr="00515872">
        <w:rPr>
          <w:rFonts w:ascii="Tahoma" w:hAnsi="Tahoma" w:cs="Tahoma"/>
          <w:sz w:val="20"/>
          <w:szCs w:val="20"/>
        </w:rPr>
        <w:t>agli stanziamenti di cassa.</w:t>
      </w:r>
    </w:p>
    <w:p w14:paraId="635D9A9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lastRenderedPageBreak/>
        <w:t>Tutti gli esercizi considerati nel bilancio di previsione possono essere oggetto di provvedimenti di variazione nel corso dell’esercizio, secondo le stesse modalità</w:t>
      </w:r>
      <w:r w:rsidR="00931D04" w:rsidRPr="00515872">
        <w:rPr>
          <w:rFonts w:cs="Tahoma"/>
          <w:szCs w:val="20"/>
        </w:rPr>
        <w:t xml:space="preserve"> previste per il primo</w:t>
      </w:r>
      <w:r w:rsidRPr="00515872">
        <w:rPr>
          <w:rFonts w:cs="Tahoma"/>
          <w:szCs w:val="20"/>
        </w:rPr>
        <w:t>.</w:t>
      </w:r>
    </w:p>
    <w:p w14:paraId="1900D226" w14:textId="77777777" w:rsidR="009518AF" w:rsidRPr="00515872" w:rsidRDefault="009518AF" w:rsidP="001A4E19">
      <w:pPr>
        <w:pStyle w:val="Rientrocorpodeltesto1"/>
        <w:spacing w:after="200" w:line="360" w:lineRule="auto"/>
        <w:jc w:val="both"/>
        <w:rPr>
          <w:rFonts w:ascii="Tahoma" w:hAnsi="Tahoma" w:cs="Tahoma"/>
          <w:sz w:val="20"/>
          <w:szCs w:val="20"/>
        </w:rPr>
      </w:pPr>
      <w:r w:rsidRPr="00515872">
        <w:rPr>
          <w:rFonts w:ascii="Tahoma" w:hAnsi="Tahoma" w:cs="Tahoma"/>
          <w:sz w:val="20"/>
          <w:szCs w:val="20"/>
        </w:rPr>
        <w:t xml:space="preserve">Le variazioni devono </w:t>
      </w:r>
      <w:r w:rsidR="00516C9F" w:rsidRPr="00515872">
        <w:rPr>
          <w:rFonts w:ascii="Tahoma" w:hAnsi="Tahoma" w:cs="Tahoma"/>
          <w:sz w:val="20"/>
          <w:szCs w:val="20"/>
        </w:rPr>
        <w:t>essere approvate</w:t>
      </w:r>
      <w:r w:rsidRPr="00515872">
        <w:rPr>
          <w:rFonts w:ascii="Tahoma" w:hAnsi="Tahoma" w:cs="Tahoma"/>
          <w:sz w:val="20"/>
          <w:szCs w:val="20"/>
        </w:rPr>
        <w:t xml:space="preserve"> garantendo</w:t>
      </w:r>
      <w:r w:rsidR="001A4E19" w:rsidRPr="00515872">
        <w:rPr>
          <w:rFonts w:ascii="Tahoma" w:hAnsi="Tahoma" w:cs="Tahoma"/>
          <w:sz w:val="20"/>
          <w:szCs w:val="20"/>
        </w:rPr>
        <w:t xml:space="preserve"> </w:t>
      </w:r>
      <w:r w:rsidRPr="00515872">
        <w:rPr>
          <w:rFonts w:ascii="Tahoma" w:hAnsi="Tahoma" w:cs="Tahoma"/>
          <w:sz w:val="20"/>
          <w:szCs w:val="20"/>
        </w:rPr>
        <w:t>il mantenimento del pareggio finanziario</w:t>
      </w:r>
      <w:r w:rsidR="001A4E19" w:rsidRPr="00515872">
        <w:rPr>
          <w:rFonts w:ascii="Tahoma" w:hAnsi="Tahoma" w:cs="Tahoma"/>
          <w:sz w:val="20"/>
          <w:szCs w:val="20"/>
        </w:rPr>
        <w:t xml:space="preserve"> e </w:t>
      </w:r>
      <w:r w:rsidRPr="00515872">
        <w:rPr>
          <w:rFonts w:ascii="Tahoma" w:hAnsi="Tahoma" w:cs="Tahoma"/>
          <w:sz w:val="20"/>
          <w:szCs w:val="20"/>
        </w:rPr>
        <w:t>gli equilibri stabiliti per la copertura delle spese correnti e per il finanziamento degli investimenti.</w:t>
      </w:r>
    </w:p>
    <w:p w14:paraId="4F8ACB3A" w14:textId="77777777" w:rsidR="009518AF" w:rsidRPr="00515872" w:rsidRDefault="009518AF" w:rsidP="009518AF">
      <w:pPr>
        <w:pStyle w:val="Rientrocorpodeltesto1"/>
        <w:spacing w:line="360" w:lineRule="auto"/>
        <w:jc w:val="both"/>
        <w:rPr>
          <w:rFonts w:ascii="Tahoma" w:hAnsi="Tahoma" w:cs="Tahoma"/>
          <w:sz w:val="20"/>
          <w:szCs w:val="20"/>
        </w:rPr>
      </w:pPr>
      <w:r w:rsidRPr="00515872">
        <w:rPr>
          <w:rFonts w:ascii="Tahoma" w:hAnsi="Tahoma" w:cs="Tahoma"/>
          <w:sz w:val="20"/>
          <w:szCs w:val="20"/>
        </w:rPr>
        <w:t>Non sono consentite le se</w:t>
      </w:r>
      <w:r w:rsidR="00DE6424" w:rsidRPr="00515872">
        <w:rPr>
          <w:rFonts w:ascii="Tahoma" w:hAnsi="Tahoma" w:cs="Tahoma"/>
          <w:sz w:val="20"/>
          <w:szCs w:val="20"/>
        </w:rPr>
        <w:t>guenti variazioni</w:t>
      </w:r>
      <w:r w:rsidRPr="00515872">
        <w:rPr>
          <w:rFonts w:ascii="Tahoma" w:hAnsi="Tahoma" w:cs="Tahoma"/>
          <w:sz w:val="20"/>
          <w:szCs w:val="20"/>
        </w:rPr>
        <w:t>:</w:t>
      </w:r>
    </w:p>
    <w:p w14:paraId="1AA35E98" w14:textId="77777777" w:rsidR="009518AF" w:rsidRPr="00515872" w:rsidRDefault="009518AF" w:rsidP="00D65838">
      <w:pPr>
        <w:pStyle w:val="Rientrocorpodeltesto1"/>
        <w:numPr>
          <w:ilvl w:val="0"/>
          <w:numId w:val="54"/>
        </w:numPr>
        <w:spacing w:line="360" w:lineRule="auto"/>
        <w:jc w:val="both"/>
        <w:rPr>
          <w:rFonts w:ascii="Tahoma" w:hAnsi="Tahoma" w:cs="Tahoma"/>
          <w:sz w:val="20"/>
          <w:szCs w:val="20"/>
        </w:rPr>
      </w:pPr>
      <w:r w:rsidRPr="00515872">
        <w:rPr>
          <w:rFonts w:ascii="Tahoma" w:hAnsi="Tahoma" w:cs="Tahoma"/>
          <w:sz w:val="20"/>
          <w:szCs w:val="20"/>
        </w:rPr>
        <w:t>spostamenti di somme tra residui e competenza;</w:t>
      </w:r>
    </w:p>
    <w:p w14:paraId="08709DA0" w14:textId="77777777" w:rsidR="009518AF" w:rsidRPr="00515872" w:rsidRDefault="009518AF" w:rsidP="00D65838">
      <w:pPr>
        <w:pStyle w:val="Rientrocorpodeltesto1"/>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515872">
        <w:rPr>
          <w:rFonts w:ascii="Tahoma" w:hAnsi="Tahoma" w:cs="Tahoma"/>
          <w:sz w:val="20"/>
          <w:szCs w:val="20"/>
        </w:rPr>
        <w:t xml:space="preserve">variazioni di giunta compensative tra </w:t>
      </w:r>
      <w:proofErr w:type="spellStart"/>
      <w:r w:rsidRPr="00515872">
        <w:rPr>
          <w:rFonts w:ascii="Tahoma" w:hAnsi="Tahoma" w:cs="Tahoma"/>
          <w:sz w:val="20"/>
          <w:szCs w:val="20"/>
        </w:rPr>
        <w:t>macroaggregati</w:t>
      </w:r>
      <w:proofErr w:type="spellEnd"/>
      <w:r w:rsidRPr="00515872">
        <w:rPr>
          <w:rFonts w:ascii="Tahoma" w:hAnsi="Tahoma" w:cs="Tahoma"/>
          <w:sz w:val="20"/>
          <w:szCs w:val="20"/>
        </w:rPr>
        <w:t xml:space="preserve"> appartenenti a titoli diversi;</w:t>
      </w:r>
    </w:p>
    <w:p w14:paraId="635BC3A3" w14:textId="77777777" w:rsidR="009518AF" w:rsidRPr="00515872" w:rsidRDefault="009518AF" w:rsidP="00D65838">
      <w:pPr>
        <w:pStyle w:val="Rientrocorpodeltesto1"/>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515872">
        <w:rPr>
          <w:rFonts w:ascii="Tahoma" w:hAnsi="Tahoma" w:cs="Tahoma"/>
          <w:sz w:val="20"/>
          <w:szCs w:val="20"/>
        </w:rPr>
        <w:t>spostamenti di dotazioni dai capitoli iscritti nei titoli riguardanti le entrate e le spese per conto di terzi e partite di giro in favore di altre parti del bilancio.</w:t>
      </w:r>
    </w:p>
    <w:p w14:paraId="526D2D1D"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Le variazioni al bilancio sono generalmente di competenza dell'organo consiliare; esso</w:t>
      </w:r>
      <w:r w:rsidRPr="00515872">
        <w:rPr>
          <w:rFonts w:cs="Tahoma"/>
        </w:rPr>
        <w:t xml:space="preserve"> può variare tutte le unità di voto del bilancio (quindi tipologie di entrata e programmi di spesa), per ciascuno degli esercizi con</w:t>
      </w:r>
      <w:r w:rsidR="00DE6424" w:rsidRPr="00515872">
        <w:rPr>
          <w:rFonts w:cs="Tahoma"/>
        </w:rPr>
        <w:t>templati</w:t>
      </w:r>
      <w:r w:rsidRPr="00515872">
        <w:rPr>
          <w:rFonts w:cs="Tahoma"/>
        </w:rPr>
        <w:t xml:space="preserve"> nel</w:t>
      </w:r>
      <w:r w:rsidR="00DE6424" w:rsidRPr="00515872">
        <w:rPr>
          <w:rFonts w:cs="Tahoma"/>
        </w:rPr>
        <w:t>lo</w:t>
      </w:r>
      <w:r w:rsidR="001A4E19" w:rsidRPr="00515872">
        <w:rPr>
          <w:rFonts w:cs="Tahoma"/>
        </w:rPr>
        <w:t xml:space="preserve"> stesso. Il c</w:t>
      </w:r>
      <w:r w:rsidRPr="00515872">
        <w:rPr>
          <w:rFonts w:cs="Tahoma"/>
        </w:rPr>
        <w:t xml:space="preserve">onsiglio ha altresì la titolarità esclusiva dell’adozione delle variazione di assestamento generale, da </w:t>
      </w:r>
      <w:r w:rsidR="001A4E19" w:rsidRPr="00515872">
        <w:rPr>
          <w:rFonts w:cs="Tahoma"/>
        </w:rPr>
        <w:t>adottar</w:t>
      </w:r>
      <w:r w:rsidR="00DE6424" w:rsidRPr="00515872">
        <w:rPr>
          <w:rFonts w:cs="Tahoma"/>
        </w:rPr>
        <w:t>si</w:t>
      </w:r>
      <w:r w:rsidRPr="00515872">
        <w:rPr>
          <w:rFonts w:cs="Tahoma"/>
        </w:rPr>
        <w:t xml:space="preserve"> entro il 31 luglio di ciascun anno.</w:t>
      </w:r>
    </w:p>
    <w:p w14:paraId="416896C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Altre tipologie di variazione sono invece previste normativamente a carico della giunta o dei responsabili.</w:t>
      </w:r>
    </w:p>
    <w:p w14:paraId="646C9FE3" w14:textId="77777777" w:rsidR="00600A03" w:rsidRPr="00515872" w:rsidRDefault="00600A03" w:rsidP="00747B34">
      <w:pPr>
        <w:pStyle w:val="Rientrocorpodeltesto1"/>
        <w:spacing w:after="200" w:line="360" w:lineRule="auto"/>
        <w:jc w:val="both"/>
        <w:rPr>
          <w:rFonts w:ascii="Tahoma" w:hAnsi="Tahoma" w:cs="Tahoma"/>
          <w:sz w:val="20"/>
          <w:szCs w:val="20"/>
        </w:rPr>
      </w:pPr>
      <w:r w:rsidRPr="00515872">
        <w:rPr>
          <w:rFonts w:ascii="Tahoma" w:hAnsi="Tahoma" w:cs="Tahoma"/>
          <w:sz w:val="20"/>
          <w:szCs w:val="20"/>
        </w:rPr>
        <w:t>Le variazioni al bilancio di previsione sono trasmesse al tesoriere inviando il prospe</w:t>
      </w:r>
      <w:r w:rsidR="00DE6424" w:rsidRPr="00515872">
        <w:rPr>
          <w:rFonts w:ascii="Tahoma" w:hAnsi="Tahoma" w:cs="Tahoma"/>
          <w:sz w:val="20"/>
          <w:szCs w:val="20"/>
        </w:rPr>
        <w:t xml:space="preserve">tto di cui all'art. 10, c. 4, </w:t>
      </w:r>
      <w:proofErr w:type="spellStart"/>
      <w:r w:rsidR="00747B34" w:rsidRPr="00515872">
        <w:rPr>
          <w:rFonts w:ascii="Tahoma" w:hAnsi="Tahoma" w:cs="Tahoma"/>
          <w:sz w:val="20"/>
          <w:szCs w:val="20"/>
        </w:rPr>
        <w:t>D.Lgs.</w:t>
      </w:r>
      <w:proofErr w:type="spellEnd"/>
      <w:r w:rsidR="00747B34" w:rsidRPr="00515872">
        <w:rPr>
          <w:rFonts w:ascii="Tahoma" w:hAnsi="Tahoma" w:cs="Tahoma"/>
          <w:sz w:val="20"/>
          <w:szCs w:val="20"/>
        </w:rPr>
        <w:t xml:space="preserve"> 23 giugno 2011, n. 118 e</w:t>
      </w:r>
      <w:r w:rsidRPr="00515872">
        <w:rPr>
          <w:rFonts w:ascii="Tahoma" w:hAnsi="Tahoma" w:cs="Tahoma"/>
          <w:sz w:val="20"/>
          <w:szCs w:val="20"/>
        </w:rPr>
        <w:t xml:space="preserve"> pubblicate sul sito internet dell’ente.</w:t>
      </w:r>
    </w:p>
    <w:p w14:paraId="363EBAA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szCs w:val="20"/>
        </w:rPr>
      </w:pPr>
      <w:r w:rsidRPr="00515872">
        <w:rPr>
          <w:rFonts w:cs="Tahoma"/>
          <w:b/>
          <w:szCs w:val="20"/>
        </w:rPr>
        <w:t>Variazioni di competenza della giunta</w:t>
      </w:r>
    </w:p>
    <w:p w14:paraId="1F8A934C" w14:textId="77777777" w:rsidR="009518AF" w:rsidRPr="00515872" w:rsidRDefault="009518AF" w:rsidP="009518AF">
      <w:pPr>
        <w:pStyle w:val="NormaleWeb"/>
        <w:spacing w:line="360" w:lineRule="auto"/>
        <w:jc w:val="both"/>
        <w:rPr>
          <w:rFonts w:ascii="Tahoma" w:hAnsi="Tahoma" w:cs="Tahoma"/>
          <w:sz w:val="20"/>
          <w:szCs w:val="20"/>
        </w:rPr>
      </w:pPr>
      <w:r w:rsidRPr="00515872">
        <w:rPr>
          <w:rFonts w:ascii="Tahoma" w:hAnsi="Tahoma" w:cs="Tahoma"/>
          <w:sz w:val="20"/>
          <w:szCs w:val="20"/>
        </w:rPr>
        <w:t>L'organo esecutivo può disporre, oltre alle variazioni del piano esecutivo di gestione (PEG), le seguenti variazioni del bilancio di previsione non aventi natura discrezionale, che si configurano come meramente applicative delle decisioni del consiglio:</w:t>
      </w:r>
    </w:p>
    <w:p w14:paraId="2241982A" w14:textId="77777777" w:rsidR="009518AF" w:rsidRPr="00515872" w:rsidRDefault="009518AF" w:rsidP="00D65838">
      <w:pPr>
        <w:pStyle w:val="NormaleWeb"/>
        <w:numPr>
          <w:ilvl w:val="0"/>
          <w:numId w:val="55"/>
        </w:numPr>
        <w:spacing w:line="360" w:lineRule="auto"/>
        <w:jc w:val="both"/>
        <w:rPr>
          <w:rFonts w:ascii="Tahoma" w:hAnsi="Tahoma" w:cs="Tahoma"/>
          <w:sz w:val="20"/>
          <w:szCs w:val="20"/>
        </w:rPr>
      </w:pPr>
      <w:r w:rsidRPr="00515872">
        <w:rPr>
          <w:rFonts w:ascii="Tahoma" w:hAnsi="Tahoma" w:cs="Tahoma"/>
          <w:sz w:val="20"/>
          <w:szCs w:val="20"/>
        </w:rPr>
        <w:t>variazioni riguardanti l'utilizzo della quota vincolata e accantonata del risultato di amministrazione nel corso dell'esercizio provvisorio consistenti nella mera reiscrizione di economie di spesa derivanti da stanziamenti di bilancio dell'esercizio precedente corrispondenti a entrate vincolate, secondo le modalità previste dall'art. 187, c. 3-quinquies del TUEL;</w:t>
      </w:r>
    </w:p>
    <w:p w14:paraId="497736A9" w14:textId="77777777" w:rsidR="009518AF" w:rsidRPr="00515872" w:rsidRDefault="009518AF" w:rsidP="00D65838">
      <w:pPr>
        <w:pStyle w:val="NormaleWeb"/>
        <w:numPr>
          <w:ilvl w:val="0"/>
          <w:numId w:val="55"/>
        </w:numPr>
        <w:spacing w:line="360" w:lineRule="auto"/>
        <w:jc w:val="both"/>
        <w:rPr>
          <w:rFonts w:ascii="Tahoma" w:hAnsi="Tahoma" w:cs="Tahoma"/>
          <w:sz w:val="20"/>
          <w:szCs w:val="20"/>
        </w:rPr>
      </w:pPr>
      <w:r w:rsidRPr="00515872">
        <w:rPr>
          <w:rFonts w:ascii="Tahoma" w:hAnsi="Tahoma" w:cs="Tahoma"/>
          <w:sz w:val="20"/>
          <w:szCs w:val="20"/>
        </w:rPr>
        <w:t>variazioni compensative tra le dotazioni delle missioni e dei programmi riguardanti l'utilizzo di risorse comunitarie e vincolate, nel rispetto della finalità della spesa definita nel provvedimento di assegnazione delle risorse, o qualora le variazioni siano necessarie per l'attuazione di interventi previsti da intese istituzionali di programma o da altri strumenti di programmazione negoziata, già deliberati dal consiglio;</w:t>
      </w:r>
    </w:p>
    <w:p w14:paraId="7D78BC18" w14:textId="77777777" w:rsidR="009518AF" w:rsidRPr="00515872" w:rsidRDefault="009518AF" w:rsidP="00D65838">
      <w:pPr>
        <w:pStyle w:val="NormaleWeb"/>
        <w:numPr>
          <w:ilvl w:val="0"/>
          <w:numId w:val="55"/>
        </w:numPr>
        <w:spacing w:line="360" w:lineRule="auto"/>
        <w:jc w:val="both"/>
        <w:rPr>
          <w:rFonts w:ascii="Tahoma" w:hAnsi="Tahoma" w:cs="Tahoma"/>
          <w:sz w:val="20"/>
          <w:szCs w:val="20"/>
        </w:rPr>
      </w:pPr>
      <w:r w:rsidRPr="00515872">
        <w:rPr>
          <w:rFonts w:ascii="Tahoma" w:hAnsi="Tahoma" w:cs="Tahoma"/>
          <w:sz w:val="20"/>
          <w:szCs w:val="20"/>
        </w:rPr>
        <w:t>variazioni compensative tra le dotazioni delle missioni e dei programmi limitatamente alle spese per il personale, conseguenti a provvedimenti di trasferimento del personale all'interno dell'ente;</w:t>
      </w:r>
    </w:p>
    <w:p w14:paraId="1BD4E898" w14:textId="77777777" w:rsidR="009518AF" w:rsidRPr="00515872" w:rsidRDefault="009518AF" w:rsidP="00D65838">
      <w:pPr>
        <w:pStyle w:val="NormaleWeb"/>
        <w:numPr>
          <w:ilvl w:val="0"/>
          <w:numId w:val="55"/>
        </w:numPr>
        <w:spacing w:line="360" w:lineRule="auto"/>
        <w:jc w:val="both"/>
        <w:rPr>
          <w:rFonts w:ascii="Tahoma" w:hAnsi="Tahoma" w:cs="Tahoma"/>
          <w:sz w:val="20"/>
          <w:szCs w:val="20"/>
        </w:rPr>
      </w:pPr>
      <w:r w:rsidRPr="00515872">
        <w:rPr>
          <w:rFonts w:ascii="Tahoma" w:hAnsi="Tahoma" w:cs="Tahoma"/>
          <w:sz w:val="20"/>
          <w:szCs w:val="20"/>
        </w:rPr>
        <w:t>variazioni delle dotazioni di cassa, salvo quelle previste dal c. 5-quater</w:t>
      </w:r>
      <w:r w:rsidR="00DE6424" w:rsidRPr="00515872">
        <w:rPr>
          <w:rFonts w:ascii="Tahoma" w:hAnsi="Tahoma" w:cs="Tahoma"/>
          <w:sz w:val="20"/>
          <w:szCs w:val="20"/>
        </w:rPr>
        <w:t xml:space="preserve"> dell’art. 175, TUEL</w:t>
      </w:r>
      <w:r w:rsidRPr="00515872">
        <w:rPr>
          <w:rFonts w:ascii="Tahoma" w:hAnsi="Tahoma" w:cs="Tahoma"/>
          <w:sz w:val="20"/>
          <w:szCs w:val="20"/>
        </w:rPr>
        <w:t>, garantendo che il fondo di cassa alla fine dell'esercizio sia non negativo;</w:t>
      </w:r>
    </w:p>
    <w:p w14:paraId="51EBDD12" w14:textId="77777777" w:rsidR="00EB3D0B" w:rsidRPr="00515872" w:rsidRDefault="00EB3D0B" w:rsidP="00D65838">
      <w:pPr>
        <w:pStyle w:val="NormaleWeb"/>
        <w:numPr>
          <w:ilvl w:val="0"/>
          <w:numId w:val="55"/>
        </w:numPr>
        <w:spacing w:line="360" w:lineRule="auto"/>
        <w:jc w:val="both"/>
        <w:rPr>
          <w:rFonts w:ascii="Tahoma" w:hAnsi="Tahoma" w:cs="Tahoma"/>
          <w:sz w:val="20"/>
          <w:szCs w:val="20"/>
        </w:rPr>
      </w:pPr>
      <w:r w:rsidRPr="00515872">
        <w:rPr>
          <w:rFonts w:ascii="Tahoma" w:hAnsi="Tahoma" w:cs="Tahoma"/>
          <w:sz w:val="20"/>
          <w:szCs w:val="20"/>
        </w:rPr>
        <w:lastRenderedPageBreak/>
        <w:t xml:space="preserve">variazioni riguardanti il </w:t>
      </w:r>
      <w:r w:rsidR="00DE6424" w:rsidRPr="00515872">
        <w:rPr>
          <w:rFonts w:ascii="Tahoma" w:hAnsi="Tahoma" w:cs="Tahoma"/>
          <w:sz w:val="20"/>
          <w:szCs w:val="20"/>
        </w:rPr>
        <w:t>FPV di cui all'art. 3, c. 5,</w:t>
      </w:r>
      <w:r w:rsidRPr="00515872">
        <w:rPr>
          <w:rFonts w:ascii="Tahoma" w:hAnsi="Tahoma" w:cs="Tahoma"/>
          <w:sz w:val="20"/>
          <w:szCs w:val="20"/>
        </w:rPr>
        <w:t xml:space="preserve"> </w:t>
      </w:r>
      <w:proofErr w:type="spellStart"/>
      <w:r w:rsidRPr="00515872">
        <w:rPr>
          <w:rFonts w:ascii="Tahoma" w:hAnsi="Tahoma" w:cs="Tahoma"/>
          <w:sz w:val="20"/>
          <w:szCs w:val="20"/>
        </w:rPr>
        <w:t>D.Lgs.</w:t>
      </w:r>
      <w:proofErr w:type="spellEnd"/>
      <w:r w:rsidRPr="00515872">
        <w:rPr>
          <w:rFonts w:ascii="Tahoma" w:hAnsi="Tahoma" w:cs="Tahoma"/>
          <w:sz w:val="20"/>
          <w:szCs w:val="20"/>
        </w:rPr>
        <w:t xml:space="preserve"> n. 118/2011, effettuate entro i termini di approvazione del rendiconto in deroga al c. 3</w:t>
      </w:r>
      <w:r w:rsidR="00DE6424" w:rsidRPr="00515872">
        <w:rPr>
          <w:rFonts w:ascii="Tahoma" w:hAnsi="Tahoma" w:cs="Tahoma"/>
          <w:sz w:val="20"/>
          <w:szCs w:val="20"/>
        </w:rPr>
        <w:t xml:space="preserve"> dell’art. 175, TUEL</w:t>
      </w:r>
      <w:r w:rsidRPr="00515872">
        <w:rPr>
          <w:rFonts w:ascii="Tahoma" w:hAnsi="Tahoma" w:cs="Tahoma"/>
          <w:sz w:val="20"/>
          <w:szCs w:val="20"/>
        </w:rPr>
        <w:t>;</w:t>
      </w:r>
    </w:p>
    <w:p w14:paraId="608CCAD0" w14:textId="77777777" w:rsidR="00EB3D0B" w:rsidRPr="00515872" w:rsidRDefault="00EB3D0B" w:rsidP="00D65838">
      <w:pPr>
        <w:pStyle w:val="NormaleWeb"/>
        <w:numPr>
          <w:ilvl w:val="0"/>
          <w:numId w:val="55"/>
        </w:numPr>
        <w:spacing w:after="200" w:line="360" w:lineRule="auto"/>
        <w:jc w:val="both"/>
        <w:rPr>
          <w:rFonts w:ascii="Tahoma" w:hAnsi="Tahoma" w:cs="Tahoma"/>
          <w:sz w:val="20"/>
          <w:szCs w:val="20"/>
        </w:rPr>
      </w:pPr>
      <w:r w:rsidRPr="00515872">
        <w:rPr>
          <w:rFonts w:ascii="Tahoma" w:hAnsi="Tahoma" w:cs="Tahoma"/>
          <w:sz w:val="20"/>
          <w:szCs w:val="20"/>
        </w:rPr>
        <w:t xml:space="preserve">variazioni compensative tra </w:t>
      </w:r>
      <w:proofErr w:type="spellStart"/>
      <w:r w:rsidRPr="00515872">
        <w:rPr>
          <w:rFonts w:ascii="Tahoma" w:hAnsi="Tahoma" w:cs="Tahoma"/>
          <w:sz w:val="20"/>
          <w:szCs w:val="20"/>
        </w:rPr>
        <w:t>macroaggregati</w:t>
      </w:r>
      <w:proofErr w:type="spellEnd"/>
      <w:r w:rsidRPr="00515872">
        <w:rPr>
          <w:rFonts w:ascii="Tahoma" w:hAnsi="Tahoma" w:cs="Tahoma"/>
          <w:sz w:val="20"/>
          <w:szCs w:val="20"/>
        </w:rPr>
        <w:t xml:space="preserve"> dello stesso programma all'interno della stessa missione.</w:t>
      </w:r>
    </w:p>
    <w:p w14:paraId="144D6E26" w14:textId="77777777" w:rsidR="009518AF" w:rsidRPr="00515872" w:rsidRDefault="009518AF" w:rsidP="00DE6424">
      <w:pPr>
        <w:pStyle w:val="Rientrocorpodeltesto1"/>
        <w:spacing w:after="200" w:line="360" w:lineRule="auto"/>
        <w:jc w:val="both"/>
        <w:rPr>
          <w:rFonts w:ascii="Tahoma" w:hAnsi="Tahoma" w:cs="Tahoma"/>
          <w:sz w:val="20"/>
          <w:szCs w:val="20"/>
        </w:rPr>
      </w:pPr>
      <w:r w:rsidRPr="00515872">
        <w:rPr>
          <w:rFonts w:ascii="Tahoma" w:hAnsi="Tahoma" w:cs="Tahoma"/>
          <w:sz w:val="20"/>
          <w:szCs w:val="20"/>
        </w:rPr>
        <w:t xml:space="preserve">Variazioni di bilancio </w:t>
      </w:r>
      <w:r w:rsidRPr="00515872">
        <w:rPr>
          <w:rFonts w:ascii="Tahoma" w:hAnsi="Tahoma" w:cs="Tahoma"/>
          <w:b/>
          <w:sz w:val="20"/>
          <w:szCs w:val="20"/>
        </w:rPr>
        <w:t>in via d’urgenza (opportunamente motivata) possono inoltre essere disposte dalla giunta con riguardo alle competenze del consiglio</w:t>
      </w:r>
      <w:r w:rsidRPr="00515872">
        <w:rPr>
          <w:rFonts w:ascii="Tahoma" w:hAnsi="Tahoma" w:cs="Tahoma"/>
          <w:sz w:val="20"/>
          <w:szCs w:val="20"/>
        </w:rPr>
        <w:t xml:space="preserve">, con deliberazione </w:t>
      </w:r>
      <w:r w:rsidRPr="00515872">
        <w:rPr>
          <w:rFonts w:ascii="Tahoma" w:hAnsi="Tahoma" w:cs="Tahoma"/>
          <w:b/>
          <w:sz w:val="20"/>
          <w:szCs w:val="20"/>
        </w:rPr>
        <w:t>da sottoporre a ratifica da parte del consiglio stesso</w:t>
      </w:r>
      <w:r w:rsidRPr="00515872">
        <w:rPr>
          <w:rFonts w:ascii="Tahoma" w:hAnsi="Tahoma" w:cs="Tahoma"/>
          <w:sz w:val="20"/>
          <w:szCs w:val="20"/>
        </w:rPr>
        <w:t>, a pena di decadenza, entro il termine di 60 giorni dall’adozione e, comunque, entro il 31 dicembre dell’anno in corso, anche se a tale data non s</w:t>
      </w:r>
      <w:r w:rsidR="00DE6424" w:rsidRPr="00515872">
        <w:rPr>
          <w:rFonts w:ascii="Tahoma" w:hAnsi="Tahoma" w:cs="Tahoma"/>
          <w:sz w:val="20"/>
          <w:szCs w:val="20"/>
        </w:rPr>
        <w:t>ia scaduto il termine predetto. In questo caso, qualora il</w:t>
      </w:r>
      <w:r w:rsidRPr="00515872">
        <w:rPr>
          <w:rFonts w:ascii="Tahoma" w:hAnsi="Tahoma" w:cs="Tahoma"/>
          <w:sz w:val="20"/>
          <w:szCs w:val="20"/>
        </w:rPr>
        <w:t xml:space="preserve"> consiglio dinieghi totalmente o parzialmente la ratifica</w:t>
      </w:r>
      <w:r w:rsidR="00DE6424" w:rsidRPr="00515872">
        <w:rPr>
          <w:rFonts w:ascii="Tahoma" w:hAnsi="Tahoma" w:cs="Tahoma"/>
          <w:sz w:val="20"/>
          <w:szCs w:val="20"/>
        </w:rPr>
        <w:t xml:space="preserve"> della variazione</w:t>
      </w:r>
      <w:r w:rsidRPr="00515872">
        <w:rPr>
          <w:rFonts w:ascii="Tahoma" w:hAnsi="Tahoma" w:cs="Tahoma"/>
          <w:sz w:val="20"/>
          <w:szCs w:val="20"/>
        </w:rPr>
        <w:t xml:space="preserve">, </w:t>
      </w:r>
      <w:r w:rsidR="00DE6424" w:rsidRPr="00515872">
        <w:rPr>
          <w:rFonts w:ascii="Tahoma" w:hAnsi="Tahoma" w:cs="Tahoma"/>
          <w:sz w:val="20"/>
          <w:szCs w:val="20"/>
        </w:rPr>
        <w:t xml:space="preserve">esso </w:t>
      </w:r>
      <w:r w:rsidRPr="00515872">
        <w:rPr>
          <w:rFonts w:ascii="Tahoma" w:hAnsi="Tahoma" w:cs="Tahoma"/>
          <w:sz w:val="20"/>
          <w:szCs w:val="20"/>
        </w:rPr>
        <w:t>adotta i provvedimenti necessari nei riguardi dei rapporti eventualmente sorti sulla base della deliberazione non ratificata.</w:t>
      </w:r>
    </w:p>
    <w:p w14:paraId="79876073" w14:textId="77777777" w:rsidR="009518AF" w:rsidRPr="00515872" w:rsidRDefault="009518AF" w:rsidP="009518AF">
      <w:pPr>
        <w:pStyle w:val="NormaleWeb"/>
        <w:spacing w:line="360" w:lineRule="auto"/>
        <w:jc w:val="both"/>
        <w:rPr>
          <w:rFonts w:ascii="Tahoma" w:hAnsi="Tahoma" w:cs="Tahoma"/>
          <w:b/>
          <w:sz w:val="20"/>
          <w:szCs w:val="20"/>
        </w:rPr>
      </w:pPr>
      <w:r w:rsidRPr="00515872">
        <w:rPr>
          <w:rFonts w:ascii="Tahoma" w:hAnsi="Tahoma" w:cs="Tahoma"/>
          <w:b/>
          <w:sz w:val="20"/>
          <w:szCs w:val="20"/>
        </w:rPr>
        <w:t>Variazioni dei responsabili</w:t>
      </w:r>
    </w:p>
    <w:p w14:paraId="598C01E7" w14:textId="77777777" w:rsidR="009518AF" w:rsidRPr="00515872" w:rsidRDefault="009518AF" w:rsidP="009518AF">
      <w:pPr>
        <w:pStyle w:val="NormaleWeb"/>
        <w:spacing w:line="360" w:lineRule="auto"/>
        <w:jc w:val="both"/>
        <w:rPr>
          <w:rFonts w:ascii="Tahoma" w:hAnsi="Tahoma" w:cs="Tahoma"/>
          <w:sz w:val="20"/>
          <w:szCs w:val="20"/>
        </w:rPr>
      </w:pPr>
      <w:r w:rsidRPr="00515872">
        <w:rPr>
          <w:rFonts w:ascii="Tahoma" w:hAnsi="Tahoma" w:cs="Tahoma"/>
          <w:sz w:val="20"/>
          <w:szCs w:val="20"/>
        </w:rPr>
        <w:t>Nel rispetto di quanto previsto dal regolamento di contabilità, i responsabili della spesa o, in assenza di disciplina, il responsabile finanziario, possono effettuare, per ciascuno degli esercizi del bilancio:</w:t>
      </w:r>
    </w:p>
    <w:p w14:paraId="6B31EAEF" w14:textId="77777777" w:rsidR="009518AF" w:rsidRPr="00515872" w:rsidRDefault="009518AF" w:rsidP="00D65838">
      <w:pPr>
        <w:pStyle w:val="NormaleWeb"/>
        <w:numPr>
          <w:ilvl w:val="0"/>
          <w:numId w:val="56"/>
        </w:numPr>
        <w:spacing w:line="360" w:lineRule="auto"/>
        <w:jc w:val="both"/>
        <w:rPr>
          <w:rFonts w:ascii="Tahoma" w:hAnsi="Tahoma" w:cs="Tahoma"/>
          <w:sz w:val="20"/>
          <w:szCs w:val="20"/>
        </w:rPr>
      </w:pPr>
      <w:r w:rsidRPr="00515872">
        <w:rPr>
          <w:rFonts w:ascii="Tahoma" w:hAnsi="Tahoma" w:cs="Tahoma"/>
          <w:sz w:val="20"/>
          <w:szCs w:val="20"/>
        </w:rPr>
        <w:t xml:space="preserve">le variazioni compensative del PEG fra capitoli di entrata della medesima categoria e fra i capitoli di spesa del medesimo </w:t>
      </w:r>
      <w:proofErr w:type="spellStart"/>
      <w:r w:rsidRPr="00515872">
        <w:rPr>
          <w:rFonts w:ascii="Tahoma" w:hAnsi="Tahoma" w:cs="Tahoma"/>
          <w:sz w:val="20"/>
          <w:szCs w:val="20"/>
        </w:rPr>
        <w:t>macroaggregato</w:t>
      </w:r>
      <w:proofErr w:type="spellEnd"/>
      <w:r w:rsidRPr="00515872">
        <w:rPr>
          <w:rFonts w:ascii="Tahoma" w:hAnsi="Tahoma" w:cs="Tahoma"/>
          <w:sz w:val="20"/>
          <w:szCs w:val="20"/>
        </w:rPr>
        <w:t xml:space="preserve">, escluse le variazioni dei capitoli appartenenti ai </w:t>
      </w:r>
      <w:proofErr w:type="spellStart"/>
      <w:r w:rsidRPr="00515872">
        <w:rPr>
          <w:rFonts w:ascii="Tahoma" w:hAnsi="Tahoma" w:cs="Tahoma"/>
          <w:sz w:val="20"/>
          <w:szCs w:val="20"/>
        </w:rPr>
        <w:t>macroaggregati</w:t>
      </w:r>
      <w:proofErr w:type="spellEnd"/>
      <w:r w:rsidRPr="00515872">
        <w:rPr>
          <w:rFonts w:ascii="Tahoma" w:hAnsi="Tahoma" w:cs="Tahoma"/>
          <w:sz w:val="20"/>
          <w:szCs w:val="20"/>
        </w:rPr>
        <w:t xml:space="preserve"> riguardanti i trasferimenti correnti, i contribuiti agli investimenti, ed ai trasferimenti in conto capitale, che sono di competenza della giunta;</w:t>
      </w:r>
    </w:p>
    <w:p w14:paraId="750EC1DD" w14:textId="77777777" w:rsidR="009518AF" w:rsidRPr="00515872" w:rsidRDefault="009518AF" w:rsidP="00D65838">
      <w:pPr>
        <w:pStyle w:val="NormaleWeb"/>
        <w:numPr>
          <w:ilvl w:val="0"/>
          <w:numId w:val="56"/>
        </w:numPr>
        <w:spacing w:line="360" w:lineRule="auto"/>
        <w:jc w:val="both"/>
        <w:rPr>
          <w:rFonts w:ascii="Tahoma" w:hAnsi="Tahoma" w:cs="Tahoma"/>
          <w:sz w:val="20"/>
          <w:szCs w:val="20"/>
        </w:rPr>
      </w:pPr>
      <w:r w:rsidRPr="00515872">
        <w:rPr>
          <w:rFonts w:ascii="Tahoma" w:hAnsi="Tahoma" w:cs="Tahoma"/>
          <w:sz w:val="20"/>
          <w:szCs w:val="20"/>
        </w:rPr>
        <w:t>le variazioni di bilancio fra gli stanziamenti riguardanti il FPV e gli stanziamenti correlati, in termini di competenza e di cassa, escluse quelle previste dall'art. 3, c. 5</w:t>
      </w:r>
      <w:r w:rsidR="00DE6424" w:rsidRPr="00515872">
        <w:rPr>
          <w:rFonts w:ascii="Tahoma" w:hAnsi="Tahoma" w:cs="Tahoma"/>
          <w:sz w:val="20"/>
          <w:szCs w:val="20"/>
        </w:rPr>
        <w:t>,</w:t>
      </w:r>
      <w:r w:rsidRPr="00515872">
        <w:rPr>
          <w:rFonts w:ascii="Tahoma" w:hAnsi="Tahoma" w:cs="Tahoma"/>
          <w:sz w:val="20"/>
          <w:szCs w:val="20"/>
        </w:rPr>
        <w:t xml:space="preserve"> </w:t>
      </w:r>
      <w:proofErr w:type="spellStart"/>
      <w:r w:rsidRPr="00515872">
        <w:rPr>
          <w:rFonts w:ascii="Tahoma" w:hAnsi="Tahoma" w:cs="Tahoma"/>
          <w:sz w:val="20"/>
          <w:szCs w:val="20"/>
        </w:rPr>
        <w:t>D.Lgs.</w:t>
      </w:r>
      <w:proofErr w:type="spellEnd"/>
      <w:r w:rsidRPr="00515872">
        <w:rPr>
          <w:rFonts w:ascii="Tahoma" w:hAnsi="Tahoma" w:cs="Tahoma"/>
          <w:sz w:val="20"/>
          <w:szCs w:val="20"/>
        </w:rPr>
        <w:t xml:space="preserve"> n. 118/2011;</w:t>
      </w:r>
    </w:p>
    <w:p w14:paraId="523042FB" w14:textId="77777777" w:rsidR="009518AF" w:rsidRPr="00515872" w:rsidRDefault="009518AF" w:rsidP="00D65838">
      <w:pPr>
        <w:pStyle w:val="NormaleWeb"/>
        <w:numPr>
          <w:ilvl w:val="0"/>
          <w:numId w:val="56"/>
        </w:numPr>
        <w:spacing w:line="360" w:lineRule="auto"/>
        <w:jc w:val="both"/>
        <w:rPr>
          <w:rFonts w:ascii="Tahoma" w:hAnsi="Tahoma" w:cs="Tahoma"/>
          <w:sz w:val="20"/>
          <w:szCs w:val="20"/>
        </w:rPr>
      </w:pPr>
      <w:r w:rsidRPr="00515872">
        <w:rPr>
          <w:rFonts w:ascii="Tahoma" w:hAnsi="Tahoma" w:cs="Tahoma"/>
          <w:sz w:val="20"/>
          <w:szCs w:val="20"/>
        </w:rPr>
        <w:t>le variazioni di bilancio riguardanti l'utilizzo della quota vincolata del risultato di amministrazione derivanti da stanziamenti di bilancio dell'esercizio precedente, corrispondenti a entrate vincolate, in termini di competenza e di cassa, secondo le modalità previste dall'art. 187, c. 3-quinquies del TUEL;</w:t>
      </w:r>
    </w:p>
    <w:p w14:paraId="20866F3A" w14:textId="77777777" w:rsidR="009518AF" w:rsidRPr="00515872" w:rsidRDefault="009518AF" w:rsidP="00D65838">
      <w:pPr>
        <w:pStyle w:val="NormaleWeb"/>
        <w:numPr>
          <w:ilvl w:val="0"/>
          <w:numId w:val="56"/>
        </w:numPr>
        <w:spacing w:line="360" w:lineRule="auto"/>
        <w:jc w:val="both"/>
        <w:rPr>
          <w:rFonts w:ascii="Tahoma" w:hAnsi="Tahoma" w:cs="Tahoma"/>
          <w:sz w:val="20"/>
          <w:szCs w:val="20"/>
        </w:rPr>
      </w:pPr>
      <w:r w:rsidRPr="00515872">
        <w:rPr>
          <w:rFonts w:ascii="Tahoma" w:hAnsi="Tahoma" w:cs="Tahoma"/>
          <w:sz w:val="20"/>
          <w:szCs w:val="20"/>
        </w:rPr>
        <w:t>le variazioni degli stanziamenti riguardanti i versamenti ai conti di tesoreria statale intestati all'ente e i versamenti a depositi bancari intestati all'ente;</w:t>
      </w:r>
    </w:p>
    <w:p w14:paraId="6065C7F4" w14:textId="77777777" w:rsidR="009518AF" w:rsidRPr="00515872" w:rsidRDefault="009518AF" w:rsidP="00D65838">
      <w:pPr>
        <w:pStyle w:val="NormaleWeb"/>
        <w:numPr>
          <w:ilvl w:val="0"/>
          <w:numId w:val="56"/>
        </w:numPr>
        <w:spacing w:line="360" w:lineRule="auto"/>
        <w:jc w:val="both"/>
        <w:rPr>
          <w:rFonts w:ascii="Tahoma" w:hAnsi="Tahoma" w:cs="Tahoma"/>
          <w:sz w:val="20"/>
          <w:szCs w:val="20"/>
        </w:rPr>
      </w:pPr>
      <w:r w:rsidRPr="00515872">
        <w:rPr>
          <w:rFonts w:ascii="Tahoma" w:hAnsi="Tahoma" w:cs="Tahoma"/>
          <w:sz w:val="20"/>
          <w:szCs w:val="20"/>
        </w:rPr>
        <w:t>le variazioni necessarie per l'adeguamento delle previsioni, compresa l'istituzione di tipologie e programmi, riguardanti le partite di giro e le operazioni per conto di terzi;</w:t>
      </w:r>
    </w:p>
    <w:p w14:paraId="3BB4CB36" w14:textId="77777777" w:rsidR="009518AF" w:rsidRPr="00515872" w:rsidRDefault="009518AF" w:rsidP="00D65838">
      <w:pPr>
        <w:pStyle w:val="NormaleWeb"/>
        <w:numPr>
          <w:ilvl w:val="0"/>
          <w:numId w:val="56"/>
        </w:numPr>
        <w:spacing w:after="200" w:line="360" w:lineRule="auto"/>
        <w:jc w:val="both"/>
        <w:rPr>
          <w:rFonts w:ascii="Tahoma" w:hAnsi="Tahoma" w:cs="Tahoma"/>
          <w:sz w:val="20"/>
          <w:szCs w:val="20"/>
        </w:rPr>
      </w:pPr>
      <w:r w:rsidRPr="00515872">
        <w:rPr>
          <w:rFonts w:ascii="Tahoma" w:hAnsi="Tahoma" w:cs="Tahoma"/>
          <w:color w:val="000000"/>
          <w:sz w:val="20"/>
          <w:szCs w:val="20"/>
        </w:rPr>
        <w:t xml:space="preserve">in caso di variazioni di esigibilità della spesa, per ciascuno degli esercizi del bilancio, le variazioni relative a stanziamenti riferiti a operazioni di indebitamento già autorizzate e perfezionate, contabilizzate secondo l’andamento della correlata spesa, e le variazioni di stanziamenti correlati ai contributi a rendicontazione, escluse quelle previste dall’art. 3, c. 4, </w:t>
      </w:r>
      <w:proofErr w:type="spellStart"/>
      <w:r w:rsidRPr="00515872">
        <w:rPr>
          <w:rFonts w:ascii="Tahoma" w:hAnsi="Tahoma" w:cs="Tahoma"/>
          <w:color w:val="000000"/>
          <w:sz w:val="20"/>
          <w:szCs w:val="20"/>
        </w:rPr>
        <w:t>D.Lgs.</w:t>
      </w:r>
      <w:proofErr w:type="spellEnd"/>
      <w:r w:rsidRPr="00515872">
        <w:rPr>
          <w:rFonts w:ascii="Tahoma" w:hAnsi="Tahoma" w:cs="Tahoma"/>
          <w:color w:val="000000"/>
          <w:sz w:val="20"/>
          <w:szCs w:val="20"/>
        </w:rPr>
        <w:t xml:space="preserve"> n. 118/2011. Tali</w:t>
      </w:r>
      <w:r w:rsidR="00600A03" w:rsidRPr="00515872">
        <w:rPr>
          <w:rFonts w:ascii="Tahoma" w:hAnsi="Tahoma" w:cs="Tahoma"/>
          <w:color w:val="000000"/>
          <w:sz w:val="20"/>
          <w:szCs w:val="20"/>
        </w:rPr>
        <w:t xml:space="preserve"> variazioni sono comunicate trimestralmente alla giunta.</w:t>
      </w:r>
    </w:p>
    <w:p w14:paraId="21E49BDA" w14:textId="77777777" w:rsidR="009518AF" w:rsidRPr="00515872" w:rsidRDefault="009518AF" w:rsidP="009518AF">
      <w:pPr>
        <w:pStyle w:val="Rientrocorpodeltesto1"/>
        <w:spacing w:line="360" w:lineRule="auto"/>
        <w:jc w:val="both"/>
        <w:rPr>
          <w:rFonts w:ascii="Tahoma" w:hAnsi="Tahoma" w:cs="Tahoma"/>
          <w:b/>
          <w:sz w:val="20"/>
          <w:szCs w:val="20"/>
        </w:rPr>
      </w:pPr>
      <w:r w:rsidRPr="00515872">
        <w:rPr>
          <w:rFonts w:ascii="Tahoma" w:hAnsi="Tahoma" w:cs="Tahoma"/>
          <w:b/>
          <w:sz w:val="20"/>
          <w:szCs w:val="20"/>
        </w:rPr>
        <w:t>Termini</w:t>
      </w:r>
    </w:p>
    <w:p w14:paraId="5A3BCDBD" w14:textId="77777777" w:rsidR="009518AF" w:rsidRPr="00515872" w:rsidRDefault="009518AF" w:rsidP="009518AF">
      <w:pPr>
        <w:pStyle w:val="Rientrocorpodeltesto1"/>
        <w:spacing w:line="360" w:lineRule="auto"/>
        <w:jc w:val="both"/>
        <w:rPr>
          <w:rFonts w:ascii="Tahoma" w:hAnsi="Tahoma" w:cs="Tahoma"/>
          <w:sz w:val="20"/>
          <w:szCs w:val="20"/>
        </w:rPr>
      </w:pPr>
      <w:r w:rsidRPr="00515872">
        <w:rPr>
          <w:rFonts w:ascii="Tahoma" w:hAnsi="Tahoma" w:cs="Tahoma"/>
          <w:sz w:val="20"/>
          <w:szCs w:val="20"/>
        </w:rPr>
        <w:t xml:space="preserve">La riforma del sistema contabile e della programmazione degli enti pubblici ha lasciato immutato il termine, già previsto dal precedente ordinamento, </w:t>
      </w:r>
      <w:r w:rsidRPr="00515872">
        <w:rPr>
          <w:rFonts w:ascii="Tahoma" w:hAnsi="Tahoma" w:cs="Tahoma"/>
          <w:bCs/>
          <w:sz w:val="20"/>
          <w:szCs w:val="20"/>
        </w:rPr>
        <w:t>del 30 novembre</w:t>
      </w:r>
      <w:r w:rsidRPr="00515872">
        <w:rPr>
          <w:rFonts w:ascii="Tahoma" w:hAnsi="Tahoma" w:cs="Tahoma"/>
          <w:sz w:val="20"/>
          <w:szCs w:val="20"/>
        </w:rPr>
        <w:t xml:space="preserve">, con alcune eccezioni di variazioni che possono essere deliberate </w:t>
      </w:r>
      <w:r w:rsidRPr="00515872">
        <w:rPr>
          <w:rFonts w:ascii="Tahoma" w:hAnsi="Tahoma" w:cs="Tahoma"/>
          <w:bCs/>
          <w:sz w:val="20"/>
          <w:szCs w:val="20"/>
        </w:rPr>
        <w:t>entro il 31 dicembre, vale a dire</w:t>
      </w:r>
      <w:r w:rsidR="001A0910" w:rsidRPr="00515872">
        <w:rPr>
          <w:rFonts w:ascii="Tahoma" w:hAnsi="Tahoma" w:cs="Tahoma"/>
          <w:bCs/>
          <w:sz w:val="20"/>
          <w:szCs w:val="20"/>
        </w:rPr>
        <w:t xml:space="preserve"> quelle relative a</w:t>
      </w:r>
      <w:r w:rsidRPr="00515872">
        <w:rPr>
          <w:rFonts w:ascii="Tahoma" w:hAnsi="Tahoma" w:cs="Tahoma"/>
          <w:sz w:val="20"/>
          <w:szCs w:val="20"/>
        </w:rPr>
        <w:t>:</w:t>
      </w:r>
    </w:p>
    <w:p w14:paraId="4350B9CE"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sz w:val="20"/>
          <w:szCs w:val="20"/>
        </w:rPr>
        <w:lastRenderedPageBreak/>
        <w:t>istituzione di tipologie di entrata a destinazione vincolata e correlato programma di spesa;</w:t>
      </w:r>
    </w:p>
    <w:p w14:paraId="0AF4EE21"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sz w:val="20"/>
          <w:szCs w:val="20"/>
        </w:rPr>
        <w:t>istituzione di tipologie di entrata senza vincolo di destinazione, con stanziamento pari a zero, a seguito di accertamento e riscossione di entrate non previste in bilancio;</w:t>
      </w:r>
    </w:p>
    <w:p w14:paraId="716016BE"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sz w:val="20"/>
          <w:szCs w:val="20"/>
        </w:rPr>
        <w:t>utilizzo d</w:t>
      </w:r>
      <w:r w:rsidR="004610C6" w:rsidRPr="00515872">
        <w:rPr>
          <w:rFonts w:ascii="Tahoma" w:hAnsi="Tahoma" w:cs="Tahoma"/>
          <w:sz w:val="20"/>
          <w:szCs w:val="20"/>
        </w:rPr>
        <w:t>i quote del</w:t>
      </w:r>
      <w:r w:rsidRPr="00515872">
        <w:rPr>
          <w:rFonts w:ascii="Tahoma" w:hAnsi="Tahoma" w:cs="Tahoma"/>
          <w:sz w:val="20"/>
          <w:szCs w:val="20"/>
        </w:rPr>
        <w:t xml:space="preserve"> risultato di amministrazione vincolato ed accantonato per le finalità per le quali </w:t>
      </w:r>
      <w:r w:rsidR="001A0910" w:rsidRPr="00515872">
        <w:rPr>
          <w:rFonts w:ascii="Tahoma" w:hAnsi="Tahoma" w:cs="Tahoma"/>
          <w:sz w:val="20"/>
          <w:szCs w:val="20"/>
        </w:rPr>
        <w:t>sono</w:t>
      </w:r>
      <w:r w:rsidR="004610C6" w:rsidRPr="00515872">
        <w:rPr>
          <w:rFonts w:ascii="Tahoma" w:hAnsi="Tahoma" w:cs="Tahoma"/>
          <w:sz w:val="20"/>
          <w:szCs w:val="20"/>
        </w:rPr>
        <w:t xml:space="preserve"> </w:t>
      </w:r>
      <w:r w:rsidRPr="00515872">
        <w:rPr>
          <w:rFonts w:ascii="Tahoma" w:hAnsi="Tahoma" w:cs="Tahoma"/>
          <w:sz w:val="20"/>
          <w:szCs w:val="20"/>
        </w:rPr>
        <w:t>stat</w:t>
      </w:r>
      <w:r w:rsidR="004610C6" w:rsidRPr="00515872">
        <w:rPr>
          <w:rFonts w:ascii="Tahoma" w:hAnsi="Tahoma" w:cs="Tahoma"/>
          <w:sz w:val="20"/>
          <w:szCs w:val="20"/>
        </w:rPr>
        <w:t>e previste</w:t>
      </w:r>
      <w:r w:rsidRPr="00515872">
        <w:rPr>
          <w:rFonts w:ascii="Tahoma" w:hAnsi="Tahoma" w:cs="Tahoma"/>
          <w:sz w:val="20"/>
          <w:szCs w:val="20"/>
        </w:rPr>
        <w:t>;</w:t>
      </w:r>
    </w:p>
    <w:p w14:paraId="0E555E0E"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sz w:val="20"/>
          <w:szCs w:val="20"/>
        </w:rPr>
        <w:t xml:space="preserve">variazioni necessarie a </w:t>
      </w:r>
      <w:proofErr w:type="spellStart"/>
      <w:r w:rsidRPr="00515872">
        <w:rPr>
          <w:rFonts w:ascii="Tahoma" w:hAnsi="Tahoma" w:cs="Tahoma"/>
          <w:sz w:val="20"/>
          <w:szCs w:val="20"/>
        </w:rPr>
        <w:t>reimputare</w:t>
      </w:r>
      <w:proofErr w:type="spellEnd"/>
      <w:r w:rsidRPr="00515872">
        <w:rPr>
          <w:rFonts w:ascii="Tahoma" w:hAnsi="Tahoma" w:cs="Tahoma"/>
          <w:sz w:val="20"/>
          <w:szCs w:val="20"/>
        </w:rPr>
        <w:t xml:space="preserve"> le obbligazioni riguardanti entrate vincolate già assunte e, se necessario, le spese correlate, agli esercizi in cui sono esigibili;</w:t>
      </w:r>
    </w:p>
    <w:p w14:paraId="7C05E944"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sz w:val="20"/>
          <w:szCs w:val="20"/>
        </w:rPr>
        <w:t>variazioni delle dotazioni di cassa, garantendo che il fondo di cassa, alla fine dell’esercizio, non sia negativo;</w:t>
      </w:r>
    </w:p>
    <w:p w14:paraId="09D2E006" w14:textId="77777777" w:rsidR="009518AF" w:rsidRPr="00515872" w:rsidRDefault="009518AF" w:rsidP="00D65838">
      <w:pPr>
        <w:pStyle w:val="Rientrocorpodeltesto1"/>
        <w:numPr>
          <w:ilvl w:val="0"/>
          <w:numId w:val="57"/>
        </w:numPr>
        <w:spacing w:line="360" w:lineRule="auto"/>
        <w:jc w:val="both"/>
        <w:rPr>
          <w:rFonts w:ascii="Tahoma" w:hAnsi="Tahoma" w:cs="Tahoma"/>
          <w:sz w:val="20"/>
          <w:szCs w:val="20"/>
        </w:rPr>
      </w:pPr>
      <w:r w:rsidRPr="00515872">
        <w:rPr>
          <w:rFonts w:ascii="Tahoma" w:hAnsi="Tahoma" w:cs="Tahoma"/>
          <w:color w:val="000000"/>
          <w:sz w:val="20"/>
          <w:szCs w:val="20"/>
        </w:rPr>
        <w:t xml:space="preserve">variazioni di bilancio fra gli stanziamenti riguardanti il </w:t>
      </w:r>
      <w:r w:rsidR="001A0910" w:rsidRPr="00515872">
        <w:rPr>
          <w:rFonts w:ascii="Tahoma" w:hAnsi="Tahoma" w:cs="Tahoma"/>
          <w:color w:val="000000"/>
          <w:sz w:val="20"/>
          <w:szCs w:val="20"/>
        </w:rPr>
        <w:t>FPV</w:t>
      </w:r>
      <w:r w:rsidRPr="00515872">
        <w:rPr>
          <w:rFonts w:ascii="Tahoma" w:hAnsi="Tahoma" w:cs="Tahoma"/>
          <w:color w:val="000000"/>
          <w:sz w:val="20"/>
          <w:szCs w:val="20"/>
        </w:rPr>
        <w:t xml:space="preserve"> e gli stanziamenti correlati di cui all’art. 175, c. 5-quater, lett. b);</w:t>
      </w:r>
    </w:p>
    <w:p w14:paraId="79E905A4" w14:textId="77777777" w:rsidR="009518AF" w:rsidRPr="00515872" w:rsidRDefault="009518AF" w:rsidP="00D65838">
      <w:pPr>
        <w:pStyle w:val="Rientrocorpodeltesto1"/>
        <w:numPr>
          <w:ilvl w:val="0"/>
          <w:numId w:val="57"/>
        </w:numPr>
        <w:spacing w:after="200" w:line="360" w:lineRule="auto"/>
        <w:jc w:val="both"/>
        <w:rPr>
          <w:rFonts w:ascii="Tahoma" w:hAnsi="Tahoma" w:cs="Tahoma"/>
          <w:sz w:val="20"/>
          <w:szCs w:val="20"/>
        </w:rPr>
      </w:pPr>
      <w:r w:rsidRPr="00515872">
        <w:rPr>
          <w:rFonts w:ascii="Tahoma" w:hAnsi="Tahoma" w:cs="Tahoma"/>
          <w:sz w:val="20"/>
          <w:szCs w:val="20"/>
        </w:rPr>
        <w:t>variazioni degli stanziamenti riguardanti i versamenti ai conti di tesoreria statale intestati all’ente e i versamenti a depositi bancari intestati all’ente.</w:t>
      </w:r>
    </w:p>
    <w:p w14:paraId="7B8A5F02" w14:textId="77777777" w:rsidR="009518AF" w:rsidRPr="00515872" w:rsidRDefault="009518AF" w:rsidP="009518AF">
      <w:pPr>
        <w:pStyle w:val="NormaleWeb"/>
        <w:spacing w:after="200" w:line="360" w:lineRule="auto"/>
        <w:jc w:val="both"/>
        <w:rPr>
          <w:rFonts w:ascii="Tahoma" w:hAnsi="Tahoma" w:cs="Tahoma"/>
          <w:sz w:val="20"/>
          <w:szCs w:val="20"/>
        </w:rPr>
      </w:pPr>
      <w:r w:rsidRPr="00515872">
        <w:rPr>
          <w:rFonts w:ascii="Tahoma" w:hAnsi="Tahoma" w:cs="Tahoma"/>
          <w:sz w:val="20"/>
          <w:szCs w:val="20"/>
        </w:rPr>
        <w:t>Anche i prelevamenti dal fondo di riserva, dal fondo di riserva di cassa e dai fondi spese potenziali</w:t>
      </w:r>
      <w:r w:rsidR="009431FD" w:rsidRPr="00515872">
        <w:rPr>
          <w:rFonts w:ascii="Tahoma" w:hAnsi="Tahoma" w:cs="Tahoma"/>
          <w:sz w:val="20"/>
          <w:szCs w:val="20"/>
        </w:rPr>
        <w:t>, di competenza dell’organo esecutivo,</w:t>
      </w:r>
      <w:r w:rsidRPr="00515872">
        <w:rPr>
          <w:rFonts w:ascii="Tahoma" w:hAnsi="Tahoma" w:cs="Tahoma"/>
          <w:sz w:val="20"/>
          <w:szCs w:val="20"/>
        </w:rPr>
        <w:t xml:space="preserve"> possono essere deliberati sino al 31 dicembre di ciascun anno.</w:t>
      </w:r>
    </w:p>
    <w:p w14:paraId="066BC871" w14:textId="77777777" w:rsidR="009518AF" w:rsidRPr="00515872" w:rsidRDefault="009518AF" w:rsidP="009518AF">
      <w:pPr>
        <w:pStyle w:val="NormaleWeb"/>
        <w:spacing w:after="200" w:line="360" w:lineRule="auto"/>
        <w:jc w:val="both"/>
        <w:rPr>
          <w:rFonts w:ascii="Tahoma" w:hAnsi="Tahoma" w:cs="Tahoma"/>
          <w:sz w:val="20"/>
          <w:szCs w:val="20"/>
        </w:rPr>
      </w:pPr>
      <w:r w:rsidRPr="00515872">
        <w:rPr>
          <w:rFonts w:ascii="Tahoma" w:hAnsi="Tahoma" w:cs="Tahoma"/>
          <w:color w:val="000000"/>
          <w:sz w:val="20"/>
          <w:szCs w:val="20"/>
        </w:rPr>
        <w:t>Le variazioni al piano esecutivo di gestione di competenza dell'organo esecutivo (salvo quelle previste dal c. 5-quater) possono essere adottate entro il 15 dicembre di ciascun anno, fatte salve le variazioni correlate alle variazioni di bilancio che possono essere deliberate sino al 31 dicembre.</w:t>
      </w:r>
    </w:p>
    <w:p w14:paraId="6FF53C23" w14:textId="77777777" w:rsidR="009518AF" w:rsidRPr="00515872" w:rsidRDefault="009518AF" w:rsidP="009518AF">
      <w:pPr>
        <w:pStyle w:val="Rientrocorpodeltesto1"/>
        <w:spacing w:line="360" w:lineRule="auto"/>
        <w:jc w:val="both"/>
        <w:rPr>
          <w:rFonts w:ascii="Tahoma" w:hAnsi="Tahoma" w:cs="Tahoma"/>
          <w:b/>
          <w:bCs/>
          <w:sz w:val="20"/>
          <w:szCs w:val="20"/>
        </w:rPr>
      </w:pPr>
      <w:r w:rsidRPr="00515872">
        <w:rPr>
          <w:rFonts w:ascii="Tahoma" w:hAnsi="Tahoma" w:cs="Tahoma"/>
          <w:b/>
          <w:bCs/>
          <w:sz w:val="20"/>
          <w:szCs w:val="20"/>
        </w:rPr>
        <w:t>Verifiche dell’organo di revisione</w:t>
      </w:r>
    </w:p>
    <w:p w14:paraId="2E11078C" w14:textId="77777777" w:rsidR="00747B34" w:rsidRPr="00515872" w:rsidRDefault="00983730" w:rsidP="009518AF">
      <w:pPr>
        <w:pStyle w:val="Rientrocorpodeltesto1"/>
        <w:spacing w:after="200" w:line="360" w:lineRule="auto"/>
        <w:jc w:val="both"/>
        <w:rPr>
          <w:rFonts w:ascii="Tahoma" w:hAnsi="Tahoma" w:cs="Tahoma"/>
          <w:bCs/>
          <w:sz w:val="20"/>
          <w:szCs w:val="20"/>
        </w:rPr>
      </w:pPr>
      <w:r w:rsidRPr="00515872">
        <w:rPr>
          <w:rFonts w:ascii="Tahoma" w:hAnsi="Tahoma" w:cs="Tahoma"/>
          <w:bCs/>
          <w:sz w:val="20"/>
          <w:szCs w:val="20"/>
        </w:rPr>
        <w:t>Similmente a</w:t>
      </w:r>
      <w:r w:rsidR="009518AF" w:rsidRPr="00515872">
        <w:rPr>
          <w:rFonts w:ascii="Tahoma" w:hAnsi="Tahoma" w:cs="Tahoma"/>
          <w:bCs/>
          <w:sz w:val="20"/>
          <w:szCs w:val="20"/>
        </w:rPr>
        <w:t xml:space="preserve"> quanto avviene in occasione dell’approvazione del bilancio di previsione, anche sulle sue variazioni </w:t>
      </w:r>
      <w:r w:rsidR="009518AF" w:rsidRPr="00515872">
        <w:rPr>
          <w:rFonts w:ascii="Tahoma" w:hAnsi="Tahoma" w:cs="Tahoma"/>
          <w:b/>
          <w:bCs/>
          <w:sz w:val="20"/>
          <w:szCs w:val="20"/>
        </w:rPr>
        <w:t>l’organo di revisione è chiamato ad esprimere il proprio parere</w:t>
      </w:r>
      <w:r w:rsidR="009518AF" w:rsidRPr="00515872">
        <w:rPr>
          <w:rFonts w:ascii="Tahoma" w:hAnsi="Tahoma" w:cs="Tahoma"/>
          <w:bCs/>
          <w:sz w:val="20"/>
          <w:szCs w:val="20"/>
        </w:rPr>
        <w:t xml:space="preserve">. </w:t>
      </w:r>
    </w:p>
    <w:p w14:paraId="5E5B5103" w14:textId="77777777" w:rsidR="009518AF" w:rsidRPr="00515872" w:rsidRDefault="009518AF" w:rsidP="009518AF">
      <w:pPr>
        <w:pStyle w:val="Rientrocorpodeltesto1"/>
        <w:spacing w:after="200" w:line="360" w:lineRule="auto"/>
        <w:jc w:val="both"/>
        <w:rPr>
          <w:rFonts w:ascii="Tahoma" w:hAnsi="Tahoma" w:cs="Tahoma"/>
          <w:bCs/>
          <w:sz w:val="20"/>
          <w:szCs w:val="20"/>
        </w:rPr>
      </w:pPr>
      <w:r w:rsidRPr="00515872">
        <w:rPr>
          <w:rFonts w:ascii="Tahoma" w:hAnsi="Tahoma" w:cs="Tahoma"/>
          <w:bCs/>
          <w:sz w:val="20"/>
          <w:szCs w:val="20"/>
        </w:rPr>
        <w:t>Il parere è rilasciato esclusivamente sulle variazioni di bilancio di competenza consiliare, essendo escluse dall’art. 239 del TUEL quelle attribuite alla competenza della giunta, del responsabile finanziario e dei dirigenti, a meno che il parere non sia espressamente richiesto dalle norme o dai principi contabili.</w:t>
      </w:r>
    </w:p>
    <w:p w14:paraId="703FC10B" w14:textId="77777777" w:rsidR="009518AF" w:rsidRPr="00515872" w:rsidRDefault="009518AF" w:rsidP="009518AF">
      <w:pPr>
        <w:pStyle w:val="NormaleWeb"/>
        <w:spacing w:after="200" w:line="360" w:lineRule="auto"/>
        <w:jc w:val="both"/>
        <w:rPr>
          <w:rFonts w:ascii="Tahoma" w:hAnsi="Tahoma" w:cs="Tahoma"/>
          <w:bCs/>
          <w:sz w:val="20"/>
          <w:szCs w:val="20"/>
        </w:rPr>
      </w:pPr>
      <w:r w:rsidRPr="00515872">
        <w:rPr>
          <w:rFonts w:ascii="Tahoma" w:hAnsi="Tahoma" w:cs="Tahoma"/>
          <w:bCs/>
          <w:sz w:val="20"/>
          <w:szCs w:val="20"/>
        </w:rPr>
        <w:t xml:space="preserve">Resta comunque </w:t>
      </w:r>
      <w:r w:rsidRPr="00515872">
        <w:rPr>
          <w:rFonts w:ascii="Tahoma" w:hAnsi="Tahoma" w:cs="Tahoma"/>
          <w:b/>
          <w:bCs/>
          <w:sz w:val="20"/>
          <w:szCs w:val="20"/>
        </w:rPr>
        <w:t xml:space="preserve">onere dell'organo di revisione verificare, </w:t>
      </w:r>
      <w:r w:rsidRPr="00515872">
        <w:rPr>
          <w:rFonts w:ascii="Tahoma" w:hAnsi="Tahoma" w:cs="Tahoma"/>
          <w:bCs/>
          <w:sz w:val="20"/>
          <w:szCs w:val="20"/>
        </w:rPr>
        <w:t>in sede di esame del rendiconto della gestione,</w:t>
      </w:r>
      <w:r w:rsidRPr="00515872">
        <w:rPr>
          <w:rFonts w:ascii="Tahoma" w:hAnsi="Tahoma" w:cs="Tahoma"/>
          <w:b/>
          <w:bCs/>
          <w:sz w:val="20"/>
          <w:szCs w:val="20"/>
        </w:rPr>
        <w:t xml:space="preserve"> l'esistenza dei presupposti che hanno dato luogo alle variazioni</w:t>
      </w:r>
      <w:r w:rsidRPr="00515872">
        <w:rPr>
          <w:rFonts w:ascii="Tahoma" w:hAnsi="Tahoma" w:cs="Tahoma"/>
          <w:bCs/>
          <w:sz w:val="20"/>
          <w:szCs w:val="20"/>
        </w:rPr>
        <w:t xml:space="preserve"> di bilancio di cui sopra, approvate nel corso dell'esercizio, comprese quelle approvate nel corso dell'esercizio provvisorio.</w:t>
      </w:r>
    </w:p>
    <w:p w14:paraId="58DDC4D8" w14:textId="77777777" w:rsidR="00277513" w:rsidRPr="00515872" w:rsidRDefault="009518AF" w:rsidP="00C03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 xml:space="preserve">Deve, infine, osservarsi che, benché le variazioni di bilancio rappresentino uno strumento di flessibilità </w:t>
      </w:r>
      <w:proofErr w:type="spellStart"/>
      <w:r w:rsidRPr="00515872">
        <w:rPr>
          <w:rFonts w:cs="Tahoma"/>
          <w:iCs/>
          <w:color w:val="000000"/>
          <w:szCs w:val="20"/>
        </w:rPr>
        <w:t>necessario</w:t>
      </w:r>
      <w:proofErr w:type="spellEnd"/>
      <w:r w:rsidRPr="00515872">
        <w:rPr>
          <w:rFonts w:cs="Tahoma"/>
          <w:iCs/>
          <w:color w:val="000000"/>
          <w:szCs w:val="20"/>
        </w:rPr>
        <w:t xml:space="preserve"> ad adeguare il bilancio al mutamento delle condizioni che influiscono sulle previsioni ivi contenute, e nonostante non sia previsto un limite massimo al numero delle variazioni che l’ente può adottare, </w:t>
      </w:r>
      <w:r w:rsidR="00983730" w:rsidRPr="00515872">
        <w:rPr>
          <w:rFonts w:cs="Tahoma"/>
          <w:iCs/>
          <w:color w:val="000000"/>
          <w:szCs w:val="20"/>
        </w:rPr>
        <w:t xml:space="preserve">l’organo di revisione è tenuto a valutare criticamente </w:t>
      </w:r>
      <w:r w:rsidRPr="00515872">
        <w:rPr>
          <w:rFonts w:cs="Tahoma"/>
          <w:iCs/>
          <w:color w:val="000000"/>
          <w:szCs w:val="20"/>
        </w:rPr>
        <w:t xml:space="preserve">un eccessivo ricorso ad esse in quanto </w:t>
      </w:r>
      <w:r w:rsidR="00983730" w:rsidRPr="00515872">
        <w:rPr>
          <w:rFonts w:cs="Tahoma"/>
          <w:iCs/>
          <w:color w:val="000000"/>
          <w:szCs w:val="20"/>
        </w:rPr>
        <w:t>possibile</w:t>
      </w:r>
      <w:r w:rsidRPr="00515872">
        <w:rPr>
          <w:rFonts w:cs="Tahoma"/>
          <w:iCs/>
          <w:color w:val="000000"/>
          <w:szCs w:val="20"/>
        </w:rPr>
        <w:t xml:space="preserve"> sintomo di scarsa attendibilità della programmazione che rende poco credibile il sistema del bilancio.</w:t>
      </w:r>
      <w:bookmarkStart w:id="117" w:name="_Toc521317087"/>
    </w:p>
    <w:p w14:paraId="4ED58A6E" w14:textId="77777777" w:rsidR="00C03D30" w:rsidRPr="00515872" w:rsidRDefault="00C03D30" w:rsidP="00C03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p>
    <w:p w14:paraId="712C7061" w14:textId="77777777" w:rsidR="009518AF" w:rsidRPr="00515872" w:rsidRDefault="00E5115C" w:rsidP="009518AF">
      <w:pPr>
        <w:pStyle w:val="Sottoparagrafo"/>
        <w:ind w:left="0" w:firstLine="0"/>
        <w:rPr>
          <w:rFonts w:cs="Tahoma"/>
        </w:rPr>
      </w:pPr>
      <w:bookmarkStart w:id="118" w:name="_Toc95912266"/>
      <w:r w:rsidRPr="00515872">
        <w:rPr>
          <w:rFonts w:cs="Tahoma"/>
        </w:rPr>
        <w:lastRenderedPageBreak/>
        <w:t>4.4.9</w:t>
      </w:r>
      <w:r w:rsidR="009518AF" w:rsidRPr="00515872">
        <w:rPr>
          <w:rFonts w:cs="Tahoma"/>
        </w:rPr>
        <w:t xml:space="preserve"> Contenimento delle spese</w:t>
      </w:r>
      <w:bookmarkEnd w:id="117"/>
      <w:bookmarkEnd w:id="118"/>
    </w:p>
    <w:p w14:paraId="50E031F2" w14:textId="0E32409F"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Cs/>
          <w:iCs/>
          <w:color w:val="000000"/>
          <w:szCs w:val="20"/>
        </w:rPr>
      </w:pPr>
      <w:r w:rsidRPr="00515872">
        <w:rPr>
          <w:rFonts w:cs="Tahoma"/>
          <w:bCs/>
          <w:iCs/>
          <w:color w:val="000000"/>
          <w:szCs w:val="20"/>
        </w:rPr>
        <w:t xml:space="preserve">La normativa inerente </w:t>
      </w:r>
      <w:r w:rsidR="00F61E9D" w:rsidRPr="00515872">
        <w:rPr>
          <w:rFonts w:cs="Tahoma"/>
          <w:bCs/>
          <w:iCs/>
          <w:color w:val="000000"/>
          <w:szCs w:val="20"/>
        </w:rPr>
        <w:t>agli</w:t>
      </w:r>
      <w:r w:rsidRPr="00515872">
        <w:rPr>
          <w:rFonts w:cs="Tahoma"/>
          <w:bCs/>
          <w:iCs/>
          <w:color w:val="000000"/>
          <w:szCs w:val="20"/>
        </w:rPr>
        <w:t xml:space="preserve"> enti pubblici ha introdotto </w:t>
      </w:r>
      <w:r w:rsidR="00D42DB8" w:rsidRPr="00515872">
        <w:rPr>
          <w:rFonts w:cs="Tahoma"/>
          <w:bCs/>
          <w:iCs/>
          <w:color w:val="000000"/>
          <w:szCs w:val="20"/>
        </w:rPr>
        <w:t xml:space="preserve">nel tempo </w:t>
      </w:r>
      <w:r w:rsidRPr="00515872">
        <w:rPr>
          <w:rFonts w:cs="Tahoma"/>
          <w:bCs/>
          <w:iCs/>
          <w:color w:val="000000"/>
          <w:szCs w:val="20"/>
        </w:rPr>
        <w:t xml:space="preserve">una serie di misure di contenimento all’assunzione di spese che devono essere considerate in </w:t>
      </w:r>
      <w:r w:rsidR="00744B27" w:rsidRPr="00515872">
        <w:rPr>
          <w:rFonts w:cs="Tahoma"/>
          <w:bCs/>
          <w:iCs/>
          <w:color w:val="000000"/>
          <w:szCs w:val="20"/>
        </w:rPr>
        <w:t>fase</w:t>
      </w:r>
      <w:r w:rsidRPr="00515872">
        <w:rPr>
          <w:rFonts w:cs="Tahoma"/>
          <w:bCs/>
          <w:iCs/>
          <w:color w:val="000000"/>
          <w:szCs w:val="20"/>
        </w:rPr>
        <w:t xml:space="preserve"> di predisposizione del bilancio di previsione salvo, poi, essere verificate in </w:t>
      </w:r>
      <w:r w:rsidR="00744B27" w:rsidRPr="00515872">
        <w:rPr>
          <w:rFonts w:cs="Tahoma"/>
          <w:bCs/>
          <w:iCs/>
          <w:color w:val="000000"/>
          <w:szCs w:val="20"/>
        </w:rPr>
        <w:t>sede</w:t>
      </w:r>
      <w:r w:rsidRPr="00515872">
        <w:rPr>
          <w:rFonts w:cs="Tahoma"/>
          <w:bCs/>
          <w:iCs/>
          <w:color w:val="000000"/>
          <w:szCs w:val="20"/>
        </w:rPr>
        <w:t xml:space="preserve"> di rendiconto.</w:t>
      </w:r>
      <w:r w:rsidR="004323E4" w:rsidRPr="00515872">
        <w:rPr>
          <w:rFonts w:cs="Tahoma"/>
          <w:bCs/>
          <w:iCs/>
          <w:color w:val="000000"/>
          <w:szCs w:val="20"/>
        </w:rPr>
        <w:t xml:space="preserve"> </w:t>
      </w:r>
      <w:r w:rsidR="00D66B91" w:rsidRPr="00515872">
        <w:rPr>
          <w:rFonts w:cs="Tahoma"/>
          <w:bCs/>
          <w:iCs/>
          <w:color w:val="000000"/>
          <w:szCs w:val="20"/>
        </w:rPr>
        <w:t xml:space="preserve">La normativa in materia è in continua evoluzione e alterna fasi restrittive a fasi espansive della spesa. </w:t>
      </w:r>
      <w:r w:rsidR="004323E4" w:rsidRPr="00515872">
        <w:rPr>
          <w:rFonts w:cs="Tahoma"/>
          <w:bCs/>
          <w:iCs/>
          <w:color w:val="000000"/>
          <w:szCs w:val="20"/>
        </w:rPr>
        <w:t>Il revisore deve verificare la legittimità dell’azione politica nella spesa pubblica in relazione alle limitazioni imposte dalla legge, così come quella dei documenti propedeutici al bilancio di previsione, in riferimento alla coerenza interna ed esterna di tali atti.</w:t>
      </w:r>
    </w:p>
    <w:p w14:paraId="43E902B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bCs/>
          <w:iCs/>
          <w:color w:val="000000"/>
          <w:szCs w:val="20"/>
        </w:rPr>
      </w:pPr>
      <w:r w:rsidRPr="00515872">
        <w:rPr>
          <w:rFonts w:cs="Tahoma"/>
          <w:b/>
          <w:bCs/>
          <w:iCs/>
          <w:color w:val="000000"/>
          <w:szCs w:val="20"/>
        </w:rPr>
        <w:t>Piano triennale di contenimento della spesa</w:t>
      </w:r>
    </w:p>
    <w:p w14:paraId="5D1A9666" w14:textId="77777777" w:rsidR="009518AF" w:rsidRPr="00515872" w:rsidRDefault="009518AF" w:rsidP="00677F0A">
      <w:pPr>
        <w:spacing w:after="0" w:line="360" w:lineRule="auto"/>
        <w:jc w:val="both"/>
        <w:rPr>
          <w:rFonts w:cs="Tahoma"/>
        </w:rPr>
      </w:pPr>
      <w:r w:rsidRPr="00515872">
        <w:rPr>
          <w:rFonts w:cs="Tahoma"/>
        </w:rPr>
        <w:t>Ai sensi dei cc. 594 e segg. dell’art. 2, L. 244/2007 gli enti locali</w:t>
      </w:r>
      <w:r w:rsidR="00B337C8" w:rsidRPr="00515872">
        <w:rPr>
          <w:rFonts w:cs="Tahoma"/>
        </w:rPr>
        <w:t xml:space="preserve"> dovevano</w:t>
      </w:r>
      <w:r w:rsidRPr="00515872">
        <w:rPr>
          <w:rFonts w:cs="Tahoma"/>
        </w:rPr>
        <w:t xml:space="preserve"> adotta</w:t>
      </w:r>
      <w:r w:rsidR="00B337C8" w:rsidRPr="00515872">
        <w:rPr>
          <w:rFonts w:cs="Tahoma"/>
        </w:rPr>
        <w:t>re</w:t>
      </w:r>
      <w:r w:rsidRPr="00515872">
        <w:rPr>
          <w:rFonts w:cs="Tahoma"/>
        </w:rPr>
        <w:t xml:space="preserve"> piani triennali per individuare le misure finalizzate alla razionalizzazione dell’utilizzo:</w:t>
      </w:r>
    </w:p>
    <w:p w14:paraId="6008B86B" w14:textId="77777777" w:rsidR="009518AF" w:rsidRPr="00515872" w:rsidRDefault="009518AF" w:rsidP="00D65838">
      <w:pPr>
        <w:pStyle w:val="Paragrafoelenco"/>
        <w:numPr>
          <w:ilvl w:val="0"/>
          <w:numId w:val="195"/>
        </w:numPr>
        <w:spacing w:line="360" w:lineRule="auto"/>
        <w:ind w:left="426"/>
        <w:jc w:val="both"/>
        <w:rPr>
          <w:rFonts w:cs="Tahoma"/>
        </w:rPr>
      </w:pPr>
      <w:r w:rsidRPr="00515872">
        <w:rPr>
          <w:rFonts w:cs="Tahoma"/>
        </w:rPr>
        <w:t>delle dotazioni strumentali degli uffici;</w:t>
      </w:r>
    </w:p>
    <w:p w14:paraId="4997DA41" w14:textId="77777777" w:rsidR="009518AF" w:rsidRPr="00515872" w:rsidRDefault="009518AF" w:rsidP="00D65838">
      <w:pPr>
        <w:pStyle w:val="Paragrafoelenco"/>
        <w:numPr>
          <w:ilvl w:val="0"/>
          <w:numId w:val="195"/>
        </w:numPr>
        <w:spacing w:line="360" w:lineRule="auto"/>
        <w:ind w:left="426"/>
        <w:jc w:val="both"/>
        <w:rPr>
          <w:rFonts w:cs="Tahoma"/>
        </w:rPr>
      </w:pPr>
      <w:r w:rsidRPr="00515872">
        <w:rPr>
          <w:rFonts w:cs="Tahoma"/>
        </w:rPr>
        <w:t>delle autovetture di servizio;</w:t>
      </w:r>
    </w:p>
    <w:p w14:paraId="619CD357" w14:textId="77777777" w:rsidR="009518AF" w:rsidRPr="00515872" w:rsidRDefault="009518AF" w:rsidP="00D65838">
      <w:pPr>
        <w:pStyle w:val="Paragrafoelenco"/>
        <w:numPr>
          <w:ilvl w:val="0"/>
          <w:numId w:val="195"/>
        </w:numPr>
        <w:spacing w:line="360" w:lineRule="auto"/>
        <w:ind w:left="426"/>
        <w:jc w:val="both"/>
        <w:rPr>
          <w:rFonts w:cs="Tahoma"/>
        </w:rPr>
      </w:pPr>
      <w:r w:rsidRPr="00515872">
        <w:rPr>
          <w:rFonts w:cs="Tahoma"/>
        </w:rPr>
        <w:t>dei beni immobili ad uso abitativo o di servizio, con esclusione dei beni infrastrutturali.</w:t>
      </w:r>
    </w:p>
    <w:p w14:paraId="5864A7BE" w14:textId="77777777" w:rsidR="009518AF" w:rsidRPr="00515872" w:rsidRDefault="009518AF" w:rsidP="009518AF">
      <w:pPr>
        <w:spacing w:line="360" w:lineRule="auto"/>
        <w:jc w:val="both"/>
        <w:rPr>
          <w:rFonts w:cs="Tahoma"/>
        </w:rPr>
      </w:pPr>
      <w:r w:rsidRPr="00515872">
        <w:rPr>
          <w:rFonts w:cs="Tahoma"/>
        </w:rPr>
        <w:t>Nel piano di razionalizzazione delle dotazioni strumentali</w:t>
      </w:r>
      <w:r w:rsidR="00B337C8" w:rsidRPr="00515872">
        <w:rPr>
          <w:rFonts w:cs="Tahoma"/>
        </w:rPr>
        <w:t xml:space="preserve"> dovevano</w:t>
      </w:r>
      <w:r w:rsidRPr="00515872">
        <w:rPr>
          <w:rFonts w:cs="Tahoma"/>
        </w:rPr>
        <w:t xml:space="preserve"> essere indicate le misure atte a limitare l’assegnazione di apparecchiature di telefonia mobile al solo personale che d</w:t>
      </w:r>
      <w:r w:rsidR="00B337C8" w:rsidRPr="00515872">
        <w:rPr>
          <w:rFonts w:cs="Tahoma"/>
        </w:rPr>
        <w:t>oveva</w:t>
      </w:r>
      <w:r w:rsidRPr="00515872">
        <w:rPr>
          <w:rFonts w:cs="Tahoma"/>
        </w:rPr>
        <w:t xml:space="preserve"> assicurare pronta e costante reperibilità. In caso di eventuali dismissioni di dotazioni strumentali, il piano </w:t>
      </w:r>
      <w:r w:rsidR="00B337C8" w:rsidRPr="00515872">
        <w:rPr>
          <w:rFonts w:cs="Tahoma"/>
        </w:rPr>
        <w:t>era</w:t>
      </w:r>
      <w:r w:rsidRPr="00515872">
        <w:rPr>
          <w:rFonts w:cs="Tahoma"/>
        </w:rPr>
        <w:t xml:space="preserve"> corredato dalla documentazione necessaria a dimostrare la congruità dell’operazione in termini di costi e benefici.</w:t>
      </w:r>
    </w:p>
    <w:p w14:paraId="2883F685" w14:textId="77777777" w:rsidR="00B55DB4" w:rsidRPr="00515872" w:rsidRDefault="00B55DB4" w:rsidP="009518AF">
      <w:pPr>
        <w:spacing w:line="360" w:lineRule="auto"/>
        <w:jc w:val="both"/>
        <w:rPr>
          <w:rFonts w:cs="Tahoma"/>
        </w:rPr>
      </w:pPr>
      <w:r w:rsidRPr="00515872">
        <w:rPr>
          <w:rFonts w:cs="Tahoma"/>
        </w:rPr>
        <w:t xml:space="preserve">A norma dell’art. </w:t>
      </w:r>
      <w:r w:rsidR="00EA6907" w:rsidRPr="00515872">
        <w:rPr>
          <w:rFonts w:cs="Tahoma"/>
        </w:rPr>
        <w:t>57, c. 2</w:t>
      </w:r>
      <w:r w:rsidR="00136CA9" w:rsidRPr="00515872">
        <w:rPr>
          <w:rFonts w:cs="Tahoma"/>
        </w:rPr>
        <w:t>, lett. e)</w:t>
      </w:r>
      <w:r w:rsidR="00677F0A" w:rsidRPr="00515872">
        <w:rPr>
          <w:rFonts w:cs="Tahoma"/>
        </w:rPr>
        <w:t>,</w:t>
      </w:r>
      <w:r w:rsidR="00EA6907" w:rsidRPr="00515872">
        <w:rPr>
          <w:rFonts w:cs="Tahoma"/>
        </w:rPr>
        <w:t xml:space="preserve"> D.L. 26 ottobre 2019, n. 124, </w:t>
      </w:r>
      <w:proofErr w:type="spellStart"/>
      <w:r w:rsidR="00EA6907" w:rsidRPr="00515872">
        <w:rPr>
          <w:rFonts w:cs="Tahoma"/>
        </w:rPr>
        <w:t>conv</w:t>
      </w:r>
      <w:proofErr w:type="spellEnd"/>
      <w:r w:rsidR="00EA6907" w:rsidRPr="00515872">
        <w:rPr>
          <w:rFonts w:cs="Tahoma"/>
        </w:rPr>
        <w:t>. L. 19 dicembre 2019, n. 157, l’obbligo di redazione del piano è stato soppresso a decorrere dall’esercizio 2020.</w:t>
      </w:r>
    </w:p>
    <w:p w14:paraId="699525A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bCs/>
          <w:iCs/>
          <w:color w:val="000000"/>
          <w:szCs w:val="20"/>
        </w:rPr>
      </w:pPr>
      <w:r w:rsidRPr="00515872">
        <w:rPr>
          <w:rFonts w:cs="Tahoma"/>
          <w:b/>
          <w:bCs/>
          <w:iCs/>
          <w:color w:val="000000"/>
          <w:szCs w:val="20"/>
        </w:rPr>
        <w:t>Piano triennale di razionalizzazione e riqualificazione della spesa</w:t>
      </w:r>
    </w:p>
    <w:p w14:paraId="19D17F1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color w:val="000000"/>
        </w:rPr>
      </w:pPr>
      <w:r w:rsidRPr="00515872">
        <w:rPr>
          <w:rFonts w:cs="Tahoma"/>
        </w:rPr>
        <w:t xml:space="preserve">A norma dell’art. 16, D.L. 6 luglio 2011, n. 98, </w:t>
      </w:r>
      <w:proofErr w:type="spellStart"/>
      <w:r w:rsidRPr="00515872">
        <w:rPr>
          <w:rFonts w:cs="Tahoma"/>
        </w:rPr>
        <w:t>conv</w:t>
      </w:r>
      <w:proofErr w:type="spellEnd"/>
      <w:r w:rsidRPr="00515872">
        <w:rPr>
          <w:rFonts w:cs="Tahoma"/>
        </w:rPr>
        <w:t xml:space="preserve">. L. 15 luglio 2011, n. 111 le amministrazioni pubbliche possono adottare entro il 31 marzo di ogni anno, piani triennali di razionalizzazione e riqualificazione della spesa, di riordino e ristrutturazione amministrativa, di semplificazione e digitalizzazione, di riduzione dei costi della politica e di funzionamento, ivi compresi gli appalti di servizio, gli affidamenti alle partecipate e il ricorso alle consulenze attraverso persone giuridiche. Detti piani indicano la spesa sostenuta a legislazione vigente per ciascuna delle voci interessate e i correlati obiettivi in termini fisici e finanziari. </w:t>
      </w:r>
      <w:r w:rsidRPr="00515872">
        <w:rPr>
          <w:rFonts w:cs="Tahoma"/>
          <w:lang w:eastAsia="it-IT"/>
        </w:rPr>
        <w:t>Le eventuali economie di spesa (risparmi e</w:t>
      </w:r>
      <w:r w:rsidR="00B337C8" w:rsidRPr="00515872">
        <w:rPr>
          <w:rFonts w:cs="Tahoma"/>
          <w:lang w:eastAsia="it-IT"/>
        </w:rPr>
        <w:t>ffettivi) che scaturissero dai p</w:t>
      </w:r>
      <w:r w:rsidRPr="00515872">
        <w:rPr>
          <w:rFonts w:cs="Tahoma"/>
          <w:lang w:eastAsia="it-IT"/>
        </w:rPr>
        <w:t>iani, rispetto a quelle già previste dalla normativa vigente, possono essere utilizzate</w:t>
      </w:r>
      <w:r w:rsidR="00591815" w:rsidRPr="00515872">
        <w:rPr>
          <w:rFonts w:cs="Tahoma"/>
          <w:lang w:eastAsia="it-IT"/>
        </w:rPr>
        <w:t xml:space="preserve"> ogni anno</w:t>
      </w:r>
      <w:r w:rsidRPr="00515872">
        <w:rPr>
          <w:rFonts w:cs="Tahoma"/>
          <w:lang w:eastAsia="it-IT"/>
        </w:rPr>
        <w:t xml:space="preserve">, per una quota non superiore al 50%, per la contrattazione integrativa. </w:t>
      </w:r>
      <w:r w:rsidRPr="00515872">
        <w:rPr>
          <w:rFonts w:cs="Tahoma"/>
          <w:color w:val="000000"/>
        </w:rPr>
        <w:t xml:space="preserve">I risparmi sono </w:t>
      </w:r>
      <w:r w:rsidRPr="00515872">
        <w:rPr>
          <w:rFonts w:cs="Tahoma"/>
          <w:b/>
          <w:color w:val="000000"/>
        </w:rPr>
        <w:t>certificati dai competenti organi di controllo.</w:t>
      </w:r>
    </w:p>
    <w:p w14:paraId="1506250C"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t>Spesa d</w:t>
      </w:r>
      <w:r w:rsidR="00833A8F" w:rsidRPr="00515872">
        <w:rPr>
          <w:rFonts w:cs="Tahoma"/>
          <w:b/>
          <w:bCs/>
          <w:color w:val="000000"/>
          <w:szCs w:val="20"/>
        </w:rPr>
        <w:t>el</w:t>
      </w:r>
      <w:r w:rsidRPr="00515872">
        <w:rPr>
          <w:rFonts w:cs="Tahoma"/>
          <w:b/>
          <w:bCs/>
          <w:color w:val="000000"/>
          <w:szCs w:val="20"/>
        </w:rPr>
        <w:t xml:space="preserve"> personale a tempo indeterminato </w:t>
      </w:r>
    </w:p>
    <w:p w14:paraId="27C808F7"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color w:val="000000"/>
          <w:szCs w:val="20"/>
        </w:rPr>
        <w:t xml:space="preserve">Gli enti sottoposti al patto di stabilità interno (il riferimento è agli enti sottoposti al patto nell’anno 2015) nel rispetto del c. 557 dell’art. 1 della L. n. 296/2006, devono </w:t>
      </w:r>
      <w:r w:rsidRPr="00515872">
        <w:rPr>
          <w:rFonts w:cs="Tahoma"/>
          <w:b/>
          <w:color w:val="000000"/>
          <w:szCs w:val="20"/>
        </w:rPr>
        <w:t>assicurare la riduzione delle spese di personale, al lordo degli oneri riflessi a carico delle amministrazioni e dell'IRAP</w:t>
      </w:r>
      <w:r w:rsidRPr="00515872">
        <w:rPr>
          <w:rFonts w:cs="Tahoma"/>
          <w:color w:val="000000"/>
          <w:szCs w:val="20"/>
        </w:rPr>
        <w:t xml:space="preserve">, con esclusione </w:t>
      </w:r>
      <w:r w:rsidRPr="00515872">
        <w:rPr>
          <w:rFonts w:cs="Tahoma"/>
          <w:color w:val="000000"/>
          <w:szCs w:val="20"/>
        </w:rPr>
        <w:lastRenderedPageBreak/>
        <w:t xml:space="preserve">degli oneri relativi ai rinnovi contrattuali, garantendo il contenimento della dinamica retributiva e occupazionale, con azioni da modulare nell'ambito della propria autonomia e rivolte, in termini di principio, ai seguenti ambiti prioritari di intervento: </w:t>
      </w:r>
    </w:p>
    <w:p w14:paraId="400CA9C5" w14:textId="77777777" w:rsidR="009518AF" w:rsidRPr="00515872" w:rsidRDefault="009518AF" w:rsidP="00D65838">
      <w:pPr>
        <w:pStyle w:val="Paragrafoelenco"/>
        <w:numPr>
          <w:ilvl w:val="0"/>
          <w:numId w:val="155"/>
        </w:numPr>
        <w:autoSpaceDE w:val="0"/>
        <w:autoSpaceDN w:val="0"/>
        <w:adjustRightInd w:val="0"/>
        <w:spacing w:line="360" w:lineRule="auto"/>
        <w:jc w:val="both"/>
        <w:rPr>
          <w:rFonts w:cs="Tahoma"/>
          <w:color w:val="000000"/>
          <w:szCs w:val="20"/>
        </w:rPr>
      </w:pPr>
      <w:r w:rsidRPr="00515872">
        <w:rPr>
          <w:rFonts w:cs="Tahoma"/>
          <w:color w:val="000000"/>
          <w:szCs w:val="20"/>
        </w:rPr>
        <w:t>razionalizzazione e snellimento delle strutture burocratico-amministrative, anche attraverso accorpamenti di uffici con l'obiettivo di ridurre l’incidenza percentuale delle posizioni dirigenziali in organico;</w:t>
      </w:r>
    </w:p>
    <w:p w14:paraId="40D9D3B1" w14:textId="77777777" w:rsidR="009518AF" w:rsidRPr="00515872" w:rsidRDefault="009518AF" w:rsidP="00D65838">
      <w:pPr>
        <w:pStyle w:val="Paragrafoelenco"/>
        <w:numPr>
          <w:ilvl w:val="0"/>
          <w:numId w:val="155"/>
        </w:numPr>
        <w:autoSpaceDE w:val="0"/>
        <w:autoSpaceDN w:val="0"/>
        <w:adjustRightInd w:val="0"/>
        <w:spacing w:line="360" w:lineRule="auto"/>
        <w:jc w:val="both"/>
        <w:rPr>
          <w:rFonts w:cs="Tahoma"/>
          <w:color w:val="000000"/>
          <w:szCs w:val="20"/>
        </w:rPr>
      </w:pPr>
      <w:r w:rsidRPr="00515872">
        <w:rPr>
          <w:rFonts w:cs="Tahoma"/>
          <w:color w:val="000000"/>
          <w:szCs w:val="20"/>
        </w:rPr>
        <w:t>contenimento delle dinamiche di crescita della contrattazione integrativa, tenuto anche conto delle corrispondenti disposizioni dettate per le amministrazioni statali.</w:t>
      </w:r>
    </w:p>
    <w:p w14:paraId="7F9B0111" w14:textId="77777777" w:rsidR="00A3646F" w:rsidRPr="00515872" w:rsidRDefault="00A3646F" w:rsidP="00A3646F">
      <w:pPr>
        <w:spacing w:line="360" w:lineRule="auto"/>
        <w:jc w:val="both"/>
        <w:rPr>
          <w:rFonts w:eastAsia="Times New Roman" w:cs="Tahoma"/>
          <w:szCs w:val="20"/>
          <w:lang w:eastAsia="it-IT"/>
        </w:rPr>
      </w:pPr>
      <w:r w:rsidRPr="00515872">
        <w:rPr>
          <w:rFonts w:eastAsia="Times New Roman" w:cs="Tahoma"/>
          <w:szCs w:val="20"/>
          <w:lang w:eastAsia="it-IT"/>
        </w:rPr>
        <w:t xml:space="preserve">Il c. 557-quater specifica che </w:t>
      </w:r>
      <w:r w:rsidRPr="00515872">
        <w:rPr>
          <w:rFonts w:eastAsia="Times New Roman" w:cs="Tahoma"/>
          <w:i/>
          <w:szCs w:val="20"/>
          <w:lang w:eastAsia="it-IT"/>
        </w:rPr>
        <w:t>“Ai fini dell'applicazione del comma 557, a decorrere dall'anno 2014 gli enti assicurano, nell'ambito della programmazione triennale dei fabbisogni di personale, il contenimento delle spese di personale con riferimento al valore medio del triennio precedente alla data di entrata in vigore della presente disposizione”.</w:t>
      </w:r>
      <w:r w:rsidR="00B337C8" w:rsidRPr="00515872">
        <w:rPr>
          <w:rFonts w:eastAsia="Times New Roman" w:cs="Tahoma"/>
          <w:i/>
          <w:szCs w:val="20"/>
          <w:lang w:eastAsia="it-IT"/>
        </w:rPr>
        <w:t xml:space="preserve"> </w:t>
      </w:r>
      <w:r w:rsidRPr="00515872">
        <w:rPr>
          <w:rFonts w:eastAsia="Times New Roman" w:cs="Tahoma"/>
          <w:szCs w:val="20"/>
          <w:lang w:eastAsia="it-IT"/>
        </w:rPr>
        <w:t>Tali enti devono quindi assicurare il contenimento delle spese per il personale con riferimento alla stessa spesa sostenuta in media nel triennio 2011-2013, come precisato dalla Corte dei Conti – sezione autonomie, con delibera n. 25</w:t>
      </w:r>
      <w:r w:rsidR="00B337C8" w:rsidRPr="00515872">
        <w:rPr>
          <w:rFonts w:eastAsia="Times New Roman" w:cs="Tahoma"/>
          <w:szCs w:val="20"/>
          <w:lang w:eastAsia="it-IT"/>
        </w:rPr>
        <w:t>/</w:t>
      </w:r>
      <w:r w:rsidRPr="00515872">
        <w:rPr>
          <w:rFonts w:eastAsia="Times New Roman" w:cs="Tahoma"/>
          <w:szCs w:val="20"/>
          <w:lang w:eastAsia="it-IT"/>
        </w:rPr>
        <w:t>2014.</w:t>
      </w:r>
    </w:p>
    <w:p w14:paraId="7884EC39" w14:textId="77777777" w:rsidR="006B0FBE"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Per gli enti non sottoposti alle regole del patto di stabilità interno (nel 2015), le spese di personale, al lordo degli oneri riflessi a carico delle amministrazioni e dell'IRAP, con esclusione degli oneri relativi ai rinnovi contrattuali, non devono superare ai sensi del c. 562 dell’art. 1, L. n. 296/2006, il corrispondente</w:t>
      </w:r>
      <w:r w:rsidR="006B0FBE" w:rsidRPr="00515872">
        <w:rPr>
          <w:rFonts w:cs="Tahoma"/>
          <w:color w:val="000000"/>
          <w:szCs w:val="20"/>
        </w:rPr>
        <w:t xml:space="preserve"> ammontare dell'anno 2008.</w:t>
      </w:r>
      <w:r w:rsidR="00D76B60" w:rsidRPr="00515872">
        <w:rPr>
          <w:rFonts w:cs="Tahoma"/>
          <w:color w:val="000000"/>
          <w:szCs w:val="20"/>
        </w:rPr>
        <w:t xml:space="preserve"> </w:t>
      </w:r>
      <w:r w:rsidR="00D76B60" w:rsidRPr="00515872">
        <w:rPr>
          <w:rFonts w:cs="Tahoma"/>
        </w:rPr>
        <w:t>Gli enti di cui al primo periodo possono procedere all'assunzione di personale nel limite delle cessazioni di rapporti di lavoro a tempo indeterminato complessivamente intervenute nel precedente anno.</w:t>
      </w:r>
    </w:p>
    <w:p w14:paraId="1E673B13" w14:textId="77777777" w:rsidR="00C7321A" w:rsidRPr="00515872" w:rsidRDefault="00C7321A" w:rsidP="00B337C8">
      <w:pPr>
        <w:autoSpaceDE w:val="0"/>
        <w:autoSpaceDN w:val="0"/>
        <w:adjustRightInd w:val="0"/>
        <w:spacing w:after="0" w:line="360" w:lineRule="auto"/>
        <w:jc w:val="both"/>
        <w:rPr>
          <w:rFonts w:cs="Tahoma"/>
          <w:color w:val="000000"/>
          <w:szCs w:val="20"/>
        </w:rPr>
      </w:pPr>
      <w:r w:rsidRPr="00515872">
        <w:rPr>
          <w:rFonts w:cs="Tahoma"/>
          <w:color w:val="000000"/>
          <w:szCs w:val="20"/>
        </w:rPr>
        <w:t>Per il triennio 2019-2021, con le novità introdotte dalla L. n. 145/2018 (Legge di bilancio 2019) e del D.L. n. 4/2019, i comuni possono:</w:t>
      </w:r>
    </w:p>
    <w:p w14:paraId="7951FED2" w14:textId="77777777" w:rsidR="00C7321A" w:rsidRPr="00515872" w:rsidRDefault="00C7321A" w:rsidP="00D65838">
      <w:pPr>
        <w:pStyle w:val="Paragrafoelenco"/>
        <w:numPr>
          <w:ilvl w:val="0"/>
          <w:numId w:val="155"/>
        </w:numPr>
        <w:autoSpaceDE w:val="0"/>
        <w:autoSpaceDN w:val="0"/>
        <w:adjustRightInd w:val="0"/>
        <w:spacing w:line="360" w:lineRule="auto"/>
        <w:jc w:val="both"/>
        <w:rPr>
          <w:rFonts w:cs="Tahoma"/>
          <w:color w:val="000000"/>
          <w:szCs w:val="20"/>
        </w:rPr>
      </w:pPr>
      <w:r w:rsidRPr="00515872">
        <w:rPr>
          <w:rFonts w:cs="Tahoma"/>
          <w:color w:val="000000"/>
          <w:szCs w:val="20"/>
        </w:rPr>
        <w:t xml:space="preserve">computare, ai fini del calcolo delle capacità </w:t>
      </w:r>
      <w:proofErr w:type="spellStart"/>
      <w:r w:rsidRPr="00515872">
        <w:rPr>
          <w:rFonts w:cs="Tahoma"/>
          <w:color w:val="000000"/>
          <w:szCs w:val="20"/>
        </w:rPr>
        <w:t>assunzionali</w:t>
      </w:r>
      <w:proofErr w:type="spellEnd"/>
      <w:r w:rsidRPr="00515872">
        <w:rPr>
          <w:rFonts w:cs="Tahoma"/>
          <w:color w:val="000000"/>
          <w:szCs w:val="20"/>
        </w:rPr>
        <w:t>, per ciascuna annualità, le cessazioni dal servizio del personale di ruolo verificatesi nell’anno precedente;</w:t>
      </w:r>
    </w:p>
    <w:p w14:paraId="59A9C3F6" w14:textId="77777777" w:rsidR="00C7321A" w:rsidRPr="00515872" w:rsidRDefault="00C7321A" w:rsidP="00D65838">
      <w:pPr>
        <w:pStyle w:val="Paragrafoelenco"/>
        <w:numPr>
          <w:ilvl w:val="0"/>
          <w:numId w:val="155"/>
        </w:numPr>
        <w:autoSpaceDE w:val="0"/>
        <w:autoSpaceDN w:val="0"/>
        <w:adjustRightInd w:val="0"/>
        <w:spacing w:line="360" w:lineRule="auto"/>
        <w:jc w:val="both"/>
        <w:rPr>
          <w:rFonts w:cs="Tahoma"/>
          <w:color w:val="000000"/>
          <w:szCs w:val="20"/>
        </w:rPr>
      </w:pPr>
      <w:r w:rsidRPr="00515872">
        <w:rPr>
          <w:rFonts w:cs="Tahoma"/>
          <w:color w:val="000000"/>
          <w:szCs w:val="20"/>
        </w:rPr>
        <w:t xml:space="preserve">computare le cessazioni programmate nella medesima annualità in cui le stesse si verificano, fermo restando che le assunzioni possono essere effettuate soltanto a seguito delle cessazioni che producono il relativo </w:t>
      </w:r>
      <w:r w:rsidRPr="00515872">
        <w:rPr>
          <w:rFonts w:cs="Tahoma"/>
          <w:i/>
          <w:color w:val="000000"/>
          <w:szCs w:val="20"/>
        </w:rPr>
        <w:t>turn-over</w:t>
      </w:r>
      <w:r w:rsidRPr="00515872">
        <w:rPr>
          <w:rFonts w:cs="Tahoma"/>
          <w:color w:val="000000"/>
          <w:szCs w:val="20"/>
        </w:rPr>
        <w:t>;</w:t>
      </w:r>
    </w:p>
    <w:p w14:paraId="60CF9001" w14:textId="77777777" w:rsidR="00C7321A" w:rsidRPr="00515872" w:rsidRDefault="00C7321A" w:rsidP="00D65838">
      <w:pPr>
        <w:pStyle w:val="Paragrafoelenco"/>
        <w:numPr>
          <w:ilvl w:val="0"/>
          <w:numId w:val="155"/>
        </w:numPr>
        <w:autoSpaceDE w:val="0"/>
        <w:autoSpaceDN w:val="0"/>
        <w:adjustRightInd w:val="0"/>
        <w:spacing w:line="360" w:lineRule="auto"/>
        <w:jc w:val="both"/>
        <w:rPr>
          <w:rFonts w:cs="Tahoma"/>
          <w:color w:val="000000"/>
          <w:szCs w:val="20"/>
        </w:rPr>
      </w:pPr>
      <w:r w:rsidRPr="00515872">
        <w:rPr>
          <w:rFonts w:cs="Tahoma"/>
          <w:color w:val="000000"/>
          <w:szCs w:val="20"/>
        </w:rPr>
        <w:t xml:space="preserve">utilizzare i resti </w:t>
      </w:r>
      <w:proofErr w:type="spellStart"/>
      <w:r w:rsidRPr="00515872">
        <w:rPr>
          <w:rFonts w:cs="Tahoma"/>
          <w:color w:val="000000"/>
          <w:szCs w:val="20"/>
        </w:rPr>
        <w:t>assunzionali</w:t>
      </w:r>
      <w:proofErr w:type="spellEnd"/>
      <w:r w:rsidRPr="00515872">
        <w:rPr>
          <w:rFonts w:cs="Tahoma"/>
          <w:color w:val="000000"/>
          <w:szCs w:val="20"/>
        </w:rPr>
        <w:t xml:space="preserve"> non utilizzati del quinquennio precedente.</w:t>
      </w:r>
    </w:p>
    <w:p w14:paraId="15D455D3" w14:textId="77777777" w:rsidR="00740C86" w:rsidRPr="00515872" w:rsidRDefault="00740C86" w:rsidP="00740C86">
      <w:pPr>
        <w:autoSpaceDE w:val="0"/>
        <w:autoSpaceDN w:val="0"/>
        <w:adjustRightInd w:val="0"/>
        <w:spacing w:line="360" w:lineRule="auto"/>
        <w:jc w:val="both"/>
        <w:rPr>
          <w:rFonts w:cs="Tahoma"/>
          <w:color w:val="000000"/>
          <w:szCs w:val="20"/>
        </w:rPr>
      </w:pPr>
      <w:r w:rsidRPr="00515872">
        <w:rPr>
          <w:rFonts w:cs="Tahoma"/>
          <w:color w:val="000000"/>
          <w:szCs w:val="20"/>
        </w:rPr>
        <w:t>Regole differenziate valgono per comuni con popolazione superiore o inferiore a 1</w:t>
      </w:r>
      <w:r w:rsidR="00610A70" w:rsidRPr="00515872">
        <w:rPr>
          <w:rFonts w:cs="Tahoma"/>
          <w:color w:val="000000"/>
          <w:szCs w:val="20"/>
        </w:rPr>
        <w:t>.</w:t>
      </w:r>
      <w:r w:rsidRPr="00515872">
        <w:rPr>
          <w:rFonts w:cs="Tahoma"/>
          <w:color w:val="000000"/>
          <w:szCs w:val="20"/>
        </w:rPr>
        <w:t>000 abitanti.</w:t>
      </w:r>
    </w:p>
    <w:p w14:paraId="0DED42DE" w14:textId="77777777" w:rsidR="00833A8F" w:rsidRPr="00515872" w:rsidRDefault="006B0FBE"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In materia di facoltà </w:t>
      </w:r>
      <w:proofErr w:type="spellStart"/>
      <w:r w:rsidRPr="00515872">
        <w:rPr>
          <w:rFonts w:cs="Tahoma"/>
          <w:color w:val="000000"/>
          <w:szCs w:val="20"/>
        </w:rPr>
        <w:t>assunzionali</w:t>
      </w:r>
      <w:proofErr w:type="spellEnd"/>
      <w:r w:rsidRPr="00515872">
        <w:rPr>
          <w:rFonts w:cs="Tahoma"/>
          <w:color w:val="000000"/>
          <w:szCs w:val="20"/>
        </w:rPr>
        <w:t>, co</w:t>
      </w:r>
      <w:r w:rsidR="00835133" w:rsidRPr="00515872">
        <w:rPr>
          <w:rFonts w:cs="Tahoma"/>
          <w:color w:val="000000"/>
          <w:szCs w:val="20"/>
        </w:rPr>
        <w:t>n l’art. 17 del D.L. n. 162/2019</w:t>
      </w:r>
      <w:r w:rsidRPr="00515872">
        <w:rPr>
          <w:rFonts w:cs="Tahoma"/>
          <w:color w:val="000000"/>
          <w:szCs w:val="20"/>
        </w:rPr>
        <w:t xml:space="preserve">, </w:t>
      </w:r>
      <w:proofErr w:type="spellStart"/>
      <w:r w:rsidRPr="00515872">
        <w:rPr>
          <w:rFonts w:cs="Tahoma"/>
          <w:color w:val="000000"/>
          <w:szCs w:val="20"/>
        </w:rPr>
        <w:t>conv</w:t>
      </w:r>
      <w:proofErr w:type="spellEnd"/>
      <w:r w:rsidRPr="00515872">
        <w:rPr>
          <w:rFonts w:cs="Tahoma"/>
          <w:color w:val="000000"/>
          <w:szCs w:val="20"/>
        </w:rPr>
        <w:t>. L. n.</w:t>
      </w:r>
      <w:r w:rsidR="004E2705" w:rsidRPr="00515872">
        <w:rPr>
          <w:rFonts w:cs="Tahoma"/>
          <w:color w:val="000000"/>
          <w:szCs w:val="20"/>
        </w:rPr>
        <w:t xml:space="preserve"> </w:t>
      </w:r>
      <w:r w:rsidRPr="00515872">
        <w:rPr>
          <w:rFonts w:cs="Tahoma"/>
          <w:color w:val="000000"/>
          <w:szCs w:val="20"/>
        </w:rPr>
        <w:t>8/2020</w:t>
      </w:r>
      <w:r w:rsidR="00700D35" w:rsidRPr="00515872">
        <w:rPr>
          <w:rFonts w:cs="Tahoma"/>
          <w:color w:val="000000"/>
          <w:szCs w:val="20"/>
        </w:rPr>
        <w:t xml:space="preserve"> che modifica l’art. 33, D.L. 30 aprile 2019, n. 34,</w:t>
      </w:r>
      <w:r w:rsidRPr="00515872">
        <w:rPr>
          <w:rFonts w:cs="Tahoma"/>
          <w:color w:val="000000"/>
          <w:szCs w:val="20"/>
        </w:rPr>
        <w:t xml:space="preserve"> le province, le città metropolitane ed i comuni vengono autorizzati a procedere ad assunzioni di personale a tempo indeterminato in coerenza con i piani triennali dei fabbisogni di personale, nel rispetto pluriennale dell’equilibrio di bilancio asseverato dall’organo di revisione, sino ad una spesa complessiva per tutto il personale dipendente, al lordo degli oneri riflessi a carico dell’amministrazione, non superiore ai </w:t>
      </w:r>
      <w:r w:rsidRPr="00515872">
        <w:rPr>
          <w:rFonts w:cs="Tahoma"/>
          <w:color w:val="000000"/>
          <w:szCs w:val="20"/>
        </w:rPr>
        <w:lastRenderedPageBreak/>
        <w:t>valori soglia puntualmente definiti dalla norma stessa e distinti per tipologia di ente</w:t>
      </w:r>
      <w:r w:rsidR="00700D35" w:rsidRPr="00515872">
        <w:rPr>
          <w:rStyle w:val="Rimandonotaapidipagina"/>
          <w:rFonts w:cs="Tahoma"/>
          <w:szCs w:val="20"/>
        </w:rPr>
        <w:footnoteReference w:id="55"/>
      </w:r>
      <w:r w:rsidRPr="00515872">
        <w:rPr>
          <w:rFonts w:cs="Tahoma"/>
          <w:color w:val="000000"/>
          <w:szCs w:val="20"/>
        </w:rPr>
        <w:t>. Gli en</w:t>
      </w:r>
      <w:r w:rsidR="00B337C8" w:rsidRPr="00515872">
        <w:rPr>
          <w:rFonts w:cs="Tahoma"/>
          <w:color w:val="000000"/>
          <w:szCs w:val="20"/>
        </w:rPr>
        <w:t xml:space="preserve">ti che invece eccedono i valori </w:t>
      </w:r>
      <w:r w:rsidRPr="00515872">
        <w:rPr>
          <w:rFonts w:cs="Tahoma"/>
          <w:color w:val="000000"/>
          <w:szCs w:val="20"/>
        </w:rPr>
        <w:t xml:space="preserve">soglia di riferimento sono tenuti ad adottare un percorso di graduale riduzione annuale del rapporto fra la spesa di personale, al lordo degli oneri riflessi a carico dell’amministrazione, e la media delle entrate correnti relative agli ultimi </w:t>
      </w:r>
      <w:r w:rsidR="00B337C8" w:rsidRPr="00515872">
        <w:rPr>
          <w:rFonts w:cs="Tahoma"/>
          <w:color w:val="000000"/>
          <w:szCs w:val="20"/>
        </w:rPr>
        <w:t>3</w:t>
      </w:r>
      <w:r w:rsidRPr="00515872">
        <w:rPr>
          <w:rFonts w:cs="Tahoma"/>
          <w:color w:val="000000"/>
          <w:szCs w:val="20"/>
        </w:rPr>
        <w:t xml:space="preserve"> rendiconti approvati, considerate al netto del </w:t>
      </w:r>
      <w:r w:rsidR="00833A8F" w:rsidRPr="00515872">
        <w:rPr>
          <w:rFonts w:cs="Tahoma"/>
          <w:color w:val="000000"/>
          <w:szCs w:val="20"/>
        </w:rPr>
        <w:t>FCDE</w:t>
      </w:r>
      <w:r w:rsidRPr="00515872">
        <w:rPr>
          <w:rFonts w:cs="Tahoma"/>
          <w:color w:val="000000"/>
          <w:szCs w:val="20"/>
        </w:rPr>
        <w:t xml:space="preserve"> stanziato nel bilancio di previsione, fino al conseguimento, nell’anno 2025, dei predetti valori anche applicando un </w:t>
      </w:r>
      <w:r w:rsidRPr="00515872">
        <w:rPr>
          <w:rFonts w:cs="Tahoma"/>
          <w:i/>
          <w:iCs/>
          <w:color w:val="000000"/>
          <w:szCs w:val="20"/>
        </w:rPr>
        <w:t xml:space="preserve">turn over </w:t>
      </w:r>
      <w:r w:rsidRPr="00515872">
        <w:rPr>
          <w:rFonts w:cs="Tahoma"/>
          <w:color w:val="000000"/>
          <w:szCs w:val="20"/>
        </w:rPr>
        <w:t xml:space="preserve">inferiore al </w:t>
      </w:r>
      <w:r w:rsidR="00833A8F" w:rsidRPr="00515872">
        <w:rPr>
          <w:rFonts w:cs="Tahoma"/>
          <w:color w:val="000000"/>
          <w:szCs w:val="20"/>
        </w:rPr>
        <w:t>100%</w:t>
      </w:r>
      <w:r w:rsidRPr="00515872">
        <w:rPr>
          <w:rFonts w:cs="Tahoma"/>
          <w:color w:val="000000"/>
          <w:szCs w:val="20"/>
        </w:rPr>
        <w:t>.</w:t>
      </w:r>
    </w:p>
    <w:p w14:paraId="622AEF80" w14:textId="77777777" w:rsidR="006B0FBE" w:rsidRPr="00515872" w:rsidRDefault="006B0FBE" w:rsidP="009518AF">
      <w:pPr>
        <w:autoSpaceDE w:val="0"/>
        <w:autoSpaceDN w:val="0"/>
        <w:adjustRightInd w:val="0"/>
        <w:spacing w:line="360" w:lineRule="auto"/>
        <w:jc w:val="both"/>
        <w:rPr>
          <w:rFonts w:cs="Tahoma"/>
          <w:color w:val="000000"/>
          <w:szCs w:val="20"/>
        </w:rPr>
      </w:pPr>
      <w:r w:rsidRPr="00515872">
        <w:rPr>
          <w:rFonts w:cs="Tahoma"/>
          <w:color w:val="000000"/>
          <w:szCs w:val="20"/>
        </w:rPr>
        <w:t>In particolare, viene favorito l’incremento della spesa di personale per i comuni che abbiano registrato un incremento delle entrate correnti. Inoltre, si prevede che le province possano avvalersi di personale a tempo determinato nel limite del 50% della spesa sostenuta per le medesime finalità nell'anno 2009.</w:t>
      </w:r>
    </w:p>
    <w:p w14:paraId="2432EBD3" w14:textId="77777777" w:rsidR="004E2705" w:rsidRPr="00515872" w:rsidRDefault="004E2705" w:rsidP="009518AF">
      <w:pPr>
        <w:autoSpaceDE w:val="0"/>
        <w:autoSpaceDN w:val="0"/>
        <w:adjustRightInd w:val="0"/>
        <w:spacing w:line="360" w:lineRule="auto"/>
        <w:jc w:val="both"/>
        <w:rPr>
          <w:rFonts w:cs="Tahoma"/>
          <w:szCs w:val="20"/>
        </w:rPr>
      </w:pPr>
      <w:r w:rsidRPr="00515872">
        <w:rPr>
          <w:rFonts w:cs="Tahoma"/>
          <w:szCs w:val="20"/>
        </w:rPr>
        <w:t>A decorrere dal 20 aprile 2020, i comuni che si collocano al di sotto di detto</w:t>
      </w:r>
      <w:r w:rsidR="00B359B0" w:rsidRPr="00515872">
        <w:rPr>
          <w:rFonts w:cs="Tahoma"/>
          <w:szCs w:val="20"/>
        </w:rPr>
        <w:t xml:space="preserve"> valore soglia </w:t>
      </w:r>
      <w:r w:rsidRPr="00515872">
        <w:rPr>
          <w:rFonts w:cs="Tahoma"/>
          <w:szCs w:val="20"/>
        </w:rPr>
        <w:t>possono incrementare la spesa di personale registrata nell'ultimo rendiconto approvato, per assunzioni di personale a tempo indeterminato, in coerenza con i piani triennali dei fabbisogni di personale e fermo restando il rispetto pluriennale dell'equilibrio di bilancio asseverato dall'organo di revisione, sino ad una spesa complessiva rapportata alle entrate correnti, secondo le definizioni dell'art. 2, non superiore al valore soglia individuato</w:t>
      </w:r>
      <w:r w:rsidR="00FF4665" w:rsidRPr="00515872">
        <w:rPr>
          <w:rFonts w:cs="Tahoma"/>
          <w:szCs w:val="20"/>
        </w:rPr>
        <w:t xml:space="preserve"> per </w:t>
      </w:r>
      <w:r w:rsidRPr="00515872">
        <w:rPr>
          <w:rFonts w:cs="Tahoma"/>
          <w:szCs w:val="20"/>
        </w:rPr>
        <w:t>ciascuna fascia demografica.</w:t>
      </w:r>
      <w:r w:rsidR="00B359B0" w:rsidRPr="00515872">
        <w:rPr>
          <w:rFonts w:cs="Tahoma"/>
          <w:szCs w:val="20"/>
        </w:rPr>
        <w:t xml:space="preserve"> Tuttavia, in sede di prima applicazione e fino al 31 dicembre 2024, detti comuni possono incrementare annualmente, per assunzioni di personale a tempo indeterminato, la spesa del personale registrata nel 2018, secondo, in misura non superiore al valore percentuale indicato dalla Tabella 2 di cui all’art. 5, D.M. Pubblica amministrazione del 17 marzo 2020</w:t>
      </w:r>
      <w:r w:rsidR="00B359B0" w:rsidRPr="00515872">
        <w:rPr>
          <w:rStyle w:val="Rimandonotaapidipagina"/>
          <w:rFonts w:cs="Tahoma"/>
          <w:szCs w:val="20"/>
        </w:rPr>
        <w:footnoteReference w:id="56"/>
      </w:r>
      <w:r w:rsidR="00B359B0" w:rsidRPr="00515872">
        <w:rPr>
          <w:rFonts w:cs="Tahoma"/>
          <w:szCs w:val="20"/>
        </w:rPr>
        <w:t>, in coerenza con i piani triennali dei fabbisogni di personale e fermo restando il rispetto pluriennale dell'equilibrio di bilancio asseverato dall'organo di revisione e del valore soglia anzidetto.</w:t>
      </w:r>
    </w:p>
    <w:p w14:paraId="508DCDD3" w14:textId="77777777" w:rsidR="00B359B0" w:rsidRPr="00515872" w:rsidRDefault="00B359B0" w:rsidP="009518AF">
      <w:pPr>
        <w:autoSpaceDE w:val="0"/>
        <w:autoSpaceDN w:val="0"/>
        <w:adjustRightInd w:val="0"/>
        <w:spacing w:line="360" w:lineRule="auto"/>
        <w:jc w:val="both"/>
        <w:rPr>
          <w:rFonts w:cs="Tahoma"/>
          <w:szCs w:val="20"/>
        </w:rPr>
      </w:pPr>
      <w:r w:rsidRPr="00515872">
        <w:rPr>
          <w:rFonts w:cs="Tahoma"/>
          <w:szCs w:val="20"/>
        </w:rPr>
        <w:t xml:space="preserve">Per il periodo 2020-2024, i comuni possono utilizzare le facoltà </w:t>
      </w:r>
      <w:proofErr w:type="spellStart"/>
      <w:r w:rsidRPr="00515872">
        <w:rPr>
          <w:rFonts w:cs="Tahoma"/>
          <w:szCs w:val="20"/>
        </w:rPr>
        <w:t>assunzionali</w:t>
      </w:r>
      <w:proofErr w:type="spellEnd"/>
      <w:r w:rsidRPr="00515872">
        <w:rPr>
          <w:rFonts w:cs="Tahoma"/>
          <w:szCs w:val="20"/>
        </w:rPr>
        <w:t xml:space="preserve"> resi</w:t>
      </w:r>
      <w:r w:rsidR="00A12852" w:rsidRPr="00515872">
        <w:rPr>
          <w:rFonts w:cs="Tahoma"/>
          <w:szCs w:val="20"/>
        </w:rPr>
        <w:t xml:space="preserve">due dei </w:t>
      </w:r>
      <w:r w:rsidR="00700D35" w:rsidRPr="00515872">
        <w:rPr>
          <w:rFonts w:cs="Tahoma"/>
          <w:szCs w:val="20"/>
        </w:rPr>
        <w:t>5</w:t>
      </w:r>
      <w:r w:rsidR="00A12852" w:rsidRPr="00515872">
        <w:rPr>
          <w:rFonts w:cs="Tahoma"/>
          <w:szCs w:val="20"/>
        </w:rPr>
        <w:t xml:space="preserve"> anni antecedenti al </w:t>
      </w:r>
      <w:r w:rsidRPr="00515872">
        <w:rPr>
          <w:rFonts w:cs="Tahoma"/>
          <w:szCs w:val="20"/>
        </w:rPr>
        <w:t>2020 in deroga agli incrementi percentuali individuati dalla Tabella 2 del c</w:t>
      </w:r>
      <w:r w:rsidR="00700D35" w:rsidRPr="00515872">
        <w:rPr>
          <w:rFonts w:cs="Tahoma"/>
          <w:szCs w:val="20"/>
        </w:rPr>
        <w:t>.</w:t>
      </w:r>
      <w:r w:rsidR="00A12852" w:rsidRPr="00515872">
        <w:rPr>
          <w:rFonts w:cs="Tahoma"/>
          <w:szCs w:val="20"/>
        </w:rPr>
        <w:t xml:space="preserve">1, fermo restando il limite di cui alla </w:t>
      </w:r>
      <w:r w:rsidRPr="00515872">
        <w:rPr>
          <w:rFonts w:cs="Tahoma"/>
          <w:szCs w:val="20"/>
        </w:rPr>
        <w:t>Tabella 1 dell'art. 4, c</w:t>
      </w:r>
      <w:r w:rsidR="00700D35" w:rsidRPr="00515872">
        <w:rPr>
          <w:rFonts w:cs="Tahoma"/>
          <w:szCs w:val="20"/>
        </w:rPr>
        <w:t>.</w:t>
      </w:r>
      <w:r w:rsidRPr="00515872">
        <w:rPr>
          <w:rFonts w:cs="Tahoma"/>
          <w:szCs w:val="20"/>
        </w:rPr>
        <w:t xml:space="preserve"> 1, di ciascuna fascia demografica, i piani triennali dei fabbis</w:t>
      </w:r>
      <w:r w:rsidR="00A12852" w:rsidRPr="00515872">
        <w:rPr>
          <w:rFonts w:cs="Tahoma"/>
          <w:szCs w:val="20"/>
        </w:rPr>
        <w:t xml:space="preserve">ogni di personale e il rispetto </w:t>
      </w:r>
      <w:r w:rsidRPr="00515872">
        <w:rPr>
          <w:rFonts w:cs="Tahoma"/>
          <w:szCs w:val="20"/>
        </w:rPr>
        <w:t>pluriennale dell'equilibrio di bilancio asseverato dall'organo di revisione.</w:t>
      </w:r>
    </w:p>
    <w:p w14:paraId="6B1DFF20" w14:textId="77777777" w:rsidR="00156B8D" w:rsidRPr="00515872" w:rsidRDefault="00156B8D" w:rsidP="009518AF">
      <w:pPr>
        <w:autoSpaceDE w:val="0"/>
        <w:autoSpaceDN w:val="0"/>
        <w:adjustRightInd w:val="0"/>
        <w:spacing w:line="360" w:lineRule="auto"/>
        <w:jc w:val="both"/>
        <w:rPr>
          <w:rFonts w:cs="Tahoma"/>
          <w:szCs w:val="20"/>
        </w:rPr>
      </w:pPr>
      <w:r w:rsidRPr="00515872">
        <w:rPr>
          <w:rFonts w:cs="Tahoma"/>
          <w:szCs w:val="20"/>
        </w:rPr>
        <w:t>A decorrere dal 2025, i comuni in cui il rapporto fra spesa del personale e le entrate c</w:t>
      </w:r>
      <w:r w:rsidR="00271441" w:rsidRPr="00515872">
        <w:rPr>
          <w:rFonts w:cs="Tahoma"/>
          <w:szCs w:val="20"/>
        </w:rPr>
        <w:t xml:space="preserve">orrenti </w:t>
      </w:r>
      <w:r w:rsidRPr="00515872">
        <w:rPr>
          <w:rFonts w:cs="Tahoma"/>
          <w:szCs w:val="20"/>
        </w:rPr>
        <w:t>risulta superiore al valore soglia per fascia demografica individuato dalla Tabel</w:t>
      </w:r>
      <w:r w:rsidR="00EF4D25" w:rsidRPr="00515872">
        <w:rPr>
          <w:rFonts w:cs="Tahoma"/>
          <w:szCs w:val="20"/>
        </w:rPr>
        <w:t>la 3</w:t>
      </w:r>
      <w:r w:rsidR="00271441" w:rsidRPr="00515872">
        <w:rPr>
          <w:rStyle w:val="Rimandonotaapidipagina"/>
          <w:rFonts w:cs="Tahoma"/>
          <w:szCs w:val="20"/>
        </w:rPr>
        <w:footnoteReference w:id="57"/>
      </w:r>
      <w:r w:rsidR="00EF4D25" w:rsidRPr="00515872">
        <w:rPr>
          <w:rFonts w:cs="Tahoma"/>
          <w:szCs w:val="20"/>
        </w:rPr>
        <w:t xml:space="preserve"> del </w:t>
      </w:r>
      <w:r w:rsidR="00271441" w:rsidRPr="00515872">
        <w:rPr>
          <w:rFonts w:cs="Tahoma"/>
          <w:szCs w:val="20"/>
        </w:rPr>
        <w:t>decreto,</w:t>
      </w:r>
      <w:r w:rsidR="00EF4D25" w:rsidRPr="00515872">
        <w:rPr>
          <w:rFonts w:cs="Tahoma"/>
          <w:szCs w:val="20"/>
        </w:rPr>
        <w:t xml:space="preserve"> </w:t>
      </w:r>
      <w:r w:rsidRPr="00515872">
        <w:rPr>
          <w:rFonts w:cs="Tahoma"/>
          <w:szCs w:val="20"/>
        </w:rPr>
        <w:t xml:space="preserve">applicano un </w:t>
      </w:r>
      <w:r w:rsidRPr="00515872">
        <w:rPr>
          <w:rFonts w:cs="Tahoma"/>
          <w:i/>
          <w:szCs w:val="20"/>
        </w:rPr>
        <w:t>turn over</w:t>
      </w:r>
      <w:r w:rsidRPr="00515872">
        <w:rPr>
          <w:rFonts w:cs="Tahoma"/>
          <w:szCs w:val="20"/>
        </w:rPr>
        <w:t xml:space="preserve"> pari al 30</w:t>
      </w:r>
      <w:r w:rsidR="00271441" w:rsidRPr="00515872">
        <w:rPr>
          <w:rFonts w:cs="Tahoma"/>
          <w:szCs w:val="20"/>
        </w:rPr>
        <w:t>%</w:t>
      </w:r>
      <w:r w:rsidRPr="00515872">
        <w:rPr>
          <w:rFonts w:cs="Tahoma"/>
          <w:szCs w:val="20"/>
        </w:rPr>
        <w:t xml:space="preserve"> fino al conseguimento</w:t>
      </w:r>
      <w:r w:rsidR="00271441" w:rsidRPr="00515872">
        <w:rPr>
          <w:rFonts w:cs="Tahoma"/>
          <w:szCs w:val="20"/>
        </w:rPr>
        <w:t xml:space="preserve"> del predetto valore soglia. </w:t>
      </w:r>
      <w:r w:rsidRPr="00515872">
        <w:rPr>
          <w:rFonts w:cs="Tahoma"/>
          <w:szCs w:val="20"/>
        </w:rPr>
        <w:t>I comuni in cui il rapporto fra spesa del personale e le entrate correnti</w:t>
      </w:r>
      <w:r w:rsidR="00EF4D25" w:rsidRPr="00515872">
        <w:rPr>
          <w:rFonts w:cs="Tahoma"/>
          <w:szCs w:val="20"/>
        </w:rPr>
        <w:t xml:space="preserve"> risulta </w:t>
      </w:r>
      <w:r w:rsidRPr="00515872">
        <w:rPr>
          <w:rFonts w:cs="Tahoma"/>
          <w:szCs w:val="20"/>
        </w:rPr>
        <w:t>compreso fra i valori soglia per fascia demografica individuati dalla Tabella 1</w:t>
      </w:r>
      <w:r w:rsidR="00271441" w:rsidRPr="00515872">
        <w:rPr>
          <w:rFonts w:cs="Tahoma"/>
          <w:szCs w:val="20"/>
        </w:rPr>
        <w:t xml:space="preserve"> </w:t>
      </w:r>
      <w:r w:rsidR="00EF4D25" w:rsidRPr="00515872">
        <w:rPr>
          <w:rFonts w:cs="Tahoma"/>
          <w:szCs w:val="20"/>
        </w:rPr>
        <w:t xml:space="preserve">e dalla </w:t>
      </w:r>
      <w:r w:rsidR="00EF4D25" w:rsidRPr="00515872">
        <w:rPr>
          <w:rFonts w:cs="Tahoma"/>
          <w:szCs w:val="20"/>
        </w:rPr>
        <w:lastRenderedPageBreak/>
        <w:t>Tabella 3</w:t>
      </w:r>
      <w:r w:rsidRPr="00515872">
        <w:rPr>
          <w:rFonts w:cs="Tahoma"/>
          <w:szCs w:val="20"/>
        </w:rPr>
        <w:t xml:space="preserve"> non possono incrementare il valore del pred</w:t>
      </w:r>
      <w:r w:rsidR="00EF4D25" w:rsidRPr="00515872">
        <w:rPr>
          <w:rFonts w:cs="Tahoma"/>
          <w:szCs w:val="20"/>
        </w:rPr>
        <w:t xml:space="preserve">etto rapporto rispetto a quello </w:t>
      </w:r>
      <w:r w:rsidRPr="00515872">
        <w:rPr>
          <w:rFonts w:cs="Tahoma"/>
          <w:szCs w:val="20"/>
        </w:rPr>
        <w:t>corrispondente registrato nell'ultimo rendiconto della gestione approvato.</w:t>
      </w:r>
    </w:p>
    <w:p w14:paraId="78D168E8" w14:textId="77777777" w:rsidR="00B359B0" w:rsidRPr="00515872" w:rsidRDefault="00156B8D" w:rsidP="009518AF">
      <w:pPr>
        <w:autoSpaceDE w:val="0"/>
        <w:autoSpaceDN w:val="0"/>
        <w:adjustRightInd w:val="0"/>
        <w:spacing w:line="360" w:lineRule="auto"/>
        <w:jc w:val="both"/>
        <w:rPr>
          <w:rFonts w:cs="Tahoma"/>
          <w:szCs w:val="20"/>
        </w:rPr>
      </w:pPr>
      <w:r w:rsidRPr="00515872">
        <w:rPr>
          <w:rFonts w:cs="Tahoma"/>
          <w:szCs w:val="20"/>
        </w:rPr>
        <w:t>La maggior spesa per assunzioni di personale a tempo indeterminato derivante da</w:t>
      </w:r>
      <w:r w:rsidR="00EF4D25" w:rsidRPr="00515872">
        <w:rPr>
          <w:rFonts w:cs="Tahoma"/>
          <w:szCs w:val="20"/>
        </w:rPr>
        <w:t xml:space="preserve"> quanto previsto dagli articoli 4 e </w:t>
      </w:r>
      <w:r w:rsidRPr="00515872">
        <w:rPr>
          <w:rFonts w:cs="Tahoma"/>
          <w:szCs w:val="20"/>
        </w:rPr>
        <w:t>5 non rileva ai fini del rispetto del limite di spesa previsto dall'art. 1, commi 557-quater e 562, della legge 27 dic</w:t>
      </w:r>
      <w:r w:rsidR="00EF4D25" w:rsidRPr="00515872">
        <w:rPr>
          <w:rFonts w:cs="Tahoma"/>
          <w:szCs w:val="20"/>
        </w:rPr>
        <w:t xml:space="preserve">embre </w:t>
      </w:r>
      <w:r w:rsidRPr="00515872">
        <w:rPr>
          <w:rFonts w:cs="Tahoma"/>
          <w:szCs w:val="20"/>
        </w:rPr>
        <w:t>2006, n. 296.</w:t>
      </w:r>
    </w:p>
    <w:p w14:paraId="14B276E8" w14:textId="77777777" w:rsidR="009518AF" w:rsidRPr="00515872" w:rsidRDefault="009518AF" w:rsidP="009518AF">
      <w:pPr>
        <w:autoSpaceDE w:val="0"/>
        <w:autoSpaceDN w:val="0"/>
        <w:adjustRightInd w:val="0"/>
        <w:spacing w:after="0" w:line="360" w:lineRule="auto"/>
        <w:jc w:val="both"/>
        <w:rPr>
          <w:rFonts w:cs="Tahoma"/>
          <w:color w:val="000000"/>
        </w:rPr>
      </w:pPr>
      <w:r w:rsidRPr="00515872">
        <w:rPr>
          <w:rFonts w:cs="Tahoma"/>
          <w:b/>
          <w:bCs/>
          <w:color w:val="000000"/>
        </w:rPr>
        <w:t xml:space="preserve">Limite </w:t>
      </w:r>
      <w:r w:rsidR="00D87D9F" w:rsidRPr="00515872">
        <w:rPr>
          <w:rFonts w:cs="Tahoma"/>
          <w:b/>
          <w:bCs/>
          <w:color w:val="000000"/>
        </w:rPr>
        <w:t xml:space="preserve">di </w:t>
      </w:r>
      <w:r w:rsidRPr="00515872">
        <w:rPr>
          <w:rFonts w:cs="Tahoma"/>
          <w:b/>
          <w:bCs/>
          <w:color w:val="000000"/>
        </w:rPr>
        <w:t xml:space="preserve">spesa </w:t>
      </w:r>
      <w:r w:rsidR="00D87D9F" w:rsidRPr="00515872">
        <w:rPr>
          <w:rFonts w:cs="Tahoma"/>
          <w:b/>
          <w:bCs/>
          <w:color w:val="000000"/>
        </w:rPr>
        <w:t xml:space="preserve">per </w:t>
      </w:r>
      <w:r w:rsidRPr="00515872">
        <w:rPr>
          <w:rFonts w:cs="Tahoma"/>
          <w:b/>
          <w:bCs/>
          <w:color w:val="000000"/>
        </w:rPr>
        <w:t xml:space="preserve">personale temporaneo </w:t>
      </w:r>
    </w:p>
    <w:p w14:paraId="1D88680B" w14:textId="77777777" w:rsidR="009518AF" w:rsidRPr="00515872" w:rsidRDefault="0010443A" w:rsidP="009518AF">
      <w:pPr>
        <w:autoSpaceDE w:val="0"/>
        <w:autoSpaceDN w:val="0"/>
        <w:adjustRightInd w:val="0"/>
        <w:spacing w:line="360" w:lineRule="auto"/>
        <w:jc w:val="both"/>
        <w:rPr>
          <w:rFonts w:cs="Tahoma"/>
          <w:color w:val="000000"/>
        </w:rPr>
      </w:pPr>
      <w:r w:rsidRPr="00515872">
        <w:rPr>
          <w:rFonts w:cs="Tahoma"/>
          <w:color w:val="000000"/>
        </w:rPr>
        <w:t>L’art. 9, c. 28,</w:t>
      </w:r>
      <w:r w:rsidR="009518AF" w:rsidRPr="00515872">
        <w:rPr>
          <w:rFonts w:cs="Tahoma"/>
          <w:color w:val="000000"/>
        </w:rPr>
        <w:t xml:space="preserve"> D.L. n. 78/2010 ha previsto limiti significativi alle spese delle pubbliche amministrazioni per il personale temporaneo o con rapporto di lavoro flessibile, cui devono adeguarsi anche gli enti locali. Esso prevede</w:t>
      </w:r>
      <w:r w:rsidR="001966EF" w:rsidRPr="00515872">
        <w:rPr>
          <w:rFonts w:cs="Tahoma"/>
          <w:color w:val="000000"/>
        </w:rPr>
        <w:t xml:space="preserve"> a decorrere dall’anno 2011</w:t>
      </w:r>
      <w:r w:rsidR="002676CB" w:rsidRPr="00515872">
        <w:rPr>
          <w:rFonts w:cs="Tahoma"/>
          <w:color w:val="000000"/>
        </w:rPr>
        <w:t xml:space="preserve"> un generalizzato obbligo di contenimento delle spese per forme di lavoro flessibile nel limite del 50% di quelle sostenute nell’anno 2009 con possibilità di deroga per</w:t>
      </w:r>
      <w:r w:rsidR="001966EF" w:rsidRPr="00515872">
        <w:rPr>
          <w:rFonts w:cs="Tahoma"/>
          <w:color w:val="000000"/>
        </w:rPr>
        <w:t xml:space="preserve"> </w:t>
      </w:r>
      <w:r w:rsidR="009518AF" w:rsidRPr="00515872">
        <w:rPr>
          <w:rFonts w:cs="Tahoma"/>
          <w:color w:val="000000"/>
        </w:rPr>
        <w:t>gli enti in regola con l’obbligo di riduzione della spesa del personale di cui ai cc. 557 e 562 dell’art. 1</w:t>
      </w:r>
      <w:r w:rsidRPr="00515872">
        <w:rPr>
          <w:rFonts w:cs="Tahoma"/>
          <w:color w:val="000000"/>
        </w:rPr>
        <w:t>,</w:t>
      </w:r>
      <w:r w:rsidR="009518AF" w:rsidRPr="00515872">
        <w:rPr>
          <w:rFonts w:cs="Tahoma"/>
          <w:color w:val="000000"/>
        </w:rPr>
        <w:t xml:space="preserve"> L. n.296/2006</w:t>
      </w:r>
      <w:r w:rsidR="002676CB" w:rsidRPr="00515872">
        <w:rPr>
          <w:rFonts w:cs="Tahoma"/>
          <w:color w:val="000000"/>
        </w:rPr>
        <w:t>, che</w:t>
      </w:r>
      <w:r w:rsidRPr="00515872">
        <w:rPr>
          <w:rFonts w:cs="Tahoma"/>
          <w:color w:val="000000"/>
        </w:rPr>
        <w:t xml:space="preserve"> posso</w:t>
      </w:r>
      <w:r w:rsidR="009518AF" w:rsidRPr="00515872">
        <w:rPr>
          <w:rFonts w:cs="Tahoma"/>
          <w:color w:val="000000"/>
        </w:rPr>
        <w:t xml:space="preserve">no ricorrere </w:t>
      </w:r>
      <w:r w:rsidR="002676CB" w:rsidRPr="00515872">
        <w:rPr>
          <w:rFonts w:cs="Tahoma"/>
          <w:color w:val="000000"/>
        </w:rPr>
        <w:t xml:space="preserve">a dette </w:t>
      </w:r>
      <w:r w:rsidR="009518AF" w:rsidRPr="00515872">
        <w:rPr>
          <w:rFonts w:cs="Tahoma"/>
          <w:color w:val="000000"/>
        </w:rPr>
        <w:t>forme di lavoro</w:t>
      </w:r>
      <w:r w:rsidR="002676CB" w:rsidRPr="00515872">
        <w:rPr>
          <w:rFonts w:cs="Tahoma"/>
          <w:color w:val="000000"/>
        </w:rPr>
        <w:t xml:space="preserve"> en</w:t>
      </w:r>
      <w:r w:rsidR="009518AF" w:rsidRPr="00515872">
        <w:rPr>
          <w:rFonts w:cs="Tahoma"/>
          <w:color w:val="000000"/>
        </w:rPr>
        <w:t>tro il limite della spesa sostenuta per le stesse finalità nell'anno 2009 ovvero, in caso di mancanza di spesa in tale anno, di quella concernente l</w:t>
      </w:r>
      <w:r w:rsidR="009C03EB" w:rsidRPr="00515872">
        <w:rPr>
          <w:rFonts w:cs="Tahoma"/>
          <w:color w:val="000000"/>
        </w:rPr>
        <w:t>a media del triennio 2007-2009.</w:t>
      </w:r>
    </w:p>
    <w:p w14:paraId="150C2599" w14:textId="77777777" w:rsidR="009C03EB" w:rsidRPr="00515872" w:rsidRDefault="0010443A" w:rsidP="00F9239C">
      <w:pPr>
        <w:autoSpaceDE w:val="0"/>
        <w:autoSpaceDN w:val="0"/>
        <w:adjustRightInd w:val="0"/>
        <w:spacing w:after="0" w:line="360" w:lineRule="auto"/>
        <w:jc w:val="both"/>
        <w:rPr>
          <w:rFonts w:cs="Tahoma"/>
          <w:color w:val="242021"/>
          <w:szCs w:val="20"/>
        </w:rPr>
      </w:pPr>
      <w:r w:rsidRPr="00515872">
        <w:rPr>
          <w:rFonts w:cs="Tahoma"/>
          <w:color w:val="242021"/>
          <w:szCs w:val="20"/>
        </w:rPr>
        <w:t>L’art. 1,</w:t>
      </w:r>
      <w:r w:rsidR="009C03EB" w:rsidRPr="00515872">
        <w:rPr>
          <w:rFonts w:cs="Tahoma"/>
          <w:color w:val="242021"/>
          <w:szCs w:val="20"/>
        </w:rPr>
        <w:t xml:space="preserve"> c</w:t>
      </w:r>
      <w:r w:rsidRPr="00515872">
        <w:rPr>
          <w:rFonts w:cs="Tahoma"/>
          <w:color w:val="242021"/>
          <w:szCs w:val="20"/>
        </w:rPr>
        <w:t>.</w:t>
      </w:r>
      <w:r w:rsidR="009C03EB" w:rsidRPr="00515872">
        <w:rPr>
          <w:rFonts w:cs="Tahoma"/>
          <w:color w:val="242021"/>
          <w:szCs w:val="20"/>
        </w:rPr>
        <w:t xml:space="preserve"> 562</w:t>
      </w:r>
      <w:r w:rsidRPr="00515872">
        <w:rPr>
          <w:rFonts w:cs="Tahoma"/>
          <w:color w:val="242021"/>
          <w:szCs w:val="20"/>
        </w:rPr>
        <w:t>, L. 30 dicembre 2021, n. 234 ha</w:t>
      </w:r>
      <w:r w:rsidR="009C03EB" w:rsidRPr="00515872">
        <w:rPr>
          <w:rFonts w:cs="Tahoma"/>
          <w:color w:val="242021"/>
          <w:szCs w:val="20"/>
        </w:rPr>
        <w:t xml:space="preserve"> abrogato il c. 847 dell’art. 1, L n</w:t>
      </w:r>
      <w:r w:rsidRPr="00515872">
        <w:rPr>
          <w:rFonts w:cs="Tahoma"/>
          <w:color w:val="242021"/>
          <w:szCs w:val="20"/>
        </w:rPr>
        <w:t>. 205/2017 in base al quale le province delle regioni a s</w:t>
      </w:r>
      <w:r w:rsidR="009C03EB" w:rsidRPr="00515872">
        <w:rPr>
          <w:rFonts w:cs="Tahoma"/>
          <w:color w:val="242021"/>
          <w:szCs w:val="20"/>
        </w:rPr>
        <w:t>tatuto ordinario po</w:t>
      </w:r>
      <w:r w:rsidRPr="00515872">
        <w:rPr>
          <w:rFonts w:cs="Tahoma"/>
          <w:color w:val="242021"/>
          <w:szCs w:val="20"/>
        </w:rPr>
        <w:t>tevano</w:t>
      </w:r>
      <w:r w:rsidR="009C03EB" w:rsidRPr="00515872">
        <w:rPr>
          <w:rFonts w:cs="Tahoma"/>
          <w:color w:val="242021"/>
          <w:szCs w:val="20"/>
        </w:rPr>
        <w:t xml:space="preserve"> avvalersi di personale con rapporto di lavoro flessibile nel limite del 25% della spesa sostenuta per le stesse finalità nell’anno 2009, nonché la disposizione del secondo periodo dell’art. 33, c. 1-</w:t>
      </w:r>
      <w:r w:rsidR="009C03EB" w:rsidRPr="00515872">
        <w:rPr>
          <w:rFonts w:cs="Tahoma"/>
          <w:iCs/>
          <w:color w:val="242021"/>
          <w:szCs w:val="20"/>
        </w:rPr>
        <w:t>ter</w:t>
      </w:r>
      <w:r w:rsidRPr="00515872">
        <w:rPr>
          <w:rFonts w:cs="Tahoma"/>
          <w:iCs/>
          <w:color w:val="242021"/>
          <w:szCs w:val="20"/>
        </w:rPr>
        <w:t>,</w:t>
      </w:r>
      <w:r w:rsidR="009C03EB" w:rsidRPr="00515872">
        <w:rPr>
          <w:rFonts w:cs="Tahoma"/>
          <w:color w:val="242021"/>
          <w:szCs w:val="20"/>
        </w:rPr>
        <w:t xml:space="preserve"> D</w:t>
      </w:r>
      <w:r w:rsidRPr="00515872">
        <w:rPr>
          <w:rFonts w:cs="Tahoma"/>
          <w:color w:val="242021"/>
          <w:szCs w:val="20"/>
        </w:rPr>
        <w:t>.L.</w:t>
      </w:r>
      <w:r w:rsidR="009C03EB" w:rsidRPr="00515872">
        <w:rPr>
          <w:rFonts w:cs="Tahoma"/>
          <w:color w:val="242021"/>
          <w:szCs w:val="20"/>
        </w:rPr>
        <w:t xml:space="preserve"> n. 34/2019, </w:t>
      </w:r>
      <w:r w:rsidRPr="00515872">
        <w:rPr>
          <w:rFonts w:cs="Tahoma"/>
          <w:color w:val="242021"/>
          <w:szCs w:val="20"/>
        </w:rPr>
        <w:t>che consentiva alle</w:t>
      </w:r>
      <w:r w:rsidR="009C03EB" w:rsidRPr="00515872">
        <w:rPr>
          <w:rFonts w:cs="Tahoma"/>
          <w:color w:val="242021"/>
          <w:szCs w:val="20"/>
        </w:rPr>
        <w:t xml:space="preserve"> </w:t>
      </w:r>
      <w:r w:rsidRPr="00515872">
        <w:rPr>
          <w:rFonts w:cs="Tahoma"/>
          <w:color w:val="242021"/>
          <w:szCs w:val="20"/>
        </w:rPr>
        <w:t>p</w:t>
      </w:r>
      <w:r w:rsidR="009C03EB" w:rsidRPr="00515872">
        <w:rPr>
          <w:rFonts w:cs="Tahoma"/>
          <w:color w:val="242021"/>
          <w:szCs w:val="20"/>
        </w:rPr>
        <w:t xml:space="preserve">rovince </w:t>
      </w:r>
      <w:r w:rsidRPr="00515872">
        <w:rPr>
          <w:rFonts w:cs="Tahoma"/>
          <w:color w:val="242021"/>
          <w:szCs w:val="20"/>
        </w:rPr>
        <w:t>di</w:t>
      </w:r>
      <w:r w:rsidR="009C03EB" w:rsidRPr="00515872">
        <w:rPr>
          <w:rFonts w:cs="Tahoma"/>
          <w:color w:val="242021"/>
          <w:szCs w:val="20"/>
        </w:rPr>
        <w:t xml:space="preserve"> avvalersi di personale a tempo determinato nel limite del 50% della spesa sostenuta per le stesse finalità nell’anno 2009. La disposizione in commento prescrive inoltre che la spesa</w:t>
      </w:r>
      <w:r w:rsidRPr="00515872">
        <w:rPr>
          <w:rFonts w:cs="Tahoma"/>
          <w:color w:val="242021"/>
          <w:szCs w:val="20"/>
        </w:rPr>
        <w:t xml:space="preserve"> di personale effettuata dalle p</w:t>
      </w:r>
      <w:r w:rsidR="009C03EB" w:rsidRPr="00515872">
        <w:rPr>
          <w:rFonts w:cs="Tahoma"/>
          <w:color w:val="242021"/>
          <w:szCs w:val="20"/>
        </w:rPr>
        <w:t xml:space="preserve">rovince e dalle </w:t>
      </w:r>
      <w:r w:rsidRPr="00515872">
        <w:rPr>
          <w:rFonts w:cs="Tahoma"/>
          <w:color w:val="242021"/>
          <w:szCs w:val="20"/>
        </w:rPr>
        <w:t>c</w:t>
      </w:r>
      <w:r w:rsidR="009C03EB" w:rsidRPr="00515872">
        <w:rPr>
          <w:rFonts w:cs="Tahoma"/>
          <w:color w:val="242021"/>
          <w:szCs w:val="20"/>
        </w:rPr>
        <w:t xml:space="preserve">ittà metropolitane per le assunzioni a tempo determinato per l’attuazione dei progetti previsti nel </w:t>
      </w:r>
      <w:r w:rsidRPr="00515872">
        <w:rPr>
          <w:rFonts w:cs="Tahoma"/>
          <w:color w:val="242021"/>
          <w:szCs w:val="20"/>
        </w:rPr>
        <w:t>P</w:t>
      </w:r>
      <w:r w:rsidR="009C03EB" w:rsidRPr="00515872">
        <w:rPr>
          <w:rFonts w:cs="Tahoma"/>
          <w:color w:val="242021"/>
          <w:szCs w:val="20"/>
        </w:rPr>
        <w:t>NRR</w:t>
      </w:r>
      <w:r w:rsidRPr="00515872">
        <w:rPr>
          <w:rFonts w:cs="Tahoma"/>
          <w:color w:val="242021"/>
          <w:szCs w:val="20"/>
        </w:rPr>
        <w:t xml:space="preserve"> (Piano Nazionale di Ripresa e Resilienza)</w:t>
      </w:r>
      <w:r w:rsidR="009C03EB" w:rsidRPr="00515872">
        <w:rPr>
          <w:rFonts w:cs="Tahoma"/>
          <w:color w:val="242021"/>
          <w:szCs w:val="20"/>
        </w:rPr>
        <w:t>, a valere sulle maggiori risorse finanziarie derivanti dall’applicazione delle suddette abrogazioni:</w:t>
      </w:r>
    </w:p>
    <w:p w14:paraId="0E0B0985" w14:textId="77777777" w:rsidR="009C03EB" w:rsidRPr="00515872" w:rsidRDefault="009C03EB" w:rsidP="009C03EB">
      <w:pPr>
        <w:pStyle w:val="Paragrafoelenco"/>
        <w:numPr>
          <w:ilvl w:val="0"/>
          <w:numId w:val="231"/>
        </w:numPr>
        <w:autoSpaceDE w:val="0"/>
        <w:autoSpaceDN w:val="0"/>
        <w:adjustRightInd w:val="0"/>
        <w:spacing w:line="360" w:lineRule="auto"/>
        <w:ind w:left="284" w:hanging="284"/>
        <w:jc w:val="both"/>
        <w:rPr>
          <w:rFonts w:cs="Tahoma"/>
          <w:color w:val="000000"/>
          <w:szCs w:val="20"/>
        </w:rPr>
      </w:pPr>
      <w:r w:rsidRPr="00515872">
        <w:rPr>
          <w:rFonts w:cs="Tahoma"/>
          <w:color w:val="242021"/>
          <w:szCs w:val="20"/>
        </w:rPr>
        <w:t>non rilevi ai fini del valore</w:t>
      </w:r>
      <w:r w:rsidR="00F9239C" w:rsidRPr="00515872">
        <w:rPr>
          <w:rFonts w:cs="Tahoma"/>
          <w:color w:val="242021"/>
          <w:szCs w:val="20"/>
        </w:rPr>
        <w:t xml:space="preserve"> </w:t>
      </w:r>
      <w:r w:rsidRPr="00515872">
        <w:rPr>
          <w:rFonts w:cs="Tahoma"/>
          <w:color w:val="242021"/>
          <w:szCs w:val="20"/>
        </w:rPr>
        <w:t>soglia di cui all’art. 33, c. 1-</w:t>
      </w:r>
      <w:r w:rsidRPr="00515872">
        <w:rPr>
          <w:rFonts w:cs="Tahoma"/>
          <w:iCs/>
          <w:color w:val="242021"/>
          <w:szCs w:val="20"/>
        </w:rPr>
        <w:t>bis</w:t>
      </w:r>
      <w:r w:rsidR="00F9239C" w:rsidRPr="00515872">
        <w:rPr>
          <w:rFonts w:cs="Tahoma"/>
          <w:iCs/>
          <w:color w:val="242021"/>
          <w:szCs w:val="20"/>
        </w:rPr>
        <w:t>, D.L. n.</w:t>
      </w:r>
      <w:r w:rsidRPr="00515872">
        <w:rPr>
          <w:rFonts w:cs="Tahoma"/>
          <w:color w:val="242021"/>
          <w:szCs w:val="20"/>
        </w:rPr>
        <w:t xml:space="preserve"> 34/2019, per le assunzioni di personale a tempo indeterminato;</w:t>
      </w:r>
    </w:p>
    <w:p w14:paraId="5878E9DD" w14:textId="77777777" w:rsidR="009C03EB" w:rsidRPr="00515872" w:rsidRDefault="009C03EB" w:rsidP="009C03EB">
      <w:pPr>
        <w:pStyle w:val="Paragrafoelenco"/>
        <w:numPr>
          <w:ilvl w:val="0"/>
          <w:numId w:val="231"/>
        </w:numPr>
        <w:autoSpaceDE w:val="0"/>
        <w:autoSpaceDN w:val="0"/>
        <w:adjustRightInd w:val="0"/>
        <w:spacing w:line="360" w:lineRule="auto"/>
        <w:ind w:left="284" w:hanging="284"/>
        <w:jc w:val="both"/>
        <w:rPr>
          <w:rFonts w:cs="Tahoma"/>
          <w:color w:val="000000"/>
          <w:szCs w:val="20"/>
        </w:rPr>
      </w:pPr>
      <w:r w:rsidRPr="00515872">
        <w:rPr>
          <w:rFonts w:cs="Tahoma"/>
          <w:color w:val="242021"/>
          <w:szCs w:val="20"/>
        </w:rPr>
        <w:t>non rilevi ai fini del rispetto del limite di spesa di personale di cui all’art. 1, c. 557 e 562, L. n. 296/2006.</w:t>
      </w:r>
    </w:p>
    <w:p w14:paraId="31B0A61E" w14:textId="77777777" w:rsidR="009C03EB" w:rsidRPr="00515872" w:rsidRDefault="009C03EB" w:rsidP="00F9239C">
      <w:pPr>
        <w:autoSpaceDE w:val="0"/>
        <w:autoSpaceDN w:val="0"/>
        <w:adjustRightInd w:val="0"/>
        <w:spacing w:line="360" w:lineRule="auto"/>
        <w:jc w:val="both"/>
        <w:rPr>
          <w:rFonts w:cs="Tahoma"/>
          <w:color w:val="000000"/>
          <w:szCs w:val="20"/>
        </w:rPr>
      </w:pPr>
      <w:r w:rsidRPr="00515872">
        <w:rPr>
          <w:rFonts w:cs="Tahoma"/>
          <w:color w:val="242021"/>
          <w:szCs w:val="20"/>
        </w:rPr>
        <w:t>Le assunzioni effettuate per le finalità del PNRR sono comunque subordinate all’</w:t>
      </w:r>
      <w:r w:rsidRPr="00515872">
        <w:rPr>
          <w:rFonts w:cs="Tahoma"/>
          <w:b/>
          <w:color w:val="242021"/>
          <w:szCs w:val="20"/>
        </w:rPr>
        <w:t>asseverazione, da parte dell’organo di revisione contabile</w:t>
      </w:r>
      <w:r w:rsidRPr="00515872">
        <w:rPr>
          <w:rFonts w:cs="Tahoma"/>
          <w:color w:val="242021"/>
          <w:szCs w:val="20"/>
        </w:rPr>
        <w:t>, del rispetto pluriennale degli equilibri di bilancio.</w:t>
      </w:r>
    </w:p>
    <w:p w14:paraId="60E196C7"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t>Studi e incarichi di consulenza</w:t>
      </w:r>
    </w:p>
    <w:p w14:paraId="49622DE1"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color w:val="000000"/>
          <w:szCs w:val="20"/>
        </w:rPr>
        <w:t>L’art. 14, c. 1, D.L. n. 66/2014 sancisce che le spese previste per studi e consulenze non possono superare le seguenti percentuali della spesa di personale risultante dal conto annuale del 2012:</w:t>
      </w:r>
    </w:p>
    <w:p w14:paraId="5686E58E" w14:textId="77777777" w:rsidR="009518AF" w:rsidRPr="00515872" w:rsidRDefault="009518AF" w:rsidP="00D65838">
      <w:pPr>
        <w:pStyle w:val="Paragrafoelenco"/>
        <w:numPr>
          <w:ilvl w:val="0"/>
          <w:numId w:val="156"/>
        </w:numPr>
        <w:autoSpaceDE w:val="0"/>
        <w:autoSpaceDN w:val="0"/>
        <w:adjustRightInd w:val="0"/>
        <w:spacing w:line="360" w:lineRule="auto"/>
        <w:jc w:val="both"/>
        <w:rPr>
          <w:rFonts w:cs="Tahoma"/>
          <w:color w:val="000000"/>
          <w:szCs w:val="20"/>
        </w:rPr>
      </w:pPr>
      <w:r w:rsidRPr="00515872">
        <w:rPr>
          <w:rFonts w:cs="Tahoma"/>
          <w:color w:val="000000"/>
          <w:szCs w:val="20"/>
        </w:rPr>
        <w:t xml:space="preserve">4,2% per le amministrazioni con spesa di personale pari o inferiore a 5 milioni di euro; </w:t>
      </w:r>
    </w:p>
    <w:p w14:paraId="10216A1B" w14:textId="77777777" w:rsidR="009518AF" w:rsidRPr="00515872" w:rsidRDefault="009518AF" w:rsidP="00D65838">
      <w:pPr>
        <w:pStyle w:val="Paragrafoelenco"/>
        <w:numPr>
          <w:ilvl w:val="0"/>
          <w:numId w:val="156"/>
        </w:numPr>
        <w:autoSpaceDE w:val="0"/>
        <w:autoSpaceDN w:val="0"/>
        <w:adjustRightInd w:val="0"/>
        <w:spacing w:line="360" w:lineRule="auto"/>
        <w:jc w:val="both"/>
        <w:rPr>
          <w:rFonts w:cs="Tahoma"/>
          <w:color w:val="000000"/>
          <w:szCs w:val="20"/>
        </w:rPr>
      </w:pPr>
      <w:r w:rsidRPr="00515872">
        <w:rPr>
          <w:rFonts w:cs="Tahoma"/>
          <w:color w:val="000000"/>
          <w:szCs w:val="20"/>
        </w:rPr>
        <w:t>1,4% per le amministrazioni con spesa di personale superiore a 5 milioni di euro.</w:t>
      </w:r>
    </w:p>
    <w:p w14:paraId="6CF04866" w14:textId="77777777" w:rsidR="009518AF" w:rsidRPr="00515872" w:rsidRDefault="009518AF" w:rsidP="009518AF">
      <w:pPr>
        <w:autoSpaceDE w:val="0"/>
        <w:autoSpaceDN w:val="0"/>
        <w:adjustRightInd w:val="0"/>
        <w:spacing w:line="360" w:lineRule="auto"/>
        <w:jc w:val="both"/>
        <w:rPr>
          <w:rFonts w:cs="Tahoma"/>
          <w:color w:val="000000"/>
        </w:rPr>
      </w:pPr>
      <w:r w:rsidRPr="00515872">
        <w:rPr>
          <w:rFonts w:cs="Tahoma"/>
          <w:color w:val="000000"/>
        </w:rPr>
        <w:lastRenderedPageBreak/>
        <w:t>La Corte Costituzionale con sentenza 10 febbraio - 3 marzo 2016, n. 43 ha dichiarato l'illegittimità costituzionale dell'art. 14, c. 1, sopra citato, nella parte in cui si applica “</w:t>
      </w:r>
      <w:r w:rsidRPr="00515872">
        <w:rPr>
          <w:rFonts w:cs="Tahoma"/>
          <w:i/>
          <w:color w:val="000000"/>
        </w:rPr>
        <w:t>a decorrere dall'anno 2014</w:t>
      </w:r>
      <w:r w:rsidRPr="00515872">
        <w:rPr>
          <w:rFonts w:cs="Tahoma"/>
          <w:color w:val="000000"/>
        </w:rPr>
        <w:t>”, anziché “</w:t>
      </w:r>
      <w:r w:rsidRPr="00515872">
        <w:rPr>
          <w:rFonts w:cs="Tahoma"/>
          <w:i/>
          <w:color w:val="000000"/>
        </w:rPr>
        <w:t>negli anni 2014, 2015 e 2016</w:t>
      </w:r>
      <w:r w:rsidRPr="00515872">
        <w:rPr>
          <w:rFonts w:cs="Tahoma"/>
          <w:color w:val="000000"/>
        </w:rPr>
        <w:t>".</w:t>
      </w:r>
    </w:p>
    <w:p w14:paraId="591672E7" w14:textId="77777777" w:rsidR="00C75ED0" w:rsidRPr="00515872" w:rsidRDefault="00C75ED0" w:rsidP="009518AF">
      <w:pPr>
        <w:autoSpaceDE w:val="0"/>
        <w:autoSpaceDN w:val="0"/>
        <w:adjustRightInd w:val="0"/>
        <w:spacing w:line="360" w:lineRule="auto"/>
        <w:jc w:val="both"/>
        <w:rPr>
          <w:rFonts w:cs="Tahoma"/>
          <w:color w:val="000000"/>
          <w:szCs w:val="20"/>
        </w:rPr>
      </w:pPr>
      <w:r w:rsidRPr="00515872">
        <w:rPr>
          <w:rFonts w:cs="Tahoma"/>
          <w:color w:val="000000"/>
          <w:szCs w:val="20"/>
        </w:rPr>
        <w:t>A norma dell’art. 6, c. 7, D.L. 31 maggio 2010, n. 78, dal 1° gennaio 2011, al fine di valorizzare le professionalità interne, la spesa annua per studi e incarichi di consulenza, inclusa quella relativa a studi e consulenze conferite a pubblici dipendenti e quella per studi e consulenze connesse a processi di privatizzazione e alla regolamentazione del settore finanziario, non poteva essere superiore al 20% di quella sostenuta nel 2009. Nel caso la spesa per l’anno 2009 fosse pari a zero, il limite andava individuato in quello della spesa strettamente necessaria che l’ente locale avesse sostenuto nell’anno in cui si verificava l’assoluta necessità di conferire un incarico di consulenza o di studio. Quest’ultimo limite di spesa, a sua volta, diventava il parametro di riferimento per gli anni successivi (SRC Lombardia n. 227/2011/PAR). La Corte dei Conti a sezioni riunite in sede di controllo, con delibera n. 7/CONTR/11 del 7 febbraio 2011, aveva precisato l’esclusione dalla riduzione delle spese per studi e consulenze finanziate da soggetti pubblici o privati. La limitazione in parola è stata abrogata, a decorrere dal 2020, dall’art. 57, c.2 lett. b), D.L. 26 ottobre 2019, n. 124.</w:t>
      </w:r>
    </w:p>
    <w:p w14:paraId="4D42FFE1" w14:textId="77777777" w:rsidR="0083694F" w:rsidRPr="00515872" w:rsidRDefault="0083694F" w:rsidP="009518AF">
      <w:pPr>
        <w:autoSpaceDE w:val="0"/>
        <w:autoSpaceDN w:val="0"/>
        <w:adjustRightInd w:val="0"/>
        <w:spacing w:line="360" w:lineRule="auto"/>
        <w:jc w:val="both"/>
        <w:rPr>
          <w:rFonts w:cs="Tahoma"/>
          <w:color w:val="000000"/>
          <w:shd w:val="clear" w:color="auto" w:fill="F9F8F4"/>
        </w:rPr>
      </w:pPr>
      <w:r w:rsidRPr="00515872">
        <w:rPr>
          <w:rFonts w:cs="Tahoma"/>
        </w:rPr>
        <w:t>L’art. 1, c. 995, L. 30 dicembre 2021, n. 234 prevede che le pubbliche amministrazioni coinvolte a vario titolo nelle attività di coordinamento, gestione, attuazione, monitoraggio e controllo del P</w:t>
      </w:r>
      <w:r w:rsidR="0036344A" w:rsidRPr="00515872">
        <w:rPr>
          <w:rFonts w:cs="Tahoma"/>
        </w:rPr>
        <w:t>NNR</w:t>
      </w:r>
      <w:r w:rsidRPr="00515872">
        <w:rPr>
          <w:rFonts w:cs="Tahoma"/>
        </w:rPr>
        <w:t xml:space="preserve"> possono prorogare, per una sola volta, i contratti di consulenza e collaborazione, di cui all'art. 7, c. 6, </w:t>
      </w:r>
      <w:proofErr w:type="spellStart"/>
      <w:r w:rsidRPr="00515872">
        <w:rPr>
          <w:rFonts w:cs="Tahoma"/>
        </w:rPr>
        <w:t>D.Lgs.</w:t>
      </w:r>
      <w:proofErr w:type="spellEnd"/>
      <w:r w:rsidRPr="00515872">
        <w:rPr>
          <w:rFonts w:cs="Tahoma"/>
        </w:rPr>
        <w:t xml:space="preserve"> 30 </w:t>
      </w:r>
      <w:r w:rsidR="0036344A" w:rsidRPr="00515872">
        <w:rPr>
          <w:rFonts w:cs="Tahoma"/>
        </w:rPr>
        <w:t>m</w:t>
      </w:r>
      <w:r w:rsidRPr="00515872">
        <w:rPr>
          <w:rFonts w:cs="Tahoma"/>
        </w:rPr>
        <w:t>arzo 2001, n. 165 e all'art. 110, c. 6 del TUEL, con soggetti fisici esterni alla pubblica amministrazione fino al 31 dicembre 2026, nei limiti delle risorse finanziarie già destinate per tali attività nei propri bilanci, sulla base della legislazione vigente.</w:t>
      </w:r>
    </w:p>
    <w:p w14:paraId="1E5F2D29" w14:textId="77777777" w:rsidR="009518AF" w:rsidRPr="00515872" w:rsidRDefault="009518AF" w:rsidP="009518AF">
      <w:pPr>
        <w:autoSpaceDE w:val="0"/>
        <w:autoSpaceDN w:val="0"/>
        <w:adjustRightInd w:val="0"/>
        <w:spacing w:after="0" w:line="360" w:lineRule="auto"/>
        <w:jc w:val="both"/>
        <w:rPr>
          <w:rFonts w:cs="Tahoma"/>
          <w:b/>
          <w:color w:val="000000"/>
          <w:shd w:val="clear" w:color="auto" w:fill="F9F8F4"/>
        </w:rPr>
      </w:pPr>
      <w:r w:rsidRPr="00515872">
        <w:rPr>
          <w:rFonts w:cs="Tahoma"/>
          <w:b/>
          <w:color w:val="000000"/>
        </w:rPr>
        <w:t>Collaborazioni coordinate e continuative</w:t>
      </w:r>
    </w:p>
    <w:p w14:paraId="4454503E" w14:textId="77777777" w:rsidR="009518AF" w:rsidRPr="00515872" w:rsidRDefault="009518AF" w:rsidP="0036344A">
      <w:pPr>
        <w:autoSpaceDE w:val="0"/>
        <w:autoSpaceDN w:val="0"/>
        <w:adjustRightInd w:val="0"/>
        <w:spacing w:after="0" w:line="360" w:lineRule="auto"/>
        <w:jc w:val="both"/>
        <w:rPr>
          <w:rFonts w:cs="Tahoma"/>
          <w:color w:val="000000"/>
          <w:shd w:val="clear" w:color="auto" w:fill="F9F8F4"/>
        </w:rPr>
      </w:pPr>
      <w:r w:rsidRPr="00515872">
        <w:rPr>
          <w:rFonts w:cs="Tahoma"/>
          <w:color w:val="000000"/>
        </w:rPr>
        <w:t>In base all’art. 14, c. 2</w:t>
      </w:r>
      <w:r w:rsidR="0036344A" w:rsidRPr="00515872">
        <w:rPr>
          <w:rFonts w:cs="Tahoma"/>
          <w:color w:val="000000"/>
        </w:rPr>
        <w:t>,</w:t>
      </w:r>
      <w:r w:rsidRPr="00515872">
        <w:rPr>
          <w:rFonts w:cs="Tahoma"/>
          <w:color w:val="000000"/>
        </w:rPr>
        <w:t xml:space="preserve"> D.L. </w:t>
      </w:r>
      <w:r w:rsidRPr="00515872">
        <w:rPr>
          <w:rFonts w:cs="Tahoma"/>
          <w:color w:val="000000"/>
          <w:szCs w:val="20"/>
        </w:rPr>
        <w:t>n. 66/2014</w:t>
      </w:r>
      <w:r w:rsidRPr="00515872">
        <w:rPr>
          <w:rFonts w:cs="Tahoma"/>
          <w:color w:val="000000"/>
        </w:rPr>
        <w:t xml:space="preserve"> gli enti locali non possono stipulare contratti di collaborazione coordinata e continuativa quando la spesa complessiva per tali contratti è superiore</w:t>
      </w:r>
      <w:r w:rsidR="00D87D9F" w:rsidRPr="00515872">
        <w:rPr>
          <w:rFonts w:cs="Tahoma"/>
          <w:color w:val="000000"/>
        </w:rPr>
        <w:t>,</w:t>
      </w:r>
      <w:r w:rsidRPr="00515872">
        <w:rPr>
          <w:rFonts w:cs="Tahoma"/>
          <w:color w:val="000000"/>
        </w:rPr>
        <w:t xml:space="preserve"> rispetto alla spesa del personale dell'amministrazione che conferisce l'incarico come risultante dal conto annuale del 2012</w:t>
      </w:r>
      <w:r w:rsidR="00D87D9F" w:rsidRPr="00515872">
        <w:rPr>
          <w:rFonts w:cs="Tahoma"/>
          <w:color w:val="000000"/>
        </w:rPr>
        <w:t xml:space="preserve"> alle seguenti percentuali</w:t>
      </w:r>
      <w:r w:rsidRPr="00515872">
        <w:rPr>
          <w:rFonts w:cs="Tahoma"/>
          <w:color w:val="000000"/>
        </w:rPr>
        <w:t>:</w:t>
      </w:r>
    </w:p>
    <w:p w14:paraId="719725E6" w14:textId="77777777" w:rsidR="009518AF" w:rsidRPr="00515872" w:rsidRDefault="009518AF" w:rsidP="0036344A">
      <w:pPr>
        <w:pStyle w:val="Paragrafoelenco"/>
        <w:numPr>
          <w:ilvl w:val="0"/>
          <w:numId w:val="183"/>
        </w:numPr>
        <w:autoSpaceDE w:val="0"/>
        <w:autoSpaceDN w:val="0"/>
        <w:adjustRightInd w:val="0"/>
        <w:spacing w:line="360" w:lineRule="auto"/>
        <w:ind w:left="284" w:hanging="284"/>
        <w:jc w:val="both"/>
        <w:rPr>
          <w:rFonts w:cs="Tahoma"/>
          <w:color w:val="000000"/>
          <w:szCs w:val="20"/>
        </w:rPr>
      </w:pPr>
      <w:r w:rsidRPr="00515872">
        <w:rPr>
          <w:rFonts w:cs="Tahoma"/>
          <w:color w:val="000000"/>
        </w:rPr>
        <w:t>4,5% per le amministrazioni con spesa di personale pari o inferiore a 5 milioni di euro;</w:t>
      </w:r>
    </w:p>
    <w:p w14:paraId="4E95DE6B" w14:textId="77777777" w:rsidR="009518AF" w:rsidRPr="00515872" w:rsidRDefault="009518AF" w:rsidP="0036344A">
      <w:pPr>
        <w:pStyle w:val="Paragrafoelenco"/>
        <w:numPr>
          <w:ilvl w:val="0"/>
          <w:numId w:val="183"/>
        </w:numPr>
        <w:autoSpaceDE w:val="0"/>
        <w:autoSpaceDN w:val="0"/>
        <w:adjustRightInd w:val="0"/>
        <w:spacing w:line="360" w:lineRule="auto"/>
        <w:ind w:left="284" w:hanging="284"/>
        <w:jc w:val="both"/>
        <w:rPr>
          <w:rFonts w:cs="Tahoma"/>
          <w:color w:val="000000"/>
          <w:szCs w:val="20"/>
        </w:rPr>
      </w:pPr>
      <w:r w:rsidRPr="00515872">
        <w:rPr>
          <w:rFonts w:cs="Tahoma"/>
          <w:color w:val="000000"/>
        </w:rPr>
        <w:t>1,1% per le amministrazioni con spesa di personale superiore a 5 milioni di euro.</w:t>
      </w:r>
    </w:p>
    <w:p w14:paraId="66827E11" w14:textId="77777777" w:rsidR="009518AF" w:rsidRPr="00515872" w:rsidRDefault="009518AF" w:rsidP="009518AF">
      <w:pPr>
        <w:autoSpaceDE w:val="0"/>
        <w:autoSpaceDN w:val="0"/>
        <w:adjustRightInd w:val="0"/>
        <w:spacing w:line="360" w:lineRule="auto"/>
        <w:jc w:val="both"/>
        <w:rPr>
          <w:rFonts w:cs="Tahoma"/>
          <w:color w:val="000000"/>
          <w:shd w:val="clear" w:color="auto" w:fill="F9F8F4"/>
        </w:rPr>
      </w:pPr>
      <w:r w:rsidRPr="00515872">
        <w:rPr>
          <w:rFonts w:cs="Tahoma"/>
          <w:color w:val="000000"/>
          <w:szCs w:val="20"/>
        </w:rPr>
        <w:t>Anche in questo caso l</w:t>
      </w:r>
      <w:r w:rsidRPr="00515872">
        <w:rPr>
          <w:rFonts w:cs="Tahoma"/>
          <w:color w:val="000000"/>
        </w:rPr>
        <w:t>a Corte Costituzionale con sentenza 10 febbraio - 3 marzo 2016, n. 43 ha dichiarato</w:t>
      </w:r>
      <w:r w:rsidRPr="00515872">
        <w:rPr>
          <w:rFonts w:cs="Tahoma"/>
          <w:color w:val="000000"/>
          <w:shd w:val="clear" w:color="auto" w:fill="F9F8F4"/>
        </w:rPr>
        <w:t xml:space="preserve"> </w:t>
      </w:r>
      <w:r w:rsidRPr="00515872">
        <w:rPr>
          <w:rFonts w:cs="Tahoma"/>
          <w:color w:val="000000"/>
        </w:rPr>
        <w:t>l'illegittimità costituzionale dell'art. 14, c. 2, sopra citato, nella parte in cui si applica “</w:t>
      </w:r>
      <w:r w:rsidRPr="00515872">
        <w:rPr>
          <w:rFonts w:cs="Tahoma"/>
          <w:i/>
          <w:color w:val="000000"/>
        </w:rPr>
        <w:t>a decorrere dall'anno</w:t>
      </w:r>
      <w:r w:rsidRPr="00515872">
        <w:rPr>
          <w:rFonts w:cs="Tahoma"/>
          <w:i/>
          <w:color w:val="000000"/>
          <w:shd w:val="clear" w:color="auto" w:fill="F9F8F4"/>
        </w:rPr>
        <w:t xml:space="preserve"> </w:t>
      </w:r>
      <w:r w:rsidRPr="00515872">
        <w:rPr>
          <w:rFonts w:cs="Tahoma"/>
          <w:i/>
          <w:color w:val="000000"/>
        </w:rPr>
        <w:t>2014</w:t>
      </w:r>
      <w:r w:rsidRPr="00515872">
        <w:rPr>
          <w:rFonts w:cs="Tahoma"/>
          <w:color w:val="000000"/>
        </w:rPr>
        <w:t>”, anziché “</w:t>
      </w:r>
      <w:r w:rsidRPr="00515872">
        <w:rPr>
          <w:rFonts w:cs="Tahoma"/>
          <w:i/>
          <w:color w:val="000000"/>
        </w:rPr>
        <w:t>negli anni 2014, 2015 e 2016</w:t>
      </w:r>
      <w:r w:rsidRPr="00515872">
        <w:rPr>
          <w:rFonts w:cs="Tahoma"/>
          <w:color w:val="000000"/>
        </w:rPr>
        <w:t>".</w:t>
      </w:r>
    </w:p>
    <w:p w14:paraId="372B5227"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t>Spese per acquisto, manutenzione, noleggio, esercizio di autovetture e acquisto di buoni taxi</w:t>
      </w:r>
    </w:p>
    <w:p w14:paraId="13FB854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 decorrere dall'anno 2011, in base al</w:t>
      </w:r>
      <w:r w:rsidR="008C3F7D" w:rsidRPr="00515872">
        <w:rPr>
          <w:rFonts w:eastAsia="Times New Roman" w:cs="Tahoma"/>
          <w:szCs w:val="20"/>
          <w:lang w:eastAsia="it-IT"/>
        </w:rPr>
        <w:t>l’art. 6,</w:t>
      </w:r>
      <w:r w:rsidRPr="00515872">
        <w:rPr>
          <w:rFonts w:eastAsia="Times New Roman" w:cs="Tahoma"/>
          <w:szCs w:val="20"/>
          <w:lang w:eastAsia="it-IT"/>
        </w:rPr>
        <w:t xml:space="preserve"> c. 14, </w:t>
      </w:r>
      <w:r w:rsidR="008C3F7D" w:rsidRPr="00515872">
        <w:rPr>
          <w:rFonts w:eastAsia="Times New Roman" w:cs="Tahoma"/>
          <w:szCs w:val="20"/>
          <w:lang w:eastAsia="it-IT"/>
        </w:rPr>
        <w:t xml:space="preserve">del citato D.L. n. 78/2010, </w:t>
      </w:r>
      <w:r w:rsidRPr="00515872">
        <w:rPr>
          <w:rFonts w:eastAsia="Times New Roman" w:cs="Tahoma"/>
          <w:szCs w:val="20"/>
          <w:lang w:eastAsia="it-IT"/>
        </w:rPr>
        <w:t>gli enti non possono effettuare spese di ammontare superiore all'80% della spesa sostenuta nell'anno 2009 per l'acquisto, la manutenzione, il noleggio e l'esercizio di autovetture, nonché per l'acquisto di buoni taxi.</w:t>
      </w:r>
    </w:p>
    <w:p w14:paraId="33359A5D" w14:textId="77777777" w:rsidR="00710E70" w:rsidRPr="00515872" w:rsidRDefault="009518AF" w:rsidP="00EA3D44">
      <w:pPr>
        <w:spacing w:line="360" w:lineRule="auto"/>
        <w:jc w:val="both"/>
        <w:rPr>
          <w:rFonts w:cs="Tahoma"/>
          <w:szCs w:val="20"/>
        </w:rPr>
      </w:pPr>
      <w:r w:rsidRPr="00515872">
        <w:rPr>
          <w:rFonts w:cs="Tahoma"/>
          <w:szCs w:val="20"/>
        </w:rPr>
        <w:lastRenderedPageBreak/>
        <w:t>L'art. 5,</w:t>
      </w:r>
      <w:r w:rsidR="00154B18" w:rsidRPr="00515872">
        <w:rPr>
          <w:rFonts w:cs="Tahoma"/>
          <w:szCs w:val="20"/>
        </w:rPr>
        <w:t xml:space="preserve"> c. 2,</w:t>
      </w:r>
      <w:r w:rsidRPr="00515872">
        <w:rPr>
          <w:rFonts w:cs="Tahoma"/>
          <w:szCs w:val="20"/>
        </w:rPr>
        <w:t xml:space="preserve"> D.L. </w:t>
      </w:r>
      <w:r w:rsidR="00024AFA" w:rsidRPr="00515872">
        <w:rPr>
          <w:rFonts w:cs="Tahoma"/>
          <w:szCs w:val="20"/>
        </w:rPr>
        <w:t xml:space="preserve">n. </w:t>
      </w:r>
      <w:r w:rsidRPr="00515872">
        <w:rPr>
          <w:rFonts w:cs="Tahoma"/>
          <w:szCs w:val="20"/>
        </w:rPr>
        <w:t>95/2012 impone</w:t>
      </w:r>
      <w:r w:rsidR="00EA3D44" w:rsidRPr="00515872">
        <w:rPr>
          <w:rFonts w:cs="Tahoma"/>
          <w:szCs w:val="20"/>
        </w:rPr>
        <w:t>va</w:t>
      </w:r>
      <w:r w:rsidRPr="00515872">
        <w:rPr>
          <w:rFonts w:cs="Tahoma"/>
          <w:szCs w:val="20"/>
        </w:rPr>
        <w:t xml:space="preserve"> un limite di spesa del 30% dei costi sostenuti nel 2011 per l'acquisto, la manutenzione, il noleggio di autovetture di servizio e per i buoni taxi. Da tale limite </w:t>
      </w:r>
      <w:r w:rsidR="00EA3D44" w:rsidRPr="00515872">
        <w:rPr>
          <w:rFonts w:cs="Tahoma"/>
          <w:szCs w:val="20"/>
        </w:rPr>
        <w:t>erano</w:t>
      </w:r>
      <w:r w:rsidRPr="00515872">
        <w:rPr>
          <w:rFonts w:cs="Tahoma"/>
          <w:szCs w:val="20"/>
        </w:rPr>
        <w:t xml:space="preserve"> espressamente escluse le spese per le automobili della polizia locale e dei servizi sociali</w:t>
      </w:r>
      <w:r w:rsidR="00EA3D44" w:rsidRPr="00515872">
        <w:rPr>
          <w:rFonts w:cs="Tahoma"/>
          <w:szCs w:val="20"/>
        </w:rPr>
        <w:t>. La l</w:t>
      </w:r>
      <w:r w:rsidR="00EA3D44" w:rsidRPr="00515872">
        <w:rPr>
          <w:rFonts w:cs="Tahoma"/>
          <w:color w:val="000000"/>
          <w:szCs w:val="20"/>
        </w:rPr>
        <w:t>imitazione è stata abrogata, a decorrere dal 2020, dall’art. 57, c.2</w:t>
      </w:r>
      <w:r w:rsidR="0036344A" w:rsidRPr="00515872">
        <w:rPr>
          <w:rFonts w:cs="Tahoma"/>
          <w:color w:val="000000"/>
          <w:szCs w:val="20"/>
        </w:rPr>
        <w:t>,</w:t>
      </w:r>
      <w:r w:rsidR="00EA3D44" w:rsidRPr="00515872">
        <w:rPr>
          <w:rFonts w:cs="Tahoma"/>
          <w:color w:val="000000"/>
          <w:szCs w:val="20"/>
        </w:rPr>
        <w:t xml:space="preserve"> lett. c), D.L. 26 ottobre 2019, n. 124.</w:t>
      </w:r>
    </w:p>
    <w:p w14:paraId="2A6FAEE3" w14:textId="77777777" w:rsidR="006A2097" w:rsidRPr="00515872" w:rsidRDefault="009518AF" w:rsidP="006A2097">
      <w:pPr>
        <w:autoSpaceDE w:val="0"/>
        <w:autoSpaceDN w:val="0"/>
        <w:adjustRightInd w:val="0"/>
        <w:spacing w:after="0" w:line="360" w:lineRule="auto"/>
        <w:jc w:val="both"/>
        <w:rPr>
          <w:rFonts w:cs="Tahoma"/>
          <w:color w:val="000000"/>
          <w:szCs w:val="20"/>
        </w:rPr>
      </w:pPr>
      <w:r w:rsidRPr="00515872">
        <w:rPr>
          <w:rFonts w:cs="Tahoma"/>
          <w:b/>
          <w:bCs/>
          <w:color w:val="000000"/>
          <w:szCs w:val="20"/>
        </w:rPr>
        <w:t>Spese per relazioni pubbliche, convegni, mostre, pubblicità e rappresentanza</w:t>
      </w:r>
    </w:p>
    <w:p w14:paraId="199510C9" w14:textId="77777777" w:rsidR="006A2097" w:rsidRPr="00515872" w:rsidRDefault="009518AF" w:rsidP="006A2097">
      <w:pPr>
        <w:autoSpaceDE w:val="0"/>
        <w:autoSpaceDN w:val="0"/>
        <w:adjustRightInd w:val="0"/>
        <w:spacing w:line="360" w:lineRule="auto"/>
        <w:jc w:val="both"/>
        <w:rPr>
          <w:rFonts w:cs="Tahoma"/>
          <w:color w:val="000000"/>
          <w:szCs w:val="20"/>
        </w:rPr>
      </w:pPr>
      <w:r w:rsidRPr="00515872">
        <w:rPr>
          <w:rFonts w:cs="Tahoma"/>
          <w:color w:val="000000"/>
          <w:szCs w:val="20"/>
        </w:rPr>
        <w:t xml:space="preserve">A norma dell’art. 6, c. 8, D.L. </w:t>
      </w:r>
      <w:r w:rsidR="00024AFA" w:rsidRPr="00515872">
        <w:rPr>
          <w:rFonts w:cs="Tahoma"/>
          <w:color w:val="000000"/>
          <w:szCs w:val="20"/>
        </w:rPr>
        <w:t xml:space="preserve">n. </w:t>
      </w:r>
      <w:r w:rsidRPr="00515872">
        <w:rPr>
          <w:rFonts w:cs="Tahoma"/>
          <w:color w:val="000000"/>
          <w:szCs w:val="20"/>
        </w:rPr>
        <w:t xml:space="preserve">78/2010, dal 1° gennaio 2011 la spesa annua </w:t>
      </w:r>
      <w:r w:rsidRPr="00515872">
        <w:rPr>
          <w:rFonts w:eastAsia="Times New Roman" w:cs="Tahoma"/>
          <w:szCs w:val="20"/>
          <w:lang w:eastAsia="it-IT"/>
        </w:rPr>
        <w:t xml:space="preserve">per relazioni pubbliche, convegni, mostre, pubblicità e di rappresentanza non </w:t>
      </w:r>
      <w:r w:rsidR="006A2097" w:rsidRPr="00515872">
        <w:rPr>
          <w:rFonts w:eastAsia="Times New Roman" w:cs="Tahoma"/>
          <w:szCs w:val="20"/>
          <w:lang w:eastAsia="it-IT"/>
        </w:rPr>
        <w:t>poteva</w:t>
      </w:r>
      <w:r w:rsidRPr="00515872">
        <w:rPr>
          <w:rFonts w:cs="Tahoma"/>
          <w:color w:val="000000"/>
          <w:szCs w:val="20"/>
        </w:rPr>
        <w:t xml:space="preserve"> essere superiore al 20% di quella sostenuta nel 2009.</w:t>
      </w:r>
      <w:r w:rsidR="006A2097" w:rsidRPr="00515872">
        <w:rPr>
          <w:rFonts w:cs="Tahoma"/>
          <w:color w:val="000000"/>
          <w:szCs w:val="20"/>
        </w:rPr>
        <w:t xml:space="preserve"> </w:t>
      </w:r>
      <w:r w:rsidR="008964BE" w:rsidRPr="00515872">
        <w:rPr>
          <w:rFonts w:cs="Tahoma"/>
          <w:color w:val="000000"/>
          <w:szCs w:val="20"/>
        </w:rPr>
        <w:t xml:space="preserve">Anche </w:t>
      </w:r>
      <w:r w:rsidR="00C75ED0" w:rsidRPr="00515872">
        <w:rPr>
          <w:rFonts w:cs="Tahoma"/>
          <w:color w:val="000000"/>
          <w:szCs w:val="20"/>
        </w:rPr>
        <w:t>questa</w:t>
      </w:r>
      <w:r w:rsidR="006A2097" w:rsidRPr="00515872">
        <w:rPr>
          <w:rFonts w:cs="Tahoma"/>
          <w:color w:val="000000"/>
          <w:szCs w:val="20"/>
        </w:rPr>
        <w:t xml:space="preserve"> </w:t>
      </w:r>
      <w:r w:rsidR="006A2097" w:rsidRPr="00515872">
        <w:rPr>
          <w:rFonts w:cs="Tahoma"/>
          <w:szCs w:val="20"/>
        </w:rPr>
        <w:t>l</w:t>
      </w:r>
      <w:r w:rsidR="006A2097" w:rsidRPr="00515872">
        <w:rPr>
          <w:rFonts w:cs="Tahoma"/>
          <w:color w:val="000000"/>
          <w:szCs w:val="20"/>
        </w:rPr>
        <w:t>imitazione è stata abrogata, a decorrere dal 2020, dall’art. 57, c.2 lett. b), D.L. 26 ottobre 2019, n. 124.</w:t>
      </w:r>
    </w:p>
    <w:p w14:paraId="06B1AC17" w14:textId="77777777" w:rsidR="009518AF" w:rsidRPr="00515872" w:rsidRDefault="009518AF" w:rsidP="00C75ED0">
      <w:pPr>
        <w:autoSpaceDE w:val="0"/>
        <w:autoSpaceDN w:val="0"/>
        <w:adjustRightInd w:val="0"/>
        <w:spacing w:line="360" w:lineRule="auto"/>
        <w:jc w:val="both"/>
        <w:rPr>
          <w:rFonts w:cs="Tahoma"/>
          <w:color w:val="000000"/>
          <w:szCs w:val="20"/>
        </w:rPr>
      </w:pPr>
      <w:r w:rsidRPr="00515872">
        <w:rPr>
          <w:rFonts w:cs="Tahoma"/>
          <w:color w:val="000000"/>
          <w:szCs w:val="20"/>
        </w:rPr>
        <w:t xml:space="preserve">L’art. 16, c. 26 del D.L. n. 138/2011 dispone l’obbligo per i comuni di elencare le spese di </w:t>
      </w:r>
      <w:r w:rsidR="00D87D9F" w:rsidRPr="00515872">
        <w:rPr>
          <w:rFonts w:cs="Tahoma"/>
          <w:color w:val="000000"/>
          <w:szCs w:val="20"/>
        </w:rPr>
        <w:t>rappresentanza</w:t>
      </w:r>
      <w:r w:rsidRPr="00515872">
        <w:rPr>
          <w:rFonts w:cs="Tahoma"/>
          <w:color w:val="000000"/>
          <w:szCs w:val="20"/>
        </w:rPr>
        <w:t xml:space="preserve"> sostenute in ciascun anno in un prospetto (secondo schema tipo approvato dal Ministro dell’Interno con Decreto in data 23 gennaio 2012) da allegare al rendiconto e da trasmettere alla sezione regionale di controllo della Corte dei Conti. Il prospetto deve essere </w:t>
      </w:r>
      <w:r w:rsidRPr="00515872">
        <w:rPr>
          <w:rFonts w:cs="Tahoma"/>
          <w:b/>
          <w:color w:val="000000"/>
          <w:szCs w:val="20"/>
        </w:rPr>
        <w:t>sottoscritto dall’organo di revisione</w:t>
      </w:r>
      <w:r w:rsidRPr="00515872">
        <w:rPr>
          <w:rFonts w:cs="Tahoma"/>
          <w:color w:val="000000"/>
          <w:szCs w:val="20"/>
        </w:rPr>
        <w:t xml:space="preserve"> e pubblicato nel sito web dell’ente entro 10 giorni dalla approvazione del rendiconto. </w:t>
      </w:r>
    </w:p>
    <w:p w14:paraId="6923A341"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La Corte dei Conti SRC Lombardia, con delibera n. 1076/2010/PAR, ha fornito la definizione della tipologia di spesa. </w:t>
      </w:r>
    </w:p>
    <w:p w14:paraId="173AD799"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t>Spese per sponsorizzazioni</w:t>
      </w:r>
    </w:p>
    <w:p w14:paraId="476DBA09" w14:textId="77777777" w:rsidR="009518AF" w:rsidRPr="00515872" w:rsidRDefault="00D70055"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Il c. 9 dell’art. 6, D.L. n. 78/2010 </w:t>
      </w:r>
      <w:r w:rsidR="009518AF" w:rsidRPr="00515872">
        <w:rPr>
          <w:rFonts w:cs="Tahoma"/>
          <w:color w:val="000000"/>
          <w:szCs w:val="20"/>
        </w:rPr>
        <w:t>prevede</w:t>
      </w:r>
      <w:r w:rsidR="00C73B3A" w:rsidRPr="00515872">
        <w:rPr>
          <w:rFonts w:cs="Tahoma"/>
          <w:color w:val="000000"/>
          <w:szCs w:val="20"/>
        </w:rPr>
        <w:t>va</w:t>
      </w:r>
      <w:r w:rsidR="00446873" w:rsidRPr="00515872">
        <w:rPr>
          <w:rFonts w:cs="Tahoma"/>
          <w:color w:val="000000"/>
          <w:szCs w:val="20"/>
        </w:rPr>
        <w:t xml:space="preserve"> che dal</w:t>
      </w:r>
      <w:r w:rsidR="009518AF" w:rsidRPr="00515872">
        <w:rPr>
          <w:rFonts w:cs="Tahoma"/>
          <w:color w:val="000000"/>
          <w:szCs w:val="20"/>
        </w:rPr>
        <w:t xml:space="preserve"> 2011 non </w:t>
      </w:r>
      <w:r w:rsidR="00446873" w:rsidRPr="00515872">
        <w:rPr>
          <w:rFonts w:cs="Tahoma"/>
          <w:color w:val="000000"/>
          <w:szCs w:val="20"/>
        </w:rPr>
        <w:t>fosse</w:t>
      </w:r>
      <w:r w:rsidR="009518AF" w:rsidRPr="00515872">
        <w:rPr>
          <w:rFonts w:cs="Tahoma"/>
          <w:color w:val="000000"/>
          <w:szCs w:val="20"/>
        </w:rPr>
        <w:t xml:space="preserve"> possibile effettuare spese per sponsorizzazioni.</w:t>
      </w:r>
      <w:r w:rsidRPr="00515872">
        <w:rPr>
          <w:rFonts w:cs="Tahoma"/>
          <w:color w:val="000000"/>
          <w:szCs w:val="20"/>
        </w:rPr>
        <w:t xml:space="preserve"> Anche tale limitazione risulta abrogata a decorrere dal 2020.</w:t>
      </w:r>
      <w:r w:rsidR="009518AF" w:rsidRPr="00515872">
        <w:rPr>
          <w:rFonts w:cs="Tahoma"/>
          <w:color w:val="000000"/>
          <w:szCs w:val="20"/>
        </w:rPr>
        <w:t xml:space="preserve"> </w:t>
      </w:r>
    </w:p>
    <w:p w14:paraId="5786C09D" w14:textId="77777777" w:rsidR="009518AF" w:rsidRPr="00515872" w:rsidRDefault="00C75ED0" w:rsidP="009518AF">
      <w:pPr>
        <w:autoSpaceDE w:val="0"/>
        <w:autoSpaceDN w:val="0"/>
        <w:adjustRightInd w:val="0"/>
        <w:spacing w:line="360" w:lineRule="auto"/>
        <w:jc w:val="both"/>
        <w:rPr>
          <w:rFonts w:cs="Tahoma"/>
          <w:color w:val="000000"/>
          <w:szCs w:val="20"/>
        </w:rPr>
      </w:pPr>
      <w:r w:rsidRPr="00515872">
        <w:rPr>
          <w:rFonts w:cs="Tahoma"/>
          <w:color w:val="000000"/>
          <w:szCs w:val="20"/>
        </w:rPr>
        <w:t>Anche per questa tipologia di spesa, l</w:t>
      </w:r>
      <w:r w:rsidR="009518AF" w:rsidRPr="00515872">
        <w:rPr>
          <w:rFonts w:cs="Tahoma"/>
          <w:color w:val="000000"/>
          <w:szCs w:val="20"/>
        </w:rPr>
        <w:t xml:space="preserve">a Corte dei Conti SRC Lombardia, con </w:t>
      </w:r>
      <w:r w:rsidR="00D70055" w:rsidRPr="00515872">
        <w:rPr>
          <w:rFonts w:cs="Tahoma"/>
          <w:color w:val="000000"/>
          <w:szCs w:val="20"/>
        </w:rPr>
        <w:t xml:space="preserve">la medesima </w:t>
      </w:r>
      <w:r w:rsidR="009518AF" w:rsidRPr="00515872">
        <w:rPr>
          <w:rFonts w:cs="Tahoma"/>
          <w:color w:val="000000"/>
          <w:szCs w:val="20"/>
        </w:rPr>
        <w:t xml:space="preserve">delibera n. 1076/2010/PAR, </w:t>
      </w:r>
      <w:r w:rsidRPr="00515872">
        <w:rPr>
          <w:rFonts w:cs="Tahoma"/>
          <w:color w:val="000000"/>
          <w:szCs w:val="20"/>
        </w:rPr>
        <w:t>aveva fornito una</w:t>
      </w:r>
      <w:r w:rsidR="009518AF" w:rsidRPr="00515872">
        <w:rPr>
          <w:rFonts w:cs="Tahoma"/>
          <w:color w:val="000000"/>
          <w:szCs w:val="20"/>
        </w:rPr>
        <w:t xml:space="preserve"> definizione.</w:t>
      </w:r>
    </w:p>
    <w:p w14:paraId="67981C9A"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t>Spese per missioni</w:t>
      </w:r>
    </w:p>
    <w:p w14:paraId="518E2A6B"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Dal 31 maggio 2010 non sono più dovute le diarie per le missioni all’estero e non sono più riconosciute le indennità per l’utilizzo del mezzo proprio al personale che esercita funzioni ispettive ed al personale contrattualizzato come individuato dal </w:t>
      </w:r>
      <w:proofErr w:type="spellStart"/>
      <w:r w:rsidRPr="00515872">
        <w:rPr>
          <w:rFonts w:cs="Tahoma"/>
          <w:color w:val="000000"/>
          <w:szCs w:val="20"/>
        </w:rPr>
        <w:t>D.Lgs.</w:t>
      </w:r>
      <w:proofErr w:type="spellEnd"/>
      <w:r w:rsidRPr="00515872">
        <w:rPr>
          <w:rFonts w:cs="Tahoma"/>
          <w:color w:val="000000"/>
          <w:szCs w:val="20"/>
        </w:rPr>
        <w:t xml:space="preserve"> n. 165/2001.</w:t>
      </w:r>
    </w:p>
    <w:p w14:paraId="55FE28FB"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Il c.</w:t>
      </w:r>
      <w:r w:rsidR="00C73B3A" w:rsidRPr="00515872">
        <w:rPr>
          <w:rFonts w:cs="Tahoma"/>
          <w:color w:val="000000"/>
          <w:szCs w:val="20"/>
        </w:rPr>
        <w:t xml:space="preserve"> 12 del citato art. 6</w:t>
      </w:r>
      <w:r w:rsidR="00C75ED0" w:rsidRPr="00515872">
        <w:rPr>
          <w:rFonts w:cs="Tahoma"/>
          <w:color w:val="000000"/>
          <w:szCs w:val="20"/>
        </w:rPr>
        <w:t>, D.L. n. 78/2010</w:t>
      </w:r>
      <w:r w:rsidR="00C73B3A" w:rsidRPr="00515872">
        <w:rPr>
          <w:rFonts w:cs="Tahoma"/>
          <w:color w:val="000000"/>
          <w:szCs w:val="20"/>
        </w:rPr>
        <w:t xml:space="preserve"> stabiliva</w:t>
      </w:r>
      <w:r w:rsidR="00446873" w:rsidRPr="00515872">
        <w:rPr>
          <w:rFonts w:cs="Tahoma"/>
          <w:color w:val="000000"/>
          <w:szCs w:val="20"/>
        </w:rPr>
        <w:t xml:space="preserve"> che dal</w:t>
      </w:r>
      <w:r w:rsidRPr="00515872">
        <w:rPr>
          <w:rFonts w:cs="Tahoma"/>
          <w:color w:val="000000"/>
          <w:szCs w:val="20"/>
        </w:rPr>
        <w:t xml:space="preserve"> 2011 la spesa annua</w:t>
      </w:r>
      <w:r w:rsidR="00C73B3A" w:rsidRPr="00515872">
        <w:rPr>
          <w:rFonts w:cs="Tahoma"/>
          <w:color w:val="000000"/>
          <w:szCs w:val="20"/>
        </w:rPr>
        <w:t xml:space="preserve"> per missioni</w:t>
      </w:r>
      <w:r w:rsidRPr="00515872">
        <w:rPr>
          <w:rFonts w:cs="Tahoma"/>
          <w:color w:val="000000"/>
          <w:szCs w:val="20"/>
        </w:rPr>
        <w:t xml:space="preserve"> non </w:t>
      </w:r>
      <w:r w:rsidR="00C73B3A" w:rsidRPr="00515872">
        <w:rPr>
          <w:rFonts w:cs="Tahoma"/>
          <w:color w:val="000000"/>
          <w:szCs w:val="20"/>
        </w:rPr>
        <w:t>potesse</w:t>
      </w:r>
      <w:r w:rsidRPr="00515872">
        <w:rPr>
          <w:rFonts w:cs="Tahoma"/>
          <w:color w:val="000000"/>
          <w:szCs w:val="20"/>
        </w:rPr>
        <w:t xml:space="preserve"> superare il 50% di quella sostenuta nel 2009. Tale limite </w:t>
      </w:r>
      <w:r w:rsidR="00C73B3A" w:rsidRPr="00515872">
        <w:rPr>
          <w:rFonts w:cs="Tahoma"/>
          <w:color w:val="000000"/>
          <w:szCs w:val="20"/>
        </w:rPr>
        <w:t>poteva</w:t>
      </w:r>
      <w:r w:rsidRPr="00515872">
        <w:rPr>
          <w:rFonts w:cs="Tahoma"/>
          <w:color w:val="000000"/>
          <w:szCs w:val="20"/>
        </w:rPr>
        <w:t xml:space="preserve"> essere superato solo in casi eccezionali</w:t>
      </w:r>
      <w:r w:rsidR="00C73B3A" w:rsidRPr="00515872">
        <w:rPr>
          <w:rFonts w:cs="Tahoma"/>
          <w:color w:val="000000"/>
          <w:szCs w:val="20"/>
        </w:rPr>
        <w:t xml:space="preserve"> e salvo determinate eccezioni</w:t>
      </w:r>
      <w:r w:rsidRPr="00515872">
        <w:rPr>
          <w:rFonts w:cs="Tahoma"/>
          <w:color w:val="000000"/>
          <w:szCs w:val="20"/>
        </w:rPr>
        <w:t>.</w:t>
      </w:r>
      <w:r w:rsidR="00FD66FE" w:rsidRPr="00515872">
        <w:rPr>
          <w:rFonts w:cs="Tahoma"/>
          <w:color w:val="000000"/>
          <w:szCs w:val="20"/>
        </w:rPr>
        <w:t xml:space="preserve"> </w:t>
      </w:r>
    </w:p>
    <w:p w14:paraId="1277046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szCs w:val="20"/>
        </w:rPr>
      </w:pPr>
      <w:r w:rsidRPr="00515872">
        <w:rPr>
          <w:rFonts w:cs="Tahoma"/>
          <w:color w:val="000000"/>
          <w:szCs w:val="20"/>
        </w:rPr>
        <w:t>La Corte dei Conti sezione controllo per la Liguria, con delibera n. 10/2011, ha espresso il parere che la limitazione non riguarda</w:t>
      </w:r>
      <w:r w:rsidR="00C75ED0" w:rsidRPr="00515872">
        <w:rPr>
          <w:rFonts w:cs="Tahoma"/>
          <w:color w:val="000000"/>
          <w:szCs w:val="20"/>
        </w:rPr>
        <w:t>sse</w:t>
      </w:r>
      <w:r w:rsidRPr="00515872">
        <w:rPr>
          <w:rFonts w:cs="Tahoma"/>
          <w:color w:val="000000"/>
          <w:szCs w:val="20"/>
        </w:rPr>
        <w:t xml:space="preserve"> le spese di viaggio sostenute dal sindaco e dagli amministratori.</w:t>
      </w:r>
    </w:p>
    <w:p w14:paraId="7AF15189" w14:textId="77777777" w:rsidR="003C2F15" w:rsidRPr="00515872" w:rsidRDefault="003C2F15" w:rsidP="003C2F15">
      <w:pPr>
        <w:autoSpaceDE w:val="0"/>
        <w:autoSpaceDN w:val="0"/>
        <w:adjustRightInd w:val="0"/>
        <w:spacing w:line="360" w:lineRule="auto"/>
        <w:jc w:val="both"/>
        <w:rPr>
          <w:rFonts w:cs="Tahoma"/>
          <w:color w:val="000000"/>
          <w:szCs w:val="20"/>
        </w:rPr>
      </w:pPr>
      <w:r w:rsidRPr="00515872">
        <w:rPr>
          <w:rFonts w:cs="Tahoma"/>
          <w:color w:val="000000"/>
          <w:szCs w:val="20"/>
        </w:rPr>
        <w:t xml:space="preserve">Anche tale limitazione, tuttavia, è stata abrogata a decorrere dal 2020. </w:t>
      </w:r>
    </w:p>
    <w:p w14:paraId="16D1FEB7" w14:textId="77777777" w:rsidR="009518AF" w:rsidRPr="00515872" w:rsidRDefault="009518AF" w:rsidP="009518AF">
      <w:pPr>
        <w:autoSpaceDE w:val="0"/>
        <w:autoSpaceDN w:val="0"/>
        <w:adjustRightInd w:val="0"/>
        <w:spacing w:after="0" w:line="360" w:lineRule="auto"/>
        <w:jc w:val="both"/>
        <w:rPr>
          <w:rFonts w:cs="Tahoma"/>
          <w:color w:val="000000"/>
          <w:szCs w:val="20"/>
        </w:rPr>
      </w:pPr>
      <w:r w:rsidRPr="00515872">
        <w:rPr>
          <w:rFonts w:cs="Tahoma"/>
          <w:b/>
          <w:bCs/>
          <w:color w:val="000000"/>
          <w:szCs w:val="20"/>
        </w:rPr>
        <w:lastRenderedPageBreak/>
        <w:t xml:space="preserve">Spese per formazione </w:t>
      </w:r>
    </w:p>
    <w:p w14:paraId="11257565" w14:textId="77777777" w:rsidR="00446873"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Il successivo </w:t>
      </w:r>
      <w:r w:rsidR="00446873" w:rsidRPr="00515872">
        <w:rPr>
          <w:rFonts w:cs="Tahoma"/>
          <w:color w:val="000000"/>
          <w:szCs w:val="20"/>
        </w:rPr>
        <w:t xml:space="preserve">c. 13 </w:t>
      </w:r>
      <w:r w:rsidR="00D66B91" w:rsidRPr="00515872">
        <w:rPr>
          <w:rFonts w:cs="Tahoma"/>
          <w:color w:val="000000"/>
          <w:szCs w:val="20"/>
        </w:rPr>
        <w:t xml:space="preserve">dello stesso art. 6, D.L. n. 78/2010 </w:t>
      </w:r>
      <w:r w:rsidR="00446873" w:rsidRPr="00515872">
        <w:rPr>
          <w:rFonts w:cs="Tahoma"/>
          <w:color w:val="000000"/>
          <w:szCs w:val="20"/>
        </w:rPr>
        <w:t>prevedeva che dal</w:t>
      </w:r>
      <w:r w:rsidRPr="00515872">
        <w:rPr>
          <w:rFonts w:cs="Tahoma"/>
          <w:color w:val="000000"/>
          <w:szCs w:val="20"/>
        </w:rPr>
        <w:t xml:space="preserve"> 2011 la spesa annua per attività esclusivamente di formazione non </w:t>
      </w:r>
      <w:r w:rsidR="00446873" w:rsidRPr="00515872">
        <w:rPr>
          <w:rFonts w:cs="Tahoma"/>
          <w:color w:val="000000"/>
          <w:szCs w:val="20"/>
        </w:rPr>
        <w:t>potesse</w:t>
      </w:r>
      <w:r w:rsidRPr="00515872">
        <w:rPr>
          <w:rFonts w:cs="Tahoma"/>
          <w:color w:val="000000"/>
          <w:szCs w:val="20"/>
        </w:rPr>
        <w:t xml:space="preserve"> super</w:t>
      </w:r>
      <w:r w:rsidR="00446873" w:rsidRPr="00515872">
        <w:rPr>
          <w:rFonts w:cs="Tahoma"/>
          <w:color w:val="000000"/>
          <w:szCs w:val="20"/>
        </w:rPr>
        <w:t>are i</w:t>
      </w:r>
      <w:r w:rsidRPr="00515872">
        <w:rPr>
          <w:rFonts w:cs="Tahoma"/>
          <w:color w:val="000000"/>
          <w:szCs w:val="20"/>
        </w:rPr>
        <w:t>l 50% di quella sostenuta nel 2009</w:t>
      </w:r>
      <w:r w:rsidR="00446873" w:rsidRPr="00515872">
        <w:rPr>
          <w:rFonts w:cs="Tahoma"/>
          <w:color w:val="000000"/>
          <w:szCs w:val="20"/>
        </w:rPr>
        <w:t>. La violazione costituiva</w:t>
      </w:r>
      <w:r w:rsidRPr="00515872">
        <w:rPr>
          <w:rFonts w:cs="Tahoma"/>
          <w:color w:val="000000"/>
          <w:szCs w:val="20"/>
        </w:rPr>
        <w:t xml:space="preserve"> illecito disciplinare e determina</w:t>
      </w:r>
      <w:r w:rsidR="00446873" w:rsidRPr="00515872">
        <w:rPr>
          <w:rFonts w:cs="Tahoma"/>
          <w:color w:val="000000"/>
          <w:szCs w:val="20"/>
        </w:rPr>
        <w:t>va</w:t>
      </w:r>
      <w:r w:rsidRPr="00515872">
        <w:rPr>
          <w:rFonts w:cs="Tahoma"/>
          <w:color w:val="000000"/>
          <w:szCs w:val="20"/>
        </w:rPr>
        <w:t xml:space="preserve"> responsabilità erariale.</w:t>
      </w:r>
    </w:p>
    <w:p w14:paraId="65155F08" w14:textId="77777777" w:rsidR="00446873" w:rsidRPr="00515872" w:rsidRDefault="00446873" w:rsidP="00446873">
      <w:pPr>
        <w:autoSpaceDE w:val="0"/>
        <w:autoSpaceDN w:val="0"/>
        <w:adjustRightInd w:val="0"/>
        <w:spacing w:line="360" w:lineRule="auto"/>
        <w:jc w:val="both"/>
        <w:rPr>
          <w:rFonts w:cs="Tahoma"/>
          <w:color w:val="000000"/>
          <w:szCs w:val="20"/>
        </w:rPr>
      </w:pPr>
      <w:r w:rsidRPr="00515872">
        <w:rPr>
          <w:rFonts w:cs="Tahoma"/>
          <w:color w:val="000000"/>
          <w:szCs w:val="20"/>
        </w:rPr>
        <w:t>La Corte dei Conti SRC per la Lombardia, con parere n. 116/2011, ha ritenuto che la limitazione trovasse applicazione solo per gli interventi formativi decisi o autorizzati discrezionalmente dall’ente e non riguardasse le attività previste da specifiche disposizioni di legge.</w:t>
      </w:r>
    </w:p>
    <w:p w14:paraId="7FEBB0B6" w14:textId="77777777" w:rsidR="009518AF" w:rsidRPr="00515872" w:rsidRDefault="00446873" w:rsidP="009518AF">
      <w:pPr>
        <w:autoSpaceDE w:val="0"/>
        <w:autoSpaceDN w:val="0"/>
        <w:adjustRightInd w:val="0"/>
        <w:spacing w:line="360" w:lineRule="auto"/>
        <w:jc w:val="both"/>
        <w:rPr>
          <w:rFonts w:cs="Tahoma"/>
          <w:color w:val="000000"/>
          <w:szCs w:val="20"/>
        </w:rPr>
      </w:pPr>
      <w:r w:rsidRPr="00515872">
        <w:rPr>
          <w:rFonts w:cs="Tahoma"/>
          <w:color w:val="000000"/>
          <w:szCs w:val="20"/>
        </w:rPr>
        <w:t>Anche tale vincolo è stato abrogato a decorrere dal 2020.</w:t>
      </w:r>
    </w:p>
    <w:p w14:paraId="0FE72B29" w14:textId="77777777" w:rsidR="009518AF" w:rsidRPr="00515872" w:rsidRDefault="009518AF" w:rsidP="009518AF">
      <w:pPr>
        <w:autoSpaceDE w:val="0"/>
        <w:autoSpaceDN w:val="0"/>
        <w:adjustRightInd w:val="0"/>
        <w:spacing w:after="0" w:line="360" w:lineRule="auto"/>
        <w:rPr>
          <w:rFonts w:cs="Tahoma"/>
          <w:color w:val="000000"/>
          <w:szCs w:val="20"/>
        </w:rPr>
      </w:pPr>
      <w:r w:rsidRPr="00515872">
        <w:rPr>
          <w:rFonts w:cs="Tahoma"/>
          <w:b/>
          <w:bCs/>
          <w:color w:val="000000"/>
          <w:szCs w:val="20"/>
        </w:rPr>
        <w:t xml:space="preserve">Limitazione incarichi in materia informatica </w:t>
      </w:r>
    </w:p>
    <w:p w14:paraId="326F6CE2" w14:textId="77777777" w:rsidR="009209AF" w:rsidRPr="00515872" w:rsidRDefault="009518AF" w:rsidP="009209AF">
      <w:pPr>
        <w:autoSpaceDE w:val="0"/>
        <w:autoSpaceDN w:val="0"/>
        <w:adjustRightInd w:val="0"/>
        <w:spacing w:line="360" w:lineRule="auto"/>
        <w:jc w:val="both"/>
        <w:rPr>
          <w:rFonts w:cs="Tahoma"/>
          <w:color w:val="000000"/>
          <w:szCs w:val="20"/>
        </w:rPr>
      </w:pPr>
      <w:r w:rsidRPr="00515872">
        <w:rPr>
          <w:rFonts w:cs="Tahoma"/>
          <w:color w:val="000000"/>
          <w:szCs w:val="20"/>
        </w:rPr>
        <w:t>L’art. 1, c. 146, L. 228/2012 prevede che gli enti locali dal 1° gennaio 2013 possono conferire incarichi di consulenza in materia informatica solo in casi eccezionali, adeguatamente motivati, in cui occorra provvedere alla soluzione di problemi specifici connessi al funzionamento dei sistemi informatici. La violazione della disposizione è valutabile ai fini della responsabilità amministrativa e disciplinare dei dirigenti.</w:t>
      </w:r>
    </w:p>
    <w:p w14:paraId="77B0DB49" w14:textId="77777777" w:rsidR="00EA6907" w:rsidRPr="00515872" w:rsidRDefault="00EA6907" w:rsidP="00EA6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iCs/>
          <w:color w:val="000000"/>
          <w:szCs w:val="20"/>
        </w:rPr>
      </w:pPr>
      <w:r w:rsidRPr="00515872">
        <w:rPr>
          <w:rFonts w:cs="Tahoma"/>
          <w:b/>
          <w:bCs/>
          <w:iCs/>
          <w:color w:val="000000"/>
          <w:szCs w:val="20"/>
        </w:rPr>
        <w:t>Acquisto immobili</w:t>
      </w:r>
    </w:p>
    <w:p w14:paraId="56D980C5" w14:textId="77777777" w:rsidR="00722F33" w:rsidRPr="00515872" w:rsidRDefault="00D66B91" w:rsidP="006B14FF">
      <w:pPr>
        <w:autoSpaceDE w:val="0"/>
        <w:autoSpaceDN w:val="0"/>
        <w:adjustRightInd w:val="0"/>
        <w:spacing w:line="360" w:lineRule="auto"/>
        <w:jc w:val="both"/>
        <w:rPr>
          <w:rStyle w:val="markedcontent"/>
          <w:rFonts w:cs="Tahoma"/>
          <w:szCs w:val="20"/>
        </w:rPr>
      </w:pPr>
      <w:r w:rsidRPr="00515872">
        <w:rPr>
          <w:rStyle w:val="markedcontent"/>
          <w:rFonts w:cs="Tahoma"/>
          <w:szCs w:val="20"/>
        </w:rPr>
        <w:t>I</w:t>
      </w:r>
      <w:r w:rsidR="007B2359" w:rsidRPr="00515872">
        <w:rPr>
          <w:rStyle w:val="markedcontent"/>
          <w:rFonts w:cs="Tahoma"/>
          <w:szCs w:val="20"/>
        </w:rPr>
        <w:t xml:space="preserve">n tema di immobili, </w:t>
      </w:r>
      <w:r w:rsidR="00722F33" w:rsidRPr="00515872">
        <w:rPr>
          <w:rStyle w:val="markedcontent"/>
          <w:rFonts w:cs="Tahoma"/>
          <w:szCs w:val="20"/>
        </w:rPr>
        <w:t>l’art</w:t>
      </w:r>
      <w:r w:rsidR="007B2359" w:rsidRPr="00515872">
        <w:rPr>
          <w:rStyle w:val="markedcontent"/>
          <w:rFonts w:cs="Tahoma"/>
          <w:szCs w:val="20"/>
        </w:rPr>
        <w:t>.</w:t>
      </w:r>
      <w:r w:rsidR="00722F33" w:rsidRPr="00515872">
        <w:rPr>
          <w:rStyle w:val="markedcontent"/>
          <w:rFonts w:cs="Tahoma"/>
          <w:szCs w:val="20"/>
        </w:rPr>
        <w:t xml:space="preserve"> 164, c</w:t>
      </w:r>
      <w:r w:rsidR="007B2359" w:rsidRPr="00515872">
        <w:rPr>
          <w:rStyle w:val="markedcontent"/>
          <w:rFonts w:cs="Tahoma"/>
          <w:szCs w:val="20"/>
        </w:rPr>
        <w:t>.</w:t>
      </w:r>
      <w:r w:rsidR="00722F33" w:rsidRPr="00515872">
        <w:rPr>
          <w:rStyle w:val="markedcontent"/>
          <w:rFonts w:cs="Tahoma"/>
          <w:szCs w:val="20"/>
        </w:rPr>
        <w:t xml:space="preserve"> 2-bis, </w:t>
      </w:r>
      <w:r w:rsidR="007B2359" w:rsidRPr="00515872">
        <w:rPr>
          <w:rStyle w:val="markedcontent"/>
          <w:rFonts w:cs="Tahoma"/>
          <w:szCs w:val="20"/>
        </w:rPr>
        <w:t>D.L.</w:t>
      </w:r>
      <w:r w:rsidR="00722F33" w:rsidRPr="00515872">
        <w:rPr>
          <w:rStyle w:val="markedcontent"/>
          <w:rFonts w:cs="Tahoma"/>
          <w:szCs w:val="20"/>
        </w:rPr>
        <w:t xml:space="preserve"> 19</w:t>
      </w:r>
      <w:r w:rsidR="007B2359" w:rsidRPr="00515872">
        <w:rPr>
          <w:rFonts w:cs="Tahoma"/>
          <w:szCs w:val="20"/>
        </w:rPr>
        <w:t xml:space="preserve"> </w:t>
      </w:r>
      <w:r w:rsidR="00722F33" w:rsidRPr="00515872">
        <w:rPr>
          <w:rStyle w:val="markedcontent"/>
          <w:rFonts w:cs="Tahoma"/>
          <w:szCs w:val="20"/>
        </w:rPr>
        <w:t>maggio 2020, n. 34, ha interamente sostituito il c</w:t>
      </w:r>
      <w:r w:rsidR="007B2359" w:rsidRPr="00515872">
        <w:rPr>
          <w:rStyle w:val="markedcontent"/>
          <w:rFonts w:cs="Tahoma"/>
          <w:szCs w:val="20"/>
        </w:rPr>
        <w:t>.</w:t>
      </w:r>
      <w:r w:rsidR="00722F33" w:rsidRPr="00515872">
        <w:rPr>
          <w:rStyle w:val="markedcontent"/>
          <w:rFonts w:cs="Tahoma"/>
          <w:szCs w:val="20"/>
        </w:rPr>
        <w:t xml:space="preserve"> 17-bis dell'art</w:t>
      </w:r>
      <w:r w:rsidR="005D0F9D" w:rsidRPr="00515872">
        <w:rPr>
          <w:rStyle w:val="markedcontent"/>
          <w:rFonts w:cs="Tahoma"/>
          <w:szCs w:val="20"/>
        </w:rPr>
        <w:t>.</w:t>
      </w:r>
      <w:r w:rsidR="00722F33" w:rsidRPr="00515872">
        <w:rPr>
          <w:rStyle w:val="markedcontent"/>
          <w:rFonts w:cs="Tahoma"/>
          <w:szCs w:val="20"/>
        </w:rPr>
        <w:t xml:space="preserve"> 3</w:t>
      </w:r>
      <w:r w:rsidR="005D0F9D" w:rsidRPr="00515872">
        <w:rPr>
          <w:rFonts w:cs="Tahoma"/>
          <w:szCs w:val="20"/>
        </w:rPr>
        <w:t xml:space="preserve"> </w:t>
      </w:r>
      <w:r w:rsidR="005D0F9D" w:rsidRPr="00515872">
        <w:rPr>
          <w:rStyle w:val="markedcontent"/>
          <w:rFonts w:cs="Tahoma"/>
          <w:szCs w:val="20"/>
        </w:rPr>
        <w:t>D.L.</w:t>
      </w:r>
      <w:r w:rsidR="00722F33" w:rsidRPr="00515872">
        <w:rPr>
          <w:rStyle w:val="markedcontent"/>
          <w:rFonts w:cs="Tahoma"/>
          <w:szCs w:val="20"/>
        </w:rPr>
        <w:t xml:space="preserve"> n. 351</w:t>
      </w:r>
      <w:r w:rsidR="005D0F9D" w:rsidRPr="00515872">
        <w:rPr>
          <w:rStyle w:val="markedcontent"/>
          <w:rFonts w:cs="Tahoma"/>
          <w:szCs w:val="20"/>
        </w:rPr>
        <w:t>/2001</w:t>
      </w:r>
      <w:r w:rsidR="00722F33" w:rsidRPr="00515872">
        <w:rPr>
          <w:rStyle w:val="markedcontent"/>
          <w:rFonts w:cs="Tahoma"/>
          <w:szCs w:val="20"/>
        </w:rPr>
        <w:t>.</w:t>
      </w:r>
      <w:r w:rsidR="005D0F9D" w:rsidRPr="00515872">
        <w:rPr>
          <w:rFonts w:cs="Tahoma"/>
          <w:szCs w:val="20"/>
        </w:rPr>
        <w:t xml:space="preserve"> </w:t>
      </w:r>
      <w:r w:rsidR="00722F33" w:rsidRPr="00515872">
        <w:rPr>
          <w:rStyle w:val="markedcontent"/>
          <w:rFonts w:cs="Tahoma"/>
          <w:szCs w:val="20"/>
        </w:rPr>
        <w:t>Il c</w:t>
      </w:r>
      <w:r w:rsidR="005D0F9D" w:rsidRPr="00515872">
        <w:rPr>
          <w:rStyle w:val="markedcontent"/>
          <w:rFonts w:cs="Tahoma"/>
          <w:szCs w:val="20"/>
        </w:rPr>
        <w:t>.</w:t>
      </w:r>
      <w:r w:rsidR="00722F33" w:rsidRPr="00515872">
        <w:rPr>
          <w:rStyle w:val="markedcontent"/>
          <w:rFonts w:cs="Tahoma"/>
          <w:szCs w:val="20"/>
        </w:rPr>
        <w:t xml:space="preserve"> 17</w:t>
      </w:r>
      <w:r w:rsidR="005D0F9D" w:rsidRPr="00515872">
        <w:rPr>
          <w:rStyle w:val="markedcontent"/>
          <w:rFonts w:cs="Tahoma"/>
          <w:szCs w:val="20"/>
        </w:rPr>
        <w:t xml:space="preserve"> del medesimo articolo</w:t>
      </w:r>
      <w:r w:rsidR="00722F33" w:rsidRPr="00515872">
        <w:rPr>
          <w:rStyle w:val="markedcontent"/>
          <w:rFonts w:cs="Tahoma"/>
          <w:szCs w:val="20"/>
        </w:rPr>
        <w:t xml:space="preserve"> dispone il divieto per le</w:t>
      </w:r>
      <w:r w:rsidR="005D0F9D" w:rsidRPr="00515872">
        <w:rPr>
          <w:rFonts w:cs="Tahoma"/>
          <w:szCs w:val="20"/>
        </w:rPr>
        <w:t xml:space="preserve"> </w:t>
      </w:r>
      <w:r w:rsidR="00722F33" w:rsidRPr="00515872">
        <w:rPr>
          <w:rStyle w:val="markedcontent"/>
          <w:rFonts w:cs="Tahoma"/>
          <w:szCs w:val="20"/>
        </w:rPr>
        <w:t>amministrazioni dello Stato, gli enti pubblici territoriali e gli altri soggetti pubblici</w:t>
      </w:r>
      <w:r w:rsidR="005D0F9D" w:rsidRPr="00515872">
        <w:rPr>
          <w:rFonts w:cs="Tahoma"/>
          <w:szCs w:val="20"/>
        </w:rPr>
        <w:t xml:space="preserve"> </w:t>
      </w:r>
      <w:r w:rsidR="00722F33" w:rsidRPr="00515872">
        <w:rPr>
          <w:rStyle w:val="markedcontent"/>
          <w:rFonts w:cs="Tahoma"/>
          <w:szCs w:val="20"/>
        </w:rPr>
        <w:t>di acquistare beni immobili appartenenti al patrimonio immobiliare pubblico</w:t>
      </w:r>
      <w:r w:rsidR="005D0F9D" w:rsidRPr="00515872">
        <w:rPr>
          <w:rStyle w:val="markedcontent"/>
          <w:rFonts w:cs="Tahoma"/>
          <w:szCs w:val="20"/>
        </w:rPr>
        <w:t xml:space="preserve">, salvo che per </w:t>
      </w:r>
      <w:r w:rsidR="00722F33" w:rsidRPr="00515872">
        <w:rPr>
          <w:rStyle w:val="markedcontent"/>
          <w:rFonts w:cs="Tahoma"/>
          <w:szCs w:val="20"/>
        </w:rPr>
        <w:t>gli enti pubblici territoriali c</w:t>
      </w:r>
      <w:r w:rsidR="005D0F9D" w:rsidRPr="00515872">
        <w:rPr>
          <w:rStyle w:val="markedcontent"/>
          <w:rFonts w:cs="Tahoma"/>
          <w:szCs w:val="20"/>
        </w:rPr>
        <w:t>he intenda</w:t>
      </w:r>
      <w:r w:rsidR="00722F33" w:rsidRPr="00515872">
        <w:rPr>
          <w:rStyle w:val="markedcontent"/>
          <w:rFonts w:cs="Tahoma"/>
          <w:szCs w:val="20"/>
        </w:rPr>
        <w:t>no acquistare</w:t>
      </w:r>
      <w:r w:rsidR="00722F33" w:rsidRPr="00515872">
        <w:rPr>
          <w:rFonts w:cs="Tahoma"/>
          <w:szCs w:val="20"/>
        </w:rPr>
        <w:br/>
      </w:r>
      <w:r w:rsidR="00722F33" w:rsidRPr="00515872">
        <w:rPr>
          <w:rStyle w:val="markedcontent"/>
          <w:rFonts w:cs="Tahoma"/>
          <w:szCs w:val="20"/>
        </w:rPr>
        <w:t xml:space="preserve">immobili ad uso non residenziale </w:t>
      </w:r>
      <w:r w:rsidR="005D0F9D" w:rsidRPr="00515872">
        <w:rPr>
          <w:rStyle w:val="markedcontent"/>
          <w:rFonts w:cs="Tahoma"/>
          <w:szCs w:val="20"/>
        </w:rPr>
        <w:t>da</w:t>
      </w:r>
      <w:r w:rsidR="00722F33" w:rsidRPr="00515872">
        <w:rPr>
          <w:rStyle w:val="markedcontent"/>
          <w:rFonts w:cs="Tahoma"/>
          <w:szCs w:val="20"/>
        </w:rPr>
        <w:t xml:space="preserve"> destinar</w:t>
      </w:r>
      <w:r w:rsidR="005D0F9D" w:rsidRPr="00515872">
        <w:rPr>
          <w:rStyle w:val="markedcontent"/>
          <w:rFonts w:cs="Tahoma"/>
          <w:szCs w:val="20"/>
        </w:rPr>
        <w:t>e</w:t>
      </w:r>
      <w:r w:rsidR="00722F33" w:rsidRPr="00515872">
        <w:rPr>
          <w:rStyle w:val="markedcontent"/>
          <w:rFonts w:cs="Tahoma"/>
          <w:szCs w:val="20"/>
        </w:rPr>
        <w:t xml:space="preserve"> a</w:t>
      </w:r>
      <w:r w:rsidR="005D0F9D" w:rsidRPr="00515872">
        <w:rPr>
          <w:rStyle w:val="markedcontent"/>
          <w:rFonts w:cs="Tahoma"/>
          <w:szCs w:val="20"/>
        </w:rPr>
        <w:t>lle proprie</w:t>
      </w:r>
      <w:r w:rsidR="00722F33" w:rsidRPr="00515872">
        <w:rPr>
          <w:rStyle w:val="markedcontent"/>
          <w:rFonts w:cs="Tahoma"/>
          <w:szCs w:val="20"/>
        </w:rPr>
        <w:t xml:space="preserve"> finalità istituzionali. </w:t>
      </w:r>
      <w:r w:rsidR="005D0F9D" w:rsidRPr="00515872">
        <w:rPr>
          <w:rStyle w:val="markedcontent"/>
          <w:rFonts w:cs="Tahoma"/>
          <w:szCs w:val="20"/>
        </w:rPr>
        <w:t xml:space="preserve">Il </w:t>
      </w:r>
      <w:r w:rsidR="00722F33" w:rsidRPr="00515872">
        <w:rPr>
          <w:rStyle w:val="markedcontent"/>
          <w:rFonts w:cs="Tahoma"/>
          <w:szCs w:val="20"/>
        </w:rPr>
        <w:t>c</w:t>
      </w:r>
      <w:r w:rsidR="005D0F9D" w:rsidRPr="00515872">
        <w:rPr>
          <w:rStyle w:val="markedcontent"/>
          <w:rFonts w:cs="Tahoma"/>
          <w:szCs w:val="20"/>
        </w:rPr>
        <w:t>.</w:t>
      </w:r>
      <w:r w:rsidR="00722F33" w:rsidRPr="00515872">
        <w:rPr>
          <w:rStyle w:val="markedcontent"/>
          <w:rFonts w:cs="Tahoma"/>
          <w:szCs w:val="20"/>
        </w:rPr>
        <w:t xml:space="preserve"> 17-bis dispone inoltre che tale divieto non si applica</w:t>
      </w:r>
      <w:r w:rsidR="005D0F9D" w:rsidRPr="00515872">
        <w:rPr>
          <w:rFonts w:cs="Tahoma"/>
          <w:szCs w:val="20"/>
        </w:rPr>
        <w:t xml:space="preserve"> </w:t>
      </w:r>
      <w:r w:rsidR="00722F33" w:rsidRPr="00515872">
        <w:rPr>
          <w:rStyle w:val="markedcontent"/>
          <w:rFonts w:cs="Tahoma"/>
          <w:szCs w:val="20"/>
        </w:rPr>
        <w:t>agli enti pubblici territoriali che intendono acquistare, sulla base dei valori correnti</w:t>
      </w:r>
      <w:r w:rsidR="005D0F9D" w:rsidRPr="00515872">
        <w:rPr>
          <w:rFonts w:cs="Tahoma"/>
          <w:szCs w:val="20"/>
        </w:rPr>
        <w:t xml:space="preserve"> </w:t>
      </w:r>
      <w:r w:rsidR="00722F33" w:rsidRPr="00515872">
        <w:rPr>
          <w:rStyle w:val="markedcontent"/>
          <w:rFonts w:cs="Tahoma"/>
          <w:szCs w:val="20"/>
        </w:rPr>
        <w:t>di mercato, unità immobiliari residenziali, escluse quelle di pregio, che risultano</w:t>
      </w:r>
      <w:r w:rsidR="005D0F9D" w:rsidRPr="00515872">
        <w:rPr>
          <w:rFonts w:cs="Tahoma"/>
          <w:szCs w:val="20"/>
        </w:rPr>
        <w:t xml:space="preserve"> </w:t>
      </w:r>
      <w:r w:rsidR="005D0F9D" w:rsidRPr="00515872">
        <w:rPr>
          <w:rStyle w:val="markedcontent"/>
          <w:rFonts w:cs="Tahoma"/>
          <w:szCs w:val="20"/>
        </w:rPr>
        <w:t xml:space="preserve">libere, ovvero che intendono </w:t>
      </w:r>
      <w:r w:rsidR="00722F33" w:rsidRPr="00515872">
        <w:rPr>
          <w:rStyle w:val="markedcontent"/>
          <w:rFonts w:cs="Tahoma"/>
          <w:szCs w:val="20"/>
        </w:rPr>
        <w:t>acquistare, con le diminuzioni di prezzo previste,</w:t>
      </w:r>
      <w:r w:rsidR="005D0F9D" w:rsidRPr="00515872">
        <w:rPr>
          <w:rFonts w:cs="Tahoma"/>
          <w:szCs w:val="20"/>
        </w:rPr>
        <w:t xml:space="preserve"> </w:t>
      </w:r>
      <w:r w:rsidR="00722F33" w:rsidRPr="00515872">
        <w:rPr>
          <w:rStyle w:val="markedcontent"/>
          <w:rFonts w:cs="Tahoma"/>
          <w:szCs w:val="20"/>
        </w:rPr>
        <w:t>unità immobiliari a uso residenziale poste in vendita locate ai medesimi enti</w:t>
      </w:r>
      <w:r w:rsidR="005D0F9D" w:rsidRPr="00515872">
        <w:rPr>
          <w:rFonts w:cs="Tahoma"/>
          <w:szCs w:val="20"/>
        </w:rPr>
        <w:t xml:space="preserve"> </w:t>
      </w:r>
      <w:r w:rsidR="00722F33" w:rsidRPr="00515872">
        <w:rPr>
          <w:rStyle w:val="markedcontent"/>
          <w:rFonts w:cs="Tahoma"/>
          <w:szCs w:val="20"/>
        </w:rPr>
        <w:t>pubblici territoriali al fine di fronteggiare l'emergenza abitativa o per le quali non</w:t>
      </w:r>
      <w:r w:rsidR="005D0F9D" w:rsidRPr="00515872">
        <w:rPr>
          <w:rFonts w:cs="Tahoma"/>
          <w:szCs w:val="20"/>
        </w:rPr>
        <w:t xml:space="preserve"> </w:t>
      </w:r>
      <w:r w:rsidR="00722F33" w:rsidRPr="00515872">
        <w:rPr>
          <w:rStyle w:val="markedcontent"/>
          <w:rFonts w:cs="Tahoma"/>
          <w:szCs w:val="20"/>
        </w:rPr>
        <w:t>sia stato esercitato il diritto di opzione da parte dei conduttori che si trovano nelle</w:t>
      </w:r>
      <w:r w:rsidR="005D0F9D" w:rsidRPr="00515872">
        <w:rPr>
          <w:rFonts w:cs="Tahoma"/>
          <w:szCs w:val="20"/>
        </w:rPr>
        <w:t xml:space="preserve"> </w:t>
      </w:r>
      <w:r w:rsidR="00722F33" w:rsidRPr="00515872">
        <w:rPr>
          <w:rStyle w:val="markedcontent"/>
          <w:rFonts w:cs="Tahoma"/>
          <w:szCs w:val="20"/>
        </w:rPr>
        <w:t>condizioni di disagio economico.</w:t>
      </w:r>
    </w:p>
    <w:p w14:paraId="712DEC24" w14:textId="77777777" w:rsidR="00722F33" w:rsidRPr="00515872" w:rsidRDefault="00722F33" w:rsidP="006B14FF">
      <w:pPr>
        <w:autoSpaceDE w:val="0"/>
        <w:autoSpaceDN w:val="0"/>
        <w:adjustRightInd w:val="0"/>
        <w:spacing w:line="360" w:lineRule="auto"/>
        <w:jc w:val="both"/>
        <w:rPr>
          <w:rStyle w:val="markedcontent"/>
          <w:rFonts w:cs="Tahoma"/>
          <w:szCs w:val="20"/>
        </w:rPr>
      </w:pPr>
      <w:r w:rsidRPr="00515872">
        <w:rPr>
          <w:rStyle w:val="markedcontent"/>
          <w:rFonts w:cs="Tahoma"/>
          <w:szCs w:val="20"/>
        </w:rPr>
        <w:t>Il c</w:t>
      </w:r>
      <w:r w:rsidR="00D66B91" w:rsidRPr="00515872">
        <w:rPr>
          <w:rStyle w:val="markedcontent"/>
          <w:rFonts w:cs="Tahoma"/>
          <w:szCs w:val="20"/>
        </w:rPr>
        <w:t xml:space="preserve">. </w:t>
      </w:r>
      <w:r w:rsidRPr="00515872">
        <w:rPr>
          <w:rStyle w:val="markedcontent"/>
          <w:rFonts w:cs="Tahoma"/>
          <w:szCs w:val="20"/>
        </w:rPr>
        <w:t>153 della legge di bilancio 2021 prevede</w:t>
      </w:r>
      <w:r w:rsidR="005D0F9D" w:rsidRPr="00515872">
        <w:rPr>
          <w:rStyle w:val="markedcontent"/>
          <w:rFonts w:cs="Tahoma"/>
          <w:szCs w:val="20"/>
        </w:rPr>
        <w:t xml:space="preserve"> ora</w:t>
      </w:r>
      <w:r w:rsidRPr="00515872">
        <w:rPr>
          <w:rStyle w:val="markedcontent"/>
          <w:rFonts w:cs="Tahoma"/>
          <w:szCs w:val="20"/>
        </w:rPr>
        <w:t xml:space="preserve"> la possibilità</w:t>
      </w:r>
      <w:r w:rsidR="005D0F9D" w:rsidRPr="00515872">
        <w:rPr>
          <w:rFonts w:cs="Tahoma"/>
          <w:szCs w:val="20"/>
        </w:rPr>
        <w:t xml:space="preserve"> </w:t>
      </w:r>
      <w:r w:rsidRPr="00515872">
        <w:rPr>
          <w:rStyle w:val="markedcontent"/>
          <w:rFonts w:cs="Tahoma"/>
          <w:szCs w:val="20"/>
        </w:rPr>
        <w:t>di procedere</w:t>
      </w:r>
      <w:r w:rsidR="005D0F9D" w:rsidRPr="00515872">
        <w:rPr>
          <w:rFonts w:cs="Tahoma"/>
          <w:szCs w:val="20"/>
        </w:rPr>
        <w:t xml:space="preserve"> </w:t>
      </w:r>
      <w:r w:rsidRPr="00515872">
        <w:rPr>
          <w:rStyle w:val="markedcontent"/>
          <w:rFonts w:cs="Tahoma"/>
          <w:szCs w:val="20"/>
        </w:rPr>
        <w:t>all'acquisto diretto di unità immobiliari appartenenti al patrimonio</w:t>
      </w:r>
      <w:r w:rsidR="005D0F9D" w:rsidRPr="00515872">
        <w:rPr>
          <w:rFonts w:cs="Tahoma"/>
          <w:szCs w:val="20"/>
        </w:rPr>
        <w:t xml:space="preserve"> </w:t>
      </w:r>
      <w:r w:rsidRPr="00515872">
        <w:rPr>
          <w:rStyle w:val="markedcontent"/>
          <w:rFonts w:cs="Tahoma"/>
          <w:szCs w:val="20"/>
        </w:rPr>
        <w:t>immobiliare dello Stato</w:t>
      </w:r>
      <w:r w:rsidR="005D0F9D" w:rsidRPr="00515872">
        <w:rPr>
          <w:rStyle w:val="markedcontent"/>
          <w:rFonts w:cs="Tahoma"/>
          <w:szCs w:val="20"/>
        </w:rPr>
        <w:t>, sancendo che l</w:t>
      </w:r>
      <w:r w:rsidRPr="00515872">
        <w:rPr>
          <w:rStyle w:val="markedcontent"/>
          <w:rFonts w:cs="Tahoma"/>
          <w:szCs w:val="20"/>
        </w:rPr>
        <w:t xml:space="preserve">a congruità del prezzo </w:t>
      </w:r>
      <w:r w:rsidR="005D0F9D" w:rsidRPr="00515872">
        <w:rPr>
          <w:rStyle w:val="markedcontent"/>
          <w:rFonts w:cs="Tahoma"/>
          <w:szCs w:val="20"/>
        </w:rPr>
        <w:t xml:space="preserve">deve essere </w:t>
      </w:r>
      <w:r w:rsidRPr="00515872">
        <w:rPr>
          <w:rStyle w:val="markedcontent"/>
          <w:rFonts w:cs="Tahoma"/>
          <w:szCs w:val="20"/>
        </w:rPr>
        <w:t>attestata dall'Agenzia</w:t>
      </w:r>
      <w:r w:rsidR="005D0F9D" w:rsidRPr="00515872">
        <w:rPr>
          <w:rFonts w:cs="Tahoma"/>
          <w:szCs w:val="20"/>
        </w:rPr>
        <w:t xml:space="preserve"> </w:t>
      </w:r>
      <w:r w:rsidRPr="00515872">
        <w:rPr>
          <w:rStyle w:val="markedcontent"/>
          <w:rFonts w:cs="Tahoma"/>
          <w:szCs w:val="20"/>
        </w:rPr>
        <w:t>dell'</w:t>
      </w:r>
      <w:r w:rsidR="005D0F9D" w:rsidRPr="00515872">
        <w:rPr>
          <w:rStyle w:val="markedcontent"/>
          <w:rFonts w:cs="Tahoma"/>
          <w:szCs w:val="20"/>
        </w:rPr>
        <w:t>E</w:t>
      </w:r>
      <w:r w:rsidRPr="00515872">
        <w:rPr>
          <w:rStyle w:val="markedcontent"/>
          <w:rFonts w:cs="Tahoma"/>
          <w:szCs w:val="20"/>
        </w:rPr>
        <w:t>ntrate.</w:t>
      </w:r>
    </w:p>
    <w:p w14:paraId="09C91479" w14:textId="77777777" w:rsidR="00D66B91" w:rsidRPr="00515872" w:rsidRDefault="00D66B91" w:rsidP="00D66B91">
      <w:pPr>
        <w:spacing w:after="0" w:line="360" w:lineRule="auto"/>
        <w:jc w:val="both"/>
        <w:rPr>
          <w:rFonts w:cs="Tahoma"/>
          <w:szCs w:val="20"/>
        </w:rPr>
      </w:pPr>
      <w:r w:rsidRPr="00515872">
        <w:rPr>
          <w:rFonts w:cs="Tahoma"/>
          <w:szCs w:val="20"/>
        </w:rPr>
        <w:t>Ai sensi del c. 1-ter dell'art. 12, D.L. 6 luglio 2011, n. 98, a decorrere dal 1º gennaio 2014 al fine di pervenire a risparmi di spesa ulteriori rispetto a quelli previsti dal patto di stabilità interno, gli enti territoriali potevano effettuare operazioni di acquisto di immobili solo a condizione che:</w:t>
      </w:r>
    </w:p>
    <w:p w14:paraId="02230EF2" w14:textId="77777777" w:rsidR="00D66B91" w:rsidRPr="00515872" w:rsidRDefault="00D66B91" w:rsidP="00D66B91">
      <w:pPr>
        <w:pStyle w:val="Paragrafoelenco"/>
        <w:numPr>
          <w:ilvl w:val="0"/>
          <w:numId w:val="184"/>
        </w:numPr>
        <w:spacing w:line="360" w:lineRule="auto"/>
        <w:ind w:left="284" w:hanging="284"/>
        <w:jc w:val="both"/>
        <w:rPr>
          <w:rFonts w:cs="Tahoma"/>
          <w:szCs w:val="20"/>
        </w:rPr>
      </w:pPr>
      <w:r w:rsidRPr="00515872">
        <w:rPr>
          <w:rFonts w:cs="Tahoma"/>
          <w:szCs w:val="20"/>
        </w:rPr>
        <w:t>fossero comprovate documentalmente l'indispensabilità e l'</w:t>
      </w:r>
      <w:proofErr w:type="spellStart"/>
      <w:r w:rsidRPr="00515872">
        <w:rPr>
          <w:rFonts w:cs="Tahoma"/>
          <w:szCs w:val="20"/>
        </w:rPr>
        <w:t>indilazionabilità</w:t>
      </w:r>
      <w:proofErr w:type="spellEnd"/>
      <w:r w:rsidRPr="00515872">
        <w:rPr>
          <w:rFonts w:cs="Tahoma"/>
          <w:szCs w:val="20"/>
        </w:rPr>
        <w:t xml:space="preserve"> attestate dal responsabile del procedimento;</w:t>
      </w:r>
    </w:p>
    <w:p w14:paraId="16011B1B" w14:textId="77777777" w:rsidR="00D66B91" w:rsidRPr="00515872" w:rsidRDefault="00D66B91" w:rsidP="00D66B91">
      <w:pPr>
        <w:pStyle w:val="Paragrafoelenco"/>
        <w:numPr>
          <w:ilvl w:val="0"/>
          <w:numId w:val="184"/>
        </w:numPr>
        <w:spacing w:line="360" w:lineRule="auto"/>
        <w:ind w:left="284" w:hanging="284"/>
        <w:jc w:val="both"/>
        <w:rPr>
          <w:rFonts w:cs="Tahoma"/>
          <w:szCs w:val="20"/>
        </w:rPr>
      </w:pPr>
      <w:r w:rsidRPr="00515872">
        <w:rPr>
          <w:rFonts w:cs="Tahoma"/>
          <w:szCs w:val="20"/>
        </w:rPr>
        <w:t>la congruità del prezzo fosse attestata dall'Agenzia del Demanio, previo rimborso delle spese;</w:t>
      </w:r>
    </w:p>
    <w:p w14:paraId="43798F56" w14:textId="77777777" w:rsidR="00D66B91" w:rsidRPr="00515872" w:rsidRDefault="00D66B91" w:rsidP="00D66B91">
      <w:pPr>
        <w:pStyle w:val="Paragrafoelenco"/>
        <w:numPr>
          <w:ilvl w:val="0"/>
          <w:numId w:val="184"/>
        </w:numPr>
        <w:spacing w:line="360" w:lineRule="auto"/>
        <w:ind w:left="284" w:hanging="284"/>
        <w:jc w:val="both"/>
        <w:rPr>
          <w:rFonts w:cs="Tahoma"/>
          <w:szCs w:val="20"/>
        </w:rPr>
      </w:pPr>
      <w:r w:rsidRPr="00515872">
        <w:rPr>
          <w:rFonts w:cs="Tahoma"/>
          <w:szCs w:val="20"/>
        </w:rPr>
        <w:lastRenderedPageBreak/>
        <w:t>delle predette operazioni fosse data preventiva notizia, con l'indicazione del soggetto alienante e del prezzo pattuito, nel sito internet istituzionale dell'ente.</w:t>
      </w:r>
    </w:p>
    <w:p w14:paraId="297CAD63" w14:textId="77777777" w:rsidR="00D66B91" w:rsidRPr="00515872" w:rsidRDefault="00D66B91" w:rsidP="00D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color w:val="000000"/>
        </w:rPr>
      </w:pPr>
      <w:r w:rsidRPr="00515872">
        <w:rPr>
          <w:rFonts w:cs="Tahoma"/>
          <w:color w:val="000000"/>
        </w:rPr>
        <w:t xml:space="preserve">Secondo le previsioni dell’art. 14-bis del D.L. 24 aprile 2017, n. 50, </w:t>
      </w:r>
      <w:proofErr w:type="spellStart"/>
      <w:r w:rsidRPr="00515872">
        <w:rPr>
          <w:rFonts w:cs="Tahoma"/>
          <w:color w:val="000000"/>
        </w:rPr>
        <w:t>conv</w:t>
      </w:r>
      <w:proofErr w:type="spellEnd"/>
      <w:r w:rsidRPr="00515872">
        <w:rPr>
          <w:rFonts w:cs="Tahoma"/>
          <w:color w:val="000000"/>
        </w:rPr>
        <w:t xml:space="preserve">. L. 21 giugno 2017, n. 96, le condizioni di documentata indispensabilità e </w:t>
      </w:r>
      <w:proofErr w:type="spellStart"/>
      <w:r w:rsidRPr="00515872">
        <w:rPr>
          <w:rFonts w:cs="Tahoma"/>
          <w:color w:val="000000"/>
        </w:rPr>
        <w:t>indilazionabilità</w:t>
      </w:r>
      <w:proofErr w:type="spellEnd"/>
      <w:r w:rsidRPr="00515872">
        <w:rPr>
          <w:rFonts w:cs="Tahoma"/>
          <w:color w:val="000000"/>
        </w:rPr>
        <w:t xml:space="preserve"> non trovavano applicazione per le operazioni finanziate da risorse, stanziate da apposita delibera del Comitato interministeriale per la programmazione economica o cofinanziate dall’Unione Europea ovvero dallo Stato o dalle regioni, finalizzate all’acquisto degli immobili stessi.</w:t>
      </w:r>
    </w:p>
    <w:p w14:paraId="2F146BF5" w14:textId="77777777" w:rsidR="00D66B91" w:rsidRPr="00515872" w:rsidRDefault="00D66B91" w:rsidP="006B14FF">
      <w:pPr>
        <w:autoSpaceDE w:val="0"/>
        <w:autoSpaceDN w:val="0"/>
        <w:adjustRightInd w:val="0"/>
        <w:spacing w:line="360" w:lineRule="auto"/>
        <w:jc w:val="both"/>
        <w:rPr>
          <w:rFonts w:cs="Tahoma"/>
          <w:color w:val="000000"/>
          <w:szCs w:val="18"/>
        </w:rPr>
      </w:pPr>
      <w:r w:rsidRPr="00515872">
        <w:rPr>
          <w:rFonts w:cs="Tahoma"/>
          <w:szCs w:val="18"/>
        </w:rPr>
        <w:t>Anche tale ultima l</w:t>
      </w:r>
      <w:r w:rsidRPr="00515872">
        <w:rPr>
          <w:rFonts w:cs="Tahoma"/>
          <w:color w:val="000000"/>
          <w:szCs w:val="18"/>
        </w:rPr>
        <w:t>imitazione risulta abrogata, a decorrere dal 2020, dall’art. 57, c.2 lett. f), D.L. 26 ottobre 2019, n. 124.</w:t>
      </w:r>
    </w:p>
    <w:p w14:paraId="3D7E6A4C" w14:textId="77777777" w:rsidR="006B7B49" w:rsidRPr="00515872" w:rsidRDefault="006B7B49" w:rsidP="006B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b/>
          <w:iCs/>
          <w:color w:val="000000"/>
          <w:szCs w:val="20"/>
        </w:rPr>
      </w:pPr>
      <w:r w:rsidRPr="00515872">
        <w:rPr>
          <w:rFonts w:cs="Tahoma"/>
          <w:b/>
          <w:bCs/>
          <w:iCs/>
          <w:color w:val="000000"/>
          <w:szCs w:val="20"/>
        </w:rPr>
        <w:t>Mobili e arredi</w:t>
      </w:r>
    </w:p>
    <w:p w14:paraId="35C0CCB6" w14:textId="77777777" w:rsidR="006B7B49" w:rsidRPr="00515872" w:rsidRDefault="006B7B49" w:rsidP="006B7B49">
      <w:pPr>
        <w:spacing w:line="360" w:lineRule="auto"/>
        <w:jc w:val="both"/>
        <w:rPr>
          <w:rFonts w:eastAsia="Times New Roman" w:cs="Tahoma"/>
          <w:szCs w:val="20"/>
          <w:lang w:eastAsia="it-IT"/>
        </w:rPr>
      </w:pPr>
      <w:r w:rsidRPr="00515872">
        <w:rPr>
          <w:rFonts w:cs="Tahoma"/>
          <w:iCs/>
          <w:color w:val="000000"/>
          <w:szCs w:val="20"/>
        </w:rPr>
        <w:t xml:space="preserve">Per gli esercizi dal 2013 al 2016, come previsto dall’art. 1, c. 141, L. n. 228/2012 </w:t>
      </w:r>
      <w:r w:rsidRPr="00515872">
        <w:rPr>
          <w:rFonts w:eastAsia="Times New Roman" w:cs="Tahoma"/>
          <w:szCs w:val="20"/>
          <w:lang w:eastAsia="it-IT"/>
        </w:rPr>
        <w:t>le amministrazioni pubbliche</w:t>
      </w:r>
      <w:r w:rsidRPr="00515872">
        <w:rPr>
          <w:rFonts w:cs="Tahoma"/>
          <w:iCs/>
          <w:color w:val="000000"/>
          <w:szCs w:val="20"/>
        </w:rPr>
        <w:t xml:space="preserve"> non possono effettuare spese di </w:t>
      </w:r>
      <w:r w:rsidRPr="00515872">
        <w:rPr>
          <w:rFonts w:cs="Tahoma"/>
          <w:bCs/>
          <w:iCs/>
          <w:color w:val="000000"/>
          <w:szCs w:val="20"/>
        </w:rPr>
        <w:t xml:space="preserve">ammontare superiore al 20% di quella sostenuta in media negli anni 2010 e 2011 </w:t>
      </w:r>
      <w:r w:rsidRPr="00515872">
        <w:rPr>
          <w:rFonts w:cs="Tahoma"/>
          <w:iCs/>
          <w:color w:val="000000"/>
          <w:szCs w:val="20"/>
        </w:rPr>
        <w:t xml:space="preserve">per l’acquisto di mobili e arredi, non destinati ad usi scolastici o per servizi all’infanzia, salvo che l’acquisto sia funzionale alla riduzione delle spese connesse alla conduzione degli immobili. </w:t>
      </w:r>
      <w:r w:rsidRPr="00515872">
        <w:rPr>
          <w:rFonts w:cs="Tahoma"/>
          <w:b/>
          <w:iCs/>
          <w:color w:val="000000"/>
          <w:szCs w:val="20"/>
        </w:rPr>
        <w:t>L’organo di revisione verifica preventivamente i risparmi realizzabili,</w:t>
      </w:r>
      <w:r w:rsidRPr="00515872">
        <w:rPr>
          <w:rFonts w:cs="Tahoma"/>
          <w:iCs/>
          <w:color w:val="000000"/>
          <w:szCs w:val="20"/>
        </w:rPr>
        <w:t xml:space="preserve"> che devono essere superiori alla minore spesa derivante dalla suddetta limitazione.</w:t>
      </w:r>
    </w:p>
    <w:p w14:paraId="407A398F" w14:textId="77777777" w:rsidR="006B7B49" w:rsidRPr="00515872" w:rsidRDefault="006B7B49" w:rsidP="006B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La violazione della disposizione è valutabile ai fini della responsabilità amministrativa e disciplinare dei dirigenti.</w:t>
      </w:r>
    </w:p>
    <w:p w14:paraId="2BFEFBD1" w14:textId="77777777" w:rsidR="006B7B49" w:rsidRPr="00515872" w:rsidRDefault="006B7B49" w:rsidP="00EA6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 xml:space="preserve">L’art. 10, c. 3, D.L. 30 dicembre 2015, </w:t>
      </w:r>
      <w:proofErr w:type="spellStart"/>
      <w:r w:rsidRPr="00515872">
        <w:rPr>
          <w:rFonts w:cs="Tahoma"/>
          <w:iCs/>
          <w:color w:val="000000"/>
          <w:szCs w:val="20"/>
        </w:rPr>
        <w:t>conv</w:t>
      </w:r>
      <w:proofErr w:type="spellEnd"/>
      <w:r w:rsidRPr="00515872">
        <w:rPr>
          <w:rFonts w:cs="Tahoma"/>
          <w:iCs/>
          <w:color w:val="000000"/>
          <w:szCs w:val="20"/>
        </w:rPr>
        <w:t>. L. 25 febbraio 2016, n. 21 esclude, dall’applicazione del suddetto vincolo, gli enti locali per l’esercizio 2016.</w:t>
      </w:r>
    </w:p>
    <w:p w14:paraId="700F44BC" w14:textId="77777777" w:rsidR="006B7B49" w:rsidRPr="00515872" w:rsidRDefault="006B7B49" w:rsidP="006B7B49">
      <w:pPr>
        <w:autoSpaceDE w:val="0"/>
        <w:autoSpaceDN w:val="0"/>
        <w:adjustRightInd w:val="0"/>
        <w:spacing w:after="0" w:line="360" w:lineRule="auto"/>
        <w:jc w:val="both"/>
        <w:rPr>
          <w:rFonts w:cs="Tahoma"/>
          <w:b/>
          <w:color w:val="000000"/>
          <w:szCs w:val="20"/>
        </w:rPr>
      </w:pPr>
      <w:r w:rsidRPr="00515872">
        <w:rPr>
          <w:rFonts w:cs="Tahoma"/>
          <w:b/>
          <w:color w:val="000000"/>
          <w:szCs w:val="20"/>
        </w:rPr>
        <w:t>Limitazioni all’indebitamento</w:t>
      </w:r>
    </w:p>
    <w:p w14:paraId="14CCC8E6" w14:textId="77777777" w:rsidR="008F628E" w:rsidRPr="00515872" w:rsidRDefault="006B7B49" w:rsidP="006B7B49">
      <w:pPr>
        <w:spacing w:line="360" w:lineRule="auto"/>
        <w:jc w:val="both"/>
        <w:rPr>
          <w:rFonts w:eastAsia="Times New Roman" w:cs="Tahoma"/>
          <w:szCs w:val="20"/>
          <w:lang w:eastAsia="it-IT"/>
        </w:rPr>
      </w:pPr>
      <w:r w:rsidRPr="00515872">
        <w:rPr>
          <w:rFonts w:cs="Tahoma"/>
          <w:szCs w:val="20"/>
        </w:rPr>
        <w:t>L’ente locale può assumere nuovi mutui o accedere ad altre forme di indebitamento se l’importo annuale degli interessi passivi, sommato a quello delle altre forme di indebitamento già contratte al netto dei contributi statali e regionali, non supera il 10% delle entrate relative ai primi tre titoli</w:t>
      </w:r>
      <w:r w:rsidRPr="00515872">
        <w:rPr>
          <w:rFonts w:eastAsia="Times New Roman" w:cs="Tahoma"/>
          <w:szCs w:val="20"/>
          <w:lang w:eastAsia="it-IT"/>
        </w:rPr>
        <w:t xml:space="preserve"> del rendiconto del penultimo anno precedente a quello in cui viene prevista l'assunzione dei </w:t>
      </w:r>
      <w:r w:rsidR="00C026FB" w:rsidRPr="00515872">
        <w:rPr>
          <w:rFonts w:eastAsia="Times New Roman" w:cs="Tahoma"/>
          <w:szCs w:val="20"/>
          <w:lang w:eastAsia="it-IT"/>
        </w:rPr>
        <w:t>finanziamenti</w:t>
      </w:r>
      <w:r w:rsidR="007E176C" w:rsidRPr="00515872">
        <w:rPr>
          <w:rStyle w:val="Rimandonotaapidipagina"/>
          <w:rFonts w:eastAsia="Times New Roman" w:cs="Tahoma"/>
          <w:szCs w:val="20"/>
          <w:lang w:eastAsia="it-IT"/>
        </w:rPr>
        <w:footnoteReference w:id="58"/>
      </w:r>
      <w:r w:rsidR="008F628E" w:rsidRPr="00515872">
        <w:rPr>
          <w:rFonts w:eastAsia="Times New Roman" w:cs="Tahoma"/>
          <w:szCs w:val="20"/>
          <w:lang w:eastAsia="it-IT"/>
        </w:rPr>
        <w:t>.</w:t>
      </w:r>
    </w:p>
    <w:p w14:paraId="0F43E8EA" w14:textId="77777777" w:rsidR="006B7B49" w:rsidRPr="00515872" w:rsidRDefault="006B7B49" w:rsidP="006B7B49">
      <w:pPr>
        <w:spacing w:line="360" w:lineRule="auto"/>
        <w:jc w:val="both"/>
        <w:rPr>
          <w:rFonts w:eastAsia="Times New Roman" w:cs="Tahoma"/>
          <w:szCs w:val="20"/>
          <w:lang w:eastAsia="it-IT"/>
        </w:rPr>
      </w:pPr>
      <w:r w:rsidRPr="00515872">
        <w:rPr>
          <w:rFonts w:eastAsia="Times New Roman" w:cs="Tahoma"/>
          <w:szCs w:val="20"/>
          <w:lang w:eastAsia="it-IT"/>
        </w:rPr>
        <w:t>Specifiche agevolazioni sono previste per gli enti locali colpiti eventi sismici.</w:t>
      </w:r>
    </w:p>
    <w:p w14:paraId="3B4B05D1" w14:textId="77777777" w:rsidR="00F17036" w:rsidRPr="00515872" w:rsidRDefault="00F17036" w:rsidP="00F1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iCs/>
          <w:color w:val="000000"/>
          <w:szCs w:val="20"/>
        </w:rPr>
      </w:pPr>
      <w:r w:rsidRPr="00515872">
        <w:rPr>
          <w:rFonts w:cs="Tahoma"/>
          <w:b/>
          <w:bCs/>
          <w:iCs/>
          <w:color w:val="000000"/>
          <w:szCs w:val="20"/>
        </w:rPr>
        <w:t>Blocco canoni di locazione pagati dagli enti locali</w:t>
      </w:r>
    </w:p>
    <w:p w14:paraId="482AEE3B" w14:textId="77777777" w:rsidR="00F17036" w:rsidRPr="00515872" w:rsidRDefault="00D83C85" w:rsidP="00F1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L’art. 3, c.1</w:t>
      </w:r>
      <w:r w:rsidR="008F628E" w:rsidRPr="00515872">
        <w:rPr>
          <w:rFonts w:cs="Tahoma"/>
          <w:iCs/>
          <w:color w:val="000000"/>
          <w:szCs w:val="20"/>
        </w:rPr>
        <w:t>,</w:t>
      </w:r>
      <w:r w:rsidRPr="00515872">
        <w:rPr>
          <w:rFonts w:cs="Tahoma"/>
          <w:iCs/>
          <w:color w:val="000000"/>
          <w:szCs w:val="20"/>
        </w:rPr>
        <w:t xml:space="preserve"> D.L. n. 95/2012, come modificato da ultimo dall’art.</w:t>
      </w:r>
      <w:r w:rsidR="0086641B" w:rsidRPr="00515872">
        <w:rPr>
          <w:rFonts w:cs="Tahoma"/>
          <w:iCs/>
          <w:color w:val="000000"/>
          <w:szCs w:val="20"/>
        </w:rPr>
        <w:t xml:space="preserve"> </w:t>
      </w:r>
      <w:r w:rsidRPr="00515872">
        <w:rPr>
          <w:rFonts w:cs="Tahoma"/>
          <w:iCs/>
          <w:color w:val="000000"/>
          <w:szCs w:val="20"/>
        </w:rPr>
        <w:t xml:space="preserve">3, c. 3, D.L. n. 228/2021, prevede che per gli anni dal 2012 al 2022 </w:t>
      </w:r>
      <w:r w:rsidR="00F17036" w:rsidRPr="00515872">
        <w:rPr>
          <w:rFonts w:cs="Tahoma"/>
          <w:iCs/>
          <w:color w:val="000000"/>
          <w:szCs w:val="20"/>
        </w:rPr>
        <w:t>è bloccato l'aggiornamento relativo alla variazione degli indici I</w:t>
      </w:r>
      <w:r w:rsidRPr="00515872">
        <w:rPr>
          <w:rFonts w:cs="Tahoma"/>
          <w:iCs/>
          <w:color w:val="000000"/>
          <w:szCs w:val="20"/>
        </w:rPr>
        <w:t>STAT</w:t>
      </w:r>
      <w:r w:rsidR="00F17036" w:rsidRPr="00515872">
        <w:rPr>
          <w:rFonts w:cs="Tahoma"/>
          <w:iCs/>
          <w:color w:val="000000"/>
          <w:szCs w:val="20"/>
        </w:rPr>
        <w:t xml:space="preserve"> dei </w:t>
      </w:r>
      <w:r w:rsidRPr="00515872">
        <w:rPr>
          <w:rFonts w:cs="Tahoma"/>
          <w:iCs/>
          <w:color w:val="000000"/>
          <w:szCs w:val="20"/>
        </w:rPr>
        <w:t>canoni dovuti dagli enti locali</w:t>
      </w:r>
      <w:r w:rsidR="00F17036" w:rsidRPr="00515872">
        <w:rPr>
          <w:rFonts w:cs="Tahoma"/>
          <w:iCs/>
          <w:color w:val="000000"/>
          <w:szCs w:val="20"/>
        </w:rPr>
        <w:t xml:space="preserve"> per l'utilizzo in locazione passiva di immobili per finalità istituzionali.</w:t>
      </w:r>
      <w:r w:rsidR="007569C7" w:rsidRPr="00515872">
        <w:rPr>
          <w:rFonts w:cs="Tahoma"/>
          <w:iCs/>
          <w:color w:val="000000"/>
          <w:szCs w:val="20"/>
        </w:rPr>
        <w:t xml:space="preserve"> Ai sensi dell’art. 30, c. 11-quater, D.L. n. 41/2021, </w:t>
      </w:r>
      <w:r w:rsidR="00D67A21" w:rsidRPr="00515872">
        <w:rPr>
          <w:rFonts w:cs="Tahoma"/>
        </w:rPr>
        <w:t xml:space="preserve">per fronteggiare gli effetti economici dell'emergenza epidemiologica conseguente alla diffusione del </w:t>
      </w:r>
      <w:r w:rsidR="008F628E" w:rsidRPr="00515872">
        <w:rPr>
          <w:rFonts w:cs="Tahoma"/>
        </w:rPr>
        <w:t xml:space="preserve">virus </w:t>
      </w:r>
      <w:r w:rsidR="00D67A21" w:rsidRPr="00515872">
        <w:rPr>
          <w:rFonts w:cs="Tahoma"/>
        </w:rPr>
        <w:t xml:space="preserve">COVID-19, nell'ambito delle esigenze connesse ai processi di riorganizzazione avviati ai </w:t>
      </w:r>
      <w:r w:rsidR="00D67A21" w:rsidRPr="00515872">
        <w:rPr>
          <w:rFonts w:cs="Tahoma"/>
        </w:rPr>
        <w:lastRenderedPageBreak/>
        <w:t>sensi del medesimo decreto ed al fine di assicurare l'effettiva disponibilità sotto il profilo logistico degli immobili dismessi dalla pubblica amministrazione, le disposizioni di cui sopra non si applicano, limitatamente all'anno 2021, ai contratti di locazione passiva sottoscritti con società direttamente o indirettamente controllate dallo Stato e relativi ad immobili dismessi a seguito delle procedure di cui all'</w:t>
      </w:r>
      <w:hyperlink r:id="rId27" w:history="1">
        <w:r w:rsidR="00D67A21" w:rsidRPr="00515872">
          <w:rPr>
            <w:rStyle w:val="Collegamentoipertestuale"/>
            <w:rFonts w:cs="Tahoma"/>
            <w:color w:val="auto"/>
            <w:u w:val="none"/>
          </w:rPr>
          <w:t>art. 11-quinquies, D.L. n</w:t>
        </w:r>
        <w:r w:rsidR="008F628E" w:rsidRPr="00515872">
          <w:rPr>
            <w:rStyle w:val="Collegamentoipertestuale"/>
            <w:rFonts w:cs="Tahoma"/>
            <w:color w:val="auto"/>
            <w:u w:val="none"/>
          </w:rPr>
          <w:t>.</w:t>
        </w:r>
        <w:r w:rsidR="00D67A21" w:rsidRPr="00515872">
          <w:rPr>
            <w:rStyle w:val="Collegamentoipertestuale"/>
            <w:rFonts w:cs="Tahoma"/>
            <w:color w:val="auto"/>
            <w:u w:val="none"/>
          </w:rPr>
          <w:t xml:space="preserve"> 203/2005</w:t>
        </w:r>
      </w:hyperlink>
      <w:r w:rsidR="00D67A21" w:rsidRPr="00515872">
        <w:rPr>
          <w:rFonts w:cs="Tahoma"/>
        </w:rPr>
        <w:t>.</w:t>
      </w:r>
    </w:p>
    <w:p w14:paraId="320215F7" w14:textId="77777777" w:rsidR="00F17036" w:rsidRPr="00515872" w:rsidRDefault="00F17036" w:rsidP="00F1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In ogni caso, i contratti di locazione di immobili stipulati dalle amministrazioni individuate a</w:t>
      </w:r>
      <w:r w:rsidR="008F628E" w:rsidRPr="00515872">
        <w:rPr>
          <w:rFonts w:cs="Tahoma"/>
          <w:iCs/>
          <w:color w:val="000000"/>
          <w:szCs w:val="20"/>
        </w:rPr>
        <w:t>i sensi dell'art. 1, c. 2,</w:t>
      </w:r>
      <w:r w:rsidRPr="00515872">
        <w:rPr>
          <w:rFonts w:cs="Tahoma"/>
          <w:iCs/>
          <w:color w:val="000000"/>
          <w:szCs w:val="20"/>
        </w:rPr>
        <w:t xml:space="preserve"> L. n. 196/2009, quindi anche dagli enti locali, </w:t>
      </w:r>
      <w:r w:rsidRPr="00515872">
        <w:rPr>
          <w:rFonts w:cs="Tahoma"/>
          <w:b/>
          <w:bCs/>
          <w:iCs/>
          <w:color w:val="000000"/>
          <w:szCs w:val="20"/>
        </w:rPr>
        <w:t>non possono essere rinnovati</w:t>
      </w:r>
      <w:r w:rsidRPr="00515872">
        <w:rPr>
          <w:rFonts w:cs="Tahoma"/>
          <w:iCs/>
          <w:color w:val="000000"/>
          <w:szCs w:val="20"/>
        </w:rPr>
        <w:t>, qualora l'Agenzia del Demanio non abbia espresso nullaosta 60 giorni prima della data entro la quale l'amministrazione locataria può avvalersi della facoltà di comunicare il recesso dal contratto. L'Agenzia del Demanio autorizza il rinnovo dei contratti di locazione, nel rispetto dell'applicazione dei prezzi medi di mercato, soltanto a condizione che non sussistano immobili demaniali disponibili. I contratti stipulati in violazione a tali disposizioni sono nulli</w:t>
      </w:r>
      <w:r w:rsidRPr="00515872">
        <w:rPr>
          <w:rStyle w:val="Rimandonotaapidipagina"/>
          <w:rFonts w:cs="Tahoma"/>
          <w:iCs/>
          <w:color w:val="000000"/>
          <w:szCs w:val="20"/>
        </w:rPr>
        <w:footnoteReference w:id="59"/>
      </w:r>
      <w:r w:rsidRPr="00515872">
        <w:rPr>
          <w:rFonts w:cs="Tahoma"/>
          <w:iCs/>
          <w:color w:val="000000"/>
          <w:szCs w:val="20"/>
        </w:rPr>
        <w:t>.</w:t>
      </w:r>
    </w:p>
    <w:p w14:paraId="151177FB" w14:textId="77777777" w:rsidR="00691565" w:rsidRPr="00515872" w:rsidRDefault="00691565" w:rsidP="00F1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iCs/>
          <w:color w:val="000000"/>
          <w:szCs w:val="20"/>
        </w:rPr>
      </w:pPr>
      <w:r w:rsidRPr="00515872">
        <w:rPr>
          <w:rFonts w:cs="Tahoma"/>
          <w:iCs/>
          <w:color w:val="000000"/>
          <w:szCs w:val="20"/>
        </w:rPr>
        <w:t>L’art. 3, c. 3, D.L. 30 dicembre 2021, n. 228 (decreto milleproroghe) differisce le disposizioni in materia di razionalizzazione del patrimonio pubblico e riduzione dei costi per le locazioni passive di cui all’art. 3, c. 1, D.L. n. 95/2012, già previste per il biennio 2020-2021, al 2022.</w:t>
      </w:r>
    </w:p>
    <w:p w14:paraId="5A348417" w14:textId="77777777" w:rsidR="009518AF" w:rsidRPr="00515872" w:rsidRDefault="009518AF" w:rsidP="009518AF">
      <w:pPr>
        <w:autoSpaceDE w:val="0"/>
        <w:autoSpaceDN w:val="0"/>
        <w:adjustRightInd w:val="0"/>
        <w:spacing w:after="0" w:line="360" w:lineRule="auto"/>
        <w:jc w:val="both"/>
        <w:rPr>
          <w:rFonts w:cs="Tahoma"/>
          <w:b/>
          <w:color w:val="000000"/>
          <w:szCs w:val="20"/>
        </w:rPr>
      </w:pPr>
      <w:r w:rsidRPr="00515872">
        <w:rPr>
          <w:rFonts w:cs="Tahoma"/>
          <w:b/>
          <w:color w:val="000000"/>
          <w:szCs w:val="20"/>
        </w:rPr>
        <w:t>Disapplicazione dei limiti di spesa</w:t>
      </w:r>
    </w:p>
    <w:p w14:paraId="2BBC5121"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L’art. 21-bis del D.L. n. 50/2017 ha previsto la non applicazione di alcuni dei limiti di spesa sopraccitati.</w:t>
      </w:r>
    </w:p>
    <w:p w14:paraId="7281329B" w14:textId="77777777" w:rsidR="009518AF" w:rsidRPr="00515872" w:rsidRDefault="009518AF" w:rsidP="008114A4">
      <w:pPr>
        <w:autoSpaceDE w:val="0"/>
        <w:autoSpaceDN w:val="0"/>
        <w:adjustRightInd w:val="0"/>
        <w:spacing w:after="0" w:line="360" w:lineRule="auto"/>
        <w:jc w:val="both"/>
        <w:rPr>
          <w:rFonts w:cs="Tahoma"/>
          <w:color w:val="000000"/>
          <w:szCs w:val="20"/>
        </w:rPr>
      </w:pPr>
      <w:r w:rsidRPr="00515872">
        <w:rPr>
          <w:rFonts w:cs="Tahoma"/>
          <w:color w:val="000000"/>
          <w:szCs w:val="20"/>
        </w:rPr>
        <w:t xml:space="preserve">Tale norma stabilisce che ai </w:t>
      </w:r>
      <w:r w:rsidR="00D87D9F" w:rsidRPr="00515872">
        <w:rPr>
          <w:rFonts w:cs="Tahoma"/>
          <w:color w:val="000000"/>
          <w:szCs w:val="20"/>
        </w:rPr>
        <w:t>c</w:t>
      </w:r>
      <w:r w:rsidRPr="00515872">
        <w:rPr>
          <w:rFonts w:cs="Tahoma"/>
          <w:color w:val="000000"/>
          <w:szCs w:val="20"/>
        </w:rPr>
        <w:t xml:space="preserve">omuni e le forme </w:t>
      </w:r>
      <w:r w:rsidR="00D87D9F" w:rsidRPr="00515872">
        <w:rPr>
          <w:rFonts w:cs="Tahoma"/>
          <w:color w:val="000000"/>
          <w:szCs w:val="20"/>
        </w:rPr>
        <w:t xml:space="preserve">associative che </w:t>
      </w:r>
      <w:r w:rsidRPr="00515872">
        <w:rPr>
          <w:rFonts w:cs="Tahoma"/>
          <w:color w:val="000000"/>
          <w:szCs w:val="20"/>
        </w:rPr>
        <w:t>hanno approvato il rendiconto 2016 entro il 30 aprile 2017 e hanno rispettato</w:t>
      </w:r>
      <w:r w:rsidR="00D87D9F" w:rsidRPr="00515872">
        <w:rPr>
          <w:rFonts w:cs="Tahoma"/>
          <w:color w:val="000000"/>
          <w:szCs w:val="20"/>
        </w:rPr>
        <w:t>,</w:t>
      </w:r>
      <w:r w:rsidRPr="00515872">
        <w:rPr>
          <w:rFonts w:cs="Tahoma"/>
          <w:color w:val="000000"/>
          <w:szCs w:val="20"/>
        </w:rPr>
        <w:t xml:space="preserve"> nell’anno precedente</w:t>
      </w:r>
      <w:r w:rsidR="00D87D9F" w:rsidRPr="00515872">
        <w:rPr>
          <w:rFonts w:cs="Tahoma"/>
          <w:color w:val="000000"/>
          <w:szCs w:val="20"/>
        </w:rPr>
        <w:t>,</w:t>
      </w:r>
      <w:r w:rsidRPr="00515872">
        <w:rPr>
          <w:rFonts w:cs="Tahoma"/>
          <w:color w:val="000000"/>
          <w:szCs w:val="20"/>
        </w:rPr>
        <w:t xml:space="preserve"> il saldo tra entrate e spese finali non </w:t>
      </w:r>
      <w:r w:rsidR="008114A4" w:rsidRPr="00515872">
        <w:rPr>
          <w:rFonts w:cs="Tahoma"/>
          <w:color w:val="000000"/>
          <w:szCs w:val="20"/>
        </w:rPr>
        <w:t>trovavano applicazione</w:t>
      </w:r>
      <w:r w:rsidRPr="00515872">
        <w:rPr>
          <w:rFonts w:cs="Tahoma"/>
          <w:color w:val="000000"/>
          <w:szCs w:val="20"/>
        </w:rPr>
        <w:t>, per il 2017, le norme che impongono:</w:t>
      </w:r>
    </w:p>
    <w:p w14:paraId="617F596B" w14:textId="77777777" w:rsidR="009518AF" w:rsidRPr="00515872" w:rsidRDefault="009518AF" w:rsidP="008114A4">
      <w:pPr>
        <w:pStyle w:val="Paragrafoelenco"/>
        <w:numPr>
          <w:ilvl w:val="0"/>
          <w:numId w:val="185"/>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la riduzione delle spese per studi ed incarichi di consulenza al 20% delle stesse spese impegnate nel 2009;</w:t>
      </w:r>
    </w:p>
    <w:p w14:paraId="6D965A79" w14:textId="77777777" w:rsidR="009518AF" w:rsidRPr="00515872" w:rsidRDefault="009518AF" w:rsidP="008114A4">
      <w:pPr>
        <w:pStyle w:val="Paragrafoelenco"/>
        <w:numPr>
          <w:ilvl w:val="0"/>
          <w:numId w:val="185"/>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la riduzione delle spese per relazioni pubbliche, convegni, pubblicità e rappresentanza al 20% delle spese impegnate nel 2009;</w:t>
      </w:r>
    </w:p>
    <w:p w14:paraId="3C19D6C8" w14:textId="77777777" w:rsidR="009518AF" w:rsidRPr="00515872" w:rsidRDefault="009518AF" w:rsidP="008114A4">
      <w:pPr>
        <w:pStyle w:val="Paragrafoelenco"/>
        <w:numPr>
          <w:ilvl w:val="0"/>
          <w:numId w:val="185"/>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il divieto di sostenere spese per sponsorizzazioni;</w:t>
      </w:r>
    </w:p>
    <w:p w14:paraId="46519631" w14:textId="77777777" w:rsidR="009518AF" w:rsidRPr="00515872" w:rsidRDefault="009518AF" w:rsidP="008114A4">
      <w:pPr>
        <w:pStyle w:val="Paragrafoelenco"/>
        <w:numPr>
          <w:ilvl w:val="0"/>
          <w:numId w:val="185"/>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la riduzione delle spese per la formazione nella misura del 50% di quelle sostenute nel 2009;</w:t>
      </w:r>
    </w:p>
    <w:p w14:paraId="42FB9FFB" w14:textId="77777777" w:rsidR="00B76AD4" w:rsidRPr="00515872" w:rsidRDefault="009518AF" w:rsidP="008114A4">
      <w:pPr>
        <w:pStyle w:val="Paragrafoelenco"/>
        <w:numPr>
          <w:ilvl w:val="0"/>
          <w:numId w:val="185"/>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la riduzione del 50% della spesa sostenuta nel 2007 per la stampa di relazioni e di ogni altra pubblicazione prevista da leggi o regolamenti e distribuita gratuitamente o inviata ad altre amministrazioni.</w:t>
      </w:r>
    </w:p>
    <w:p w14:paraId="4A353347" w14:textId="77777777" w:rsidR="009518AF" w:rsidRPr="00515872" w:rsidRDefault="009518AF" w:rsidP="009518AF">
      <w:pPr>
        <w:autoSpaceDE w:val="0"/>
        <w:autoSpaceDN w:val="0"/>
        <w:adjustRightInd w:val="0"/>
        <w:spacing w:line="360" w:lineRule="auto"/>
        <w:jc w:val="both"/>
        <w:rPr>
          <w:rFonts w:cs="Tahoma"/>
          <w:color w:val="000000"/>
        </w:rPr>
      </w:pPr>
      <w:r w:rsidRPr="00515872">
        <w:rPr>
          <w:rFonts w:cs="Tahoma"/>
          <w:color w:val="000000"/>
          <w:szCs w:val="20"/>
        </w:rPr>
        <w:t xml:space="preserve">Stessa previsione </w:t>
      </w:r>
      <w:r w:rsidR="00A35626" w:rsidRPr="00515872">
        <w:rPr>
          <w:rFonts w:cs="Tahoma"/>
          <w:color w:val="000000"/>
          <w:szCs w:val="20"/>
        </w:rPr>
        <w:t>era</w:t>
      </w:r>
      <w:r w:rsidRPr="00515872">
        <w:rPr>
          <w:rFonts w:cs="Tahoma"/>
          <w:color w:val="000000"/>
          <w:szCs w:val="20"/>
        </w:rPr>
        <w:t xml:space="preserve"> stabilita a decorrere dal 2018 </w:t>
      </w:r>
      <w:r w:rsidRPr="00515872">
        <w:rPr>
          <w:rFonts w:cs="Tahoma"/>
          <w:color w:val="000000"/>
        </w:rPr>
        <w:t xml:space="preserve">ai comuni e alle loro forme associative che </w:t>
      </w:r>
      <w:r w:rsidR="00A35626" w:rsidRPr="00515872">
        <w:rPr>
          <w:rFonts w:cs="Tahoma"/>
          <w:color w:val="000000"/>
        </w:rPr>
        <w:t>avessero</w:t>
      </w:r>
      <w:r w:rsidRPr="00515872">
        <w:rPr>
          <w:rFonts w:cs="Tahoma"/>
          <w:color w:val="000000"/>
        </w:rPr>
        <w:t xml:space="preserve"> approvato il bilancio preventivo dell'esercizio di riferimento entro il 31 dicembre dell'anno precedente e che </w:t>
      </w:r>
      <w:r w:rsidR="00A35626" w:rsidRPr="00515872">
        <w:rPr>
          <w:rFonts w:cs="Tahoma"/>
          <w:color w:val="000000"/>
        </w:rPr>
        <w:t>avessero</w:t>
      </w:r>
      <w:r w:rsidRPr="00515872">
        <w:rPr>
          <w:rFonts w:cs="Tahoma"/>
          <w:color w:val="000000"/>
        </w:rPr>
        <w:t xml:space="preserve"> rispettato nell'anno precedente il saldo tra entrate finali e spese finali.</w:t>
      </w:r>
      <w:r w:rsidR="00A35626" w:rsidRPr="00515872">
        <w:rPr>
          <w:rFonts w:cs="Tahoma"/>
          <w:color w:val="000000"/>
        </w:rPr>
        <w:t xml:space="preserve"> Tale agevolazione è stata abrogata, a decorrere dal 1° gennaio 2020, dall’art. 57, c. 2-bis, D.L. 26 ottobre 2019, n. 124.</w:t>
      </w:r>
    </w:p>
    <w:p w14:paraId="75FD157D" w14:textId="77777777" w:rsidR="004E5F11" w:rsidRPr="00515872" w:rsidRDefault="00921D24" w:rsidP="00747B34">
      <w:pPr>
        <w:spacing w:before="100" w:beforeAutospacing="1" w:after="0" w:line="360" w:lineRule="auto"/>
        <w:jc w:val="both"/>
        <w:rPr>
          <w:rFonts w:eastAsia="Times New Roman" w:cs="Tahoma"/>
          <w:szCs w:val="20"/>
          <w:lang w:eastAsia="it-IT"/>
        </w:rPr>
      </w:pPr>
      <w:r w:rsidRPr="00515872">
        <w:rPr>
          <w:rFonts w:eastAsia="Times New Roman" w:cs="Tahoma"/>
          <w:szCs w:val="20"/>
          <w:lang w:eastAsia="it-IT"/>
        </w:rPr>
        <w:t>A seguito della conversione in legge del</w:t>
      </w:r>
      <w:r w:rsidR="00A35626" w:rsidRPr="00515872">
        <w:rPr>
          <w:rFonts w:eastAsia="Times New Roman" w:cs="Tahoma"/>
          <w:szCs w:val="20"/>
          <w:lang w:eastAsia="it-IT"/>
        </w:rPr>
        <w:t>lo stesso</w:t>
      </w:r>
      <w:r w:rsidRPr="00515872">
        <w:rPr>
          <w:rFonts w:eastAsia="Times New Roman" w:cs="Tahoma"/>
          <w:szCs w:val="20"/>
          <w:lang w:eastAsia="it-IT"/>
        </w:rPr>
        <w:t xml:space="preserve"> D.L. </w:t>
      </w:r>
      <w:r w:rsidR="00B729E5" w:rsidRPr="00515872">
        <w:rPr>
          <w:rFonts w:eastAsia="Times New Roman" w:cs="Tahoma"/>
          <w:szCs w:val="20"/>
          <w:lang w:eastAsia="it-IT"/>
        </w:rPr>
        <w:t xml:space="preserve">26/10/2019, n. 124, </w:t>
      </w:r>
      <w:r w:rsidR="008114A4" w:rsidRPr="00515872">
        <w:rPr>
          <w:rFonts w:eastAsia="Times New Roman" w:cs="Tahoma"/>
          <w:szCs w:val="20"/>
          <w:lang w:eastAsia="it-IT"/>
        </w:rPr>
        <w:t xml:space="preserve">come già accennato, </w:t>
      </w:r>
      <w:r w:rsidR="00B729E5" w:rsidRPr="00515872">
        <w:rPr>
          <w:rFonts w:eastAsia="Times New Roman" w:cs="Tahoma"/>
          <w:szCs w:val="20"/>
          <w:lang w:eastAsia="it-IT"/>
        </w:rPr>
        <w:t xml:space="preserve">sono abrogate per tutti gli enti, a norma dell’art. </w:t>
      </w:r>
      <w:r w:rsidR="00B07173" w:rsidRPr="00515872">
        <w:rPr>
          <w:rFonts w:eastAsia="Times New Roman" w:cs="Tahoma"/>
          <w:szCs w:val="20"/>
          <w:lang w:eastAsia="it-IT"/>
        </w:rPr>
        <w:t xml:space="preserve">57, c. 2, </w:t>
      </w:r>
      <w:r w:rsidR="00B729E5" w:rsidRPr="00515872">
        <w:rPr>
          <w:rFonts w:eastAsia="Times New Roman" w:cs="Tahoma"/>
          <w:szCs w:val="20"/>
          <w:lang w:eastAsia="it-IT"/>
        </w:rPr>
        <w:t>a d</w:t>
      </w:r>
      <w:r w:rsidR="00D87D9F" w:rsidRPr="00515872">
        <w:rPr>
          <w:rFonts w:eastAsia="Times New Roman" w:cs="Tahoma"/>
          <w:szCs w:val="20"/>
          <w:lang w:eastAsia="it-IT"/>
        </w:rPr>
        <w:t xml:space="preserve">ecorrere dall’esercizio 2020, </w:t>
      </w:r>
      <w:r w:rsidR="00B729E5" w:rsidRPr="00515872">
        <w:rPr>
          <w:rFonts w:eastAsia="Times New Roman" w:cs="Tahoma"/>
          <w:szCs w:val="20"/>
          <w:lang w:eastAsia="it-IT"/>
        </w:rPr>
        <w:t xml:space="preserve">le seguenti </w:t>
      </w:r>
      <w:r w:rsidR="00B76AD4" w:rsidRPr="00515872">
        <w:rPr>
          <w:rFonts w:eastAsia="Times New Roman" w:cs="Tahoma"/>
          <w:szCs w:val="20"/>
          <w:lang w:eastAsia="it-IT"/>
        </w:rPr>
        <w:t>limitazioni</w:t>
      </w:r>
      <w:r w:rsidR="00B729E5" w:rsidRPr="00515872">
        <w:rPr>
          <w:rFonts w:eastAsia="Times New Roman" w:cs="Tahoma"/>
          <w:szCs w:val="20"/>
          <w:lang w:eastAsia="it-IT"/>
        </w:rPr>
        <w:t>:</w:t>
      </w:r>
    </w:p>
    <w:p w14:paraId="092E4F6E" w14:textId="77777777" w:rsidR="00B76AD4" w:rsidRPr="00515872" w:rsidRDefault="00B76AD4" w:rsidP="00D65838">
      <w:pPr>
        <w:pStyle w:val="Paragrafoelenco"/>
        <w:numPr>
          <w:ilvl w:val="0"/>
          <w:numId w:val="209"/>
        </w:numPr>
        <w:tabs>
          <w:tab w:val="clear" w:pos="720"/>
          <w:tab w:val="num" w:pos="426"/>
        </w:tabs>
        <w:spacing w:after="0" w:line="360" w:lineRule="auto"/>
        <w:ind w:left="425" w:hanging="357"/>
        <w:jc w:val="both"/>
        <w:rPr>
          <w:rFonts w:eastAsia="Times New Roman" w:cs="Tahoma"/>
          <w:szCs w:val="20"/>
          <w:lang w:eastAsia="it-IT"/>
        </w:rPr>
      </w:pPr>
      <w:r w:rsidRPr="00515872">
        <w:rPr>
          <w:rFonts w:eastAsia="Times New Roman" w:cs="Tahoma"/>
          <w:szCs w:val="20"/>
          <w:lang w:eastAsia="it-IT"/>
        </w:rPr>
        <w:lastRenderedPageBreak/>
        <w:t xml:space="preserve">i limiti di spesa per </w:t>
      </w:r>
      <w:r w:rsidRPr="00515872">
        <w:rPr>
          <w:rFonts w:eastAsia="Times New Roman" w:cs="Tahoma"/>
          <w:b/>
          <w:bCs/>
          <w:szCs w:val="20"/>
          <w:lang w:eastAsia="it-IT"/>
        </w:rPr>
        <w:t>studi ed incarichi di consulenza</w:t>
      </w:r>
      <w:r w:rsidRPr="00515872">
        <w:rPr>
          <w:rFonts w:eastAsia="Times New Roman" w:cs="Tahoma"/>
          <w:szCs w:val="20"/>
          <w:lang w:eastAsia="it-IT"/>
        </w:rPr>
        <w:t xml:space="preserve"> pari al 20% della spesa sostenuta nell’anno 2009 (art. 6, c</w:t>
      </w:r>
      <w:r w:rsidR="00D87D9F" w:rsidRPr="00515872">
        <w:rPr>
          <w:rFonts w:eastAsia="Times New Roman" w:cs="Tahoma"/>
          <w:szCs w:val="20"/>
          <w:lang w:eastAsia="it-IT"/>
        </w:rPr>
        <w:t xml:space="preserve">. </w:t>
      </w:r>
      <w:r w:rsidRPr="00515872">
        <w:rPr>
          <w:rFonts w:eastAsia="Times New Roman" w:cs="Tahoma"/>
          <w:szCs w:val="20"/>
          <w:lang w:eastAsia="it-IT"/>
        </w:rPr>
        <w:t>7</w:t>
      </w:r>
      <w:r w:rsidR="00D87D9F" w:rsidRPr="00515872">
        <w:rPr>
          <w:rFonts w:eastAsia="Times New Roman" w:cs="Tahoma"/>
          <w:szCs w:val="20"/>
          <w:lang w:eastAsia="it-IT"/>
        </w:rPr>
        <w:t>, D.L. n.</w:t>
      </w:r>
      <w:r w:rsidRPr="00515872">
        <w:rPr>
          <w:rFonts w:eastAsia="Times New Roman" w:cs="Tahoma"/>
          <w:szCs w:val="20"/>
          <w:lang w:eastAsia="it-IT"/>
        </w:rPr>
        <w:t xml:space="preserve"> 78/2010);</w:t>
      </w:r>
    </w:p>
    <w:p w14:paraId="50A9DB8B" w14:textId="77777777" w:rsidR="00B76AD4" w:rsidRPr="00515872" w:rsidRDefault="00B76AD4" w:rsidP="00D65838">
      <w:pPr>
        <w:numPr>
          <w:ilvl w:val="0"/>
          <w:numId w:val="209"/>
        </w:numPr>
        <w:tabs>
          <w:tab w:val="clear" w:pos="720"/>
          <w:tab w:val="num" w:pos="426"/>
        </w:tabs>
        <w:spacing w:before="100" w:beforeAutospacing="1" w:after="100" w:afterAutospacing="1" w:line="360" w:lineRule="auto"/>
        <w:ind w:left="426"/>
        <w:jc w:val="both"/>
        <w:rPr>
          <w:rFonts w:eastAsia="Times New Roman" w:cs="Tahoma"/>
          <w:szCs w:val="20"/>
          <w:lang w:eastAsia="it-IT"/>
        </w:rPr>
      </w:pPr>
      <w:r w:rsidRPr="00515872">
        <w:rPr>
          <w:rFonts w:eastAsia="Times New Roman" w:cs="Tahoma"/>
          <w:szCs w:val="20"/>
          <w:lang w:eastAsia="it-IT"/>
        </w:rPr>
        <w:t xml:space="preserve">i limiti di </w:t>
      </w:r>
      <w:r w:rsidRPr="00515872">
        <w:rPr>
          <w:rFonts w:eastAsia="Times New Roman" w:cs="Tahoma"/>
          <w:b/>
          <w:bCs/>
          <w:szCs w:val="20"/>
          <w:lang w:eastAsia="it-IT"/>
        </w:rPr>
        <w:t>spesa per relazioni pubbliche, convegni, mostre, pubblicità e rappresentanza</w:t>
      </w:r>
      <w:r w:rsidRPr="00515872">
        <w:rPr>
          <w:rFonts w:eastAsia="Times New Roman" w:cs="Tahoma"/>
          <w:szCs w:val="20"/>
          <w:lang w:eastAsia="it-IT"/>
        </w:rPr>
        <w:t xml:space="preserve"> pari al 20% della spesa dell’anno 2009 (art. 6, c</w:t>
      </w:r>
      <w:r w:rsidR="00D87D9F" w:rsidRPr="00515872">
        <w:rPr>
          <w:rFonts w:eastAsia="Times New Roman" w:cs="Tahoma"/>
          <w:szCs w:val="20"/>
          <w:lang w:eastAsia="it-IT"/>
        </w:rPr>
        <w:t>.</w:t>
      </w:r>
      <w:r w:rsidRPr="00515872">
        <w:rPr>
          <w:rFonts w:eastAsia="Times New Roman" w:cs="Tahoma"/>
          <w:szCs w:val="20"/>
          <w:lang w:eastAsia="it-IT"/>
        </w:rPr>
        <w:t xml:space="preserve"> 8</w:t>
      </w:r>
      <w:r w:rsidR="00D87D9F" w:rsidRPr="00515872">
        <w:rPr>
          <w:rFonts w:eastAsia="Times New Roman" w:cs="Tahoma"/>
          <w:szCs w:val="20"/>
          <w:lang w:eastAsia="it-IT"/>
        </w:rPr>
        <w:t>, D.L. n.</w:t>
      </w:r>
      <w:r w:rsidRPr="00515872">
        <w:rPr>
          <w:rFonts w:eastAsia="Times New Roman" w:cs="Tahoma"/>
          <w:szCs w:val="20"/>
          <w:lang w:eastAsia="it-IT"/>
        </w:rPr>
        <w:t xml:space="preserve"> 78/2010); </w:t>
      </w:r>
    </w:p>
    <w:p w14:paraId="1F584042" w14:textId="77777777" w:rsidR="00B76AD4" w:rsidRPr="00515872" w:rsidRDefault="00B76AD4" w:rsidP="00D65838">
      <w:pPr>
        <w:numPr>
          <w:ilvl w:val="0"/>
          <w:numId w:val="209"/>
        </w:numPr>
        <w:tabs>
          <w:tab w:val="clear" w:pos="720"/>
          <w:tab w:val="num" w:pos="426"/>
        </w:tabs>
        <w:spacing w:before="100" w:beforeAutospacing="1" w:after="100" w:afterAutospacing="1" w:line="360" w:lineRule="auto"/>
        <w:ind w:left="426"/>
        <w:jc w:val="both"/>
        <w:rPr>
          <w:rFonts w:eastAsia="Times New Roman" w:cs="Tahoma"/>
          <w:szCs w:val="20"/>
          <w:lang w:eastAsia="it-IT"/>
        </w:rPr>
      </w:pPr>
      <w:r w:rsidRPr="00515872">
        <w:rPr>
          <w:rFonts w:eastAsia="Times New Roman" w:cs="Tahoma"/>
          <w:szCs w:val="20"/>
          <w:lang w:eastAsia="it-IT"/>
        </w:rPr>
        <w:t xml:space="preserve">il divieto di effettuare </w:t>
      </w:r>
      <w:r w:rsidRPr="00515872">
        <w:rPr>
          <w:rFonts w:eastAsia="Times New Roman" w:cs="Tahoma"/>
          <w:b/>
          <w:bCs/>
          <w:szCs w:val="20"/>
          <w:lang w:eastAsia="it-IT"/>
        </w:rPr>
        <w:t>sponsorizzazioni</w:t>
      </w:r>
      <w:r w:rsidRPr="00515872">
        <w:rPr>
          <w:rFonts w:eastAsia="Times New Roman" w:cs="Tahoma"/>
          <w:szCs w:val="20"/>
          <w:lang w:eastAsia="it-IT"/>
        </w:rPr>
        <w:t xml:space="preserve"> (art. 6, c</w:t>
      </w:r>
      <w:r w:rsidR="00D87D9F" w:rsidRPr="00515872">
        <w:rPr>
          <w:rFonts w:eastAsia="Times New Roman" w:cs="Tahoma"/>
          <w:szCs w:val="20"/>
          <w:lang w:eastAsia="it-IT"/>
        </w:rPr>
        <w:t xml:space="preserve">. </w:t>
      </w:r>
      <w:r w:rsidRPr="00515872">
        <w:rPr>
          <w:rFonts w:eastAsia="Times New Roman" w:cs="Tahoma"/>
          <w:szCs w:val="20"/>
          <w:lang w:eastAsia="it-IT"/>
        </w:rPr>
        <w:t>9</w:t>
      </w:r>
      <w:r w:rsidR="00D87D9F" w:rsidRPr="00515872">
        <w:rPr>
          <w:rFonts w:eastAsia="Times New Roman" w:cs="Tahoma"/>
          <w:szCs w:val="20"/>
          <w:lang w:eastAsia="it-IT"/>
        </w:rPr>
        <w:t>, D.L. n.</w:t>
      </w:r>
      <w:r w:rsidRPr="00515872">
        <w:rPr>
          <w:rFonts w:eastAsia="Times New Roman" w:cs="Tahoma"/>
          <w:szCs w:val="20"/>
          <w:lang w:eastAsia="it-IT"/>
        </w:rPr>
        <w:t xml:space="preserve"> 78/2010);</w:t>
      </w:r>
    </w:p>
    <w:p w14:paraId="17A5F8E0" w14:textId="77777777" w:rsidR="00B76AD4" w:rsidRPr="00515872" w:rsidRDefault="00B76AD4" w:rsidP="00D65838">
      <w:pPr>
        <w:numPr>
          <w:ilvl w:val="0"/>
          <w:numId w:val="209"/>
        </w:numPr>
        <w:tabs>
          <w:tab w:val="clear" w:pos="720"/>
          <w:tab w:val="num" w:pos="426"/>
        </w:tabs>
        <w:spacing w:before="100" w:beforeAutospacing="1" w:after="100" w:afterAutospacing="1" w:line="360" w:lineRule="auto"/>
        <w:ind w:left="426"/>
        <w:jc w:val="both"/>
        <w:rPr>
          <w:rFonts w:eastAsia="Times New Roman" w:cs="Tahoma"/>
          <w:szCs w:val="20"/>
          <w:lang w:eastAsia="it-IT"/>
        </w:rPr>
      </w:pPr>
      <w:r w:rsidRPr="00515872">
        <w:rPr>
          <w:rFonts w:eastAsia="Times New Roman" w:cs="Tahoma"/>
          <w:szCs w:val="20"/>
          <w:lang w:eastAsia="it-IT"/>
        </w:rPr>
        <w:t xml:space="preserve">i limiti delle </w:t>
      </w:r>
      <w:r w:rsidRPr="00515872">
        <w:rPr>
          <w:rFonts w:eastAsia="Times New Roman" w:cs="Tahoma"/>
          <w:b/>
          <w:bCs/>
          <w:szCs w:val="20"/>
          <w:lang w:eastAsia="it-IT"/>
        </w:rPr>
        <w:t>spese per missioni</w:t>
      </w:r>
      <w:r w:rsidRPr="00515872">
        <w:rPr>
          <w:rFonts w:eastAsia="Times New Roman" w:cs="Tahoma"/>
          <w:szCs w:val="20"/>
          <w:lang w:eastAsia="it-IT"/>
        </w:rPr>
        <w:t xml:space="preserve"> per un ammontare superiore al 50% della spesa sostenuta nell’anno 2009 (art. 6, c</w:t>
      </w:r>
      <w:r w:rsidR="00A57150" w:rsidRPr="00515872">
        <w:rPr>
          <w:rFonts w:eastAsia="Times New Roman" w:cs="Tahoma"/>
          <w:szCs w:val="20"/>
          <w:lang w:eastAsia="it-IT"/>
        </w:rPr>
        <w:t>.</w:t>
      </w:r>
      <w:r w:rsidRPr="00515872">
        <w:rPr>
          <w:rFonts w:eastAsia="Times New Roman" w:cs="Tahoma"/>
          <w:szCs w:val="20"/>
          <w:lang w:eastAsia="it-IT"/>
        </w:rPr>
        <w:t xml:space="preserve"> 12</w:t>
      </w:r>
      <w:r w:rsidR="00A57150" w:rsidRPr="00515872">
        <w:rPr>
          <w:rFonts w:eastAsia="Times New Roman" w:cs="Tahoma"/>
          <w:szCs w:val="20"/>
          <w:lang w:eastAsia="it-IT"/>
        </w:rPr>
        <w:t>, D.L. n.</w:t>
      </w:r>
      <w:r w:rsidRPr="00515872">
        <w:rPr>
          <w:rFonts w:eastAsia="Times New Roman" w:cs="Tahoma"/>
          <w:szCs w:val="20"/>
          <w:lang w:eastAsia="it-IT"/>
        </w:rPr>
        <w:t xml:space="preserve"> 78/2010);</w:t>
      </w:r>
    </w:p>
    <w:p w14:paraId="55495522" w14:textId="77777777" w:rsidR="00B76AD4" w:rsidRPr="00515872" w:rsidRDefault="00B76AD4" w:rsidP="00D65838">
      <w:pPr>
        <w:numPr>
          <w:ilvl w:val="0"/>
          <w:numId w:val="209"/>
        </w:numPr>
        <w:tabs>
          <w:tab w:val="clear" w:pos="720"/>
          <w:tab w:val="num" w:pos="426"/>
        </w:tabs>
        <w:spacing w:before="100" w:beforeAutospacing="1" w:after="100" w:afterAutospacing="1" w:line="360" w:lineRule="auto"/>
        <w:ind w:left="426"/>
        <w:jc w:val="both"/>
        <w:rPr>
          <w:rFonts w:eastAsia="Times New Roman" w:cs="Tahoma"/>
          <w:szCs w:val="20"/>
          <w:lang w:eastAsia="it-IT"/>
        </w:rPr>
      </w:pPr>
      <w:r w:rsidRPr="00515872">
        <w:rPr>
          <w:rFonts w:eastAsia="Times New Roman" w:cs="Tahoma"/>
          <w:szCs w:val="20"/>
          <w:lang w:eastAsia="it-IT"/>
        </w:rPr>
        <w:t xml:space="preserve">i limiti di spesa per la </w:t>
      </w:r>
      <w:r w:rsidRPr="00515872">
        <w:rPr>
          <w:rFonts w:eastAsia="Times New Roman" w:cs="Tahoma"/>
          <w:b/>
          <w:bCs/>
          <w:szCs w:val="20"/>
          <w:lang w:eastAsia="it-IT"/>
        </w:rPr>
        <w:t>formazione del personale</w:t>
      </w:r>
      <w:r w:rsidRPr="00515872">
        <w:rPr>
          <w:rFonts w:eastAsia="Times New Roman" w:cs="Tahoma"/>
          <w:szCs w:val="20"/>
          <w:lang w:eastAsia="it-IT"/>
        </w:rPr>
        <w:t xml:space="preserve"> in precedenza fissato al 50</w:t>
      </w:r>
      <w:r w:rsidR="00A57150" w:rsidRPr="00515872">
        <w:rPr>
          <w:rFonts w:eastAsia="Times New Roman" w:cs="Tahoma"/>
          <w:szCs w:val="20"/>
          <w:lang w:eastAsia="it-IT"/>
        </w:rPr>
        <w:t>%</w:t>
      </w:r>
      <w:r w:rsidRPr="00515872">
        <w:rPr>
          <w:rFonts w:eastAsia="Times New Roman" w:cs="Tahoma"/>
          <w:szCs w:val="20"/>
          <w:lang w:eastAsia="it-IT"/>
        </w:rPr>
        <w:t xml:space="preserve"> della relativa spesa dell’anno 2009 (art.6, c. 13</w:t>
      </w:r>
      <w:r w:rsidR="00A57150" w:rsidRPr="00515872">
        <w:rPr>
          <w:rFonts w:eastAsia="Times New Roman" w:cs="Tahoma"/>
          <w:szCs w:val="20"/>
          <w:lang w:eastAsia="it-IT"/>
        </w:rPr>
        <w:t>, D.L.</w:t>
      </w:r>
      <w:r w:rsidRPr="00515872">
        <w:rPr>
          <w:rFonts w:eastAsia="Times New Roman" w:cs="Tahoma"/>
          <w:szCs w:val="20"/>
          <w:lang w:eastAsia="it-IT"/>
        </w:rPr>
        <w:t xml:space="preserve"> n. 78/2010);</w:t>
      </w:r>
    </w:p>
    <w:p w14:paraId="7953D62F" w14:textId="77777777" w:rsidR="00EA6907" w:rsidRPr="00515872" w:rsidRDefault="00B76AD4" w:rsidP="00D65838">
      <w:pPr>
        <w:numPr>
          <w:ilvl w:val="0"/>
          <w:numId w:val="209"/>
        </w:numPr>
        <w:tabs>
          <w:tab w:val="clear" w:pos="720"/>
          <w:tab w:val="num" w:pos="426"/>
        </w:tabs>
        <w:spacing w:before="100" w:beforeAutospacing="1" w:after="100" w:afterAutospacing="1" w:line="360" w:lineRule="auto"/>
        <w:ind w:left="426"/>
        <w:jc w:val="both"/>
        <w:rPr>
          <w:rFonts w:eastAsia="Times New Roman" w:cs="Tahoma"/>
          <w:szCs w:val="20"/>
          <w:lang w:eastAsia="it-IT"/>
        </w:rPr>
      </w:pPr>
      <w:r w:rsidRPr="00515872">
        <w:rPr>
          <w:rFonts w:eastAsia="Times New Roman" w:cs="Tahoma"/>
          <w:szCs w:val="20"/>
          <w:lang w:eastAsia="it-IT"/>
        </w:rPr>
        <w:t xml:space="preserve">i limiti di spesa per </w:t>
      </w:r>
      <w:r w:rsidRPr="00515872">
        <w:rPr>
          <w:rFonts w:eastAsia="Times New Roman" w:cs="Tahoma"/>
          <w:b/>
          <w:bCs/>
          <w:szCs w:val="20"/>
          <w:lang w:eastAsia="it-IT"/>
        </w:rPr>
        <w:t>acquisto, manutenzione, noleggio ed esercizio di autovetture</w:t>
      </w:r>
      <w:r w:rsidRPr="00515872">
        <w:rPr>
          <w:rFonts w:eastAsia="Times New Roman" w:cs="Tahoma"/>
          <w:szCs w:val="20"/>
          <w:lang w:eastAsia="it-IT"/>
        </w:rPr>
        <w:t>, nonché per l’acquisto di buoni taxi per un ammontare superiore al 30</w:t>
      </w:r>
      <w:r w:rsidR="00A57150" w:rsidRPr="00515872">
        <w:rPr>
          <w:rFonts w:eastAsia="Times New Roman" w:cs="Tahoma"/>
          <w:szCs w:val="20"/>
          <w:lang w:eastAsia="it-IT"/>
        </w:rPr>
        <w:t>%</w:t>
      </w:r>
      <w:r w:rsidRPr="00515872">
        <w:rPr>
          <w:rFonts w:eastAsia="Times New Roman" w:cs="Tahoma"/>
          <w:szCs w:val="20"/>
          <w:lang w:eastAsia="it-IT"/>
        </w:rPr>
        <w:t xml:space="preserve"> della spesa sostenuta nell’an</w:t>
      </w:r>
      <w:r w:rsidR="00A57150" w:rsidRPr="00515872">
        <w:rPr>
          <w:rFonts w:eastAsia="Times New Roman" w:cs="Tahoma"/>
          <w:szCs w:val="20"/>
          <w:lang w:eastAsia="it-IT"/>
        </w:rPr>
        <w:t>no 2011 (art. 5, c.</w:t>
      </w:r>
      <w:r w:rsidR="00B07173" w:rsidRPr="00515872">
        <w:rPr>
          <w:rFonts w:eastAsia="Times New Roman" w:cs="Tahoma"/>
          <w:szCs w:val="20"/>
          <w:lang w:eastAsia="it-IT"/>
        </w:rPr>
        <w:t xml:space="preserve"> 2</w:t>
      </w:r>
      <w:r w:rsidR="00A57150" w:rsidRPr="00515872">
        <w:rPr>
          <w:rFonts w:eastAsia="Times New Roman" w:cs="Tahoma"/>
          <w:szCs w:val="20"/>
          <w:lang w:eastAsia="it-IT"/>
        </w:rPr>
        <w:t>, D.L. n. 95/2012);</w:t>
      </w:r>
    </w:p>
    <w:p w14:paraId="204CCB4D" w14:textId="77777777" w:rsidR="003E6912" w:rsidRPr="00515872" w:rsidRDefault="00EA6907" w:rsidP="00D65838">
      <w:pPr>
        <w:numPr>
          <w:ilvl w:val="0"/>
          <w:numId w:val="209"/>
        </w:numPr>
        <w:tabs>
          <w:tab w:val="clear" w:pos="720"/>
          <w:tab w:val="num" w:pos="426"/>
        </w:tabs>
        <w:spacing w:before="100" w:beforeAutospacing="1" w:line="360" w:lineRule="auto"/>
        <w:ind w:left="425" w:hanging="357"/>
        <w:jc w:val="both"/>
        <w:rPr>
          <w:rFonts w:eastAsia="Times New Roman" w:cs="Tahoma"/>
          <w:szCs w:val="20"/>
          <w:lang w:eastAsia="it-IT"/>
        </w:rPr>
      </w:pPr>
      <w:r w:rsidRPr="00515872">
        <w:rPr>
          <w:rFonts w:eastAsia="Times New Roman" w:cs="Tahoma"/>
          <w:szCs w:val="20"/>
          <w:lang w:eastAsia="it-IT"/>
        </w:rPr>
        <w:t xml:space="preserve">la limitazione della possibilità di </w:t>
      </w:r>
      <w:r w:rsidR="005A181C" w:rsidRPr="00515872">
        <w:rPr>
          <w:rFonts w:cs="Tahoma"/>
        </w:rPr>
        <w:t xml:space="preserve">acquisto degli immobili </w:t>
      </w:r>
      <w:r w:rsidR="003E6912" w:rsidRPr="00515872">
        <w:rPr>
          <w:rFonts w:cs="Tahoma"/>
        </w:rPr>
        <w:t xml:space="preserve">di cui </w:t>
      </w:r>
      <w:r w:rsidR="005A181C" w:rsidRPr="00515872">
        <w:rPr>
          <w:rFonts w:cs="Tahoma"/>
        </w:rPr>
        <w:t>al</w:t>
      </w:r>
      <w:r w:rsidR="003E6912" w:rsidRPr="00515872">
        <w:rPr>
          <w:rFonts w:cs="Tahoma"/>
        </w:rPr>
        <w:t>l’art. 12,</w:t>
      </w:r>
      <w:r w:rsidR="005A181C" w:rsidRPr="00515872">
        <w:rPr>
          <w:rFonts w:cs="Tahoma"/>
        </w:rPr>
        <w:t xml:space="preserve"> c</w:t>
      </w:r>
      <w:r w:rsidR="003E6912" w:rsidRPr="00515872">
        <w:rPr>
          <w:rFonts w:cs="Tahoma"/>
        </w:rPr>
        <w:t>. 1</w:t>
      </w:r>
      <w:r w:rsidR="00A57150" w:rsidRPr="00515872">
        <w:rPr>
          <w:rFonts w:cs="Tahoma"/>
        </w:rPr>
        <w:t>-</w:t>
      </w:r>
      <w:r w:rsidR="003E6912" w:rsidRPr="00515872">
        <w:rPr>
          <w:rFonts w:cs="Tahoma"/>
        </w:rPr>
        <w:t xml:space="preserve">ter, </w:t>
      </w:r>
      <w:r w:rsidR="005A181C" w:rsidRPr="00515872">
        <w:rPr>
          <w:rFonts w:cs="Tahoma"/>
        </w:rPr>
        <w:t>D.L</w:t>
      </w:r>
      <w:r w:rsidR="008114A4" w:rsidRPr="00515872">
        <w:rPr>
          <w:rFonts w:cs="Tahoma"/>
        </w:rPr>
        <w:t>.</w:t>
      </w:r>
      <w:r w:rsidR="005A181C" w:rsidRPr="00515872">
        <w:rPr>
          <w:rFonts w:cs="Tahoma"/>
        </w:rPr>
        <w:t xml:space="preserve"> 6 luglio 2011, n. 98</w:t>
      </w:r>
      <w:r w:rsidR="003E6912" w:rsidRPr="00515872">
        <w:rPr>
          <w:rFonts w:cs="Tahoma"/>
        </w:rPr>
        <w:t xml:space="preserve"> ai soli casi di </w:t>
      </w:r>
      <w:r w:rsidR="005A181C" w:rsidRPr="00515872">
        <w:rPr>
          <w:rFonts w:cs="Tahoma"/>
        </w:rPr>
        <w:t>documenta</w:t>
      </w:r>
      <w:r w:rsidR="003E6912" w:rsidRPr="00515872">
        <w:rPr>
          <w:rFonts w:cs="Tahoma"/>
        </w:rPr>
        <w:t>ta</w:t>
      </w:r>
      <w:r w:rsidR="00A57150" w:rsidRPr="00515872">
        <w:rPr>
          <w:rFonts w:cs="Tahoma"/>
        </w:rPr>
        <w:t xml:space="preserve"> “indispensabilità e </w:t>
      </w:r>
      <w:proofErr w:type="spellStart"/>
      <w:r w:rsidR="005A181C" w:rsidRPr="00515872">
        <w:rPr>
          <w:rFonts w:cs="Tahoma"/>
        </w:rPr>
        <w:t>indilazionabilità</w:t>
      </w:r>
      <w:proofErr w:type="spellEnd"/>
      <w:r w:rsidR="005A181C" w:rsidRPr="00515872">
        <w:rPr>
          <w:rFonts w:cs="Tahoma"/>
        </w:rPr>
        <w:t>”</w:t>
      </w:r>
      <w:r w:rsidR="003E6912" w:rsidRPr="00515872">
        <w:rPr>
          <w:rFonts w:cs="Tahoma"/>
        </w:rPr>
        <w:t>.</w:t>
      </w:r>
    </w:p>
    <w:p w14:paraId="3D201720" w14:textId="77777777" w:rsidR="00710E70" w:rsidRPr="00515872" w:rsidRDefault="00710E70" w:rsidP="00710E70">
      <w:pPr>
        <w:spacing w:before="100" w:beforeAutospacing="1" w:line="360" w:lineRule="auto"/>
        <w:ind w:left="425"/>
        <w:jc w:val="both"/>
        <w:rPr>
          <w:rFonts w:eastAsia="Times New Roman" w:cs="Tahoma"/>
          <w:szCs w:val="20"/>
          <w:highlight w:val="yellow"/>
          <w:lang w:eastAsia="it-IT"/>
        </w:rPr>
      </w:pPr>
    </w:p>
    <w:p w14:paraId="1323EB6A" w14:textId="77777777" w:rsidR="009518AF" w:rsidRPr="00515872" w:rsidRDefault="009518AF" w:rsidP="00297A21">
      <w:pPr>
        <w:pStyle w:val="Paragrafo"/>
      </w:pPr>
      <w:bookmarkStart w:id="119" w:name="_Toc521317088"/>
      <w:bookmarkStart w:id="120" w:name="_Toc95912267"/>
      <w:r w:rsidRPr="00515872">
        <w:t>4.5 Il Rendiconto della gestione</w:t>
      </w:r>
      <w:bookmarkEnd w:id="119"/>
      <w:bookmarkEnd w:id="120"/>
    </w:p>
    <w:p w14:paraId="640AEB3E" w14:textId="77777777" w:rsidR="009518AF" w:rsidRPr="00515872" w:rsidRDefault="009518AF" w:rsidP="009518AF">
      <w:pPr>
        <w:spacing w:after="0" w:line="360" w:lineRule="auto"/>
        <w:jc w:val="both"/>
        <w:rPr>
          <w:rFonts w:cs="Tahoma"/>
          <w:lang w:eastAsia="it-IT"/>
        </w:rPr>
      </w:pPr>
      <w:r w:rsidRPr="00515872">
        <w:rPr>
          <w:rFonts w:cs="Tahoma"/>
          <w:lang w:eastAsia="it-IT"/>
        </w:rPr>
        <w:t>I risultati della gestione del bilancio vengono sintetizzati nel rendiconto della gestione che si compone di tre diversi documenti:</w:t>
      </w:r>
    </w:p>
    <w:p w14:paraId="11EF8A09" w14:textId="77777777" w:rsidR="009518AF" w:rsidRPr="00515872" w:rsidRDefault="009518AF" w:rsidP="009518AF">
      <w:pPr>
        <w:pStyle w:val="Paragrafoelenco"/>
        <w:numPr>
          <w:ilvl w:val="0"/>
          <w:numId w:val="30"/>
        </w:numPr>
        <w:spacing w:line="360" w:lineRule="auto"/>
        <w:jc w:val="both"/>
        <w:rPr>
          <w:rFonts w:cs="Tahoma"/>
          <w:lang w:eastAsia="it-IT"/>
        </w:rPr>
      </w:pPr>
      <w:r w:rsidRPr="00515872">
        <w:rPr>
          <w:rFonts w:cs="Tahoma"/>
          <w:lang w:eastAsia="it-IT"/>
        </w:rPr>
        <w:t>il conto del bilancio;</w:t>
      </w:r>
    </w:p>
    <w:p w14:paraId="2D8F2CF3" w14:textId="77777777" w:rsidR="009518AF" w:rsidRPr="00515872" w:rsidRDefault="009518AF" w:rsidP="009518AF">
      <w:pPr>
        <w:pStyle w:val="Paragrafoelenco"/>
        <w:numPr>
          <w:ilvl w:val="0"/>
          <w:numId w:val="30"/>
        </w:numPr>
        <w:spacing w:line="360" w:lineRule="auto"/>
        <w:jc w:val="both"/>
        <w:rPr>
          <w:rFonts w:cs="Tahoma"/>
          <w:lang w:eastAsia="it-IT"/>
        </w:rPr>
      </w:pPr>
      <w:r w:rsidRPr="00515872">
        <w:rPr>
          <w:rFonts w:cs="Tahoma"/>
          <w:lang w:eastAsia="it-IT"/>
        </w:rPr>
        <w:t>il conto economico;</w:t>
      </w:r>
    </w:p>
    <w:p w14:paraId="68BC2A29" w14:textId="77777777" w:rsidR="009518AF" w:rsidRPr="00515872" w:rsidRDefault="009518AF" w:rsidP="009518AF">
      <w:pPr>
        <w:pStyle w:val="Paragrafoelenco"/>
        <w:numPr>
          <w:ilvl w:val="0"/>
          <w:numId w:val="30"/>
        </w:numPr>
        <w:spacing w:line="360" w:lineRule="auto"/>
        <w:jc w:val="both"/>
        <w:rPr>
          <w:rFonts w:cs="Tahoma"/>
          <w:lang w:eastAsia="it-IT"/>
        </w:rPr>
      </w:pPr>
      <w:r w:rsidRPr="00515872">
        <w:rPr>
          <w:rFonts w:cs="Tahoma"/>
          <w:lang w:eastAsia="it-IT"/>
        </w:rPr>
        <w:t>lo stato patrimoniale (ex conto del patrimonio).</w:t>
      </w:r>
    </w:p>
    <w:p w14:paraId="15AA5677" w14:textId="77777777" w:rsidR="009518AF" w:rsidRPr="00515872" w:rsidRDefault="009518AF" w:rsidP="009518AF">
      <w:pPr>
        <w:spacing w:after="0" w:line="360" w:lineRule="auto"/>
        <w:jc w:val="both"/>
        <w:rPr>
          <w:rFonts w:cs="Tahoma"/>
          <w:lang w:eastAsia="it-IT"/>
        </w:rPr>
      </w:pPr>
      <w:r w:rsidRPr="00515872">
        <w:rPr>
          <w:rFonts w:cs="Tahoma"/>
          <w:lang w:eastAsia="it-IT"/>
        </w:rPr>
        <w:t>Nel rendiconto della gestione vengono riportate, per i residui e la competenza:</w:t>
      </w:r>
    </w:p>
    <w:p w14:paraId="42C3D877" w14:textId="77777777" w:rsidR="009518AF" w:rsidRPr="00515872" w:rsidRDefault="009518AF" w:rsidP="009518AF">
      <w:pPr>
        <w:pStyle w:val="Paragrafoelenco"/>
        <w:numPr>
          <w:ilvl w:val="0"/>
          <w:numId w:val="31"/>
        </w:numPr>
        <w:spacing w:line="360" w:lineRule="auto"/>
        <w:jc w:val="both"/>
        <w:rPr>
          <w:rFonts w:cs="Tahoma"/>
          <w:lang w:eastAsia="it-IT"/>
        </w:rPr>
      </w:pPr>
      <w:r w:rsidRPr="00515872">
        <w:rPr>
          <w:rFonts w:cs="Tahoma"/>
          <w:lang w:eastAsia="it-IT"/>
        </w:rPr>
        <w:t>le somme accertate</w:t>
      </w:r>
      <w:r w:rsidR="00FA443C" w:rsidRPr="00515872">
        <w:rPr>
          <w:rFonts w:cs="Tahoma"/>
          <w:lang w:eastAsia="it-IT"/>
        </w:rPr>
        <w:t>,</w:t>
      </w:r>
      <w:r w:rsidRPr="00515872">
        <w:rPr>
          <w:rFonts w:cs="Tahoma"/>
          <w:lang w:eastAsia="it-IT"/>
        </w:rPr>
        <w:t xml:space="preserve"> con distinzione di quelle riscosse e ancora da riscuotere, distinte per risorsa di entrata;</w:t>
      </w:r>
    </w:p>
    <w:p w14:paraId="6E5420C6" w14:textId="77777777" w:rsidR="009518AF" w:rsidRPr="00515872" w:rsidRDefault="009518AF" w:rsidP="009518AF">
      <w:pPr>
        <w:pStyle w:val="Paragrafoelenco"/>
        <w:numPr>
          <w:ilvl w:val="0"/>
          <w:numId w:val="31"/>
        </w:numPr>
        <w:spacing w:line="360" w:lineRule="auto"/>
        <w:jc w:val="both"/>
        <w:rPr>
          <w:rFonts w:cs="Tahoma"/>
          <w:lang w:eastAsia="it-IT"/>
        </w:rPr>
      </w:pPr>
      <w:r w:rsidRPr="00515872">
        <w:rPr>
          <w:rFonts w:cs="Tahoma"/>
          <w:lang w:eastAsia="it-IT"/>
        </w:rPr>
        <w:t>le somme impegnate</w:t>
      </w:r>
      <w:r w:rsidR="00FA443C" w:rsidRPr="00515872">
        <w:rPr>
          <w:rFonts w:cs="Tahoma"/>
          <w:lang w:eastAsia="it-IT"/>
        </w:rPr>
        <w:t>,</w:t>
      </w:r>
      <w:r w:rsidRPr="00515872">
        <w:rPr>
          <w:rFonts w:cs="Tahoma"/>
          <w:lang w:eastAsia="it-IT"/>
        </w:rPr>
        <w:t xml:space="preserve"> con distinzione di quelle pagate e ancora da pagare, per intervento di spesa.</w:t>
      </w:r>
    </w:p>
    <w:p w14:paraId="2C7A3A13" w14:textId="77777777" w:rsidR="009518AF" w:rsidRPr="00515872" w:rsidRDefault="009518AF" w:rsidP="009518AF">
      <w:pPr>
        <w:spacing w:line="360" w:lineRule="auto"/>
        <w:jc w:val="both"/>
        <w:rPr>
          <w:rFonts w:cs="Tahoma"/>
          <w:lang w:eastAsia="it-IT"/>
        </w:rPr>
      </w:pPr>
      <w:r w:rsidRPr="00515872">
        <w:rPr>
          <w:rFonts w:cs="Tahoma"/>
          <w:lang w:eastAsia="it-IT"/>
        </w:rPr>
        <w:t>Il rendiconto della gestione deve essere approvato dal consiglio dell’ente entro il 30 aprile dell’anno successivo a quello di competenza, salvo proroghe di legge</w:t>
      </w:r>
      <w:r w:rsidR="00453497" w:rsidRPr="00515872">
        <w:rPr>
          <w:rStyle w:val="Rimandonotaapidipagina"/>
          <w:rFonts w:cs="Tahoma"/>
          <w:lang w:eastAsia="it-IT"/>
        </w:rPr>
        <w:footnoteReference w:id="60"/>
      </w:r>
      <w:r w:rsidRPr="00515872">
        <w:rPr>
          <w:rFonts w:cs="Tahoma"/>
          <w:lang w:eastAsia="it-IT"/>
        </w:rPr>
        <w:t xml:space="preserve">. Esso viene presentato al consiglio, da parte della giunta, </w:t>
      </w:r>
      <w:r w:rsidRPr="00515872">
        <w:rPr>
          <w:rFonts w:cs="Tahoma"/>
          <w:b/>
          <w:lang w:eastAsia="it-IT"/>
        </w:rPr>
        <w:t>accompagnato dalla relazione dell’organo di revisione</w:t>
      </w:r>
      <w:r w:rsidRPr="00515872">
        <w:rPr>
          <w:rFonts w:cs="Tahoma"/>
          <w:lang w:eastAsia="it-IT"/>
        </w:rPr>
        <w:t>, dalla relazione della giunta, e da una serie di allegati previsti dalla legge.</w:t>
      </w:r>
    </w:p>
    <w:p w14:paraId="6812C557" w14:textId="77777777" w:rsidR="001B64A8" w:rsidRPr="00515872" w:rsidRDefault="009518AF" w:rsidP="001B64A8">
      <w:pPr>
        <w:spacing w:line="360" w:lineRule="auto"/>
        <w:jc w:val="both"/>
        <w:rPr>
          <w:rFonts w:cs="Tahoma"/>
          <w:lang w:eastAsia="it-IT"/>
        </w:rPr>
      </w:pPr>
      <w:r w:rsidRPr="00515872">
        <w:rPr>
          <w:rFonts w:cs="Tahoma"/>
          <w:lang w:eastAsia="it-IT"/>
        </w:rPr>
        <w:lastRenderedPageBreak/>
        <w:t>La sua principale funzione è quella di rendere il conto dell’attuazione dei prog</w:t>
      </w:r>
      <w:r w:rsidR="001B64A8" w:rsidRPr="00515872">
        <w:rPr>
          <w:rFonts w:cs="Tahoma"/>
          <w:lang w:eastAsia="it-IT"/>
        </w:rPr>
        <w:t>rammi e dei progetti dell’ente.</w:t>
      </w:r>
    </w:p>
    <w:p w14:paraId="33297DA9" w14:textId="77777777" w:rsidR="009518AF" w:rsidRPr="00515872" w:rsidRDefault="009518AF" w:rsidP="009518AF">
      <w:pPr>
        <w:spacing w:after="0" w:line="360" w:lineRule="auto"/>
        <w:jc w:val="both"/>
        <w:rPr>
          <w:rFonts w:cs="Tahoma"/>
          <w:lang w:eastAsia="it-IT"/>
        </w:rPr>
      </w:pPr>
      <w:r w:rsidRPr="00515872">
        <w:rPr>
          <w:rFonts w:cs="Tahoma"/>
          <w:lang w:eastAsia="it-IT"/>
        </w:rPr>
        <w:t xml:space="preserve">Come strumento conoscitivo nei rapporti tra consiglio, giunta e responsabili di servizio, il rendiconto della gestione si caratterizza per due funzioni specifiche: </w:t>
      </w:r>
    </w:p>
    <w:p w14:paraId="59C69B2D" w14:textId="77777777" w:rsidR="009518AF" w:rsidRPr="00515872" w:rsidRDefault="009518AF" w:rsidP="009518AF">
      <w:pPr>
        <w:pStyle w:val="Paragrafoelenco"/>
        <w:numPr>
          <w:ilvl w:val="0"/>
          <w:numId w:val="32"/>
        </w:numPr>
        <w:spacing w:line="360" w:lineRule="auto"/>
        <w:jc w:val="both"/>
        <w:rPr>
          <w:rFonts w:cs="Tahoma"/>
          <w:lang w:eastAsia="it-IT"/>
        </w:rPr>
      </w:pPr>
      <w:r w:rsidRPr="00515872">
        <w:rPr>
          <w:rFonts w:cs="Tahoma"/>
          <w:lang w:eastAsia="it-IT"/>
        </w:rPr>
        <w:t>dimostrazione delle operazioni poste in essere du</w:t>
      </w:r>
      <w:r w:rsidR="002A6015" w:rsidRPr="00515872">
        <w:rPr>
          <w:rFonts w:cs="Tahoma"/>
          <w:lang w:eastAsia="it-IT"/>
        </w:rPr>
        <w:t>rante la gestione e dei</w:t>
      </w:r>
      <w:r w:rsidRPr="00515872">
        <w:rPr>
          <w:rFonts w:cs="Tahoma"/>
          <w:lang w:eastAsia="it-IT"/>
        </w:rPr>
        <w:t xml:space="preserve"> risultati conseguiti in termini di equilibrio finanziario, economico e patrimoniale;</w:t>
      </w:r>
    </w:p>
    <w:p w14:paraId="333C04EF" w14:textId="77777777" w:rsidR="009518AF" w:rsidRPr="00515872" w:rsidRDefault="009518AF" w:rsidP="009518AF">
      <w:pPr>
        <w:pStyle w:val="Paragrafoelenco"/>
        <w:numPr>
          <w:ilvl w:val="0"/>
          <w:numId w:val="32"/>
        </w:numPr>
        <w:spacing w:line="360" w:lineRule="auto"/>
        <w:jc w:val="both"/>
        <w:rPr>
          <w:rFonts w:cs="Tahoma"/>
          <w:lang w:eastAsia="it-IT"/>
        </w:rPr>
      </w:pPr>
      <w:r w:rsidRPr="00515872">
        <w:rPr>
          <w:rFonts w:cs="Tahoma"/>
          <w:lang w:eastAsia="it-IT"/>
        </w:rPr>
        <w:t>controllo da parte degli organi po</w:t>
      </w:r>
      <w:r w:rsidR="00453497" w:rsidRPr="00515872">
        <w:rPr>
          <w:rFonts w:cs="Tahoma"/>
          <w:lang w:eastAsia="it-IT"/>
        </w:rPr>
        <w:t>litici e dei revisori dei conti.</w:t>
      </w:r>
    </w:p>
    <w:p w14:paraId="20961AC5" w14:textId="77777777" w:rsidR="009518AF" w:rsidRPr="00515872" w:rsidRDefault="009518AF" w:rsidP="009518AF">
      <w:pPr>
        <w:spacing w:after="0" w:line="360" w:lineRule="auto"/>
        <w:jc w:val="both"/>
        <w:rPr>
          <w:rFonts w:cs="Tahoma"/>
          <w:lang w:eastAsia="it-IT"/>
        </w:rPr>
      </w:pPr>
      <w:r w:rsidRPr="00515872">
        <w:rPr>
          <w:rFonts w:cs="Tahoma"/>
          <w:lang w:eastAsia="it-IT"/>
        </w:rPr>
        <w:t>Da esso devono, inoltre, evincersi:</w:t>
      </w:r>
    </w:p>
    <w:p w14:paraId="398DB828" w14:textId="77777777" w:rsidR="009518AF" w:rsidRPr="00515872" w:rsidRDefault="009518AF" w:rsidP="00D65838">
      <w:pPr>
        <w:pStyle w:val="Paragrafoelenco"/>
        <w:numPr>
          <w:ilvl w:val="0"/>
          <w:numId w:val="159"/>
        </w:numPr>
        <w:spacing w:line="360" w:lineRule="auto"/>
        <w:jc w:val="both"/>
        <w:rPr>
          <w:rFonts w:cs="Tahoma"/>
          <w:lang w:eastAsia="it-IT"/>
        </w:rPr>
      </w:pPr>
      <w:r w:rsidRPr="00515872">
        <w:rPr>
          <w:rFonts w:cs="Tahoma"/>
          <w:lang w:eastAsia="it-IT"/>
        </w:rPr>
        <w:t>il rispetto degli equilibri di bilancio;</w:t>
      </w:r>
    </w:p>
    <w:p w14:paraId="0CDEA00A" w14:textId="77777777" w:rsidR="009518AF" w:rsidRPr="00515872" w:rsidRDefault="009518AF" w:rsidP="00D65838">
      <w:pPr>
        <w:pStyle w:val="Paragrafoelenco"/>
        <w:numPr>
          <w:ilvl w:val="0"/>
          <w:numId w:val="159"/>
        </w:numPr>
        <w:spacing w:line="360" w:lineRule="auto"/>
        <w:jc w:val="both"/>
        <w:rPr>
          <w:rFonts w:cs="Tahoma"/>
          <w:lang w:eastAsia="it-IT"/>
        </w:rPr>
      </w:pPr>
      <w:r w:rsidRPr="00515872">
        <w:rPr>
          <w:rFonts w:cs="Tahoma"/>
          <w:lang w:eastAsia="it-IT"/>
        </w:rPr>
        <w:t>l’assenza di debiti fuori bilancio o passività potenziali da finanziare;</w:t>
      </w:r>
    </w:p>
    <w:p w14:paraId="53AE5A60" w14:textId="77777777" w:rsidR="009518AF" w:rsidRPr="00515872" w:rsidRDefault="009518AF" w:rsidP="00D65838">
      <w:pPr>
        <w:pStyle w:val="Paragrafoelenco"/>
        <w:numPr>
          <w:ilvl w:val="0"/>
          <w:numId w:val="159"/>
        </w:numPr>
        <w:spacing w:line="360" w:lineRule="auto"/>
        <w:jc w:val="both"/>
        <w:rPr>
          <w:rFonts w:cs="Tahoma"/>
          <w:lang w:eastAsia="it-IT"/>
        </w:rPr>
      </w:pPr>
      <w:r w:rsidRPr="00515872">
        <w:rPr>
          <w:rFonts w:cs="Tahoma"/>
          <w:lang w:eastAsia="it-IT"/>
        </w:rPr>
        <w:t>il rispetto degli obiettivi di finanza pubblica;</w:t>
      </w:r>
    </w:p>
    <w:p w14:paraId="62CDFE4C" w14:textId="77777777" w:rsidR="009518AF" w:rsidRPr="00515872" w:rsidRDefault="009518AF" w:rsidP="00D65838">
      <w:pPr>
        <w:pStyle w:val="Paragrafoelenco"/>
        <w:numPr>
          <w:ilvl w:val="0"/>
          <w:numId w:val="159"/>
        </w:numPr>
        <w:spacing w:line="360" w:lineRule="auto"/>
        <w:jc w:val="both"/>
        <w:rPr>
          <w:rFonts w:cs="Tahoma"/>
          <w:lang w:eastAsia="it-IT"/>
        </w:rPr>
      </w:pPr>
      <w:r w:rsidRPr="00515872">
        <w:rPr>
          <w:rFonts w:cs="Tahoma"/>
          <w:lang w:eastAsia="it-IT"/>
        </w:rPr>
        <w:t>il rispetto delle disposizioni sul contenimento delle spese del personale;</w:t>
      </w:r>
    </w:p>
    <w:p w14:paraId="13A19941" w14:textId="77777777" w:rsidR="009518AF" w:rsidRPr="00515872" w:rsidRDefault="009518AF" w:rsidP="00D65838">
      <w:pPr>
        <w:pStyle w:val="Paragrafoelenco"/>
        <w:numPr>
          <w:ilvl w:val="0"/>
          <w:numId w:val="159"/>
        </w:numPr>
        <w:spacing w:line="360" w:lineRule="auto"/>
        <w:jc w:val="both"/>
        <w:rPr>
          <w:rFonts w:cs="Tahoma"/>
          <w:lang w:eastAsia="it-IT"/>
        </w:rPr>
      </w:pPr>
      <w:r w:rsidRPr="00515872">
        <w:rPr>
          <w:rFonts w:cs="Tahoma"/>
          <w:lang w:eastAsia="it-IT"/>
        </w:rPr>
        <w:t>l’assenza di finanziamenti straordinari agli organismi partecipati.</w:t>
      </w:r>
    </w:p>
    <w:p w14:paraId="39811ED1" w14:textId="77777777" w:rsidR="009518AF" w:rsidRPr="00515872" w:rsidRDefault="009518AF" w:rsidP="00E729C0">
      <w:pPr>
        <w:spacing w:line="360" w:lineRule="auto"/>
        <w:jc w:val="both"/>
        <w:rPr>
          <w:rFonts w:eastAsia="Times New Roman" w:cs="Tahoma"/>
          <w:szCs w:val="20"/>
          <w:lang w:eastAsia="it-IT"/>
        </w:rPr>
      </w:pPr>
      <w:r w:rsidRPr="00515872">
        <w:rPr>
          <w:rFonts w:eastAsia="Times New Roman" w:cs="Tahoma"/>
          <w:szCs w:val="20"/>
          <w:lang w:eastAsia="it-IT"/>
        </w:rPr>
        <w:t xml:space="preserve">Ai sensi dell'art. 161, c. 1, del TUEL </w:t>
      </w:r>
      <w:r w:rsidR="00E729C0" w:rsidRPr="00515872">
        <w:rPr>
          <w:rFonts w:eastAsia="Times New Roman" w:cs="Tahoma"/>
          <w:szCs w:val="20"/>
          <w:lang w:eastAsia="it-IT"/>
        </w:rPr>
        <w:t>i</w:t>
      </w:r>
      <w:r w:rsidR="00FA443C" w:rsidRPr="00515872">
        <w:rPr>
          <w:rFonts w:cs="Tahoma"/>
        </w:rPr>
        <w:t>l Ministero dell'I</w:t>
      </w:r>
      <w:r w:rsidR="00E729C0" w:rsidRPr="00515872">
        <w:rPr>
          <w:rFonts w:cs="Tahoma"/>
        </w:rPr>
        <w:t>nterno può richiedere ai comuni, alle province, alle città metropolitane, alle unioni di comuni e alle comunità montane specifiche certificazioni su particolari dati finanziari, non presenti nella</w:t>
      </w:r>
      <w:r w:rsidR="000B7858" w:rsidRPr="00515872">
        <w:rPr>
          <w:rFonts w:cs="Tahoma"/>
        </w:rPr>
        <w:t xml:space="preserve"> BDAP</w:t>
      </w:r>
      <w:r w:rsidR="001B64A8" w:rsidRPr="00515872">
        <w:rPr>
          <w:rFonts w:cs="Tahoma"/>
        </w:rPr>
        <w:t>.</w:t>
      </w:r>
      <w:r w:rsidR="000B7858" w:rsidRPr="00515872">
        <w:rPr>
          <w:rFonts w:cs="Tahoma"/>
        </w:rPr>
        <w:t xml:space="preserve"> </w:t>
      </w:r>
      <w:r w:rsidR="00E729C0" w:rsidRPr="00515872">
        <w:rPr>
          <w:rFonts w:cs="Tahoma"/>
        </w:rPr>
        <w:t>Le certificazioni sono firmate dal responsabile del servizio finanziario.</w:t>
      </w:r>
      <w:r w:rsidRPr="00515872">
        <w:rPr>
          <w:rFonts w:eastAsia="Times New Roman" w:cs="Tahoma"/>
          <w:szCs w:val="20"/>
          <w:lang w:eastAsia="it-IT"/>
        </w:rPr>
        <w:t xml:space="preserve"> </w:t>
      </w:r>
    </w:p>
    <w:p w14:paraId="2988075A" w14:textId="77777777" w:rsidR="009518AF" w:rsidRPr="00515872" w:rsidRDefault="00E729C0" w:rsidP="009518AF">
      <w:pPr>
        <w:spacing w:line="360" w:lineRule="auto"/>
        <w:jc w:val="both"/>
        <w:rPr>
          <w:rFonts w:cs="Tahoma"/>
        </w:rPr>
      </w:pPr>
      <w:r w:rsidRPr="00515872">
        <w:rPr>
          <w:rFonts w:cs="Tahoma"/>
        </w:rPr>
        <w:t xml:space="preserve">Decorsi 30 giorni dal termine previsto per l'approvazione del rendiconto, in caso di mancato invio dei dati alla </w:t>
      </w:r>
      <w:r w:rsidR="000B7858" w:rsidRPr="00515872">
        <w:rPr>
          <w:rFonts w:cs="Tahoma"/>
        </w:rPr>
        <w:t>BDAP</w:t>
      </w:r>
      <w:r w:rsidRPr="00515872">
        <w:rPr>
          <w:rFonts w:cs="Tahoma"/>
        </w:rPr>
        <w:t>, sono sospesi i pagamenti delle risorse finanziarie a qualsiasi ti</w:t>
      </w:r>
      <w:r w:rsidR="00FA443C" w:rsidRPr="00515872">
        <w:rPr>
          <w:rFonts w:cs="Tahoma"/>
        </w:rPr>
        <w:t>tolo dovute dal Ministero dell'I</w:t>
      </w:r>
      <w:r w:rsidRPr="00515872">
        <w:rPr>
          <w:rFonts w:cs="Tahoma"/>
        </w:rPr>
        <w:t>nterno - Dipartimento per gli affari interni e territoriali, ivi comprese quelle a titolo di fondo di solidarietà comunale.</w:t>
      </w:r>
    </w:p>
    <w:p w14:paraId="628ECFD9" w14:textId="77777777" w:rsidR="006D229A" w:rsidRPr="00515872" w:rsidRDefault="00122824" w:rsidP="00747B34">
      <w:pPr>
        <w:spacing w:after="0" w:line="360" w:lineRule="auto"/>
        <w:jc w:val="both"/>
        <w:rPr>
          <w:rFonts w:eastAsia="Times New Roman" w:cs="Tahoma"/>
          <w:szCs w:val="20"/>
          <w:lang w:eastAsia="it-IT"/>
        </w:rPr>
      </w:pPr>
      <w:r w:rsidRPr="00515872">
        <w:rPr>
          <w:rFonts w:eastAsia="Times New Roman" w:cs="Tahoma"/>
          <w:szCs w:val="20"/>
          <w:lang w:eastAsia="it-IT"/>
        </w:rPr>
        <w:t>La mancata approvazione del rendiconto entro i termini di legge comporta:</w:t>
      </w:r>
    </w:p>
    <w:p w14:paraId="1BC8B4F7" w14:textId="77777777" w:rsidR="00122824" w:rsidRPr="00515872" w:rsidRDefault="00122824" w:rsidP="00D65838">
      <w:pPr>
        <w:pStyle w:val="Paragrafoelenco"/>
        <w:numPr>
          <w:ilvl w:val="0"/>
          <w:numId w:val="33"/>
        </w:numPr>
        <w:spacing w:line="360" w:lineRule="auto"/>
        <w:jc w:val="both"/>
        <w:rPr>
          <w:rFonts w:cs="Tahoma"/>
          <w:szCs w:val="20"/>
          <w:lang w:eastAsia="it-IT"/>
        </w:rPr>
      </w:pPr>
      <w:bookmarkStart w:id="121" w:name="_Toc521317089"/>
      <w:r w:rsidRPr="00515872">
        <w:rPr>
          <w:rFonts w:cs="Tahoma"/>
          <w:szCs w:val="20"/>
          <w:lang w:eastAsia="it-IT"/>
        </w:rPr>
        <w:t>l’attivazione della procedura prevista per la mancata approvazione nel bilancio di previsione (c. 2, art. 141, TUEL)</w:t>
      </w:r>
      <w:r w:rsidR="002A6015" w:rsidRPr="00515872">
        <w:rPr>
          <w:rStyle w:val="Rimandonotaapidipagina"/>
          <w:rFonts w:cs="Tahoma"/>
          <w:szCs w:val="20"/>
          <w:lang w:eastAsia="it-IT"/>
        </w:rPr>
        <w:footnoteReference w:id="61"/>
      </w:r>
      <w:r w:rsidRPr="00515872">
        <w:rPr>
          <w:rFonts w:cs="Tahoma"/>
          <w:szCs w:val="20"/>
          <w:lang w:eastAsia="it-IT"/>
        </w:rPr>
        <w:t>;</w:t>
      </w:r>
    </w:p>
    <w:p w14:paraId="7DD3283E" w14:textId="77777777" w:rsidR="00122824" w:rsidRPr="00515872" w:rsidRDefault="00122824" w:rsidP="00D65838">
      <w:pPr>
        <w:pStyle w:val="Paragrafoelenco"/>
        <w:numPr>
          <w:ilvl w:val="0"/>
          <w:numId w:val="33"/>
        </w:numPr>
        <w:spacing w:line="360" w:lineRule="auto"/>
        <w:jc w:val="both"/>
        <w:rPr>
          <w:rFonts w:cs="Tahoma"/>
          <w:szCs w:val="20"/>
          <w:lang w:eastAsia="it-IT"/>
        </w:rPr>
      </w:pPr>
      <w:r w:rsidRPr="00515872">
        <w:rPr>
          <w:rFonts w:cs="Tahoma"/>
          <w:szCs w:val="20"/>
          <w:lang w:eastAsia="it-IT"/>
        </w:rPr>
        <w:t>il divieto di assumere personale fino all’assolvimento dell’obbligo;</w:t>
      </w:r>
    </w:p>
    <w:p w14:paraId="28BBBB6D" w14:textId="77777777" w:rsidR="00122824" w:rsidRPr="00515872" w:rsidRDefault="00122824" w:rsidP="00D65838">
      <w:pPr>
        <w:pStyle w:val="Paragrafoelenco"/>
        <w:numPr>
          <w:ilvl w:val="0"/>
          <w:numId w:val="33"/>
        </w:numPr>
        <w:spacing w:line="360" w:lineRule="auto"/>
        <w:jc w:val="both"/>
        <w:rPr>
          <w:rFonts w:cs="Tahoma"/>
          <w:szCs w:val="20"/>
          <w:lang w:eastAsia="it-IT"/>
        </w:rPr>
      </w:pPr>
      <w:r w:rsidRPr="00515872">
        <w:rPr>
          <w:rFonts w:cs="Tahoma"/>
          <w:szCs w:val="20"/>
          <w:lang w:eastAsia="it-IT"/>
        </w:rPr>
        <w:t>il temporaneo assoggettamento ai controlli centrali per gli enti locali strutturalmente deficitari (copertura del costo di alcuni servizi) fino all’adempimento.</w:t>
      </w:r>
    </w:p>
    <w:p w14:paraId="45120376" w14:textId="77777777" w:rsidR="001B64A8" w:rsidRPr="00515872" w:rsidRDefault="001B64A8" w:rsidP="001B64A8">
      <w:pPr>
        <w:pStyle w:val="Paragrafoelenco"/>
        <w:spacing w:line="360" w:lineRule="auto"/>
        <w:ind w:left="360"/>
        <w:jc w:val="both"/>
        <w:rPr>
          <w:rFonts w:cs="Tahoma"/>
          <w:szCs w:val="20"/>
          <w:highlight w:val="yellow"/>
          <w:lang w:eastAsia="it-IT"/>
        </w:rPr>
      </w:pPr>
    </w:p>
    <w:p w14:paraId="5F1BAEEA" w14:textId="77777777" w:rsidR="009518AF" w:rsidRPr="00515872" w:rsidRDefault="009518AF" w:rsidP="009518AF">
      <w:pPr>
        <w:pStyle w:val="Sottoparagrafo"/>
        <w:rPr>
          <w:rFonts w:cs="Tahoma"/>
          <w:lang w:eastAsia="it-IT"/>
        </w:rPr>
      </w:pPr>
      <w:bookmarkStart w:id="122" w:name="_Toc95912268"/>
      <w:r w:rsidRPr="00515872">
        <w:rPr>
          <w:rFonts w:cs="Tahoma"/>
          <w:lang w:eastAsia="it-IT"/>
        </w:rPr>
        <w:t>4.5.1 Riaccertamento dei residui</w:t>
      </w:r>
      <w:bookmarkEnd w:id="121"/>
      <w:bookmarkEnd w:id="122"/>
    </w:p>
    <w:p w14:paraId="44123A2C"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Operazione propedeutica alla predisposizione del rendiconto è il riaccertamento dei residui. Con esso si verificano i residui attivi e passivi ai fini della revisione delle ragioni del loro mante</w:t>
      </w:r>
      <w:r w:rsidR="00C43C75" w:rsidRPr="00515872">
        <w:rPr>
          <w:rFonts w:cs="Tahoma"/>
          <w:szCs w:val="20"/>
          <w:lang w:eastAsia="it-IT"/>
        </w:rPr>
        <w:t>nimento in bilancio, in tutto o</w:t>
      </w:r>
      <w:r w:rsidRPr="00515872">
        <w:rPr>
          <w:rFonts w:cs="Tahoma"/>
          <w:szCs w:val="20"/>
          <w:lang w:eastAsia="it-IT"/>
        </w:rPr>
        <w:t xml:space="preserve"> in parte, nonché della loro corretta imputazione.</w:t>
      </w:r>
    </w:p>
    <w:p w14:paraId="0A4E8ACC" w14:textId="77777777" w:rsidR="009518AF" w:rsidRPr="00515872" w:rsidRDefault="009518AF" w:rsidP="009518AF">
      <w:pPr>
        <w:spacing w:after="0" w:line="360" w:lineRule="auto"/>
        <w:jc w:val="both"/>
        <w:rPr>
          <w:rFonts w:cs="Tahoma"/>
          <w:szCs w:val="20"/>
          <w:lang w:eastAsia="it-IT"/>
        </w:rPr>
      </w:pPr>
      <w:r w:rsidRPr="00515872">
        <w:rPr>
          <w:rFonts w:cs="Tahoma"/>
          <w:szCs w:val="20"/>
          <w:lang w:eastAsia="it-IT"/>
        </w:rPr>
        <w:t>Prima di affrontare il riaccertamento dei residui è bene avere chiaro che:</w:t>
      </w:r>
    </w:p>
    <w:p w14:paraId="022F5B4D" w14:textId="77777777" w:rsidR="009518AF" w:rsidRPr="00515872" w:rsidRDefault="009518AF" w:rsidP="00D65838">
      <w:pPr>
        <w:pStyle w:val="Paragrafoelenco"/>
        <w:numPr>
          <w:ilvl w:val="0"/>
          <w:numId w:val="33"/>
        </w:numPr>
        <w:spacing w:line="360" w:lineRule="auto"/>
        <w:jc w:val="both"/>
        <w:rPr>
          <w:rFonts w:cs="Tahoma"/>
          <w:szCs w:val="20"/>
          <w:lang w:eastAsia="it-IT"/>
        </w:rPr>
      </w:pPr>
      <w:r w:rsidRPr="00515872">
        <w:rPr>
          <w:rFonts w:cs="Tahoma"/>
          <w:szCs w:val="20"/>
          <w:lang w:eastAsia="it-IT"/>
        </w:rPr>
        <w:t>i residui attivi rappresentano veri e propri crediti,</w:t>
      </w:r>
    </w:p>
    <w:p w14:paraId="6DCE4C5F" w14:textId="77777777" w:rsidR="009518AF" w:rsidRPr="00515872" w:rsidRDefault="009518AF" w:rsidP="00D65838">
      <w:pPr>
        <w:pStyle w:val="Paragrafoelenco"/>
        <w:numPr>
          <w:ilvl w:val="0"/>
          <w:numId w:val="33"/>
        </w:numPr>
        <w:spacing w:line="360" w:lineRule="auto"/>
        <w:jc w:val="both"/>
        <w:rPr>
          <w:rFonts w:cs="Tahoma"/>
          <w:szCs w:val="20"/>
          <w:lang w:eastAsia="it-IT"/>
        </w:rPr>
      </w:pPr>
      <w:r w:rsidRPr="00515872">
        <w:rPr>
          <w:rFonts w:cs="Tahoma"/>
          <w:szCs w:val="20"/>
          <w:lang w:eastAsia="it-IT"/>
        </w:rPr>
        <w:lastRenderedPageBreak/>
        <w:t xml:space="preserve">i residui passivi rappresentano debiti, debiti in corso di formazione (costi </w:t>
      </w:r>
      <w:r w:rsidR="00C43C75" w:rsidRPr="00515872">
        <w:rPr>
          <w:rFonts w:cs="Tahoma"/>
          <w:szCs w:val="20"/>
          <w:lang w:eastAsia="it-IT"/>
        </w:rPr>
        <w:t xml:space="preserve">di </w:t>
      </w:r>
      <w:r w:rsidRPr="00515872">
        <w:rPr>
          <w:rFonts w:cs="Tahoma"/>
          <w:szCs w:val="20"/>
          <w:lang w:eastAsia="it-IT"/>
        </w:rPr>
        <w:t>esercizi futuri) o impegni per i quali al termine dell’esercizio non è stata avviata alcuna procedura.</w:t>
      </w:r>
    </w:p>
    <w:p w14:paraId="1E54C995" w14:textId="77777777" w:rsidR="009518AF" w:rsidRPr="00515872" w:rsidRDefault="009518AF" w:rsidP="009518AF">
      <w:pPr>
        <w:spacing w:after="0" w:line="360" w:lineRule="auto"/>
        <w:jc w:val="both"/>
        <w:rPr>
          <w:rFonts w:cs="Tahoma"/>
          <w:szCs w:val="20"/>
          <w:lang w:eastAsia="it-IT"/>
        </w:rPr>
      </w:pPr>
      <w:r w:rsidRPr="00515872">
        <w:rPr>
          <w:rFonts w:cs="Tahoma"/>
          <w:szCs w:val="20"/>
          <w:lang w:eastAsia="it-IT"/>
        </w:rPr>
        <w:t xml:space="preserve">Il riaccertamento ordinario dei residui consiste in una ricognizione dei residui attivi e passivi al fine di individuare: </w:t>
      </w:r>
    </w:p>
    <w:p w14:paraId="35C62748"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i crediti di dubbia e difficile esazione;</w:t>
      </w:r>
    </w:p>
    <w:p w14:paraId="0DDDB9F2"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 xml:space="preserve">i crediti riconosciuti assolutamente inesigibili; </w:t>
      </w:r>
    </w:p>
    <w:p w14:paraId="0E3322A7"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i crediti riconosciuti insussistenti, per l’avvenuta estinzione legale o per indebito o erroneo accertamento del credito;</w:t>
      </w:r>
    </w:p>
    <w:p w14:paraId="5AC51AD0"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i debiti insussistenti o prescritti;</w:t>
      </w:r>
    </w:p>
    <w:p w14:paraId="56A2759A"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i crediti e i debiti non imputati correttamente in bilancio a seguito di errori materiali o di revisione della classificazione del bilancio, per i quali è necessario procedere ad una loro riclassificazione;</w:t>
      </w:r>
    </w:p>
    <w:p w14:paraId="31867F32" w14:textId="77777777" w:rsidR="009518AF" w:rsidRPr="00515872" w:rsidRDefault="009518AF" w:rsidP="00D65838">
      <w:pPr>
        <w:pStyle w:val="Paragrafoelenco"/>
        <w:numPr>
          <w:ilvl w:val="0"/>
          <w:numId w:val="80"/>
        </w:numPr>
        <w:spacing w:line="360" w:lineRule="auto"/>
        <w:jc w:val="both"/>
        <w:rPr>
          <w:rFonts w:cs="Tahoma"/>
          <w:szCs w:val="20"/>
          <w:lang w:eastAsia="it-IT"/>
        </w:rPr>
      </w:pPr>
      <w:r w:rsidRPr="00515872">
        <w:rPr>
          <w:rFonts w:cs="Tahoma"/>
          <w:szCs w:val="20"/>
          <w:lang w:eastAsia="it-IT"/>
        </w:rPr>
        <w:t xml:space="preserve">i crediti e i debiti imputati all’esercizio di riferimento, che non risultano di competenza finanziaria di tale esercizio, per i quali è necessario procedere alla </w:t>
      </w:r>
      <w:proofErr w:type="spellStart"/>
      <w:r w:rsidRPr="00515872">
        <w:rPr>
          <w:rFonts w:cs="Tahoma"/>
          <w:szCs w:val="20"/>
          <w:lang w:eastAsia="it-IT"/>
        </w:rPr>
        <w:t>reimputazione</w:t>
      </w:r>
      <w:proofErr w:type="spellEnd"/>
      <w:r w:rsidRPr="00515872">
        <w:rPr>
          <w:rFonts w:cs="Tahoma"/>
          <w:szCs w:val="20"/>
          <w:lang w:eastAsia="it-IT"/>
        </w:rPr>
        <w:t xml:space="preserve"> contabile all’esercizio in cui il credito o il debito è esigibile.</w:t>
      </w:r>
    </w:p>
    <w:p w14:paraId="0FCA6A5F" w14:textId="77777777" w:rsidR="005F7405" w:rsidRPr="00515872" w:rsidRDefault="009518AF" w:rsidP="005F7405">
      <w:pPr>
        <w:spacing w:line="360" w:lineRule="auto"/>
        <w:jc w:val="both"/>
        <w:rPr>
          <w:rFonts w:cs="Tahoma"/>
          <w:szCs w:val="20"/>
          <w:lang w:eastAsia="it-IT"/>
        </w:rPr>
      </w:pPr>
      <w:r w:rsidRPr="00515872">
        <w:rPr>
          <w:rFonts w:cs="Tahoma"/>
          <w:szCs w:val="20"/>
          <w:lang w:eastAsia="it-IT"/>
        </w:rPr>
        <w:t xml:space="preserve">Ogni singolo residuo va verificato circa l’effettiva esigibilità alla luce del principio applicato della competenza finanziaria, allegato </w:t>
      </w:r>
      <w:r w:rsidR="002A6015" w:rsidRPr="00515872">
        <w:rPr>
          <w:rFonts w:cs="Tahoma"/>
          <w:szCs w:val="20"/>
          <w:lang w:eastAsia="it-IT"/>
        </w:rPr>
        <w:t xml:space="preserve">n. </w:t>
      </w:r>
      <w:r w:rsidRPr="00515872">
        <w:rPr>
          <w:rFonts w:cs="Tahoma"/>
          <w:szCs w:val="20"/>
          <w:lang w:eastAsia="it-IT"/>
        </w:rPr>
        <w:t xml:space="preserve">4/2 al </w:t>
      </w:r>
      <w:proofErr w:type="spellStart"/>
      <w:r w:rsidRPr="00515872">
        <w:rPr>
          <w:rFonts w:cs="Tahoma"/>
          <w:szCs w:val="20"/>
          <w:lang w:eastAsia="it-IT"/>
        </w:rPr>
        <w:t>D.Lgs.</w:t>
      </w:r>
      <w:proofErr w:type="spellEnd"/>
      <w:r w:rsidRPr="00515872">
        <w:rPr>
          <w:rFonts w:cs="Tahoma"/>
          <w:szCs w:val="20"/>
          <w:lang w:eastAsia="it-IT"/>
        </w:rPr>
        <w:t xml:space="preserve"> 118/2011 che individua, per ogni entrata e per ogni spesa, la scadenza della stessa determinandone, conseguenteme</w:t>
      </w:r>
      <w:r w:rsidR="005F7405" w:rsidRPr="00515872">
        <w:rPr>
          <w:rFonts w:cs="Tahoma"/>
          <w:szCs w:val="20"/>
          <w:lang w:eastAsia="it-IT"/>
        </w:rPr>
        <w:t>nte, l’imputazione in bilancio.</w:t>
      </w:r>
    </w:p>
    <w:p w14:paraId="635F83BE" w14:textId="645826F7" w:rsidR="009518AF" w:rsidRPr="00515872" w:rsidRDefault="009518AF" w:rsidP="009518AF">
      <w:pPr>
        <w:spacing w:line="360" w:lineRule="auto"/>
        <w:jc w:val="both"/>
        <w:rPr>
          <w:rFonts w:cs="Tahoma"/>
          <w:szCs w:val="20"/>
          <w:lang w:eastAsia="it-IT"/>
        </w:rPr>
      </w:pPr>
      <w:r w:rsidRPr="00515872">
        <w:rPr>
          <w:rFonts w:eastAsia="Times New Roman" w:cs="Tahoma"/>
          <w:szCs w:val="20"/>
          <w:lang w:eastAsia="it-IT"/>
        </w:rPr>
        <w:t>Per i residui insussistenti, prescritti o inesigibili</w:t>
      </w:r>
      <w:r w:rsidR="005F7405" w:rsidRPr="00515872">
        <w:rPr>
          <w:rFonts w:eastAsia="Times New Roman" w:cs="Tahoma"/>
          <w:szCs w:val="20"/>
          <w:lang w:eastAsia="it-IT"/>
        </w:rPr>
        <w:t xml:space="preserve"> ovvero quelli iscritti a seguito di indebito o erroneo accertamento del credito</w:t>
      </w:r>
      <w:r w:rsidRPr="00515872">
        <w:rPr>
          <w:rFonts w:eastAsia="Times New Roman" w:cs="Tahoma"/>
          <w:szCs w:val="20"/>
          <w:lang w:eastAsia="it-IT"/>
        </w:rPr>
        <w:t>, occorre procedere all’eliminazione definitiva dal conto del bilancio; tale operazione deve essere motivata attraverso una descrizione delle procedure esperite per conseguir</w:t>
      </w:r>
      <w:r w:rsidR="00C43C75" w:rsidRPr="00515872">
        <w:rPr>
          <w:rFonts w:eastAsia="Times New Roman" w:cs="Tahoma"/>
          <w:szCs w:val="20"/>
          <w:lang w:eastAsia="it-IT"/>
        </w:rPr>
        <w:t>n</w:t>
      </w:r>
      <w:r w:rsidRPr="00515872">
        <w:rPr>
          <w:rFonts w:eastAsia="Times New Roman" w:cs="Tahoma"/>
          <w:szCs w:val="20"/>
          <w:lang w:eastAsia="it-IT"/>
        </w:rPr>
        <w:t>e la realizzazione prima della loro e</w:t>
      </w:r>
      <w:r w:rsidR="005F7405" w:rsidRPr="00515872">
        <w:rPr>
          <w:rFonts w:eastAsia="Times New Roman" w:cs="Tahoma"/>
          <w:szCs w:val="20"/>
          <w:lang w:eastAsia="it-IT"/>
        </w:rPr>
        <w:t>liminazione</w:t>
      </w:r>
      <w:r w:rsidRPr="00515872">
        <w:rPr>
          <w:rFonts w:eastAsia="Times New Roman" w:cs="Tahoma"/>
          <w:szCs w:val="20"/>
          <w:lang w:eastAsia="it-IT"/>
        </w:rPr>
        <w:t xml:space="preserve">. </w:t>
      </w:r>
      <w:r w:rsidRPr="00515872">
        <w:rPr>
          <w:rFonts w:eastAsia="Times New Roman" w:cs="Tahoma"/>
          <w:b/>
          <w:szCs w:val="20"/>
          <w:lang w:eastAsia="it-IT"/>
        </w:rPr>
        <w:t>Occorre motivare l’impossibilità di realizzare i crediti, evidenziando le attività poste in essere per la riscossione e i motivi della inesigibilità</w:t>
      </w:r>
      <w:r w:rsidR="005F7405" w:rsidRPr="00515872">
        <w:rPr>
          <w:rFonts w:eastAsia="Times New Roman" w:cs="Tahoma"/>
          <w:b/>
          <w:szCs w:val="20"/>
          <w:lang w:eastAsia="it-IT"/>
        </w:rPr>
        <w:t xml:space="preserve"> nonché le ragioni che hanno condotto alla maturazione del termine di prescrizione</w:t>
      </w:r>
      <w:r w:rsidRPr="00515872">
        <w:rPr>
          <w:rFonts w:eastAsia="Times New Roman" w:cs="Tahoma"/>
          <w:szCs w:val="20"/>
          <w:lang w:eastAsia="it-IT"/>
        </w:rPr>
        <w:t>.</w:t>
      </w:r>
      <w:r w:rsidR="00E947D1" w:rsidRPr="00515872">
        <w:rPr>
          <w:rFonts w:eastAsia="Times New Roman" w:cs="Tahoma"/>
          <w:szCs w:val="20"/>
          <w:lang w:eastAsia="it-IT"/>
        </w:rPr>
        <w:t xml:space="preserve"> </w:t>
      </w:r>
      <w:r w:rsidR="00F61E9D" w:rsidRPr="00515872">
        <w:rPr>
          <w:rFonts w:eastAsia="Times New Roman" w:cs="Tahoma"/>
          <w:szCs w:val="20"/>
          <w:lang w:eastAsia="it-IT"/>
        </w:rPr>
        <w:t>È</w:t>
      </w:r>
      <w:r w:rsidR="005F7405" w:rsidRPr="00515872">
        <w:rPr>
          <w:rFonts w:eastAsia="Times New Roman" w:cs="Tahoma"/>
          <w:szCs w:val="20"/>
          <w:lang w:eastAsia="it-IT"/>
        </w:rPr>
        <w:t xml:space="preserve"> fatto </w:t>
      </w:r>
      <w:r w:rsidR="005F7405" w:rsidRPr="00515872">
        <w:rPr>
          <w:rFonts w:cs="Tahoma"/>
          <w:lang w:val="x-none"/>
        </w:rPr>
        <w:t>obbligo di attivare ogni possibile azione finalizzata ad adottare le soluzioni organizzative necessarie per evitare il ripetersi delle suddette fattispecie.</w:t>
      </w:r>
      <w:r w:rsidR="005F7405" w:rsidRPr="00515872">
        <w:rPr>
          <w:rFonts w:cs="Tahoma"/>
          <w:szCs w:val="20"/>
          <w:lang w:eastAsia="it-IT"/>
        </w:rPr>
        <w:t xml:space="preserve"> </w:t>
      </w:r>
      <w:r w:rsidR="00E947D1" w:rsidRPr="00515872">
        <w:rPr>
          <w:rFonts w:eastAsia="Times New Roman" w:cs="Tahoma"/>
          <w:szCs w:val="20"/>
          <w:lang w:eastAsia="it-IT"/>
        </w:rPr>
        <w:t>Ogni perdita di valore, infatti, se non adeguatamente motivata, può generare responsabilità.</w:t>
      </w:r>
    </w:p>
    <w:p w14:paraId="624E09EE"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Non è ammesso mantenere in bilancio residui attivi e passivi privi del perfezionamento dell’obbligazione. Un residuo non divenuto esigibile al 31/12 deve essere immediatamente cancellato e </w:t>
      </w:r>
      <w:proofErr w:type="spellStart"/>
      <w:r w:rsidRPr="00515872">
        <w:rPr>
          <w:rFonts w:cs="Tahoma"/>
          <w:szCs w:val="20"/>
          <w:lang w:eastAsia="it-IT"/>
        </w:rPr>
        <w:t>reimputato</w:t>
      </w:r>
      <w:proofErr w:type="spellEnd"/>
      <w:r w:rsidRPr="00515872">
        <w:rPr>
          <w:rFonts w:cs="Tahoma"/>
          <w:szCs w:val="20"/>
          <w:lang w:eastAsia="it-IT"/>
        </w:rPr>
        <w:t xml:space="preserve"> all’anno in cui diverrà esigibile. La </w:t>
      </w:r>
      <w:proofErr w:type="spellStart"/>
      <w:r w:rsidRPr="00515872">
        <w:rPr>
          <w:rFonts w:cs="Tahoma"/>
          <w:szCs w:val="20"/>
          <w:lang w:eastAsia="it-IT"/>
        </w:rPr>
        <w:t>reimputazione</w:t>
      </w:r>
      <w:proofErr w:type="spellEnd"/>
      <w:r w:rsidRPr="00515872">
        <w:rPr>
          <w:rFonts w:cs="Tahoma"/>
          <w:szCs w:val="20"/>
          <w:lang w:eastAsia="it-IT"/>
        </w:rPr>
        <w:t xml:space="preserve"> consente l’iscrizione dei residui non scaduti alla fine dell’anno, all’esercizio in cui presumibilmente scadranno, incrementando le previsioni dell’esercizio considerato dell’importo pari al residuo </w:t>
      </w:r>
      <w:proofErr w:type="spellStart"/>
      <w:r w:rsidRPr="00515872">
        <w:rPr>
          <w:rFonts w:cs="Tahoma"/>
          <w:szCs w:val="20"/>
          <w:lang w:eastAsia="it-IT"/>
        </w:rPr>
        <w:t>reimputato</w:t>
      </w:r>
      <w:proofErr w:type="spellEnd"/>
      <w:r w:rsidRPr="00515872">
        <w:rPr>
          <w:rFonts w:cs="Tahoma"/>
          <w:szCs w:val="20"/>
          <w:lang w:eastAsia="it-IT"/>
        </w:rPr>
        <w:t>.</w:t>
      </w:r>
    </w:p>
    <w:p w14:paraId="66DFDD9A" w14:textId="77777777" w:rsidR="00FD7267" w:rsidRPr="00515872" w:rsidRDefault="009518AF" w:rsidP="009518AF">
      <w:pPr>
        <w:autoSpaceDE w:val="0"/>
        <w:autoSpaceDN w:val="0"/>
        <w:adjustRightInd w:val="0"/>
        <w:spacing w:line="360" w:lineRule="auto"/>
        <w:jc w:val="both"/>
        <w:rPr>
          <w:rFonts w:cs="Tahoma"/>
          <w:iCs/>
          <w:szCs w:val="20"/>
        </w:rPr>
      </w:pPr>
      <w:r w:rsidRPr="00515872">
        <w:rPr>
          <w:rFonts w:cs="Tahoma"/>
          <w:szCs w:val="20"/>
          <w:lang w:eastAsia="it-IT"/>
        </w:rPr>
        <w:t>In base alle indicazioni</w:t>
      </w:r>
      <w:r w:rsidR="00C43C75" w:rsidRPr="00515872">
        <w:rPr>
          <w:rFonts w:cs="Tahoma"/>
          <w:szCs w:val="20"/>
          <w:lang w:eastAsia="it-IT"/>
        </w:rPr>
        <w:t xml:space="preserve"> fornite nel paragrafo 9.1 del p</w:t>
      </w:r>
      <w:r w:rsidRPr="00515872">
        <w:rPr>
          <w:rFonts w:cs="Tahoma"/>
          <w:szCs w:val="20"/>
          <w:lang w:eastAsia="it-IT"/>
        </w:rPr>
        <w:t xml:space="preserve">rincipio contabile applicato di cui all’allegato </w:t>
      </w:r>
      <w:r w:rsidR="009A3EC0" w:rsidRPr="00515872">
        <w:rPr>
          <w:rFonts w:cs="Tahoma"/>
          <w:szCs w:val="20"/>
          <w:lang w:eastAsia="it-IT"/>
        </w:rPr>
        <w:t xml:space="preserve">n. </w:t>
      </w:r>
      <w:r w:rsidRPr="00515872">
        <w:rPr>
          <w:rFonts w:cs="Tahoma"/>
          <w:szCs w:val="20"/>
          <w:lang w:eastAsia="it-IT"/>
        </w:rPr>
        <w:t xml:space="preserve">4/2 al </w:t>
      </w:r>
      <w:proofErr w:type="spellStart"/>
      <w:r w:rsidRPr="00515872">
        <w:rPr>
          <w:rFonts w:cs="Tahoma"/>
          <w:szCs w:val="20"/>
          <w:lang w:eastAsia="it-IT"/>
        </w:rPr>
        <w:t>D.Lgs.</w:t>
      </w:r>
      <w:proofErr w:type="spellEnd"/>
      <w:r w:rsidRPr="00515872">
        <w:rPr>
          <w:rFonts w:cs="Tahoma"/>
          <w:szCs w:val="20"/>
          <w:lang w:eastAsia="it-IT"/>
        </w:rPr>
        <w:t xml:space="preserve"> 118/2011, è prevista la possibilità di effettuare riaccertamenti anche parziali. Tale possibilità è prevista </w:t>
      </w:r>
      <w:r w:rsidR="00FD7267" w:rsidRPr="00515872">
        <w:rPr>
          <w:rFonts w:cs="Tahoma"/>
          <w:iCs/>
          <w:szCs w:val="20"/>
        </w:rPr>
        <w:t xml:space="preserve">al solo </w:t>
      </w:r>
      <w:r w:rsidRPr="00515872">
        <w:rPr>
          <w:rFonts w:cs="Tahoma"/>
          <w:iCs/>
          <w:szCs w:val="20"/>
        </w:rPr>
        <w:t>fine</w:t>
      </w:r>
      <w:r w:rsidR="00FD7267" w:rsidRPr="00515872">
        <w:rPr>
          <w:rFonts w:cs="Tahoma"/>
          <w:iCs/>
          <w:szCs w:val="20"/>
        </w:rPr>
        <w:t>:</w:t>
      </w:r>
    </w:p>
    <w:p w14:paraId="35455D99" w14:textId="77777777" w:rsidR="00FD7267" w:rsidRPr="00515872" w:rsidRDefault="009518AF" w:rsidP="00D65838">
      <w:pPr>
        <w:pStyle w:val="Paragrafoelenco"/>
        <w:numPr>
          <w:ilvl w:val="0"/>
          <w:numId w:val="217"/>
        </w:numPr>
        <w:autoSpaceDE w:val="0"/>
        <w:autoSpaceDN w:val="0"/>
        <w:adjustRightInd w:val="0"/>
        <w:spacing w:line="360" w:lineRule="auto"/>
        <w:ind w:left="284" w:hanging="284"/>
        <w:jc w:val="both"/>
        <w:rPr>
          <w:rFonts w:cs="Tahoma"/>
          <w:szCs w:val="20"/>
          <w:lang w:eastAsia="it-IT"/>
        </w:rPr>
      </w:pPr>
      <w:r w:rsidRPr="00515872">
        <w:rPr>
          <w:rFonts w:cs="Tahoma"/>
          <w:iCs/>
          <w:szCs w:val="20"/>
        </w:rPr>
        <w:lastRenderedPageBreak/>
        <w:t xml:space="preserve">di consentire una corretta </w:t>
      </w:r>
      <w:proofErr w:type="spellStart"/>
      <w:r w:rsidRPr="00515872">
        <w:rPr>
          <w:rFonts w:cs="Tahoma"/>
          <w:iCs/>
          <w:szCs w:val="20"/>
        </w:rPr>
        <w:t>reimputazione</w:t>
      </w:r>
      <w:proofErr w:type="spellEnd"/>
      <w:r w:rsidRPr="00515872">
        <w:rPr>
          <w:rFonts w:cs="Tahoma"/>
          <w:iCs/>
          <w:szCs w:val="20"/>
        </w:rPr>
        <w:t xml:space="preserve"> all’esercizio in corso di obbligazioni da incassare o pagare necessariamente prima del riaccertamento ordinario</w:t>
      </w:r>
      <w:r w:rsidR="00FD7267" w:rsidRPr="00515872">
        <w:rPr>
          <w:rFonts w:cs="Tahoma"/>
          <w:szCs w:val="20"/>
        </w:rPr>
        <w:t>;</w:t>
      </w:r>
    </w:p>
    <w:p w14:paraId="41248BB3" w14:textId="77777777" w:rsidR="009518AF" w:rsidRPr="00515872" w:rsidRDefault="00FD7267" w:rsidP="00D65838">
      <w:pPr>
        <w:pStyle w:val="Paragrafoelenco"/>
        <w:numPr>
          <w:ilvl w:val="0"/>
          <w:numId w:val="217"/>
        </w:numPr>
        <w:autoSpaceDE w:val="0"/>
        <w:autoSpaceDN w:val="0"/>
        <w:adjustRightInd w:val="0"/>
        <w:spacing w:line="360" w:lineRule="auto"/>
        <w:ind w:left="284" w:hanging="284"/>
        <w:jc w:val="both"/>
        <w:rPr>
          <w:rFonts w:cs="Tahoma"/>
          <w:szCs w:val="20"/>
          <w:lang w:eastAsia="it-IT"/>
        </w:rPr>
      </w:pPr>
      <w:r w:rsidRPr="00515872">
        <w:rPr>
          <w:rFonts w:cs="Tahoma"/>
          <w:szCs w:val="20"/>
        </w:rPr>
        <w:t>di</w:t>
      </w:r>
      <w:r w:rsidR="009518AF" w:rsidRPr="00515872">
        <w:rPr>
          <w:rFonts w:cs="Tahoma"/>
          <w:szCs w:val="20"/>
        </w:rPr>
        <w:t xml:space="preserve"> consentire </w:t>
      </w:r>
      <w:r w:rsidR="009518AF" w:rsidRPr="00515872">
        <w:rPr>
          <w:rFonts w:cs="Tahoma"/>
          <w:iCs/>
          <w:szCs w:val="20"/>
        </w:rPr>
        <w:t xml:space="preserve">la tempestiva registrazione di impegni di spesa correlati ad entrate vincolate accertate nell’esercizio precedente da </w:t>
      </w:r>
      <w:proofErr w:type="spellStart"/>
      <w:r w:rsidR="009518AF" w:rsidRPr="00515872">
        <w:rPr>
          <w:rFonts w:cs="Tahoma"/>
          <w:iCs/>
          <w:szCs w:val="20"/>
        </w:rPr>
        <w:t>reimputare</w:t>
      </w:r>
      <w:proofErr w:type="spellEnd"/>
      <w:r w:rsidR="009518AF" w:rsidRPr="00515872">
        <w:rPr>
          <w:rFonts w:cs="Tahoma"/>
          <w:iCs/>
          <w:szCs w:val="20"/>
        </w:rPr>
        <w:t xml:space="preserve"> in considerazione dell’esigibilità</w:t>
      </w:r>
      <w:r w:rsidR="00C43C75" w:rsidRPr="00515872">
        <w:rPr>
          <w:rFonts w:cs="Tahoma"/>
          <w:iCs/>
          <w:szCs w:val="20"/>
        </w:rPr>
        <w:t>,</w:t>
      </w:r>
      <w:r w:rsidR="009518AF" w:rsidRPr="00515872">
        <w:rPr>
          <w:rFonts w:cs="Tahoma"/>
          <w:iCs/>
          <w:szCs w:val="20"/>
        </w:rPr>
        <w:t xml:space="preserve"> riguardanti contributi a rendicontazione e operazioni di indebitamento già autorizzate e perfezionate, contabilizzate secondo l’andamento della correlata spesa</w:t>
      </w:r>
      <w:r w:rsidR="009518AF" w:rsidRPr="00515872">
        <w:rPr>
          <w:rFonts w:cs="Tahoma"/>
          <w:szCs w:val="20"/>
        </w:rPr>
        <w:t>.</w:t>
      </w:r>
    </w:p>
    <w:p w14:paraId="3210390E"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lang w:eastAsia="it-IT"/>
        </w:rPr>
        <w:t xml:space="preserve">Mentre per i residui attivi il riaccertamento può dare luogo sia ad un incremento che ad una riduzione dell’ammontare complessivo, </w:t>
      </w:r>
      <w:r w:rsidRPr="00515872">
        <w:rPr>
          <w:rFonts w:cs="Tahoma"/>
          <w:b/>
          <w:szCs w:val="20"/>
          <w:lang w:eastAsia="it-IT"/>
        </w:rPr>
        <w:t>per i residui passivi il</w:t>
      </w:r>
      <w:r w:rsidR="00C43C75" w:rsidRPr="00515872">
        <w:rPr>
          <w:rFonts w:cs="Tahoma"/>
          <w:b/>
          <w:szCs w:val="20"/>
          <w:lang w:eastAsia="it-IT"/>
        </w:rPr>
        <w:t xml:space="preserve"> riaccertamento</w:t>
      </w:r>
      <w:r w:rsidRPr="00515872">
        <w:rPr>
          <w:rFonts w:cs="Tahoma"/>
          <w:b/>
          <w:szCs w:val="20"/>
          <w:lang w:eastAsia="it-IT"/>
        </w:rPr>
        <w:t xml:space="preserve"> può dare luogo solo ad una riduzione degli stessi</w:t>
      </w:r>
      <w:r w:rsidRPr="00515872">
        <w:rPr>
          <w:rFonts w:cs="Tahoma"/>
          <w:szCs w:val="20"/>
          <w:lang w:eastAsia="it-IT"/>
        </w:rPr>
        <w:t xml:space="preserve">, salva l’ipotesi di errata classificazione dei residui passivi nell’ambito del medesimo titolo di spesa. </w:t>
      </w:r>
      <w:r w:rsidRPr="00515872">
        <w:rPr>
          <w:rFonts w:eastAsia="Times New Roman" w:cs="Tahoma"/>
          <w:szCs w:val="20"/>
          <w:lang w:eastAsia="it-IT"/>
        </w:rPr>
        <w:t xml:space="preserve">L’eventuale accertamento di </w:t>
      </w:r>
      <w:r w:rsidR="009A3EC0" w:rsidRPr="00515872">
        <w:rPr>
          <w:rFonts w:eastAsia="Times New Roman" w:cs="Tahoma"/>
          <w:szCs w:val="20"/>
          <w:lang w:eastAsia="it-IT"/>
        </w:rPr>
        <w:t>un maggior debito non previsto</w:t>
      </w:r>
      <w:r w:rsidRPr="00515872">
        <w:rPr>
          <w:rFonts w:eastAsia="Times New Roman" w:cs="Tahoma"/>
          <w:szCs w:val="20"/>
          <w:lang w:eastAsia="it-IT"/>
        </w:rPr>
        <w:t xml:space="preserve"> in bilancio, infatti, comporta la </w:t>
      </w:r>
      <w:r w:rsidR="00FD7267" w:rsidRPr="00515872">
        <w:rPr>
          <w:rFonts w:eastAsia="Times New Roman" w:cs="Tahoma"/>
          <w:szCs w:val="20"/>
          <w:lang w:eastAsia="it-IT"/>
        </w:rPr>
        <w:t xml:space="preserve">diversa fattispecie del </w:t>
      </w:r>
      <w:r w:rsidR="00FD7267" w:rsidRPr="00515872">
        <w:rPr>
          <w:rFonts w:eastAsia="Times New Roman" w:cs="Tahoma"/>
          <w:b/>
          <w:szCs w:val="20"/>
          <w:lang w:eastAsia="it-IT"/>
        </w:rPr>
        <w:t xml:space="preserve">debito fuori bilancio con </w:t>
      </w:r>
      <w:r w:rsidRPr="00515872">
        <w:rPr>
          <w:rFonts w:eastAsia="Times New Roman" w:cs="Tahoma"/>
          <w:b/>
          <w:szCs w:val="20"/>
          <w:lang w:eastAsia="it-IT"/>
        </w:rPr>
        <w:t xml:space="preserve">necessità di attivare la procedura amministrativa </w:t>
      </w:r>
      <w:r w:rsidR="00FD7267" w:rsidRPr="00515872">
        <w:rPr>
          <w:rFonts w:eastAsia="Times New Roman" w:cs="Tahoma"/>
          <w:b/>
          <w:szCs w:val="20"/>
          <w:lang w:eastAsia="it-IT"/>
        </w:rPr>
        <w:t>per il suo</w:t>
      </w:r>
      <w:r w:rsidRPr="00515872">
        <w:rPr>
          <w:rFonts w:eastAsia="Times New Roman" w:cs="Tahoma"/>
          <w:b/>
          <w:szCs w:val="20"/>
          <w:lang w:eastAsia="it-IT"/>
        </w:rPr>
        <w:t xml:space="preserve"> riconosc</w:t>
      </w:r>
      <w:r w:rsidR="00FD7267" w:rsidRPr="00515872">
        <w:rPr>
          <w:rFonts w:eastAsia="Times New Roman" w:cs="Tahoma"/>
          <w:b/>
          <w:szCs w:val="20"/>
          <w:lang w:eastAsia="it-IT"/>
        </w:rPr>
        <w:t>imento</w:t>
      </w:r>
      <w:r w:rsidRPr="00515872">
        <w:rPr>
          <w:rFonts w:eastAsia="Times New Roman" w:cs="Tahoma"/>
          <w:szCs w:val="20"/>
          <w:lang w:eastAsia="it-IT"/>
        </w:rPr>
        <w:t>.</w:t>
      </w:r>
    </w:p>
    <w:p w14:paraId="33699E8F"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Un residuo passivo cancellato e </w:t>
      </w:r>
      <w:proofErr w:type="spellStart"/>
      <w:r w:rsidRPr="00515872">
        <w:rPr>
          <w:rFonts w:cs="Tahoma"/>
          <w:szCs w:val="20"/>
          <w:lang w:eastAsia="it-IT"/>
        </w:rPr>
        <w:t>reimputato</w:t>
      </w:r>
      <w:proofErr w:type="spellEnd"/>
      <w:r w:rsidRPr="00515872">
        <w:rPr>
          <w:rFonts w:cs="Tahoma"/>
          <w:szCs w:val="20"/>
          <w:lang w:eastAsia="it-IT"/>
        </w:rPr>
        <w:t xml:space="preserve"> porta con sé la copertura che l’impegno aveva nell’esercizio in cui era stato inizialmente imputato attraverso l’utilizzo del </w:t>
      </w:r>
      <w:r w:rsidR="00FD7267" w:rsidRPr="00515872">
        <w:rPr>
          <w:rFonts w:cs="Tahoma"/>
          <w:szCs w:val="20"/>
          <w:lang w:eastAsia="it-IT"/>
        </w:rPr>
        <w:t>FPV</w:t>
      </w:r>
      <w:r w:rsidRPr="00515872">
        <w:rPr>
          <w:rFonts w:cs="Tahoma"/>
          <w:szCs w:val="20"/>
          <w:lang w:eastAsia="it-IT"/>
        </w:rPr>
        <w:t>.</w:t>
      </w:r>
    </w:p>
    <w:p w14:paraId="75F4B0EF"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I residui attivi oggetto di </w:t>
      </w:r>
      <w:proofErr w:type="spellStart"/>
      <w:r w:rsidRPr="00515872">
        <w:rPr>
          <w:rFonts w:cs="Tahoma"/>
          <w:szCs w:val="20"/>
          <w:lang w:eastAsia="it-IT"/>
        </w:rPr>
        <w:t>reimputazione</w:t>
      </w:r>
      <w:proofErr w:type="spellEnd"/>
      <w:r w:rsidRPr="00515872">
        <w:rPr>
          <w:rFonts w:cs="Tahoma"/>
          <w:szCs w:val="20"/>
          <w:lang w:eastAsia="it-IT"/>
        </w:rPr>
        <w:t xml:space="preserve"> costituiscono una maggiore entrata dell’esercizio al quale sono </w:t>
      </w:r>
      <w:proofErr w:type="spellStart"/>
      <w:r w:rsidRPr="00515872">
        <w:rPr>
          <w:rFonts w:cs="Tahoma"/>
          <w:szCs w:val="20"/>
          <w:lang w:eastAsia="it-IT"/>
        </w:rPr>
        <w:t>reimputati</w:t>
      </w:r>
      <w:proofErr w:type="spellEnd"/>
      <w:r w:rsidRPr="00515872">
        <w:rPr>
          <w:rFonts w:cs="Tahoma"/>
          <w:szCs w:val="20"/>
          <w:lang w:eastAsia="it-IT"/>
        </w:rPr>
        <w:t>.</w:t>
      </w:r>
    </w:p>
    <w:p w14:paraId="4734AA9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deliberazione di riaccertamento ordinario è adottata dalla giunta, </w:t>
      </w:r>
      <w:r w:rsidRPr="00515872">
        <w:rPr>
          <w:rFonts w:eastAsia="Times New Roman" w:cs="Tahoma"/>
          <w:b/>
          <w:szCs w:val="20"/>
          <w:lang w:eastAsia="it-IT"/>
        </w:rPr>
        <w:t>previo parere dell’organo di revisione</w:t>
      </w:r>
      <w:r w:rsidRPr="00515872">
        <w:rPr>
          <w:rFonts w:eastAsia="Times New Roman" w:cs="Tahoma"/>
          <w:szCs w:val="20"/>
          <w:lang w:eastAsia="it-IT"/>
        </w:rPr>
        <w:t xml:space="preserve">. </w:t>
      </w:r>
    </w:p>
    <w:p w14:paraId="4A8281E2"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La delibera di giunta contiene:</w:t>
      </w:r>
    </w:p>
    <w:p w14:paraId="0BBD9911" w14:textId="77777777" w:rsidR="009518AF" w:rsidRPr="00515872" w:rsidRDefault="009518AF"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gli elenchi dei residui attivi e passivi da cancellare (con separata evidenza di quelli inesigibili);</w:t>
      </w:r>
    </w:p>
    <w:p w14:paraId="03A5CC1D" w14:textId="77777777" w:rsidR="009518AF" w:rsidRPr="00515872" w:rsidRDefault="009518AF"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gli elenchi delle variazioni sui residui;</w:t>
      </w:r>
    </w:p>
    <w:p w14:paraId="0A942B16" w14:textId="77777777" w:rsidR="009518AF" w:rsidRPr="00515872" w:rsidRDefault="009518AF"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 xml:space="preserve">gli elenchi dei residui attivi e passivi da </w:t>
      </w:r>
      <w:proofErr w:type="spellStart"/>
      <w:r w:rsidRPr="00515872">
        <w:rPr>
          <w:rFonts w:eastAsia="Times New Roman" w:cs="Tahoma"/>
          <w:szCs w:val="20"/>
          <w:lang w:eastAsia="it-IT"/>
        </w:rPr>
        <w:t>reimputare</w:t>
      </w:r>
      <w:proofErr w:type="spellEnd"/>
      <w:r w:rsidRPr="00515872">
        <w:rPr>
          <w:rFonts w:eastAsia="Times New Roman" w:cs="Tahoma"/>
          <w:szCs w:val="20"/>
          <w:lang w:eastAsia="it-IT"/>
        </w:rPr>
        <w:t xml:space="preserve"> perché non esigibili;</w:t>
      </w:r>
    </w:p>
    <w:p w14:paraId="7145A775" w14:textId="77777777" w:rsidR="009518AF" w:rsidRPr="00515872" w:rsidRDefault="009518AF"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le variazioni di bilancio sull’esercizio di riferimento del rendiconto;</w:t>
      </w:r>
    </w:p>
    <w:p w14:paraId="183623C0" w14:textId="77777777" w:rsidR="009518AF" w:rsidRPr="00515872" w:rsidRDefault="009518AF"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le variazione di bilancio sull’esercizio in corso e sulle annualità successive, in relazione alle scadenze delle obbli</w:t>
      </w:r>
      <w:r w:rsidR="006540A5" w:rsidRPr="00515872">
        <w:rPr>
          <w:rFonts w:eastAsia="Times New Roman" w:cs="Tahoma"/>
          <w:szCs w:val="20"/>
          <w:lang w:eastAsia="it-IT"/>
        </w:rPr>
        <w:t>gazioni (rimodulazione del FPV);</w:t>
      </w:r>
    </w:p>
    <w:p w14:paraId="7006341F" w14:textId="77777777" w:rsidR="006540A5" w:rsidRPr="00515872" w:rsidRDefault="006540A5" w:rsidP="00D65838">
      <w:pPr>
        <w:pStyle w:val="Paragrafoelenco"/>
        <w:numPr>
          <w:ilvl w:val="0"/>
          <w:numId w:val="34"/>
        </w:numPr>
        <w:spacing w:line="360" w:lineRule="auto"/>
        <w:jc w:val="both"/>
        <w:rPr>
          <w:rFonts w:eastAsia="Times New Roman" w:cs="Tahoma"/>
          <w:szCs w:val="20"/>
          <w:lang w:eastAsia="it-IT"/>
        </w:rPr>
      </w:pPr>
      <w:r w:rsidRPr="00515872">
        <w:rPr>
          <w:rFonts w:eastAsia="Times New Roman" w:cs="Tahoma"/>
          <w:szCs w:val="20"/>
          <w:lang w:eastAsia="it-IT"/>
        </w:rPr>
        <w:t>la reiscrizione di accertamenti ed impegni.</w:t>
      </w:r>
    </w:p>
    <w:p w14:paraId="390A6C05"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variazione al bilancio che consegue al riaccertamento ordinario deve essere trasmessa al tesoriere.</w:t>
      </w:r>
    </w:p>
    <w:p w14:paraId="5FDEBEE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Il riaccertamento dei residui può essere effettuato anche nel corso dell’esercizio provvisorio, ma ciò deve avvenire sempre entro i termini previsti per l'approvazione del rendiconto in quanto operazione necessaria a definire la posizione “debitoria” e “creditoria” dell’ente che andrà esposta nel rendiconto stesso.</w:t>
      </w:r>
    </w:p>
    <w:p w14:paraId="7F4D8704"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variazione di bilancio necessaria alla </w:t>
      </w:r>
      <w:proofErr w:type="spellStart"/>
      <w:r w:rsidRPr="00515872">
        <w:rPr>
          <w:rFonts w:eastAsia="Times New Roman" w:cs="Tahoma"/>
          <w:szCs w:val="20"/>
          <w:lang w:eastAsia="it-IT"/>
        </w:rPr>
        <w:t>reimputazione</w:t>
      </w:r>
      <w:proofErr w:type="spellEnd"/>
      <w:r w:rsidRPr="00515872">
        <w:rPr>
          <w:rFonts w:eastAsia="Times New Roman" w:cs="Tahoma"/>
          <w:szCs w:val="20"/>
          <w:lang w:eastAsia="it-IT"/>
        </w:rPr>
        <w:t xml:space="preserve"> degli impegni e degli accertamenti all'esercizio in cui le obbligazioni sono esigibili è effettuata a valere sull’ultimo bilancio di previsione approvato.</w:t>
      </w:r>
    </w:p>
    <w:p w14:paraId="5C419704" w14:textId="77777777" w:rsidR="009518AF" w:rsidRPr="00515872" w:rsidRDefault="004F69AC" w:rsidP="009518AF">
      <w:pPr>
        <w:spacing w:line="360" w:lineRule="auto"/>
        <w:jc w:val="both"/>
        <w:rPr>
          <w:rFonts w:eastAsia="Times New Roman" w:cs="Tahoma"/>
          <w:szCs w:val="20"/>
          <w:highlight w:val="yellow"/>
          <w:lang w:eastAsia="it-IT"/>
        </w:rPr>
      </w:pPr>
      <w:r w:rsidRPr="00515872">
        <w:rPr>
          <w:rFonts w:cs="Tahoma"/>
          <w:lang w:eastAsia="it-IT"/>
        </w:rPr>
        <w:lastRenderedPageBreak/>
        <w:t xml:space="preserve">Con riferimento ai </w:t>
      </w:r>
      <w:r w:rsidRPr="00515872">
        <w:rPr>
          <w:rFonts w:cs="Tahoma"/>
          <w:lang w:val="x-none" w:eastAsia="it-IT"/>
        </w:rPr>
        <w:t>crediti di dubbia e difficile esazione accertati nell’esercizio</w:t>
      </w:r>
      <w:r w:rsidRPr="00515872">
        <w:rPr>
          <w:rFonts w:cs="Tahoma"/>
          <w:lang w:eastAsia="it-IT"/>
        </w:rPr>
        <w:t>, sulla base della ricognizione effettuata, si procede all’</w:t>
      </w:r>
      <w:r w:rsidRPr="00515872">
        <w:rPr>
          <w:rFonts w:cs="Tahoma"/>
          <w:lang w:val="x-none" w:eastAsia="it-IT"/>
        </w:rPr>
        <w:t xml:space="preserve">accantonamento al fondo di crediti, </w:t>
      </w:r>
      <w:r w:rsidRPr="00515872">
        <w:rPr>
          <w:rFonts w:cs="Tahoma"/>
          <w:lang w:eastAsia="it-IT"/>
        </w:rPr>
        <w:t xml:space="preserve">di dubbia e difficile esigibilità accantonando </w:t>
      </w:r>
      <w:r w:rsidRPr="00515872">
        <w:rPr>
          <w:rFonts w:cs="Tahoma"/>
          <w:lang w:val="x-none" w:eastAsia="it-IT"/>
        </w:rPr>
        <w:t xml:space="preserve">a tal fine una quota dell’avanzo di amministrazione. </w:t>
      </w:r>
      <w:r w:rsidR="00E17A5E" w:rsidRPr="00515872">
        <w:rPr>
          <w:rFonts w:cs="Tahoma"/>
          <w:lang w:eastAsia="it-IT"/>
        </w:rPr>
        <w:t xml:space="preserve">Trascorsi </w:t>
      </w:r>
      <w:r w:rsidR="009A3EC0" w:rsidRPr="00515872">
        <w:rPr>
          <w:rFonts w:cs="Tahoma"/>
          <w:lang w:eastAsia="it-IT"/>
        </w:rPr>
        <w:t>3</w:t>
      </w:r>
      <w:r w:rsidR="00E17A5E" w:rsidRPr="00515872">
        <w:rPr>
          <w:rFonts w:cs="Tahoma"/>
          <w:lang w:eastAsia="it-IT"/>
        </w:rPr>
        <w:t xml:space="preserve"> anni dalla scadenza di un credito di dubbia e difficile esazione non riscosso, il responsabile del servizio competente alla gestione dell’entrata valuta l’opportunità di operare lo stralcio di tale credito dal conto del bilancio, riducendo di pari importo il </w:t>
      </w:r>
      <w:r w:rsidR="009A3EC0" w:rsidRPr="00515872">
        <w:rPr>
          <w:rFonts w:cs="Tahoma"/>
          <w:lang w:eastAsia="it-IT"/>
        </w:rPr>
        <w:t>FCDE</w:t>
      </w:r>
      <w:r w:rsidR="00E17A5E" w:rsidRPr="00515872">
        <w:rPr>
          <w:rFonts w:cs="Tahoma"/>
          <w:lang w:eastAsia="it-IT"/>
        </w:rPr>
        <w:t xml:space="preserve"> accantonato nel risultato di amministrazione</w:t>
      </w:r>
      <w:r w:rsidR="00992BF8" w:rsidRPr="00515872">
        <w:rPr>
          <w:rFonts w:cs="Tahoma"/>
          <w:lang w:eastAsia="it-IT"/>
        </w:rPr>
        <w:t>.</w:t>
      </w:r>
    </w:p>
    <w:p w14:paraId="5B4B6A50"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Riaccertamento straordinario</w:t>
      </w:r>
    </w:p>
    <w:p w14:paraId="773A748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Nell’ambito del passaggio dal vecchio sistema contabile al nuovo, una fase cruciale è stata quella del riaccertamento straordinario dei residui. Si tratta</w:t>
      </w:r>
      <w:r w:rsidR="009A3EC0" w:rsidRPr="00515872">
        <w:rPr>
          <w:rFonts w:eastAsia="Times New Roman" w:cs="Tahoma"/>
          <w:szCs w:val="20"/>
          <w:lang w:eastAsia="it-IT"/>
        </w:rPr>
        <w:t>va</w:t>
      </w:r>
      <w:r w:rsidRPr="00515872">
        <w:rPr>
          <w:rFonts w:eastAsia="Times New Roman" w:cs="Tahoma"/>
          <w:szCs w:val="20"/>
          <w:lang w:eastAsia="it-IT"/>
        </w:rPr>
        <w:t xml:space="preserve"> dell'attivit</w:t>
      </w:r>
      <w:r w:rsidR="009A3EC0" w:rsidRPr="00515872">
        <w:rPr>
          <w:rFonts w:eastAsia="Times New Roman" w:cs="Tahoma"/>
          <w:szCs w:val="20"/>
          <w:lang w:eastAsia="it-IT"/>
        </w:rPr>
        <w:t>à prevista dall'art. 3, c. 7,</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finalizzata ad adeguare lo stock dei residui attivi e passivi alla nuova configurazione del principio contabile generale della com</w:t>
      </w:r>
      <w:r w:rsidR="009A3EC0" w:rsidRPr="00515872">
        <w:rPr>
          <w:rFonts w:eastAsia="Times New Roman" w:cs="Tahoma"/>
          <w:szCs w:val="20"/>
          <w:lang w:eastAsia="it-IT"/>
        </w:rPr>
        <w:t>petenza finanziaria potenziata che prevede il mantenimento, tra i residui, solo dei rapporti debitori e creditori per i quali l’obbligazione giuridica risulti scaduta.</w:t>
      </w:r>
    </w:p>
    <w:p w14:paraId="189617DF" w14:textId="77777777" w:rsidR="00D869CE"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In particolare, l'art. 3, c. 7 prevede che il riaccertamento straordinario dei residui dovesse essere effettuato (per gli enti non sperimentatori) con riferimento alla data del 1 gennaio 2015, contestualmente all'approvazione</w:t>
      </w:r>
      <w:r w:rsidR="00D869CE" w:rsidRPr="00515872">
        <w:rPr>
          <w:rFonts w:eastAsia="Times New Roman" w:cs="Tahoma"/>
          <w:szCs w:val="20"/>
          <w:lang w:eastAsia="it-IT"/>
        </w:rPr>
        <w:t xml:space="preserve"> del rendiconto dell’anno 2014.</w:t>
      </w:r>
    </w:p>
    <w:p w14:paraId="511E86F9" w14:textId="77777777" w:rsidR="00D869CE"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Trattandosi di attività meramente ricognitiva di adeguamento ai principi contabili, la competenza </w:t>
      </w:r>
      <w:r w:rsidR="00D869CE" w:rsidRPr="00515872">
        <w:rPr>
          <w:rFonts w:eastAsia="Times New Roman" w:cs="Tahoma"/>
          <w:szCs w:val="20"/>
          <w:lang w:eastAsia="it-IT"/>
        </w:rPr>
        <w:t>è stata attribuita alla giunta.</w:t>
      </w:r>
    </w:p>
    <w:p w14:paraId="1B2CEAC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La delibera di riaccertamento straordinario dei residui richiedeva</w:t>
      </w:r>
      <w:r w:rsidR="009A3EC0" w:rsidRPr="00515872">
        <w:rPr>
          <w:rFonts w:eastAsia="Times New Roman" w:cs="Tahoma"/>
          <w:szCs w:val="20"/>
          <w:lang w:eastAsia="it-IT"/>
        </w:rPr>
        <w:t>, comunque,</w:t>
      </w:r>
      <w:r w:rsidRPr="00515872">
        <w:rPr>
          <w:rFonts w:eastAsia="Times New Roman" w:cs="Tahoma"/>
          <w:szCs w:val="20"/>
          <w:lang w:eastAsia="it-IT"/>
        </w:rPr>
        <w:t xml:space="preserve"> il </w:t>
      </w:r>
      <w:r w:rsidRPr="00515872">
        <w:rPr>
          <w:rFonts w:eastAsia="Times New Roman" w:cs="Tahoma"/>
          <w:b/>
          <w:szCs w:val="20"/>
          <w:lang w:eastAsia="it-IT"/>
        </w:rPr>
        <w:t>parere dell’organo di revisione.</w:t>
      </w:r>
    </w:p>
    <w:p w14:paraId="2538AD5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L’operazione di riaccertamento straordinario ha dato luogo alle seguenti fasi:</w:t>
      </w:r>
    </w:p>
    <w:p w14:paraId="0A5EA78B"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eliminazione definitiva dei residui attivi e passivi al 31/12/2014 cui non corrispondevano obbligazioni perfezionate;</w:t>
      </w:r>
    </w:p>
    <w:p w14:paraId="6C4E372A"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eliminazione dei residui attivi e passivi cui non corrispondevano obbligazioni esigibili alla data del 31/12/2014, destinati ad essere </w:t>
      </w:r>
      <w:proofErr w:type="spellStart"/>
      <w:r w:rsidRPr="00515872">
        <w:rPr>
          <w:rFonts w:eastAsia="Times New Roman" w:cs="Tahoma"/>
          <w:szCs w:val="20"/>
          <w:lang w:eastAsia="it-IT"/>
        </w:rPr>
        <w:t>reimputati</w:t>
      </w:r>
      <w:proofErr w:type="spellEnd"/>
      <w:r w:rsidRPr="00515872">
        <w:rPr>
          <w:rFonts w:eastAsia="Times New Roman" w:cs="Tahoma"/>
          <w:szCs w:val="20"/>
          <w:lang w:eastAsia="it-IT"/>
        </w:rPr>
        <w:t xml:space="preserve"> agli esercizi successivi con individuazione delle relative scadenze;</w:t>
      </w:r>
    </w:p>
    <w:p w14:paraId="0FA744E4"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determinazione del FPV al</w:t>
      </w:r>
      <w:r w:rsidR="00A06607" w:rsidRPr="00515872">
        <w:rPr>
          <w:rFonts w:eastAsia="Times New Roman" w:cs="Tahoma"/>
          <w:szCs w:val="20"/>
          <w:lang w:eastAsia="it-IT"/>
        </w:rPr>
        <w:t>l’</w:t>
      </w:r>
      <w:r w:rsidRPr="00515872">
        <w:rPr>
          <w:rFonts w:eastAsia="Times New Roman" w:cs="Tahoma"/>
          <w:szCs w:val="20"/>
          <w:lang w:eastAsia="it-IT"/>
        </w:rPr>
        <w:t xml:space="preserve">1/01/2015 da iscrivere nell'entrata dell'esercizio 2015 del bilancio di previsione 2015-2017, distintamente per la parte corrente e la parte capitale, per un importo pari alla differenza tra i residui passivi ed i residui attivi </w:t>
      </w:r>
      <w:proofErr w:type="spellStart"/>
      <w:r w:rsidRPr="00515872">
        <w:rPr>
          <w:rFonts w:eastAsia="Times New Roman" w:cs="Tahoma"/>
          <w:szCs w:val="20"/>
          <w:lang w:eastAsia="it-IT"/>
        </w:rPr>
        <w:t>reimputati</w:t>
      </w:r>
      <w:proofErr w:type="spellEnd"/>
      <w:r w:rsidRPr="00515872">
        <w:rPr>
          <w:rFonts w:eastAsia="Times New Roman" w:cs="Tahoma"/>
          <w:szCs w:val="20"/>
          <w:lang w:eastAsia="it-IT"/>
        </w:rPr>
        <w:t>, se positiva;</w:t>
      </w:r>
    </w:p>
    <w:p w14:paraId="1F0A9168"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determinazione del </w:t>
      </w:r>
      <w:r w:rsidR="00A06607" w:rsidRPr="00515872">
        <w:rPr>
          <w:rFonts w:eastAsia="Times New Roman" w:cs="Tahoma"/>
          <w:szCs w:val="20"/>
          <w:lang w:eastAsia="it-IT"/>
        </w:rPr>
        <w:t>risultato di amministrazione all’</w:t>
      </w:r>
      <w:r w:rsidRPr="00515872">
        <w:rPr>
          <w:rFonts w:eastAsia="Times New Roman" w:cs="Tahoma"/>
          <w:szCs w:val="20"/>
          <w:lang w:eastAsia="it-IT"/>
        </w:rPr>
        <w:t>1/01/2015, in considerazione dell'importo riaccertato dei residui attivi e passivi e dell'importo del FPV;</w:t>
      </w:r>
    </w:p>
    <w:p w14:paraId="73790D8F"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individuazione delle quote accantonate, destinate e vincolate del </w:t>
      </w:r>
      <w:r w:rsidR="00A06607" w:rsidRPr="00515872">
        <w:rPr>
          <w:rFonts w:eastAsia="Times New Roman" w:cs="Tahoma"/>
          <w:szCs w:val="20"/>
          <w:lang w:eastAsia="it-IT"/>
        </w:rPr>
        <w:t>risultato di amministrazione all’</w:t>
      </w:r>
      <w:r w:rsidRPr="00515872">
        <w:rPr>
          <w:rFonts w:eastAsia="Times New Roman" w:cs="Tahoma"/>
          <w:szCs w:val="20"/>
          <w:lang w:eastAsia="it-IT"/>
        </w:rPr>
        <w:t xml:space="preserve">1/01/2015. Tali quote </w:t>
      </w:r>
      <w:r w:rsidR="00D869CE" w:rsidRPr="00515872">
        <w:rPr>
          <w:rFonts w:eastAsia="Times New Roman" w:cs="Tahoma"/>
          <w:szCs w:val="20"/>
          <w:lang w:eastAsia="it-IT"/>
        </w:rPr>
        <w:t>dovevano essere rilevat</w:t>
      </w:r>
      <w:r w:rsidRPr="00515872">
        <w:rPr>
          <w:rFonts w:eastAsia="Times New Roman" w:cs="Tahoma"/>
          <w:szCs w:val="20"/>
          <w:lang w:eastAsia="it-IT"/>
        </w:rPr>
        <w:t>e anche in caso di risultato di amministrazione non capiente o negativo, dando luogo</w:t>
      </w:r>
      <w:r w:rsidR="00D869CE" w:rsidRPr="00515872">
        <w:rPr>
          <w:rFonts w:eastAsia="Times New Roman" w:cs="Tahoma"/>
          <w:szCs w:val="20"/>
          <w:lang w:eastAsia="it-IT"/>
        </w:rPr>
        <w:t>, in questo caso,</w:t>
      </w:r>
      <w:r w:rsidRPr="00515872">
        <w:rPr>
          <w:rFonts w:eastAsia="Times New Roman" w:cs="Tahoma"/>
          <w:szCs w:val="20"/>
          <w:lang w:eastAsia="it-IT"/>
        </w:rPr>
        <w:t xml:space="preserve"> ad un disavanzo di amministrazione</w:t>
      </w:r>
      <w:r w:rsidR="00D869CE" w:rsidRPr="00515872">
        <w:rPr>
          <w:rFonts w:eastAsia="Times New Roman" w:cs="Tahoma"/>
          <w:szCs w:val="20"/>
          <w:lang w:eastAsia="it-IT"/>
        </w:rPr>
        <w:t xml:space="preserve"> che doveva essere </w:t>
      </w:r>
      <w:r w:rsidRPr="00515872">
        <w:rPr>
          <w:rFonts w:eastAsia="Times New Roman" w:cs="Tahoma"/>
          <w:szCs w:val="20"/>
          <w:lang w:eastAsia="it-IT"/>
        </w:rPr>
        <w:t>recupera</w:t>
      </w:r>
      <w:r w:rsidR="00D869CE" w:rsidRPr="00515872">
        <w:rPr>
          <w:rFonts w:eastAsia="Times New Roman" w:cs="Tahoma"/>
          <w:szCs w:val="20"/>
          <w:lang w:eastAsia="it-IT"/>
        </w:rPr>
        <w:t>to</w:t>
      </w:r>
      <w:r w:rsidRPr="00515872">
        <w:rPr>
          <w:rFonts w:eastAsia="Times New Roman" w:cs="Tahoma"/>
          <w:szCs w:val="20"/>
          <w:lang w:eastAsia="it-IT"/>
        </w:rPr>
        <w:t xml:space="preserve"> negli esercizi considerati nel bilancio di previsione; </w:t>
      </w:r>
    </w:p>
    <w:p w14:paraId="060A0B6F"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variazione degli stanziamenti del bilancio di previsione 2015-2017, se approvato;</w:t>
      </w:r>
    </w:p>
    <w:p w14:paraId="4A6544C4" w14:textId="77777777" w:rsidR="009518AF" w:rsidRPr="00515872" w:rsidRDefault="009518AF" w:rsidP="00D65838">
      <w:pPr>
        <w:pStyle w:val="Paragrafoelenco"/>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riaccertamento e </w:t>
      </w:r>
      <w:proofErr w:type="spellStart"/>
      <w:r w:rsidRPr="00515872">
        <w:rPr>
          <w:rFonts w:eastAsia="Times New Roman" w:cs="Tahoma"/>
          <w:szCs w:val="20"/>
          <w:lang w:eastAsia="it-IT"/>
        </w:rPr>
        <w:t>reimpegno</w:t>
      </w:r>
      <w:proofErr w:type="spellEnd"/>
      <w:r w:rsidRPr="00515872">
        <w:rPr>
          <w:rFonts w:eastAsia="Times New Roman" w:cs="Tahoma"/>
          <w:szCs w:val="20"/>
          <w:lang w:eastAsia="it-IT"/>
        </w:rPr>
        <w:t xml:space="preserve"> delle entrate e delle spese eliminate in quanto non esigibili al 31/12/2014. </w:t>
      </w:r>
    </w:p>
    <w:p w14:paraId="2A0BE9D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Particolare attenzione l’organo di revisione doveva porre agli effetti sugli equilibri dei singoli esercizi considerati dal bilancio determinati dalla distribuzione temporale dei residui </w:t>
      </w:r>
      <w:proofErr w:type="spellStart"/>
      <w:r w:rsidRPr="00515872">
        <w:rPr>
          <w:rFonts w:eastAsia="Times New Roman" w:cs="Tahoma"/>
          <w:szCs w:val="20"/>
          <w:lang w:eastAsia="it-IT"/>
        </w:rPr>
        <w:t>reimputati</w:t>
      </w:r>
      <w:proofErr w:type="spellEnd"/>
      <w:r w:rsidRPr="00515872">
        <w:rPr>
          <w:rFonts w:eastAsia="Times New Roman" w:cs="Tahoma"/>
          <w:szCs w:val="20"/>
          <w:lang w:eastAsia="it-IT"/>
        </w:rPr>
        <w:t>.</w:t>
      </w:r>
    </w:p>
    <w:p w14:paraId="2615F63B"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Per quanto attiene il maggior disavanzo determinato a seguito del riaccertamento straordinario dei residui, l’art. 2, c. 2 del decreto MEF 2 aprile 2015 ha stabilito che le modalità di recupero dovessero essere tempestivamente definite con delibera consiliare da adottarsi entro 45 giorni dalla data di approvazione della delibera di giunta concernente il riaccertamento straordinario, </w:t>
      </w:r>
      <w:r w:rsidRPr="00515872">
        <w:rPr>
          <w:rFonts w:eastAsia="Times New Roman" w:cs="Tahoma"/>
          <w:b/>
          <w:szCs w:val="20"/>
          <w:lang w:eastAsia="it-IT"/>
        </w:rPr>
        <w:t>corredata da parere del collegio dei revisori</w:t>
      </w:r>
      <w:r w:rsidRPr="00515872">
        <w:rPr>
          <w:rFonts w:eastAsia="Times New Roman" w:cs="Tahoma"/>
          <w:szCs w:val="20"/>
          <w:lang w:eastAsia="it-IT"/>
        </w:rPr>
        <w:t xml:space="preserve">. La L. 23 dicembre 2014, n. 190, al c. 538, ha previsto che il ripiano potesse avvenire in un </w:t>
      </w:r>
      <w:r w:rsidRPr="00515872">
        <w:rPr>
          <w:rFonts w:eastAsia="Times New Roman" w:cs="Tahoma"/>
          <w:b/>
          <w:szCs w:val="20"/>
          <w:lang w:eastAsia="it-IT"/>
        </w:rPr>
        <w:t>arco temporale massimo pari a 30 esercizi</w:t>
      </w:r>
      <w:r w:rsidRPr="00515872">
        <w:rPr>
          <w:rFonts w:eastAsia="Times New Roman" w:cs="Tahoma"/>
          <w:szCs w:val="20"/>
          <w:lang w:eastAsia="it-IT"/>
        </w:rPr>
        <w:t>, per quote costanti.</w:t>
      </w:r>
    </w:p>
    <w:p w14:paraId="33940037"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Il provvedimento doveva comprendere anche una variazione al bilancio di previsione, se approvato, o, in caso di esercizio provvisorio, la variazione degli stanziamenti e dei residui in corso di gestione. La variazione di bilancio si rendeva necessaria per consentire:</w:t>
      </w:r>
    </w:p>
    <w:p w14:paraId="4FD8FC18" w14:textId="77777777" w:rsidR="009518AF" w:rsidRPr="00515872" w:rsidRDefault="009518AF" w:rsidP="00D65838">
      <w:pPr>
        <w:pStyle w:val="Paragrafoelenco"/>
        <w:numPr>
          <w:ilvl w:val="0"/>
          <w:numId w:val="96"/>
        </w:numPr>
        <w:spacing w:line="360" w:lineRule="auto"/>
        <w:ind w:left="426" w:hanging="426"/>
        <w:jc w:val="both"/>
        <w:rPr>
          <w:rFonts w:eastAsia="Times New Roman" w:cs="Tahoma"/>
          <w:szCs w:val="20"/>
          <w:lang w:eastAsia="it-IT"/>
        </w:rPr>
      </w:pPr>
      <w:r w:rsidRPr="00515872">
        <w:rPr>
          <w:rFonts w:eastAsia="Times New Roman" w:cs="Tahoma"/>
          <w:szCs w:val="20"/>
          <w:lang w:eastAsia="it-IT"/>
        </w:rPr>
        <w:t>l’assestamento dell’importo dei residui attivi e passivi;</w:t>
      </w:r>
    </w:p>
    <w:p w14:paraId="524C14D0" w14:textId="77777777" w:rsidR="009518AF" w:rsidRPr="00515872" w:rsidRDefault="009518AF" w:rsidP="00D65838">
      <w:pPr>
        <w:pStyle w:val="Paragrafoelenco"/>
        <w:numPr>
          <w:ilvl w:val="0"/>
          <w:numId w:val="96"/>
        </w:numPr>
        <w:spacing w:line="360" w:lineRule="auto"/>
        <w:ind w:left="426" w:hanging="426"/>
        <w:jc w:val="both"/>
        <w:rPr>
          <w:rFonts w:eastAsia="Times New Roman" w:cs="Tahoma"/>
          <w:szCs w:val="20"/>
          <w:lang w:eastAsia="it-IT"/>
        </w:rPr>
      </w:pPr>
      <w:r w:rsidRPr="00515872">
        <w:rPr>
          <w:rFonts w:eastAsia="Times New Roman" w:cs="Tahoma"/>
          <w:szCs w:val="20"/>
          <w:lang w:eastAsia="it-IT"/>
        </w:rPr>
        <w:t xml:space="preserve">l’incremento degli stanziamenti di entrata e di spesa degli esercizi considerati nel bilancio di previsione per consentire le </w:t>
      </w:r>
      <w:proofErr w:type="spellStart"/>
      <w:r w:rsidRPr="00515872">
        <w:rPr>
          <w:rFonts w:eastAsia="Times New Roman" w:cs="Tahoma"/>
          <w:szCs w:val="20"/>
          <w:lang w:eastAsia="it-IT"/>
        </w:rPr>
        <w:t>reimputazioni</w:t>
      </w:r>
      <w:proofErr w:type="spellEnd"/>
      <w:r w:rsidRPr="00515872">
        <w:rPr>
          <w:rFonts w:eastAsia="Times New Roman" w:cs="Tahoma"/>
          <w:szCs w:val="20"/>
          <w:lang w:eastAsia="it-IT"/>
        </w:rPr>
        <w:t>;</w:t>
      </w:r>
    </w:p>
    <w:p w14:paraId="4BC73F36" w14:textId="77777777" w:rsidR="009518AF" w:rsidRPr="00515872" w:rsidRDefault="009518AF" w:rsidP="00D65838">
      <w:pPr>
        <w:pStyle w:val="Paragrafoelenco"/>
        <w:numPr>
          <w:ilvl w:val="0"/>
          <w:numId w:val="96"/>
        </w:numPr>
        <w:spacing w:line="360" w:lineRule="auto"/>
        <w:ind w:left="426" w:hanging="426"/>
        <w:jc w:val="both"/>
        <w:rPr>
          <w:rFonts w:eastAsia="Times New Roman" w:cs="Tahoma"/>
          <w:szCs w:val="20"/>
          <w:lang w:eastAsia="it-IT"/>
        </w:rPr>
      </w:pPr>
      <w:r w:rsidRPr="00515872">
        <w:rPr>
          <w:rFonts w:eastAsia="Times New Roman" w:cs="Tahoma"/>
          <w:szCs w:val="20"/>
          <w:lang w:eastAsia="it-IT"/>
        </w:rPr>
        <w:t>l’iscrizione del FPV, per tenere conto degli effetti della delibera di riaccertamento dei residui e, conseguentemente, l’incremento del FPV iscritto in entrata del secondo esercizio riguardante il FPV, l’incremento delle voci di spesa del FPV stanziato in spesa riguardanti il FPV, l’incremento del FPV iscritto nel terzo esercizio.</w:t>
      </w:r>
    </w:p>
    <w:p w14:paraId="35D0D7AE" w14:textId="77777777" w:rsidR="009518AF" w:rsidRPr="00515872" w:rsidRDefault="009518AF" w:rsidP="009518AF">
      <w:pPr>
        <w:spacing w:line="360" w:lineRule="auto"/>
        <w:jc w:val="both"/>
        <w:rPr>
          <w:rFonts w:cs="Tahoma"/>
          <w:szCs w:val="20"/>
          <w:lang w:eastAsia="it-IT"/>
        </w:rPr>
      </w:pPr>
      <w:r w:rsidRPr="00515872">
        <w:rPr>
          <w:rFonts w:eastAsia="Times New Roman" w:cs="Tahoma"/>
          <w:szCs w:val="20"/>
          <w:lang w:eastAsia="it-IT"/>
        </w:rPr>
        <w:t>Il Decreto MEF-RGS 19 dicembre 2016 ha disposto le modalità e i tempi di trasmissione al MEF delle informazioni concernenti il maggior disavanzo da riaccertamento straordinario dei residui da effettuarsi, generalmente, entro i</w:t>
      </w:r>
      <w:r w:rsidRPr="00515872">
        <w:rPr>
          <w:rFonts w:cs="Tahoma"/>
          <w:szCs w:val="20"/>
          <w:lang w:eastAsia="it-IT"/>
        </w:rPr>
        <w:t>l termine di 60 giorni dalla data di pubblicazione del decreto (avvenuta in data 25 gennaio 2017)</w:t>
      </w:r>
      <w:r w:rsidRPr="00515872">
        <w:rPr>
          <w:rStyle w:val="Rimandonotaapidipagina"/>
          <w:rFonts w:cs="Tahoma"/>
          <w:szCs w:val="20"/>
          <w:lang w:eastAsia="it-IT"/>
        </w:rPr>
        <w:footnoteReference w:id="62"/>
      </w:r>
      <w:r w:rsidRPr="00515872">
        <w:rPr>
          <w:rFonts w:cs="Tahoma"/>
          <w:szCs w:val="20"/>
          <w:lang w:eastAsia="it-IT"/>
        </w:rPr>
        <w:t xml:space="preserve">. L’adempimento doveva essere espletato anche dagli enti che non </w:t>
      </w:r>
      <w:r w:rsidR="00D869CE" w:rsidRPr="00515872">
        <w:rPr>
          <w:rFonts w:cs="Tahoma"/>
          <w:szCs w:val="20"/>
          <w:lang w:eastAsia="it-IT"/>
        </w:rPr>
        <w:t>avevano</w:t>
      </w:r>
      <w:r w:rsidRPr="00515872">
        <w:rPr>
          <w:rFonts w:cs="Tahoma"/>
          <w:szCs w:val="20"/>
          <w:lang w:eastAsia="it-IT"/>
        </w:rPr>
        <w:t xml:space="preserve"> registrato disavanzi. Gli enti che non hanno trasmesso le informazioni secondo le modalità e i tempi previsti dal decreto, ripianano il maggior disavanzo derivante dal riaccertamento straordinario nei tempi più brevi previsti dal decreto di cui al primo periodo dell’art. 3, c. 15, </w:t>
      </w:r>
      <w:proofErr w:type="spellStart"/>
      <w:r w:rsidRPr="00515872">
        <w:rPr>
          <w:rFonts w:cs="Tahoma"/>
          <w:szCs w:val="20"/>
          <w:lang w:eastAsia="it-IT"/>
        </w:rPr>
        <w:t>D.Lgs.</w:t>
      </w:r>
      <w:proofErr w:type="spellEnd"/>
      <w:r w:rsidRPr="00515872">
        <w:rPr>
          <w:rFonts w:cs="Tahoma"/>
          <w:szCs w:val="20"/>
          <w:lang w:eastAsia="it-IT"/>
        </w:rPr>
        <w:t xml:space="preserve"> 118/2011.</w:t>
      </w:r>
    </w:p>
    <w:p w14:paraId="27EEF89E"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La legge di bilancio 2018 </w:t>
      </w:r>
      <w:r w:rsidR="003B711B" w:rsidRPr="00515872">
        <w:rPr>
          <w:rFonts w:cs="Tahoma"/>
          <w:szCs w:val="20"/>
          <w:lang w:eastAsia="it-IT"/>
        </w:rPr>
        <w:t xml:space="preserve">ha previsto </w:t>
      </w:r>
      <w:r w:rsidRPr="00515872">
        <w:rPr>
          <w:rFonts w:cs="Tahoma"/>
          <w:szCs w:val="20"/>
          <w:lang w:eastAsia="it-IT"/>
        </w:rPr>
        <w:t>la possibilità di ripetere il riaccertamento straordinario dei residui in caso di rilievi da parte della Corte dei Conti o del MEF, o qualora il riaccertamento non fosse stato deliberato, contestualmente all’approvazione del rendiconto per il 2017. L’eventuale maggior disavanzo conseguente è ripianabile entro l’esercizio 2044.</w:t>
      </w:r>
    </w:p>
    <w:p w14:paraId="2F7D429B" w14:textId="77777777" w:rsidR="009518AF" w:rsidRPr="00515872" w:rsidRDefault="009518AF" w:rsidP="009518AF">
      <w:pPr>
        <w:pStyle w:val="Sottoparagrafo"/>
        <w:rPr>
          <w:rFonts w:cs="Tahoma"/>
          <w:lang w:eastAsia="it-IT"/>
        </w:rPr>
      </w:pPr>
      <w:bookmarkStart w:id="123" w:name="_Toc521317090"/>
      <w:bookmarkStart w:id="124" w:name="_Toc95912269"/>
      <w:r w:rsidRPr="00515872">
        <w:rPr>
          <w:rFonts w:cs="Tahoma"/>
          <w:lang w:eastAsia="it-IT"/>
        </w:rPr>
        <w:lastRenderedPageBreak/>
        <w:t>4.5.2 Risultato di amministrazione</w:t>
      </w:r>
      <w:bookmarkEnd w:id="123"/>
      <w:bookmarkEnd w:id="124"/>
    </w:p>
    <w:p w14:paraId="73710215"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lang w:eastAsia="it-IT"/>
        </w:rPr>
        <w:t>L</w:t>
      </w:r>
      <w:r w:rsidR="00035C47" w:rsidRPr="00515872">
        <w:rPr>
          <w:rFonts w:cs="Tahoma"/>
          <w:szCs w:val="20"/>
          <w:lang w:eastAsia="it-IT"/>
        </w:rPr>
        <w:t>’art. 228, c. 4 del TUEL stabilisce</w:t>
      </w:r>
      <w:r w:rsidRPr="00515872">
        <w:rPr>
          <w:rFonts w:cs="Tahoma"/>
          <w:szCs w:val="20"/>
          <w:lang w:eastAsia="it-IT"/>
        </w:rPr>
        <w:t xml:space="preserve"> che</w:t>
      </w:r>
      <w:r w:rsidR="00035C47" w:rsidRPr="00515872">
        <w:rPr>
          <w:rFonts w:cs="Tahoma"/>
          <w:szCs w:val="20"/>
          <w:lang w:eastAsia="it-IT"/>
        </w:rPr>
        <w:t>:</w:t>
      </w:r>
      <w:r w:rsidRPr="00515872">
        <w:rPr>
          <w:rFonts w:cs="Tahoma"/>
          <w:szCs w:val="20"/>
          <w:lang w:eastAsia="it-IT"/>
        </w:rPr>
        <w:t xml:space="preserve"> “</w:t>
      </w:r>
      <w:r w:rsidRPr="00515872">
        <w:rPr>
          <w:rFonts w:eastAsia="Times New Roman" w:cs="Tahoma"/>
          <w:i/>
          <w:szCs w:val="20"/>
          <w:lang w:eastAsia="it-IT"/>
        </w:rPr>
        <w:t>Il conto del bilancio si conclude con la dimostrazione del risultato della gestione di competenza e della gestione di cassa e del risultato di amministrazione alla fine dell'esercizio</w:t>
      </w:r>
      <w:r w:rsidRPr="00515872">
        <w:rPr>
          <w:rFonts w:eastAsia="Times New Roman" w:cs="Tahoma"/>
          <w:szCs w:val="20"/>
          <w:lang w:eastAsia="it-IT"/>
        </w:rPr>
        <w:t>”.</w:t>
      </w:r>
    </w:p>
    <w:p w14:paraId="5169CE4C" w14:textId="77777777" w:rsidR="009518AF" w:rsidRPr="00515872" w:rsidRDefault="009518AF" w:rsidP="009518AF">
      <w:pPr>
        <w:autoSpaceDE w:val="0"/>
        <w:autoSpaceDN w:val="0"/>
        <w:adjustRightInd w:val="0"/>
        <w:spacing w:after="0" w:line="360" w:lineRule="auto"/>
        <w:ind w:left="283" w:hanging="284"/>
        <w:jc w:val="both"/>
        <w:rPr>
          <w:rFonts w:cs="Tahoma"/>
          <w:color w:val="000000"/>
          <w:szCs w:val="20"/>
        </w:rPr>
      </w:pPr>
      <w:r w:rsidRPr="00515872">
        <w:rPr>
          <w:rFonts w:cs="Tahoma"/>
          <w:color w:val="000000"/>
          <w:szCs w:val="20"/>
        </w:rPr>
        <w:t xml:space="preserve">L’ordinamento contabile distingue il risultato finale in: </w:t>
      </w:r>
    </w:p>
    <w:p w14:paraId="631C1E63" w14:textId="77777777" w:rsidR="009518AF" w:rsidRPr="00515872" w:rsidRDefault="009518AF" w:rsidP="00D65838">
      <w:pPr>
        <w:pStyle w:val="Paragrafoelenco"/>
        <w:numPr>
          <w:ilvl w:val="0"/>
          <w:numId w:val="157"/>
        </w:numPr>
        <w:autoSpaceDE w:val="0"/>
        <w:autoSpaceDN w:val="0"/>
        <w:adjustRightInd w:val="0"/>
        <w:spacing w:line="360" w:lineRule="auto"/>
        <w:jc w:val="both"/>
        <w:rPr>
          <w:rFonts w:cs="Tahoma"/>
          <w:color w:val="000000"/>
          <w:szCs w:val="20"/>
        </w:rPr>
      </w:pPr>
      <w:r w:rsidRPr="00515872">
        <w:rPr>
          <w:rFonts w:cs="Tahoma"/>
          <w:color w:val="000000"/>
          <w:szCs w:val="20"/>
        </w:rPr>
        <w:t xml:space="preserve">risultato contabile di gestione (accertamenti meno impegni secondo competenza); </w:t>
      </w:r>
    </w:p>
    <w:p w14:paraId="48C6A191" w14:textId="77777777" w:rsidR="009518AF" w:rsidRPr="00515872" w:rsidRDefault="009518AF" w:rsidP="00D65838">
      <w:pPr>
        <w:pStyle w:val="Paragrafoelenco"/>
        <w:numPr>
          <w:ilvl w:val="0"/>
          <w:numId w:val="157"/>
        </w:numPr>
        <w:spacing w:line="360" w:lineRule="auto"/>
        <w:jc w:val="both"/>
        <w:rPr>
          <w:rFonts w:eastAsia="Times New Roman" w:cs="Tahoma"/>
          <w:szCs w:val="20"/>
          <w:lang w:eastAsia="it-IT"/>
        </w:rPr>
      </w:pPr>
      <w:r w:rsidRPr="00515872">
        <w:rPr>
          <w:rFonts w:cs="Tahoma"/>
          <w:color w:val="000000"/>
          <w:szCs w:val="20"/>
        </w:rPr>
        <w:t>risultato contabile di amministrazione.</w:t>
      </w:r>
    </w:p>
    <w:p w14:paraId="07311D35"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Il risultato di amministrazione può consistere </w:t>
      </w:r>
      <w:r w:rsidRPr="00515872">
        <w:rPr>
          <w:rFonts w:cs="Tahoma"/>
          <w:b/>
          <w:szCs w:val="20"/>
          <w:lang w:eastAsia="it-IT"/>
        </w:rPr>
        <w:t>in un avanzo o in un disavanzo</w:t>
      </w:r>
      <w:r w:rsidRPr="00515872">
        <w:rPr>
          <w:rFonts w:cs="Tahoma"/>
          <w:szCs w:val="20"/>
          <w:lang w:eastAsia="it-IT"/>
        </w:rPr>
        <w:t xml:space="preserve"> ed</w:t>
      </w:r>
      <w:r w:rsidRPr="00515872">
        <w:rPr>
          <w:rFonts w:cs="Tahoma"/>
          <w:iCs/>
          <w:color w:val="000000"/>
          <w:szCs w:val="20"/>
        </w:rPr>
        <w:t xml:space="preserve"> </w:t>
      </w:r>
      <w:r w:rsidRPr="00515872">
        <w:rPr>
          <w:rFonts w:cs="Tahoma"/>
          <w:b/>
          <w:iCs/>
          <w:color w:val="000000"/>
          <w:szCs w:val="20"/>
        </w:rPr>
        <w:t>è accertato con l'approvazione</w:t>
      </w:r>
      <w:r w:rsidRPr="00515872">
        <w:rPr>
          <w:rFonts w:cs="Tahoma"/>
          <w:b/>
          <w:color w:val="000000"/>
          <w:szCs w:val="20"/>
        </w:rPr>
        <w:t xml:space="preserve"> </w:t>
      </w:r>
      <w:r w:rsidRPr="00515872">
        <w:rPr>
          <w:rFonts w:cs="Tahoma"/>
          <w:b/>
          <w:iCs/>
          <w:color w:val="000000"/>
          <w:szCs w:val="20"/>
        </w:rPr>
        <w:t>del rendiconto dell'ultimo esercizio chiuso</w:t>
      </w:r>
      <w:r w:rsidRPr="00515872">
        <w:rPr>
          <w:rFonts w:cs="Tahoma"/>
          <w:iCs/>
          <w:color w:val="000000"/>
          <w:szCs w:val="20"/>
        </w:rPr>
        <w:t>. Esso è pari al fondo di cassa</w:t>
      </w:r>
      <w:r w:rsidRPr="00515872">
        <w:rPr>
          <w:rFonts w:cs="Tahoma"/>
          <w:color w:val="000000"/>
          <w:szCs w:val="20"/>
        </w:rPr>
        <w:t xml:space="preserve"> </w:t>
      </w:r>
      <w:r w:rsidRPr="00515872">
        <w:rPr>
          <w:rFonts w:cs="Tahoma"/>
          <w:iCs/>
          <w:color w:val="000000"/>
          <w:szCs w:val="20"/>
        </w:rPr>
        <w:t>aumentato dei residui attivi e diminuito dei residui passivi, escluse le risorse accertate che hanno finanziato</w:t>
      </w:r>
      <w:r w:rsidRPr="00515872">
        <w:rPr>
          <w:rFonts w:cs="Tahoma"/>
          <w:color w:val="000000"/>
          <w:szCs w:val="20"/>
        </w:rPr>
        <w:t xml:space="preserve"> </w:t>
      </w:r>
      <w:r w:rsidRPr="00515872">
        <w:rPr>
          <w:rFonts w:cs="Tahoma"/>
          <w:iCs/>
          <w:color w:val="000000"/>
          <w:szCs w:val="20"/>
        </w:rPr>
        <w:t>spese impegnate con imputazione agli esercizi successivi, rappresentate</w:t>
      </w:r>
      <w:r w:rsidRPr="00515872">
        <w:rPr>
          <w:rFonts w:cs="Tahoma"/>
          <w:color w:val="000000"/>
          <w:szCs w:val="20"/>
        </w:rPr>
        <w:t xml:space="preserve"> </w:t>
      </w:r>
      <w:r w:rsidRPr="00515872">
        <w:rPr>
          <w:rFonts w:cs="Tahoma"/>
          <w:iCs/>
          <w:color w:val="000000"/>
          <w:szCs w:val="20"/>
        </w:rPr>
        <w:t>dal FPV</w:t>
      </w:r>
      <w:r w:rsidRPr="00515872">
        <w:rPr>
          <w:rFonts w:cs="Tahoma"/>
          <w:bCs/>
          <w:iCs/>
          <w:color w:val="000000"/>
          <w:szCs w:val="20"/>
        </w:rPr>
        <w:t xml:space="preserve"> </w:t>
      </w:r>
      <w:r w:rsidRPr="00515872">
        <w:rPr>
          <w:rFonts w:cs="Tahoma"/>
          <w:iCs/>
          <w:color w:val="000000"/>
          <w:szCs w:val="20"/>
        </w:rPr>
        <w:t>determinato in spesa del conto del</w:t>
      </w:r>
      <w:r w:rsidRPr="00515872">
        <w:rPr>
          <w:rFonts w:cs="Tahoma"/>
          <w:color w:val="000000"/>
          <w:szCs w:val="20"/>
        </w:rPr>
        <w:t xml:space="preserve"> </w:t>
      </w:r>
      <w:r w:rsidRPr="00515872">
        <w:rPr>
          <w:rFonts w:cs="Tahoma"/>
          <w:iCs/>
          <w:color w:val="000000"/>
          <w:szCs w:val="20"/>
        </w:rPr>
        <w:t>bilancio, secondo lo schema sotto</w:t>
      </w:r>
      <w:r w:rsidRPr="00515872">
        <w:rPr>
          <w:rFonts w:cs="Tahoma"/>
          <w:szCs w:val="20"/>
          <w:lang w:eastAsia="it-IT"/>
        </w:rPr>
        <w:t xml:space="preserve"> evidenziato.</w:t>
      </w:r>
    </w:p>
    <w:tbl>
      <w:tblPr>
        <w:tblW w:w="0" w:type="auto"/>
        <w:jc w:val="center"/>
        <w:tblLook w:val="04A0" w:firstRow="1" w:lastRow="0" w:firstColumn="1" w:lastColumn="0" w:noHBand="0" w:noVBand="1"/>
      </w:tblPr>
      <w:tblGrid>
        <w:gridCol w:w="535"/>
        <w:gridCol w:w="4740"/>
      </w:tblGrid>
      <w:tr w:rsidR="00515872" w:rsidRPr="00515872" w14:paraId="721E92CF" w14:textId="77777777" w:rsidTr="00515872">
        <w:trPr>
          <w:jc w:val="center"/>
        </w:trPr>
        <w:tc>
          <w:tcPr>
            <w:tcW w:w="5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DAE4876" w14:textId="77777777" w:rsidR="00515872" w:rsidRPr="00515872" w:rsidRDefault="00515872" w:rsidP="00710E70">
            <w:pPr>
              <w:spacing w:after="60" w:line="240" w:lineRule="auto"/>
              <w:jc w:val="center"/>
              <w:rPr>
                <w:rFonts w:cs="Tahoma"/>
                <w:b/>
                <w:lang w:eastAsia="it-IT"/>
              </w:rPr>
            </w:pPr>
            <w:r w:rsidRPr="00515872">
              <w:rPr>
                <w:rFonts w:cs="Tahoma"/>
                <w:b/>
                <w:lang w:eastAsia="it-IT"/>
              </w:rPr>
              <w:t>Risultato di amministrazione</w:t>
            </w:r>
          </w:p>
        </w:tc>
      </w:tr>
      <w:tr w:rsidR="009518AF" w:rsidRPr="00515872" w14:paraId="4688D268" w14:textId="77777777" w:rsidTr="00393822">
        <w:trPr>
          <w:jc w:val="center"/>
        </w:trPr>
        <w:tc>
          <w:tcPr>
            <w:tcW w:w="535" w:type="dxa"/>
            <w:tcBorders>
              <w:top w:val="single" w:sz="4" w:space="0" w:color="auto"/>
              <w:left w:val="single" w:sz="4" w:space="0" w:color="auto"/>
              <w:bottom w:val="nil"/>
              <w:right w:val="nil"/>
            </w:tcBorders>
            <w:shd w:val="clear" w:color="auto" w:fill="DBE5F1" w:themeFill="accent1" w:themeFillTint="33"/>
          </w:tcPr>
          <w:p w14:paraId="19F30C08" w14:textId="77777777" w:rsidR="009518AF" w:rsidRPr="00515872" w:rsidRDefault="009518AF" w:rsidP="00710E70">
            <w:pPr>
              <w:spacing w:before="240" w:after="60" w:line="240" w:lineRule="auto"/>
              <w:jc w:val="center"/>
              <w:rPr>
                <w:rFonts w:cs="Tahoma"/>
                <w:lang w:eastAsia="it-IT"/>
              </w:rPr>
            </w:pPr>
            <w:r w:rsidRPr="00515872">
              <w:rPr>
                <w:rFonts w:cs="Tahoma"/>
                <w:lang w:eastAsia="it-IT"/>
              </w:rPr>
              <w:t>+</w:t>
            </w:r>
          </w:p>
        </w:tc>
        <w:tc>
          <w:tcPr>
            <w:tcW w:w="4740" w:type="dxa"/>
            <w:tcBorders>
              <w:top w:val="single" w:sz="4" w:space="0" w:color="auto"/>
              <w:left w:val="nil"/>
              <w:bottom w:val="nil"/>
              <w:right w:val="single" w:sz="4" w:space="0" w:color="auto"/>
            </w:tcBorders>
            <w:shd w:val="clear" w:color="auto" w:fill="DBE5F1" w:themeFill="accent1" w:themeFillTint="33"/>
          </w:tcPr>
          <w:p w14:paraId="1C215A10" w14:textId="77777777" w:rsidR="009518AF" w:rsidRPr="00515872" w:rsidRDefault="009518AF" w:rsidP="00710E70">
            <w:pPr>
              <w:spacing w:before="240" w:after="60" w:line="240" w:lineRule="auto"/>
              <w:rPr>
                <w:rFonts w:cs="Tahoma"/>
                <w:lang w:eastAsia="it-IT"/>
              </w:rPr>
            </w:pPr>
            <w:r w:rsidRPr="00515872">
              <w:rPr>
                <w:rFonts w:cs="Tahoma"/>
                <w:lang w:eastAsia="it-IT"/>
              </w:rPr>
              <w:t>Fondo cassa al 31/12/n</w:t>
            </w:r>
          </w:p>
        </w:tc>
      </w:tr>
      <w:tr w:rsidR="009518AF" w:rsidRPr="00515872" w14:paraId="54FAC74F" w14:textId="77777777" w:rsidTr="00393822">
        <w:trPr>
          <w:jc w:val="center"/>
        </w:trPr>
        <w:tc>
          <w:tcPr>
            <w:tcW w:w="535" w:type="dxa"/>
            <w:tcBorders>
              <w:top w:val="nil"/>
              <w:left w:val="single" w:sz="4" w:space="0" w:color="auto"/>
              <w:bottom w:val="nil"/>
              <w:right w:val="nil"/>
            </w:tcBorders>
            <w:shd w:val="clear" w:color="auto" w:fill="DBE5F1" w:themeFill="accent1" w:themeFillTint="33"/>
          </w:tcPr>
          <w:p w14:paraId="09FCBB46" w14:textId="77777777" w:rsidR="009518AF" w:rsidRPr="00515872" w:rsidRDefault="009518AF" w:rsidP="00710E70">
            <w:pPr>
              <w:spacing w:after="60" w:line="240" w:lineRule="auto"/>
              <w:jc w:val="center"/>
              <w:rPr>
                <w:rFonts w:cs="Tahoma"/>
                <w:lang w:eastAsia="it-IT"/>
              </w:rPr>
            </w:pPr>
            <w:r w:rsidRPr="00515872">
              <w:rPr>
                <w:rFonts w:cs="Tahoma"/>
                <w:lang w:eastAsia="it-IT"/>
              </w:rPr>
              <w:t>+</w:t>
            </w:r>
          </w:p>
        </w:tc>
        <w:tc>
          <w:tcPr>
            <w:tcW w:w="4740" w:type="dxa"/>
            <w:tcBorders>
              <w:top w:val="nil"/>
              <w:left w:val="nil"/>
              <w:bottom w:val="nil"/>
              <w:right w:val="single" w:sz="4" w:space="0" w:color="auto"/>
            </w:tcBorders>
            <w:shd w:val="clear" w:color="auto" w:fill="DBE5F1" w:themeFill="accent1" w:themeFillTint="33"/>
          </w:tcPr>
          <w:p w14:paraId="3FA91797" w14:textId="77777777" w:rsidR="009518AF" w:rsidRPr="00515872" w:rsidRDefault="009518AF" w:rsidP="00710E70">
            <w:pPr>
              <w:spacing w:after="60" w:line="240" w:lineRule="auto"/>
              <w:rPr>
                <w:rFonts w:cs="Tahoma"/>
                <w:lang w:eastAsia="it-IT"/>
              </w:rPr>
            </w:pPr>
            <w:r w:rsidRPr="00515872">
              <w:rPr>
                <w:rFonts w:cs="Tahoma"/>
                <w:lang w:eastAsia="it-IT"/>
              </w:rPr>
              <w:t>Residui attivi</w:t>
            </w:r>
            <w:r w:rsidR="00751CC3" w:rsidRPr="00515872">
              <w:rPr>
                <w:rFonts w:cs="Tahoma"/>
                <w:lang w:eastAsia="it-IT"/>
              </w:rPr>
              <w:t xml:space="preserve"> al 31/12/n</w:t>
            </w:r>
          </w:p>
        </w:tc>
      </w:tr>
      <w:tr w:rsidR="009518AF" w:rsidRPr="00515872" w14:paraId="76805124" w14:textId="77777777" w:rsidTr="00393822">
        <w:trPr>
          <w:jc w:val="center"/>
        </w:trPr>
        <w:tc>
          <w:tcPr>
            <w:tcW w:w="535" w:type="dxa"/>
            <w:tcBorders>
              <w:top w:val="nil"/>
              <w:left w:val="single" w:sz="4" w:space="0" w:color="auto"/>
              <w:bottom w:val="nil"/>
              <w:right w:val="nil"/>
            </w:tcBorders>
            <w:shd w:val="clear" w:color="auto" w:fill="DBE5F1" w:themeFill="accent1" w:themeFillTint="33"/>
          </w:tcPr>
          <w:p w14:paraId="33BCF82B" w14:textId="77777777" w:rsidR="009518AF" w:rsidRPr="00515872" w:rsidRDefault="009518AF" w:rsidP="00710E70">
            <w:pPr>
              <w:spacing w:after="60" w:line="240" w:lineRule="auto"/>
              <w:jc w:val="center"/>
              <w:rPr>
                <w:rFonts w:cs="Tahoma"/>
                <w:lang w:eastAsia="it-IT"/>
              </w:rPr>
            </w:pPr>
            <w:r w:rsidRPr="00515872">
              <w:rPr>
                <w:rFonts w:cs="Tahoma"/>
                <w:lang w:eastAsia="it-IT"/>
              </w:rPr>
              <w:t>-</w:t>
            </w:r>
          </w:p>
        </w:tc>
        <w:tc>
          <w:tcPr>
            <w:tcW w:w="4740" w:type="dxa"/>
            <w:tcBorders>
              <w:top w:val="nil"/>
              <w:left w:val="nil"/>
              <w:bottom w:val="nil"/>
              <w:right w:val="single" w:sz="4" w:space="0" w:color="auto"/>
            </w:tcBorders>
            <w:shd w:val="clear" w:color="auto" w:fill="DBE5F1" w:themeFill="accent1" w:themeFillTint="33"/>
          </w:tcPr>
          <w:p w14:paraId="7389549F" w14:textId="77777777" w:rsidR="009518AF" w:rsidRPr="00515872" w:rsidRDefault="009518AF" w:rsidP="00710E70">
            <w:pPr>
              <w:spacing w:after="60" w:line="240" w:lineRule="auto"/>
              <w:rPr>
                <w:rFonts w:cs="Tahoma"/>
                <w:lang w:eastAsia="it-IT"/>
              </w:rPr>
            </w:pPr>
            <w:r w:rsidRPr="00515872">
              <w:rPr>
                <w:rFonts w:cs="Tahoma"/>
                <w:lang w:eastAsia="it-IT"/>
              </w:rPr>
              <w:t>Residui passivi</w:t>
            </w:r>
            <w:r w:rsidR="00751CC3" w:rsidRPr="00515872">
              <w:rPr>
                <w:rFonts w:cs="Tahoma"/>
                <w:lang w:eastAsia="it-IT"/>
              </w:rPr>
              <w:t xml:space="preserve"> al 31/12/n</w:t>
            </w:r>
          </w:p>
        </w:tc>
      </w:tr>
      <w:tr w:rsidR="009518AF" w:rsidRPr="00515872" w14:paraId="53DF48D8" w14:textId="77777777" w:rsidTr="00393822">
        <w:trPr>
          <w:jc w:val="center"/>
        </w:trPr>
        <w:tc>
          <w:tcPr>
            <w:tcW w:w="535" w:type="dxa"/>
            <w:tcBorders>
              <w:top w:val="nil"/>
              <w:left w:val="single" w:sz="4" w:space="0" w:color="auto"/>
              <w:bottom w:val="nil"/>
              <w:right w:val="nil"/>
            </w:tcBorders>
            <w:shd w:val="clear" w:color="auto" w:fill="DBE5F1" w:themeFill="accent1" w:themeFillTint="33"/>
          </w:tcPr>
          <w:p w14:paraId="33B5DC2C" w14:textId="77777777" w:rsidR="009518AF" w:rsidRPr="00515872" w:rsidRDefault="009518AF" w:rsidP="00710E70">
            <w:pPr>
              <w:spacing w:after="60" w:line="240" w:lineRule="auto"/>
              <w:jc w:val="center"/>
              <w:rPr>
                <w:rFonts w:cs="Tahoma"/>
                <w:lang w:eastAsia="it-IT"/>
              </w:rPr>
            </w:pPr>
            <w:r w:rsidRPr="00515872">
              <w:rPr>
                <w:rFonts w:cs="Tahoma"/>
                <w:lang w:eastAsia="it-IT"/>
              </w:rPr>
              <w:t>-</w:t>
            </w:r>
          </w:p>
        </w:tc>
        <w:tc>
          <w:tcPr>
            <w:tcW w:w="4740" w:type="dxa"/>
            <w:tcBorders>
              <w:top w:val="nil"/>
              <w:left w:val="nil"/>
              <w:bottom w:val="nil"/>
              <w:right w:val="single" w:sz="4" w:space="0" w:color="auto"/>
            </w:tcBorders>
            <w:shd w:val="clear" w:color="auto" w:fill="DBE5F1" w:themeFill="accent1" w:themeFillTint="33"/>
          </w:tcPr>
          <w:p w14:paraId="62CC54D5" w14:textId="77777777" w:rsidR="009518AF" w:rsidRPr="00515872" w:rsidRDefault="009518AF" w:rsidP="00710E70">
            <w:pPr>
              <w:spacing w:after="60" w:line="240" w:lineRule="auto"/>
              <w:rPr>
                <w:rFonts w:cs="Tahoma"/>
                <w:lang w:eastAsia="it-IT"/>
              </w:rPr>
            </w:pPr>
            <w:r w:rsidRPr="00515872">
              <w:rPr>
                <w:rFonts w:cs="Tahoma"/>
                <w:lang w:eastAsia="it-IT"/>
              </w:rPr>
              <w:t>Fondo pluriennale vincolato</w:t>
            </w:r>
          </w:p>
        </w:tc>
      </w:tr>
      <w:tr w:rsidR="009518AF" w:rsidRPr="00515872" w14:paraId="5367D8AE" w14:textId="77777777" w:rsidTr="00393822">
        <w:trPr>
          <w:jc w:val="center"/>
        </w:trPr>
        <w:tc>
          <w:tcPr>
            <w:tcW w:w="535" w:type="dxa"/>
            <w:tcBorders>
              <w:top w:val="nil"/>
              <w:left w:val="single" w:sz="4" w:space="0" w:color="auto"/>
              <w:bottom w:val="single" w:sz="4" w:space="0" w:color="auto"/>
              <w:right w:val="nil"/>
            </w:tcBorders>
            <w:shd w:val="clear" w:color="auto" w:fill="DBE5F1" w:themeFill="accent1" w:themeFillTint="33"/>
          </w:tcPr>
          <w:p w14:paraId="37FA5BAA" w14:textId="77777777" w:rsidR="009518AF" w:rsidRPr="00515872" w:rsidRDefault="009518AF" w:rsidP="00710E70">
            <w:pPr>
              <w:spacing w:after="60" w:line="240" w:lineRule="auto"/>
              <w:jc w:val="center"/>
              <w:rPr>
                <w:rFonts w:cs="Tahoma"/>
                <w:lang w:eastAsia="it-IT"/>
              </w:rPr>
            </w:pPr>
            <w:r w:rsidRPr="00515872">
              <w:rPr>
                <w:rFonts w:cs="Tahoma"/>
                <w:lang w:eastAsia="it-IT"/>
              </w:rPr>
              <w:t>=</w:t>
            </w:r>
          </w:p>
        </w:tc>
        <w:tc>
          <w:tcPr>
            <w:tcW w:w="4740" w:type="dxa"/>
            <w:tcBorders>
              <w:top w:val="nil"/>
              <w:left w:val="nil"/>
              <w:bottom w:val="single" w:sz="4" w:space="0" w:color="auto"/>
              <w:right w:val="single" w:sz="4" w:space="0" w:color="auto"/>
            </w:tcBorders>
            <w:shd w:val="clear" w:color="auto" w:fill="DBE5F1" w:themeFill="accent1" w:themeFillTint="33"/>
          </w:tcPr>
          <w:p w14:paraId="1A9B5064" w14:textId="77777777" w:rsidR="009518AF" w:rsidRPr="00515872" w:rsidRDefault="009518AF" w:rsidP="00710E70">
            <w:pPr>
              <w:spacing w:after="60" w:line="240" w:lineRule="auto"/>
              <w:rPr>
                <w:rFonts w:cs="Tahoma"/>
                <w:lang w:eastAsia="it-IT"/>
              </w:rPr>
            </w:pPr>
            <w:r w:rsidRPr="00515872">
              <w:rPr>
                <w:rFonts w:cs="Tahoma"/>
                <w:lang w:eastAsia="it-IT"/>
              </w:rPr>
              <w:t>Risultato di amministrazione 31/12/n</w:t>
            </w:r>
          </w:p>
        </w:tc>
      </w:tr>
    </w:tbl>
    <w:p w14:paraId="51F06892" w14:textId="77777777" w:rsidR="009518AF" w:rsidRPr="00515872" w:rsidRDefault="009518AF" w:rsidP="009518AF">
      <w:pPr>
        <w:pStyle w:val="Paragrafoelenco"/>
        <w:ind w:left="360"/>
        <w:rPr>
          <w:rFonts w:cs="Tahoma"/>
          <w:highlight w:val="yellow"/>
          <w:lang w:eastAsia="it-IT"/>
        </w:rPr>
      </w:pPr>
    </w:p>
    <w:p w14:paraId="0EE88F52" w14:textId="77777777" w:rsidR="009518AF" w:rsidRPr="00515872" w:rsidRDefault="009518AF" w:rsidP="009518AF">
      <w:pPr>
        <w:spacing w:line="360" w:lineRule="auto"/>
        <w:jc w:val="both"/>
        <w:rPr>
          <w:rFonts w:cs="Tahoma"/>
          <w:lang w:eastAsia="it-IT"/>
        </w:rPr>
      </w:pPr>
      <w:r w:rsidRPr="00515872">
        <w:rPr>
          <w:rFonts w:cs="Tahoma"/>
          <w:lang w:eastAsia="it-IT"/>
        </w:rPr>
        <w:t>Dalla formula si evince come il risultato di amministrazione non rappresenti un dato certo in quanto influenzato, fondamentalmente, dall’esigibilità dei residui attivi e dalla possibile sottostima di quelli passivi.</w:t>
      </w:r>
    </w:p>
    <w:p w14:paraId="0ACEEDF2" w14:textId="77777777" w:rsidR="009518AF" w:rsidRPr="00515872" w:rsidRDefault="009518AF" w:rsidP="009518AF">
      <w:pPr>
        <w:spacing w:line="360" w:lineRule="auto"/>
        <w:jc w:val="both"/>
        <w:rPr>
          <w:rFonts w:cs="Tahoma"/>
        </w:rPr>
      </w:pPr>
      <w:r w:rsidRPr="00515872">
        <w:rPr>
          <w:rFonts w:cs="Tahoma"/>
        </w:rPr>
        <w:t>Il risultato di amministrazione si collega a quello dell’esercizio precedente e all’evoluzione della gestione finanziaria dell’esercizio considerato. Esso</w:t>
      </w:r>
      <w:r w:rsidR="00751CC3" w:rsidRPr="00515872">
        <w:rPr>
          <w:rFonts w:cs="Tahoma"/>
        </w:rPr>
        <w:t>, infatti, viene a determinarsi come segue</w:t>
      </w:r>
      <w:r w:rsidRPr="00515872">
        <w:rPr>
          <w:rFonts w:cs="Tahoma"/>
        </w:rPr>
        <w:t>:</w:t>
      </w:r>
    </w:p>
    <w:tbl>
      <w:tblPr>
        <w:tblW w:w="0" w:type="auto"/>
        <w:jc w:val="center"/>
        <w:tblLook w:val="04A0" w:firstRow="1" w:lastRow="0" w:firstColumn="1" w:lastColumn="0" w:noHBand="0" w:noVBand="1"/>
      </w:tblPr>
      <w:tblGrid>
        <w:gridCol w:w="582"/>
        <w:gridCol w:w="8572"/>
      </w:tblGrid>
      <w:tr w:rsidR="00515872" w:rsidRPr="00515872" w14:paraId="09BB56A5" w14:textId="77777777" w:rsidTr="00515872">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E693A7" w14:textId="77777777" w:rsidR="00515872" w:rsidRPr="00515872" w:rsidRDefault="00515872" w:rsidP="00393822">
            <w:pPr>
              <w:spacing w:before="240" w:line="240" w:lineRule="auto"/>
              <w:jc w:val="center"/>
              <w:rPr>
                <w:rFonts w:cs="Tahoma"/>
                <w:b/>
                <w:szCs w:val="20"/>
                <w:lang w:eastAsia="it-IT"/>
              </w:rPr>
            </w:pPr>
            <w:r w:rsidRPr="00515872">
              <w:rPr>
                <w:rFonts w:cs="Tahoma"/>
                <w:b/>
                <w:szCs w:val="20"/>
                <w:lang w:eastAsia="it-IT"/>
              </w:rPr>
              <w:t>Risultato di amministrazione</w:t>
            </w:r>
          </w:p>
        </w:tc>
      </w:tr>
      <w:tr w:rsidR="009518AF" w:rsidRPr="00515872" w14:paraId="79107A2B" w14:textId="77777777" w:rsidTr="00393822">
        <w:trPr>
          <w:jc w:val="center"/>
        </w:trPr>
        <w:tc>
          <w:tcPr>
            <w:tcW w:w="582" w:type="dxa"/>
            <w:tcBorders>
              <w:top w:val="single" w:sz="4" w:space="0" w:color="auto"/>
              <w:left w:val="single" w:sz="4" w:space="0" w:color="auto"/>
              <w:bottom w:val="nil"/>
              <w:right w:val="nil"/>
            </w:tcBorders>
            <w:shd w:val="clear" w:color="auto" w:fill="DBE5F1" w:themeFill="accent1" w:themeFillTint="33"/>
          </w:tcPr>
          <w:p w14:paraId="72F7BDC6" w14:textId="77777777" w:rsidR="009518AF" w:rsidRPr="00515872" w:rsidRDefault="009518AF" w:rsidP="00393822">
            <w:pPr>
              <w:spacing w:line="240" w:lineRule="auto"/>
              <w:rPr>
                <w:rFonts w:cs="Tahoma"/>
                <w:szCs w:val="20"/>
                <w:lang w:eastAsia="it-IT"/>
              </w:rPr>
            </w:pPr>
          </w:p>
        </w:tc>
        <w:tc>
          <w:tcPr>
            <w:tcW w:w="8572" w:type="dxa"/>
            <w:tcBorders>
              <w:top w:val="single" w:sz="4" w:space="0" w:color="auto"/>
              <w:left w:val="nil"/>
              <w:bottom w:val="nil"/>
              <w:right w:val="single" w:sz="4" w:space="0" w:color="auto"/>
            </w:tcBorders>
            <w:shd w:val="clear" w:color="auto" w:fill="DBE5F1" w:themeFill="accent1" w:themeFillTint="33"/>
          </w:tcPr>
          <w:p w14:paraId="253839DC" w14:textId="77777777" w:rsidR="009518AF" w:rsidRPr="00515872" w:rsidRDefault="009518AF" w:rsidP="00393822">
            <w:pPr>
              <w:spacing w:before="240" w:line="240" w:lineRule="auto"/>
              <w:rPr>
                <w:rFonts w:cs="Tahoma"/>
                <w:szCs w:val="20"/>
                <w:lang w:eastAsia="it-IT"/>
              </w:rPr>
            </w:pPr>
            <w:r w:rsidRPr="00515872">
              <w:rPr>
                <w:rFonts w:cs="Tahoma"/>
                <w:szCs w:val="20"/>
                <w:lang w:eastAsia="it-IT"/>
              </w:rPr>
              <w:t>Risultato di amministrazione dell’anno precedente</w:t>
            </w:r>
          </w:p>
        </w:tc>
      </w:tr>
      <w:tr w:rsidR="009518AF" w:rsidRPr="00515872" w14:paraId="29725316" w14:textId="77777777" w:rsidTr="00393822">
        <w:trPr>
          <w:jc w:val="center"/>
        </w:trPr>
        <w:tc>
          <w:tcPr>
            <w:tcW w:w="582" w:type="dxa"/>
            <w:tcBorders>
              <w:top w:val="nil"/>
              <w:left w:val="single" w:sz="4" w:space="0" w:color="auto"/>
              <w:bottom w:val="nil"/>
              <w:right w:val="nil"/>
            </w:tcBorders>
            <w:shd w:val="clear" w:color="auto" w:fill="DBE5F1" w:themeFill="accent1" w:themeFillTint="33"/>
          </w:tcPr>
          <w:p w14:paraId="082BCE3E" w14:textId="77777777" w:rsidR="009518AF" w:rsidRPr="00515872" w:rsidRDefault="009518AF" w:rsidP="00393822">
            <w:pPr>
              <w:spacing w:line="240" w:lineRule="auto"/>
              <w:jc w:val="center"/>
              <w:rPr>
                <w:rFonts w:cs="Tahoma"/>
                <w:szCs w:val="20"/>
                <w:lang w:eastAsia="it-IT"/>
              </w:rPr>
            </w:pPr>
            <w:r w:rsidRPr="00515872">
              <w:rPr>
                <w:rFonts w:cs="Tahoma"/>
                <w:szCs w:val="20"/>
              </w:rPr>
              <w:t>+/-</w:t>
            </w:r>
          </w:p>
        </w:tc>
        <w:tc>
          <w:tcPr>
            <w:tcW w:w="8572" w:type="dxa"/>
            <w:tcBorders>
              <w:top w:val="nil"/>
              <w:left w:val="nil"/>
              <w:bottom w:val="nil"/>
              <w:right w:val="single" w:sz="4" w:space="0" w:color="auto"/>
            </w:tcBorders>
            <w:shd w:val="clear" w:color="auto" w:fill="DBE5F1" w:themeFill="accent1" w:themeFillTint="33"/>
          </w:tcPr>
          <w:p w14:paraId="1393D580" w14:textId="77777777" w:rsidR="009518AF" w:rsidRPr="00515872" w:rsidRDefault="009518AF" w:rsidP="00393822">
            <w:pPr>
              <w:spacing w:line="240" w:lineRule="auto"/>
              <w:rPr>
                <w:rFonts w:cs="Tahoma"/>
                <w:szCs w:val="20"/>
                <w:lang w:eastAsia="it-IT"/>
              </w:rPr>
            </w:pPr>
            <w:r w:rsidRPr="00515872">
              <w:rPr>
                <w:rFonts w:cs="Tahoma"/>
                <w:szCs w:val="20"/>
              </w:rPr>
              <w:t>risultato di gestione</w:t>
            </w:r>
          </w:p>
        </w:tc>
      </w:tr>
      <w:tr w:rsidR="009518AF" w:rsidRPr="00515872" w14:paraId="1AE13615" w14:textId="77777777" w:rsidTr="00393822">
        <w:trPr>
          <w:jc w:val="center"/>
        </w:trPr>
        <w:tc>
          <w:tcPr>
            <w:tcW w:w="582" w:type="dxa"/>
            <w:tcBorders>
              <w:top w:val="nil"/>
              <w:left w:val="single" w:sz="4" w:space="0" w:color="auto"/>
              <w:bottom w:val="single" w:sz="4" w:space="0" w:color="auto"/>
              <w:right w:val="nil"/>
            </w:tcBorders>
            <w:shd w:val="clear" w:color="auto" w:fill="DBE5F1" w:themeFill="accent1" w:themeFillTint="33"/>
          </w:tcPr>
          <w:p w14:paraId="21EA46B0" w14:textId="77777777" w:rsidR="009518AF" w:rsidRPr="00515872" w:rsidRDefault="009518AF" w:rsidP="00393822">
            <w:pPr>
              <w:spacing w:line="240" w:lineRule="auto"/>
              <w:jc w:val="center"/>
              <w:rPr>
                <w:rFonts w:cs="Tahoma"/>
                <w:szCs w:val="20"/>
                <w:lang w:eastAsia="it-IT"/>
              </w:rPr>
            </w:pPr>
            <w:r w:rsidRPr="00515872">
              <w:rPr>
                <w:rFonts w:cs="Tahoma"/>
                <w:szCs w:val="20"/>
              </w:rPr>
              <w:t>+/-</w:t>
            </w:r>
          </w:p>
        </w:tc>
        <w:tc>
          <w:tcPr>
            <w:tcW w:w="8572" w:type="dxa"/>
            <w:tcBorders>
              <w:top w:val="nil"/>
              <w:left w:val="nil"/>
              <w:bottom w:val="single" w:sz="4" w:space="0" w:color="auto"/>
              <w:right w:val="single" w:sz="4" w:space="0" w:color="auto"/>
            </w:tcBorders>
            <w:shd w:val="clear" w:color="auto" w:fill="DBE5F1" w:themeFill="accent1" w:themeFillTint="33"/>
          </w:tcPr>
          <w:p w14:paraId="33A6A3A8" w14:textId="77777777" w:rsidR="009518AF" w:rsidRPr="00515872" w:rsidRDefault="009518AF" w:rsidP="00393822">
            <w:pPr>
              <w:spacing w:line="240" w:lineRule="auto"/>
              <w:rPr>
                <w:rFonts w:cs="Tahoma"/>
                <w:szCs w:val="20"/>
                <w:lang w:eastAsia="it-IT"/>
              </w:rPr>
            </w:pPr>
            <w:r w:rsidRPr="00515872">
              <w:rPr>
                <w:rFonts w:cs="Tahoma"/>
                <w:szCs w:val="20"/>
              </w:rPr>
              <w:t>maggiori o minori residui attivi riaccertati, dedotti i minori residui passivi riaccertati.</w:t>
            </w:r>
          </w:p>
        </w:tc>
      </w:tr>
    </w:tbl>
    <w:p w14:paraId="4CE47322" w14:textId="77777777" w:rsidR="009518AF" w:rsidRPr="00515872" w:rsidRDefault="009518AF" w:rsidP="009518AF">
      <w:pPr>
        <w:spacing w:line="360" w:lineRule="auto"/>
        <w:jc w:val="both"/>
        <w:rPr>
          <w:rFonts w:cs="Tahoma"/>
          <w:szCs w:val="20"/>
          <w:lang w:eastAsia="it-IT"/>
        </w:rPr>
      </w:pPr>
    </w:p>
    <w:p w14:paraId="780B685A" w14:textId="77777777" w:rsidR="00EA779E" w:rsidRDefault="00EA779E">
      <w:pPr>
        <w:spacing w:after="0" w:line="240" w:lineRule="auto"/>
        <w:rPr>
          <w:rFonts w:cs="Tahoma"/>
        </w:rPr>
      </w:pPr>
      <w:r>
        <w:rPr>
          <w:rFonts w:cs="Tahoma"/>
        </w:rPr>
        <w:br w:type="page"/>
      </w:r>
    </w:p>
    <w:p w14:paraId="7321BF55" w14:textId="0F1D7482" w:rsidR="009518AF" w:rsidRPr="00515872" w:rsidRDefault="00A862D7" w:rsidP="009518AF">
      <w:pPr>
        <w:spacing w:line="360" w:lineRule="auto"/>
        <w:jc w:val="both"/>
        <w:rPr>
          <w:rFonts w:cs="Tahoma"/>
        </w:rPr>
      </w:pPr>
      <w:r w:rsidRPr="00515872">
        <w:rPr>
          <w:rFonts w:cs="Tahoma"/>
        </w:rPr>
        <w:lastRenderedPageBreak/>
        <w:t xml:space="preserve">e può essere </w:t>
      </w:r>
      <w:r w:rsidR="009518AF" w:rsidRPr="00515872">
        <w:rPr>
          <w:rFonts w:cs="Tahoma"/>
        </w:rPr>
        <w:t>anche co</w:t>
      </w:r>
      <w:r w:rsidR="00751CC3" w:rsidRPr="00515872">
        <w:rPr>
          <w:rFonts w:cs="Tahoma"/>
        </w:rPr>
        <w:t>sì calcolato</w:t>
      </w:r>
      <w:r w:rsidR="009518AF" w:rsidRPr="00515872">
        <w:rPr>
          <w:rFonts w:cs="Tahoma"/>
        </w:rPr>
        <w:t>:</w:t>
      </w:r>
    </w:p>
    <w:tbl>
      <w:tblPr>
        <w:tblW w:w="0" w:type="auto"/>
        <w:jc w:val="center"/>
        <w:tblLook w:val="04A0" w:firstRow="1" w:lastRow="0" w:firstColumn="1" w:lastColumn="0" w:noHBand="0" w:noVBand="1"/>
      </w:tblPr>
      <w:tblGrid>
        <w:gridCol w:w="582"/>
        <w:gridCol w:w="8572"/>
      </w:tblGrid>
      <w:tr w:rsidR="00515872" w:rsidRPr="00515872" w14:paraId="6C58D242" w14:textId="77777777" w:rsidTr="00340E1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4250C62" w14:textId="77777777" w:rsidR="00515872" w:rsidRPr="00515872" w:rsidRDefault="00515872" w:rsidP="00393822">
            <w:pPr>
              <w:spacing w:before="240" w:line="240" w:lineRule="auto"/>
              <w:jc w:val="center"/>
              <w:rPr>
                <w:rFonts w:cs="Tahoma"/>
                <w:b/>
                <w:szCs w:val="20"/>
                <w:lang w:eastAsia="it-IT"/>
              </w:rPr>
            </w:pPr>
            <w:r w:rsidRPr="00515872">
              <w:rPr>
                <w:rFonts w:cs="Tahoma"/>
                <w:b/>
                <w:szCs w:val="20"/>
                <w:lang w:eastAsia="it-IT"/>
              </w:rPr>
              <w:t>Risultato di amministrazione</w:t>
            </w:r>
          </w:p>
        </w:tc>
      </w:tr>
      <w:tr w:rsidR="009518AF" w:rsidRPr="00515872" w14:paraId="03028AA5" w14:textId="77777777" w:rsidTr="00393822">
        <w:trPr>
          <w:jc w:val="center"/>
        </w:trPr>
        <w:tc>
          <w:tcPr>
            <w:tcW w:w="582" w:type="dxa"/>
            <w:tcBorders>
              <w:top w:val="single" w:sz="4" w:space="0" w:color="auto"/>
              <w:left w:val="single" w:sz="4" w:space="0" w:color="auto"/>
              <w:bottom w:val="nil"/>
              <w:right w:val="nil"/>
            </w:tcBorders>
            <w:shd w:val="clear" w:color="auto" w:fill="DBE5F1" w:themeFill="accent1" w:themeFillTint="33"/>
          </w:tcPr>
          <w:p w14:paraId="268712D5" w14:textId="77777777" w:rsidR="009518AF" w:rsidRPr="00515872" w:rsidRDefault="009518AF" w:rsidP="00393822">
            <w:pPr>
              <w:spacing w:line="240" w:lineRule="auto"/>
              <w:rPr>
                <w:rFonts w:cs="Tahoma"/>
                <w:szCs w:val="20"/>
                <w:lang w:eastAsia="it-IT"/>
              </w:rPr>
            </w:pPr>
          </w:p>
        </w:tc>
        <w:tc>
          <w:tcPr>
            <w:tcW w:w="8572" w:type="dxa"/>
            <w:tcBorders>
              <w:top w:val="single" w:sz="4" w:space="0" w:color="auto"/>
              <w:left w:val="nil"/>
              <w:bottom w:val="nil"/>
              <w:right w:val="single" w:sz="4" w:space="0" w:color="auto"/>
            </w:tcBorders>
            <w:shd w:val="clear" w:color="auto" w:fill="DBE5F1" w:themeFill="accent1" w:themeFillTint="33"/>
          </w:tcPr>
          <w:p w14:paraId="26EA3BBD" w14:textId="77777777" w:rsidR="009518AF" w:rsidRPr="00515872" w:rsidRDefault="009518AF" w:rsidP="00393822">
            <w:pPr>
              <w:spacing w:before="240" w:line="240" w:lineRule="auto"/>
              <w:rPr>
                <w:rFonts w:cs="Tahoma"/>
                <w:szCs w:val="20"/>
                <w:lang w:eastAsia="it-IT"/>
              </w:rPr>
            </w:pPr>
            <w:r w:rsidRPr="00515872">
              <w:rPr>
                <w:rFonts w:cs="Tahoma"/>
                <w:szCs w:val="20"/>
                <w:lang w:eastAsia="it-IT"/>
              </w:rPr>
              <w:t>Risultato di amministrazione dell’anno precedente</w:t>
            </w:r>
          </w:p>
        </w:tc>
      </w:tr>
      <w:tr w:rsidR="009518AF" w:rsidRPr="00515872" w14:paraId="3323DE7B" w14:textId="77777777" w:rsidTr="00393822">
        <w:trPr>
          <w:jc w:val="center"/>
        </w:trPr>
        <w:tc>
          <w:tcPr>
            <w:tcW w:w="582" w:type="dxa"/>
            <w:tcBorders>
              <w:top w:val="nil"/>
              <w:left w:val="single" w:sz="4" w:space="0" w:color="auto"/>
              <w:bottom w:val="nil"/>
              <w:right w:val="nil"/>
            </w:tcBorders>
            <w:shd w:val="clear" w:color="auto" w:fill="DBE5F1" w:themeFill="accent1" w:themeFillTint="33"/>
          </w:tcPr>
          <w:p w14:paraId="138D8C46" w14:textId="77777777" w:rsidR="009518AF" w:rsidRPr="00515872" w:rsidRDefault="009518AF" w:rsidP="00393822">
            <w:pPr>
              <w:spacing w:line="240" w:lineRule="auto"/>
              <w:jc w:val="center"/>
              <w:rPr>
                <w:rFonts w:cs="Tahoma"/>
                <w:szCs w:val="20"/>
                <w:lang w:eastAsia="it-IT"/>
              </w:rPr>
            </w:pPr>
            <w:r w:rsidRPr="00515872">
              <w:rPr>
                <w:rFonts w:cs="Tahoma"/>
                <w:szCs w:val="20"/>
              </w:rPr>
              <w:t>+/-</w:t>
            </w:r>
          </w:p>
        </w:tc>
        <w:tc>
          <w:tcPr>
            <w:tcW w:w="8572" w:type="dxa"/>
            <w:tcBorders>
              <w:top w:val="nil"/>
              <w:left w:val="nil"/>
              <w:bottom w:val="nil"/>
              <w:right w:val="single" w:sz="4" w:space="0" w:color="auto"/>
            </w:tcBorders>
            <w:shd w:val="clear" w:color="auto" w:fill="DBE5F1" w:themeFill="accent1" w:themeFillTint="33"/>
          </w:tcPr>
          <w:p w14:paraId="384B12FA" w14:textId="77777777" w:rsidR="009518AF" w:rsidRPr="00515872" w:rsidRDefault="009518AF" w:rsidP="00393822">
            <w:pPr>
              <w:spacing w:line="240" w:lineRule="auto"/>
              <w:rPr>
                <w:rFonts w:cs="Tahoma"/>
                <w:szCs w:val="20"/>
                <w:lang w:eastAsia="it-IT"/>
              </w:rPr>
            </w:pPr>
            <w:r w:rsidRPr="00515872">
              <w:rPr>
                <w:rFonts w:cs="Tahoma"/>
                <w:szCs w:val="20"/>
              </w:rPr>
              <w:t>maggiori o minori residui attivi riaccertati, dedotti i minori residui passivi riaccertati</w:t>
            </w:r>
          </w:p>
        </w:tc>
      </w:tr>
      <w:tr w:rsidR="009518AF" w:rsidRPr="00515872" w14:paraId="2633833F" w14:textId="77777777" w:rsidTr="00393822">
        <w:trPr>
          <w:jc w:val="center"/>
        </w:trPr>
        <w:tc>
          <w:tcPr>
            <w:tcW w:w="582" w:type="dxa"/>
            <w:tcBorders>
              <w:top w:val="nil"/>
              <w:left w:val="single" w:sz="4" w:space="0" w:color="auto"/>
              <w:bottom w:val="single" w:sz="4" w:space="0" w:color="auto"/>
              <w:right w:val="nil"/>
            </w:tcBorders>
            <w:shd w:val="clear" w:color="auto" w:fill="DBE5F1" w:themeFill="accent1" w:themeFillTint="33"/>
          </w:tcPr>
          <w:p w14:paraId="021AF07A" w14:textId="77777777" w:rsidR="009518AF" w:rsidRPr="00515872" w:rsidRDefault="009518AF" w:rsidP="00393822">
            <w:pPr>
              <w:spacing w:line="240" w:lineRule="auto"/>
              <w:jc w:val="center"/>
              <w:rPr>
                <w:rFonts w:cs="Tahoma"/>
                <w:szCs w:val="20"/>
                <w:lang w:eastAsia="it-IT"/>
              </w:rPr>
            </w:pPr>
            <w:r w:rsidRPr="00515872">
              <w:rPr>
                <w:rFonts w:cs="Tahoma"/>
                <w:szCs w:val="20"/>
              </w:rPr>
              <w:t>+/-</w:t>
            </w:r>
          </w:p>
        </w:tc>
        <w:tc>
          <w:tcPr>
            <w:tcW w:w="8572" w:type="dxa"/>
            <w:tcBorders>
              <w:top w:val="nil"/>
              <w:left w:val="nil"/>
              <w:bottom w:val="single" w:sz="4" w:space="0" w:color="auto"/>
              <w:right w:val="single" w:sz="4" w:space="0" w:color="auto"/>
            </w:tcBorders>
            <w:shd w:val="clear" w:color="auto" w:fill="DBE5F1" w:themeFill="accent1" w:themeFillTint="33"/>
          </w:tcPr>
          <w:p w14:paraId="5E8818FD" w14:textId="77777777" w:rsidR="009518AF" w:rsidRPr="00515872" w:rsidRDefault="009518AF" w:rsidP="00393822">
            <w:pPr>
              <w:spacing w:line="240" w:lineRule="auto"/>
              <w:rPr>
                <w:rFonts w:cs="Tahoma"/>
                <w:szCs w:val="20"/>
                <w:lang w:eastAsia="it-IT"/>
              </w:rPr>
            </w:pPr>
            <w:r w:rsidRPr="00515872">
              <w:rPr>
                <w:rFonts w:cs="Tahoma"/>
                <w:szCs w:val="20"/>
              </w:rPr>
              <w:t>maggiori o minori accertamenti di competenza rispetto alle previsioni definitive di entrata del bilancio, dedotti i minori impegni di competenza rispetto alle previsioni definitive di spesa del bilancio.</w:t>
            </w:r>
          </w:p>
        </w:tc>
      </w:tr>
    </w:tbl>
    <w:p w14:paraId="213ED07F" w14:textId="77777777" w:rsidR="009518AF" w:rsidRPr="00515872" w:rsidRDefault="009518AF" w:rsidP="009518AF">
      <w:pPr>
        <w:spacing w:line="360" w:lineRule="auto"/>
        <w:jc w:val="both"/>
        <w:rPr>
          <w:rFonts w:cs="Tahoma"/>
          <w:szCs w:val="20"/>
          <w:lang w:eastAsia="it-IT"/>
        </w:rPr>
      </w:pPr>
    </w:p>
    <w:p w14:paraId="01D14BFE" w14:textId="77777777" w:rsidR="00C96FF9" w:rsidRPr="00515872" w:rsidRDefault="00C96FF9" w:rsidP="009518AF">
      <w:pPr>
        <w:spacing w:line="360" w:lineRule="auto"/>
        <w:jc w:val="both"/>
        <w:rPr>
          <w:rFonts w:cs="Tahoma"/>
          <w:szCs w:val="20"/>
          <w:lang w:eastAsia="it-IT"/>
        </w:rPr>
      </w:pPr>
      <w:r w:rsidRPr="00515872">
        <w:rPr>
          <w:rFonts w:cs="Tahoma"/>
          <w:szCs w:val="20"/>
          <w:lang w:eastAsia="it-IT"/>
        </w:rPr>
        <w:t xml:space="preserve">Il prospetto dimostrativo del risultato di amministrazione è contenuto nell’allegato n. 10 al </w:t>
      </w:r>
      <w:proofErr w:type="spellStart"/>
      <w:r w:rsidRPr="00515872">
        <w:rPr>
          <w:rFonts w:cs="Tahoma"/>
          <w:szCs w:val="20"/>
          <w:lang w:eastAsia="it-IT"/>
        </w:rPr>
        <w:t>D.Lgs.</w:t>
      </w:r>
      <w:proofErr w:type="spellEnd"/>
      <w:r w:rsidRPr="00515872">
        <w:rPr>
          <w:rFonts w:cs="Tahoma"/>
          <w:szCs w:val="20"/>
          <w:lang w:eastAsia="it-IT"/>
        </w:rPr>
        <w:t xml:space="preserve"> n. 118/2011.</w:t>
      </w:r>
    </w:p>
    <w:p w14:paraId="555CF70F" w14:textId="77777777" w:rsidR="00C96FF9" w:rsidRPr="00515872" w:rsidRDefault="00C96FF9" w:rsidP="009518AF">
      <w:pPr>
        <w:spacing w:line="360" w:lineRule="auto"/>
        <w:jc w:val="both"/>
        <w:rPr>
          <w:rFonts w:cs="Tahoma"/>
          <w:szCs w:val="20"/>
          <w:lang w:eastAsia="it-IT"/>
        </w:rPr>
      </w:pPr>
      <w:r w:rsidRPr="00515872">
        <w:rPr>
          <w:rFonts w:cs="Tahoma"/>
          <w:noProof/>
          <w:lang w:eastAsia="it-IT"/>
        </w:rPr>
        <w:drawing>
          <wp:inline distT="0" distB="0" distL="0" distR="0" wp14:anchorId="751B86BC" wp14:editId="3C0CC884">
            <wp:extent cx="6124575" cy="436973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314" t="28272" r="23207" b="10514"/>
                    <a:stretch/>
                  </pic:blipFill>
                  <pic:spPr bwMode="auto">
                    <a:xfrm>
                      <a:off x="0" y="0"/>
                      <a:ext cx="6140784" cy="4381303"/>
                    </a:xfrm>
                    <a:prstGeom prst="rect">
                      <a:avLst/>
                    </a:prstGeom>
                    <a:ln>
                      <a:noFill/>
                    </a:ln>
                    <a:extLst>
                      <a:ext uri="{53640926-AAD7-44D8-BBD7-CCE9431645EC}">
                        <a14:shadowObscured xmlns:a14="http://schemas.microsoft.com/office/drawing/2010/main"/>
                      </a:ext>
                    </a:extLst>
                  </pic:spPr>
                </pic:pic>
              </a:graphicData>
            </a:graphic>
          </wp:inline>
        </w:drawing>
      </w:r>
    </w:p>
    <w:p w14:paraId="6A7EE599"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Il risultato di amministrazione viene distinto, a seconda di eventuali limitazioni che</w:t>
      </w:r>
      <w:r w:rsidR="00C96FF9" w:rsidRPr="00515872">
        <w:rPr>
          <w:rFonts w:cs="Tahoma"/>
          <w:color w:val="000000"/>
          <w:szCs w:val="20"/>
        </w:rPr>
        <w:t xml:space="preserve"> può subire il suo utilizzo, in:</w:t>
      </w:r>
    </w:p>
    <w:p w14:paraId="213B05B0" w14:textId="77777777" w:rsidR="009518AF" w:rsidRPr="00515872" w:rsidRDefault="009518AF" w:rsidP="00D65838">
      <w:pPr>
        <w:pStyle w:val="Paragrafoelenco"/>
        <w:numPr>
          <w:ilvl w:val="0"/>
          <w:numId w:val="72"/>
        </w:numPr>
        <w:spacing w:line="360" w:lineRule="auto"/>
        <w:jc w:val="both"/>
        <w:rPr>
          <w:rFonts w:cs="Tahoma"/>
          <w:szCs w:val="20"/>
          <w:lang w:eastAsia="it-IT"/>
        </w:rPr>
      </w:pPr>
      <w:r w:rsidRPr="00515872">
        <w:rPr>
          <w:rFonts w:cs="Tahoma"/>
          <w:color w:val="000000"/>
          <w:szCs w:val="20"/>
        </w:rPr>
        <w:t>fondi vincolati;</w:t>
      </w:r>
    </w:p>
    <w:p w14:paraId="7055E203" w14:textId="77777777" w:rsidR="009518AF" w:rsidRPr="00515872" w:rsidRDefault="009518AF" w:rsidP="00D65838">
      <w:pPr>
        <w:pStyle w:val="Paragrafoelenco"/>
        <w:numPr>
          <w:ilvl w:val="0"/>
          <w:numId w:val="72"/>
        </w:numPr>
        <w:spacing w:line="360" w:lineRule="auto"/>
        <w:jc w:val="both"/>
        <w:rPr>
          <w:rFonts w:cs="Tahoma"/>
          <w:szCs w:val="20"/>
          <w:lang w:eastAsia="it-IT"/>
        </w:rPr>
      </w:pPr>
      <w:r w:rsidRPr="00515872">
        <w:rPr>
          <w:rFonts w:cs="Tahoma"/>
          <w:color w:val="000000"/>
          <w:szCs w:val="20"/>
        </w:rPr>
        <w:t>fondi destinati agli investimenti;</w:t>
      </w:r>
    </w:p>
    <w:p w14:paraId="29CC8C52" w14:textId="77777777" w:rsidR="009518AF" w:rsidRPr="00515872" w:rsidRDefault="009518AF" w:rsidP="00D65838">
      <w:pPr>
        <w:pStyle w:val="Paragrafoelenco"/>
        <w:numPr>
          <w:ilvl w:val="0"/>
          <w:numId w:val="72"/>
        </w:numPr>
        <w:spacing w:line="360" w:lineRule="auto"/>
        <w:jc w:val="both"/>
        <w:rPr>
          <w:rFonts w:cs="Tahoma"/>
          <w:szCs w:val="20"/>
          <w:lang w:eastAsia="it-IT"/>
        </w:rPr>
      </w:pPr>
      <w:r w:rsidRPr="00515872">
        <w:rPr>
          <w:rFonts w:cs="Tahoma"/>
          <w:color w:val="000000"/>
          <w:szCs w:val="20"/>
        </w:rPr>
        <w:lastRenderedPageBreak/>
        <w:t>fondi accantonati;</w:t>
      </w:r>
    </w:p>
    <w:p w14:paraId="272FE9C0" w14:textId="77777777" w:rsidR="009518AF" w:rsidRPr="00515872" w:rsidRDefault="009518AF" w:rsidP="00D65838">
      <w:pPr>
        <w:pStyle w:val="Paragrafoelenco"/>
        <w:numPr>
          <w:ilvl w:val="0"/>
          <w:numId w:val="72"/>
        </w:numPr>
        <w:spacing w:line="360" w:lineRule="auto"/>
        <w:jc w:val="both"/>
        <w:rPr>
          <w:rFonts w:cs="Tahoma"/>
          <w:szCs w:val="20"/>
          <w:lang w:eastAsia="it-IT"/>
        </w:rPr>
      </w:pPr>
      <w:r w:rsidRPr="00515872">
        <w:rPr>
          <w:rFonts w:cs="Tahoma"/>
          <w:color w:val="000000"/>
          <w:szCs w:val="20"/>
        </w:rPr>
        <w:t>fondi liberi.</w:t>
      </w:r>
    </w:p>
    <w:p w14:paraId="74273AEC" w14:textId="72DDC44C" w:rsidR="000F0E32" w:rsidRPr="00515872" w:rsidRDefault="000F0E32" w:rsidP="000F0E32">
      <w:pPr>
        <w:spacing w:line="360" w:lineRule="auto"/>
        <w:jc w:val="both"/>
        <w:rPr>
          <w:rFonts w:cs="Tahoma"/>
          <w:szCs w:val="20"/>
          <w:lang w:eastAsia="it-IT"/>
        </w:rPr>
      </w:pPr>
      <w:r w:rsidRPr="00515872">
        <w:rPr>
          <w:rFonts w:cs="Tahoma"/>
          <w:szCs w:val="20"/>
          <w:lang w:eastAsia="it-IT"/>
        </w:rPr>
        <w:t>L’all</w:t>
      </w:r>
      <w:r w:rsidR="0086641B" w:rsidRPr="00515872">
        <w:rPr>
          <w:rFonts w:cs="Tahoma"/>
          <w:szCs w:val="20"/>
          <w:lang w:eastAsia="it-IT"/>
        </w:rPr>
        <w:t xml:space="preserve">egato n. 10 al </w:t>
      </w:r>
      <w:proofErr w:type="spellStart"/>
      <w:r w:rsidR="0086641B" w:rsidRPr="00515872">
        <w:rPr>
          <w:rFonts w:cs="Tahoma"/>
          <w:szCs w:val="20"/>
          <w:lang w:eastAsia="it-IT"/>
        </w:rPr>
        <w:t>D.Lgs.</w:t>
      </w:r>
      <w:proofErr w:type="spellEnd"/>
      <w:r w:rsidR="0086641B" w:rsidRPr="00515872">
        <w:rPr>
          <w:rFonts w:cs="Tahoma"/>
          <w:szCs w:val="20"/>
          <w:lang w:eastAsia="it-IT"/>
        </w:rPr>
        <w:t xml:space="preserve"> n. 118/20</w:t>
      </w:r>
      <w:r w:rsidRPr="00515872">
        <w:rPr>
          <w:rFonts w:cs="Tahoma"/>
          <w:szCs w:val="20"/>
          <w:lang w:eastAsia="it-IT"/>
        </w:rPr>
        <w:t xml:space="preserve">11 evidenzia la composizione dello stesso secondo lo schema </w:t>
      </w:r>
      <w:r w:rsidR="00F61E9D" w:rsidRPr="00515872">
        <w:rPr>
          <w:rFonts w:cs="Tahoma"/>
          <w:szCs w:val="20"/>
          <w:lang w:eastAsia="it-IT"/>
        </w:rPr>
        <w:t>sotto riportato</w:t>
      </w:r>
      <w:r w:rsidRPr="00515872">
        <w:rPr>
          <w:rFonts w:cs="Tahoma"/>
          <w:szCs w:val="20"/>
          <w:lang w:eastAsia="it-IT"/>
        </w:rPr>
        <w:t>.</w:t>
      </w:r>
    </w:p>
    <w:p w14:paraId="200C5736" w14:textId="77777777" w:rsidR="009518AF" w:rsidRPr="00515872" w:rsidRDefault="00B1550C" w:rsidP="009518AF">
      <w:pPr>
        <w:spacing w:line="360" w:lineRule="auto"/>
        <w:jc w:val="both"/>
        <w:rPr>
          <w:rFonts w:cs="Tahoma"/>
          <w:szCs w:val="20"/>
          <w:lang w:eastAsia="it-IT"/>
        </w:rPr>
      </w:pPr>
      <w:r w:rsidRPr="00515872">
        <w:rPr>
          <w:rFonts w:cs="Tahoma"/>
          <w:noProof/>
          <w:lang w:eastAsia="it-IT"/>
        </w:rPr>
        <w:drawing>
          <wp:inline distT="0" distB="0" distL="0" distR="0" wp14:anchorId="51755149" wp14:editId="1CBC357D">
            <wp:extent cx="6162675" cy="269107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584" t="29310" r="7086" b="10773"/>
                    <a:stretch/>
                  </pic:blipFill>
                  <pic:spPr bwMode="auto">
                    <a:xfrm>
                      <a:off x="0" y="0"/>
                      <a:ext cx="6172000" cy="2695146"/>
                    </a:xfrm>
                    <a:prstGeom prst="rect">
                      <a:avLst/>
                    </a:prstGeom>
                    <a:ln>
                      <a:noFill/>
                    </a:ln>
                    <a:extLst>
                      <a:ext uri="{53640926-AAD7-44D8-BBD7-CCE9431645EC}">
                        <a14:shadowObscured xmlns:a14="http://schemas.microsoft.com/office/drawing/2010/main"/>
                      </a:ext>
                    </a:extLst>
                  </pic:spPr>
                </pic:pic>
              </a:graphicData>
            </a:graphic>
          </wp:inline>
        </w:drawing>
      </w:r>
    </w:p>
    <w:p w14:paraId="147A869D" w14:textId="77777777" w:rsidR="009518AF" w:rsidRPr="00515872" w:rsidRDefault="00A862D7" w:rsidP="009518AF">
      <w:pPr>
        <w:spacing w:line="360" w:lineRule="auto"/>
        <w:jc w:val="both"/>
        <w:rPr>
          <w:rFonts w:cs="Tahoma"/>
          <w:color w:val="000000"/>
          <w:szCs w:val="54"/>
        </w:rPr>
      </w:pPr>
      <w:r w:rsidRPr="00515872">
        <w:rPr>
          <w:rFonts w:cs="Tahoma"/>
          <w:szCs w:val="20"/>
          <w:lang w:eastAsia="it-IT"/>
        </w:rPr>
        <w:t xml:space="preserve">Il risultato di amministrazione </w:t>
      </w:r>
      <w:r w:rsidR="009518AF" w:rsidRPr="00515872">
        <w:rPr>
          <w:rFonts w:cs="Tahoma"/>
          <w:szCs w:val="20"/>
          <w:lang w:eastAsia="it-IT"/>
        </w:rPr>
        <w:t xml:space="preserve">è applicabile solo al primo esercizio contemplato nel bilancio di previsione successivo al periodo di riferimento del rendiconto cui afferisce. </w:t>
      </w:r>
      <w:r w:rsidR="009518AF" w:rsidRPr="00515872">
        <w:rPr>
          <w:rFonts w:cs="Tahoma"/>
          <w:color w:val="000000"/>
          <w:szCs w:val="54"/>
        </w:rPr>
        <w:t>Nel caso in cui le spese debbano essere imputate ad esercizi successivi, occorrerà quindi iscrivere l’avanzo in entrata nel primo esercizio a copertura di uno stanziamento a FPV</w:t>
      </w:r>
      <w:r w:rsidR="009518AF" w:rsidRPr="00515872">
        <w:rPr>
          <w:rFonts w:cs="Tahoma"/>
          <w:bCs/>
          <w:color w:val="000000"/>
          <w:szCs w:val="54"/>
        </w:rPr>
        <w:t xml:space="preserve"> </w:t>
      </w:r>
      <w:r w:rsidR="009518AF" w:rsidRPr="00515872">
        <w:rPr>
          <w:rFonts w:cs="Tahoma"/>
          <w:color w:val="000000"/>
          <w:szCs w:val="54"/>
        </w:rPr>
        <w:t>stanziato in spesa, che determinerà pertanto un FPV iscritto in entrata degli esercizi successivi.</w:t>
      </w:r>
    </w:p>
    <w:p w14:paraId="3B8B0044" w14:textId="77777777" w:rsidR="00261939" w:rsidRPr="00515872" w:rsidRDefault="009518AF" w:rsidP="00261939">
      <w:pPr>
        <w:spacing w:line="360" w:lineRule="auto"/>
        <w:jc w:val="both"/>
        <w:rPr>
          <w:rFonts w:cs="Tahoma"/>
          <w:color w:val="000000"/>
        </w:rPr>
      </w:pPr>
      <w:r w:rsidRPr="00515872">
        <w:rPr>
          <w:rFonts w:cs="Tahoma"/>
          <w:color w:val="000000"/>
        </w:rPr>
        <w:t>Nel caso in cui il risultato di amministrazione non sia sufficiente a comprendere le quote vincolate, destinate e accantonate</w:t>
      </w:r>
      <w:r w:rsidR="00A862D7" w:rsidRPr="00515872">
        <w:rPr>
          <w:rFonts w:cs="Tahoma"/>
          <w:color w:val="000000"/>
        </w:rPr>
        <w:t xml:space="preserve"> imposte dalla legge o dai principi contabili</w:t>
      </w:r>
      <w:r w:rsidRPr="00515872">
        <w:rPr>
          <w:rFonts w:cs="Tahoma"/>
          <w:color w:val="000000"/>
        </w:rPr>
        <w:t>, l'ente viene a trovarsi</w:t>
      </w:r>
      <w:r w:rsidR="00A862D7" w:rsidRPr="00515872">
        <w:rPr>
          <w:rFonts w:cs="Tahoma"/>
          <w:color w:val="000000"/>
        </w:rPr>
        <w:t xml:space="preserve"> in disavanzo</w:t>
      </w:r>
      <w:r w:rsidRPr="00515872">
        <w:rPr>
          <w:rFonts w:cs="Tahoma"/>
          <w:color w:val="000000"/>
        </w:rPr>
        <w:t>.</w:t>
      </w:r>
    </w:p>
    <w:p w14:paraId="5E95F244" w14:textId="77777777" w:rsidR="00261939" w:rsidRPr="00515872" w:rsidRDefault="00261939" w:rsidP="00261939">
      <w:pPr>
        <w:spacing w:line="360" w:lineRule="auto"/>
        <w:jc w:val="both"/>
        <w:rPr>
          <w:rFonts w:cs="Tahoma"/>
          <w:color w:val="000000"/>
        </w:rPr>
      </w:pPr>
      <w:r w:rsidRPr="00515872">
        <w:rPr>
          <w:rFonts w:cs="Tahoma"/>
        </w:rPr>
        <w:t>In occasione della predisposizione del bilancio di previsione è necessario procedere alla determinazione del risultato di amministrazione presunto</w:t>
      </w:r>
      <w:r w:rsidR="00A862D7" w:rsidRPr="00515872">
        <w:rPr>
          <w:rFonts w:cs="Tahoma"/>
        </w:rPr>
        <w:t xml:space="preserve"> dell’anno precedente a quello cui il bilancio si riferisce; ciò</w:t>
      </w:r>
      <w:r w:rsidRPr="00515872">
        <w:rPr>
          <w:rFonts w:cs="Tahoma"/>
        </w:rPr>
        <w:t xml:space="preserve"> consiste </w:t>
      </w:r>
      <w:r w:rsidR="00A862D7" w:rsidRPr="00515872">
        <w:rPr>
          <w:rFonts w:cs="Tahoma"/>
        </w:rPr>
        <w:t>nella</w:t>
      </w:r>
      <w:r w:rsidRPr="00515872">
        <w:rPr>
          <w:rFonts w:cs="Tahoma"/>
        </w:rPr>
        <w:t xml:space="preserve"> previsione ragionevole e prudente del risultato di amministrazione dell’esercizio precedente, formulata in base alla situazione dei conti alla data di elaborazione del bilancio di previsione.</w:t>
      </w:r>
    </w:p>
    <w:p w14:paraId="397BF212" w14:textId="77777777" w:rsidR="00261939" w:rsidRPr="00515872" w:rsidRDefault="00261939" w:rsidP="00261939">
      <w:pPr>
        <w:spacing w:line="360" w:lineRule="auto"/>
        <w:jc w:val="both"/>
        <w:rPr>
          <w:rFonts w:cs="Tahoma"/>
        </w:rPr>
      </w:pPr>
      <w:r w:rsidRPr="00515872">
        <w:rPr>
          <w:rFonts w:cs="Tahoma"/>
        </w:rPr>
        <w:t xml:space="preserve">Nel caso di disavanzo di amministrazione presunto è necessario iscrivere tale posta tra le spese del bilancio di previsione e, a seguito dell’approvazione del rendiconto, variare tale importo, al fine di iscrivere </w:t>
      </w:r>
      <w:r w:rsidR="00FA2648" w:rsidRPr="00515872">
        <w:rPr>
          <w:rFonts w:cs="Tahoma"/>
        </w:rPr>
        <w:t>quello</w:t>
      </w:r>
      <w:r w:rsidRPr="00515872">
        <w:rPr>
          <w:rFonts w:cs="Tahoma"/>
        </w:rPr>
        <w:t xml:space="preserve"> del disavanzo definitivamente accertato.</w:t>
      </w:r>
      <w:r w:rsidRPr="00515872">
        <w:rPr>
          <w:rFonts w:cs="Tahoma"/>
          <w:color w:val="000000"/>
        </w:rPr>
        <w:t xml:space="preserve"> </w:t>
      </w:r>
      <w:r w:rsidRPr="00515872">
        <w:rPr>
          <w:rFonts w:cs="Tahoma"/>
        </w:rPr>
        <w:t>Nei casi espressamente previsti dalla legge è possibile ripartire il</w:t>
      </w:r>
      <w:r w:rsidR="00FA2648" w:rsidRPr="00515872">
        <w:rPr>
          <w:rFonts w:cs="Tahoma"/>
        </w:rPr>
        <w:t xml:space="preserve"> ripiano del</w:t>
      </w:r>
      <w:r w:rsidRPr="00515872">
        <w:rPr>
          <w:rFonts w:cs="Tahoma"/>
        </w:rPr>
        <w:t xml:space="preserve"> disavanzo tra più esercizi.</w:t>
      </w:r>
    </w:p>
    <w:p w14:paraId="63026E6F" w14:textId="77777777" w:rsidR="00261939" w:rsidRPr="00515872" w:rsidRDefault="00261939" w:rsidP="009518AF">
      <w:pPr>
        <w:spacing w:line="360" w:lineRule="auto"/>
        <w:jc w:val="both"/>
        <w:rPr>
          <w:rFonts w:cs="Tahoma"/>
        </w:rPr>
      </w:pPr>
      <w:r w:rsidRPr="00515872">
        <w:rPr>
          <w:rFonts w:cs="Tahoma"/>
        </w:rPr>
        <w:t>I</w:t>
      </w:r>
      <w:r w:rsidRPr="00515872">
        <w:rPr>
          <w:rFonts w:cs="Tahoma"/>
          <w:bCs/>
        </w:rPr>
        <w:t xml:space="preserve">n occasione dell’approvazione del bilancio di previsione e con successive variazioni di bilancio, </w:t>
      </w:r>
      <w:r w:rsidR="00971A13" w:rsidRPr="00515872">
        <w:rPr>
          <w:rFonts w:cs="Tahoma"/>
          <w:bCs/>
        </w:rPr>
        <w:t xml:space="preserve">e fino alla deliberazione del rendiconto, </w:t>
      </w:r>
      <w:r w:rsidRPr="00515872">
        <w:rPr>
          <w:rFonts w:cs="Tahoma"/>
          <w:bCs/>
        </w:rPr>
        <w:t xml:space="preserve">è consentito l’utilizzo della quota del risultato di amministrazione presunto </w:t>
      </w:r>
      <w:r w:rsidRPr="00515872">
        <w:rPr>
          <w:rFonts w:cs="Tahoma"/>
          <w:bCs/>
        </w:rPr>
        <w:lastRenderedPageBreak/>
        <w:t xml:space="preserve">costituita dai fondi vincolati, e dalle somme accantonate risultanti dall’ultimo consuntivo approvato, secondo le modalità di seguito riportate. </w:t>
      </w:r>
    </w:p>
    <w:p w14:paraId="6F53869E" w14:textId="77777777" w:rsidR="004D32BA" w:rsidRPr="00515872" w:rsidRDefault="004D32BA" w:rsidP="009518AF">
      <w:pPr>
        <w:spacing w:after="0" w:line="360" w:lineRule="auto"/>
        <w:jc w:val="both"/>
        <w:rPr>
          <w:rFonts w:cs="Tahoma"/>
          <w:b/>
          <w:szCs w:val="20"/>
          <w:lang w:eastAsia="it-IT"/>
        </w:rPr>
      </w:pPr>
    </w:p>
    <w:p w14:paraId="7260439F" w14:textId="77777777" w:rsidR="009518AF" w:rsidRPr="00515872" w:rsidRDefault="009518AF" w:rsidP="009518AF">
      <w:pPr>
        <w:spacing w:after="0" w:line="360" w:lineRule="auto"/>
        <w:jc w:val="both"/>
        <w:rPr>
          <w:rFonts w:cs="Tahoma"/>
          <w:b/>
          <w:szCs w:val="20"/>
          <w:lang w:eastAsia="it-IT"/>
        </w:rPr>
      </w:pPr>
      <w:r w:rsidRPr="00515872">
        <w:rPr>
          <w:rFonts w:cs="Tahoma"/>
          <w:b/>
          <w:szCs w:val="20"/>
          <w:lang w:eastAsia="it-IT"/>
        </w:rPr>
        <w:t>Avanzo di amministrazione</w:t>
      </w:r>
    </w:p>
    <w:p w14:paraId="720F1E13" w14:textId="77777777" w:rsidR="009518AF" w:rsidRPr="00515872" w:rsidRDefault="008B43BC" w:rsidP="00971A13">
      <w:pPr>
        <w:spacing w:after="0" w:line="360" w:lineRule="auto"/>
        <w:jc w:val="both"/>
        <w:rPr>
          <w:rFonts w:cs="Tahoma"/>
          <w:szCs w:val="20"/>
          <w:lang w:eastAsia="it-IT"/>
        </w:rPr>
      </w:pPr>
      <w:r w:rsidRPr="00515872">
        <w:rPr>
          <w:rFonts w:cs="Tahoma"/>
          <w:szCs w:val="20"/>
          <w:lang w:eastAsia="it-IT"/>
        </w:rPr>
        <w:t>Come già anticipato, l</w:t>
      </w:r>
      <w:r w:rsidR="009518AF" w:rsidRPr="00515872">
        <w:rPr>
          <w:rFonts w:cs="Tahoma"/>
          <w:szCs w:val="20"/>
          <w:lang w:eastAsia="it-IT"/>
        </w:rPr>
        <w:t>’avanzo di amministrazione può essere soggetto a vincoli di destinazione o accantonamenti imposti dalla legge, dai princip</w:t>
      </w:r>
      <w:r w:rsidR="000A40AE" w:rsidRPr="00515872">
        <w:rPr>
          <w:rFonts w:cs="Tahoma"/>
          <w:szCs w:val="20"/>
          <w:lang w:eastAsia="it-IT"/>
        </w:rPr>
        <w:t xml:space="preserve">i contabili o dall’ente stesso. </w:t>
      </w:r>
      <w:r w:rsidR="009518AF" w:rsidRPr="00515872">
        <w:rPr>
          <w:rFonts w:cs="Tahoma"/>
          <w:szCs w:val="20"/>
          <w:lang w:eastAsia="it-IT"/>
        </w:rPr>
        <w:t xml:space="preserve">Il nuovo art. 187 del TUEL distingue i vincoli cui può essere soggetto l’avanzo di amministrazione in: </w:t>
      </w:r>
    </w:p>
    <w:p w14:paraId="4901ADB9" w14:textId="77777777" w:rsidR="009518AF" w:rsidRPr="00515872" w:rsidRDefault="009518AF" w:rsidP="00D65838">
      <w:pPr>
        <w:pStyle w:val="Paragrafoelenco"/>
        <w:numPr>
          <w:ilvl w:val="0"/>
          <w:numId w:val="60"/>
        </w:numPr>
        <w:spacing w:line="360" w:lineRule="auto"/>
        <w:jc w:val="both"/>
        <w:rPr>
          <w:rFonts w:cs="Tahoma"/>
          <w:szCs w:val="20"/>
          <w:lang w:eastAsia="it-IT"/>
        </w:rPr>
      </w:pPr>
      <w:r w:rsidRPr="00515872">
        <w:rPr>
          <w:rFonts w:cs="Tahoma"/>
          <w:szCs w:val="20"/>
          <w:lang w:eastAsia="it-IT"/>
        </w:rPr>
        <w:t>vincoli di legge: interventi finanziati con entrate il cui vincolo è individuato da una legge statale o regionale per gli enti locali;</w:t>
      </w:r>
    </w:p>
    <w:p w14:paraId="60725E8F" w14:textId="77777777" w:rsidR="009518AF" w:rsidRPr="00515872" w:rsidRDefault="009518AF" w:rsidP="00D65838">
      <w:pPr>
        <w:pStyle w:val="Paragrafoelenco"/>
        <w:numPr>
          <w:ilvl w:val="0"/>
          <w:numId w:val="60"/>
        </w:numPr>
        <w:spacing w:line="360" w:lineRule="auto"/>
        <w:jc w:val="both"/>
        <w:rPr>
          <w:rFonts w:cs="Tahoma"/>
          <w:szCs w:val="20"/>
          <w:lang w:eastAsia="it-IT"/>
        </w:rPr>
      </w:pPr>
      <w:r w:rsidRPr="00515872">
        <w:rPr>
          <w:rFonts w:cs="Tahoma"/>
          <w:szCs w:val="20"/>
          <w:lang w:eastAsia="it-IT"/>
        </w:rPr>
        <w:t xml:space="preserve">vincoli derivanti da mutui e finanziamenti; </w:t>
      </w:r>
    </w:p>
    <w:p w14:paraId="1EA27150" w14:textId="77777777" w:rsidR="009518AF" w:rsidRPr="00515872" w:rsidRDefault="009518AF" w:rsidP="00D65838">
      <w:pPr>
        <w:pStyle w:val="Paragrafoelenco"/>
        <w:numPr>
          <w:ilvl w:val="0"/>
          <w:numId w:val="60"/>
        </w:numPr>
        <w:spacing w:line="360" w:lineRule="auto"/>
        <w:jc w:val="both"/>
        <w:rPr>
          <w:rFonts w:cs="Tahoma"/>
          <w:szCs w:val="20"/>
          <w:lang w:eastAsia="it-IT"/>
        </w:rPr>
      </w:pPr>
      <w:r w:rsidRPr="00515872">
        <w:rPr>
          <w:rFonts w:cs="Tahoma"/>
          <w:szCs w:val="20"/>
          <w:lang w:eastAsia="it-IT"/>
        </w:rPr>
        <w:t xml:space="preserve">vincoli da trasferimenti erogati a favore dell’ente per una specifica destinazione; </w:t>
      </w:r>
    </w:p>
    <w:p w14:paraId="58E1C9FA" w14:textId="77777777" w:rsidR="009518AF" w:rsidRPr="00515872" w:rsidRDefault="009518AF" w:rsidP="00D65838">
      <w:pPr>
        <w:pStyle w:val="Paragrafoelenco"/>
        <w:numPr>
          <w:ilvl w:val="0"/>
          <w:numId w:val="60"/>
        </w:numPr>
        <w:spacing w:line="360" w:lineRule="auto"/>
        <w:jc w:val="both"/>
        <w:rPr>
          <w:rFonts w:cs="Tahoma"/>
          <w:szCs w:val="20"/>
          <w:lang w:eastAsia="it-IT"/>
        </w:rPr>
      </w:pPr>
      <w:r w:rsidRPr="00515872">
        <w:rPr>
          <w:rFonts w:cs="Tahoma"/>
          <w:szCs w:val="20"/>
          <w:lang w:eastAsia="it-IT"/>
        </w:rPr>
        <w:t xml:space="preserve">vincoli derivanti da entrate straordinarie a cui l’ente ha formalmente attribuito una specifica finalità. </w:t>
      </w:r>
    </w:p>
    <w:p w14:paraId="690E5356" w14:textId="77777777" w:rsidR="00B26C33" w:rsidRPr="00515872" w:rsidRDefault="00B26C33" w:rsidP="00971A13">
      <w:pPr>
        <w:spacing w:after="0" w:line="360" w:lineRule="auto"/>
        <w:jc w:val="both"/>
        <w:rPr>
          <w:rFonts w:cs="Tahoma"/>
        </w:rPr>
      </w:pPr>
      <w:r w:rsidRPr="00515872">
        <w:rPr>
          <w:rFonts w:cs="Tahoma"/>
        </w:rPr>
        <w:t>La quota accantonata del risultato di amministrazione è costituita, per gli enti locali, da:</w:t>
      </w:r>
    </w:p>
    <w:p w14:paraId="659FEA13" w14:textId="77777777" w:rsidR="00B26C33" w:rsidRPr="00515872" w:rsidRDefault="00B26C33" w:rsidP="00D65838">
      <w:pPr>
        <w:pStyle w:val="Paragrafoelenco"/>
        <w:numPr>
          <w:ilvl w:val="0"/>
          <w:numId w:val="218"/>
        </w:numPr>
        <w:spacing w:line="360" w:lineRule="auto"/>
        <w:ind w:left="284" w:hanging="284"/>
        <w:jc w:val="both"/>
        <w:rPr>
          <w:rFonts w:cs="Tahoma"/>
        </w:rPr>
      </w:pPr>
      <w:r w:rsidRPr="00515872">
        <w:rPr>
          <w:rFonts w:cs="Tahoma"/>
        </w:rPr>
        <w:t>accantonamento al fondo crediti di dubbia esigibilità</w:t>
      </w:r>
    </w:p>
    <w:p w14:paraId="42E3C0F4" w14:textId="77777777" w:rsidR="00B26C33" w:rsidRPr="00515872" w:rsidRDefault="00B26C33" w:rsidP="00D65838">
      <w:pPr>
        <w:pStyle w:val="Paragrafoelenco"/>
        <w:numPr>
          <w:ilvl w:val="0"/>
          <w:numId w:val="218"/>
        </w:numPr>
        <w:spacing w:line="360" w:lineRule="auto"/>
        <w:ind w:left="284" w:hanging="284"/>
        <w:jc w:val="both"/>
        <w:rPr>
          <w:rFonts w:cs="Tahoma"/>
        </w:rPr>
      </w:pPr>
      <w:r w:rsidRPr="00515872">
        <w:rPr>
          <w:rFonts w:cs="Tahoma"/>
        </w:rPr>
        <w:t>gli accantonamenti per le passività potenziali (fondi spese e rischi).</w:t>
      </w:r>
    </w:p>
    <w:p w14:paraId="366E399E" w14:textId="77777777" w:rsidR="006758F3" w:rsidRPr="00515872" w:rsidRDefault="006758F3" w:rsidP="006758F3">
      <w:pPr>
        <w:spacing w:line="360" w:lineRule="auto"/>
        <w:jc w:val="both"/>
        <w:rPr>
          <w:rFonts w:cs="Tahoma"/>
          <w:szCs w:val="20"/>
          <w:lang w:eastAsia="it-IT"/>
        </w:rPr>
      </w:pPr>
      <w:r w:rsidRPr="00515872">
        <w:rPr>
          <w:rFonts w:cs="Tahoma"/>
          <w:szCs w:val="20"/>
          <w:lang w:eastAsia="it-IT"/>
        </w:rPr>
        <w:t xml:space="preserve">La quota accantonata del risultato di amministrazione è rappresenta principalmente dal fondo crediti di dubbia esigibilità, alla cui determinazione si perviene secondo i criteri del principio applicato n. 3.3 della contabilità finanziaria. Costituiscono quote accantonate del risultato di amministrazione anche gli accantonamenti per fondo rischi spese legali, gli accantonamenti di spesa effettuati per rinnovi contrattuali, i fondi rischi e i fondi passività </w:t>
      </w:r>
      <w:r w:rsidRPr="00515872">
        <w:rPr>
          <w:rFonts w:cs="Tahoma"/>
          <w:lang w:eastAsia="it-IT"/>
        </w:rPr>
        <w:t xml:space="preserve">potenziali. </w:t>
      </w:r>
      <w:r w:rsidRPr="00515872">
        <w:rPr>
          <w:rFonts w:cs="Tahoma"/>
          <w:color w:val="000000"/>
          <w:szCs w:val="20"/>
        </w:rPr>
        <w:t>Le quote accantonate del risultato di amministrazione sono utilizzabili solo a seguito del verificarsi degli eventi per i quali sono stati accantonati. Quando si accerta che la spesa potenziale non può più verificarsi, la corrispondente quota del risultato di amministrazione è liberata.</w:t>
      </w:r>
    </w:p>
    <w:p w14:paraId="3DA5283B" w14:textId="77777777" w:rsidR="00B26C33" w:rsidRPr="00515872" w:rsidRDefault="00FB4B06" w:rsidP="009518AF">
      <w:pPr>
        <w:spacing w:line="360" w:lineRule="auto"/>
        <w:jc w:val="both"/>
        <w:rPr>
          <w:rFonts w:cs="Tahoma"/>
          <w:lang w:eastAsia="zh-TW"/>
        </w:rPr>
      </w:pPr>
      <w:r w:rsidRPr="00515872">
        <w:rPr>
          <w:rFonts w:cs="Tahoma"/>
          <w:lang w:eastAsia="zh-TW"/>
        </w:rPr>
        <w:t>La quota del risultato di amministrazione destinata agli investimenti è costituita dalle entrate in conto capitale senza vincoli di specifica destinazione non spese, e</w:t>
      </w:r>
      <w:r w:rsidR="00EA537B" w:rsidRPr="00515872">
        <w:rPr>
          <w:rFonts w:cs="Tahoma"/>
          <w:lang w:eastAsia="zh-TW"/>
        </w:rPr>
        <w:t>d è</w:t>
      </w:r>
      <w:r w:rsidRPr="00515872">
        <w:rPr>
          <w:rFonts w:cs="Tahoma"/>
          <w:lang w:eastAsia="zh-TW"/>
        </w:rPr>
        <w:t xml:space="preserve"> utilizzabil</w:t>
      </w:r>
      <w:r w:rsidR="00EA537B" w:rsidRPr="00515872">
        <w:rPr>
          <w:rFonts w:cs="Tahoma"/>
          <w:lang w:eastAsia="zh-TW"/>
        </w:rPr>
        <w:t>e</w:t>
      </w:r>
      <w:r w:rsidRPr="00515872">
        <w:rPr>
          <w:rFonts w:cs="Tahoma"/>
          <w:lang w:eastAsia="zh-TW"/>
        </w:rPr>
        <w:t xml:space="preserve"> con provvedimento di variazione di bilancio solo a seguito dell’approvazione del rendiconto.</w:t>
      </w:r>
    </w:p>
    <w:p w14:paraId="0405445E" w14:textId="77777777" w:rsidR="00FB4B06" w:rsidRPr="00515872" w:rsidRDefault="00FB4B06" w:rsidP="00FB4B06">
      <w:pPr>
        <w:spacing w:after="0" w:line="360" w:lineRule="auto"/>
        <w:jc w:val="both"/>
        <w:rPr>
          <w:rFonts w:cs="Tahoma"/>
          <w:szCs w:val="20"/>
          <w:lang w:eastAsia="it-IT"/>
        </w:rPr>
      </w:pPr>
      <w:r w:rsidRPr="00515872">
        <w:rPr>
          <w:rFonts w:cs="Tahoma"/>
          <w:szCs w:val="20"/>
          <w:lang w:eastAsia="it-IT"/>
        </w:rPr>
        <w:t>Il risult</w:t>
      </w:r>
      <w:r w:rsidR="009F77DE" w:rsidRPr="00515872">
        <w:rPr>
          <w:rFonts w:cs="Tahoma"/>
          <w:szCs w:val="20"/>
          <w:lang w:eastAsia="it-IT"/>
        </w:rPr>
        <w:t>at</w:t>
      </w:r>
      <w:r w:rsidRPr="00515872">
        <w:rPr>
          <w:rFonts w:cs="Tahoma"/>
          <w:szCs w:val="20"/>
          <w:lang w:eastAsia="it-IT"/>
        </w:rPr>
        <w:t>o positivo di amministrazione comporta un avanzo, la cui parte libera può essere utilizzata:</w:t>
      </w:r>
    </w:p>
    <w:p w14:paraId="591C70F6" w14:textId="77777777" w:rsidR="00FB4B06" w:rsidRPr="00515872" w:rsidRDefault="00FB4B06" w:rsidP="00D65838">
      <w:pPr>
        <w:pStyle w:val="Paragrafoelenco"/>
        <w:numPr>
          <w:ilvl w:val="0"/>
          <w:numId w:val="59"/>
        </w:numPr>
        <w:spacing w:line="360" w:lineRule="auto"/>
        <w:jc w:val="both"/>
        <w:rPr>
          <w:rFonts w:cs="Tahoma"/>
          <w:color w:val="000000"/>
          <w:szCs w:val="20"/>
        </w:rPr>
      </w:pPr>
      <w:r w:rsidRPr="00515872">
        <w:rPr>
          <w:rFonts w:cs="Tahoma"/>
        </w:rPr>
        <w:t>per la copertura dei debiti fuori bilancio;</w:t>
      </w:r>
    </w:p>
    <w:p w14:paraId="33266AA7" w14:textId="77777777" w:rsidR="00FB4B06" w:rsidRPr="00515872" w:rsidRDefault="00FB4B06" w:rsidP="00D65838">
      <w:pPr>
        <w:pStyle w:val="Paragrafoelenco"/>
        <w:numPr>
          <w:ilvl w:val="0"/>
          <w:numId w:val="59"/>
        </w:numPr>
        <w:spacing w:line="360" w:lineRule="auto"/>
        <w:jc w:val="both"/>
        <w:rPr>
          <w:rFonts w:cs="Tahoma"/>
          <w:color w:val="000000"/>
          <w:szCs w:val="20"/>
        </w:rPr>
      </w:pPr>
      <w:r w:rsidRPr="00515872">
        <w:rPr>
          <w:rFonts w:cs="Tahoma"/>
        </w:rPr>
        <w:t>per i provvedimenti necessari per la salvaguardia degli equilibri di bilancio ove non possa provvedersi con mezzi ordinari;</w:t>
      </w:r>
    </w:p>
    <w:p w14:paraId="63D667FA" w14:textId="77777777" w:rsidR="00FB4B06" w:rsidRPr="00515872" w:rsidRDefault="00FB4B06" w:rsidP="00D65838">
      <w:pPr>
        <w:pStyle w:val="Paragrafoelenco"/>
        <w:numPr>
          <w:ilvl w:val="0"/>
          <w:numId w:val="59"/>
        </w:numPr>
        <w:spacing w:line="360" w:lineRule="auto"/>
        <w:jc w:val="both"/>
        <w:rPr>
          <w:rFonts w:cs="Tahoma"/>
          <w:color w:val="000000"/>
          <w:szCs w:val="20"/>
        </w:rPr>
      </w:pPr>
      <w:r w:rsidRPr="00515872">
        <w:rPr>
          <w:rFonts w:cs="Tahoma"/>
        </w:rPr>
        <w:t xml:space="preserve">per il finanziamento di spese di investimento; </w:t>
      </w:r>
    </w:p>
    <w:p w14:paraId="335FBD75" w14:textId="77777777" w:rsidR="00FB4B06" w:rsidRPr="00515872" w:rsidRDefault="00FB4B06" w:rsidP="00D65838">
      <w:pPr>
        <w:pStyle w:val="Paragrafoelenco"/>
        <w:numPr>
          <w:ilvl w:val="0"/>
          <w:numId w:val="59"/>
        </w:numPr>
        <w:spacing w:line="360" w:lineRule="auto"/>
        <w:jc w:val="both"/>
        <w:rPr>
          <w:rFonts w:cs="Tahoma"/>
          <w:color w:val="000000"/>
          <w:szCs w:val="20"/>
        </w:rPr>
      </w:pPr>
      <w:r w:rsidRPr="00515872">
        <w:rPr>
          <w:rFonts w:cs="Tahoma"/>
        </w:rPr>
        <w:t>per il finanziamento delle spese correnti a carattere non permanente;</w:t>
      </w:r>
    </w:p>
    <w:p w14:paraId="7AF410F6" w14:textId="77777777" w:rsidR="00FB4B06" w:rsidRPr="00515872" w:rsidRDefault="00FB4B06" w:rsidP="00D65838">
      <w:pPr>
        <w:pStyle w:val="Paragrafoelenco"/>
        <w:numPr>
          <w:ilvl w:val="0"/>
          <w:numId w:val="59"/>
        </w:numPr>
        <w:spacing w:line="360" w:lineRule="auto"/>
        <w:jc w:val="both"/>
        <w:rPr>
          <w:rFonts w:cs="Tahoma"/>
          <w:color w:val="000000"/>
          <w:szCs w:val="20"/>
        </w:rPr>
      </w:pPr>
      <w:r w:rsidRPr="00515872">
        <w:rPr>
          <w:rFonts w:cs="Tahoma"/>
        </w:rPr>
        <w:t>per l'estinzione anticipata dei prestiti.</w:t>
      </w:r>
    </w:p>
    <w:p w14:paraId="003B96F2" w14:textId="77777777" w:rsidR="00FB4B06" w:rsidRPr="00515872" w:rsidRDefault="00FB4B06" w:rsidP="009518AF">
      <w:pPr>
        <w:spacing w:line="360" w:lineRule="auto"/>
        <w:jc w:val="both"/>
        <w:rPr>
          <w:rFonts w:cs="Tahoma"/>
          <w:szCs w:val="20"/>
          <w:lang w:eastAsia="it-IT"/>
        </w:rPr>
      </w:pPr>
      <w:r w:rsidRPr="00515872">
        <w:rPr>
          <w:rFonts w:cs="Tahoma"/>
          <w:szCs w:val="20"/>
          <w:lang w:eastAsia="it-IT"/>
        </w:rPr>
        <w:t xml:space="preserve">Tale elencazione deve intendersi come </w:t>
      </w:r>
      <w:r w:rsidRPr="00515872">
        <w:rPr>
          <w:rFonts w:cs="Tahoma"/>
          <w:b/>
          <w:szCs w:val="20"/>
          <w:lang w:eastAsia="it-IT"/>
        </w:rPr>
        <w:t>ordine di priorità</w:t>
      </w:r>
      <w:r w:rsidRPr="00515872">
        <w:rPr>
          <w:rFonts w:cs="Tahoma"/>
          <w:szCs w:val="20"/>
          <w:lang w:eastAsia="it-IT"/>
        </w:rPr>
        <w:t xml:space="preserve"> nell’utilizzo dell’avanzo di amministrazione.</w:t>
      </w:r>
    </w:p>
    <w:p w14:paraId="091A72D9" w14:textId="77777777" w:rsidR="009518AF" w:rsidRPr="00515872" w:rsidRDefault="00EA537B" w:rsidP="009518AF">
      <w:pPr>
        <w:spacing w:line="360" w:lineRule="auto"/>
        <w:jc w:val="both"/>
        <w:rPr>
          <w:rFonts w:cs="Tahoma"/>
          <w:color w:val="000000"/>
          <w:szCs w:val="20"/>
        </w:rPr>
      </w:pPr>
      <w:r w:rsidRPr="00515872">
        <w:rPr>
          <w:rFonts w:cs="Tahoma"/>
          <w:color w:val="000000"/>
          <w:szCs w:val="20"/>
        </w:rPr>
        <w:lastRenderedPageBreak/>
        <w:t>Come precisato, n</w:t>
      </w:r>
      <w:r w:rsidR="009518AF" w:rsidRPr="00515872">
        <w:rPr>
          <w:rFonts w:cs="Tahoma"/>
          <w:color w:val="000000"/>
          <w:szCs w:val="20"/>
        </w:rPr>
        <w:t>el corso dell’esercizio provvisorio può essere applicato l’avanzo presunto accantonato o vincolato.</w:t>
      </w:r>
    </w:p>
    <w:p w14:paraId="56B49366"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L’avanzo destinato agli investimenti è applicato al bilancio di previsione solo a seguito dell’approvazione del rendiconto.</w:t>
      </w:r>
    </w:p>
    <w:p w14:paraId="68878A7B" w14:textId="77777777" w:rsidR="004D56B9" w:rsidRPr="00515872" w:rsidRDefault="009518AF" w:rsidP="004D56B9">
      <w:pPr>
        <w:spacing w:line="360" w:lineRule="auto"/>
        <w:jc w:val="both"/>
        <w:rPr>
          <w:rFonts w:cs="Tahoma"/>
          <w:szCs w:val="20"/>
          <w:lang w:eastAsia="it-IT"/>
        </w:rPr>
      </w:pPr>
      <w:r w:rsidRPr="00515872">
        <w:rPr>
          <w:rFonts w:cs="Tahoma"/>
          <w:szCs w:val="20"/>
          <w:lang w:eastAsia="it-IT"/>
        </w:rPr>
        <w:t xml:space="preserve">Se l’applicazione dell’avanzo vincolato avviene in fase di predisposizione del bilancio di previsione, la giunta, entro il 31 gennaio, approva il prospetto aggiornato riguardante la determinazione del risultato di amministrazione presunto, attuando le necessarie variazioni, se la quota vincolata effettivamente risultante </w:t>
      </w:r>
      <w:r w:rsidR="006758F3" w:rsidRPr="00515872">
        <w:rPr>
          <w:rFonts w:cs="Tahoma"/>
          <w:szCs w:val="20"/>
          <w:lang w:eastAsia="it-IT"/>
        </w:rPr>
        <w:t>fosse</w:t>
      </w:r>
      <w:r w:rsidRPr="00515872">
        <w:rPr>
          <w:rFonts w:cs="Tahoma"/>
          <w:szCs w:val="20"/>
          <w:lang w:eastAsia="it-IT"/>
        </w:rPr>
        <w:t xml:space="preserve"> inferiore a quella applicata al bilancio di previsione. In assenza dell’aggiornamento del prospetto riguardante il risultato di amministrazione presunto, si provvede immediatamente alla variazione di bilancio che elimina l’utilizzo </w:t>
      </w:r>
      <w:r w:rsidR="004D56B9" w:rsidRPr="00515872">
        <w:rPr>
          <w:rFonts w:cs="Tahoma"/>
          <w:szCs w:val="20"/>
          <w:lang w:eastAsia="it-IT"/>
        </w:rPr>
        <w:t>dell’avanzo di amministrazione.</w:t>
      </w:r>
    </w:p>
    <w:p w14:paraId="32D88AD1" w14:textId="77777777" w:rsidR="004D56B9" w:rsidRPr="00515872" w:rsidRDefault="003E7E88" w:rsidP="004D56B9">
      <w:pPr>
        <w:spacing w:line="360" w:lineRule="auto"/>
        <w:jc w:val="both"/>
        <w:rPr>
          <w:rFonts w:cs="Tahoma"/>
        </w:rPr>
      </w:pPr>
      <w:r w:rsidRPr="00515872">
        <w:rPr>
          <w:rFonts w:cs="Tahoma"/>
          <w:szCs w:val="20"/>
          <w:lang w:eastAsia="it-IT"/>
        </w:rPr>
        <w:t>L’art. 109</w:t>
      </w:r>
      <w:r w:rsidR="00EA537B" w:rsidRPr="00515872">
        <w:rPr>
          <w:rFonts w:cs="Tahoma"/>
          <w:szCs w:val="20"/>
          <w:lang w:eastAsia="it-IT"/>
        </w:rPr>
        <w:t>,</w:t>
      </w:r>
      <w:r w:rsidRPr="00515872">
        <w:rPr>
          <w:rFonts w:cs="Tahoma"/>
          <w:szCs w:val="20"/>
          <w:lang w:eastAsia="it-IT"/>
        </w:rPr>
        <w:t xml:space="preserve"> D.L. n. 18/2020 riporta una serie di prescrizioni sull’utilizzo dell’avanzo di amministrazione, differenziate per tipologia di ente</w:t>
      </w:r>
      <w:r w:rsidR="00720363" w:rsidRPr="00515872">
        <w:rPr>
          <w:rFonts w:cs="Tahoma"/>
          <w:szCs w:val="20"/>
          <w:lang w:eastAsia="it-IT"/>
        </w:rPr>
        <w:t>,</w:t>
      </w:r>
      <w:r w:rsidRPr="00515872">
        <w:rPr>
          <w:rFonts w:cs="Tahoma"/>
          <w:szCs w:val="20"/>
          <w:lang w:eastAsia="it-IT"/>
        </w:rPr>
        <w:t xml:space="preserve"> in ordine alla possibilità di utilizzo degli avanzi per spese correnti di urgenza a fronte dell’emergenza “C</w:t>
      </w:r>
      <w:r w:rsidR="00720363" w:rsidRPr="00515872">
        <w:rPr>
          <w:rFonts w:cs="Tahoma"/>
          <w:szCs w:val="20"/>
          <w:lang w:eastAsia="it-IT"/>
        </w:rPr>
        <w:t>OVID</w:t>
      </w:r>
      <w:r w:rsidRPr="00515872">
        <w:rPr>
          <w:rFonts w:cs="Tahoma"/>
          <w:szCs w:val="20"/>
          <w:lang w:eastAsia="it-IT"/>
        </w:rPr>
        <w:t>-19”.</w:t>
      </w:r>
      <w:r w:rsidR="004D56B9" w:rsidRPr="00515872">
        <w:rPr>
          <w:rFonts w:cs="Tahoma"/>
          <w:szCs w:val="20"/>
          <w:lang w:eastAsia="it-IT"/>
        </w:rPr>
        <w:t xml:space="preserve"> In base alle disposizioni ivi contenute, </w:t>
      </w:r>
      <w:r w:rsidR="004D56B9" w:rsidRPr="00515872">
        <w:rPr>
          <w:rFonts w:cs="Tahoma"/>
        </w:rPr>
        <w:t>in deroga alle ordinarie modalità di utilizzo della quota libera dell'avanzo di amministrazione, ferme restando le priorità relative alla copertura dei debiti fuori bilancio e alla salvaguardia degli equilibri di bilancio, gli enti locali, limitatamente agli esercizi finanziari 2020 e 2021, possono utilizzare la quota libera dell'avanzo di amministrazione per il finanziamento di spese correnti connesse con l'emergenza in corso. L'utilizzo della quota libera dell'avanzo è autorizzato, anche nel corso dell'esercizio provvisorio, per una percentuale non superiore all'80%, nel caso in cui l'organo esecutivo abbia approvato lo schema del rendiconto di gestione 2019 e l'organo di revisione ne abbia rilasciato la relazione ai sensi dell'art. 239, c. 1 lett. d) del TUEL. Agli stessi fini e fermo restando il rispetto del principio di equilibrio di bilancio, gli enti locali, limitatamente agli esercizi finanziari 2020 e 2021, possono utilizzare, anche integralmente, per il finanziamento delle spese correnti connesse all'emergenza in corso, i proventi delle concessioni edilizie e delle sanzioni previste dal testo unico delle disposizioni legislative e regolamentari in materia edilizia, fatta eccezione per le sanzioni di cui all'</w:t>
      </w:r>
      <w:r w:rsidR="009674C8" w:rsidRPr="00515872">
        <w:rPr>
          <w:rFonts w:cs="Tahoma"/>
        </w:rPr>
        <w:t>art. 31, c. 4-bis, D.P.R. 6 giugno 2001, n. 380.</w:t>
      </w:r>
      <w:r w:rsidR="004D56B9" w:rsidRPr="00515872">
        <w:rPr>
          <w:rFonts w:cs="Tahoma"/>
        </w:rPr>
        <w:t xml:space="preserve"> </w:t>
      </w:r>
    </w:p>
    <w:p w14:paraId="3852509D" w14:textId="77777777" w:rsidR="009518AF" w:rsidRPr="00515872" w:rsidRDefault="009518AF" w:rsidP="009518AF">
      <w:pPr>
        <w:spacing w:after="0" w:line="360" w:lineRule="auto"/>
        <w:jc w:val="both"/>
        <w:rPr>
          <w:rFonts w:cs="Tahoma"/>
          <w:b/>
          <w:szCs w:val="20"/>
          <w:lang w:eastAsia="it-IT"/>
        </w:rPr>
      </w:pPr>
      <w:bookmarkStart w:id="125" w:name="_Toc421458644"/>
      <w:bookmarkStart w:id="126" w:name="_Toc464382614"/>
      <w:r w:rsidRPr="00515872">
        <w:rPr>
          <w:rFonts w:cs="Tahoma"/>
          <w:b/>
          <w:szCs w:val="20"/>
          <w:lang w:eastAsia="it-IT"/>
        </w:rPr>
        <w:t>Disavanzo di amministrazione</w:t>
      </w:r>
    </w:p>
    <w:p w14:paraId="48EB64F6"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 xml:space="preserve">Il risultato di amministrazione </w:t>
      </w:r>
      <w:r w:rsidR="009674C8" w:rsidRPr="00515872">
        <w:rPr>
          <w:rFonts w:cs="Tahoma"/>
          <w:szCs w:val="20"/>
          <w:lang w:eastAsia="it-IT"/>
        </w:rPr>
        <w:t xml:space="preserve">che evidenzia un disavanzo, manifesta </w:t>
      </w:r>
      <w:r w:rsidRPr="00515872">
        <w:rPr>
          <w:rFonts w:cs="Tahoma"/>
          <w:szCs w:val="20"/>
          <w:lang w:eastAsia="it-IT"/>
        </w:rPr>
        <w:t xml:space="preserve">uno squilibrio nella </w:t>
      </w:r>
      <w:r w:rsidR="009674C8" w:rsidRPr="00515872">
        <w:rPr>
          <w:rFonts w:cs="Tahoma"/>
          <w:szCs w:val="20"/>
          <w:lang w:eastAsia="it-IT"/>
        </w:rPr>
        <w:t>gestione dell’ente</w:t>
      </w:r>
      <w:r w:rsidRPr="00515872">
        <w:rPr>
          <w:rFonts w:cs="Tahoma"/>
          <w:szCs w:val="20"/>
          <w:lang w:eastAsia="it-IT"/>
        </w:rPr>
        <w:t xml:space="preserve">. Anche in caso di risultato positivo, </w:t>
      </w:r>
      <w:r w:rsidR="009674C8" w:rsidRPr="00515872">
        <w:rPr>
          <w:rFonts w:cs="Tahoma"/>
          <w:szCs w:val="20"/>
          <w:lang w:eastAsia="it-IT"/>
        </w:rPr>
        <w:t xml:space="preserve">come detto, </w:t>
      </w:r>
      <w:r w:rsidRPr="00515872">
        <w:rPr>
          <w:rFonts w:cs="Tahoma"/>
          <w:szCs w:val="20"/>
          <w:lang w:eastAsia="it-IT"/>
        </w:rPr>
        <w:t xml:space="preserve">potrebbe configurarsi l’ipotesi in cui </w:t>
      </w:r>
      <w:r w:rsidRPr="00515872">
        <w:rPr>
          <w:rFonts w:cs="Tahoma"/>
          <w:b/>
          <w:szCs w:val="20"/>
          <w:lang w:eastAsia="it-IT"/>
        </w:rPr>
        <w:t xml:space="preserve">l’importo delle quote accantonate, vincolate e destinate risulti maggiore del risultato di amministrazione </w:t>
      </w:r>
      <w:r w:rsidRPr="00515872">
        <w:rPr>
          <w:rFonts w:cs="Tahoma"/>
          <w:szCs w:val="20"/>
          <w:lang w:eastAsia="it-IT"/>
        </w:rPr>
        <w:t xml:space="preserve">(lordo): anche in questo caso, la quota non vincolata rappresenta </w:t>
      </w:r>
      <w:r w:rsidRPr="00515872">
        <w:rPr>
          <w:rFonts w:cs="Tahoma"/>
          <w:bCs/>
          <w:szCs w:val="20"/>
          <w:lang w:eastAsia="it-IT"/>
        </w:rPr>
        <w:t>un disavanzo che l’ente deve recuperare</w:t>
      </w:r>
      <w:r w:rsidRPr="00515872">
        <w:rPr>
          <w:rFonts w:cs="Tahoma"/>
          <w:szCs w:val="20"/>
          <w:lang w:eastAsia="it-IT"/>
        </w:rPr>
        <w:t>, applicandolo alla parte spesa del bilancio.</w:t>
      </w:r>
    </w:p>
    <w:p w14:paraId="098D079D" w14:textId="77777777" w:rsidR="00E218B7" w:rsidRPr="00515872" w:rsidRDefault="009518AF" w:rsidP="00E218B7">
      <w:pPr>
        <w:spacing w:line="360" w:lineRule="auto"/>
        <w:jc w:val="both"/>
        <w:rPr>
          <w:rFonts w:cs="Tahoma"/>
          <w:szCs w:val="20"/>
          <w:lang w:eastAsia="it-IT"/>
        </w:rPr>
      </w:pPr>
      <w:r w:rsidRPr="00515872">
        <w:rPr>
          <w:rFonts w:cs="Tahoma"/>
          <w:szCs w:val="20"/>
          <w:lang w:eastAsia="it-IT"/>
        </w:rPr>
        <w:t>La presenza di un disavanzo di amministrazione coinvolge pesantemente l’organo di revisione chiamato a vigilare ed esprimere pareri sulle var</w:t>
      </w:r>
      <w:r w:rsidR="00E218B7" w:rsidRPr="00515872">
        <w:rPr>
          <w:rFonts w:cs="Tahoma"/>
          <w:szCs w:val="20"/>
          <w:lang w:eastAsia="it-IT"/>
        </w:rPr>
        <w:t>ie fasi del suo riassorbimento.</w:t>
      </w:r>
    </w:p>
    <w:p w14:paraId="0269C823" w14:textId="77777777" w:rsidR="00E218B7" w:rsidRPr="00515872" w:rsidRDefault="009518AF" w:rsidP="00E218B7">
      <w:pPr>
        <w:spacing w:line="360" w:lineRule="auto"/>
        <w:jc w:val="both"/>
        <w:rPr>
          <w:rFonts w:cs="Tahoma"/>
          <w:szCs w:val="20"/>
          <w:lang w:eastAsia="it-IT"/>
        </w:rPr>
      </w:pPr>
      <w:r w:rsidRPr="00515872">
        <w:rPr>
          <w:rFonts w:cs="Tahoma"/>
          <w:szCs w:val="20"/>
          <w:lang w:eastAsia="it-IT"/>
        </w:rPr>
        <w:lastRenderedPageBreak/>
        <w:t>Se il risultato di amministrazione è negativo</w:t>
      </w:r>
      <w:r w:rsidR="00D75145" w:rsidRPr="00515872">
        <w:rPr>
          <w:rFonts w:cs="Tahoma"/>
          <w:szCs w:val="20"/>
          <w:lang w:eastAsia="it-IT"/>
        </w:rPr>
        <w:t>,</w:t>
      </w:r>
      <w:r w:rsidRPr="00515872">
        <w:rPr>
          <w:rFonts w:cs="Tahoma"/>
          <w:szCs w:val="20"/>
          <w:lang w:eastAsia="it-IT"/>
        </w:rPr>
        <w:t xml:space="preserve"> l’ente deve applicare immediatamente il disavanzo al bilancio di previsione in corso al fine di prevederne la copertura nei modi stabiliti dall’art. 188 del TUEL.</w:t>
      </w:r>
      <w:r w:rsidR="00E218B7" w:rsidRPr="00515872">
        <w:rPr>
          <w:rFonts w:cs="Tahoma"/>
          <w:szCs w:val="20"/>
          <w:lang w:eastAsia="it-IT"/>
        </w:rPr>
        <w:t xml:space="preserve"> </w:t>
      </w:r>
      <w:r w:rsidR="00E218B7" w:rsidRPr="00515872">
        <w:rPr>
          <w:rFonts w:cs="Tahoma"/>
        </w:rPr>
        <w:t>Nei casi espressamente previsti dalla legge è possibile ripartire il disavanzo tra più esercizi.</w:t>
      </w:r>
    </w:p>
    <w:p w14:paraId="2F2F9FBD"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L’eventuale disavanzo di amministrazione accertato è applicato al bilancio dell’esercizio in corso contestualmente alla delibera di approvazione del rendiconto. </w:t>
      </w:r>
      <w:r w:rsidR="00ED69D3" w:rsidRPr="00515872">
        <w:rPr>
          <w:rFonts w:cs="Tahoma"/>
          <w:b/>
          <w:color w:val="000000"/>
          <w:szCs w:val="20"/>
        </w:rPr>
        <w:t>La mancata adozione della delibera che applica il disavanzo</w:t>
      </w:r>
      <w:r w:rsidRPr="00515872">
        <w:rPr>
          <w:rFonts w:cs="Tahoma"/>
          <w:b/>
          <w:color w:val="000000"/>
          <w:szCs w:val="20"/>
        </w:rPr>
        <w:t xml:space="preserve"> è equiparata, a tutti gli effetti, alla mancata approvazione del rendiconto</w:t>
      </w:r>
      <w:r w:rsidRPr="00515872">
        <w:rPr>
          <w:rFonts w:cs="Tahoma"/>
          <w:color w:val="000000"/>
          <w:szCs w:val="20"/>
        </w:rPr>
        <w:t>, con le conseguenze già delineate.</w:t>
      </w:r>
    </w:p>
    <w:p w14:paraId="510FD1E7" w14:textId="77777777" w:rsidR="009518AF" w:rsidRPr="00515872" w:rsidRDefault="009518AF" w:rsidP="009518AF">
      <w:pPr>
        <w:spacing w:line="360" w:lineRule="auto"/>
        <w:jc w:val="both"/>
        <w:rPr>
          <w:rFonts w:cs="Tahoma"/>
          <w:szCs w:val="20"/>
          <w:lang w:eastAsia="it-IT"/>
        </w:rPr>
      </w:pPr>
      <w:r w:rsidRPr="00515872">
        <w:rPr>
          <w:rFonts w:cs="Tahoma"/>
          <w:szCs w:val="20"/>
          <w:lang w:eastAsia="it-IT"/>
        </w:rPr>
        <w:t>La copertura del disavanzo può essere effettuata anche con un piano di rientro che prenda in considerazione gli esercizi successivi considerati nel bilancio di previsione, in ogni caso, non oltre la durata della consiliatura.</w:t>
      </w:r>
    </w:p>
    <w:p w14:paraId="66F47D42" w14:textId="77777777" w:rsidR="002D59FF" w:rsidRPr="00515872" w:rsidRDefault="009518AF" w:rsidP="002D59FF">
      <w:pPr>
        <w:spacing w:line="360" w:lineRule="auto"/>
        <w:jc w:val="both"/>
        <w:rPr>
          <w:rFonts w:cs="Tahoma"/>
          <w:szCs w:val="20"/>
          <w:lang w:eastAsia="it-IT"/>
        </w:rPr>
      </w:pPr>
      <w:r w:rsidRPr="00515872">
        <w:rPr>
          <w:rFonts w:cs="Tahoma"/>
          <w:szCs w:val="20"/>
          <w:lang w:eastAsia="it-IT"/>
        </w:rPr>
        <w:t xml:space="preserve">Il piano di rientro deve essere approvato dal consiglio comunale attraverso un’apposita deliberazione nella quale siano individuati i </w:t>
      </w:r>
      <w:r w:rsidRPr="00515872">
        <w:rPr>
          <w:rFonts w:cs="Tahoma"/>
          <w:b/>
          <w:szCs w:val="20"/>
          <w:lang w:eastAsia="it-IT"/>
        </w:rPr>
        <w:t>provvedimenti necessari a ripristinare il pareggio</w:t>
      </w:r>
      <w:r w:rsidRPr="00515872">
        <w:rPr>
          <w:rFonts w:cs="Tahoma"/>
          <w:szCs w:val="20"/>
          <w:lang w:eastAsia="it-IT"/>
        </w:rPr>
        <w:t xml:space="preserve"> ed </w:t>
      </w:r>
      <w:r w:rsidRPr="00515872">
        <w:rPr>
          <w:rFonts w:cs="Tahoma"/>
          <w:b/>
          <w:szCs w:val="20"/>
          <w:lang w:eastAsia="it-IT"/>
        </w:rPr>
        <w:t>è sottoposto al parere del collegio dei revisori</w:t>
      </w:r>
      <w:r w:rsidR="002D59FF" w:rsidRPr="00515872">
        <w:rPr>
          <w:rFonts w:cs="Tahoma"/>
          <w:szCs w:val="20"/>
          <w:lang w:eastAsia="it-IT"/>
        </w:rPr>
        <w:t>.</w:t>
      </w:r>
    </w:p>
    <w:p w14:paraId="4C762DDC" w14:textId="77777777" w:rsidR="002D59FF" w:rsidRPr="00515872" w:rsidRDefault="00E62672" w:rsidP="00C97B0A">
      <w:pPr>
        <w:spacing w:after="0" w:line="360" w:lineRule="auto"/>
        <w:jc w:val="both"/>
        <w:rPr>
          <w:rFonts w:cs="Tahoma"/>
          <w:szCs w:val="20"/>
          <w:lang w:eastAsia="it-IT"/>
        </w:rPr>
      </w:pPr>
      <w:r w:rsidRPr="00515872">
        <w:rPr>
          <w:rFonts w:cs="Tahoma"/>
        </w:rPr>
        <w:t>Nei casi in cui la legge prevede l’adozione di un piano di rientro per il ripiano pluriennale, la deliberazione che approva il piano contiene:</w:t>
      </w:r>
    </w:p>
    <w:p w14:paraId="6CCA2570" w14:textId="77777777" w:rsidR="002D59FF" w:rsidRPr="00515872" w:rsidRDefault="00E62672" w:rsidP="00D65838">
      <w:pPr>
        <w:pStyle w:val="Paragrafoelenco"/>
        <w:numPr>
          <w:ilvl w:val="0"/>
          <w:numId w:val="219"/>
        </w:numPr>
        <w:spacing w:line="360" w:lineRule="auto"/>
        <w:ind w:left="284" w:hanging="284"/>
        <w:jc w:val="both"/>
        <w:rPr>
          <w:rFonts w:cs="Tahoma"/>
          <w:szCs w:val="20"/>
          <w:lang w:eastAsia="it-IT"/>
        </w:rPr>
      </w:pPr>
      <w:r w:rsidRPr="00515872">
        <w:rPr>
          <w:rFonts w:cs="Tahoma"/>
        </w:rPr>
        <w:t>l’importo del disavanzo complessivo e l’importo del disavanzo oggetto del piano di rientro. Se approvato con riferimento ad un disavanzo di amministrazione presunto, il piano di rientro è aggiornato in occasione dell’approvazione del rendiconto;</w:t>
      </w:r>
    </w:p>
    <w:p w14:paraId="220B35B2" w14:textId="77777777" w:rsidR="002D59FF" w:rsidRPr="00515872" w:rsidRDefault="00E62672" w:rsidP="00D65838">
      <w:pPr>
        <w:pStyle w:val="Paragrafoelenco"/>
        <w:numPr>
          <w:ilvl w:val="0"/>
          <w:numId w:val="219"/>
        </w:numPr>
        <w:spacing w:line="360" w:lineRule="auto"/>
        <w:ind w:left="284" w:hanging="284"/>
        <w:jc w:val="both"/>
        <w:rPr>
          <w:rFonts w:cs="Tahoma"/>
          <w:szCs w:val="20"/>
          <w:lang w:eastAsia="it-IT"/>
        </w:rPr>
      </w:pPr>
      <w:r w:rsidRPr="00515872">
        <w:rPr>
          <w:rFonts w:cs="Tahoma"/>
        </w:rPr>
        <w:t>l’analisi delle cause che hanno determinato il di</w:t>
      </w:r>
      <w:r w:rsidR="00C97B0A" w:rsidRPr="00515872">
        <w:rPr>
          <w:rFonts w:cs="Tahoma"/>
        </w:rPr>
        <w:t>savanzo di amministrazione;</w:t>
      </w:r>
      <w:r w:rsidRPr="00515872">
        <w:rPr>
          <w:rFonts w:cs="Tahoma"/>
        </w:rPr>
        <w:t xml:space="preserve"> </w:t>
      </w:r>
    </w:p>
    <w:p w14:paraId="2317B8D2" w14:textId="77777777" w:rsidR="002D59FF" w:rsidRPr="00515872" w:rsidRDefault="00E62672" w:rsidP="00D65838">
      <w:pPr>
        <w:pStyle w:val="Paragrafoelenco"/>
        <w:numPr>
          <w:ilvl w:val="0"/>
          <w:numId w:val="219"/>
        </w:numPr>
        <w:spacing w:line="360" w:lineRule="auto"/>
        <w:ind w:left="284" w:hanging="284"/>
        <w:jc w:val="both"/>
        <w:rPr>
          <w:rFonts w:cs="Tahoma"/>
          <w:szCs w:val="20"/>
          <w:lang w:eastAsia="it-IT"/>
        </w:rPr>
      </w:pPr>
      <w:r w:rsidRPr="00515872">
        <w:rPr>
          <w:rFonts w:cs="Tahoma"/>
        </w:rPr>
        <w:t>la descrizione delle iniziative che si preved</w:t>
      </w:r>
      <w:r w:rsidR="002D59FF" w:rsidRPr="00515872">
        <w:rPr>
          <w:rFonts w:cs="Tahoma"/>
        </w:rPr>
        <w:t xml:space="preserve">e di assumere per recuperare il </w:t>
      </w:r>
      <w:r w:rsidRPr="00515872">
        <w:rPr>
          <w:rFonts w:cs="Tahoma"/>
        </w:rPr>
        <w:t>disavanzo</w:t>
      </w:r>
      <w:r w:rsidR="002D59FF" w:rsidRPr="00515872">
        <w:rPr>
          <w:rFonts w:cs="Tahoma"/>
        </w:rPr>
        <w:t>;</w:t>
      </w:r>
    </w:p>
    <w:p w14:paraId="601A0AE2" w14:textId="77777777" w:rsidR="002D59FF" w:rsidRPr="00515872" w:rsidRDefault="00E62672" w:rsidP="00D65838">
      <w:pPr>
        <w:pStyle w:val="Paragrafoelenco"/>
        <w:numPr>
          <w:ilvl w:val="0"/>
          <w:numId w:val="219"/>
        </w:numPr>
        <w:spacing w:line="360" w:lineRule="auto"/>
        <w:ind w:left="284" w:hanging="284"/>
        <w:jc w:val="both"/>
        <w:rPr>
          <w:rFonts w:cs="Tahoma"/>
          <w:szCs w:val="20"/>
          <w:lang w:eastAsia="it-IT"/>
        </w:rPr>
      </w:pPr>
      <w:r w:rsidRPr="00515872">
        <w:rPr>
          <w:rFonts w:cs="Tahoma"/>
        </w:rPr>
        <w:t>la durata del piano di rientro e l’importo della quota annuale del ripiano, individuati nel rispetto di quanto previsto dalle norme di legge che aut</w:t>
      </w:r>
      <w:r w:rsidR="00C97B0A" w:rsidRPr="00515872">
        <w:rPr>
          <w:rFonts w:cs="Tahoma"/>
        </w:rPr>
        <w:t>orizzano il ripiano pluriennale;</w:t>
      </w:r>
      <w:r w:rsidRPr="00515872">
        <w:rPr>
          <w:rFonts w:cs="Tahoma"/>
        </w:rPr>
        <w:t xml:space="preserve">  </w:t>
      </w:r>
    </w:p>
    <w:p w14:paraId="62205B96" w14:textId="77777777" w:rsidR="002D59FF" w:rsidRPr="00515872" w:rsidRDefault="00E62672" w:rsidP="00D65838">
      <w:pPr>
        <w:pStyle w:val="Paragrafoelenco"/>
        <w:numPr>
          <w:ilvl w:val="0"/>
          <w:numId w:val="219"/>
        </w:numPr>
        <w:spacing w:line="360" w:lineRule="auto"/>
        <w:ind w:left="284" w:hanging="284"/>
        <w:jc w:val="both"/>
        <w:rPr>
          <w:rFonts w:cs="Tahoma"/>
          <w:szCs w:val="20"/>
          <w:lang w:eastAsia="it-IT"/>
        </w:rPr>
      </w:pPr>
      <w:r w:rsidRPr="00515872">
        <w:rPr>
          <w:rFonts w:cs="Tahoma"/>
        </w:rPr>
        <w:t>l’individuazione puntuale, distintamente per ciascun esercizio, delle entrate e delle economie di spesa destinate al ripiano del disavanzo;</w:t>
      </w:r>
    </w:p>
    <w:p w14:paraId="0E668161" w14:textId="77777777" w:rsidR="00E62672" w:rsidRPr="00515872" w:rsidRDefault="002D59FF" w:rsidP="00D65838">
      <w:pPr>
        <w:pStyle w:val="Paragrafoelenco"/>
        <w:numPr>
          <w:ilvl w:val="0"/>
          <w:numId w:val="219"/>
        </w:numPr>
        <w:spacing w:line="360" w:lineRule="auto"/>
        <w:ind w:left="284" w:hanging="284"/>
        <w:jc w:val="both"/>
        <w:rPr>
          <w:rFonts w:cs="Tahoma"/>
          <w:szCs w:val="20"/>
          <w:lang w:eastAsia="it-IT"/>
        </w:rPr>
      </w:pPr>
      <w:r w:rsidRPr="00515872">
        <w:rPr>
          <w:rFonts w:cs="Tahoma"/>
        </w:rPr>
        <w:t>l</w:t>
      </w:r>
      <w:r w:rsidR="00E62672" w:rsidRPr="00515872">
        <w:rPr>
          <w:rFonts w:cs="Tahoma"/>
        </w:rPr>
        <w:t>’impegno formale di evitare la formazione di ogni ulteriore potenziale disavanzo.</w:t>
      </w:r>
    </w:p>
    <w:p w14:paraId="0D7E31B2" w14:textId="77777777" w:rsidR="00E62672" w:rsidRPr="00515872" w:rsidRDefault="002D59FF" w:rsidP="009518AF">
      <w:pPr>
        <w:spacing w:line="360" w:lineRule="auto"/>
        <w:jc w:val="both"/>
        <w:rPr>
          <w:rFonts w:cs="Tahoma"/>
        </w:rPr>
      </w:pPr>
      <w:r w:rsidRPr="00515872">
        <w:rPr>
          <w:rFonts w:cs="Tahoma"/>
        </w:rPr>
        <w:t>Ai fini del rientro possono essere utilizzate tutte le economie di spesa e tutte le entrate, ad eccezione di quelle provenienti dall'assunzione di prestiti e di quelle con specifico vincolo di destinazione, nonché i proventi derivanti da alienazione di beni patrimoniali disponibili e da altre entrate in c/capitale.</w:t>
      </w:r>
    </w:p>
    <w:p w14:paraId="3D4529C5" w14:textId="77777777" w:rsidR="002D59FF" w:rsidRPr="00515872" w:rsidRDefault="002D59FF" w:rsidP="002D59FF">
      <w:pPr>
        <w:spacing w:line="360" w:lineRule="auto"/>
        <w:jc w:val="both"/>
        <w:rPr>
          <w:rFonts w:cs="Tahoma"/>
          <w:szCs w:val="20"/>
          <w:lang w:eastAsia="it-IT"/>
        </w:rPr>
      </w:pPr>
      <w:r w:rsidRPr="00515872">
        <w:rPr>
          <w:rFonts w:cs="Tahoma"/>
        </w:rPr>
        <w:t>Le quote annuali del ripiano sono applicate al bilancio di previsione iscrivendole, prima delle spese, in ciascuno degli esercizi del bilancio.</w:t>
      </w:r>
    </w:p>
    <w:p w14:paraId="21603592" w14:textId="77777777" w:rsidR="00E27433" w:rsidRPr="00515872" w:rsidRDefault="009518AF" w:rsidP="00ED69D3">
      <w:pPr>
        <w:spacing w:line="360" w:lineRule="auto"/>
        <w:jc w:val="both"/>
        <w:rPr>
          <w:rFonts w:cs="Tahoma"/>
          <w:szCs w:val="20"/>
          <w:lang w:eastAsia="it-IT"/>
        </w:rPr>
      </w:pPr>
      <w:r w:rsidRPr="00515872">
        <w:rPr>
          <w:rFonts w:cs="Tahoma"/>
          <w:szCs w:val="20"/>
          <w:lang w:eastAsia="it-IT"/>
        </w:rPr>
        <w:t xml:space="preserve">Con periodicità almeno semestrale il sindaco o il presidente trasmette al consiglio una relazione riguardante lo stato di attuazione del piano di rientro, </w:t>
      </w:r>
      <w:r w:rsidRPr="00515872">
        <w:rPr>
          <w:rFonts w:cs="Tahoma"/>
          <w:b/>
          <w:szCs w:val="20"/>
          <w:lang w:eastAsia="it-IT"/>
        </w:rPr>
        <w:t>con il parere del collegio dei revisori</w:t>
      </w:r>
      <w:r w:rsidRPr="00515872">
        <w:rPr>
          <w:rFonts w:cs="Tahoma"/>
          <w:szCs w:val="20"/>
          <w:lang w:eastAsia="it-IT"/>
        </w:rPr>
        <w:t>. L’eventuale ulteriore disavanzo formatosi nel corso del periodo considerato nel piano di rientro deve essere coperto non oltre la scadenza del piano in corso.</w:t>
      </w:r>
    </w:p>
    <w:p w14:paraId="02F3F510" w14:textId="77777777" w:rsidR="00E27433" w:rsidRPr="00515872" w:rsidRDefault="00E27433" w:rsidP="00ED69D3">
      <w:pPr>
        <w:spacing w:line="360" w:lineRule="auto"/>
        <w:jc w:val="both"/>
        <w:rPr>
          <w:rFonts w:cs="Tahoma"/>
          <w:szCs w:val="20"/>
          <w:lang w:eastAsia="it-IT"/>
        </w:rPr>
      </w:pPr>
      <w:r w:rsidRPr="00515872">
        <w:rPr>
          <w:rFonts w:cs="Tahoma"/>
          <w:color w:val="000000"/>
          <w:szCs w:val="20"/>
        </w:rPr>
        <w:lastRenderedPageBreak/>
        <w:t>A seguito dell'approvazione del rendiconto e dell'accertamento dell'importo definitivo del disavanzo di</w:t>
      </w:r>
      <w:r w:rsidRPr="00515872">
        <w:rPr>
          <w:rFonts w:cs="Tahoma"/>
          <w:color w:val="000000"/>
          <w:szCs w:val="20"/>
        </w:rPr>
        <w:br/>
        <w:t>amministrazione dell'esercizio precedente, si provvede all'adeguamento delle iniziative assunte.</w:t>
      </w:r>
    </w:p>
    <w:p w14:paraId="640D242D" w14:textId="77777777" w:rsidR="009518AF" w:rsidRPr="00515872" w:rsidRDefault="00720363" w:rsidP="00C03D30">
      <w:pPr>
        <w:spacing w:line="360" w:lineRule="auto"/>
        <w:jc w:val="both"/>
        <w:rPr>
          <w:rFonts w:cs="Tahoma"/>
          <w:szCs w:val="20"/>
          <w:lang w:eastAsia="it-IT"/>
        </w:rPr>
      </w:pPr>
      <w:r w:rsidRPr="00515872">
        <w:rPr>
          <w:rFonts w:eastAsia="Times New Roman" w:cs="Tahoma"/>
          <w:szCs w:val="20"/>
          <w:lang w:eastAsia="it-IT"/>
        </w:rPr>
        <w:t>Agli enti locali che presenta</w:t>
      </w:r>
      <w:r w:rsidR="009518AF" w:rsidRPr="00515872">
        <w:rPr>
          <w:rFonts w:eastAsia="Times New Roman" w:cs="Tahoma"/>
          <w:szCs w:val="20"/>
          <w:lang w:eastAsia="it-IT"/>
        </w:rPr>
        <w:t>no, nell'ultimo rendiconto deliberato, un disavanzo di amministrazione ovvero debiti fuori bilancio, ancorché da riconoscere, nelle more della variazione di bilancio che dispone la copertura del disavanzo ed il riconoscimento e finanziamento del debito fuori bilancio, è fatto divieto di assumere impegni e pagare spese per servizi non espressamente previsti per legge. Sono fatte salve le spese da sostenere a fronte di impegni già assunti nei precedenti esercizi.</w:t>
      </w:r>
    </w:p>
    <w:p w14:paraId="6731C97C" w14:textId="77777777" w:rsidR="00277513" w:rsidRPr="00515872" w:rsidRDefault="00277513" w:rsidP="009518AF">
      <w:pPr>
        <w:pStyle w:val="Sottoparagrafo"/>
        <w:rPr>
          <w:rFonts w:cs="Tahoma"/>
          <w:highlight w:val="yellow"/>
          <w:lang w:eastAsia="it-IT"/>
        </w:rPr>
      </w:pPr>
      <w:bookmarkStart w:id="127" w:name="_Toc521317091"/>
    </w:p>
    <w:p w14:paraId="7C0B838B" w14:textId="77777777" w:rsidR="009518AF" w:rsidRPr="00515872" w:rsidRDefault="009518AF" w:rsidP="009518AF">
      <w:pPr>
        <w:pStyle w:val="Sottoparagrafo"/>
        <w:rPr>
          <w:rFonts w:cs="Tahoma"/>
          <w:lang w:eastAsia="it-IT"/>
        </w:rPr>
      </w:pPr>
      <w:bookmarkStart w:id="128" w:name="_Toc95912270"/>
      <w:r w:rsidRPr="00515872">
        <w:rPr>
          <w:rFonts w:cs="Tahoma"/>
          <w:lang w:eastAsia="it-IT"/>
        </w:rPr>
        <w:t>4.5.3 Prospetto di conciliazione</w:t>
      </w:r>
      <w:bookmarkEnd w:id="127"/>
      <w:bookmarkEnd w:id="128"/>
    </w:p>
    <w:p w14:paraId="60C2621B" w14:textId="77777777" w:rsidR="009518AF" w:rsidRPr="00515872" w:rsidRDefault="009518AF" w:rsidP="009518AF">
      <w:pPr>
        <w:spacing w:line="360" w:lineRule="auto"/>
        <w:jc w:val="both"/>
        <w:rPr>
          <w:rFonts w:cs="Tahoma"/>
          <w:lang w:eastAsia="it-IT"/>
        </w:rPr>
      </w:pPr>
      <w:r w:rsidRPr="00515872">
        <w:rPr>
          <w:rFonts w:cs="Tahoma"/>
          <w:lang w:eastAsia="it-IT"/>
        </w:rPr>
        <w:t xml:space="preserve">Allegato al rendiconto, al fine di evidenziare tutte le operazioni di </w:t>
      </w:r>
      <w:r w:rsidR="00C97B0A" w:rsidRPr="00515872">
        <w:rPr>
          <w:rFonts w:cs="Tahoma"/>
          <w:lang w:eastAsia="it-IT"/>
        </w:rPr>
        <w:t>rettifica mediante le quali avv</w:t>
      </w:r>
      <w:r w:rsidRPr="00515872">
        <w:rPr>
          <w:rFonts w:cs="Tahoma"/>
          <w:lang w:eastAsia="it-IT"/>
        </w:rPr>
        <w:t>en</w:t>
      </w:r>
      <w:r w:rsidR="00C97B0A" w:rsidRPr="00515872">
        <w:rPr>
          <w:rFonts w:cs="Tahoma"/>
          <w:lang w:eastAsia="it-IT"/>
        </w:rPr>
        <w:t>iva</w:t>
      </w:r>
      <w:r w:rsidRPr="00515872">
        <w:rPr>
          <w:rFonts w:cs="Tahoma"/>
          <w:lang w:eastAsia="it-IT"/>
        </w:rPr>
        <w:t xml:space="preserve"> il ribaltamento dei dati registrati con la logica della contabilità finanziaria nella dimensione economico-patrimoniale, veniva redatto il prospetto di conciliazione. Esso esponeva la trasformazione, rispettivamente in ricavi e costi d’esercizio, delle entrate correnti accertate e delle spese correnti impegnate.</w:t>
      </w:r>
    </w:p>
    <w:p w14:paraId="1C3A9455" w14:textId="77777777" w:rsidR="009518AF" w:rsidRPr="00515872" w:rsidRDefault="009518AF" w:rsidP="009518AF">
      <w:pPr>
        <w:spacing w:line="360" w:lineRule="auto"/>
        <w:jc w:val="both"/>
        <w:rPr>
          <w:rFonts w:cs="Tahoma"/>
          <w:lang w:eastAsia="it-IT"/>
        </w:rPr>
      </w:pPr>
      <w:r w:rsidRPr="00515872">
        <w:rPr>
          <w:rFonts w:cs="Tahoma"/>
          <w:lang w:eastAsia="it-IT"/>
        </w:rPr>
        <w:t>La funzione del prospetto era, pertanto, quella di guida per la rettifica ed integrazione degli elementi finanziari al fine di condurli a valori economici.</w:t>
      </w:r>
    </w:p>
    <w:p w14:paraId="0E593149" w14:textId="77777777" w:rsidR="009518AF" w:rsidRPr="00515872" w:rsidRDefault="009518AF" w:rsidP="009518AF">
      <w:pPr>
        <w:spacing w:line="360" w:lineRule="auto"/>
        <w:jc w:val="both"/>
        <w:rPr>
          <w:rFonts w:cs="Tahoma"/>
          <w:lang w:eastAsia="it-IT"/>
        </w:rPr>
      </w:pPr>
      <w:r w:rsidRPr="00515872">
        <w:rPr>
          <w:rFonts w:cs="Tahoma"/>
          <w:lang w:eastAsia="it-IT"/>
        </w:rPr>
        <w:t>In sede di rendiconto</w:t>
      </w:r>
      <w:r w:rsidR="007C3BAE" w:rsidRPr="00515872">
        <w:rPr>
          <w:rFonts w:cs="Tahoma"/>
          <w:lang w:eastAsia="it-IT"/>
        </w:rPr>
        <w:t>,</w:t>
      </w:r>
      <w:r w:rsidRPr="00515872">
        <w:rPr>
          <w:rFonts w:cs="Tahoma"/>
          <w:lang w:eastAsia="it-IT"/>
        </w:rPr>
        <w:t xml:space="preserve"> l’organo di revisione doveva accertare anche l’esatta rilevazione del risultato economico e la corretta predisposizione del prospetto di conciliazione.</w:t>
      </w:r>
    </w:p>
    <w:p w14:paraId="0EC47E09" w14:textId="77777777" w:rsidR="009518AF" w:rsidRPr="00515872" w:rsidRDefault="009518AF" w:rsidP="009518AF">
      <w:pPr>
        <w:spacing w:line="360" w:lineRule="auto"/>
        <w:jc w:val="both"/>
        <w:rPr>
          <w:rFonts w:cs="Tahoma"/>
          <w:lang w:eastAsia="it-IT"/>
        </w:rPr>
      </w:pPr>
      <w:r w:rsidRPr="00515872">
        <w:rPr>
          <w:rFonts w:cs="Tahoma"/>
          <w:lang w:eastAsia="it-IT"/>
        </w:rPr>
        <w:t>Nel prospetto di conciliazione venivano rilevati altri elementi, non tutti desumibili dalla contabilità finanziar</w:t>
      </w:r>
      <w:r w:rsidR="00720363" w:rsidRPr="00515872">
        <w:rPr>
          <w:rFonts w:cs="Tahoma"/>
          <w:lang w:eastAsia="it-IT"/>
        </w:rPr>
        <w:t>ia, che, come detto, si limita</w:t>
      </w:r>
      <w:r w:rsidRPr="00515872">
        <w:rPr>
          <w:rFonts w:cs="Tahoma"/>
          <w:lang w:eastAsia="it-IT"/>
        </w:rPr>
        <w:t xml:space="preserve"> alla rilevazione delle entrate e delle spese, per i quali si rendeva necessaria la tenuta di rilevazioni extracontabili.</w:t>
      </w:r>
    </w:p>
    <w:p w14:paraId="2323E1CF" w14:textId="77777777" w:rsidR="009518AF" w:rsidRPr="00515872" w:rsidRDefault="009518AF" w:rsidP="009518AF">
      <w:pPr>
        <w:spacing w:line="360" w:lineRule="auto"/>
        <w:jc w:val="both"/>
        <w:rPr>
          <w:rFonts w:cs="Tahoma"/>
          <w:lang w:eastAsia="it-IT"/>
        </w:rPr>
      </w:pPr>
      <w:r w:rsidRPr="00515872">
        <w:rPr>
          <w:rFonts w:cs="Tahoma"/>
          <w:lang w:eastAsia="it-IT"/>
        </w:rPr>
        <w:t>Il risultato finale economico era raggiunto partendo dai dati finanziari della gestione corrente del conto del bilancio con l’aggiunta di elementi economici.</w:t>
      </w:r>
    </w:p>
    <w:p w14:paraId="329A8111" w14:textId="77777777" w:rsidR="009518AF" w:rsidRPr="00515872" w:rsidRDefault="009518AF" w:rsidP="009518AF">
      <w:pPr>
        <w:spacing w:line="360" w:lineRule="auto"/>
        <w:jc w:val="both"/>
        <w:rPr>
          <w:rFonts w:cs="Tahoma"/>
          <w:lang w:eastAsia="it-IT"/>
        </w:rPr>
      </w:pPr>
      <w:r w:rsidRPr="00515872">
        <w:rPr>
          <w:rFonts w:cs="Tahoma"/>
          <w:lang w:eastAsia="it-IT"/>
        </w:rPr>
        <w:t>Il prospetto indicava i collegamenti e le differenze fra i risultati finanziari e quelli economico-patrimoniali permettendo di rilevare non solo l’entità degli accertamenti e degli impegni finanziari, ma anche la consistenza economica delle risorse (ricavi e proventi) ed il loro utilizzo misurandone il consumo (costi e oneri).</w:t>
      </w:r>
    </w:p>
    <w:p w14:paraId="0E074EE1" w14:textId="68AF4FAF" w:rsidR="004D32BA" w:rsidRPr="00515872" w:rsidRDefault="009518AF" w:rsidP="00EA779E">
      <w:pPr>
        <w:spacing w:line="360" w:lineRule="auto"/>
        <w:jc w:val="both"/>
        <w:rPr>
          <w:rFonts w:cs="Tahoma"/>
          <w:lang w:eastAsia="it-IT"/>
        </w:rPr>
      </w:pPr>
      <w:r w:rsidRPr="00515872">
        <w:rPr>
          <w:rFonts w:cs="Tahoma"/>
          <w:lang w:eastAsia="it-IT"/>
        </w:rPr>
        <w:t xml:space="preserve">La riforma del sistema contabile, con l’adozione del piano dei conti integrato, </w:t>
      </w:r>
      <w:r w:rsidRPr="00515872">
        <w:rPr>
          <w:rFonts w:cs="Tahoma"/>
          <w:b/>
          <w:lang w:eastAsia="it-IT"/>
        </w:rPr>
        <w:t>supera la necessità dell’adozione del prospetto di conciliazione</w:t>
      </w:r>
      <w:r w:rsidRPr="00515872">
        <w:rPr>
          <w:rFonts w:cs="Tahoma"/>
          <w:lang w:eastAsia="it-IT"/>
        </w:rPr>
        <w:t xml:space="preserve"> e delle relative rilevazioni extracontabili, consentendo la rilevazione dei fatti di gestione contemporaneamente sotto i profili finanziario ed economico-patrimoniale. </w:t>
      </w:r>
      <w:r w:rsidRPr="00515872">
        <w:rPr>
          <w:rFonts w:eastAsia="Times New Roman" w:cs="Tahoma"/>
          <w:bCs/>
          <w:szCs w:val="20"/>
          <w:lang w:eastAsia="it-IT"/>
        </w:rPr>
        <w:t xml:space="preserve">Occorre rammentare, tuttavia, che gli enti che si </w:t>
      </w:r>
      <w:r w:rsidR="00DD1747" w:rsidRPr="00515872">
        <w:rPr>
          <w:rFonts w:eastAsia="Times New Roman" w:cs="Tahoma"/>
          <w:bCs/>
          <w:szCs w:val="20"/>
          <w:lang w:eastAsia="it-IT"/>
        </w:rPr>
        <w:t>erano</w:t>
      </w:r>
      <w:r w:rsidRPr="00515872">
        <w:rPr>
          <w:rFonts w:eastAsia="Times New Roman" w:cs="Tahoma"/>
          <w:bCs/>
          <w:szCs w:val="20"/>
          <w:lang w:eastAsia="it-IT"/>
        </w:rPr>
        <w:t xml:space="preserve"> avvalsi della facoltà di proroga dell’adozione della contabilità economico–patrimoniale, erano tenuti, fino alla sua adozione, a redigere lo stato patrimoniale e il conto economico mediante il prospetto di conciliazione.</w:t>
      </w:r>
      <w:bookmarkStart w:id="129" w:name="_Toc521317092"/>
    </w:p>
    <w:p w14:paraId="4969BBE5" w14:textId="77777777" w:rsidR="009518AF" w:rsidRPr="00515872" w:rsidRDefault="009518AF" w:rsidP="009518AF">
      <w:pPr>
        <w:pStyle w:val="Sottoparagrafo"/>
        <w:rPr>
          <w:rFonts w:cs="Tahoma"/>
          <w:lang w:eastAsia="it-IT"/>
        </w:rPr>
      </w:pPr>
      <w:bookmarkStart w:id="130" w:name="_Toc95912271"/>
      <w:r w:rsidRPr="00515872">
        <w:rPr>
          <w:rFonts w:cs="Tahoma"/>
          <w:lang w:eastAsia="it-IT"/>
        </w:rPr>
        <w:lastRenderedPageBreak/>
        <w:t>4.5.4 Stato patrimoniale</w:t>
      </w:r>
      <w:bookmarkEnd w:id="129"/>
      <w:bookmarkEnd w:id="130"/>
    </w:p>
    <w:p w14:paraId="785A15D5"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Lo stato patrimoniale (conto del patrimonio, nel vecchio ordinamento) rappresenta i risultati della gestione patrimoniale e la consistenza del patrimonio al termine dell’esercizio ed è predisposto nel rispetto del principio contabile generale n. 17 e dei principi applicati alla contabilità economico-patrimoniale di cui all’allegato n. 1 e n. 4/3 al </w:t>
      </w:r>
      <w:proofErr w:type="spellStart"/>
      <w:r w:rsidRPr="00515872">
        <w:rPr>
          <w:rFonts w:cs="Tahoma"/>
          <w:color w:val="000000"/>
          <w:szCs w:val="20"/>
        </w:rPr>
        <w:t>D.Lgs.</w:t>
      </w:r>
      <w:proofErr w:type="spellEnd"/>
      <w:r w:rsidRPr="00515872">
        <w:rPr>
          <w:rFonts w:cs="Tahoma"/>
          <w:color w:val="000000"/>
          <w:szCs w:val="20"/>
        </w:rPr>
        <w:t xml:space="preserve"> n. 23 giugno 2011, n. 118 e successive modificazioni.</w:t>
      </w:r>
    </w:p>
    <w:p w14:paraId="33047DD2" w14:textId="77777777" w:rsidR="009518AF" w:rsidRPr="00515872" w:rsidRDefault="009518AF" w:rsidP="009518AF">
      <w:pPr>
        <w:autoSpaceDE w:val="0"/>
        <w:autoSpaceDN w:val="0"/>
        <w:adjustRightInd w:val="0"/>
        <w:spacing w:line="360" w:lineRule="auto"/>
        <w:jc w:val="both"/>
        <w:rPr>
          <w:rFonts w:cs="Tahoma"/>
          <w:color w:val="000000"/>
          <w:szCs w:val="20"/>
        </w:rPr>
      </w:pPr>
      <w:r w:rsidRPr="00515872">
        <w:rPr>
          <w:rFonts w:cs="Tahoma"/>
          <w:color w:val="000000"/>
          <w:szCs w:val="20"/>
        </w:rPr>
        <w:t xml:space="preserve">Il patrimonio dell’ente locale è l’insieme dei beni, quali immobili, mobili, attrezzature, denaro, crediti, che vengono utilizzati, consumati e trasformati, per l’erogazione dei servizi e per il soddisfacimento dei bisogni della collettività; tuttavia, nel considerare il patrimonio si deve tener conto anche degli impegni assunti verso terzi, quali debiti, mutui, prestiti obbligazionari, poiché lo stesso patrimonio può risultarne gravato. </w:t>
      </w:r>
    </w:p>
    <w:p w14:paraId="4E5BBB6D" w14:textId="750A30C5" w:rsidR="009518AF" w:rsidRPr="00515872" w:rsidRDefault="009518AF" w:rsidP="009518AF">
      <w:pPr>
        <w:spacing w:line="360" w:lineRule="auto"/>
        <w:jc w:val="both"/>
        <w:rPr>
          <w:rFonts w:cs="Tahoma"/>
          <w:lang w:eastAsia="it-IT"/>
        </w:rPr>
      </w:pPr>
      <w:r w:rsidRPr="00515872">
        <w:rPr>
          <w:rFonts w:cs="Tahoma"/>
          <w:lang w:eastAsia="it-IT"/>
        </w:rPr>
        <w:t xml:space="preserve">Lo stato patrimoniale mette a confronto due consistenze patrimoniali: quella all'inizio dell'esercizio e quella alla fine, evidenziando le variazioni intervenute </w:t>
      </w:r>
      <w:r w:rsidRPr="00515872">
        <w:rPr>
          <w:rFonts w:cs="Tahoma"/>
          <w:b/>
          <w:lang w:eastAsia="it-IT"/>
        </w:rPr>
        <w:t xml:space="preserve">distinguendo tra quelle originate da cause finanziarie e quelle per cause </w:t>
      </w:r>
      <w:r w:rsidR="00F61E9D" w:rsidRPr="00515872">
        <w:rPr>
          <w:rFonts w:cs="Tahoma"/>
          <w:b/>
          <w:lang w:eastAsia="it-IT"/>
        </w:rPr>
        <w:t>extra finanziarie</w:t>
      </w:r>
      <w:r w:rsidRPr="00515872">
        <w:rPr>
          <w:rFonts w:cs="Tahoma"/>
          <w:lang w:eastAsia="it-IT"/>
        </w:rPr>
        <w:t>.</w:t>
      </w:r>
    </w:p>
    <w:p w14:paraId="30323225" w14:textId="77777777" w:rsidR="009518AF" w:rsidRPr="00515872" w:rsidRDefault="009518AF" w:rsidP="009518AF">
      <w:pPr>
        <w:spacing w:line="360" w:lineRule="auto"/>
        <w:jc w:val="both"/>
        <w:rPr>
          <w:rFonts w:cs="Tahoma"/>
          <w:lang w:eastAsia="it-IT"/>
        </w:rPr>
      </w:pPr>
      <w:r w:rsidRPr="00515872">
        <w:rPr>
          <w:rFonts w:cs="Tahoma"/>
          <w:lang w:eastAsia="it-IT"/>
        </w:rPr>
        <w:t>La consistenza del patrimonio all'inizio dell'esercizio deve, ovviamente, corrispondere alla consistenza finale dell'esercizio precedente, come risulta deliberata dal consiglio in sede di approvazione del rendiconto.</w:t>
      </w:r>
    </w:p>
    <w:p w14:paraId="10BA7E5A" w14:textId="77777777" w:rsidR="009518AF" w:rsidRPr="00515872" w:rsidRDefault="009518AF" w:rsidP="009518AF">
      <w:pPr>
        <w:spacing w:line="360" w:lineRule="auto"/>
        <w:jc w:val="both"/>
        <w:rPr>
          <w:rFonts w:cs="Tahoma"/>
          <w:lang w:eastAsia="it-IT"/>
        </w:rPr>
      </w:pPr>
      <w:r w:rsidRPr="00515872">
        <w:rPr>
          <w:rFonts w:cs="Tahoma"/>
          <w:lang w:eastAsia="it-IT"/>
        </w:rPr>
        <w:t>La valutazione degli elementi patrimoniali attivi e passivi è effettuata nella prospettiva della continuità dell’attività dell’ente.</w:t>
      </w:r>
    </w:p>
    <w:p w14:paraId="5D8DEC0E" w14:textId="77777777" w:rsidR="00E46AF5" w:rsidRPr="00515872" w:rsidRDefault="00E46AF5" w:rsidP="009518AF">
      <w:pPr>
        <w:spacing w:line="360" w:lineRule="auto"/>
        <w:jc w:val="both"/>
        <w:rPr>
          <w:rFonts w:cs="Tahoma"/>
          <w:szCs w:val="20"/>
          <w:lang w:eastAsia="it-IT"/>
        </w:rPr>
      </w:pPr>
      <w:r w:rsidRPr="00515872">
        <w:rPr>
          <w:rFonts w:cs="Tahoma"/>
          <w:color w:val="000000"/>
          <w:szCs w:val="20"/>
        </w:rPr>
        <w:t>Gli enti locali valutano i beni del demanio e del patrimonio, comprens</w:t>
      </w:r>
      <w:r w:rsidR="00521D65" w:rsidRPr="00515872">
        <w:rPr>
          <w:rFonts w:cs="Tahoma"/>
          <w:color w:val="000000"/>
          <w:szCs w:val="20"/>
        </w:rPr>
        <w:t xml:space="preserve">ivi delle relative manutenzioni </w:t>
      </w:r>
      <w:r w:rsidRPr="00515872">
        <w:rPr>
          <w:rFonts w:cs="Tahoma"/>
          <w:color w:val="000000"/>
          <w:szCs w:val="20"/>
        </w:rPr>
        <w:t>straordinarie, secondo le modalità previste dal principio applicato della contabilità economico-patrimoniale.</w:t>
      </w:r>
    </w:p>
    <w:p w14:paraId="28A5B91E" w14:textId="77777777" w:rsidR="009518AF" w:rsidRPr="00515872" w:rsidRDefault="009518AF" w:rsidP="009518AF">
      <w:pPr>
        <w:spacing w:line="360" w:lineRule="auto"/>
        <w:jc w:val="both"/>
        <w:rPr>
          <w:rFonts w:cs="Tahoma"/>
          <w:szCs w:val="20"/>
          <w:lang w:eastAsia="it-IT"/>
        </w:rPr>
      </w:pPr>
      <w:r w:rsidRPr="00515872">
        <w:rPr>
          <w:rFonts w:cs="Tahoma"/>
          <w:lang w:eastAsia="it-IT"/>
        </w:rPr>
        <w:t>Ciascun valore incluso nel conto del patrimonio deve essere supportato da elementi finanziari (patrimonio finanziario) e da scritture inventariali (patrimonio permanente). Per questa ragione, l'inventario deve essere costantemente aggiornato, costituendo documento di dettaglio delle attività e passività dell'ente.</w:t>
      </w:r>
      <w:r w:rsidR="00C96FF9" w:rsidRPr="00515872">
        <w:rPr>
          <w:rFonts w:cs="Tahoma"/>
          <w:lang w:eastAsia="it-IT"/>
        </w:rPr>
        <w:t xml:space="preserve"> </w:t>
      </w:r>
      <w:r w:rsidRPr="00515872">
        <w:rPr>
          <w:rFonts w:cs="Tahoma"/>
          <w:color w:val="000000"/>
          <w:szCs w:val="20"/>
        </w:rPr>
        <w:t>Il procedimento d’inventariazi</w:t>
      </w:r>
      <w:r w:rsidR="00521D65" w:rsidRPr="00515872">
        <w:rPr>
          <w:rFonts w:cs="Tahoma"/>
          <w:color w:val="000000"/>
          <w:szCs w:val="20"/>
        </w:rPr>
        <w:t xml:space="preserve">one è un’operazione complessa e </w:t>
      </w:r>
      <w:r w:rsidRPr="00515872">
        <w:rPr>
          <w:rFonts w:cs="Tahoma"/>
          <w:color w:val="000000"/>
          <w:szCs w:val="20"/>
        </w:rPr>
        <w:t>indispensabile per la determinazione del valore dei componenti del patrimonio o di una sua parte o di un suo aggregato. L’inventariazione mette in evidenza valori determinati in via extracontabile. La predisposizione dell’inventario iniziale e il successivo aggiornamento sono operazioni imprescindibili per l’ordinata tenuta della contabilità economico-patrimoniale. L’aggiornamento a</w:t>
      </w:r>
      <w:r w:rsidR="00521D65" w:rsidRPr="00515872">
        <w:rPr>
          <w:rFonts w:cs="Tahoma"/>
          <w:color w:val="000000"/>
          <w:szCs w:val="20"/>
        </w:rPr>
        <w:t>nnuale de</w:t>
      </w:r>
      <w:r w:rsidR="007C3BAE" w:rsidRPr="00515872">
        <w:rPr>
          <w:rFonts w:cs="Tahoma"/>
          <w:color w:val="000000"/>
          <w:szCs w:val="20"/>
        </w:rPr>
        <w:t>ll’</w:t>
      </w:r>
      <w:r w:rsidR="00521D65" w:rsidRPr="00515872">
        <w:rPr>
          <w:rFonts w:cs="Tahoma"/>
          <w:color w:val="000000"/>
          <w:szCs w:val="20"/>
        </w:rPr>
        <w:t>inventari</w:t>
      </w:r>
      <w:r w:rsidR="007C3BAE" w:rsidRPr="00515872">
        <w:rPr>
          <w:rFonts w:cs="Tahoma"/>
          <w:color w:val="000000"/>
          <w:szCs w:val="20"/>
        </w:rPr>
        <w:t>o</w:t>
      </w:r>
      <w:r w:rsidR="00521D65" w:rsidRPr="00515872">
        <w:rPr>
          <w:rFonts w:cs="Tahoma"/>
          <w:color w:val="000000"/>
          <w:szCs w:val="20"/>
        </w:rPr>
        <w:t xml:space="preserve"> è imposto</w:t>
      </w:r>
      <w:r w:rsidRPr="00515872">
        <w:rPr>
          <w:rFonts w:cs="Tahoma"/>
          <w:color w:val="000000"/>
          <w:szCs w:val="20"/>
        </w:rPr>
        <w:t xml:space="preserve"> dall’art. 230, c. 7 del TUEL. Il mancato costante aggiornamento rende </w:t>
      </w:r>
      <w:r w:rsidRPr="00515872">
        <w:rPr>
          <w:rFonts w:cs="Tahoma"/>
          <w:b/>
          <w:color w:val="000000"/>
          <w:szCs w:val="20"/>
        </w:rPr>
        <w:t>lo stato patrimoniale e il conto economico non attendibili</w:t>
      </w:r>
      <w:r w:rsidRPr="00515872">
        <w:rPr>
          <w:rFonts w:cs="Tahoma"/>
          <w:color w:val="000000"/>
          <w:szCs w:val="20"/>
        </w:rPr>
        <w:t xml:space="preserve"> e ne altera la portata informativa.</w:t>
      </w:r>
    </w:p>
    <w:p w14:paraId="78BB7A2E" w14:textId="77777777" w:rsidR="009518AF" w:rsidRPr="00515872" w:rsidRDefault="009518AF" w:rsidP="009518AF">
      <w:pPr>
        <w:spacing w:line="360" w:lineRule="auto"/>
        <w:jc w:val="both"/>
        <w:rPr>
          <w:rFonts w:cs="Tahoma"/>
          <w:b/>
          <w:lang w:eastAsia="it-IT"/>
        </w:rPr>
      </w:pPr>
      <w:r w:rsidRPr="00515872">
        <w:rPr>
          <w:rFonts w:cs="Tahoma"/>
          <w:lang w:eastAsia="it-IT"/>
        </w:rPr>
        <w:t xml:space="preserve">Il revisore deve </w:t>
      </w:r>
      <w:r w:rsidRPr="00515872">
        <w:rPr>
          <w:rFonts w:cs="Tahoma"/>
          <w:b/>
          <w:lang w:eastAsia="it-IT"/>
        </w:rPr>
        <w:t>verificare, oltre all’aggiornamento dell’inventario nel rispetto degli obblighi di legge, la corrispondenza tra questo e i dati esposti nello stato patrimoniale.</w:t>
      </w:r>
    </w:p>
    <w:p w14:paraId="4B4B1F16" w14:textId="77777777" w:rsidR="004D32BA" w:rsidRPr="00515872" w:rsidRDefault="004D32BA" w:rsidP="007C3BAE">
      <w:pPr>
        <w:spacing w:line="360" w:lineRule="auto"/>
        <w:jc w:val="center"/>
        <w:rPr>
          <w:rFonts w:cs="Tahoma"/>
          <w:b/>
        </w:rPr>
      </w:pPr>
    </w:p>
    <w:p w14:paraId="1BF469E2" w14:textId="77777777" w:rsidR="004D32BA" w:rsidRPr="00515872" w:rsidRDefault="004D32BA" w:rsidP="007C3BAE">
      <w:pPr>
        <w:spacing w:line="360" w:lineRule="auto"/>
        <w:jc w:val="center"/>
        <w:rPr>
          <w:rFonts w:cs="Tahoma"/>
          <w:b/>
        </w:rPr>
      </w:pPr>
    </w:p>
    <w:p w14:paraId="0A8EC33E" w14:textId="77777777" w:rsidR="007C3BAE" w:rsidRPr="00515872" w:rsidRDefault="007C3BAE" w:rsidP="004D32BA">
      <w:pPr>
        <w:spacing w:line="360" w:lineRule="auto"/>
        <w:jc w:val="center"/>
        <w:rPr>
          <w:rFonts w:cs="Tahoma"/>
          <w:b/>
        </w:rPr>
      </w:pPr>
      <w:r w:rsidRPr="00515872">
        <w:rPr>
          <w:rFonts w:cs="Tahoma"/>
          <w:b/>
        </w:rPr>
        <w:lastRenderedPageBreak/>
        <w:t xml:space="preserve">Stato Patrimoniale - Allegato 10 al </w:t>
      </w:r>
      <w:proofErr w:type="spellStart"/>
      <w:r w:rsidRPr="00515872">
        <w:rPr>
          <w:rFonts w:cs="Tahoma"/>
          <w:b/>
        </w:rPr>
        <w:t>D.Lgs</w:t>
      </w:r>
      <w:proofErr w:type="spellEnd"/>
      <w:r w:rsidRPr="00515872">
        <w:rPr>
          <w:rFonts w:cs="Tahoma"/>
          <w:b/>
        </w:rPr>
        <w:t xml:space="preserve"> 118/2011</w:t>
      </w:r>
    </w:p>
    <w:p w14:paraId="21E4E795" w14:textId="77777777" w:rsidR="00277513" w:rsidRPr="00515872" w:rsidRDefault="00C96FF9" w:rsidP="00B56716">
      <w:pPr>
        <w:rPr>
          <w:rFonts w:cs="Tahoma"/>
          <w:highlight w:val="yellow"/>
          <w:lang w:eastAsia="it-IT"/>
        </w:rPr>
      </w:pPr>
      <w:bookmarkStart w:id="131" w:name="_Toc94908498"/>
      <w:bookmarkStart w:id="132" w:name="_Toc521317093"/>
      <w:r w:rsidRPr="00515872">
        <w:rPr>
          <w:rFonts w:cs="Tahoma"/>
          <w:noProof/>
          <w:lang w:eastAsia="it-IT"/>
        </w:rPr>
        <w:drawing>
          <wp:inline distT="0" distB="0" distL="0" distR="0" wp14:anchorId="7B5CB953" wp14:editId="2F3E98D8">
            <wp:extent cx="6486368" cy="77438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17" t="17119" r="31366" b="11819"/>
                    <a:stretch/>
                  </pic:blipFill>
                  <pic:spPr bwMode="auto">
                    <a:xfrm>
                      <a:off x="0" y="0"/>
                      <a:ext cx="6499038" cy="7758951"/>
                    </a:xfrm>
                    <a:prstGeom prst="rect">
                      <a:avLst/>
                    </a:prstGeom>
                    <a:ln>
                      <a:noFill/>
                    </a:ln>
                    <a:extLst>
                      <a:ext uri="{53640926-AAD7-44D8-BBD7-CCE9431645EC}">
                        <a14:shadowObscured xmlns:a14="http://schemas.microsoft.com/office/drawing/2010/main"/>
                      </a:ext>
                    </a:extLst>
                  </pic:spPr>
                </pic:pic>
              </a:graphicData>
            </a:graphic>
          </wp:inline>
        </w:drawing>
      </w:r>
      <w:bookmarkEnd w:id="131"/>
    </w:p>
    <w:p w14:paraId="65951299" w14:textId="77777777" w:rsidR="00C96FF9" w:rsidRPr="00515872" w:rsidRDefault="00C96FF9" w:rsidP="00B56716">
      <w:pPr>
        <w:rPr>
          <w:rFonts w:cs="Tahoma"/>
          <w:highlight w:val="yellow"/>
          <w:lang w:eastAsia="it-IT"/>
        </w:rPr>
      </w:pPr>
      <w:bookmarkStart w:id="133" w:name="_Toc94908499"/>
      <w:r w:rsidRPr="00515872">
        <w:rPr>
          <w:rFonts w:cs="Tahoma"/>
          <w:noProof/>
          <w:lang w:eastAsia="it-IT"/>
        </w:rPr>
        <w:lastRenderedPageBreak/>
        <w:drawing>
          <wp:inline distT="0" distB="0" distL="0" distR="0" wp14:anchorId="0F7A5B55" wp14:editId="640E7C95">
            <wp:extent cx="6534773" cy="70866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772" t="18935" r="31210" b="17776"/>
                    <a:stretch/>
                  </pic:blipFill>
                  <pic:spPr bwMode="auto">
                    <a:xfrm>
                      <a:off x="0" y="0"/>
                      <a:ext cx="6552404" cy="7105719"/>
                    </a:xfrm>
                    <a:prstGeom prst="rect">
                      <a:avLst/>
                    </a:prstGeom>
                    <a:ln>
                      <a:noFill/>
                    </a:ln>
                    <a:extLst>
                      <a:ext uri="{53640926-AAD7-44D8-BBD7-CCE9431645EC}">
                        <a14:shadowObscured xmlns:a14="http://schemas.microsoft.com/office/drawing/2010/main"/>
                      </a:ext>
                    </a:extLst>
                  </pic:spPr>
                </pic:pic>
              </a:graphicData>
            </a:graphic>
          </wp:inline>
        </w:drawing>
      </w:r>
      <w:bookmarkEnd w:id="133"/>
    </w:p>
    <w:p w14:paraId="22F75EC3" w14:textId="77777777" w:rsidR="00C96FF9" w:rsidRPr="00515872" w:rsidRDefault="00C96FF9" w:rsidP="00B56716">
      <w:pPr>
        <w:rPr>
          <w:rFonts w:cs="Tahoma"/>
          <w:highlight w:val="yellow"/>
          <w:lang w:eastAsia="it-IT"/>
        </w:rPr>
      </w:pPr>
      <w:bookmarkStart w:id="134" w:name="_Toc94908500"/>
      <w:r w:rsidRPr="00515872">
        <w:rPr>
          <w:rFonts w:cs="Tahoma"/>
          <w:noProof/>
          <w:lang w:eastAsia="it-IT"/>
        </w:rPr>
        <w:lastRenderedPageBreak/>
        <w:drawing>
          <wp:inline distT="0" distB="0" distL="0" distR="0" wp14:anchorId="1ACE3C85" wp14:editId="74F46C5E">
            <wp:extent cx="6023610" cy="92786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130" t="16082" r="35879" b="12589"/>
                    <a:stretch/>
                  </pic:blipFill>
                  <pic:spPr bwMode="auto">
                    <a:xfrm>
                      <a:off x="0" y="0"/>
                      <a:ext cx="6047815" cy="9315905"/>
                    </a:xfrm>
                    <a:prstGeom prst="rect">
                      <a:avLst/>
                    </a:prstGeom>
                    <a:ln>
                      <a:noFill/>
                    </a:ln>
                    <a:extLst>
                      <a:ext uri="{53640926-AAD7-44D8-BBD7-CCE9431645EC}">
                        <a14:shadowObscured xmlns:a14="http://schemas.microsoft.com/office/drawing/2010/main"/>
                      </a:ext>
                    </a:extLst>
                  </pic:spPr>
                </pic:pic>
              </a:graphicData>
            </a:graphic>
          </wp:inline>
        </w:drawing>
      </w:r>
      <w:bookmarkEnd w:id="134"/>
    </w:p>
    <w:p w14:paraId="06FB16E4" w14:textId="77777777" w:rsidR="009518AF" w:rsidRPr="00515872" w:rsidRDefault="009518AF" w:rsidP="009518AF">
      <w:pPr>
        <w:pStyle w:val="Sottoparagrafo"/>
        <w:rPr>
          <w:rFonts w:cs="Tahoma"/>
          <w:lang w:eastAsia="it-IT"/>
        </w:rPr>
      </w:pPr>
      <w:bookmarkStart w:id="135" w:name="_Toc95912272"/>
      <w:r w:rsidRPr="00515872">
        <w:rPr>
          <w:rFonts w:cs="Tahoma"/>
          <w:lang w:eastAsia="it-IT"/>
        </w:rPr>
        <w:lastRenderedPageBreak/>
        <w:t>4.5.5 Conto economico</w:t>
      </w:r>
      <w:bookmarkEnd w:id="132"/>
      <w:bookmarkEnd w:id="135"/>
    </w:p>
    <w:p w14:paraId="69A9D735" w14:textId="77777777" w:rsidR="009518AF" w:rsidRPr="00515872" w:rsidRDefault="00521D65" w:rsidP="009518AF">
      <w:pPr>
        <w:spacing w:line="360" w:lineRule="auto"/>
        <w:jc w:val="both"/>
        <w:rPr>
          <w:rFonts w:cs="Tahoma"/>
          <w:lang w:eastAsia="it-IT"/>
        </w:rPr>
      </w:pPr>
      <w:r w:rsidRPr="00515872">
        <w:rPr>
          <w:rFonts w:cs="Tahoma"/>
          <w:lang w:eastAsia="it-IT"/>
        </w:rPr>
        <w:t>La redazione del conto economico è disciplinata</w:t>
      </w:r>
      <w:r w:rsidR="009518AF" w:rsidRPr="00515872">
        <w:rPr>
          <w:rFonts w:cs="Tahoma"/>
          <w:lang w:eastAsia="it-IT"/>
        </w:rPr>
        <w:t xml:space="preserve"> dall'art. 229 del TUEL. </w:t>
      </w:r>
      <w:r w:rsidRPr="00515872">
        <w:rPr>
          <w:rFonts w:cs="Tahoma"/>
          <w:lang w:eastAsia="it-IT"/>
        </w:rPr>
        <w:t>Il conto economico è</w:t>
      </w:r>
      <w:r w:rsidR="009518AF" w:rsidRPr="00515872">
        <w:rPr>
          <w:rFonts w:cs="Tahoma"/>
          <w:lang w:eastAsia="it-IT"/>
        </w:rPr>
        <w:t xml:space="preserve"> redatto a struttura scalare, in cui le voci sono classificate secondo la loro natura, con rilevazione di risultati parziali e dei risultati economici finali, secondo lo schema di cui all’allegato </w:t>
      </w:r>
      <w:r w:rsidR="003E49A8" w:rsidRPr="00515872">
        <w:rPr>
          <w:rFonts w:cs="Tahoma"/>
          <w:lang w:eastAsia="it-IT"/>
        </w:rPr>
        <w:t xml:space="preserve">n. </w:t>
      </w:r>
      <w:r w:rsidR="009518AF" w:rsidRPr="00515872">
        <w:rPr>
          <w:rFonts w:cs="Tahoma"/>
          <w:lang w:eastAsia="it-IT"/>
        </w:rPr>
        <w:t xml:space="preserve">10 al </w:t>
      </w:r>
      <w:proofErr w:type="spellStart"/>
      <w:r w:rsidR="009518AF" w:rsidRPr="00515872">
        <w:rPr>
          <w:rFonts w:cs="Tahoma"/>
          <w:lang w:eastAsia="it-IT"/>
        </w:rPr>
        <w:t>D.Lgs.</w:t>
      </w:r>
      <w:proofErr w:type="spellEnd"/>
      <w:r w:rsidR="009518AF" w:rsidRPr="00515872">
        <w:rPr>
          <w:rFonts w:cs="Tahoma"/>
          <w:lang w:eastAsia="it-IT"/>
        </w:rPr>
        <w:t xml:space="preserve"> 118/2011. </w:t>
      </w:r>
    </w:p>
    <w:p w14:paraId="33B1F6CE" w14:textId="77777777" w:rsidR="009518AF" w:rsidRPr="00515872" w:rsidRDefault="009518AF" w:rsidP="009518AF">
      <w:pPr>
        <w:spacing w:after="0" w:line="360" w:lineRule="auto"/>
        <w:jc w:val="both"/>
        <w:rPr>
          <w:rFonts w:cs="Tahoma"/>
          <w:szCs w:val="20"/>
          <w:lang w:eastAsia="it-IT"/>
        </w:rPr>
      </w:pPr>
      <w:r w:rsidRPr="00515872">
        <w:rPr>
          <w:rFonts w:cs="Tahoma"/>
          <w:lang w:eastAsia="it-IT"/>
        </w:rPr>
        <w:t xml:space="preserve">Esso evidenzia le componenti positive e negative dell'attività dell'ente, secondo criteri di competenza economica e comprende: </w:t>
      </w:r>
    </w:p>
    <w:p w14:paraId="4D55FB8D" w14:textId="77777777" w:rsidR="00F937DA" w:rsidRPr="00515872" w:rsidRDefault="00F937DA" w:rsidP="00D65838">
      <w:pPr>
        <w:pStyle w:val="Paragrafoelenco"/>
        <w:numPr>
          <w:ilvl w:val="0"/>
          <w:numId w:val="61"/>
        </w:numPr>
        <w:spacing w:line="360" w:lineRule="auto"/>
        <w:jc w:val="both"/>
        <w:rPr>
          <w:rFonts w:cs="Tahoma"/>
          <w:szCs w:val="20"/>
          <w:lang w:eastAsia="it-IT"/>
        </w:rPr>
      </w:pPr>
      <w:r w:rsidRPr="00515872">
        <w:rPr>
          <w:rFonts w:cs="Tahoma"/>
          <w:color w:val="000000"/>
          <w:szCs w:val="20"/>
        </w:rPr>
        <w:t>proventi ed oneri (attività istituzionale), costi e ricavi (at</w:t>
      </w:r>
      <w:r w:rsidR="003E49A8" w:rsidRPr="00515872">
        <w:rPr>
          <w:rFonts w:cs="Tahoma"/>
          <w:color w:val="000000"/>
          <w:szCs w:val="20"/>
        </w:rPr>
        <w:t xml:space="preserve">tività commerciale) misurati da </w:t>
      </w:r>
      <w:r w:rsidRPr="00515872">
        <w:rPr>
          <w:rFonts w:cs="Tahoma"/>
          <w:color w:val="000000"/>
          <w:szCs w:val="20"/>
        </w:rPr>
        <w:t>accertamenti non destinati a riserva ed impegni non destinati a spes</w:t>
      </w:r>
      <w:r w:rsidR="003E49A8" w:rsidRPr="00515872">
        <w:rPr>
          <w:rFonts w:cs="Tahoma"/>
          <w:color w:val="000000"/>
          <w:szCs w:val="20"/>
        </w:rPr>
        <w:t xml:space="preserve">e di investimento del bilancio, </w:t>
      </w:r>
      <w:r w:rsidRPr="00515872">
        <w:rPr>
          <w:rFonts w:cs="Tahoma"/>
          <w:color w:val="000000"/>
          <w:szCs w:val="20"/>
        </w:rPr>
        <w:t>rettificati al fine di far partecipare al risultato della gestione solo i valori di competenza economica</w:t>
      </w:r>
      <w:r w:rsidRPr="00515872">
        <w:rPr>
          <w:rFonts w:cs="Tahoma"/>
          <w:szCs w:val="20"/>
        </w:rPr>
        <w:t xml:space="preserve"> </w:t>
      </w:r>
      <w:r w:rsidRPr="00515872">
        <w:rPr>
          <w:rFonts w:cs="Tahoma"/>
          <w:color w:val="000000"/>
          <w:szCs w:val="20"/>
        </w:rPr>
        <w:t>dell’esercizio;</w:t>
      </w:r>
      <w:r w:rsidRPr="00515872">
        <w:rPr>
          <w:rFonts w:cs="Tahoma"/>
          <w:szCs w:val="20"/>
        </w:rPr>
        <w:t xml:space="preserve"> </w:t>
      </w:r>
    </w:p>
    <w:p w14:paraId="76A02B55" w14:textId="77777777" w:rsidR="009518AF" w:rsidRPr="00515872" w:rsidRDefault="009518AF" w:rsidP="00D65838">
      <w:pPr>
        <w:pStyle w:val="Paragrafoelenco"/>
        <w:numPr>
          <w:ilvl w:val="0"/>
          <w:numId w:val="61"/>
        </w:numPr>
        <w:spacing w:line="360" w:lineRule="auto"/>
        <w:jc w:val="both"/>
        <w:rPr>
          <w:rFonts w:cs="Tahoma"/>
          <w:lang w:eastAsia="it-IT"/>
        </w:rPr>
      </w:pPr>
      <w:r w:rsidRPr="00515872">
        <w:rPr>
          <w:rFonts w:cs="Tahoma"/>
          <w:szCs w:val="20"/>
          <w:lang w:eastAsia="it-IT"/>
        </w:rPr>
        <w:t>insussistenze e sopravvenienze conseguenti alla gestione dei</w:t>
      </w:r>
      <w:r w:rsidRPr="00515872">
        <w:rPr>
          <w:rFonts w:cs="Tahoma"/>
          <w:lang w:eastAsia="it-IT"/>
        </w:rPr>
        <w:t xml:space="preserve"> residui (minori e maggiori riaccertamenti di residui);</w:t>
      </w:r>
    </w:p>
    <w:p w14:paraId="79AB5748" w14:textId="77777777" w:rsidR="009518AF" w:rsidRPr="00515872" w:rsidRDefault="009518AF" w:rsidP="00D65838">
      <w:pPr>
        <w:pStyle w:val="Paragrafoelenco"/>
        <w:numPr>
          <w:ilvl w:val="0"/>
          <w:numId w:val="61"/>
        </w:numPr>
        <w:spacing w:line="360" w:lineRule="auto"/>
        <w:jc w:val="both"/>
        <w:rPr>
          <w:rFonts w:cs="Tahoma"/>
          <w:lang w:eastAsia="it-IT"/>
        </w:rPr>
      </w:pPr>
      <w:r w:rsidRPr="00515872">
        <w:rPr>
          <w:rFonts w:cs="Tahoma"/>
          <w:lang w:eastAsia="it-IT"/>
        </w:rPr>
        <w:t>elementi economici non rilevati nel conto del bilancio.</w:t>
      </w:r>
    </w:p>
    <w:p w14:paraId="3D406BA7" w14:textId="77777777" w:rsidR="00E1476B" w:rsidRPr="00515872" w:rsidRDefault="00F937DA" w:rsidP="00E1476B">
      <w:pPr>
        <w:autoSpaceDE w:val="0"/>
        <w:autoSpaceDN w:val="0"/>
        <w:adjustRightInd w:val="0"/>
        <w:spacing w:line="360" w:lineRule="auto"/>
        <w:jc w:val="both"/>
        <w:rPr>
          <w:rFonts w:cs="Tahoma"/>
          <w:color w:val="000000"/>
          <w:szCs w:val="20"/>
        </w:rPr>
      </w:pPr>
      <w:r w:rsidRPr="00515872">
        <w:rPr>
          <w:rFonts w:cs="Tahoma"/>
          <w:color w:val="000000"/>
          <w:szCs w:val="20"/>
        </w:rPr>
        <w:t>Nell’allegato n. 4</w:t>
      </w:r>
      <w:r w:rsidR="009518AF" w:rsidRPr="00515872">
        <w:rPr>
          <w:rFonts w:cs="Tahoma"/>
          <w:color w:val="000000"/>
          <w:szCs w:val="20"/>
        </w:rPr>
        <w:t xml:space="preserve">/3 al </w:t>
      </w:r>
      <w:proofErr w:type="spellStart"/>
      <w:r w:rsidR="009518AF" w:rsidRPr="00515872">
        <w:rPr>
          <w:rFonts w:cs="Tahoma"/>
          <w:color w:val="000000"/>
          <w:szCs w:val="20"/>
        </w:rPr>
        <w:t>D.Lgs.</w:t>
      </w:r>
      <w:proofErr w:type="spellEnd"/>
      <w:r w:rsidR="009518AF" w:rsidRPr="00515872">
        <w:rPr>
          <w:rFonts w:cs="Tahoma"/>
          <w:color w:val="000000"/>
          <w:szCs w:val="20"/>
        </w:rPr>
        <w:t xml:space="preserve"> 10 agosto 2014, n. 126 viene sancito che “</w:t>
      </w:r>
      <w:r w:rsidR="009518AF" w:rsidRPr="00515872">
        <w:rPr>
          <w:rFonts w:cs="Tahoma"/>
          <w:i/>
          <w:iCs/>
          <w:color w:val="000000"/>
          <w:szCs w:val="20"/>
        </w:rPr>
        <w:t xml:space="preserve">Il principio della competenza economica consente di imputare a ciascun esercizio costi/oneri e ricavi/proventi”. </w:t>
      </w:r>
      <w:r w:rsidR="009518AF" w:rsidRPr="00515872">
        <w:rPr>
          <w:rFonts w:cs="Tahoma"/>
          <w:color w:val="000000"/>
          <w:szCs w:val="20"/>
        </w:rPr>
        <w:t>La competenza economica dei costi e dei ricavi direttamente conseguenti a operazioni di scambio sul mercato (acquisizione e vendita) è riconducibile al principio contabile n. 11 dell’Organismo Italiano di Contabilità (OIC)</w:t>
      </w:r>
      <w:r w:rsidR="00E1476B" w:rsidRPr="00515872">
        <w:rPr>
          <w:rFonts w:cs="Tahoma"/>
          <w:color w:val="000000"/>
          <w:szCs w:val="20"/>
        </w:rPr>
        <w:t>.</w:t>
      </w:r>
    </w:p>
    <w:p w14:paraId="6B6EC14E" w14:textId="77777777" w:rsidR="00E1476B" w:rsidRPr="00515872" w:rsidRDefault="004E74B0" w:rsidP="003E49A8">
      <w:pPr>
        <w:autoSpaceDE w:val="0"/>
        <w:autoSpaceDN w:val="0"/>
        <w:adjustRightInd w:val="0"/>
        <w:spacing w:after="0" w:line="360" w:lineRule="auto"/>
        <w:jc w:val="both"/>
        <w:rPr>
          <w:rFonts w:cs="Tahoma"/>
          <w:szCs w:val="20"/>
        </w:rPr>
      </w:pPr>
      <w:r w:rsidRPr="00515872">
        <w:rPr>
          <w:rFonts w:cs="Tahoma"/>
          <w:szCs w:val="20"/>
        </w:rPr>
        <w:t xml:space="preserve">I </w:t>
      </w:r>
      <w:r w:rsidRPr="00515872">
        <w:rPr>
          <w:rFonts w:cs="Tahoma"/>
          <w:b/>
          <w:szCs w:val="20"/>
        </w:rPr>
        <w:t>proventi</w:t>
      </w:r>
      <w:r w:rsidRPr="00515872">
        <w:rPr>
          <w:rFonts w:cs="Tahoma"/>
          <w:szCs w:val="20"/>
        </w:rPr>
        <w:t xml:space="preserve"> correlati all’attività istituzionale sono di competenza economica dell’esercizio in cui si verificano le seguenti due condizioni:</w:t>
      </w:r>
    </w:p>
    <w:p w14:paraId="12FAACCC" w14:textId="77777777" w:rsidR="00E1476B" w:rsidRPr="00515872" w:rsidRDefault="00E1476B" w:rsidP="00D65838">
      <w:pPr>
        <w:pStyle w:val="Paragrafoelenco"/>
        <w:numPr>
          <w:ilvl w:val="0"/>
          <w:numId w:val="61"/>
        </w:numPr>
        <w:spacing w:line="360" w:lineRule="auto"/>
        <w:jc w:val="both"/>
        <w:rPr>
          <w:rFonts w:cs="Tahoma"/>
          <w:szCs w:val="20"/>
          <w:lang w:eastAsia="it-IT"/>
        </w:rPr>
      </w:pPr>
      <w:r w:rsidRPr="00515872">
        <w:rPr>
          <w:rFonts w:cs="Tahoma"/>
          <w:szCs w:val="20"/>
        </w:rPr>
        <w:t>è stato completato il processo attraverso il quale sono stati prodotti i beni o erogati i servizi dall’amministrazione pubblica;</w:t>
      </w:r>
    </w:p>
    <w:p w14:paraId="35C3D179" w14:textId="77777777" w:rsidR="00E1476B" w:rsidRPr="00515872" w:rsidRDefault="00E1476B" w:rsidP="00D65838">
      <w:pPr>
        <w:pStyle w:val="Paragrafoelenco"/>
        <w:numPr>
          <w:ilvl w:val="0"/>
          <w:numId w:val="61"/>
        </w:numPr>
        <w:spacing w:line="360" w:lineRule="auto"/>
        <w:jc w:val="both"/>
        <w:rPr>
          <w:rFonts w:cs="Tahoma"/>
          <w:szCs w:val="20"/>
          <w:lang w:eastAsia="it-IT"/>
        </w:rPr>
      </w:pPr>
      <w:r w:rsidRPr="00515872">
        <w:rPr>
          <w:rFonts w:cs="Tahoma"/>
          <w:szCs w:val="20"/>
        </w:rPr>
        <w:t xml:space="preserve">l’erogazione del bene o del servizio è già avvenuta, cioè si è concretizzato il passaggio sostanziale (e non </w:t>
      </w:r>
      <w:r w:rsidR="003E49A8" w:rsidRPr="00515872">
        <w:rPr>
          <w:rFonts w:cs="Tahoma"/>
          <w:szCs w:val="20"/>
        </w:rPr>
        <w:t xml:space="preserve">solo </w:t>
      </w:r>
      <w:r w:rsidRPr="00515872">
        <w:rPr>
          <w:rFonts w:cs="Tahoma"/>
          <w:szCs w:val="20"/>
        </w:rPr>
        <w:t>formale) del titolo di proprietà del bene oppure i servizi sono stati resi.</w:t>
      </w:r>
    </w:p>
    <w:p w14:paraId="3447CDBF" w14:textId="77777777" w:rsidR="004E74B0" w:rsidRPr="00515872" w:rsidRDefault="004E74B0" w:rsidP="000D7154">
      <w:pPr>
        <w:spacing w:after="0" w:line="360" w:lineRule="auto"/>
        <w:jc w:val="both"/>
        <w:rPr>
          <w:rFonts w:cs="Tahoma"/>
          <w:szCs w:val="20"/>
        </w:rPr>
      </w:pPr>
      <w:r w:rsidRPr="00515872">
        <w:rPr>
          <w:rFonts w:cs="Tahoma"/>
          <w:szCs w:val="20"/>
        </w:rPr>
        <w:t xml:space="preserve">Gli </w:t>
      </w:r>
      <w:r w:rsidRPr="00515872">
        <w:rPr>
          <w:rFonts w:cs="Tahoma"/>
          <w:b/>
          <w:szCs w:val="20"/>
        </w:rPr>
        <w:t>oneri</w:t>
      </w:r>
      <w:r w:rsidRPr="00515872">
        <w:rPr>
          <w:rFonts w:cs="Tahoma"/>
          <w:szCs w:val="20"/>
        </w:rPr>
        <w:t xml:space="preserve"> derivanti dall’attività istituzionale sono correlati con i proventi e i ricavi dell’esercizio o con le altre risorse rese disponibili per il regolare svolgime</w:t>
      </w:r>
      <w:r w:rsidR="000D7154" w:rsidRPr="00515872">
        <w:rPr>
          <w:rFonts w:cs="Tahoma"/>
          <w:szCs w:val="20"/>
        </w:rPr>
        <w:t>nto delle attività</w:t>
      </w:r>
      <w:r w:rsidRPr="00515872">
        <w:rPr>
          <w:rFonts w:cs="Tahoma"/>
          <w:szCs w:val="20"/>
        </w:rPr>
        <w:t>. Per gli oneri derivanti dall’attività istituzionale, il principio della competen</w:t>
      </w:r>
      <w:r w:rsidR="00E1476B" w:rsidRPr="00515872">
        <w:rPr>
          <w:rFonts w:cs="Tahoma"/>
          <w:szCs w:val="20"/>
        </w:rPr>
        <w:t>za economica si realizza:</w:t>
      </w:r>
    </w:p>
    <w:p w14:paraId="41ACFA78" w14:textId="77777777" w:rsidR="00E1476B" w:rsidRPr="00515872" w:rsidRDefault="00E1476B" w:rsidP="00D65838">
      <w:pPr>
        <w:pStyle w:val="Paragrafoelenco"/>
        <w:numPr>
          <w:ilvl w:val="0"/>
          <w:numId w:val="61"/>
        </w:numPr>
        <w:spacing w:line="360" w:lineRule="auto"/>
        <w:jc w:val="both"/>
        <w:rPr>
          <w:rFonts w:cs="Tahoma"/>
          <w:szCs w:val="20"/>
          <w:lang w:eastAsia="it-IT"/>
        </w:rPr>
      </w:pPr>
      <w:r w:rsidRPr="00515872">
        <w:rPr>
          <w:rFonts w:cs="Tahoma"/>
          <w:szCs w:val="20"/>
        </w:rPr>
        <w:t>per associazione di causa ad effetto tra costi ed erogazione di servizi o cessione di beni realizzati. L’associazione può essere effettuata analiticamente e direttamente o sulla base di assunzioni del flusso dei costi;</w:t>
      </w:r>
    </w:p>
    <w:p w14:paraId="24119E85" w14:textId="77777777" w:rsidR="00E1476B" w:rsidRPr="00515872" w:rsidRDefault="00E1476B" w:rsidP="00D65838">
      <w:pPr>
        <w:pStyle w:val="Paragrafoelenco"/>
        <w:numPr>
          <w:ilvl w:val="0"/>
          <w:numId w:val="61"/>
        </w:numPr>
        <w:spacing w:line="360" w:lineRule="auto"/>
        <w:jc w:val="both"/>
        <w:rPr>
          <w:rFonts w:cs="Tahoma"/>
          <w:szCs w:val="20"/>
          <w:lang w:eastAsia="it-IT"/>
        </w:rPr>
      </w:pPr>
      <w:r w:rsidRPr="00515872">
        <w:rPr>
          <w:rFonts w:cs="Tahoma"/>
          <w:szCs w:val="20"/>
        </w:rPr>
        <w:t>per ripartizione dell’utilità o funzionalità pluriennale su base razionale e sistematica, in mancanza di una più diretta associazione</w:t>
      </w:r>
      <w:r w:rsidR="000D7154" w:rsidRPr="00515872">
        <w:rPr>
          <w:rFonts w:cs="Tahoma"/>
          <w:szCs w:val="20"/>
        </w:rPr>
        <w:t xml:space="preserve"> (t</w:t>
      </w:r>
      <w:r w:rsidRPr="00515872">
        <w:rPr>
          <w:rFonts w:cs="Tahoma"/>
          <w:szCs w:val="20"/>
        </w:rPr>
        <w:t>ipico esempio è rappresentato dal processo di ammortamento</w:t>
      </w:r>
      <w:r w:rsidR="000D7154" w:rsidRPr="00515872">
        <w:rPr>
          <w:rFonts w:cs="Tahoma"/>
          <w:szCs w:val="20"/>
        </w:rPr>
        <w:t>)</w:t>
      </w:r>
      <w:r w:rsidRPr="00515872">
        <w:rPr>
          <w:rFonts w:cs="Tahoma"/>
          <w:szCs w:val="20"/>
        </w:rPr>
        <w:t>;</w:t>
      </w:r>
    </w:p>
    <w:p w14:paraId="52FB0E63" w14:textId="77777777" w:rsidR="00E1476B" w:rsidRPr="00515872" w:rsidRDefault="00E1476B" w:rsidP="00D65838">
      <w:pPr>
        <w:pStyle w:val="Paragrafoelenco"/>
        <w:numPr>
          <w:ilvl w:val="0"/>
          <w:numId w:val="61"/>
        </w:numPr>
        <w:spacing w:line="360" w:lineRule="auto"/>
        <w:jc w:val="both"/>
        <w:rPr>
          <w:rFonts w:cs="Tahoma"/>
          <w:szCs w:val="20"/>
          <w:lang w:eastAsia="it-IT"/>
        </w:rPr>
      </w:pPr>
      <w:r w:rsidRPr="00515872">
        <w:rPr>
          <w:rFonts w:cs="Tahoma"/>
          <w:szCs w:val="20"/>
        </w:rPr>
        <w:t>per imputazione diretta di costi al conto economico dell’esercizio perché associati a funzioni istituzionali o al tempo, ovvero perché sia venuta meno l’utilità o la funzionalità del costo.</w:t>
      </w:r>
    </w:p>
    <w:p w14:paraId="0463BD0B" w14:textId="77777777" w:rsidR="0084281C" w:rsidRPr="00515872" w:rsidRDefault="004E74B0" w:rsidP="009518AF">
      <w:pPr>
        <w:autoSpaceDE w:val="0"/>
        <w:autoSpaceDN w:val="0"/>
        <w:adjustRightInd w:val="0"/>
        <w:spacing w:line="360" w:lineRule="auto"/>
        <w:jc w:val="both"/>
        <w:rPr>
          <w:rFonts w:cs="Tahoma"/>
          <w:color w:val="000000"/>
          <w:szCs w:val="20"/>
        </w:rPr>
      </w:pPr>
      <w:r w:rsidRPr="00515872">
        <w:rPr>
          <w:rFonts w:cs="Tahoma"/>
          <w:color w:val="000000"/>
          <w:szCs w:val="20"/>
        </w:rPr>
        <w:lastRenderedPageBreak/>
        <w:t>La schema di conto economico indicato nel modello Allegato n. 10 D.lgs. n. 118/2011 è simile a quello</w:t>
      </w:r>
      <w:r w:rsidR="0084281C" w:rsidRPr="00515872">
        <w:rPr>
          <w:rFonts w:cs="Tahoma"/>
          <w:color w:val="000000"/>
          <w:szCs w:val="20"/>
        </w:rPr>
        <w:t xml:space="preserve"> </w:t>
      </w:r>
      <w:r w:rsidRPr="00515872">
        <w:rPr>
          <w:rFonts w:cs="Tahoma"/>
          <w:color w:val="000000"/>
          <w:szCs w:val="20"/>
        </w:rPr>
        <w:t>previsto dall’art. 2425 del Codice civile per le imprese, anche se mantiene l’articolazione dei proventi</w:t>
      </w:r>
      <w:r w:rsidR="0084281C" w:rsidRPr="00515872">
        <w:rPr>
          <w:rFonts w:cs="Tahoma"/>
          <w:color w:val="000000"/>
          <w:szCs w:val="20"/>
        </w:rPr>
        <w:t xml:space="preserve"> </w:t>
      </w:r>
      <w:r w:rsidRPr="00515872">
        <w:rPr>
          <w:rFonts w:cs="Tahoma"/>
          <w:color w:val="000000"/>
          <w:szCs w:val="20"/>
        </w:rPr>
        <w:t>e oneri straordinari e non ha recepito alcune modifiche introdotte da</w:t>
      </w:r>
      <w:r w:rsidR="0084281C" w:rsidRPr="00515872">
        <w:rPr>
          <w:rFonts w:cs="Tahoma"/>
          <w:color w:val="000000"/>
          <w:szCs w:val="20"/>
        </w:rPr>
        <w:t>l D.lgs. n. 139/2015</w:t>
      </w:r>
      <w:r w:rsidRPr="00515872">
        <w:rPr>
          <w:rFonts w:cs="Tahoma"/>
          <w:color w:val="000000"/>
          <w:szCs w:val="20"/>
        </w:rPr>
        <w:t>.</w:t>
      </w:r>
    </w:p>
    <w:p w14:paraId="0157F0A5" w14:textId="77777777" w:rsidR="0084281C" w:rsidRPr="00515872" w:rsidRDefault="004E74B0" w:rsidP="000D7154">
      <w:pPr>
        <w:autoSpaceDE w:val="0"/>
        <w:autoSpaceDN w:val="0"/>
        <w:adjustRightInd w:val="0"/>
        <w:spacing w:after="0" w:line="360" w:lineRule="auto"/>
        <w:jc w:val="both"/>
        <w:rPr>
          <w:rFonts w:cs="Tahoma"/>
          <w:color w:val="000000"/>
          <w:szCs w:val="20"/>
        </w:rPr>
      </w:pPr>
      <w:r w:rsidRPr="00515872">
        <w:rPr>
          <w:rFonts w:cs="Tahoma"/>
          <w:color w:val="000000"/>
          <w:szCs w:val="20"/>
        </w:rPr>
        <w:t>Il modello di conto economico in forma scalare esprime per differenza risultati parziali significativi</w:t>
      </w:r>
      <w:r w:rsidR="0084281C" w:rsidRPr="00515872">
        <w:rPr>
          <w:rFonts w:cs="Tahoma"/>
          <w:color w:val="000000"/>
          <w:szCs w:val="20"/>
        </w:rPr>
        <w:t xml:space="preserve"> </w:t>
      </w:r>
      <w:r w:rsidRPr="00515872">
        <w:rPr>
          <w:rFonts w:cs="Tahoma"/>
          <w:color w:val="000000"/>
          <w:szCs w:val="20"/>
        </w:rPr>
        <w:t>quali:</w:t>
      </w:r>
    </w:p>
    <w:p w14:paraId="25B78C69" w14:textId="77777777" w:rsidR="0084281C" w:rsidRPr="00515872" w:rsidRDefault="0084281C" w:rsidP="00D65838">
      <w:pPr>
        <w:pStyle w:val="Paragrafoelenco"/>
        <w:numPr>
          <w:ilvl w:val="0"/>
          <w:numId w:val="61"/>
        </w:numPr>
        <w:spacing w:line="360" w:lineRule="auto"/>
        <w:jc w:val="both"/>
        <w:rPr>
          <w:rFonts w:cs="Tahoma"/>
          <w:szCs w:val="20"/>
          <w:lang w:eastAsia="it-IT"/>
        </w:rPr>
      </w:pPr>
      <w:r w:rsidRPr="00515872">
        <w:rPr>
          <w:rFonts w:cs="Tahoma"/>
          <w:b/>
          <w:color w:val="000000"/>
          <w:szCs w:val="20"/>
        </w:rPr>
        <w:t>risultato della gestione</w:t>
      </w:r>
      <w:r w:rsidR="009C73B9" w:rsidRPr="00515872">
        <w:rPr>
          <w:rFonts w:cs="Tahoma"/>
          <w:color w:val="000000"/>
          <w:szCs w:val="20"/>
        </w:rPr>
        <w:t>:</w:t>
      </w:r>
      <w:r w:rsidRPr="00515872">
        <w:rPr>
          <w:rFonts w:cs="Tahoma"/>
          <w:color w:val="000000"/>
          <w:szCs w:val="20"/>
        </w:rPr>
        <w:t xml:space="preserve"> costituito dalla differenza tra i ricavi e proventi ed i costi e oneri della gestione, che permette di rilevare il risultato dell’attività tipica degli enti;</w:t>
      </w:r>
    </w:p>
    <w:p w14:paraId="0D9260E8" w14:textId="77777777" w:rsidR="0084281C" w:rsidRPr="00515872" w:rsidRDefault="009C73B9" w:rsidP="00D65838">
      <w:pPr>
        <w:pStyle w:val="Paragrafoelenco"/>
        <w:numPr>
          <w:ilvl w:val="0"/>
          <w:numId w:val="61"/>
        </w:numPr>
        <w:spacing w:line="360" w:lineRule="auto"/>
        <w:jc w:val="both"/>
        <w:rPr>
          <w:rFonts w:cs="Tahoma"/>
          <w:szCs w:val="20"/>
          <w:lang w:eastAsia="it-IT"/>
        </w:rPr>
      </w:pPr>
      <w:r w:rsidRPr="00515872">
        <w:rPr>
          <w:rFonts w:cs="Tahoma"/>
          <w:b/>
          <w:color w:val="000000"/>
          <w:szCs w:val="20"/>
        </w:rPr>
        <w:t>risultato della gestione finanziaria</w:t>
      </w:r>
      <w:r w:rsidRPr="00515872">
        <w:rPr>
          <w:rFonts w:cs="Tahoma"/>
          <w:color w:val="000000"/>
          <w:szCs w:val="20"/>
        </w:rPr>
        <w:t>:</w:t>
      </w:r>
      <w:r w:rsidR="0084281C" w:rsidRPr="00515872">
        <w:rPr>
          <w:rFonts w:cs="Tahoma"/>
          <w:color w:val="000000"/>
          <w:szCs w:val="20"/>
        </w:rPr>
        <w:t xml:space="preserve"> costituito dalla differenza tra proventi ed oneri finanziari </w:t>
      </w:r>
      <w:r w:rsidRPr="00515872">
        <w:rPr>
          <w:rFonts w:cs="Tahoma"/>
          <w:color w:val="000000"/>
          <w:szCs w:val="20"/>
        </w:rPr>
        <w:t>che</w:t>
      </w:r>
      <w:r w:rsidR="0084281C" w:rsidRPr="00515872">
        <w:rPr>
          <w:rFonts w:cs="Tahoma"/>
          <w:color w:val="000000"/>
          <w:szCs w:val="20"/>
        </w:rPr>
        <w:t xml:space="preserve"> evidenzia in generale un saldo negativo che esprime i riflessi dell’indebitamento a breve ed a lungo termine sulla gestione economica dell’esercizio;</w:t>
      </w:r>
    </w:p>
    <w:p w14:paraId="439C4B35" w14:textId="77777777" w:rsidR="0084281C" w:rsidRPr="00515872" w:rsidRDefault="0084281C" w:rsidP="00D65838">
      <w:pPr>
        <w:pStyle w:val="Paragrafoelenco"/>
        <w:numPr>
          <w:ilvl w:val="0"/>
          <w:numId w:val="61"/>
        </w:numPr>
        <w:spacing w:line="360" w:lineRule="auto"/>
        <w:jc w:val="both"/>
        <w:rPr>
          <w:rFonts w:cs="Tahoma"/>
          <w:szCs w:val="20"/>
          <w:lang w:eastAsia="it-IT"/>
        </w:rPr>
      </w:pPr>
      <w:r w:rsidRPr="00515872">
        <w:rPr>
          <w:rFonts w:cs="Tahoma"/>
          <w:b/>
          <w:color w:val="000000"/>
          <w:szCs w:val="20"/>
        </w:rPr>
        <w:t>rettifiche di valore delle attività finanziarie</w:t>
      </w:r>
      <w:r w:rsidR="009C73B9" w:rsidRPr="00515872">
        <w:rPr>
          <w:rFonts w:cs="Tahoma"/>
          <w:color w:val="000000"/>
          <w:szCs w:val="20"/>
        </w:rPr>
        <w:t>:</w:t>
      </w:r>
      <w:r w:rsidRPr="00515872">
        <w:rPr>
          <w:rFonts w:cs="Tahoma"/>
          <w:color w:val="000000"/>
          <w:szCs w:val="20"/>
        </w:rPr>
        <w:t xml:space="preserve"> costituit</w:t>
      </w:r>
      <w:r w:rsidR="009C73B9" w:rsidRPr="00515872">
        <w:rPr>
          <w:rFonts w:cs="Tahoma"/>
          <w:color w:val="000000"/>
          <w:szCs w:val="20"/>
        </w:rPr>
        <w:t>e</w:t>
      </w:r>
      <w:r w:rsidRPr="00515872">
        <w:rPr>
          <w:rFonts w:cs="Tahoma"/>
          <w:color w:val="000000"/>
          <w:szCs w:val="20"/>
        </w:rPr>
        <w:t xml:space="preserve"> dalla svalutazione dei crediti da finanziamento e </w:t>
      </w:r>
      <w:r w:rsidR="009C73B9" w:rsidRPr="00515872">
        <w:rPr>
          <w:rFonts w:cs="Tahoma"/>
          <w:color w:val="000000"/>
          <w:szCs w:val="20"/>
        </w:rPr>
        <w:t>dal</w:t>
      </w:r>
      <w:r w:rsidRPr="00515872">
        <w:rPr>
          <w:rFonts w:cs="Tahoma"/>
          <w:color w:val="000000"/>
          <w:szCs w:val="20"/>
        </w:rPr>
        <w:t>le variazioni di valore dei titoli finanziari;</w:t>
      </w:r>
    </w:p>
    <w:p w14:paraId="5DFE04CF" w14:textId="639B01B1" w:rsidR="0084281C" w:rsidRPr="00515872" w:rsidRDefault="009C73B9" w:rsidP="00D65838">
      <w:pPr>
        <w:pStyle w:val="Paragrafoelenco"/>
        <w:numPr>
          <w:ilvl w:val="0"/>
          <w:numId w:val="61"/>
        </w:numPr>
        <w:spacing w:line="360" w:lineRule="auto"/>
        <w:jc w:val="both"/>
        <w:rPr>
          <w:rFonts w:cs="Tahoma"/>
          <w:szCs w:val="20"/>
          <w:lang w:eastAsia="it-IT"/>
        </w:rPr>
      </w:pPr>
      <w:r w:rsidRPr="00515872">
        <w:rPr>
          <w:rFonts w:cs="Tahoma"/>
          <w:b/>
          <w:color w:val="000000"/>
          <w:szCs w:val="20"/>
        </w:rPr>
        <w:t xml:space="preserve">risultato </w:t>
      </w:r>
      <w:r w:rsidR="0084281C" w:rsidRPr="00515872">
        <w:rPr>
          <w:rFonts w:cs="Tahoma"/>
          <w:b/>
          <w:color w:val="000000"/>
          <w:szCs w:val="20"/>
        </w:rPr>
        <w:t>della gestione straordinaria</w:t>
      </w:r>
      <w:r w:rsidRPr="00515872">
        <w:rPr>
          <w:rFonts w:cs="Tahoma"/>
          <w:color w:val="000000"/>
          <w:szCs w:val="20"/>
        </w:rPr>
        <w:t>:</w:t>
      </w:r>
      <w:r w:rsidR="0084281C" w:rsidRPr="00515872">
        <w:rPr>
          <w:rFonts w:cs="Tahoma"/>
          <w:color w:val="000000"/>
          <w:szCs w:val="20"/>
        </w:rPr>
        <w:t xml:space="preserve"> costituito dalla differenza fra proventi ed oneri di natura straordinaria</w:t>
      </w:r>
      <w:r w:rsidRPr="00515872">
        <w:rPr>
          <w:rFonts w:cs="Tahoma"/>
          <w:color w:val="000000"/>
          <w:szCs w:val="20"/>
        </w:rPr>
        <w:t xml:space="preserve"> </w:t>
      </w:r>
      <w:r w:rsidR="0084281C" w:rsidRPr="00515872">
        <w:rPr>
          <w:rFonts w:cs="Tahoma"/>
          <w:color w:val="000000"/>
          <w:szCs w:val="20"/>
        </w:rPr>
        <w:t>o non prevedibile o derivante da rettifica di valutazioni precedenti, nonché delle plusvalenze o</w:t>
      </w:r>
      <w:r w:rsidRPr="00515872">
        <w:rPr>
          <w:rFonts w:cs="Tahoma"/>
          <w:color w:val="000000"/>
          <w:szCs w:val="20"/>
        </w:rPr>
        <w:t xml:space="preserve"> </w:t>
      </w:r>
      <w:r w:rsidR="0084281C" w:rsidRPr="00515872">
        <w:rPr>
          <w:rFonts w:cs="Tahoma"/>
          <w:color w:val="000000"/>
          <w:szCs w:val="20"/>
        </w:rPr>
        <w:t xml:space="preserve">minusvalenze derivanti dalla cessione o dismissione d’immobilizzazioni iscritte </w:t>
      </w:r>
      <w:r w:rsidR="00F61E9D" w:rsidRPr="00515872">
        <w:rPr>
          <w:rFonts w:cs="Tahoma"/>
          <w:color w:val="000000"/>
          <w:szCs w:val="20"/>
        </w:rPr>
        <w:t>nello</w:t>
      </w:r>
      <w:r w:rsidR="0084281C" w:rsidRPr="00515872">
        <w:rPr>
          <w:rFonts w:cs="Tahoma"/>
          <w:color w:val="000000"/>
          <w:szCs w:val="20"/>
        </w:rPr>
        <w:t xml:space="preserve"> stato patrimoniale o le acquisizioni gratuite.</w:t>
      </w:r>
    </w:p>
    <w:p w14:paraId="750B658B" w14:textId="77777777" w:rsidR="004D32BA" w:rsidRPr="00515872" w:rsidRDefault="004D32BA" w:rsidP="004D32BA">
      <w:pPr>
        <w:spacing w:after="0" w:line="360" w:lineRule="auto"/>
        <w:jc w:val="both"/>
        <w:rPr>
          <w:rFonts w:cs="Tahoma"/>
          <w:lang w:eastAsia="it-IT"/>
        </w:rPr>
      </w:pPr>
      <w:r w:rsidRPr="00515872">
        <w:rPr>
          <w:rFonts w:cs="Tahoma"/>
          <w:lang w:eastAsia="it-IT"/>
        </w:rPr>
        <w:t>Il conto economico poteva, nel precedente ordinamento, essere ottenuto in 2 modi:</w:t>
      </w:r>
    </w:p>
    <w:p w14:paraId="5143785C" w14:textId="77777777" w:rsidR="004D32BA" w:rsidRPr="00515872" w:rsidRDefault="004D32BA" w:rsidP="004D32BA">
      <w:pPr>
        <w:pStyle w:val="Paragrafoelenco"/>
        <w:numPr>
          <w:ilvl w:val="0"/>
          <w:numId w:val="62"/>
        </w:numPr>
        <w:spacing w:line="360" w:lineRule="auto"/>
        <w:jc w:val="both"/>
        <w:rPr>
          <w:rFonts w:cs="Tahoma"/>
          <w:lang w:eastAsia="it-IT"/>
        </w:rPr>
      </w:pPr>
      <w:r w:rsidRPr="00515872">
        <w:rPr>
          <w:rFonts w:cs="Tahoma"/>
          <w:lang w:eastAsia="it-IT"/>
        </w:rPr>
        <w:t xml:space="preserve">mediante il </w:t>
      </w:r>
      <w:r w:rsidRPr="00515872">
        <w:rPr>
          <w:rFonts w:cs="Tahoma"/>
          <w:bCs/>
          <w:lang w:eastAsia="it-IT"/>
        </w:rPr>
        <w:t>prospetto di riconciliazione,</w:t>
      </w:r>
      <w:r w:rsidRPr="00515872">
        <w:rPr>
          <w:rFonts w:cs="Tahoma"/>
          <w:lang w:eastAsia="it-IT"/>
        </w:rPr>
        <w:t xml:space="preserve"> con annotazioni aventi impatto sull’aspetto economico della gestione rilevate solo a fine esercizio;</w:t>
      </w:r>
    </w:p>
    <w:p w14:paraId="246D4CCC" w14:textId="77777777" w:rsidR="004D32BA" w:rsidRPr="00515872" w:rsidRDefault="004D32BA" w:rsidP="004D32BA">
      <w:pPr>
        <w:pStyle w:val="Paragrafoelenco"/>
        <w:numPr>
          <w:ilvl w:val="0"/>
          <w:numId w:val="62"/>
        </w:numPr>
        <w:spacing w:line="360" w:lineRule="auto"/>
        <w:jc w:val="both"/>
        <w:rPr>
          <w:rFonts w:cs="Tahoma"/>
          <w:lang w:eastAsia="it-IT"/>
        </w:rPr>
      </w:pPr>
      <w:r w:rsidRPr="00515872">
        <w:rPr>
          <w:rFonts w:cs="Tahoma"/>
          <w:lang w:eastAsia="it-IT"/>
        </w:rPr>
        <w:t xml:space="preserve">con un </w:t>
      </w:r>
      <w:r w:rsidRPr="00515872">
        <w:rPr>
          <w:rFonts w:cs="Tahoma"/>
          <w:bCs/>
          <w:lang w:eastAsia="it-IT"/>
        </w:rPr>
        <w:t>sistema di contabilità generale</w:t>
      </w:r>
      <w:r w:rsidRPr="00515872">
        <w:rPr>
          <w:rFonts w:cs="Tahoma"/>
          <w:lang w:eastAsia="it-IT"/>
        </w:rPr>
        <w:t xml:space="preserve"> applicato al metodo della partita doppia che consentisse di rilevare le operazioni dal duplice punto di vista finanziario ed economico, in itinere.</w:t>
      </w:r>
    </w:p>
    <w:p w14:paraId="1027ECC1" w14:textId="77777777" w:rsidR="004D32BA" w:rsidRPr="00515872" w:rsidRDefault="004D32BA" w:rsidP="004D32BA">
      <w:pPr>
        <w:spacing w:line="360" w:lineRule="auto"/>
        <w:jc w:val="both"/>
        <w:rPr>
          <w:rFonts w:cs="Tahoma"/>
          <w:lang w:eastAsia="it-IT"/>
        </w:rPr>
      </w:pPr>
      <w:r w:rsidRPr="00515872">
        <w:rPr>
          <w:rFonts w:cs="Tahoma"/>
          <w:lang w:eastAsia="it-IT"/>
        </w:rPr>
        <w:t>Con il perfezionamento del processo di armonizzazione contabile, il conto economico e lo stato patrimoniale scaturiscono dal piano dei conti integrato.</w:t>
      </w:r>
    </w:p>
    <w:p w14:paraId="66B255E4" w14:textId="77777777" w:rsidR="004D32BA" w:rsidRPr="00515872" w:rsidRDefault="004D32BA" w:rsidP="004D32BA">
      <w:pPr>
        <w:spacing w:line="360" w:lineRule="auto"/>
        <w:jc w:val="both"/>
        <w:rPr>
          <w:rFonts w:cs="Tahoma"/>
          <w:szCs w:val="20"/>
          <w:lang w:eastAsia="it-IT"/>
        </w:rPr>
      </w:pPr>
    </w:p>
    <w:p w14:paraId="62960B5B" w14:textId="77777777" w:rsidR="004D32BA" w:rsidRPr="00515872" w:rsidRDefault="004D32BA" w:rsidP="004D32BA">
      <w:pPr>
        <w:spacing w:line="360" w:lineRule="auto"/>
        <w:jc w:val="both"/>
        <w:rPr>
          <w:rFonts w:cs="Tahoma"/>
          <w:szCs w:val="20"/>
          <w:lang w:eastAsia="it-IT"/>
        </w:rPr>
      </w:pPr>
    </w:p>
    <w:p w14:paraId="313E81BE" w14:textId="77777777" w:rsidR="004D32BA" w:rsidRPr="00515872" w:rsidRDefault="004D32BA" w:rsidP="004D32BA">
      <w:pPr>
        <w:spacing w:line="360" w:lineRule="auto"/>
        <w:jc w:val="both"/>
        <w:rPr>
          <w:rFonts w:cs="Tahoma"/>
          <w:szCs w:val="20"/>
          <w:lang w:eastAsia="it-IT"/>
        </w:rPr>
      </w:pPr>
    </w:p>
    <w:p w14:paraId="46042E24" w14:textId="77777777" w:rsidR="004D32BA" w:rsidRPr="00515872" w:rsidRDefault="004D32BA" w:rsidP="004D32BA">
      <w:pPr>
        <w:spacing w:line="360" w:lineRule="auto"/>
        <w:jc w:val="both"/>
        <w:rPr>
          <w:rFonts w:cs="Tahoma"/>
          <w:szCs w:val="20"/>
          <w:lang w:eastAsia="it-IT"/>
        </w:rPr>
      </w:pPr>
    </w:p>
    <w:p w14:paraId="296AE5EF" w14:textId="77777777" w:rsidR="004D32BA" w:rsidRPr="00515872" w:rsidRDefault="004D32BA" w:rsidP="004D32BA">
      <w:pPr>
        <w:spacing w:line="360" w:lineRule="auto"/>
        <w:jc w:val="both"/>
        <w:rPr>
          <w:rFonts w:cs="Tahoma"/>
          <w:szCs w:val="20"/>
          <w:lang w:eastAsia="it-IT"/>
        </w:rPr>
      </w:pPr>
    </w:p>
    <w:p w14:paraId="0503C6E9" w14:textId="77777777" w:rsidR="004D32BA" w:rsidRPr="00515872" w:rsidRDefault="004D32BA" w:rsidP="004D32BA">
      <w:pPr>
        <w:spacing w:line="360" w:lineRule="auto"/>
        <w:jc w:val="both"/>
        <w:rPr>
          <w:rFonts w:cs="Tahoma"/>
          <w:szCs w:val="20"/>
          <w:lang w:eastAsia="it-IT"/>
        </w:rPr>
      </w:pPr>
    </w:p>
    <w:p w14:paraId="7CF29E40" w14:textId="77777777" w:rsidR="004D32BA" w:rsidRPr="00515872" w:rsidRDefault="004D32BA" w:rsidP="004D32BA">
      <w:pPr>
        <w:spacing w:line="360" w:lineRule="auto"/>
        <w:jc w:val="both"/>
        <w:rPr>
          <w:rFonts w:cs="Tahoma"/>
          <w:szCs w:val="20"/>
          <w:lang w:eastAsia="it-IT"/>
        </w:rPr>
      </w:pPr>
    </w:p>
    <w:p w14:paraId="02ADF3A4" w14:textId="77777777" w:rsidR="004D32BA" w:rsidRPr="00515872" w:rsidRDefault="004D32BA" w:rsidP="004D32BA">
      <w:pPr>
        <w:spacing w:line="360" w:lineRule="auto"/>
        <w:jc w:val="both"/>
        <w:rPr>
          <w:rFonts w:cs="Tahoma"/>
          <w:szCs w:val="20"/>
          <w:lang w:eastAsia="it-IT"/>
        </w:rPr>
      </w:pPr>
    </w:p>
    <w:p w14:paraId="66688DC1" w14:textId="77777777" w:rsidR="000D7154" w:rsidRPr="00515872" w:rsidRDefault="000D7154" w:rsidP="000D7154">
      <w:pPr>
        <w:spacing w:line="360" w:lineRule="auto"/>
        <w:jc w:val="center"/>
        <w:rPr>
          <w:rFonts w:cs="Tahoma"/>
          <w:b/>
        </w:rPr>
      </w:pPr>
      <w:r w:rsidRPr="00515872">
        <w:rPr>
          <w:rFonts w:cs="Tahoma"/>
          <w:b/>
        </w:rPr>
        <w:lastRenderedPageBreak/>
        <w:t xml:space="preserve">Conto Economico - Allegato 10 al </w:t>
      </w:r>
      <w:proofErr w:type="spellStart"/>
      <w:r w:rsidRPr="00515872">
        <w:rPr>
          <w:rFonts w:cs="Tahoma"/>
          <w:b/>
        </w:rPr>
        <w:t>D.Lgs</w:t>
      </w:r>
      <w:proofErr w:type="spellEnd"/>
      <w:r w:rsidRPr="00515872">
        <w:rPr>
          <w:rFonts w:cs="Tahoma"/>
          <w:b/>
        </w:rPr>
        <w:t xml:space="preserve"> 118/2011</w:t>
      </w:r>
    </w:p>
    <w:p w14:paraId="54130147" w14:textId="77777777" w:rsidR="004E74B0" w:rsidRPr="00515872" w:rsidRDefault="00E1476B" w:rsidP="009518AF">
      <w:pPr>
        <w:autoSpaceDE w:val="0"/>
        <w:autoSpaceDN w:val="0"/>
        <w:adjustRightInd w:val="0"/>
        <w:spacing w:line="360" w:lineRule="auto"/>
        <w:jc w:val="both"/>
        <w:rPr>
          <w:rFonts w:cs="Tahoma"/>
          <w:color w:val="000000"/>
          <w:sz w:val="22"/>
        </w:rPr>
      </w:pPr>
      <w:r w:rsidRPr="00515872">
        <w:rPr>
          <w:rFonts w:cs="Tahoma"/>
          <w:noProof/>
          <w:lang w:eastAsia="it-IT"/>
        </w:rPr>
        <w:drawing>
          <wp:inline distT="0" distB="0" distL="0" distR="0" wp14:anchorId="5FEE38E0" wp14:editId="5108C46A">
            <wp:extent cx="5870575" cy="734377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772" t="12970" r="36657" b="4807"/>
                    <a:stretch/>
                  </pic:blipFill>
                  <pic:spPr bwMode="auto">
                    <a:xfrm>
                      <a:off x="0" y="0"/>
                      <a:ext cx="5885083" cy="7361924"/>
                    </a:xfrm>
                    <a:prstGeom prst="rect">
                      <a:avLst/>
                    </a:prstGeom>
                    <a:ln>
                      <a:noFill/>
                    </a:ln>
                    <a:extLst>
                      <a:ext uri="{53640926-AAD7-44D8-BBD7-CCE9431645EC}">
                        <a14:shadowObscured xmlns:a14="http://schemas.microsoft.com/office/drawing/2010/main"/>
                      </a:ext>
                    </a:extLst>
                  </pic:spPr>
                </pic:pic>
              </a:graphicData>
            </a:graphic>
          </wp:inline>
        </w:drawing>
      </w:r>
    </w:p>
    <w:p w14:paraId="7824DB4E" w14:textId="77777777" w:rsidR="004E74B0" w:rsidRPr="00515872" w:rsidRDefault="004E74B0" w:rsidP="009518AF">
      <w:pPr>
        <w:autoSpaceDE w:val="0"/>
        <w:autoSpaceDN w:val="0"/>
        <w:adjustRightInd w:val="0"/>
        <w:spacing w:line="360" w:lineRule="auto"/>
        <w:jc w:val="both"/>
        <w:rPr>
          <w:rFonts w:cs="Tahoma"/>
          <w:color w:val="000000"/>
          <w:szCs w:val="20"/>
        </w:rPr>
      </w:pPr>
    </w:p>
    <w:p w14:paraId="0985892A" w14:textId="77777777" w:rsidR="009518AF" w:rsidRPr="00515872" w:rsidRDefault="009518AF" w:rsidP="009518AF">
      <w:pPr>
        <w:pStyle w:val="Sottoparagrafo"/>
        <w:rPr>
          <w:rFonts w:cs="Tahoma"/>
          <w:lang w:eastAsia="it-IT"/>
        </w:rPr>
      </w:pPr>
      <w:bookmarkStart w:id="136" w:name="_Toc521317094"/>
      <w:bookmarkStart w:id="137" w:name="_Toc95912273"/>
      <w:r w:rsidRPr="00515872">
        <w:rPr>
          <w:rFonts w:cs="Tahoma"/>
          <w:lang w:eastAsia="it-IT"/>
        </w:rPr>
        <w:lastRenderedPageBreak/>
        <w:t>4.5.6 Allegati al rendiconto</w:t>
      </w:r>
      <w:bookmarkEnd w:id="136"/>
      <w:bookmarkEnd w:id="137"/>
    </w:p>
    <w:p w14:paraId="62EBC275"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Anche in relazione al rendiconto della gestione la legge prevede una serie corposa di allegati contenuti nell’art. 11, c. 4 del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sui quali si estende il controllo dell’organo di revisione:</w:t>
      </w:r>
    </w:p>
    <w:p w14:paraId="098FF72C"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dimostrativo del risultato di amministrazione;</w:t>
      </w:r>
    </w:p>
    <w:p w14:paraId="7309FF57"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concernente la composizione, per missioni e programmi, del FPV;</w:t>
      </w:r>
    </w:p>
    <w:p w14:paraId="61959AD3"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concernente la composizione del FCDE;</w:t>
      </w:r>
    </w:p>
    <w:p w14:paraId="436171FC"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degli accertamenti per titoli, tipologie e categorie (facolt</w:t>
      </w:r>
      <w:r w:rsidR="00DF3C37" w:rsidRPr="00515872">
        <w:rPr>
          <w:rFonts w:eastAsia="Times New Roman" w:cs="Tahoma"/>
          <w:szCs w:val="20"/>
          <w:lang w:eastAsia="it-IT"/>
        </w:rPr>
        <w:t xml:space="preserve">ativo per i comuni fino a 5.000 </w:t>
      </w:r>
      <w:r w:rsidRPr="00515872">
        <w:rPr>
          <w:rFonts w:eastAsia="Times New Roman" w:cs="Tahoma"/>
          <w:szCs w:val="20"/>
          <w:lang w:eastAsia="it-IT"/>
        </w:rPr>
        <w:t>abitanti);</w:t>
      </w:r>
    </w:p>
    <w:p w14:paraId="0C5EA884"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 xml:space="preserve">il prospetto degli impegni per missioni, programmi e </w:t>
      </w:r>
      <w:proofErr w:type="spellStart"/>
      <w:r w:rsidRPr="00515872">
        <w:rPr>
          <w:rFonts w:eastAsia="Times New Roman" w:cs="Tahoma"/>
          <w:szCs w:val="20"/>
          <w:lang w:eastAsia="it-IT"/>
        </w:rPr>
        <w:t>macroaggregati</w:t>
      </w:r>
      <w:proofErr w:type="spellEnd"/>
      <w:r w:rsidRPr="00515872">
        <w:rPr>
          <w:rFonts w:eastAsia="Times New Roman" w:cs="Tahoma"/>
          <w:szCs w:val="20"/>
          <w:lang w:eastAsia="it-IT"/>
        </w:rPr>
        <w:t xml:space="preserve"> (facoltativo per i comuni fino a 5.000 abitanti);</w:t>
      </w:r>
    </w:p>
    <w:p w14:paraId="26738CDF"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la tabella dimostrativa degli accertamenti assunti nell'esercizio in corso e negli esercizi precedenti imputati agli esercizi successivi;</w:t>
      </w:r>
    </w:p>
    <w:p w14:paraId="39F01457"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la tabella dimostrativa degli impegni assunti nell'esercizio in corso e negli esercizi precedenti imputati agli esercizi successivi;</w:t>
      </w:r>
    </w:p>
    <w:p w14:paraId="4A491277"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 xml:space="preserve">il prospetto rappresentativo dei costi sostenuti per missione (facoltativo per i comuni fino a 5.000 abitanti); </w:t>
      </w:r>
    </w:p>
    <w:p w14:paraId="7056364B"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delle spese sostenute per l'utilizzo di contributi e trasferimenti da parte di organismi comunitari e internazionali (facoltativo per i comuni fino a 5.000 abitanti);</w:t>
      </w:r>
    </w:p>
    <w:p w14:paraId="366DDDFF"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delle spese sostenute per lo svolgimento delle funzioni delegate dalle regioni (facoltativo per i comuni fino a 5.000 abitanti);</w:t>
      </w:r>
    </w:p>
    <w:p w14:paraId="2FEA5821"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il prospetto dei dati SIOPE;</w:t>
      </w:r>
    </w:p>
    <w:p w14:paraId="4C43B152"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l'elenco dei residui attivi e passivi provenienti dagli esercizi anteriori a quello di competenza, distintamente per esercizio di provenienza e per capitolo;</w:t>
      </w:r>
    </w:p>
    <w:p w14:paraId="5BF66DA1"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l'elenco dei crediti inesigibili, stralciati dal conto del bilancio, sino al compimento dei termini di prescrizione;</w:t>
      </w:r>
    </w:p>
    <w:p w14:paraId="17D8A756" w14:textId="77777777" w:rsidR="009518AF" w:rsidRPr="00515872" w:rsidRDefault="009518AF" w:rsidP="00D65838">
      <w:pPr>
        <w:pStyle w:val="Paragrafoelenco"/>
        <w:numPr>
          <w:ilvl w:val="0"/>
          <w:numId w:val="58"/>
        </w:numPr>
        <w:spacing w:line="360" w:lineRule="auto"/>
        <w:ind w:left="357" w:hanging="357"/>
        <w:jc w:val="both"/>
        <w:rPr>
          <w:rFonts w:eastAsia="Times New Roman" w:cs="Tahoma"/>
          <w:szCs w:val="20"/>
          <w:lang w:eastAsia="it-IT"/>
        </w:rPr>
      </w:pPr>
      <w:r w:rsidRPr="00515872">
        <w:rPr>
          <w:rFonts w:eastAsia="Times New Roman" w:cs="Tahoma"/>
          <w:szCs w:val="20"/>
          <w:lang w:eastAsia="it-IT"/>
        </w:rPr>
        <w:t>la relazione sulla gestione dell'organo esecutivo redatta secondo le modalità stabilite dalla legge</w:t>
      </w:r>
      <w:r w:rsidRPr="00515872">
        <w:rPr>
          <w:rStyle w:val="Rimandonotaapidipagina"/>
          <w:rFonts w:eastAsia="Times New Roman" w:cs="Tahoma"/>
          <w:szCs w:val="20"/>
          <w:lang w:eastAsia="it-IT"/>
        </w:rPr>
        <w:footnoteReference w:id="63"/>
      </w:r>
      <w:r w:rsidRPr="00515872">
        <w:rPr>
          <w:rFonts w:eastAsia="Times New Roman" w:cs="Tahoma"/>
          <w:szCs w:val="20"/>
          <w:lang w:eastAsia="it-IT"/>
        </w:rPr>
        <w:t>;</w:t>
      </w:r>
    </w:p>
    <w:p w14:paraId="6D984CA8" w14:textId="77777777" w:rsidR="009518AF" w:rsidRPr="00515872" w:rsidRDefault="009518AF" w:rsidP="00D65838">
      <w:pPr>
        <w:pStyle w:val="Paragrafoelenco"/>
        <w:numPr>
          <w:ilvl w:val="0"/>
          <w:numId w:val="58"/>
        </w:numPr>
        <w:spacing w:line="360" w:lineRule="auto"/>
        <w:jc w:val="both"/>
        <w:rPr>
          <w:rFonts w:eastAsia="Times New Roman" w:cs="Tahoma"/>
          <w:szCs w:val="20"/>
          <w:lang w:eastAsia="it-IT"/>
        </w:rPr>
      </w:pPr>
      <w:r w:rsidRPr="00515872">
        <w:rPr>
          <w:rFonts w:eastAsia="Times New Roman" w:cs="Tahoma"/>
          <w:szCs w:val="20"/>
          <w:lang w:eastAsia="it-IT"/>
        </w:rPr>
        <w:lastRenderedPageBreak/>
        <w:t>la relazione del collegio dei revisori dei conti.</w:t>
      </w:r>
    </w:p>
    <w:p w14:paraId="06C1AEA3" w14:textId="77777777" w:rsidR="00197737" w:rsidRPr="00515872" w:rsidRDefault="00197737" w:rsidP="00197737">
      <w:pPr>
        <w:spacing w:line="360" w:lineRule="auto"/>
        <w:jc w:val="both"/>
        <w:rPr>
          <w:rFonts w:eastAsia="Times New Roman" w:cs="Tahoma"/>
          <w:szCs w:val="20"/>
          <w:lang w:eastAsia="it-IT"/>
        </w:rPr>
      </w:pPr>
      <w:r w:rsidRPr="00515872">
        <w:rPr>
          <w:rFonts w:eastAsia="Times New Roman" w:cs="Tahoma"/>
          <w:szCs w:val="20"/>
          <w:lang w:eastAsia="it-IT"/>
        </w:rPr>
        <w:t xml:space="preserve">Gli schemi della maggior parte degli allegati sopra richiamati sono contenuti nel medesimo allegato n.10 al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n.118/2011.</w:t>
      </w:r>
    </w:p>
    <w:p w14:paraId="4F556261" w14:textId="77777777" w:rsidR="00C03D30" w:rsidRPr="00515872" w:rsidRDefault="00C03D30" w:rsidP="00297A21">
      <w:pPr>
        <w:pStyle w:val="Paragrafo"/>
      </w:pPr>
      <w:bookmarkStart w:id="138" w:name="_Toc521317095"/>
    </w:p>
    <w:p w14:paraId="19AC01CD" w14:textId="77777777" w:rsidR="009518AF" w:rsidRPr="00515872" w:rsidRDefault="009518AF" w:rsidP="00297A21">
      <w:pPr>
        <w:pStyle w:val="Paragrafo"/>
      </w:pPr>
      <w:bookmarkStart w:id="139" w:name="_Toc95912274"/>
      <w:r w:rsidRPr="00515872">
        <w:t>4.6 Altri strumenti della programmazione e gestione finanziaria</w:t>
      </w:r>
      <w:bookmarkEnd w:id="138"/>
      <w:bookmarkEnd w:id="139"/>
    </w:p>
    <w:p w14:paraId="76CDD1C9" w14:textId="77777777" w:rsidR="009518AF" w:rsidRPr="00515872" w:rsidRDefault="009518AF" w:rsidP="009518AF">
      <w:pPr>
        <w:spacing w:line="360" w:lineRule="auto"/>
        <w:jc w:val="both"/>
        <w:rPr>
          <w:rFonts w:cs="Tahoma"/>
        </w:rPr>
      </w:pPr>
      <w:r w:rsidRPr="00515872">
        <w:rPr>
          <w:rFonts w:cs="Tahoma"/>
        </w:rPr>
        <w:t>L’ordinamento contabile della pubblica amministrazione prevede una molteplicità di strumenti finalizzati alla programmazione finanziaria.</w:t>
      </w:r>
    </w:p>
    <w:p w14:paraId="50F614B0" w14:textId="77777777" w:rsidR="00277513" w:rsidRPr="00515872" w:rsidRDefault="00277513" w:rsidP="009518AF">
      <w:pPr>
        <w:pStyle w:val="Sottoparagrafo"/>
        <w:rPr>
          <w:rFonts w:cs="Tahoma"/>
          <w:highlight w:val="yellow"/>
          <w:lang w:eastAsia="it-IT"/>
        </w:rPr>
      </w:pPr>
      <w:bookmarkStart w:id="140" w:name="_Toc521317096"/>
    </w:p>
    <w:p w14:paraId="0B8489C5" w14:textId="77777777" w:rsidR="009518AF" w:rsidRPr="00515872" w:rsidRDefault="009518AF" w:rsidP="009518AF">
      <w:pPr>
        <w:pStyle w:val="Sottoparagrafo"/>
        <w:rPr>
          <w:rFonts w:cs="Tahoma"/>
          <w:lang w:eastAsia="it-IT"/>
        </w:rPr>
      </w:pPr>
      <w:bookmarkStart w:id="141" w:name="_Toc95912275"/>
      <w:r w:rsidRPr="00515872">
        <w:rPr>
          <w:rFonts w:cs="Tahoma"/>
          <w:lang w:eastAsia="it-IT"/>
        </w:rPr>
        <w:t>4.6.1 Documento Unico di Programmazione (DUP)</w:t>
      </w:r>
      <w:bookmarkEnd w:id="140"/>
      <w:bookmarkEnd w:id="141"/>
    </w:p>
    <w:p w14:paraId="76A5F845" w14:textId="367DCF48" w:rsidR="009518AF" w:rsidRPr="00515872" w:rsidRDefault="009518AF" w:rsidP="009518AF">
      <w:pPr>
        <w:spacing w:line="360" w:lineRule="auto"/>
        <w:jc w:val="both"/>
        <w:rPr>
          <w:rFonts w:eastAsiaTheme="minorEastAsia" w:cs="Tahoma"/>
          <w:szCs w:val="20"/>
        </w:rPr>
      </w:pPr>
      <w:r w:rsidRPr="00515872">
        <w:rPr>
          <w:rFonts w:eastAsiaTheme="minorEastAsia" w:cs="Tahoma"/>
          <w:szCs w:val="20"/>
        </w:rPr>
        <w:t xml:space="preserve">Il Documento </w:t>
      </w:r>
      <w:r w:rsidR="00DF3C37" w:rsidRPr="00515872">
        <w:rPr>
          <w:rFonts w:eastAsiaTheme="minorEastAsia" w:cs="Tahoma"/>
          <w:szCs w:val="20"/>
        </w:rPr>
        <w:t>U</w:t>
      </w:r>
      <w:r w:rsidRPr="00515872">
        <w:rPr>
          <w:rFonts w:eastAsiaTheme="minorEastAsia" w:cs="Tahoma"/>
          <w:szCs w:val="20"/>
        </w:rPr>
        <w:t>nico di Programmazione rappresenta una delle novità principali, in termini di strumenti di programmazione, introdotti dalla riforma del sistema conta</w:t>
      </w:r>
      <w:r w:rsidR="00DF3C37" w:rsidRPr="00515872">
        <w:rPr>
          <w:rFonts w:eastAsiaTheme="minorEastAsia" w:cs="Tahoma"/>
          <w:szCs w:val="20"/>
        </w:rPr>
        <w:t xml:space="preserve">bile degli enti pubblici. </w:t>
      </w:r>
      <w:r w:rsidR="00F61E9D" w:rsidRPr="00515872">
        <w:rPr>
          <w:rFonts w:eastAsiaTheme="minorEastAsia" w:cs="Tahoma"/>
          <w:szCs w:val="20"/>
        </w:rPr>
        <w:t>È</w:t>
      </w:r>
      <w:r w:rsidRPr="00515872">
        <w:rPr>
          <w:rFonts w:eastAsiaTheme="minorEastAsia" w:cs="Tahoma"/>
          <w:szCs w:val="20"/>
        </w:rPr>
        <w:t xml:space="preserve"> lo strumento che permette l’attività di guida strategica ed operativa degli enti, nonché il presupposto necessario di tutti gli altri documenti di programmazione. A</w:t>
      </w:r>
      <w:r w:rsidRPr="00515872">
        <w:rPr>
          <w:rFonts w:eastAsiaTheme="minorEastAsia" w:cs="Tahoma"/>
          <w:bCs/>
          <w:szCs w:val="20"/>
        </w:rPr>
        <w:t xml:space="preserve">ssorbe la relazione previsionale e programmatica e il piano generale di sviluppo e </w:t>
      </w:r>
      <w:r w:rsidRPr="00515872">
        <w:rPr>
          <w:rFonts w:eastAsiaTheme="minorEastAsia" w:cs="Tahoma"/>
          <w:szCs w:val="20"/>
        </w:rPr>
        <w:t>comprende la programmazione in materia di lavori pubblici, personale e patrimonio.</w:t>
      </w:r>
    </w:p>
    <w:p w14:paraId="583267A0" w14:textId="77777777" w:rsidR="001713D8" w:rsidRPr="00515872" w:rsidRDefault="009518AF" w:rsidP="009518AF">
      <w:pPr>
        <w:spacing w:line="360" w:lineRule="auto"/>
        <w:jc w:val="both"/>
        <w:rPr>
          <w:rFonts w:eastAsiaTheme="minorEastAsia" w:cs="Tahoma"/>
          <w:szCs w:val="20"/>
        </w:rPr>
      </w:pPr>
      <w:r w:rsidRPr="00515872">
        <w:rPr>
          <w:rFonts w:eastAsiaTheme="minorEastAsia" w:cs="Tahoma"/>
          <w:szCs w:val="20"/>
        </w:rPr>
        <w:t xml:space="preserve">Secondo quanto previsto nell’allegato n. 4/1 al </w:t>
      </w:r>
      <w:proofErr w:type="spellStart"/>
      <w:r w:rsidRPr="00515872">
        <w:rPr>
          <w:rFonts w:eastAsiaTheme="minorEastAsia" w:cs="Tahoma"/>
          <w:szCs w:val="20"/>
        </w:rPr>
        <w:t>D.Lgs.</w:t>
      </w:r>
      <w:proofErr w:type="spellEnd"/>
      <w:r w:rsidRPr="00515872">
        <w:rPr>
          <w:rFonts w:eastAsiaTheme="minorEastAsia" w:cs="Tahoma"/>
          <w:szCs w:val="20"/>
        </w:rPr>
        <w:t xml:space="preserve"> 118/2011, il DUP deve essere presentato dalla giunta al consiglio entro il 31 luglio di ciascun anno. Entro la scadenza del 15 novembre </w:t>
      </w:r>
      <w:r w:rsidRPr="00515872">
        <w:rPr>
          <w:rFonts w:cs="Tahoma"/>
          <w:szCs w:val="20"/>
        </w:rPr>
        <w:t>sono poi presentati contestualmente la nota di aggiornamento al DUP e lo schema di bilancio di previsione, secondo le modalità previste dal regolamento dell'ente.</w:t>
      </w:r>
      <w:r w:rsidR="00BF0510" w:rsidRPr="00515872">
        <w:rPr>
          <w:rFonts w:cs="Tahoma"/>
          <w:szCs w:val="20"/>
        </w:rPr>
        <w:t xml:space="preserve"> In sede di prima applicazione, a seguito del differimento del termine per l'approvazione del bilancio 2015, </w:t>
      </w:r>
      <w:r w:rsidR="00DF3C37" w:rsidRPr="00515872">
        <w:rPr>
          <w:rFonts w:cs="Tahoma"/>
          <w:szCs w:val="20"/>
        </w:rPr>
        <w:t>quello</w:t>
      </w:r>
      <w:r w:rsidR="00BF0510" w:rsidRPr="00515872">
        <w:rPr>
          <w:rFonts w:cs="Tahoma"/>
          <w:szCs w:val="20"/>
        </w:rPr>
        <w:t xml:space="preserve"> del DUP 2016-2018 </w:t>
      </w:r>
      <w:r w:rsidR="00DF3C37" w:rsidRPr="00515872">
        <w:rPr>
          <w:rFonts w:cs="Tahoma"/>
          <w:szCs w:val="20"/>
        </w:rPr>
        <w:t>era</w:t>
      </w:r>
      <w:r w:rsidR="00BF0510" w:rsidRPr="00515872">
        <w:rPr>
          <w:rFonts w:cs="Tahoma"/>
          <w:szCs w:val="20"/>
        </w:rPr>
        <w:t xml:space="preserve"> stato differito </w:t>
      </w:r>
      <w:r w:rsidR="00BF0510" w:rsidRPr="00515872">
        <w:rPr>
          <w:rFonts w:cs="Tahoma"/>
          <w:bCs/>
          <w:szCs w:val="20"/>
        </w:rPr>
        <w:t xml:space="preserve">al 31 ottobre e, successivamente, </w:t>
      </w:r>
      <w:r w:rsidR="00BF0510" w:rsidRPr="00515872">
        <w:rPr>
          <w:rFonts w:cs="Tahoma"/>
          <w:bCs/>
          <w:szCs w:val="20"/>
        </w:rPr>
        <w:lastRenderedPageBreak/>
        <w:t xml:space="preserve">al 31 dicembre con differimento del termine per il suo aggiornamento al 28 febbraio 2016. Anche per la nota di aggiornamento del DUP 2017–2019 la legge di bilancio per il 2017 </w:t>
      </w:r>
      <w:r w:rsidR="00DF3C37" w:rsidRPr="00515872">
        <w:rPr>
          <w:rFonts w:cs="Tahoma"/>
          <w:bCs/>
          <w:szCs w:val="20"/>
        </w:rPr>
        <w:t>aveva</w:t>
      </w:r>
      <w:r w:rsidR="00BF0510" w:rsidRPr="00515872">
        <w:rPr>
          <w:rFonts w:cs="Tahoma"/>
          <w:bCs/>
          <w:szCs w:val="20"/>
        </w:rPr>
        <w:t xml:space="preserve"> previsto una proroga al 31 dicembre 2016. L’art. 107</w:t>
      </w:r>
      <w:r w:rsidR="00DF3C37" w:rsidRPr="00515872">
        <w:rPr>
          <w:rFonts w:cs="Tahoma"/>
          <w:bCs/>
          <w:szCs w:val="20"/>
        </w:rPr>
        <w:t>,</w:t>
      </w:r>
      <w:r w:rsidR="00BF0510" w:rsidRPr="00515872">
        <w:rPr>
          <w:rFonts w:cs="Tahoma"/>
          <w:bCs/>
          <w:szCs w:val="20"/>
        </w:rPr>
        <w:t xml:space="preserve"> D.L. 17 marzo 2020, n. 18, </w:t>
      </w:r>
      <w:proofErr w:type="spellStart"/>
      <w:r w:rsidR="00BF0510" w:rsidRPr="00515872">
        <w:rPr>
          <w:rFonts w:cs="Tahoma"/>
          <w:bCs/>
          <w:szCs w:val="20"/>
        </w:rPr>
        <w:t>conv</w:t>
      </w:r>
      <w:proofErr w:type="spellEnd"/>
      <w:r w:rsidR="00BF0510" w:rsidRPr="00515872">
        <w:rPr>
          <w:rFonts w:cs="Tahoma"/>
          <w:bCs/>
          <w:szCs w:val="20"/>
        </w:rPr>
        <w:t>. L. 24 aprile 2020, n. 27 ha disposto il differimento del termine di approvazione del DUP al 30 settembre 2020.</w:t>
      </w:r>
    </w:p>
    <w:p w14:paraId="20BE4902" w14:textId="77777777" w:rsidR="00BF0510" w:rsidRPr="00515872" w:rsidRDefault="009518AF" w:rsidP="009518AF">
      <w:pPr>
        <w:spacing w:line="360" w:lineRule="auto"/>
        <w:jc w:val="both"/>
        <w:rPr>
          <w:rFonts w:eastAsiaTheme="minorEastAsia" w:cs="Tahoma"/>
          <w:szCs w:val="20"/>
        </w:rPr>
      </w:pPr>
      <w:r w:rsidRPr="00515872">
        <w:rPr>
          <w:rFonts w:eastAsiaTheme="minorEastAsia" w:cs="Tahoma"/>
          <w:szCs w:val="20"/>
        </w:rPr>
        <w:t xml:space="preserve">Scopo della nota di </w:t>
      </w:r>
      <w:r w:rsidR="00BF0510" w:rsidRPr="00515872">
        <w:rPr>
          <w:rFonts w:eastAsiaTheme="minorEastAsia" w:cs="Tahoma"/>
          <w:szCs w:val="20"/>
        </w:rPr>
        <w:t>aggiornamento</w:t>
      </w:r>
      <w:r w:rsidRPr="00515872">
        <w:rPr>
          <w:rFonts w:eastAsiaTheme="minorEastAsia" w:cs="Tahoma"/>
          <w:szCs w:val="20"/>
        </w:rPr>
        <w:t xml:space="preserve"> è modificare o integrare il DUP per recepire modifiche normative o variazioni del contesto economico o sociale. La nota di aggiornamento è eventuale in quanto può non essere presentata; se presentata, lo schema di nota di ag</w:t>
      </w:r>
      <w:r w:rsidR="003A2BD8" w:rsidRPr="00515872">
        <w:rPr>
          <w:rFonts w:eastAsiaTheme="minorEastAsia" w:cs="Tahoma"/>
          <w:szCs w:val="20"/>
        </w:rPr>
        <w:t>giornamento si configura come</w:t>
      </w:r>
      <w:r w:rsidRPr="00515872">
        <w:rPr>
          <w:rFonts w:eastAsiaTheme="minorEastAsia" w:cs="Tahoma"/>
          <w:szCs w:val="20"/>
        </w:rPr>
        <w:t xml:space="preserve"> schema del DUP definitivo, pertanto è predisposto secondo i principi previsti dall’allegato n. 4/1.</w:t>
      </w:r>
    </w:p>
    <w:p w14:paraId="3F038A13" w14:textId="77777777" w:rsidR="009518AF" w:rsidRPr="00515872" w:rsidRDefault="00C540DB" w:rsidP="009518AF">
      <w:pPr>
        <w:spacing w:line="360" w:lineRule="auto"/>
        <w:jc w:val="both"/>
        <w:rPr>
          <w:rFonts w:eastAsiaTheme="minorEastAsia" w:cs="Tahoma"/>
          <w:szCs w:val="20"/>
        </w:rPr>
      </w:pPr>
      <w:r w:rsidRPr="00515872">
        <w:rPr>
          <w:rFonts w:eastAsiaTheme="minorEastAsia" w:cs="Tahoma"/>
          <w:szCs w:val="20"/>
        </w:rPr>
        <w:t>Il DUP costituisce</w:t>
      </w:r>
      <w:r w:rsidR="009518AF" w:rsidRPr="00515872">
        <w:rPr>
          <w:rFonts w:eastAsiaTheme="minorEastAsia" w:cs="Tahoma"/>
          <w:szCs w:val="20"/>
        </w:rPr>
        <w:t xml:space="preserve"> atto </w:t>
      </w:r>
      <w:r w:rsidR="009518AF" w:rsidRPr="00515872">
        <w:rPr>
          <w:rFonts w:eastAsiaTheme="minorEastAsia" w:cs="Tahoma"/>
          <w:bCs/>
          <w:szCs w:val="20"/>
        </w:rPr>
        <w:t>presupposto indispensabile</w:t>
      </w:r>
      <w:r w:rsidR="009518AF" w:rsidRPr="00515872">
        <w:rPr>
          <w:rFonts w:eastAsiaTheme="minorEastAsia" w:cs="Tahoma"/>
          <w:szCs w:val="20"/>
        </w:rPr>
        <w:t xml:space="preserve"> per l'approvazione del bilancio di previsione.</w:t>
      </w:r>
      <w:r w:rsidRPr="00515872">
        <w:rPr>
          <w:rFonts w:eastAsiaTheme="minorEastAsia" w:cs="Tahoma"/>
          <w:szCs w:val="20"/>
        </w:rPr>
        <w:t xml:space="preserve"> </w:t>
      </w:r>
      <w:r w:rsidR="00C41945" w:rsidRPr="00515872">
        <w:rPr>
          <w:rFonts w:eastAsiaTheme="minorEastAsia" w:cs="Tahoma"/>
          <w:szCs w:val="20"/>
        </w:rPr>
        <w:t>Esso</w:t>
      </w:r>
      <w:r w:rsidR="009518AF" w:rsidRPr="00515872">
        <w:rPr>
          <w:rFonts w:eastAsiaTheme="minorEastAsia" w:cs="Tahoma"/>
          <w:szCs w:val="20"/>
        </w:rPr>
        <w:t xml:space="preserve"> riuni</w:t>
      </w:r>
      <w:r w:rsidR="00C41945" w:rsidRPr="00515872">
        <w:rPr>
          <w:rFonts w:eastAsiaTheme="minorEastAsia" w:cs="Tahoma"/>
          <w:szCs w:val="20"/>
        </w:rPr>
        <w:t>sc</w:t>
      </w:r>
      <w:r w:rsidR="009518AF" w:rsidRPr="00515872">
        <w:rPr>
          <w:rFonts w:eastAsiaTheme="minorEastAsia" w:cs="Tahoma"/>
          <w:szCs w:val="20"/>
        </w:rPr>
        <w:t xml:space="preserve">e </w:t>
      </w:r>
      <w:r w:rsidR="009518AF" w:rsidRPr="00515872">
        <w:rPr>
          <w:rFonts w:eastAsiaTheme="minorEastAsia" w:cs="Tahoma"/>
          <w:bCs/>
          <w:szCs w:val="20"/>
        </w:rPr>
        <w:t xml:space="preserve">in un solo documento </w:t>
      </w:r>
      <w:r w:rsidR="009518AF" w:rsidRPr="00515872">
        <w:rPr>
          <w:rFonts w:eastAsiaTheme="minorEastAsia" w:cs="Tahoma"/>
          <w:szCs w:val="20"/>
        </w:rPr>
        <w:t>a monte del bilancio di previsione le analisi, gli indirizzi e gli obiettivi che devono guidare la predisposizione del bilancio e del PEG e la loro successiva gestione.</w:t>
      </w:r>
    </w:p>
    <w:p w14:paraId="05D4C529" w14:textId="77777777" w:rsidR="00C540DB" w:rsidRPr="00515872" w:rsidRDefault="00C540DB" w:rsidP="00C5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regolamento di contabilità deve disciplinare i casi di inammissibilità e di improcedibilità per le deliberazioni di consiglio e di giunta che non sono coerenti con le previsioni e i contenuti programmatici del DUP. </w:t>
      </w:r>
    </w:p>
    <w:p w14:paraId="4E9C6998" w14:textId="77777777" w:rsidR="00717E38" w:rsidRPr="00515872" w:rsidRDefault="00717E38" w:rsidP="00717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rPr>
      </w:pPr>
      <w:r w:rsidRPr="00515872">
        <w:rPr>
          <w:rFonts w:eastAsia="Times New Roman" w:cs="Tahoma"/>
        </w:rPr>
        <w:t>Fatti salvi gli specifici termini previsti dalla normativa vigente, si considerano approvati, in quanto contenuti nel DUP i seguenti documenti:</w:t>
      </w:r>
    </w:p>
    <w:p w14:paraId="618BD2CB"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programma triennale ed elenco annuale dei lavori pubblici;</w:t>
      </w:r>
    </w:p>
    <w:p w14:paraId="4C22A923"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piano delle alienazioni e valorizzazioni immobiliari;</w:t>
      </w:r>
    </w:p>
    <w:p w14:paraId="68BF7310"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programma biennale di forniture e servizi;</w:t>
      </w:r>
    </w:p>
    <w:p w14:paraId="13AE145E"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 xml:space="preserve">piano triennale di razionalizzazione e riqualificazione della spesa di cui all’art. 2, c. 594, L. n. 244/2007; </w:t>
      </w:r>
    </w:p>
    <w:p w14:paraId="18500EAD"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(facoltativo) piano triennale di razionalizzazione e riqualificazione della spesa di cui all'art. 16, c. 4, del D.L. 6 luglio 2011, n. 98, convertito con modificazioni dalla L. 15 luglio 2011, n. 111;</w:t>
      </w:r>
    </w:p>
    <w:p w14:paraId="524FC2FC"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programmazione triennale del fabbisogno di personale;</w:t>
      </w:r>
    </w:p>
    <w:p w14:paraId="58F829F8" w14:textId="77777777" w:rsidR="00717E38" w:rsidRPr="00515872" w:rsidRDefault="00717E38" w:rsidP="00717E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altri documenti di programmazione.</w:t>
      </w:r>
    </w:p>
    <w:p w14:paraId="436EE290" w14:textId="77777777" w:rsidR="009518AF" w:rsidRPr="00515872" w:rsidRDefault="009518AF" w:rsidP="00FD24B7">
      <w:pPr>
        <w:spacing w:line="360" w:lineRule="auto"/>
        <w:jc w:val="both"/>
        <w:rPr>
          <w:rFonts w:cs="Tahoma"/>
          <w:szCs w:val="20"/>
        </w:rPr>
      </w:pPr>
      <w:r w:rsidRPr="00515872">
        <w:rPr>
          <w:rFonts w:eastAsiaTheme="minorEastAsia" w:cs="Tahoma"/>
          <w:bCs/>
          <w:szCs w:val="20"/>
        </w:rPr>
        <w:t xml:space="preserve">Non esiste per il DUP, </w:t>
      </w:r>
      <w:r w:rsidRPr="00515872">
        <w:rPr>
          <w:rFonts w:eastAsiaTheme="minorEastAsia" w:cs="Tahoma"/>
          <w:szCs w:val="20"/>
        </w:rPr>
        <w:t xml:space="preserve">differentemente dalla vecchia relazione previsionale e programmatica e dal bilancio, </w:t>
      </w:r>
      <w:r w:rsidRPr="00515872">
        <w:rPr>
          <w:rFonts w:eastAsiaTheme="minorEastAsia" w:cs="Tahoma"/>
          <w:bCs/>
          <w:szCs w:val="20"/>
        </w:rPr>
        <w:t xml:space="preserve">uno schema tipo, ma </w:t>
      </w:r>
      <w:r w:rsidR="00C540DB" w:rsidRPr="00515872">
        <w:rPr>
          <w:rFonts w:eastAsiaTheme="minorEastAsia" w:cs="Tahoma"/>
          <w:bCs/>
          <w:szCs w:val="20"/>
        </w:rPr>
        <w:t xml:space="preserve">i </w:t>
      </w:r>
      <w:r w:rsidRPr="00515872">
        <w:rPr>
          <w:rFonts w:eastAsiaTheme="minorEastAsia" w:cs="Tahoma"/>
          <w:bCs/>
          <w:szCs w:val="20"/>
        </w:rPr>
        <w:t xml:space="preserve">principi della sua redazione e </w:t>
      </w:r>
      <w:r w:rsidR="00C540DB" w:rsidRPr="00515872">
        <w:rPr>
          <w:rFonts w:eastAsiaTheme="minorEastAsia" w:cs="Tahoma"/>
          <w:bCs/>
          <w:szCs w:val="20"/>
        </w:rPr>
        <w:t xml:space="preserve">il </w:t>
      </w:r>
      <w:r w:rsidRPr="00515872">
        <w:rPr>
          <w:rFonts w:eastAsiaTheme="minorEastAsia" w:cs="Tahoma"/>
          <w:bCs/>
          <w:szCs w:val="20"/>
        </w:rPr>
        <w:t>contenuto minimo che sono contenuti nel p</w:t>
      </w:r>
      <w:r w:rsidR="00FD24B7" w:rsidRPr="00515872">
        <w:rPr>
          <w:rFonts w:eastAsiaTheme="minorEastAsia" w:cs="Tahoma"/>
          <w:bCs/>
          <w:szCs w:val="20"/>
        </w:rPr>
        <w:t>aragrafo</w:t>
      </w:r>
      <w:r w:rsidRPr="00515872">
        <w:rPr>
          <w:rFonts w:eastAsiaTheme="minorEastAsia" w:cs="Tahoma"/>
          <w:bCs/>
          <w:szCs w:val="20"/>
        </w:rPr>
        <w:t xml:space="preserve"> 8 dell’allegato </w:t>
      </w:r>
      <w:r w:rsidR="003A2BD8" w:rsidRPr="00515872">
        <w:rPr>
          <w:rFonts w:eastAsiaTheme="minorEastAsia" w:cs="Tahoma"/>
          <w:bCs/>
          <w:szCs w:val="20"/>
        </w:rPr>
        <w:t xml:space="preserve">n. </w:t>
      </w:r>
      <w:r w:rsidRPr="00515872">
        <w:rPr>
          <w:rFonts w:eastAsiaTheme="minorEastAsia" w:cs="Tahoma"/>
          <w:bCs/>
          <w:szCs w:val="20"/>
        </w:rPr>
        <w:t>4/1. Secondo quanto ivi previsto, i</w:t>
      </w:r>
      <w:r w:rsidRPr="00515872">
        <w:rPr>
          <w:rFonts w:cs="Tahoma"/>
          <w:szCs w:val="20"/>
        </w:rPr>
        <w:t>l DUP si compone di due sezioni:</w:t>
      </w:r>
      <w:r w:rsidR="00FD24B7" w:rsidRPr="00515872">
        <w:rPr>
          <w:rFonts w:cs="Tahoma"/>
          <w:szCs w:val="20"/>
        </w:rPr>
        <w:t xml:space="preserve"> la </w:t>
      </w:r>
      <w:r w:rsidRPr="00515872">
        <w:rPr>
          <w:rFonts w:cs="Tahoma"/>
          <w:szCs w:val="20"/>
        </w:rPr>
        <w:t>sezione strategica (</w:t>
      </w:r>
      <w:proofErr w:type="spellStart"/>
      <w:r w:rsidRPr="00515872">
        <w:rPr>
          <w:rFonts w:cs="Tahoma"/>
          <w:szCs w:val="20"/>
        </w:rPr>
        <w:t>SeS</w:t>
      </w:r>
      <w:proofErr w:type="spellEnd"/>
      <w:r w:rsidRPr="00515872">
        <w:rPr>
          <w:rFonts w:cs="Tahoma"/>
          <w:szCs w:val="20"/>
        </w:rPr>
        <w:t>)</w:t>
      </w:r>
      <w:r w:rsidR="00FD24B7" w:rsidRPr="00515872">
        <w:rPr>
          <w:rFonts w:cs="Tahoma"/>
          <w:szCs w:val="20"/>
        </w:rPr>
        <w:t xml:space="preserve"> e la </w:t>
      </w:r>
      <w:r w:rsidRPr="00515872">
        <w:rPr>
          <w:rFonts w:cs="Tahoma"/>
          <w:szCs w:val="20"/>
        </w:rPr>
        <w:t>sezione operativa (</w:t>
      </w:r>
      <w:proofErr w:type="spellStart"/>
      <w:r w:rsidRPr="00515872">
        <w:rPr>
          <w:rFonts w:cs="Tahoma"/>
          <w:szCs w:val="20"/>
        </w:rPr>
        <w:t>SeO</w:t>
      </w:r>
      <w:proofErr w:type="spellEnd"/>
      <w:r w:rsidRPr="00515872">
        <w:rPr>
          <w:rFonts w:cs="Tahoma"/>
          <w:szCs w:val="20"/>
        </w:rPr>
        <w:t>)</w:t>
      </w:r>
      <w:r w:rsidR="00FD24B7" w:rsidRPr="00515872">
        <w:rPr>
          <w:rFonts w:cs="Tahoma"/>
          <w:szCs w:val="20"/>
        </w:rPr>
        <w:t>.</w:t>
      </w:r>
    </w:p>
    <w:p w14:paraId="0FF6957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La Sezione Strategica (</w:t>
      </w:r>
      <w:proofErr w:type="spellStart"/>
      <w:r w:rsidRPr="00515872">
        <w:rPr>
          <w:rFonts w:eastAsia="Times New Roman" w:cs="Tahoma"/>
          <w:b/>
          <w:szCs w:val="20"/>
          <w:lang w:eastAsia="it-IT"/>
        </w:rPr>
        <w:t>SeS</w:t>
      </w:r>
      <w:proofErr w:type="spellEnd"/>
      <w:r w:rsidRPr="00515872">
        <w:rPr>
          <w:rFonts w:eastAsia="Times New Roman" w:cs="Tahoma"/>
          <w:b/>
          <w:szCs w:val="20"/>
          <w:lang w:eastAsia="it-IT"/>
        </w:rPr>
        <w:t xml:space="preserve">) </w:t>
      </w:r>
    </w:p>
    <w:p w14:paraId="01D1BAD3"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w:t>
      </w:r>
      <w:proofErr w:type="spellStart"/>
      <w:r w:rsidRPr="00515872">
        <w:rPr>
          <w:rFonts w:eastAsia="Times New Roman" w:cs="Tahoma"/>
          <w:szCs w:val="20"/>
          <w:lang w:eastAsia="it-IT"/>
        </w:rPr>
        <w:t>SeS</w:t>
      </w:r>
      <w:proofErr w:type="spellEnd"/>
      <w:r w:rsidRPr="00515872">
        <w:rPr>
          <w:rFonts w:eastAsia="Times New Roman" w:cs="Tahoma"/>
          <w:szCs w:val="20"/>
          <w:lang w:eastAsia="it-IT"/>
        </w:rPr>
        <w:t xml:space="preserve"> sviluppa e concretizza le linee programmatiche di mandato e individua gli indirizzi strategici dell'ente, anche in coerenza con le linee di indirizzo della programmazione regionale e tenendo conto del concorso al perseguimento degli obiettivi di finanza pubblica. </w:t>
      </w:r>
    </w:p>
    <w:p w14:paraId="65F8DF08"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In particolare, individua le principali scelte che caratterizzano il programma dell'amministrazione da realizzare nel corso del mandato, nonché le politiche di mandato che l'ente intende sviluppare</w:t>
      </w:r>
      <w:r w:rsidR="00B72A86" w:rsidRPr="00515872">
        <w:rPr>
          <w:rFonts w:eastAsia="Times New Roman" w:cs="Tahoma"/>
          <w:szCs w:val="20"/>
          <w:lang w:eastAsia="it-IT"/>
        </w:rPr>
        <w:t xml:space="preserve"> per il raggiungimento delle proprie finalità istituzionali</w:t>
      </w:r>
      <w:r w:rsidRPr="00515872">
        <w:rPr>
          <w:rFonts w:eastAsia="Times New Roman" w:cs="Tahoma"/>
          <w:szCs w:val="20"/>
          <w:lang w:eastAsia="it-IT"/>
        </w:rPr>
        <w:t>.</w:t>
      </w:r>
    </w:p>
    <w:p w14:paraId="1791207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Nella </w:t>
      </w:r>
      <w:proofErr w:type="spellStart"/>
      <w:r w:rsidRPr="00515872">
        <w:rPr>
          <w:rFonts w:eastAsia="Times New Roman" w:cs="Tahoma"/>
          <w:szCs w:val="20"/>
          <w:lang w:eastAsia="it-IT"/>
        </w:rPr>
        <w:t>SeS</w:t>
      </w:r>
      <w:proofErr w:type="spellEnd"/>
      <w:r w:rsidRPr="00515872">
        <w:rPr>
          <w:rFonts w:eastAsia="Times New Roman" w:cs="Tahoma"/>
          <w:szCs w:val="20"/>
          <w:lang w:eastAsia="it-IT"/>
        </w:rPr>
        <w:t xml:space="preserve"> sono anche indicati gli strumenti attraverso i quali l'ente rendiconta il proprio operato nel corso del mandato al fine di informare i cittadini del grado di realizzazione dei programmi e di raggiungimento degli obiettivi. </w:t>
      </w:r>
    </w:p>
    <w:p w14:paraId="3596FE39"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Nel primo anno del mandato amministrativo, individuati gli indirizzi strategici, sono definiti, per ogni missione di bilancio, gli obiettivi strategici da perseguire entro la fine del mandato. Per ogni obiettivo strategico è individuato anche il contributo che il gruppo amministrazione pubblica deve fornire per il suo conseguimento. </w:t>
      </w:r>
    </w:p>
    <w:p w14:paraId="7CA3A2C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L'individuazione degli obiettivi strategici consegue a un processo conoscitivo di analisi delle condizioni esterne all'ente e di quelle interne, sia in termini attuali che prospettici e alla definizione di indirizzi generali.</w:t>
      </w:r>
    </w:p>
    <w:p w14:paraId="2CA79BF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Ogni anno gli obiettivi strategici contenuti nella </w:t>
      </w:r>
      <w:proofErr w:type="spellStart"/>
      <w:r w:rsidRPr="00515872">
        <w:rPr>
          <w:rFonts w:eastAsia="Times New Roman" w:cs="Tahoma"/>
          <w:szCs w:val="20"/>
          <w:lang w:eastAsia="it-IT"/>
        </w:rPr>
        <w:t>SeS</w:t>
      </w:r>
      <w:proofErr w:type="spellEnd"/>
      <w:r w:rsidRPr="00515872">
        <w:rPr>
          <w:rFonts w:eastAsia="Times New Roman" w:cs="Tahoma"/>
          <w:szCs w:val="20"/>
          <w:lang w:eastAsia="it-IT"/>
        </w:rPr>
        <w:t xml:space="preserve"> sono verificati nello stato di attuazione e possono essere opportunamente riformulati. Sono altresì verificati gli indirizzi generali e i contenuti della programmazione strategica.</w:t>
      </w:r>
    </w:p>
    <w:p w14:paraId="3517CC51"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La Sezione Operativa (</w:t>
      </w:r>
      <w:proofErr w:type="spellStart"/>
      <w:r w:rsidRPr="00515872">
        <w:rPr>
          <w:rFonts w:eastAsia="Times New Roman" w:cs="Tahoma"/>
          <w:b/>
          <w:szCs w:val="20"/>
          <w:lang w:eastAsia="it-IT"/>
        </w:rPr>
        <w:t>SeO</w:t>
      </w:r>
      <w:proofErr w:type="spellEnd"/>
      <w:r w:rsidRPr="00515872">
        <w:rPr>
          <w:rFonts w:eastAsia="Times New Roman" w:cs="Tahoma"/>
          <w:b/>
          <w:szCs w:val="20"/>
          <w:lang w:eastAsia="it-IT"/>
        </w:rPr>
        <w:t xml:space="preserve">) </w:t>
      </w:r>
    </w:p>
    <w:p w14:paraId="6D061AFC"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w:t>
      </w:r>
      <w:proofErr w:type="spellStart"/>
      <w:r w:rsidRPr="00515872">
        <w:rPr>
          <w:rFonts w:eastAsia="Times New Roman" w:cs="Tahoma"/>
          <w:szCs w:val="20"/>
          <w:lang w:eastAsia="it-IT"/>
        </w:rPr>
        <w:t>SeO</w:t>
      </w:r>
      <w:proofErr w:type="spellEnd"/>
      <w:r w:rsidRPr="00515872">
        <w:rPr>
          <w:rFonts w:eastAsia="Times New Roman" w:cs="Tahoma"/>
          <w:szCs w:val="20"/>
          <w:lang w:eastAsia="it-IT"/>
        </w:rPr>
        <w:t xml:space="preserve"> ha carattere generale, contenuto programmatico e costituisce lo strumento a supporto del processo di previsione definito sulla base degli indirizzi generali e degli obiettivi strategici fissati nella </w:t>
      </w:r>
      <w:proofErr w:type="spellStart"/>
      <w:r w:rsidRPr="00515872">
        <w:rPr>
          <w:rFonts w:eastAsia="Times New Roman" w:cs="Tahoma"/>
          <w:szCs w:val="20"/>
          <w:lang w:eastAsia="it-IT"/>
        </w:rPr>
        <w:t>SeS</w:t>
      </w:r>
      <w:proofErr w:type="spellEnd"/>
      <w:r w:rsidRPr="00515872">
        <w:rPr>
          <w:rFonts w:eastAsia="Times New Roman" w:cs="Tahoma"/>
          <w:szCs w:val="20"/>
          <w:lang w:eastAsia="it-IT"/>
        </w:rPr>
        <w:t xml:space="preserve">. Contiene la programmazione operativa dell'ente avendo a riferimento un arco temporale sia annuale che pluriennale. </w:t>
      </w:r>
    </w:p>
    <w:p w14:paraId="1E463467" w14:textId="77777777" w:rsidR="009518AF" w:rsidRPr="00515872" w:rsidRDefault="009518AF" w:rsidP="00634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La </w:t>
      </w:r>
      <w:proofErr w:type="spellStart"/>
      <w:r w:rsidRPr="00515872">
        <w:rPr>
          <w:rFonts w:eastAsia="Times New Roman" w:cs="Tahoma"/>
          <w:szCs w:val="20"/>
          <w:lang w:eastAsia="it-IT"/>
        </w:rPr>
        <w:t>SeO</w:t>
      </w:r>
      <w:proofErr w:type="spellEnd"/>
      <w:r w:rsidRPr="00515872">
        <w:rPr>
          <w:rFonts w:eastAsia="Times New Roman" w:cs="Tahoma"/>
          <w:szCs w:val="20"/>
          <w:lang w:eastAsia="it-IT"/>
        </w:rPr>
        <w:t xml:space="preserve"> è redatta, per il suo contenuto finanziario:</w:t>
      </w:r>
    </w:p>
    <w:p w14:paraId="06551AD4" w14:textId="77777777" w:rsidR="009518AF" w:rsidRPr="00515872" w:rsidRDefault="009518AF" w:rsidP="006345DC">
      <w:pPr>
        <w:pStyle w:val="Paragrafoelenco"/>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84"/>
        <w:jc w:val="both"/>
        <w:rPr>
          <w:rFonts w:eastAsia="Times New Roman" w:cs="Tahoma"/>
          <w:szCs w:val="20"/>
          <w:lang w:eastAsia="it-IT"/>
        </w:rPr>
      </w:pPr>
      <w:r w:rsidRPr="00515872">
        <w:rPr>
          <w:rFonts w:eastAsia="Times New Roman" w:cs="Tahoma"/>
          <w:szCs w:val="20"/>
          <w:lang w:eastAsia="it-IT"/>
        </w:rPr>
        <w:t>per competenza con riferimento all'intero periodo considerato;</w:t>
      </w:r>
    </w:p>
    <w:p w14:paraId="09F2EE77" w14:textId="77777777" w:rsidR="009518AF" w:rsidRPr="00515872" w:rsidRDefault="009518AF" w:rsidP="006345DC">
      <w:pPr>
        <w:pStyle w:val="Paragrafoelenco"/>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84"/>
        <w:jc w:val="both"/>
        <w:rPr>
          <w:rFonts w:eastAsia="Times New Roman" w:cs="Tahoma"/>
          <w:szCs w:val="20"/>
          <w:lang w:eastAsia="it-IT"/>
        </w:rPr>
      </w:pPr>
      <w:r w:rsidRPr="00515872">
        <w:rPr>
          <w:rFonts w:eastAsia="Times New Roman" w:cs="Tahoma"/>
          <w:szCs w:val="20"/>
          <w:lang w:eastAsia="it-IT"/>
        </w:rPr>
        <w:t>per cassa con riferimento al primo esercizio.</w:t>
      </w:r>
    </w:p>
    <w:p w14:paraId="47B30E9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Si fonda su valutazioni di natura economico-patrimoniale e copre un arco temporale pari a quello del bilancio di previsione. </w:t>
      </w:r>
    </w:p>
    <w:p w14:paraId="3B439C0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Essa supporta il processo di previsione per la predisposizione della manovra di bilancio. </w:t>
      </w:r>
    </w:p>
    <w:p w14:paraId="2BC4DAC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La </w:t>
      </w:r>
      <w:proofErr w:type="spellStart"/>
      <w:r w:rsidRPr="00515872">
        <w:rPr>
          <w:rFonts w:eastAsia="Times New Roman" w:cs="Tahoma"/>
          <w:szCs w:val="20"/>
          <w:lang w:eastAsia="it-IT"/>
        </w:rPr>
        <w:t>SeO</w:t>
      </w:r>
      <w:proofErr w:type="spellEnd"/>
      <w:r w:rsidRPr="00515872">
        <w:rPr>
          <w:rFonts w:eastAsia="Times New Roman" w:cs="Tahoma"/>
          <w:szCs w:val="20"/>
          <w:lang w:eastAsia="it-IT"/>
        </w:rPr>
        <w:t xml:space="preserve"> individua, per ogni singola missione, i programmi che l'ente intende realizzare per conseguire gli obiettivi strategici definiti nella </w:t>
      </w:r>
      <w:proofErr w:type="spellStart"/>
      <w:r w:rsidRPr="00515872">
        <w:rPr>
          <w:rFonts w:eastAsia="Times New Roman" w:cs="Tahoma"/>
          <w:szCs w:val="20"/>
          <w:lang w:eastAsia="it-IT"/>
        </w:rPr>
        <w:t>SeS</w:t>
      </w:r>
      <w:proofErr w:type="spellEnd"/>
      <w:r w:rsidRPr="00515872">
        <w:rPr>
          <w:rFonts w:eastAsia="Times New Roman" w:cs="Tahoma"/>
          <w:szCs w:val="20"/>
          <w:lang w:eastAsia="it-IT"/>
        </w:rPr>
        <w:t>. Per ogni programma e per tutto il periodo di riferimento individua gli obiettivi operativi annuali da raggiungere.</w:t>
      </w:r>
    </w:p>
    <w:p w14:paraId="3A0B081F"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Il contenuto minimo è costituito: </w:t>
      </w:r>
    </w:p>
    <w:p w14:paraId="54436DB2"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dall'indicazione degli indirizzi e degli obiettivi degli organismi facenti parte del gruppo amministrazione pubblica;</w:t>
      </w:r>
    </w:p>
    <w:p w14:paraId="39D416BD"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dalla dimostrazione della coerenza delle previsioni di bilancio con gli strumenti urbanistici vigenti;</w:t>
      </w:r>
    </w:p>
    <w:p w14:paraId="187918AB"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lastRenderedPageBreak/>
        <w:t>per la parte entrata, da una valutazione generale sui mezzi finanziari, individuando le fonti di finanziamento ed evidenziando l'andamento storico degli stessi ed i relativi vincoli;</w:t>
      </w:r>
    </w:p>
    <w:p w14:paraId="78B420F3"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dagli indirizzi in materia di tributi e tariffe dei servizi;</w:t>
      </w:r>
    </w:p>
    <w:p w14:paraId="3160F966"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dagli indirizzi sul ricorso all'indebitamento per il finanziamento degli investimenti;</w:t>
      </w:r>
    </w:p>
    <w:p w14:paraId="704C7FEA"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per la parte spesa, da una redazione per programmi all'interno delle missioni, con indicazione delle finalità che si intendono conseguire, della motivazione delle scelte di indirizzo effettuate e delle risorse umane e strumentali ad esse destinate;</w:t>
      </w:r>
    </w:p>
    <w:p w14:paraId="41D4273F"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dall'analisi e valutazione degli impegni pluriennali di spesa già assunti;</w:t>
      </w:r>
    </w:p>
    <w:p w14:paraId="02F283D1"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dalla valutazione sulla situazione economico-finanziaria degli organismi gestionali esterni;</w:t>
      </w:r>
    </w:p>
    <w:p w14:paraId="2CB799EE" w14:textId="77777777" w:rsidR="000146C6"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dalla programmazione dei lavori pubblici svolta in conformità ad un programma triennale e ai suoi aggiornamenti annuali;</w:t>
      </w:r>
    </w:p>
    <w:p w14:paraId="1A99115D" w14:textId="77777777" w:rsidR="000146C6" w:rsidRPr="00515872" w:rsidRDefault="000146C6"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dalla programmazione degli acquisti di beni e servizi svolta in conformità al programma biennale di forniture e servizi</w:t>
      </w:r>
      <w:r w:rsidR="00545C4F" w:rsidRPr="00515872">
        <w:rPr>
          <w:rFonts w:eastAsia="Times New Roman" w:cs="Tahoma"/>
          <w:lang w:eastAsia="it-IT"/>
        </w:rPr>
        <w:t>;</w:t>
      </w:r>
    </w:p>
    <w:p w14:paraId="7D3BD55A"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dalla programmazione del fabbisogno di personale a livello triennale e annuale;</w:t>
      </w:r>
    </w:p>
    <w:p w14:paraId="7B74E337" w14:textId="77777777" w:rsidR="009518AF" w:rsidRPr="00515872" w:rsidRDefault="009518AF" w:rsidP="00D65838">
      <w:pPr>
        <w:pStyle w:val="Paragrafoelenco"/>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dal piano delle alienazioni e valor</w:t>
      </w:r>
      <w:r w:rsidR="00545C4F" w:rsidRPr="00515872">
        <w:rPr>
          <w:rFonts w:eastAsia="Times New Roman" w:cs="Tahoma"/>
          <w:szCs w:val="20"/>
          <w:lang w:eastAsia="it-IT"/>
        </w:rPr>
        <w:t>izzazioni dei beni patrimoniali.</w:t>
      </w:r>
    </w:p>
    <w:p w14:paraId="4E3DA932"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szCs w:val="20"/>
          <w:lang w:eastAsia="it-IT"/>
        </w:rPr>
      </w:pPr>
      <w:r w:rsidRPr="00515872">
        <w:rPr>
          <w:rFonts w:eastAsia="Times New Roman" w:cs="Tahoma"/>
          <w:szCs w:val="20"/>
          <w:lang w:eastAsia="it-IT"/>
        </w:rPr>
        <w:t xml:space="preserve">La </w:t>
      </w:r>
      <w:proofErr w:type="spellStart"/>
      <w:r w:rsidRPr="00515872">
        <w:rPr>
          <w:rFonts w:eastAsia="Times New Roman" w:cs="Tahoma"/>
          <w:szCs w:val="20"/>
          <w:lang w:eastAsia="it-IT"/>
        </w:rPr>
        <w:t>SeO</w:t>
      </w:r>
      <w:proofErr w:type="spellEnd"/>
      <w:r w:rsidRPr="00515872">
        <w:rPr>
          <w:rFonts w:eastAsia="Times New Roman" w:cs="Tahoma"/>
          <w:szCs w:val="20"/>
          <w:lang w:eastAsia="it-IT"/>
        </w:rPr>
        <w:t xml:space="preserve"> si struttura in due parti fondamentali: </w:t>
      </w:r>
    </w:p>
    <w:p w14:paraId="2E90B284" w14:textId="77777777" w:rsidR="009518AF" w:rsidRPr="00515872" w:rsidRDefault="009518AF"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parte 1: nella quale sono descritte le motivazioni delle scelte programmatiche effettuate, sia con riferimento all'ente sia al gruppo amministrazione pubblica, e definiti i singoli programmi da realizzare ed i relativi obiettivi annuali;</w:t>
      </w:r>
    </w:p>
    <w:p w14:paraId="001D3325" w14:textId="77777777" w:rsidR="009518AF" w:rsidRPr="00515872" w:rsidRDefault="009518AF"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parte 2: contenente la programmazione dettagliata, relativamente all'arco temporale di riferimento del DUP, delle opere pubbliche, del fabbisogno di personale e delle alienazioni e valorizzazioni del patrimonio.</w:t>
      </w:r>
    </w:p>
    <w:p w14:paraId="7B3FC6F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
          <w:szCs w:val="20"/>
          <w:lang w:eastAsia="it-IT"/>
        </w:rPr>
      </w:pPr>
      <w:r w:rsidRPr="00515872">
        <w:rPr>
          <w:rFonts w:eastAsia="Times New Roman" w:cs="Tahoma"/>
          <w:b/>
          <w:szCs w:val="20"/>
          <w:lang w:eastAsia="it-IT"/>
        </w:rPr>
        <w:t xml:space="preserve">Versione semplificata per enti minori </w:t>
      </w:r>
    </w:p>
    <w:p w14:paraId="58C0D83C" w14:textId="77777777" w:rsidR="00052B3B"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cs="Tahoma"/>
          <w:szCs w:val="20"/>
        </w:rPr>
        <w:t xml:space="preserve">Per gli enti locali con popolazione fino a 5.000 abitanti è prevista la predisposizione di un DUP in versione semplificata, come introdotta dal D.M. </w:t>
      </w:r>
      <w:r w:rsidR="00052B3B" w:rsidRPr="00515872">
        <w:rPr>
          <w:rFonts w:cs="Tahoma"/>
          <w:szCs w:val="20"/>
        </w:rPr>
        <w:t>18</w:t>
      </w:r>
      <w:r w:rsidRPr="00515872">
        <w:rPr>
          <w:rFonts w:cs="Tahoma"/>
          <w:szCs w:val="20"/>
        </w:rPr>
        <w:t xml:space="preserve"> maggio 201</w:t>
      </w:r>
      <w:r w:rsidR="00052B3B" w:rsidRPr="00515872">
        <w:rPr>
          <w:rFonts w:cs="Tahoma"/>
          <w:szCs w:val="20"/>
        </w:rPr>
        <w:t>8</w:t>
      </w:r>
      <w:r w:rsidRPr="00515872">
        <w:rPr>
          <w:rFonts w:cs="Tahoma"/>
          <w:szCs w:val="20"/>
        </w:rPr>
        <w:t xml:space="preserve"> concernente l’aggiornamento dei</w:t>
      </w:r>
      <w:r w:rsidR="001423F2" w:rsidRPr="00515872">
        <w:rPr>
          <w:rFonts w:cs="Tahoma"/>
          <w:szCs w:val="20"/>
        </w:rPr>
        <w:t xml:space="preserve"> principi contabili del </w:t>
      </w:r>
      <w:proofErr w:type="spellStart"/>
      <w:r w:rsidR="001423F2" w:rsidRPr="00515872">
        <w:rPr>
          <w:rFonts w:cs="Tahoma"/>
          <w:szCs w:val="20"/>
        </w:rPr>
        <w:t>D.Lgs.</w:t>
      </w:r>
      <w:proofErr w:type="spellEnd"/>
      <w:r w:rsidRPr="00515872">
        <w:rPr>
          <w:rFonts w:cs="Tahoma"/>
          <w:szCs w:val="20"/>
        </w:rPr>
        <w:t xml:space="preserve"> </w:t>
      </w:r>
      <w:r w:rsidR="006345DC" w:rsidRPr="00515872">
        <w:rPr>
          <w:rFonts w:cs="Tahoma"/>
          <w:szCs w:val="20"/>
        </w:rPr>
        <w:t xml:space="preserve">n. </w:t>
      </w:r>
      <w:r w:rsidRPr="00515872">
        <w:rPr>
          <w:rFonts w:cs="Tahoma"/>
          <w:szCs w:val="20"/>
        </w:rPr>
        <w:t xml:space="preserve">118/2011. </w:t>
      </w:r>
    </w:p>
    <w:p w14:paraId="79344A3D" w14:textId="77777777" w:rsidR="00052B3B" w:rsidRPr="00515872" w:rsidRDefault="00052B3B" w:rsidP="001423F2">
      <w:pPr>
        <w:spacing w:after="120" w:line="360" w:lineRule="auto"/>
        <w:jc w:val="both"/>
        <w:rPr>
          <w:rFonts w:eastAsia="Times New Roman" w:cs="Tahoma"/>
        </w:rPr>
      </w:pPr>
      <w:bookmarkStart w:id="142" w:name="_Toc521317097"/>
      <w:r w:rsidRPr="00515872">
        <w:rPr>
          <w:rFonts w:eastAsia="Times New Roman" w:cs="Tahoma"/>
        </w:rPr>
        <w:t>Il DUP semplificato deve indicare, per ogni singola missione attivata del bilancio</w:t>
      </w:r>
      <w:r w:rsidR="006345DC" w:rsidRPr="00515872">
        <w:rPr>
          <w:rFonts w:eastAsia="Times New Roman" w:cs="Tahoma"/>
        </w:rPr>
        <w:t xml:space="preserve"> di previsione</w:t>
      </w:r>
      <w:r w:rsidRPr="00515872">
        <w:rPr>
          <w:rFonts w:eastAsia="Times New Roman" w:cs="Tahoma"/>
        </w:rPr>
        <w:t xml:space="preserve">, gli obiettivi che l'ente intende realizzare negli esercizi considerati nel bilancio (anche se non compresi nel periodo di mandato). </w:t>
      </w:r>
    </w:p>
    <w:p w14:paraId="6610FB32" w14:textId="77777777" w:rsidR="00052B3B" w:rsidRPr="00515872" w:rsidRDefault="00052B3B" w:rsidP="001423F2">
      <w:pPr>
        <w:spacing w:after="120" w:line="360" w:lineRule="auto"/>
        <w:jc w:val="both"/>
        <w:rPr>
          <w:rFonts w:eastAsia="Times New Roman" w:cs="Tahoma"/>
        </w:rPr>
      </w:pPr>
      <w:r w:rsidRPr="00515872">
        <w:rPr>
          <w:rFonts w:eastAsia="Times New Roman" w:cs="Tahoma"/>
        </w:rPr>
        <w:t xml:space="preserve">Gli obiettivi individuati per ogni missione rappresentano la declinazione annuale e pluriennale degli indirizzi generali e costituiscono indirizzo vincolante per i successivi atti di programmazione, in applicazione del principio della coerenza tra i documenti di programmazione. </w:t>
      </w:r>
    </w:p>
    <w:p w14:paraId="3481A2E1" w14:textId="77777777" w:rsidR="00052B3B" w:rsidRPr="00515872" w:rsidRDefault="00052B3B" w:rsidP="006345DC">
      <w:pPr>
        <w:spacing w:after="0" w:line="360" w:lineRule="auto"/>
        <w:contextualSpacing/>
        <w:jc w:val="both"/>
        <w:rPr>
          <w:rFonts w:eastAsia="Times New Roman" w:cs="Tahoma"/>
        </w:rPr>
      </w:pPr>
      <w:r w:rsidRPr="00515872">
        <w:rPr>
          <w:rFonts w:eastAsia="Times New Roman" w:cs="Tahoma"/>
        </w:rPr>
        <w:t>A tal fine il D</w:t>
      </w:r>
      <w:r w:rsidR="001423F2" w:rsidRPr="00515872">
        <w:rPr>
          <w:rFonts w:eastAsia="Times New Roman" w:cs="Tahoma"/>
        </w:rPr>
        <w:t>UP</w:t>
      </w:r>
      <w:r w:rsidRPr="00515872">
        <w:rPr>
          <w:rFonts w:eastAsia="Times New Roman" w:cs="Tahoma"/>
        </w:rPr>
        <w:t xml:space="preserve"> semplificato deve contenere l’a</w:t>
      </w:r>
      <w:r w:rsidR="001423F2" w:rsidRPr="00515872">
        <w:rPr>
          <w:rFonts w:eastAsia="Times New Roman" w:cs="Tahoma"/>
        </w:rPr>
        <w:t>nalisi interna ed esterna dell’e</w:t>
      </w:r>
      <w:r w:rsidRPr="00515872">
        <w:rPr>
          <w:rFonts w:eastAsia="Times New Roman" w:cs="Tahoma"/>
        </w:rPr>
        <w:t>nte illustrando principalmente:</w:t>
      </w:r>
    </w:p>
    <w:p w14:paraId="6C5252EC" w14:textId="77777777" w:rsidR="00052B3B"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le risultanze dei dati relativi al territorio, alla popolazione, alla situazione socio economica dell’</w:t>
      </w:r>
      <w:r w:rsidR="001423F2" w:rsidRPr="00515872">
        <w:rPr>
          <w:rFonts w:eastAsia="Times New Roman" w:cs="Tahoma"/>
        </w:rPr>
        <w:t>e</w:t>
      </w:r>
      <w:r w:rsidRPr="00515872">
        <w:rPr>
          <w:rFonts w:eastAsia="Times New Roman" w:cs="Tahoma"/>
        </w:rPr>
        <w:t>nte;</w:t>
      </w:r>
    </w:p>
    <w:p w14:paraId="2D4428FD" w14:textId="77777777" w:rsidR="00052B3B"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l'organizzazione e la modalità di gestione dei servizi pubblici locali;</w:t>
      </w:r>
    </w:p>
    <w:p w14:paraId="2AE53220" w14:textId="77777777" w:rsidR="00052B3B"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la gestione delle risorse umane;</w:t>
      </w:r>
    </w:p>
    <w:p w14:paraId="35C0C2A7" w14:textId="77777777" w:rsidR="00052B3B"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lastRenderedPageBreak/>
        <w:t>i vincoli di finanza pubblica.</w:t>
      </w:r>
    </w:p>
    <w:p w14:paraId="3EF85004" w14:textId="77777777" w:rsidR="00C02975" w:rsidRPr="00515872" w:rsidRDefault="00052B3B" w:rsidP="001423F2">
      <w:pPr>
        <w:spacing w:after="0" w:line="360" w:lineRule="auto"/>
        <w:jc w:val="both"/>
        <w:rPr>
          <w:rFonts w:eastAsia="Times New Roman" w:cs="Tahoma"/>
        </w:rPr>
      </w:pPr>
      <w:r w:rsidRPr="00515872">
        <w:rPr>
          <w:rFonts w:eastAsia="Times New Roman" w:cs="Tahoma"/>
        </w:rPr>
        <w:t>Con riferimento al</w:t>
      </w:r>
      <w:r w:rsidR="001423F2" w:rsidRPr="00515872">
        <w:rPr>
          <w:rFonts w:eastAsia="Times New Roman" w:cs="Tahoma"/>
        </w:rPr>
        <w:t xml:space="preserve">l'arco temporale </w:t>
      </w:r>
      <w:r w:rsidRPr="00515872">
        <w:rPr>
          <w:rFonts w:eastAsia="Times New Roman" w:cs="Tahoma"/>
        </w:rPr>
        <w:t>del bilancio di pre</w:t>
      </w:r>
      <w:r w:rsidR="00C02975" w:rsidRPr="00515872">
        <w:rPr>
          <w:rFonts w:eastAsia="Times New Roman" w:cs="Tahoma"/>
        </w:rPr>
        <w:t>visione almeno triennale</w:t>
      </w:r>
      <w:r w:rsidR="001423F2" w:rsidRPr="00515872">
        <w:rPr>
          <w:rFonts w:eastAsia="Times New Roman" w:cs="Tahoma"/>
        </w:rPr>
        <w:t>,</w:t>
      </w:r>
      <w:r w:rsidR="00C02975" w:rsidRPr="00515872">
        <w:rPr>
          <w:rFonts w:eastAsia="Times New Roman" w:cs="Tahoma"/>
        </w:rPr>
        <w:t xml:space="preserve"> il DUP </w:t>
      </w:r>
      <w:r w:rsidRPr="00515872">
        <w:rPr>
          <w:rFonts w:eastAsia="Times New Roman" w:cs="Tahoma"/>
        </w:rPr>
        <w:t>semplificato deve definire gli in</w:t>
      </w:r>
      <w:r w:rsidR="00C02975" w:rsidRPr="00515872">
        <w:rPr>
          <w:rFonts w:eastAsia="Times New Roman" w:cs="Tahoma"/>
        </w:rPr>
        <w:t>dirizzi generali in relazione:</w:t>
      </w:r>
    </w:p>
    <w:p w14:paraId="57229101" w14:textId="77777777" w:rsidR="00052B3B" w:rsidRPr="00515872" w:rsidRDefault="00C02975"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alle entrate, con particolare riferimento:</w:t>
      </w:r>
    </w:p>
    <w:p w14:paraId="6421AE40" w14:textId="77777777" w:rsidR="00C02975"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ai tributi e alle tariffe dei servizi pubblici;</w:t>
      </w:r>
    </w:p>
    <w:p w14:paraId="7B26B3C0" w14:textId="77777777" w:rsidR="00C02975"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 reperimento e all’impiego di risorse straordinarie e in conto capitale;</w:t>
      </w:r>
    </w:p>
    <w:p w14:paraId="16CAB92D" w14:textId="77777777" w:rsidR="00C02975"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all’indebitamento con analisi della relativa sostenibilità;</w:t>
      </w:r>
    </w:p>
    <w:p w14:paraId="7A2EA087" w14:textId="77777777" w:rsidR="00C02975" w:rsidRPr="00515872" w:rsidRDefault="00C02975"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alle spese</w:t>
      </w:r>
      <w:r w:rsidR="000C44AA" w:rsidRPr="00515872">
        <w:rPr>
          <w:rFonts w:eastAsia="Times New Roman" w:cs="Tahoma"/>
          <w:lang w:eastAsia="it-IT"/>
        </w:rPr>
        <w:t>,</w:t>
      </w:r>
      <w:r w:rsidRPr="00515872">
        <w:rPr>
          <w:rFonts w:eastAsia="Times New Roman" w:cs="Tahoma"/>
          <w:lang w:eastAsia="it-IT"/>
        </w:rPr>
        <w:t xml:space="preserve"> con particolare riferimento:</w:t>
      </w:r>
    </w:p>
    <w:p w14:paraId="69D1492F" w14:textId="77777777" w:rsidR="00C02975"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alla spesa corrente, con specifico rilievo alla gestione delle funzioni fondamentali, alla programmazione del fabbisogno di personale e degli acquisti di beni e servizi;</w:t>
      </w:r>
    </w:p>
    <w:p w14:paraId="1CF190E1" w14:textId="77777777" w:rsidR="00C02975"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agli investimenti e alla realizzazione delle opere pubbliche con indicazione del fabbisogno in termini di spesa per ciascuno degli anni dell’arco temporale di riferimento;</w:t>
      </w:r>
    </w:p>
    <w:p w14:paraId="7A4FC46D" w14:textId="77777777" w:rsidR="00052B3B" w:rsidRPr="00515872" w:rsidRDefault="00C02975" w:rsidP="00D65838">
      <w:pPr>
        <w:pStyle w:val="Paragrafoelenco"/>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ai programmi ed ai progetti di investimento in corso di esecuzione e non ancora conclusi;</w:t>
      </w:r>
    </w:p>
    <w:p w14:paraId="612F8EBE" w14:textId="77777777" w:rsidR="00C02975" w:rsidRPr="00515872" w:rsidRDefault="00C02975"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 raggiungimento degli equilibri della situazione corrente e generali del bilancio ed ai relativi equilibri in termini di cassa;</w:t>
      </w:r>
    </w:p>
    <w:p w14:paraId="788406AE" w14:textId="77777777" w:rsidR="00C02975" w:rsidRPr="00515872" w:rsidRDefault="00C02975"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ai principali obiettivi delle missioni attivate;</w:t>
      </w:r>
    </w:p>
    <w:p w14:paraId="7C01447B" w14:textId="77777777" w:rsidR="00C02975"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alla gestione del patrimonio con particolare riferimento alla programmazione urbanistica e del territorio, alla programmazione dei lavori pubblici e delle alienazioni e valorizzazioni dei beni patrimoniali;</w:t>
      </w:r>
    </w:p>
    <w:p w14:paraId="57AD2BE0" w14:textId="77777777" w:rsidR="00C02975" w:rsidRPr="00515872" w:rsidRDefault="001423F2"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agli obiettivi del g</w:t>
      </w:r>
      <w:r w:rsidR="00052B3B" w:rsidRPr="00515872">
        <w:rPr>
          <w:rFonts w:eastAsia="Times New Roman" w:cs="Tahoma"/>
          <w:lang w:eastAsia="it-IT"/>
        </w:rPr>
        <w:t xml:space="preserve">ruppo </w:t>
      </w:r>
      <w:r w:rsidRPr="00515872">
        <w:rPr>
          <w:rFonts w:eastAsia="Times New Roman" w:cs="Tahoma"/>
          <w:lang w:eastAsia="it-IT"/>
        </w:rPr>
        <w:t>a</w:t>
      </w:r>
      <w:r w:rsidR="00052B3B" w:rsidRPr="00515872">
        <w:rPr>
          <w:rFonts w:eastAsia="Times New Roman" w:cs="Tahoma"/>
          <w:lang w:eastAsia="it-IT"/>
        </w:rPr>
        <w:t xml:space="preserve">mministrazione </w:t>
      </w:r>
      <w:r w:rsidRPr="00515872">
        <w:rPr>
          <w:rFonts w:eastAsia="Times New Roman" w:cs="Tahoma"/>
          <w:lang w:eastAsia="it-IT"/>
        </w:rPr>
        <w:t>p</w:t>
      </w:r>
      <w:r w:rsidR="00052B3B" w:rsidRPr="00515872">
        <w:rPr>
          <w:rFonts w:eastAsia="Times New Roman" w:cs="Tahoma"/>
          <w:lang w:eastAsia="it-IT"/>
        </w:rPr>
        <w:t>ubblica</w:t>
      </w:r>
      <w:r w:rsidR="008A7717" w:rsidRPr="00515872">
        <w:rPr>
          <w:rFonts w:eastAsia="Times New Roman" w:cs="Tahoma"/>
          <w:lang w:eastAsia="it-IT"/>
        </w:rPr>
        <w:t xml:space="preserve"> (GAP)</w:t>
      </w:r>
      <w:r w:rsidR="00052B3B" w:rsidRPr="00515872">
        <w:rPr>
          <w:rFonts w:eastAsia="Times New Roman" w:cs="Tahoma"/>
          <w:lang w:eastAsia="it-IT"/>
        </w:rPr>
        <w:t>;</w:t>
      </w:r>
    </w:p>
    <w:p w14:paraId="297920B2" w14:textId="77777777" w:rsidR="00C02975"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rPr>
        <w:t>al piano triennale di razionalizzazione e riqualificazione della spesa;</w:t>
      </w:r>
    </w:p>
    <w:p w14:paraId="26E80ADB" w14:textId="77777777" w:rsidR="00C02975" w:rsidRPr="00515872" w:rsidRDefault="00052B3B" w:rsidP="00D65838">
      <w:pPr>
        <w:pStyle w:val="Paragrafoelenco"/>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lang w:eastAsia="it-IT"/>
        </w:rPr>
        <w:t>ad altri eventuali strumenti di programmazione.</w:t>
      </w:r>
    </w:p>
    <w:p w14:paraId="2EF54442" w14:textId="77777777" w:rsidR="00052B3B" w:rsidRPr="00515872" w:rsidRDefault="00052B3B" w:rsidP="00C02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rPr>
      </w:pPr>
      <w:r w:rsidRPr="00515872">
        <w:rPr>
          <w:rFonts w:eastAsia="Times New Roman" w:cs="Tahoma"/>
        </w:rPr>
        <w:t>Ai Comuni con popolazione fino a 2.000 abitanti è consentito di redigere il</w:t>
      </w:r>
      <w:r w:rsidR="00C02975" w:rsidRPr="00515872">
        <w:rPr>
          <w:rFonts w:eastAsia="Times New Roman" w:cs="Tahoma"/>
        </w:rPr>
        <w:t xml:space="preserve"> </w:t>
      </w:r>
      <w:r w:rsidRPr="00515872">
        <w:rPr>
          <w:rFonts w:eastAsia="Times New Roman" w:cs="Tahoma"/>
        </w:rPr>
        <w:t>DUP in forma ulteriormente se</w:t>
      </w:r>
      <w:r w:rsidR="00C02975" w:rsidRPr="00515872">
        <w:rPr>
          <w:rFonts w:eastAsia="Times New Roman" w:cs="Tahoma"/>
        </w:rPr>
        <w:t xml:space="preserve">mplificata </w:t>
      </w:r>
      <w:r w:rsidR="002B1738" w:rsidRPr="00515872">
        <w:rPr>
          <w:rFonts w:eastAsia="Times New Roman" w:cs="Tahoma"/>
        </w:rPr>
        <w:t>attraverso l’illustrazione</w:t>
      </w:r>
      <w:r w:rsidRPr="00515872">
        <w:rPr>
          <w:rFonts w:eastAsia="Times New Roman" w:cs="Tahoma"/>
        </w:rPr>
        <w:t xml:space="preserve"> delle spese programmate e delle entrate previste per il loro finanziamento, in parte c</w:t>
      </w:r>
      <w:r w:rsidR="00C02975" w:rsidRPr="00515872">
        <w:rPr>
          <w:rFonts w:eastAsia="Times New Roman" w:cs="Tahoma"/>
        </w:rPr>
        <w:t>orrente e in parte investimenti</w:t>
      </w:r>
      <w:r w:rsidRPr="00515872">
        <w:rPr>
          <w:rFonts w:eastAsia="Times New Roman" w:cs="Tahoma"/>
        </w:rPr>
        <w:t>.</w:t>
      </w:r>
    </w:p>
    <w:p w14:paraId="12486382" w14:textId="77777777" w:rsidR="00C02975" w:rsidRPr="00515872" w:rsidRDefault="00052B3B" w:rsidP="001F48D8">
      <w:pPr>
        <w:spacing w:after="120" w:line="360" w:lineRule="auto"/>
        <w:rPr>
          <w:rFonts w:eastAsia="Times New Roman" w:cs="Tahoma"/>
        </w:rPr>
      </w:pPr>
      <w:r w:rsidRPr="00515872">
        <w:rPr>
          <w:rFonts w:eastAsia="Times New Roman" w:cs="Tahoma"/>
        </w:rPr>
        <w:t>Il DUP</w:t>
      </w:r>
      <w:r w:rsidR="00C02975" w:rsidRPr="00515872">
        <w:rPr>
          <w:rFonts w:eastAsia="Times New Roman" w:cs="Tahoma"/>
        </w:rPr>
        <w:t xml:space="preserve"> d</w:t>
      </w:r>
      <w:r w:rsidR="002B1738" w:rsidRPr="00515872">
        <w:rPr>
          <w:rFonts w:eastAsia="Times New Roman" w:cs="Tahoma"/>
        </w:rPr>
        <w:t>eve</w:t>
      </w:r>
      <w:r w:rsidR="00C02975" w:rsidRPr="00515872">
        <w:rPr>
          <w:rFonts w:eastAsia="Times New Roman" w:cs="Tahoma"/>
        </w:rPr>
        <w:t xml:space="preserve"> in ogni caso illustrare:</w:t>
      </w:r>
    </w:p>
    <w:p w14:paraId="7E1E294C"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l'organizzazione e la modalità di gestione dei servizi pubblici ai cittadini con particolare riferimento alle gestioni associate;</w:t>
      </w:r>
    </w:p>
    <w:p w14:paraId="662335DA"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la coerenza della programmazione con gli strumenti urbanistici vigenti;</w:t>
      </w:r>
    </w:p>
    <w:p w14:paraId="6FD5E61A"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la politica tributaria e tariffaria;</w:t>
      </w:r>
    </w:p>
    <w:p w14:paraId="7BE96196"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l’organizzazione dell’</w:t>
      </w:r>
      <w:r w:rsidR="002B1738" w:rsidRPr="00515872">
        <w:rPr>
          <w:rFonts w:eastAsia="Times New Roman" w:cs="Tahoma"/>
        </w:rPr>
        <w:t>e</w:t>
      </w:r>
      <w:r w:rsidRPr="00515872">
        <w:rPr>
          <w:rFonts w:eastAsia="Times New Roman" w:cs="Tahoma"/>
        </w:rPr>
        <w:t>nte e del suo personale;</w:t>
      </w:r>
    </w:p>
    <w:p w14:paraId="4351B84B"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il piano degli investimenti e il relativo finanziamento;</w:t>
      </w:r>
    </w:p>
    <w:p w14:paraId="3117F861" w14:textId="77777777" w:rsidR="00C02975" w:rsidRPr="00515872" w:rsidRDefault="00052B3B" w:rsidP="00D65838">
      <w:pPr>
        <w:pStyle w:val="Paragrafoelenco"/>
        <w:numPr>
          <w:ilvl w:val="0"/>
          <w:numId w:val="98"/>
        </w:numPr>
        <w:spacing w:after="120" w:line="360" w:lineRule="auto"/>
        <w:rPr>
          <w:rFonts w:eastAsia="Times New Roman" w:cs="Tahoma"/>
        </w:rPr>
      </w:pPr>
      <w:r w:rsidRPr="00515872">
        <w:rPr>
          <w:rFonts w:eastAsia="Times New Roman" w:cs="Tahoma"/>
        </w:rPr>
        <w:t>il rispetto delle regole di finanza pubblica.</w:t>
      </w:r>
    </w:p>
    <w:p w14:paraId="7FA060A0" w14:textId="77777777" w:rsidR="00277513" w:rsidRPr="00515872" w:rsidRDefault="00277513" w:rsidP="009518AF">
      <w:pPr>
        <w:pStyle w:val="Sottoparagrafo"/>
        <w:ind w:left="0" w:firstLine="0"/>
        <w:rPr>
          <w:rFonts w:cs="Tahoma"/>
          <w:highlight w:val="yellow"/>
          <w:lang w:eastAsia="it-IT"/>
        </w:rPr>
      </w:pPr>
    </w:p>
    <w:p w14:paraId="46A7CD97" w14:textId="77777777" w:rsidR="007708DB" w:rsidRPr="00515872" w:rsidRDefault="007708DB" w:rsidP="009518AF">
      <w:pPr>
        <w:pStyle w:val="Sottoparagrafo"/>
        <w:ind w:left="0" w:firstLine="0"/>
        <w:rPr>
          <w:rFonts w:cs="Tahoma"/>
          <w:highlight w:val="yellow"/>
          <w:lang w:eastAsia="it-IT"/>
        </w:rPr>
      </w:pPr>
    </w:p>
    <w:p w14:paraId="2E86F040" w14:textId="77777777" w:rsidR="009518AF" w:rsidRPr="00515872" w:rsidRDefault="009518AF" w:rsidP="009518AF">
      <w:pPr>
        <w:pStyle w:val="Sottoparagrafo"/>
        <w:ind w:left="0" w:firstLine="0"/>
        <w:rPr>
          <w:rFonts w:cs="Tahoma"/>
          <w:lang w:eastAsia="it-IT"/>
        </w:rPr>
      </w:pPr>
      <w:bookmarkStart w:id="143" w:name="_Toc95912276"/>
      <w:r w:rsidRPr="00515872">
        <w:rPr>
          <w:rFonts w:cs="Tahoma"/>
          <w:lang w:eastAsia="it-IT"/>
        </w:rPr>
        <w:lastRenderedPageBreak/>
        <w:t>4.6.2 Piano degli indicatori e dei risultati attesi di bilancio</w:t>
      </w:r>
      <w:bookmarkEnd w:id="142"/>
      <w:bookmarkEnd w:id="143"/>
    </w:p>
    <w:p w14:paraId="09BB8B4A" w14:textId="77777777" w:rsidR="009518AF" w:rsidRPr="00515872" w:rsidRDefault="009518AF" w:rsidP="009518AF">
      <w:pPr>
        <w:spacing w:line="360" w:lineRule="auto"/>
        <w:jc w:val="both"/>
        <w:rPr>
          <w:rFonts w:cs="Tahoma"/>
          <w:i/>
          <w:iCs/>
          <w:szCs w:val="20"/>
        </w:rPr>
      </w:pPr>
      <w:r w:rsidRPr="00515872">
        <w:rPr>
          <w:rFonts w:eastAsiaTheme="minorEastAsia" w:cs="Tahoma"/>
          <w:iCs/>
          <w:color w:val="000000"/>
          <w:szCs w:val="20"/>
        </w:rPr>
        <w:t>Il D.M. Interno 22 dicembre 2015 concernente il “Piano degli indicatori e dei risultati attesi di bilancio degli Enti Locali e dei loro Enti ed Organismi strumentali” dà attuazione all’art. 18-bis, c. 1</w:t>
      </w:r>
      <w:r w:rsidR="00E329E5" w:rsidRPr="00515872">
        <w:rPr>
          <w:rFonts w:eastAsiaTheme="minorEastAsia" w:cs="Tahoma"/>
          <w:iCs/>
          <w:color w:val="000000"/>
          <w:szCs w:val="20"/>
        </w:rPr>
        <w:t>,</w:t>
      </w:r>
      <w:r w:rsidRPr="00515872">
        <w:rPr>
          <w:rFonts w:eastAsiaTheme="minorEastAsia" w:cs="Tahoma"/>
          <w:iCs/>
          <w:color w:val="000000"/>
          <w:szCs w:val="20"/>
        </w:rPr>
        <w:t xml:space="preserve"> </w:t>
      </w:r>
      <w:proofErr w:type="spellStart"/>
      <w:r w:rsidR="00162947" w:rsidRPr="00515872">
        <w:rPr>
          <w:rFonts w:eastAsiaTheme="minorEastAsia" w:cs="Tahoma"/>
          <w:iCs/>
          <w:color w:val="000000"/>
          <w:szCs w:val="20"/>
        </w:rPr>
        <w:t>D.Lgs.</w:t>
      </w:r>
      <w:proofErr w:type="spellEnd"/>
      <w:r w:rsidRPr="00515872">
        <w:rPr>
          <w:rFonts w:eastAsiaTheme="minorEastAsia" w:cs="Tahoma"/>
          <w:iCs/>
          <w:color w:val="000000"/>
          <w:szCs w:val="20"/>
        </w:rPr>
        <w:t xml:space="preserve"> 23 giugno 2011, n. 118, il quale prevede che</w:t>
      </w:r>
      <w:r w:rsidR="002B1738" w:rsidRPr="00515872">
        <w:rPr>
          <w:rFonts w:eastAsiaTheme="minorEastAsia" w:cs="Tahoma"/>
          <w:iCs/>
          <w:color w:val="000000"/>
          <w:szCs w:val="20"/>
        </w:rPr>
        <w:t>:</w:t>
      </w:r>
      <w:r w:rsidRPr="00515872">
        <w:rPr>
          <w:rFonts w:eastAsiaTheme="minorEastAsia" w:cs="Tahoma"/>
          <w:iCs/>
          <w:color w:val="000000"/>
          <w:szCs w:val="20"/>
        </w:rPr>
        <w:t xml:space="preserve"> </w:t>
      </w:r>
      <w:r w:rsidRPr="00515872">
        <w:rPr>
          <w:rFonts w:eastAsiaTheme="minorEastAsia" w:cs="Tahoma"/>
          <w:i/>
          <w:iCs/>
          <w:color w:val="000000"/>
          <w:szCs w:val="20"/>
        </w:rPr>
        <w:t xml:space="preserve">“Al fine di consentire la comparazione dei bilanci, gli enti adottano un sistema di indicatori semplici, denominato </w:t>
      </w:r>
      <w:r w:rsidRPr="00515872">
        <w:rPr>
          <w:rFonts w:cs="Tahoma"/>
          <w:i/>
          <w:iCs/>
          <w:szCs w:val="20"/>
        </w:rPr>
        <w:t>«</w:t>
      </w:r>
      <w:r w:rsidRPr="00515872">
        <w:rPr>
          <w:rFonts w:eastAsiaTheme="minorEastAsia" w:cs="Tahoma"/>
          <w:i/>
          <w:iCs/>
          <w:color w:val="000000"/>
          <w:szCs w:val="20"/>
        </w:rPr>
        <w:t>Piano degli indicatori e dei risultati attesi di bilancio</w:t>
      </w:r>
      <w:r w:rsidRPr="00515872">
        <w:rPr>
          <w:rFonts w:cs="Tahoma"/>
          <w:i/>
          <w:iCs/>
          <w:szCs w:val="20"/>
        </w:rPr>
        <w:t xml:space="preserve"> </w:t>
      </w:r>
      <w:r w:rsidRPr="00515872">
        <w:rPr>
          <w:rFonts w:eastAsia="Times New Roman" w:cs="Tahoma"/>
          <w:i/>
          <w:iCs/>
          <w:szCs w:val="20"/>
          <w:lang w:eastAsia="it-IT"/>
        </w:rPr>
        <w:t>»</w:t>
      </w:r>
      <w:r w:rsidRPr="00515872">
        <w:rPr>
          <w:rFonts w:cs="Tahoma"/>
          <w:i/>
          <w:iCs/>
          <w:szCs w:val="20"/>
        </w:rPr>
        <w:t xml:space="preserve"> </w:t>
      </w:r>
      <w:r w:rsidRPr="00515872">
        <w:rPr>
          <w:rFonts w:eastAsiaTheme="minorEastAsia" w:cs="Tahoma"/>
          <w:i/>
          <w:iCs/>
          <w:color w:val="000000"/>
          <w:szCs w:val="20"/>
        </w:rPr>
        <w:t>misurabili e riferiti ai programmi e agli altri aggregati di bilancio, costituiti secondo criteri e metodologie comuni”.</w:t>
      </w:r>
    </w:p>
    <w:p w14:paraId="7ADB46A8"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Analoga disposizione è stata prevista per le regioni, con decreto del 9 dicembre 2015.</w:t>
      </w:r>
    </w:p>
    <w:p w14:paraId="4932A4C0"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Come previsto dalla norma e meglio esplicitato nel decreto attuativo, il piano deve essere adottato da regioni, enti locali e loro enti e organismi strumentali, per la prima volta con riferimento al rendiconto della gestione 2016 e al bilancio di previsione 2017-2019.</w:t>
      </w:r>
    </w:p>
    <w:p w14:paraId="36E72E32" w14:textId="77777777" w:rsidR="009518AF" w:rsidRPr="00515872" w:rsidRDefault="009518AF" w:rsidP="009518AF">
      <w:pPr>
        <w:spacing w:line="360" w:lineRule="auto"/>
        <w:jc w:val="both"/>
        <w:rPr>
          <w:rFonts w:cs="Tahoma"/>
          <w:szCs w:val="20"/>
        </w:rPr>
      </w:pPr>
      <w:r w:rsidRPr="00515872">
        <w:rPr>
          <w:rFonts w:cs="Tahoma"/>
          <w:color w:val="000000"/>
          <w:szCs w:val="20"/>
          <w:lang w:eastAsia="it-IT"/>
        </w:rPr>
        <w:t xml:space="preserve">Il piano degli indicatori </w:t>
      </w:r>
      <w:r w:rsidR="000E6B21" w:rsidRPr="00515872">
        <w:rPr>
          <w:rFonts w:cs="Tahoma"/>
          <w:color w:val="000000"/>
          <w:szCs w:val="20"/>
          <w:lang w:eastAsia="it-IT"/>
        </w:rPr>
        <w:t>è</w:t>
      </w:r>
      <w:r w:rsidRPr="00515872">
        <w:rPr>
          <w:rFonts w:cs="Tahoma"/>
          <w:color w:val="000000"/>
          <w:szCs w:val="20"/>
          <w:lang w:eastAsia="it-IT"/>
        </w:rPr>
        <w:t xml:space="preserve"> uno strumento della progr</w:t>
      </w:r>
      <w:r w:rsidR="000E6B21" w:rsidRPr="00515872">
        <w:rPr>
          <w:rFonts w:cs="Tahoma"/>
          <w:color w:val="000000"/>
          <w:szCs w:val="20"/>
          <w:lang w:eastAsia="it-IT"/>
        </w:rPr>
        <w:t>ammazione degli enti locali,</w:t>
      </w:r>
      <w:r w:rsidRPr="00515872">
        <w:rPr>
          <w:rFonts w:cs="Tahoma"/>
          <w:color w:val="000000"/>
          <w:szCs w:val="20"/>
          <w:lang w:eastAsia="it-IT"/>
        </w:rPr>
        <w:t xml:space="preserve"> finalizzato al monitoraggio degli obiettivi e dei risultati di bilancio.</w:t>
      </w:r>
      <w:r w:rsidR="000E6B21" w:rsidRPr="00515872">
        <w:rPr>
          <w:rFonts w:cs="Tahoma"/>
          <w:color w:val="000000"/>
          <w:szCs w:val="20"/>
          <w:lang w:eastAsia="it-IT"/>
        </w:rPr>
        <w:t xml:space="preserve"> </w:t>
      </w:r>
    </w:p>
    <w:p w14:paraId="5DE402D6" w14:textId="77777777" w:rsidR="009518AF" w:rsidRPr="00515872" w:rsidRDefault="009518AF" w:rsidP="009518AF">
      <w:pPr>
        <w:spacing w:line="360" w:lineRule="auto"/>
        <w:jc w:val="both"/>
        <w:rPr>
          <w:rFonts w:eastAsiaTheme="minorEastAsia" w:cs="Tahoma"/>
          <w:szCs w:val="20"/>
        </w:rPr>
      </w:pPr>
      <w:r w:rsidRPr="00515872">
        <w:rPr>
          <w:rFonts w:eastAsiaTheme="minorEastAsia" w:cs="Tahoma"/>
          <w:szCs w:val="20"/>
        </w:rPr>
        <w:t>In riferimento a ciascun programma, devono essere evidenziati gli obiettivi che l’ente si propone di realizzare per il triennio della programmazione finanziaria, individuati secondo la medesima definizione tecnica, unità di misura di riferimento e formula di calcolo per tutti gli enti.</w:t>
      </w:r>
    </w:p>
    <w:p w14:paraId="0F4DC14F" w14:textId="77777777" w:rsidR="009518AF" w:rsidRPr="00515872" w:rsidRDefault="009518AF" w:rsidP="009518AF">
      <w:pPr>
        <w:tabs>
          <w:tab w:val="left" w:pos="0"/>
        </w:tabs>
        <w:spacing w:line="360" w:lineRule="auto"/>
        <w:jc w:val="both"/>
        <w:rPr>
          <w:rFonts w:eastAsiaTheme="minorEastAsia" w:cs="Tahoma"/>
          <w:i/>
          <w:iCs/>
          <w:szCs w:val="20"/>
        </w:rPr>
      </w:pPr>
      <w:r w:rsidRPr="00515872">
        <w:rPr>
          <w:rFonts w:eastAsiaTheme="minorEastAsia" w:cs="Tahoma"/>
          <w:szCs w:val="20"/>
        </w:rPr>
        <w:t xml:space="preserve">Gli enti possono introdurre nel proprio piano ulteriori indicatori rispetto a quelli comuni previsti dai decreti ministeriali. </w:t>
      </w:r>
    </w:p>
    <w:p w14:paraId="34FDA6F4" w14:textId="77777777" w:rsidR="009518AF" w:rsidRPr="00515872" w:rsidRDefault="009518AF" w:rsidP="009518AF">
      <w:pPr>
        <w:spacing w:line="360" w:lineRule="auto"/>
        <w:jc w:val="both"/>
        <w:rPr>
          <w:rFonts w:eastAsiaTheme="minorEastAsia" w:cs="Tahoma"/>
          <w:szCs w:val="20"/>
        </w:rPr>
      </w:pPr>
      <w:r w:rsidRPr="00515872">
        <w:rPr>
          <w:rFonts w:eastAsiaTheme="minorEastAsia" w:cs="Tahoma"/>
          <w:szCs w:val="20"/>
        </w:rPr>
        <w:t>Annualmente il piano è aggiornato tramite la specificazione di nuovi obiettivi e indicatori.</w:t>
      </w:r>
    </w:p>
    <w:p w14:paraId="01FA9B69" w14:textId="77777777" w:rsidR="009518AF" w:rsidRPr="00515872" w:rsidRDefault="009518AF" w:rsidP="009518AF">
      <w:pPr>
        <w:spacing w:line="360" w:lineRule="auto"/>
        <w:jc w:val="both"/>
        <w:rPr>
          <w:rFonts w:cs="Tahoma"/>
          <w:szCs w:val="20"/>
        </w:rPr>
      </w:pPr>
      <w:r w:rsidRPr="00515872">
        <w:rPr>
          <w:rFonts w:eastAsiaTheme="minorEastAsia" w:cs="Tahoma"/>
          <w:szCs w:val="20"/>
        </w:rPr>
        <w:t xml:space="preserve">Il piano è pubblicato sul sito internet istituzionale </w:t>
      </w:r>
      <w:r w:rsidRPr="00515872">
        <w:rPr>
          <w:rFonts w:cs="Tahoma"/>
          <w:szCs w:val="20"/>
        </w:rPr>
        <w:t>dell'amministrazione nella sezione “Trasparenza, valutazione e merito”, accessibile dalla pagina principale.</w:t>
      </w:r>
    </w:p>
    <w:p w14:paraId="0628CA8A" w14:textId="77777777" w:rsidR="009518AF" w:rsidRPr="00515872" w:rsidRDefault="009518AF" w:rsidP="009518AF">
      <w:pPr>
        <w:spacing w:line="360" w:lineRule="auto"/>
        <w:jc w:val="both"/>
        <w:rPr>
          <w:rFonts w:eastAsiaTheme="minorEastAsia" w:cs="Tahoma"/>
          <w:szCs w:val="20"/>
        </w:rPr>
      </w:pPr>
      <w:r w:rsidRPr="00515872">
        <w:rPr>
          <w:rFonts w:eastAsiaTheme="minorEastAsia" w:cs="Tahoma"/>
          <w:szCs w:val="20"/>
        </w:rPr>
        <w:t>Gli enti locali ed i loro enti e organismi strumentali allegano il piano al bilancio di previsione o al budget di esercizio e al bilancio consuntivo o bilancio di esercizio.</w:t>
      </w:r>
    </w:p>
    <w:p w14:paraId="65EEB6DF" w14:textId="77777777" w:rsidR="00277513" w:rsidRPr="00515872" w:rsidRDefault="00277513" w:rsidP="009518AF">
      <w:pPr>
        <w:pStyle w:val="Sottoparagrafo"/>
        <w:rPr>
          <w:rFonts w:cs="Tahoma"/>
        </w:rPr>
      </w:pPr>
      <w:bookmarkStart w:id="144" w:name="_Toc521317098"/>
    </w:p>
    <w:p w14:paraId="11EA7653" w14:textId="77777777" w:rsidR="009518AF" w:rsidRPr="00515872" w:rsidRDefault="009518AF" w:rsidP="009518AF">
      <w:pPr>
        <w:pStyle w:val="Sottoparagrafo"/>
        <w:rPr>
          <w:rFonts w:cs="Tahoma"/>
        </w:rPr>
      </w:pPr>
      <w:bookmarkStart w:id="145" w:name="_Toc95912277"/>
      <w:r w:rsidRPr="00515872">
        <w:rPr>
          <w:rFonts w:cs="Tahoma"/>
        </w:rPr>
        <w:t>4.6.3 Relazione di inizio mandato</w:t>
      </w:r>
      <w:bookmarkEnd w:id="144"/>
      <w:bookmarkEnd w:id="145"/>
    </w:p>
    <w:p w14:paraId="6ACA193A"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Con l'art. 4-bis</w:t>
      </w:r>
      <w:r w:rsidR="003D6D4D" w:rsidRPr="00515872">
        <w:rPr>
          <w:rFonts w:eastAsiaTheme="minorEastAsia" w:cs="Tahoma"/>
          <w:iCs/>
          <w:color w:val="000000"/>
          <w:szCs w:val="20"/>
        </w:rPr>
        <w:t>,</w:t>
      </w:r>
      <w:r w:rsidRPr="00515872">
        <w:rPr>
          <w:rFonts w:eastAsiaTheme="minorEastAsia" w:cs="Tahoma"/>
          <w:iCs/>
          <w:color w:val="000000"/>
          <w:szCs w:val="20"/>
        </w:rPr>
        <w:t xml:space="preserve"> </w:t>
      </w:r>
      <w:proofErr w:type="spellStart"/>
      <w:r w:rsidR="00162947" w:rsidRPr="00515872">
        <w:rPr>
          <w:rFonts w:eastAsiaTheme="minorEastAsia" w:cs="Tahoma"/>
          <w:iCs/>
          <w:color w:val="000000"/>
          <w:szCs w:val="20"/>
        </w:rPr>
        <w:t>D.Lgs.</w:t>
      </w:r>
      <w:proofErr w:type="spellEnd"/>
      <w:r w:rsidRPr="00515872">
        <w:rPr>
          <w:rFonts w:eastAsiaTheme="minorEastAsia" w:cs="Tahoma"/>
          <w:iCs/>
          <w:color w:val="000000"/>
          <w:szCs w:val="20"/>
        </w:rPr>
        <w:t xml:space="preserve"> n. 149/2011 è stata introdotta dal legislatore la relazione di inizio mandato. Si tratta di uno strumento con il quale il sindaco eletto o il presidente della provincia dà conto di tutto </w:t>
      </w:r>
      <w:r w:rsidR="00EE4179" w:rsidRPr="00515872">
        <w:rPr>
          <w:rFonts w:eastAsiaTheme="minorEastAsia" w:cs="Tahoma"/>
          <w:iCs/>
          <w:color w:val="000000"/>
          <w:szCs w:val="20"/>
        </w:rPr>
        <w:t>ciò che trova</w:t>
      </w:r>
      <w:r w:rsidR="003D6D4D" w:rsidRPr="00515872">
        <w:rPr>
          <w:rFonts w:eastAsiaTheme="minorEastAsia" w:cs="Tahoma"/>
          <w:iCs/>
          <w:color w:val="000000"/>
          <w:szCs w:val="20"/>
        </w:rPr>
        <w:t xml:space="preserve"> al momento del suo insediamento</w:t>
      </w:r>
      <w:r w:rsidRPr="00515872">
        <w:rPr>
          <w:rFonts w:eastAsiaTheme="minorEastAsia" w:cs="Tahoma"/>
          <w:iCs/>
          <w:color w:val="000000"/>
          <w:szCs w:val="20"/>
        </w:rPr>
        <w:t>. Da essa deve emergere l'intervenuta verifica della situazione finanziaria e patrimoniale, nonché la misura dell'indebitamento dell'ente.</w:t>
      </w:r>
    </w:p>
    <w:p w14:paraId="6636C66C" w14:textId="77777777" w:rsidR="00EE4179" w:rsidRPr="00515872" w:rsidRDefault="00EE4179" w:rsidP="00EE4179">
      <w:pPr>
        <w:spacing w:line="360" w:lineRule="auto"/>
        <w:jc w:val="both"/>
        <w:rPr>
          <w:rFonts w:cs="Tahoma"/>
        </w:rPr>
      </w:pPr>
      <w:r w:rsidRPr="00515872">
        <w:rPr>
          <w:rFonts w:cs="Tahoma"/>
        </w:rPr>
        <w:t xml:space="preserve">La relazione, predisposta dal responsabile del servizio finanziario o dal segretario generale, è sottoscritta dal presidente della provincia o dal sindaco entro il novantesimo giorno dall'inizio del mandato. </w:t>
      </w:r>
    </w:p>
    <w:p w14:paraId="5E66FCEB" w14:textId="77777777" w:rsidR="00594E72" w:rsidRPr="00515872" w:rsidRDefault="009518AF" w:rsidP="009518AF">
      <w:pPr>
        <w:spacing w:line="360" w:lineRule="auto"/>
        <w:jc w:val="both"/>
        <w:rPr>
          <w:rFonts w:eastAsiaTheme="minorEastAsia" w:cs="Tahoma"/>
          <w:iCs/>
          <w:color w:val="000000"/>
          <w:szCs w:val="20"/>
        </w:rPr>
      </w:pPr>
      <w:r w:rsidRPr="00515872">
        <w:rPr>
          <w:rFonts w:eastAsia="Times New Roman" w:cs="Tahoma"/>
          <w:szCs w:val="20"/>
          <w:lang w:eastAsia="it-IT"/>
        </w:rPr>
        <w:lastRenderedPageBreak/>
        <w:t>In tale sede il sindaco o presidente di provincia deve effettuare un primo test finalizzato a verificare se la situazione finanziaria e patrimoniale dell’ente presenti squilibri strutturali in grado di pr</w:t>
      </w:r>
      <w:r w:rsidR="003D6D4D" w:rsidRPr="00515872">
        <w:rPr>
          <w:rFonts w:eastAsia="Times New Roman" w:cs="Tahoma"/>
          <w:szCs w:val="20"/>
          <w:lang w:eastAsia="it-IT"/>
        </w:rPr>
        <w:t xml:space="preserve">ovocare possibili </w:t>
      </w:r>
      <w:r w:rsidRPr="00515872">
        <w:rPr>
          <w:rFonts w:eastAsia="Times New Roman" w:cs="Tahoma"/>
          <w:szCs w:val="20"/>
          <w:lang w:eastAsia="it-IT"/>
        </w:rPr>
        <w:t>dissest</w:t>
      </w:r>
      <w:r w:rsidR="003D6D4D" w:rsidRPr="00515872">
        <w:rPr>
          <w:rFonts w:eastAsia="Times New Roman" w:cs="Tahoma"/>
          <w:szCs w:val="20"/>
          <w:lang w:eastAsia="it-IT"/>
        </w:rPr>
        <w:t>i</w:t>
      </w:r>
      <w:r w:rsidRPr="00515872">
        <w:rPr>
          <w:rFonts w:eastAsia="Times New Roman" w:cs="Tahoma"/>
          <w:szCs w:val="20"/>
          <w:lang w:eastAsia="it-IT"/>
        </w:rPr>
        <w:t>.</w:t>
      </w:r>
      <w:r w:rsidR="00EE4179" w:rsidRPr="00515872">
        <w:rPr>
          <w:rFonts w:eastAsia="Times New Roman" w:cs="Tahoma"/>
          <w:szCs w:val="20"/>
          <w:lang w:eastAsia="it-IT"/>
        </w:rPr>
        <w:t xml:space="preserve"> </w:t>
      </w:r>
      <w:r w:rsidR="00EE4179" w:rsidRPr="00515872">
        <w:rPr>
          <w:rFonts w:cs="Tahoma"/>
        </w:rPr>
        <w:t>Sulla base delle risultanze della relazione medesima, il presidente della provincia o il sindaco in carica, ove ne sussistano i presupposti, possono ricorrere alle procedure di riequilibrio finanziario.</w:t>
      </w:r>
    </w:p>
    <w:p w14:paraId="30019B7D" w14:textId="77777777" w:rsidR="00EE4179" w:rsidRPr="00515872" w:rsidRDefault="00EE4179" w:rsidP="00EE4179">
      <w:pPr>
        <w:spacing w:line="360" w:lineRule="auto"/>
        <w:jc w:val="both"/>
        <w:rPr>
          <w:rFonts w:eastAsia="Times New Roman" w:cs="Tahoma"/>
          <w:szCs w:val="20"/>
          <w:lang w:eastAsia="it-IT"/>
        </w:rPr>
      </w:pPr>
      <w:r w:rsidRPr="00515872">
        <w:rPr>
          <w:rFonts w:eastAsia="Times New Roman" w:cs="Tahoma"/>
          <w:szCs w:val="20"/>
          <w:lang w:eastAsia="it-IT"/>
        </w:rPr>
        <w:t>La relazione di inizio mandato è redatta al fine di garantire il coordinamento della finanza pubblica, il rispetto dell'unità economica e giuridica della Repubblica e il principio di trasparenza delle decisioni di entrata e di spesa.</w:t>
      </w:r>
    </w:p>
    <w:p w14:paraId="48B6D543" w14:textId="77777777" w:rsidR="00EE4179" w:rsidRPr="00515872" w:rsidRDefault="00EE4179" w:rsidP="00EE4179">
      <w:pPr>
        <w:spacing w:line="360" w:lineRule="auto"/>
        <w:jc w:val="both"/>
        <w:rPr>
          <w:rFonts w:eastAsia="Times New Roman" w:cs="Tahoma"/>
          <w:szCs w:val="20"/>
          <w:lang w:eastAsia="it-IT"/>
        </w:rPr>
      </w:pPr>
      <w:r w:rsidRPr="00515872">
        <w:rPr>
          <w:rFonts w:eastAsia="Times New Roman" w:cs="Tahoma"/>
          <w:szCs w:val="20"/>
          <w:lang w:eastAsia="it-IT"/>
        </w:rPr>
        <w:t>Non esiste uno schema di riferimento, pertanto ogni ente sceglie liberamente la modalità di esposizione dei dati e delle informazioni da riportare.</w:t>
      </w:r>
    </w:p>
    <w:p w14:paraId="292056CA" w14:textId="77777777" w:rsidR="000F6F86" w:rsidRPr="00515872" w:rsidRDefault="003D6D4D" w:rsidP="009518AF">
      <w:pPr>
        <w:spacing w:line="360" w:lineRule="auto"/>
        <w:jc w:val="both"/>
        <w:rPr>
          <w:rFonts w:eastAsiaTheme="minorEastAsia" w:cs="Tahoma"/>
          <w:iCs/>
          <w:color w:val="000000"/>
          <w:szCs w:val="20"/>
        </w:rPr>
      </w:pPr>
      <w:r w:rsidRPr="00515872">
        <w:rPr>
          <w:rFonts w:eastAsiaTheme="minorEastAsia" w:cs="Tahoma"/>
          <w:iCs/>
          <w:color w:val="000000"/>
          <w:szCs w:val="20"/>
        </w:rPr>
        <w:t xml:space="preserve">Benché talvolta venga richiesta dall’ente, </w:t>
      </w:r>
      <w:r w:rsidRPr="00515872">
        <w:rPr>
          <w:rFonts w:eastAsiaTheme="minorEastAsia" w:cs="Tahoma"/>
          <w:b/>
          <w:iCs/>
          <w:color w:val="000000"/>
          <w:szCs w:val="20"/>
        </w:rPr>
        <w:t>n</w:t>
      </w:r>
      <w:r w:rsidR="009518AF" w:rsidRPr="00515872">
        <w:rPr>
          <w:rFonts w:eastAsiaTheme="minorEastAsia" w:cs="Tahoma"/>
          <w:b/>
          <w:iCs/>
          <w:color w:val="000000"/>
          <w:szCs w:val="20"/>
        </w:rPr>
        <w:t xml:space="preserve">on </w:t>
      </w:r>
      <w:r w:rsidR="00466A48" w:rsidRPr="00515872">
        <w:rPr>
          <w:rFonts w:eastAsiaTheme="minorEastAsia" w:cs="Tahoma"/>
          <w:b/>
          <w:iCs/>
          <w:color w:val="000000"/>
          <w:szCs w:val="20"/>
        </w:rPr>
        <w:t>c’è</w:t>
      </w:r>
      <w:r w:rsidR="009518AF" w:rsidRPr="00515872">
        <w:rPr>
          <w:rFonts w:eastAsiaTheme="minorEastAsia" w:cs="Tahoma"/>
          <w:b/>
          <w:iCs/>
          <w:color w:val="000000"/>
          <w:szCs w:val="20"/>
        </w:rPr>
        <w:t xml:space="preserve"> obblig</w:t>
      </w:r>
      <w:r w:rsidR="00466A48" w:rsidRPr="00515872">
        <w:rPr>
          <w:rFonts w:eastAsiaTheme="minorEastAsia" w:cs="Tahoma"/>
          <w:b/>
          <w:iCs/>
          <w:color w:val="000000"/>
          <w:szCs w:val="20"/>
        </w:rPr>
        <w:t>o</w:t>
      </w:r>
      <w:r w:rsidR="009518AF" w:rsidRPr="00515872">
        <w:rPr>
          <w:rFonts w:eastAsiaTheme="minorEastAsia" w:cs="Tahoma"/>
          <w:b/>
          <w:iCs/>
          <w:color w:val="000000"/>
          <w:szCs w:val="20"/>
        </w:rPr>
        <w:t xml:space="preserve"> di certificazione da parte dell’organo di revisione</w:t>
      </w:r>
      <w:r w:rsidR="000F6F86" w:rsidRPr="00515872">
        <w:rPr>
          <w:rFonts w:eastAsiaTheme="minorEastAsia" w:cs="Tahoma"/>
          <w:iCs/>
          <w:color w:val="000000"/>
          <w:szCs w:val="20"/>
        </w:rPr>
        <w:t>.</w:t>
      </w:r>
    </w:p>
    <w:p w14:paraId="58AE48FD" w14:textId="77777777" w:rsidR="009518AF" w:rsidRPr="00515872" w:rsidRDefault="000F6F86" w:rsidP="009518AF">
      <w:pPr>
        <w:spacing w:line="360" w:lineRule="auto"/>
        <w:jc w:val="both"/>
        <w:rPr>
          <w:rFonts w:eastAsiaTheme="minorEastAsia" w:cs="Tahoma"/>
          <w:iCs/>
          <w:color w:val="000000"/>
          <w:szCs w:val="20"/>
        </w:rPr>
      </w:pPr>
      <w:r w:rsidRPr="00515872">
        <w:rPr>
          <w:rFonts w:eastAsiaTheme="minorEastAsia" w:cs="Tahoma"/>
          <w:iCs/>
          <w:color w:val="000000"/>
          <w:szCs w:val="20"/>
        </w:rPr>
        <w:t>Non vi è obbligo d</w:t>
      </w:r>
      <w:r w:rsidR="009518AF" w:rsidRPr="00515872">
        <w:rPr>
          <w:rFonts w:eastAsiaTheme="minorEastAsia" w:cs="Tahoma"/>
          <w:iCs/>
          <w:color w:val="000000"/>
          <w:szCs w:val="20"/>
        </w:rPr>
        <w:t>i trasmissione ad organismi esterni.</w:t>
      </w:r>
    </w:p>
    <w:p w14:paraId="3133084C" w14:textId="77777777" w:rsidR="00277513" w:rsidRPr="00515872" w:rsidRDefault="00277513" w:rsidP="009518AF">
      <w:pPr>
        <w:pStyle w:val="Sottoparagrafo"/>
        <w:rPr>
          <w:rFonts w:cs="Tahoma"/>
        </w:rPr>
      </w:pPr>
      <w:bookmarkStart w:id="146" w:name="_Toc521317099"/>
    </w:p>
    <w:p w14:paraId="0DD22527" w14:textId="77777777" w:rsidR="009518AF" w:rsidRPr="00515872" w:rsidRDefault="009518AF" w:rsidP="009518AF">
      <w:pPr>
        <w:pStyle w:val="Sottoparagrafo"/>
        <w:rPr>
          <w:rFonts w:cs="Tahoma"/>
        </w:rPr>
      </w:pPr>
      <w:bookmarkStart w:id="147" w:name="_Toc95912278"/>
      <w:r w:rsidRPr="00515872">
        <w:rPr>
          <w:rFonts w:cs="Tahoma"/>
        </w:rPr>
        <w:t>4.6.4 Relazione di fine mandato</w:t>
      </w:r>
      <w:bookmarkEnd w:id="146"/>
      <w:bookmarkEnd w:id="147"/>
    </w:p>
    <w:p w14:paraId="51E7FEF7"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 xml:space="preserve">Ai sensi dell’art. 4, </w:t>
      </w:r>
      <w:proofErr w:type="spellStart"/>
      <w:r w:rsidR="00162947" w:rsidRPr="00515872">
        <w:rPr>
          <w:rFonts w:eastAsiaTheme="minorEastAsia" w:cs="Tahoma"/>
          <w:iCs/>
          <w:color w:val="000000"/>
          <w:szCs w:val="20"/>
        </w:rPr>
        <w:t>D.Lgs.</w:t>
      </w:r>
      <w:proofErr w:type="spellEnd"/>
      <w:r w:rsidRPr="00515872">
        <w:rPr>
          <w:rFonts w:eastAsiaTheme="minorEastAsia" w:cs="Tahoma"/>
          <w:iCs/>
          <w:color w:val="000000"/>
          <w:szCs w:val="20"/>
        </w:rPr>
        <w:t xml:space="preserve"> 6 settembre 2011, n. 149, gli enti sono tenuti a predisporre una relazione di fine mandato che descriva la situazione finanziaria dell’ente e tutte le attività attuate durante il mandato.</w:t>
      </w:r>
    </w:p>
    <w:p w14:paraId="4C2D339B"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La relazione dà cont</w:t>
      </w:r>
      <w:r w:rsidR="000F6F86" w:rsidRPr="00515872">
        <w:rPr>
          <w:rFonts w:eastAsiaTheme="minorEastAsia" w:cs="Tahoma"/>
          <w:iCs/>
          <w:color w:val="000000"/>
          <w:szCs w:val="20"/>
        </w:rPr>
        <w:t>o</w:t>
      </w:r>
      <w:r w:rsidRPr="00515872">
        <w:rPr>
          <w:rFonts w:eastAsiaTheme="minorEastAsia" w:cs="Tahoma"/>
          <w:iCs/>
          <w:color w:val="000000"/>
          <w:szCs w:val="20"/>
        </w:rPr>
        <w:t xml:space="preserve"> dei saldi prodotti e delle iniziative intraprese attraverso le quali i cittadini vengono informati sulle reali ed effettive condizioni finanziarie dell’ente. Si configura quale strumento che garantisce, secondo i dettami dell’art. 1, c. 1</w:t>
      </w:r>
      <w:r w:rsidR="000F6F86" w:rsidRPr="00515872">
        <w:rPr>
          <w:rFonts w:eastAsiaTheme="minorEastAsia" w:cs="Tahoma"/>
          <w:iCs/>
          <w:color w:val="000000"/>
          <w:szCs w:val="20"/>
        </w:rPr>
        <w:t>,</w:t>
      </w:r>
      <w:r w:rsidRPr="00515872">
        <w:rPr>
          <w:rFonts w:eastAsiaTheme="minorEastAsia" w:cs="Tahoma"/>
          <w:iCs/>
          <w:color w:val="000000"/>
          <w:szCs w:val="20"/>
        </w:rPr>
        <w:t xml:space="preserve"> L. n. 42/2009, </w:t>
      </w:r>
      <w:r w:rsidRPr="00515872">
        <w:rPr>
          <w:rFonts w:eastAsiaTheme="minorEastAsia" w:cs="Tahoma"/>
          <w:i/>
          <w:iCs/>
          <w:color w:val="000000"/>
          <w:szCs w:val="20"/>
        </w:rPr>
        <w:t>“la massima responsabilizzazione, l’effettività e la trasparenza del controllo democratico nei confronti degli eletti”</w:t>
      </w:r>
      <w:r w:rsidRPr="00515872">
        <w:rPr>
          <w:rFonts w:eastAsiaTheme="minorEastAsia" w:cs="Tahoma"/>
          <w:iCs/>
          <w:color w:val="000000"/>
          <w:szCs w:val="20"/>
        </w:rPr>
        <w:t xml:space="preserve">. </w:t>
      </w:r>
    </w:p>
    <w:p w14:paraId="7D218E08" w14:textId="77777777" w:rsidR="009518AF" w:rsidRPr="00515872" w:rsidRDefault="009518AF" w:rsidP="009518AF">
      <w:pPr>
        <w:spacing w:after="0" w:line="360" w:lineRule="auto"/>
        <w:jc w:val="both"/>
        <w:rPr>
          <w:rFonts w:eastAsiaTheme="minorEastAsia" w:cs="Tahoma"/>
          <w:iCs/>
          <w:color w:val="000000"/>
          <w:szCs w:val="20"/>
        </w:rPr>
      </w:pPr>
      <w:r w:rsidRPr="00515872">
        <w:rPr>
          <w:rFonts w:eastAsiaTheme="minorEastAsia" w:cs="Tahoma"/>
          <w:iCs/>
          <w:color w:val="000000"/>
          <w:szCs w:val="20"/>
        </w:rPr>
        <w:t xml:space="preserve">Il contenuto della relazione stilata da comuni e province è disciplinato dall’art. 4, c. 4 del </w:t>
      </w:r>
      <w:proofErr w:type="spellStart"/>
      <w:r w:rsidR="00162947" w:rsidRPr="00515872">
        <w:rPr>
          <w:rFonts w:eastAsiaTheme="minorEastAsia" w:cs="Tahoma"/>
          <w:iCs/>
          <w:color w:val="000000"/>
          <w:szCs w:val="20"/>
        </w:rPr>
        <w:t>D.Lgs.</w:t>
      </w:r>
      <w:proofErr w:type="spellEnd"/>
      <w:r w:rsidRPr="00515872">
        <w:rPr>
          <w:rFonts w:eastAsiaTheme="minorEastAsia" w:cs="Tahoma"/>
          <w:iCs/>
          <w:color w:val="000000"/>
          <w:szCs w:val="20"/>
        </w:rPr>
        <w:t xml:space="preserve"> n. 149/2011 e fa riferimento a:</w:t>
      </w:r>
    </w:p>
    <w:p w14:paraId="0B52C91D"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t>sistema ed esiti dei controlli interni;</w:t>
      </w:r>
    </w:p>
    <w:p w14:paraId="01FA08EC"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t>eventuali rilievi della Corte dei Conti;</w:t>
      </w:r>
    </w:p>
    <w:p w14:paraId="7034FFBA"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t>azioni intraprese per il rispetto dei saldi di finanza pubblica programmati e stato del percorso di convergenza verso i fabbisogni standard;</w:t>
      </w:r>
    </w:p>
    <w:p w14:paraId="3C43730A"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t>situazione finanziaria e patrimoniale, anche evidenziando le carenze riscontrate nella gestione degli enti controlla</w:t>
      </w:r>
      <w:r w:rsidR="00FD79EA" w:rsidRPr="00515872">
        <w:rPr>
          <w:rFonts w:eastAsiaTheme="minorEastAsia" w:cs="Tahoma"/>
          <w:iCs/>
          <w:color w:val="000000"/>
          <w:szCs w:val="20"/>
        </w:rPr>
        <w:t>ti dal comune o dalla provincia e le</w:t>
      </w:r>
      <w:r w:rsidRPr="00515872">
        <w:rPr>
          <w:rFonts w:eastAsiaTheme="minorEastAsia" w:cs="Tahoma"/>
          <w:iCs/>
          <w:color w:val="000000"/>
          <w:szCs w:val="20"/>
        </w:rPr>
        <w:t xml:space="preserve"> azioni intraprese per porvi rimedio;</w:t>
      </w:r>
    </w:p>
    <w:p w14:paraId="02A129C4"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t>azioni intraprese per contenere la spesa e stato del percorso di convergenza ai fabbisogni standard, affiancato da indicatori quantitativi e qualitativi relativi agli output dei servizi resi, anche utilizzando come parametro di riferimento realtà rappresentative dell’offerta di prestazioni con il miglior rapporto qualità-costi;</w:t>
      </w:r>
    </w:p>
    <w:p w14:paraId="7BCC0397" w14:textId="77777777" w:rsidR="009518AF" w:rsidRPr="00515872" w:rsidRDefault="009518AF" w:rsidP="00D65838">
      <w:pPr>
        <w:pStyle w:val="Paragrafoelenco"/>
        <w:numPr>
          <w:ilvl w:val="0"/>
          <w:numId w:val="158"/>
        </w:numPr>
        <w:spacing w:line="360" w:lineRule="auto"/>
        <w:jc w:val="both"/>
        <w:rPr>
          <w:rFonts w:eastAsiaTheme="minorEastAsia" w:cs="Tahoma"/>
          <w:iCs/>
          <w:color w:val="000000"/>
          <w:szCs w:val="20"/>
        </w:rPr>
      </w:pPr>
      <w:r w:rsidRPr="00515872">
        <w:rPr>
          <w:rFonts w:eastAsiaTheme="minorEastAsia" w:cs="Tahoma"/>
          <w:iCs/>
          <w:color w:val="000000"/>
          <w:szCs w:val="20"/>
        </w:rPr>
        <w:lastRenderedPageBreak/>
        <w:t>quantificazione della misura dell’indebitamento provinciale o comunale.</w:t>
      </w:r>
    </w:p>
    <w:p w14:paraId="5CB2AB5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relazione di fine mandato, redatta dal responsabile del servizio finanziario o dal segretario generale, è sottoscritta dal presidente della provincia o dal sindaco non oltre i 60 giorni antecedenti la scadenza del mandato. Entro e non oltre 15 giorni dalla sottoscrizione</w:t>
      </w:r>
      <w:r w:rsidR="000F6F86" w:rsidRPr="00515872">
        <w:rPr>
          <w:rFonts w:eastAsia="Times New Roman" w:cs="Tahoma"/>
          <w:szCs w:val="20"/>
          <w:lang w:eastAsia="it-IT"/>
        </w:rPr>
        <w:t xml:space="preserve"> la</w:t>
      </w:r>
      <w:r w:rsidRPr="00515872">
        <w:rPr>
          <w:rFonts w:eastAsia="Times New Roman" w:cs="Tahoma"/>
          <w:szCs w:val="20"/>
          <w:lang w:eastAsia="it-IT"/>
        </w:rPr>
        <w:t xml:space="preserve"> relazione</w:t>
      </w:r>
      <w:r w:rsidR="000F6F86" w:rsidRPr="00515872">
        <w:rPr>
          <w:rFonts w:eastAsia="Times New Roman" w:cs="Tahoma"/>
          <w:szCs w:val="20"/>
          <w:lang w:eastAsia="it-IT"/>
        </w:rPr>
        <w:t xml:space="preserve"> </w:t>
      </w:r>
      <w:r w:rsidRPr="00515872">
        <w:rPr>
          <w:rFonts w:eastAsia="Times New Roman" w:cs="Tahoma"/>
          <w:szCs w:val="20"/>
          <w:lang w:eastAsia="it-IT"/>
        </w:rPr>
        <w:t xml:space="preserve">deve </w:t>
      </w:r>
      <w:r w:rsidR="000F6F86" w:rsidRPr="00515872">
        <w:rPr>
          <w:rFonts w:eastAsia="Times New Roman" w:cs="Tahoma"/>
          <w:szCs w:val="20"/>
          <w:lang w:eastAsia="it-IT"/>
        </w:rPr>
        <w:t>essere</w:t>
      </w:r>
      <w:r w:rsidRPr="00515872">
        <w:rPr>
          <w:rFonts w:eastAsia="Times New Roman" w:cs="Tahoma"/>
          <w:szCs w:val="20"/>
          <w:lang w:eastAsia="it-IT"/>
        </w:rPr>
        <w:t xml:space="preserve"> </w:t>
      </w:r>
      <w:r w:rsidRPr="00515872">
        <w:rPr>
          <w:rFonts w:eastAsia="Times New Roman" w:cs="Tahoma"/>
          <w:b/>
          <w:szCs w:val="20"/>
          <w:lang w:eastAsia="it-IT"/>
        </w:rPr>
        <w:t>certificata dall'organo di revisione</w:t>
      </w:r>
      <w:r w:rsidRPr="00515872">
        <w:rPr>
          <w:rFonts w:eastAsia="Times New Roman" w:cs="Tahoma"/>
          <w:szCs w:val="20"/>
          <w:lang w:eastAsia="it-IT"/>
        </w:rPr>
        <w:t xml:space="preserve"> dell'ente locale e, nei 3 giorni successivi, relazione e certi</w:t>
      </w:r>
      <w:r w:rsidR="000F6F86" w:rsidRPr="00515872">
        <w:rPr>
          <w:rFonts w:eastAsia="Times New Roman" w:cs="Tahoma"/>
          <w:szCs w:val="20"/>
          <w:lang w:eastAsia="it-IT"/>
        </w:rPr>
        <w:t>ficazione vanno trasmesse alla S</w:t>
      </w:r>
      <w:r w:rsidRPr="00515872">
        <w:rPr>
          <w:rFonts w:eastAsia="Times New Roman" w:cs="Tahoma"/>
          <w:szCs w:val="20"/>
          <w:lang w:eastAsia="it-IT"/>
        </w:rPr>
        <w:t>ezione regionale di controllo della Corte dei Conti.</w:t>
      </w:r>
    </w:p>
    <w:p w14:paraId="4D63561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relazione di fine mandato e la certificazione sono</w:t>
      </w:r>
      <w:r w:rsidR="000F6F86" w:rsidRPr="00515872">
        <w:rPr>
          <w:rFonts w:eastAsia="Times New Roman" w:cs="Tahoma"/>
          <w:szCs w:val="20"/>
          <w:lang w:eastAsia="it-IT"/>
        </w:rPr>
        <w:t>, inoltre,</w:t>
      </w:r>
      <w:r w:rsidRPr="00515872">
        <w:rPr>
          <w:rFonts w:eastAsia="Times New Roman" w:cs="Tahoma"/>
          <w:szCs w:val="20"/>
          <w:lang w:eastAsia="it-IT"/>
        </w:rPr>
        <w:t xml:space="preserve"> pubblicate sul sito istituzionale della provincia o del comune entro i 7 giorni successivi alla data di certificazione effettuata dall'organo di revisione.</w:t>
      </w:r>
    </w:p>
    <w:p w14:paraId="76EB4A8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In caso di scioglimento anticipato del consiglio comunale o provinciale, la sottoscrizione della relazione e la certificazione da parte degli organi di controllo interno avvengono entro 20 giorni dal provvedimento di indizione delle elezioni e, nei 3 giorni successivi, deve essere effettuata la trasmissione alla </w:t>
      </w:r>
      <w:r w:rsidR="000F6F86" w:rsidRPr="00515872">
        <w:rPr>
          <w:rFonts w:eastAsia="Times New Roman" w:cs="Tahoma"/>
          <w:szCs w:val="20"/>
          <w:lang w:eastAsia="it-IT"/>
        </w:rPr>
        <w:t>S</w:t>
      </w:r>
      <w:r w:rsidRPr="00515872">
        <w:rPr>
          <w:rFonts w:eastAsia="Times New Roman" w:cs="Tahoma"/>
          <w:szCs w:val="20"/>
          <w:lang w:eastAsia="it-IT"/>
        </w:rPr>
        <w:t>ezione regionale di controllo della Corte dei Conti.</w:t>
      </w:r>
    </w:p>
    <w:p w14:paraId="3B9745DB" w14:textId="77777777" w:rsidR="009518AF" w:rsidRPr="00515872" w:rsidRDefault="009518AF" w:rsidP="009518AF">
      <w:pPr>
        <w:spacing w:line="360" w:lineRule="auto"/>
        <w:jc w:val="both"/>
        <w:rPr>
          <w:rFonts w:eastAsiaTheme="minorEastAsia" w:cs="Tahoma"/>
          <w:iCs/>
          <w:color w:val="000000"/>
          <w:szCs w:val="20"/>
        </w:rPr>
      </w:pPr>
      <w:r w:rsidRPr="00515872">
        <w:rPr>
          <w:rFonts w:eastAsiaTheme="minorEastAsia" w:cs="Tahoma"/>
          <w:iCs/>
          <w:color w:val="000000"/>
          <w:szCs w:val="20"/>
        </w:rPr>
        <w:t xml:space="preserve">L’ente che non provvede a redigere la relazione è tenuto a motivarne le ragioni dandone notizia nella </w:t>
      </w:r>
      <w:r w:rsidRPr="00515872">
        <w:rPr>
          <w:rFonts w:eastAsiaTheme="minorEastAsia" w:cs="Tahoma"/>
          <w:i/>
          <w:iCs/>
          <w:color w:val="000000"/>
          <w:szCs w:val="20"/>
        </w:rPr>
        <w:t>home-page</w:t>
      </w:r>
      <w:r w:rsidRPr="00515872">
        <w:rPr>
          <w:rFonts w:eastAsiaTheme="minorEastAsia" w:cs="Tahoma"/>
          <w:iCs/>
          <w:color w:val="000000"/>
          <w:szCs w:val="20"/>
        </w:rPr>
        <w:t xml:space="preserve"> del proprio sito istituzionale.</w:t>
      </w:r>
    </w:p>
    <w:p w14:paraId="355FC58A" w14:textId="77777777" w:rsidR="00A72892" w:rsidRPr="00515872" w:rsidRDefault="00A72892" w:rsidP="009518AF">
      <w:pPr>
        <w:pStyle w:val="Sottoparagrafo"/>
        <w:rPr>
          <w:rFonts w:cs="Tahoma"/>
          <w:highlight w:val="yellow"/>
          <w:lang w:eastAsia="it-IT"/>
        </w:rPr>
      </w:pPr>
      <w:bookmarkStart w:id="148" w:name="_Toc521317100"/>
    </w:p>
    <w:p w14:paraId="362A16F3" w14:textId="77777777" w:rsidR="009518AF" w:rsidRPr="00515872" w:rsidRDefault="009518AF" w:rsidP="009518AF">
      <w:pPr>
        <w:pStyle w:val="Sottoparagrafo"/>
        <w:rPr>
          <w:rFonts w:cs="Tahoma"/>
          <w:lang w:eastAsia="it-IT"/>
        </w:rPr>
      </w:pPr>
      <w:bookmarkStart w:id="149" w:name="_Toc95912279"/>
      <w:r w:rsidRPr="00515872">
        <w:rPr>
          <w:rFonts w:cs="Tahoma"/>
          <w:lang w:eastAsia="it-IT"/>
        </w:rPr>
        <w:t>4.6.5 Piano esecutivo di gestione e delle performance</w:t>
      </w:r>
      <w:bookmarkEnd w:id="148"/>
      <w:bookmarkEnd w:id="149"/>
    </w:p>
    <w:p w14:paraId="07BF3DA0" w14:textId="3BCA8C62" w:rsidR="00E35AF4" w:rsidRPr="00515872" w:rsidRDefault="009518AF" w:rsidP="009518AF">
      <w:pPr>
        <w:tabs>
          <w:tab w:val="left" w:pos="284"/>
        </w:tabs>
        <w:suppressAutoHyphens/>
        <w:spacing w:line="360" w:lineRule="auto"/>
        <w:jc w:val="both"/>
        <w:rPr>
          <w:rFonts w:cs="Tahoma"/>
          <w:szCs w:val="20"/>
        </w:rPr>
      </w:pPr>
      <w:r w:rsidRPr="00515872">
        <w:rPr>
          <w:rFonts w:cs="Tahoma"/>
          <w:color w:val="000000"/>
          <w:szCs w:val="20"/>
          <w:lang w:eastAsia="it-IT"/>
        </w:rPr>
        <w:t xml:space="preserve">Il </w:t>
      </w:r>
      <w:r w:rsidR="000F6F86" w:rsidRPr="00515872">
        <w:rPr>
          <w:rFonts w:cs="Tahoma"/>
          <w:color w:val="000000"/>
          <w:szCs w:val="20"/>
          <w:lang w:eastAsia="it-IT"/>
        </w:rPr>
        <w:t>P</w:t>
      </w:r>
      <w:r w:rsidRPr="00515872">
        <w:rPr>
          <w:rFonts w:cs="Tahoma"/>
          <w:color w:val="000000"/>
          <w:szCs w:val="20"/>
          <w:lang w:eastAsia="it-IT"/>
        </w:rPr>
        <w:t xml:space="preserve">iano </w:t>
      </w:r>
      <w:r w:rsidR="000F6F86" w:rsidRPr="00515872">
        <w:rPr>
          <w:rFonts w:cs="Tahoma"/>
          <w:color w:val="000000"/>
          <w:szCs w:val="20"/>
          <w:lang w:eastAsia="it-IT"/>
        </w:rPr>
        <w:t>E</w:t>
      </w:r>
      <w:r w:rsidRPr="00515872">
        <w:rPr>
          <w:rFonts w:cs="Tahoma"/>
          <w:color w:val="000000"/>
          <w:szCs w:val="20"/>
          <w:lang w:eastAsia="it-IT"/>
        </w:rPr>
        <w:t xml:space="preserve">secutivo di </w:t>
      </w:r>
      <w:r w:rsidR="000F6F86" w:rsidRPr="00515872">
        <w:rPr>
          <w:rFonts w:cs="Tahoma"/>
          <w:color w:val="000000"/>
          <w:szCs w:val="20"/>
          <w:lang w:eastAsia="it-IT"/>
        </w:rPr>
        <w:t>G</w:t>
      </w:r>
      <w:r w:rsidRPr="00515872">
        <w:rPr>
          <w:rFonts w:cs="Tahoma"/>
          <w:color w:val="000000"/>
          <w:szCs w:val="20"/>
          <w:lang w:eastAsia="it-IT"/>
        </w:rPr>
        <w:t>estione (PEG)</w:t>
      </w:r>
      <w:r w:rsidRPr="00515872">
        <w:rPr>
          <w:rStyle w:val="Rimandonotaapidipagina"/>
          <w:rFonts w:cs="Tahoma"/>
          <w:color w:val="000000"/>
          <w:szCs w:val="20"/>
          <w:lang w:eastAsia="it-IT"/>
        </w:rPr>
        <w:footnoteReference w:id="64"/>
      </w:r>
      <w:r w:rsidRPr="00515872">
        <w:rPr>
          <w:rFonts w:cs="Tahoma"/>
          <w:color w:val="000000"/>
          <w:szCs w:val="20"/>
          <w:lang w:eastAsia="it-IT"/>
        </w:rPr>
        <w:t xml:space="preserve"> e delle </w:t>
      </w:r>
      <w:r w:rsidR="00F61E9D" w:rsidRPr="00515872">
        <w:rPr>
          <w:rFonts w:cs="Tahoma"/>
          <w:i/>
          <w:color w:val="000000"/>
          <w:szCs w:val="20"/>
          <w:lang w:eastAsia="it-IT"/>
        </w:rPr>
        <w:t>Performance</w:t>
      </w:r>
      <w:r w:rsidR="00F972B9" w:rsidRPr="00515872">
        <w:rPr>
          <w:rStyle w:val="Rimandonotaapidipagina"/>
          <w:rFonts w:cs="Tahoma"/>
          <w:color w:val="000000"/>
          <w:szCs w:val="20"/>
          <w:lang w:eastAsia="it-IT"/>
        </w:rPr>
        <w:footnoteReference w:id="65"/>
      </w:r>
      <w:r w:rsidRPr="00515872">
        <w:rPr>
          <w:rFonts w:cs="Tahoma"/>
          <w:color w:val="000000"/>
          <w:szCs w:val="20"/>
          <w:lang w:eastAsia="it-IT"/>
        </w:rPr>
        <w:t xml:space="preserve"> costituisce l’atto fondamentale che realizza il raccordo tra le funzioni di indirizzo politico-amministrativo espresse dagli organi di governo e le funzioni di gestione finalizzate a realizzare gli obiettivi programmati, spettanti alla struttura organizzativa dell’ente.</w:t>
      </w:r>
      <w:r w:rsidR="00285E79" w:rsidRPr="00515872">
        <w:rPr>
          <w:rFonts w:cs="Tahoma"/>
          <w:color w:val="000000"/>
          <w:szCs w:val="20"/>
          <w:lang w:eastAsia="it-IT"/>
        </w:rPr>
        <w:t xml:space="preserve"> </w:t>
      </w:r>
      <w:r w:rsidR="00F61E9D" w:rsidRPr="00515872">
        <w:rPr>
          <w:rFonts w:cs="Tahoma"/>
          <w:color w:val="000000"/>
          <w:szCs w:val="20"/>
          <w:lang w:eastAsia="it-IT"/>
        </w:rPr>
        <w:t>È</w:t>
      </w:r>
      <w:r w:rsidR="00285E79" w:rsidRPr="00515872">
        <w:rPr>
          <w:rFonts w:eastAsia="Times New Roman" w:cs="Tahoma"/>
          <w:lang w:eastAsia="it-IT"/>
        </w:rPr>
        <w:t xml:space="preserve"> il documento che permette di declinare in maggior dettaglio la programmazione operativa contenuta </w:t>
      </w:r>
      <w:r w:rsidR="000F6F86" w:rsidRPr="00515872">
        <w:rPr>
          <w:rFonts w:eastAsia="Times New Roman" w:cs="Tahoma"/>
          <w:lang w:eastAsia="it-IT"/>
        </w:rPr>
        <w:t>nell’apposita s</w:t>
      </w:r>
      <w:r w:rsidR="00285E79" w:rsidRPr="00515872">
        <w:rPr>
          <w:rFonts w:eastAsia="Times New Roman" w:cs="Tahoma"/>
          <w:lang w:eastAsia="it-IT"/>
        </w:rPr>
        <w:t>ezione del Documen</w:t>
      </w:r>
      <w:r w:rsidR="002920E6" w:rsidRPr="00515872">
        <w:rPr>
          <w:rFonts w:eastAsia="Times New Roman" w:cs="Tahoma"/>
          <w:lang w:eastAsia="it-IT"/>
        </w:rPr>
        <w:t>to Unico di Programmazione</w:t>
      </w:r>
      <w:r w:rsidR="00285E79" w:rsidRPr="00515872">
        <w:rPr>
          <w:rFonts w:eastAsia="Times New Roman" w:cs="Tahoma"/>
          <w:lang w:eastAsia="it-IT"/>
        </w:rPr>
        <w:t>. Con esso</w:t>
      </w:r>
      <w:r w:rsidRPr="00515872">
        <w:rPr>
          <w:rFonts w:cs="Tahoma"/>
          <w:szCs w:val="20"/>
        </w:rPr>
        <w:t xml:space="preserve"> la giunta assegna ai responsabili dei servizi gli obiettivi esecutivi e le dotazioni finanziarie, umane e strumentali funzionali al loro raggiungimento.</w:t>
      </w:r>
      <w:r w:rsidR="00E35AF4" w:rsidRPr="00515872">
        <w:rPr>
          <w:rFonts w:cs="Tahoma"/>
          <w:szCs w:val="20"/>
        </w:rPr>
        <w:t xml:space="preserve"> </w:t>
      </w:r>
    </w:p>
    <w:p w14:paraId="4EABD254" w14:textId="77777777" w:rsidR="009518AF" w:rsidRPr="00515872" w:rsidRDefault="009518AF" w:rsidP="009518AF">
      <w:pPr>
        <w:tabs>
          <w:tab w:val="left" w:pos="284"/>
        </w:tabs>
        <w:autoSpaceDE w:val="0"/>
        <w:autoSpaceDN w:val="0"/>
        <w:adjustRightInd w:val="0"/>
        <w:spacing w:line="360" w:lineRule="auto"/>
        <w:jc w:val="both"/>
        <w:rPr>
          <w:rFonts w:cs="Tahoma"/>
          <w:color w:val="000000"/>
          <w:szCs w:val="20"/>
          <w:lang w:eastAsia="it-IT"/>
        </w:rPr>
      </w:pPr>
      <w:r w:rsidRPr="00515872">
        <w:rPr>
          <w:rFonts w:cs="Tahoma"/>
          <w:szCs w:val="20"/>
        </w:rPr>
        <w:t xml:space="preserve">Il piano dettagliato degli obiettivi di cui all’art. 108, c. 1 del TUEL e il piano delle </w:t>
      </w:r>
      <w:r w:rsidR="000F6F86" w:rsidRPr="00515872">
        <w:rPr>
          <w:rFonts w:cs="Tahoma"/>
          <w:i/>
          <w:szCs w:val="20"/>
        </w:rPr>
        <w:t>P</w:t>
      </w:r>
      <w:r w:rsidRPr="00515872">
        <w:rPr>
          <w:rFonts w:cs="Tahoma"/>
          <w:i/>
          <w:szCs w:val="20"/>
        </w:rPr>
        <w:t>erformance</w:t>
      </w:r>
      <w:r w:rsidR="00887277" w:rsidRPr="00515872">
        <w:rPr>
          <w:rFonts w:cs="Tahoma"/>
          <w:szCs w:val="20"/>
        </w:rPr>
        <w:t xml:space="preserve"> </w:t>
      </w:r>
      <w:r w:rsidRPr="00515872">
        <w:rPr>
          <w:rFonts w:cs="Tahoma"/>
          <w:szCs w:val="20"/>
        </w:rPr>
        <w:t xml:space="preserve">sono unificati organicamente nel </w:t>
      </w:r>
      <w:r w:rsidR="000F6F86" w:rsidRPr="00515872">
        <w:rPr>
          <w:rFonts w:cs="Tahoma"/>
          <w:szCs w:val="20"/>
        </w:rPr>
        <w:t>P</w:t>
      </w:r>
      <w:r w:rsidRPr="00515872">
        <w:rPr>
          <w:rFonts w:cs="Tahoma"/>
          <w:szCs w:val="20"/>
        </w:rPr>
        <w:t xml:space="preserve">iano </w:t>
      </w:r>
      <w:r w:rsidR="000F6F86" w:rsidRPr="00515872">
        <w:rPr>
          <w:rFonts w:cs="Tahoma"/>
          <w:szCs w:val="20"/>
        </w:rPr>
        <w:t>E</w:t>
      </w:r>
      <w:r w:rsidRPr="00515872">
        <w:rPr>
          <w:rFonts w:cs="Tahoma"/>
          <w:szCs w:val="20"/>
        </w:rPr>
        <w:t xml:space="preserve">secutivo di </w:t>
      </w:r>
      <w:r w:rsidR="000F6F86" w:rsidRPr="00515872">
        <w:rPr>
          <w:rFonts w:cs="Tahoma"/>
          <w:szCs w:val="20"/>
        </w:rPr>
        <w:t>G</w:t>
      </w:r>
      <w:r w:rsidRPr="00515872">
        <w:rPr>
          <w:rFonts w:cs="Tahoma"/>
          <w:szCs w:val="20"/>
        </w:rPr>
        <w:t>estione.</w:t>
      </w:r>
    </w:p>
    <w:p w14:paraId="30B0CAFD" w14:textId="77777777" w:rsidR="009518AF" w:rsidRPr="00515872" w:rsidRDefault="00941934" w:rsidP="009518AF">
      <w:pPr>
        <w:tabs>
          <w:tab w:val="left" w:pos="284"/>
        </w:tabs>
        <w:autoSpaceDE w:val="0"/>
        <w:autoSpaceDN w:val="0"/>
        <w:adjustRightInd w:val="0"/>
        <w:spacing w:line="360" w:lineRule="auto"/>
        <w:jc w:val="both"/>
        <w:rPr>
          <w:rFonts w:cs="Tahoma"/>
          <w:szCs w:val="20"/>
        </w:rPr>
      </w:pPr>
      <w:r w:rsidRPr="00515872">
        <w:rPr>
          <w:rFonts w:cs="Tahoma"/>
          <w:szCs w:val="20"/>
        </w:rPr>
        <w:t>Al pari del bilancio di previsione, i</w:t>
      </w:r>
      <w:r w:rsidR="009518AF" w:rsidRPr="00515872">
        <w:rPr>
          <w:rFonts w:cs="Tahoma"/>
          <w:szCs w:val="20"/>
        </w:rPr>
        <w:t>l PEG è redatto per competenza e per cassa con riferimento al primo esercizio considerato nel bilancio di previsione; è redatto per competenza con riferimento a tutti gli esercizi considerati nel bilancio di previsione successivi al primo. Ha natura previsionale e finanziaria e contenuto programmatico e contabile.</w:t>
      </w:r>
    </w:p>
    <w:p w14:paraId="09682A06" w14:textId="77777777" w:rsidR="009518AF" w:rsidRPr="00515872" w:rsidRDefault="009518AF" w:rsidP="009518AF">
      <w:pPr>
        <w:tabs>
          <w:tab w:val="left" w:pos="567"/>
        </w:tabs>
        <w:autoSpaceDE w:val="0"/>
        <w:autoSpaceDN w:val="0"/>
        <w:adjustRightInd w:val="0"/>
        <w:spacing w:line="360" w:lineRule="auto"/>
        <w:jc w:val="both"/>
        <w:rPr>
          <w:rFonts w:cs="Tahoma"/>
          <w:szCs w:val="20"/>
        </w:rPr>
      </w:pPr>
      <w:r w:rsidRPr="00515872">
        <w:rPr>
          <w:rFonts w:cs="Tahoma"/>
          <w:szCs w:val="20"/>
        </w:rPr>
        <w:lastRenderedPageBreak/>
        <w:t>Conseguenza del bilancio di previsione, anch’esso ha carattere autorizzatorio, poiché definisce le linee guida espresse dagli amministratori rispetto all’attività di gestione dei responsabili dei servizi e, poiché le previsioni finanziarie in esso contenute costituiscono limite agli impegni di spesa assunti dai responsabili dei servizi, ha un’estensione temporale pari a quella del bilancio di previsione.</w:t>
      </w:r>
    </w:p>
    <w:p w14:paraId="7C20E10C" w14:textId="77777777" w:rsidR="009518AF" w:rsidRPr="00515872" w:rsidRDefault="009518AF" w:rsidP="009518AF">
      <w:pPr>
        <w:tabs>
          <w:tab w:val="left" w:pos="284"/>
          <w:tab w:val="left" w:pos="709"/>
        </w:tabs>
        <w:autoSpaceDE w:val="0"/>
        <w:autoSpaceDN w:val="0"/>
        <w:adjustRightInd w:val="0"/>
        <w:spacing w:line="360" w:lineRule="auto"/>
        <w:jc w:val="both"/>
        <w:rPr>
          <w:rFonts w:cs="Tahoma"/>
          <w:szCs w:val="20"/>
        </w:rPr>
      </w:pPr>
      <w:r w:rsidRPr="00515872">
        <w:rPr>
          <w:rFonts w:cs="Tahoma"/>
          <w:szCs w:val="20"/>
        </w:rPr>
        <w:t xml:space="preserve">Deve essere approvato dalla giunta comunale nella prima seduta successiva all’approvazione del bilancio di previsione da parte del consiglio e comunque non oltre 20 giorni da tale data. </w:t>
      </w:r>
    </w:p>
    <w:p w14:paraId="14668465" w14:textId="1B8658AB"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Nel PEG le entrate e le spese sono articolate, secondo il proprio oggetto,</w:t>
      </w:r>
      <w:r w:rsidR="000F6F86" w:rsidRPr="00515872">
        <w:rPr>
          <w:rFonts w:eastAsia="Times New Roman" w:cs="Tahoma"/>
          <w:szCs w:val="20"/>
          <w:lang w:eastAsia="it-IT"/>
        </w:rPr>
        <w:t xml:space="preserve"> secondo la tabella </w:t>
      </w:r>
      <w:r w:rsidR="00F61E9D" w:rsidRPr="00515872">
        <w:rPr>
          <w:rFonts w:eastAsia="Times New Roman" w:cs="Tahoma"/>
          <w:szCs w:val="20"/>
          <w:lang w:eastAsia="it-IT"/>
        </w:rPr>
        <w:t>sotto riportata</w:t>
      </w:r>
      <w:r w:rsidRPr="00515872">
        <w:rPr>
          <w:rFonts w:eastAsia="Times New Roman" w:cs="Tahoma"/>
          <w:szCs w:val="20"/>
          <w:lang w:eastAsia="it-IT"/>
        </w:rPr>
        <w:t>:</w:t>
      </w:r>
    </w:p>
    <w:tbl>
      <w:tblPr>
        <w:tblW w:w="0" w:type="auto"/>
        <w:jc w:val="center"/>
        <w:tblLook w:val="04A0" w:firstRow="1" w:lastRow="0" w:firstColumn="1" w:lastColumn="0" w:noHBand="0" w:noVBand="1"/>
      </w:tblPr>
      <w:tblGrid>
        <w:gridCol w:w="4679"/>
        <w:gridCol w:w="4643"/>
      </w:tblGrid>
      <w:tr w:rsidR="009518AF" w:rsidRPr="00515872" w14:paraId="7251A133" w14:textId="77777777" w:rsidTr="00EA779E">
        <w:trPr>
          <w:jc w:val="center"/>
        </w:trPr>
        <w:tc>
          <w:tcPr>
            <w:tcW w:w="467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BF1D40F" w14:textId="77777777" w:rsidR="009518AF" w:rsidRPr="00515872" w:rsidRDefault="009518AF" w:rsidP="00C353C6">
            <w:pPr>
              <w:spacing w:after="0" w:line="240" w:lineRule="auto"/>
              <w:jc w:val="center"/>
              <w:rPr>
                <w:rFonts w:cs="Tahoma"/>
                <w:b/>
                <w:szCs w:val="20"/>
                <w:lang w:eastAsia="it-IT"/>
              </w:rPr>
            </w:pPr>
            <w:r w:rsidRPr="00515872">
              <w:rPr>
                <w:rFonts w:cs="Tahoma"/>
                <w:b/>
                <w:szCs w:val="20"/>
                <w:lang w:eastAsia="it-IT"/>
              </w:rPr>
              <w:t>Entrate</w:t>
            </w:r>
          </w:p>
        </w:tc>
        <w:tc>
          <w:tcPr>
            <w:tcW w:w="464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7611439" w14:textId="77777777" w:rsidR="009518AF" w:rsidRPr="00515872" w:rsidRDefault="009518AF" w:rsidP="00C353C6">
            <w:pPr>
              <w:spacing w:after="0" w:line="240" w:lineRule="auto"/>
              <w:jc w:val="center"/>
              <w:rPr>
                <w:rFonts w:cs="Tahoma"/>
                <w:b/>
                <w:szCs w:val="20"/>
                <w:lang w:eastAsia="it-IT"/>
              </w:rPr>
            </w:pPr>
            <w:r w:rsidRPr="00515872">
              <w:rPr>
                <w:rFonts w:cs="Tahoma"/>
                <w:b/>
                <w:szCs w:val="20"/>
                <w:lang w:eastAsia="it-IT"/>
              </w:rPr>
              <w:t>Spese</w:t>
            </w:r>
          </w:p>
        </w:tc>
      </w:tr>
      <w:tr w:rsidR="00EA779E" w:rsidRPr="00515872" w14:paraId="15A03277" w14:textId="77777777" w:rsidTr="00B54769">
        <w:trPr>
          <w:trHeight w:val="2189"/>
          <w:jc w:val="center"/>
        </w:trPr>
        <w:tc>
          <w:tcPr>
            <w:tcW w:w="4679" w:type="dxa"/>
            <w:tcBorders>
              <w:top w:val="single" w:sz="4" w:space="0" w:color="auto"/>
              <w:left w:val="single" w:sz="4" w:space="0" w:color="auto"/>
              <w:right w:val="single" w:sz="4" w:space="0" w:color="auto"/>
            </w:tcBorders>
            <w:shd w:val="clear" w:color="auto" w:fill="DBE5F1" w:themeFill="accent1" w:themeFillTint="33"/>
          </w:tcPr>
          <w:p w14:paraId="431A7509" w14:textId="77777777" w:rsidR="00EA779E" w:rsidRPr="00515872" w:rsidRDefault="00EA779E" w:rsidP="00D65838">
            <w:pPr>
              <w:pStyle w:val="Paragrafoelenco"/>
              <w:numPr>
                <w:ilvl w:val="0"/>
                <w:numId w:val="186"/>
              </w:numPr>
              <w:spacing w:after="0" w:line="360" w:lineRule="auto"/>
              <w:jc w:val="both"/>
              <w:rPr>
                <w:rFonts w:eastAsia="Times New Roman" w:cs="Tahoma"/>
                <w:szCs w:val="20"/>
              </w:rPr>
            </w:pPr>
            <w:r w:rsidRPr="00515872">
              <w:rPr>
                <w:rFonts w:eastAsia="Times New Roman" w:cs="Tahoma"/>
                <w:szCs w:val="20"/>
                <w:lang w:eastAsia="it-IT"/>
              </w:rPr>
              <w:t>titoli;</w:t>
            </w:r>
          </w:p>
          <w:p w14:paraId="6908AB6A" w14:textId="77777777" w:rsidR="00EA779E" w:rsidRPr="00515872" w:rsidRDefault="00EA779E" w:rsidP="00D65838">
            <w:pPr>
              <w:pStyle w:val="Paragrafoelenco"/>
              <w:numPr>
                <w:ilvl w:val="0"/>
                <w:numId w:val="186"/>
              </w:numPr>
              <w:spacing w:after="0" w:line="360" w:lineRule="auto"/>
              <w:jc w:val="both"/>
              <w:rPr>
                <w:rFonts w:eastAsia="Times New Roman" w:cs="Tahoma"/>
                <w:szCs w:val="20"/>
              </w:rPr>
            </w:pPr>
            <w:r w:rsidRPr="00515872">
              <w:rPr>
                <w:rFonts w:eastAsia="Times New Roman" w:cs="Tahoma"/>
                <w:szCs w:val="20"/>
                <w:lang w:eastAsia="it-IT"/>
              </w:rPr>
              <w:t>tipologie;</w:t>
            </w:r>
          </w:p>
          <w:p w14:paraId="0CA4F6D9" w14:textId="77777777" w:rsidR="00EA779E" w:rsidRPr="00515872" w:rsidRDefault="00EA779E" w:rsidP="00D65838">
            <w:pPr>
              <w:pStyle w:val="Paragrafoelenco"/>
              <w:numPr>
                <w:ilvl w:val="0"/>
                <w:numId w:val="186"/>
              </w:numPr>
              <w:spacing w:after="0" w:line="360" w:lineRule="auto"/>
              <w:jc w:val="both"/>
              <w:rPr>
                <w:rFonts w:eastAsia="Times New Roman" w:cs="Tahoma"/>
                <w:szCs w:val="20"/>
              </w:rPr>
            </w:pPr>
            <w:r w:rsidRPr="00515872">
              <w:rPr>
                <w:rFonts w:eastAsia="Times New Roman" w:cs="Tahoma"/>
                <w:szCs w:val="20"/>
                <w:lang w:eastAsia="it-IT"/>
              </w:rPr>
              <w:t>categorie;</w:t>
            </w:r>
          </w:p>
          <w:p w14:paraId="2F9EA78B" w14:textId="77777777" w:rsidR="00EA779E" w:rsidRPr="00515872" w:rsidRDefault="00EA779E" w:rsidP="00D65838">
            <w:pPr>
              <w:pStyle w:val="Paragrafoelenco"/>
              <w:numPr>
                <w:ilvl w:val="0"/>
                <w:numId w:val="186"/>
              </w:numPr>
              <w:spacing w:after="0" w:line="360" w:lineRule="auto"/>
              <w:jc w:val="both"/>
              <w:rPr>
                <w:rFonts w:eastAsia="Times New Roman" w:cs="Tahoma"/>
                <w:szCs w:val="20"/>
              </w:rPr>
            </w:pPr>
            <w:r w:rsidRPr="00515872">
              <w:rPr>
                <w:rFonts w:eastAsia="Times New Roman" w:cs="Tahoma"/>
                <w:szCs w:val="20"/>
                <w:lang w:eastAsia="it-IT"/>
              </w:rPr>
              <w:t>capitoli;</w:t>
            </w:r>
          </w:p>
          <w:p w14:paraId="40A22135" w14:textId="748E48A0" w:rsidR="00EA779E" w:rsidRPr="00515872" w:rsidRDefault="00EA779E" w:rsidP="00D65838">
            <w:pPr>
              <w:pStyle w:val="Paragrafoelenco"/>
              <w:numPr>
                <w:ilvl w:val="0"/>
                <w:numId w:val="186"/>
              </w:numPr>
              <w:spacing w:after="0" w:line="360" w:lineRule="auto"/>
              <w:jc w:val="both"/>
              <w:rPr>
                <w:rFonts w:eastAsia="Times New Roman" w:cs="Tahoma"/>
                <w:szCs w:val="20"/>
              </w:rPr>
            </w:pPr>
            <w:r w:rsidRPr="00515872">
              <w:rPr>
                <w:rFonts w:eastAsia="Times New Roman" w:cs="Tahoma"/>
                <w:szCs w:val="20"/>
                <w:lang w:eastAsia="it-IT"/>
              </w:rPr>
              <w:t>articoli (eventuali).</w:t>
            </w:r>
          </w:p>
        </w:tc>
        <w:tc>
          <w:tcPr>
            <w:tcW w:w="4643" w:type="dxa"/>
            <w:tcBorders>
              <w:top w:val="single" w:sz="4" w:space="0" w:color="auto"/>
              <w:left w:val="nil"/>
              <w:right w:val="single" w:sz="4" w:space="0" w:color="auto"/>
            </w:tcBorders>
            <w:shd w:val="clear" w:color="auto" w:fill="DBE5F1" w:themeFill="accent1" w:themeFillTint="33"/>
          </w:tcPr>
          <w:p w14:paraId="77DEACB5" w14:textId="77777777" w:rsidR="00EA779E" w:rsidRPr="00515872" w:rsidRDefault="00EA779E" w:rsidP="00D65838">
            <w:pPr>
              <w:pStyle w:val="Paragrafoelenco"/>
              <w:numPr>
                <w:ilvl w:val="0"/>
                <w:numId w:val="189"/>
              </w:numPr>
              <w:spacing w:after="0" w:line="360" w:lineRule="auto"/>
              <w:jc w:val="both"/>
              <w:rPr>
                <w:rFonts w:eastAsia="Times New Roman" w:cs="Tahoma"/>
                <w:szCs w:val="20"/>
              </w:rPr>
            </w:pPr>
            <w:r w:rsidRPr="00515872">
              <w:rPr>
                <w:rFonts w:eastAsia="Times New Roman" w:cs="Tahoma"/>
                <w:szCs w:val="20"/>
                <w:lang w:eastAsia="it-IT"/>
              </w:rPr>
              <w:t>missioni;</w:t>
            </w:r>
          </w:p>
          <w:p w14:paraId="3494851B" w14:textId="77777777" w:rsidR="00EA779E" w:rsidRPr="00515872" w:rsidRDefault="00EA779E" w:rsidP="00D65838">
            <w:pPr>
              <w:pStyle w:val="Paragrafoelenco"/>
              <w:numPr>
                <w:ilvl w:val="0"/>
                <w:numId w:val="189"/>
              </w:numPr>
              <w:spacing w:after="0" w:line="360" w:lineRule="auto"/>
              <w:jc w:val="both"/>
              <w:rPr>
                <w:rFonts w:eastAsia="Times New Roman" w:cs="Tahoma"/>
                <w:szCs w:val="20"/>
              </w:rPr>
            </w:pPr>
            <w:r w:rsidRPr="00515872">
              <w:rPr>
                <w:rFonts w:eastAsia="Times New Roman" w:cs="Tahoma"/>
                <w:szCs w:val="20"/>
                <w:lang w:eastAsia="it-IT"/>
              </w:rPr>
              <w:t>programmi;</w:t>
            </w:r>
          </w:p>
          <w:p w14:paraId="40C31F45" w14:textId="77777777" w:rsidR="00EA779E" w:rsidRPr="00515872" w:rsidRDefault="00EA779E" w:rsidP="00D65838">
            <w:pPr>
              <w:pStyle w:val="Paragrafoelenco"/>
              <w:numPr>
                <w:ilvl w:val="0"/>
                <w:numId w:val="189"/>
              </w:numPr>
              <w:spacing w:after="0" w:line="360" w:lineRule="auto"/>
              <w:jc w:val="both"/>
              <w:rPr>
                <w:rFonts w:eastAsia="Times New Roman" w:cs="Tahoma"/>
                <w:szCs w:val="20"/>
              </w:rPr>
            </w:pPr>
            <w:r w:rsidRPr="00515872">
              <w:rPr>
                <w:rFonts w:eastAsia="Times New Roman" w:cs="Tahoma"/>
                <w:szCs w:val="20"/>
                <w:lang w:eastAsia="it-IT"/>
              </w:rPr>
              <w:t>titoli;</w:t>
            </w:r>
          </w:p>
          <w:p w14:paraId="18937854" w14:textId="77777777" w:rsidR="00EA779E" w:rsidRPr="00515872" w:rsidRDefault="00EA779E" w:rsidP="00D65838">
            <w:pPr>
              <w:pStyle w:val="Paragrafoelenco"/>
              <w:numPr>
                <w:ilvl w:val="0"/>
                <w:numId w:val="189"/>
              </w:numPr>
              <w:spacing w:after="0" w:line="360" w:lineRule="auto"/>
              <w:jc w:val="both"/>
              <w:rPr>
                <w:rFonts w:eastAsia="Times New Roman" w:cs="Tahoma"/>
                <w:szCs w:val="20"/>
              </w:rPr>
            </w:pPr>
            <w:proofErr w:type="spellStart"/>
            <w:r w:rsidRPr="00515872">
              <w:rPr>
                <w:rFonts w:eastAsia="Times New Roman" w:cs="Tahoma"/>
                <w:szCs w:val="20"/>
                <w:lang w:eastAsia="it-IT"/>
              </w:rPr>
              <w:t>macroaggregati</w:t>
            </w:r>
            <w:proofErr w:type="spellEnd"/>
            <w:r w:rsidRPr="00515872">
              <w:rPr>
                <w:rFonts w:eastAsia="Times New Roman" w:cs="Tahoma"/>
                <w:szCs w:val="20"/>
                <w:lang w:eastAsia="it-IT"/>
              </w:rPr>
              <w:t>;</w:t>
            </w:r>
          </w:p>
          <w:p w14:paraId="6C7BF552" w14:textId="77777777" w:rsidR="00EA779E" w:rsidRPr="00515872" w:rsidRDefault="00EA779E" w:rsidP="00D65838">
            <w:pPr>
              <w:pStyle w:val="Paragrafoelenco"/>
              <w:numPr>
                <w:ilvl w:val="0"/>
                <w:numId w:val="189"/>
              </w:numPr>
              <w:spacing w:after="0" w:line="360" w:lineRule="auto"/>
              <w:jc w:val="both"/>
              <w:rPr>
                <w:rFonts w:eastAsia="Times New Roman" w:cs="Tahoma"/>
                <w:szCs w:val="20"/>
              </w:rPr>
            </w:pPr>
            <w:r w:rsidRPr="00515872">
              <w:rPr>
                <w:rFonts w:eastAsia="Times New Roman" w:cs="Tahoma"/>
                <w:szCs w:val="20"/>
                <w:lang w:eastAsia="it-IT"/>
              </w:rPr>
              <w:t>capitoli;</w:t>
            </w:r>
          </w:p>
          <w:p w14:paraId="26E0B583" w14:textId="6A7F3D94" w:rsidR="00EA779E" w:rsidRPr="00515872" w:rsidRDefault="00EA779E" w:rsidP="00D65838">
            <w:pPr>
              <w:pStyle w:val="Paragrafoelenco"/>
              <w:numPr>
                <w:ilvl w:val="0"/>
                <w:numId w:val="189"/>
              </w:numPr>
              <w:spacing w:after="0" w:line="360" w:lineRule="auto"/>
              <w:jc w:val="both"/>
              <w:rPr>
                <w:rFonts w:eastAsia="Times New Roman" w:cs="Tahoma"/>
                <w:szCs w:val="20"/>
              </w:rPr>
            </w:pPr>
            <w:r w:rsidRPr="00515872">
              <w:rPr>
                <w:rFonts w:eastAsia="Times New Roman" w:cs="Tahoma"/>
                <w:szCs w:val="20"/>
                <w:lang w:eastAsia="it-IT"/>
              </w:rPr>
              <w:t>articoli (eventuali).</w:t>
            </w:r>
          </w:p>
        </w:tc>
      </w:tr>
    </w:tbl>
    <w:p w14:paraId="7B3049F6" w14:textId="77777777" w:rsidR="00887277" w:rsidRPr="00515872" w:rsidRDefault="00887277" w:rsidP="009518AF">
      <w:pPr>
        <w:spacing w:line="360" w:lineRule="auto"/>
        <w:jc w:val="both"/>
        <w:rPr>
          <w:rFonts w:eastAsia="Times New Roman" w:cs="Tahoma"/>
          <w:szCs w:val="20"/>
          <w:lang w:eastAsia="it-IT"/>
        </w:rPr>
      </w:pPr>
    </w:p>
    <w:p w14:paraId="0692543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 capitoli costituiscono le </w:t>
      </w:r>
      <w:r w:rsidRPr="00515872">
        <w:rPr>
          <w:rFonts w:eastAsia="Times New Roman" w:cs="Tahoma"/>
          <w:b/>
          <w:szCs w:val="20"/>
          <w:lang w:eastAsia="it-IT"/>
        </w:rPr>
        <w:t>unità elementari</w:t>
      </w:r>
      <w:r w:rsidRPr="00515872">
        <w:rPr>
          <w:rFonts w:eastAsia="Times New Roman" w:cs="Tahoma"/>
          <w:szCs w:val="20"/>
          <w:lang w:eastAsia="it-IT"/>
        </w:rPr>
        <w:t xml:space="preserve"> ai fini della gestione e della rendicontazione e sono raccordati al quarto livello del piano dei conti finanziario.</w:t>
      </w:r>
    </w:p>
    <w:p w14:paraId="36B4659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L'applicazione delle norme relative al PEG è </w:t>
      </w:r>
      <w:r w:rsidRPr="00515872">
        <w:rPr>
          <w:rFonts w:eastAsia="Times New Roman" w:cs="Tahoma"/>
          <w:b/>
          <w:szCs w:val="20"/>
          <w:lang w:eastAsia="it-IT"/>
        </w:rPr>
        <w:t>facoltativa per gli enti locali con popolazione inferiore a 5.000 abitanti</w:t>
      </w:r>
      <w:r w:rsidR="003F76ED" w:rsidRPr="00515872">
        <w:rPr>
          <w:rStyle w:val="Rimandonotaapidipagina"/>
          <w:rFonts w:eastAsia="Times New Roman" w:cs="Tahoma"/>
          <w:b/>
          <w:szCs w:val="20"/>
          <w:lang w:eastAsia="it-IT"/>
        </w:rPr>
        <w:footnoteReference w:id="66"/>
      </w:r>
      <w:r w:rsidRPr="00515872">
        <w:rPr>
          <w:rFonts w:eastAsia="Times New Roman" w:cs="Tahoma"/>
          <w:szCs w:val="20"/>
          <w:lang w:eastAsia="it-IT"/>
        </w:rPr>
        <w:t>, fermo restando l'obbligo di rilevare unitariamente i fatti gestionali secondo la struttura del piano dei cont</w:t>
      </w:r>
      <w:r w:rsidR="00887277" w:rsidRPr="00515872">
        <w:rPr>
          <w:rFonts w:eastAsia="Times New Roman" w:cs="Tahoma"/>
          <w:szCs w:val="20"/>
          <w:lang w:eastAsia="it-IT"/>
        </w:rPr>
        <w:t>i di cui all'art. 157, c. 1-bis del TUEL.</w:t>
      </w:r>
    </w:p>
    <w:p w14:paraId="41AB305F" w14:textId="77777777" w:rsidR="00263085" w:rsidRPr="00515872" w:rsidRDefault="00191A8B" w:rsidP="009518AF">
      <w:pPr>
        <w:tabs>
          <w:tab w:val="left" w:pos="284"/>
        </w:tabs>
        <w:suppressAutoHyphens/>
        <w:spacing w:line="360" w:lineRule="auto"/>
        <w:jc w:val="both"/>
        <w:rPr>
          <w:rFonts w:cs="Tahoma"/>
          <w:color w:val="000000"/>
        </w:rPr>
      </w:pPr>
      <w:r w:rsidRPr="00515872">
        <w:rPr>
          <w:rFonts w:cs="Tahoma"/>
          <w:color w:val="000000"/>
        </w:rPr>
        <w:t>L’art. 10</w:t>
      </w:r>
      <w:r w:rsidR="000F6F86" w:rsidRPr="00515872">
        <w:rPr>
          <w:rFonts w:cs="Tahoma"/>
          <w:color w:val="000000"/>
        </w:rPr>
        <w:t>,</w:t>
      </w:r>
      <w:r w:rsidRPr="00515872">
        <w:rPr>
          <w:rFonts w:cs="Tahoma"/>
          <w:color w:val="000000"/>
        </w:rPr>
        <w:t xml:space="preserve"> </w:t>
      </w:r>
      <w:proofErr w:type="spellStart"/>
      <w:r w:rsidR="00162947" w:rsidRPr="00515872">
        <w:rPr>
          <w:rFonts w:cs="Tahoma"/>
          <w:szCs w:val="20"/>
        </w:rPr>
        <w:t>D.Lgs.</w:t>
      </w:r>
      <w:proofErr w:type="spellEnd"/>
      <w:r w:rsidRPr="00515872">
        <w:rPr>
          <w:rFonts w:cs="Tahoma"/>
          <w:szCs w:val="20"/>
        </w:rPr>
        <w:t xml:space="preserve"> 27 ottobre 2009, n. 150 prevede che, a</w:t>
      </w:r>
      <w:r w:rsidRPr="00515872">
        <w:rPr>
          <w:rFonts w:cs="Tahoma"/>
        </w:rPr>
        <w:t xml:space="preserve">l fine di assicurare la qualità, comprensibilità ed attendibilità dei documenti di rappresentazione della </w:t>
      </w:r>
      <w:r w:rsidRPr="00515872">
        <w:rPr>
          <w:rFonts w:cs="Tahoma"/>
          <w:i/>
        </w:rPr>
        <w:t>performance</w:t>
      </w:r>
      <w:r w:rsidRPr="00515872">
        <w:rPr>
          <w:rFonts w:cs="Tahoma"/>
        </w:rPr>
        <w:t xml:space="preserve">, le amministrazioni pubbliche, redigono e pubblicano </w:t>
      </w:r>
      <w:r w:rsidR="007A08B4" w:rsidRPr="00515872">
        <w:rPr>
          <w:rFonts w:cs="Tahoma"/>
        </w:rPr>
        <w:t xml:space="preserve">ogni anno, </w:t>
      </w:r>
      <w:r w:rsidRPr="00515872">
        <w:rPr>
          <w:rFonts w:cs="Tahoma"/>
        </w:rPr>
        <w:t>sul sito istituzionale</w:t>
      </w:r>
      <w:r w:rsidR="007A08B4" w:rsidRPr="00515872">
        <w:rPr>
          <w:rFonts w:cs="Tahoma"/>
        </w:rPr>
        <w:t>,</w:t>
      </w:r>
      <w:r w:rsidR="000F6F86" w:rsidRPr="00515872">
        <w:rPr>
          <w:rFonts w:cs="Tahoma"/>
        </w:rPr>
        <w:t xml:space="preserve"> il Piano della </w:t>
      </w:r>
      <w:r w:rsidR="000F6F86" w:rsidRPr="00515872">
        <w:rPr>
          <w:rFonts w:cs="Tahoma"/>
          <w:i/>
        </w:rPr>
        <w:t>P</w:t>
      </w:r>
      <w:r w:rsidRPr="00515872">
        <w:rPr>
          <w:rFonts w:cs="Tahoma"/>
          <w:i/>
        </w:rPr>
        <w:t>erformance</w:t>
      </w:r>
      <w:r w:rsidRPr="00515872">
        <w:rPr>
          <w:rFonts w:cs="Tahoma"/>
        </w:rPr>
        <w:t>, documento programmatico triennale, che è definito dall'organo di indirizzo politico-amministrativo in collaborazione con i vertici dell'amministrazione e secondo gli indirizzi impartiti dal Dipartimento della funzione pubblica</w:t>
      </w:r>
      <w:r w:rsidR="007A08B4" w:rsidRPr="00515872">
        <w:rPr>
          <w:rFonts w:cs="Tahoma"/>
        </w:rPr>
        <w:t>. Esso</w:t>
      </w:r>
      <w:r w:rsidRPr="00515872">
        <w:rPr>
          <w:rFonts w:cs="Tahoma"/>
        </w:rPr>
        <w:t xml:space="preserve"> individua gli indirizzi e gli obiettivi strategici ed operativi di cui all'art. 5, c. 1, lett. b), del medesimo decreto, e definisce, con riferimento agli obiettivi finali ed intermedi ed alle risorse, gli indicatori per la misurazione e la valutazione della </w:t>
      </w:r>
      <w:r w:rsidRPr="00515872">
        <w:rPr>
          <w:rFonts w:cs="Tahoma"/>
          <w:i/>
        </w:rPr>
        <w:t>performance</w:t>
      </w:r>
      <w:r w:rsidRPr="00515872">
        <w:rPr>
          <w:rFonts w:cs="Tahoma"/>
        </w:rPr>
        <w:t xml:space="preserve"> dell'amministrazione, nonché gli obiettivi assegnati al personale dirigenziale ed i relativi indicatori.</w:t>
      </w:r>
    </w:p>
    <w:p w14:paraId="5F6B7B69" w14:textId="77777777" w:rsidR="00EC3C48" w:rsidRPr="00515872" w:rsidRDefault="009518AF" w:rsidP="009518AF">
      <w:pPr>
        <w:tabs>
          <w:tab w:val="left" w:pos="284"/>
        </w:tabs>
        <w:suppressAutoHyphens/>
        <w:spacing w:line="360" w:lineRule="auto"/>
        <w:jc w:val="both"/>
        <w:rPr>
          <w:rFonts w:cs="Tahoma"/>
          <w:color w:val="000000"/>
        </w:rPr>
      </w:pPr>
      <w:r w:rsidRPr="00515872">
        <w:rPr>
          <w:rFonts w:cs="Tahoma"/>
          <w:color w:val="000000"/>
        </w:rPr>
        <w:t xml:space="preserve">In caso di mancata adozione del </w:t>
      </w:r>
      <w:r w:rsidR="00EC3C48" w:rsidRPr="00515872">
        <w:rPr>
          <w:rFonts w:cs="Tahoma"/>
          <w:color w:val="000000"/>
        </w:rPr>
        <w:t>P</w:t>
      </w:r>
      <w:r w:rsidRPr="00515872">
        <w:rPr>
          <w:rFonts w:cs="Tahoma"/>
          <w:color w:val="000000"/>
        </w:rPr>
        <w:t xml:space="preserve">iano della </w:t>
      </w:r>
      <w:r w:rsidR="00EC3C48" w:rsidRPr="00515872">
        <w:rPr>
          <w:rFonts w:cs="Tahoma"/>
          <w:i/>
          <w:color w:val="000000"/>
        </w:rPr>
        <w:t>P</w:t>
      </w:r>
      <w:r w:rsidRPr="00515872">
        <w:rPr>
          <w:rFonts w:cs="Tahoma"/>
          <w:i/>
          <w:color w:val="000000"/>
        </w:rPr>
        <w:t>erformance</w:t>
      </w:r>
      <w:r w:rsidRPr="00515872">
        <w:rPr>
          <w:rFonts w:cs="Tahoma"/>
          <w:color w:val="000000"/>
        </w:rPr>
        <w:t>, da ricomprendersi ora nel PEG, è fatto divieto di erogazione della retribuzione di risultato ai dirigenti che risultano avere concorso alla mancata adozi</w:t>
      </w:r>
      <w:r w:rsidR="007A08B4" w:rsidRPr="00515872">
        <w:rPr>
          <w:rFonts w:cs="Tahoma"/>
          <w:color w:val="000000"/>
        </w:rPr>
        <w:t>one</w:t>
      </w:r>
      <w:r w:rsidRPr="00515872">
        <w:rPr>
          <w:rFonts w:cs="Tahoma"/>
          <w:color w:val="000000"/>
        </w:rPr>
        <w:t xml:space="preserve">, per omissione o inerzia nell'adempimento dei propri compiti, e l'amministrazione </w:t>
      </w:r>
      <w:r w:rsidRPr="00515872">
        <w:rPr>
          <w:rFonts w:cs="Tahoma"/>
          <w:b/>
          <w:color w:val="000000"/>
        </w:rPr>
        <w:t xml:space="preserve">non può procedere ad </w:t>
      </w:r>
      <w:r w:rsidRPr="00515872">
        <w:rPr>
          <w:rFonts w:cs="Tahoma"/>
          <w:b/>
          <w:color w:val="000000"/>
        </w:rPr>
        <w:lastRenderedPageBreak/>
        <w:t>assunzioni</w:t>
      </w:r>
      <w:r w:rsidRPr="00515872">
        <w:rPr>
          <w:rFonts w:cs="Tahoma"/>
          <w:color w:val="000000"/>
        </w:rPr>
        <w:t xml:space="preserve"> di personale o al </w:t>
      </w:r>
      <w:r w:rsidRPr="00515872">
        <w:rPr>
          <w:rFonts w:cs="Tahoma"/>
          <w:b/>
          <w:color w:val="000000"/>
        </w:rPr>
        <w:t>conferimento di incarichi di consulenza o di collaborazione</w:t>
      </w:r>
      <w:r w:rsidR="00EC3C48" w:rsidRPr="00515872">
        <w:rPr>
          <w:rFonts w:cs="Tahoma"/>
          <w:color w:val="000000"/>
        </w:rPr>
        <w:t xml:space="preserve"> comunque denominati.</w:t>
      </w:r>
    </w:p>
    <w:p w14:paraId="396A4F40" w14:textId="77777777" w:rsidR="009518AF" w:rsidRPr="00515872" w:rsidRDefault="009518AF" w:rsidP="009518AF">
      <w:pPr>
        <w:tabs>
          <w:tab w:val="left" w:pos="284"/>
        </w:tabs>
        <w:suppressAutoHyphens/>
        <w:spacing w:line="360" w:lineRule="auto"/>
        <w:jc w:val="both"/>
        <w:rPr>
          <w:rFonts w:cs="Tahoma"/>
          <w:color w:val="000000"/>
          <w:shd w:val="clear" w:color="auto" w:fill="F9F8F4"/>
        </w:rPr>
      </w:pPr>
      <w:r w:rsidRPr="00515872">
        <w:rPr>
          <w:rFonts w:cs="Tahoma"/>
          <w:color w:val="000000"/>
        </w:rPr>
        <w:t xml:space="preserve">Nei casi in cui la mancata adozione del piano o della relazione sulla </w:t>
      </w:r>
      <w:r w:rsidRPr="00515872">
        <w:rPr>
          <w:rFonts w:cs="Tahoma"/>
          <w:i/>
          <w:color w:val="000000"/>
        </w:rPr>
        <w:t>performance</w:t>
      </w:r>
      <w:r w:rsidRPr="00515872">
        <w:rPr>
          <w:rFonts w:cs="Tahoma"/>
          <w:color w:val="000000"/>
        </w:rPr>
        <w:t xml:space="preserve"> dipenda da omissione o inerzia dell'organo di indirizzo politico amministrativo, l'erogazione dei trattamenti e delle premialità di cui al Titolo III del </w:t>
      </w:r>
      <w:proofErr w:type="spellStart"/>
      <w:r w:rsidRPr="00515872">
        <w:rPr>
          <w:rFonts w:cs="Tahoma"/>
          <w:color w:val="000000"/>
        </w:rPr>
        <w:t>D.Lgs.</w:t>
      </w:r>
      <w:proofErr w:type="spellEnd"/>
      <w:r w:rsidRPr="00515872">
        <w:rPr>
          <w:rFonts w:cs="Tahoma"/>
          <w:color w:val="000000"/>
        </w:rPr>
        <w:t xml:space="preserve"> 27</w:t>
      </w:r>
      <w:r w:rsidR="00EC3C48" w:rsidRPr="00515872">
        <w:rPr>
          <w:rFonts w:cs="Tahoma"/>
          <w:color w:val="000000"/>
        </w:rPr>
        <w:t xml:space="preserve"> ottobre </w:t>
      </w:r>
      <w:r w:rsidRPr="00515872">
        <w:rPr>
          <w:rFonts w:cs="Tahoma"/>
          <w:color w:val="000000"/>
        </w:rPr>
        <w:t>2009, n. 150 è fonte di responsabilità amministrativa del titolare dell'organo che ne ha dato disposizione e che ha concorso alla mancata adozione del Piano.</w:t>
      </w:r>
    </w:p>
    <w:p w14:paraId="3E6F1780" w14:textId="77777777" w:rsidR="009518AF" w:rsidRPr="00515872" w:rsidRDefault="009518AF" w:rsidP="009518AF">
      <w:pPr>
        <w:tabs>
          <w:tab w:val="left" w:pos="284"/>
        </w:tabs>
        <w:suppressAutoHyphens/>
        <w:spacing w:line="360" w:lineRule="auto"/>
        <w:jc w:val="both"/>
        <w:rPr>
          <w:rFonts w:cs="Tahoma"/>
          <w:szCs w:val="20"/>
        </w:rPr>
      </w:pPr>
      <w:r w:rsidRPr="00515872">
        <w:rPr>
          <w:rFonts w:cs="Tahoma"/>
          <w:szCs w:val="20"/>
        </w:rPr>
        <w:t>I comuni con popolazione inferiore a 5.000 abitanti, pur essendo esentati dall’adozione del PE</w:t>
      </w:r>
      <w:r w:rsidR="00EC3C48" w:rsidRPr="00515872">
        <w:rPr>
          <w:rFonts w:cs="Tahoma"/>
          <w:szCs w:val="20"/>
        </w:rPr>
        <w:t>G, devono comunque redigere il P</w:t>
      </w:r>
      <w:r w:rsidRPr="00515872">
        <w:rPr>
          <w:rFonts w:cs="Tahoma"/>
          <w:szCs w:val="20"/>
        </w:rPr>
        <w:t xml:space="preserve">iano delle </w:t>
      </w:r>
      <w:r w:rsidR="00EC3C48" w:rsidRPr="00515872">
        <w:rPr>
          <w:rFonts w:cs="Tahoma"/>
          <w:i/>
          <w:szCs w:val="20"/>
        </w:rPr>
        <w:t>P</w:t>
      </w:r>
      <w:r w:rsidRPr="00515872">
        <w:rPr>
          <w:rFonts w:cs="Tahoma"/>
          <w:i/>
          <w:szCs w:val="20"/>
        </w:rPr>
        <w:t>erformance</w:t>
      </w:r>
      <w:r w:rsidRPr="00515872">
        <w:rPr>
          <w:rFonts w:cs="Tahoma"/>
          <w:szCs w:val="20"/>
        </w:rPr>
        <w:t>, non essendo previst</w:t>
      </w:r>
      <w:r w:rsidR="00191A8B" w:rsidRPr="00515872">
        <w:rPr>
          <w:rFonts w:cs="Tahoma"/>
          <w:szCs w:val="20"/>
        </w:rPr>
        <w:t>a</w:t>
      </w:r>
      <w:r w:rsidRPr="00515872">
        <w:rPr>
          <w:rFonts w:cs="Tahoma"/>
          <w:szCs w:val="20"/>
        </w:rPr>
        <w:t xml:space="preserve">, per tale </w:t>
      </w:r>
      <w:r w:rsidR="00EC3C48" w:rsidRPr="00515872">
        <w:rPr>
          <w:rFonts w:cs="Tahoma"/>
          <w:szCs w:val="20"/>
        </w:rPr>
        <w:t>provvedimento</w:t>
      </w:r>
      <w:r w:rsidR="00191A8B" w:rsidRPr="00515872">
        <w:rPr>
          <w:rFonts w:cs="Tahoma"/>
          <w:szCs w:val="20"/>
        </w:rPr>
        <w:t>, una pari esenzione. Per questo</w:t>
      </w:r>
      <w:r w:rsidRPr="00515872">
        <w:rPr>
          <w:rFonts w:cs="Tahoma"/>
          <w:szCs w:val="20"/>
        </w:rPr>
        <w:t xml:space="preserve"> valgono le regole generali per cui l’adozione del piano è </w:t>
      </w:r>
      <w:r w:rsidRPr="00515872">
        <w:rPr>
          <w:rFonts w:cs="Tahoma"/>
          <w:i/>
          <w:szCs w:val="20"/>
        </w:rPr>
        <w:t>conditio sine qua non</w:t>
      </w:r>
      <w:r w:rsidRPr="00515872">
        <w:rPr>
          <w:rFonts w:cs="Tahoma"/>
          <w:szCs w:val="20"/>
        </w:rPr>
        <w:t xml:space="preserve"> per l’esercizio delle facoltà </w:t>
      </w:r>
      <w:proofErr w:type="spellStart"/>
      <w:r w:rsidRPr="00515872">
        <w:rPr>
          <w:rFonts w:cs="Tahoma"/>
          <w:szCs w:val="20"/>
        </w:rPr>
        <w:t>assunzionali</w:t>
      </w:r>
      <w:proofErr w:type="spellEnd"/>
      <w:r w:rsidRPr="00515872">
        <w:rPr>
          <w:rFonts w:cs="Tahoma"/>
          <w:szCs w:val="20"/>
        </w:rPr>
        <w:t xml:space="preserve"> e l’erogazione delle retribuzioni di risultato.</w:t>
      </w:r>
      <w:r w:rsidRPr="00515872">
        <w:rPr>
          <w:rStyle w:val="Rimandonotaapidipagina"/>
          <w:rFonts w:cs="Tahoma"/>
          <w:szCs w:val="20"/>
        </w:rPr>
        <w:footnoteReference w:id="67"/>
      </w:r>
    </w:p>
    <w:p w14:paraId="46E56DC1" w14:textId="77777777" w:rsidR="00277513" w:rsidRPr="00515872" w:rsidRDefault="00277513" w:rsidP="009518AF">
      <w:pPr>
        <w:pStyle w:val="Sottoparagrafo"/>
        <w:rPr>
          <w:rFonts w:cs="Tahoma"/>
          <w:highlight w:val="yellow"/>
          <w:lang w:eastAsia="it-IT"/>
        </w:rPr>
      </w:pPr>
      <w:bookmarkStart w:id="150" w:name="_Toc521317101"/>
    </w:p>
    <w:p w14:paraId="6AB0604C" w14:textId="77777777" w:rsidR="009518AF" w:rsidRPr="00515872" w:rsidRDefault="009518AF" w:rsidP="009518AF">
      <w:pPr>
        <w:pStyle w:val="Sottoparagrafo"/>
        <w:rPr>
          <w:rFonts w:cs="Tahoma"/>
          <w:lang w:eastAsia="it-IT"/>
        </w:rPr>
      </w:pPr>
      <w:bookmarkStart w:id="151" w:name="_Toc95912280"/>
      <w:r w:rsidRPr="00515872">
        <w:rPr>
          <w:rFonts w:cs="Tahoma"/>
          <w:lang w:eastAsia="it-IT"/>
        </w:rPr>
        <w:t>4.6.6 Nota integrativa</w:t>
      </w:r>
      <w:bookmarkEnd w:id="150"/>
      <w:bookmarkEnd w:id="151"/>
    </w:p>
    <w:p w14:paraId="0B6B45F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Fra i</w:t>
      </w:r>
      <w:r w:rsidR="00A17D94" w:rsidRPr="00515872">
        <w:rPr>
          <w:rFonts w:eastAsia="Times New Roman" w:cs="Tahoma"/>
          <w:szCs w:val="20"/>
          <w:lang w:eastAsia="it-IT"/>
        </w:rPr>
        <w:t xml:space="preserve"> numerosi allegati obbligatori de</w:t>
      </w:r>
      <w:r w:rsidRPr="00515872">
        <w:rPr>
          <w:rFonts w:eastAsia="Times New Roman" w:cs="Tahoma"/>
          <w:szCs w:val="20"/>
          <w:lang w:eastAsia="it-IT"/>
        </w:rPr>
        <w:t xml:space="preserve">l bilancio di previsione riveste un ruolo di particolare importanza la nota integrativa che contiene, ai sensi dell’art. 11, c. 5,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118/2011 e </w:t>
      </w:r>
      <w:proofErr w:type="spellStart"/>
      <w:r w:rsidRPr="00515872">
        <w:rPr>
          <w:rFonts w:eastAsia="Times New Roman" w:cs="Tahoma"/>
          <w:szCs w:val="20"/>
          <w:lang w:eastAsia="it-IT"/>
        </w:rPr>
        <w:t>s.m.i.</w:t>
      </w:r>
      <w:proofErr w:type="spellEnd"/>
      <w:r w:rsidRPr="00515872">
        <w:rPr>
          <w:rFonts w:eastAsia="Times New Roman" w:cs="Tahoma"/>
          <w:szCs w:val="20"/>
          <w:lang w:eastAsia="it-IT"/>
        </w:rPr>
        <w:t xml:space="preserve">, una serie di informazioni utili al fine di comprendere i criteri seguiti dall’ente </w:t>
      </w:r>
      <w:r w:rsidR="003605A9" w:rsidRPr="00515872">
        <w:rPr>
          <w:rFonts w:eastAsia="Times New Roman" w:cs="Tahoma"/>
          <w:szCs w:val="20"/>
          <w:lang w:eastAsia="it-IT"/>
        </w:rPr>
        <w:t>nel</w:t>
      </w:r>
      <w:r w:rsidRPr="00515872">
        <w:rPr>
          <w:rFonts w:eastAsia="Times New Roman" w:cs="Tahoma"/>
          <w:szCs w:val="20"/>
          <w:lang w:eastAsia="it-IT"/>
        </w:rPr>
        <w:t xml:space="preserve">l’elaborazione delle previsioni di entrata e di spesa di ciascun esercizio, nonché la correlazione fra entrate e spese ricorrenti e non ricorrenti. </w:t>
      </w:r>
    </w:p>
    <w:p w14:paraId="2D68B07C"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In base </w:t>
      </w:r>
      <w:r w:rsidR="00BF7E78" w:rsidRPr="00515872">
        <w:rPr>
          <w:rFonts w:eastAsia="Times New Roman" w:cs="Tahoma"/>
          <w:szCs w:val="20"/>
          <w:lang w:eastAsia="it-IT"/>
        </w:rPr>
        <w:t>alla predetta norma,</w:t>
      </w:r>
      <w:r w:rsidRPr="00515872">
        <w:rPr>
          <w:rFonts w:eastAsia="Times New Roman" w:cs="Tahoma"/>
          <w:szCs w:val="20"/>
          <w:lang w:eastAsia="it-IT"/>
        </w:rPr>
        <w:t xml:space="preserve"> la nota integrativa indica: </w:t>
      </w:r>
    </w:p>
    <w:p w14:paraId="24475A04"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 xml:space="preserve">i criteri di valutazione adottati per la formulazione delle previsioni, con particolare riferimento agli stanziamenti riguardanti gli accantonamenti per le spese potenziali e al FCDE, evidenziando il tipo di crediti per i quali non è previsto l’accantonamento a tale fondo; </w:t>
      </w:r>
    </w:p>
    <w:p w14:paraId="6055248B"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 xml:space="preserve">l’elenco analitico delle quote vincolate e accantonate del risultato di amministrazione presunto al 31 dicembre dell’esercizio precedente, distinguendo i vincoli derivanti dalla legge e dai principi contabili, dai trasferimenti, da mutui e altri finanziamenti, da vincoli formalmente attribuiti dall’ente; </w:t>
      </w:r>
    </w:p>
    <w:p w14:paraId="3D67C136"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 xml:space="preserve">l’elenco analitico degli utilizzi delle quote vincolate e accantonate del risultato di amministrazione presunto, distinguendo i vincoli derivanti dalla legge e dai principi contabili, dai trasferimenti, da mutui e altri finanziamenti, da vincoli formalmente attribuiti dall’ente; </w:t>
      </w:r>
    </w:p>
    <w:p w14:paraId="506C10DA"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l’elenco degli interventi programmati per spese di investimento finanziati col ricorso al debit</w:t>
      </w:r>
      <w:r w:rsidR="005424AA" w:rsidRPr="00515872">
        <w:rPr>
          <w:rFonts w:eastAsia="Times New Roman" w:cs="Tahoma"/>
          <w:szCs w:val="20"/>
          <w:lang w:eastAsia="it-IT"/>
        </w:rPr>
        <w:t>o e con le risorse disponibili;</w:t>
      </w:r>
    </w:p>
    <w:p w14:paraId="5CCF6C09"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rPr>
        <w:t xml:space="preserve">nel caso in cui gli stanziamenti riguardanti il FPV comprendano anche investimenti ancora in corso di definizione, le cause che non hanno reso possibile porre in essere la programmazione necessaria alla definizione dei relativi cronoprogrammi; </w:t>
      </w:r>
    </w:p>
    <w:p w14:paraId="1C70843E"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l’elenco delle eventuali garanzie principali o sussidiarie prestate dall’ente a favore di enti e di altri soggetti ai sensi delle leggi vigenti; </w:t>
      </w:r>
    </w:p>
    <w:p w14:paraId="238DF260"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 xml:space="preserve">gli oneri e gli impegni finanziari stimati e stanziati in bilancio, derivanti da contratti relativi a strumenti finanziari derivati o da contratti di finanziamento che includono una componente derivata; </w:t>
      </w:r>
    </w:p>
    <w:p w14:paraId="17981B07"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l'elenco dei propri enti ed organismi strumentali, precisando che i relativi rendiconti della gestione e gli eventuali bilanci consolidati riguardanti il penultimo esercizio antecedente quello cui si riferisce il bilancio di previsione sono consultabili nel proprio sito internet (tali documenti contabili devono essere allegati al bilancio di previsione qualora non integralmente pubblicati nei siti internet elencati);</w:t>
      </w:r>
    </w:p>
    <w:p w14:paraId="4151A054"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 xml:space="preserve">l’elenco delle partecipazioni possedute con l’indicazione della relativa quota percentuale; </w:t>
      </w:r>
    </w:p>
    <w:p w14:paraId="7380869C" w14:textId="77777777" w:rsidR="009518AF" w:rsidRPr="00515872" w:rsidRDefault="009518AF" w:rsidP="00D65838">
      <w:pPr>
        <w:pStyle w:val="Paragrafoelenco"/>
        <w:numPr>
          <w:ilvl w:val="0"/>
          <w:numId w:val="81"/>
        </w:numPr>
        <w:spacing w:line="360" w:lineRule="auto"/>
        <w:jc w:val="both"/>
        <w:rPr>
          <w:rFonts w:eastAsia="Times New Roman" w:cs="Tahoma"/>
          <w:szCs w:val="20"/>
          <w:lang w:eastAsia="it-IT"/>
        </w:rPr>
      </w:pPr>
      <w:r w:rsidRPr="00515872">
        <w:rPr>
          <w:rFonts w:eastAsia="Times New Roman" w:cs="Tahoma"/>
          <w:szCs w:val="20"/>
          <w:lang w:eastAsia="it-IT"/>
        </w:rPr>
        <w:t>altre informazioni riguardanti le previsioni, richieste dalla legge o necessarie per l’interpretazione del bilancio.</w:t>
      </w:r>
    </w:p>
    <w:p w14:paraId="24B9158B" w14:textId="77777777" w:rsidR="00277513" w:rsidRPr="00515872" w:rsidRDefault="00277513" w:rsidP="00297A21">
      <w:pPr>
        <w:pStyle w:val="Paragrafo"/>
        <w:rPr>
          <w:highlight w:val="yellow"/>
        </w:rPr>
      </w:pPr>
      <w:bookmarkStart w:id="152" w:name="_Toc521317102"/>
    </w:p>
    <w:p w14:paraId="6B7C4D89" w14:textId="77777777" w:rsidR="009518AF" w:rsidRPr="00515872" w:rsidRDefault="009518AF" w:rsidP="00297A21">
      <w:pPr>
        <w:pStyle w:val="Paragrafo"/>
      </w:pPr>
      <w:bookmarkStart w:id="153" w:name="_Toc95912281"/>
      <w:r w:rsidRPr="00515872">
        <w:t>4.7 Rapporti con società e organismi partecipati</w:t>
      </w:r>
      <w:bookmarkEnd w:id="152"/>
      <w:bookmarkEnd w:id="153"/>
    </w:p>
    <w:p w14:paraId="1AB76B05" w14:textId="77777777" w:rsidR="009518AF" w:rsidRPr="00515872" w:rsidRDefault="009518AF" w:rsidP="009518AF">
      <w:pPr>
        <w:spacing w:line="360" w:lineRule="auto"/>
        <w:jc w:val="both"/>
        <w:rPr>
          <w:rFonts w:cs="Tahoma"/>
          <w:color w:val="000000"/>
          <w:szCs w:val="20"/>
        </w:rPr>
      </w:pPr>
      <w:r w:rsidRPr="00515872">
        <w:rPr>
          <w:rFonts w:cs="Tahoma"/>
          <w:szCs w:val="20"/>
        </w:rPr>
        <w:t>Sono organismi partecipati da un ente pubblico tutti quelli sui quali l’ente ha l</w:t>
      </w:r>
      <w:r w:rsidRPr="00515872">
        <w:rPr>
          <w:rFonts w:cs="Tahoma"/>
          <w:color w:val="000000"/>
          <w:szCs w:val="20"/>
        </w:rPr>
        <w:t>a titolarità di rapporti comportanti la qualità di socio o la titolarità di strumenti finanziari che attribuiscono diritti amministrativi. La partecipazione può anche essere indiretta quando l’ente detiene la stessa per il tramite di società o altri organismi soggetti a controllo da parte del medesimo.</w:t>
      </w:r>
    </w:p>
    <w:p w14:paraId="0991682D"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Gli enti pubblici devono dotarsi di una struttura finalizzata al monitoraggio della gestione degli organismi partecipati verificando eventuali scostamenti rispetto agli obiettivi </w:t>
      </w:r>
      <w:r w:rsidR="00C43515" w:rsidRPr="00515872">
        <w:rPr>
          <w:rFonts w:cs="Tahoma"/>
          <w:color w:val="000000"/>
          <w:szCs w:val="20"/>
        </w:rPr>
        <w:t xml:space="preserve">ad essi </w:t>
      </w:r>
      <w:r w:rsidRPr="00515872">
        <w:rPr>
          <w:rFonts w:cs="Tahoma"/>
          <w:color w:val="000000"/>
          <w:szCs w:val="20"/>
        </w:rPr>
        <w:t>assegnati.</w:t>
      </w:r>
    </w:p>
    <w:p w14:paraId="2A563328"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L’organo di revisione</w:t>
      </w:r>
      <w:r w:rsidRPr="00515872">
        <w:rPr>
          <w:rFonts w:cs="Tahoma"/>
          <w:b/>
          <w:color w:val="000000"/>
          <w:szCs w:val="20"/>
        </w:rPr>
        <w:t xml:space="preserve"> si deve esprimere sul modello organizzativo e sul sistema di controllo interno</w:t>
      </w:r>
      <w:r w:rsidRPr="00515872">
        <w:rPr>
          <w:rFonts w:cs="Tahoma"/>
          <w:color w:val="000000"/>
          <w:szCs w:val="20"/>
        </w:rPr>
        <w:t xml:space="preserve"> che l’ente ha adottato per la gestione e le verifiche dei propri organismi partecipati.</w:t>
      </w:r>
    </w:p>
    <w:p w14:paraId="47F550D6"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La materia delle partecipazioni pubbliche in società è stata riformata ad opera del </w:t>
      </w:r>
      <w:proofErr w:type="spellStart"/>
      <w:r w:rsidRPr="00515872">
        <w:rPr>
          <w:rFonts w:cs="Tahoma"/>
          <w:color w:val="000000"/>
          <w:szCs w:val="20"/>
        </w:rPr>
        <w:t>D.Lgs.</w:t>
      </w:r>
      <w:proofErr w:type="spellEnd"/>
      <w:r w:rsidRPr="00515872">
        <w:rPr>
          <w:rFonts w:cs="Tahoma"/>
          <w:color w:val="000000"/>
          <w:szCs w:val="20"/>
        </w:rPr>
        <w:t xml:space="preserve"> 19 agosto 2016, n. 175, entrato in vigore il 23 settembre 2016 che ha definito il nuovo Testo Unico i</w:t>
      </w:r>
      <w:r w:rsidR="00B8443E" w:rsidRPr="00515872">
        <w:rPr>
          <w:rFonts w:cs="Tahoma"/>
          <w:color w:val="000000"/>
          <w:szCs w:val="20"/>
        </w:rPr>
        <w:t>n</w:t>
      </w:r>
      <w:r w:rsidRPr="00515872">
        <w:rPr>
          <w:rFonts w:cs="Tahoma"/>
          <w:color w:val="000000"/>
          <w:szCs w:val="20"/>
        </w:rPr>
        <w:t xml:space="preserve"> materia di società a partecipazione pubblica (TUSP). Tale norma è stata oggetto di dichiarazione di parziale incostituzionalità </w:t>
      </w:r>
      <w:r w:rsidR="00B8443E" w:rsidRPr="00515872">
        <w:rPr>
          <w:rFonts w:cs="Tahoma"/>
          <w:color w:val="000000"/>
          <w:szCs w:val="20"/>
        </w:rPr>
        <w:t xml:space="preserve">con </w:t>
      </w:r>
      <w:r w:rsidRPr="00515872">
        <w:rPr>
          <w:rFonts w:cs="Tahoma"/>
          <w:color w:val="000000"/>
          <w:szCs w:val="20"/>
        </w:rPr>
        <w:t xml:space="preserve">pronuncia della </w:t>
      </w:r>
      <w:r w:rsidRPr="00515872">
        <w:rPr>
          <w:rFonts w:cs="Tahoma"/>
          <w:sz w:val="18"/>
          <w:szCs w:val="18"/>
        </w:rPr>
        <w:t>Corte Costituzionale del 25 novembre 2016, n. 251</w:t>
      </w:r>
      <w:r w:rsidRPr="00515872">
        <w:rPr>
          <w:rStyle w:val="Rimandonotaapidipagina"/>
          <w:rFonts w:cs="Tahoma"/>
          <w:sz w:val="18"/>
          <w:szCs w:val="18"/>
        </w:rPr>
        <w:footnoteReference w:id="68"/>
      </w:r>
      <w:r w:rsidRPr="00515872">
        <w:rPr>
          <w:rFonts w:cs="Tahoma"/>
          <w:color w:val="000000"/>
          <w:szCs w:val="20"/>
        </w:rPr>
        <w:t xml:space="preserve"> a seguito della quale il legislatore è intervenuto con misure correttive adottate con il </w:t>
      </w:r>
      <w:proofErr w:type="spellStart"/>
      <w:r w:rsidRPr="00515872">
        <w:rPr>
          <w:rFonts w:cs="Tahoma"/>
          <w:color w:val="000000"/>
          <w:szCs w:val="20"/>
        </w:rPr>
        <w:t>D.Lgs.</w:t>
      </w:r>
      <w:proofErr w:type="spellEnd"/>
      <w:r w:rsidRPr="00515872">
        <w:rPr>
          <w:rFonts w:cs="Tahoma"/>
          <w:color w:val="000000"/>
          <w:szCs w:val="20"/>
        </w:rPr>
        <w:t xml:space="preserve"> n. 100/2017.</w:t>
      </w:r>
    </w:p>
    <w:p w14:paraId="6E6A52AC" w14:textId="77777777" w:rsidR="009518AF" w:rsidRPr="00515872" w:rsidRDefault="009518AF" w:rsidP="009518AF">
      <w:pPr>
        <w:pStyle w:val="Sottoparagrafo"/>
        <w:rPr>
          <w:rFonts w:cs="Tahoma"/>
          <w:lang w:eastAsia="it-IT"/>
        </w:rPr>
      </w:pPr>
      <w:bookmarkStart w:id="154" w:name="_Toc521317103"/>
      <w:bookmarkStart w:id="155" w:name="_Toc95912282"/>
      <w:r w:rsidRPr="00515872">
        <w:rPr>
          <w:rFonts w:cs="Tahoma"/>
          <w:lang w:eastAsia="it-IT"/>
        </w:rPr>
        <w:lastRenderedPageBreak/>
        <w:t xml:space="preserve">4.7.1 </w:t>
      </w:r>
      <w:r w:rsidRPr="00515872">
        <w:rPr>
          <w:rFonts w:cs="Tahoma"/>
          <w:szCs w:val="20"/>
        </w:rPr>
        <w:t>Costituzione di organismi partecipati</w:t>
      </w:r>
      <w:r w:rsidR="00E27D38" w:rsidRPr="00515872">
        <w:rPr>
          <w:rFonts w:cs="Tahoma"/>
          <w:szCs w:val="20"/>
        </w:rPr>
        <w:t>, acquisto</w:t>
      </w:r>
      <w:r w:rsidRPr="00515872">
        <w:rPr>
          <w:rFonts w:cs="Tahoma"/>
          <w:szCs w:val="20"/>
        </w:rPr>
        <w:t xml:space="preserve"> e mantenimento di partecipazioni</w:t>
      </w:r>
      <w:bookmarkEnd w:id="154"/>
      <w:bookmarkEnd w:id="155"/>
    </w:p>
    <w:p w14:paraId="7FF2891E"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In base all’art. 3 del decreto di riforma, le amministrazioni pubbliche possono partecipare esclusivamente a società costituite in forma di società per azioni o società a responsabilità limitata anche consortili o in forma di </w:t>
      </w:r>
      <w:r w:rsidRPr="00515872">
        <w:rPr>
          <w:rFonts w:cs="Tahoma"/>
          <w:szCs w:val="20"/>
        </w:rPr>
        <w:t>cooperativa.</w:t>
      </w:r>
      <w:r w:rsidR="006A0DCE" w:rsidRPr="00515872">
        <w:rPr>
          <w:rFonts w:cs="Tahoma"/>
          <w:szCs w:val="20"/>
        </w:rPr>
        <w:t xml:space="preserve"> </w:t>
      </w:r>
      <w:r w:rsidR="00B8443E" w:rsidRPr="00515872">
        <w:rPr>
          <w:rFonts w:cs="Tahoma"/>
          <w:szCs w:val="20"/>
        </w:rPr>
        <w:t xml:space="preserve">In base all’art. 4 </w:t>
      </w:r>
      <w:r w:rsidRPr="00515872">
        <w:rPr>
          <w:rFonts w:cs="Tahoma"/>
          <w:bCs/>
          <w:szCs w:val="20"/>
        </w:rPr>
        <w:t xml:space="preserve">non possono, direttamente o indirettamente, </w:t>
      </w:r>
      <w:r w:rsidR="00B8443E" w:rsidRPr="00515872">
        <w:rPr>
          <w:rFonts w:cs="Tahoma"/>
          <w:bCs/>
          <w:szCs w:val="20"/>
        </w:rPr>
        <w:t xml:space="preserve">essere </w:t>
      </w:r>
      <w:r w:rsidRPr="00515872">
        <w:rPr>
          <w:rFonts w:cs="Tahoma"/>
          <w:bCs/>
          <w:szCs w:val="20"/>
        </w:rPr>
        <w:t>costituire, acquisire o</w:t>
      </w:r>
      <w:r w:rsidRPr="00515872">
        <w:rPr>
          <w:rFonts w:cs="Tahoma"/>
          <w:szCs w:val="20"/>
        </w:rPr>
        <w:t xml:space="preserve"> </w:t>
      </w:r>
      <w:r w:rsidRPr="00515872">
        <w:rPr>
          <w:rFonts w:cs="Tahoma"/>
          <w:bCs/>
          <w:szCs w:val="20"/>
        </w:rPr>
        <w:t xml:space="preserve">mantenere </w:t>
      </w:r>
      <w:r w:rsidRPr="00515872">
        <w:rPr>
          <w:rFonts w:cs="Tahoma"/>
          <w:szCs w:val="20"/>
        </w:rPr>
        <w:t xml:space="preserve">partecipazioni, anche di minoranza, in società aventi per oggetto attività di produzione di beni e </w:t>
      </w:r>
      <w:r w:rsidRPr="00515872">
        <w:rPr>
          <w:rFonts w:cs="Tahoma"/>
          <w:color w:val="000000"/>
          <w:szCs w:val="20"/>
        </w:rPr>
        <w:t>servizi non strettamente necessarie per il perseguimento delle proprie finalità istituzionali. A questa regola fanno eccezione le partecipazioni in società esercenti le attività di:</w:t>
      </w:r>
    </w:p>
    <w:p w14:paraId="16832ED3" w14:textId="77777777" w:rsidR="009518AF" w:rsidRPr="00515872" w:rsidRDefault="009518AF" w:rsidP="00D65838">
      <w:pPr>
        <w:pStyle w:val="Paragrafoelenco"/>
        <w:numPr>
          <w:ilvl w:val="0"/>
          <w:numId w:val="123"/>
        </w:numPr>
        <w:tabs>
          <w:tab w:val="clear" w:pos="363"/>
          <w:tab w:val="num" w:pos="426"/>
        </w:tabs>
        <w:spacing w:line="360" w:lineRule="auto"/>
        <w:ind w:left="426" w:hanging="426"/>
        <w:jc w:val="both"/>
        <w:rPr>
          <w:rFonts w:cs="Tahoma"/>
          <w:szCs w:val="20"/>
        </w:rPr>
      </w:pPr>
      <w:r w:rsidRPr="00515872">
        <w:rPr>
          <w:rFonts w:cs="Tahoma"/>
          <w:color w:val="000000"/>
          <w:szCs w:val="20"/>
        </w:rPr>
        <w:t>produzione di un servizio di interesse generale, inclusa la realizzazione e la gestione delle reti e degli</w:t>
      </w:r>
      <w:r w:rsidRPr="00515872">
        <w:rPr>
          <w:rFonts w:cs="Tahoma"/>
          <w:color w:val="000000"/>
          <w:szCs w:val="20"/>
        </w:rPr>
        <w:br/>
        <w:t>impianti funzionali ai servizi medesimi;</w:t>
      </w:r>
    </w:p>
    <w:p w14:paraId="41A80FEC" w14:textId="77777777" w:rsidR="009518AF" w:rsidRPr="00515872" w:rsidRDefault="009518AF" w:rsidP="00D65838">
      <w:pPr>
        <w:pStyle w:val="Paragrafoelenco"/>
        <w:numPr>
          <w:ilvl w:val="0"/>
          <w:numId w:val="123"/>
        </w:numPr>
        <w:tabs>
          <w:tab w:val="clear" w:pos="363"/>
          <w:tab w:val="num" w:pos="426"/>
        </w:tabs>
        <w:spacing w:line="360" w:lineRule="auto"/>
        <w:ind w:left="426" w:hanging="426"/>
        <w:jc w:val="both"/>
        <w:rPr>
          <w:rFonts w:cs="Tahoma"/>
          <w:szCs w:val="20"/>
        </w:rPr>
      </w:pPr>
      <w:r w:rsidRPr="00515872">
        <w:rPr>
          <w:rFonts w:cs="Tahoma"/>
          <w:color w:val="000000"/>
          <w:szCs w:val="20"/>
        </w:rPr>
        <w:t>progettazione e realizzazione di un’opera pubblica sulla base di un accordo di programma fra</w:t>
      </w:r>
      <w:r w:rsidRPr="00515872">
        <w:rPr>
          <w:rFonts w:cs="Tahoma"/>
          <w:color w:val="000000"/>
          <w:szCs w:val="20"/>
        </w:rPr>
        <w:br/>
        <w:t>amministrazioni pubbliche, ai sensi dell’art. 193</w:t>
      </w:r>
      <w:r w:rsidR="006660EA" w:rsidRPr="00515872">
        <w:rPr>
          <w:rFonts w:cs="Tahoma"/>
          <w:color w:val="000000"/>
          <w:szCs w:val="20"/>
        </w:rPr>
        <w:t>,</w:t>
      </w:r>
      <w:r w:rsidRPr="00515872">
        <w:rPr>
          <w:rFonts w:cs="Tahoma"/>
          <w:color w:val="000000"/>
          <w:szCs w:val="20"/>
        </w:rPr>
        <w:t xml:space="preserve"> </w:t>
      </w:r>
      <w:proofErr w:type="spellStart"/>
      <w:r w:rsidRPr="00515872">
        <w:rPr>
          <w:rFonts w:cs="Tahoma"/>
          <w:color w:val="000000"/>
          <w:szCs w:val="20"/>
        </w:rPr>
        <w:t>D.Lgs.</w:t>
      </w:r>
      <w:proofErr w:type="spellEnd"/>
      <w:r w:rsidRPr="00515872">
        <w:rPr>
          <w:rFonts w:cs="Tahoma"/>
          <w:color w:val="000000"/>
          <w:szCs w:val="20"/>
        </w:rPr>
        <w:t xml:space="preserve"> n. 50/2016</w:t>
      </w:r>
      <w:r w:rsidRPr="00515872">
        <w:rPr>
          <w:rStyle w:val="Rimandonotaapidipagina"/>
          <w:rFonts w:cs="Tahoma"/>
          <w:color w:val="000000"/>
          <w:szCs w:val="20"/>
        </w:rPr>
        <w:footnoteReference w:id="69"/>
      </w:r>
      <w:r w:rsidRPr="00515872">
        <w:rPr>
          <w:rFonts w:cs="Tahoma"/>
          <w:color w:val="000000"/>
          <w:szCs w:val="20"/>
        </w:rPr>
        <w:t>;</w:t>
      </w:r>
    </w:p>
    <w:p w14:paraId="67779E35" w14:textId="77777777" w:rsidR="009518AF" w:rsidRPr="00515872" w:rsidRDefault="009518AF" w:rsidP="00D65838">
      <w:pPr>
        <w:pStyle w:val="Paragrafoelenco"/>
        <w:numPr>
          <w:ilvl w:val="0"/>
          <w:numId w:val="123"/>
        </w:numPr>
        <w:tabs>
          <w:tab w:val="clear" w:pos="363"/>
          <w:tab w:val="num" w:pos="426"/>
        </w:tabs>
        <w:spacing w:line="360" w:lineRule="auto"/>
        <w:ind w:left="426" w:hanging="426"/>
        <w:jc w:val="both"/>
        <w:rPr>
          <w:rFonts w:cs="Tahoma"/>
          <w:szCs w:val="20"/>
        </w:rPr>
      </w:pPr>
      <w:r w:rsidRPr="00515872">
        <w:rPr>
          <w:rFonts w:cs="Tahoma"/>
          <w:color w:val="000000"/>
          <w:szCs w:val="20"/>
        </w:rPr>
        <w:t>realizzazione e gestione di un’opera pubblica ovvero organizzazione e gestione di un servizio d’interesse generale, attraverso un contratto di partenariato di cui all’art. 180</w:t>
      </w:r>
      <w:r w:rsidR="006660EA" w:rsidRPr="00515872">
        <w:rPr>
          <w:rFonts w:cs="Tahoma"/>
          <w:color w:val="000000"/>
          <w:szCs w:val="20"/>
        </w:rPr>
        <w:t>,</w:t>
      </w:r>
      <w:r w:rsidRPr="00515872">
        <w:rPr>
          <w:rFonts w:cs="Tahoma"/>
          <w:color w:val="000000"/>
          <w:szCs w:val="20"/>
        </w:rPr>
        <w:t xml:space="preserve"> </w:t>
      </w:r>
      <w:proofErr w:type="spellStart"/>
      <w:r w:rsidRPr="00515872">
        <w:rPr>
          <w:rFonts w:cs="Tahoma"/>
          <w:color w:val="000000"/>
          <w:szCs w:val="20"/>
        </w:rPr>
        <w:t>D.Lgs.</w:t>
      </w:r>
      <w:proofErr w:type="spellEnd"/>
      <w:r w:rsidRPr="00515872">
        <w:rPr>
          <w:rFonts w:cs="Tahoma"/>
          <w:color w:val="000000"/>
          <w:szCs w:val="20"/>
        </w:rPr>
        <w:t xml:space="preserve"> n. 50/2016</w:t>
      </w:r>
      <w:r w:rsidRPr="00515872">
        <w:rPr>
          <w:rStyle w:val="Rimandonotaapidipagina"/>
          <w:rFonts w:cs="Tahoma"/>
          <w:color w:val="000000"/>
          <w:szCs w:val="20"/>
        </w:rPr>
        <w:footnoteReference w:id="70"/>
      </w:r>
      <w:r w:rsidRPr="00515872">
        <w:rPr>
          <w:rFonts w:cs="Tahoma"/>
          <w:color w:val="000000"/>
          <w:szCs w:val="20"/>
        </w:rPr>
        <w:t>, con un imprenditore selezionato con le modalità dell’art. 17, cc. 1 e 2</w:t>
      </w:r>
      <w:r w:rsidRPr="00515872">
        <w:rPr>
          <w:rStyle w:val="Rimandonotaapidipagina"/>
          <w:rFonts w:cs="Tahoma"/>
          <w:color w:val="000000"/>
          <w:szCs w:val="20"/>
        </w:rPr>
        <w:footnoteReference w:id="71"/>
      </w:r>
      <w:r w:rsidRPr="00515872">
        <w:rPr>
          <w:rFonts w:cs="Tahoma"/>
          <w:color w:val="000000"/>
          <w:szCs w:val="20"/>
        </w:rPr>
        <w:t>;</w:t>
      </w:r>
    </w:p>
    <w:p w14:paraId="72FD5069" w14:textId="77777777" w:rsidR="009518AF" w:rsidRPr="00515872" w:rsidRDefault="009518AF" w:rsidP="00D65838">
      <w:pPr>
        <w:pStyle w:val="Paragrafoelenco"/>
        <w:numPr>
          <w:ilvl w:val="0"/>
          <w:numId w:val="123"/>
        </w:numPr>
        <w:tabs>
          <w:tab w:val="clear" w:pos="363"/>
          <w:tab w:val="num" w:pos="426"/>
        </w:tabs>
        <w:spacing w:line="360" w:lineRule="auto"/>
        <w:ind w:left="426" w:hanging="426"/>
        <w:jc w:val="both"/>
        <w:rPr>
          <w:rFonts w:cs="Tahoma"/>
          <w:szCs w:val="20"/>
        </w:rPr>
      </w:pPr>
      <w:r w:rsidRPr="00515872">
        <w:rPr>
          <w:rFonts w:cs="Tahoma"/>
          <w:color w:val="000000"/>
          <w:szCs w:val="20"/>
        </w:rPr>
        <w:t>autoproduzione di beni o servizi strumentali all’ente o agli enti pubblici partecipanti o allo svolgimento delle loro funzioni, nel rispetto delle condizioni stabilite dalle direttive europee in materia di contratti pubblici e della relativa disciplina nazionale di recepimento;</w:t>
      </w:r>
    </w:p>
    <w:p w14:paraId="7B02C154" w14:textId="77777777" w:rsidR="009518AF" w:rsidRPr="00515872" w:rsidRDefault="009518AF" w:rsidP="00D65838">
      <w:pPr>
        <w:pStyle w:val="Paragrafoelenco"/>
        <w:numPr>
          <w:ilvl w:val="0"/>
          <w:numId w:val="123"/>
        </w:numPr>
        <w:tabs>
          <w:tab w:val="clear" w:pos="363"/>
          <w:tab w:val="num" w:pos="426"/>
        </w:tabs>
        <w:spacing w:line="360" w:lineRule="auto"/>
        <w:ind w:left="426" w:hanging="426"/>
        <w:jc w:val="both"/>
        <w:rPr>
          <w:rFonts w:cs="Tahoma"/>
          <w:szCs w:val="20"/>
        </w:rPr>
      </w:pPr>
      <w:r w:rsidRPr="00515872">
        <w:rPr>
          <w:rFonts w:cs="Tahoma"/>
          <w:color w:val="000000"/>
          <w:szCs w:val="20"/>
        </w:rPr>
        <w:t>servizi di committenza, incluse le attività di committenza ausiliare, apprestati a supporto di enti senza scopo di lucro e di amministrazioni aggiudicatrici di cui all’art. 3, c. 1, lett. a)</w:t>
      </w:r>
      <w:r w:rsidR="00D25298" w:rsidRPr="00515872">
        <w:rPr>
          <w:rFonts w:cs="Tahoma"/>
          <w:color w:val="000000"/>
          <w:szCs w:val="20"/>
        </w:rPr>
        <w:t>,</w:t>
      </w:r>
      <w:r w:rsidRPr="00515872">
        <w:rPr>
          <w:rFonts w:cs="Tahoma"/>
          <w:color w:val="000000"/>
          <w:szCs w:val="20"/>
        </w:rPr>
        <w:t xml:space="preserve"> D.lgs. 50/2016.</w:t>
      </w:r>
    </w:p>
    <w:p w14:paraId="33BFB704" w14:textId="77777777" w:rsidR="00AF3157" w:rsidRPr="00515872" w:rsidRDefault="009518AF" w:rsidP="009518AF">
      <w:pPr>
        <w:spacing w:line="360" w:lineRule="auto"/>
        <w:jc w:val="both"/>
        <w:rPr>
          <w:rFonts w:cs="Tahoma"/>
          <w:color w:val="000000"/>
          <w:szCs w:val="20"/>
        </w:rPr>
      </w:pPr>
      <w:r w:rsidRPr="00515872">
        <w:rPr>
          <w:rFonts w:cs="Tahoma"/>
          <w:color w:val="000000"/>
          <w:szCs w:val="20"/>
        </w:rPr>
        <w:t>Al solo fine di ottimizzare e valorizzare l’utilizzo di beni immobili del patrimonio delle amministrazioni pubbliche, è possibile l’acquisizione di partecipazioni in società con oggetto sociale esclusivo la valorizzazione del patrimonio delle amministrazioni stesse, tramite il conferimento di beni immobili, allo scopo di realizzare un investimento secondo criteri propri di un</w:t>
      </w:r>
      <w:r w:rsidR="00AF3157" w:rsidRPr="00515872">
        <w:rPr>
          <w:rFonts w:cs="Tahoma"/>
          <w:color w:val="000000"/>
          <w:szCs w:val="20"/>
        </w:rPr>
        <w:t xml:space="preserve"> qualsiasi operatore di mercato.</w:t>
      </w:r>
    </w:p>
    <w:p w14:paraId="5CDCE5E6" w14:textId="77777777" w:rsidR="009518AF" w:rsidRPr="00515872" w:rsidRDefault="00AF3157" w:rsidP="009518AF">
      <w:pPr>
        <w:spacing w:line="360" w:lineRule="auto"/>
        <w:jc w:val="both"/>
        <w:rPr>
          <w:rFonts w:cs="Tahoma"/>
          <w:color w:val="000000"/>
          <w:szCs w:val="20"/>
        </w:rPr>
      </w:pPr>
      <w:r w:rsidRPr="00515872">
        <w:rPr>
          <w:rFonts w:cs="Tahoma"/>
          <w:color w:val="000000"/>
          <w:szCs w:val="20"/>
        </w:rPr>
        <w:t>A</w:t>
      </w:r>
      <w:r w:rsidR="009518AF" w:rsidRPr="00515872">
        <w:rPr>
          <w:rFonts w:cs="Tahoma"/>
          <w:color w:val="000000"/>
          <w:szCs w:val="20"/>
        </w:rPr>
        <w:t xml:space="preserve">ltre deroghe sono previste dalla legge in materia di gruppi di azione locale, fiere, mobilità turistico-sportiva, </w:t>
      </w:r>
      <w:r w:rsidR="00371403" w:rsidRPr="00515872">
        <w:rPr>
          <w:rFonts w:cs="Tahoma"/>
          <w:color w:val="000000"/>
          <w:szCs w:val="20"/>
        </w:rPr>
        <w:t xml:space="preserve">energie rinnovabili, </w:t>
      </w:r>
      <w:r w:rsidR="009518AF" w:rsidRPr="00515872">
        <w:rPr>
          <w:rFonts w:cs="Tahoma"/>
          <w:color w:val="000000"/>
          <w:szCs w:val="20"/>
        </w:rPr>
        <w:t>ricerca</w:t>
      </w:r>
      <w:r w:rsidR="00371403" w:rsidRPr="00515872">
        <w:rPr>
          <w:rFonts w:cs="Tahoma"/>
          <w:color w:val="000000"/>
          <w:szCs w:val="20"/>
        </w:rPr>
        <w:t xml:space="preserve"> e altro</w:t>
      </w:r>
      <w:r w:rsidR="009518AF" w:rsidRPr="00515872">
        <w:rPr>
          <w:rFonts w:cs="Tahoma"/>
          <w:color w:val="000000"/>
          <w:szCs w:val="20"/>
        </w:rPr>
        <w:t>.</w:t>
      </w:r>
    </w:p>
    <w:p w14:paraId="216C9368" w14:textId="77777777" w:rsidR="009518AF" w:rsidRPr="00515872" w:rsidRDefault="009518AF" w:rsidP="009518AF">
      <w:pPr>
        <w:spacing w:line="360" w:lineRule="auto"/>
        <w:jc w:val="both"/>
        <w:rPr>
          <w:rFonts w:cs="Tahoma"/>
          <w:szCs w:val="20"/>
        </w:rPr>
      </w:pPr>
      <w:r w:rsidRPr="00515872">
        <w:rPr>
          <w:rFonts w:cs="Tahoma"/>
          <w:color w:val="000000"/>
          <w:szCs w:val="20"/>
        </w:rPr>
        <w:lastRenderedPageBreak/>
        <w:t>A decorrere dal 2018, inoltre, il c. 891 della legge di bilancio per il 20</w:t>
      </w:r>
      <w:r w:rsidR="00966E65" w:rsidRPr="00515872">
        <w:rPr>
          <w:rFonts w:cs="Tahoma"/>
          <w:color w:val="000000"/>
          <w:szCs w:val="20"/>
        </w:rPr>
        <w:t>1</w:t>
      </w:r>
      <w:r w:rsidRPr="00515872">
        <w:rPr>
          <w:rFonts w:cs="Tahoma"/>
          <w:color w:val="000000"/>
          <w:szCs w:val="20"/>
        </w:rPr>
        <w:t>8 introduce la possibilità per le amministrazioni pubbliche di acquisire o mantenere partecipazioni non superiori all’1% del capitale sociale in società bancarie di finanza etica e sostenibile senza ulteriori oneri finanziari rispetto a quelli derivanti dalla partecipazione stessa.</w:t>
      </w:r>
    </w:p>
    <w:p w14:paraId="5D5FB101"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La costituzione di una società partecipata, di una istituzione o di un’azienda speciale deve essere autorizzata dal consiglio dell’ente. La deliberazione di costituzione o di acquisto deve contenere:</w:t>
      </w:r>
    </w:p>
    <w:p w14:paraId="3B16645B" w14:textId="77777777" w:rsidR="009518AF" w:rsidRPr="00515872" w:rsidRDefault="009518AF" w:rsidP="00D65838">
      <w:pPr>
        <w:pStyle w:val="Paragrafoelenco"/>
        <w:numPr>
          <w:ilvl w:val="0"/>
          <w:numId w:val="126"/>
        </w:numPr>
        <w:spacing w:line="360" w:lineRule="auto"/>
        <w:jc w:val="both"/>
        <w:rPr>
          <w:rFonts w:cs="Tahoma"/>
          <w:color w:val="000000"/>
          <w:szCs w:val="20"/>
        </w:rPr>
      </w:pPr>
      <w:r w:rsidRPr="00515872">
        <w:rPr>
          <w:rFonts w:cs="Tahoma"/>
          <w:color w:val="000000"/>
          <w:szCs w:val="20"/>
        </w:rPr>
        <w:t xml:space="preserve">la motivazione della necessità della partecipazione per il perseguimento di finalità istituzionali, evidenziando gli obiettivi della stessa e le ragioni che giustificano </w:t>
      </w:r>
      <w:r w:rsidR="00D25298" w:rsidRPr="00515872">
        <w:rPr>
          <w:rFonts w:cs="Tahoma"/>
          <w:color w:val="000000"/>
          <w:szCs w:val="20"/>
        </w:rPr>
        <w:t xml:space="preserve">la scelta anche sul piano della </w:t>
      </w:r>
      <w:r w:rsidRPr="00515872">
        <w:rPr>
          <w:rFonts w:cs="Tahoma"/>
          <w:color w:val="000000"/>
          <w:szCs w:val="20"/>
        </w:rPr>
        <w:t>convenienza economica e della sostenibilità finanziaria e in considerazione della possibilità di destinazione alternativa delle risorse pubbliche impegnate, nonché di gestione indiretta o esternalizzata del servizio affidato. La motivazione deve anche dare conto della compatibilità della scelta con i principi di efficienza, efficacia e di economicità dell’azione amministrativa;</w:t>
      </w:r>
    </w:p>
    <w:p w14:paraId="6514CD99" w14:textId="77777777" w:rsidR="009518AF" w:rsidRPr="00515872" w:rsidRDefault="009518AF" w:rsidP="00D65838">
      <w:pPr>
        <w:pStyle w:val="Paragrafoelenco"/>
        <w:numPr>
          <w:ilvl w:val="0"/>
          <w:numId w:val="126"/>
        </w:numPr>
        <w:spacing w:line="360" w:lineRule="auto"/>
        <w:jc w:val="both"/>
        <w:rPr>
          <w:rFonts w:cs="Tahoma"/>
          <w:color w:val="000000"/>
          <w:szCs w:val="20"/>
        </w:rPr>
      </w:pPr>
      <w:r w:rsidRPr="00515872">
        <w:rPr>
          <w:rFonts w:cs="Tahoma"/>
          <w:color w:val="000000"/>
          <w:szCs w:val="20"/>
        </w:rPr>
        <w:t>la compatibilità dell’intervento finanziario previsto con le norme dei trattati europei e, in particolare, con la disciplina europea in materia di aiuti di Stato alle imprese;</w:t>
      </w:r>
    </w:p>
    <w:p w14:paraId="6A205EEA" w14:textId="77777777" w:rsidR="009518AF" w:rsidRPr="00515872" w:rsidRDefault="009518AF" w:rsidP="00D65838">
      <w:pPr>
        <w:pStyle w:val="Paragrafoelenco"/>
        <w:numPr>
          <w:ilvl w:val="0"/>
          <w:numId w:val="126"/>
        </w:numPr>
        <w:spacing w:line="360" w:lineRule="auto"/>
        <w:jc w:val="both"/>
        <w:rPr>
          <w:rFonts w:cs="Tahoma"/>
          <w:color w:val="000000"/>
          <w:szCs w:val="20"/>
        </w:rPr>
      </w:pPr>
      <w:r w:rsidRPr="00515872">
        <w:rPr>
          <w:rFonts w:cs="Tahoma"/>
          <w:color w:val="000000"/>
          <w:szCs w:val="20"/>
        </w:rPr>
        <w:t>in caso di costituzione di società per azioni o a responsabilità limitata, gli elementi essenziali dell’atto costitutivo e dello statuto, rispettivamente previsti negli artt. 2328 e 2463 del Codice Civile.</w:t>
      </w:r>
    </w:p>
    <w:p w14:paraId="76E62C44" w14:textId="77777777" w:rsidR="00D25298" w:rsidRPr="00515872" w:rsidRDefault="009518AF" w:rsidP="009518AF">
      <w:pPr>
        <w:spacing w:line="360" w:lineRule="auto"/>
        <w:jc w:val="both"/>
        <w:rPr>
          <w:rFonts w:cs="Tahoma"/>
          <w:color w:val="000000"/>
          <w:szCs w:val="20"/>
        </w:rPr>
      </w:pPr>
      <w:r w:rsidRPr="00515872">
        <w:rPr>
          <w:rFonts w:cs="Tahoma"/>
          <w:color w:val="000000"/>
          <w:szCs w:val="20"/>
        </w:rPr>
        <w:t>Gli enti locali sottopongono lo schema di atto deliberativo a forme di consultazione pubblica.</w:t>
      </w:r>
    </w:p>
    <w:p w14:paraId="773D372B"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Il rispetto delle disposizioni di legge è verificato anche dalla Corte dei Conti cui l’ente deve inoltrare lo schema di atto deliberativo in questione </w:t>
      </w:r>
      <w:r w:rsidRPr="00515872">
        <w:rPr>
          <w:rFonts w:cs="Tahoma"/>
          <w:color w:val="000000"/>
        </w:rPr>
        <w:t>e dall'Autorità garante della concorrenza e del mercato, che può esercitare i propri poteri</w:t>
      </w:r>
      <w:r w:rsidRPr="00515872">
        <w:rPr>
          <w:rStyle w:val="Rimandonotaapidipagina"/>
          <w:rFonts w:cs="Tahoma"/>
          <w:color w:val="000000"/>
        </w:rPr>
        <w:footnoteReference w:id="72"/>
      </w:r>
      <w:r w:rsidRPr="00515872">
        <w:rPr>
          <w:rFonts w:cs="Tahoma"/>
          <w:color w:val="000000"/>
        </w:rPr>
        <w:t>.</w:t>
      </w:r>
    </w:p>
    <w:p w14:paraId="027A603D" w14:textId="77777777" w:rsidR="009518AF" w:rsidRPr="00515872" w:rsidRDefault="009518AF" w:rsidP="009518AF">
      <w:pPr>
        <w:autoSpaceDE w:val="0"/>
        <w:autoSpaceDN w:val="0"/>
        <w:adjustRightInd w:val="0"/>
        <w:spacing w:line="360" w:lineRule="auto"/>
        <w:jc w:val="both"/>
        <w:rPr>
          <w:rFonts w:cs="Tahoma"/>
          <w:szCs w:val="20"/>
        </w:rPr>
      </w:pPr>
      <w:r w:rsidRPr="00515872">
        <w:rPr>
          <w:rFonts w:cs="Tahoma"/>
          <w:szCs w:val="20"/>
        </w:rPr>
        <w:t>Il c. 9-</w:t>
      </w:r>
      <w:r w:rsidRPr="00515872">
        <w:rPr>
          <w:rFonts w:cs="Tahoma"/>
          <w:iCs/>
          <w:szCs w:val="20"/>
        </w:rPr>
        <w:t>bis</w:t>
      </w:r>
      <w:r w:rsidRPr="00515872">
        <w:rPr>
          <w:rFonts w:cs="Tahoma"/>
          <w:i/>
          <w:iCs/>
          <w:szCs w:val="20"/>
        </w:rPr>
        <w:t xml:space="preserve"> </w:t>
      </w:r>
      <w:r w:rsidRPr="00515872">
        <w:rPr>
          <w:rFonts w:cs="Tahoma"/>
          <w:szCs w:val="20"/>
        </w:rPr>
        <w:t>all’art. 4 del TUSP, prevede che,</w:t>
      </w:r>
      <w:r w:rsidRPr="00515872">
        <w:rPr>
          <w:rFonts w:cs="Tahoma"/>
          <w:color w:val="000000"/>
          <w:szCs w:val="20"/>
        </w:rPr>
        <w:t> nel rispetto della disciplina europea, è fatta salva la possibilità per le amministrazioni pubbliche di acquisire o mantenere partecipazioni in società che producono servizi economici di interesse generale a rete, anche fuori dall'ambito territoriale della collettività di riferimento, purché l'affidamento dei servizi avvenga tramite procedure ad evidenza pubblica.</w:t>
      </w:r>
    </w:p>
    <w:p w14:paraId="2BCAC221" w14:textId="77777777" w:rsidR="009518AF" w:rsidRPr="00515872" w:rsidRDefault="009518AF" w:rsidP="009518AF">
      <w:pPr>
        <w:spacing w:line="360" w:lineRule="auto"/>
        <w:jc w:val="both"/>
        <w:rPr>
          <w:rFonts w:cs="Tahoma"/>
          <w:color w:val="000000"/>
        </w:rPr>
      </w:pPr>
      <w:r w:rsidRPr="00515872">
        <w:rPr>
          <w:rFonts w:cs="Tahoma"/>
          <w:color w:val="000000"/>
        </w:rPr>
        <w:t xml:space="preserve">L’art. 17 stabilisce una disciplina unitaria per le società miste, costituite con la finalità di realizzare un partenariato pubblico-privato. Il riferimento è alle società costituite o partecipate per la realizzazione e gestione di un’opera pubblica ovvero organizzazione e gestione di un servizio d’interesse generale attraverso un </w:t>
      </w:r>
      <w:r w:rsidRPr="00515872">
        <w:rPr>
          <w:rFonts w:cs="Tahoma"/>
          <w:color w:val="000000"/>
        </w:rPr>
        <w:lastRenderedPageBreak/>
        <w:t xml:space="preserve">contratto di partenariato di cui all’art. 180 del </w:t>
      </w:r>
      <w:proofErr w:type="spellStart"/>
      <w:r w:rsidRPr="00515872">
        <w:rPr>
          <w:rFonts w:cs="Tahoma"/>
          <w:color w:val="000000"/>
        </w:rPr>
        <w:t>D.Lgs.</w:t>
      </w:r>
      <w:proofErr w:type="spellEnd"/>
      <w:r w:rsidRPr="00515872">
        <w:rPr>
          <w:rFonts w:cs="Tahoma"/>
          <w:color w:val="000000"/>
        </w:rPr>
        <w:t xml:space="preserve"> n. 50/2016, con un imprenditore selezionato con le modalità di cui allo stesso art. 17, cc. 1 e 2. Nei casi in cui le norme vigenti consentano la costituzione di società miste per la realizzazione e gestione di un’opera pubblica o per l’organizzazione e la gestione di un servizio di interesse generale, la scelta del socio privato avviene </w:t>
      </w:r>
      <w:r w:rsidRPr="00515872">
        <w:rPr>
          <w:rFonts w:cs="Tahoma"/>
          <w:b/>
          <w:color w:val="000000"/>
        </w:rPr>
        <w:t>con procedure di evidenza pubblica</w:t>
      </w:r>
      <w:r w:rsidRPr="00515872">
        <w:rPr>
          <w:rFonts w:cs="Tahoma"/>
          <w:color w:val="000000"/>
        </w:rPr>
        <w:t>. Viene introdotta una soglia minima di riserva al partner privato, cui non può essere attribuita una quota inferiore al 30% del capitale.</w:t>
      </w:r>
    </w:p>
    <w:p w14:paraId="1C8627C9" w14:textId="77777777" w:rsidR="00277513" w:rsidRPr="00515872" w:rsidRDefault="00277513" w:rsidP="009518AF">
      <w:pPr>
        <w:pStyle w:val="Sottoparagrafo"/>
        <w:rPr>
          <w:rFonts w:cs="Tahoma"/>
          <w:lang w:eastAsia="it-IT"/>
        </w:rPr>
      </w:pPr>
      <w:bookmarkStart w:id="156" w:name="_Toc521317104"/>
    </w:p>
    <w:p w14:paraId="61B1128C" w14:textId="77777777" w:rsidR="009518AF" w:rsidRPr="00515872" w:rsidRDefault="009518AF" w:rsidP="009518AF">
      <w:pPr>
        <w:pStyle w:val="Sottoparagrafo"/>
        <w:rPr>
          <w:rFonts w:cs="Tahoma"/>
          <w:lang w:eastAsia="it-IT"/>
        </w:rPr>
      </w:pPr>
      <w:bookmarkStart w:id="157" w:name="_Toc95912283"/>
      <w:r w:rsidRPr="00515872">
        <w:rPr>
          <w:rFonts w:cs="Tahoma"/>
          <w:lang w:eastAsia="it-IT"/>
        </w:rPr>
        <w:t>4.7.2 Società in house</w:t>
      </w:r>
      <w:bookmarkEnd w:id="156"/>
      <w:bookmarkEnd w:id="157"/>
    </w:p>
    <w:p w14:paraId="61217E7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L’art. 16 regola l’affidamento di servizi alle società</w:t>
      </w:r>
      <w:r w:rsidR="00D25298" w:rsidRPr="00515872">
        <w:rPr>
          <w:rFonts w:eastAsia="Times New Roman" w:cs="Tahoma"/>
          <w:szCs w:val="20"/>
          <w:lang w:eastAsia="it-IT"/>
        </w:rPr>
        <w:t xml:space="preserve"> c.d.</w:t>
      </w:r>
      <w:r w:rsidRPr="00515872">
        <w:rPr>
          <w:rFonts w:eastAsia="Times New Roman" w:cs="Tahoma"/>
          <w:szCs w:val="20"/>
          <w:lang w:eastAsia="it-IT"/>
        </w:rPr>
        <w:t xml:space="preserve"> </w:t>
      </w:r>
      <w:r w:rsidRPr="00515872">
        <w:rPr>
          <w:rFonts w:eastAsia="Times New Roman" w:cs="Tahoma"/>
          <w:i/>
          <w:szCs w:val="20"/>
          <w:lang w:eastAsia="it-IT"/>
        </w:rPr>
        <w:t>in house</w:t>
      </w:r>
      <w:r w:rsidRPr="00515872">
        <w:rPr>
          <w:rFonts w:eastAsia="Times New Roman" w:cs="Tahoma"/>
          <w:szCs w:val="20"/>
          <w:lang w:eastAsia="it-IT"/>
        </w:rPr>
        <w:t>. Sono definite tali, ai sensi dell’art. 2 (come modificato dall’art. 4, c. 1, lett. d)</w:t>
      </w:r>
      <w:r w:rsidR="00D25298" w:rsidRPr="00515872">
        <w:rPr>
          <w:rFonts w:eastAsia="Times New Roman" w:cs="Tahoma"/>
          <w:szCs w:val="20"/>
          <w:lang w:eastAsia="it-IT"/>
        </w:rPr>
        <w:t>,</w:t>
      </w:r>
      <w:r w:rsidRPr="00515872">
        <w:rPr>
          <w:rFonts w:eastAsia="Times New Roman" w:cs="Tahoma"/>
          <w:szCs w:val="20"/>
          <w:lang w:eastAsia="it-IT"/>
        </w:rPr>
        <w:t xml:space="preserve"> </w:t>
      </w:r>
      <w:proofErr w:type="spellStart"/>
      <w:r w:rsidRPr="00515872">
        <w:rPr>
          <w:rFonts w:eastAsia="Times New Roman" w:cs="Tahoma"/>
          <w:szCs w:val="20"/>
          <w:lang w:eastAsia="it-IT"/>
        </w:rPr>
        <w:t>D.Lgs.</w:t>
      </w:r>
      <w:proofErr w:type="spellEnd"/>
      <w:r w:rsidRPr="00515872">
        <w:rPr>
          <w:rFonts w:eastAsia="Times New Roman" w:cs="Tahoma"/>
          <w:szCs w:val="20"/>
          <w:lang w:eastAsia="it-IT"/>
        </w:rPr>
        <w:t xml:space="preserve"> n. 100/2017), le società sulle quali un'amministrazione esercita il </w:t>
      </w:r>
      <w:r w:rsidRPr="00515872">
        <w:rPr>
          <w:rFonts w:eastAsia="Times New Roman" w:cs="Tahoma"/>
          <w:b/>
          <w:szCs w:val="20"/>
          <w:lang w:eastAsia="it-IT"/>
        </w:rPr>
        <w:t>controllo analogo</w:t>
      </w:r>
      <w:r w:rsidRPr="00515872">
        <w:rPr>
          <w:rFonts w:eastAsia="Times New Roman" w:cs="Tahoma"/>
          <w:szCs w:val="20"/>
          <w:lang w:eastAsia="it-IT"/>
        </w:rPr>
        <w:t xml:space="preserve"> o più amministrazioni esercitano il </w:t>
      </w:r>
      <w:r w:rsidRPr="00515872">
        <w:rPr>
          <w:rFonts w:eastAsia="Times New Roman" w:cs="Tahoma"/>
          <w:b/>
          <w:szCs w:val="20"/>
          <w:lang w:eastAsia="it-IT"/>
        </w:rPr>
        <w:t>controllo analogo congiunto</w:t>
      </w:r>
      <w:r w:rsidRPr="00515872">
        <w:rPr>
          <w:rFonts w:eastAsia="Times New Roman" w:cs="Tahoma"/>
          <w:szCs w:val="20"/>
          <w:lang w:eastAsia="it-IT"/>
        </w:rPr>
        <w:t>, nelle quali la partecipazione di capitali privati avviene nelle forme di cui all’art. 16, c. 1</w:t>
      </w:r>
      <w:r w:rsidRPr="00515872">
        <w:rPr>
          <w:rStyle w:val="Rimandonotaapidipagina"/>
          <w:rFonts w:eastAsia="Times New Roman" w:cs="Tahoma"/>
          <w:szCs w:val="20"/>
          <w:lang w:eastAsia="it-IT"/>
        </w:rPr>
        <w:footnoteReference w:id="73"/>
      </w:r>
      <w:r w:rsidRPr="00515872">
        <w:rPr>
          <w:rFonts w:eastAsia="Times New Roman" w:cs="Tahoma"/>
          <w:szCs w:val="20"/>
          <w:lang w:eastAsia="it-IT"/>
        </w:rPr>
        <w:t xml:space="preserve"> e che soddisfano il requisito dell’attività prevalente di cui all’art. 16, c. 3</w:t>
      </w:r>
      <w:r w:rsidRPr="00515872">
        <w:rPr>
          <w:rStyle w:val="Rimandonotaapidipagina"/>
          <w:rFonts w:eastAsia="Times New Roman" w:cs="Tahoma"/>
          <w:szCs w:val="20"/>
          <w:lang w:eastAsia="it-IT"/>
        </w:rPr>
        <w:footnoteReference w:id="74"/>
      </w:r>
      <w:r w:rsidRPr="00515872">
        <w:rPr>
          <w:rFonts w:eastAsia="Times New Roman" w:cs="Tahoma"/>
          <w:szCs w:val="20"/>
          <w:lang w:eastAsia="it-IT"/>
        </w:rPr>
        <w:t>.</w:t>
      </w:r>
    </w:p>
    <w:p w14:paraId="5CFD93D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Per “controllo analogo” si intende la situazione in cui l'amministrazione esercita su una società un controllo analogo a quello che ha sui propri servizi, esercitando un'influenza determinante sia sugli obiettivi strategici che sulle decisioni significative della società controllata. Il controllo analogo è “congiunto” quando l'amministrazione esercita su una società, congiuntamente con altre amministrazioni, un controllo analogo a quello esercitato sui propri servizi.</w:t>
      </w:r>
    </w:p>
    <w:p w14:paraId="071E701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citato art. 16 prevede che le </w:t>
      </w:r>
      <w:r w:rsidRPr="00515872">
        <w:rPr>
          <w:rFonts w:eastAsia="Times New Roman" w:cs="Tahoma"/>
          <w:i/>
          <w:szCs w:val="20"/>
          <w:lang w:eastAsia="it-IT"/>
        </w:rPr>
        <w:t>in house</w:t>
      </w:r>
      <w:r w:rsidRPr="00515872">
        <w:rPr>
          <w:rFonts w:eastAsia="Times New Roman" w:cs="Tahoma"/>
          <w:szCs w:val="20"/>
          <w:lang w:eastAsia="it-IT"/>
        </w:rPr>
        <w:t xml:space="preserve"> </w:t>
      </w:r>
      <w:r w:rsidRPr="00515872">
        <w:rPr>
          <w:rFonts w:eastAsia="Times New Roman" w:cs="Tahoma"/>
          <w:b/>
          <w:szCs w:val="20"/>
          <w:lang w:eastAsia="it-IT"/>
        </w:rPr>
        <w:t>ricevano affidamenti diretti di contratti pubblici dalle amministrazioni che esercitano su di esse il controllo analogo</w:t>
      </w:r>
      <w:r w:rsidRPr="00515872">
        <w:rPr>
          <w:rFonts w:eastAsia="Times New Roman" w:cs="Tahoma"/>
          <w:szCs w:val="20"/>
          <w:lang w:eastAsia="it-IT"/>
        </w:rPr>
        <w:t xml:space="preserve"> o da ciascuna delle amministrazioni che esercitano su di esse il controllo analogo congiunto solo se non vi sia partecipazione di capitali privati, ad eccezione di quella prescritta da norme di legge e che avvenga in forme che non comportino controllo o potere di veto, né l'esercizio di un'influenza determinante sulla società controllata.</w:t>
      </w:r>
    </w:p>
    <w:p w14:paraId="35BDC312" w14:textId="77777777" w:rsidR="009518AF" w:rsidRPr="00515872" w:rsidRDefault="009518AF" w:rsidP="009518AF">
      <w:pPr>
        <w:spacing w:line="360" w:lineRule="auto"/>
        <w:jc w:val="both"/>
        <w:rPr>
          <w:rFonts w:cs="Tahoma"/>
          <w:color w:val="000000"/>
          <w:szCs w:val="20"/>
        </w:rPr>
      </w:pPr>
      <w:r w:rsidRPr="00515872">
        <w:rPr>
          <w:rFonts w:cs="Tahoma"/>
          <w:color w:val="000000"/>
        </w:rPr>
        <w:t>Regole specifiche sono, inoltre, previste per il l’acquisizione e il possesso di partecipazioni in società quotate in mercati regolamentati.</w:t>
      </w:r>
    </w:p>
    <w:p w14:paraId="4BF1584A" w14:textId="77777777" w:rsidR="00C353C6" w:rsidRPr="00515872" w:rsidRDefault="009518AF" w:rsidP="00A72892">
      <w:pPr>
        <w:spacing w:line="360" w:lineRule="auto"/>
        <w:jc w:val="both"/>
        <w:rPr>
          <w:rFonts w:cs="Tahoma"/>
          <w:color w:val="000000"/>
          <w:szCs w:val="20"/>
        </w:rPr>
      </w:pPr>
      <w:r w:rsidRPr="00515872">
        <w:rPr>
          <w:rFonts w:cs="Tahoma"/>
          <w:color w:val="000000"/>
          <w:szCs w:val="20"/>
        </w:rPr>
        <w:t>La gestione delle partecipazioni deve essere affidata a responsabili formalmente individuati.</w:t>
      </w:r>
      <w:bookmarkStart w:id="158" w:name="_Toc521317105"/>
    </w:p>
    <w:p w14:paraId="04D4E50E" w14:textId="77777777" w:rsidR="00A72892" w:rsidRPr="00515872" w:rsidRDefault="00A72892" w:rsidP="00A72892">
      <w:pPr>
        <w:spacing w:line="360" w:lineRule="auto"/>
        <w:jc w:val="both"/>
        <w:rPr>
          <w:rFonts w:cs="Tahoma"/>
          <w:color w:val="000000"/>
          <w:szCs w:val="20"/>
          <w:highlight w:val="yellow"/>
        </w:rPr>
      </w:pPr>
    </w:p>
    <w:p w14:paraId="7663F936" w14:textId="77777777" w:rsidR="009F2FAB" w:rsidRPr="00515872" w:rsidRDefault="009F2FAB" w:rsidP="009F2FAB">
      <w:pPr>
        <w:pStyle w:val="Sottoparagrafo"/>
        <w:rPr>
          <w:rFonts w:cs="Tahoma"/>
          <w:lang w:eastAsia="it-IT"/>
        </w:rPr>
      </w:pPr>
      <w:bookmarkStart w:id="159" w:name="_Toc95912284"/>
      <w:r w:rsidRPr="00515872">
        <w:rPr>
          <w:rFonts w:cs="Tahoma"/>
          <w:lang w:eastAsia="it-IT"/>
        </w:rPr>
        <w:lastRenderedPageBreak/>
        <w:t>4.7.</w:t>
      </w:r>
      <w:r w:rsidR="00D04E20" w:rsidRPr="00515872">
        <w:rPr>
          <w:rFonts w:cs="Tahoma"/>
          <w:lang w:eastAsia="it-IT"/>
        </w:rPr>
        <w:t>3</w:t>
      </w:r>
      <w:r w:rsidRPr="00515872">
        <w:rPr>
          <w:rFonts w:cs="Tahoma"/>
          <w:lang w:eastAsia="it-IT"/>
        </w:rPr>
        <w:t xml:space="preserve"> </w:t>
      </w:r>
      <w:r w:rsidR="00D04E20" w:rsidRPr="00515872">
        <w:rPr>
          <w:rFonts w:cs="Tahoma"/>
          <w:lang w:eastAsia="it-IT"/>
        </w:rPr>
        <w:t>Organi sociali delle società a partecipazione pubblica</w:t>
      </w:r>
      <w:bookmarkEnd w:id="159"/>
    </w:p>
    <w:p w14:paraId="745C967B" w14:textId="77777777" w:rsidR="00131025" w:rsidRPr="00515872" w:rsidRDefault="00131025" w:rsidP="00D04E20">
      <w:pPr>
        <w:spacing w:line="360" w:lineRule="auto"/>
        <w:jc w:val="both"/>
        <w:rPr>
          <w:rFonts w:cs="Tahoma"/>
        </w:rPr>
      </w:pPr>
      <w:r w:rsidRPr="00515872">
        <w:rPr>
          <w:rFonts w:cs="Tahoma"/>
        </w:rPr>
        <w:t>Il revisore dell’ente deve porre attenzione anche al rispetto del disposto dell’art. 11 del TUSP che prevede regole in materia di organi di amministrazione e controllo delle società a controllo pubblico.</w:t>
      </w:r>
    </w:p>
    <w:p w14:paraId="1F05F548" w14:textId="77777777" w:rsidR="002D172A" w:rsidRPr="00515872" w:rsidRDefault="00131025" w:rsidP="00D04E20">
      <w:pPr>
        <w:spacing w:line="360" w:lineRule="auto"/>
        <w:jc w:val="both"/>
        <w:rPr>
          <w:rFonts w:cs="Tahoma"/>
        </w:rPr>
      </w:pPr>
      <w:r w:rsidRPr="00515872">
        <w:rPr>
          <w:rFonts w:cs="Tahoma"/>
        </w:rPr>
        <w:t>In particolare, s</w:t>
      </w:r>
      <w:r w:rsidR="002D172A" w:rsidRPr="00515872">
        <w:rPr>
          <w:rFonts w:cs="Tahoma"/>
        </w:rPr>
        <w:t>alvi gli ulteriori requisiti previsti dallo statuto, i componenti degli organi amministrativi e di controllo di società a controllo pubblico devono possedere i requisiti di onorabilità, professionalità e autonomia stabiliti con decreto de</w:t>
      </w:r>
      <w:r w:rsidR="007B547D" w:rsidRPr="00515872">
        <w:rPr>
          <w:rFonts w:cs="Tahoma"/>
        </w:rPr>
        <w:t>l Presidente del Consiglio dei M</w:t>
      </w:r>
      <w:r w:rsidR="002D172A" w:rsidRPr="00515872">
        <w:rPr>
          <w:rFonts w:cs="Tahoma"/>
        </w:rPr>
        <w:t>inistri,</w:t>
      </w:r>
      <w:r w:rsidR="007B547D" w:rsidRPr="00515872">
        <w:rPr>
          <w:rFonts w:cs="Tahoma"/>
        </w:rPr>
        <w:t xml:space="preserve"> su proposta del Ministro dell'E</w:t>
      </w:r>
      <w:r w:rsidR="002D172A" w:rsidRPr="00515872">
        <w:rPr>
          <w:rFonts w:cs="Tahoma"/>
        </w:rPr>
        <w:t xml:space="preserve">conomia e delle </w:t>
      </w:r>
      <w:r w:rsidR="007B547D" w:rsidRPr="00515872">
        <w:rPr>
          <w:rFonts w:cs="Tahoma"/>
        </w:rPr>
        <w:t>F</w:t>
      </w:r>
      <w:r w:rsidR="002D172A" w:rsidRPr="00515872">
        <w:rPr>
          <w:rFonts w:cs="Tahoma"/>
        </w:rPr>
        <w:t>inanze, previa intesa in Conferenza unificata.</w:t>
      </w:r>
    </w:p>
    <w:p w14:paraId="429F83BA" w14:textId="77777777" w:rsidR="002D172A" w:rsidRPr="00515872" w:rsidRDefault="002D172A" w:rsidP="00D04E20">
      <w:pPr>
        <w:spacing w:line="360" w:lineRule="auto"/>
        <w:jc w:val="both"/>
        <w:rPr>
          <w:rFonts w:cs="Tahoma"/>
        </w:rPr>
      </w:pPr>
      <w:r w:rsidRPr="00515872">
        <w:rPr>
          <w:rFonts w:cs="Tahoma"/>
        </w:rPr>
        <w:t xml:space="preserve">L'organo amministrativo delle società a controllo pubblico deve essere costituito, di norma, da un amministratore unico. L'assemblea della società a controllo pubblico, tuttavia, con delibera motivata, può prevedere che la società sia amministrata da un consiglio di amministrazione composto da 3 o 5 membri, ovvero che sia adottato uno dei sistemi alternativi di amministrazione e controllo previsti dal Codice Civile. La delibera è trasmessa alla sezione della Corte dei Conti competente. </w:t>
      </w:r>
    </w:p>
    <w:p w14:paraId="7C8D55BA" w14:textId="77777777" w:rsidR="002D172A" w:rsidRPr="00515872" w:rsidRDefault="002D172A" w:rsidP="00D04E20">
      <w:pPr>
        <w:spacing w:line="360" w:lineRule="auto"/>
        <w:jc w:val="both"/>
        <w:rPr>
          <w:rFonts w:cs="Tahoma"/>
        </w:rPr>
      </w:pPr>
      <w:r w:rsidRPr="00515872">
        <w:rPr>
          <w:rFonts w:cs="Tahoma"/>
        </w:rPr>
        <w:t xml:space="preserve">Qualora la società abbia un organo amministrativo collegiale, la scelta degli amministratori da eleggere </w:t>
      </w:r>
      <w:r w:rsidR="009F2FAB" w:rsidRPr="00515872">
        <w:rPr>
          <w:rFonts w:cs="Tahoma"/>
        </w:rPr>
        <w:t>deve essere</w:t>
      </w:r>
      <w:r w:rsidRPr="00515872">
        <w:rPr>
          <w:rFonts w:cs="Tahoma"/>
        </w:rPr>
        <w:t xml:space="preserve"> effettuata nel rispetto dei criteri stabiliti dalla L. 12 luglio 2011, n. 120 in materia di parità di genere.</w:t>
      </w:r>
    </w:p>
    <w:p w14:paraId="551EB4A2" w14:textId="77777777" w:rsidR="002D172A" w:rsidRPr="00515872" w:rsidRDefault="00131025" w:rsidP="00D04E20">
      <w:pPr>
        <w:spacing w:line="360" w:lineRule="auto"/>
        <w:jc w:val="both"/>
        <w:rPr>
          <w:rFonts w:cs="Tahoma"/>
        </w:rPr>
      </w:pPr>
      <w:r w:rsidRPr="00515872">
        <w:rPr>
          <w:rFonts w:cs="Tahoma"/>
        </w:rPr>
        <w:t>P</w:t>
      </w:r>
      <w:r w:rsidR="002D172A" w:rsidRPr="00515872">
        <w:rPr>
          <w:rFonts w:cs="Tahoma"/>
        </w:rPr>
        <w:t>er le società a controllo pubblico sono definiti indicatori dimensionali quantitativi e qualitativ</w:t>
      </w:r>
      <w:r w:rsidRPr="00515872">
        <w:rPr>
          <w:rFonts w:cs="Tahoma"/>
        </w:rPr>
        <w:t xml:space="preserve">i al fine di individuare </w:t>
      </w:r>
      <w:r w:rsidR="002D172A" w:rsidRPr="00515872">
        <w:rPr>
          <w:rFonts w:cs="Tahoma"/>
        </w:rPr>
        <w:t>fasce per la classificazione delle suddette società. Per ciascuna fascia è determinato, in proporzione, il limite dei compensi massimi al quale gli organi di dette società devono fare riferimento</w:t>
      </w:r>
      <w:r w:rsidRPr="00515872">
        <w:rPr>
          <w:rFonts w:cs="Tahoma"/>
        </w:rPr>
        <w:t>.</w:t>
      </w:r>
    </w:p>
    <w:p w14:paraId="160492A1" w14:textId="77777777" w:rsidR="002D172A" w:rsidRPr="00515872" w:rsidRDefault="002D172A" w:rsidP="00D04E20">
      <w:pPr>
        <w:spacing w:line="360" w:lineRule="auto"/>
        <w:jc w:val="both"/>
        <w:rPr>
          <w:rFonts w:cs="Tahoma"/>
        </w:rPr>
      </w:pPr>
      <w:r w:rsidRPr="00515872">
        <w:rPr>
          <w:rFonts w:cs="Tahoma"/>
        </w:rPr>
        <w:t>Gli amministratori delle società a controllo pubblico</w:t>
      </w:r>
      <w:r w:rsidR="00131025" w:rsidRPr="00515872">
        <w:rPr>
          <w:rFonts w:cs="Tahoma"/>
        </w:rPr>
        <w:t>, inoltre,</w:t>
      </w:r>
      <w:r w:rsidRPr="00515872">
        <w:rPr>
          <w:rFonts w:cs="Tahoma"/>
        </w:rPr>
        <w:t xml:space="preserve"> non possono essere dipendenti delle amministrazioni pubbliche controllanti o vigilanti. Qualora siano dipendenti della società controllante, fatto salvo il diritto alla copertura assicurativa e al rimborso delle spese documentate, essi hanno l'obbligo di riversare i relativi compensi alla società di appartenenza. </w:t>
      </w:r>
    </w:p>
    <w:p w14:paraId="4879F3EB" w14:textId="77777777" w:rsidR="002D172A" w:rsidRPr="00515872" w:rsidRDefault="002D172A" w:rsidP="007B547D">
      <w:pPr>
        <w:spacing w:after="0" w:line="360" w:lineRule="auto"/>
        <w:jc w:val="both"/>
        <w:rPr>
          <w:rFonts w:cs="Tahoma"/>
        </w:rPr>
      </w:pPr>
      <w:r w:rsidRPr="00515872">
        <w:rPr>
          <w:rFonts w:cs="Tahoma"/>
        </w:rPr>
        <w:t>Gli statuti delle società a controllo pubblico prevedono altresì:</w:t>
      </w:r>
    </w:p>
    <w:p w14:paraId="098F5883" w14:textId="77777777" w:rsidR="009F2FAB" w:rsidRPr="00515872" w:rsidRDefault="002D172A" w:rsidP="00D65838">
      <w:pPr>
        <w:pStyle w:val="Paragrafoelenco"/>
        <w:numPr>
          <w:ilvl w:val="0"/>
          <w:numId w:val="220"/>
        </w:numPr>
        <w:spacing w:line="360" w:lineRule="auto"/>
        <w:ind w:left="284" w:hanging="284"/>
        <w:jc w:val="both"/>
        <w:rPr>
          <w:rFonts w:cs="Tahoma"/>
        </w:rPr>
      </w:pPr>
      <w:r w:rsidRPr="00515872">
        <w:rPr>
          <w:rFonts w:cs="Tahoma"/>
        </w:rPr>
        <w:t>l'attribuzione da parte del consiglio di amministrazione di deleghe di gestione a un solo amministratore, salva l'attribuzione di deleghe al presidente ove preventivamente autorizzata dall'assemblea;</w:t>
      </w:r>
    </w:p>
    <w:p w14:paraId="5B4360C5" w14:textId="77777777" w:rsidR="009F2FAB" w:rsidRPr="00515872" w:rsidRDefault="002D172A" w:rsidP="00D65838">
      <w:pPr>
        <w:pStyle w:val="Paragrafoelenco"/>
        <w:numPr>
          <w:ilvl w:val="0"/>
          <w:numId w:val="220"/>
        </w:numPr>
        <w:spacing w:line="360" w:lineRule="auto"/>
        <w:ind w:left="284" w:hanging="284"/>
        <w:jc w:val="both"/>
        <w:rPr>
          <w:rFonts w:cs="Tahoma"/>
        </w:rPr>
      </w:pPr>
      <w:r w:rsidRPr="00515872">
        <w:rPr>
          <w:rFonts w:cs="Tahoma"/>
        </w:rPr>
        <w:t>l'esclusione della carica di vicepresidente o la previsione che la carica stessa sia attribuita esclusivamente quale modalità di individuazione del sostituto del presidente in caso di assenza o impedimento, senza riconoscimento di compensi aggiuntivi;</w:t>
      </w:r>
    </w:p>
    <w:p w14:paraId="42E454D6" w14:textId="77777777" w:rsidR="009F2FAB" w:rsidRPr="00515872" w:rsidRDefault="002D172A" w:rsidP="00D65838">
      <w:pPr>
        <w:pStyle w:val="Paragrafoelenco"/>
        <w:numPr>
          <w:ilvl w:val="0"/>
          <w:numId w:val="220"/>
        </w:numPr>
        <w:spacing w:line="360" w:lineRule="auto"/>
        <w:ind w:left="284" w:hanging="284"/>
        <w:jc w:val="both"/>
        <w:rPr>
          <w:rFonts w:cs="Tahoma"/>
        </w:rPr>
      </w:pPr>
      <w:r w:rsidRPr="00515872">
        <w:rPr>
          <w:rFonts w:cs="Tahoma"/>
        </w:rPr>
        <w:t>il divieto di corrispondere gettoni di presenza o premi di risultato deliberati dopo lo svolgimento dell'attività, e il divieto di corrispondere trattamenti di fine mandato, ai componenti degli organi sociali;</w:t>
      </w:r>
    </w:p>
    <w:p w14:paraId="4C976577" w14:textId="77777777" w:rsidR="002D172A" w:rsidRPr="00515872" w:rsidRDefault="002D172A" w:rsidP="00D65838">
      <w:pPr>
        <w:pStyle w:val="Paragrafoelenco"/>
        <w:numPr>
          <w:ilvl w:val="0"/>
          <w:numId w:val="220"/>
        </w:numPr>
        <w:spacing w:line="360" w:lineRule="auto"/>
        <w:ind w:left="284" w:hanging="284"/>
        <w:jc w:val="both"/>
        <w:rPr>
          <w:rFonts w:cs="Tahoma"/>
        </w:rPr>
      </w:pPr>
      <w:r w:rsidRPr="00515872">
        <w:rPr>
          <w:rFonts w:cs="Tahoma"/>
        </w:rPr>
        <w:t>il divieto di istituire organi diversi da quelli previsti dalle norme generali in tema di società.</w:t>
      </w:r>
    </w:p>
    <w:p w14:paraId="671C6A42" w14:textId="1F83D3D6" w:rsidR="009F2FAB" w:rsidRPr="00515872" w:rsidRDefault="00F61E9D" w:rsidP="00D04E20">
      <w:pPr>
        <w:spacing w:line="360" w:lineRule="auto"/>
        <w:jc w:val="both"/>
        <w:rPr>
          <w:rFonts w:cs="Tahoma"/>
        </w:rPr>
      </w:pPr>
      <w:r w:rsidRPr="00515872">
        <w:rPr>
          <w:rFonts w:cs="Tahoma"/>
        </w:rPr>
        <w:lastRenderedPageBreak/>
        <w:t>È</w:t>
      </w:r>
      <w:r w:rsidR="002D172A" w:rsidRPr="00515872">
        <w:rPr>
          <w:rFonts w:cs="Tahoma"/>
        </w:rPr>
        <w:t xml:space="preserve"> comunque fatto divieto di corrispondere ai dirigenti delle società a controllo pubblico indennità o trattamenti di fine mandato diversi o ulteriori rispetto a quelli previsti dalla legge o dalla contrattazione collettiva ovvero di stipulare patti o accordi di non concorrenza</w:t>
      </w:r>
      <w:r w:rsidR="009F2FAB" w:rsidRPr="00515872">
        <w:rPr>
          <w:rFonts w:cs="Tahoma"/>
        </w:rPr>
        <w:t>.</w:t>
      </w:r>
    </w:p>
    <w:p w14:paraId="4825529F" w14:textId="77777777" w:rsidR="002D172A" w:rsidRPr="00515872" w:rsidRDefault="002D172A" w:rsidP="00D04E20">
      <w:pPr>
        <w:spacing w:line="360" w:lineRule="auto"/>
        <w:jc w:val="both"/>
        <w:rPr>
          <w:rFonts w:cs="Tahoma"/>
        </w:rPr>
      </w:pPr>
      <w:r w:rsidRPr="00515872">
        <w:rPr>
          <w:rFonts w:cs="Tahoma"/>
        </w:rPr>
        <w:t>Nelle società di cui amministrazioni pubbliche detengono il controllo indiretto, non è consentito nominare, nei consigli di amministrazione o di gestione, amministratori della società controllante, a meno che siano attribuite ai medesimi deleghe gestionali a carattere continuativo ovvero che la nomina risponda all'esigenza di rendere disponibili alla società controllata particolari e comprovate competenze tecniche degli amministratori della società controllante o di favorire l'esercizio dell'attività di direzione e coordinamento.</w:t>
      </w:r>
    </w:p>
    <w:p w14:paraId="5ADF8623" w14:textId="77777777" w:rsidR="002D172A" w:rsidRPr="00515872" w:rsidRDefault="002D172A" w:rsidP="00D04E20">
      <w:pPr>
        <w:spacing w:line="360" w:lineRule="auto"/>
        <w:jc w:val="both"/>
        <w:rPr>
          <w:rFonts w:cs="Tahoma"/>
        </w:rPr>
      </w:pPr>
      <w:r w:rsidRPr="00515872">
        <w:rPr>
          <w:rFonts w:cs="Tahoma"/>
        </w:rPr>
        <w:t xml:space="preserve">Agli organi di amministrazione e controllo delle società </w:t>
      </w:r>
      <w:r w:rsidRPr="00515872">
        <w:rPr>
          <w:rFonts w:cs="Tahoma"/>
          <w:i/>
        </w:rPr>
        <w:t>in house</w:t>
      </w:r>
      <w:r w:rsidRPr="00515872">
        <w:rPr>
          <w:rFonts w:cs="Tahoma"/>
        </w:rPr>
        <w:t xml:space="preserve"> si applica il</w:t>
      </w:r>
      <w:r w:rsidR="009F2FAB" w:rsidRPr="00515872">
        <w:rPr>
          <w:rFonts w:cs="Tahoma"/>
        </w:rPr>
        <w:t xml:space="preserve"> D.L. 16 maggio 1994, n. 293, </w:t>
      </w:r>
      <w:proofErr w:type="spellStart"/>
      <w:r w:rsidR="009F2FAB" w:rsidRPr="00515872">
        <w:rPr>
          <w:rFonts w:cs="Tahoma"/>
        </w:rPr>
        <w:t>conv</w:t>
      </w:r>
      <w:proofErr w:type="spellEnd"/>
      <w:r w:rsidR="009F2FAB" w:rsidRPr="00515872">
        <w:rPr>
          <w:rFonts w:cs="Tahoma"/>
        </w:rPr>
        <w:t>. L. 15 luglio 1944, n. 44.</w:t>
      </w:r>
      <w:r w:rsidRPr="00515872">
        <w:rPr>
          <w:rFonts w:cs="Tahoma"/>
        </w:rPr>
        <w:t xml:space="preserve"> </w:t>
      </w:r>
      <w:r w:rsidR="009F2FAB" w:rsidRPr="00515872">
        <w:rPr>
          <w:rStyle w:val="Rimandonotaapidipagina"/>
          <w:rFonts w:cs="Tahoma"/>
        </w:rPr>
        <w:footnoteReference w:id="75"/>
      </w:r>
    </w:p>
    <w:p w14:paraId="4C29C787" w14:textId="77777777" w:rsidR="00DD7541" w:rsidRPr="00515872" w:rsidRDefault="00DD7541" w:rsidP="00DD7541">
      <w:pPr>
        <w:spacing w:line="360" w:lineRule="auto"/>
        <w:jc w:val="both"/>
        <w:rPr>
          <w:rFonts w:cs="Tahoma"/>
          <w:bCs/>
          <w:szCs w:val="20"/>
        </w:rPr>
      </w:pPr>
      <w:r w:rsidRPr="00515872">
        <w:rPr>
          <w:rFonts w:cs="Tahoma"/>
          <w:bCs/>
          <w:szCs w:val="20"/>
        </w:rPr>
        <w:t xml:space="preserve">L’art. 21 del TUSP prescrive che </w:t>
      </w:r>
      <w:r w:rsidR="007B547D" w:rsidRPr="00515872">
        <w:rPr>
          <w:rFonts w:cs="Tahoma"/>
          <w:bCs/>
          <w:szCs w:val="20"/>
        </w:rPr>
        <w:t xml:space="preserve">le </w:t>
      </w:r>
      <w:r w:rsidRPr="00515872">
        <w:rPr>
          <w:rFonts w:cs="Tahoma"/>
          <w:bCs/>
          <w:szCs w:val="20"/>
        </w:rPr>
        <w:t>società a maggioranza pubblica, diretta e indiretta, che hanno affidamenti diretti per oltre l’80% del valore della produzione e che nei 3 esercizi precedenti abbiano conseguito un risultato economico negativo, procedono alla riduzione del 30% del compenso dei componenti degli organi di amministrazione. Il conseguimento di un risultato economico negativo per 2 anni consecutivi rappresenta giusta causa ai fini della revoca degli amministratori. Tali disposizioni, tuttavia, non si applicano nei casi in cui il risultato economico, benché negativo, sia coerente con un piano di risanamento preventivamente approvato dall'ente controllante.</w:t>
      </w:r>
    </w:p>
    <w:p w14:paraId="79D86593" w14:textId="77777777" w:rsidR="00FF3C9E" w:rsidRPr="00515872" w:rsidRDefault="00F945B5" w:rsidP="00DD7541">
      <w:pPr>
        <w:spacing w:line="360" w:lineRule="auto"/>
        <w:jc w:val="both"/>
        <w:rPr>
          <w:rFonts w:cs="Tahoma"/>
          <w:bCs/>
          <w:szCs w:val="20"/>
        </w:rPr>
      </w:pPr>
      <w:r w:rsidRPr="00515872">
        <w:rPr>
          <w:rFonts w:cs="Tahoma"/>
          <w:bCs/>
          <w:szCs w:val="20"/>
        </w:rPr>
        <w:t>Analoga disposizione è contenuta nell’art. 1, c. 555, L. 27 dicembre 2013, n. 147, in riferimento alle perdite maturate, a decorrere dall’esercizio 2015, da aziende speciali e istituzioni a partecipazione maggioritaria delle pubbliche amministrazioni locali.</w:t>
      </w:r>
    </w:p>
    <w:p w14:paraId="7DBDA8F1" w14:textId="77777777" w:rsidR="00FF3C9E" w:rsidRPr="00515872" w:rsidRDefault="00FF3C9E" w:rsidP="00DD7541">
      <w:pPr>
        <w:spacing w:line="360" w:lineRule="auto"/>
        <w:jc w:val="both"/>
        <w:rPr>
          <w:rFonts w:cs="Tahoma"/>
          <w:bCs/>
          <w:szCs w:val="20"/>
        </w:rPr>
      </w:pPr>
      <w:r w:rsidRPr="00515872">
        <w:rPr>
          <w:rFonts w:cs="Tahoma"/>
        </w:rPr>
        <w:t>A decorrere dal 1º gennaio 2015, il costo annuale sostenuto per i compensi degli amministratori delle società a controllo pubblico, ivi compresa la remunerazione di quelli investiti di particolari cariche, non può superare l'80% del costo complessivamente sostenuto nell'anno 2013.</w:t>
      </w:r>
    </w:p>
    <w:p w14:paraId="70071F28" w14:textId="77777777" w:rsidR="002D172A" w:rsidRPr="00515872" w:rsidRDefault="002D172A" w:rsidP="00A72892">
      <w:pPr>
        <w:spacing w:line="360" w:lineRule="auto"/>
        <w:jc w:val="both"/>
        <w:rPr>
          <w:rFonts w:cs="Tahoma"/>
          <w:color w:val="000000"/>
          <w:szCs w:val="20"/>
          <w:highlight w:val="yellow"/>
        </w:rPr>
      </w:pPr>
    </w:p>
    <w:p w14:paraId="5C433A3D" w14:textId="77777777" w:rsidR="009518AF" w:rsidRPr="00515872" w:rsidRDefault="009518AF" w:rsidP="009518AF">
      <w:pPr>
        <w:pStyle w:val="Sottoparagrafo"/>
        <w:rPr>
          <w:rFonts w:cs="Tahoma"/>
          <w:lang w:eastAsia="it-IT"/>
        </w:rPr>
      </w:pPr>
      <w:bookmarkStart w:id="160" w:name="_Toc95912285"/>
      <w:r w:rsidRPr="00515872">
        <w:rPr>
          <w:rFonts w:cs="Tahoma"/>
          <w:lang w:eastAsia="it-IT"/>
        </w:rPr>
        <w:t>4.7.</w:t>
      </w:r>
      <w:r w:rsidR="00D04E20" w:rsidRPr="00515872">
        <w:rPr>
          <w:rFonts w:cs="Tahoma"/>
          <w:lang w:eastAsia="it-IT"/>
        </w:rPr>
        <w:t>4</w:t>
      </w:r>
      <w:r w:rsidRPr="00515872">
        <w:rPr>
          <w:rFonts w:cs="Tahoma"/>
          <w:lang w:eastAsia="it-IT"/>
        </w:rPr>
        <w:t xml:space="preserve"> </w:t>
      </w:r>
      <w:r w:rsidRPr="00515872">
        <w:rPr>
          <w:rFonts w:cs="Tahoma"/>
          <w:szCs w:val="20"/>
        </w:rPr>
        <w:t>Razionalizzazione delle società partecipate</w:t>
      </w:r>
      <w:bookmarkEnd w:id="158"/>
      <w:bookmarkEnd w:id="160"/>
    </w:p>
    <w:p w14:paraId="1A1E27FB" w14:textId="77777777" w:rsidR="00BC093F" w:rsidRPr="00515872" w:rsidRDefault="00BC093F" w:rsidP="009518AF">
      <w:pPr>
        <w:spacing w:line="360" w:lineRule="auto"/>
        <w:jc w:val="both"/>
        <w:rPr>
          <w:rFonts w:cs="Tahoma"/>
          <w:color w:val="000000"/>
          <w:szCs w:val="20"/>
        </w:rPr>
      </w:pPr>
      <w:r w:rsidRPr="00515872">
        <w:rPr>
          <w:rFonts w:cs="Tahoma"/>
          <w:color w:val="000000"/>
          <w:szCs w:val="20"/>
        </w:rPr>
        <w:t>In materia di partecipazioni pubbliche, il legislatore ha effettuato nei tempi recenti una copiosa produzione normativa, prevedendo disposizioni con il chiaro obiettivo di ridurre il quantitativo di partecipazioni pubbliche al fine di contenerne i costi per gli enti locali e sfociata nell’emanazione di norme per lo più analoghe, ripetendo e rinviando l’attuazione di dispositivi dai contenuti spesso sovrapponibili.</w:t>
      </w:r>
    </w:p>
    <w:p w14:paraId="11F0784A" w14:textId="77777777" w:rsidR="000C7199" w:rsidRPr="00515872" w:rsidRDefault="000C7199" w:rsidP="000C7199">
      <w:pPr>
        <w:spacing w:line="360" w:lineRule="auto"/>
        <w:jc w:val="both"/>
        <w:rPr>
          <w:rFonts w:cs="Tahoma"/>
          <w:color w:val="000000"/>
          <w:szCs w:val="20"/>
        </w:rPr>
      </w:pPr>
      <w:r w:rsidRPr="00515872">
        <w:rPr>
          <w:rFonts w:cs="Tahoma"/>
          <w:color w:val="000000"/>
          <w:szCs w:val="20"/>
        </w:rPr>
        <w:lastRenderedPageBreak/>
        <w:t xml:space="preserve">La L. </w:t>
      </w:r>
      <w:r w:rsidR="009008CD" w:rsidRPr="00515872">
        <w:rPr>
          <w:rFonts w:cs="Tahoma"/>
          <w:color w:val="000000"/>
          <w:szCs w:val="20"/>
        </w:rPr>
        <w:t xml:space="preserve">n. </w:t>
      </w:r>
      <w:r w:rsidRPr="00515872">
        <w:rPr>
          <w:rFonts w:cs="Tahoma"/>
          <w:color w:val="000000"/>
          <w:szCs w:val="20"/>
        </w:rPr>
        <w:t xml:space="preserve">190/2014, ad esempio, ha previsto l’obbligo di redazione di un </w:t>
      </w:r>
      <w:r w:rsidRPr="00515872">
        <w:rPr>
          <w:rFonts w:cs="Tahoma"/>
          <w:b/>
          <w:color w:val="000000"/>
          <w:szCs w:val="20"/>
        </w:rPr>
        <w:t>piano di razionalizzazione straordinario</w:t>
      </w:r>
      <w:r w:rsidRPr="00515872">
        <w:rPr>
          <w:rFonts w:cs="Tahoma"/>
          <w:color w:val="000000"/>
          <w:szCs w:val="20"/>
        </w:rPr>
        <w:t xml:space="preserve"> che gli enti dovevano approvare entro il 31 marzo 2015 che prevedesse la riduzione delle partecipazioni entro il 31 dicembre, mediante soppressione di quelle che non rispettavano i requisiti di indispensabilità rispetto agli obbiettivi rientranti nelle finalità istituzionali. Entro il 31 marzo 2016 i presidenti e i sindaci dovevano predisporre una relazione sui risultati conseguiti e trasmetterla alla competente sezione regionale di controllo della Corte dei Conti</w:t>
      </w:r>
      <w:r w:rsidR="009008CD" w:rsidRPr="00515872">
        <w:rPr>
          <w:rFonts w:cs="Tahoma"/>
          <w:color w:val="000000"/>
          <w:szCs w:val="20"/>
        </w:rPr>
        <w:t>, nonché</w:t>
      </w:r>
      <w:r w:rsidRPr="00515872">
        <w:rPr>
          <w:rFonts w:cs="Tahoma"/>
          <w:color w:val="000000"/>
          <w:szCs w:val="20"/>
        </w:rPr>
        <w:t xml:space="preserve"> pubblicarla sul sito internet istituzionale dell’ente</w:t>
      </w:r>
      <w:r w:rsidRPr="00515872">
        <w:rPr>
          <w:rStyle w:val="Rimandonotaapidipagina"/>
          <w:rFonts w:cs="Tahoma"/>
          <w:color w:val="000000"/>
          <w:szCs w:val="20"/>
        </w:rPr>
        <w:footnoteReference w:id="76"/>
      </w:r>
      <w:r w:rsidRPr="00515872">
        <w:rPr>
          <w:rFonts w:cs="Tahoma"/>
          <w:color w:val="000000"/>
          <w:szCs w:val="20"/>
        </w:rPr>
        <w:t>.</w:t>
      </w:r>
    </w:p>
    <w:p w14:paraId="514379E3" w14:textId="77777777" w:rsidR="00012708" w:rsidRPr="00515872" w:rsidRDefault="009008CD" w:rsidP="000C7199">
      <w:pPr>
        <w:spacing w:line="360" w:lineRule="auto"/>
        <w:jc w:val="both"/>
        <w:rPr>
          <w:rFonts w:cs="Tahoma"/>
          <w:color w:val="000000"/>
          <w:szCs w:val="20"/>
        </w:rPr>
      </w:pPr>
      <w:r w:rsidRPr="00515872">
        <w:rPr>
          <w:rFonts w:cs="Tahoma"/>
          <w:color w:val="000000"/>
          <w:szCs w:val="20"/>
        </w:rPr>
        <w:t>L’art. 24,</w:t>
      </w:r>
      <w:r w:rsidR="00012708" w:rsidRPr="00515872">
        <w:rPr>
          <w:rFonts w:cs="Tahoma"/>
          <w:color w:val="000000"/>
          <w:szCs w:val="20"/>
        </w:rPr>
        <w:t xml:space="preserve"> </w:t>
      </w:r>
      <w:proofErr w:type="spellStart"/>
      <w:r w:rsidR="00012708" w:rsidRPr="00515872">
        <w:rPr>
          <w:rFonts w:cs="Tahoma"/>
          <w:color w:val="000000"/>
          <w:szCs w:val="20"/>
        </w:rPr>
        <w:t>D.Lgs.</w:t>
      </w:r>
      <w:proofErr w:type="spellEnd"/>
      <w:r w:rsidR="00012708" w:rsidRPr="00515872">
        <w:rPr>
          <w:rFonts w:cs="Tahoma"/>
          <w:color w:val="000000"/>
          <w:szCs w:val="20"/>
        </w:rPr>
        <w:t xml:space="preserve"> 19 agosto 2016, n. 175 ha riproposto analoga previsione sancendo l’obbligo, per ogni amministrazione pubblica, di effettuare, </w:t>
      </w:r>
      <w:r w:rsidR="00012708" w:rsidRPr="00515872">
        <w:rPr>
          <w:rFonts w:cs="Tahoma"/>
          <w:b/>
          <w:color w:val="000000"/>
          <w:szCs w:val="20"/>
        </w:rPr>
        <w:t>entro il 30 settembre 2017, la ricognizione di tutte le partecipazioni possedute</w:t>
      </w:r>
      <w:r w:rsidR="00012708" w:rsidRPr="00515872">
        <w:rPr>
          <w:rFonts w:cs="Tahoma"/>
          <w:color w:val="000000"/>
          <w:szCs w:val="20"/>
        </w:rPr>
        <w:t xml:space="preserve"> alla data di entrata in vigore del decreto stesso (23 settembre 2016), individuando quelle che dovevano essere alienate e di comunicarne l’esito secondo le modalità di cui all’art. 17 del D.L. n. 90/2014. Il provvedimento in parola costituisce aggiornamento di quello previsto dalla L. n. 190/2014. L’alienazione doveva effettuarsi entro un anno dalla conclusione della ricognizione. </w:t>
      </w:r>
    </w:p>
    <w:p w14:paraId="24A7CC7D" w14:textId="77777777" w:rsidR="009518AF" w:rsidRPr="00515872" w:rsidRDefault="000C7199" w:rsidP="009008CD">
      <w:pPr>
        <w:spacing w:after="0" w:line="360" w:lineRule="auto"/>
        <w:jc w:val="both"/>
        <w:rPr>
          <w:rFonts w:cs="Tahoma"/>
          <w:color w:val="000000"/>
          <w:szCs w:val="20"/>
        </w:rPr>
      </w:pPr>
      <w:r w:rsidRPr="00515872">
        <w:rPr>
          <w:rFonts w:cs="Tahoma"/>
          <w:color w:val="000000"/>
          <w:szCs w:val="20"/>
        </w:rPr>
        <w:t>Ora, i</w:t>
      </w:r>
      <w:r w:rsidR="009518AF" w:rsidRPr="00515872">
        <w:rPr>
          <w:rFonts w:cs="Tahoma"/>
          <w:color w:val="000000"/>
          <w:szCs w:val="20"/>
        </w:rPr>
        <w:t xml:space="preserve">l </w:t>
      </w:r>
      <w:proofErr w:type="spellStart"/>
      <w:r w:rsidR="009518AF" w:rsidRPr="00515872">
        <w:rPr>
          <w:rFonts w:cs="Tahoma"/>
          <w:color w:val="000000"/>
          <w:szCs w:val="20"/>
        </w:rPr>
        <w:t>D.Lgs.</w:t>
      </w:r>
      <w:proofErr w:type="spellEnd"/>
      <w:r w:rsidR="009518AF" w:rsidRPr="00515872">
        <w:rPr>
          <w:rFonts w:cs="Tahoma"/>
          <w:color w:val="000000"/>
          <w:szCs w:val="20"/>
        </w:rPr>
        <w:t xml:space="preserve"> n. 175/2016 entrato in vigore il 23 settembre 2016, prevede a decorrere dall’anno 2018, entro il 31 dicembre di ogni anno, l’adozione di piani di razionalizzazione per </w:t>
      </w:r>
      <w:r w:rsidR="007137B5" w:rsidRPr="00515872">
        <w:rPr>
          <w:rFonts w:cs="Tahoma"/>
          <w:color w:val="000000"/>
          <w:szCs w:val="20"/>
        </w:rPr>
        <w:t xml:space="preserve">la </w:t>
      </w:r>
      <w:r w:rsidR="009518AF" w:rsidRPr="00515872">
        <w:rPr>
          <w:rFonts w:cs="Tahoma"/>
          <w:color w:val="000000"/>
          <w:szCs w:val="20"/>
        </w:rPr>
        <w:t xml:space="preserve">liquidazione, alienazione e dismissione di società con obbligo di </w:t>
      </w:r>
      <w:r w:rsidR="007137B5" w:rsidRPr="00515872">
        <w:rPr>
          <w:rFonts w:cs="Tahoma"/>
          <w:color w:val="000000"/>
          <w:szCs w:val="20"/>
        </w:rPr>
        <w:t xml:space="preserve">loro </w:t>
      </w:r>
      <w:r w:rsidR="009518AF" w:rsidRPr="00515872">
        <w:rPr>
          <w:rFonts w:cs="Tahoma"/>
          <w:color w:val="000000"/>
          <w:szCs w:val="20"/>
        </w:rPr>
        <w:t xml:space="preserve">trasmissione alla Sezione regionale di controllo della Corte dei </w:t>
      </w:r>
      <w:r w:rsidR="007137B5" w:rsidRPr="00515872">
        <w:rPr>
          <w:rFonts w:cs="Tahoma"/>
          <w:color w:val="000000"/>
          <w:szCs w:val="20"/>
        </w:rPr>
        <w:t>C</w:t>
      </w:r>
      <w:r w:rsidR="009518AF" w:rsidRPr="00515872">
        <w:rPr>
          <w:rFonts w:cs="Tahoma"/>
          <w:color w:val="000000"/>
          <w:szCs w:val="20"/>
        </w:rPr>
        <w:t>onti competente e alla struttura di controllo di cui all’art. 15</w:t>
      </w:r>
      <w:r w:rsidR="009008CD" w:rsidRPr="00515872">
        <w:rPr>
          <w:rFonts w:cs="Tahoma"/>
          <w:color w:val="000000"/>
          <w:szCs w:val="20"/>
        </w:rPr>
        <w:t>,</w:t>
      </w:r>
      <w:r w:rsidR="009518AF" w:rsidRPr="00515872">
        <w:rPr>
          <w:rFonts w:cs="Tahoma"/>
          <w:color w:val="000000"/>
          <w:szCs w:val="20"/>
        </w:rPr>
        <w:t xml:space="preserve"> </w:t>
      </w:r>
      <w:proofErr w:type="spellStart"/>
      <w:r w:rsidR="009518AF" w:rsidRPr="00515872">
        <w:rPr>
          <w:rFonts w:cs="Tahoma"/>
          <w:color w:val="000000"/>
          <w:szCs w:val="20"/>
        </w:rPr>
        <w:t>D.Lgs.</w:t>
      </w:r>
      <w:proofErr w:type="spellEnd"/>
      <w:r w:rsidR="009518AF" w:rsidRPr="00515872">
        <w:rPr>
          <w:rFonts w:cs="Tahoma"/>
          <w:color w:val="000000"/>
          <w:szCs w:val="20"/>
        </w:rPr>
        <w:t xml:space="preserve"> n. 175/2016. Esso detta</w:t>
      </w:r>
      <w:r w:rsidR="00B004B1" w:rsidRPr="00515872">
        <w:rPr>
          <w:rFonts w:cs="Tahoma"/>
          <w:color w:val="000000"/>
          <w:szCs w:val="20"/>
        </w:rPr>
        <w:t>va</w:t>
      </w:r>
      <w:r w:rsidR="009518AF" w:rsidRPr="00515872">
        <w:rPr>
          <w:rFonts w:cs="Tahoma"/>
          <w:color w:val="000000"/>
          <w:szCs w:val="20"/>
        </w:rPr>
        <w:t xml:space="preserve"> </w:t>
      </w:r>
      <w:r w:rsidR="009008CD" w:rsidRPr="00515872">
        <w:rPr>
          <w:rFonts w:cs="Tahoma"/>
          <w:color w:val="000000"/>
          <w:szCs w:val="20"/>
        </w:rPr>
        <w:t>il seguente calendario di adempimenti su</w:t>
      </w:r>
      <w:r w:rsidR="009518AF" w:rsidRPr="00515872">
        <w:rPr>
          <w:rFonts w:cs="Tahoma"/>
          <w:color w:val="000000"/>
          <w:szCs w:val="20"/>
        </w:rPr>
        <w:t>l cui rispetto d</w:t>
      </w:r>
      <w:r w:rsidR="00CD660D" w:rsidRPr="00515872">
        <w:rPr>
          <w:rFonts w:cs="Tahoma"/>
          <w:color w:val="000000"/>
          <w:szCs w:val="20"/>
        </w:rPr>
        <w:t>oveva</w:t>
      </w:r>
      <w:r w:rsidR="009518AF" w:rsidRPr="00515872">
        <w:rPr>
          <w:rFonts w:cs="Tahoma"/>
          <w:color w:val="000000"/>
          <w:szCs w:val="20"/>
        </w:rPr>
        <w:t xml:space="preserve"> vigilare l’organo di revisione:</w:t>
      </w:r>
    </w:p>
    <w:p w14:paraId="545C94C7"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entro il 31 dicembre 2016: adeguamento degli statuti delle società a partecipazione pubblica totalitaria;</w:t>
      </w:r>
    </w:p>
    <w:p w14:paraId="7EC46710"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 xml:space="preserve">entro il 23 marzo 2017: adeguamento degli statuti in materia di dipendenti negli organi amministrativi; </w:t>
      </w:r>
    </w:p>
    <w:p w14:paraId="4FB2C9AC"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entro il 23 marzo 2017: le s</w:t>
      </w:r>
      <w:r w:rsidR="00CD660D" w:rsidRPr="00515872">
        <w:rPr>
          <w:rFonts w:cs="Tahoma"/>
          <w:color w:val="000000"/>
          <w:szCs w:val="20"/>
        </w:rPr>
        <w:t>ocietà a controllo pubblico dovevano</w:t>
      </w:r>
      <w:r w:rsidRPr="00515872">
        <w:rPr>
          <w:rFonts w:cs="Tahoma"/>
          <w:color w:val="000000"/>
          <w:szCs w:val="20"/>
        </w:rPr>
        <w:t xml:space="preserve"> compiere una ricognizione del personale in servizio ed elencare eccedenze e profili da trasmettere alla competente regione;</w:t>
      </w:r>
    </w:p>
    <w:p w14:paraId="18EFA4E0"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entro il 23 marzo 2017: l’ente doveva provvedere alla revisione straordinaria delle partecipazioni detenute direttamente e indirettamente con adozione di una delibera ricognitiva delle società oggetto di dismissione e trasmissione alla Sezione regional</w:t>
      </w:r>
      <w:r w:rsidR="007137B5" w:rsidRPr="00515872">
        <w:rPr>
          <w:rFonts w:cs="Tahoma"/>
          <w:color w:val="000000"/>
          <w:szCs w:val="20"/>
        </w:rPr>
        <w:t>e di controllo della Corte dei C</w:t>
      </w:r>
      <w:r w:rsidRPr="00515872">
        <w:rPr>
          <w:rFonts w:cs="Tahoma"/>
          <w:color w:val="000000"/>
          <w:szCs w:val="20"/>
        </w:rPr>
        <w:t>onti competente e alla struttura di co</w:t>
      </w:r>
      <w:r w:rsidR="009008CD" w:rsidRPr="00515872">
        <w:rPr>
          <w:rFonts w:cs="Tahoma"/>
          <w:color w:val="000000"/>
          <w:szCs w:val="20"/>
        </w:rPr>
        <w:t xml:space="preserve">ntrollo di cui all’art. 15, </w:t>
      </w:r>
      <w:proofErr w:type="spellStart"/>
      <w:r w:rsidR="009008CD" w:rsidRPr="00515872">
        <w:rPr>
          <w:rFonts w:cs="Tahoma"/>
          <w:color w:val="000000"/>
          <w:szCs w:val="20"/>
        </w:rPr>
        <w:t>D.L</w:t>
      </w:r>
      <w:r w:rsidRPr="00515872">
        <w:rPr>
          <w:rFonts w:cs="Tahoma"/>
          <w:color w:val="000000"/>
          <w:szCs w:val="20"/>
        </w:rPr>
        <w:t>gs.</w:t>
      </w:r>
      <w:proofErr w:type="spellEnd"/>
      <w:r w:rsidRPr="00515872">
        <w:rPr>
          <w:rFonts w:cs="Tahoma"/>
          <w:color w:val="000000"/>
          <w:szCs w:val="20"/>
        </w:rPr>
        <w:t xml:space="preserve"> n.175/2016;</w:t>
      </w:r>
    </w:p>
    <w:p w14:paraId="3C94F39A"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entro 31 dicembre 2017: adeguamento degli statuti delle società miste che gestiscono servizi d’interesse generale;</w:t>
      </w:r>
    </w:p>
    <w:p w14:paraId="395226B3" w14:textId="77777777" w:rsidR="009518AF" w:rsidRPr="00515872" w:rsidRDefault="009518AF" w:rsidP="009008CD">
      <w:pPr>
        <w:pStyle w:val="Paragrafoelenco"/>
        <w:numPr>
          <w:ilvl w:val="0"/>
          <w:numId w:val="188"/>
        </w:numPr>
        <w:spacing w:line="360" w:lineRule="auto"/>
        <w:ind w:left="284" w:hanging="284"/>
        <w:jc w:val="both"/>
        <w:rPr>
          <w:rFonts w:cs="Tahoma"/>
          <w:color w:val="000000"/>
          <w:szCs w:val="20"/>
        </w:rPr>
      </w:pPr>
      <w:r w:rsidRPr="00515872">
        <w:rPr>
          <w:rFonts w:cs="Tahoma"/>
          <w:color w:val="000000"/>
          <w:szCs w:val="20"/>
        </w:rPr>
        <w:t xml:space="preserve">a decorrere dall’anno 2018, entro il 31 dicembre di ogni anno: adozione di piani di razionalizzazione per liquidazione, alienazioni e dismissioni di società con trasmissione alla Sezione regionale di controllo della Corte dei </w:t>
      </w:r>
      <w:r w:rsidR="007137B5" w:rsidRPr="00515872">
        <w:rPr>
          <w:rFonts w:cs="Tahoma"/>
          <w:color w:val="000000"/>
          <w:szCs w:val="20"/>
        </w:rPr>
        <w:t>C</w:t>
      </w:r>
      <w:r w:rsidRPr="00515872">
        <w:rPr>
          <w:rFonts w:cs="Tahoma"/>
          <w:color w:val="000000"/>
          <w:szCs w:val="20"/>
        </w:rPr>
        <w:t>onti competente e alla struttura di controllo di cui all’art. 15</w:t>
      </w:r>
      <w:r w:rsidR="009008CD" w:rsidRPr="00515872">
        <w:rPr>
          <w:rFonts w:cs="Tahoma"/>
          <w:color w:val="000000"/>
          <w:szCs w:val="20"/>
        </w:rPr>
        <w:t xml:space="preserve">, </w:t>
      </w:r>
      <w:proofErr w:type="spellStart"/>
      <w:r w:rsidR="009008CD" w:rsidRPr="00515872">
        <w:rPr>
          <w:rFonts w:cs="Tahoma"/>
          <w:color w:val="000000"/>
          <w:szCs w:val="20"/>
        </w:rPr>
        <w:t>D.L</w:t>
      </w:r>
      <w:r w:rsidRPr="00515872">
        <w:rPr>
          <w:rFonts w:cs="Tahoma"/>
          <w:color w:val="000000"/>
          <w:szCs w:val="20"/>
        </w:rPr>
        <w:t>gs.</w:t>
      </w:r>
      <w:proofErr w:type="spellEnd"/>
      <w:r w:rsidRPr="00515872">
        <w:rPr>
          <w:rFonts w:cs="Tahoma"/>
          <w:color w:val="000000"/>
          <w:szCs w:val="20"/>
        </w:rPr>
        <w:t xml:space="preserve"> n. 175/2016. </w:t>
      </w:r>
    </w:p>
    <w:p w14:paraId="1FA36D0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In particolare, l’art. 20 prevede che le amministrazioni pubbliche sono tenute ad effettuare </w:t>
      </w:r>
      <w:r w:rsidRPr="00515872">
        <w:rPr>
          <w:rFonts w:cs="Tahoma"/>
          <w:b/>
          <w:color w:val="000000"/>
          <w:szCs w:val="20"/>
        </w:rPr>
        <w:t>annualmente</w:t>
      </w:r>
      <w:r w:rsidRPr="00515872">
        <w:rPr>
          <w:rFonts w:cs="Tahoma"/>
          <w:color w:val="000000"/>
          <w:szCs w:val="20"/>
        </w:rPr>
        <w:t xml:space="preserve"> l’analisi dell’assetto complessivo delle società in cui detengono parte</w:t>
      </w:r>
      <w:r w:rsidR="009F5343" w:rsidRPr="00515872">
        <w:rPr>
          <w:rFonts w:cs="Tahoma"/>
          <w:color w:val="000000"/>
          <w:szCs w:val="20"/>
        </w:rPr>
        <w:t xml:space="preserve">cipazioni, dirette o indirette, </w:t>
      </w:r>
      <w:r w:rsidRPr="00515872">
        <w:rPr>
          <w:rFonts w:cs="Tahoma"/>
          <w:color w:val="000000"/>
          <w:szCs w:val="20"/>
        </w:rPr>
        <w:lastRenderedPageBreak/>
        <w:t xml:space="preserve">predisponendo, ove </w:t>
      </w:r>
      <w:r w:rsidR="00710AE7" w:rsidRPr="00515872">
        <w:rPr>
          <w:rFonts w:cs="Tahoma"/>
          <w:color w:val="000000"/>
          <w:szCs w:val="20"/>
        </w:rPr>
        <w:t xml:space="preserve">ne </w:t>
      </w:r>
      <w:r w:rsidRPr="00515872">
        <w:rPr>
          <w:rFonts w:cs="Tahoma"/>
          <w:color w:val="000000"/>
          <w:szCs w:val="20"/>
        </w:rPr>
        <w:t>ricorrano i presupposti, un piano di riassetto per la loro razionalizzazione, fusione o soppressione, anche mediante messa in liquidazione o cessione.</w:t>
      </w:r>
    </w:p>
    <w:p w14:paraId="5B99A03F"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I </w:t>
      </w:r>
      <w:r w:rsidR="00710AE7" w:rsidRPr="00515872">
        <w:rPr>
          <w:rFonts w:cs="Tahoma"/>
          <w:color w:val="000000"/>
          <w:szCs w:val="20"/>
        </w:rPr>
        <w:t>presupposti che impongono la predisposizione de</w:t>
      </w:r>
      <w:r w:rsidR="000C7199" w:rsidRPr="00515872">
        <w:rPr>
          <w:rFonts w:cs="Tahoma"/>
          <w:color w:val="000000"/>
          <w:szCs w:val="20"/>
        </w:rPr>
        <w:t>l</w:t>
      </w:r>
      <w:r w:rsidR="00710AE7" w:rsidRPr="00515872">
        <w:rPr>
          <w:rFonts w:cs="Tahoma"/>
          <w:color w:val="000000"/>
          <w:szCs w:val="20"/>
        </w:rPr>
        <w:t xml:space="preserve"> </w:t>
      </w:r>
      <w:r w:rsidR="000C7199" w:rsidRPr="00515872">
        <w:rPr>
          <w:rFonts w:cs="Tahoma"/>
          <w:color w:val="000000"/>
          <w:szCs w:val="20"/>
        </w:rPr>
        <w:t>piano</w:t>
      </w:r>
      <w:r w:rsidRPr="00515872">
        <w:rPr>
          <w:rFonts w:cs="Tahoma"/>
          <w:color w:val="000000"/>
          <w:szCs w:val="20"/>
        </w:rPr>
        <w:t xml:space="preserve"> di </w:t>
      </w:r>
      <w:r w:rsidR="00710AE7" w:rsidRPr="00515872">
        <w:rPr>
          <w:rFonts w:cs="Tahoma"/>
          <w:color w:val="000000"/>
          <w:szCs w:val="20"/>
        </w:rPr>
        <w:t xml:space="preserve">riassetto e </w:t>
      </w:r>
      <w:r w:rsidRPr="00515872">
        <w:rPr>
          <w:rFonts w:cs="Tahoma"/>
          <w:color w:val="000000"/>
          <w:szCs w:val="20"/>
        </w:rPr>
        <w:t>razionalizzazione</w:t>
      </w:r>
      <w:r w:rsidR="000C7199" w:rsidRPr="00515872">
        <w:rPr>
          <w:rFonts w:cs="Tahoma"/>
          <w:color w:val="000000"/>
          <w:szCs w:val="20"/>
        </w:rPr>
        <w:t xml:space="preserve"> sono i seguenti</w:t>
      </w:r>
      <w:r w:rsidRPr="00515872">
        <w:rPr>
          <w:rFonts w:cs="Tahoma"/>
          <w:color w:val="000000"/>
          <w:szCs w:val="20"/>
        </w:rPr>
        <w:t>:</w:t>
      </w:r>
    </w:p>
    <w:p w14:paraId="2FA56568"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partecipazioni societarie che non rientrino in alcuna delle categorie di attività per le quali è consentito il mantenimento;</w:t>
      </w:r>
    </w:p>
    <w:p w14:paraId="77301C6C"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società che risultino prive di dipendenti o abbiano un numero di ammini</w:t>
      </w:r>
      <w:r w:rsidR="00561C96" w:rsidRPr="00515872">
        <w:rPr>
          <w:rFonts w:cs="Tahoma"/>
          <w:color w:val="000000"/>
          <w:szCs w:val="20"/>
        </w:rPr>
        <w:t xml:space="preserve">stratori superiore a quello dei </w:t>
      </w:r>
      <w:r w:rsidRPr="00515872">
        <w:rPr>
          <w:rFonts w:cs="Tahoma"/>
          <w:color w:val="000000"/>
          <w:szCs w:val="20"/>
        </w:rPr>
        <w:t>dipendenti;</w:t>
      </w:r>
    </w:p>
    <w:p w14:paraId="0BBF4CAE"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partecipazioni in società che svolgono attività analoghe o similari a quelle svolte da altre società partecipate o da enti pubblici strumentali;</w:t>
      </w:r>
    </w:p>
    <w:p w14:paraId="44ED62FD"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partecipazioni in società che, nel triennio precedente, abbiano conseguito un fatturato medio non superiore a € 1.000.000;</w:t>
      </w:r>
      <w:r w:rsidRPr="00515872">
        <w:rPr>
          <w:rStyle w:val="Rimandonotaapidipagina"/>
          <w:rFonts w:cs="Tahoma"/>
          <w:color w:val="000000"/>
          <w:szCs w:val="20"/>
        </w:rPr>
        <w:footnoteReference w:id="77"/>
      </w:r>
    </w:p>
    <w:p w14:paraId="61FB4B17"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partecipazioni in società diverse da quelle costituite per la gestione di un servizio d’interesse generale che abbiano prodotto un risultato negativo per 4 dei 5 esercizi precedenti;</w:t>
      </w:r>
      <w:r w:rsidRPr="00515872">
        <w:rPr>
          <w:rStyle w:val="Rimandonotaapidipagina"/>
          <w:rFonts w:cs="Tahoma"/>
          <w:color w:val="000000"/>
          <w:szCs w:val="20"/>
        </w:rPr>
        <w:footnoteReference w:id="78"/>
      </w:r>
    </w:p>
    <w:p w14:paraId="007CA0A1"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necessità di contenimento dei costi di funzionamento;</w:t>
      </w:r>
    </w:p>
    <w:p w14:paraId="482AE9D9" w14:textId="77777777" w:rsidR="009518AF" w:rsidRPr="00515872" w:rsidRDefault="009518AF" w:rsidP="00D65838">
      <w:pPr>
        <w:pStyle w:val="Paragrafoelenco"/>
        <w:numPr>
          <w:ilvl w:val="0"/>
          <w:numId w:val="124"/>
        </w:numPr>
        <w:spacing w:line="360" w:lineRule="auto"/>
        <w:jc w:val="both"/>
        <w:rPr>
          <w:rFonts w:cs="Tahoma"/>
          <w:szCs w:val="20"/>
        </w:rPr>
      </w:pPr>
      <w:r w:rsidRPr="00515872">
        <w:rPr>
          <w:rFonts w:cs="Tahoma"/>
          <w:color w:val="000000"/>
          <w:szCs w:val="20"/>
        </w:rPr>
        <w:t>necessità di aggregazione di società aventi ad oggetto le attività consentite.</w:t>
      </w:r>
    </w:p>
    <w:p w14:paraId="315A0DDD" w14:textId="77777777" w:rsidR="000C7199" w:rsidRPr="00515872" w:rsidRDefault="000C7199" w:rsidP="009518AF">
      <w:pPr>
        <w:spacing w:line="360" w:lineRule="auto"/>
        <w:jc w:val="both"/>
        <w:rPr>
          <w:rFonts w:cs="Tahoma"/>
          <w:color w:val="000000"/>
          <w:szCs w:val="20"/>
        </w:rPr>
      </w:pPr>
      <w:r w:rsidRPr="00515872">
        <w:rPr>
          <w:rFonts w:cs="Tahoma"/>
          <w:color w:val="000000"/>
          <w:szCs w:val="20"/>
        </w:rPr>
        <w:t xml:space="preserve">Il piano deve essere accompagnato da apposita relazione tecnica con specifica indicazione di modalità e tempi di attuazione. </w:t>
      </w:r>
    </w:p>
    <w:p w14:paraId="66D2A908"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w:t>
      </w:r>
      <w:r w:rsidR="000C7199" w:rsidRPr="00515872">
        <w:rPr>
          <w:rFonts w:cs="Tahoma"/>
          <w:color w:val="000000"/>
          <w:szCs w:val="20"/>
        </w:rPr>
        <w:t>l piano</w:t>
      </w:r>
      <w:r w:rsidRPr="00515872">
        <w:rPr>
          <w:rFonts w:cs="Tahoma"/>
          <w:color w:val="000000"/>
          <w:szCs w:val="20"/>
        </w:rPr>
        <w:t xml:space="preserve"> di riassetto p</w:t>
      </w:r>
      <w:r w:rsidR="000C7199" w:rsidRPr="00515872">
        <w:rPr>
          <w:rFonts w:cs="Tahoma"/>
          <w:color w:val="000000"/>
          <w:szCs w:val="20"/>
        </w:rPr>
        <w:t>uò</w:t>
      </w:r>
      <w:r w:rsidRPr="00515872">
        <w:rPr>
          <w:rFonts w:cs="Tahoma"/>
          <w:color w:val="000000"/>
          <w:szCs w:val="20"/>
        </w:rPr>
        <w:t xml:space="preserve"> prevedere anche la dismissione o l’assegnazione in virtù di operazioni straordinarie delle partecipazioni societarie acquistate anche per espressa previsione normativa.</w:t>
      </w:r>
    </w:p>
    <w:p w14:paraId="3AAB7844" w14:textId="77777777" w:rsidR="000C7199" w:rsidRPr="00515872" w:rsidRDefault="00573491" w:rsidP="00573491">
      <w:pPr>
        <w:tabs>
          <w:tab w:val="left" w:pos="1134"/>
        </w:tabs>
        <w:spacing w:after="0" w:line="360" w:lineRule="auto"/>
        <w:jc w:val="both"/>
        <w:rPr>
          <w:rFonts w:cs="Tahoma"/>
          <w:color w:val="000000"/>
          <w:szCs w:val="20"/>
        </w:rPr>
      </w:pPr>
      <w:r w:rsidRPr="00515872">
        <w:rPr>
          <w:rFonts w:cs="Tahoma"/>
          <w:iCs/>
        </w:rPr>
        <w:t xml:space="preserve">La ricognizione è sempre necessaria anche per attestare l’assenza di partecipazioni. </w:t>
      </w:r>
      <w:r w:rsidR="000C7199" w:rsidRPr="00515872">
        <w:rPr>
          <w:rFonts w:cs="Tahoma"/>
          <w:color w:val="000000"/>
          <w:szCs w:val="20"/>
        </w:rPr>
        <w:t>Le amministrazioni pubbliche che non detengono alcuna partecipazione lo comunicano:</w:t>
      </w:r>
    </w:p>
    <w:p w14:paraId="5F3192CE" w14:textId="77777777" w:rsidR="000C7199" w:rsidRPr="00515872" w:rsidRDefault="000C7199" w:rsidP="00D65838">
      <w:pPr>
        <w:pStyle w:val="Paragrafoelenco"/>
        <w:numPr>
          <w:ilvl w:val="0"/>
          <w:numId w:val="125"/>
        </w:numPr>
        <w:spacing w:line="360" w:lineRule="auto"/>
        <w:jc w:val="both"/>
        <w:rPr>
          <w:rFonts w:cs="Tahoma"/>
          <w:color w:val="000000"/>
          <w:szCs w:val="20"/>
        </w:rPr>
      </w:pPr>
      <w:r w:rsidRPr="00515872">
        <w:rPr>
          <w:rFonts w:cs="Tahoma"/>
          <w:color w:val="000000"/>
          <w:szCs w:val="20"/>
        </w:rPr>
        <w:t>alla sezione della Corte di Conti competente;</w:t>
      </w:r>
    </w:p>
    <w:p w14:paraId="0BD9DB54" w14:textId="77777777" w:rsidR="000C7199" w:rsidRPr="00515872" w:rsidRDefault="000C7199" w:rsidP="00D65838">
      <w:pPr>
        <w:pStyle w:val="Paragrafoelenco"/>
        <w:numPr>
          <w:ilvl w:val="0"/>
          <w:numId w:val="125"/>
        </w:numPr>
        <w:spacing w:line="360" w:lineRule="auto"/>
        <w:jc w:val="both"/>
        <w:rPr>
          <w:rFonts w:cs="Tahoma"/>
          <w:color w:val="000000"/>
          <w:szCs w:val="20"/>
        </w:rPr>
      </w:pPr>
      <w:r w:rsidRPr="00515872">
        <w:rPr>
          <w:rFonts w:cs="Tahoma"/>
          <w:color w:val="000000"/>
          <w:szCs w:val="20"/>
        </w:rPr>
        <w:t>alla struttura competente per il controllo e il monitoraggio.</w:t>
      </w:r>
    </w:p>
    <w:p w14:paraId="3FBFEDF9" w14:textId="77777777" w:rsidR="009518AF" w:rsidRPr="00515872" w:rsidRDefault="009518AF" w:rsidP="009518AF">
      <w:pPr>
        <w:tabs>
          <w:tab w:val="left" w:pos="1134"/>
        </w:tabs>
        <w:spacing w:line="360" w:lineRule="auto"/>
        <w:jc w:val="both"/>
        <w:rPr>
          <w:rFonts w:cs="Tahoma"/>
          <w:iCs/>
          <w:szCs w:val="20"/>
        </w:rPr>
      </w:pPr>
      <w:r w:rsidRPr="00515872">
        <w:rPr>
          <w:rFonts w:cs="Tahoma"/>
          <w:color w:val="000000"/>
          <w:szCs w:val="20"/>
        </w:rPr>
        <w:t xml:space="preserve">Il c. 7 del citato art. 20, come modificato dall’art. 13, c. 1, </w:t>
      </w:r>
      <w:proofErr w:type="spellStart"/>
      <w:r w:rsidRPr="00515872">
        <w:rPr>
          <w:rFonts w:cs="Tahoma"/>
          <w:color w:val="000000"/>
          <w:szCs w:val="20"/>
        </w:rPr>
        <w:t>D.Lgs.</w:t>
      </w:r>
      <w:proofErr w:type="spellEnd"/>
      <w:r w:rsidRPr="00515872">
        <w:rPr>
          <w:rFonts w:cs="Tahoma"/>
          <w:color w:val="000000"/>
          <w:szCs w:val="20"/>
        </w:rPr>
        <w:t xml:space="preserve"> n. 100/2017, sancisce che la mancata adozione degli atti di sopra descritti comporta la sanzione amministrativa da un minimo di € 5.000 a un massimo di € 500.000, salvo il danno eventualmente rilevato in sede di giudizio amministrativo contabile.</w:t>
      </w:r>
    </w:p>
    <w:p w14:paraId="411935BC" w14:textId="77777777" w:rsidR="009518AF" w:rsidRPr="00515872" w:rsidRDefault="009518AF" w:rsidP="008F59E7">
      <w:pPr>
        <w:spacing w:line="360" w:lineRule="auto"/>
        <w:jc w:val="both"/>
        <w:rPr>
          <w:rFonts w:cs="Tahoma"/>
          <w:color w:val="000000"/>
          <w:szCs w:val="20"/>
        </w:rPr>
      </w:pPr>
      <w:r w:rsidRPr="00515872">
        <w:rPr>
          <w:rFonts w:cs="Tahoma"/>
          <w:color w:val="000000"/>
          <w:szCs w:val="20"/>
        </w:rPr>
        <w:lastRenderedPageBreak/>
        <w:t>A</w:t>
      </w:r>
      <w:r w:rsidRPr="00515872">
        <w:rPr>
          <w:rFonts w:cs="Tahoma"/>
          <w:color w:val="000000"/>
        </w:rPr>
        <w:t>nche l’alienazione o la costituzione di vincoli sulle partecipazioni soci</w:t>
      </w:r>
      <w:r w:rsidR="00573491" w:rsidRPr="00515872">
        <w:rPr>
          <w:rFonts w:cs="Tahoma"/>
          <w:color w:val="000000"/>
        </w:rPr>
        <w:t>etarie</w:t>
      </w:r>
      <w:r w:rsidRPr="00515872">
        <w:rPr>
          <w:rFonts w:cs="Tahoma"/>
          <w:color w:val="000000"/>
        </w:rPr>
        <w:t xml:space="preserve"> richiedono provvedimenti da adottarsi secondo le modalità già </w:t>
      </w:r>
      <w:r w:rsidR="00012708" w:rsidRPr="00515872">
        <w:rPr>
          <w:rFonts w:cs="Tahoma"/>
          <w:color w:val="000000"/>
        </w:rPr>
        <w:t>delineate</w:t>
      </w:r>
      <w:r w:rsidRPr="00515872">
        <w:rPr>
          <w:rFonts w:cs="Tahoma"/>
          <w:color w:val="000000"/>
        </w:rPr>
        <w:t xml:space="preserve"> riguardo alla costituzione ed all’acquisto. Vige la regola generale secondo </w:t>
      </w:r>
      <w:r w:rsidR="00012708" w:rsidRPr="00515872">
        <w:rPr>
          <w:rFonts w:cs="Tahoma"/>
          <w:color w:val="000000"/>
        </w:rPr>
        <w:t>cui</w:t>
      </w:r>
      <w:r w:rsidRPr="00515872">
        <w:rPr>
          <w:rFonts w:cs="Tahoma"/>
          <w:color w:val="000000"/>
        </w:rPr>
        <w:t xml:space="preserve"> l’alienazione delle partecipazioni è effettuata nel rispetto dei princìpi di pubblicità, trasparenza e non discriminazione. Solamente in casi eccezionali, a seguito di deliberazione motivata dell’organo competente, l’alienazione può essere effettuata mediante negoziazione diretta con un singolo acquirente.</w:t>
      </w:r>
    </w:p>
    <w:p w14:paraId="7F2F43B0" w14:textId="77777777" w:rsidR="008F59E7" w:rsidRPr="00515872" w:rsidRDefault="004F5C72" w:rsidP="008F59E7">
      <w:pPr>
        <w:tabs>
          <w:tab w:val="left" w:pos="1134"/>
        </w:tabs>
        <w:spacing w:line="360" w:lineRule="auto"/>
        <w:jc w:val="both"/>
        <w:rPr>
          <w:rFonts w:cs="Tahoma"/>
          <w:color w:val="000000"/>
        </w:rPr>
      </w:pPr>
      <w:r w:rsidRPr="00515872">
        <w:rPr>
          <w:rFonts w:cs="Tahoma"/>
          <w:iCs/>
        </w:rPr>
        <w:t>Con la stessa scadenza deve essere anche predisposta una relazione sullo stato di attuazione del piano di razionalizzazione adottato l’anno precedente.</w:t>
      </w:r>
      <w:r w:rsidR="00573491" w:rsidRPr="00515872">
        <w:rPr>
          <w:rFonts w:cs="Tahoma"/>
          <w:iCs/>
        </w:rPr>
        <w:t xml:space="preserve"> </w:t>
      </w:r>
      <w:r w:rsidR="009518AF" w:rsidRPr="00515872">
        <w:rPr>
          <w:rFonts w:cs="Tahoma"/>
          <w:color w:val="000000"/>
        </w:rPr>
        <w:t xml:space="preserve">Il c. 5, dell’art. 24 del TUSP stabilisce che, se dalla ricognizione straordinaria l’amministrazione pubblica individua partecipazioni da alienare, e queste poi non sono alienate entro un anno dall’adozione del provvedimento di ricognizione, oppure, se entro la scadenza prevista dalla norma la stessa amministrazione non adotta alcun atto ricognitivo, l’amministrazione pubblica socia non può più esercitare i diritti sociali nei confronti della società e la partecipazione (sia </w:t>
      </w:r>
      <w:r w:rsidR="00245F6D" w:rsidRPr="00515872">
        <w:rPr>
          <w:rFonts w:cs="Tahoma"/>
          <w:color w:val="000000"/>
        </w:rPr>
        <w:t xml:space="preserve">in una </w:t>
      </w:r>
      <w:r w:rsidR="009518AF" w:rsidRPr="00515872">
        <w:rPr>
          <w:rFonts w:cs="Tahoma"/>
          <w:color w:val="000000"/>
        </w:rPr>
        <w:t xml:space="preserve">Spa </w:t>
      </w:r>
      <w:r w:rsidR="00245F6D" w:rsidRPr="00515872">
        <w:rPr>
          <w:rFonts w:cs="Tahoma"/>
          <w:color w:val="000000"/>
        </w:rPr>
        <w:t>o in una</w:t>
      </w:r>
      <w:r w:rsidR="009518AF" w:rsidRPr="00515872">
        <w:rPr>
          <w:rFonts w:cs="Tahoma"/>
          <w:color w:val="000000"/>
        </w:rPr>
        <w:t xml:space="preserve"> Srl) è liquidata in denaro in base ai criteri stabiliti all’art. 2437-</w:t>
      </w:r>
      <w:r w:rsidR="009518AF" w:rsidRPr="00515872">
        <w:rPr>
          <w:rFonts w:cs="Tahoma"/>
          <w:iCs/>
          <w:color w:val="000000"/>
        </w:rPr>
        <w:t>ter</w:t>
      </w:r>
      <w:r w:rsidR="009518AF" w:rsidRPr="00515872">
        <w:rPr>
          <w:rFonts w:cs="Tahoma"/>
          <w:color w:val="000000"/>
        </w:rPr>
        <w:t>, c. 2, C.C..</w:t>
      </w:r>
    </w:p>
    <w:p w14:paraId="5344A156" w14:textId="77777777" w:rsidR="008F59E7" w:rsidRPr="00515872" w:rsidRDefault="008F59E7" w:rsidP="008F59E7">
      <w:pPr>
        <w:tabs>
          <w:tab w:val="left" w:pos="1134"/>
        </w:tabs>
        <w:spacing w:line="360" w:lineRule="auto"/>
        <w:jc w:val="both"/>
        <w:rPr>
          <w:rFonts w:eastAsia="Times New Roman" w:cs="Tahoma"/>
          <w:szCs w:val="20"/>
          <w:lang w:eastAsia="it-IT"/>
        </w:rPr>
      </w:pPr>
      <w:r w:rsidRPr="00515872">
        <w:rPr>
          <w:rFonts w:eastAsia="Times New Roman" w:cs="Tahoma"/>
          <w:szCs w:val="20"/>
          <w:lang w:eastAsia="it-IT"/>
        </w:rPr>
        <w:t>Il c. 5-bis prevede che</w:t>
      </w:r>
      <w:r w:rsidR="00C80157" w:rsidRPr="00515872">
        <w:rPr>
          <w:rFonts w:eastAsia="Times New Roman" w:cs="Tahoma"/>
          <w:szCs w:val="20"/>
          <w:lang w:eastAsia="it-IT"/>
        </w:rPr>
        <w:t>,</w:t>
      </w:r>
      <w:r w:rsidRPr="00515872">
        <w:rPr>
          <w:rFonts w:eastAsia="Times New Roman" w:cs="Tahoma"/>
          <w:szCs w:val="20"/>
          <w:lang w:eastAsia="it-IT"/>
        </w:rPr>
        <w:t xml:space="preserve"> a tutela del patrimonio pubblico e del valore delle quote societarie pubbliche, fino al 31 dicembre 2021 le disposizioni dei cc. 4 e 5 non si applicano nel caso in cui le società partecipate abbiano prodotto un risultato medio in utile nel triennio precedente alla ricognizione. L'amministrazione pubblica che detiene le partecipazioni è conseguentemente autorizzata a non procedere all'alienazione.</w:t>
      </w:r>
    </w:p>
    <w:p w14:paraId="0AEE3763" w14:textId="77777777" w:rsidR="00FC12A4" w:rsidRPr="00515872" w:rsidRDefault="00FC12A4" w:rsidP="008F59E7">
      <w:pPr>
        <w:tabs>
          <w:tab w:val="left" w:pos="1134"/>
        </w:tabs>
        <w:spacing w:line="360" w:lineRule="auto"/>
        <w:jc w:val="both"/>
        <w:rPr>
          <w:rFonts w:eastAsia="Times New Roman" w:cs="Tahoma"/>
          <w:szCs w:val="20"/>
          <w:lang w:eastAsia="it-IT"/>
        </w:rPr>
      </w:pPr>
      <w:r w:rsidRPr="00515872">
        <w:rPr>
          <w:rFonts w:eastAsia="Times New Roman" w:cs="Tahoma"/>
          <w:szCs w:val="20"/>
          <w:lang w:eastAsia="it-IT"/>
        </w:rPr>
        <w:t>I revisori devono verificare, caso per caso, le condizioni per il mantenimento delle partecipazioni pubbliche.</w:t>
      </w:r>
    </w:p>
    <w:p w14:paraId="6FCF8DF4" w14:textId="77777777" w:rsidR="004F5C72" w:rsidRPr="00515872" w:rsidRDefault="004F5C72" w:rsidP="004F5C72">
      <w:pPr>
        <w:tabs>
          <w:tab w:val="left" w:pos="1134"/>
        </w:tabs>
        <w:spacing w:line="360" w:lineRule="auto"/>
        <w:jc w:val="both"/>
        <w:rPr>
          <w:rFonts w:cs="Tahoma"/>
          <w:iCs/>
        </w:rPr>
      </w:pPr>
      <w:r w:rsidRPr="00515872">
        <w:rPr>
          <w:rFonts w:cs="Tahoma"/>
          <w:iCs/>
        </w:rPr>
        <w:t>Con avviso del 4 novembre 2021, pubblicato sul portale del Ministero del Tesoro, sono stati forniti gli indirizzi per la predisposizione del provvedimento di razionalizzazione delle partecipazioni detenute al 31 dicembre 2020, nonché per la relazione sull’attuazione del piano di razionalizzazione dell’anno precedente.</w:t>
      </w:r>
    </w:p>
    <w:p w14:paraId="0885C44D" w14:textId="77777777" w:rsidR="004F5C72" w:rsidRPr="00515872" w:rsidRDefault="004F5C72" w:rsidP="008F59E7">
      <w:pPr>
        <w:tabs>
          <w:tab w:val="left" w:pos="1134"/>
        </w:tabs>
        <w:spacing w:line="360" w:lineRule="auto"/>
        <w:jc w:val="both"/>
        <w:rPr>
          <w:rFonts w:cs="Tahoma"/>
          <w:color w:val="000000"/>
          <w:szCs w:val="20"/>
        </w:rPr>
      </w:pPr>
      <w:r w:rsidRPr="00515872">
        <w:rPr>
          <w:rFonts w:cs="Tahoma"/>
          <w:color w:val="000000"/>
          <w:szCs w:val="20"/>
        </w:rPr>
        <w:t>Tutti gli atti adottati ai sensi dell’art. 20 del TUSP devono essere inoltre trasmessi al MEF mediante apposito applicativo attivato presso il sito del Dipartimento del Tesoro.</w:t>
      </w:r>
    </w:p>
    <w:p w14:paraId="0EC87ECA" w14:textId="77777777" w:rsidR="00277513" w:rsidRPr="00515872" w:rsidRDefault="00277513" w:rsidP="009518AF">
      <w:pPr>
        <w:pStyle w:val="Sottoparagrafo"/>
        <w:rPr>
          <w:rFonts w:cs="Tahoma"/>
          <w:highlight w:val="yellow"/>
          <w:lang w:eastAsia="it-IT"/>
        </w:rPr>
      </w:pPr>
      <w:bookmarkStart w:id="161" w:name="_Toc521317106"/>
    </w:p>
    <w:p w14:paraId="3CB4C36E" w14:textId="77777777" w:rsidR="009518AF" w:rsidRPr="00515872" w:rsidRDefault="009518AF" w:rsidP="009518AF">
      <w:pPr>
        <w:pStyle w:val="Sottoparagrafo"/>
        <w:rPr>
          <w:rFonts w:cs="Tahoma"/>
          <w:lang w:eastAsia="it-IT"/>
        </w:rPr>
      </w:pPr>
      <w:bookmarkStart w:id="162" w:name="_Toc95912286"/>
      <w:r w:rsidRPr="00515872">
        <w:rPr>
          <w:rFonts w:cs="Tahoma"/>
          <w:lang w:eastAsia="it-IT"/>
        </w:rPr>
        <w:t>4.7.</w:t>
      </w:r>
      <w:r w:rsidR="00D04E20" w:rsidRPr="00515872">
        <w:rPr>
          <w:rFonts w:cs="Tahoma"/>
          <w:lang w:eastAsia="it-IT"/>
        </w:rPr>
        <w:t>5</w:t>
      </w:r>
      <w:r w:rsidRPr="00515872">
        <w:rPr>
          <w:rFonts w:cs="Tahoma"/>
          <w:lang w:eastAsia="it-IT"/>
        </w:rPr>
        <w:t xml:space="preserve"> Perdite delle società partecipate</w:t>
      </w:r>
      <w:bookmarkEnd w:id="161"/>
      <w:bookmarkEnd w:id="162"/>
    </w:p>
    <w:p w14:paraId="7DBA27B4" w14:textId="77777777" w:rsidR="009518AF" w:rsidRPr="00515872" w:rsidRDefault="009518AF" w:rsidP="00B43A4A">
      <w:pPr>
        <w:spacing w:line="360" w:lineRule="auto"/>
        <w:jc w:val="both"/>
        <w:rPr>
          <w:rFonts w:cs="Tahoma"/>
        </w:rPr>
      </w:pPr>
      <w:r w:rsidRPr="00515872">
        <w:rPr>
          <w:rFonts w:cs="Tahoma"/>
        </w:rPr>
        <w:t xml:space="preserve">Il ripiano delle perdite degli organismi partecipati costituisce una spesa corrente per l’ente partecipante, soggetta ai limiti di copertura e di destinazione previsti dall’art. 187, </w:t>
      </w:r>
      <w:proofErr w:type="spellStart"/>
      <w:r w:rsidRPr="00515872">
        <w:rPr>
          <w:rFonts w:cs="Tahoma"/>
        </w:rPr>
        <w:t>D.Lgs.</w:t>
      </w:r>
      <w:proofErr w:type="spellEnd"/>
      <w:r w:rsidRPr="00515872">
        <w:rPr>
          <w:rFonts w:cs="Tahoma"/>
        </w:rPr>
        <w:t xml:space="preserve"> n. 267/2000, in caso di utilizzo dell’avanzo di amministrazione e, comunque, da adottare con il meccanismo del riconoscimento dei debiti fuori bilancio, a norma dell’art. 194</w:t>
      </w:r>
      <w:r w:rsidR="00573491" w:rsidRPr="00515872">
        <w:rPr>
          <w:rFonts w:cs="Tahoma"/>
        </w:rPr>
        <w:t>, di cui si è già parlato</w:t>
      </w:r>
      <w:r w:rsidRPr="00515872">
        <w:rPr>
          <w:rFonts w:cs="Tahoma"/>
        </w:rPr>
        <w:t>.</w:t>
      </w:r>
    </w:p>
    <w:p w14:paraId="69920EF0" w14:textId="77777777" w:rsidR="009518AF" w:rsidRPr="00515872" w:rsidRDefault="009518AF" w:rsidP="009518AF">
      <w:pPr>
        <w:spacing w:after="0" w:line="360" w:lineRule="auto"/>
        <w:jc w:val="both"/>
        <w:rPr>
          <w:rFonts w:cs="Tahoma"/>
          <w:bCs/>
          <w:szCs w:val="20"/>
        </w:rPr>
      </w:pPr>
      <w:r w:rsidRPr="00515872">
        <w:rPr>
          <w:rFonts w:eastAsia="Times New Roman" w:cs="Tahoma"/>
          <w:bCs/>
          <w:szCs w:val="20"/>
          <w:lang w:eastAsia="it-IT"/>
        </w:rPr>
        <w:t xml:space="preserve">Nel caso in cui le aziende speciali, le istituzioni e le società partecipate dalle pubbliche amministrazioni locali indicate nell'elenco di cui all'art. 1, c. 3, L. n. 196/2009 (pubblicato annualmente dall’ISTAT) presentino un risultato di esercizio o saldo finanziario negativo, le pubbliche amministrazioni locali partecipanti accantonano, nell'anno successivo, in apposito fondo vincolato, un importo pari al risultato negativo non immediatamente </w:t>
      </w:r>
      <w:r w:rsidRPr="00515872">
        <w:rPr>
          <w:rFonts w:eastAsia="Times New Roman" w:cs="Tahoma"/>
          <w:bCs/>
          <w:szCs w:val="20"/>
          <w:lang w:eastAsia="it-IT"/>
        </w:rPr>
        <w:lastRenderedPageBreak/>
        <w:t>ripianato, in misura proporzionale alla quota di partecipazione. T</w:t>
      </w:r>
      <w:r w:rsidRPr="00515872">
        <w:rPr>
          <w:rFonts w:eastAsia="Times New Roman" w:cs="Tahoma"/>
          <w:bCs/>
          <w:szCs w:val="20"/>
        </w:rPr>
        <w:t xml:space="preserve">ale disposizione deve essere applicata </w:t>
      </w:r>
      <w:r w:rsidR="001A78DD" w:rsidRPr="00515872">
        <w:rPr>
          <w:rFonts w:eastAsia="Times New Roman" w:cs="Tahoma"/>
          <w:bCs/>
          <w:szCs w:val="20"/>
        </w:rPr>
        <w:t>a decorrere dall’anno 2015</w:t>
      </w:r>
      <w:r w:rsidRPr="00515872">
        <w:rPr>
          <w:rFonts w:eastAsia="Times New Roman" w:cs="Tahoma"/>
          <w:bCs/>
          <w:szCs w:val="20"/>
        </w:rPr>
        <w:t xml:space="preserve">. </w:t>
      </w:r>
      <w:r w:rsidRPr="00515872">
        <w:rPr>
          <w:rFonts w:cs="Tahoma"/>
          <w:bCs/>
          <w:szCs w:val="20"/>
        </w:rPr>
        <w:t>Negli anni 2015, 2016 e 2017 l’accantonamento d</w:t>
      </w:r>
      <w:r w:rsidR="001A78DD" w:rsidRPr="00515872">
        <w:rPr>
          <w:rFonts w:cs="Tahoma"/>
          <w:bCs/>
          <w:szCs w:val="20"/>
        </w:rPr>
        <w:t>oveva</w:t>
      </w:r>
      <w:r w:rsidRPr="00515872">
        <w:rPr>
          <w:rFonts w:cs="Tahoma"/>
          <w:bCs/>
          <w:szCs w:val="20"/>
        </w:rPr>
        <w:t xml:space="preserve"> avvenire come segue:</w:t>
      </w:r>
    </w:p>
    <w:p w14:paraId="2353F26B" w14:textId="77777777" w:rsidR="009518AF" w:rsidRPr="00515872" w:rsidRDefault="009518AF" w:rsidP="00D65838">
      <w:pPr>
        <w:pStyle w:val="Paragrafoelenco"/>
        <w:numPr>
          <w:ilvl w:val="0"/>
          <w:numId w:val="127"/>
        </w:numPr>
        <w:spacing w:line="360" w:lineRule="auto"/>
        <w:jc w:val="both"/>
        <w:rPr>
          <w:rFonts w:cs="Tahoma"/>
          <w:bCs/>
          <w:szCs w:val="20"/>
        </w:rPr>
      </w:pPr>
      <w:r w:rsidRPr="00515872">
        <w:rPr>
          <w:rFonts w:cs="Tahoma"/>
          <w:bCs/>
          <w:szCs w:val="20"/>
        </w:rPr>
        <w:t>qualora la società partecipata a</w:t>
      </w:r>
      <w:r w:rsidR="00B43A4A" w:rsidRPr="00515872">
        <w:rPr>
          <w:rFonts w:cs="Tahoma"/>
          <w:bCs/>
          <w:szCs w:val="20"/>
        </w:rPr>
        <w:t>vesse</w:t>
      </w:r>
      <w:r w:rsidRPr="00515872">
        <w:rPr>
          <w:rFonts w:cs="Tahoma"/>
          <w:bCs/>
          <w:szCs w:val="20"/>
        </w:rPr>
        <w:t xml:space="preserve"> realizzato nel triennio 2011</w:t>
      </w:r>
      <w:r w:rsidR="001A78DD" w:rsidRPr="00515872">
        <w:rPr>
          <w:rFonts w:cs="Tahoma"/>
          <w:bCs/>
          <w:szCs w:val="20"/>
        </w:rPr>
        <w:t>-</w:t>
      </w:r>
      <w:r w:rsidRPr="00515872">
        <w:rPr>
          <w:rFonts w:cs="Tahoma"/>
          <w:bCs/>
          <w:szCs w:val="20"/>
        </w:rPr>
        <w:t xml:space="preserve">2013 un risultato medio negativo, l’ente pubblico partecipante </w:t>
      </w:r>
      <w:r w:rsidR="001A78DD" w:rsidRPr="00515872">
        <w:rPr>
          <w:rFonts w:cs="Tahoma"/>
          <w:bCs/>
          <w:szCs w:val="20"/>
        </w:rPr>
        <w:t>doveva accantonare</w:t>
      </w:r>
      <w:r w:rsidRPr="00515872">
        <w:rPr>
          <w:rFonts w:cs="Tahoma"/>
          <w:bCs/>
          <w:szCs w:val="20"/>
        </w:rPr>
        <w:t xml:space="preserve">, in proporzione alla quota di partecipazione, una somma pari alla differenza tra il risultato conseguito nell'esercizio precedente e il risultato medio 2011-2013 migliorato, rispettivamente, del 25% per il 2014, del 50% per il 2015 e del 75% per il 2016. Qualora il risultato negativo dell’anno precedente </w:t>
      </w:r>
      <w:r w:rsidR="00B43A4A" w:rsidRPr="00515872">
        <w:rPr>
          <w:rFonts w:cs="Tahoma"/>
          <w:bCs/>
          <w:szCs w:val="20"/>
        </w:rPr>
        <w:t>fosse</w:t>
      </w:r>
      <w:r w:rsidRPr="00515872">
        <w:rPr>
          <w:rFonts w:cs="Tahoma"/>
          <w:bCs/>
          <w:szCs w:val="20"/>
        </w:rPr>
        <w:t xml:space="preserve"> peggiore di quello medio registrato nel trienn</w:t>
      </w:r>
      <w:r w:rsidR="001A78DD" w:rsidRPr="00515872">
        <w:rPr>
          <w:rFonts w:cs="Tahoma"/>
          <w:bCs/>
          <w:szCs w:val="20"/>
        </w:rPr>
        <w:t>io 2011-2013, l'accantonamento era</w:t>
      </w:r>
      <w:r w:rsidRPr="00515872">
        <w:rPr>
          <w:rFonts w:cs="Tahoma"/>
          <w:bCs/>
          <w:szCs w:val="20"/>
        </w:rPr>
        <w:t xml:space="preserve"> operato nella misura indicata al punto successivo;</w:t>
      </w:r>
    </w:p>
    <w:p w14:paraId="6687B58E" w14:textId="77777777" w:rsidR="00DD7541" w:rsidRPr="00515872" w:rsidRDefault="009518AF" w:rsidP="00D65838">
      <w:pPr>
        <w:pStyle w:val="Paragrafoelenco"/>
        <w:numPr>
          <w:ilvl w:val="0"/>
          <w:numId w:val="127"/>
        </w:numPr>
        <w:spacing w:line="360" w:lineRule="auto"/>
        <w:jc w:val="both"/>
        <w:rPr>
          <w:rFonts w:cs="Tahoma"/>
          <w:bCs/>
          <w:szCs w:val="20"/>
        </w:rPr>
      </w:pPr>
      <w:r w:rsidRPr="00515872">
        <w:rPr>
          <w:rFonts w:cs="Tahoma"/>
          <w:bCs/>
          <w:szCs w:val="20"/>
        </w:rPr>
        <w:t xml:space="preserve">qualora la società partecipata </w:t>
      </w:r>
      <w:r w:rsidR="00B43A4A" w:rsidRPr="00515872">
        <w:rPr>
          <w:rFonts w:cs="Tahoma"/>
          <w:bCs/>
          <w:szCs w:val="20"/>
        </w:rPr>
        <w:t>avesse</w:t>
      </w:r>
      <w:r w:rsidRPr="00515872">
        <w:rPr>
          <w:rFonts w:cs="Tahoma"/>
          <w:bCs/>
          <w:szCs w:val="20"/>
        </w:rPr>
        <w:t xml:space="preserve"> realizzato nel triennio 2011</w:t>
      </w:r>
      <w:r w:rsidR="001A78DD" w:rsidRPr="00515872">
        <w:rPr>
          <w:rFonts w:cs="Tahoma"/>
          <w:bCs/>
          <w:szCs w:val="20"/>
        </w:rPr>
        <w:t>-</w:t>
      </w:r>
      <w:r w:rsidRPr="00515872">
        <w:rPr>
          <w:rFonts w:cs="Tahoma"/>
          <w:bCs/>
          <w:szCs w:val="20"/>
        </w:rPr>
        <w:t xml:space="preserve">2013 un risultato medio non negativo, l’ente pubblico partecipante </w:t>
      </w:r>
      <w:r w:rsidR="001A78DD" w:rsidRPr="00515872">
        <w:rPr>
          <w:rFonts w:cs="Tahoma"/>
          <w:bCs/>
          <w:szCs w:val="20"/>
        </w:rPr>
        <w:t>doveva accantonare</w:t>
      </w:r>
      <w:r w:rsidRPr="00515872">
        <w:rPr>
          <w:rFonts w:cs="Tahoma"/>
          <w:bCs/>
          <w:szCs w:val="20"/>
        </w:rPr>
        <w:t>, in misura proporzionale alla quota di partecipazione, una somma pari al 25% per il 2015, al 50% per il 2016 e al 75% per il 2017 del risultato negativo conseguito nell'esercizio precedente.</w:t>
      </w:r>
    </w:p>
    <w:p w14:paraId="7F4CFBBF" w14:textId="77777777" w:rsidR="00DD7541" w:rsidRPr="00515872" w:rsidRDefault="00DD7541" w:rsidP="00DD7541">
      <w:pPr>
        <w:spacing w:line="360" w:lineRule="auto"/>
        <w:jc w:val="both"/>
        <w:rPr>
          <w:rFonts w:cs="Tahoma"/>
          <w:bCs/>
          <w:szCs w:val="20"/>
        </w:rPr>
      </w:pPr>
      <w:r w:rsidRPr="00515872">
        <w:rPr>
          <w:rFonts w:cs="Tahoma"/>
          <w:color w:val="000000"/>
          <w:szCs w:val="40"/>
        </w:rPr>
        <w:t xml:space="preserve">Viene, dunque, creata </w:t>
      </w:r>
      <w:r w:rsidRPr="00515872">
        <w:rPr>
          <w:rFonts w:cs="Tahoma"/>
          <w:bCs/>
          <w:color w:val="000000"/>
          <w:szCs w:val="40"/>
        </w:rPr>
        <w:t>una relazione diretta tra le perdite registrate dagli organismi partecipati e la consequenziale contrazione degli spazi di spesa effettiva disponibili per gli enti proprietari a preventivo</w:t>
      </w:r>
      <w:r w:rsidRPr="00515872">
        <w:rPr>
          <w:rFonts w:cs="Tahoma"/>
          <w:color w:val="000000"/>
          <w:szCs w:val="40"/>
        </w:rPr>
        <w:t xml:space="preserve">, con l’obiettivo di una maggiore responsabilizzazione degli enti locali nel perseguimento della sana gestione degli organismi partecipati. </w:t>
      </w:r>
      <w:r w:rsidRPr="00515872">
        <w:rPr>
          <w:rFonts w:cs="Tahoma"/>
          <w:color w:val="043464"/>
          <w:szCs w:val="40"/>
        </w:rPr>
        <w:t>L’a</w:t>
      </w:r>
      <w:r w:rsidRPr="00515872">
        <w:rPr>
          <w:rFonts w:cs="Tahoma"/>
          <w:color w:val="000000"/>
          <w:szCs w:val="40"/>
        </w:rPr>
        <w:t xml:space="preserve">ccantonamento in parola risponde all’esigenza di </w:t>
      </w:r>
      <w:r w:rsidRPr="00515872">
        <w:rPr>
          <w:rFonts w:cs="Tahoma"/>
          <w:bCs/>
          <w:color w:val="000000"/>
          <w:szCs w:val="40"/>
        </w:rPr>
        <w:t>neutralizzare prospetticamente le ricadute negative delle gestioni societarie</w:t>
      </w:r>
      <w:r w:rsidRPr="00515872">
        <w:rPr>
          <w:rFonts w:cs="Tahoma"/>
          <w:color w:val="000000"/>
          <w:szCs w:val="40"/>
        </w:rPr>
        <w:t>, riducendo le capacità di spesa dell’ente pubblico partecipante.</w:t>
      </w:r>
    </w:p>
    <w:p w14:paraId="4762D58F" w14:textId="77777777" w:rsidR="00694640" w:rsidRPr="00515872" w:rsidRDefault="00694640" w:rsidP="009518AF">
      <w:pPr>
        <w:spacing w:line="360" w:lineRule="auto"/>
        <w:jc w:val="both"/>
        <w:rPr>
          <w:rFonts w:cs="Tahoma"/>
          <w:bCs/>
          <w:szCs w:val="20"/>
        </w:rPr>
      </w:pPr>
      <w:r w:rsidRPr="00515872">
        <w:rPr>
          <w:rFonts w:cs="Tahoma"/>
          <w:color w:val="000000"/>
          <w:szCs w:val="20"/>
        </w:rPr>
        <w:t xml:space="preserve">L’importo accantonato è reso disponibile in misura proporzionale alla quota di partecipazione nel caso in cui l’ente partecipante ripiani la perdita o dismetta la partecipazione ovvero nel caso in cui </w:t>
      </w:r>
      <w:r w:rsidRPr="00515872">
        <w:rPr>
          <w:rFonts w:cs="Tahoma"/>
          <w:bCs/>
          <w:color w:val="000000"/>
          <w:szCs w:val="20"/>
        </w:rPr>
        <w:t>il soggetto partecipato sia posto in liquidazione. Anche n</w:t>
      </w:r>
      <w:r w:rsidRPr="00515872">
        <w:rPr>
          <w:rFonts w:cs="Tahoma"/>
          <w:color w:val="000000"/>
          <w:szCs w:val="20"/>
        </w:rPr>
        <w:t xml:space="preserve">el caso in cui </w:t>
      </w:r>
      <w:r w:rsidRPr="00515872">
        <w:rPr>
          <w:rFonts w:cs="Tahoma"/>
          <w:bCs/>
          <w:color w:val="000000"/>
          <w:szCs w:val="20"/>
        </w:rPr>
        <w:t xml:space="preserve">i soggetti partecipati ripianino in tutto o in parte le perdite </w:t>
      </w:r>
      <w:r w:rsidRPr="00515872">
        <w:rPr>
          <w:rFonts w:cs="Tahoma"/>
          <w:color w:val="000000"/>
          <w:szCs w:val="20"/>
        </w:rPr>
        <w:t xml:space="preserve">conseguite negli esercizi precedenti </w:t>
      </w:r>
      <w:r w:rsidRPr="00515872">
        <w:rPr>
          <w:rFonts w:cs="Tahoma"/>
          <w:bCs/>
          <w:color w:val="000000"/>
          <w:szCs w:val="20"/>
        </w:rPr>
        <w:t xml:space="preserve">l’importo accantonato viene reso disponibile agli enti partecipanti </w:t>
      </w:r>
      <w:r w:rsidRPr="00515872">
        <w:rPr>
          <w:rFonts w:cs="Tahoma"/>
          <w:color w:val="000000"/>
          <w:szCs w:val="20"/>
        </w:rPr>
        <w:t>in misura corrispondente e proporzionale alla quota di partecipazione.</w:t>
      </w:r>
    </w:p>
    <w:p w14:paraId="35A79C80" w14:textId="77777777" w:rsidR="009518AF" w:rsidRPr="00515872" w:rsidRDefault="009518AF" w:rsidP="009518AF">
      <w:pPr>
        <w:spacing w:line="360" w:lineRule="auto"/>
        <w:jc w:val="both"/>
        <w:rPr>
          <w:rFonts w:cs="Tahoma"/>
          <w:bCs/>
          <w:szCs w:val="20"/>
        </w:rPr>
      </w:pPr>
      <w:r w:rsidRPr="00515872">
        <w:rPr>
          <w:rFonts w:cs="Tahoma"/>
          <w:bCs/>
          <w:szCs w:val="20"/>
        </w:rPr>
        <w:t xml:space="preserve">La distinzione tra ripiano delle perdite e ricapitalizzazione è stata evidenziata dalla Corte dei Conti, Lazio, Sez. </w:t>
      </w:r>
      <w:proofErr w:type="spellStart"/>
      <w:r w:rsidRPr="00515872">
        <w:rPr>
          <w:rFonts w:cs="Tahoma"/>
          <w:bCs/>
          <w:szCs w:val="20"/>
        </w:rPr>
        <w:t>giurisdiz</w:t>
      </w:r>
      <w:proofErr w:type="spellEnd"/>
      <w:r w:rsidRPr="00515872">
        <w:rPr>
          <w:rFonts w:cs="Tahoma"/>
          <w:bCs/>
          <w:szCs w:val="20"/>
        </w:rPr>
        <w:t xml:space="preserve">., 4 dicembre 2017, n. 384. In particolare, la Corte </w:t>
      </w:r>
      <w:r w:rsidR="00B43A4A" w:rsidRPr="00515872">
        <w:rPr>
          <w:rFonts w:cs="Tahoma"/>
          <w:bCs/>
          <w:szCs w:val="20"/>
        </w:rPr>
        <w:t xml:space="preserve">ha </w:t>
      </w:r>
      <w:r w:rsidRPr="00515872">
        <w:rPr>
          <w:rFonts w:cs="Tahoma"/>
          <w:bCs/>
          <w:szCs w:val="20"/>
        </w:rPr>
        <w:t>afferma</w:t>
      </w:r>
      <w:r w:rsidR="00B43A4A" w:rsidRPr="00515872">
        <w:rPr>
          <w:rFonts w:cs="Tahoma"/>
          <w:bCs/>
          <w:szCs w:val="20"/>
        </w:rPr>
        <w:t>to</w:t>
      </w:r>
      <w:r w:rsidRPr="00515872">
        <w:rPr>
          <w:rFonts w:cs="Tahoma"/>
          <w:bCs/>
          <w:szCs w:val="20"/>
        </w:rPr>
        <w:t xml:space="preserve"> che, mentre il ripiano delle perdite indica qualsiasi modalità utile per colmare un disavanzo di gestione, la ricapitalizzazione identifica le operazioni di ricostruzione del capitale sociale. Tale distinzione rileva ai fini dell’applicabilità delle norme in materia di riconoscimento dei debiti fuori bilancio di cui all’art. 194, c. 1, lett. c), TUEL in quanto </w:t>
      </w:r>
      <w:r w:rsidR="00C40EC8" w:rsidRPr="00515872">
        <w:rPr>
          <w:rFonts w:cs="Tahoma"/>
          <w:bCs/>
          <w:szCs w:val="20"/>
        </w:rPr>
        <w:t>quest’ultimo</w:t>
      </w:r>
      <w:r w:rsidRPr="00515872">
        <w:rPr>
          <w:rFonts w:cs="Tahoma"/>
          <w:bCs/>
          <w:szCs w:val="20"/>
        </w:rPr>
        <w:t xml:space="preserve">, al fine di arginare il ricorso a impegni non derivanti dalla normale procedura di bilancio, prevede una elencazione, da considerarsi tassativa, dei casi in cui </w:t>
      </w:r>
      <w:r w:rsidR="00B43A4A" w:rsidRPr="00515872">
        <w:rPr>
          <w:rFonts w:cs="Tahoma"/>
          <w:bCs/>
          <w:szCs w:val="20"/>
        </w:rPr>
        <w:t>è</w:t>
      </w:r>
      <w:r w:rsidRPr="00515872">
        <w:rPr>
          <w:rFonts w:cs="Tahoma"/>
          <w:bCs/>
          <w:szCs w:val="20"/>
        </w:rPr>
        <w:t xml:space="preserve"> possibile rendere legittimi debiti non previsti in sede di programmazione.</w:t>
      </w:r>
    </w:p>
    <w:p w14:paraId="7A2BB443" w14:textId="77777777" w:rsidR="009518AF" w:rsidRPr="00515872" w:rsidRDefault="009518AF" w:rsidP="00B43A4A">
      <w:pPr>
        <w:spacing w:after="0" w:line="360" w:lineRule="auto"/>
        <w:jc w:val="both"/>
        <w:rPr>
          <w:rFonts w:cs="Tahoma"/>
          <w:b/>
          <w:color w:val="000000"/>
          <w:szCs w:val="20"/>
        </w:rPr>
      </w:pPr>
      <w:r w:rsidRPr="00515872">
        <w:rPr>
          <w:rFonts w:cs="Tahoma"/>
          <w:b/>
          <w:color w:val="000000"/>
          <w:szCs w:val="20"/>
        </w:rPr>
        <w:t>Assoggettamento a procedure concorsuali</w:t>
      </w:r>
    </w:p>
    <w:p w14:paraId="79AF5F67" w14:textId="77777777" w:rsidR="009518AF" w:rsidRPr="00515872" w:rsidRDefault="009518AF" w:rsidP="009518AF">
      <w:pPr>
        <w:pStyle w:val="provvr0"/>
        <w:spacing w:before="0" w:beforeAutospacing="0" w:after="200" w:afterAutospacing="0" w:line="360" w:lineRule="auto"/>
        <w:jc w:val="both"/>
        <w:rPr>
          <w:rFonts w:ascii="Tahoma" w:hAnsi="Tahoma" w:cs="Tahoma"/>
          <w:color w:val="000000"/>
          <w:sz w:val="20"/>
          <w:szCs w:val="20"/>
        </w:rPr>
      </w:pPr>
      <w:r w:rsidRPr="00515872">
        <w:rPr>
          <w:rFonts w:ascii="Tahoma" w:hAnsi="Tahoma" w:cs="Tahoma"/>
          <w:color w:val="000000"/>
          <w:sz w:val="20"/>
          <w:szCs w:val="20"/>
        </w:rPr>
        <w:t>Le società a partecipazione pubblica sono soggette, a differenza degli enti locali</w:t>
      </w:r>
      <w:r w:rsidR="00C04EFF" w:rsidRPr="00515872">
        <w:rPr>
          <w:rFonts w:ascii="Tahoma" w:hAnsi="Tahoma" w:cs="Tahoma"/>
          <w:color w:val="000000"/>
          <w:sz w:val="20"/>
          <w:szCs w:val="20"/>
        </w:rPr>
        <w:t xml:space="preserve"> e analogamente alle società di diritto privato</w:t>
      </w:r>
      <w:r w:rsidRPr="00515872">
        <w:rPr>
          <w:rFonts w:ascii="Tahoma" w:hAnsi="Tahoma" w:cs="Tahoma"/>
          <w:color w:val="000000"/>
          <w:sz w:val="20"/>
          <w:szCs w:val="20"/>
        </w:rPr>
        <w:t>, alle disposizioni sul fallimento e sul concordato preventivo, nonché, ove ne ricorrano i presupposti, a quelle in materia di amministrazione straordinaria delle grandi imprese in stato di insolvenza</w:t>
      </w:r>
      <w:r w:rsidRPr="00515872">
        <w:rPr>
          <w:rStyle w:val="provvnumcomma"/>
          <w:rFonts w:ascii="Tahoma" w:hAnsi="Tahoma" w:cs="Tahoma"/>
          <w:color w:val="000000"/>
          <w:sz w:val="20"/>
          <w:szCs w:val="20"/>
        </w:rPr>
        <w:t>.</w:t>
      </w:r>
      <w:r w:rsidRPr="00515872">
        <w:rPr>
          <w:rFonts w:ascii="Tahoma" w:hAnsi="Tahoma" w:cs="Tahoma"/>
          <w:color w:val="000000"/>
          <w:sz w:val="20"/>
          <w:szCs w:val="20"/>
        </w:rPr>
        <w:t xml:space="preserve">  </w:t>
      </w:r>
    </w:p>
    <w:p w14:paraId="57EBF65E" w14:textId="77777777" w:rsidR="009518AF" w:rsidRPr="00515872" w:rsidRDefault="009518AF" w:rsidP="009518AF">
      <w:pPr>
        <w:pStyle w:val="provvr0"/>
        <w:spacing w:before="0" w:beforeAutospacing="0" w:after="200" w:afterAutospacing="0" w:line="360" w:lineRule="auto"/>
        <w:jc w:val="both"/>
        <w:rPr>
          <w:rFonts w:ascii="Tahoma" w:hAnsi="Tahoma" w:cs="Tahoma"/>
          <w:color w:val="000000"/>
          <w:sz w:val="20"/>
          <w:szCs w:val="20"/>
        </w:rPr>
      </w:pPr>
      <w:r w:rsidRPr="00515872">
        <w:rPr>
          <w:rFonts w:ascii="Tahoma" w:hAnsi="Tahoma" w:cs="Tahoma"/>
          <w:color w:val="000000"/>
          <w:sz w:val="20"/>
          <w:szCs w:val="20"/>
        </w:rPr>
        <w:lastRenderedPageBreak/>
        <w:t>Le amministrazioni di cui all'art. </w:t>
      </w:r>
      <w:r w:rsidRPr="00515872">
        <w:rPr>
          <w:rStyle w:val="linkneltesto"/>
          <w:rFonts w:ascii="Tahoma" w:eastAsiaTheme="majorEastAsia" w:hAnsi="Tahoma" w:cs="Tahoma"/>
          <w:iCs/>
          <w:color w:val="000000"/>
          <w:sz w:val="20"/>
          <w:szCs w:val="20"/>
        </w:rPr>
        <w:t>1, c. 3</w:t>
      </w:r>
      <w:r w:rsidRPr="00515872">
        <w:rPr>
          <w:rFonts w:ascii="Tahoma" w:hAnsi="Tahoma" w:cs="Tahoma"/>
          <w:color w:val="000000"/>
          <w:sz w:val="20"/>
          <w:szCs w:val="20"/>
        </w:rPr>
        <w:t>, L.</w:t>
      </w:r>
      <w:r w:rsidRPr="00515872">
        <w:rPr>
          <w:rStyle w:val="linkneltesto"/>
          <w:rFonts w:ascii="Tahoma" w:eastAsiaTheme="majorEastAsia" w:hAnsi="Tahoma" w:cs="Tahoma"/>
          <w:iCs/>
          <w:color w:val="000000"/>
          <w:sz w:val="20"/>
          <w:szCs w:val="20"/>
        </w:rPr>
        <w:t xml:space="preserve"> 31 dicembre 2009, n. 196</w:t>
      </w:r>
      <w:r w:rsidRPr="00515872">
        <w:rPr>
          <w:rFonts w:ascii="Tahoma" w:hAnsi="Tahoma" w:cs="Tahoma"/>
          <w:color w:val="000000"/>
          <w:sz w:val="20"/>
          <w:szCs w:val="20"/>
        </w:rPr>
        <w:t>, non possono, salvo quanto previsto dagli </w:t>
      </w:r>
      <w:r w:rsidRPr="00515872">
        <w:rPr>
          <w:rStyle w:val="linkneltesto"/>
          <w:rFonts w:ascii="Tahoma" w:eastAsiaTheme="majorEastAsia" w:hAnsi="Tahoma" w:cs="Tahoma"/>
          <w:iCs/>
          <w:color w:val="000000"/>
          <w:sz w:val="20"/>
          <w:szCs w:val="20"/>
        </w:rPr>
        <w:t xml:space="preserve">artt. 2447 </w:t>
      </w:r>
      <w:r w:rsidRPr="00515872">
        <w:rPr>
          <w:rFonts w:ascii="Tahoma" w:hAnsi="Tahoma" w:cs="Tahoma"/>
          <w:color w:val="000000"/>
          <w:sz w:val="20"/>
          <w:szCs w:val="20"/>
        </w:rPr>
        <w:t>e </w:t>
      </w:r>
      <w:r w:rsidRPr="00515872">
        <w:rPr>
          <w:rStyle w:val="linkneltesto"/>
          <w:rFonts w:ascii="Tahoma" w:eastAsiaTheme="majorEastAsia" w:hAnsi="Tahoma" w:cs="Tahoma"/>
          <w:iCs/>
          <w:color w:val="000000"/>
          <w:sz w:val="20"/>
          <w:szCs w:val="20"/>
        </w:rPr>
        <w:t>2482-ter</w:t>
      </w:r>
      <w:r w:rsidR="005D22EE" w:rsidRPr="00515872">
        <w:rPr>
          <w:rStyle w:val="linkneltesto"/>
          <w:rFonts w:ascii="Tahoma" w:eastAsiaTheme="majorEastAsia" w:hAnsi="Tahoma" w:cs="Tahoma"/>
          <w:iCs/>
          <w:color w:val="000000"/>
          <w:sz w:val="20"/>
          <w:szCs w:val="20"/>
        </w:rPr>
        <w:t>, C.C.</w:t>
      </w:r>
      <w:r w:rsidRPr="00515872">
        <w:rPr>
          <w:rFonts w:ascii="Tahoma" w:hAnsi="Tahoma" w:cs="Tahoma"/>
          <w:color w:val="000000"/>
          <w:sz w:val="20"/>
          <w:szCs w:val="20"/>
        </w:rPr>
        <w:t>, sottoscrivere aumenti di capitale, effettuare trasferimenti straordinari, aperture di credito, né rilasciare garanzie a favore delle società partecipate, con esclusione delle società quotate e degli istituti di credito, che abbiano registrato</w:t>
      </w:r>
      <w:r w:rsidR="009B71E0" w:rsidRPr="00515872">
        <w:rPr>
          <w:rFonts w:ascii="Tahoma" w:hAnsi="Tahoma" w:cs="Tahoma"/>
          <w:color w:val="000000"/>
          <w:sz w:val="20"/>
          <w:szCs w:val="20"/>
        </w:rPr>
        <w:t xml:space="preserve"> perdite</w:t>
      </w:r>
      <w:r w:rsidRPr="00515872">
        <w:rPr>
          <w:rFonts w:ascii="Tahoma" w:hAnsi="Tahoma" w:cs="Tahoma"/>
          <w:color w:val="000000"/>
          <w:sz w:val="20"/>
          <w:szCs w:val="20"/>
        </w:rPr>
        <w:t xml:space="preserve"> per 3 esercizi consecutivi ovvero che abbiano utilizzato riserve disponibili per il ripianamento di perdite anche infrannuali. Sono in ogni caso consentiti trasferimenti straordinari a fronte di convenzioni, contratti di servizio o di programma relativi allo svolgimento di servizi di pubblico interesse ovvero alla realizzazione di investimenti, purché le misure indicate siano contemplate in un piano di risanamento, approvato dall'Autorità di regolazione di settore, ove esistente, e comunicato alla Corte dei Conti, che contempli il raggiungimento dell'equilibrio finanziario entro 3 anni. </w:t>
      </w:r>
    </w:p>
    <w:p w14:paraId="1257490C" w14:textId="77777777" w:rsidR="00276B9F" w:rsidRPr="00515872" w:rsidRDefault="009518AF" w:rsidP="00A72892">
      <w:pPr>
        <w:pStyle w:val="provvr0"/>
        <w:spacing w:before="0" w:beforeAutospacing="0" w:after="200" w:afterAutospacing="0" w:line="360" w:lineRule="auto"/>
        <w:jc w:val="both"/>
        <w:rPr>
          <w:rFonts w:ascii="Tahoma" w:hAnsi="Tahoma" w:cs="Tahoma"/>
          <w:color w:val="000000"/>
          <w:sz w:val="20"/>
          <w:szCs w:val="20"/>
        </w:rPr>
      </w:pPr>
      <w:r w:rsidRPr="00515872">
        <w:rPr>
          <w:rFonts w:ascii="Tahoma" w:hAnsi="Tahoma" w:cs="Tahoma"/>
          <w:color w:val="000000"/>
          <w:sz w:val="20"/>
          <w:szCs w:val="20"/>
        </w:rPr>
        <w:t>Nei 5 anni successivi alla dichiarazione di fallimento di una società a controllo pubblico titolare di affidamenti diretti, le pubbliche amministrazioni controllanti non possono costituire nuove società, né acquisire o mantenere partecipazioni in società, qualora le stesse gestiscano i medesimi servizi di quella dichiarata fallita.</w:t>
      </w:r>
      <w:bookmarkStart w:id="163" w:name="_Toc521317107"/>
    </w:p>
    <w:p w14:paraId="3999FD1E" w14:textId="77777777" w:rsidR="00276B9F" w:rsidRPr="00515872" w:rsidRDefault="00276B9F">
      <w:pPr>
        <w:spacing w:after="0" w:line="240" w:lineRule="auto"/>
        <w:rPr>
          <w:rFonts w:eastAsia="Times New Roman" w:cs="Tahoma"/>
          <w:color w:val="000000"/>
          <w:szCs w:val="20"/>
          <w:lang w:eastAsia="it-IT"/>
        </w:rPr>
      </w:pPr>
      <w:r w:rsidRPr="00515872">
        <w:rPr>
          <w:rFonts w:cs="Tahoma"/>
          <w:color w:val="000000"/>
          <w:szCs w:val="20"/>
        </w:rPr>
        <w:br w:type="page"/>
      </w:r>
    </w:p>
    <w:p w14:paraId="639044BC" w14:textId="77777777" w:rsidR="00276B9F" w:rsidRPr="00515872" w:rsidRDefault="00276B9F" w:rsidP="00276B9F">
      <w:pPr>
        <w:pStyle w:val="Titolo"/>
        <w:rPr>
          <w:rFonts w:cs="Tahoma"/>
        </w:rPr>
      </w:pPr>
      <w:bookmarkStart w:id="164" w:name="_Toc95912287"/>
      <w:r w:rsidRPr="00515872">
        <w:rPr>
          <w:rFonts w:cs="Tahoma"/>
        </w:rPr>
        <w:lastRenderedPageBreak/>
        <w:t>5. Enti deficitari e dissestati</w:t>
      </w:r>
      <w:bookmarkEnd w:id="164"/>
    </w:p>
    <w:p w14:paraId="30A9BC29" w14:textId="77777777" w:rsidR="00276B9F" w:rsidRPr="00515872" w:rsidRDefault="00276B9F" w:rsidP="00297A21">
      <w:pPr>
        <w:pStyle w:val="Paragrafo"/>
      </w:pPr>
      <w:bookmarkStart w:id="165" w:name="_Toc521317137"/>
      <w:bookmarkStart w:id="166" w:name="_Toc95912288"/>
      <w:r w:rsidRPr="00515872">
        <w:t>5.1 Crisi dell’ente</w:t>
      </w:r>
      <w:bookmarkEnd w:id="165"/>
      <w:bookmarkEnd w:id="166"/>
    </w:p>
    <w:p w14:paraId="7AA43EE4"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crisi economico-finanziaria che può affliggere un ente pubblico, sebbene si manifesti improvvisamente, è in genere il frutto di un processo di “</w:t>
      </w:r>
      <w:r w:rsidRPr="00515872">
        <w:rPr>
          <w:rFonts w:eastAsia="Times New Roman" w:cs="Tahoma"/>
          <w:i/>
          <w:szCs w:val="20"/>
          <w:lang w:eastAsia="it-IT"/>
        </w:rPr>
        <w:t xml:space="preserve">mala </w:t>
      </w:r>
      <w:proofErr w:type="spellStart"/>
      <w:r w:rsidRPr="00515872">
        <w:rPr>
          <w:rFonts w:eastAsia="Times New Roman" w:cs="Tahoma"/>
          <w:i/>
          <w:szCs w:val="20"/>
          <w:lang w:eastAsia="it-IT"/>
        </w:rPr>
        <w:t>gestio</w:t>
      </w:r>
      <w:proofErr w:type="spellEnd"/>
      <w:r w:rsidRPr="00515872">
        <w:rPr>
          <w:rFonts w:eastAsia="Times New Roman" w:cs="Tahoma"/>
          <w:szCs w:val="20"/>
          <w:lang w:eastAsia="it-IT"/>
        </w:rPr>
        <w:t>” che si protrae per diversi anni.</w:t>
      </w:r>
    </w:p>
    <w:p w14:paraId="0A0DB468"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Tra i sintomi che segnalano una crisi in divenire, rilevabili da un’analisi della situazione contabile, possono essere annoverati:</w:t>
      </w:r>
    </w:p>
    <w:p w14:paraId="4ACEABC2"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l’elevato ammontare dei residui attivi di vecchia data;</w:t>
      </w:r>
    </w:p>
    <w:p w14:paraId="75A0113B"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il ricorso strutturale all’anticipazione di tesoreria;</w:t>
      </w:r>
    </w:p>
    <w:p w14:paraId="18C209E2" w14:textId="77777777" w:rsidR="00276B9F" w:rsidRPr="00515872" w:rsidRDefault="005D22EE"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la lentezza dei tempi di pag</w:t>
      </w:r>
      <w:r w:rsidR="00276B9F" w:rsidRPr="00515872">
        <w:rPr>
          <w:rFonts w:eastAsia="Times New Roman" w:cs="Tahoma"/>
          <w:szCs w:val="20"/>
          <w:lang w:eastAsia="it-IT"/>
        </w:rPr>
        <w:t>amento.</w:t>
      </w:r>
    </w:p>
    <w:p w14:paraId="6701E9E8"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 revisori devono, quindi, prestare molta attenzione all’esame del rendiconto dell’ente, cercando di cogliere gli aspetti critici della gestione ed interpretandone correttamente le informazioni rilevabili.</w:t>
      </w:r>
    </w:p>
    <w:p w14:paraId="4F775C12"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Non vanno sottovalutate, a tal riguardo, situazioni foriere di compromissioni degli equilibri economico-finanziari, quali le passività potenziali (tipicamente</w:t>
      </w:r>
      <w:r w:rsidR="005D22EE" w:rsidRPr="00515872">
        <w:rPr>
          <w:rFonts w:eastAsia="Times New Roman" w:cs="Tahoma"/>
          <w:szCs w:val="20"/>
          <w:lang w:eastAsia="it-IT"/>
        </w:rPr>
        <w:t xml:space="preserve"> arrecate da</w:t>
      </w:r>
      <w:r w:rsidRPr="00515872">
        <w:rPr>
          <w:rFonts w:eastAsia="Times New Roman" w:cs="Tahoma"/>
          <w:szCs w:val="20"/>
          <w:lang w:eastAsia="it-IT"/>
        </w:rPr>
        <w:t>i contenziosi in essere), che rischiano di fare precipitare l’ente nel baratro della crisi.</w:t>
      </w:r>
    </w:p>
    <w:p w14:paraId="311402DF"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gestione delle situazioni di crisi è normata, all’interno del TUEL, secondo diverse fattispecie.</w:t>
      </w:r>
    </w:p>
    <w:p w14:paraId="67BEE0CD" w14:textId="77777777" w:rsidR="00276B9F" w:rsidRPr="00515872" w:rsidRDefault="00276B9F" w:rsidP="00276B9F">
      <w:pPr>
        <w:spacing w:line="360" w:lineRule="auto"/>
        <w:jc w:val="both"/>
        <w:rPr>
          <w:rFonts w:eastAsia="Times New Roman" w:cs="Tahoma"/>
          <w:szCs w:val="20"/>
          <w:highlight w:val="yellow"/>
          <w:lang w:eastAsia="it-IT"/>
        </w:rPr>
      </w:pPr>
    </w:p>
    <w:p w14:paraId="20C316BB" w14:textId="77777777" w:rsidR="00276B9F" w:rsidRPr="00515872" w:rsidRDefault="00AD2719" w:rsidP="00297A21">
      <w:pPr>
        <w:pStyle w:val="Paragrafo"/>
      </w:pPr>
      <w:bookmarkStart w:id="167" w:name="_Toc95912289"/>
      <w:r w:rsidRPr="00515872">
        <w:t>5.2</w:t>
      </w:r>
      <w:r w:rsidR="00276B9F" w:rsidRPr="00515872">
        <w:t xml:space="preserve"> </w:t>
      </w:r>
      <w:r w:rsidRPr="00515872">
        <w:t>Dissesto</w:t>
      </w:r>
      <w:bookmarkEnd w:id="167"/>
    </w:p>
    <w:p w14:paraId="774BB9E1" w14:textId="77777777" w:rsidR="00276B9F" w:rsidRPr="00515872" w:rsidRDefault="00276B9F" w:rsidP="00276B9F">
      <w:pPr>
        <w:spacing w:after="0" w:line="360" w:lineRule="auto"/>
        <w:jc w:val="both"/>
        <w:rPr>
          <w:rFonts w:eastAsia="Times New Roman" w:cs="Tahoma"/>
          <w:szCs w:val="20"/>
          <w:lang w:eastAsia="it-IT"/>
        </w:rPr>
      </w:pPr>
      <w:r w:rsidRPr="00515872">
        <w:rPr>
          <w:rFonts w:cs="Tahoma"/>
          <w:color w:val="000000"/>
          <w:szCs w:val="20"/>
        </w:rPr>
        <w:t xml:space="preserve">L’art. 244 del TUEL stabilisce che si verifica uno stato di </w:t>
      </w:r>
      <w:r w:rsidRPr="00515872">
        <w:rPr>
          <w:rFonts w:eastAsia="Times New Roman" w:cs="Tahoma"/>
          <w:szCs w:val="20"/>
          <w:lang w:eastAsia="it-IT"/>
        </w:rPr>
        <w:t>dissesto finanziario:</w:t>
      </w:r>
    </w:p>
    <w:p w14:paraId="2F26E48D"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per l'ente che non può garantire l'assolvimento delle funzioni e dei servizi indispensabili;</w:t>
      </w:r>
    </w:p>
    <w:p w14:paraId="021AB9C9"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quando esistono nei confronti dello stesso crediti liquidi ed esigibili di terzi cui non si possa fare validamente fronte con la procedura di riequilibrio prevista dall’art. 193, né con lo strumento del debito fuori bilancio.</w:t>
      </w:r>
    </w:p>
    <w:p w14:paraId="56560F36"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La norma disciplina, quindi, due presupposti alternativi dello stato di dissesto, ma che possono anche coesistere:</w:t>
      </w:r>
    </w:p>
    <w:p w14:paraId="3E92777E"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l’incapacità funzionale;</w:t>
      </w:r>
    </w:p>
    <w:p w14:paraId="13FEE455" w14:textId="77777777" w:rsidR="00276B9F" w:rsidRPr="00515872" w:rsidRDefault="00276B9F" w:rsidP="00276B9F">
      <w:pPr>
        <w:pStyle w:val="Paragrafoelenco"/>
        <w:numPr>
          <w:ilvl w:val="0"/>
          <w:numId w:val="133"/>
        </w:numPr>
        <w:spacing w:line="360" w:lineRule="auto"/>
        <w:jc w:val="both"/>
        <w:rPr>
          <w:rFonts w:eastAsia="Times New Roman" w:cs="Tahoma"/>
          <w:szCs w:val="20"/>
          <w:lang w:eastAsia="it-IT"/>
        </w:rPr>
      </w:pPr>
      <w:r w:rsidRPr="00515872">
        <w:rPr>
          <w:rFonts w:eastAsia="Times New Roman" w:cs="Tahoma"/>
          <w:szCs w:val="20"/>
          <w:lang w:eastAsia="it-IT"/>
        </w:rPr>
        <w:t>l’insolvenza.</w:t>
      </w:r>
    </w:p>
    <w:p w14:paraId="348A5643"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Affinché ricorrano gli estremi per il dissesto, occorre che i suddetti presupposti abbiano carattere strutturale. Come affermato dalla Corte dei Conti (Del. n.2/AUT/2012/QMIG): </w:t>
      </w:r>
      <w:r w:rsidRPr="00515872">
        <w:rPr>
          <w:rFonts w:eastAsia="Times New Roman" w:cs="Tahoma"/>
          <w:i/>
          <w:szCs w:val="20"/>
          <w:lang w:eastAsia="it-IT"/>
        </w:rPr>
        <w:t>“</w:t>
      </w:r>
      <w:r w:rsidRPr="00515872">
        <w:rPr>
          <w:rFonts w:cs="Tahoma"/>
          <w:i/>
          <w:color w:val="000000"/>
          <w:szCs w:val="20"/>
        </w:rPr>
        <w:t xml:space="preserve">Il giudizio prognostico sulla possibilità di dissesto deve essere, quindi, basato sullo squilibrio strutturale riferito alla situazione di cassa, tenendo anche conto delle situazioni sintomatiche rappresentate dagli indicatori di </w:t>
      </w:r>
      <w:proofErr w:type="spellStart"/>
      <w:r w:rsidRPr="00515872">
        <w:rPr>
          <w:rFonts w:cs="Tahoma"/>
          <w:i/>
          <w:color w:val="000000"/>
          <w:szCs w:val="20"/>
        </w:rPr>
        <w:t>deficitarietà</w:t>
      </w:r>
      <w:proofErr w:type="spellEnd"/>
      <w:r w:rsidRPr="00515872">
        <w:rPr>
          <w:rFonts w:cs="Tahoma"/>
          <w:i/>
          <w:color w:val="000000"/>
          <w:szCs w:val="20"/>
        </w:rPr>
        <w:t xml:space="preserve"> individuati con D.M. 24 settembre 2009, ai sensi dell’art. 242, c. 2, </w:t>
      </w:r>
      <w:proofErr w:type="spellStart"/>
      <w:r w:rsidRPr="00515872">
        <w:rPr>
          <w:rFonts w:cs="Tahoma"/>
          <w:i/>
          <w:color w:val="000000"/>
          <w:szCs w:val="20"/>
        </w:rPr>
        <w:t>D.Lgs.</w:t>
      </w:r>
      <w:proofErr w:type="spellEnd"/>
      <w:r w:rsidRPr="00515872">
        <w:rPr>
          <w:rFonts w:cs="Tahoma"/>
          <w:i/>
          <w:color w:val="000000"/>
          <w:szCs w:val="20"/>
        </w:rPr>
        <w:t xml:space="preserve"> n. 267/2000. In caso di accertata illiquidità, occorre sottoporre a verifica, in contraddittorio con l’ente, il piano di rientro dal debito: ciò in quanto la situazione di carenza di liquidità si consolida e diventa strutturale nella prospettiva triennale (art. 193, c. 3, </w:t>
      </w:r>
      <w:proofErr w:type="spellStart"/>
      <w:r w:rsidRPr="00515872">
        <w:rPr>
          <w:rFonts w:cs="Tahoma"/>
          <w:i/>
          <w:color w:val="000000"/>
          <w:szCs w:val="20"/>
        </w:rPr>
        <w:t>D.Lgs.</w:t>
      </w:r>
      <w:proofErr w:type="spellEnd"/>
      <w:r w:rsidRPr="00515872">
        <w:rPr>
          <w:rFonts w:cs="Tahoma"/>
          <w:i/>
          <w:color w:val="000000"/>
          <w:szCs w:val="20"/>
        </w:rPr>
        <w:t xml:space="preserve"> n. 267/2000), tramutando in insolvenza”.</w:t>
      </w:r>
    </w:p>
    <w:p w14:paraId="3A1C29D2"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Sebbene il dissesto di un ente locale abbia cause analoghe a quelle che comportano il fallimento di un’impresa di diritto privato, gli effetti che ne derivano sono decisamente diversi, non essendo contemplata, dalla normativa, l’ipotesi di estinzione dell’ente.</w:t>
      </w:r>
    </w:p>
    <w:p w14:paraId="657D4331" w14:textId="77777777" w:rsidR="005D1ED0" w:rsidRPr="00515872" w:rsidRDefault="005D1ED0" w:rsidP="005D1ED0">
      <w:pPr>
        <w:pStyle w:val="Sottoparagrafo"/>
        <w:rPr>
          <w:rFonts w:cs="Tahoma"/>
          <w:lang w:eastAsia="it-IT"/>
        </w:rPr>
      </w:pPr>
    </w:p>
    <w:p w14:paraId="118789D8" w14:textId="77777777" w:rsidR="005D1ED0" w:rsidRPr="00515872" w:rsidRDefault="005D1ED0" w:rsidP="005D1ED0">
      <w:pPr>
        <w:pStyle w:val="Sottoparagrafo"/>
        <w:rPr>
          <w:rFonts w:cs="Tahoma"/>
          <w:lang w:eastAsia="it-IT"/>
        </w:rPr>
      </w:pPr>
      <w:bookmarkStart w:id="168" w:name="_Toc95912290"/>
      <w:r w:rsidRPr="00515872">
        <w:rPr>
          <w:rFonts w:cs="Tahoma"/>
          <w:lang w:eastAsia="it-IT"/>
        </w:rPr>
        <w:t>5.2.1 Delibera del dissesto</w:t>
      </w:r>
      <w:bookmarkEnd w:id="168"/>
    </w:p>
    <w:p w14:paraId="17BFCB2F"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Le cause del dissesto sono, innanzitutto, accertate dal consiglio dell’ente il quale deve dichiararlo tramite propria deliberazione. Alla deliberazione di dissesto deve essere allegata una </w:t>
      </w:r>
      <w:r w:rsidRPr="00515872">
        <w:rPr>
          <w:rFonts w:eastAsia="Times New Roman" w:cs="Tahoma"/>
          <w:b/>
          <w:szCs w:val="20"/>
          <w:lang w:eastAsia="it-IT"/>
        </w:rPr>
        <w:t xml:space="preserve">relazione dell’organo di revisione, </w:t>
      </w:r>
      <w:r w:rsidRPr="00515872">
        <w:rPr>
          <w:rFonts w:eastAsia="Times New Roman" w:cs="Tahoma"/>
          <w:szCs w:val="20"/>
          <w:lang w:eastAsia="it-IT"/>
        </w:rPr>
        <w:t>nella quale lo stesso</w:t>
      </w:r>
      <w:r w:rsidRPr="00515872">
        <w:rPr>
          <w:rFonts w:eastAsia="Times New Roman" w:cs="Tahoma"/>
          <w:b/>
          <w:szCs w:val="20"/>
          <w:lang w:eastAsia="it-IT"/>
        </w:rPr>
        <w:t xml:space="preserve"> analizza le cause che hanno determinato il dissesto finanziario.</w:t>
      </w:r>
    </w:p>
    <w:p w14:paraId="33E287E4" w14:textId="77777777" w:rsidR="00276B9F" w:rsidRPr="00515872" w:rsidRDefault="00276B9F" w:rsidP="00276B9F">
      <w:pPr>
        <w:spacing w:line="360" w:lineRule="auto"/>
        <w:jc w:val="both"/>
        <w:rPr>
          <w:rFonts w:eastAsia="Times New Roman" w:cs="Tahoma"/>
          <w:b/>
          <w:szCs w:val="20"/>
          <w:lang w:eastAsia="it-IT"/>
        </w:rPr>
      </w:pPr>
      <w:r w:rsidRPr="00515872">
        <w:rPr>
          <w:rFonts w:eastAsia="Times New Roman" w:cs="Tahoma"/>
          <w:szCs w:val="20"/>
          <w:lang w:eastAsia="it-IT"/>
        </w:rPr>
        <w:t>La deliberazione, unitamente alla relazione dell’organo di revisione, è trasmessa, entro 5 giorni dalla sua esecutività</w:t>
      </w:r>
      <w:r w:rsidRPr="00515872">
        <w:rPr>
          <w:rStyle w:val="Rimandonotaapidipagina"/>
          <w:rFonts w:eastAsia="Times New Roman" w:cs="Tahoma"/>
          <w:szCs w:val="20"/>
          <w:lang w:eastAsia="it-IT"/>
        </w:rPr>
        <w:footnoteReference w:id="79"/>
      </w:r>
      <w:r w:rsidR="009E3DCE" w:rsidRPr="00515872">
        <w:rPr>
          <w:rFonts w:eastAsia="Times New Roman" w:cs="Tahoma"/>
          <w:szCs w:val="20"/>
          <w:lang w:eastAsia="it-IT"/>
        </w:rPr>
        <w:t>, al Ministero dell'Interno e</w:t>
      </w:r>
      <w:r w:rsidRPr="00515872">
        <w:rPr>
          <w:rFonts w:eastAsia="Times New Roman" w:cs="Tahoma"/>
          <w:szCs w:val="20"/>
          <w:lang w:eastAsia="it-IT"/>
        </w:rPr>
        <w:t xml:space="preserve"> alla Procura Regionale presso la Corte dei Conti competente per territorio e pubblicata per estratto nella Gazzetta Ufficiale della Repubblica Italiana a cura del Ministero dell'Interno unitamente al decreto del Presidente della Repubblica di </w:t>
      </w:r>
      <w:r w:rsidRPr="00515872">
        <w:rPr>
          <w:rFonts w:eastAsia="Times New Roman" w:cs="Tahoma"/>
          <w:b/>
          <w:szCs w:val="20"/>
          <w:lang w:eastAsia="it-IT"/>
        </w:rPr>
        <w:t>nomina dell'organo straordinario di liquidazione.</w:t>
      </w:r>
    </w:p>
    <w:p w14:paraId="14840A0D" w14:textId="77777777" w:rsidR="00276B9F" w:rsidRPr="00515872" w:rsidRDefault="00276B9F" w:rsidP="00276B9F">
      <w:pPr>
        <w:spacing w:line="360" w:lineRule="auto"/>
        <w:jc w:val="both"/>
        <w:rPr>
          <w:rFonts w:cs="Tahoma"/>
          <w:color w:val="000000"/>
          <w:shd w:val="clear" w:color="auto" w:fill="F9F8F4"/>
        </w:rPr>
      </w:pPr>
      <w:r w:rsidRPr="00515872">
        <w:rPr>
          <w:rFonts w:cs="Tahoma"/>
          <w:color w:val="000000"/>
        </w:rPr>
        <w:t xml:space="preserve">L’accertamento dello stato di dissesto ha effetto sul bilancio dell’ente. In particolare, se, per l'esercizio nel corso del quale si rende necessaria la dichiarazione di dissesto, è stato validamente deliberato il bilancio di previsione, tale atto continua ad esplicare la </w:t>
      </w:r>
      <w:r w:rsidR="009E3DCE" w:rsidRPr="00515872">
        <w:rPr>
          <w:rFonts w:cs="Tahoma"/>
          <w:color w:val="000000"/>
        </w:rPr>
        <w:t>propria</w:t>
      </w:r>
      <w:r w:rsidRPr="00515872">
        <w:rPr>
          <w:rFonts w:cs="Tahoma"/>
          <w:color w:val="000000"/>
        </w:rPr>
        <w:t xml:space="preserve"> efficacia per l'intero esercizio finanziario. Se è stato già approvato il bilancio di previsione per il triennio successivo, il consiglio provvede alla revoca dello stesso.</w:t>
      </w:r>
    </w:p>
    <w:p w14:paraId="28824E7E"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Il dissesto dell’ente comporta conseguenze per diversi aspetti:</w:t>
      </w:r>
    </w:p>
    <w:p w14:paraId="2A0A1356" w14:textId="77777777" w:rsidR="00276B9F" w:rsidRPr="00515872" w:rsidRDefault="00276B9F" w:rsidP="00276B9F">
      <w:pPr>
        <w:pStyle w:val="Paragrafoelenco"/>
        <w:numPr>
          <w:ilvl w:val="0"/>
          <w:numId w:val="128"/>
        </w:numPr>
        <w:spacing w:line="360" w:lineRule="auto"/>
        <w:jc w:val="both"/>
        <w:rPr>
          <w:rFonts w:eastAsia="Times New Roman" w:cs="Tahoma"/>
          <w:szCs w:val="20"/>
          <w:lang w:eastAsia="it-IT"/>
        </w:rPr>
      </w:pPr>
      <w:r w:rsidRPr="00515872">
        <w:rPr>
          <w:rFonts w:eastAsia="Times New Roman" w:cs="Tahoma"/>
          <w:b/>
          <w:szCs w:val="20"/>
          <w:lang w:eastAsia="it-IT"/>
        </w:rPr>
        <w:t>conseguenze finanziarie</w:t>
      </w:r>
      <w:r w:rsidRPr="00515872">
        <w:rPr>
          <w:rFonts w:eastAsia="Times New Roman" w:cs="Tahoma"/>
          <w:szCs w:val="20"/>
          <w:lang w:eastAsia="it-IT"/>
        </w:rPr>
        <w:t>: sono previste limitazioni all’esperimento di azioni esecutive nei confronti dell’ente, infruttuosità dei debiti insoluti dell’ente e delle anticipazioni di cassa erogate, limitazion</w:t>
      </w:r>
      <w:r w:rsidR="009E3DCE" w:rsidRPr="00515872">
        <w:rPr>
          <w:rFonts w:eastAsia="Times New Roman" w:cs="Tahoma"/>
          <w:szCs w:val="20"/>
          <w:lang w:eastAsia="it-IT"/>
        </w:rPr>
        <w:t>i</w:t>
      </w:r>
      <w:r w:rsidRPr="00515872">
        <w:rPr>
          <w:rFonts w:eastAsia="Times New Roman" w:cs="Tahoma"/>
          <w:szCs w:val="20"/>
          <w:lang w:eastAsia="it-IT"/>
        </w:rPr>
        <w:t xml:space="preserve"> nella contrazione di mutui, limitazioni sull’impegno di spese, innalzamento delle aliquote fiscali al massimo consentito per legge;</w:t>
      </w:r>
    </w:p>
    <w:p w14:paraId="5F94A2BB" w14:textId="77777777" w:rsidR="00276B9F" w:rsidRPr="00515872" w:rsidRDefault="00276B9F" w:rsidP="00276B9F">
      <w:pPr>
        <w:pStyle w:val="Paragrafoelenco"/>
        <w:numPr>
          <w:ilvl w:val="0"/>
          <w:numId w:val="128"/>
        </w:numPr>
        <w:spacing w:line="360" w:lineRule="auto"/>
        <w:jc w:val="both"/>
        <w:rPr>
          <w:rFonts w:eastAsia="Times New Roman" w:cs="Tahoma"/>
          <w:szCs w:val="20"/>
          <w:lang w:eastAsia="it-IT"/>
        </w:rPr>
      </w:pPr>
      <w:r w:rsidRPr="00515872">
        <w:rPr>
          <w:rFonts w:eastAsia="Times New Roman" w:cs="Tahoma"/>
          <w:b/>
          <w:szCs w:val="20"/>
          <w:lang w:eastAsia="it-IT"/>
        </w:rPr>
        <w:lastRenderedPageBreak/>
        <w:t>conseguenze politiche</w:t>
      </w:r>
      <w:r w:rsidRPr="00515872">
        <w:rPr>
          <w:rFonts w:eastAsia="Times New Roman" w:cs="Tahoma"/>
          <w:szCs w:val="20"/>
          <w:lang w:eastAsia="it-IT"/>
        </w:rPr>
        <w:t>: divieto di assunzione di incarichi politici e di revisione in enti pubblici per gli amministratori ritenuti responsabili, dalla Corte dei Conti, dei danni cagionati con dolo o colpa grave;</w:t>
      </w:r>
    </w:p>
    <w:p w14:paraId="6433CDA0" w14:textId="77777777" w:rsidR="00276B9F" w:rsidRPr="00515872" w:rsidRDefault="00276B9F" w:rsidP="00276B9F">
      <w:pPr>
        <w:pStyle w:val="Paragrafoelenco"/>
        <w:numPr>
          <w:ilvl w:val="0"/>
          <w:numId w:val="128"/>
        </w:numPr>
        <w:spacing w:line="360" w:lineRule="auto"/>
        <w:jc w:val="both"/>
        <w:rPr>
          <w:rFonts w:eastAsia="Times New Roman" w:cs="Tahoma"/>
          <w:szCs w:val="20"/>
          <w:lang w:eastAsia="it-IT"/>
        </w:rPr>
      </w:pPr>
      <w:r w:rsidRPr="00515872">
        <w:rPr>
          <w:rFonts w:eastAsia="Times New Roman" w:cs="Tahoma"/>
          <w:b/>
          <w:szCs w:val="20"/>
          <w:lang w:eastAsia="it-IT"/>
        </w:rPr>
        <w:t>conseguenze amministrative</w:t>
      </w:r>
      <w:r w:rsidRPr="00515872">
        <w:rPr>
          <w:rFonts w:eastAsia="Times New Roman" w:cs="Tahoma"/>
          <w:szCs w:val="20"/>
          <w:lang w:eastAsia="it-IT"/>
        </w:rPr>
        <w:t>: sospensione dei termini per la deliberazione del bilancio.</w:t>
      </w:r>
    </w:p>
    <w:p w14:paraId="32647055"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 xml:space="preserve">La dichiarazione di dissesto può, inoltre, comportare </w:t>
      </w:r>
      <w:r w:rsidRPr="00515872">
        <w:rPr>
          <w:rFonts w:eastAsia="Times New Roman" w:cs="Tahoma"/>
          <w:b/>
          <w:szCs w:val="20"/>
          <w:lang w:eastAsia="it-IT"/>
        </w:rPr>
        <w:t>conseguenze pesanti per i revisori</w:t>
      </w:r>
      <w:r w:rsidRPr="00515872">
        <w:rPr>
          <w:rFonts w:eastAsia="Times New Roman" w:cs="Tahoma"/>
          <w:szCs w:val="20"/>
          <w:lang w:eastAsia="it-IT"/>
        </w:rPr>
        <w:t xml:space="preserve">. Il c. 5-bis dell’art. 248 del TUEL, infatti, non trascura di comminare sanzioni a carico dell’organo di revisione, qualora, a seguito della dichiarazione di dissesto, la Corte dei Conti accerti </w:t>
      </w:r>
      <w:r w:rsidRPr="00515872">
        <w:rPr>
          <w:rFonts w:eastAsia="Times New Roman" w:cs="Tahoma"/>
          <w:b/>
          <w:szCs w:val="20"/>
          <w:lang w:eastAsia="it-IT"/>
        </w:rPr>
        <w:t>gravi responsabilità nello svolgimento dell'attività del collegio dei revisori</w:t>
      </w:r>
      <w:r w:rsidRPr="00515872">
        <w:rPr>
          <w:rFonts w:eastAsia="Times New Roman" w:cs="Tahoma"/>
          <w:szCs w:val="20"/>
          <w:lang w:eastAsia="it-IT"/>
        </w:rPr>
        <w:t xml:space="preserve">, o la ritardata o mancata comunicazione delle informazioni richieste dalle normative vigenti. Qualora i revisori siano riconosciuti responsabili in sede di giudizio dalla predetta Corte, </w:t>
      </w:r>
      <w:r w:rsidRPr="00515872">
        <w:rPr>
          <w:rFonts w:eastAsia="Times New Roman" w:cs="Tahoma"/>
          <w:b/>
          <w:szCs w:val="20"/>
          <w:lang w:eastAsia="it-IT"/>
        </w:rPr>
        <w:t>non potranno essere nominati nel collegio dei revisori degli enti locali e degli enti ed organismi agli stessi riconducibili fino a 10 anni</w:t>
      </w:r>
      <w:r w:rsidRPr="00515872">
        <w:rPr>
          <w:rFonts w:eastAsia="Times New Roman" w:cs="Tahoma"/>
          <w:szCs w:val="20"/>
          <w:lang w:eastAsia="it-IT"/>
        </w:rPr>
        <w:t>, in funzione della gravità accertata. La Corte dei Conti, inoltre, trasmette l'esito dell'accertamento:</w:t>
      </w:r>
    </w:p>
    <w:p w14:paraId="5236345C" w14:textId="77777777" w:rsidR="00276B9F" w:rsidRPr="00515872" w:rsidRDefault="00276B9F" w:rsidP="00276B9F">
      <w:pPr>
        <w:pStyle w:val="Paragrafoelenco"/>
        <w:numPr>
          <w:ilvl w:val="0"/>
          <w:numId w:val="129"/>
        </w:numPr>
        <w:spacing w:line="360" w:lineRule="auto"/>
        <w:jc w:val="both"/>
        <w:rPr>
          <w:rFonts w:eastAsia="Times New Roman" w:cs="Tahoma"/>
          <w:szCs w:val="20"/>
          <w:lang w:eastAsia="it-IT"/>
        </w:rPr>
      </w:pPr>
      <w:r w:rsidRPr="00515872">
        <w:rPr>
          <w:rFonts w:eastAsia="Times New Roman" w:cs="Tahoma"/>
          <w:szCs w:val="20"/>
          <w:lang w:eastAsia="it-IT"/>
        </w:rPr>
        <w:t>all'ordine professionale di appartenenza dei revisori per valutazioni inerenti all'eventuale avvio di procedimenti disciplinari;</w:t>
      </w:r>
    </w:p>
    <w:p w14:paraId="04839234" w14:textId="77777777" w:rsidR="00276B9F" w:rsidRPr="00515872" w:rsidRDefault="00276B9F" w:rsidP="00276B9F">
      <w:pPr>
        <w:pStyle w:val="Paragrafoelenco"/>
        <w:numPr>
          <w:ilvl w:val="0"/>
          <w:numId w:val="129"/>
        </w:numPr>
        <w:spacing w:line="360" w:lineRule="auto"/>
        <w:jc w:val="both"/>
        <w:rPr>
          <w:rFonts w:eastAsia="Times New Roman" w:cs="Tahoma"/>
          <w:szCs w:val="20"/>
          <w:lang w:eastAsia="it-IT"/>
        </w:rPr>
      </w:pPr>
      <w:r w:rsidRPr="00515872">
        <w:rPr>
          <w:rFonts w:eastAsia="Times New Roman" w:cs="Tahoma"/>
          <w:szCs w:val="20"/>
          <w:lang w:eastAsia="it-IT"/>
        </w:rPr>
        <w:t xml:space="preserve">al Ministero dell'Interno per la conseguente </w:t>
      </w:r>
      <w:r w:rsidRPr="00515872">
        <w:rPr>
          <w:rFonts w:eastAsia="Times New Roman" w:cs="Tahoma"/>
          <w:b/>
          <w:szCs w:val="20"/>
          <w:lang w:eastAsia="it-IT"/>
        </w:rPr>
        <w:t>sospensione dall'elenco dei revisori degli enti locali</w:t>
      </w:r>
      <w:r w:rsidRPr="00515872">
        <w:rPr>
          <w:rFonts w:eastAsia="Times New Roman" w:cs="Tahoma"/>
          <w:szCs w:val="20"/>
          <w:lang w:eastAsia="it-IT"/>
        </w:rPr>
        <w:t>.</w:t>
      </w:r>
    </w:p>
    <w:p w14:paraId="468C9421"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Ai medesimi soggetti, inoltre, è inflitta una </w:t>
      </w:r>
      <w:r w:rsidRPr="00515872">
        <w:rPr>
          <w:rFonts w:eastAsia="Times New Roman" w:cs="Tahoma"/>
          <w:b/>
          <w:szCs w:val="20"/>
          <w:lang w:eastAsia="it-IT"/>
        </w:rPr>
        <w:t>sanzione pecuniaria pari ad un minimo di 5 e fino ad un massimo di 20 volte la retribuzione mensile lorda</w:t>
      </w:r>
      <w:r w:rsidRPr="00515872">
        <w:rPr>
          <w:rFonts w:eastAsia="Times New Roman" w:cs="Tahoma"/>
          <w:szCs w:val="20"/>
          <w:lang w:eastAsia="it-IT"/>
        </w:rPr>
        <w:t xml:space="preserve"> dovuta al momento di commissione della violazione.</w:t>
      </w:r>
    </w:p>
    <w:p w14:paraId="1A1B9B85" w14:textId="77777777" w:rsidR="00276B9F" w:rsidRPr="00515872" w:rsidRDefault="00276B9F" w:rsidP="00276B9F">
      <w:pPr>
        <w:spacing w:line="360" w:lineRule="auto"/>
        <w:jc w:val="both"/>
        <w:rPr>
          <w:rFonts w:cs="Tahoma"/>
          <w:color w:val="000000"/>
          <w:shd w:val="clear" w:color="auto" w:fill="F9F8F4"/>
        </w:rPr>
      </w:pPr>
      <w:r w:rsidRPr="00515872">
        <w:rPr>
          <w:rFonts w:cs="Tahoma"/>
          <w:color w:val="000000"/>
        </w:rPr>
        <w:t>Dalla data di deliberazione del dissesto e sino alla data di approvazione dell'ipotesi di bilancio riequilibrato l'ente locale non può impegnare, per ciascun intervento, somme complessivamente superiori a quelle definitivamente previste nell'ultimo bilancio approvato con riferimento all'esercizio in corso, e comunque nei limiti delle entrate accertate. I relativi pagamenti in conto competenza non possono mensilmente superare 1/12 delle rispettive somme impegnabili, con esclusione delle spese non suscettibili di pagamento frazionato in dodicesimi.</w:t>
      </w:r>
    </w:p>
    <w:p w14:paraId="3029F584" w14:textId="77777777" w:rsidR="00276B9F" w:rsidRPr="00515872" w:rsidRDefault="00276B9F" w:rsidP="00276B9F">
      <w:pPr>
        <w:spacing w:after="0" w:line="360" w:lineRule="auto"/>
        <w:jc w:val="both"/>
        <w:rPr>
          <w:rFonts w:cs="Tahoma"/>
          <w:color w:val="000000"/>
          <w:shd w:val="clear" w:color="auto" w:fill="F9F8F4"/>
        </w:rPr>
      </w:pPr>
      <w:r w:rsidRPr="00515872">
        <w:rPr>
          <w:rFonts w:cs="Tahoma"/>
          <w:color w:val="000000"/>
        </w:rPr>
        <w:t>Per le spese disposte dalla legge e per quelle relative ai servizi locali indispensabili, nei casi in cui nell'ultimo bilancio approvato manchino del tutto gli stanziamenti ovvero gli stessi siano previsti per importi insufficienti, il consiglio o la giunta con i poteri del primo devono, salvo ratifica:</w:t>
      </w:r>
    </w:p>
    <w:p w14:paraId="54BC8545" w14:textId="77777777" w:rsidR="00276B9F" w:rsidRPr="00515872" w:rsidRDefault="00276B9F" w:rsidP="00276B9F">
      <w:pPr>
        <w:pStyle w:val="Paragrafoelenco"/>
        <w:numPr>
          <w:ilvl w:val="0"/>
          <w:numId w:val="194"/>
        </w:numPr>
        <w:spacing w:line="360" w:lineRule="auto"/>
        <w:ind w:left="426"/>
        <w:jc w:val="both"/>
        <w:rPr>
          <w:rFonts w:eastAsia="Times New Roman" w:cs="Tahoma"/>
          <w:szCs w:val="20"/>
          <w:lang w:eastAsia="it-IT"/>
        </w:rPr>
      </w:pPr>
      <w:r w:rsidRPr="00515872">
        <w:rPr>
          <w:rFonts w:cs="Tahoma"/>
          <w:color w:val="000000"/>
        </w:rPr>
        <w:t>individuare le spese da finanziare, con gli interventi relativi;</w:t>
      </w:r>
    </w:p>
    <w:p w14:paraId="5F518A5F" w14:textId="77777777" w:rsidR="00276B9F" w:rsidRPr="00515872" w:rsidRDefault="00276B9F" w:rsidP="00276B9F">
      <w:pPr>
        <w:pStyle w:val="Paragrafoelenco"/>
        <w:numPr>
          <w:ilvl w:val="0"/>
          <w:numId w:val="194"/>
        </w:numPr>
        <w:spacing w:line="360" w:lineRule="auto"/>
        <w:ind w:left="426"/>
        <w:jc w:val="both"/>
        <w:rPr>
          <w:rFonts w:eastAsia="Times New Roman" w:cs="Tahoma"/>
          <w:szCs w:val="20"/>
          <w:lang w:eastAsia="it-IT"/>
        </w:rPr>
      </w:pPr>
      <w:r w:rsidRPr="00515872">
        <w:rPr>
          <w:rFonts w:cs="Tahoma"/>
          <w:color w:val="000000"/>
        </w:rPr>
        <w:t>motivare le ragioni per le quali mancano o sono insufficienti gli stanziamenti nell'ultimo bilancio approvato;</w:t>
      </w:r>
    </w:p>
    <w:p w14:paraId="56364457" w14:textId="77777777" w:rsidR="00276B9F" w:rsidRPr="00515872" w:rsidRDefault="00276B9F" w:rsidP="00276B9F">
      <w:pPr>
        <w:pStyle w:val="Paragrafoelenco"/>
        <w:numPr>
          <w:ilvl w:val="0"/>
          <w:numId w:val="194"/>
        </w:numPr>
        <w:spacing w:line="360" w:lineRule="auto"/>
        <w:ind w:left="426"/>
        <w:jc w:val="both"/>
        <w:rPr>
          <w:rFonts w:eastAsia="Times New Roman" w:cs="Tahoma"/>
          <w:szCs w:val="20"/>
          <w:lang w:eastAsia="it-IT"/>
        </w:rPr>
      </w:pPr>
      <w:r w:rsidRPr="00515872">
        <w:rPr>
          <w:rFonts w:cs="Tahoma"/>
          <w:color w:val="000000"/>
        </w:rPr>
        <w:t>determinare le fonti di finanziamento.</w:t>
      </w:r>
    </w:p>
    <w:p w14:paraId="7AE891AC" w14:textId="77777777" w:rsidR="00276B9F" w:rsidRPr="00515872" w:rsidRDefault="00276B9F" w:rsidP="00276B9F">
      <w:pPr>
        <w:spacing w:line="360" w:lineRule="auto"/>
        <w:jc w:val="both"/>
        <w:rPr>
          <w:rFonts w:eastAsia="Times New Roman" w:cs="Tahoma"/>
          <w:szCs w:val="20"/>
          <w:lang w:eastAsia="it-IT"/>
        </w:rPr>
      </w:pPr>
      <w:r w:rsidRPr="00515872">
        <w:rPr>
          <w:rFonts w:cs="Tahoma"/>
          <w:color w:val="000000"/>
        </w:rPr>
        <w:t>Sulla base di tali deliberazioni possono essere assunti gli impegni corrispondenti.</w:t>
      </w:r>
    </w:p>
    <w:p w14:paraId="47296C0B" w14:textId="77777777" w:rsidR="005D1ED0" w:rsidRPr="00515872" w:rsidRDefault="005D1ED0" w:rsidP="00276B9F">
      <w:pPr>
        <w:spacing w:after="0" w:line="360" w:lineRule="auto"/>
        <w:jc w:val="both"/>
        <w:rPr>
          <w:rFonts w:eastAsia="Times New Roman" w:cs="Tahoma"/>
          <w:b/>
          <w:szCs w:val="20"/>
          <w:lang w:eastAsia="it-IT"/>
        </w:rPr>
      </w:pPr>
    </w:p>
    <w:p w14:paraId="1B22C5E1" w14:textId="77777777" w:rsidR="007708DB" w:rsidRPr="00515872" w:rsidRDefault="007708DB" w:rsidP="00276B9F">
      <w:pPr>
        <w:spacing w:after="0" w:line="360" w:lineRule="auto"/>
        <w:jc w:val="both"/>
        <w:rPr>
          <w:rFonts w:eastAsia="Times New Roman" w:cs="Tahoma"/>
          <w:b/>
          <w:szCs w:val="20"/>
          <w:lang w:eastAsia="it-IT"/>
        </w:rPr>
      </w:pPr>
    </w:p>
    <w:p w14:paraId="200E0116" w14:textId="77777777" w:rsidR="007708DB" w:rsidRPr="00515872" w:rsidRDefault="007708DB" w:rsidP="00276B9F">
      <w:pPr>
        <w:spacing w:after="0" w:line="360" w:lineRule="auto"/>
        <w:jc w:val="both"/>
        <w:rPr>
          <w:rFonts w:eastAsia="Times New Roman" w:cs="Tahoma"/>
          <w:b/>
          <w:szCs w:val="20"/>
          <w:lang w:eastAsia="it-IT"/>
        </w:rPr>
      </w:pPr>
    </w:p>
    <w:p w14:paraId="544C733F" w14:textId="77777777" w:rsidR="007708DB" w:rsidRPr="00515872" w:rsidRDefault="007708DB" w:rsidP="00276B9F">
      <w:pPr>
        <w:spacing w:after="0" w:line="360" w:lineRule="auto"/>
        <w:jc w:val="both"/>
        <w:rPr>
          <w:rFonts w:eastAsia="Times New Roman" w:cs="Tahoma"/>
          <w:b/>
          <w:szCs w:val="20"/>
          <w:lang w:eastAsia="it-IT"/>
        </w:rPr>
      </w:pPr>
    </w:p>
    <w:p w14:paraId="13EE11F4" w14:textId="77777777" w:rsidR="005D1ED0" w:rsidRPr="00515872" w:rsidRDefault="005D1ED0" w:rsidP="005D1ED0">
      <w:pPr>
        <w:pStyle w:val="Sottoparagrafo"/>
        <w:rPr>
          <w:rFonts w:cs="Tahoma"/>
          <w:lang w:eastAsia="it-IT"/>
        </w:rPr>
      </w:pPr>
      <w:bookmarkStart w:id="169" w:name="_Toc95912291"/>
      <w:r w:rsidRPr="00515872">
        <w:rPr>
          <w:rFonts w:cs="Tahoma"/>
          <w:lang w:eastAsia="it-IT"/>
        </w:rPr>
        <w:lastRenderedPageBreak/>
        <w:t>5.2.2 Procedura di risanamento</w:t>
      </w:r>
      <w:bookmarkEnd w:id="169"/>
    </w:p>
    <w:p w14:paraId="2F337DDB"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L’impossibilità dell’estinzione dell’ente locale dissestato implica la necessità del suo risanamento. Questo è affidato, a norma dell’art. 252 del TUEL, ad un </w:t>
      </w:r>
      <w:r w:rsidRPr="00515872">
        <w:rPr>
          <w:rFonts w:eastAsia="Times New Roman" w:cs="Tahoma"/>
          <w:b/>
          <w:szCs w:val="20"/>
          <w:lang w:eastAsia="it-IT"/>
        </w:rPr>
        <w:t>organo straordinario di liquidazione</w:t>
      </w:r>
      <w:r w:rsidRPr="00515872">
        <w:rPr>
          <w:rFonts w:eastAsia="Times New Roman" w:cs="Tahoma"/>
          <w:szCs w:val="20"/>
          <w:lang w:eastAsia="it-IT"/>
        </w:rPr>
        <w:t xml:space="preserve"> ed agli organi istituzionali dell’ente.</w:t>
      </w:r>
    </w:p>
    <w:p w14:paraId="65700795"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L’organo straordinario di liquidazione è composto</w:t>
      </w:r>
      <w:r w:rsidR="004D1BB0" w:rsidRPr="00515872">
        <w:rPr>
          <w:rFonts w:eastAsia="Times New Roman" w:cs="Tahoma"/>
          <w:szCs w:val="20"/>
          <w:lang w:eastAsia="it-IT"/>
        </w:rPr>
        <w:t>:</w:t>
      </w:r>
    </w:p>
    <w:p w14:paraId="15DFD4D8" w14:textId="77777777" w:rsidR="00276B9F" w:rsidRPr="00515872" w:rsidRDefault="00276B9F" w:rsidP="00276B9F">
      <w:pPr>
        <w:pStyle w:val="Paragrafoelenco"/>
        <w:numPr>
          <w:ilvl w:val="0"/>
          <w:numId w:val="228"/>
        </w:numPr>
        <w:spacing w:line="360" w:lineRule="auto"/>
        <w:ind w:left="284" w:hanging="284"/>
        <w:jc w:val="both"/>
        <w:rPr>
          <w:rFonts w:eastAsia="Times New Roman" w:cs="Tahoma"/>
          <w:szCs w:val="20"/>
          <w:lang w:eastAsia="it-IT"/>
        </w:rPr>
      </w:pPr>
      <w:r w:rsidRPr="00515872">
        <w:rPr>
          <w:rFonts w:eastAsia="Times New Roman" w:cs="Tahoma"/>
          <w:szCs w:val="20"/>
          <w:lang w:eastAsia="it-IT"/>
        </w:rPr>
        <w:t>da un commissario nei comuni con popolazione fino a 5.000 abitanti;</w:t>
      </w:r>
    </w:p>
    <w:p w14:paraId="46F523A8" w14:textId="77777777" w:rsidR="00276B9F" w:rsidRPr="00515872" w:rsidRDefault="00276B9F" w:rsidP="00276B9F">
      <w:pPr>
        <w:pStyle w:val="Paragrafoelenco"/>
        <w:numPr>
          <w:ilvl w:val="0"/>
          <w:numId w:val="228"/>
        </w:numPr>
        <w:spacing w:line="360" w:lineRule="auto"/>
        <w:ind w:left="284" w:hanging="284"/>
        <w:jc w:val="both"/>
        <w:rPr>
          <w:rFonts w:eastAsia="Times New Roman" w:cs="Tahoma"/>
          <w:szCs w:val="20"/>
          <w:lang w:eastAsia="it-IT"/>
        </w:rPr>
      </w:pPr>
      <w:r w:rsidRPr="00515872">
        <w:rPr>
          <w:rFonts w:eastAsia="Times New Roman" w:cs="Tahoma"/>
          <w:szCs w:val="20"/>
          <w:lang w:eastAsia="it-IT"/>
        </w:rPr>
        <w:t>e da una commissione di 3 membri nei comuni con popolazione superiore a 5.000 abitanti e nelle province.</w:t>
      </w:r>
    </w:p>
    <w:p w14:paraId="4565BEEB" w14:textId="77777777" w:rsidR="004D1BB0" w:rsidRPr="00515872" w:rsidRDefault="00276B9F" w:rsidP="004D1BB0">
      <w:pPr>
        <w:spacing w:after="0" w:line="360" w:lineRule="auto"/>
        <w:jc w:val="both"/>
        <w:rPr>
          <w:rFonts w:cs="Tahoma"/>
        </w:rPr>
      </w:pPr>
      <w:r w:rsidRPr="00515872">
        <w:rPr>
          <w:rFonts w:eastAsia="Times New Roman" w:cs="Tahoma"/>
          <w:szCs w:val="20"/>
          <w:lang w:eastAsia="it-IT"/>
        </w:rPr>
        <w:t>L’organo straordinario di liquidazione è nominato dal Presidente della Repubblica su proposta del Ministro dell’Interno. I suoi membri s</w:t>
      </w:r>
      <w:r w:rsidRPr="00515872">
        <w:rPr>
          <w:rFonts w:cs="Tahoma"/>
        </w:rPr>
        <w:t>ono nominati</w:t>
      </w:r>
      <w:r w:rsidR="004D1BB0" w:rsidRPr="00515872">
        <w:rPr>
          <w:rFonts w:cs="Tahoma"/>
        </w:rPr>
        <w:t>:</w:t>
      </w:r>
    </w:p>
    <w:p w14:paraId="6B5A23DF" w14:textId="77777777" w:rsidR="004D1BB0" w:rsidRPr="00515872" w:rsidRDefault="00276B9F" w:rsidP="004D1BB0">
      <w:pPr>
        <w:pStyle w:val="Paragrafoelenco"/>
        <w:numPr>
          <w:ilvl w:val="0"/>
          <w:numId w:val="235"/>
        </w:numPr>
        <w:spacing w:line="360" w:lineRule="auto"/>
        <w:ind w:left="284" w:hanging="284"/>
        <w:jc w:val="both"/>
        <w:rPr>
          <w:rFonts w:eastAsia="Times New Roman" w:cs="Tahoma"/>
          <w:szCs w:val="20"/>
          <w:lang w:eastAsia="it-IT"/>
        </w:rPr>
      </w:pPr>
      <w:r w:rsidRPr="00515872">
        <w:rPr>
          <w:rFonts w:cs="Tahoma"/>
        </w:rPr>
        <w:t xml:space="preserve">fra magistrati a riposo della Corte dei Conti, della magistratura ordinaria, del </w:t>
      </w:r>
      <w:r w:rsidR="004D1BB0" w:rsidRPr="00515872">
        <w:rPr>
          <w:rFonts w:cs="Tahoma"/>
        </w:rPr>
        <w:t>Consiglio di Stato;</w:t>
      </w:r>
    </w:p>
    <w:p w14:paraId="7C1F0E6E" w14:textId="77777777" w:rsidR="004D1BB0" w:rsidRPr="00515872" w:rsidRDefault="00276B9F" w:rsidP="004D1BB0">
      <w:pPr>
        <w:pStyle w:val="Paragrafoelenco"/>
        <w:numPr>
          <w:ilvl w:val="0"/>
          <w:numId w:val="235"/>
        </w:numPr>
        <w:spacing w:line="360" w:lineRule="auto"/>
        <w:ind w:left="284" w:hanging="284"/>
        <w:jc w:val="both"/>
        <w:rPr>
          <w:rFonts w:eastAsia="Times New Roman" w:cs="Tahoma"/>
          <w:szCs w:val="20"/>
          <w:lang w:eastAsia="it-IT"/>
        </w:rPr>
      </w:pPr>
      <w:r w:rsidRPr="00515872">
        <w:rPr>
          <w:rFonts w:cs="Tahoma"/>
        </w:rPr>
        <w:t>fra funzionari dotati di un'idonea esperienza nel campo finanziario e contabile in servizio o in quiescenza degli uffici centrali o periferici del Ministero dell'interno, del Ministero del tesoro, del bilancio e della programmazione economica, del Ministero delle finanze e di al</w:t>
      </w:r>
      <w:r w:rsidR="004D1BB0" w:rsidRPr="00515872">
        <w:rPr>
          <w:rFonts w:cs="Tahoma"/>
        </w:rPr>
        <w:t>tre amministrazioni dello Stato;</w:t>
      </w:r>
    </w:p>
    <w:p w14:paraId="4E798BDE" w14:textId="77777777" w:rsidR="004D1BB0" w:rsidRPr="00515872" w:rsidRDefault="00276B9F" w:rsidP="004D1BB0">
      <w:pPr>
        <w:pStyle w:val="Paragrafoelenco"/>
        <w:numPr>
          <w:ilvl w:val="0"/>
          <w:numId w:val="235"/>
        </w:numPr>
        <w:spacing w:line="360" w:lineRule="auto"/>
        <w:ind w:left="284" w:hanging="284"/>
        <w:jc w:val="both"/>
        <w:rPr>
          <w:rFonts w:eastAsia="Times New Roman" w:cs="Tahoma"/>
          <w:szCs w:val="20"/>
          <w:lang w:eastAsia="it-IT"/>
        </w:rPr>
      </w:pPr>
      <w:r w:rsidRPr="00515872">
        <w:rPr>
          <w:rFonts w:cs="Tahoma"/>
        </w:rPr>
        <w:t>fra i segretari ed i ragionieri comunali e provinciali particolarmen</w:t>
      </w:r>
      <w:r w:rsidR="004D1BB0" w:rsidRPr="00515872">
        <w:rPr>
          <w:rFonts w:cs="Tahoma"/>
        </w:rPr>
        <w:t>te esperti, anche in quiescenza;</w:t>
      </w:r>
    </w:p>
    <w:p w14:paraId="27F7B1DF" w14:textId="77777777" w:rsidR="004D1BB0" w:rsidRPr="00515872" w:rsidRDefault="00276B9F" w:rsidP="004D1BB0">
      <w:pPr>
        <w:pStyle w:val="Paragrafoelenco"/>
        <w:numPr>
          <w:ilvl w:val="0"/>
          <w:numId w:val="235"/>
        </w:numPr>
        <w:spacing w:line="360" w:lineRule="auto"/>
        <w:ind w:left="284" w:hanging="284"/>
        <w:jc w:val="both"/>
        <w:rPr>
          <w:rFonts w:eastAsia="Times New Roman" w:cs="Tahoma"/>
          <w:szCs w:val="20"/>
          <w:lang w:eastAsia="it-IT"/>
        </w:rPr>
      </w:pPr>
      <w:r w:rsidRPr="00515872">
        <w:rPr>
          <w:rFonts w:cs="Tahoma"/>
        </w:rPr>
        <w:t>fra gli iscritti nel registro dei revisori contabili, gli iscritti nell'albo dei dottori commercialisti e gli isc</w:t>
      </w:r>
      <w:r w:rsidR="004D1BB0" w:rsidRPr="00515872">
        <w:rPr>
          <w:rFonts w:cs="Tahoma"/>
        </w:rPr>
        <w:t>ritti nell'albo dei ragionieri.</w:t>
      </w:r>
    </w:p>
    <w:p w14:paraId="646F72E7" w14:textId="77777777" w:rsidR="00276B9F" w:rsidRPr="00515872" w:rsidRDefault="00276B9F" w:rsidP="004D1BB0">
      <w:pPr>
        <w:spacing w:line="360" w:lineRule="auto"/>
        <w:jc w:val="both"/>
        <w:rPr>
          <w:rFonts w:eastAsia="Times New Roman" w:cs="Tahoma"/>
          <w:szCs w:val="20"/>
          <w:lang w:eastAsia="it-IT"/>
        </w:rPr>
      </w:pPr>
      <w:r w:rsidRPr="00515872">
        <w:rPr>
          <w:rFonts w:eastAsia="Times New Roman" w:cs="Tahoma"/>
          <w:szCs w:val="20"/>
          <w:lang w:eastAsia="it-IT"/>
        </w:rPr>
        <w:t>Esso si insedia entro 5 giorni dalla notifica del provvedimento di nomina.</w:t>
      </w:r>
    </w:p>
    <w:p w14:paraId="2297FF48"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In particolare, l’organo straordinario di liquidazione ha competenza relativamente ai fatti ed atti di gestione verificatisi entro il 31 dicembre dell'anno precedente a quello dell'ipotesi di bilancio riequilibrato e provvede:</w:t>
      </w:r>
    </w:p>
    <w:p w14:paraId="3C292E32" w14:textId="77777777" w:rsidR="00276B9F" w:rsidRPr="00515872" w:rsidRDefault="00276B9F" w:rsidP="00276B9F">
      <w:pPr>
        <w:pStyle w:val="Paragrafoelenco"/>
        <w:numPr>
          <w:ilvl w:val="0"/>
          <w:numId w:val="130"/>
        </w:numPr>
        <w:spacing w:line="360" w:lineRule="auto"/>
        <w:jc w:val="both"/>
        <w:rPr>
          <w:rFonts w:eastAsia="Times New Roman" w:cs="Tahoma"/>
          <w:szCs w:val="20"/>
          <w:lang w:eastAsia="it-IT"/>
        </w:rPr>
      </w:pPr>
      <w:r w:rsidRPr="00515872">
        <w:rPr>
          <w:rFonts w:eastAsia="Times New Roman" w:cs="Tahoma"/>
          <w:szCs w:val="20"/>
          <w:lang w:eastAsia="it-IT"/>
        </w:rPr>
        <w:t>alla rilevazione della massa passiva;</w:t>
      </w:r>
    </w:p>
    <w:p w14:paraId="12DE011E" w14:textId="77777777" w:rsidR="00276B9F" w:rsidRPr="00515872" w:rsidRDefault="00276B9F" w:rsidP="00276B9F">
      <w:pPr>
        <w:pStyle w:val="Paragrafoelenco"/>
        <w:numPr>
          <w:ilvl w:val="0"/>
          <w:numId w:val="130"/>
        </w:numPr>
        <w:spacing w:line="360" w:lineRule="auto"/>
        <w:jc w:val="both"/>
        <w:rPr>
          <w:rFonts w:eastAsia="Times New Roman" w:cs="Tahoma"/>
          <w:szCs w:val="20"/>
          <w:lang w:eastAsia="it-IT"/>
        </w:rPr>
      </w:pPr>
      <w:r w:rsidRPr="00515872">
        <w:rPr>
          <w:rFonts w:eastAsia="Times New Roman" w:cs="Tahoma"/>
          <w:szCs w:val="20"/>
          <w:lang w:eastAsia="it-IT"/>
        </w:rPr>
        <w:t>all’acquisizione e gestione dei mezzi finanziari disponibili ai fini del risanamento anche mediante alienazione dei beni patrimoniali;</w:t>
      </w:r>
    </w:p>
    <w:p w14:paraId="69DDA447" w14:textId="77777777" w:rsidR="00276B9F" w:rsidRPr="00515872" w:rsidRDefault="00276B9F" w:rsidP="00276B9F">
      <w:pPr>
        <w:pStyle w:val="Paragrafoelenco"/>
        <w:numPr>
          <w:ilvl w:val="0"/>
          <w:numId w:val="130"/>
        </w:numPr>
        <w:spacing w:line="360" w:lineRule="auto"/>
        <w:jc w:val="both"/>
        <w:rPr>
          <w:rFonts w:eastAsia="Times New Roman" w:cs="Tahoma"/>
          <w:szCs w:val="20"/>
          <w:lang w:eastAsia="it-IT"/>
        </w:rPr>
      </w:pPr>
      <w:r w:rsidRPr="00515872">
        <w:rPr>
          <w:rFonts w:eastAsia="Times New Roman" w:cs="Tahoma"/>
          <w:szCs w:val="20"/>
          <w:lang w:eastAsia="it-IT"/>
        </w:rPr>
        <w:t>alla liquidazione e al pagamento della massa passiva.</w:t>
      </w:r>
    </w:p>
    <w:p w14:paraId="76F42376"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Per svolgere le proprie mansioni esso ha potere di accesso a tutti gli atti dell’ente e può utilizzare il personale ed i mezzi operativi dell’ente ed emanare direttive burocratiche.</w:t>
      </w:r>
    </w:p>
    <w:p w14:paraId="0F0166BF"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Il consiglio dell’ente presenta al Ministro dell'Interno, entro il termine perentorio di 3 mesi dalla data di emanazione del decreto di nomina dell’organo straordinario di liquidazione</w:t>
      </w:r>
      <w:r w:rsidR="004D1BB0" w:rsidRPr="00515872">
        <w:rPr>
          <w:rStyle w:val="Rimandonotaapidipagina"/>
          <w:rFonts w:eastAsia="Times New Roman" w:cs="Tahoma"/>
          <w:szCs w:val="20"/>
          <w:lang w:eastAsia="it-IT"/>
        </w:rPr>
        <w:footnoteReference w:id="80"/>
      </w:r>
      <w:r w:rsidR="00092925" w:rsidRPr="00515872">
        <w:rPr>
          <w:rFonts w:eastAsia="Times New Roman" w:cs="Tahoma"/>
          <w:szCs w:val="20"/>
          <w:lang w:eastAsia="it-IT"/>
        </w:rPr>
        <w:t>,</w:t>
      </w:r>
      <w:r w:rsidRPr="00515872">
        <w:rPr>
          <w:rFonts w:eastAsia="Times New Roman" w:cs="Tahoma"/>
          <w:szCs w:val="20"/>
          <w:lang w:eastAsia="it-IT"/>
        </w:rPr>
        <w:t xml:space="preserve"> una </w:t>
      </w:r>
      <w:r w:rsidRPr="00515872">
        <w:rPr>
          <w:rFonts w:eastAsia="Times New Roman" w:cs="Tahoma"/>
          <w:b/>
          <w:szCs w:val="20"/>
          <w:lang w:eastAsia="it-IT"/>
        </w:rPr>
        <w:t xml:space="preserve">ipotesi di bilancio di </w:t>
      </w:r>
      <w:r w:rsidRPr="00515872">
        <w:rPr>
          <w:rFonts w:eastAsia="Times New Roman" w:cs="Tahoma"/>
          <w:b/>
          <w:szCs w:val="20"/>
          <w:lang w:eastAsia="it-IT"/>
        </w:rPr>
        <w:lastRenderedPageBreak/>
        <w:t>previsione stabilmente riequilibrato</w:t>
      </w:r>
      <w:r w:rsidRPr="00515872">
        <w:rPr>
          <w:rFonts w:eastAsia="Times New Roman" w:cs="Tahoma"/>
          <w:szCs w:val="20"/>
          <w:lang w:eastAsia="it-IT"/>
        </w:rPr>
        <w:t xml:space="preserve"> che deve essere opportunamente istruita dalla commissione per la stabilità finanziaria degli enti locali, con formulazione di eventuali rilievi o richieste istruttorie.</w:t>
      </w:r>
    </w:p>
    <w:p w14:paraId="43CF710C"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L'organo straordinario di liquidazione provvede all'accertamento della massa passiva mediante la formazione, entro 180 giorni dall'insediamento, di un piano di rilevazione</w:t>
      </w:r>
      <w:r w:rsidRPr="00515872">
        <w:rPr>
          <w:rStyle w:val="Rimandonotaapidipagina"/>
          <w:rFonts w:eastAsia="Times New Roman" w:cs="Tahoma"/>
          <w:szCs w:val="20"/>
          <w:lang w:eastAsia="it-IT"/>
        </w:rPr>
        <w:footnoteReference w:id="81"/>
      </w:r>
      <w:r w:rsidR="00092925" w:rsidRPr="00515872">
        <w:rPr>
          <w:rFonts w:eastAsia="Times New Roman" w:cs="Tahoma"/>
          <w:szCs w:val="20"/>
          <w:lang w:eastAsia="it-IT"/>
        </w:rPr>
        <w:t>. A</w:t>
      </w:r>
      <w:r w:rsidRPr="00515872">
        <w:rPr>
          <w:rFonts w:eastAsia="Times New Roman" w:cs="Tahoma"/>
          <w:szCs w:val="20"/>
          <w:lang w:eastAsia="it-IT"/>
        </w:rPr>
        <w:t xml:space="preserve"> tal fine, entro 10 giorni dalla data dell'insediamento, dà avviso, mediante affissione all'albo pretorio ed anche a mezzo stampa, dell'avvio della procedura di rilevazione delle passività dell'ente locale con il quale invita chiunque ritenga di averne diritto a presentare, entro un termine perentorio di 60 giorni, la domanda atta a dimostrare la sussistenza del debito dell'ente, il relativo importo ed eventuali cause di prelazione, per l'inserimento nel piano di rilevazione.</w:t>
      </w:r>
    </w:p>
    <w:p w14:paraId="0830B407" w14:textId="77777777" w:rsidR="00276B9F" w:rsidRPr="00515872" w:rsidRDefault="00276B9F" w:rsidP="00276B9F">
      <w:pPr>
        <w:spacing w:after="0" w:line="360" w:lineRule="auto"/>
        <w:jc w:val="both"/>
        <w:rPr>
          <w:rFonts w:eastAsia="Times New Roman" w:cs="Tahoma"/>
          <w:szCs w:val="20"/>
          <w:lang w:eastAsia="it-IT"/>
        </w:rPr>
      </w:pPr>
      <w:r w:rsidRPr="00515872">
        <w:rPr>
          <w:rFonts w:cs="Tahoma"/>
        </w:rPr>
        <w:t>Nel piano di rilevazione della massa passiva sono inclusi:</w:t>
      </w:r>
    </w:p>
    <w:p w14:paraId="4F771BC7" w14:textId="77777777" w:rsidR="00276B9F" w:rsidRPr="00515872" w:rsidRDefault="00276B9F" w:rsidP="00092925">
      <w:pPr>
        <w:pStyle w:val="Paragrafoelenco"/>
        <w:numPr>
          <w:ilvl w:val="0"/>
          <w:numId w:val="229"/>
        </w:numPr>
        <w:spacing w:line="360" w:lineRule="auto"/>
        <w:ind w:left="284" w:hanging="284"/>
        <w:jc w:val="both"/>
        <w:rPr>
          <w:rFonts w:eastAsia="Times New Roman" w:cs="Tahoma"/>
          <w:szCs w:val="20"/>
          <w:lang w:eastAsia="it-IT"/>
        </w:rPr>
      </w:pPr>
      <w:r w:rsidRPr="00515872">
        <w:rPr>
          <w:rFonts w:cs="Tahoma"/>
        </w:rPr>
        <w:t xml:space="preserve">i debiti di bilancio e fuori bilancio verificatisi entro il 31 dicembre dell'anno precedente quello dell'ipotesi di bilancio riequilibrato; </w:t>
      </w:r>
    </w:p>
    <w:p w14:paraId="277173B7" w14:textId="77777777" w:rsidR="00276B9F" w:rsidRPr="00515872" w:rsidRDefault="00276B9F" w:rsidP="00092925">
      <w:pPr>
        <w:pStyle w:val="Paragrafoelenco"/>
        <w:numPr>
          <w:ilvl w:val="0"/>
          <w:numId w:val="229"/>
        </w:numPr>
        <w:spacing w:line="360" w:lineRule="auto"/>
        <w:ind w:left="284" w:hanging="284"/>
        <w:jc w:val="both"/>
        <w:rPr>
          <w:rFonts w:eastAsia="Times New Roman" w:cs="Tahoma"/>
          <w:szCs w:val="20"/>
          <w:lang w:eastAsia="it-IT"/>
        </w:rPr>
      </w:pPr>
      <w:r w:rsidRPr="00515872">
        <w:rPr>
          <w:rFonts w:cs="Tahoma"/>
        </w:rPr>
        <w:t xml:space="preserve">i debiti derivanti dalle procedure esecutive estinte; </w:t>
      </w:r>
    </w:p>
    <w:p w14:paraId="467105D4" w14:textId="77777777" w:rsidR="00276B9F" w:rsidRPr="00515872" w:rsidRDefault="00276B9F" w:rsidP="00092925">
      <w:pPr>
        <w:pStyle w:val="Paragrafoelenco"/>
        <w:numPr>
          <w:ilvl w:val="0"/>
          <w:numId w:val="229"/>
        </w:numPr>
        <w:spacing w:line="360" w:lineRule="auto"/>
        <w:ind w:left="284" w:hanging="284"/>
        <w:jc w:val="both"/>
        <w:rPr>
          <w:rFonts w:eastAsia="Times New Roman" w:cs="Tahoma"/>
          <w:szCs w:val="20"/>
          <w:lang w:eastAsia="it-IT"/>
        </w:rPr>
      </w:pPr>
      <w:r w:rsidRPr="00515872">
        <w:rPr>
          <w:rFonts w:cs="Tahoma"/>
        </w:rPr>
        <w:t>i debiti derivanti da transazioni compiute dall'organo straordinario di liquidazione.</w:t>
      </w:r>
      <w:r w:rsidRPr="00515872">
        <w:rPr>
          <w:rFonts w:eastAsia="Times New Roman" w:cs="Tahoma"/>
          <w:szCs w:val="20"/>
          <w:lang w:eastAsia="it-IT"/>
        </w:rPr>
        <w:t xml:space="preserve"> </w:t>
      </w:r>
    </w:p>
    <w:p w14:paraId="78F96164" w14:textId="77777777" w:rsidR="00276B9F" w:rsidRPr="00515872" w:rsidRDefault="00276B9F" w:rsidP="00276B9F">
      <w:pPr>
        <w:spacing w:line="360" w:lineRule="auto"/>
        <w:jc w:val="both"/>
        <w:rPr>
          <w:rFonts w:cs="Tahoma"/>
        </w:rPr>
      </w:pPr>
      <w:r w:rsidRPr="00515872">
        <w:rPr>
          <w:rFonts w:cs="Tahoma"/>
        </w:rPr>
        <w:t>L'organo straordinario di liquidazione provvede all'accertamento della massa attiva, costituita dal contributo dello Stato di cui all’art. 255 del TUEL, da residui da riscuotere, da ratei di mutuo disponibili in quanto non utilizzati dall'ente, da altre entrate e, se necessari, da proventi derivanti da alienazione di beni del patrimonio disponibile e provvede a riscuotere i ruoli pregressi emessi dall'ente e non ancora riscossi, totalmente o parzialmente, nonché all'accertamento delle entrate tributarie per le quali l'ente ha omesso la predisposizione dei ruoli o del titolo di entrata previsto per legge.</w:t>
      </w:r>
    </w:p>
    <w:p w14:paraId="121A2F32" w14:textId="77777777" w:rsidR="00276B9F" w:rsidRPr="00515872" w:rsidRDefault="00276B9F" w:rsidP="00276B9F">
      <w:pPr>
        <w:spacing w:line="360" w:lineRule="auto"/>
        <w:jc w:val="both"/>
        <w:rPr>
          <w:rFonts w:cs="Tahoma"/>
        </w:rPr>
      </w:pPr>
      <w:r w:rsidRPr="00515872">
        <w:rPr>
          <w:rFonts w:cs="Tahoma"/>
        </w:rPr>
        <w:t>A seguito del definitivo accertamento della massa passiva e dei mezzi finanziari disponibili, e comunque entro il termine di 24 mesi dall'insediamento, l'organo straordinario di liquidazione predispone il piano di estinzione delle passività e lo deposita presso il Ministero dell'Interno</w:t>
      </w:r>
      <w:r w:rsidR="00F55211" w:rsidRPr="00515872">
        <w:rPr>
          <w:rFonts w:cs="Tahoma"/>
        </w:rPr>
        <w:t xml:space="preserve"> che, verificata la correttezza dello stesso, lo approva con decreto</w:t>
      </w:r>
      <w:r w:rsidRPr="00515872">
        <w:rPr>
          <w:rFonts w:cs="Tahoma"/>
        </w:rPr>
        <w:t>. A seguito dell'approvazione del piano di estinzione l'organo straordinario di liquidazione provvede, entro 20 giorni dalla notifica del decreto, al pagamento delle residue passività, sino alla concorrenza della massa attiva realizzata.</w:t>
      </w:r>
    </w:p>
    <w:p w14:paraId="11913A01"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Il risanamento dell'ente locale dissestato ha la durata di 5 anni decorrenti da quello per il quale viene redatta l'ipotesi di bilancio stabilmente riequilibrato.</w:t>
      </w:r>
    </w:p>
    <w:p w14:paraId="0B6AEB9E" w14:textId="77777777" w:rsidR="005D1ED0" w:rsidRPr="00515872" w:rsidRDefault="005D1ED0" w:rsidP="00276B9F">
      <w:pPr>
        <w:spacing w:after="0" w:line="360" w:lineRule="auto"/>
        <w:jc w:val="both"/>
        <w:rPr>
          <w:rFonts w:eastAsia="Times New Roman" w:cs="Tahoma"/>
          <w:b/>
          <w:szCs w:val="20"/>
          <w:lang w:eastAsia="it-IT"/>
        </w:rPr>
      </w:pPr>
    </w:p>
    <w:p w14:paraId="1FDDC92B" w14:textId="77777777" w:rsidR="005D1ED0" w:rsidRPr="00515872" w:rsidRDefault="005D1ED0" w:rsidP="005D1ED0">
      <w:pPr>
        <w:pStyle w:val="Sottoparagrafo"/>
        <w:rPr>
          <w:rFonts w:cs="Tahoma"/>
          <w:lang w:eastAsia="it-IT"/>
        </w:rPr>
      </w:pPr>
      <w:bookmarkStart w:id="170" w:name="_Toc95912292"/>
      <w:r w:rsidRPr="00515872">
        <w:rPr>
          <w:rFonts w:cs="Tahoma"/>
          <w:lang w:eastAsia="it-IT"/>
        </w:rPr>
        <w:t>5.2.3 Procedura semplificata e anticipazione di cassa</w:t>
      </w:r>
      <w:bookmarkEnd w:id="170"/>
    </w:p>
    <w:p w14:paraId="1A7B3603" w14:textId="77777777" w:rsidR="00276B9F" w:rsidRPr="00515872" w:rsidRDefault="00276B9F" w:rsidP="00276B9F">
      <w:pPr>
        <w:spacing w:line="360" w:lineRule="auto"/>
        <w:jc w:val="both"/>
        <w:rPr>
          <w:rFonts w:cs="Tahoma"/>
          <w:color w:val="000000"/>
          <w:shd w:val="clear" w:color="auto" w:fill="F9F8F4"/>
        </w:rPr>
      </w:pPr>
      <w:r w:rsidRPr="00515872">
        <w:rPr>
          <w:rFonts w:cs="Tahoma"/>
          <w:color w:val="000000"/>
        </w:rPr>
        <w:t xml:space="preserve">L'organo straordinario di liquidazione, valutato l'importo complessivo di tutti i debiti censiti in base alle richieste pervenute, il numero delle pratiche relative, la consistenza della documentazione allegata ed il tempo </w:t>
      </w:r>
      <w:r w:rsidRPr="00515872">
        <w:rPr>
          <w:rFonts w:cs="Tahoma"/>
          <w:color w:val="000000"/>
        </w:rPr>
        <w:lastRenderedPageBreak/>
        <w:t>necessario per il loro definitivo esame, può proporre all'ente locale dissestato l'adozione della modalità semplificata di liquidazione.</w:t>
      </w:r>
    </w:p>
    <w:p w14:paraId="03D3DE32" w14:textId="77777777" w:rsidR="00276B9F" w:rsidRPr="00515872" w:rsidRDefault="00276B9F" w:rsidP="00276B9F">
      <w:pPr>
        <w:spacing w:line="360" w:lineRule="auto"/>
        <w:jc w:val="both"/>
        <w:rPr>
          <w:rFonts w:cs="Tahoma"/>
          <w:color w:val="000000"/>
          <w:shd w:val="clear" w:color="auto" w:fill="F9F8F4"/>
        </w:rPr>
      </w:pPr>
      <w:r w:rsidRPr="00515872">
        <w:rPr>
          <w:rFonts w:cs="Tahoma"/>
          <w:color w:val="000000"/>
        </w:rPr>
        <w:t xml:space="preserve">Tale procedura consente all'organo straordinario di liquidazione, effettuata una sommaria valutazione della fondatezza del credito vantato, di definire </w:t>
      </w:r>
      <w:proofErr w:type="spellStart"/>
      <w:r w:rsidRPr="00515872">
        <w:rPr>
          <w:rFonts w:cs="Tahoma"/>
          <w:color w:val="000000"/>
        </w:rPr>
        <w:t>transattivamente</w:t>
      </w:r>
      <w:proofErr w:type="spellEnd"/>
      <w:r w:rsidRPr="00515872">
        <w:rPr>
          <w:rFonts w:cs="Tahoma"/>
          <w:color w:val="000000"/>
        </w:rPr>
        <w:t xml:space="preserve"> le pretese dei relativi creditori, ivi compreso l'Erario, anche periodicamente, offrendo il pagamento di una somma variabile tra il 40% ed il 60% del debito.</w:t>
      </w:r>
    </w:p>
    <w:p w14:paraId="71FFD41E"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L’art. 14</w:t>
      </w:r>
      <w:r w:rsidR="00F55211" w:rsidRPr="00515872">
        <w:rPr>
          <w:rFonts w:eastAsia="Times New Roman" w:cs="Tahoma"/>
          <w:szCs w:val="20"/>
          <w:lang w:eastAsia="it-IT"/>
        </w:rPr>
        <w:t>,</w:t>
      </w:r>
      <w:r w:rsidRPr="00515872">
        <w:rPr>
          <w:rFonts w:eastAsia="Times New Roman" w:cs="Tahoma"/>
          <w:szCs w:val="20"/>
          <w:lang w:eastAsia="it-IT"/>
        </w:rPr>
        <w:t xml:space="preserve"> D.L. n. 113/2016, come </w:t>
      </w:r>
      <w:proofErr w:type="spellStart"/>
      <w:r w:rsidRPr="00515872">
        <w:rPr>
          <w:rFonts w:eastAsia="Times New Roman" w:cs="Tahoma"/>
          <w:szCs w:val="20"/>
          <w:lang w:eastAsia="it-IT"/>
        </w:rPr>
        <w:t>conv</w:t>
      </w:r>
      <w:proofErr w:type="spellEnd"/>
      <w:r w:rsidRPr="00515872">
        <w:rPr>
          <w:rFonts w:eastAsia="Times New Roman" w:cs="Tahoma"/>
          <w:szCs w:val="20"/>
          <w:lang w:eastAsia="it-IT"/>
        </w:rPr>
        <w:t xml:space="preserve">. </w:t>
      </w:r>
      <w:r w:rsidR="00F55211" w:rsidRPr="00515872">
        <w:rPr>
          <w:rFonts w:eastAsia="Times New Roman" w:cs="Tahoma"/>
          <w:szCs w:val="20"/>
          <w:lang w:eastAsia="it-IT"/>
        </w:rPr>
        <w:t xml:space="preserve">dalla </w:t>
      </w:r>
      <w:r w:rsidRPr="00515872">
        <w:rPr>
          <w:rFonts w:eastAsia="Times New Roman" w:cs="Tahoma"/>
          <w:szCs w:val="20"/>
          <w:lang w:eastAsia="it-IT"/>
        </w:rPr>
        <w:t>L. n. 160/2016, attribuiva agli enti che deliberavano il dissesto dal 1° settembre 2011 al 31 maggio 2016 e aderivano alla procedura semplificata di accertamento e liquidazione dei debiti di cui all’art. 258 del TUEL, un’anticipazione fino all’importo massimo annuo di € 150.000.000 per ciascun anno dal 2016 al 2018, da destinare ad incremento della massa attiva della gestione liquidatoria per il pagamento dei debiti ammessi con modalità semplificata.</w:t>
      </w:r>
      <w:r w:rsidR="00F55211" w:rsidRPr="00515872">
        <w:rPr>
          <w:rFonts w:eastAsia="Times New Roman" w:cs="Tahoma"/>
          <w:szCs w:val="20"/>
          <w:lang w:eastAsia="it-IT"/>
        </w:rPr>
        <w:t xml:space="preserve"> </w:t>
      </w:r>
      <w:r w:rsidRPr="00515872">
        <w:rPr>
          <w:rFonts w:eastAsia="Times New Roman" w:cs="Tahoma"/>
          <w:szCs w:val="20"/>
          <w:lang w:eastAsia="it-IT"/>
        </w:rPr>
        <w:t xml:space="preserve">La stessa anticipazione </w:t>
      </w:r>
      <w:r w:rsidR="00F55211" w:rsidRPr="00515872">
        <w:rPr>
          <w:rFonts w:eastAsia="Times New Roman" w:cs="Tahoma"/>
          <w:szCs w:val="20"/>
          <w:lang w:eastAsia="it-IT"/>
        </w:rPr>
        <w:t>era</w:t>
      </w:r>
      <w:r w:rsidRPr="00515872">
        <w:rPr>
          <w:rFonts w:eastAsia="Times New Roman" w:cs="Tahoma"/>
          <w:szCs w:val="20"/>
          <w:lang w:eastAsia="it-IT"/>
        </w:rPr>
        <w:t xml:space="preserve"> riconosciuta per gli anni 2019 e 2020 agli enti che deliber</w:t>
      </w:r>
      <w:r w:rsidR="00F55211" w:rsidRPr="00515872">
        <w:rPr>
          <w:rFonts w:eastAsia="Times New Roman" w:cs="Tahoma"/>
          <w:szCs w:val="20"/>
          <w:lang w:eastAsia="it-IT"/>
        </w:rPr>
        <w:t>assero</w:t>
      </w:r>
      <w:r w:rsidRPr="00515872">
        <w:rPr>
          <w:rFonts w:eastAsia="Times New Roman" w:cs="Tahoma"/>
          <w:szCs w:val="20"/>
          <w:lang w:eastAsia="it-IT"/>
        </w:rPr>
        <w:t xml:space="preserve"> il dissesto dal 1</w:t>
      </w:r>
      <w:r w:rsidR="00F55211" w:rsidRPr="00515872">
        <w:rPr>
          <w:rFonts w:eastAsia="Times New Roman" w:cs="Tahoma"/>
          <w:szCs w:val="20"/>
          <w:lang w:eastAsia="it-IT"/>
        </w:rPr>
        <w:t>°</w:t>
      </w:r>
      <w:r w:rsidRPr="00515872">
        <w:rPr>
          <w:rFonts w:eastAsia="Times New Roman" w:cs="Tahoma"/>
          <w:szCs w:val="20"/>
          <w:lang w:eastAsia="it-IT"/>
        </w:rPr>
        <w:t xml:space="preserve"> giugno 2016 al 31 dicembre 2019, sempre aderendo alla procedura semplificata di cui sopra.</w:t>
      </w:r>
    </w:p>
    <w:p w14:paraId="7E796653" w14:textId="77777777" w:rsidR="00276B9F" w:rsidRPr="00515872" w:rsidRDefault="00276B9F" w:rsidP="00276B9F">
      <w:pPr>
        <w:spacing w:line="360" w:lineRule="auto"/>
        <w:jc w:val="both"/>
        <w:rPr>
          <w:rFonts w:eastAsia="Times New Roman" w:cs="Tahoma"/>
          <w:szCs w:val="20"/>
          <w:lang w:eastAsia="it-IT"/>
        </w:rPr>
      </w:pPr>
      <w:r w:rsidRPr="00515872">
        <w:rPr>
          <w:rFonts w:cs="Tahoma"/>
          <w:color w:val="000000"/>
        </w:rPr>
        <w:t xml:space="preserve">Se il riequilibrio del bilancio è condizionato dall’esito delle misure di riduzione di almeno il 20% dei costi dei servizi, oltre alla razionalizzazione di tutti gli organismi e società partecipati i cui costi incidono direttamente sul bilancio dell’ente, </w:t>
      </w:r>
      <w:r w:rsidR="00F55211" w:rsidRPr="00515872">
        <w:rPr>
          <w:rFonts w:cs="Tahoma"/>
          <w:color w:val="000000"/>
        </w:rPr>
        <w:t>questi</w:t>
      </w:r>
      <w:r w:rsidRPr="00515872">
        <w:rPr>
          <w:rFonts w:cs="Tahoma"/>
          <w:color w:val="000000"/>
        </w:rPr>
        <w:t xml:space="preserve"> può raggiungere l’equilibrio, in deroga alle norme vigenti, entro l’esercizio in cui si completano la riorganizzazione dei servizi comunali e la razionalizzazione di tutti gli organismi partecipati, e comunque entro 5 anni compreso quello in cui è stato deliberato il dissesto. Fino al raggiungimento dell’equilibrio e per i 5 esercizi successivi, </w:t>
      </w:r>
      <w:r w:rsidRPr="00515872">
        <w:rPr>
          <w:rFonts w:cs="Tahoma"/>
          <w:b/>
          <w:color w:val="000000"/>
        </w:rPr>
        <w:t>l’organo di revisione trasmette al Ministero dell’Interno, entro 30 giorni dalla scadenza di ciascun esercizio, una relazione sull’efficacia delle misure adottate e sugli obiettivi raggiunti</w:t>
      </w:r>
      <w:r w:rsidRPr="00515872">
        <w:rPr>
          <w:rFonts w:cs="Tahoma"/>
          <w:color w:val="000000"/>
        </w:rPr>
        <w:t xml:space="preserve"> nel corso dell’esercizio</w:t>
      </w:r>
      <w:r w:rsidRPr="00515872">
        <w:rPr>
          <w:rStyle w:val="Rimandonotaapidipagina"/>
          <w:rFonts w:cs="Tahoma"/>
          <w:color w:val="000000"/>
        </w:rPr>
        <w:footnoteReference w:id="82"/>
      </w:r>
      <w:r w:rsidR="00F55211" w:rsidRPr="00515872">
        <w:rPr>
          <w:rFonts w:cs="Tahoma"/>
          <w:color w:val="000000"/>
        </w:rPr>
        <w:t>.</w:t>
      </w:r>
    </w:p>
    <w:p w14:paraId="12577FDB" w14:textId="77777777" w:rsidR="005D1ED0" w:rsidRPr="00515872" w:rsidRDefault="005D1ED0" w:rsidP="00276B9F">
      <w:pPr>
        <w:spacing w:after="0" w:line="360" w:lineRule="auto"/>
        <w:jc w:val="both"/>
        <w:rPr>
          <w:rFonts w:eastAsia="Times New Roman" w:cs="Tahoma"/>
          <w:b/>
          <w:szCs w:val="20"/>
          <w:lang w:eastAsia="it-IT"/>
        </w:rPr>
      </w:pPr>
    </w:p>
    <w:p w14:paraId="41D0B838" w14:textId="77777777" w:rsidR="005D1ED0" w:rsidRPr="00515872" w:rsidRDefault="005D1ED0" w:rsidP="005D1ED0">
      <w:pPr>
        <w:pStyle w:val="Sottoparagrafo"/>
        <w:rPr>
          <w:rFonts w:cs="Tahoma"/>
          <w:lang w:eastAsia="it-IT"/>
        </w:rPr>
      </w:pPr>
      <w:bookmarkStart w:id="171" w:name="_Toc95912293"/>
      <w:r w:rsidRPr="00515872">
        <w:rPr>
          <w:rFonts w:cs="Tahoma"/>
          <w:lang w:eastAsia="it-IT"/>
        </w:rPr>
        <w:t>5.2.4 Procedura straordinaria</w:t>
      </w:r>
      <w:bookmarkEnd w:id="171"/>
    </w:p>
    <w:p w14:paraId="7F381701"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È consentito, in via straordinaria, agli enti già dissestati che non abbiano concluso la procedura di risanamento con la presentazione del rendiconto della gestione, di accedere alla procedura di cui all’art. 268-bis</w:t>
      </w:r>
      <w:r w:rsidR="00F55211" w:rsidRPr="00515872">
        <w:rPr>
          <w:rFonts w:eastAsia="Times New Roman" w:cs="Tahoma"/>
          <w:szCs w:val="20"/>
          <w:lang w:eastAsia="it-IT"/>
        </w:rPr>
        <w:t xml:space="preserve"> del TUEL</w:t>
      </w:r>
      <w:r w:rsidRPr="00515872">
        <w:rPr>
          <w:rFonts w:eastAsia="Times New Roman" w:cs="Tahoma"/>
          <w:szCs w:val="20"/>
          <w:lang w:eastAsia="it-IT"/>
        </w:rPr>
        <w:t>, nel caso in cui l'organo straordinario di liquidazione non possa concludere entro i termini di legge la procedura del dissesto per l'onerosità degli adempimenti connessi alla compiuta determinazione della massa attiva e passiva dei debiti pregressi.</w:t>
      </w:r>
    </w:p>
    <w:p w14:paraId="25D77953"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Il Ministro dell'Interno, d'intesa con il sindaco dell'ente locale interessato, dispone con proprio decreto la chiusura anticipata e semplificata della procedura del dissesto con riferimento a quanto già definito entro il trentesimo giorno precedente il provvedimento. Il provvedimento fissa le modalità della chiusura, tenuto conto del parere della Commissione per la stabilità finanziaria degli enti locali.</w:t>
      </w:r>
    </w:p>
    <w:p w14:paraId="44A1B49F" w14:textId="77777777" w:rsidR="00AD2719" w:rsidRPr="00515872" w:rsidRDefault="005D1ED0" w:rsidP="00297A21">
      <w:pPr>
        <w:pStyle w:val="Paragrafo"/>
      </w:pPr>
      <w:bookmarkStart w:id="172" w:name="_Toc521317139"/>
      <w:bookmarkStart w:id="173" w:name="_Toc95912294"/>
      <w:r w:rsidRPr="00515872">
        <w:lastRenderedPageBreak/>
        <w:t>5.3</w:t>
      </w:r>
      <w:r w:rsidR="00AD2719" w:rsidRPr="00515872">
        <w:t xml:space="preserve"> </w:t>
      </w:r>
      <w:proofErr w:type="spellStart"/>
      <w:r w:rsidR="00AD2719" w:rsidRPr="00515872">
        <w:t>Pre</w:t>
      </w:r>
      <w:proofErr w:type="spellEnd"/>
      <w:r w:rsidR="00AD2719" w:rsidRPr="00515872">
        <w:t>-dissesto</w:t>
      </w:r>
      <w:bookmarkEnd w:id="173"/>
    </w:p>
    <w:bookmarkEnd w:id="172"/>
    <w:p w14:paraId="0A9AFF06" w14:textId="77777777" w:rsidR="00276B9F" w:rsidRPr="00515872" w:rsidRDefault="00276B9F" w:rsidP="00276B9F">
      <w:pPr>
        <w:spacing w:line="360" w:lineRule="auto"/>
        <w:jc w:val="both"/>
        <w:rPr>
          <w:rFonts w:cs="Tahoma"/>
          <w:szCs w:val="20"/>
        </w:rPr>
      </w:pPr>
      <w:r w:rsidRPr="00515872">
        <w:rPr>
          <w:rFonts w:cs="Tahoma"/>
          <w:szCs w:val="20"/>
        </w:rPr>
        <w:t>Il cosiddetto pre-dissesto (o ricorso alla procedura di riequilibrio finanziario pluriennale) è stato introdotto con D.L. 10 ottobre 2012, n. 174, convertito con modifiche dalla L. 7 dicembre 2012, n. 213, mediante l’inserimento degli artt. 243-bis, 243-ter e 243-quater nel TUEL, con lo scopo di anticipare e prevenire il dissesto dell’ente locale.</w:t>
      </w:r>
    </w:p>
    <w:p w14:paraId="773632B0"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 comuni e le province per i quali, anche in considerazione delle pronunce delle competenti sezioni regionali della Corte dei Conti sui bilanci degli enti, sussistano squilibri strutturali del bilancio in grado di provocare il dissesto finanziario, nel caso in cui né le misure di riequilibrio di bilancio di cui a</w:t>
      </w:r>
      <w:r w:rsidR="00F55211" w:rsidRPr="00515872">
        <w:rPr>
          <w:rFonts w:eastAsia="Times New Roman" w:cs="Tahoma"/>
          <w:szCs w:val="20"/>
          <w:lang w:eastAsia="it-IT"/>
        </w:rPr>
        <w:t>ll’art</w:t>
      </w:r>
      <w:r w:rsidRPr="00515872">
        <w:rPr>
          <w:rFonts w:eastAsia="Times New Roman" w:cs="Tahoma"/>
          <w:szCs w:val="20"/>
          <w:lang w:eastAsia="it-IT"/>
        </w:rPr>
        <w:t xml:space="preserve">. 193, né lo strumento del riconoscimento dei debiti fuori bilancio siano sufficienti a superare tali condizioni di squilibrio, possono ricorrere, con deliberazione consiliare, alla </w:t>
      </w:r>
      <w:r w:rsidRPr="00515872">
        <w:rPr>
          <w:rFonts w:eastAsia="Times New Roman" w:cs="Tahoma"/>
          <w:b/>
          <w:szCs w:val="20"/>
          <w:lang w:eastAsia="it-IT"/>
        </w:rPr>
        <w:t>procedura di riequilibrio finanziario pluriennale</w:t>
      </w:r>
      <w:r w:rsidRPr="00515872">
        <w:rPr>
          <w:rFonts w:eastAsia="Times New Roman" w:cs="Tahoma"/>
          <w:szCs w:val="20"/>
          <w:lang w:eastAsia="it-IT"/>
        </w:rPr>
        <w:t>. Essa</w:t>
      </w:r>
      <w:r w:rsidRPr="00515872">
        <w:rPr>
          <w:rFonts w:cs="Tahoma"/>
        </w:rPr>
        <w:t xml:space="preserve"> non può essere iniziata qualora sia decorso il termine assegnato dal prefetto, con lettera notificata ai singoli consiglieri, per la deliberazione del dissesto.</w:t>
      </w:r>
    </w:p>
    <w:p w14:paraId="75437BE7"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procedura di riequilibrio finanziario pluriennale consente agli enti di fronteggiare autonomamente situazioni di precarietà delle gestioni e di porre in essere i rimedi necessari a ripristinare stabilmente il riequilibrio del bilancio.</w:t>
      </w:r>
    </w:p>
    <w:p w14:paraId="38F53166" w14:textId="77777777" w:rsidR="00276B9F" w:rsidRPr="00515872" w:rsidRDefault="00276B9F" w:rsidP="00276B9F">
      <w:pPr>
        <w:spacing w:line="360" w:lineRule="auto"/>
        <w:jc w:val="both"/>
        <w:rPr>
          <w:rFonts w:cs="Tahoma"/>
          <w:color w:val="000000"/>
          <w:szCs w:val="20"/>
        </w:rPr>
      </w:pPr>
      <w:r w:rsidRPr="00515872">
        <w:rPr>
          <w:rFonts w:cs="Tahoma"/>
          <w:color w:val="000000"/>
          <w:szCs w:val="20"/>
        </w:rPr>
        <w:t xml:space="preserve">La Corte dei Conti sez. regionale per la Calabria, con deliberazione n. 11/2014, allo stesso tempo, ha </w:t>
      </w:r>
      <w:r w:rsidR="00AD126C" w:rsidRPr="00515872">
        <w:rPr>
          <w:rFonts w:cs="Tahoma"/>
          <w:color w:val="000000"/>
          <w:szCs w:val="20"/>
        </w:rPr>
        <w:t>specificato che non si può</w:t>
      </w:r>
      <w:r w:rsidRPr="00515872">
        <w:rPr>
          <w:rFonts w:cs="Tahoma"/>
          <w:color w:val="000000"/>
          <w:szCs w:val="20"/>
        </w:rPr>
        <w:t xml:space="preserve"> ritenere il PRFP un mezzo sostitutivo alla dichiarazione di dissesto ai sensi dell’art. 244 del TUEL, poiché in determinate circostanze il dissesto è l’unico rimedio esperibile.</w:t>
      </w:r>
    </w:p>
    <w:p w14:paraId="3174DFDC" w14:textId="77777777" w:rsidR="00EB6DAC" w:rsidRPr="00515872" w:rsidRDefault="00EB6DAC" w:rsidP="00EB6DAC">
      <w:pPr>
        <w:tabs>
          <w:tab w:val="left" w:pos="7078"/>
        </w:tabs>
        <w:spacing w:line="360" w:lineRule="auto"/>
        <w:jc w:val="both"/>
        <w:rPr>
          <w:rFonts w:eastAsia="Times New Roman" w:cs="Tahoma"/>
          <w:szCs w:val="20"/>
          <w:lang w:eastAsia="it-IT"/>
        </w:rPr>
      </w:pPr>
      <w:r w:rsidRPr="00515872">
        <w:rPr>
          <w:rFonts w:eastAsia="Times New Roman" w:cs="Tahoma"/>
          <w:szCs w:val="20"/>
          <w:lang w:eastAsia="it-IT"/>
        </w:rPr>
        <w:t>Il piano di riequilibrio finanziario pluriennale non può essere uno strumento dilatorio del dissesto dell’ente; se le condizioni di squilibrio sono tali da compromettere la continuità amministrativa o lo squilibrio è tale da non essere ripianabile nei termini previsti dall’art. 243-bis, c. 5-bis del TUEL, l’accesso alla procedura in parola risulta precluso.</w:t>
      </w:r>
    </w:p>
    <w:p w14:paraId="6BBCD189" w14:textId="77777777" w:rsidR="00276B9F" w:rsidRPr="00515872" w:rsidRDefault="00EB6DAC" w:rsidP="00276B9F">
      <w:pPr>
        <w:spacing w:line="360" w:lineRule="auto"/>
        <w:jc w:val="both"/>
        <w:rPr>
          <w:rFonts w:eastAsia="Times New Roman" w:cs="Tahoma"/>
          <w:szCs w:val="20"/>
          <w:lang w:eastAsia="it-IT"/>
        </w:rPr>
      </w:pPr>
      <w:r w:rsidRPr="00515872">
        <w:rPr>
          <w:rFonts w:eastAsia="Times New Roman" w:cs="Tahoma"/>
          <w:szCs w:val="20"/>
          <w:lang w:eastAsia="it-IT"/>
        </w:rPr>
        <w:t>La procedura prevede che i</w:t>
      </w:r>
      <w:r w:rsidR="00276B9F" w:rsidRPr="00515872">
        <w:rPr>
          <w:rFonts w:eastAsia="Times New Roman" w:cs="Tahoma"/>
          <w:szCs w:val="20"/>
          <w:lang w:eastAsia="it-IT"/>
        </w:rPr>
        <w:t>l consiglio dell'ente locale</w:t>
      </w:r>
      <w:r w:rsidRPr="00515872">
        <w:rPr>
          <w:rFonts w:eastAsia="Times New Roman" w:cs="Tahoma"/>
          <w:szCs w:val="20"/>
          <w:lang w:eastAsia="it-IT"/>
        </w:rPr>
        <w:t>,</w:t>
      </w:r>
      <w:r w:rsidR="00276B9F" w:rsidRPr="00515872">
        <w:rPr>
          <w:rFonts w:eastAsia="Times New Roman" w:cs="Tahoma"/>
          <w:szCs w:val="20"/>
          <w:lang w:eastAsia="it-IT"/>
        </w:rPr>
        <w:t xml:space="preserve"> entro il termine perentorio di 90 giorni</w:t>
      </w:r>
      <w:r w:rsidR="00276B9F" w:rsidRPr="00515872">
        <w:rPr>
          <w:rStyle w:val="Rimandonotaapidipagina"/>
          <w:rFonts w:eastAsia="Times New Roman" w:cs="Tahoma"/>
          <w:szCs w:val="20"/>
          <w:lang w:eastAsia="it-IT"/>
        </w:rPr>
        <w:footnoteReference w:id="83"/>
      </w:r>
      <w:r w:rsidR="00276B9F" w:rsidRPr="00515872">
        <w:rPr>
          <w:rFonts w:eastAsia="Times New Roman" w:cs="Tahoma"/>
          <w:szCs w:val="20"/>
          <w:lang w:eastAsia="it-IT"/>
        </w:rPr>
        <w:t xml:space="preserve"> dalla data di esecutività della delibera, adotta un piano di riequilibrio finanziario pluriennale della durata compresa tra 4 e 20 anni, incluso quello in corso, in funzione del rapporto fra passività da ripianare ed impegni di parte corrente dell’anno precedente a quello di deliberazione del ricorso alla procedura di riequilibrio</w:t>
      </w:r>
      <w:r w:rsidR="00276B9F" w:rsidRPr="00515872">
        <w:rPr>
          <w:rStyle w:val="Rimandonotaapidipagina"/>
          <w:rFonts w:eastAsia="Times New Roman" w:cs="Tahoma"/>
          <w:szCs w:val="20"/>
          <w:lang w:eastAsia="it-IT"/>
        </w:rPr>
        <w:footnoteReference w:id="84"/>
      </w:r>
      <w:r w:rsidR="00276B9F" w:rsidRPr="00515872">
        <w:rPr>
          <w:rFonts w:eastAsia="Times New Roman" w:cs="Tahoma"/>
          <w:szCs w:val="20"/>
          <w:lang w:eastAsia="it-IT"/>
        </w:rPr>
        <w:t xml:space="preserve">. Il piano è corredato </w:t>
      </w:r>
      <w:r w:rsidR="00276B9F" w:rsidRPr="00515872">
        <w:rPr>
          <w:rFonts w:eastAsia="Times New Roman" w:cs="Tahoma"/>
          <w:szCs w:val="20"/>
          <w:lang w:eastAsia="it-IT"/>
        </w:rPr>
        <w:lastRenderedPageBreak/>
        <w:t xml:space="preserve">del </w:t>
      </w:r>
      <w:r w:rsidR="00276B9F" w:rsidRPr="00515872">
        <w:rPr>
          <w:rFonts w:eastAsia="Times New Roman" w:cs="Tahoma"/>
          <w:b/>
          <w:szCs w:val="20"/>
          <w:lang w:eastAsia="it-IT"/>
        </w:rPr>
        <w:t>parere dell'organo di revisione economico-finanziaria</w:t>
      </w:r>
      <w:r w:rsidR="00276B9F" w:rsidRPr="00515872">
        <w:rPr>
          <w:rFonts w:eastAsia="Times New Roman" w:cs="Tahoma"/>
          <w:szCs w:val="20"/>
          <w:lang w:eastAsia="it-IT"/>
        </w:rPr>
        <w:t xml:space="preserve"> e sottoposto, preliminarmente, a verifica da parte del Ministero dell’Interno e a successiva approvazione (o diniego) da parte della competente sezione regionale di controllo della Corte dei Conti; esso deve tenere conto di tutte le misure necessarie a superare le condizioni di squilibrio rilevate.</w:t>
      </w:r>
    </w:p>
    <w:p w14:paraId="45BF7413"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Al fine di assicurare il riequilibrio finanziario, per tutto il periodo di durata del piano, l'ente:</w:t>
      </w:r>
    </w:p>
    <w:p w14:paraId="5CD4C7C1"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può deliberare le aliquote o tariffe dei tributi locali nella misura massima consentita;</w:t>
      </w:r>
    </w:p>
    <w:p w14:paraId="6A00228F"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è soggetto ai controlli centrali in materia di copertura di costo di alcuni servizi;</w:t>
      </w:r>
    </w:p>
    <w:p w14:paraId="223AB3EC"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deve assicurare la copertura dei costi della gestione dei servizi a domanda individuale;</w:t>
      </w:r>
    </w:p>
    <w:p w14:paraId="411534C2"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è tenuto ad assicurare la copertura integrale dei costi della gestione del servizio di smaltimento dei rifiuti solidi urbani e del servizio acquedotto;</w:t>
      </w:r>
    </w:p>
    <w:p w14:paraId="6595D004"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è soggetto al controllo sulle dotazioni organiche e sulle assunzioni di personale previsto dall'art. 243, c. 1, del TUEL;</w:t>
      </w:r>
    </w:p>
    <w:p w14:paraId="3F5A059E"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è tenuto ad effettuare una revisione straordinaria di tutti i residui attivi e passivi, stralciando i residui attivi inesigibili o di dubbia esigibilità, nonché una verifica delle posizioni debitorie aperte con il sistema creditizio, dei procedimenti di realizzazione delle opere pubbliche ad esse sottostanti e della consistenza ed integrale ripristino dei fondi delle entrate con vincolo di destinazione;</w:t>
      </w:r>
    </w:p>
    <w:p w14:paraId="7B9641E8"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è tenuto ad effettuare una revisione della spesa con indicazione di precisi obiettivi di riduzione e a valutare i servizi erogati e la situazione di tutti gli organismi e società partecipati e relativi costi;</w:t>
      </w:r>
    </w:p>
    <w:p w14:paraId="4E6B545F" w14:textId="77777777" w:rsidR="00276B9F" w:rsidRPr="00515872" w:rsidRDefault="00276B9F" w:rsidP="00276B9F">
      <w:pPr>
        <w:pStyle w:val="Paragrafoelenco"/>
        <w:numPr>
          <w:ilvl w:val="0"/>
          <w:numId w:val="131"/>
        </w:numPr>
        <w:spacing w:line="360" w:lineRule="auto"/>
        <w:jc w:val="both"/>
        <w:rPr>
          <w:rFonts w:eastAsia="Times New Roman" w:cs="Tahoma"/>
          <w:szCs w:val="20"/>
          <w:lang w:eastAsia="it-IT"/>
        </w:rPr>
      </w:pPr>
      <w:r w:rsidRPr="00515872">
        <w:rPr>
          <w:rFonts w:eastAsia="Times New Roman" w:cs="Tahoma"/>
          <w:szCs w:val="20"/>
          <w:lang w:eastAsia="it-IT"/>
        </w:rPr>
        <w:t>a determinate condizioni, può procedere all'assunzione di mutui per la copertura di debiti fuori bilancio, in deroga ai limiti di cui all'art. 204, c. 1 del TUEL, ed accedere al fondo di rotazione istituito dall’art. 4 del D.L. n. 174/2012, per assicurare la stabilità finanziaria degli enti locali di cui all'art. 243-ter.</w:t>
      </w:r>
    </w:p>
    <w:p w14:paraId="06909A5B"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L’ente è tenuto, inoltre, ad effettuare una ricognizione di tutti i debiti fuori bilancio riconoscibili ai sensi dell’art. 194 del TUEL.</w:t>
      </w:r>
    </w:p>
    <w:p w14:paraId="747E405D"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legge di bilancio 2017 ha modificato il c. 714 dell’art. 1, L. 208/2015 prevedendo che gli enti locali che hanno presentato il piano di riequilibrio finanziario pluriennale o ne hanno conseguito l’approvazione ai sensi dell’art. 243-bis del TUEL</w:t>
      </w:r>
      <w:r w:rsidRPr="00515872">
        <w:rPr>
          <w:rFonts w:cs="Tahoma"/>
          <w:color w:val="000000"/>
          <w:shd w:val="clear" w:color="auto" w:fill="F9F8F4"/>
        </w:rPr>
        <w:t xml:space="preserve">, </w:t>
      </w:r>
      <w:r w:rsidRPr="00515872">
        <w:rPr>
          <w:rFonts w:eastAsia="Times New Roman" w:cs="Tahoma"/>
          <w:szCs w:val="20"/>
          <w:lang w:eastAsia="it-IT"/>
        </w:rPr>
        <w:t xml:space="preserve">prima dell’approvazione del rendiconto per il 2014, se alla data della presentazione o dell’approvazione del medesimo piano non avevano ancora provveduto ad effettuare il riaccertamento straordinario dei residui attivi e passivi ex art. 3, c. 7, D.Lgs. 118/2011, potevano rimodulare o riformulare il predetto piano, entro il 31 maggio 2017, scorporando la quota di disavanzo risultante dalla revisione </w:t>
      </w:r>
      <w:r w:rsidRPr="00515872">
        <w:rPr>
          <w:rFonts w:eastAsia="Times New Roman" w:cs="Tahoma"/>
          <w:szCs w:val="20"/>
          <w:lang w:eastAsia="it-IT"/>
        </w:rPr>
        <w:lastRenderedPageBreak/>
        <w:t>straordinaria dei residui di cui all’art. 243-bis, c. 8, lett. e), limitatamente ai residui antecedenti al 1° gennaio 2015, e ripianando tale quota secondo le modalità previste dal D.M. Economia e delle Finanze 2 aprile 2015.</w:t>
      </w:r>
    </w:p>
    <w:p w14:paraId="2A782F8A" w14:textId="77777777" w:rsidR="00276B9F" w:rsidRPr="00515872" w:rsidRDefault="00276B9F" w:rsidP="00276B9F">
      <w:pPr>
        <w:spacing w:line="360" w:lineRule="auto"/>
        <w:jc w:val="both"/>
        <w:rPr>
          <w:rFonts w:eastAsia="Times New Roman" w:cs="Tahoma"/>
          <w:szCs w:val="20"/>
          <w:lang w:eastAsia="it-IT"/>
        </w:rPr>
      </w:pPr>
      <w:r w:rsidRPr="00515872">
        <w:rPr>
          <w:rFonts w:cs="Tahoma"/>
          <w:szCs w:val="20"/>
        </w:rPr>
        <w:t xml:space="preserve">La </w:t>
      </w:r>
      <w:hyperlink r:id="rId34" w:history="1">
        <w:r w:rsidRPr="00515872">
          <w:rPr>
            <w:rStyle w:val="Collegamentoipertestuale"/>
            <w:rFonts w:eastAsia="MS Gothic" w:cs="Tahoma"/>
            <w:color w:val="auto"/>
            <w:szCs w:val="20"/>
            <w:u w:val="none"/>
          </w:rPr>
          <w:t>Corte Costituzionale, con sentenza 5 dicembre 2018-14 febbraio 2019, n. 18</w:t>
        </w:r>
      </w:hyperlink>
      <w:r w:rsidRPr="00515872">
        <w:rPr>
          <w:rFonts w:cs="Tahoma"/>
          <w:szCs w:val="20"/>
        </w:rPr>
        <w:t xml:space="preserve"> (Gazz. Uff. 20 febbraio 2019, n. 8 – Prima serie speciale), ha dichiarato l’illegittimità costituzionale del c. 714 come sostituito dall’</w:t>
      </w:r>
      <w:hyperlink r:id="rId35" w:history="1">
        <w:r w:rsidRPr="00515872">
          <w:rPr>
            <w:rStyle w:val="linkneltesto"/>
            <w:rFonts w:eastAsiaTheme="majorEastAsia" w:cs="Tahoma"/>
            <w:szCs w:val="20"/>
          </w:rPr>
          <w:t>art. 1, c. 434, L. n. 232/2016</w:t>
        </w:r>
      </w:hyperlink>
      <w:r w:rsidRPr="00515872">
        <w:rPr>
          <w:rStyle w:val="linkneltesto"/>
          <w:rFonts w:eastAsiaTheme="majorEastAsia" w:cs="Tahoma"/>
          <w:szCs w:val="20"/>
        </w:rPr>
        <w:t xml:space="preserve"> con obbligo per gli enti interessati di incrementare la quota annuale di ripiano del proprio piano di riequilibrio. L’art. 38, D.L. 30 dicembre 2019, n. 162, conv. L. 28 febbraio 2020, n. 8 </w:t>
      </w:r>
      <w:r w:rsidR="00202ED0" w:rsidRPr="00515872">
        <w:rPr>
          <w:rStyle w:val="linkneltesto"/>
          <w:rFonts w:eastAsiaTheme="majorEastAsia" w:cs="Tahoma"/>
          <w:szCs w:val="20"/>
        </w:rPr>
        <w:t xml:space="preserve">ha previsto </w:t>
      </w:r>
      <w:r w:rsidRPr="00515872">
        <w:rPr>
          <w:rStyle w:val="linkneltesto"/>
          <w:rFonts w:eastAsiaTheme="majorEastAsia" w:cs="Tahoma"/>
          <w:szCs w:val="20"/>
        </w:rPr>
        <w:t>che tali enti, per l’anno 2020, po</w:t>
      </w:r>
      <w:r w:rsidR="00202ED0" w:rsidRPr="00515872">
        <w:rPr>
          <w:rStyle w:val="linkneltesto"/>
          <w:rFonts w:eastAsiaTheme="majorEastAsia" w:cs="Tahoma"/>
          <w:szCs w:val="20"/>
        </w:rPr>
        <w:t>tessero</w:t>
      </w:r>
      <w:r w:rsidRPr="00515872">
        <w:rPr>
          <w:rStyle w:val="linkneltesto"/>
          <w:rFonts w:eastAsiaTheme="majorEastAsia" w:cs="Tahoma"/>
          <w:szCs w:val="20"/>
        </w:rPr>
        <w:t xml:space="preserve"> chiedere al Ministero dell’Interno entro il 31 gennaio 2020 un incremento dell’anticipazione già ricevuta, a valere sul “Fondo di rotazione per assicurare la stabilità finanziaria degli enti locali”. L’anticipazione p</w:t>
      </w:r>
      <w:r w:rsidR="00202ED0" w:rsidRPr="00515872">
        <w:rPr>
          <w:rStyle w:val="linkneltesto"/>
          <w:rFonts w:eastAsiaTheme="majorEastAsia" w:cs="Tahoma"/>
          <w:szCs w:val="20"/>
        </w:rPr>
        <w:t>oteva</w:t>
      </w:r>
      <w:r w:rsidRPr="00515872">
        <w:rPr>
          <w:rStyle w:val="linkneltesto"/>
          <w:rFonts w:eastAsiaTheme="majorEastAsia" w:cs="Tahoma"/>
          <w:szCs w:val="20"/>
        </w:rPr>
        <w:t xml:space="preserve"> essere utilizzata, oltre che per il pagamento di debiti presenti nel piano di riequilibrio, anche per il pagamento delle esposizioni eventualmente derivanti dal contenzioso censito nel piano stesso.</w:t>
      </w:r>
    </w:p>
    <w:p w14:paraId="5FC48F6E"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restituzione delle anticipazioni di liquidità erogate a tali enti, ai sensi degli artt. 243-ter e 243-quinquies del TUEL è effettuata in un periodo massimo di 30 anni decorrente dall’anno successivo a quello in cui è stata erogata l’anticipazione.</w:t>
      </w:r>
    </w:p>
    <w:p w14:paraId="12BF680C" w14:textId="77777777" w:rsidR="00276B9F" w:rsidRPr="00515872" w:rsidRDefault="00276B9F" w:rsidP="00276B9F">
      <w:pPr>
        <w:spacing w:line="360" w:lineRule="auto"/>
        <w:jc w:val="both"/>
        <w:rPr>
          <w:rFonts w:cs="Tahoma"/>
          <w:color w:val="000000"/>
        </w:rPr>
      </w:pPr>
      <w:r w:rsidRPr="00515872">
        <w:rPr>
          <w:rFonts w:cs="Tahoma"/>
          <w:color w:val="000000"/>
        </w:rPr>
        <w:t>Inoltre, il c. 714-bis prevede che gli stessi enti, con delibera da adottarsi dal consiglio entro la data del 30 settembre 2016, potevano provvedere a rimodulare o riformulare il piano stesso, ferma restando la sua durata originaria e quanto previsto nell’art. 243-</w:t>
      </w:r>
      <w:r w:rsidRPr="00515872">
        <w:rPr>
          <w:rFonts w:cs="Tahoma"/>
          <w:iCs/>
          <w:color w:val="000000"/>
        </w:rPr>
        <w:t>bis</w:t>
      </w:r>
      <w:r w:rsidRPr="00515872">
        <w:rPr>
          <w:rFonts w:cs="Tahoma"/>
          <w:color w:val="000000"/>
        </w:rPr>
        <w:t xml:space="preserve">, c. 7, del TUEL (ricognizione dei debiti fuori bilancio), per tenere conto dell’eventuale disavanzo risultante dal rendiconto approvato o dei debiti fuori bilancio, anche in deroga agli artt. 188 e 194 del TUEL. </w:t>
      </w:r>
    </w:p>
    <w:p w14:paraId="54075C37" w14:textId="77777777" w:rsidR="00276B9F" w:rsidRPr="00515872" w:rsidRDefault="00276B9F" w:rsidP="00276B9F">
      <w:pPr>
        <w:spacing w:line="360" w:lineRule="auto"/>
        <w:jc w:val="both"/>
        <w:rPr>
          <w:rFonts w:eastAsia="Times New Roman" w:cs="Tahoma"/>
          <w:szCs w:val="20"/>
          <w:lang w:eastAsia="it-IT"/>
        </w:rPr>
      </w:pPr>
      <w:r w:rsidRPr="00515872">
        <w:rPr>
          <w:rFonts w:cs="Tahoma"/>
          <w:color w:val="000000"/>
          <w:szCs w:val="20"/>
        </w:rPr>
        <w:t>Il c. 849 della legge di bilancio n. 205/2017 consentiva a</w:t>
      </w:r>
      <w:r w:rsidRPr="00515872">
        <w:rPr>
          <w:rFonts w:eastAsia="Times New Roman" w:cs="Tahoma"/>
          <w:szCs w:val="20"/>
          <w:lang w:eastAsia="it-IT"/>
        </w:rPr>
        <w:t>gli enti locali che avessero presentato il piano di riequilibrio finanziario pluriennale o ne avessero conseguito l'approvazione, ai sensi dell'articolo 243-bis del TUEL, prima del riaccertamento straordinario di cui al c. 848</w:t>
      </w:r>
      <w:r w:rsidRPr="00515872">
        <w:rPr>
          <w:rStyle w:val="Rimandonotaapidipagina"/>
          <w:rFonts w:eastAsia="Times New Roman" w:cs="Tahoma"/>
          <w:szCs w:val="20"/>
          <w:lang w:eastAsia="it-IT"/>
        </w:rPr>
        <w:footnoteReference w:id="85"/>
      </w:r>
      <w:r w:rsidRPr="00515872">
        <w:rPr>
          <w:rFonts w:eastAsia="Times New Roman" w:cs="Tahoma"/>
          <w:szCs w:val="20"/>
          <w:lang w:eastAsia="it-IT"/>
        </w:rPr>
        <w:t xml:space="preserve">, di rimodulare o riformulare il predetto piano, entro il 31 luglio 2018, al fine di tenere conto di quanto previsto dallo stesso c. 848. Gli enti inviavano a tal fine richiesta alla Corte dei Conti e al Ministero dell’Interno entro il 16 gennaio 2018. Nei successivi 45 giorni il consiglio comunale doveva approvare il piano rimodulato corredato dal </w:t>
      </w:r>
      <w:r w:rsidRPr="00515872">
        <w:rPr>
          <w:rFonts w:eastAsia="Times New Roman" w:cs="Tahoma"/>
          <w:b/>
          <w:szCs w:val="20"/>
          <w:lang w:eastAsia="it-IT"/>
        </w:rPr>
        <w:t>parere dell’organo di revisione</w:t>
      </w:r>
      <w:r w:rsidRPr="00515872">
        <w:rPr>
          <w:rFonts w:eastAsia="Times New Roman" w:cs="Tahoma"/>
          <w:szCs w:val="20"/>
          <w:lang w:eastAsia="it-IT"/>
        </w:rPr>
        <w:t>.</w:t>
      </w:r>
    </w:p>
    <w:p w14:paraId="39698B3D"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Entro 10 giorni dalla data della delibera del piano di riequilibrio, lo stesso è trasmesso alla competente sezione regionale di controllo della Corte dei Conti, nonché alla commissione per la stabilità finanziaria degli enti locali, </w:t>
      </w:r>
      <w:r w:rsidRPr="00515872">
        <w:rPr>
          <w:rFonts w:eastAsia="Times New Roman" w:cs="Tahoma"/>
          <w:szCs w:val="20"/>
          <w:lang w:eastAsia="it-IT"/>
        </w:rPr>
        <w:lastRenderedPageBreak/>
        <w:t>la quale, entro il termine di 60 giorni dalla data di presentazione del piano, svolge la necessaria istruttoria</w:t>
      </w:r>
      <w:r w:rsidRPr="00515872">
        <w:rPr>
          <w:rStyle w:val="Rimandonotaapidipagina"/>
          <w:rFonts w:eastAsia="Times New Roman" w:cs="Tahoma"/>
          <w:szCs w:val="20"/>
          <w:lang w:eastAsia="it-IT"/>
        </w:rPr>
        <w:footnoteReference w:id="86"/>
      </w:r>
      <w:r w:rsidRPr="00515872">
        <w:rPr>
          <w:rFonts w:eastAsia="Times New Roman" w:cs="Tahoma"/>
          <w:szCs w:val="20"/>
          <w:lang w:eastAsia="it-IT"/>
        </w:rPr>
        <w:t>. All'esito dell'istruttoria, la commissione redige una relazione finale, con gli eventuali allegati, che è trasmessa alla sezione regionale di controllo della Corte dei Conti.</w:t>
      </w:r>
    </w:p>
    <w:p w14:paraId="210F7429"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Nella fase istruttoria, la commissione può formulare rilievi o richieste istruttorie, cui l'ente è tenuto a fornire risposta entro 30 giorni</w:t>
      </w:r>
      <w:r w:rsidRPr="00515872">
        <w:rPr>
          <w:rStyle w:val="Rimandonotaapidipagina"/>
          <w:rFonts w:eastAsia="Times New Roman" w:cs="Tahoma"/>
          <w:szCs w:val="20"/>
          <w:lang w:eastAsia="it-IT"/>
        </w:rPr>
        <w:footnoteReference w:id="87"/>
      </w:r>
      <w:r w:rsidRPr="00515872">
        <w:rPr>
          <w:rFonts w:eastAsia="Times New Roman" w:cs="Tahoma"/>
          <w:szCs w:val="20"/>
          <w:lang w:eastAsia="it-IT"/>
        </w:rPr>
        <w:t>.</w:t>
      </w:r>
    </w:p>
    <w:p w14:paraId="68E809EE"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La sezione regionale di controllo della Corte dei Conti, entro il termine di 30 giorni dalla data di ricezione della documentazione, delibera sull'approvazione o sul diniego del piano.</w:t>
      </w:r>
    </w:p>
    <w:p w14:paraId="28D1E2C7" w14:textId="77777777" w:rsidR="005D1ED0" w:rsidRPr="00515872" w:rsidRDefault="005D1ED0" w:rsidP="00276B9F">
      <w:pPr>
        <w:tabs>
          <w:tab w:val="left" w:pos="7078"/>
        </w:tabs>
        <w:spacing w:line="360" w:lineRule="auto"/>
        <w:jc w:val="both"/>
        <w:rPr>
          <w:rFonts w:eastAsia="Times New Roman" w:cs="Tahoma"/>
          <w:szCs w:val="20"/>
          <w:lang w:eastAsia="it-IT"/>
        </w:rPr>
      </w:pPr>
    </w:p>
    <w:p w14:paraId="16F5B4AD" w14:textId="77777777" w:rsidR="005D1ED0" w:rsidRPr="00515872" w:rsidRDefault="005D1ED0" w:rsidP="005D1ED0">
      <w:pPr>
        <w:pStyle w:val="Sottoparagrafo"/>
        <w:rPr>
          <w:rFonts w:cs="Tahoma"/>
          <w:lang w:eastAsia="it-IT"/>
        </w:rPr>
      </w:pPr>
      <w:bookmarkStart w:id="174" w:name="_Toc95912295"/>
      <w:r w:rsidRPr="00515872">
        <w:rPr>
          <w:rFonts w:cs="Tahoma"/>
          <w:lang w:eastAsia="it-IT"/>
        </w:rPr>
        <w:t>5.3.1 Relazioni dell’organo di revisione</w:t>
      </w:r>
      <w:bookmarkEnd w:id="174"/>
    </w:p>
    <w:p w14:paraId="6B211627" w14:textId="77777777" w:rsidR="00276B9F" w:rsidRPr="00515872" w:rsidRDefault="00276B9F" w:rsidP="00276B9F">
      <w:pPr>
        <w:spacing w:after="0" w:line="360" w:lineRule="auto"/>
        <w:jc w:val="both"/>
        <w:rPr>
          <w:rFonts w:cs="Tahoma"/>
          <w:color w:val="1A171B"/>
          <w:szCs w:val="20"/>
          <w:shd w:val="clear" w:color="auto" w:fill="FFFFFF" w:themeFill="background1"/>
        </w:rPr>
      </w:pPr>
      <w:r w:rsidRPr="00515872">
        <w:rPr>
          <w:rFonts w:cs="Tahoma"/>
          <w:color w:val="1A171B"/>
          <w:szCs w:val="20"/>
          <w:shd w:val="clear" w:color="auto" w:fill="FFFFFF" w:themeFill="background1"/>
        </w:rPr>
        <w:t>In questa procedura ruolo primario riveste l'organo di revisione che deve, secondo quanto affermato dell'art. 243-bis, c. 5 del Tuel, rilasciare il proprio parere sulla delibera di consiglio comunale che prevede il ricorso al piano di riequilibrio pluriennale. Al fine di emettere tale parere il revisore deve verificare che il piano ricostruisca correttamente l’obiettivo del riequilibrio, ossia il disavanzo sostanziale al lordo dei debiti fuori bilancio da ripianare. In particolare occorre verificare:</w:t>
      </w:r>
    </w:p>
    <w:p w14:paraId="6F5BD70B" w14:textId="77777777" w:rsidR="00276B9F" w:rsidRPr="00515872" w:rsidRDefault="00276B9F" w:rsidP="00276B9F">
      <w:pPr>
        <w:pStyle w:val="Paragrafoelenco"/>
        <w:numPr>
          <w:ilvl w:val="0"/>
          <w:numId w:val="230"/>
        </w:numPr>
        <w:spacing w:line="360" w:lineRule="auto"/>
        <w:ind w:left="284" w:hanging="284"/>
        <w:jc w:val="both"/>
        <w:rPr>
          <w:rFonts w:cs="Tahoma"/>
          <w:szCs w:val="20"/>
        </w:rPr>
      </w:pPr>
      <w:r w:rsidRPr="00515872">
        <w:rPr>
          <w:rFonts w:cs="Tahoma"/>
          <w:color w:val="000000"/>
          <w:szCs w:val="20"/>
        </w:rPr>
        <w:t>che la massa passiva sia completa e non sottostimata e comprenda anche i debiti fuori bilancio ed eventuali passività potenziali rese note;</w:t>
      </w:r>
    </w:p>
    <w:p w14:paraId="3155AB05" w14:textId="77777777" w:rsidR="00276B9F" w:rsidRPr="00515872" w:rsidRDefault="00276B9F" w:rsidP="00276B9F">
      <w:pPr>
        <w:pStyle w:val="Paragrafoelenco"/>
        <w:numPr>
          <w:ilvl w:val="0"/>
          <w:numId w:val="230"/>
        </w:numPr>
        <w:spacing w:line="360" w:lineRule="auto"/>
        <w:ind w:left="284" w:hanging="284"/>
        <w:jc w:val="both"/>
        <w:rPr>
          <w:rFonts w:cs="Tahoma"/>
          <w:szCs w:val="20"/>
        </w:rPr>
      </w:pPr>
      <w:r w:rsidRPr="00515872">
        <w:rPr>
          <w:rFonts w:cs="Tahoma"/>
          <w:color w:val="000000"/>
          <w:szCs w:val="20"/>
        </w:rPr>
        <w:t>l’attendibilità delle misure individuate nel piano cioè l’effettiva probabilità di realizzo delle medesime.</w:t>
      </w:r>
      <w:r w:rsidRPr="00515872">
        <w:rPr>
          <w:rFonts w:cs="Tahoma"/>
          <w:szCs w:val="20"/>
        </w:rPr>
        <w:t xml:space="preserve"> </w:t>
      </w:r>
    </w:p>
    <w:p w14:paraId="3E8EB98E"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Ai fini del controllo dell'attuazione del piano di riequilibrio finanziario pluriennale approvato, l'organo di revisione dell'ente deve trasmettere al Ministero dell'Interno e alla competente sezione regionale della Corte dei Conti, entro 15 giorni successivi alla scadenza di ciascun semestre, una </w:t>
      </w:r>
      <w:r w:rsidRPr="00515872">
        <w:rPr>
          <w:rFonts w:eastAsia="Times New Roman" w:cs="Tahoma"/>
          <w:b/>
          <w:szCs w:val="20"/>
          <w:lang w:eastAsia="it-IT"/>
        </w:rPr>
        <w:t>relazione sullo stato di attuazione del piano e sul raggiungimento degli obiettivi intermedi fissati</w:t>
      </w:r>
      <w:r w:rsidRPr="00515872">
        <w:rPr>
          <w:rFonts w:eastAsia="Times New Roman" w:cs="Tahoma"/>
          <w:szCs w:val="20"/>
          <w:lang w:eastAsia="it-IT"/>
        </w:rPr>
        <w:t xml:space="preserve"> dal piano stesso, nonché, entro il 31 gennaio dell'anno successivo all'ultimo esercizio di durata del piano, una </w:t>
      </w:r>
      <w:r w:rsidRPr="00515872">
        <w:rPr>
          <w:rFonts w:eastAsia="Times New Roman" w:cs="Tahoma"/>
          <w:b/>
          <w:szCs w:val="20"/>
          <w:lang w:eastAsia="it-IT"/>
        </w:rPr>
        <w:t>relazione finale sulla completa attuazione dello stesso e sugli obiettivi di riequilibrio raggiunti</w:t>
      </w:r>
      <w:r w:rsidRPr="00515872">
        <w:rPr>
          <w:rFonts w:eastAsia="Times New Roman" w:cs="Tahoma"/>
          <w:szCs w:val="20"/>
          <w:lang w:eastAsia="it-IT"/>
        </w:rPr>
        <w:t>.</w:t>
      </w:r>
    </w:p>
    <w:p w14:paraId="04715528" w14:textId="77777777" w:rsidR="00276B9F" w:rsidRPr="00515872" w:rsidRDefault="00276B9F" w:rsidP="00276B9F">
      <w:pPr>
        <w:spacing w:line="360" w:lineRule="auto"/>
        <w:jc w:val="both"/>
        <w:rPr>
          <w:rFonts w:cs="Tahoma"/>
          <w:color w:val="000000"/>
          <w:szCs w:val="20"/>
        </w:rPr>
      </w:pPr>
      <w:r w:rsidRPr="00515872">
        <w:rPr>
          <w:rFonts w:cs="Tahoma"/>
          <w:color w:val="000000"/>
          <w:szCs w:val="20"/>
        </w:rPr>
        <w:t>Analogamente, l’organo di revisione deve esprimere un parere in caso di rimodulazione o riformulazione del piano ai sensi di legge</w:t>
      </w:r>
      <w:r w:rsidRPr="00515872">
        <w:rPr>
          <w:rStyle w:val="Rimandonotaapidipagina"/>
          <w:rFonts w:cs="Tahoma"/>
          <w:color w:val="000000"/>
          <w:szCs w:val="20"/>
        </w:rPr>
        <w:footnoteReference w:id="88"/>
      </w:r>
      <w:r w:rsidRPr="00515872">
        <w:rPr>
          <w:rFonts w:cs="Tahoma"/>
          <w:color w:val="000000"/>
          <w:szCs w:val="20"/>
        </w:rPr>
        <w:t>.</w:t>
      </w:r>
    </w:p>
    <w:p w14:paraId="0ADC8779" w14:textId="77777777" w:rsidR="00276B9F" w:rsidRPr="00515872" w:rsidRDefault="00276B9F" w:rsidP="00276B9F">
      <w:pPr>
        <w:spacing w:line="360" w:lineRule="auto"/>
        <w:jc w:val="both"/>
        <w:rPr>
          <w:rFonts w:cs="Tahoma"/>
          <w:b/>
          <w:bCs/>
          <w:i/>
          <w:color w:val="000000"/>
          <w:sz w:val="22"/>
          <w:szCs w:val="24"/>
          <w:lang w:eastAsia="it-IT"/>
        </w:rPr>
      </w:pPr>
    </w:p>
    <w:p w14:paraId="4945D950" w14:textId="77777777" w:rsidR="00AD2719" w:rsidRPr="00515872" w:rsidRDefault="00AD2719" w:rsidP="00297A21">
      <w:pPr>
        <w:pStyle w:val="Paragrafo"/>
        <w:rPr>
          <w:b w:val="0"/>
          <w:bCs/>
          <w:color w:val="000000"/>
          <w:lang w:eastAsia="it-IT"/>
        </w:rPr>
      </w:pPr>
      <w:bookmarkStart w:id="175" w:name="_Toc95912296"/>
      <w:r w:rsidRPr="00515872">
        <w:lastRenderedPageBreak/>
        <w:t>5.4 Deficitarietà strutturale</w:t>
      </w:r>
      <w:bookmarkEnd w:id="175"/>
    </w:p>
    <w:p w14:paraId="17AEC049" w14:textId="77777777" w:rsidR="00066542"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 xml:space="preserve">Sono da considerarsi strutturalmente deficitari, ai sensi dell’art. 242 del TUEL, gli enti locali che presentano </w:t>
      </w:r>
      <w:r w:rsidRPr="00515872">
        <w:rPr>
          <w:rFonts w:eastAsia="Times New Roman" w:cs="Tahoma"/>
          <w:b/>
          <w:szCs w:val="20"/>
          <w:lang w:eastAsia="it-IT"/>
        </w:rPr>
        <w:t>gravi ed incontrovertibili condizioni di squilibrio, rilevabili da un</w:t>
      </w:r>
      <w:r w:rsidR="00066542" w:rsidRPr="00515872">
        <w:rPr>
          <w:rFonts w:eastAsia="Times New Roman" w:cs="Tahoma"/>
          <w:b/>
          <w:szCs w:val="20"/>
          <w:lang w:eastAsia="it-IT"/>
        </w:rPr>
        <w:t>’</w:t>
      </w:r>
      <w:r w:rsidRPr="00515872">
        <w:rPr>
          <w:rFonts w:eastAsia="Times New Roman" w:cs="Tahoma"/>
          <w:b/>
          <w:szCs w:val="20"/>
          <w:lang w:eastAsia="it-IT"/>
        </w:rPr>
        <w:t>apposita tabella</w:t>
      </w:r>
      <w:r w:rsidRPr="00515872">
        <w:rPr>
          <w:rFonts w:eastAsia="Times New Roman" w:cs="Tahoma"/>
          <w:szCs w:val="20"/>
          <w:lang w:eastAsia="it-IT"/>
        </w:rPr>
        <w:t>, da allegare al rendiconto della gestione, contenente parametri obiettivi dei quali almeno la metà presentino valori deficitari. Tali parametri sono costituiti principalmente da rapporti fra entità del rendiconto dell’ente</w:t>
      </w:r>
      <w:r w:rsidR="00066542" w:rsidRPr="00515872">
        <w:rPr>
          <w:rFonts w:eastAsia="Times New Roman" w:cs="Tahoma"/>
          <w:szCs w:val="20"/>
          <w:lang w:eastAsia="it-IT"/>
        </w:rPr>
        <w:t>.</w:t>
      </w:r>
    </w:p>
    <w:p w14:paraId="26136B6A" w14:textId="77777777" w:rsidR="00066542"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 parametri obiettivo sono fi</w:t>
      </w:r>
      <w:r w:rsidR="00066542" w:rsidRPr="00515872">
        <w:rPr>
          <w:rFonts w:eastAsia="Times New Roman" w:cs="Tahoma"/>
          <w:szCs w:val="20"/>
          <w:lang w:eastAsia="it-IT"/>
        </w:rPr>
        <w:t>ssati con decreto ministeriale.</w:t>
      </w:r>
    </w:p>
    <w:p w14:paraId="520C9281" w14:textId="77777777" w:rsidR="00276B9F" w:rsidRPr="00515872" w:rsidRDefault="00276B9F" w:rsidP="00276B9F">
      <w:pPr>
        <w:spacing w:line="360" w:lineRule="auto"/>
        <w:jc w:val="both"/>
        <w:rPr>
          <w:rFonts w:eastAsia="Times New Roman" w:cs="Tahoma"/>
          <w:szCs w:val="20"/>
          <w:lang w:eastAsia="it-IT"/>
        </w:rPr>
      </w:pPr>
      <w:r w:rsidRPr="00515872">
        <w:rPr>
          <w:rFonts w:eastAsia="Times New Roman" w:cs="Tahoma"/>
          <w:szCs w:val="20"/>
          <w:lang w:eastAsia="it-IT"/>
        </w:rPr>
        <w:t>Il rendiconto della gestione su cui vanno calcolati è quello relativo al penultimo esercizio precedente quello di riferimento.</w:t>
      </w:r>
    </w:p>
    <w:p w14:paraId="475D4644" w14:textId="77777777" w:rsidR="00276B9F" w:rsidRPr="00515872" w:rsidRDefault="00276B9F" w:rsidP="00276B9F">
      <w:pPr>
        <w:spacing w:after="0" w:line="360" w:lineRule="auto"/>
        <w:jc w:val="both"/>
        <w:rPr>
          <w:rFonts w:eastAsia="Times New Roman" w:cs="Tahoma"/>
          <w:szCs w:val="20"/>
          <w:lang w:eastAsia="it-IT"/>
        </w:rPr>
      </w:pPr>
      <w:r w:rsidRPr="00515872">
        <w:rPr>
          <w:rFonts w:eastAsia="Times New Roman" w:cs="Tahoma"/>
          <w:szCs w:val="20"/>
          <w:lang w:eastAsia="it-IT"/>
        </w:rPr>
        <w:t>Gli enti strutturalmente deficitari sono soggetti ad una serie di controlli da parte della commissione per la stabilità finanziaria degli enti locali e di misure di contenimento dei costi. La commissione verifica che il costo dei servizi sia coperto:</w:t>
      </w:r>
    </w:p>
    <w:p w14:paraId="605D6BA7" w14:textId="77777777" w:rsidR="00276B9F" w:rsidRPr="00515872" w:rsidRDefault="00276B9F" w:rsidP="00276B9F">
      <w:pPr>
        <w:pStyle w:val="Paragrafoelenco"/>
        <w:numPr>
          <w:ilvl w:val="0"/>
          <w:numId w:val="132"/>
        </w:numPr>
        <w:spacing w:line="360" w:lineRule="auto"/>
        <w:jc w:val="both"/>
        <w:rPr>
          <w:rFonts w:eastAsia="Times New Roman" w:cs="Tahoma"/>
          <w:szCs w:val="20"/>
          <w:lang w:eastAsia="it-IT"/>
        </w:rPr>
      </w:pPr>
      <w:r w:rsidRPr="00515872">
        <w:rPr>
          <w:rFonts w:eastAsia="Times New Roman" w:cs="Tahoma"/>
          <w:szCs w:val="20"/>
          <w:lang w:eastAsia="it-IT"/>
        </w:rPr>
        <w:t>per i servizi a domanda individuale</w:t>
      </w:r>
      <w:r w:rsidR="00066542" w:rsidRPr="00515872">
        <w:rPr>
          <w:rFonts w:eastAsia="Times New Roman" w:cs="Tahoma"/>
          <w:szCs w:val="20"/>
          <w:lang w:eastAsia="it-IT"/>
        </w:rPr>
        <w:t>,</w:t>
      </w:r>
      <w:r w:rsidRPr="00515872">
        <w:rPr>
          <w:rFonts w:eastAsia="Times New Roman" w:cs="Tahoma"/>
          <w:szCs w:val="20"/>
          <w:lang w:eastAsia="it-IT"/>
        </w:rPr>
        <w:t xml:space="preserve"> almeno al 36% (i costi per la gestione degli asili nido sono calcolati al 50% fino al 31 dicembre 2021, escludi dall’1 gennaio 2022);</w:t>
      </w:r>
    </w:p>
    <w:p w14:paraId="7AF7D469" w14:textId="77777777" w:rsidR="00276B9F" w:rsidRPr="00515872" w:rsidRDefault="00276B9F" w:rsidP="00276B9F">
      <w:pPr>
        <w:pStyle w:val="Paragrafoelenco"/>
        <w:numPr>
          <w:ilvl w:val="0"/>
          <w:numId w:val="132"/>
        </w:numPr>
        <w:spacing w:line="360" w:lineRule="auto"/>
        <w:jc w:val="both"/>
        <w:rPr>
          <w:rFonts w:eastAsia="Times New Roman" w:cs="Tahoma"/>
          <w:szCs w:val="20"/>
          <w:lang w:eastAsia="it-IT"/>
        </w:rPr>
      </w:pPr>
      <w:r w:rsidRPr="00515872">
        <w:rPr>
          <w:rFonts w:eastAsia="Times New Roman" w:cs="Tahoma"/>
          <w:szCs w:val="20"/>
          <w:lang w:eastAsia="it-IT"/>
        </w:rPr>
        <w:t>per l’acquedotto</w:t>
      </w:r>
      <w:r w:rsidR="00066542" w:rsidRPr="00515872">
        <w:rPr>
          <w:rFonts w:eastAsia="Times New Roman" w:cs="Tahoma"/>
          <w:szCs w:val="20"/>
          <w:lang w:eastAsia="it-IT"/>
        </w:rPr>
        <w:t>,</w:t>
      </w:r>
      <w:r w:rsidRPr="00515872">
        <w:rPr>
          <w:rFonts w:eastAsia="Times New Roman" w:cs="Tahoma"/>
          <w:szCs w:val="20"/>
          <w:lang w:eastAsia="it-IT"/>
        </w:rPr>
        <w:t xml:space="preserve"> almeno all’80%;</w:t>
      </w:r>
    </w:p>
    <w:p w14:paraId="109CABD2" w14:textId="77777777" w:rsidR="00276B9F" w:rsidRPr="00515872" w:rsidRDefault="00276B9F" w:rsidP="00276B9F">
      <w:pPr>
        <w:pStyle w:val="Paragrafoelenco"/>
        <w:numPr>
          <w:ilvl w:val="0"/>
          <w:numId w:val="132"/>
        </w:numPr>
        <w:spacing w:line="360" w:lineRule="auto"/>
        <w:jc w:val="both"/>
        <w:rPr>
          <w:rFonts w:eastAsia="Times New Roman" w:cs="Tahoma"/>
          <w:szCs w:val="20"/>
          <w:lang w:eastAsia="it-IT"/>
        </w:rPr>
      </w:pPr>
      <w:r w:rsidRPr="00515872">
        <w:rPr>
          <w:rFonts w:eastAsia="Times New Roman" w:cs="Tahoma"/>
          <w:szCs w:val="20"/>
          <w:lang w:eastAsia="it-IT"/>
        </w:rPr>
        <w:t>per i rifiuti, nella misura prevista dalla legislazione vigente.</w:t>
      </w:r>
    </w:p>
    <w:p w14:paraId="65784B83" w14:textId="77777777" w:rsidR="00276B9F" w:rsidRPr="00515872" w:rsidRDefault="00276B9F" w:rsidP="00276B9F">
      <w:pPr>
        <w:spacing w:line="360" w:lineRule="auto"/>
        <w:jc w:val="both"/>
        <w:rPr>
          <w:rFonts w:cs="Tahoma"/>
        </w:rPr>
      </w:pPr>
      <w:r w:rsidRPr="00515872">
        <w:rPr>
          <w:rFonts w:cs="Tahoma"/>
        </w:rPr>
        <w:t>Gli enti locali strutturalmente deficitari sono altresì soggetti al controllo centrale sulle dotazioni organiche e sulle assunzioni di personale da parte della Commissione per la finanza e gli organici degli enti locali.</w:t>
      </w:r>
    </w:p>
    <w:p w14:paraId="52F5D195" w14:textId="77777777" w:rsidR="00276B9F" w:rsidRPr="00515872" w:rsidRDefault="00276B9F" w:rsidP="00276B9F">
      <w:pPr>
        <w:spacing w:line="360" w:lineRule="auto"/>
        <w:jc w:val="both"/>
        <w:rPr>
          <w:rFonts w:cs="Tahoma"/>
        </w:rPr>
      </w:pPr>
      <w:r w:rsidRPr="00515872">
        <w:rPr>
          <w:rFonts w:cs="Tahoma"/>
        </w:rPr>
        <w:t xml:space="preserve">Alle province ed ai comuni in condizioni strutturalmente deficitarie che, pur essendo a ciò tenuti, non rispettano i livelli minimi di copertura dei costi di gestione sopra indicati o che non danno dimostrazione di tale rispetto trasmettendo la prevista certificazione, è applicata una sanzione pari all'1% delle entrate correnti risultanti dal rendiconto della gestione del penultimo esercizio finanziario precedente a quello in cui viene rilevato il mancato rispetto dei predetti limiti minimi di copertura. </w:t>
      </w:r>
    </w:p>
    <w:p w14:paraId="3B7617AC" w14:textId="77777777" w:rsidR="00277513" w:rsidRPr="00515872" w:rsidRDefault="00276B9F" w:rsidP="00066542">
      <w:pPr>
        <w:spacing w:line="360" w:lineRule="auto"/>
        <w:jc w:val="both"/>
        <w:rPr>
          <w:rFonts w:cs="Tahoma"/>
          <w:color w:val="000000"/>
        </w:rPr>
      </w:pPr>
      <w:r w:rsidRPr="00515872">
        <w:rPr>
          <w:rFonts w:cs="Tahoma"/>
          <w:color w:val="000000"/>
        </w:rPr>
        <w:t>Il D.M. 28 dicembre 2018 ha introdotto i</w:t>
      </w:r>
      <w:r w:rsidR="00066542" w:rsidRPr="00515872">
        <w:rPr>
          <w:rFonts w:cs="Tahoma"/>
          <w:color w:val="000000"/>
        </w:rPr>
        <w:t>l nuovo</w:t>
      </w:r>
      <w:r w:rsidRPr="00515872">
        <w:rPr>
          <w:rFonts w:cs="Tahoma"/>
          <w:color w:val="000000"/>
        </w:rPr>
        <w:t xml:space="preserve"> </w:t>
      </w:r>
      <w:r w:rsidR="00066542" w:rsidRPr="00515872">
        <w:rPr>
          <w:rFonts w:cs="Tahoma"/>
          <w:color w:val="000000"/>
        </w:rPr>
        <w:t xml:space="preserve">set di </w:t>
      </w:r>
      <w:r w:rsidRPr="00515872">
        <w:rPr>
          <w:rFonts w:cs="Tahoma"/>
          <w:color w:val="000000"/>
        </w:rPr>
        <w:t>parametri di riscontro della situazione di deficitarietà strutt</w:t>
      </w:r>
      <w:r w:rsidR="00066542" w:rsidRPr="00515872">
        <w:rPr>
          <w:rFonts w:cs="Tahoma"/>
          <w:color w:val="000000"/>
        </w:rPr>
        <w:t>urale per gli enti locali valido</w:t>
      </w:r>
      <w:r w:rsidRPr="00515872">
        <w:rPr>
          <w:rFonts w:cs="Tahoma"/>
          <w:color w:val="000000"/>
        </w:rPr>
        <w:t xml:space="preserve"> per il triennio 2019-2021</w:t>
      </w:r>
      <w:r w:rsidRPr="00515872">
        <w:rPr>
          <w:rStyle w:val="Rimandonotaapidipagina"/>
          <w:rFonts w:eastAsia="Times New Roman" w:cs="Tahoma"/>
          <w:szCs w:val="20"/>
          <w:lang w:eastAsia="it-IT"/>
        </w:rPr>
        <w:footnoteReference w:id="89"/>
      </w:r>
      <w:r w:rsidRPr="00515872">
        <w:rPr>
          <w:rFonts w:cs="Tahoma"/>
          <w:color w:val="000000"/>
        </w:rPr>
        <w:t xml:space="preserve"> che sostituiscono quelli previgenti. I nuovi parametri, che erano già stati previsti sperimentalmente nel Piano degli indicatori e dei risultati attesi di bilancio per il rendiconto della gestione 2016, devono essere utilizzati a decorrere dagli adempimenti relativi al rendiconto della gestione 2018 e al bilancio di previsione per il triennio 2020-2022. Gli 8 indicatori si suddividono i 7 indici sintetici e uno analitico ed individuano le soglie limite, diverse per ciascun tipo di ente, che hanno a riferimento la capacità di riscossione dell’ente e l’esistenza di debiti fuori bilancio.</w:t>
      </w:r>
      <w:r w:rsidR="00277513" w:rsidRPr="00515872">
        <w:rPr>
          <w:rFonts w:cs="Tahoma"/>
          <w:highlight w:val="yellow"/>
        </w:rPr>
        <w:br w:type="page"/>
      </w:r>
    </w:p>
    <w:p w14:paraId="3C76F375" w14:textId="77777777" w:rsidR="009518AF" w:rsidRPr="00515872" w:rsidRDefault="00AD2719" w:rsidP="009518AF">
      <w:pPr>
        <w:pStyle w:val="Titolo"/>
        <w:rPr>
          <w:rFonts w:cs="Tahoma"/>
        </w:rPr>
      </w:pPr>
      <w:bookmarkStart w:id="176" w:name="_Toc95912297"/>
      <w:r w:rsidRPr="00515872">
        <w:rPr>
          <w:rFonts w:cs="Tahoma"/>
        </w:rPr>
        <w:lastRenderedPageBreak/>
        <w:t>6</w:t>
      </w:r>
      <w:r w:rsidR="009518AF" w:rsidRPr="00515872">
        <w:rPr>
          <w:rFonts w:cs="Tahoma"/>
        </w:rPr>
        <w:t>. Verifiche dei revisori</w:t>
      </w:r>
      <w:bookmarkEnd w:id="163"/>
      <w:bookmarkEnd w:id="176"/>
    </w:p>
    <w:p w14:paraId="3A669E67" w14:textId="77777777" w:rsidR="001963BF" w:rsidRPr="00515872" w:rsidRDefault="0078588D" w:rsidP="0078588D">
      <w:pPr>
        <w:spacing w:line="360" w:lineRule="auto"/>
        <w:jc w:val="both"/>
        <w:rPr>
          <w:rFonts w:eastAsia="Times New Roman" w:cs="Tahoma"/>
          <w:szCs w:val="20"/>
          <w:lang w:eastAsia="it-IT"/>
        </w:rPr>
      </w:pPr>
      <w:r w:rsidRPr="00515872">
        <w:rPr>
          <w:rFonts w:eastAsia="Times New Roman" w:cs="Tahoma"/>
          <w:szCs w:val="20"/>
          <w:lang w:eastAsia="it-IT"/>
        </w:rPr>
        <w:t>Al fine di supportare i propri iscritti nella gestione, raccolta e catalogazione della documentazione probatoria che i revisori devono esaminare nell’espletamento del proprio incarico, il Consiglio Nazionale dei Dottori Commercialisti e degli Esperti Contabili, in collaborazione con la Fonazione Nazionale del Commercialisti, ha pubblicato, in data 15 luglio 2020, due quaderni nei quali vengono sinteticamente affrontate le tematiche relative all</w:t>
      </w:r>
      <w:r w:rsidR="001963BF" w:rsidRPr="00515872">
        <w:rPr>
          <w:rFonts w:eastAsia="Times New Roman" w:cs="Tahoma"/>
          <w:szCs w:val="20"/>
          <w:lang w:eastAsia="it-IT"/>
        </w:rPr>
        <w:t xml:space="preserve">a pianificazione, programmazione </w:t>
      </w:r>
      <w:r w:rsidRPr="00515872">
        <w:rPr>
          <w:rFonts w:eastAsia="Times New Roman" w:cs="Tahoma"/>
          <w:szCs w:val="20"/>
          <w:lang w:eastAsia="it-IT"/>
        </w:rPr>
        <w:t xml:space="preserve">e </w:t>
      </w:r>
      <w:r w:rsidR="001963BF" w:rsidRPr="00515872">
        <w:rPr>
          <w:rFonts w:eastAsia="Times New Roman" w:cs="Tahoma"/>
          <w:szCs w:val="20"/>
          <w:lang w:eastAsia="it-IT"/>
        </w:rPr>
        <w:t xml:space="preserve">alle </w:t>
      </w:r>
      <w:r w:rsidRPr="00515872">
        <w:rPr>
          <w:rFonts w:eastAsia="Times New Roman" w:cs="Tahoma"/>
          <w:szCs w:val="20"/>
          <w:lang w:eastAsia="it-IT"/>
        </w:rPr>
        <w:t xml:space="preserve">procedure di revisione. In particolare, </w:t>
      </w:r>
      <w:r w:rsidR="001963BF" w:rsidRPr="00515872">
        <w:rPr>
          <w:rFonts w:eastAsia="Times New Roman" w:cs="Tahoma"/>
          <w:szCs w:val="20"/>
          <w:lang w:eastAsia="it-IT"/>
        </w:rPr>
        <w:t xml:space="preserve">allegate al Quaderno II, sono state proposte </w:t>
      </w:r>
      <w:r w:rsidR="001963BF" w:rsidRPr="00515872">
        <w:rPr>
          <w:rFonts w:eastAsia="Times New Roman" w:cs="Tahoma"/>
          <w:i/>
          <w:szCs w:val="20"/>
          <w:lang w:eastAsia="it-IT"/>
        </w:rPr>
        <w:t>check-list</w:t>
      </w:r>
      <w:r w:rsidR="001963BF" w:rsidRPr="00515872">
        <w:rPr>
          <w:rFonts w:eastAsia="Times New Roman" w:cs="Tahoma"/>
          <w:szCs w:val="20"/>
          <w:lang w:eastAsia="it-IT"/>
        </w:rPr>
        <w:t xml:space="preserve"> e bozze di verbali che i revisori possono utilizzare nei vari ambiti in cui si estrinseca la propria attività di verifica (dalle verifiche di cassa agli adempimenti fiscali, alle verifiche sulle partecipate e quant’altro) e che possono rappresentare anche una traccia delle verifiche da svolgere.</w:t>
      </w:r>
    </w:p>
    <w:p w14:paraId="0DD7B987" w14:textId="3FF486A4" w:rsidR="0078588D" w:rsidRPr="00515872" w:rsidRDefault="001963BF" w:rsidP="0078588D">
      <w:pPr>
        <w:spacing w:line="360" w:lineRule="auto"/>
        <w:jc w:val="both"/>
        <w:rPr>
          <w:rFonts w:eastAsia="Times New Roman" w:cs="Tahoma"/>
          <w:szCs w:val="20"/>
          <w:lang w:eastAsia="it-IT"/>
        </w:rPr>
      </w:pPr>
      <w:r w:rsidRPr="00515872">
        <w:rPr>
          <w:rFonts w:eastAsia="Times New Roman" w:cs="Tahoma"/>
          <w:szCs w:val="20"/>
          <w:lang w:eastAsia="it-IT"/>
        </w:rPr>
        <w:t xml:space="preserve">L’ordine, inoltre, annualmente propone bozze di pareri e relazioni in riferimento al bilancio di previsione e al rendiconto, aggiornati con le novità normative del periodo, oltre alle bozze di verbali inerenti </w:t>
      </w:r>
      <w:r w:rsidR="00F61E9D" w:rsidRPr="00515872">
        <w:rPr>
          <w:rFonts w:eastAsia="Times New Roman" w:cs="Tahoma"/>
          <w:szCs w:val="20"/>
          <w:lang w:eastAsia="it-IT"/>
        </w:rPr>
        <w:t>alle</w:t>
      </w:r>
      <w:r w:rsidRPr="00515872">
        <w:rPr>
          <w:rFonts w:eastAsia="Times New Roman" w:cs="Tahoma"/>
          <w:szCs w:val="20"/>
          <w:lang w:eastAsia="it-IT"/>
        </w:rPr>
        <w:t xml:space="preserve"> verifiche che di volta in volta si palesano di attualità.</w:t>
      </w:r>
    </w:p>
    <w:p w14:paraId="27F516EF" w14:textId="33BE7973" w:rsidR="001963BF" w:rsidRPr="00515872" w:rsidRDefault="001963BF" w:rsidP="0078588D">
      <w:pPr>
        <w:spacing w:line="360" w:lineRule="auto"/>
        <w:jc w:val="both"/>
        <w:rPr>
          <w:rFonts w:eastAsia="Times New Roman" w:cs="Tahoma"/>
          <w:szCs w:val="20"/>
          <w:lang w:eastAsia="it-IT"/>
        </w:rPr>
      </w:pPr>
      <w:r w:rsidRPr="00515872">
        <w:rPr>
          <w:rFonts w:eastAsia="Times New Roman" w:cs="Tahoma"/>
          <w:szCs w:val="20"/>
          <w:lang w:eastAsia="it-IT"/>
        </w:rPr>
        <w:t xml:space="preserve">Tale documentazione di supporto, avente carattere deontologico e non vincolante, non può, ovviamente, sostituire la preparazione professionale e la necessità di un costante aggiornamento sulle tematiche inerenti </w:t>
      </w:r>
      <w:r w:rsidR="00FD684C" w:rsidRPr="00515872">
        <w:rPr>
          <w:rFonts w:eastAsia="Times New Roman" w:cs="Tahoma"/>
          <w:szCs w:val="20"/>
          <w:lang w:eastAsia="it-IT"/>
        </w:rPr>
        <w:t>agli</w:t>
      </w:r>
      <w:r w:rsidRPr="00515872">
        <w:rPr>
          <w:rFonts w:eastAsia="Times New Roman" w:cs="Tahoma"/>
          <w:szCs w:val="20"/>
          <w:lang w:eastAsia="it-IT"/>
        </w:rPr>
        <w:t xml:space="preserve"> enti locali che il professionista chiamato a svolgere l’incarico di revisore in un ente locale deve mantenere.</w:t>
      </w:r>
    </w:p>
    <w:p w14:paraId="007D8CB8" w14:textId="77777777" w:rsidR="0078588D" w:rsidRPr="00515872" w:rsidRDefault="0078588D" w:rsidP="0078588D">
      <w:pPr>
        <w:spacing w:line="360" w:lineRule="auto"/>
        <w:jc w:val="both"/>
        <w:rPr>
          <w:rFonts w:eastAsia="Times New Roman" w:cs="Tahoma"/>
          <w:szCs w:val="20"/>
          <w:lang w:eastAsia="it-IT"/>
        </w:rPr>
      </w:pPr>
    </w:p>
    <w:p w14:paraId="6B8C23AA" w14:textId="77777777" w:rsidR="009518AF" w:rsidRPr="00515872" w:rsidRDefault="00AD2719" w:rsidP="00297A21">
      <w:pPr>
        <w:pStyle w:val="Paragrafo"/>
      </w:pPr>
      <w:bookmarkStart w:id="177" w:name="_Toc521317108"/>
      <w:bookmarkStart w:id="178" w:name="_Toc95912298"/>
      <w:r w:rsidRPr="00515872">
        <w:t>6</w:t>
      </w:r>
      <w:r w:rsidR="009518AF" w:rsidRPr="00515872">
        <w:t>.1 Verifiche di cassa</w:t>
      </w:r>
      <w:bookmarkEnd w:id="177"/>
      <w:bookmarkEnd w:id="178"/>
    </w:p>
    <w:p w14:paraId="7A413322" w14:textId="77777777" w:rsidR="009518AF" w:rsidRPr="00515872" w:rsidRDefault="009518AF" w:rsidP="009518AF">
      <w:pPr>
        <w:spacing w:line="360" w:lineRule="auto"/>
        <w:jc w:val="both"/>
        <w:rPr>
          <w:rFonts w:cs="Tahoma"/>
          <w:szCs w:val="20"/>
        </w:rPr>
      </w:pPr>
      <w:r w:rsidRPr="00515872">
        <w:rPr>
          <w:rFonts w:cs="Tahoma"/>
          <w:szCs w:val="20"/>
        </w:rPr>
        <w:t>La verifica di cassa è una delle attività tradizionali dell’organo di revisione, sia nel settore pubblico che nel privato. Essa è finalizzata al riscontro della regolarità delle procedure che governano le entrate e le spese dell’ente tramite la correttezza formale e sostanziale di relativi atti e documenti, nonché la presenza di eventuali spese improprie. Si realizza tramite la verifica della conformità delle scritture contabili dell’ente con le risultanze del conto del tesoriere e degli altri agenti contabili.</w:t>
      </w:r>
    </w:p>
    <w:p w14:paraId="325386D4" w14:textId="77777777" w:rsidR="009518AF" w:rsidRPr="00515872" w:rsidRDefault="009518AF" w:rsidP="009518AF">
      <w:pPr>
        <w:spacing w:line="360" w:lineRule="auto"/>
        <w:jc w:val="both"/>
        <w:rPr>
          <w:rFonts w:cs="Tahoma"/>
          <w:szCs w:val="20"/>
        </w:rPr>
      </w:pPr>
      <w:r w:rsidRPr="00515872">
        <w:rPr>
          <w:rFonts w:cs="Tahoma"/>
          <w:szCs w:val="20"/>
        </w:rPr>
        <w:t>L’importanza delle verifiche di cassa è stata evidenz</w:t>
      </w:r>
      <w:r w:rsidR="003652C4" w:rsidRPr="00515872">
        <w:rPr>
          <w:rFonts w:cs="Tahoma"/>
          <w:szCs w:val="20"/>
        </w:rPr>
        <w:t>iata dalla Corte dei Conti con S</w:t>
      </w:r>
      <w:r w:rsidRPr="00515872">
        <w:rPr>
          <w:rFonts w:cs="Tahoma"/>
          <w:szCs w:val="20"/>
        </w:rPr>
        <w:t xml:space="preserve">entenza n. 496 del 10 giugno 1986, la quale ha stabilito la </w:t>
      </w:r>
      <w:r w:rsidRPr="00515872">
        <w:rPr>
          <w:rFonts w:cs="Tahoma"/>
          <w:b/>
          <w:szCs w:val="20"/>
        </w:rPr>
        <w:t>responsabilità dell’organo di revisione che ha omesso di riscontrare, per lungo tempo</w:t>
      </w:r>
      <w:r w:rsidRPr="00515872">
        <w:rPr>
          <w:rFonts w:cs="Tahoma"/>
          <w:szCs w:val="20"/>
        </w:rPr>
        <w:t>, gli adempimenti dell’istituto tesoriere e le gravi irregolarità di numerosi titoli di pagamento, concorrendo con ciò alla produzione di danno erariale.</w:t>
      </w:r>
    </w:p>
    <w:p w14:paraId="49684703" w14:textId="77777777" w:rsidR="009518AF" w:rsidRPr="00515872" w:rsidRDefault="009518AF" w:rsidP="009518AF">
      <w:pPr>
        <w:spacing w:after="0" w:line="360" w:lineRule="auto"/>
        <w:jc w:val="both"/>
        <w:rPr>
          <w:rFonts w:cs="Tahoma"/>
          <w:szCs w:val="20"/>
        </w:rPr>
      </w:pPr>
      <w:r w:rsidRPr="00515872">
        <w:rPr>
          <w:rFonts w:cs="Tahoma"/>
          <w:szCs w:val="20"/>
        </w:rPr>
        <w:t>L’ordinamento giuridico italiano prevede due casistiche di verifica di cassa:</w:t>
      </w:r>
    </w:p>
    <w:p w14:paraId="40790951" w14:textId="77777777" w:rsidR="009518AF" w:rsidRPr="00515872" w:rsidRDefault="009518AF" w:rsidP="00D65838">
      <w:pPr>
        <w:pStyle w:val="Paragrafoelenco"/>
        <w:numPr>
          <w:ilvl w:val="0"/>
          <w:numId w:val="134"/>
        </w:numPr>
        <w:spacing w:line="360" w:lineRule="auto"/>
        <w:jc w:val="both"/>
        <w:rPr>
          <w:rFonts w:cs="Tahoma"/>
          <w:szCs w:val="20"/>
        </w:rPr>
      </w:pPr>
      <w:r w:rsidRPr="00515872">
        <w:rPr>
          <w:rFonts w:cs="Tahoma"/>
          <w:szCs w:val="20"/>
        </w:rPr>
        <w:t>verifiche di cassa ordinarie;</w:t>
      </w:r>
    </w:p>
    <w:p w14:paraId="7E675059" w14:textId="77777777" w:rsidR="009518AF" w:rsidRPr="00515872" w:rsidRDefault="009518AF" w:rsidP="00D65838">
      <w:pPr>
        <w:pStyle w:val="Paragrafoelenco"/>
        <w:numPr>
          <w:ilvl w:val="0"/>
          <w:numId w:val="134"/>
        </w:numPr>
        <w:spacing w:line="360" w:lineRule="auto"/>
        <w:jc w:val="both"/>
        <w:rPr>
          <w:rFonts w:cs="Tahoma"/>
          <w:szCs w:val="20"/>
        </w:rPr>
      </w:pPr>
      <w:r w:rsidRPr="00515872">
        <w:rPr>
          <w:rFonts w:cs="Tahoma"/>
          <w:szCs w:val="20"/>
        </w:rPr>
        <w:lastRenderedPageBreak/>
        <w:t>verifiche di cassa straordinarie.</w:t>
      </w:r>
    </w:p>
    <w:p w14:paraId="5C82640F" w14:textId="77777777" w:rsidR="009518AF" w:rsidRPr="00515872" w:rsidRDefault="009518AF" w:rsidP="009518AF">
      <w:pPr>
        <w:spacing w:after="0" w:line="360" w:lineRule="auto"/>
        <w:jc w:val="both"/>
        <w:rPr>
          <w:rFonts w:cs="Tahoma"/>
          <w:b/>
          <w:szCs w:val="20"/>
        </w:rPr>
      </w:pPr>
      <w:r w:rsidRPr="00515872">
        <w:rPr>
          <w:rFonts w:cs="Tahoma"/>
          <w:b/>
          <w:szCs w:val="20"/>
        </w:rPr>
        <w:t>Verifiche di cassa ordinarie</w:t>
      </w:r>
    </w:p>
    <w:p w14:paraId="11458BDD" w14:textId="77777777" w:rsidR="009518AF" w:rsidRPr="00515872" w:rsidRDefault="009518AF" w:rsidP="009518AF">
      <w:pPr>
        <w:spacing w:line="360" w:lineRule="auto"/>
        <w:jc w:val="both"/>
        <w:rPr>
          <w:rFonts w:cs="Tahoma"/>
          <w:szCs w:val="20"/>
        </w:rPr>
      </w:pPr>
      <w:r w:rsidRPr="00515872">
        <w:rPr>
          <w:rFonts w:cs="Tahoma"/>
          <w:szCs w:val="20"/>
        </w:rPr>
        <w:t>Il c. 1 dell’art. 223 del TUEL stabilisce che: “</w:t>
      </w:r>
      <w:r w:rsidRPr="00515872">
        <w:rPr>
          <w:rFonts w:eastAsia="Times New Roman" w:cs="Tahoma"/>
          <w:i/>
          <w:szCs w:val="20"/>
          <w:lang w:eastAsia="it-IT"/>
        </w:rPr>
        <w:t>L'organo di revisione economico-finanziaria dell'ente provvede con cadenza trimestrale alla verifica ordinaria di cassa, alla verifica della gestione del servizio di tesoreria e di quello degli altri agenti contabili di cui all'articolo 233</w:t>
      </w:r>
      <w:r w:rsidRPr="00515872">
        <w:rPr>
          <w:rFonts w:eastAsia="Times New Roman" w:cs="Tahoma"/>
          <w:szCs w:val="20"/>
          <w:lang w:eastAsia="it-IT"/>
        </w:rPr>
        <w:t xml:space="preserve">”. </w:t>
      </w:r>
      <w:r w:rsidRPr="00515872">
        <w:rPr>
          <w:rFonts w:cs="Tahoma"/>
          <w:szCs w:val="20"/>
        </w:rPr>
        <w:t>La trimestralità viene spesso fatta coincidere con la scadenza dei trimestri dell’anno solare, benché questa non sia una regola prevista normativamente.</w:t>
      </w:r>
    </w:p>
    <w:p w14:paraId="34134CCA" w14:textId="77777777" w:rsidR="009518AF" w:rsidRPr="00515872" w:rsidRDefault="009518AF" w:rsidP="009518AF">
      <w:pPr>
        <w:spacing w:after="0" w:line="360" w:lineRule="auto"/>
        <w:jc w:val="both"/>
        <w:rPr>
          <w:rFonts w:cs="Tahoma"/>
          <w:szCs w:val="20"/>
        </w:rPr>
      </w:pPr>
      <w:r w:rsidRPr="00515872">
        <w:rPr>
          <w:rFonts w:cs="Tahoma"/>
          <w:szCs w:val="20"/>
        </w:rPr>
        <w:t>La verifica di cassa, concettualmente analoga a quella negli enti privati, ne differisce in ordine alla documentazione da esaminare, peculiare degli enti pubblici; un utile schema metodologico delle procedure di verifica è contenuto nella, seppur datata, circolare della RGS n. 5 del 21/01/1997. In essa è previsto che il controllo dei revisori dell’ente locale si focalizzi su:</w:t>
      </w:r>
    </w:p>
    <w:p w14:paraId="6375C15D" w14:textId="77777777" w:rsidR="009518AF" w:rsidRPr="00515872" w:rsidRDefault="009518AF" w:rsidP="00D65838">
      <w:pPr>
        <w:pStyle w:val="Paragrafoelenco"/>
        <w:numPr>
          <w:ilvl w:val="0"/>
          <w:numId w:val="68"/>
        </w:numPr>
        <w:spacing w:line="360" w:lineRule="auto"/>
        <w:jc w:val="both"/>
        <w:rPr>
          <w:rFonts w:cs="Tahoma"/>
          <w:szCs w:val="20"/>
        </w:rPr>
      </w:pPr>
      <w:r w:rsidRPr="00515872">
        <w:rPr>
          <w:rFonts w:cs="Tahoma"/>
          <w:color w:val="000000"/>
          <w:szCs w:val="20"/>
        </w:rPr>
        <w:t xml:space="preserve">le modalità di acquisizione delle entrate e di erogazione delle uscite; </w:t>
      </w:r>
    </w:p>
    <w:p w14:paraId="378800C6" w14:textId="77777777" w:rsidR="009518AF" w:rsidRPr="00515872" w:rsidRDefault="009518AF" w:rsidP="00D65838">
      <w:pPr>
        <w:pStyle w:val="Paragrafoelenco"/>
        <w:numPr>
          <w:ilvl w:val="0"/>
          <w:numId w:val="68"/>
        </w:numPr>
        <w:spacing w:line="360" w:lineRule="auto"/>
        <w:jc w:val="both"/>
        <w:rPr>
          <w:rFonts w:cs="Tahoma"/>
          <w:szCs w:val="20"/>
        </w:rPr>
      </w:pPr>
      <w:r w:rsidRPr="00515872">
        <w:rPr>
          <w:rFonts w:cs="Tahoma"/>
          <w:color w:val="000000"/>
          <w:szCs w:val="20"/>
        </w:rPr>
        <w:t xml:space="preserve">i sistemi in uso per la contabilizzazione delle entrate e delle uscite; </w:t>
      </w:r>
    </w:p>
    <w:p w14:paraId="77928CA9" w14:textId="77777777" w:rsidR="009518AF" w:rsidRPr="00515872" w:rsidRDefault="009518AF" w:rsidP="00D65838">
      <w:pPr>
        <w:pStyle w:val="Paragrafoelenco"/>
        <w:numPr>
          <w:ilvl w:val="0"/>
          <w:numId w:val="68"/>
        </w:numPr>
        <w:spacing w:line="360" w:lineRule="auto"/>
        <w:jc w:val="both"/>
        <w:rPr>
          <w:rFonts w:cs="Tahoma"/>
          <w:szCs w:val="20"/>
        </w:rPr>
      </w:pPr>
      <w:r w:rsidRPr="00515872">
        <w:rPr>
          <w:rFonts w:cs="Tahoma"/>
          <w:color w:val="000000"/>
          <w:szCs w:val="20"/>
        </w:rPr>
        <w:t>il riscontro delle risultanze delle scritture contabili dell’ente con quelle del tesoriere;</w:t>
      </w:r>
    </w:p>
    <w:p w14:paraId="4C2B1C57" w14:textId="77777777" w:rsidR="009518AF" w:rsidRPr="00515872" w:rsidRDefault="009518AF" w:rsidP="00D65838">
      <w:pPr>
        <w:pStyle w:val="Paragrafoelenco"/>
        <w:numPr>
          <w:ilvl w:val="0"/>
          <w:numId w:val="68"/>
        </w:numPr>
        <w:spacing w:line="360" w:lineRule="auto"/>
        <w:jc w:val="both"/>
        <w:rPr>
          <w:rFonts w:cs="Tahoma"/>
          <w:szCs w:val="20"/>
        </w:rPr>
      </w:pPr>
      <w:r w:rsidRPr="00515872">
        <w:rPr>
          <w:rFonts w:cs="Tahoma"/>
          <w:color w:val="000000"/>
          <w:szCs w:val="20"/>
        </w:rPr>
        <w:t>la concordanza tra la situazione di diritto e quella di fatto, anche mediante eventuale riconciliazione delle partite sospese (mandati da pagare, reversali da incassare, riscossioni e pagamenti da regolarizzare, reversali e mandati non ancora contabilizzati).</w:t>
      </w:r>
    </w:p>
    <w:p w14:paraId="2CEB13A4" w14:textId="77777777" w:rsidR="009518AF" w:rsidRPr="00515872" w:rsidRDefault="009518AF" w:rsidP="009518AF">
      <w:pPr>
        <w:spacing w:after="0" w:line="360" w:lineRule="auto"/>
        <w:jc w:val="both"/>
        <w:rPr>
          <w:rFonts w:cs="Tahoma"/>
          <w:szCs w:val="20"/>
        </w:rPr>
      </w:pPr>
      <w:r w:rsidRPr="00515872">
        <w:rPr>
          <w:rFonts w:cs="Tahoma"/>
          <w:szCs w:val="20"/>
        </w:rPr>
        <w:t>Inoltre, l’organo di revisione deve rilevare:</w:t>
      </w:r>
    </w:p>
    <w:p w14:paraId="515D52D8" w14:textId="77777777" w:rsidR="009518AF" w:rsidRPr="00515872" w:rsidRDefault="009518AF" w:rsidP="00D65838">
      <w:pPr>
        <w:pStyle w:val="Paragrafoelenco"/>
        <w:numPr>
          <w:ilvl w:val="0"/>
          <w:numId w:val="135"/>
        </w:numPr>
        <w:spacing w:line="360" w:lineRule="auto"/>
        <w:jc w:val="both"/>
        <w:rPr>
          <w:rFonts w:cs="Tahoma"/>
          <w:szCs w:val="20"/>
        </w:rPr>
      </w:pPr>
      <w:r w:rsidRPr="00515872">
        <w:rPr>
          <w:rFonts w:cs="Tahoma"/>
          <w:b/>
          <w:szCs w:val="20"/>
        </w:rPr>
        <w:t>la convenzione di tesoreria</w:t>
      </w:r>
      <w:r w:rsidRPr="00515872">
        <w:rPr>
          <w:rFonts w:cs="Tahoma"/>
          <w:szCs w:val="20"/>
        </w:rPr>
        <w:t>: in particolare, al fine di rilevarne la scadenza e le condizioni economiche;</w:t>
      </w:r>
    </w:p>
    <w:p w14:paraId="04400143" w14:textId="77777777" w:rsidR="009518AF" w:rsidRPr="00515872" w:rsidRDefault="009518AF" w:rsidP="00D65838">
      <w:pPr>
        <w:pStyle w:val="Paragrafoelenco"/>
        <w:numPr>
          <w:ilvl w:val="0"/>
          <w:numId w:val="135"/>
        </w:numPr>
        <w:spacing w:line="360" w:lineRule="auto"/>
        <w:jc w:val="both"/>
        <w:rPr>
          <w:rFonts w:cs="Tahoma"/>
          <w:szCs w:val="20"/>
        </w:rPr>
      </w:pPr>
      <w:r w:rsidRPr="00515872">
        <w:rPr>
          <w:rFonts w:cs="Tahoma"/>
          <w:b/>
          <w:szCs w:val="20"/>
        </w:rPr>
        <w:t>l’eventuale utilizzo dell’anticipazione di cassa</w:t>
      </w:r>
      <w:r w:rsidRPr="00515872">
        <w:rPr>
          <w:rFonts w:cs="Tahoma"/>
          <w:szCs w:val="20"/>
        </w:rPr>
        <w:t>: al fine di accertare il rispetto dei limiti di legge e la compatibilità del suo utilizzo con le previsioni di bilancio nonché di constatare la frequenza e la durata del ricorso a tale fonte di finanziamento onde intercettare possibili situazioni di squilibrio nella gestione di cassa dell’ente che possano causarne il dissesto;</w:t>
      </w:r>
    </w:p>
    <w:p w14:paraId="267D242F" w14:textId="77777777" w:rsidR="009518AF" w:rsidRPr="00515872" w:rsidRDefault="009518AF" w:rsidP="00D65838">
      <w:pPr>
        <w:pStyle w:val="Paragrafoelenco"/>
        <w:numPr>
          <w:ilvl w:val="0"/>
          <w:numId w:val="135"/>
        </w:numPr>
        <w:spacing w:line="360" w:lineRule="auto"/>
        <w:jc w:val="both"/>
        <w:rPr>
          <w:rFonts w:cs="Tahoma"/>
          <w:szCs w:val="20"/>
        </w:rPr>
      </w:pPr>
      <w:r w:rsidRPr="00515872">
        <w:rPr>
          <w:rFonts w:cs="Tahoma"/>
          <w:b/>
          <w:szCs w:val="20"/>
        </w:rPr>
        <w:t>la gestione della cassa vincolata</w:t>
      </w:r>
      <w:r w:rsidRPr="00515872">
        <w:rPr>
          <w:rFonts w:cs="Tahoma"/>
          <w:szCs w:val="20"/>
        </w:rPr>
        <w:t>: verificando l’esistenza della determina che ne quantifica l’ammontare, nonché gli utilizzi e i reintegri della stessa.</w:t>
      </w:r>
    </w:p>
    <w:p w14:paraId="29E1E56F" w14:textId="77777777" w:rsidR="00D92452" w:rsidRPr="00515872" w:rsidRDefault="00D92452" w:rsidP="00D92452">
      <w:pPr>
        <w:spacing w:line="360" w:lineRule="auto"/>
        <w:jc w:val="both"/>
        <w:rPr>
          <w:rFonts w:cs="Tahoma"/>
          <w:szCs w:val="20"/>
        </w:rPr>
      </w:pPr>
      <w:r w:rsidRPr="00515872">
        <w:rPr>
          <w:rFonts w:cs="Tahoma"/>
          <w:szCs w:val="20"/>
        </w:rPr>
        <w:t>Alle verifiche di cassa è, inoltre, dedicato il principio di vigilanza n. 8</w:t>
      </w:r>
      <w:r w:rsidR="002555EC" w:rsidRPr="00515872">
        <w:rPr>
          <w:rFonts w:cs="Tahoma"/>
          <w:szCs w:val="20"/>
        </w:rPr>
        <w:t>.</w:t>
      </w:r>
    </w:p>
    <w:p w14:paraId="5A2B9C4E" w14:textId="77777777" w:rsidR="00224CE2" w:rsidRPr="00515872" w:rsidRDefault="00224CE2" w:rsidP="00224CE2">
      <w:pPr>
        <w:spacing w:line="360" w:lineRule="auto"/>
        <w:jc w:val="both"/>
        <w:rPr>
          <w:rFonts w:cs="Tahoma"/>
          <w:szCs w:val="20"/>
        </w:rPr>
      </w:pPr>
      <w:r w:rsidRPr="00515872">
        <w:rPr>
          <w:rFonts w:cs="Tahoma"/>
          <w:color w:val="000000"/>
          <w:szCs w:val="20"/>
        </w:rPr>
        <w:t>In occasione della prima verifica di cassa, dopo l’assunzione dell’incarico, è necessario che l’organo di revisione prenda visione dei regolamenti dell’ente in materia contabile, al fine di rilevare eventuali disposizioni che possono integrare la normativa sulle procedure di gestione degli incassi e dei pagamenti e sulle procedure di verifica dell’organo di revisione. Risulta poi di fondamentale importanza acquisire una chiara e completa informativa sulla quantità e sull’identità degli agenti contabili, interni o esterni, di diritto o di fatto, poiché anche su</w:t>
      </w:r>
      <w:r w:rsidR="00AB4F7E" w:rsidRPr="00515872">
        <w:rPr>
          <w:rFonts w:cs="Tahoma"/>
          <w:color w:val="000000"/>
          <w:szCs w:val="20"/>
        </w:rPr>
        <w:t>i loro rendiconti</w:t>
      </w:r>
      <w:r w:rsidRPr="00515872">
        <w:rPr>
          <w:rFonts w:cs="Tahoma"/>
          <w:color w:val="000000"/>
          <w:szCs w:val="20"/>
        </w:rPr>
        <w:t xml:space="preserve"> si dovrà estendere la verifica.</w:t>
      </w:r>
    </w:p>
    <w:p w14:paraId="56183307" w14:textId="77777777" w:rsidR="009518AF" w:rsidRPr="00515872" w:rsidRDefault="009518AF" w:rsidP="009518AF">
      <w:pPr>
        <w:spacing w:after="0" w:line="360" w:lineRule="auto"/>
        <w:jc w:val="both"/>
        <w:rPr>
          <w:rFonts w:cs="Tahoma"/>
          <w:szCs w:val="20"/>
        </w:rPr>
      </w:pPr>
      <w:r w:rsidRPr="00515872">
        <w:rPr>
          <w:rFonts w:cs="Tahoma"/>
          <w:szCs w:val="20"/>
        </w:rPr>
        <w:t>La documentazione che l’organo di revisione deve esaminare è costituita principalmente da:</w:t>
      </w:r>
    </w:p>
    <w:p w14:paraId="796A7373" w14:textId="77777777" w:rsidR="009518AF" w:rsidRPr="00515872" w:rsidRDefault="009518AF" w:rsidP="00D65838">
      <w:pPr>
        <w:pStyle w:val="Paragrafoelenco"/>
        <w:numPr>
          <w:ilvl w:val="0"/>
          <w:numId w:val="69"/>
        </w:numPr>
        <w:spacing w:line="360" w:lineRule="auto"/>
        <w:jc w:val="both"/>
        <w:rPr>
          <w:rFonts w:cs="Tahoma"/>
          <w:szCs w:val="20"/>
        </w:rPr>
      </w:pPr>
      <w:r w:rsidRPr="00515872">
        <w:rPr>
          <w:rFonts w:cs="Tahoma"/>
          <w:szCs w:val="20"/>
        </w:rPr>
        <w:t>il giornale di cassa;</w:t>
      </w:r>
    </w:p>
    <w:p w14:paraId="03DBEFCD" w14:textId="77777777" w:rsidR="009518AF" w:rsidRPr="00515872" w:rsidRDefault="009518AF" w:rsidP="00D65838">
      <w:pPr>
        <w:pStyle w:val="Paragrafoelenco"/>
        <w:numPr>
          <w:ilvl w:val="0"/>
          <w:numId w:val="69"/>
        </w:numPr>
        <w:spacing w:line="360" w:lineRule="auto"/>
        <w:jc w:val="both"/>
        <w:rPr>
          <w:rFonts w:cs="Tahoma"/>
          <w:szCs w:val="20"/>
        </w:rPr>
      </w:pPr>
      <w:r w:rsidRPr="00515872">
        <w:rPr>
          <w:rFonts w:cs="Tahoma"/>
          <w:szCs w:val="20"/>
        </w:rPr>
        <w:lastRenderedPageBreak/>
        <w:t>il conto del tesoriere;</w:t>
      </w:r>
    </w:p>
    <w:p w14:paraId="278B4A0A" w14:textId="77777777" w:rsidR="009518AF" w:rsidRPr="00515872" w:rsidRDefault="009518AF" w:rsidP="00D65838">
      <w:pPr>
        <w:pStyle w:val="Paragrafoelenco"/>
        <w:numPr>
          <w:ilvl w:val="0"/>
          <w:numId w:val="69"/>
        </w:numPr>
        <w:spacing w:line="360" w:lineRule="auto"/>
        <w:jc w:val="both"/>
        <w:rPr>
          <w:rFonts w:cs="Tahoma"/>
          <w:szCs w:val="20"/>
        </w:rPr>
      </w:pPr>
      <w:r w:rsidRPr="00515872">
        <w:rPr>
          <w:rFonts w:cs="Tahoma"/>
          <w:szCs w:val="20"/>
        </w:rPr>
        <w:t>i mandati di pagamento e le reversali di incasso;</w:t>
      </w:r>
    </w:p>
    <w:p w14:paraId="25A42ED0" w14:textId="77777777" w:rsidR="009518AF" w:rsidRPr="00515872" w:rsidRDefault="009518AF" w:rsidP="00D65838">
      <w:pPr>
        <w:pStyle w:val="Paragrafoelenco"/>
        <w:numPr>
          <w:ilvl w:val="0"/>
          <w:numId w:val="69"/>
        </w:numPr>
        <w:spacing w:line="360" w:lineRule="auto"/>
        <w:jc w:val="both"/>
        <w:rPr>
          <w:rFonts w:cs="Tahoma"/>
          <w:szCs w:val="20"/>
        </w:rPr>
      </w:pPr>
      <w:r w:rsidRPr="00515872">
        <w:rPr>
          <w:rFonts w:cs="Tahoma"/>
          <w:szCs w:val="20"/>
        </w:rPr>
        <w:t>la documentazione fiscale, le delibere e le determine dei responsabili;</w:t>
      </w:r>
    </w:p>
    <w:p w14:paraId="26A4987D" w14:textId="77777777" w:rsidR="009518AF" w:rsidRPr="00515872" w:rsidRDefault="009518AF" w:rsidP="00D65838">
      <w:pPr>
        <w:pStyle w:val="Paragrafoelenco"/>
        <w:numPr>
          <w:ilvl w:val="0"/>
          <w:numId w:val="69"/>
        </w:numPr>
        <w:spacing w:line="360" w:lineRule="auto"/>
        <w:jc w:val="both"/>
        <w:rPr>
          <w:rFonts w:cs="Tahoma"/>
          <w:szCs w:val="20"/>
        </w:rPr>
      </w:pPr>
      <w:r w:rsidRPr="00515872">
        <w:rPr>
          <w:rFonts w:cs="Tahoma"/>
          <w:szCs w:val="20"/>
        </w:rPr>
        <w:t>altra eventuale documentazione giustificativa a supporto dell’entrata o della spesa.</w:t>
      </w:r>
    </w:p>
    <w:p w14:paraId="137AAC5C" w14:textId="77777777" w:rsidR="009518AF" w:rsidRPr="00515872" w:rsidRDefault="009518AF" w:rsidP="009518AF">
      <w:pPr>
        <w:spacing w:line="360" w:lineRule="auto"/>
        <w:jc w:val="both"/>
        <w:rPr>
          <w:rFonts w:cs="Tahoma"/>
          <w:szCs w:val="20"/>
        </w:rPr>
      </w:pPr>
      <w:r w:rsidRPr="00515872">
        <w:rPr>
          <w:rFonts w:cs="Tahoma"/>
          <w:szCs w:val="20"/>
        </w:rPr>
        <w:t>I conti devono essere parificati dal responsabile del servizio finanziario con le scritture contabili dell’ente.</w:t>
      </w:r>
    </w:p>
    <w:p w14:paraId="6432FAB2" w14:textId="77777777" w:rsidR="00CE6B79" w:rsidRPr="00515872" w:rsidRDefault="009518AF" w:rsidP="006A500C">
      <w:pPr>
        <w:spacing w:line="360" w:lineRule="auto"/>
        <w:jc w:val="both"/>
        <w:rPr>
          <w:rFonts w:eastAsia="Times New Roman" w:cs="Tahoma"/>
          <w:szCs w:val="20"/>
          <w:lang w:eastAsia="it-IT"/>
        </w:rPr>
      </w:pPr>
      <w:r w:rsidRPr="00515872">
        <w:rPr>
          <w:rFonts w:cs="Tahoma"/>
          <w:szCs w:val="20"/>
        </w:rPr>
        <w:t xml:space="preserve">Nell’ambito della verifica documentale, con riferimento alla spesa, il revisore deve accertare, tra l’altro, la corretta applicazione del disposto dell’art. 48-bis del D.P.R. 602/1973 (introdotto dall’art. 2, c. 9 del D.L. 3 ottobre 2006, n. 262, conv. L. 24 novembre 2006, n. 286) che prevede che </w:t>
      </w:r>
      <w:r w:rsidRPr="00515872">
        <w:rPr>
          <w:rFonts w:cs="Tahoma"/>
          <w:i/>
          <w:szCs w:val="20"/>
        </w:rPr>
        <w:t>“l</w:t>
      </w:r>
      <w:r w:rsidRPr="00515872">
        <w:rPr>
          <w:rFonts w:cs="Tahoma"/>
          <w:i/>
          <w:color w:val="000000"/>
        </w:rPr>
        <w:t>e amministrazioni pubbliche di cui all'articolo 1, comma 2, del decreto legislativo 30 m</w:t>
      </w:r>
      <w:r w:rsidR="00AC465D" w:rsidRPr="00515872">
        <w:rPr>
          <w:rFonts w:cs="Tahoma"/>
          <w:i/>
          <w:color w:val="000000"/>
        </w:rPr>
        <w:t>arzo 2001, n. 165, e le società</w:t>
      </w:r>
      <w:r w:rsidRPr="00515872">
        <w:rPr>
          <w:rFonts w:cs="Tahoma"/>
          <w:i/>
          <w:color w:val="000000"/>
        </w:rPr>
        <w:t xml:space="preserve"> a prevalente partecipazione pubblica, prima di effettuare, a qualunque titolo, il pagamento di un importo superiore a cinquemila euro, verificano, anche in via </w:t>
      </w:r>
      <w:r w:rsidR="00AC465D" w:rsidRPr="00515872">
        <w:rPr>
          <w:rFonts w:cs="Tahoma"/>
          <w:i/>
          <w:color w:val="000000"/>
        </w:rPr>
        <w:t>telematica, se il beneficiario è</w:t>
      </w:r>
      <w:r w:rsidRPr="00515872">
        <w:rPr>
          <w:rFonts w:cs="Tahoma"/>
          <w:i/>
          <w:color w:val="000000"/>
        </w:rPr>
        <w:t xml:space="preserve"> inadempiente all'obbligo di versamento deriva</w:t>
      </w:r>
      <w:r w:rsidR="00AC465D" w:rsidRPr="00515872">
        <w:rPr>
          <w:rFonts w:cs="Tahoma"/>
          <w:i/>
          <w:color w:val="000000"/>
        </w:rPr>
        <w:t>nte dalla notifica di una o più</w:t>
      </w:r>
      <w:r w:rsidRPr="00515872">
        <w:rPr>
          <w:rFonts w:cs="Tahoma"/>
          <w:i/>
          <w:color w:val="000000"/>
        </w:rPr>
        <w:t xml:space="preserve"> cartelle di pagamento per un ammontare complessivo pari almeno a tale importo e, in caso affermativo, non procedono al pagamento e segnalano la circostanza all'agente della riscossione competente per territorio, ai fini dell'esercizio dell'attivit</w:t>
      </w:r>
      <w:r w:rsidR="00AC465D" w:rsidRPr="00515872">
        <w:rPr>
          <w:rFonts w:cs="Tahoma"/>
          <w:i/>
          <w:color w:val="000000"/>
        </w:rPr>
        <w:t>à</w:t>
      </w:r>
      <w:r w:rsidRPr="00515872">
        <w:rPr>
          <w:rFonts w:cs="Tahoma"/>
          <w:i/>
          <w:color w:val="000000"/>
        </w:rPr>
        <w:t xml:space="preserve"> di riscossione delle somme iscritte a ruolo</w:t>
      </w:r>
      <w:r w:rsidRPr="00515872">
        <w:rPr>
          <w:rFonts w:cs="Tahoma"/>
          <w:i/>
          <w:szCs w:val="20"/>
        </w:rPr>
        <w:t>”</w:t>
      </w:r>
      <w:r w:rsidRPr="00515872">
        <w:rPr>
          <w:rFonts w:cs="Tahoma"/>
          <w:szCs w:val="20"/>
        </w:rPr>
        <w:t xml:space="preserve">. Il limite di € 5.000 è stato ridotto dalla legge di bilancio per il 2018 (L. 27 dicembre 2012, n. 205), con decorrenza 1° marzo 2018. Fino a tale data il limite </w:t>
      </w:r>
      <w:r w:rsidR="0085149E" w:rsidRPr="00515872">
        <w:rPr>
          <w:rFonts w:cs="Tahoma"/>
          <w:szCs w:val="20"/>
        </w:rPr>
        <w:t>era</w:t>
      </w:r>
      <w:r w:rsidRPr="00515872">
        <w:rPr>
          <w:rFonts w:cs="Tahoma"/>
          <w:szCs w:val="20"/>
        </w:rPr>
        <w:t xml:space="preserve"> stabilito in € 10.000.</w:t>
      </w:r>
      <w:r w:rsidR="00CE6B79" w:rsidRPr="00515872">
        <w:rPr>
          <w:rFonts w:cs="Tahoma"/>
          <w:szCs w:val="20"/>
        </w:rPr>
        <w:t xml:space="preserve"> I revisori, pertanto, verificano che </w:t>
      </w:r>
      <w:r w:rsidR="00CE6B79" w:rsidRPr="00515872">
        <w:rPr>
          <w:rFonts w:eastAsia="Times New Roman" w:cs="Tahoma"/>
          <w:szCs w:val="20"/>
          <w:lang w:eastAsia="it-IT"/>
        </w:rPr>
        <w:t xml:space="preserve">l’ente, </w:t>
      </w:r>
      <w:r w:rsidR="00CE6B79" w:rsidRPr="00515872">
        <w:rPr>
          <w:rFonts w:eastAsia="Times New Roman" w:cs="Tahoma"/>
          <w:b/>
          <w:szCs w:val="20"/>
          <w:lang w:eastAsia="it-IT"/>
        </w:rPr>
        <w:t>prima di procedere a pagamenti per importi superiori ai suddetti limite abbia appurato l’inesistenza delle suddette iscrizioni a ruolo</w:t>
      </w:r>
      <w:r w:rsidR="00CE6B79" w:rsidRPr="00515872">
        <w:rPr>
          <w:rFonts w:eastAsia="Times New Roman" w:cs="Tahoma"/>
          <w:szCs w:val="20"/>
          <w:lang w:eastAsia="it-IT"/>
        </w:rPr>
        <w:t xml:space="preserve"> a carico del beneficiario. Qualora risultino cartelle per importo superiore a detto </w:t>
      </w:r>
      <w:r w:rsidR="00AB4F7E" w:rsidRPr="00515872">
        <w:rPr>
          <w:rFonts w:eastAsia="Times New Roman" w:cs="Tahoma"/>
          <w:szCs w:val="20"/>
          <w:lang w:eastAsia="it-IT"/>
        </w:rPr>
        <w:t>limite</w:t>
      </w:r>
      <w:r w:rsidR="00CE6B79" w:rsidRPr="00515872">
        <w:rPr>
          <w:rFonts w:eastAsia="Times New Roman" w:cs="Tahoma"/>
          <w:szCs w:val="20"/>
          <w:lang w:eastAsia="it-IT"/>
        </w:rPr>
        <w:t>, l’ente è obbligato a trattenere l’importo dovuto e a segnalare all’agente per la riscossione la circostanza per la futura attività di riscossione del credito.</w:t>
      </w:r>
    </w:p>
    <w:p w14:paraId="12C85E20" w14:textId="77777777" w:rsidR="00B101FF" w:rsidRPr="00515872" w:rsidRDefault="00CE6B79" w:rsidP="006A500C">
      <w:pPr>
        <w:spacing w:line="360" w:lineRule="auto"/>
        <w:jc w:val="both"/>
        <w:rPr>
          <w:rFonts w:eastAsia="Times New Roman" w:cs="Tahoma"/>
          <w:szCs w:val="20"/>
          <w:highlight w:val="yellow"/>
          <w:lang w:eastAsia="it-IT"/>
        </w:rPr>
      </w:pPr>
      <w:r w:rsidRPr="00515872">
        <w:rPr>
          <w:rFonts w:cs="Tahoma"/>
          <w:szCs w:val="20"/>
        </w:rPr>
        <w:t>Si segnala, tuttavia, che le verifiche di cui all’art. 4</w:t>
      </w:r>
      <w:r w:rsidR="00AB4F7E" w:rsidRPr="00515872">
        <w:rPr>
          <w:rFonts w:cs="Tahoma"/>
          <w:szCs w:val="20"/>
        </w:rPr>
        <w:t>8</w:t>
      </w:r>
      <w:r w:rsidRPr="00515872">
        <w:rPr>
          <w:rFonts w:cs="Tahoma"/>
          <w:szCs w:val="20"/>
        </w:rPr>
        <w:t>-bis sono state sospese dall’art. 153, D.L. 19 maggio 2020, n. 34, conv. L. 17 luglio 2020, n. 77, per il periodo previsto dall’art. 68, cc. 1 e 2-bis, D.L. 17 marzo 2020, n. 18, conv. L. 24 aprile 2020, n. 27</w:t>
      </w:r>
      <w:r w:rsidRPr="00515872">
        <w:rPr>
          <w:rStyle w:val="Rimandonotaapidipagina"/>
          <w:rFonts w:cs="Tahoma"/>
          <w:szCs w:val="20"/>
        </w:rPr>
        <w:footnoteReference w:id="90"/>
      </w:r>
      <w:r w:rsidRPr="00515872">
        <w:rPr>
          <w:rFonts w:cs="Tahoma"/>
          <w:szCs w:val="20"/>
        </w:rPr>
        <w:t>.</w:t>
      </w:r>
    </w:p>
    <w:p w14:paraId="2BCFB4D6" w14:textId="77777777" w:rsidR="009518AF" w:rsidRPr="00515872" w:rsidRDefault="009518AF" w:rsidP="009518AF">
      <w:pPr>
        <w:spacing w:line="360" w:lineRule="auto"/>
        <w:jc w:val="both"/>
        <w:rPr>
          <w:rFonts w:cs="Tahoma"/>
          <w:szCs w:val="20"/>
        </w:rPr>
      </w:pPr>
      <w:r w:rsidRPr="00515872">
        <w:rPr>
          <w:rFonts w:cs="Tahoma"/>
          <w:szCs w:val="20"/>
        </w:rPr>
        <w:t xml:space="preserve">In esito alla verifica </w:t>
      </w:r>
      <w:r w:rsidR="00224CE2" w:rsidRPr="00515872">
        <w:rPr>
          <w:rFonts w:cs="Tahoma"/>
          <w:szCs w:val="20"/>
        </w:rPr>
        <w:t xml:space="preserve">di cassa </w:t>
      </w:r>
      <w:r w:rsidRPr="00515872">
        <w:rPr>
          <w:rFonts w:cs="Tahoma"/>
          <w:szCs w:val="20"/>
        </w:rPr>
        <w:t>effettuata, l’organo di revisione redige un verbale nel quale, dopo aver riepilogato l</w:t>
      </w:r>
      <w:r w:rsidR="00727A3A" w:rsidRPr="00515872">
        <w:rPr>
          <w:rFonts w:cs="Tahoma"/>
          <w:szCs w:val="20"/>
        </w:rPr>
        <w:t>e operazioni svolte</w:t>
      </w:r>
      <w:r w:rsidRPr="00515872">
        <w:rPr>
          <w:rFonts w:cs="Tahoma"/>
          <w:szCs w:val="20"/>
        </w:rPr>
        <w:t xml:space="preserve"> e la documentazione esaminata, segnala eventuali irregolarità ri</w:t>
      </w:r>
      <w:r w:rsidR="00727A3A" w:rsidRPr="00515872">
        <w:rPr>
          <w:rFonts w:cs="Tahoma"/>
          <w:szCs w:val="20"/>
        </w:rPr>
        <w:t>scontrate</w:t>
      </w:r>
      <w:r w:rsidRPr="00515872">
        <w:rPr>
          <w:rFonts w:cs="Tahoma"/>
          <w:szCs w:val="20"/>
        </w:rPr>
        <w:t>.</w:t>
      </w:r>
    </w:p>
    <w:p w14:paraId="5A594CF5" w14:textId="77777777" w:rsidR="009518AF" w:rsidRPr="00515872" w:rsidRDefault="009518AF" w:rsidP="00574B17">
      <w:pPr>
        <w:spacing w:after="0" w:line="360" w:lineRule="auto"/>
        <w:jc w:val="both"/>
        <w:rPr>
          <w:rFonts w:cs="Tahoma"/>
          <w:i/>
        </w:rPr>
      </w:pPr>
      <w:r w:rsidRPr="00515872">
        <w:rPr>
          <w:rFonts w:cs="Tahoma"/>
        </w:rPr>
        <w:lastRenderedPageBreak/>
        <w:t>La citata circolare RGS n.</w:t>
      </w:r>
      <w:r w:rsidR="00AB4F7E" w:rsidRPr="00515872">
        <w:rPr>
          <w:rFonts w:cs="Tahoma"/>
        </w:rPr>
        <w:t xml:space="preserve"> </w:t>
      </w:r>
      <w:r w:rsidRPr="00515872">
        <w:rPr>
          <w:rFonts w:cs="Tahoma"/>
        </w:rPr>
        <w:t>5/1997 tiene a precisare che:</w:t>
      </w:r>
      <w:r w:rsidRPr="00515872">
        <w:rPr>
          <w:rFonts w:cs="Tahoma"/>
          <w:i/>
        </w:rPr>
        <w:t xml:space="preserve"> “Il verbale è un atto dovuto ed è compiuto nell'esercizio di funzioni pubblicistiche in presenza di contro interessati, produce certezze legali fino a querela di falso ed assume la forma scritta (art. 2403, 5° comma codice civile) e deve contenere almeno le seguenti indicazioni:</w:t>
      </w:r>
    </w:p>
    <w:p w14:paraId="2EEA3D54" w14:textId="77777777" w:rsidR="009518AF" w:rsidRPr="00515872" w:rsidRDefault="009518AF" w:rsidP="00D65838">
      <w:pPr>
        <w:pStyle w:val="Paragrafoelenco"/>
        <w:numPr>
          <w:ilvl w:val="0"/>
          <w:numId w:val="187"/>
        </w:numPr>
        <w:spacing w:line="360" w:lineRule="auto"/>
        <w:ind w:left="426"/>
        <w:jc w:val="both"/>
        <w:rPr>
          <w:rFonts w:cs="Tahoma"/>
          <w:i/>
        </w:rPr>
      </w:pPr>
      <w:r w:rsidRPr="00515872">
        <w:rPr>
          <w:rFonts w:cs="Tahoma"/>
          <w:i/>
        </w:rPr>
        <w:t>numerazione progressiva, ad iniziare dalla prima riunione di insediamento dell'organo di controllo;</w:t>
      </w:r>
    </w:p>
    <w:p w14:paraId="6B3F8FB0" w14:textId="77777777" w:rsidR="009518AF" w:rsidRPr="00515872" w:rsidRDefault="009518AF" w:rsidP="00D65838">
      <w:pPr>
        <w:pStyle w:val="Paragrafoelenco"/>
        <w:numPr>
          <w:ilvl w:val="0"/>
          <w:numId w:val="187"/>
        </w:numPr>
        <w:spacing w:line="360" w:lineRule="auto"/>
        <w:ind w:left="426"/>
        <w:jc w:val="both"/>
        <w:rPr>
          <w:rFonts w:cs="Tahoma"/>
          <w:i/>
        </w:rPr>
      </w:pPr>
      <w:r w:rsidRPr="00515872">
        <w:rPr>
          <w:rFonts w:cs="Tahoma"/>
          <w:i/>
        </w:rPr>
        <w:t>completa indicazione della data e del luogo di riunione, dell'ora di inizio e di termine della seduta;</w:t>
      </w:r>
    </w:p>
    <w:p w14:paraId="00783A6B" w14:textId="77777777" w:rsidR="009518AF" w:rsidRPr="00515872" w:rsidRDefault="009518AF" w:rsidP="00D65838">
      <w:pPr>
        <w:pStyle w:val="Paragrafoelenco"/>
        <w:numPr>
          <w:ilvl w:val="0"/>
          <w:numId w:val="187"/>
        </w:numPr>
        <w:spacing w:line="360" w:lineRule="auto"/>
        <w:ind w:left="426"/>
        <w:jc w:val="both"/>
        <w:rPr>
          <w:rFonts w:cs="Tahoma"/>
          <w:i/>
        </w:rPr>
      </w:pPr>
      <w:r w:rsidRPr="00515872">
        <w:rPr>
          <w:rFonts w:cs="Tahoma"/>
          <w:i/>
        </w:rPr>
        <w:t>individuazione dei componenti presenti, s</w:t>
      </w:r>
      <w:r w:rsidR="00574B17" w:rsidRPr="00515872">
        <w:rPr>
          <w:rFonts w:cs="Tahoma"/>
          <w:i/>
        </w:rPr>
        <w:t>pecificando la qualificazione (p</w:t>
      </w:r>
      <w:r w:rsidRPr="00515872">
        <w:rPr>
          <w:rFonts w:cs="Tahoma"/>
          <w:i/>
        </w:rPr>
        <w:t>residente o componente);</w:t>
      </w:r>
    </w:p>
    <w:p w14:paraId="1F65C881" w14:textId="77777777" w:rsidR="009518AF" w:rsidRPr="00515872" w:rsidRDefault="009518AF" w:rsidP="00D65838">
      <w:pPr>
        <w:pStyle w:val="Paragrafoelenco"/>
        <w:numPr>
          <w:ilvl w:val="0"/>
          <w:numId w:val="187"/>
        </w:numPr>
        <w:spacing w:line="360" w:lineRule="auto"/>
        <w:ind w:left="426"/>
        <w:jc w:val="both"/>
        <w:rPr>
          <w:rFonts w:cs="Tahoma"/>
          <w:i/>
        </w:rPr>
      </w:pPr>
      <w:r w:rsidRPr="00515872">
        <w:rPr>
          <w:rFonts w:cs="Tahoma"/>
          <w:i/>
        </w:rPr>
        <w:t>eventuali altri partecipanti alle sedute;</w:t>
      </w:r>
    </w:p>
    <w:p w14:paraId="1EC9C818" w14:textId="77777777" w:rsidR="009518AF" w:rsidRPr="00515872" w:rsidRDefault="009518AF" w:rsidP="00D65838">
      <w:pPr>
        <w:pStyle w:val="Paragrafoelenco"/>
        <w:numPr>
          <w:ilvl w:val="0"/>
          <w:numId w:val="187"/>
        </w:numPr>
        <w:spacing w:line="360" w:lineRule="auto"/>
        <w:ind w:left="426"/>
        <w:jc w:val="both"/>
        <w:rPr>
          <w:rFonts w:cs="Tahoma"/>
          <w:i/>
        </w:rPr>
      </w:pPr>
      <w:r w:rsidRPr="00515872">
        <w:rPr>
          <w:rFonts w:cs="Tahoma"/>
          <w:i/>
        </w:rPr>
        <w:t>indicazioni del numero, della data e dell'oggetto dei provvedimenti ritenuti viziati.”</w:t>
      </w:r>
    </w:p>
    <w:p w14:paraId="3E0E0DC8" w14:textId="77777777" w:rsidR="009518AF" w:rsidRPr="00515872" w:rsidRDefault="009518AF" w:rsidP="009518AF">
      <w:pPr>
        <w:spacing w:after="0" w:line="360" w:lineRule="auto"/>
        <w:jc w:val="both"/>
        <w:rPr>
          <w:rFonts w:cs="Tahoma"/>
          <w:b/>
          <w:szCs w:val="20"/>
        </w:rPr>
      </w:pPr>
      <w:r w:rsidRPr="00515872">
        <w:rPr>
          <w:rFonts w:cs="Tahoma"/>
          <w:b/>
          <w:szCs w:val="20"/>
        </w:rPr>
        <w:t>Gli agenti contabili</w:t>
      </w:r>
    </w:p>
    <w:p w14:paraId="3C3397AC" w14:textId="77777777" w:rsidR="009518AF" w:rsidRPr="00515872" w:rsidRDefault="009518AF" w:rsidP="009518AF">
      <w:pPr>
        <w:spacing w:line="360" w:lineRule="auto"/>
        <w:jc w:val="both"/>
        <w:rPr>
          <w:rFonts w:cs="Tahoma"/>
          <w:szCs w:val="20"/>
        </w:rPr>
      </w:pPr>
      <w:r w:rsidRPr="00515872">
        <w:rPr>
          <w:rFonts w:cs="Tahoma"/>
          <w:szCs w:val="20"/>
        </w:rPr>
        <w:t>Gli agenti contabili si distinguono tra agenti a denaro, che gestiscono somme per conto dell’ente, e agenti a materia, incaricati della gestione di beni mobili. Nell’ambito dell’ente, gli agenti contabili possono essere molteplici, a seconda delle dimensioni dello stesso e delle att</w:t>
      </w:r>
      <w:r w:rsidR="007F05E0" w:rsidRPr="00515872">
        <w:rPr>
          <w:rFonts w:cs="Tahoma"/>
          <w:szCs w:val="20"/>
        </w:rPr>
        <w:t>ività svolte.</w:t>
      </w:r>
    </w:p>
    <w:p w14:paraId="224E73C2" w14:textId="77777777" w:rsidR="007F05E0" w:rsidRPr="00515872" w:rsidRDefault="007F05E0" w:rsidP="009518AF">
      <w:pPr>
        <w:spacing w:line="360" w:lineRule="auto"/>
        <w:jc w:val="both"/>
        <w:rPr>
          <w:rFonts w:cs="Tahoma"/>
          <w:szCs w:val="20"/>
        </w:rPr>
      </w:pPr>
      <w:r w:rsidRPr="00515872">
        <w:rPr>
          <w:rFonts w:cs="Tahoma"/>
          <w:szCs w:val="20"/>
        </w:rPr>
        <w:t xml:space="preserve">Gli agenti, inoltre, si possono distinguere tra agenti “interni” ed “esterni”. I primi sono legati all’ente locale da un rapporto di lavoro dipendente mentre i secondi sono generalmente </w:t>
      </w:r>
      <w:r w:rsidR="00041093" w:rsidRPr="00515872">
        <w:rPr>
          <w:rFonts w:cs="Tahoma"/>
          <w:szCs w:val="20"/>
        </w:rPr>
        <w:t xml:space="preserve">soggetti autonomi </w:t>
      </w:r>
      <w:r w:rsidRPr="00515872">
        <w:rPr>
          <w:rFonts w:cs="Tahoma"/>
          <w:szCs w:val="20"/>
        </w:rPr>
        <w:t>legati all’ente da rapporti contrattuali.</w:t>
      </w:r>
    </w:p>
    <w:p w14:paraId="36BB9DE3" w14:textId="77777777" w:rsidR="009518AF" w:rsidRPr="00515872" w:rsidRDefault="009518AF" w:rsidP="009518AF">
      <w:pPr>
        <w:spacing w:line="360" w:lineRule="auto"/>
        <w:jc w:val="both"/>
        <w:rPr>
          <w:rFonts w:cs="Tahoma"/>
          <w:szCs w:val="20"/>
        </w:rPr>
      </w:pPr>
      <w:r w:rsidRPr="00515872">
        <w:rPr>
          <w:rFonts w:cs="Tahoma"/>
          <w:szCs w:val="20"/>
        </w:rPr>
        <w:t xml:space="preserve">L’agente contabile per eccellenza è </w:t>
      </w:r>
      <w:r w:rsidRPr="00515872">
        <w:rPr>
          <w:rFonts w:cs="Tahoma"/>
          <w:bCs/>
          <w:szCs w:val="20"/>
        </w:rPr>
        <w:t>l’</w:t>
      </w:r>
      <w:r w:rsidRPr="00515872">
        <w:rPr>
          <w:rFonts w:cs="Tahoma"/>
          <w:b/>
          <w:bCs/>
          <w:szCs w:val="20"/>
        </w:rPr>
        <w:t>economo</w:t>
      </w:r>
      <w:r w:rsidRPr="00515872">
        <w:rPr>
          <w:rFonts w:cs="Tahoma"/>
          <w:szCs w:val="20"/>
        </w:rPr>
        <w:t xml:space="preserve">, le cui funzioni sono determinate con apposito regolamento nel quale sono individuate le spese che l’economo può sostenere in termini di limite massimo, natura, modalità e termini di rendicontazione. Ad esso è attribuita la possibilità di procedere alle spese minute di non rilevante ammontare, per effettuare le quali riceve una somma di denaro, detta fondo economale, che deve essere reintegrato nel corso dell’esercizio in base alla presentazione di </w:t>
      </w:r>
      <w:r w:rsidRPr="00515872">
        <w:rPr>
          <w:rFonts w:cs="Tahoma"/>
          <w:b/>
          <w:szCs w:val="20"/>
        </w:rPr>
        <w:t>appositi rendiconti</w:t>
      </w:r>
      <w:r w:rsidRPr="00515872">
        <w:rPr>
          <w:rFonts w:cs="Tahoma"/>
          <w:szCs w:val="20"/>
        </w:rPr>
        <w:t xml:space="preserve"> delle spese sostenute.</w:t>
      </w:r>
    </w:p>
    <w:p w14:paraId="56A4E115" w14:textId="77777777" w:rsidR="009518AF" w:rsidRPr="00515872" w:rsidRDefault="009518AF" w:rsidP="009518AF">
      <w:pPr>
        <w:spacing w:line="360" w:lineRule="auto"/>
        <w:jc w:val="both"/>
        <w:rPr>
          <w:rFonts w:cs="Tahoma"/>
          <w:szCs w:val="20"/>
        </w:rPr>
      </w:pPr>
      <w:r w:rsidRPr="00515872">
        <w:rPr>
          <w:rFonts w:cs="Tahoma"/>
          <w:szCs w:val="20"/>
        </w:rPr>
        <w:t>I revisori devono verificare i rendiconti dell’economo, con particolare riferimento al rispetto del regolamento economale, prestando attenzione alla molteplicità di fatture da parte di uno stesso fornitore, che potrebbero nascondere una fornitura unica, ma frazionata appositamente per eludere la regolare procedura di pagamento a mezzo mandato, certamente più lunga e dispersiva.</w:t>
      </w:r>
    </w:p>
    <w:p w14:paraId="0E5BD7BF" w14:textId="77777777" w:rsidR="009518AF" w:rsidRPr="00515872" w:rsidRDefault="009518AF" w:rsidP="009518AF">
      <w:pPr>
        <w:spacing w:after="0" w:line="360" w:lineRule="auto"/>
        <w:jc w:val="both"/>
        <w:rPr>
          <w:rFonts w:cs="Tahoma"/>
          <w:szCs w:val="20"/>
        </w:rPr>
      </w:pPr>
      <w:r w:rsidRPr="00515872">
        <w:rPr>
          <w:rFonts w:cs="Tahoma"/>
          <w:szCs w:val="20"/>
        </w:rPr>
        <w:t>Altri agenti contabili possono essere:</w:t>
      </w:r>
    </w:p>
    <w:p w14:paraId="74706A30" w14:textId="77777777" w:rsidR="009518AF" w:rsidRPr="00515872" w:rsidRDefault="009518AF" w:rsidP="00D65838">
      <w:pPr>
        <w:pStyle w:val="Paragrafoelenco"/>
        <w:numPr>
          <w:ilvl w:val="0"/>
          <w:numId w:val="136"/>
        </w:numPr>
        <w:spacing w:line="360" w:lineRule="auto"/>
        <w:jc w:val="both"/>
        <w:rPr>
          <w:rFonts w:cs="Tahoma"/>
          <w:szCs w:val="20"/>
        </w:rPr>
      </w:pPr>
      <w:r w:rsidRPr="00515872">
        <w:rPr>
          <w:rFonts w:cs="Tahoma"/>
          <w:szCs w:val="20"/>
        </w:rPr>
        <w:t>il tesoriere;</w:t>
      </w:r>
    </w:p>
    <w:p w14:paraId="17A6AF4C" w14:textId="77777777" w:rsidR="009518AF" w:rsidRPr="00515872" w:rsidRDefault="009518AF" w:rsidP="00D65838">
      <w:pPr>
        <w:pStyle w:val="Paragrafoelenco"/>
        <w:numPr>
          <w:ilvl w:val="0"/>
          <w:numId w:val="136"/>
        </w:numPr>
        <w:spacing w:line="360" w:lineRule="auto"/>
        <w:jc w:val="both"/>
        <w:rPr>
          <w:rFonts w:cs="Tahoma"/>
          <w:szCs w:val="20"/>
        </w:rPr>
      </w:pPr>
      <w:r w:rsidRPr="00515872">
        <w:rPr>
          <w:rFonts w:cs="Tahoma"/>
          <w:szCs w:val="20"/>
        </w:rPr>
        <w:t>il concessionario della riscossione;</w:t>
      </w:r>
    </w:p>
    <w:p w14:paraId="709FB3D3" w14:textId="77777777" w:rsidR="009518AF" w:rsidRPr="00515872" w:rsidRDefault="009518AF" w:rsidP="00D65838">
      <w:pPr>
        <w:pStyle w:val="Paragrafoelenco"/>
        <w:numPr>
          <w:ilvl w:val="0"/>
          <w:numId w:val="136"/>
        </w:numPr>
        <w:spacing w:line="360" w:lineRule="auto"/>
        <w:jc w:val="both"/>
        <w:rPr>
          <w:rFonts w:cs="Tahoma"/>
          <w:szCs w:val="20"/>
        </w:rPr>
      </w:pPr>
      <w:r w:rsidRPr="00515872">
        <w:rPr>
          <w:rFonts w:cs="Tahoma"/>
          <w:szCs w:val="20"/>
        </w:rPr>
        <w:t>i consegnatari di beni mobili ed immobili e delle partecipazioni;</w:t>
      </w:r>
    </w:p>
    <w:p w14:paraId="39C28EDA" w14:textId="77777777" w:rsidR="009518AF" w:rsidRPr="00515872" w:rsidRDefault="009518AF" w:rsidP="00D65838">
      <w:pPr>
        <w:pStyle w:val="Paragrafoelenco"/>
        <w:numPr>
          <w:ilvl w:val="0"/>
          <w:numId w:val="136"/>
        </w:numPr>
        <w:spacing w:line="360" w:lineRule="auto"/>
        <w:jc w:val="both"/>
        <w:rPr>
          <w:rFonts w:cs="Tahoma"/>
          <w:szCs w:val="20"/>
        </w:rPr>
      </w:pPr>
      <w:r w:rsidRPr="00515872">
        <w:rPr>
          <w:rFonts w:cs="Tahoma"/>
          <w:szCs w:val="20"/>
        </w:rPr>
        <w:t>altri dipendenti incaricati del maneggio di denaro (es. agenti di polizia locale, cassieri, ecc.).</w:t>
      </w:r>
    </w:p>
    <w:p w14:paraId="77EF1BEE"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Il controllo sugli agenti contabili impatta su altre funzioni dell’organo di revisione e precisamente:</w:t>
      </w:r>
    </w:p>
    <w:p w14:paraId="2B0F7864" w14:textId="77777777" w:rsidR="009518AF" w:rsidRPr="00515872" w:rsidRDefault="009518AF" w:rsidP="00D65838">
      <w:pPr>
        <w:pStyle w:val="Paragrafoelenco"/>
        <w:numPr>
          <w:ilvl w:val="0"/>
          <w:numId w:val="137"/>
        </w:numPr>
        <w:spacing w:line="360" w:lineRule="auto"/>
        <w:jc w:val="both"/>
        <w:rPr>
          <w:rFonts w:cs="Tahoma"/>
          <w:szCs w:val="20"/>
        </w:rPr>
      </w:pPr>
      <w:r w:rsidRPr="00515872">
        <w:rPr>
          <w:rFonts w:cs="Tahoma"/>
          <w:color w:val="000000"/>
          <w:szCs w:val="20"/>
        </w:rPr>
        <w:t>sulla vigilanza della regolarità contabile, giacché le operazioni compiute dagli agenti contabili sono parte dei procedimenti di acquisizione delle entrate, effettuazione delle spese e gestione dei beni e valori dell’ente locale;</w:t>
      </w:r>
    </w:p>
    <w:p w14:paraId="0B8A62C8" w14:textId="77777777" w:rsidR="009518AF" w:rsidRPr="00515872" w:rsidRDefault="009518AF" w:rsidP="00D65838">
      <w:pPr>
        <w:pStyle w:val="Paragrafoelenco"/>
        <w:numPr>
          <w:ilvl w:val="0"/>
          <w:numId w:val="137"/>
        </w:numPr>
        <w:spacing w:line="360" w:lineRule="auto"/>
        <w:jc w:val="both"/>
        <w:rPr>
          <w:rFonts w:cs="Tahoma"/>
          <w:szCs w:val="20"/>
        </w:rPr>
      </w:pPr>
      <w:r w:rsidRPr="00515872">
        <w:rPr>
          <w:rFonts w:cs="Tahoma"/>
          <w:color w:val="000000"/>
          <w:szCs w:val="20"/>
        </w:rPr>
        <w:lastRenderedPageBreak/>
        <w:t>sulla relazione al rendiconto nella quale il revisore attesta la corrispondenza del rendiconto alle risultanze della gestione.</w:t>
      </w:r>
    </w:p>
    <w:p w14:paraId="56FC4CF3" w14:textId="77777777" w:rsidR="009518AF" w:rsidRPr="00515872" w:rsidRDefault="009518AF" w:rsidP="009518AF">
      <w:pPr>
        <w:spacing w:after="0" w:line="360" w:lineRule="auto"/>
        <w:jc w:val="both"/>
        <w:rPr>
          <w:rFonts w:cs="Tahoma"/>
          <w:b/>
          <w:szCs w:val="20"/>
        </w:rPr>
      </w:pPr>
      <w:r w:rsidRPr="00515872">
        <w:rPr>
          <w:rFonts w:cs="Tahoma"/>
          <w:b/>
          <w:szCs w:val="20"/>
        </w:rPr>
        <w:t>Verifiche di cassa straordinarie</w:t>
      </w:r>
    </w:p>
    <w:p w14:paraId="2820EC42" w14:textId="77777777" w:rsidR="009518AF" w:rsidRPr="00515872" w:rsidRDefault="009518AF" w:rsidP="009518AF">
      <w:pPr>
        <w:spacing w:line="360" w:lineRule="auto"/>
        <w:jc w:val="both"/>
        <w:rPr>
          <w:rFonts w:cs="Tahoma"/>
          <w:szCs w:val="20"/>
        </w:rPr>
      </w:pPr>
      <w:r w:rsidRPr="00515872">
        <w:rPr>
          <w:rFonts w:cs="Tahoma"/>
          <w:szCs w:val="20"/>
        </w:rPr>
        <w:t>L’art. 224 del TUEL prevede le verifiche di cassa straordinarie che si differenziano da quelle ordinarie unicamente in ragione del contesto in cui sono richieste e dei soggetti coinvolti. L</w:t>
      </w:r>
      <w:r w:rsidR="00C919DA" w:rsidRPr="00515872">
        <w:rPr>
          <w:rFonts w:cs="Tahoma"/>
          <w:szCs w:val="20"/>
        </w:rPr>
        <w:t>e</w:t>
      </w:r>
      <w:r w:rsidRPr="00515872">
        <w:rPr>
          <w:rFonts w:cs="Tahoma"/>
          <w:szCs w:val="20"/>
        </w:rPr>
        <w:t xml:space="preserve"> verific</w:t>
      </w:r>
      <w:r w:rsidR="00C919DA" w:rsidRPr="00515872">
        <w:rPr>
          <w:rFonts w:cs="Tahoma"/>
          <w:szCs w:val="20"/>
        </w:rPr>
        <w:t>he</w:t>
      </w:r>
      <w:r w:rsidRPr="00515872">
        <w:rPr>
          <w:rFonts w:cs="Tahoma"/>
          <w:szCs w:val="20"/>
        </w:rPr>
        <w:t xml:space="preserve"> di cassa straordinari</w:t>
      </w:r>
      <w:r w:rsidR="00C919DA" w:rsidRPr="00515872">
        <w:rPr>
          <w:rFonts w:cs="Tahoma"/>
          <w:szCs w:val="20"/>
        </w:rPr>
        <w:t>e</w:t>
      </w:r>
      <w:r w:rsidRPr="00515872">
        <w:rPr>
          <w:rFonts w:cs="Tahoma"/>
          <w:szCs w:val="20"/>
        </w:rPr>
        <w:t>, infatti, si rend</w:t>
      </w:r>
      <w:r w:rsidR="00C919DA" w:rsidRPr="00515872">
        <w:rPr>
          <w:rFonts w:cs="Tahoma"/>
          <w:szCs w:val="20"/>
        </w:rPr>
        <w:t>ono</w:t>
      </w:r>
      <w:r w:rsidRPr="00515872">
        <w:rPr>
          <w:rFonts w:cs="Tahoma"/>
          <w:szCs w:val="20"/>
        </w:rPr>
        <w:t xml:space="preserve"> necessari</w:t>
      </w:r>
      <w:r w:rsidR="00C919DA" w:rsidRPr="00515872">
        <w:rPr>
          <w:rFonts w:cs="Tahoma"/>
          <w:szCs w:val="20"/>
        </w:rPr>
        <w:t>e</w:t>
      </w:r>
      <w:r w:rsidRPr="00515872">
        <w:rPr>
          <w:rFonts w:cs="Tahoma"/>
          <w:szCs w:val="20"/>
        </w:rPr>
        <w:t xml:space="preserve"> unicamente in occasione del cambio della persona del sindaco, del presidente di provincia, del sindaco metropolitano o del presidente della comunità montata (quindi, </w:t>
      </w:r>
      <w:r w:rsidR="0028347B" w:rsidRPr="00515872">
        <w:rPr>
          <w:rFonts w:cs="Tahoma"/>
          <w:szCs w:val="20"/>
        </w:rPr>
        <w:t xml:space="preserve">potenzialmente, </w:t>
      </w:r>
      <w:r w:rsidRPr="00515872">
        <w:rPr>
          <w:rFonts w:cs="Tahoma"/>
          <w:szCs w:val="20"/>
        </w:rPr>
        <w:t>ad ogni elezione amministrativa).</w:t>
      </w:r>
    </w:p>
    <w:p w14:paraId="12145B9F" w14:textId="77777777" w:rsidR="009518AF" w:rsidRPr="00515872" w:rsidRDefault="009518AF" w:rsidP="009518AF">
      <w:pPr>
        <w:spacing w:line="360" w:lineRule="auto"/>
        <w:jc w:val="both"/>
        <w:rPr>
          <w:rFonts w:cs="Tahoma"/>
          <w:szCs w:val="20"/>
        </w:rPr>
      </w:pPr>
      <w:r w:rsidRPr="00515872">
        <w:rPr>
          <w:rFonts w:cs="Tahoma"/>
          <w:szCs w:val="20"/>
        </w:rPr>
        <w:t>Sono chiamati a partecipare a</w:t>
      </w:r>
      <w:r w:rsidR="00C919DA" w:rsidRPr="00515872">
        <w:rPr>
          <w:rFonts w:cs="Tahoma"/>
          <w:szCs w:val="20"/>
        </w:rPr>
        <w:t xml:space="preserve"> dette</w:t>
      </w:r>
      <w:r w:rsidRPr="00515872">
        <w:rPr>
          <w:rFonts w:cs="Tahoma"/>
          <w:szCs w:val="20"/>
        </w:rPr>
        <w:t xml:space="preserve"> verific</w:t>
      </w:r>
      <w:r w:rsidR="00C919DA" w:rsidRPr="00515872">
        <w:rPr>
          <w:rFonts w:cs="Tahoma"/>
          <w:szCs w:val="20"/>
        </w:rPr>
        <w:t>he</w:t>
      </w:r>
      <w:r w:rsidRPr="00515872">
        <w:rPr>
          <w:rFonts w:cs="Tahoma"/>
          <w:szCs w:val="20"/>
        </w:rPr>
        <w:t>, oltre al revisore dei conti e al responsabile del servizio finanziario, gli amministratori uscenti, quelli entranti e il segretario.</w:t>
      </w:r>
    </w:p>
    <w:p w14:paraId="320BACB8" w14:textId="77777777" w:rsidR="009518AF" w:rsidRPr="00515872" w:rsidRDefault="009518AF" w:rsidP="009518AF">
      <w:pPr>
        <w:spacing w:line="360" w:lineRule="auto"/>
        <w:jc w:val="both"/>
        <w:rPr>
          <w:rFonts w:cs="Tahoma"/>
          <w:szCs w:val="20"/>
        </w:rPr>
      </w:pPr>
      <w:r w:rsidRPr="00515872">
        <w:rPr>
          <w:rFonts w:cs="Tahoma"/>
          <w:szCs w:val="20"/>
        </w:rPr>
        <w:t>La verifica di cassa straordinaria è finalizzata a perfezionare il passaggio di consegne dall’amministrazione uscente a quella entrante.</w:t>
      </w:r>
    </w:p>
    <w:p w14:paraId="04EDCD0A" w14:textId="77777777" w:rsidR="009518AF" w:rsidRPr="00515872" w:rsidRDefault="009518AF" w:rsidP="009518AF">
      <w:pPr>
        <w:spacing w:line="360" w:lineRule="auto"/>
        <w:jc w:val="both"/>
        <w:rPr>
          <w:rFonts w:cs="Tahoma"/>
          <w:szCs w:val="20"/>
        </w:rPr>
      </w:pPr>
      <w:r w:rsidRPr="00515872">
        <w:rPr>
          <w:rFonts w:cs="Tahoma"/>
          <w:szCs w:val="20"/>
        </w:rPr>
        <w:t>Il regolamento di contabilità ne fissa le modalità di svolgimento.</w:t>
      </w:r>
    </w:p>
    <w:p w14:paraId="31DFA2F8" w14:textId="77777777" w:rsidR="00277513" w:rsidRPr="00515872" w:rsidRDefault="00277513" w:rsidP="00297A21">
      <w:pPr>
        <w:pStyle w:val="Paragrafo"/>
      </w:pPr>
      <w:bookmarkStart w:id="179" w:name="_Toc521317109"/>
    </w:p>
    <w:p w14:paraId="6B7BCF9F" w14:textId="77777777" w:rsidR="009518AF" w:rsidRPr="00515872" w:rsidRDefault="00AD2719" w:rsidP="00297A21">
      <w:pPr>
        <w:pStyle w:val="Paragrafo"/>
      </w:pPr>
      <w:bookmarkStart w:id="180" w:name="_Toc95912299"/>
      <w:r w:rsidRPr="00515872">
        <w:t>6</w:t>
      </w:r>
      <w:r w:rsidR="009518AF" w:rsidRPr="00515872">
        <w:t>.2 Collaborazione con il consiglio dell’ente</w:t>
      </w:r>
      <w:bookmarkEnd w:id="179"/>
      <w:bookmarkEnd w:id="180"/>
    </w:p>
    <w:p w14:paraId="07D8E433" w14:textId="77777777" w:rsidR="009518AF" w:rsidRPr="00515872" w:rsidRDefault="009518AF" w:rsidP="009518AF">
      <w:pPr>
        <w:spacing w:line="360" w:lineRule="auto"/>
        <w:jc w:val="both"/>
        <w:rPr>
          <w:rFonts w:cs="Tahoma"/>
          <w:szCs w:val="20"/>
        </w:rPr>
      </w:pPr>
      <w:r w:rsidRPr="00515872">
        <w:rPr>
          <w:rFonts w:cs="Tahoma"/>
          <w:szCs w:val="20"/>
        </w:rPr>
        <w:t>L’attività di collaborazione dell’organo di revisione con il consiglio dell’ente si concretizza in osservazioni e suggerimenti che, analizzando aspetti gestionali nelle cause e negli effetti, si traducono in un complesso di elementi utili per il consiglio ad operare valutazioni e scelte ragionate, avendo riguardo alle disposizioni dello statuto e del regolamento dell’ente, passando dall’analisi e valutazione dei risultati dell’attività amministrativa. Gli enti, pertanto, dovrebbero disciplinare, ne</w:t>
      </w:r>
      <w:r w:rsidR="00922F75" w:rsidRPr="00515872">
        <w:rPr>
          <w:rFonts w:cs="Tahoma"/>
          <w:szCs w:val="20"/>
        </w:rPr>
        <w:t>i loro statuti</w:t>
      </w:r>
      <w:r w:rsidRPr="00515872">
        <w:rPr>
          <w:rFonts w:cs="Tahoma"/>
          <w:szCs w:val="20"/>
        </w:rPr>
        <w:t xml:space="preserve"> e nei regolamenti, le modalità di svolgimento di tale attività.</w:t>
      </w:r>
    </w:p>
    <w:p w14:paraId="26B73F7C"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La collaborazione riguarda la complessa attività di indirizzo e controllo amministrativo di competenza dell’organo consiliare, che è il destinatario finale di tale funzione.</w:t>
      </w:r>
      <w:r w:rsidR="008A6EE9" w:rsidRPr="00515872">
        <w:rPr>
          <w:rFonts w:cs="Tahoma"/>
          <w:color w:val="000000"/>
          <w:szCs w:val="20"/>
        </w:rPr>
        <w:t xml:space="preserve"> </w:t>
      </w:r>
      <w:r w:rsidRPr="00515872">
        <w:rPr>
          <w:rFonts w:cs="Tahoma"/>
          <w:color w:val="000000"/>
          <w:szCs w:val="20"/>
        </w:rPr>
        <w:t>In particolare, deve riguardare le aree riconducibili alle funzioni di indirizzo e controllo del consiglio sull’attività della giunta e degli altri organi dell’ente in ambito di attività amministrativa, comprendendo le funzioni di p</w:t>
      </w:r>
      <w:r w:rsidR="00922F75" w:rsidRPr="00515872">
        <w:rPr>
          <w:rFonts w:cs="Tahoma"/>
          <w:color w:val="000000"/>
          <w:szCs w:val="20"/>
        </w:rPr>
        <w:t xml:space="preserve">rogrammazione, organizzazione e </w:t>
      </w:r>
      <w:r w:rsidRPr="00515872">
        <w:rPr>
          <w:rFonts w:cs="Tahoma"/>
          <w:color w:val="000000"/>
          <w:szCs w:val="20"/>
        </w:rPr>
        <w:t>rendicontazione.</w:t>
      </w:r>
    </w:p>
    <w:p w14:paraId="5F0B5269"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La collaborazione assume le caratteristiche dell’attività professionale qualificata finalizzata al buon andamento della gestione. L’azione propositiva che essa richiede comporta una ingerenza da parte dell’organo di controllo nell’attività gestionale tale da travalicare la tradizionale attività di mero controllo tipica degli organi di revisione; essa </w:t>
      </w:r>
      <w:r w:rsidRPr="00515872">
        <w:rPr>
          <w:rFonts w:cs="Tahoma"/>
          <w:b/>
          <w:color w:val="000000"/>
          <w:szCs w:val="20"/>
        </w:rPr>
        <w:t xml:space="preserve">deve comunque intendersi limitata agli aspetti finanziari, economici e patrimoniali delle </w:t>
      </w:r>
      <w:r w:rsidRPr="00515872">
        <w:rPr>
          <w:rFonts w:cs="Tahoma"/>
          <w:b/>
          <w:color w:val="000000"/>
          <w:szCs w:val="20"/>
        </w:rPr>
        <w:lastRenderedPageBreak/>
        <w:t>materie di competenza consiliare</w:t>
      </w:r>
      <w:r w:rsidRPr="00515872">
        <w:rPr>
          <w:rFonts w:cs="Tahoma"/>
          <w:color w:val="000000"/>
          <w:szCs w:val="20"/>
        </w:rPr>
        <w:t>. In questo senso l’attività collaborativa si inserisce in una posi</w:t>
      </w:r>
      <w:r w:rsidR="008A6EE9" w:rsidRPr="00515872">
        <w:rPr>
          <w:rFonts w:cs="Tahoma"/>
          <w:color w:val="000000"/>
          <w:szCs w:val="20"/>
        </w:rPr>
        <w:t>zione intermedia fra il</w:t>
      </w:r>
      <w:r w:rsidRPr="00515872">
        <w:rPr>
          <w:rFonts w:cs="Tahoma"/>
          <w:color w:val="000000"/>
          <w:szCs w:val="20"/>
        </w:rPr>
        <w:t xml:space="preserve"> controllo e </w:t>
      </w:r>
      <w:r w:rsidR="008A6EE9" w:rsidRPr="00515872">
        <w:rPr>
          <w:rFonts w:cs="Tahoma"/>
          <w:color w:val="000000"/>
          <w:szCs w:val="20"/>
        </w:rPr>
        <w:t xml:space="preserve">la </w:t>
      </w:r>
      <w:r w:rsidRPr="00515872">
        <w:rPr>
          <w:rFonts w:cs="Tahoma"/>
          <w:color w:val="000000"/>
          <w:szCs w:val="20"/>
        </w:rPr>
        <w:t>consulenza.</w:t>
      </w:r>
    </w:p>
    <w:p w14:paraId="5065623B"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La finalità è quella di conseguire, attraverso la responsabilizzazione dei risultati, una maggior efficienza, produttività ed economicità della gestione nonché il miglioramento dei tempi e dei modi dell’azione amministrativa.</w:t>
      </w:r>
    </w:p>
    <w:p w14:paraId="5C765456"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 pareri, rilievi, osservazioni e proposte dell’organo di revisione in tale ambito possono essere disattesi dal consiglio dell’ente purché tale presa di posizione risulti adeguatamente motivata.</w:t>
      </w:r>
    </w:p>
    <w:p w14:paraId="428E5E74" w14:textId="77777777" w:rsidR="00277513" w:rsidRPr="00515872" w:rsidRDefault="00277513" w:rsidP="00297A21">
      <w:pPr>
        <w:pStyle w:val="Paragrafo"/>
      </w:pPr>
      <w:bookmarkStart w:id="181" w:name="_Toc521317110"/>
    </w:p>
    <w:p w14:paraId="6ACA619A" w14:textId="77777777" w:rsidR="009518AF" w:rsidRPr="00515872" w:rsidRDefault="00AD2719" w:rsidP="00297A21">
      <w:pPr>
        <w:pStyle w:val="Paragrafo"/>
      </w:pPr>
      <w:bookmarkStart w:id="182" w:name="_Toc95912300"/>
      <w:r w:rsidRPr="00515872">
        <w:t>6</w:t>
      </w:r>
      <w:r w:rsidR="009518AF" w:rsidRPr="00515872">
        <w:t>.3 Referto e denuncia su gravi irregolarità di gestione</w:t>
      </w:r>
      <w:bookmarkEnd w:id="181"/>
      <w:bookmarkEnd w:id="182"/>
    </w:p>
    <w:p w14:paraId="710F4C80" w14:textId="77777777" w:rsidR="009518AF" w:rsidRPr="00515872" w:rsidRDefault="009518AF" w:rsidP="009518AF">
      <w:pPr>
        <w:spacing w:line="360" w:lineRule="auto"/>
        <w:jc w:val="both"/>
        <w:rPr>
          <w:rFonts w:cs="Tahoma"/>
          <w:szCs w:val="20"/>
        </w:rPr>
      </w:pPr>
      <w:r w:rsidRPr="00515872">
        <w:rPr>
          <w:rFonts w:cs="Tahoma"/>
          <w:szCs w:val="20"/>
        </w:rPr>
        <w:t xml:space="preserve">Nell’ambito dell’attività collaborativa si inserisce anche la segnalazione in ipotesi di rilievo di gravi irregolarità di gestione nel corso dell’attività di vigilanza. La lett. e) del c. 1, art. 239 del TUEL impone al collegio dei revisori di </w:t>
      </w:r>
      <w:r w:rsidRPr="00515872">
        <w:rPr>
          <w:rFonts w:cs="Tahoma"/>
          <w:b/>
          <w:szCs w:val="20"/>
        </w:rPr>
        <w:t>riferire al consiglio comunale su gravi irregolarità di gestione, con contestuale denuncia agli organi giurisdizionali competenti.</w:t>
      </w:r>
      <w:r w:rsidR="00922F75" w:rsidRPr="00515872">
        <w:rPr>
          <w:rFonts w:cs="Tahoma"/>
          <w:b/>
          <w:szCs w:val="20"/>
        </w:rPr>
        <w:t xml:space="preserve"> </w:t>
      </w:r>
      <w:r w:rsidRPr="00515872">
        <w:rPr>
          <w:rFonts w:cs="Tahoma"/>
          <w:szCs w:val="20"/>
        </w:rPr>
        <w:t>Tale intervento, quindi, non si limita a segnalazioni indirizzate ad organi interni all’ente ma interessa anche gli organismi di controllo esterni (Corte dei Conti e giudice ordinario).</w:t>
      </w:r>
    </w:p>
    <w:p w14:paraId="72F6B891" w14:textId="77777777" w:rsidR="00C666FA" w:rsidRPr="00515872" w:rsidRDefault="009518AF" w:rsidP="009518AF">
      <w:pPr>
        <w:spacing w:after="0" w:line="360" w:lineRule="auto"/>
        <w:jc w:val="both"/>
        <w:rPr>
          <w:rFonts w:cs="Tahoma"/>
          <w:szCs w:val="20"/>
        </w:rPr>
      </w:pPr>
      <w:r w:rsidRPr="00515872">
        <w:rPr>
          <w:rFonts w:cs="Tahoma"/>
          <w:szCs w:val="20"/>
        </w:rPr>
        <w:t>R</w:t>
      </w:r>
      <w:r w:rsidR="00922F75" w:rsidRPr="00515872">
        <w:rPr>
          <w:rFonts w:cs="Tahoma"/>
          <w:szCs w:val="20"/>
        </w:rPr>
        <w:t xml:space="preserve">eferto e denuncia sono </w:t>
      </w:r>
      <w:r w:rsidR="00C666FA" w:rsidRPr="00515872">
        <w:rPr>
          <w:rFonts w:cs="Tahoma"/>
          <w:szCs w:val="20"/>
        </w:rPr>
        <w:t>adempimenti separati:</w:t>
      </w:r>
    </w:p>
    <w:p w14:paraId="7E138C6E" w14:textId="77777777" w:rsidR="00C666FA" w:rsidRPr="00515872" w:rsidRDefault="009518AF" w:rsidP="00C666FA">
      <w:pPr>
        <w:pStyle w:val="Paragrafoelenco"/>
        <w:numPr>
          <w:ilvl w:val="0"/>
          <w:numId w:val="71"/>
        </w:numPr>
        <w:spacing w:after="0" w:line="360" w:lineRule="auto"/>
        <w:jc w:val="both"/>
        <w:rPr>
          <w:rFonts w:cs="Tahoma"/>
          <w:szCs w:val="20"/>
        </w:rPr>
      </w:pPr>
      <w:r w:rsidRPr="00515872">
        <w:rPr>
          <w:rFonts w:cs="Tahoma"/>
          <w:szCs w:val="20"/>
        </w:rPr>
        <w:t>il primo è rivolto al consiglio e, precisamente, al sindaco o al presidente del consiglio, in quanto organi deputati a promuovere la convocazione del consiglio finalizzat</w:t>
      </w:r>
      <w:r w:rsidR="00C666FA" w:rsidRPr="00515872">
        <w:rPr>
          <w:rFonts w:cs="Tahoma"/>
          <w:szCs w:val="20"/>
        </w:rPr>
        <w:t>a ad esaminare la segnalazione;</w:t>
      </w:r>
    </w:p>
    <w:p w14:paraId="4EFF5E9B" w14:textId="77777777" w:rsidR="009518AF" w:rsidRPr="00515872" w:rsidRDefault="009518AF" w:rsidP="00C666FA">
      <w:pPr>
        <w:pStyle w:val="Paragrafoelenco"/>
        <w:numPr>
          <w:ilvl w:val="0"/>
          <w:numId w:val="71"/>
        </w:numPr>
        <w:spacing w:after="0" w:line="360" w:lineRule="auto"/>
        <w:jc w:val="both"/>
        <w:rPr>
          <w:rFonts w:cs="Tahoma"/>
          <w:szCs w:val="20"/>
        </w:rPr>
      </w:pPr>
      <w:r w:rsidRPr="00515872">
        <w:rPr>
          <w:rFonts w:cs="Tahoma"/>
          <w:szCs w:val="20"/>
        </w:rPr>
        <w:t xml:space="preserve">la seconda, che si rende necessaria in presenza di gravi irregolarità che diano luogo a </w:t>
      </w:r>
      <w:r w:rsidRPr="00515872">
        <w:rPr>
          <w:rFonts w:cs="Tahoma"/>
          <w:b/>
          <w:szCs w:val="20"/>
        </w:rPr>
        <w:t>responsabilità per danno erariale o responsabilità penale</w:t>
      </w:r>
      <w:r w:rsidRPr="00515872">
        <w:rPr>
          <w:rFonts w:cs="Tahoma"/>
          <w:szCs w:val="20"/>
        </w:rPr>
        <w:t>, scatta a seguito della scoperta del danno stesso e deve contenere:</w:t>
      </w:r>
    </w:p>
    <w:p w14:paraId="35DD49E2" w14:textId="77777777" w:rsidR="009518AF" w:rsidRPr="00515872" w:rsidRDefault="009518AF" w:rsidP="00C666FA">
      <w:pPr>
        <w:pStyle w:val="Paragrafoelenco"/>
        <w:numPr>
          <w:ilvl w:val="0"/>
          <w:numId w:val="153"/>
        </w:numPr>
        <w:spacing w:line="360" w:lineRule="auto"/>
        <w:rPr>
          <w:rFonts w:eastAsia="Times New Roman" w:cs="Tahoma"/>
          <w:szCs w:val="20"/>
          <w:lang w:eastAsia="it-IT"/>
        </w:rPr>
      </w:pPr>
      <w:r w:rsidRPr="00515872">
        <w:rPr>
          <w:rFonts w:eastAsia="Times New Roman" w:cs="Tahoma"/>
          <w:szCs w:val="20"/>
          <w:lang w:eastAsia="it-IT"/>
        </w:rPr>
        <w:t>l’indicazione del fatto;</w:t>
      </w:r>
    </w:p>
    <w:p w14:paraId="05683A52" w14:textId="77777777" w:rsidR="009518AF" w:rsidRPr="00515872" w:rsidRDefault="009518AF" w:rsidP="00C666FA">
      <w:pPr>
        <w:pStyle w:val="Paragrafoelenco"/>
        <w:numPr>
          <w:ilvl w:val="0"/>
          <w:numId w:val="153"/>
        </w:numPr>
        <w:spacing w:line="360" w:lineRule="auto"/>
        <w:rPr>
          <w:rFonts w:eastAsia="Times New Roman" w:cs="Tahoma"/>
          <w:szCs w:val="20"/>
          <w:lang w:eastAsia="it-IT"/>
        </w:rPr>
      </w:pPr>
      <w:r w:rsidRPr="00515872">
        <w:rPr>
          <w:rFonts w:eastAsia="Times New Roman" w:cs="Tahoma"/>
          <w:szCs w:val="20"/>
          <w:lang w:eastAsia="it-IT"/>
        </w:rPr>
        <w:t>gli elementi raccolti dall’organo di revisione;</w:t>
      </w:r>
    </w:p>
    <w:p w14:paraId="0A921FC1" w14:textId="77777777" w:rsidR="009518AF" w:rsidRPr="00515872" w:rsidRDefault="009518AF" w:rsidP="00C666FA">
      <w:pPr>
        <w:pStyle w:val="Paragrafoelenco"/>
        <w:numPr>
          <w:ilvl w:val="0"/>
          <w:numId w:val="153"/>
        </w:numPr>
        <w:spacing w:line="360" w:lineRule="auto"/>
        <w:rPr>
          <w:rFonts w:eastAsia="Times New Roman" w:cs="Tahoma"/>
          <w:szCs w:val="20"/>
          <w:lang w:eastAsia="it-IT"/>
        </w:rPr>
      </w:pPr>
      <w:r w:rsidRPr="00515872">
        <w:rPr>
          <w:rFonts w:eastAsia="Times New Roman" w:cs="Tahoma"/>
          <w:szCs w:val="20"/>
          <w:lang w:eastAsia="it-IT"/>
        </w:rPr>
        <w:t xml:space="preserve">il comportamento tenuto dal personale dell’ente in relazione all’evento dannoso; </w:t>
      </w:r>
    </w:p>
    <w:p w14:paraId="22D8D8ED" w14:textId="77777777" w:rsidR="009518AF" w:rsidRPr="00515872" w:rsidRDefault="009518AF" w:rsidP="00C666FA">
      <w:pPr>
        <w:pStyle w:val="Paragrafoelenco"/>
        <w:numPr>
          <w:ilvl w:val="0"/>
          <w:numId w:val="153"/>
        </w:numPr>
        <w:spacing w:line="360" w:lineRule="auto"/>
        <w:rPr>
          <w:rFonts w:eastAsia="Times New Roman" w:cs="Tahoma"/>
          <w:szCs w:val="20"/>
          <w:lang w:eastAsia="it-IT"/>
        </w:rPr>
      </w:pPr>
      <w:r w:rsidRPr="00515872">
        <w:rPr>
          <w:rFonts w:eastAsia="Times New Roman" w:cs="Tahoma"/>
          <w:szCs w:val="20"/>
          <w:lang w:eastAsia="it-IT"/>
        </w:rPr>
        <w:t>le regole e i principi violati;</w:t>
      </w:r>
    </w:p>
    <w:p w14:paraId="7406BD35" w14:textId="77777777" w:rsidR="009518AF" w:rsidRPr="00515872" w:rsidRDefault="009518AF" w:rsidP="00C666FA">
      <w:pPr>
        <w:pStyle w:val="Paragrafoelenco"/>
        <w:numPr>
          <w:ilvl w:val="0"/>
          <w:numId w:val="153"/>
        </w:numPr>
        <w:spacing w:line="360" w:lineRule="auto"/>
        <w:rPr>
          <w:rFonts w:eastAsia="Times New Roman" w:cs="Tahoma"/>
          <w:szCs w:val="20"/>
          <w:lang w:eastAsia="it-IT"/>
        </w:rPr>
      </w:pPr>
      <w:r w:rsidRPr="00515872">
        <w:rPr>
          <w:rFonts w:eastAsia="Times New Roman" w:cs="Tahoma"/>
          <w:szCs w:val="20"/>
          <w:lang w:eastAsia="it-IT"/>
        </w:rPr>
        <w:t>l’importo presunto del danno o gli elementi per quantificarlo.</w:t>
      </w:r>
    </w:p>
    <w:p w14:paraId="4195948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momento dal quale scaturisce l’obbligo </w:t>
      </w:r>
      <w:r w:rsidR="00C666FA" w:rsidRPr="00515872">
        <w:rPr>
          <w:rFonts w:eastAsia="Times New Roman" w:cs="Tahoma"/>
          <w:szCs w:val="20"/>
          <w:lang w:eastAsia="it-IT"/>
        </w:rPr>
        <w:t xml:space="preserve">di segnalazione </w:t>
      </w:r>
      <w:r w:rsidRPr="00515872">
        <w:rPr>
          <w:rFonts w:eastAsia="Times New Roman" w:cs="Tahoma"/>
          <w:szCs w:val="20"/>
          <w:lang w:eastAsia="it-IT"/>
        </w:rPr>
        <w:t xml:space="preserve">è quello della conoscibilità dei fatti, tenendo presente che il periodo di prescrizione </w:t>
      </w:r>
      <w:r w:rsidR="00C666FA" w:rsidRPr="00515872">
        <w:rPr>
          <w:rFonts w:eastAsia="Times New Roman" w:cs="Tahoma"/>
          <w:szCs w:val="20"/>
          <w:lang w:eastAsia="it-IT"/>
        </w:rPr>
        <w:t xml:space="preserve">dell’azione di responsabilità </w:t>
      </w:r>
      <w:r w:rsidRPr="00515872">
        <w:rPr>
          <w:rFonts w:eastAsia="Times New Roman" w:cs="Tahoma"/>
          <w:szCs w:val="20"/>
          <w:lang w:eastAsia="it-IT"/>
        </w:rPr>
        <w:t>decorre dal verificarsi del danno o, nel caso di occultamento doloso, dalla sua scoperta ed è previsto in 5 anni.</w:t>
      </w:r>
    </w:p>
    <w:p w14:paraId="22703665" w14:textId="77777777" w:rsidR="009518AF" w:rsidRPr="00515872" w:rsidRDefault="009518AF" w:rsidP="009518AF">
      <w:pPr>
        <w:spacing w:after="0" w:line="360" w:lineRule="auto"/>
        <w:jc w:val="both"/>
        <w:rPr>
          <w:rFonts w:cs="Tahoma"/>
          <w:szCs w:val="20"/>
        </w:rPr>
      </w:pPr>
      <w:r w:rsidRPr="00515872">
        <w:rPr>
          <w:rFonts w:cs="Tahoma"/>
          <w:szCs w:val="20"/>
        </w:rPr>
        <w:t xml:space="preserve">Possono dar luogo ad irregolarità, secondo quanto previsto dal </w:t>
      </w:r>
      <w:r w:rsidR="00C666FA" w:rsidRPr="00515872">
        <w:rPr>
          <w:rFonts w:cs="Tahoma"/>
          <w:szCs w:val="20"/>
        </w:rPr>
        <w:t>P</w:t>
      </w:r>
      <w:r w:rsidRPr="00515872">
        <w:rPr>
          <w:rFonts w:cs="Tahoma"/>
          <w:szCs w:val="20"/>
        </w:rPr>
        <w:t xml:space="preserve">rincipio di vigilanza e controllo </w:t>
      </w:r>
      <w:r w:rsidR="00C75875" w:rsidRPr="00515872">
        <w:rPr>
          <w:rFonts w:cs="Tahoma"/>
          <w:szCs w:val="20"/>
        </w:rPr>
        <w:t>dell’organo di revisione degli e</w:t>
      </w:r>
      <w:r w:rsidRPr="00515872">
        <w:rPr>
          <w:rFonts w:cs="Tahoma"/>
          <w:szCs w:val="20"/>
        </w:rPr>
        <w:t xml:space="preserve">nti locali n. </w:t>
      </w:r>
      <w:r w:rsidR="001B2992" w:rsidRPr="00515872">
        <w:rPr>
          <w:rFonts w:cs="Tahoma"/>
          <w:szCs w:val="20"/>
        </w:rPr>
        <w:t>4</w:t>
      </w:r>
      <w:r w:rsidRPr="00515872">
        <w:rPr>
          <w:rFonts w:cs="Tahoma"/>
          <w:szCs w:val="20"/>
        </w:rPr>
        <w:t xml:space="preserve">, come </w:t>
      </w:r>
      <w:r w:rsidR="00C666FA" w:rsidRPr="00515872">
        <w:rPr>
          <w:rFonts w:cs="Tahoma"/>
          <w:szCs w:val="20"/>
        </w:rPr>
        <w:t>ultimamente</w:t>
      </w:r>
      <w:r w:rsidRPr="00515872">
        <w:rPr>
          <w:rFonts w:cs="Tahoma"/>
          <w:szCs w:val="20"/>
        </w:rPr>
        <w:t xml:space="preserve"> aggiornato dal C.N.D.C.E.C.:</w:t>
      </w:r>
    </w:p>
    <w:p w14:paraId="45E38660"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 xml:space="preserve">il mancato rispetto del principio della competenza </w:t>
      </w:r>
      <w:r w:rsidR="001B2992" w:rsidRPr="00515872">
        <w:rPr>
          <w:rFonts w:cs="Tahoma"/>
          <w:color w:val="000000"/>
          <w:szCs w:val="20"/>
        </w:rPr>
        <w:t xml:space="preserve">finanziaria potenziata </w:t>
      </w:r>
      <w:r w:rsidRPr="00515872">
        <w:rPr>
          <w:rFonts w:cs="Tahoma"/>
          <w:color w:val="000000"/>
          <w:szCs w:val="20"/>
        </w:rPr>
        <w:t>nella rilevaz</w:t>
      </w:r>
      <w:r w:rsidR="001B2992" w:rsidRPr="00515872">
        <w:rPr>
          <w:rFonts w:cs="Tahoma"/>
          <w:color w:val="000000"/>
          <w:szCs w:val="20"/>
        </w:rPr>
        <w:t xml:space="preserve">ione degli accertamenti e degli </w:t>
      </w:r>
      <w:r w:rsidRPr="00515872">
        <w:rPr>
          <w:rFonts w:cs="Tahoma"/>
          <w:color w:val="000000"/>
          <w:szCs w:val="20"/>
        </w:rPr>
        <w:t>impegni</w:t>
      </w:r>
      <w:r w:rsidR="001B2992" w:rsidRPr="00515872">
        <w:rPr>
          <w:rFonts w:cs="Tahoma"/>
          <w:color w:val="000000"/>
          <w:szCs w:val="20"/>
        </w:rPr>
        <w:t xml:space="preserve"> tale da comportare un’alterazione del risultato</w:t>
      </w:r>
      <w:r w:rsidRPr="00515872">
        <w:rPr>
          <w:rFonts w:cs="Tahoma"/>
          <w:color w:val="000000"/>
          <w:szCs w:val="20"/>
        </w:rPr>
        <w:t>;</w:t>
      </w:r>
    </w:p>
    <w:p w14:paraId="44A6E7DE"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lastRenderedPageBreak/>
        <w:t>l’esistenza di debiti fuori bilancio;</w:t>
      </w:r>
    </w:p>
    <w:p w14:paraId="521A0511" w14:textId="77777777" w:rsidR="001B2992" w:rsidRPr="00515872" w:rsidRDefault="001B2992" w:rsidP="00D65838">
      <w:pPr>
        <w:pStyle w:val="Paragrafoelenco"/>
        <w:numPr>
          <w:ilvl w:val="0"/>
          <w:numId w:val="70"/>
        </w:numPr>
        <w:spacing w:line="360" w:lineRule="auto"/>
        <w:jc w:val="both"/>
        <w:rPr>
          <w:rFonts w:cs="Tahoma"/>
          <w:szCs w:val="20"/>
        </w:rPr>
      </w:pPr>
      <w:r w:rsidRPr="00515872">
        <w:rPr>
          <w:rFonts w:cs="Tahoma"/>
          <w:color w:val="000000"/>
          <w:szCs w:val="20"/>
        </w:rPr>
        <w:t>la mancata informazione sull’esistenza dei debiti fuori bilancio o di passività potenziali o probabili;</w:t>
      </w:r>
    </w:p>
    <w:p w14:paraId="4B4139B6" w14:textId="77777777" w:rsidR="009518AF" w:rsidRPr="00515872" w:rsidRDefault="00C75875" w:rsidP="00D65838">
      <w:pPr>
        <w:pStyle w:val="Paragrafoelenco"/>
        <w:numPr>
          <w:ilvl w:val="0"/>
          <w:numId w:val="70"/>
        </w:numPr>
        <w:spacing w:line="360" w:lineRule="auto"/>
        <w:jc w:val="both"/>
        <w:rPr>
          <w:rFonts w:cs="Tahoma"/>
          <w:szCs w:val="20"/>
        </w:rPr>
      </w:pPr>
      <w:r w:rsidRPr="00515872">
        <w:rPr>
          <w:rFonts w:cs="Tahoma"/>
          <w:color w:val="000000"/>
          <w:szCs w:val="20"/>
        </w:rPr>
        <w:t>il riconoscimento</w:t>
      </w:r>
      <w:r w:rsidR="009518AF" w:rsidRPr="00515872">
        <w:rPr>
          <w:rFonts w:cs="Tahoma"/>
          <w:color w:val="000000"/>
          <w:szCs w:val="20"/>
        </w:rPr>
        <w:t xml:space="preserve"> di debiti senza effettiva copertura;</w:t>
      </w:r>
    </w:p>
    <w:p w14:paraId="204FE179"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la mancata regolarizzazione di ordinazioni per lavori pubblici di somma urgenza;</w:t>
      </w:r>
    </w:p>
    <w:p w14:paraId="33899714"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 xml:space="preserve">i maggiori oneri per ritardati </w:t>
      </w:r>
      <w:r w:rsidR="00C666FA" w:rsidRPr="00515872">
        <w:rPr>
          <w:rFonts w:cs="Tahoma"/>
          <w:color w:val="000000"/>
          <w:szCs w:val="20"/>
        </w:rPr>
        <w:t xml:space="preserve">di </w:t>
      </w:r>
      <w:r w:rsidRPr="00515872">
        <w:rPr>
          <w:rFonts w:cs="Tahoma"/>
          <w:color w:val="000000"/>
          <w:szCs w:val="20"/>
        </w:rPr>
        <w:t>pagamenti non giustificati;</w:t>
      </w:r>
    </w:p>
    <w:p w14:paraId="4075B5FA"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l’esecuzione di spese senza copertura finanziaria o senza assunzione dell’impegno;</w:t>
      </w:r>
    </w:p>
    <w:p w14:paraId="7ED31E3E"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l’irregolare tenuta della contabilità;</w:t>
      </w:r>
    </w:p>
    <w:p w14:paraId="043C3C58"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la mancanza di pareri sugli atti amministrativi;</w:t>
      </w:r>
    </w:p>
    <w:p w14:paraId="15E3AD59"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l’utilizzo di entrate con vincolo di destinazione per scopi diversi da quelli stabiliti;</w:t>
      </w:r>
    </w:p>
    <w:p w14:paraId="5A7DFDB5" w14:textId="77777777" w:rsidR="001B2992" w:rsidRPr="00515872" w:rsidRDefault="001B2992" w:rsidP="00D65838">
      <w:pPr>
        <w:pStyle w:val="Paragrafoelenco"/>
        <w:numPr>
          <w:ilvl w:val="0"/>
          <w:numId w:val="70"/>
        </w:numPr>
        <w:spacing w:line="360" w:lineRule="auto"/>
        <w:jc w:val="both"/>
        <w:rPr>
          <w:rFonts w:cs="Tahoma"/>
          <w:szCs w:val="20"/>
        </w:rPr>
      </w:pPr>
      <w:r w:rsidRPr="00515872">
        <w:rPr>
          <w:rFonts w:cs="Tahoma"/>
          <w:color w:val="000000"/>
          <w:szCs w:val="20"/>
        </w:rPr>
        <w:t>la mancata resa del conto degli agenti contabili;</w:t>
      </w:r>
    </w:p>
    <w:p w14:paraId="2E7AE272"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la mancata adozione dei provvedimenti di ripiano del disavanzo e del riequilibrio della gestione;</w:t>
      </w:r>
    </w:p>
    <w:p w14:paraId="3B4DF326"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l’esistenza di gestioni fuori bilancio;</w:t>
      </w:r>
    </w:p>
    <w:p w14:paraId="3875DA70" w14:textId="77777777" w:rsidR="009518AF" w:rsidRPr="00515872" w:rsidRDefault="009518AF" w:rsidP="00D65838">
      <w:pPr>
        <w:pStyle w:val="Paragrafoelenco"/>
        <w:numPr>
          <w:ilvl w:val="0"/>
          <w:numId w:val="70"/>
        </w:numPr>
        <w:spacing w:line="360" w:lineRule="auto"/>
        <w:jc w:val="both"/>
        <w:rPr>
          <w:rFonts w:cs="Tahoma"/>
          <w:szCs w:val="20"/>
        </w:rPr>
      </w:pPr>
      <w:r w:rsidRPr="00515872">
        <w:rPr>
          <w:rFonts w:cs="Tahoma"/>
          <w:color w:val="000000"/>
          <w:szCs w:val="20"/>
        </w:rPr>
        <w:t>la violazione di norme fiscali, previdenziali ed assicurative sanzionabili</w:t>
      </w:r>
      <w:r w:rsidR="001B2992" w:rsidRPr="00515872">
        <w:rPr>
          <w:rFonts w:cs="Tahoma"/>
          <w:color w:val="000000"/>
          <w:szCs w:val="20"/>
        </w:rPr>
        <w:t>.</w:t>
      </w:r>
    </w:p>
    <w:p w14:paraId="1C49C82A" w14:textId="77777777" w:rsidR="009518AF" w:rsidRPr="00515872" w:rsidRDefault="009518AF" w:rsidP="009518AF">
      <w:pPr>
        <w:spacing w:line="360" w:lineRule="auto"/>
        <w:jc w:val="both"/>
        <w:rPr>
          <w:rFonts w:cs="Tahoma"/>
          <w:sz w:val="18"/>
          <w:szCs w:val="20"/>
        </w:rPr>
      </w:pPr>
      <w:r w:rsidRPr="00515872">
        <w:rPr>
          <w:rFonts w:cs="Tahoma"/>
        </w:rPr>
        <w:t>Il controllo di legalità sostanziale è poi esteso all’osservanza delle tecniche di “corretta amministrazione” delle norme tecniche di natura contabile ed in particolare del rispetto dei principi contabili.</w:t>
      </w:r>
    </w:p>
    <w:p w14:paraId="5590C60D" w14:textId="77777777" w:rsidR="009518AF" w:rsidRPr="00515872" w:rsidRDefault="009518AF" w:rsidP="009518AF">
      <w:pPr>
        <w:spacing w:line="360" w:lineRule="auto"/>
        <w:jc w:val="both"/>
        <w:rPr>
          <w:rFonts w:cs="Tahoma"/>
          <w:szCs w:val="20"/>
        </w:rPr>
      </w:pPr>
      <w:r w:rsidRPr="00515872">
        <w:rPr>
          <w:rFonts w:cs="Tahoma"/>
          <w:szCs w:val="20"/>
        </w:rPr>
        <w:t>La mancata comunicazione di reati di qualsiasi natura di cui l’organo di revisione sia venuto a conoscenza rende possibile l’applicazione delle norme previste dall’art. 361 e segg., C.P.</w:t>
      </w:r>
      <w:r w:rsidR="00C75875" w:rsidRPr="00515872">
        <w:rPr>
          <w:rStyle w:val="Rimandonotaapidipagina"/>
          <w:rFonts w:cs="Tahoma"/>
          <w:szCs w:val="20"/>
        </w:rPr>
        <w:footnoteReference w:id="91"/>
      </w:r>
      <w:r w:rsidRPr="00515872">
        <w:rPr>
          <w:rFonts w:cs="Tahoma"/>
          <w:szCs w:val="20"/>
        </w:rPr>
        <w:t>.</w:t>
      </w:r>
    </w:p>
    <w:p w14:paraId="2E0AD5E9" w14:textId="77777777" w:rsidR="00277513" w:rsidRPr="00515872" w:rsidRDefault="00277513" w:rsidP="00297A21">
      <w:pPr>
        <w:pStyle w:val="Paragrafo"/>
        <w:rPr>
          <w:highlight w:val="yellow"/>
        </w:rPr>
      </w:pPr>
      <w:bookmarkStart w:id="183" w:name="_Toc521317111"/>
    </w:p>
    <w:p w14:paraId="70BD28C7" w14:textId="77777777" w:rsidR="009518AF" w:rsidRPr="00515872" w:rsidRDefault="00AD2719" w:rsidP="00297A21">
      <w:pPr>
        <w:pStyle w:val="Paragrafo"/>
        <w:rPr>
          <w:szCs w:val="20"/>
          <w:lang w:eastAsia="it-IT"/>
        </w:rPr>
      </w:pPr>
      <w:bookmarkStart w:id="184" w:name="_Toc95912301"/>
      <w:r w:rsidRPr="00515872">
        <w:t>6</w:t>
      </w:r>
      <w:r w:rsidR="009518AF" w:rsidRPr="00515872">
        <w:t>.4 Parere sulla proposta di bilancio di previsione e sulle variazioni</w:t>
      </w:r>
      <w:bookmarkEnd w:id="183"/>
      <w:bookmarkEnd w:id="184"/>
    </w:p>
    <w:p w14:paraId="23D25208" w14:textId="77777777" w:rsidR="009518AF" w:rsidRPr="00515872" w:rsidRDefault="009518AF" w:rsidP="009518AF">
      <w:pPr>
        <w:spacing w:line="360" w:lineRule="auto"/>
        <w:jc w:val="both"/>
        <w:rPr>
          <w:rFonts w:cs="Tahoma"/>
          <w:szCs w:val="20"/>
        </w:rPr>
      </w:pPr>
      <w:r w:rsidRPr="00515872">
        <w:rPr>
          <w:rFonts w:cs="Tahoma"/>
          <w:szCs w:val="20"/>
        </w:rPr>
        <w:t>Il bilancio di previsione rappresenta il documento programmatico dell’ente locale per eccellenza. Su di esso, e sulle susseguenti variazioni, vige l’obbligo di verifica da parte dell’organo di revisione culminante nell’espressione del parere di cui all’art. 239, c. 1, lett. b), n. 2) del TUEL.</w:t>
      </w:r>
    </w:p>
    <w:p w14:paraId="56A1BA92" w14:textId="77777777" w:rsidR="009518AF" w:rsidRPr="00515872" w:rsidRDefault="009518AF" w:rsidP="009518AF">
      <w:pPr>
        <w:spacing w:line="360" w:lineRule="auto"/>
        <w:jc w:val="both"/>
        <w:rPr>
          <w:rFonts w:cs="Tahoma"/>
          <w:iCs/>
          <w:szCs w:val="20"/>
        </w:rPr>
      </w:pPr>
      <w:r w:rsidRPr="00515872">
        <w:rPr>
          <w:rFonts w:cs="Tahoma"/>
          <w:iCs/>
          <w:szCs w:val="20"/>
        </w:rPr>
        <w:t>Il regolamento di contabilità deve prevedere un termine congruo entro il quale l’organo di revisione deve rendere disponibile il proprio parere.</w:t>
      </w:r>
    </w:p>
    <w:p w14:paraId="157F5FB0" w14:textId="77777777" w:rsidR="00904AB7" w:rsidRPr="00515872" w:rsidRDefault="00904AB7" w:rsidP="009518AF">
      <w:pPr>
        <w:spacing w:line="360" w:lineRule="auto"/>
        <w:jc w:val="both"/>
        <w:rPr>
          <w:rFonts w:cs="Tahoma"/>
          <w:iCs/>
          <w:szCs w:val="20"/>
        </w:rPr>
      </w:pPr>
      <w:r w:rsidRPr="00515872">
        <w:rPr>
          <w:rFonts w:cs="Tahoma"/>
          <w:iCs/>
          <w:szCs w:val="20"/>
        </w:rPr>
        <w:t>L’organo di revisione deve verificare che il bilancio sia stato redatto nell’osservanza delle norme di legge, dello statuto e del regolamento di contabilità dell’ente, nonché dei principi previsti dall’ordinamento vigente</w:t>
      </w:r>
      <w:r w:rsidR="005F7C42" w:rsidRPr="00515872">
        <w:rPr>
          <w:rFonts w:cs="Tahoma"/>
          <w:iCs/>
          <w:szCs w:val="20"/>
        </w:rPr>
        <w:t>, nonché</w:t>
      </w:r>
      <w:r w:rsidRPr="00515872">
        <w:rPr>
          <w:rFonts w:cs="Tahoma"/>
          <w:iCs/>
          <w:szCs w:val="20"/>
        </w:rPr>
        <w:t xml:space="preserve"> la presenza degli allegati ivi previsti.</w:t>
      </w:r>
    </w:p>
    <w:p w14:paraId="5286A4F3" w14:textId="77777777" w:rsidR="00904AB7" w:rsidRPr="00515872" w:rsidRDefault="00904AB7" w:rsidP="00904AB7">
      <w:pPr>
        <w:spacing w:after="0" w:line="360" w:lineRule="auto"/>
        <w:jc w:val="both"/>
        <w:rPr>
          <w:rFonts w:cs="Tahoma"/>
          <w:color w:val="231F20"/>
          <w:szCs w:val="20"/>
        </w:rPr>
      </w:pPr>
      <w:r w:rsidRPr="00515872">
        <w:rPr>
          <w:rFonts w:cs="Tahoma"/>
          <w:color w:val="231F20"/>
          <w:szCs w:val="20"/>
        </w:rPr>
        <w:t xml:space="preserve">Controlli </w:t>
      </w:r>
      <w:r w:rsidRPr="00515872">
        <w:rPr>
          <w:rFonts w:cs="Tahoma"/>
          <w:iCs/>
          <w:color w:val="231F20"/>
          <w:szCs w:val="20"/>
        </w:rPr>
        <w:t xml:space="preserve">preliminari </w:t>
      </w:r>
      <w:r w:rsidRPr="00515872">
        <w:rPr>
          <w:rFonts w:cs="Tahoma"/>
          <w:color w:val="231F20"/>
          <w:szCs w:val="20"/>
        </w:rPr>
        <w:t>alla resa del parere sul bilancio di previsione possono riguardare:</w:t>
      </w:r>
    </w:p>
    <w:p w14:paraId="1272D918" w14:textId="77777777" w:rsidR="00904AB7" w:rsidRPr="00515872" w:rsidRDefault="00904AB7" w:rsidP="00D65838">
      <w:pPr>
        <w:pStyle w:val="Paragrafoelenco"/>
        <w:numPr>
          <w:ilvl w:val="0"/>
          <w:numId w:val="73"/>
        </w:numPr>
        <w:spacing w:line="360" w:lineRule="auto"/>
        <w:jc w:val="both"/>
        <w:rPr>
          <w:rFonts w:cs="Tahoma"/>
          <w:color w:val="231F20"/>
          <w:szCs w:val="20"/>
        </w:rPr>
      </w:pPr>
      <w:r w:rsidRPr="00515872">
        <w:rPr>
          <w:rFonts w:cs="Tahoma"/>
          <w:color w:val="231F20"/>
          <w:szCs w:val="20"/>
        </w:rPr>
        <w:t xml:space="preserve">la verifica della </w:t>
      </w:r>
      <w:r w:rsidRPr="00515872">
        <w:rPr>
          <w:rFonts w:cs="Tahoma"/>
          <w:bCs/>
          <w:color w:val="231F20"/>
          <w:szCs w:val="20"/>
        </w:rPr>
        <w:t xml:space="preserve">completezza della documentazione </w:t>
      </w:r>
      <w:r w:rsidR="004C7997" w:rsidRPr="00515872">
        <w:rPr>
          <w:rFonts w:cs="Tahoma"/>
          <w:color w:val="231F20"/>
          <w:szCs w:val="20"/>
        </w:rPr>
        <w:t>allegata</w:t>
      </w:r>
      <w:r w:rsidRPr="00515872">
        <w:rPr>
          <w:rFonts w:cs="Tahoma"/>
          <w:color w:val="231F20"/>
          <w:szCs w:val="20"/>
        </w:rPr>
        <w:t>;</w:t>
      </w:r>
    </w:p>
    <w:p w14:paraId="5AFF26E3" w14:textId="77777777" w:rsidR="00904AB7" w:rsidRPr="00515872" w:rsidRDefault="00904AB7" w:rsidP="00D65838">
      <w:pPr>
        <w:pStyle w:val="Paragrafoelenco"/>
        <w:numPr>
          <w:ilvl w:val="0"/>
          <w:numId w:val="73"/>
        </w:numPr>
        <w:spacing w:line="360" w:lineRule="auto"/>
        <w:jc w:val="both"/>
        <w:rPr>
          <w:rFonts w:cs="Tahoma"/>
          <w:color w:val="231F20"/>
          <w:szCs w:val="20"/>
        </w:rPr>
      </w:pPr>
      <w:r w:rsidRPr="00515872">
        <w:rPr>
          <w:rFonts w:cs="Tahoma"/>
          <w:color w:val="231F20"/>
          <w:szCs w:val="20"/>
        </w:rPr>
        <w:lastRenderedPageBreak/>
        <w:t xml:space="preserve">il </w:t>
      </w:r>
      <w:r w:rsidRPr="00515872">
        <w:rPr>
          <w:rFonts w:cs="Tahoma"/>
          <w:bCs/>
          <w:color w:val="231F20"/>
          <w:szCs w:val="20"/>
        </w:rPr>
        <w:t xml:space="preserve">riscontro della documentazione di supporto </w:t>
      </w:r>
      <w:r w:rsidRPr="00515872">
        <w:rPr>
          <w:rFonts w:cs="Tahoma"/>
          <w:color w:val="231F20"/>
          <w:szCs w:val="20"/>
        </w:rPr>
        <w:t xml:space="preserve">per la redazione del bilancio, quali i prospetti delle entrate a destinazione vincolata, delle spese del personale, dei mutui e prestiti in ammortamento, nonché del </w:t>
      </w:r>
      <w:r w:rsidRPr="00515872">
        <w:rPr>
          <w:rFonts w:cs="Tahoma"/>
          <w:b/>
          <w:color w:val="231F20"/>
          <w:szCs w:val="20"/>
        </w:rPr>
        <w:t>parere espresso dal responsabile del servizio finanziario</w:t>
      </w:r>
      <w:r w:rsidRPr="00515872">
        <w:rPr>
          <w:rFonts w:cs="Tahoma"/>
          <w:color w:val="231F20"/>
          <w:szCs w:val="20"/>
        </w:rPr>
        <w:t xml:space="preserve"> in merito alla veridicità delle previsioni di entrata e di compatibilità delle previsioni di spesa.</w:t>
      </w:r>
    </w:p>
    <w:p w14:paraId="0983C303" w14:textId="77777777" w:rsidR="00904AB7" w:rsidRPr="00515872" w:rsidRDefault="00904AB7" w:rsidP="00904AB7">
      <w:pPr>
        <w:spacing w:line="360" w:lineRule="auto"/>
        <w:jc w:val="both"/>
        <w:rPr>
          <w:rFonts w:cs="Tahoma"/>
          <w:color w:val="231F20"/>
          <w:szCs w:val="20"/>
        </w:rPr>
      </w:pPr>
      <w:r w:rsidRPr="00515872">
        <w:rPr>
          <w:rFonts w:cs="Tahoma"/>
          <w:color w:val="231F20"/>
          <w:szCs w:val="20"/>
        </w:rPr>
        <w:t>L’organo di revisione deve verificare, a tal fine, che gli atti relativi a</w:t>
      </w:r>
      <w:r w:rsidR="004C7997" w:rsidRPr="00515872">
        <w:rPr>
          <w:rFonts w:cs="Tahoma"/>
          <w:color w:val="231F20"/>
          <w:szCs w:val="20"/>
        </w:rPr>
        <w:t>ll’approvazione di</w:t>
      </w:r>
      <w:r w:rsidRPr="00515872">
        <w:rPr>
          <w:rFonts w:cs="Tahoma"/>
          <w:color w:val="231F20"/>
          <w:szCs w:val="20"/>
        </w:rPr>
        <w:t xml:space="preserve"> tariffe, aliquote di imposta, detrazioni e </w:t>
      </w:r>
      <w:r w:rsidR="004C7997" w:rsidRPr="00515872">
        <w:rPr>
          <w:rFonts w:cs="Tahoma"/>
          <w:color w:val="231F20"/>
          <w:szCs w:val="20"/>
        </w:rPr>
        <w:t xml:space="preserve">alle </w:t>
      </w:r>
      <w:r w:rsidRPr="00515872">
        <w:rPr>
          <w:rFonts w:cs="Tahoma"/>
          <w:color w:val="231F20"/>
          <w:szCs w:val="20"/>
        </w:rPr>
        <w:t>valorizzazioni di aree o fabbricati da porre in vendita siano adottati antecedentemente l’approvazione del bilancio.</w:t>
      </w:r>
    </w:p>
    <w:p w14:paraId="1EDCF6D3" w14:textId="77777777" w:rsidR="00904AB7" w:rsidRPr="00515872" w:rsidRDefault="00904AB7" w:rsidP="005F7C42">
      <w:pPr>
        <w:spacing w:after="0" w:line="360" w:lineRule="auto"/>
        <w:jc w:val="both"/>
        <w:rPr>
          <w:rFonts w:cs="Tahoma"/>
          <w:iCs/>
          <w:szCs w:val="20"/>
        </w:rPr>
      </w:pPr>
      <w:r w:rsidRPr="00515872">
        <w:rPr>
          <w:rFonts w:cs="Tahoma"/>
          <w:iCs/>
          <w:szCs w:val="20"/>
        </w:rPr>
        <w:t>Ai fini della verifica dell’attendibilità delle entrate e congruità delle spese, l’organo di revisione deve analizzare:</w:t>
      </w:r>
    </w:p>
    <w:p w14:paraId="1DF5C0FD" w14:textId="77777777" w:rsidR="00904AB7" w:rsidRPr="00515872" w:rsidRDefault="00904AB7" w:rsidP="005F7C42">
      <w:pPr>
        <w:pStyle w:val="Paragrafoelenco"/>
        <w:numPr>
          <w:ilvl w:val="0"/>
          <w:numId w:val="70"/>
        </w:numPr>
        <w:spacing w:after="0" w:line="360" w:lineRule="auto"/>
        <w:ind w:left="357" w:hanging="357"/>
        <w:jc w:val="both"/>
        <w:rPr>
          <w:rFonts w:cs="Tahoma"/>
          <w:iCs/>
          <w:szCs w:val="20"/>
        </w:rPr>
      </w:pPr>
      <w:r w:rsidRPr="00515872">
        <w:rPr>
          <w:rFonts w:cs="Tahoma"/>
          <w:iCs/>
          <w:szCs w:val="20"/>
        </w:rPr>
        <w:t>la previsione di entrate tributarie in relazione alla manovra dell’ente ed ai limiti posti dalla legge, incluso il recupero dell’evasione tributaria;</w:t>
      </w:r>
    </w:p>
    <w:p w14:paraId="77F9768F"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la previsione delle entrate per i servizi pubblici e in particolare di quelli a domanda, incluse le entrate derivanti dalle sanzioni al codice della strada;</w:t>
      </w:r>
    </w:p>
    <w:p w14:paraId="3846452F"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le previsioni delle entrate da titoli edilizi;</w:t>
      </w:r>
    </w:p>
    <w:p w14:paraId="7AD8F204" w14:textId="77777777" w:rsidR="00D13FD5" w:rsidRPr="00515872" w:rsidRDefault="00D13FD5" w:rsidP="00D65838">
      <w:pPr>
        <w:pStyle w:val="Paragrafoelenco"/>
        <w:numPr>
          <w:ilvl w:val="0"/>
          <w:numId w:val="70"/>
        </w:numPr>
        <w:spacing w:line="360" w:lineRule="auto"/>
        <w:jc w:val="both"/>
        <w:rPr>
          <w:rFonts w:cs="Tahoma"/>
          <w:iCs/>
          <w:szCs w:val="20"/>
        </w:rPr>
      </w:pPr>
      <w:r w:rsidRPr="00515872">
        <w:rPr>
          <w:rFonts w:cs="Tahoma"/>
          <w:iCs/>
          <w:szCs w:val="20"/>
        </w:rPr>
        <w:t>la previsione di spesa del personale, tenuto conto della programmazione del fabbisogno;</w:t>
      </w:r>
    </w:p>
    <w:p w14:paraId="6FC96A67"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la previsione di spesa per il rimborso delle rate dei prestiti;</w:t>
      </w:r>
    </w:p>
    <w:p w14:paraId="1D03E170"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il rispetto dei limiti di spesa applicabili all’ente;</w:t>
      </w:r>
    </w:p>
    <w:p w14:paraId="38EC4E72"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le previsioni delle spese di investimento;</w:t>
      </w:r>
    </w:p>
    <w:p w14:paraId="5C8A2D33" w14:textId="77777777" w:rsidR="00904AB7" w:rsidRPr="00515872" w:rsidRDefault="00904AB7" w:rsidP="00D65838">
      <w:pPr>
        <w:pStyle w:val="Paragrafoelenco"/>
        <w:numPr>
          <w:ilvl w:val="0"/>
          <w:numId w:val="70"/>
        </w:numPr>
        <w:spacing w:line="360" w:lineRule="auto"/>
        <w:jc w:val="both"/>
        <w:rPr>
          <w:rFonts w:cs="Tahoma"/>
          <w:iCs/>
          <w:szCs w:val="20"/>
        </w:rPr>
      </w:pPr>
      <w:r w:rsidRPr="00515872">
        <w:rPr>
          <w:rFonts w:cs="Tahoma"/>
          <w:iCs/>
          <w:szCs w:val="20"/>
        </w:rPr>
        <w:t>il rispetto dei vincoli per l’indebitamento.</w:t>
      </w:r>
    </w:p>
    <w:p w14:paraId="3BF4E9CD" w14:textId="77777777" w:rsidR="009518AF" w:rsidRPr="00515872" w:rsidRDefault="009518AF" w:rsidP="009518AF">
      <w:pPr>
        <w:spacing w:line="360" w:lineRule="auto"/>
        <w:jc w:val="both"/>
        <w:rPr>
          <w:rFonts w:cs="Tahoma"/>
          <w:color w:val="231F20"/>
          <w:szCs w:val="20"/>
        </w:rPr>
      </w:pPr>
      <w:r w:rsidRPr="00515872">
        <w:rPr>
          <w:rFonts w:cs="Tahoma"/>
          <w:color w:val="231F20"/>
          <w:szCs w:val="20"/>
        </w:rPr>
        <w:t>Ad orientare i comportamenti dei soggetti coinvolti nella produzione del bilancio di previsione è intervenuta anche la Corte dei Conti dapprima con pronuncia 24 febbraio 2015, n. 4 e, successivamente, con delibera 23 marzo 2016, n. 9, fornendo alcune linee di indirizzo principalmente finalizzate alla corretta applicazione dei principi previsti per la nuova contabilità armonizzata.</w:t>
      </w:r>
    </w:p>
    <w:p w14:paraId="3DBA2302" w14:textId="77777777" w:rsidR="00DD6995" w:rsidRPr="00515872" w:rsidRDefault="00DD6995" w:rsidP="00DD6995">
      <w:pPr>
        <w:spacing w:after="0" w:line="360" w:lineRule="auto"/>
        <w:jc w:val="both"/>
        <w:rPr>
          <w:rFonts w:cs="Tahoma"/>
          <w:b/>
          <w:bCs/>
          <w:color w:val="000000"/>
          <w:szCs w:val="20"/>
        </w:rPr>
      </w:pPr>
      <w:r w:rsidRPr="00515872">
        <w:rPr>
          <w:rFonts w:cs="Tahoma"/>
          <w:b/>
          <w:bCs/>
          <w:color w:val="000000"/>
          <w:szCs w:val="20"/>
        </w:rPr>
        <w:t>Verifica sugli equilibri di bilancio</w:t>
      </w:r>
    </w:p>
    <w:p w14:paraId="28DDCCC9" w14:textId="77777777" w:rsidR="00DD6995" w:rsidRPr="00515872" w:rsidRDefault="00DD6995" w:rsidP="005F7C42">
      <w:pPr>
        <w:spacing w:after="0" w:line="360" w:lineRule="auto"/>
        <w:jc w:val="both"/>
        <w:rPr>
          <w:rFonts w:cs="Tahoma"/>
          <w:color w:val="000000"/>
          <w:szCs w:val="20"/>
        </w:rPr>
      </w:pPr>
      <w:r w:rsidRPr="00515872">
        <w:rPr>
          <w:rFonts w:cs="Tahoma"/>
          <w:color w:val="000000"/>
          <w:szCs w:val="20"/>
        </w:rPr>
        <w:t>L’organo di revisione deve verificare che le previsioni di bilancio rispett</w:t>
      </w:r>
      <w:r w:rsidR="00AD7C2A" w:rsidRPr="00515872">
        <w:rPr>
          <w:rFonts w:cs="Tahoma"/>
          <w:color w:val="000000"/>
          <w:szCs w:val="20"/>
        </w:rPr>
        <w:t>i</w:t>
      </w:r>
      <w:r w:rsidRPr="00515872">
        <w:rPr>
          <w:rFonts w:cs="Tahoma"/>
          <w:color w:val="000000"/>
          <w:szCs w:val="20"/>
        </w:rPr>
        <w:t>no gli equilibri indicati dal c. 6 dell’art. 162 del TUEL. Tra essi:</w:t>
      </w:r>
    </w:p>
    <w:p w14:paraId="6005F251" w14:textId="77777777" w:rsidR="007A2641" w:rsidRPr="00515872" w:rsidRDefault="007A2641" w:rsidP="00D65838">
      <w:pPr>
        <w:pStyle w:val="Paragrafoelenco"/>
        <w:numPr>
          <w:ilvl w:val="0"/>
          <w:numId w:val="70"/>
        </w:numPr>
        <w:spacing w:line="360" w:lineRule="auto"/>
        <w:jc w:val="both"/>
        <w:rPr>
          <w:rFonts w:cs="Tahoma"/>
          <w:color w:val="000000"/>
          <w:szCs w:val="20"/>
        </w:rPr>
      </w:pPr>
      <w:r w:rsidRPr="00515872">
        <w:rPr>
          <w:rFonts w:cs="Tahoma"/>
        </w:rPr>
        <w:t>pareggio finanziario complessivo per la competenza, comprensi</w:t>
      </w:r>
      <w:r w:rsidR="005F7C42" w:rsidRPr="00515872">
        <w:rPr>
          <w:rFonts w:cs="Tahoma"/>
        </w:rPr>
        <w:t xml:space="preserve">vo dell'utilizzo dell'avanzo di </w:t>
      </w:r>
      <w:r w:rsidRPr="00515872">
        <w:rPr>
          <w:rFonts w:cs="Tahoma"/>
        </w:rPr>
        <w:t>amministrazione e del recupero del disavanzo di amministrazione,</w:t>
      </w:r>
    </w:p>
    <w:p w14:paraId="5F2DE936" w14:textId="77777777" w:rsidR="00DD6995" w:rsidRPr="00515872" w:rsidRDefault="00DD6995" w:rsidP="00D65838">
      <w:pPr>
        <w:pStyle w:val="Paragrafoelenco"/>
        <w:numPr>
          <w:ilvl w:val="0"/>
          <w:numId w:val="70"/>
        </w:numPr>
        <w:spacing w:line="360" w:lineRule="auto"/>
        <w:jc w:val="both"/>
        <w:rPr>
          <w:rFonts w:cs="Tahoma"/>
          <w:color w:val="000000"/>
          <w:szCs w:val="20"/>
        </w:rPr>
      </w:pPr>
      <w:r w:rsidRPr="00515872">
        <w:rPr>
          <w:rFonts w:cs="Tahoma"/>
          <w:color w:val="000000"/>
          <w:szCs w:val="20"/>
        </w:rPr>
        <w:t>il rispetto dei vincoli di destinazione per i titoli abilitativi;</w:t>
      </w:r>
    </w:p>
    <w:p w14:paraId="7F58AA02" w14:textId="77777777" w:rsidR="00DD6995" w:rsidRPr="00515872" w:rsidRDefault="00DD6995" w:rsidP="00D65838">
      <w:pPr>
        <w:pStyle w:val="Paragrafoelenco"/>
        <w:numPr>
          <w:ilvl w:val="0"/>
          <w:numId w:val="70"/>
        </w:numPr>
        <w:spacing w:line="360" w:lineRule="auto"/>
        <w:jc w:val="both"/>
        <w:rPr>
          <w:rFonts w:cs="Tahoma"/>
          <w:color w:val="000000"/>
          <w:szCs w:val="20"/>
        </w:rPr>
      </w:pPr>
      <w:r w:rsidRPr="00515872">
        <w:rPr>
          <w:rFonts w:cs="Tahoma"/>
          <w:color w:val="000000"/>
          <w:szCs w:val="20"/>
        </w:rPr>
        <w:t>la possibilità di destinare entrate in conto capitale alla gestione corrente;</w:t>
      </w:r>
    </w:p>
    <w:p w14:paraId="077F166D" w14:textId="77777777" w:rsidR="00DD6995" w:rsidRPr="00515872" w:rsidRDefault="00DD6995" w:rsidP="00D65838">
      <w:pPr>
        <w:pStyle w:val="Paragrafoelenco"/>
        <w:numPr>
          <w:ilvl w:val="0"/>
          <w:numId w:val="70"/>
        </w:numPr>
        <w:spacing w:line="360" w:lineRule="auto"/>
        <w:jc w:val="both"/>
        <w:rPr>
          <w:rFonts w:cs="Tahoma"/>
          <w:color w:val="000000"/>
          <w:szCs w:val="20"/>
        </w:rPr>
      </w:pPr>
      <w:r w:rsidRPr="00515872">
        <w:rPr>
          <w:rFonts w:cs="Tahoma"/>
          <w:color w:val="000000"/>
          <w:szCs w:val="20"/>
        </w:rPr>
        <w:t>le entrate e le spese a carattere non ripetitivo.</w:t>
      </w:r>
    </w:p>
    <w:p w14:paraId="318C0547" w14:textId="77777777" w:rsidR="00DD6995" w:rsidRPr="00515872" w:rsidRDefault="00DD6995" w:rsidP="005F7C42">
      <w:pPr>
        <w:spacing w:after="0" w:line="360" w:lineRule="auto"/>
        <w:jc w:val="both"/>
        <w:rPr>
          <w:rFonts w:cs="Tahoma"/>
          <w:color w:val="231F20"/>
          <w:szCs w:val="20"/>
        </w:rPr>
      </w:pPr>
      <w:r w:rsidRPr="00515872">
        <w:rPr>
          <w:rFonts w:cs="Tahoma"/>
          <w:color w:val="231F20"/>
          <w:szCs w:val="20"/>
        </w:rPr>
        <w:t>L’organo di revisione deve dare atto, nel proprio parere, che nella gestione corrente o nella precedente (nel caso di bilancio deliberato oltre il 31 dicembre):</w:t>
      </w:r>
    </w:p>
    <w:p w14:paraId="63B338AD" w14:textId="77777777" w:rsidR="00DD6995" w:rsidRPr="00515872" w:rsidRDefault="00DD6995" w:rsidP="00D65838">
      <w:pPr>
        <w:pStyle w:val="Paragrafoelenco"/>
        <w:numPr>
          <w:ilvl w:val="0"/>
          <w:numId w:val="70"/>
        </w:numPr>
        <w:spacing w:line="360" w:lineRule="auto"/>
        <w:jc w:val="both"/>
        <w:rPr>
          <w:rFonts w:cs="Tahoma"/>
          <w:color w:val="231F20"/>
          <w:szCs w:val="20"/>
        </w:rPr>
      </w:pPr>
      <w:r w:rsidRPr="00515872">
        <w:rPr>
          <w:rFonts w:cs="Tahoma"/>
          <w:color w:val="231F20"/>
          <w:szCs w:val="20"/>
        </w:rPr>
        <w:t>sono salvaguardati gli equilibri di bilancio;</w:t>
      </w:r>
    </w:p>
    <w:p w14:paraId="6D92346A" w14:textId="77777777" w:rsidR="00DD6995" w:rsidRPr="00515872" w:rsidRDefault="00DD6995" w:rsidP="00D65838">
      <w:pPr>
        <w:pStyle w:val="Paragrafoelenco"/>
        <w:numPr>
          <w:ilvl w:val="0"/>
          <w:numId w:val="70"/>
        </w:numPr>
        <w:spacing w:line="360" w:lineRule="auto"/>
        <w:jc w:val="both"/>
        <w:rPr>
          <w:rFonts w:cs="Tahoma"/>
          <w:color w:val="231F20"/>
          <w:szCs w:val="20"/>
        </w:rPr>
      </w:pPr>
      <w:r w:rsidRPr="00515872">
        <w:rPr>
          <w:rFonts w:cs="Tahoma"/>
          <w:color w:val="231F20"/>
          <w:szCs w:val="20"/>
        </w:rPr>
        <w:t>non risultano debiti fuori bilancio o pa</w:t>
      </w:r>
      <w:r w:rsidR="007A2641" w:rsidRPr="00515872">
        <w:rPr>
          <w:rFonts w:cs="Tahoma"/>
          <w:color w:val="231F20"/>
          <w:szCs w:val="20"/>
        </w:rPr>
        <w:t>ssività probabili da finanziare.</w:t>
      </w:r>
    </w:p>
    <w:p w14:paraId="1CF1B21B" w14:textId="77777777" w:rsidR="00DD6995" w:rsidRPr="00515872" w:rsidRDefault="00DD6995" w:rsidP="00DD6995">
      <w:pPr>
        <w:spacing w:line="360" w:lineRule="auto"/>
        <w:jc w:val="both"/>
        <w:rPr>
          <w:rFonts w:cs="Tahoma"/>
          <w:color w:val="231F20"/>
          <w:szCs w:val="20"/>
        </w:rPr>
      </w:pPr>
      <w:r w:rsidRPr="00515872">
        <w:rPr>
          <w:rFonts w:cs="Tahoma"/>
          <w:color w:val="231F20"/>
          <w:szCs w:val="20"/>
        </w:rPr>
        <w:lastRenderedPageBreak/>
        <w:t>In caso di ripiano pluriennale del disavanzo, l’organo di revisione deve indicare se lo stesso rispetta le condizioni di legge. In particolare, deve verificare se il disavanzo applicato corrisponde alla quota da ripianare sulla base del piano di rientro approvato e della normativa vigente.</w:t>
      </w:r>
    </w:p>
    <w:p w14:paraId="7F4A895A" w14:textId="77777777" w:rsidR="009518AF" w:rsidRPr="00515872" w:rsidRDefault="009518AF" w:rsidP="009518AF">
      <w:pPr>
        <w:spacing w:after="0" w:line="360" w:lineRule="auto"/>
        <w:jc w:val="both"/>
        <w:rPr>
          <w:rFonts w:cs="Tahoma"/>
          <w:b/>
          <w:bCs/>
          <w:color w:val="000000"/>
          <w:szCs w:val="20"/>
        </w:rPr>
      </w:pPr>
      <w:r w:rsidRPr="00515872">
        <w:rPr>
          <w:rFonts w:cs="Tahoma"/>
          <w:b/>
          <w:bCs/>
          <w:color w:val="000000"/>
          <w:szCs w:val="20"/>
        </w:rPr>
        <w:t>Verifica della coerenza interna ed esterna</w:t>
      </w:r>
    </w:p>
    <w:p w14:paraId="69842FD6"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Il rispetto della coerenza nelle previsioni di bilancio implica che ci sia un nesso logico fra la programmazione, la previsione, gli atti di gestione e la rendicontazione.</w:t>
      </w:r>
    </w:p>
    <w:p w14:paraId="0F2C258C" w14:textId="77777777" w:rsidR="009518AF" w:rsidRPr="00515872" w:rsidRDefault="005F7C42" w:rsidP="009518AF">
      <w:pPr>
        <w:spacing w:line="360" w:lineRule="auto"/>
        <w:jc w:val="both"/>
        <w:rPr>
          <w:rFonts w:cs="Tahoma"/>
          <w:color w:val="000000"/>
          <w:szCs w:val="20"/>
        </w:rPr>
      </w:pPr>
      <w:r w:rsidRPr="00515872">
        <w:rPr>
          <w:rFonts w:cs="Tahoma"/>
          <w:color w:val="000000"/>
          <w:szCs w:val="20"/>
        </w:rPr>
        <w:t>Il P</w:t>
      </w:r>
      <w:r w:rsidR="009518AF" w:rsidRPr="00515872">
        <w:rPr>
          <w:rFonts w:cs="Tahoma"/>
          <w:color w:val="000000"/>
          <w:szCs w:val="20"/>
        </w:rPr>
        <w:t>rincipio di vigilanza e controllo dell’organo di revisione degli enti locali n.</w:t>
      </w:r>
      <w:r w:rsidRPr="00515872">
        <w:rPr>
          <w:rFonts w:cs="Tahoma"/>
          <w:color w:val="000000"/>
          <w:szCs w:val="20"/>
        </w:rPr>
        <w:t xml:space="preserve"> </w:t>
      </w:r>
      <w:r w:rsidR="00977A2D" w:rsidRPr="00515872">
        <w:rPr>
          <w:rFonts w:cs="Tahoma"/>
          <w:color w:val="000000"/>
          <w:szCs w:val="20"/>
        </w:rPr>
        <w:t>3</w:t>
      </w:r>
      <w:r w:rsidR="009518AF" w:rsidRPr="00515872">
        <w:rPr>
          <w:rFonts w:cs="Tahoma"/>
          <w:color w:val="000000"/>
          <w:szCs w:val="20"/>
        </w:rPr>
        <w:t xml:space="preserve"> segnala come questi debba verificare la coerenza del bilancio in termini di coerenza interna ed esterna.</w:t>
      </w:r>
    </w:p>
    <w:p w14:paraId="2BA9288E" w14:textId="77777777" w:rsidR="009518AF" w:rsidRPr="00515872" w:rsidRDefault="009518AF" w:rsidP="009518AF">
      <w:pPr>
        <w:spacing w:after="0" w:line="360" w:lineRule="auto"/>
        <w:jc w:val="both"/>
        <w:rPr>
          <w:rFonts w:cs="Tahoma"/>
          <w:bCs/>
          <w:color w:val="000000"/>
          <w:szCs w:val="20"/>
        </w:rPr>
      </w:pPr>
      <w:r w:rsidRPr="00515872">
        <w:rPr>
          <w:rFonts w:cs="Tahoma"/>
          <w:color w:val="000000"/>
          <w:szCs w:val="20"/>
        </w:rPr>
        <w:t xml:space="preserve">La coerenza </w:t>
      </w:r>
      <w:r w:rsidRPr="00515872">
        <w:rPr>
          <w:rFonts w:cs="Tahoma"/>
          <w:b/>
          <w:bCs/>
          <w:color w:val="000000"/>
          <w:szCs w:val="20"/>
        </w:rPr>
        <w:t>interna</w:t>
      </w:r>
      <w:r w:rsidRPr="00515872">
        <w:rPr>
          <w:rFonts w:cs="Tahoma"/>
          <w:bCs/>
          <w:color w:val="000000"/>
          <w:szCs w:val="20"/>
        </w:rPr>
        <w:t xml:space="preserve"> comporta:</w:t>
      </w:r>
    </w:p>
    <w:p w14:paraId="13858803" w14:textId="77777777" w:rsidR="009518AF" w:rsidRPr="00515872" w:rsidRDefault="009518AF" w:rsidP="00D65838">
      <w:pPr>
        <w:pStyle w:val="Paragrafoelenco"/>
        <w:numPr>
          <w:ilvl w:val="0"/>
          <w:numId w:val="138"/>
        </w:numPr>
        <w:spacing w:line="360" w:lineRule="auto"/>
        <w:jc w:val="both"/>
        <w:rPr>
          <w:rFonts w:cs="Tahoma"/>
          <w:color w:val="000000"/>
          <w:szCs w:val="20"/>
        </w:rPr>
      </w:pPr>
      <w:r w:rsidRPr="00515872">
        <w:rPr>
          <w:rFonts w:cs="Tahoma"/>
          <w:color w:val="000000"/>
          <w:szCs w:val="20"/>
        </w:rPr>
        <w:t xml:space="preserve">in sede preventiva: che </w:t>
      </w:r>
      <w:r w:rsidRPr="00515872">
        <w:rPr>
          <w:rFonts w:eastAsia="Times New Roman" w:cs="Tahoma"/>
          <w:szCs w:val="20"/>
          <w:lang w:eastAsia="it-IT"/>
        </w:rPr>
        <w:t>il DUP e gli altri strumenti di programmazione (piano triennale dei lavori pubblici, programmazione fabbisogno del personale, piano delle alienazioni e valorizzazione del patrimonio immobiliare, ecc.)</w:t>
      </w:r>
      <w:r w:rsidRPr="00515872">
        <w:rPr>
          <w:rFonts w:cs="Tahoma"/>
          <w:color w:val="000000"/>
          <w:szCs w:val="20"/>
        </w:rPr>
        <w:t xml:space="preserve"> siano conseguenti alla pianificazione dell’ente</w:t>
      </w:r>
      <w:r w:rsidR="00977A2D" w:rsidRPr="00515872">
        <w:rPr>
          <w:rFonts w:cs="Tahoma"/>
          <w:color w:val="000000"/>
          <w:szCs w:val="20"/>
        </w:rPr>
        <w:t xml:space="preserve"> e</w:t>
      </w:r>
      <w:r w:rsidRPr="00515872">
        <w:rPr>
          <w:rFonts w:cs="Tahoma"/>
          <w:color w:val="000000"/>
          <w:szCs w:val="20"/>
        </w:rPr>
        <w:t xml:space="preserve"> che i criteri di valutazione delle singole poste siano in conformità ai postulati e principi contabili generali;</w:t>
      </w:r>
    </w:p>
    <w:p w14:paraId="04BF85F4" w14:textId="77777777" w:rsidR="009518AF" w:rsidRPr="00515872" w:rsidRDefault="009518AF" w:rsidP="00D65838">
      <w:pPr>
        <w:pStyle w:val="Paragrafoelenco"/>
        <w:numPr>
          <w:ilvl w:val="0"/>
          <w:numId w:val="138"/>
        </w:numPr>
        <w:spacing w:line="360" w:lineRule="auto"/>
        <w:jc w:val="both"/>
        <w:rPr>
          <w:rFonts w:cs="Tahoma"/>
          <w:color w:val="000000"/>
          <w:szCs w:val="20"/>
        </w:rPr>
      </w:pPr>
      <w:r w:rsidRPr="00515872">
        <w:rPr>
          <w:rFonts w:cs="Tahoma"/>
          <w:color w:val="000000"/>
          <w:szCs w:val="20"/>
        </w:rPr>
        <w:t>in sede di gestione: che gli obiettivi, le decisioni e gli atti non</w:t>
      </w:r>
      <w:r w:rsidR="005F7C42" w:rsidRPr="00515872">
        <w:rPr>
          <w:rFonts w:cs="Tahoma"/>
          <w:color w:val="000000"/>
          <w:szCs w:val="20"/>
        </w:rPr>
        <w:t xml:space="preserve"> siano in contrasto con la fase </w:t>
      </w:r>
      <w:r w:rsidRPr="00515872">
        <w:rPr>
          <w:rFonts w:cs="Tahoma"/>
          <w:color w:val="000000"/>
          <w:szCs w:val="20"/>
        </w:rPr>
        <w:t>preventiva e non pregiudichino gli equilibri finanziari ed economici;</w:t>
      </w:r>
    </w:p>
    <w:p w14:paraId="42829138" w14:textId="77777777" w:rsidR="009518AF" w:rsidRPr="00515872" w:rsidRDefault="009518AF" w:rsidP="00D65838">
      <w:pPr>
        <w:pStyle w:val="Paragrafoelenco"/>
        <w:numPr>
          <w:ilvl w:val="0"/>
          <w:numId w:val="138"/>
        </w:numPr>
        <w:spacing w:line="360" w:lineRule="auto"/>
        <w:jc w:val="both"/>
        <w:rPr>
          <w:rFonts w:cs="Tahoma"/>
          <w:color w:val="000000"/>
          <w:szCs w:val="20"/>
        </w:rPr>
      </w:pPr>
      <w:r w:rsidRPr="00515872">
        <w:rPr>
          <w:rFonts w:cs="Tahoma"/>
          <w:color w:val="000000"/>
          <w:szCs w:val="20"/>
        </w:rPr>
        <w:t xml:space="preserve">in sede di rendicontazione: che venga dimostrato lo scostamento </w:t>
      </w:r>
      <w:r w:rsidR="005F7C42" w:rsidRPr="00515872">
        <w:rPr>
          <w:rFonts w:cs="Tahoma"/>
          <w:color w:val="000000"/>
          <w:szCs w:val="20"/>
        </w:rPr>
        <w:t xml:space="preserve">dei risultati ottenuti rispetto </w:t>
      </w:r>
      <w:r w:rsidRPr="00515872">
        <w:rPr>
          <w:rFonts w:cs="Tahoma"/>
          <w:color w:val="000000"/>
          <w:szCs w:val="20"/>
        </w:rPr>
        <w:t>a quelli programmati.</w:t>
      </w:r>
    </w:p>
    <w:p w14:paraId="2609F84C" w14:textId="77777777" w:rsidR="009518AF" w:rsidRPr="00515872" w:rsidRDefault="009518AF" w:rsidP="009518AF">
      <w:pPr>
        <w:spacing w:line="360" w:lineRule="auto"/>
        <w:jc w:val="both"/>
        <w:rPr>
          <w:rFonts w:cs="Tahoma"/>
          <w:color w:val="000000"/>
          <w:szCs w:val="20"/>
        </w:rPr>
      </w:pPr>
      <w:r w:rsidRPr="00515872">
        <w:rPr>
          <w:rFonts w:cs="Tahoma"/>
          <w:bCs/>
          <w:color w:val="000000"/>
          <w:szCs w:val="20"/>
        </w:rPr>
        <w:t xml:space="preserve">La coerenza </w:t>
      </w:r>
      <w:r w:rsidRPr="00515872">
        <w:rPr>
          <w:rFonts w:cs="Tahoma"/>
          <w:b/>
          <w:bCs/>
          <w:color w:val="000000"/>
          <w:szCs w:val="20"/>
        </w:rPr>
        <w:t>esterna</w:t>
      </w:r>
      <w:r w:rsidRPr="00515872">
        <w:rPr>
          <w:rFonts w:cs="Tahoma"/>
          <w:bCs/>
          <w:color w:val="000000"/>
          <w:szCs w:val="20"/>
        </w:rPr>
        <w:t xml:space="preserve"> </w:t>
      </w:r>
      <w:r w:rsidRPr="00515872">
        <w:rPr>
          <w:rFonts w:cs="Tahoma"/>
          <w:color w:val="000000"/>
          <w:szCs w:val="20"/>
        </w:rPr>
        <w:t>comporta il rispetto degli obiettivi di finanza pubblica e delle scelte strategiche di altri</w:t>
      </w:r>
      <w:r w:rsidRPr="00515872">
        <w:rPr>
          <w:rFonts w:cs="Tahoma"/>
          <w:color w:val="000000"/>
          <w:szCs w:val="20"/>
        </w:rPr>
        <w:br/>
        <w:t>livelli di governo della Repubblica</w:t>
      </w:r>
      <w:r w:rsidR="00117CBE" w:rsidRPr="00515872">
        <w:rPr>
          <w:rFonts w:cs="Tahoma"/>
          <w:color w:val="000000"/>
          <w:szCs w:val="20"/>
        </w:rPr>
        <w:t>,</w:t>
      </w:r>
      <w:r w:rsidRPr="00515872">
        <w:rPr>
          <w:rFonts w:cs="Tahoma"/>
          <w:color w:val="000000"/>
          <w:szCs w:val="20"/>
        </w:rPr>
        <w:t xml:space="preserve"> anche secondo i principi di coordinamento della finanza pubblica.</w:t>
      </w:r>
    </w:p>
    <w:p w14:paraId="6787451D" w14:textId="77777777" w:rsidR="009518AF" w:rsidRPr="00515872" w:rsidRDefault="009518AF" w:rsidP="009518AF">
      <w:pPr>
        <w:spacing w:after="0" w:line="360" w:lineRule="auto"/>
        <w:jc w:val="both"/>
        <w:rPr>
          <w:rFonts w:cs="Tahoma"/>
          <w:color w:val="231F20"/>
          <w:szCs w:val="20"/>
        </w:rPr>
      </w:pPr>
      <w:r w:rsidRPr="00515872">
        <w:rPr>
          <w:rFonts w:cs="Tahoma"/>
          <w:color w:val="000000"/>
          <w:szCs w:val="20"/>
        </w:rPr>
        <w:t xml:space="preserve">Nel verificare le previsioni di bilancio, l’organo di revisione deve tenere a mente le </w:t>
      </w:r>
      <w:r w:rsidRPr="00515872">
        <w:rPr>
          <w:rFonts w:cs="Tahoma"/>
          <w:b/>
          <w:color w:val="000000"/>
          <w:szCs w:val="20"/>
        </w:rPr>
        <w:t>numerose disposizioni limitative delle spese</w:t>
      </w:r>
      <w:r w:rsidRPr="00515872">
        <w:rPr>
          <w:rFonts w:cs="Tahoma"/>
          <w:color w:val="000000"/>
          <w:szCs w:val="20"/>
        </w:rPr>
        <w:t xml:space="preserve"> sostenibili dall’ente, tra le quali</w:t>
      </w:r>
      <w:r w:rsidR="00117CBE" w:rsidRPr="00515872">
        <w:rPr>
          <w:rFonts w:cs="Tahoma"/>
          <w:color w:val="000000"/>
          <w:szCs w:val="20"/>
        </w:rPr>
        <w:t xml:space="preserve"> quelle relative a</w:t>
      </w:r>
      <w:r w:rsidRPr="00515872">
        <w:rPr>
          <w:rFonts w:cs="Tahoma"/>
          <w:color w:val="000000"/>
          <w:szCs w:val="20"/>
        </w:rPr>
        <w:t>:</w:t>
      </w:r>
    </w:p>
    <w:p w14:paraId="4B734AA4" w14:textId="77777777" w:rsidR="009518AF" w:rsidRPr="00515872" w:rsidRDefault="009518AF"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spese per il personale;</w:t>
      </w:r>
    </w:p>
    <w:p w14:paraId="21035F01" w14:textId="77777777" w:rsidR="00CD6CF7" w:rsidRPr="00515872" w:rsidRDefault="00CD6CF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spese per il lavoro flessibile;</w:t>
      </w:r>
    </w:p>
    <w:p w14:paraId="196072A5" w14:textId="77777777" w:rsidR="00CD6CF7" w:rsidRPr="00515872" w:rsidRDefault="00CD6CF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spese per il trattamento accessorio e la contrattazione integrativa decentrata;</w:t>
      </w:r>
    </w:p>
    <w:p w14:paraId="241AF025" w14:textId="77777777" w:rsidR="00CD6CF7" w:rsidRPr="00515872" w:rsidRDefault="00CD6CF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riduzione dei costi degli apparati amministrativi disposte dall’art. 6</w:t>
      </w:r>
      <w:r w:rsidR="005F7C42" w:rsidRPr="00515872">
        <w:rPr>
          <w:rFonts w:cs="Tahoma"/>
          <w:color w:val="231F20"/>
          <w:szCs w:val="20"/>
        </w:rPr>
        <w:t xml:space="preserve">, </w:t>
      </w:r>
      <w:r w:rsidRPr="00515872">
        <w:rPr>
          <w:rFonts w:cs="Tahoma"/>
          <w:color w:val="231F20"/>
          <w:szCs w:val="20"/>
        </w:rPr>
        <w:t>D.L. 78/2010;</w:t>
      </w:r>
    </w:p>
    <w:p w14:paraId="387B8ADE" w14:textId="77777777" w:rsidR="00CD6CF7" w:rsidRPr="00515872" w:rsidRDefault="00CD6CF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limiti all’indebitamento.</w:t>
      </w:r>
    </w:p>
    <w:p w14:paraId="768B2ECD" w14:textId="77777777" w:rsidR="00CD6CF7" w:rsidRPr="00515872" w:rsidRDefault="00CD6CF7" w:rsidP="00CD6CF7">
      <w:pPr>
        <w:spacing w:after="0" w:line="360" w:lineRule="auto"/>
        <w:jc w:val="both"/>
        <w:rPr>
          <w:rFonts w:cs="Tahoma"/>
          <w:b/>
          <w:color w:val="231F20"/>
          <w:szCs w:val="20"/>
        </w:rPr>
      </w:pPr>
      <w:r w:rsidRPr="00515872">
        <w:rPr>
          <w:rFonts w:cs="Tahoma"/>
          <w:b/>
          <w:color w:val="231F20"/>
          <w:szCs w:val="20"/>
        </w:rPr>
        <w:t>Congruità de</w:t>
      </w:r>
      <w:r w:rsidR="00407656" w:rsidRPr="00515872">
        <w:rPr>
          <w:rFonts w:cs="Tahoma"/>
          <w:b/>
          <w:color w:val="231F20"/>
          <w:szCs w:val="20"/>
        </w:rPr>
        <w:t>i fondi accantonati</w:t>
      </w:r>
    </w:p>
    <w:p w14:paraId="548F6B9A" w14:textId="77777777" w:rsidR="00407656" w:rsidRPr="00515872" w:rsidRDefault="00CD6CF7" w:rsidP="00CD6CF7">
      <w:pPr>
        <w:spacing w:line="360" w:lineRule="auto"/>
        <w:jc w:val="both"/>
        <w:rPr>
          <w:rFonts w:cs="Tahoma"/>
          <w:color w:val="231F20"/>
          <w:szCs w:val="20"/>
        </w:rPr>
      </w:pPr>
      <w:r w:rsidRPr="00515872">
        <w:rPr>
          <w:rFonts w:cs="Tahoma"/>
          <w:color w:val="231F20"/>
          <w:szCs w:val="20"/>
        </w:rPr>
        <w:t>In relazione alla valutazione circa la congruità del FCDE, si rammenta come i principi contabili prevedano che le entrate, anche se di dubbia esigibilità, de</w:t>
      </w:r>
      <w:r w:rsidR="00117CBE" w:rsidRPr="00515872">
        <w:rPr>
          <w:rFonts w:cs="Tahoma"/>
          <w:color w:val="231F20"/>
          <w:szCs w:val="20"/>
        </w:rPr>
        <w:t>vono</w:t>
      </w:r>
      <w:r w:rsidRPr="00515872">
        <w:rPr>
          <w:rFonts w:cs="Tahoma"/>
          <w:color w:val="231F20"/>
          <w:szCs w:val="20"/>
        </w:rPr>
        <w:t xml:space="preserve"> essere accertate per </w:t>
      </w:r>
      <w:r w:rsidRPr="00515872">
        <w:rPr>
          <w:rFonts w:cs="Tahoma"/>
          <w:b/>
          <w:color w:val="231F20"/>
          <w:szCs w:val="20"/>
        </w:rPr>
        <w:t>l’intero importo del credito</w:t>
      </w:r>
      <w:r w:rsidR="00407656" w:rsidRPr="00515872">
        <w:rPr>
          <w:rFonts w:cs="Tahoma"/>
          <w:color w:val="231F20"/>
          <w:szCs w:val="20"/>
        </w:rPr>
        <w:t>, salvo l’onere di appostare nel bilancio di previsione una apposito accantonamento al fondo crediti di dubbia esigibilità. L’ammontare dello stanziamento è determinato in base all’entità dei crediti che si prevede si formeranno nell’esercizio. La dimostrazione della determinazione dell’accantonamento deve essere evidenziata in apposito prospetto per singola tipologia di entrata.</w:t>
      </w:r>
    </w:p>
    <w:p w14:paraId="1D1FD9F9" w14:textId="70016460" w:rsidR="00CD6CF7" w:rsidRPr="00515872" w:rsidRDefault="00FD684C" w:rsidP="00CD6CF7">
      <w:pPr>
        <w:spacing w:line="360" w:lineRule="auto"/>
        <w:jc w:val="both"/>
        <w:rPr>
          <w:rFonts w:cs="Tahoma"/>
          <w:color w:val="231F20"/>
          <w:szCs w:val="20"/>
        </w:rPr>
      </w:pPr>
      <w:r w:rsidRPr="00515872">
        <w:rPr>
          <w:rFonts w:cs="Tahoma"/>
          <w:color w:val="231F20"/>
          <w:szCs w:val="20"/>
        </w:rPr>
        <w:lastRenderedPageBreak/>
        <w:t>È</w:t>
      </w:r>
      <w:r w:rsidR="00407656" w:rsidRPr="00515872">
        <w:rPr>
          <w:rFonts w:cs="Tahoma"/>
          <w:color w:val="231F20"/>
          <w:szCs w:val="20"/>
        </w:rPr>
        <w:t xml:space="preserve"> </w:t>
      </w:r>
      <w:r w:rsidR="000F6A27" w:rsidRPr="00515872">
        <w:rPr>
          <w:rFonts w:cs="Tahoma"/>
          <w:color w:val="231F20"/>
          <w:szCs w:val="20"/>
        </w:rPr>
        <w:t>compito</w:t>
      </w:r>
      <w:r w:rsidR="00407656" w:rsidRPr="00515872">
        <w:rPr>
          <w:rFonts w:cs="Tahoma"/>
          <w:color w:val="231F20"/>
          <w:szCs w:val="20"/>
        </w:rPr>
        <w:t xml:space="preserve"> dell’organo di revisione accertare la correttezza dell’accantonamento con particolare riferimento alla quantificazione minima prevista dalla legge, nonché la presenza nella nota integrativa dell’evidenza del metodo di calcolo scelto e delle motivazioni.</w:t>
      </w:r>
    </w:p>
    <w:p w14:paraId="69F9F5EE" w14:textId="77777777" w:rsidR="00407656" w:rsidRPr="00515872" w:rsidRDefault="00407656" w:rsidP="005F6A80">
      <w:pPr>
        <w:spacing w:after="0" w:line="360" w:lineRule="auto"/>
        <w:jc w:val="both"/>
        <w:rPr>
          <w:rFonts w:cs="Tahoma"/>
          <w:color w:val="231F20"/>
          <w:szCs w:val="20"/>
        </w:rPr>
      </w:pPr>
      <w:r w:rsidRPr="00515872">
        <w:rPr>
          <w:rFonts w:cs="Tahoma"/>
          <w:color w:val="231F20"/>
          <w:szCs w:val="20"/>
        </w:rPr>
        <w:t>Inoltre, l’organo di revisione, deve verificare la congruità degli altri fondi previsti dai principi contabili e, in particolare:</w:t>
      </w:r>
    </w:p>
    <w:p w14:paraId="355C8873" w14:textId="77777777" w:rsidR="00407656" w:rsidRPr="00515872" w:rsidRDefault="000F6A2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l’</w:t>
      </w:r>
      <w:r w:rsidR="00407656" w:rsidRPr="00515872">
        <w:rPr>
          <w:rFonts w:cs="Tahoma"/>
          <w:color w:val="231F20"/>
          <w:szCs w:val="20"/>
        </w:rPr>
        <w:t>accantonamento per contenziosi;</w:t>
      </w:r>
    </w:p>
    <w:p w14:paraId="39EB6737" w14:textId="77777777" w:rsidR="00407656" w:rsidRPr="00515872" w:rsidRDefault="000F6A2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l’</w:t>
      </w:r>
      <w:r w:rsidR="00407656" w:rsidRPr="00515872">
        <w:rPr>
          <w:rFonts w:cs="Tahoma"/>
          <w:color w:val="231F20"/>
          <w:szCs w:val="20"/>
        </w:rPr>
        <w:t>accantonamento per fondo indennità di fine mandato del sindaco;</w:t>
      </w:r>
    </w:p>
    <w:p w14:paraId="16E36EBE" w14:textId="77777777" w:rsidR="00407656" w:rsidRPr="00515872" w:rsidRDefault="000F6A27" w:rsidP="00D65838">
      <w:pPr>
        <w:pStyle w:val="Paragrafoelenco"/>
        <w:numPr>
          <w:ilvl w:val="0"/>
          <w:numId w:val="139"/>
        </w:numPr>
        <w:spacing w:line="360" w:lineRule="auto"/>
        <w:jc w:val="both"/>
        <w:rPr>
          <w:rFonts w:cs="Tahoma"/>
          <w:color w:val="231F20"/>
          <w:szCs w:val="20"/>
        </w:rPr>
      </w:pPr>
      <w:r w:rsidRPr="00515872">
        <w:rPr>
          <w:rFonts w:cs="Tahoma"/>
          <w:color w:val="231F20"/>
          <w:szCs w:val="20"/>
        </w:rPr>
        <w:t>l’</w:t>
      </w:r>
      <w:r w:rsidR="00407656" w:rsidRPr="00515872">
        <w:rPr>
          <w:rFonts w:cs="Tahoma"/>
          <w:color w:val="231F20"/>
          <w:szCs w:val="20"/>
        </w:rPr>
        <w:t>accantonamento per copertura perdite di società e organismi partecipati.</w:t>
      </w:r>
    </w:p>
    <w:p w14:paraId="2E1C269F" w14:textId="77777777" w:rsidR="009518AF" w:rsidRPr="00515872" w:rsidRDefault="009518AF" w:rsidP="009518AF">
      <w:pPr>
        <w:spacing w:after="0" w:line="360" w:lineRule="auto"/>
        <w:jc w:val="both"/>
        <w:rPr>
          <w:rFonts w:cs="Tahoma"/>
          <w:b/>
          <w:color w:val="231F20"/>
          <w:szCs w:val="20"/>
        </w:rPr>
      </w:pPr>
      <w:r w:rsidRPr="00515872">
        <w:rPr>
          <w:rFonts w:cs="Tahoma"/>
          <w:b/>
          <w:color w:val="231F20"/>
          <w:szCs w:val="20"/>
        </w:rPr>
        <w:t>Tempistiche di emissione del parere</w:t>
      </w:r>
    </w:p>
    <w:p w14:paraId="09027310" w14:textId="77777777" w:rsidR="001B64A8" w:rsidRPr="00515872" w:rsidRDefault="009518AF" w:rsidP="009518AF">
      <w:pPr>
        <w:pStyle w:val="NormaleWeb"/>
        <w:spacing w:after="200" w:line="360" w:lineRule="auto"/>
        <w:jc w:val="both"/>
        <w:rPr>
          <w:rFonts w:ascii="Tahoma" w:hAnsi="Tahoma" w:cs="Tahoma"/>
          <w:sz w:val="20"/>
          <w:szCs w:val="20"/>
        </w:rPr>
      </w:pPr>
      <w:r w:rsidRPr="00515872">
        <w:rPr>
          <w:rFonts w:ascii="Tahoma" w:hAnsi="Tahoma" w:cs="Tahoma"/>
          <w:color w:val="000000"/>
          <w:sz w:val="20"/>
          <w:szCs w:val="20"/>
        </w:rPr>
        <w:t>Per quanto attiene al momento dell’emissione del parere dell’organo di revisione, si rappresenta che, a seguito delle modifiche introdotte dalla riforma del</w:t>
      </w:r>
      <w:r w:rsidR="000F6A27" w:rsidRPr="00515872">
        <w:rPr>
          <w:rFonts w:ascii="Tahoma" w:hAnsi="Tahoma" w:cs="Tahoma"/>
          <w:color w:val="000000"/>
          <w:sz w:val="20"/>
          <w:szCs w:val="20"/>
        </w:rPr>
        <w:t>l’ordinamento</w:t>
      </w:r>
      <w:r w:rsidRPr="00515872">
        <w:rPr>
          <w:rFonts w:ascii="Tahoma" w:hAnsi="Tahoma" w:cs="Tahoma"/>
          <w:color w:val="000000"/>
          <w:sz w:val="20"/>
          <w:szCs w:val="20"/>
        </w:rPr>
        <w:t xml:space="preserve"> contabile, l’art.</w:t>
      </w:r>
      <w:r w:rsidRPr="00515872">
        <w:rPr>
          <w:rFonts w:ascii="Tahoma" w:hAnsi="Tahoma" w:cs="Tahoma"/>
          <w:sz w:val="20"/>
          <w:szCs w:val="20"/>
        </w:rPr>
        <w:t xml:space="preserve"> 174 del TUEL richiedeva che lo schema di bilancio di previsione finanziario e il DUP fossero predisposti dall’organo esecutivo e da questo presentati all’organo consiliare unitamente agli allegati e alla relazione dell’organo di revisione entro il 15 novem</w:t>
      </w:r>
      <w:r w:rsidR="001B64A8" w:rsidRPr="00515872">
        <w:rPr>
          <w:rFonts w:ascii="Tahoma" w:hAnsi="Tahoma" w:cs="Tahoma"/>
          <w:sz w:val="20"/>
          <w:szCs w:val="20"/>
        </w:rPr>
        <w:t>bre di ogni anno.</w:t>
      </w:r>
    </w:p>
    <w:p w14:paraId="3E04E35C" w14:textId="77777777" w:rsidR="009518AF" w:rsidRPr="00515872" w:rsidRDefault="009518AF" w:rsidP="009518AF">
      <w:pPr>
        <w:pStyle w:val="NormaleWeb"/>
        <w:spacing w:after="200" w:line="360" w:lineRule="auto"/>
        <w:jc w:val="both"/>
        <w:rPr>
          <w:rFonts w:ascii="Tahoma" w:hAnsi="Tahoma" w:cs="Tahoma"/>
          <w:color w:val="000000"/>
          <w:sz w:val="20"/>
          <w:szCs w:val="20"/>
        </w:rPr>
      </w:pPr>
      <w:r w:rsidRPr="00515872">
        <w:rPr>
          <w:rFonts w:ascii="Tahoma" w:hAnsi="Tahoma" w:cs="Tahoma"/>
          <w:sz w:val="20"/>
          <w:szCs w:val="20"/>
        </w:rPr>
        <w:t>Successivamente</w:t>
      </w:r>
      <w:r w:rsidRPr="00515872">
        <w:rPr>
          <w:rFonts w:ascii="Tahoma" w:hAnsi="Tahoma" w:cs="Tahoma"/>
          <w:color w:val="000000"/>
          <w:sz w:val="20"/>
          <w:szCs w:val="20"/>
        </w:rPr>
        <w:t>, l’art. 9-</w:t>
      </w:r>
      <w:r w:rsidRPr="00515872">
        <w:rPr>
          <w:rFonts w:ascii="Tahoma" w:hAnsi="Tahoma" w:cs="Tahoma"/>
          <w:iCs/>
          <w:color w:val="000000"/>
          <w:sz w:val="20"/>
          <w:szCs w:val="20"/>
        </w:rPr>
        <w:t>bis</w:t>
      </w:r>
      <w:r w:rsidR="005F6A80" w:rsidRPr="00515872">
        <w:rPr>
          <w:rFonts w:ascii="Tahoma" w:hAnsi="Tahoma" w:cs="Tahoma"/>
          <w:iCs/>
          <w:color w:val="000000"/>
          <w:sz w:val="20"/>
          <w:szCs w:val="20"/>
        </w:rPr>
        <w:t>,</w:t>
      </w:r>
      <w:r w:rsidRPr="00515872">
        <w:rPr>
          <w:rFonts w:ascii="Tahoma" w:hAnsi="Tahoma" w:cs="Tahoma"/>
          <w:color w:val="000000"/>
          <w:sz w:val="20"/>
          <w:szCs w:val="20"/>
        </w:rPr>
        <w:t xml:space="preserve"> L. 7 agosto 2016, n. 160, di conversione, del D.L. 24 giugno 2016, n. 113, ha previsto la modifica degli artt. 174 e 175 del TUEL. L’attuale formulazione della norma prevede, in modo più coerente con la normativa previgente e con l’impianto normativo complessivo relativo ai bilanci degli enti pubblici, che lo schema di bilancio di previsione e il DUP, predisposti dall’organo esecutivo, siano presentati a quello consiliare</w:t>
      </w:r>
      <w:r w:rsidR="000F6A27" w:rsidRPr="00515872">
        <w:rPr>
          <w:rFonts w:ascii="Tahoma" w:hAnsi="Tahoma" w:cs="Tahoma"/>
          <w:color w:val="000000"/>
          <w:sz w:val="20"/>
          <w:szCs w:val="20"/>
        </w:rPr>
        <w:t>,</w:t>
      </w:r>
      <w:r w:rsidRPr="00515872">
        <w:rPr>
          <w:rFonts w:ascii="Tahoma" w:hAnsi="Tahoma" w:cs="Tahoma"/>
          <w:color w:val="000000"/>
          <w:sz w:val="20"/>
          <w:szCs w:val="20"/>
        </w:rPr>
        <w:t xml:space="preserve"> unitamente agli allegati</w:t>
      </w:r>
      <w:r w:rsidR="000F6A27" w:rsidRPr="00515872">
        <w:rPr>
          <w:rFonts w:ascii="Tahoma" w:hAnsi="Tahoma" w:cs="Tahoma"/>
          <w:color w:val="000000"/>
          <w:sz w:val="20"/>
          <w:szCs w:val="20"/>
        </w:rPr>
        <w:t>,</w:t>
      </w:r>
      <w:r w:rsidRPr="00515872">
        <w:rPr>
          <w:rFonts w:ascii="Tahoma" w:hAnsi="Tahoma" w:cs="Tahoma"/>
          <w:color w:val="000000"/>
          <w:sz w:val="20"/>
          <w:szCs w:val="20"/>
        </w:rPr>
        <w:t xml:space="preserve"> entro il 15 novembre di ogni anno, </w:t>
      </w:r>
      <w:r w:rsidRPr="00515872">
        <w:rPr>
          <w:rFonts w:ascii="Tahoma" w:hAnsi="Tahoma" w:cs="Tahoma"/>
          <w:b/>
          <w:color w:val="000000"/>
          <w:sz w:val="20"/>
          <w:szCs w:val="20"/>
        </w:rPr>
        <w:t>non più necessariamente corredati dalla relazione dell’organo di revisione</w:t>
      </w:r>
      <w:r w:rsidRPr="00515872">
        <w:rPr>
          <w:rFonts w:ascii="Tahoma" w:hAnsi="Tahoma" w:cs="Tahoma"/>
          <w:color w:val="000000"/>
          <w:sz w:val="20"/>
          <w:szCs w:val="20"/>
        </w:rPr>
        <w:t xml:space="preserve">, </w:t>
      </w:r>
      <w:r w:rsidR="000F6A27" w:rsidRPr="00515872">
        <w:rPr>
          <w:rFonts w:ascii="Tahoma" w:hAnsi="Tahoma" w:cs="Tahoma"/>
          <w:color w:val="000000"/>
          <w:sz w:val="20"/>
          <w:szCs w:val="20"/>
        </w:rPr>
        <w:t>la quale</w:t>
      </w:r>
      <w:r w:rsidRPr="00515872">
        <w:rPr>
          <w:rFonts w:ascii="Tahoma" w:hAnsi="Tahoma" w:cs="Tahoma"/>
          <w:color w:val="000000"/>
          <w:sz w:val="20"/>
          <w:szCs w:val="20"/>
        </w:rPr>
        <w:t xml:space="preserve"> può quindi essere predisposta successivamente a tale data, purché, comunque, in tempo utile per poter essere esaminata dai consiglieri in vista dell’assemblea deputat</w:t>
      </w:r>
      <w:r w:rsidR="005F6A80" w:rsidRPr="00515872">
        <w:rPr>
          <w:rFonts w:ascii="Tahoma" w:hAnsi="Tahoma" w:cs="Tahoma"/>
          <w:color w:val="000000"/>
          <w:sz w:val="20"/>
          <w:szCs w:val="20"/>
        </w:rPr>
        <w:t>a all’approvazione del bilancio</w:t>
      </w:r>
      <w:r w:rsidRPr="00515872">
        <w:rPr>
          <w:rStyle w:val="Rimandonotaapidipagina"/>
          <w:rFonts w:ascii="Tahoma" w:hAnsi="Tahoma" w:cs="Tahoma"/>
          <w:color w:val="000000"/>
          <w:sz w:val="20"/>
          <w:szCs w:val="20"/>
        </w:rPr>
        <w:footnoteReference w:id="92"/>
      </w:r>
      <w:r w:rsidR="005F6A80" w:rsidRPr="00515872">
        <w:rPr>
          <w:rFonts w:ascii="Tahoma" w:hAnsi="Tahoma" w:cs="Tahoma"/>
          <w:color w:val="000000"/>
          <w:sz w:val="20"/>
          <w:szCs w:val="20"/>
        </w:rPr>
        <w:t>.</w:t>
      </w:r>
    </w:p>
    <w:p w14:paraId="5C932340" w14:textId="77777777" w:rsidR="009518AF" w:rsidRPr="00515872" w:rsidRDefault="009518AF" w:rsidP="009518AF">
      <w:pPr>
        <w:spacing w:after="0" w:line="360" w:lineRule="auto"/>
        <w:jc w:val="both"/>
        <w:rPr>
          <w:rFonts w:cs="Tahoma"/>
          <w:b/>
          <w:color w:val="231F20"/>
          <w:szCs w:val="20"/>
        </w:rPr>
      </w:pPr>
      <w:r w:rsidRPr="00515872">
        <w:rPr>
          <w:rFonts w:cs="Tahoma"/>
          <w:b/>
          <w:color w:val="231F20"/>
          <w:szCs w:val="20"/>
        </w:rPr>
        <w:t>Osservazioni, rilievi e proposte</w:t>
      </w:r>
    </w:p>
    <w:p w14:paraId="13BC3E7F" w14:textId="77777777" w:rsidR="009518AF" w:rsidRPr="00515872" w:rsidRDefault="009518AF" w:rsidP="009518AF">
      <w:pPr>
        <w:spacing w:after="0" w:line="360" w:lineRule="auto"/>
        <w:jc w:val="both"/>
        <w:rPr>
          <w:rFonts w:cs="Tahoma"/>
          <w:color w:val="231F20"/>
          <w:szCs w:val="20"/>
        </w:rPr>
      </w:pPr>
      <w:r w:rsidRPr="00515872">
        <w:rPr>
          <w:rFonts w:cs="Tahoma"/>
          <w:color w:val="231F20"/>
          <w:szCs w:val="20"/>
        </w:rPr>
        <w:t>A conclusione della propria relazione, oltre all’espressione del parere, l’organo di revisione deve anche effettuare eventuali rilievi, osservazioni e suggerimenti. Questi si sostanziano in valutazioni in ordine alla congruità e attendibilità con riguardo:</w:t>
      </w:r>
    </w:p>
    <w:p w14:paraId="37B6455C" w14:textId="77777777" w:rsidR="009518AF" w:rsidRPr="00515872" w:rsidRDefault="009518AF" w:rsidP="00D65838">
      <w:pPr>
        <w:pStyle w:val="Paragrafoelenco"/>
        <w:numPr>
          <w:ilvl w:val="0"/>
          <w:numId w:val="140"/>
        </w:numPr>
        <w:spacing w:line="360" w:lineRule="auto"/>
        <w:jc w:val="both"/>
        <w:rPr>
          <w:rFonts w:cs="Tahoma"/>
          <w:color w:val="231F20"/>
          <w:szCs w:val="20"/>
        </w:rPr>
      </w:pPr>
      <w:r w:rsidRPr="00515872">
        <w:rPr>
          <w:rFonts w:cs="Tahoma"/>
          <w:color w:val="000000"/>
          <w:szCs w:val="20"/>
        </w:rPr>
        <w:lastRenderedPageBreak/>
        <w:t>alle previsioni di parte corrente;</w:t>
      </w:r>
    </w:p>
    <w:p w14:paraId="668FAF3D" w14:textId="77777777" w:rsidR="009518AF" w:rsidRPr="00515872" w:rsidRDefault="009518AF" w:rsidP="00D65838">
      <w:pPr>
        <w:pStyle w:val="Paragrafoelenco"/>
        <w:numPr>
          <w:ilvl w:val="0"/>
          <w:numId w:val="140"/>
        </w:numPr>
        <w:spacing w:line="360" w:lineRule="auto"/>
        <w:jc w:val="both"/>
        <w:rPr>
          <w:rFonts w:cs="Tahoma"/>
          <w:color w:val="231F20"/>
          <w:szCs w:val="20"/>
        </w:rPr>
      </w:pPr>
      <w:r w:rsidRPr="00515872">
        <w:rPr>
          <w:rFonts w:cs="Tahoma"/>
          <w:color w:val="000000"/>
          <w:szCs w:val="20"/>
        </w:rPr>
        <w:t>alle previsioni per investimenti;</w:t>
      </w:r>
    </w:p>
    <w:p w14:paraId="3142A8AE" w14:textId="77777777" w:rsidR="009518AF" w:rsidRPr="00515872" w:rsidRDefault="009518AF" w:rsidP="00D65838">
      <w:pPr>
        <w:pStyle w:val="Paragrafoelenco"/>
        <w:numPr>
          <w:ilvl w:val="0"/>
          <w:numId w:val="140"/>
        </w:numPr>
        <w:spacing w:line="360" w:lineRule="auto"/>
        <w:jc w:val="both"/>
        <w:rPr>
          <w:rFonts w:cs="Tahoma"/>
          <w:color w:val="231F20"/>
          <w:szCs w:val="20"/>
        </w:rPr>
      </w:pPr>
      <w:r w:rsidRPr="00515872">
        <w:rPr>
          <w:rFonts w:cs="Tahoma"/>
          <w:color w:val="000000"/>
          <w:szCs w:val="20"/>
        </w:rPr>
        <w:t>agli obiettivi di finanza pubblica;</w:t>
      </w:r>
    </w:p>
    <w:p w14:paraId="654DD5CE" w14:textId="77777777" w:rsidR="009518AF" w:rsidRPr="00515872" w:rsidRDefault="009518AF" w:rsidP="00D65838">
      <w:pPr>
        <w:pStyle w:val="Paragrafoelenco"/>
        <w:numPr>
          <w:ilvl w:val="0"/>
          <w:numId w:val="140"/>
        </w:numPr>
        <w:spacing w:line="360" w:lineRule="auto"/>
        <w:jc w:val="both"/>
        <w:rPr>
          <w:rFonts w:cs="Tahoma"/>
          <w:color w:val="231F20"/>
          <w:szCs w:val="20"/>
        </w:rPr>
      </w:pPr>
      <w:r w:rsidRPr="00515872">
        <w:rPr>
          <w:rFonts w:cs="Tahoma"/>
          <w:color w:val="000000"/>
          <w:szCs w:val="20"/>
        </w:rPr>
        <w:t>alle previsioni di cassa.</w:t>
      </w:r>
    </w:p>
    <w:p w14:paraId="76101B52" w14:textId="77777777" w:rsidR="009518AF" w:rsidRPr="00515872" w:rsidRDefault="009518AF" w:rsidP="009518AF">
      <w:pPr>
        <w:spacing w:line="360" w:lineRule="auto"/>
        <w:jc w:val="both"/>
        <w:rPr>
          <w:rFonts w:cs="Tahoma"/>
          <w:color w:val="231F20"/>
          <w:szCs w:val="20"/>
        </w:rPr>
      </w:pPr>
      <w:r w:rsidRPr="00515872">
        <w:rPr>
          <w:rFonts w:cs="Tahoma"/>
          <w:color w:val="231F20"/>
          <w:szCs w:val="20"/>
        </w:rPr>
        <w:t xml:space="preserve">L’organo consiliare è tenuto ad adottare le misure proposte dall’organo di revisione </w:t>
      </w:r>
      <w:r w:rsidR="002331C2" w:rsidRPr="00515872">
        <w:rPr>
          <w:rFonts w:cs="Tahoma"/>
          <w:color w:val="231F20"/>
          <w:szCs w:val="20"/>
        </w:rPr>
        <w:t>ovvero a</w:t>
      </w:r>
      <w:r w:rsidRPr="00515872">
        <w:rPr>
          <w:rFonts w:cs="Tahoma"/>
          <w:color w:val="231F20"/>
          <w:szCs w:val="20"/>
        </w:rPr>
        <w:t xml:space="preserve"> motivarne l’eventuale mancata adozione.</w:t>
      </w:r>
    </w:p>
    <w:p w14:paraId="62F510AC" w14:textId="77777777" w:rsidR="009518AF" w:rsidRPr="00515872" w:rsidRDefault="009518AF" w:rsidP="009518AF">
      <w:pPr>
        <w:spacing w:after="0" w:line="360" w:lineRule="auto"/>
        <w:jc w:val="both"/>
        <w:rPr>
          <w:rFonts w:cs="Tahoma"/>
          <w:color w:val="000000"/>
          <w:szCs w:val="20"/>
        </w:rPr>
      </w:pPr>
      <w:r w:rsidRPr="00515872">
        <w:rPr>
          <w:rFonts w:cs="Tahoma"/>
          <w:b/>
          <w:bCs/>
          <w:color w:val="000000"/>
          <w:szCs w:val="20"/>
        </w:rPr>
        <w:t>Parere</w:t>
      </w:r>
      <w:r w:rsidRPr="00515872">
        <w:rPr>
          <w:rFonts w:cs="Tahoma"/>
          <w:color w:val="000000"/>
          <w:szCs w:val="20"/>
        </w:rPr>
        <w:br/>
        <w:t>L’organo di revisione, effettuate le verifiche e le valutazioni, esprime un parere in relazione alle motivazioni</w:t>
      </w:r>
      <w:r w:rsidRPr="00515872">
        <w:rPr>
          <w:rFonts w:cs="Tahoma"/>
          <w:color w:val="000000"/>
          <w:szCs w:val="20"/>
        </w:rPr>
        <w:br/>
        <w:t>specificate che può essere:</w:t>
      </w:r>
    </w:p>
    <w:p w14:paraId="6E8D884C" w14:textId="77777777" w:rsidR="009518AF" w:rsidRPr="00515872" w:rsidRDefault="009518AF" w:rsidP="009518AF">
      <w:pPr>
        <w:pStyle w:val="Paragrafoelenco"/>
        <w:numPr>
          <w:ilvl w:val="0"/>
          <w:numId w:val="4"/>
        </w:numPr>
        <w:spacing w:line="360" w:lineRule="auto"/>
        <w:jc w:val="both"/>
        <w:rPr>
          <w:rFonts w:cs="Tahoma"/>
          <w:color w:val="231F20"/>
          <w:szCs w:val="20"/>
        </w:rPr>
      </w:pPr>
      <w:r w:rsidRPr="00515872">
        <w:rPr>
          <w:rFonts w:cs="Tahoma"/>
          <w:color w:val="000000"/>
          <w:szCs w:val="20"/>
        </w:rPr>
        <w:t>favorevole;</w:t>
      </w:r>
    </w:p>
    <w:p w14:paraId="46B2C871" w14:textId="77777777" w:rsidR="009518AF" w:rsidRPr="00515872" w:rsidRDefault="009518AF" w:rsidP="009518AF">
      <w:pPr>
        <w:pStyle w:val="Paragrafoelenco"/>
        <w:numPr>
          <w:ilvl w:val="0"/>
          <w:numId w:val="4"/>
        </w:numPr>
        <w:spacing w:line="360" w:lineRule="auto"/>
        <w:jc w:val="both"/>
        <w:rPr>
          <w:rFonts w:cs="Tahoma"/>
          <w:color w:val="231F20"/>
          <w:szCs w:val="20"/>
        </w:rPr>
      </w:pPr>
      <w:r w:rsidRPr="00515872">
        <w:rPr>
          <w:rFonts w:cs="Tahoma"/>
          <w:color w:val="000000"/>
          <w:szCs w:val="20"/>
        </w:rPr>
        <w:t>non favorevole;</w:t>
      </w:r>
    </w:p>
    <w:p w14:paraId="53C06234" w14:textId="77777777" w:rsidR="009518AF" w:rsidRPr="00515872" w:rsidRDefault="009518AF" w:rsidP="009518AF">
      <w:pPr>
        <w:pStyle w:val="Paragrafoelenco"/>
        <w:numPr>
          <w:ilvl w:val="0"/>
          <w:numId w:val="4"/>
        </w:numPr>
        <w:spacing w:line="360" w:lineRule="auto"/>
        <w:jc w:val="both"/>
        <w:rPr>
          <w:rFonts w:cs="Tahoma"/>
          <w:color w:val="231F20"/>
          <w:szCs w:val="20"/>
        </w:rPr>
      </w:pPr>
      <w:r w:rsidRPr="00515872">
        <w:rPr>
          <w:rFonts w:cs="Tahoma"/>
          <w:color w:val="000000"/>
          <w:szCs w:val="20"/>
        </w:rPr>
        <w:t>favorevole con riserve.</w:t>
      </w:r>
    </w:p>
    <w:p w14:paraId="168445DA" w14:textId="77777777" w:rsidR="009518AF" w:rsidRPr="00515872" w:rsidRDefault="009518AF" w:rsidP="009518AF">
      <w:pPr>
        <w:spacing w:line="360" w:lineRule="auto"/>
        <w:jc w:val="both"/>
        <w:rPr>
          <w:rFonts w:cs="Tahoma"/>
          <w:color w:val="231F20"/>
          <w:szCs w:val="20"/>
        </w:rPr>
      </w:pPr>
      <w:r w:rsidRPr="00515872">
        <w:rPr>
          <w:rFonts w:cs="Tahoma"/>
          <w:color w:val="231F20"/>
          <w:szCs w:val="20"/>
        </w:rPr>
        <w:t>Nel parere deve essere attestato il rispetto degli obiettivi di finanza pubblica ed espresso un giudizio riguardo all’attendibilità e alla congruità delle previsioni.</w:t>
      </w:r>
    </w:p>
    <w:p w14:paraId="6B787151" w14:textId="77777777" w:rsidR="009518AF" w:rsidRPr="00515872" w:rsidRDefault="009518AF" w:rsidP="009518AF">
      <w:pPr>
        <w:spacing w:line="360" w:lineRule="auto"/>
        <w:jc w:val="both"/>
        <w:rPr>
          <w:rFonts w:cs="Tahoma"/>
          <w:color w:val="231F20"/>
          <w:szCs w:val="20"/>
        </w:rPr>
      </w:pPr>
      <w:r w:rsidRPr="00515872">
        <w:rPr>
          <w:rFonts w:cs="Tahoma"/>
          <w:color w:val="231F20"/>
          <w:szCs w:val="20"/>
        </w:rPr>
        <w:t>Il parere si estende anche agli allegati del bilancio.</w:t>
      </w:r>
    </w:p>
    <w:p w14:paraId="06A02851" w14:textId="77777777" w:rsidR="00774790" w:rsidRPr="00515872" w:rsidRDefault="00774790" w:rsidP="00774790">
      <w:pPr>
        <w:spacing w:after="0" w:line="360" w:lineRule="auto"/>
        <w:jc w:val="both"/>
        <w:rPr>
          <w:rFonts w:cs="Tahoma"/>
          <w:b/>
          <w:color w:val="231F20"/>
          <w:szCs w:val="20"/>
        </w:rPr>
      </w:pPr>
      <w:r w:rsidRPr="00515872">
        <w:rPr>
          <w:rFonts w:cs="Tahoma"/>
          <w:b/>
          <w:color w:val="231F20"/>
          <w:szCs w:val="20"/>
        </w:rPr>
        <w:t>Vigilanza sugli adempimenti successivi</w:t>
      </w:r>
    </w:p>
    <w:p w14:paraId="49375084" w14:textId="77777777" w:rsidR="00774790" w:rsidRPr="00515872" w:rsidRDefault="00774790" w:rsidP="00774790">
      <w:pPr>
        <w:spacing w:after="0" w:line="360" w:lineRule="auto"/>
        <w:jc w:val="both"/>
        <w:rPr>
          <w:rFonts w:cs="Tahoma"/>
          <w:color w:val="000000"/>
          <w:szCs w:val="20"/>
        </w:rPr>
      </w:pPr>
      <w:r w:rsidRPr="00515872">
        <w:rPr>
          <w:rFonts w:cs="Tahoma"/>
          <w:color w:val="231F20"/>
          <w:szCs w:val="20"/>
        </w:rPr>
        <w:t>L’organo di revisione è tenuto a verificare anche l’espletamento de</w:t>
      </w:r>
      <w:r w:rsidRPr="00515872">
        <w:rPr>
          <w:rFonts w:cs="Tahoma"/>
          <w:color w:val="000000"/>
          <w:szCs w:val="20"/>
        </w:rPr>
        <w:t>gli obblighi che gravano sull’ente locale successivamente all’approvazione del bilancio di previsione. In particolare, l’organo di revisione verifica:</w:t>
      </w:r>
    </w:p>
    <w:p w14:paraId="6A18AE6B" w14:textId="77777777" w:rsidR="00774790" w:rsidRPr="00515872" w:rsidRDefault="00774790" w:rsidP="00D65838">
      <w:pPr>
        <w:pStyle w:val="Paragrafoelenco"/>
        <w:numPr>
          <w:ilvl w:val="0"/>
          <w:numId w:val="223"/>
        </w:numPr>
        <w:spacing w:after="0" w:line="360" w:lineRule="auto"/>
        <w:ind w:left="284" w:hanging="284"/>
        <w:jc w:val="both"/>
        <w:rPr>
          <w:rFonts w:cs="Tahoma"/>
          <w:color w:val="231F20"/>
          <w:szCs w:val="20"/>
        </w:rPr>
      </w:pPr>
      <w:r w:rsidRPr="00515872">
        <w:rPr>
          <w:rFonts w:cs="Tahoma"/>
          <w:color w:val="000000"/>
          <w:szCs w:val="20"/>
        </w:rPr>
        <w:t xml:space="preserve">gli adempimenti in materia di piano esecutivo di gestione e delle </w:t>
      </w:r>
      <w:r w:rsidRPr="00515872">
        <w:rPr>
          <w:rFonts w:cs="Tahoma"/>
          <w:i/>
          <w:color w:val="000000"/>
          <w:szCs w:val="20"/>
        </w:rPr>
        <w:t>performance</w:t>
      </w:r>
      <w:r w:rsidRPr="00515872">
        <w:rPr>
          <w:rFonts w:cs="Tahoma"/>
          <w:color w:val="000000"/>
          <w:szCs w:val="20"/>
        </w:rPr>
        <w:t>;</w:t>
      </w:r>
    </w:p>
    <w:p w14:paraId="4FE8303D" w14:textId="77777777" w:rsidR="00774790" w:rsidRPr="00515872" w:rsidRDefault="00774790" w:rsidP="00D65838">
      <w:pPr>
        <w:pStyle w:val="Paragrafoelenco"/>
        <w:numPr>
          <w:ilvl w:val="0"/>
          <w:numId w:val="223"/>
        </w:numPr>
        <w:spacing w:after="0" w:line="360" w:lineRule="auto"/>
        <w:ind w:left="284" w:hanging="284"/>
        <w:jc w:val="both"/>
        <w:rPr>
          <w:rFonts w:cs="Tahoma"/>
          <w:color w:val="231F20"/>
          <w:szCs w:val="20"/>
        </w:rPr>
      </w:pPr>
      <w:r w:rsidRPr="00515872">
        <w:rPr>
          <w:rFonts w:cs="Tahoma"/>
          <w:color w:val="000000"/>
          <w:szCs w:val="20"/>
        </w:rPr>
        <w:t xml:space="preserve">gli adempimenti circa la trasmissione alla Banca Dati delle Amministrazioni Pubbliche (BDAP) nei termini e secondo le modalità previste dalla legge tenuto conto della possibilità di inviare il </w:t>
      </w:r>
      <w:r w:rsidR="002331C2" w:rsidRPr="00515872">
        <w:rPr>
          <w:rFonts w:cs="Tahoma"/>
          <w:color w:val="000000"/>
          <w:szCs w:val="20"/>
        </w:rPr>
        <w:t>bilancio approvato dalla g</w:t>
      </w:r>
      <w:r w:rsidRPr="00515872">
        <w:rPr>
          <w:rFonts w:cs="Tahoma"/>
          <w:color w:val="000000"/>
          <w:szCs w:val="20"/>
        </w:rPr>
        <w:t xml:space="preserve">iunta, per verificare l’esistenza di errori e operare le eventuali correzioni prima dell’approvazione da parte del </w:t>
      </w:r>
      <w:r w:rsidR="002331C2" w:rsidRPr="00515872">
        <w:rPr>
          <w:rFonts w:cs="Tahoma"/>
          <w:color w:val="000000"/>
          <w:szCs w:val="20"/>
        </w:rPr>
        <w:t>c</w:t>
      </w:r>
      <w:r w:rsidRPr="00515872">
        <w:rPr>
          <w:rFonts w:cs="Tahoma"/>
          <w:color w:val="000000"/>
          <w:szCs w:val="20"/>
        </w:rPr>
        <w:t>onsiglio;</w:t>
      </w:r>
    </w:p>
    <w:p w14:paraId="198F672F" w14:textId="77777777" w:rsidR="00774790" w:rsidRPr="00515872" w:rsidRDefault="00774790" w:rsidP="00D65838">
      <w:pPr>
        <w:pStyle w:val="Paragrafoelenco"/>
        <w:numPr>
          <w:ilvl w:val="0"/>
          <w:numId w:val="223"/>
        </w:numPr>
        <w:spacing w:after="0" w:line="360" w:lineRule="auto"/>
        <w:ind w:left="284" w:hanging="284"/>
        <w:jc w:val="both"/>
        <w:rPr>
          <w:rFonts w:cs="Tahoma"/>
          <w:color w:val="231F20"/>
          <w:szCs w:val="20"/>
        </w:rPr>
      </w:pPr>
      <w:r w:rsidRPr="00515872">
        <w:rPr>
          <w:rFonts w:cs="Tahoma"/>
          <w:color w:val="000000"/>
          <w:szCs w:val="20"/>
        </w:rPr>
        <w:t>nell’ipotesi di mancato invio dei dati alla BDAP nei termini previsti, il rispetto del divieto di assunzione di personale a qualsiasi titolo, con qualsiasi tipologia contrattuale;</w:t>
      </w:r>
    </w:p>
    <w:p w14:paraId="2D763371" w14:textId="77777777" w:rsidR="00774790" w:rsidRPr="00515872" w:rsidRDefault="00774790" w:rsidP="002331C2">
      <w:pPr>
        <w:pStyle w:val="Paragrafoelenco"/>
        <w:numPr>
          <w:ilvl w:val="0"/>
          <w:numId w:val="223"/>
        </w:numPr>
        <w:spacing w:line="360" w:lineRule="auto"/>
        <w:ind w:left="284" w:hanging="284"/>
        <w:jc w:val="both"/>
        <w:rPr>
          <w:rFonts w:cs="Tahoma"/>
          <w:color w:val="231F20"/>
          <w:szCs w:val="20"/>
        </w:rPr>
      </w:pPr>
      <w:r w:rsidRPr="00515872">
        <w:rPr>
          <w:rFonts w:cs="Tahoma"/>
          <w:color w:val="000000"/>
          <w:szCs w:val="20"/>
        </w:rPr>
        <w:t>il rispetto degli obblighi di pubblicazione del bilancio di previsione e del PEG sul sito internet dell’ente, nella sezione dedicata ai bilanci dell’”Amministrazione trasparente”. Nel sito internet dell’ente devono essere pubblicate anche le variazioni del bilancio di previsione, il bilancio di previsione</w:t>
      </w:r>
      <w:r w:rsidR="00E857B1" w:rsidRPr="00515872">
        <w:rPr>
          <w:rFonts w:cs="Tahoma"/>
          <w:color w:val="000000"/>
          <w:szCs w:val="20"/>
        </w:rPr>
        <w:t xml:space="preserve"> </w:t>
      </w:r>
      <w:r w:rsidRPr="00515872">
        <w:rPr>
          <w:rFonts w:cs="Tahoma"/>
          <w:color w:val="000000"/>
          <w:szCs w:val="20"/>
        </w:rPr>
        <w:t>assestato e il piano esecutivo di gestione assestato.</w:t>
      </w:r>
    </w:p>
    <w:p w14:paraId="2AA046D3" w14:textId="77777777" w:rsidR="00774790" w:rsidRPr="00515872" w:rsidRDefault="00774790" w:rsidP="00774790">
      <w:pPr>
        <w:spacing w:line="360" w:lineRule="auto"/>
        <w:jc w:val="both"/>
        <w:rPr>
          <w:rFonts w:cs="Tahoma"/>
          <w:color w:val="231F20"/>
          <w:szCs w:val="20"/>
        </w:rPr>
      </w:pPr>
      <w:r w:rsidRPr="00515872">
        <w:rPr>
          <w:rFonts w:cs="Tahoma"/>
          <w:color w:val="000000"/>
          <w:szCs w:val="20"/>
        </w:rPr>
        <w:t>L’</w:t>
      </w:r>
      <w:r w:rsidR="002331C2" w:rsidRPr="00515872">
        <w:rPr>
          <w:rFonts w:cs="Tahoma"/>
          <w:color w:val="000000"/>
          <w:szCs w:val="20"/>
        </w:rPr>
        <w:t>o</w:t>
      </w:r>
      <w:r w:rsidRPr="00515872">
        <w:rPr>
          <w:rFonts w:cs="Tahoma"/>
          <w:color w:val="000000"/>
          <w:szCs w:val="20"/>
        </w:rPr>
        <w:t>rgano di revisione è altresì tenuto a trasmettere, dopo la deliberazione del bilancio di previsione, una relazione alla sezione regional</w:t>
      </w:r>
      <w:r w:rsidR="002331C2" w:rsidRPr="00515872">
        <w:rPr>
          <w:rFonts w:cs="Tahoma"/>
          <w:color w:val="000000"/>
          <w:szCs w:val="20"/>
        </w:rPr>
        <w:t>e di controllo della Corte dei C</w:t>
      </w:r>
      <w:r w:rsidRPr="00515872">
        <w:rPr>
          <w:rFonts w:cs="Tahoma"/>
          <w:color w:val="000000"/>
          <w:szCs w:val="20"/>
        </w:rPr>
        <w:t>onti sulla base dei questionari e linee guida definiti dalla Corte stessa.</w:t>
      </w:r>
    </w:p>
    <w:p w14:paraId="287B5251" w14:textId="77777777" w:rsidR="00EA779E" w:rsidRDefault="00EA779E">
      <w:pPr>
        <w:spacing w:after="0" w:line="240" w:lineRule="auto"/>
        <w:rPr>
          <w:rFonts w:cs="Tahoma"/>
          <w:b/>
          <w:color w:val="231F20"/>
          <w:szCs w:val="20"/>
        </w:rPr>
      </w:pPr>
      <w:r>
        <w:rPr>
          <w:rFonts w:cs="Tahoma"/>
          <w:b/>
          <w:color w:val="231F20"/>
          <w:szCs w:val="20"/>
        </w:rPr>
        <w:br w:type="page"/>
      </w:r>
    </w:p>
    <w:p w14:paraId="61C9DF26" w14:textId="120016E7" w:rsidR="009518AF" w:rsidRPr="00515872" w:rsidRDefault="009518AF" w:rsidP="009518AF">
      <w:pPr>
        <w:spacing w:after="0" w:line="360" w:lineRule="auto"/>
        <w:jc w:val="both"/>
        <w:rPr>
          <w:rFonts w:cs="Tahoma"/>
          <w:b/>
          <w:color w:val="231F20"/>
          <w:szCs w:val="20"/>
        </w:rPr>
      </w:pPr>
      <w:r w:rsidRPr="00515872">
        <w:rPr>
          <w:rFonts w:cs="Tahoma"/>
          <w:b/>
          <w:color w:val="231F20"/>
          <w:szCs w:val="20"/>
        </w:rPr>
        <w:lastRenderedPageBreak/>
        <w:t>Parere sulle variazioni di bilancio</w:t>
      </w:r>
    </w:p>
    <w:p w14:paraId="18828E1F"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Come già accennato, la normativa prevede il parere dell’organo di revisione </w:t>
      </w:r>
      <w:r w:rsidR="002331C2" w:rsidRPr="00515872">
        <w:rPr>
          <w:rFonts w:cs="Tahoma"/>
          <w:color w:val="000000"/>
          <w:szCs w:val="20"/>
        </w:rPr>
        <w:t xml:space="preserve">anche </w:t>
      </w:r>
      <w:r w:rsidRPr="00515872">
        <w:rPr>
          <w:rFonts w:cs="Tahoma"/>
          <w:color w:val="000000"/>
          <w:szCs w:val="20"/>
        </w:rPr>
        <w:t xml:space="preserve">sulle variazioni di competenza del consiglio; per le variazioni di bilancio di competenza della giunta o dei responsabili dei servizi il parere non è previsto, a meno che non sia espressamente richiesto dalle norme o dai principi contabili. L’organo di revisione deve, tuttavia, verificare in sede di esame del rendiconto della gestione, l’esistenza dei presupposti che hanno generato le variazioni di bilancio, dandone conto nella </w:t>
      </w:r>
      <w:r w:rsidR="002331C2" w:rsidRPr="00515872">
        <w:rPr>
          <w:rFonts w:cs="Tahoma"/>
          <w:color w:val="000000"/>
          <w:szCs w:val="20"/>
        </w:rPr>
        <w:t>propria</w:t>
      </w:r>
      <w:r w:rsidRPr="00515872">
        <w:rPr>
          <w:rFonts w:cs="Tahoma"/>
          <w:color w:val="000000"/>
          <w:szCs w:val="20"/>
        </w:rPr>
        <w:t xml:space="preserve"> relazione.</w:t>
      </w:r>
      <w:r w:rsidR="0029193F" w:rsidRPr="00515872">
        <w:rPr>
          <w:rFonts w:cs="Tahoma"/>
          <w:color w:val="000000"/>
          <w:szCs w:val="20"/>
        </w:rPr>
        <w:t xml:space="preserve"> </w:t>
      </w:r>
      <w:r w:rsidRPr="00515872">
        <w:rPr>
          <w:rFonts w:cs="Tahoma"/>
          <w:color w:val="000000"/>
          <w:szCs w:val="20"/>
        </w:rPr>
        <w:t xml:space="preserve">Il parere dell’organo di revisione deve, </w:t>
      </w:r>
      <w:r w:rsidR="0029193F" w:rsidRPr="00515872">
        <w:rPr>
          <w:rFonts w:cs="Tahoma"/>
          <w:color w:val="000000"/>
          <w:szCs w:val="20"/>
        </w:rPr>
        <w:t>ad esempio</w:t>
      </w:r>
      <w:r w:rsidRPr="00515872">
        <w:rPr>
          <w:rFonts w:cs="Tahoma"/>
          <w:color w:val="000000"/>
          <w:szCs w:val="20"/>
        </w:rPr>
        <w:t>, essere espresso sulla proposta di variazione al bilancio adottata dalla giunta per motivi d’urgenza.</w:t>
      </w:r>
      <w:r w:rsidR="00D86B1F" w:rsidRPr="00515872">
        <w:rPr>
          <w:rFonts w:cs="Tahoma"/>
          <w:color w:val="000000"/>
          <w:szCs w:val="20"/>
        </w:rPr>
        <w:t xml:space="preserve"> Il revisore deve poi verificare la ratifica da parte del consiglio entro 60 giorni, a pena di decadenza. Nel caso di mancata o parziale ratifica, il consiglio deve adottare, nei 30 giorni che seguono (comunque entro il 31 dicembre del medesimo anno), i provvedimenti necessari a salvaguardare i rapporti sorti sulla base della delibera non ratificata.</w:t>
      </w:r>
    </w:p>
    <w:p w14:paraId="63930284"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Nelle variazioni di bilancio occorre verificare il rispetto degli equilibri</w:t>
      </w:r>
      <w:r w:rsidR="00A95D8F" w:rsidRPr="00515872">
        <w:rPr>
          <w:rFonts w:cs="Tahoma"/>
          <w:color w:val="000000"/>
          <w:szCs w:val="20"/>
        </w:rPr>
        <w:t>,</w:t>
      </w:r>
      <w:r w:rsidRPr="00515872">
        <w:rPr>
          <w:rFonts w:cs="Tahoma"/>
          <w:color w:val="000000"/>
          <w:szCs w:val="20"/>
        </w:rPr>
        <w:t xml:space="preserve"> secondo il </w:t>
      </w:r>
      <w:r w:rsidR="00A95D8F" w:rsidRPr="00515872">
        <w:rPr>
          <w:rFonts w:cs="Tahoma"/>
          <w:color w:val="000000"/>
          <w:szCs w:val="20"/>
        </w:rPr>
        <w:t xml:space="preserve">disposto </w:t>
      </w:r>
      <w:r w:rsidRPr="00515872">
        <w:rPr>
          <w:rFonts w:cs="Tahoma"/>
          <w:color w:val="000000"/>
          <w:szCs w:val="20"/>
        </w:rPr>
        <w:t>dell’art. 162</w:t>
      </w:r>
      <w:r w:rsidR="00A95D8F" w:rsidRPr="00515872">
        <w:rPr>
          <w:rFonts w:cs="Tahoma"/>
          <w:color w:val="000000"/>
          <w:szCs w:val="20"/>
        </w:rPr>
        <w:t>, c. 6</w:t>
      </w:r>
      <w:r w:rsidRPr="00515872">
        <w:rPr>
          <w:rFonts w:cs="Tahoma"/>
          <w:color w:val="000000"/>
          <w:szCs w:val="20"/>
        </w:rPr>
        <w:t xml:space="preserve"> del TUEL, del pareggio finanziario e di cassa e del saldo degli obiettivi di finanza pubblica.</w:t>
      </w:r>
    </w:p>
    <w:p w14:paraId="19D47831" w14:textId="77777777" w:rsidR="00D86B1F" w:rsidRPr="00515872" w:rsidRDefault="00D86B1F" w:rsidP="009518AF">
      <w:pPr>
        <w:spacing w:line="360" w:lineRule="auto"/>
        <w:jc w:val="both"/>
        <w:rPr>
          <w:rFonts w:cs="Tahoma"/>
          <w:color w:val="000000"/>
          <w:szCs w:val="20"/>
        </w:rPr>
      </w:pPr>
      <w:r w:rsidRPr="00515872">
        <w:rPr>
          <w:rFonts w:cs="Tahoma"/>
          <w:color w:val="000000"/>
          <w:szCs w:val="20"/>
        </w:rPr>
        <w:t>L’organo di revisione deve verificare, inoltre, il rispetto del divieto di variazione fra residui e competenza.</w:t>
      </w:r>
    </w:p>
    <w:p w14:paraId="0713BB68"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Il parere dell’organo di revisione sulla proposta di variazione al bilancio e sull’assestamento generale deve essere articolato in un giudizio di coerenza, attendibilità e congruità.</w:t>
      </w:r>
    </w:p>
    <w:p w14:paraId="1B0942D3" w14:textId="77777777" w:rsidR="002C543A" w:rsidRPr="00515872" w:rsidRDefault="002C543A" w:rsidP="009518AF">
      <w:pPr>
        <w:spacing w:line="360" w:lineRule="auto"/>
        <w:jc w:val="both"/>
        <w:rPr>
          <w:rFonts w:cs="Tahoma"/>
          <w:color w:val="231F20"/>
          <w:szCs w:val="20"/>
        </w:rPr>
      </w:pPr>
    </w:p>
    <w:p w14:paraId="4D555B6A" w14:textId="77777777" w:rsidR="009518AF" w:rsidRPr="00515872" w:rsidRDefault="00AD2719" w:rsidP="00297A21">
      <w:pPr>
        <w:pStyle w:val="Paragrafo"/>
      </w:pPr>
      <w:bookmarkStart w:id="185" w:name="_Toc521317112"/>
      <w:bookmarkStart w:id="186" w:name="_Toc95912302"/>
      <w:r w:rsidRPr="00515872">
        <w:t>6</w:t>
      </w:r>
      <w:r w:rsidR="009518AF" w:rsidRPr="00515872">
        <w:t>.5 Verifiche sugli strumenti di programmazione</w:t>
      </w:r>
      <w:bookmarkEnd w:id="185"/>
      <w:bookmarkEnd w:id="186"/>
    </w:p>
    <w:p w14:paraId="5EA0C54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Oltre al bilancio di previsione, l’attività di controllo dell’organo di revisione si estende a tutti gli strumenti di programmazione dell’ente locale. In questa ca</w:t>
      </w:r>
      <w:r w:rsidR="00A95D8F" w:rsidRPr="00515872">
        <w:rPr>
          <w:rFonts w:eastAsia="Times New Roman" w:cs="Tahoma"/>
          <w:szCs w:val="20"/>
          <w:lang w:eastAsia="it-IT"/>
        </w:rPr>
        <w:t>tegoria</w:t>
      </w:r>
      <w:r w:rsidRPr="00515872">
        <w:rPr>
          <w:rFonts w:eastAsia="Times New Roman" w:cs="Tahoma"/>
          <w:szCs w:val="20"/>
          <w:lang w:eastAsia="it-IT"/>
        </w:rPr>
        <w:t xml:space="preserve"> rientrano tutti gli atti di programmazione di competenza del consiglio dell’ente</w:t>
      </w:r>
      <w:r w:rsidR="00706272" w:rsidRPr="00515872">
        <w:rPr>
          <w:rFonts w:eastAsia="Times New Roman" w:cs="Tahoma"/>
          <w:szCs w:val="20"/>
          <w:lang w:eastAsia="it-IT"/>
        </w:rPr>
        <w:t>, o sottoposti allo stesso,</w:t>
      </w:r>
      <w:r w:rsidRPr="00515872">
        <w:rPr>
          <w:rFonts w:eastAsia="Times New Roman" w:cs="Tahoma"/>
          <w:szCs w:val="20"/>
          <w:lang w:eastAsia="it-IT"/>
        </w:rPr>
        <w:t xml:space="preserve"> che fanno scaturire effetti sulle previsioni annuali e pluriennali.</w:t>
      </w:r>
    </w:p>
    <w:p w14:paraId="58BD117A" w14:textId="77777777" w:rsidR="007357B9" w:rsidRPr="00515872" w:rsidRDefault="007357B9" w:rsidP="009518AF">
      <w:pPr>
        <w:spacing w:line="360" w:lineRule="auto"/>
        <w:jc w:val="both"/>
        <w:rPr>
          <w:rFonts w:cs="Tahoma"/>
          <w:color w:val="000000"/>
          <w:szCs w:val="20"/>
        </w:rPr>
      </w:pPr>
      <w:r w:rsidRPr="00515872">
        <w:rPr>
          <w:rFonts w:cs="Tahoma"/>
          <w:color w:val="000000"/>
          <w:szCs w:val="20"/>
        </w:rPr>
        <w:t>Considerato che tutti gli strumenti di programmazione devono essere inseriti nel Documento Unico di</w:t>
      </w:r>
      <w:r w:rsidR="002C543A" w:rsidRPr="00515872">
        <w:rPr>
          <w:rFonts w:cs="Tahoma"/>
          <w:color w:val="000000"/>
          <w:szCs w:val="20"/>
        </w:rPr>
        <w:t xml:space="preserve"> </w:t>
      </w:r>
      <w:r w:rsidRPr="00515872">
        <w:rPr>
          <w:rFonts w:cs="Tahoma"/>
          <w:color w:val="000000"/>
          <w:szCs w:val="20"/>
        </w:rPr>
        <w:t xml:space="preserve">Programmazione o nelle note di aggiornamento, l’organo di revisione, tranne </w:t>
      </w:r>
      <w:r w:rsidR="002C543A" w:rsidRPr="00515872">
        <w:rPr>
          <w:rFonts w:cs="Tahoma"/>
          <w:color w:val="000000"/>
          <w:szCs w:val="20"/>
        </w:rPr>
        <w:t xml:space="preserve">il caso di atti adottati </w:t>
      </w:r>
      <w:r w:rsidRPr="00515872">
        <w:rPr>
          <w:rFonts w:cs="Tahoma"/>
          <w:color w:val="000000"/>
          <w:szCs w:val="20"/>
        </w:rPr>
        <w:t>separatamente ma che in ogni caso devono essere recepiti nel DUP, deve esprimersi nell’ambito del parere su di questo in termini di coerenza delle previsioni.</w:t>
      </w:r>
    </w:p>
    <w:p w14:paraId="6854699B" w14:textId="77777777" w:rsidR="009518AF" w:rsidRPr="00515872" w:rsidRDefault="009518AF" w:rsidP="009518AF">
      <w:pPr>
        <w:spacing w:line="360" w:lineRule="auto"/>
        <w:jc w:val="both"/>
        <w:rPr>
          <w:rFonts w:eastAsiaTheme="minorEastAsia" w:cs="Tahoma"/>
          <w:szCs w:val="20"/>
        </w:rPr>
      </w:pPr>
      <w:r w:rsidRPr="00515872">
        <w:rPr>
          <w:rFonts w:eastAsiaTheme="minorEastAsia" w:cs="Tahoma"/>
          <w:szCs w:val="20"/>
        </w:rPr>
        <w:t>Poiché la norma non prevedeva espressamente il parere dell’organo di revisione sul DUP, la questione era stata oggetto, inizialmente, di qualche dubbio interpretativo. Sul punto si era espressa la Commissione Enti Pubblici del Consiglio Nazionale dei Dottori Commercialisti con un documento denominato “</w:t>
      </w:r>
      <w:r w:rsidRPr="00515872">
        <w:rPr>
          <w:rFonts w:cs="Tahoma"/>
          <w:bCs/>
          <w:szCs w:val="20"/>
        </w:rPr>
        <w:t>DUP e parere dell’organo di revisione”. In tale documen</w:t>
      </w:r>
      <w:r w:rsidR="00740B9C" w:rsidRPr="00515872">
        <w:rPr>
          <w:rFonts w:cs="Tahoma"/>
          <w:bCs/>
          <w:szCs w:val="20"/>
        </w:rPr>
        <w:t xml:space="preserve">to </w:t>
      </w:r>
      <w:r w:rsidRPr="00515872">
        <w:rPr>
          <w:rFonts w:cs="Tahoma"/>
          <w:bCs/>
          <w:szCs w:val="20"/>
        </w:rPr>
        <w:t>l</w:t>
      </w:r>
      <w:r w:rsidR="00740B9C" w:rsidRPr="00515872">
        <w:rPr>
          <w:rFonts w:cs="Tahoma"/>
          <w:bCs/>
          <w:szCs w:val="20"/>
        </w:rPr>
        <w:t>a</w:t>
      </w:r>
      <w:r w:rsidRPr="00515872">
        <w:rPr>
          <w:rFonts w:cs="Tahoma"/>
          <w:bCs/>
          <w:szCs w:val="20"/>
        </w:rPr>
        <w:t xml:space="preserve"> Commissione</w:t>
      </w:r>
      <w:r w:rsidRPr="00515872">
        <w:rPr>
          <w:rFonts w:eastAsiaTheme="minorEastAsia" w:cs="Tahoma"/>
          <w:szCs w:val="20"/>
        </w:rPr>
        <w:t xml:space="preserve"> aveva rilevato l’impossibilità da parte dell’organo di revisione di esprimere un parere di congruità, di coerenza, di attendibilità contabile delle previsioni di bilancio e dei programmi e progetti, con riferime</w:t>
      </w:r>
      <w:r w:rsidR="00A95D8F" w:rsidRPr="00515872">
        <w:rPr>
          <w:rFonts w:eastAsiaTheme="minorEastAsia" w:cs="Tahoma"/>
          <w:szCs w:val="20"/>
        </w:rPr>
        <w:t>nto ad un DUP che non accompagnava</w:t>
      </w:r>
      <w:r w:rsidRPr="00515872">
        <w:rPr>
          <w:rFonts w:eastAsiaTheme="minorEastAsia" w:cs="Tahoma"/>
          <w:szCs w:val="20"/>
        </w:rPr>
        <w:t xml:space="preserve"> lo stesso bilancio di previsione. A parere del C.N.D.C.E.C., inoltre, nell’ipotesi in cui il DUP fosse solo “da presentare”</w:t>
      </w:r>
      <w:r w:rsidR="00A95D8F" w:rsidRPr="00515872">
        <w:rPr>
          <w:rFonts w:eastAsiaTheme="minorEastAsia" w:cs="Tahoma"/>
          <w:szCs w:val="20"/>
        </w:rPr>
        <w:t>,</w:t>
      </w:r>
      <w:r w:rsidRPr="00515872">
        <w:rPr>
          <w:rFonts w:eastAsiaTheme="minorEastAsia" w:cs="Tahoma"/>
          <w:szCs w:val="20"/>
        </w:rPr>
        <w:t xml:space="preserve"> e non anche sottoposto </w:t>
      </w:r>
      <w:r w:rsidRPr="00515872">
        <w:rPr>
          <w:rFonts w:eastAsiaTheme="minorEastAsia" w:cs="Tahoma"/>
          <w:szCs w:val="20"/>
        </w:rPr>
        <w:lastRenderedPageBreak/>
        <w:t xml:space="preserve">ad approvazione da parte del consiglio, il parere dell’organo di revisione non sarebbe risultato obbligatorio ai sensi dell’art. 239 del TUEL. Conseguentemente, sul DUP, l’organo di revisione avrebbe dovuto esprimersi </w:t>
      </w:r>
      <w:r w:rsidR="00A95D8F" w:rsidRPr="00515872">
        <w:rPr>
          <w:rFonts w:eastAsiaTheme="minorEastAsia" w:cs="Tahoma"/>
          <w:szCs w:val="20"/>
        </w:rPr>
        <w:t xml:space="preserve">solo </w:t>
      </w:r>
      <w:r w:rsidRPr="00515872">
        <w:rPr>
          <w:rFonts w:eastAsiaTheme="minorEastAsia" w:cs="Tahoma"/>
          <w:szCs w:val="20"/>
        </w:rPr>
        <w:t>in sede di espressione del proprio parere sul bilancio di previsione.</w:t>
      </w:r>
    </w:p>
    <w:p w14:paraId="09645BEB" w14:textId="77777777" w:rsidR="009518AF" w:rsidRPr="00515872" w:rsidRDefault="009518AF" w:rsidP="009518AF">
      <w:pPr>
        <w:spacing w:line="360" w:lineRule="auto"/>
        <w:jc w:val="both"/>
        <w:rPr>
          <w:rFonts w:cs="Tahoma"/>
          <w:szCs w:val="20"/>
        </w:rPr>
      </w:pPr>
      <w:r w:rsidRPr="00515872">
        <w:rPr>
          <w:rFonts w:eastAsiaTheme="minorEastAsia" w:cs="Tahoma"/>
          <w:szCs w:val="20"/>
        </w:rPr>
        <w:t xml:space="preserve">La posizione del C.N.D.C.E.C. era stata smentita da ARCONET in data 21 ottobre 2015, in risposta ad un quesito formulato da ANCI (l’Associazione </w:t>
      </w:r>
      <w:r w:rsidR="007357B9" w:rsidRPr="00515872">
        <w:rPr>
          <w:rFonts w:eastAsiaTheme="minorEastAsia" w:cs="Tahoma"/>
          <w:szCs w:val="20"/>
        </w:rPr>
        <w:t>Nazionale</w:t>
      </w:r>
      <w:r w:rsidRPr="00515872">
        <w:rPr>
          <w:rFonts w:eastAsiaTheme="minorEastAsia" w:cs="Tahoma"/>
          <w:szCs w:val="20"/>
        </w:rPr>
        <w:t xml:space="preserve"> Comuni Italiani), chiarendo che, </w:t>
      </w:r>
      <w:r w:rsidRPr="00515872">
        <w:rPr>
          <w:rFonts w:cs="Tahoma"/>
          <w:szCs w:val="20"/>
        </w:rPr>
        <w:t>considerato che la deliberazione del consiglio concernente il DUP presentato a luglio ha o un contenuto di indirizzo programmatico o costituisce una formale approvazione,</w:t>
      </w:r>
      <w:r w:rsidR="002C543A" w:rsidRPr="00515872">
        <w:rPr>
          <w:rFonts w:cs="Tahoma"/>
          <w:bCs/>
          <w:szCs w:val="20"/>
        </w:rPr>
        <w:t xml:space="preserve"> era</w:t>
      </w:r>
      <w:r w:rsidRPr="00515872">
        <w:rPr>
          <w:rFonts w:cs="Tahoma"/>
          <w:bCs/>
          <w:szCs w:val="20"/>
        </w:rPr>
        <w:t xml:space="preserve"> necessario il parere dell’organo di revisione</w:t>
      </w:r>
      <w:r w:rsidRPr="00515872">
        <w:rPr>
          <w:rFonts w:cs="Tahoma"/>
          <w:szCs w:val="20"/>
        </w:rPr>
        <w:t xml:space="preserve"> sulla delibera di giunta a supporto della proposta di deliberazione del consiglio, reso secondo le modalità previste dal regolamento dell’ente.</w:t>
      </w:r>
    </w:p>
    <w:p w14:paraId="6A26FC78" w14:textId="77777777" w:rsidR="009518AF" w:rsidRPr="00515872" w:rsidRDefault="009518AF" w:rsidP="009518AF">
      <w:pPr>
        <w:spacing w:line="360" w:lineRule="auto"/>
        <w:jc w:val="both"/>
        <w:rPr>
          <w:rFonts w:eastAsiaTheme="minorEastAsia" w:cs="Tahoma"/>
          <w:szCs w:val="20"/>
        </w:rPr>
      </w:pPr>
      <w:r w:rsidRPr="00515872">
        <w:rPr>
          <w:rFonts w:cs="Tahoma"/>
          <w:szCs w:val="20"/>
        </w:rPr>
        <w:t xml:space="preserve">In seguito, </w:t>
      </w:r>
      <w:r w:rsidRPr="00515872">
        <w:rPr>
          <w:rFonts w:eastAsiaTheme="minorEastAsia" w:cs="Tahoma"/>
          <w:szCs w:val="20"/>
        </w:rPr>
        <w:t>il C.N.D.C.E.C., preso atto del</w:t>
      </w:r>
      <w:r w:rsidR="00A95D8F" w:rsidRPr="00515872">
        <w:rPr>
          <w:rFonts w:eastAsiaTheme="minorEastAsia" w:cs="Tahoma"/>
          <w:szCs w:val="20"/>
        </w:rPr>
        <w:t xml:space="preserve"> chiarimento fornito da ANCI, aveva</w:t>
      </w:r>
      <w:r w:rsidRPr="00515872">
        <w:rPr>
          <w:rFonts w:eastAsiaTheme="minorEastAsia" w:cs="Tahoma"/>
          <w:szCs w:val="20"/>
        </w:rPr>
        <w:t xml:space="preserve"> pubblicato sul proprio sito un modello di parere dell’organo di revisione sul DUP.</w:t>
      </w:r>
    </w:p>
    <w:p w14:paraId="74B066F9" w14:textId="77777777" w:rsidR="009518AF" w:rsidRPr="00515872" w:rsidRDefault="009518AF" w:rsidP="009518AF">
      <w:pPr>
        <w:spacing w:line="360" w:lineRule="auto"/>
        <w:jc w:val="both"/>
        <w:rPr>
          <w:rFonts w:cs="Tahoma"/>
          <w:szCs w:val="20"/>
        </w:rPr>
      </w:pPr>
      <w:r w:rsidRPr="00515872">
        <w:rPr>
          <w:rFonts w:cs="Tahoma"/>
          <w:szCs w:val="20"/>
        </w:rPr>
        <w:t>Ora, a seguito delle novit</w:t>
      </w:r>
      <w:r w:rsidR="002C543A" w:rsidRPr="00515872">
        <w:rPr>
          <w:rFonts w:cs="Tahoma"/>
          <w:szCs w:val="20"/>
        </w:rPr>
        <w:t>à introdotte dall’art. 9-bis,</w:t>
      </w:r>
      <w:r w:rsidRPr="00515872">
        <w:rPr>
          <w:rFonts w:cs="Tahoma"/>
          <w:szCs w:val="20"/>
        </w:rPr>
        <w:t xml:space="preserve"> D.L. n. 113/2016, convertito dalla L. n. 160/2016, non è più richiesto il parere dell’organo di revisione </w:t>
      </w:r>
      <w:r w:rsidRPr="00515872">
        <w:rPr>
          <w:rFonts w:cs="Tahoma"/>
          <w:b/>
          <w:szCs w:val="20"/>
        </w:rPr>
        <w:t>sulla proposta di deliberazione dell’organo esecutivo</w:t>
      </w:r>
      <w:r w:rsidRPr="00515872">
        <w:rPr>
          <w:rFonts w:cs="Tahoma"/>
          <w:szCs w:val="20"/>
        </w:rPr>
        <w:t xml:space="preserve"> di approvazione del DUP da presentare al consiglio. </w:t>
      </w:r>
      <w:r w:rsidRPr="00515872">
        <w:rPr>
          <w:rFonts w:cs="Tahoma"/>
          <w:b/>
          <w:szCs w:val="20"/>
        </w:rPr>
        <w:t xml:space="preserve">Tale parere deve essere espresso sul DUP e sulla nota di aggiornamento, se sottoposti a deliberazione del consiglio, attestando la </w:t>
      </w:r>
      <w:r w:rsidR="00174BB7" w:rsidRPr="00515872">
        <w:rPr>
          <w:rFonts w:cs="Tahoma"/>
          <w:b/>
          <w:szCs w:val="20"/>
        </w:rPr>
        <w:t>loro</w:t>
      </w:r>
      <w:r w:rsidRPr="00515872">
        <w:rPr>
          <w:rFonts w:cs="Tahoma"/>
          <w:b/>
          <w:szCs w:val="20"/>
        </w:rPr>
        <w:t xml:space="preserve"> coerenza, attendibilità e congruità oppure rilevando criticità</w:t>
      </w:r>
      <w:r w:rsidRPr="00515872">
        <w:rPr>
          <w:rFonts w:cs="Tahoma"/>
          <w:szCs w:val="20"/>
        </w:rPr>
        <w:t xml:space="preserve"> in ordine a detti aspetti.</w:t>
      </w:r>
    </w:p>
    <w:p w14:paraId="2E6B676D" w14:textId="77777777" w:rsidR="009518AF" w:rsidRPr="00515872" w:rsidRDefault="009518AF" w:rsidP="002C543A">
      <w:pPr>
        <w:autoSpaceDE w:val="0"/>
        <w:autoSpaceDN w:val="0"/>
        <w:adjustRightInd w:val="0"/>
        <w:spacing w:after="0" w:line="360" w:lineRule="auto"/>
        <w:jc w:val="both"/>
        <w:rPr>
          <w:rFonts w:cs="Tahoma"/>
          <w:color w:val="000000"/>
          <w:szCs w:val="20"/>
        </w:rPr>
      </w:pPr>
      <w:r w:rsidRPr="00515872">
        <w:rPr>
          <w:rFonts w:cs="Tahoma"/>
          <w:color w:val="000000"/>
          <w:szCs w:val="20"/>
        </w:rPr>
        <w:t>Occorre poi chiarire che, qualora i seguenti atti di programmazione di settore continuassero ad avere tempi e modalità distinte, l’organo di revisione</w:t>
      </w:r>
      <w:r w:rsidR="007357B9" w:rsidRPr="00515872">
        <w:rPr>
          <w:rFonts w:cs="Tahoma"/>
          <w:color w:val="000000"/>
          <w:szCs w:val="20"/>
        </w:rPr>
        <w:t xml:space="preserve"> è</w:t>
      </w:r>
      <w:r w:rsidRPr="00515872">
        <w:rPr>
          <w:rFonts w:cs="Tahoma"/>
          <w:color w:val="000000"/>
          <w:szCs w:val="20"/>
        </w:rPr>
        <w:t xml:space="preserve"> tenuto a fornire, su di essi, gli specifici pareri richiesti: </w:t>
      </w:r>
    </w:p>
    <w:p w14:paraId="696B9BEF" w14:textId="77777777" w:rsidR="009518AF" w:rsidRPr="00515872" w:rsidRDefault="009518AF" w:rsidP="00D65838">
      <w:pPr>
        <w:pStyle w:val="Paragrafoelenco"/>
        <w:numPr>
          <w:ilvl w:val="0"/>
          <w:numId w:val="100"/>
        </w:numPr>
        <w:autoSpaceDE w:val="0"/>
        <w:autoSpaceDN w:val="0"/>
        <w:adjustRightInd w:val="0"/>
        <w:spacing w:line="360" w:lineRule="auto"/>
        <w:jc w:val="both"/>
        <w:rPr>
          <w:rFonts w:cs="Tahoma"/>
          <w:color w:val="000000"/>
          <w:szCs w:val="20"/>
        </w:rPr>
      </w:pPr>
      <w:r w:rsidRPr="00515872">
        <w:rPr>
          <w:rFonts w:cs="Tahoma"/>
          <w:color w:val="000000"/>
          <w:szCs w:val="20"/>
        </w:rPr>
        <w:t xml:space="preserve">programmazione degli acquisti di beni e servizi e dei </w:t>
      </w:r>
      <w:r w:rsidR="00A95D8F" w:rsidRPr="00515872">
        <w:rPr>
          <w:rFonts w:cs="Tahoma"/>
          <w:color w:val="000000"/>
          <w:szCs w:val="20"/>
        </w:rPr>
        <w:t>lavori pubblici ex art. 21</w:t>
      </w:r>
      <w:r w:rsidR="002C543A" w:rsidRPr="00515872">
        <w:rPr>
          <w:rFonts w:cs="Tahoma"/>
          <w:color w:val="000000"/>
          <w:szCs w:val="20"/>
        </w:rPr>
        <w:t>,</w:t>
      </w:r>
      <w:r w:rsidR="00A95D8F" w:rsidRPr="00515872">
        <w:rPr>
          <w:rFonts w:cs="Tahoma"/>
          <w:color w:val="000000"/>
          <w:szCs w:val="20"/>
        </w:rPr>
        <w:t xml:space="preserve"> D</w:t>
      </w:r>
      <w:r w:rsidRPr="00515872">
        <w:rPr>
          <w:rFonts w:cs="Tahoma"/>
          <w:color w:val="000000"/>
          <w:szCs w:val="20"/>
        </w:rPr>
        <w:t>.lgs. n. 50/2016</w:t>
      </w:r>
      <w:r w:rsidR="0089354F" w:rsidRPr="00515872">
        <w:rPr>
          <w:rStyle w:val="Rimandonotaapidipagina"/>
          <w:rFonts w:cs="Tahoma"/>
          <w:color w:val="000000"/>
          <w:szCs w:val="20"/>
        </w:rPr>
        <w:footnoteReference w:id="93"/>
      </w:r>
      <w:r w:rsidRPr="00515872">
        <w:rPr>
          <w:rFonts w:cs="Tahoma"/>
          <w:color w:val="000000"/>
          <w:szCs w:val="20"/>
        </w:rPr>
        <w:t xml:space="preserve">; </w:t>
      </w:r>
    </w:p>
    <w:p w14:paraId="604A09C5" w14:textId="77777777" w:rsidR="009518AF" w:rsidRPr="00515872" w:rsidRDefault="009518AF" w:rsidP="00D65838">
      <w:pPr>
        <w:pStyle w:val="Paragrafoelenco"/>
        <w:numPr>
          <w:ilvl w:val="0"/>
          <w:numId w:val="100"/>
        </w:numPr>
        <w:autoSpaceDE w:val="0"/>
        <w:autoSpaceDN w:val="0"/>
        <w:adjustRightInd w:val="0"/>
        <w:spacing w:line="360" w:lineRule="auto"/>
        <w:jc w:val="both"/>
        <w:rPr>
          <w:rFonts w:cs="Tahoma"/>
          <w:color w:val="000000"/>
          <w:szCs w:val="20"/>
        </w:rPr>
      </w:pPr>
      <w:r w:rsidRPr="00515872">
        <w:rPr>
          <w:rFonts w:cs="Tahoma"/>
          <w:color w:val="000000"/>
          <w:szCs w:val="20"/>
        </w:rPr>
        <w:t>programmazione triennale del fabbisogno di personale ex art. 91 del Tuel, art. 6</w:t>
      </w:r>
      <w:r w:rsidR="002C543A" w:rsidRPr="00515872">
        <w:rPr>
          <w:rFonts w:cs="Tahoma"/>
          <w:color w:val="000000"/>
          <w:szCs w:val="20"/>
        </w:rPr>
        <w:t>,</w:t>
      </w:r>
      <w:r w:rsidRPr="00515872">
        <w:rPr>
          <w:rFonts w:cs="Tahoma"/>
          <w:color w:val="000000"/>
          <w:szCs w:val="20"/>
        </w:rPr>
        <w:t xml:space="preserve"> D.Lgs. n. 165/2001 e</w:t>
      </w:r>
      <w:r w:rsidR="00A95D8F" w:rsidRPr="00515872">
        <w:rPr>
          <w:rFonts w:cs="Tahoma"/>
          <w:color w:val="000000"/>
          <w:szCs w:val="20"/>
        </w:rPr>
        <w:t xml:space="preserve"> art. 39, c. 1, L. n. 449/1997 (</w:t>
      </w:r>
      <w:r w:rsidRPr="00515872">
        <w:rPr>
          <w:rFonts w:cs="Tahoma"/>
          <w:color w:val="000000"/>
          <w:szCs w:val="20"/>
        </w:rPr>
        <w:t>delibera ora affidata all’organo esecutivo previo parere dell’organo di revisione</w:t>
      </w:r>
      <w:r w:rsidR="00A95D8F" w:rsidRPr="00515872">
        <w:rPr>
          <w:rFonts w:cs="Tahoma"/>
          <w:color w:val="000000"/>
          <w:szCs w:val="20"/>
        </w:rPr>
        <w:t>)</w:t>
      </w:r>
      <w:r w:rsidRPr="00515872">
        <w:rPr>
          <w:rFonts w:cs="Tahoma"/>
          <w:color w:val="000000"/>
          <w:szCs w:val="20"/>
        </w:rPr>
        <w:t xml:space="preserve">; </w:t>
      </w:r>
    </w:p>
    <w:p w14:paraId="1365C4A1" w14:textId="77777777" w:rsidR="009518AF" w:rsidRPr="00515872" w:rsidRDefault="009518AF" w:rsidP="00D65838">
      <w:pPr>
        <w:pStyle w:val="Paragrafoelenco"/>
        <w:numPr>
          <w:ilvl w:val="0"/>
          <w:numId w:val="100"/>
        </w:numPr>
        <w:autoSpaceDE w:val="0"/>
        <w:autoSpaceDN w:val="0"/>
        <w:adjustRightInd w:val="0"/>
        <w:spacing w:line="360" w:lineRule="auto"/>
        <w:jc w:val="both"/>
        <w:rPr>
          <w:rFonts w:cs="Tahoma"/>
          <w:color w:val="000000"/>
          <w:szCs w:val="20"/>
        </w:rPr>
      </w:pPr>
      <w:r w:rsidRPr="00515872">
        <w:rPr>
          <w:rFonts w:cs="Tahoma"/>
          <w:color w:val="000000"/>
          <w:szCs w:val="20"/>
        </w:rPr>
        <w:t>piano triennale di razionalizzazione e riqualificazione della spesa ex art. 16, c. 4</w:t>
      </w:r>
      <w:r w:rsidR="002C543A" w:rsidRPr="00515872">
        <w:rPr>
          <w:rFonts w:cs="Tahoma"/>
          <w:color w:val="000000"/>
          <w:szCs w:val="20"/>
        </w:rPr>
        <w:t>,</w:t>
      </w:r>
      <w:r w:rsidRPr="00515872">
        <w:rPr>
          <w:rFonts w:cs="Tahoma"/>
          <w:color w:val="000000"/>
          <w:szCs w:val="20"/>
        </w:rPr>
        <w:t xml:space="preserve"> D.L. n. 98/2011, soggetta al parere obbligatorio dell’organo di revisione quale strumento di programmazione economico-finanziaria come disposto dall’art. 239, c. 1, lett. b) p.to 1 del TUEL; </w:t>
      </w:r>
    </w:p>
    <w:p w14:paraId="423503D8" w14:textId="77777777" w:rsidR="009518AF" w:rsidRPr="00515872" w:rsidRDefault="009518AF" w:rsidP="00D65838">
      <w:pPr>
        <w:pStyle w:val="Paragrafoelenco"/>
        <w:numPr>
          <w:ilvl w:val="0"/>
          <w:numId w:val="100"/>
        </w:numPr>
        <w:autoSpaceDE w:val="0"/>
        <w:autoSpaceDN w:val="0"/>
        <w:adjustRightInd w:val="0"/>
        <w:spacing w:line="360" w:lineRule="auto"/>
        <w:jc w:val="both"/>
        <w:rPr>
          <w:rFonts w:cs="Tahoma"/>
          <w:color w:val="000000"/>
          <w:szCs w:val="20"/>
        </w:rPr>
      </w:pPr>
      <w:r w:rsidRPr="00515872">
        <w:rPr>
          <w:rFonts w:cs="Tahoma"/>
          <w:color w:val="000000"/>
          <w:szCs w:val="20"/>
        </w:rPr>
        <w:t>piano delle alienazioni e valorizzazioni immobiliari ex art. 58, c. 1</w:t>
      </w:r>
      <w:r w:rsidR="002C543A" w:rsidRPr="00515872">
        <w:rPr>
          <w:rFonts w:cs="Tahoma"/>
          <w:color w:val="000000"/>
          <w:szCs w:val="20"/>
        </w:rPr>
        <w:t>,</w:t>
      </w:r>
      <w:r w:rsidRPr="00515872">
        <w:rPr>
          <w:rFonts w:cs="Tahoma"/>
          <w:color w:val="000000"/>
          <w:szCs w:val="20"/>
        </w:rPr>
        <w:t xml:space="preserve"> D.L. n. 112/2008. </w:t>
      </w:r>
    </w:p>
    <w:p w14:paraId="06E14785" w14:textId="77777777" w:rsidR="000E2843" w:rsidRPr="00515872" w:rsidRDefault="000E2843" w:rsidP="000E2843">
      <w:pPr>
        <w:autoSpaceDE w:val="0"/>
        <w:autoSpaceDN w:val="0"/>
        <w:adjustRightInd w:val="0"/>
        <w:spacing w:line="360" w:lineRule="auto"/>
        <w:jc w:val="both"/>
        <w:rPr>
          <w:rFonts w:cs="Tahoma"/>
          <w:color w:val="000000"/>
          <w:szCs w:val="20"/>
        </w:rPr>
      </w:pPr>
      <w:r w:rsidRPr="00515872">
        <w:rPr>
          <w:rFonts w:cs="Tahoma"/>
          <w:color w:val="000000"/>
          <w:szCs w:val="20"/>
        </w:rPr>
        <w:t>Al fine di procedere all’approvazione del bilancio di previsione, ogni anno l’organo esecutivo presenta all’organo</w:t>
      </w:r>
      <w:r w:rsidR="0070749A" w:rsidRPr="00515872">
        <w:rPr>
          <w:rFonts w:cs="Tahoma"/>
          <w:color w:val="000000"/>
          <w:szCs w:val="20"/>
        </w:rPr>
        <w:t xml:space="preserve"> consi</w:t>
      </w:r>
      <w:r w:rsidRPr="00515872">
        <w:rPr>
          <w:rFonts w:cs="Tahoma"/>
          <w:color w:val="000000"/>
          <w:szCs w:val="20"/>
        </w:rPr>
        <w:t xml:space="preserve">liare entro il 15 di novembre lo schema di bilancio unitamente all’eventuale nota di aggiornamento del DUP. In tale contesto, l’organo di revisione deve esprimersi anche </w:t>
      </w:r>
      <w:r w:rsidR="0070749A" w:rsidRPr="00515872">
        <w:rPr>
          <w:rFonts w:cs="Tahoma"/>
          <w:color w:val="000000"/>
          <w:szCs w:val="20"/>
        </w:rPr>
        <w:t>sulla nota di aggiornamento, nel termine stabilito dal regolamento di contabilità.</w:t>
      </w:r>
    </w:p>
    <w:p w14:paraId="0B8168D3" w14:textId="77777777" w:rsidR="0070749A" w:rsidRPr="00515872" w:rsidRDefault="0070749A" w:rsidP="000E2843">
      <w:pPr>
        <w:autoSpaceDE w:val="0"/>
        <w:autoSpaceDN w:val="0"/>
        <w:adjustRightInd w:val="0"/>
        <w:spacing w:line="360" w:lineRule="auto"/>
        <w:jc w:val="both"/>
        <w:rPr>
          <w:rFonts w:cs="Tahoma"/>
          <w:color w:val="000000"/>
          <w:szCs w:val="20"/>
        </w:rPr>
      </w:pPr>
      <w:r w:rsidRPr="00515872">
        <w:rPr>
          <w:rFonts w:cs="Tahoma"/>
          <w:color w:val="000000"/>
          <w:szCs w:val="20"/>
        </w:rPr>
        <w:lastRenderedPageBreak/>
        <w:t xml:space="preserve">Nel parere </w:t>
      </w:r>
      <w:r w:rsidR="002C543A" w:rsidRPr="00515872">
        <w:rPr>
          <w:rFonts w:cs="Tahoma"/>
          <w:color w:val="000000"/>
          <w:szCs w:val="20"/>
        </w:rPr>
        <w:t xml:space="preserve">dell’organo di revisione </w:t>
      </w:r>
      <w:r w:rsidRPr="00515872">
        <w:rPr>
          <w:rFonts w:cs="Tahoma"/>
          <w:color w:val="000000"/>
          <w:szCs w:val="20"/>
        </w:rPr>
        <w:t>sono suggerite all’organo consilia</w:t>
      </w:r>
      <w:r w:rsidR="00134956" w:rsidRPr="00515872">
        <w:rPr>
          <w:rFonts w:cs="Tahoma"/>
          <w:color w:val="000000"/>
          <w:szCs w:val="20"/>
        </w:rPr>
        <w:t>re le misure atte</w:t>
      </w:r>
      <w:r w:rsidRPr="00515872">
        <w:rPr>
          <w:rFonts w:cs="Tahoma"/>
          <w:color w:val="000000"/>
          <w:szCs w:val="20"/>
        </w:rPr>
        <w:t xml:space="preserve"> ad assicurare l’attendibilità delle impostazioni. Il consiglio è tenuto ad adottare le misure proposte dall’organo di revisione ovvero a motivarne la mancata adozione.</w:t>
      </w:r>
    </w:p>
    <w:p w14:paraId="7E9F2045" w14:textId="77777777" w:rsidR="00277513" w:rsidRPr="00515872" w:rsidRDefault="00277513" w:rsidP="00297A21">
      <w:pPr>
        <w:pStyle w:val="Paragrafo"/>
      </w:pPr>
      <w:bookmarkStart w:id="187" w:name="_Toc521317113"/>
    </w:p>
    <w:p w14:paraId="39A5EB0E" w14:textId="77777777" w:rsidR="009518AF" w:rsidRPr="00515872" w:rsidRDefault="00AD2719" w:rsidP="00297A21">
      <w:pPr>
        <w:pStyle w:val="Paragrafo"/>
      </w:pPr>
      <w:bookmarkStart w:id="188" w:name="_Toc95912303"/>
      <w:r w:rsidRPr="00515872">
        <w:t>6</w:t>
      </w:r>
      <w:r w:rsidR="009518AF" w:rsidRPr="00515872">
        <w:t>.6 Verifica del mantenimento degli equilibri di bilancio</w:t>
      </w:r>
      <w:bookmarkEnd w:id="187"/>
      <w:bookmarkEnd w:id="188"/>
    </w:p>
    <w:p w14:paraId="2D3758D2" w14:textId="77777777" w:rsidR="009518AF" w:rsidRPr="00515872" w:rsidRDefault="009518AF" w:rsidP="009518AF">
      <w:pPr>
        <w:spacing w:line="360" w:lineRule="auto"/>
        <w:jc w:val="both"/>
        <w:rPr>
          <w:rFonts w:cs="Tahoma"/>
          <w:color w:val="231F20"/>
          <w:szCs w:val="20"/>
        </w:rPr>
      </w:pPr>
      <w:r w:rsidRPr="00515872">
        <w:rPr>
          <w:rFonts w:cs="Tahoma"/>
          <w:color w:val="231F20"/>
          <w:szCs w:val="20"/>
        </w:rPr>
        <w:t xml:space="preserve">Gli equilibri di bilancio, necessariamente presenti in sede di approvazione del bilancio di previsione, devono essere </w:t>
      </w:r>
      <w:r w:rsidR="00535E98" w:rsidRPr="00515872">
        <w:rPr>
          <w:rFonts w:cs="Tahoma"/>
          <w:color w:val="231F20"/>
          <w:szCs w:val="20"/>
        </w:rPr>
        <w:t xml:space="preserve">monitorati e </w:t>
      </w:r>
      <w:r w:rsidRPr="00515872">
        <w:rPr>
          <w:rFonts w:cs="Tahoma"/>
          <w:color w:val="231F20"/>
          <w:szCs w:val="20"/>
        </w:rPr>
        <w:t>mantenuti durante tutto l’esercizio e particolarmente verificati in occasione delle variazioni di bilancio.</w:t>
      </w:r>
    </w:p>
    <w:p w14:paraId="3F5736DF"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La normativa prevede che, con periodicità stabilita dal regolamento di contabilità dell'ente locale, e comunque almeno una volta entro il 31 luglio di ciascun anno, l'organo consiliare provveda, con delibera, a dare atto del permanere degli equilibri generali di bilancio. Nel caso si riscontri, invece, una situazione di squilibrio l’ente deve adottare</w:t>
      </w:r>
      <w:r w:rsidR="0075716D" w:rsidRPr="00515872">
        <w:rPr>
          <w:rFonts w:eastAsia="Times New Roman" w:cs="Tahoma"/>
          <w:szCs w:val="20"/>
          <w:lang w:eastAsia="it-IT"/>
        </w:rPr>
        <w:t xml:space="preserve"> le misure necessarie a ripristinare il pareggio qualora i dati della gestione finanziaria facciano prevedere un disavanzo:</w:t>
      </w:r>
    </w:p>
    <w:p w14:paraId="0FE0E6E6" w14:textId="77777777" w:rsidR="009518AF" w:rsidRPr="00515872" w:rsidRDefault="0075716D" w:rsidP="00D65838">
      <w:pPr>
        <w:pStyle w:val="Paragrafoelenco"/>
        <w:numPr>
          <w:ilvl w:val="0"/>
          <w:numId w:val="74"/>
        </w:numPr>
        <w:spacing w:line="360" w:lineRule="auto"/>
        <w:jc w:val="both"/>
        <w:rPr>
          <w:rFonts w:eastAsia="Times New Roman" w:cs="Tahoma"/>
          <w:szCs w:val="20"/>
          <w:lang w:eastAsia="it-IT"/>
        </w:rPr>
      </w:pPr>
      <w:r w:rsidRPr="00515872">
        <w:rPr>
          <w:rFonts w:eastAsia="Times New Roman" w:cs="Tahoma"/>
          <w:szCs w:val="20"/>
          <w:lang w:eastAsia="it-IT"/>
        </w:rPr>
        <w:t>della gestione di competenza</w:t>
      </w:r>
      <w:r w:rsidR="009518AF" w:rsidRPr="00515872">
        <w:rPr>
          <w:rFonts w:eastAsia="Times New Roman" w:cs="Tahoma"/>
          <w:szCs w:val="20"/>
          <w:lang w:eastAsia="it-IT"/>
        </w:rPr>
        <w:t>;</w:t>
      </w:r>
    </w:p>
    <w:p w14:paraId="4206CFE2" w14:textId="77777777" w:rsidR="009518AF" w:rsidRPr="00515872" w:rsidRDefault="0075716D" w:rsidP="00D65838">
      <w:pPr>
        <w:pStyle w:val="Paragrafoelenco"/>
        <w:numPr>
          <w:ilvl w:val="0"/>
          <w:numId w:val="74"/>
        </w:numPr>
        <w:spacing w:line="360" w:lineRule="auto"/>
        <w:jc w:val="both"/>
        <w:rPr>
          <w:rFonts w:eastAsia="Times New Roman" w:cs="Tahoma"/>
          <w:szCs w:val="20"/>
          <w:lang w:eastAsia="it-IT"/>
        </w:rPr>
      </w:pPr>
      <w:r w:rsidRPr="00515872">
        <w:rPr>
          <w:rFonts w:eastAsia="Times New Roman" w:cs="Tahoma"/>
          <w:szCs w:val="20"/>
          <w:lang w:eastAsia="it-IT"/>
        </w:rPr>
        <w:t>di amministrazione</w:t>
      </w:r>
      <w:r w:rsidR="009518AF" w:rsidRPr="00515872">
        <w:rPr>
          <w:rFonts w:eastAsia="Times New Roman" w:cs="Tahoma"/>
          <w:szCs w:val="20"/>
          <w:lang w:eastAsia="it-IT"/>
        </w:rPr>
        <w:t>;</w:t>
      </w:r>
    </w:p>
    <w:p w14:paraId="1A61F223" w14:textId="77777777" w:rsidR="0075716D" w:rsidRPr="00515872" w:rsidRDefault="0075716D" w:rsidP="00D65838">
      <w:pPr>
        <w:pStyle w:val="Paragrafoelenco"/>
        <w:numPr>
          <w:ilvl w:val="0"/>
          <w:numId w:val="74"/>
        </w:numPr>
        <w:spacing w:line="360" w:lineRule="auto"/>
        <w:jc w:val="both"/>
        <w:rPr>
          <w:rFonts w:eastAsia="Times New Roman" w:cs="Tahoma"/>
          <w:szCs w:val="20"/>
          <w:lang w:eastAsia="it-IT"/>
        </w:rPr>
      </w:pPr>
      <w:r w:rsidRPr="00515872">
        <w:rPr>
          <w:rFonts w:eastAsia="Times New Roman" w:cs="Tahoma"/>
          <w:szCs w:val="20"/>
          <w:lang w:eastAsia="it-IT"/>
        </w:rPr>
        <w:t>di cassa;</w:t>
      </w:r>
    </w:p>
    <w:p w14:paraId="3A92E4CF" w14:textId="77777777" w:rsidR="009518AF" w:rsidRPr="00515872" w:rsidRDefault="0075716D" w:rsidP="00D65838">
      <w:pPr>
        <w:pStyle w:val="Paragrafoelenco"/>
        <w:numPr>
          <w:ilvl w:val="0"/>
          <w:numId w:val="74"/>
        </w:numPr>
        <w:spacing w:line="360" w:lineRule="auto"/>
        <w:jc w:val="both"/>
        <w:rPr>
          <w:rFonts w:eastAsia="Times New Roman" w:cs="Tahoma"/>
          <w:szCs w:val="20"/>
          <w:lang w:eastAsia="it-IT"/>
        </w:rPr>
      </w:pPr>
      <w:r w:rsidRPr="00515872">
        <w:rPr>
          <w:rFonts w:eastAsia="Times New Roman" w:cs="Tahoma"/>
          <w:szCs w:val="20"/>
          <w:lang w:eastAsia="it-IT"/>
        </w:rPr>
        <w:t>nella gestione dei residui.</w:t>
      </w:r>
    </w:p>
    <w:p w14:paraId="3060A69A"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mancata adozione, da parte dell'ente, dei provvedimenti di riequilibrio è </w:t>
      </w:r>
      <w:r w:rsidRPr="00515872">
        <w:rPr>
          <w:rFonts w:eastAsia="Times New Roman" w:cs="Tahoma"/>
          <w:b/>
          <w:szCs w:val="20"/>
          <w:lang w:eastAsia="it-IT"/>
        </w:rPr>
        <w:t>equiparata ad ogni effetto alla mancata approvazione del bilancio di previsione</w:t>
      </w:r>
      <w:r w:rsidRPr="00515872">
        <w:rPr>
          <w:rFonts w:eastAsia="Times New Roman" w:cs="Tahoma"/>
          <w:szCs w:val="20"/>
          <w:lang w:eastAsia="it-IT"/>
        </w:rPr>
        <w:t>, con applicazione della procedura di commissariamento prevista dal c. 2 dell’art. 141 del TUEL.</w:t>
      </w:r>
    </w:p>
    <w:p w14:paraId="06E42DC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Fondamentale, nella verifica del mantenimento degli equilibri, è il ruolo dell’organo di revisione. Il D.L. n. 174/2011, introducendo nel TUEL l’art. 147-quinquies, ha previsto che il controllo sugli equilibri sia svolto sotto la direzione e il coordinamento del responsabile del servizio finanziario </w:t>
      </w:r>
      <w:r w:rsidRPr="00515872">
        <w:rPr>
          <w:rFonts w:eastAsia="Times New Roman" w:cs="Tahoma"/>
          <w:b/>
          <w:szCs w:val="20"/>
          <w:lang w:eastAsia="it-IT"/>
        </w:rPr>
        <w:t>mediante la vigilanza dell’organo di revisione</w:t>
      </w:r>
      <w:r w:rsidRPr="00515872">
        <w:rPr>
          <w:rFonts w:eastAsia="Times New Roman" w:cs="Tahoma"/>
          <w:szCs w:val="20"/>
          <w:lang w:eastAsia="it-IT"/>
        </w:rPr>
        <w:t>. Tale specifica previsione rafforza ed esplicita l’onere di controllo e verifica a carico dell’organo di revisione. A tal fine, è documento chiave il regolamento di contabilità che deve disciplinare la verifica degli equilibri. Si ritiene comunque fondamentale, in questo contesto, il costante monitoraggio sull’andamento delle entrate e delle spese.</w:t>
      </w:r>
    </w:p>
    <w:p w14:paraId="7ABCD7D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Secondo quanto affermato dal </w:t>
      </w:r>
      <w:r w:rsidR="00741EB6" w:rsidRPr="00515872">
        <w:rPr>
          <w:rFonts w:eastAsia="Times New Roman" w:cs="Tahoma"/>
          <w:szCs w:val="20"/>
          <w:lang w:eastAsia="it-IT"/>
        </w:rPr>
        <w:t>C.N.D.C.E.C., nel Principio di v</w:t>
      </w:r>
      <w:r w:rsidRPr="00515872">
        <w:rPr>
          <w:rFonts w:eastAsia="Times New Roman" w:cs="Tahoma"/>
          <w:szCs w:val="20"/>
          <w:lang w:eastAsia="it-IT"/>
        </w:rPr>
        <w:t>igilanz</w:t>
      </w:r>
      <w:r w:rsidR="00741EB6" w:rsidRPr="00515872">
        <w:rPr>
          <w:rFonts w:eastAsia="Times New Roman" w:cs="Tahoma"/>
          <w:szCs w:val="20"/>
          <w:lang w:eastAsia="it-IT"/>
        </w:rPr>
        <w:t>a e controllo dell’organo di r</w:t>
      </w:r>
      <w:r w:rsidRPr="00515872">
        <w:rPr>
          <w:rFonts w:eastAsia="Times New Roman" w:cs="Tahoma"/>
          <w:szCs w:val="20"/>
          <w:lang w:eastAsia="it-IT"/>
        </w:rPr>
        <w:t xml:space="preserve">evisione degli </w:t>
      </w:r>
      <w:r w:rsidR="00741EB6" w:rsidRPr="00515872">
        <w:rPr>
          <w:rFonts w:eastAsia="Times New Roman" w:cs="Tahoma"/>
          <w:szCs w:val="20"/>
          <w:lang w:eastAsia="it-IT"/>
        </w:rPr>
        <w:t>e</w:t>
      </w:r>
      <w:r w:rsidRPr="00515872">
        <w:rPr>
          <w:rFonts w:eastAsia="Times New Roman" w:cs="Tahoma"/>
          <w:szCs w:val="20"/>
          <w:lang w:eastAsia="it-IT"/>
        </w:rPr>
        <w:t xml:space="preserve">nti </w:t>
      </w:r>
      <w:r w:rsidR="00741EB6" w:rsidRPr="00515872">
        <w:rPr>
          <w:rFonts w:eastAsia="Times New Roman" w:cs="Tahoma"/>
          <w:szCs w:val="20"/>
          <w:lang w:eastAsia="it-IT"/>
        </w:rPr>
        <w:t>l</w:t>
      </w:r>
      <w:r w:rsidRPr="00515872">
        <w:rPr>
          <w:rFonts w:eastAsia="Times New Roman" w:cs="Tahoma"/>
          <w:szCs w:val="20"/>
          <w:lang w:eastAsia="it-IT"/>
        </w:rPr>
        <w:t>ocali n.</w:t>
      </w:r>
      <w:r w:rsidR="00773C69" w:rsidRPr="00515872">
        <w:rPr>
          <w:rFonts w:eastAsia="Times New Roman" w:cs="Tahoma"/>
          <w:szCs w:val="20"/>
          <w:lang w:eastAsia="it-IT"/>
        </w:rPr>
        <w:t>2</w:t>
      </w:r>
      <w:r w:rsidRPr="00515872">
        <w:rPr>
          <w:rFonts w:eastAsia="Times New Roman" w:cs="Tahoma"/>
          <w:szCs w:val="20"/>
          <w:lang w:eastAsia="it-IT"/>
        </w:rPr>
        <w:t xml:space="preserve">, </w:t>
      </w:r>
      <w:r w:rsidRPr="00515872">
        <w:rPr>
          <w:rFonts w:eastAsia="Times New Roman" w:cs="Tahoma"/>
          <w:b/>
          <w:i/>
          <w:szCs w:val="20"/>
          <w:lang w:eastAsia="it-IT"/>
        </w:rPr>
        <w:t>“Anche in caso in cui la proposta di deliberazione dia atto del permanere degli equilibri generali di bilancio, e quindi non si traduca in una variazione dello stesso, è necessario il parere dell’organo di revisione”</w:t>
      </w:r>
      <w:r w:rsidRPr="00515872">
        <w:rPr>
          <w:rFonts w:eastAsia="Times New Roman" w:cs="Tahoma"/>
          <w:szCs w:val="20"/>
          <w:lang w:eastAsia="it-IT"/>
        </w:rPr>
        <w:t>.</w:t>
      </w:r>
    </w:p>
    <w:p w14:paraId="39B28923" w14:textId="77777777" w:rsidR="00277513" w:rsidRPr="00515872" w:rsidRDefault="00277513" w:rsidP="00297A21">
      <w:pPr>
        <w:pStyle w:val="Paragrafo"/>
        <w:rPr>
          <w:highlight w:val="yellow"/>
        </w:rPr>
      </w:pPr>
      <w:bookmarkStart w:id="189" w:name="_Toc521317114"/>
    </w:p>
    <w:p w14:paraId="1143D8C3" w14:textId="77777777" w:rsidR="009518AF" w:rsidRPr="00515872" w:rsidRDefault="00AD2719" w:rsidP="00297A21">
      <w:pPr>
        <w:pStyle w:val="Paragrafo"/>
      </w:pPr>
      <w:bookmarkStart w:id="190" w:name="_Toc95912304"/>
      <w:r w:rsidRPr="00515872">
        <w:lastRenderedPageBreak/>
        <w:t>6</w:t>
      </w:r>
      <w:r w:rsidR="009518AF" w:rsidRPr="00515872">
        <w:t>.7 Relazione sulla proposta di deliberazione consiliare di approvazione del rendiconto della gestione e sullo schema di rendiconto</w:t>
      </w:r>
      <w:bookmarkEnd w:id="189"/>
      <w:bookmarkEnd w:id="190"/>
    </w:p>
    <w:p w14:paraId="72DF6A8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Altro atto di indubbia centralità nell’attività dell’organo di revisione è la relazione sulla proposta consiliare di approvazione del rendiconto della gestione e sullo schema di rendiconto. La relazione deve essere presentata entro il termine previsto dal regolamento di contabilità, comunque non inferiore a 20 giorni decorrenti dalla trasmissione della stessa proposta approvata dall’organo esecutivo e deve essere messa a </w:t>
      </w:r>
      <w:r w:rsidRPr="00515872">
        <w:rPr>
          <w:rFonts w:cs="Tahoma"/>
          <w:szCs w:val="20"/>
        </w:rPr>
        <w:t>disposizione del consiglio almeno 20 giorni prima dell’inizio della sessione consiliare di esame ed approvazione</w:t>
      </w:r>
      <w:r w:rsidRPr="00515872">
        <w:rPr>
          <w:rFonts w:eastAsia="Times New Roman" w:cs="Tahoma"/>
          <w:szCs w:val="20"/>
          <w:lang w:eastAsia="it-IT"/>
        </w:rPr>
        <w:t>. Come già accennato</w:t>
      </w:r>
      <w:r w:rsidR="006A2087" w:rsidRPr="00515872">
        <w:rPr>
          <w:rFonts w:eastAsia="Times New Roman" w:cs="Tahoma"/>
          <w:szCs w:val="20"/>
          <w:lang w:eastAsia="it-IT"/>
        </w:rPr>
        <w:t xml:space="preserve">, </w:t>
      </w:r>
      <w:r w:rsidRPr="00515872">
        <w:rPr>
          <w:rFonts w:eastAsia="Times New Roman" w:cs="Tahoma"/>
          <w:szCs w:val="20"/>
          <w:lang w:eastAsia="it-IT"/>
        </w:rPr>
        <w:t xml:space="preserve">il mancato rispetto di tale scadenza </w:t>
      </w:r>
      <w:r w:rsidRPr="00515872">
        <w:rPr>
          <w:rFonts w:eastAsia="Times New Roman" w:cs="Tahoma"/>
          <w:b/>
          <w:szCs w:val="20"/>
          <w:lang w:eastAsia="it-IT"/>
        </w:rPr>
        <w:t>può essere giusta causa di revoca del revisore</w:t>
      </w:r>
      <w:r w:rsidRPr="00515872">
        <w:rPr>
          <w:rStyle w:val="Rimandonotaapidipagina"/>
          <w:rFonts w:eastAsia="Times New Roman" w:cs="Tahoma"/>
          <w:b/>
          <w:szCs w:val="20"/>
          <w:lang w:eastAsia="it-IT"/>
        </w:rPr>
        <w:footnoteReference w:id="94"/>
      </w:r>
      <w:r w:rsidRPr="00515872">
        <w:rPr>
          <w:rFonts w:eastAsia="Times New Roman" w:cs="Tahoma"/>
          <w:szCs w:val="20"/>
          <w:lang w:eastAsia="it-IT"/>
        </w:rPr>
        <w:t>.</w:t>
      </w:r>
    </w:p>
    <w:p w14:paraId="0006DE5E" w14:textId="77777777" w:rsidR="009518AF" w:rsidRPr="00515872" w:rsidRDefault="009518AF" w:rsidP="00741EB6">
      <w:pPr>
        <w:spacing w:after="0" w:line="360" w:lineRule="auto"/>
        <w:jc w:val="both"/>
        <w:rPr>
          <w:rFonts w:eastAsia="Times New Roman" w:cs="Tahoma"/>
          <w:szCs w:val="20"/>
          <w:lang w:eastAsia="it-IT"/>
        </w:rPr>
      </w:pPr>
      <w:r w:rsidRPr="00515872">
        <w:rPr>
          <w:rFonts w:eastAsia="Times New Roman" w:cs="Tahoma"/>
          <w:szCs w:val="20"/>
          <w:lang w:eastAsia="it-IT"/>
        </w:rPr>
        <w:t xml:space="preserve">Con </w:t>
      </w:r>
      <w:r w:rsidR="006A2087" w:rsidRPr="00515872">
        <w:rPr>
          <w:rFonts w:eastAsia="Times New Roman" w:cs="Tahoma"/>
          <w:szCs w:val="20"/>
          <w:lang w:eastAsia="it-IT"/>
        </w:rPr>
        <w:t xml:space="preserve">la relazione </w:t>
      </w:r>
      <w:r w:rsidRPr="00515872">
        <w:rPr>
          <w:rFonts w:eastAsia="Times New Roman" w:cs="Tahoma"/>
          <w:szCs w:val="20"/>
          <w:lang w:eastAsia="it-IT"/>
        </w:rPr>
        <w:t>sul rendiconto l’organo di revisione esplica un’ulteriore funzione collaborativa e propositiva. La relazione contiene infatti:</w:t>
      </w:r>
    </w:p>
    <w:p w14:paraId="228D7279" w14:textId="77777777" w:rsidR="009518AF" w:rsidRPr="00515872" w:rsidRDefault="009518AF" w:rsidP="00D65838">
      <w:pPr>
        <w:pStyle w:val="Paragrafoelenco"/>
        <w:numPr>
          <w:ilvl w:val="0"/>
          <w:numId w:val="76"/>
        </w:numPr>
        <w:spacing w:line="360" w:lineRule="auto"/>
        <w:jc w:val="both"/>
        <w:rPr>
          <w:rFonts w:eastAsia="Times New Roman" w:cs="Tahoma"/>
          <w:b/>
          <w:szCs w:val="20"/>
          <w:lang w:eastAsia="it-IT"/>
        </w:rPr>
      </w:pPr>
      <w:r w:rsidRPr="00515872">
        <w:rPr>
          <w:rFonts w:eastAsia="Times New Roman" w:cs="Tahoma"/>
          <w:b/>
          <w:szCs w:val="20"/>
          <w:lang w:eastAsia="it-IT"/>
        </w:rPr>
        <w:t>l’attestazione dei revisori della corrispondenza del rendiconto alle risultanze della gestione e del rispetto dei principi contabili;</w:t>
      </w:r>
    </w:p>
    <w:p w14:paraId="276D59E3" w14:textId="77777777" w:rsidR="009518AF" w:rsidRPr="00515872" w:rsidRDefault="009518AF" w:rsidP="00D65838">
      <w:pPr>
        <w:pStyle w:val="Paragrafoelenco"/>
        <w:numPr>
          <w:ilvl w:val="0"/>
          <w:numId w:val="76"/>
        </w:numPr>
        <w:spacing w:line="360" w:lineRule="auto"/>
        <w:jc w:val="both"/>
        <w:rPr>
          <w:rFonts w:eastAsia="Times New Roman" w:cs="Tahoma"/>
          <w:b/>
          <w:szCs w:val="20"/>
          <w:lang w:eastAsia="it-IT"/>
        </w:rPr>
      </w:pPr>
      <w:r w:rsidRPr="00515872">
        <w:rPr>
          <w:rFonts w:eastAsia="Times New Roman" w:cs="Tahoma"/>
          <w:b/>
          <w:szCs w:val="20"/>
          <w:lang w:eastAsia="it-IT"/>
        </w:rPr>
        <w:t>rilievi, considerazioni e proposte tendenti al conseguimento di efficienza, produttività e economicità della gestione.</w:t>
      </w:r>
    </w:p>
    <w:p w14:paraId="291E16FC" w14:textId="77777777" w:rsidR="009518AF" w:rsidRPr="00515872" w:rsidRDefault="009518AF" w:rsidP="009518AF">
      <w:pPr>
        <w:spacing w:line="360" w:lineRule="auto"/>
        <w:jc w:val="both"/>
        <w:rPr>
          <w:rFonts w:cs="Tahoma"/>
          <w:szCs w:val="20"/>
        </w:rPr>
      </w:pPr>
      <w:r w:rsidRPr="00515872">
        <w:rPr>
          <w:rFonts w:cs="Tahoma"/>
          <w:szCs w:val="20"/>
        </w:rPr>
        <w:t xml:space="preserve">Nella relazione l’organo di revisione deve </w:t>
      </w:r>
      <w:r w:rsidRPr="00515872">
        <w:rPr>
          <w:rFonts w:cs="Tahoma"/>
          <w:b/>
          <w:szCs w:val="20"/>
        </w:rPr>
        <w:t xml:space="preserve">dare atto di tutte le verifiche compiute </w:t>
      </w:r>
      <w:r w:rsidRPr="00515872">
        <w:rPr>
          <w:rFonts w:cs="Tahoma"/>
          <w:szCs w:val="20"/>
        </w:rPr>
        <w:t>sulla contabilità finanziaria, economico-patrimoniale, sulla cassa, sui conti degli agenti contabili e dei consegnatari di beni, sul rispetto dei vincoli di spesa, sui vincoli di finanza pubblica, sull’esistenza di debiti fuori bilancio, sui rapporti di debito e credito con le società partecipate.</w:t>
      </w:r>
    </w:p>
    <w:p w14:paraId="026479E6" w14:textId="77777777" w:rsidR="009518AF" w:rsidRPr="00515872" w:rsidRDefault="009518AF" w:rsidP="009518AF">
      <w:pPr>
        <w:spacing w:line="360" w:lineRule="auto"/>
        <w:jc w:val="both"/>
        <w:rPr>
          <w:rFonts w:cs="Tahoma"/>
          <w:szCs w:val="20"/>
        </w:rPr>
      </w:pPr>
      <w:r w:rsidRPr="00515872">
        <w:rPr>
          <w:rFonts w:cs="Tahoma"/>
          <w:szCs w:val="20"/>
        </w:rPr>
        <w:t>La relazione al rendiconto si sostanzia in un giudizio che somma le funzioni di vigilanza, collaborazione e referto.</w:t>
      </w:r>
    </w:p>
    <w:p w14:paraId="63A51072" w14:textId="77777777" w:rsidR="009518AF" w:rsidRPr="00515872" w:rsidRDefault="009518AF" w:rsidP="009518AF">
      <w:pPr>
        <w:autoSpaceDE w:val="0"/>
        <w:autoSpaceDN w:val="0"/>
        <w:adjustRightInd w:val="0"/>
        <w:spacing w:line="360" w:lineRule="auto"/>
        <w:ind w:firstLine="1"/>
        <w:jc w:val="both"/>
        <w:rPr>
          <w:rFonts w:cs="Tahoma"/>
          <w:color w:val="000000"/>
          <w:szCs w:val="20"/>
        </w:rPr>
      </w:pPr>
      <w:r w:rsidRPr="00515872">
        <w:rPr>
          <w:rFonts w:cs="Tahoma"/>
          <w:color w:val="000000"/>
          <w:szCs w:val="20"/>
        </w:rPr>
        <w:t>L’organo consiliare dell’ente, in sede di deliberazione del rendiconto</w:t>
      </w:r>
      <w:r w:rsidR="006A2087" w:rsidRPr="00515872">
        <w:rPr>
          <w:rFonts w:cs="Tahoma"/>
          <w:color w:val="000000"/>
          <w:szCs w:val="20"/>
        </w:rPr>
        <w:t>,</w:t>
      </w:r>
      <w:r w:rsidRPr="00515872">
        <w:rPr>
          <w:rFonts w:cs="Tahoma"/>
          <w:color w:val="000000"/>
          <w:szCs w:val="20"/>
        </w:rPr>
        <w:t xml:space="preserve"> deve tenere motivatamente conto della relazione dell’organo di revisione. </w:t>
      </w:r>
    </w:p>
    <w:p w14:paraId="4E74BF7B" w14:textId="77777777" w:rsidR="00682E44" w:rsidRPr="00515872" w:rsidRDefault="00682E44" w:rsidP="00741EB6">
      <w:pPr>
        <w:autoSpaceDE w:val="0"/>
        <w:autoSpaceDN w:val="0"/>
        <w:adjustRightInd w:val="0"/>
        <w:spacing w:after="0" w:line="360" w:lineRule="auto"/>
        <w:jc w:val="both"/>
        <w:rPr>
          <w:rFonts w:cs="Tahoma"/>
          <w:color w:val="000000"/>
          <w:szCs w:val="20"/>
        </w:rPr>
      </w:pPr>
      <w:r w:rsidRPr="00515872">
        <w:rPr>
          <w:rFonts w:cs="Tahoma"/>
          <w:color w:val="000000"/>
          <w:szCs w:val="20"/>
        </w:rPr>
        <w:t xml:space="preserve">Sul piano dei controlli tecnico-contabili, secondo quanto esposto dai </w:t>
      </w:r>
      <w:r w:rsidR="00741EB6" w:rsidRPr="00515872">
        <w:rPr>
          <w:rFonts w:cs="Tahoma"/>
          <w:color w:val="000000"/>
          <w:szCs w:val="20"/>
        </w:rPr>
        <w:t>p</w:t>
      </w:r>
      <w:r w:rsidRPr="00515872">
        <w:rPr>
          <w:rFonts w:cs="Tahoma"/>
          <w:color w:val="000000"/>
          <w:szCs w:val="20"/>
        </w:rPr>
        <w:t xml:space="preserve">rincipi di </w:t>
      </w:r>
      <w:r w:rsidR="00741EB6" w:rsidRPr="00515872">
        <w:rPr>
          <w:rFonts w:cs="Tahoma"/>
          <w:color w:val="000000"/>
          <w:szCs w:val="20"/>
        </w:rPr>
        <w:t>v</w:t>
      </w:r>
      <w:r w:rsidRPr="00515872">
        <w:rPr>
          <w:rFonts w:cs="Tahoma"/>
          <w:color w:val="000000"/>
          <w:szCs w:val="20"/>
        </w:rPr>
        <w:t>igilanza, l’attività dell’organo di revisione si sviluppa attraverso tre direttrici:</w:t>
      </w:r>
    </w:p>
    <w:p w14:paraId="6FE2A8E6" w14:textId="77777777" w:rsidR="00682E44" w:rsidRPr="00515872" w:rsidRDefault="00682E44" w:rsidP="00D65838">
      <w:pPr>
        <w:pStyle w:val="Paragrafoelenco"/>
        <w:numPr>
          <w:ilvl w:val="0"/>
          <w:numId w:val="221"/>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controllo di completezza della documentazione;</w:t>
      </w:r>
    </w:p>
    <w:p w14:paraId="657669E0" w14:textId="77777777" w:rsidR="00682E44" w:rsidRPr="00515872" w:rsidRDefault="00682E44" w:rsidP="00D65838">
      <w:pPr>
        <w:pStyle w:val="Paragrafoelenco"/>
        <w:numPr>
          <w:ilvl w:val="0"/>
          <w:numId w:val="221"/>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t>controllo di corrispondenza e rispetto delle regole e dei principi contabili;</w:t>
      </w:r>
    </w:p>
    <w:p w14:paraId="0AC8ACFD" w14:textId="77777777" w:rsidR="00682E44" w:rsidRPr="00515872" w:rsidRDefault="00682E44" w:rsidP="00D65838">
      <w:pPr>
        <w:pStyle w:val="Paragrafoelenco"/>
        <w:numPr>
          <w:ilvl w:val="0"/>
          <w:numId w:val="221"/>
        </w:numPr>
        <w:autoSpaceDE w:val="0"/>
        <w:autoSpaceDN w:val="0"/>
        <w:adjustRightInd w:val="0"/>
        <w:spacing w:line="360" w:lineRule="auto"/>
        <w:ind w:left="284" w:hanging="284"/>
        <w:jc w:val="both"/>
        <w:rPr>
          <w:rFonts w:cs="Tahoma"/>
          <w:color w:val="000000"/>
          <w:szCs w:val="20"/>
        </w:rPr>
      </w:pPr>
      <w:r w:rsidRPr="00515872">
        <w:rPr>
          <w:rFonts w:cs="Tahoma"/>
          <w:color w:val="000000"/>
          <w:szCs w:val="20"/>
        </w:rPr>
        <w:lastRenderedPageBreak/>
        <w:t>attestazione della corrispondenza ai risultati.</w:t>
      </w:r>
    </w:p>
    <w:p w14:paraId="4FA12DFE" w14:textId="77777777" w:rsidR="007D1579" w:rsidRPr="00515872" w:rsidRDefault="00682E44" w:rsidP="009518AF">
      <w:pPr>
        <w:spacing w:after="0" w:line="360" w:lineRule="auto"/>
        <w:jc w:val="both"/>
        <w:rPr>
          <w:rFonts w:eastAsia="Times New Roman" w:cs="Tahoma"/>
          <w:szCs w:val="20"/>
          <w:lang w:eastAsia="it-IT"/>
        </w:rPr>
      </w:pPr>
      <w:r w:rsidRPr="00515872">
        <w:rPr>
          <w:rFonts w:eastAsia="Times New Roman" w:cs="Tahoma"/>
          <w:szCs w:val="20"/>
          <w:lang w:eastAsia="it-IT"/>
        </w:rPr>
        <w:t>Per quanto attiene il primo punto</w:t>
      </w:r>
      <w:r w:rsidR="007D1579" w:rsidRPr="00515872">
        <w:rPr>
          <w:rFonts w:eastAsia="Times New Roman" w:cs="Tahoma"/>
          <w:szCs w:val="20"/>
          <w:lang w:eastAsia="it-IT"/>
        </w:rPr>
        <w:t xml:space="preserve">, </w:t>
      </w:r>
      <w:r w:rsidRPr="00515872">
        <w:rPr>
          <w:rFonts w:eastAsia="Times New Roman" w:cs="Tahoma"/>
          <w:szCs w:val="20"/>
          <w:lang w:eastAsia="it-IT"/>
        </w:rPr>
        <w:t>i</w:t>
      </w:r>
      <w:r w:rsidR="007D1579" w:rsidRPr="00515872">
        <w:rPr>
          <w:rFonts w:eastAsia="Times New Roman" w:cs="Tahoma"/>
          <w:szCs w:val="20"/>
          <w:lang w:eastAsia="it-IT"/>
        </w:rPr>
        <w:t xml:space="preserve"> revis</w:t>
      </w:r>
      <w:r w:rsidRPr="00515872">
        <w:rPr>
          <w:rFonts w:eastAsia="Times New Roman" w:cs="Tahoma"/>
          <w:szCs w:val="20"/>
          <w:lang w:eastAsia="it-IT"/>
        </w:rPr>
        <w:t>ori devono</w:t>
      </w:r>
      <w:r w:rsidR="007D1579" w:rsidRPr="00515872">
        <w:rPr>
          <w:rFonts w:eastAsia="Times New Roman" w:cs="Tahoma"/>
          <w:szCs w:val="20"/>
          <w:lang w:eastAsia="it-IT"/>
        </w:rPr>
        <w:t xml:space="preserve"> verificare la completezza della</w:t>
      </w:r>
      <w:r w:rsidR="00BE0B52" w:rsidRPr="00515872">
        <w:rPr>
          <w:rFonts w:eastAsia="Times New Roman" w:cs="Tahoma"/>
          <w:szCs w:val="20"/>
          <w:lang w:eastAsia="it-IT"/>
        </w:rPr>
        <w:t xml:space="preserve"> </w:t>
      </w:r>
      <w:r w:rsidR="007D1579" w:rsidRPr="00515872">
        <w:rPr>
          <w:rFonts w:eastAsia="Times New Roman" w:cs="Tahoma"/>
          <w:szCs w:val="20"/>
          <w:lang w:eastAsia="it-IT"/>
        </w:rPr>
        <w:t>documentazione rispetto agli allegati previsti dall’art. 11, c. 4, D.Lgs. n. 118/2011 e a quelli previsti dall’art. 227, c. 5 del TUEL, oltre agli altr</w:t>
      </w:r>
      <w:r w:rsidR="00741EB6" w:rsidRPr="00515872">
        <w:rPr>
          <w:rFonts w:eastAsia="Times New Roman" w:cs="Tahoma"/>
          <w:szCs w:val="20"/>
          <w:lang w:eastAsia="it-IT"/>
        </w:rPr>
        <w:t>i allegati previsti dalla legge,</w:t>
      </w:r>
      <w:r w:rsidRPr="00515872">
        <w:rPr>
          <w:rFonts w:eastAsia="Times New Roman" w:cs="Tahoma"/>
          <w:szCs w:val="20"/>
          <w:lang w:eastAsia="it-IT"/>
        </w:rPr>
        <w:t xml:space="preserve"> </w:t>
      </w:r>
      <w:r w:rsidR="00741EB6" w:rsidRPr="00515872">
        <w:rPr>
          <w:rFonts w:eastAsia="Times New Roman" w:cs="Tahoma"/>
          <w:szCs w:val="20"/>
          <w:lang w:eastAsia="it-IT"/>
        </w:rPr>
        <w:t>t</w:t>
      </w:r>
      <w:r w:rsidRPr="00515872">
        <w:rPr>
          <w:rFonts w:eastAsia="Times New Roman" w:cs="Tahoma"/>
          <w:szCs w:val="20"/>
          <w:lang w:eastAsia="it-IT"/>
        </w:rPr>
        <w:t xml:space="preserve">enendo conto che nel corso degli anni varie norme hanno </w:t>
      </w:r>
      <w:r w:rsidR="00675105" w:rsidRPr="00515872">
        <w:rPr>
          <w:rFonts w:eastAsia="Times New Roman" w:cs="Tahoma"/>
          <w:szCs w:val="20"/>
          <w:lang w:eastAsia="it-IT"/>
        </w:rPr>
        <w:t xml:space="preserve">via via </w:t>
      </w:r>
      <w:r w:rsidR="00741EB6" w:rsidRPr="00515872">
        <w:rPr>
          <w:rFonts w:eastAsia="Times New Roman" w:cs="Tahoma"/>
          <w:szCs w:val="20"/>
          <w:lang w:eastAsia="it-IT"/>
        </w:rPr>
        <w:t xml:space="preserve">previsto nuovi </w:t>
      </w:r>
      <w:r w:rsidRPr="00515872">
        <w:rPr>
          <w:rFonts w:eastAsia="Times New Roman" w:cs="Tahoma"/>
          <w:szCs w:val="20"/>
          <w:lang w:eastAsia="it-IT"/>
        </w:rPr>
        <w:t xml:space="preserve">documenti da allegare. Inoltre, lo statuto e il regolamento di contabilità dell’ente possono prevedere ulteriori </w:t>
      </w:r>
      <w:r w:rsidR="00741EB6" w:rsidRPr="00515872">
        <w:rPr>
          <w:rFonts w:eastAsia="Times New Roman" w:cs="Tahoma"/>
          <w:szCs w:val="20"/>
          <w:lang w:eastAsia="it-IT"/>
        </w:rPr>
        <w:t>allegati</w:t>
      </w:r>
      <w:r w:rsidRPr="00515872">
        <w:rPr>
          <w:rFonts w:eastAsia="Times New Roman" w:cs="Tahoma"/>
          <w:szCs w:val="20"/>
          <w:lang w:eastAsia="it-IT"/>
        </w:rPr>
        <w:t>.</w:t>
      </w:r>
    </w:p>
    <w:p w14:paraId="756E3912" w14:textId="77777777" w:rsidR="007D1579" w:rsidRPr="00515872" w:rsidRDefault="007D1579"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In base alle indicazioni fornite dal principio di vigilanza n. 5, </w:t>
      </w:r>
      <w:r w:rsidR="00675105" w:rsidRPr="00515872">
        <w:rPr>
          <w:rFonts w:eastAsia="Times New Roman" w:cs="Tahoma"/>
          <w:szCs w:val="20"/>
          <w:lang w:eastAsia="it-IT"/>
        </w:rPr>
        <w:t>la verifica del rispetto delle regole e dei principi contabili si sostanzia nei</w:t>
      </w:r>
      <w:r w:rsidRPr="00515872">
        <w:rPr>
          <w:rFonts w:eastAsia="Times New Roman" w:cs="Tahoma"/>
          <w:szCs w:val="20"/>
          <w:lang w:eastAsia="it-IT"/>
        </w:rPr>
        <w:t xml:space="preserve"> seguenti controlli:</w:t>
      </w:r>
    </w:p>
    <w:p w14:paraId="2090528A" w14:textId="77777777" w:rsidR="009518AF"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regolarità delle procedure per la contabilizzazione delle entrate e delle spese in conformità alle diposizioni di legge, ai principi contabili e alle norme regolamentari e in particolare il rispetto dei principi contabili della competenza finanziaria potenziata e della competenza economico-patrimoniale allegati al D.Lgs. n. 118/2011</w:t>
      </w:r>
      <w:r w:rsidR="009518AF" w:rsidRPr="00515872">
        <w:rPr>
          <w:rFonts w:eastAsia="Times New Roman" w:cs="Tahoma"/>
          <w:szCs w:val="20"/>
          <w:lang w:eastAsia="it-IT"/>
        </w:rPr>
        <w:t>;</w:t>
      </w:r>
    </w:p>
    <w:p w14:paraId="5BBB3A4B" w14:textId="77777777" w:rsidR="009518AF"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corrispondenza dei risultati esposti nel conto del bilancio per ogni tipologia di entrata e programma di spesa con quelli risultanti dalle scritture contabili</w:t>
      </w:r>
      <w:r w:rsidR="009518AF" w:rsidRPr="00515872">
        <w:rPr>
          <w:rFonts w:eastAsia="Times New Roman" w:cs="Tahoma"/>
          <w:szCs w:val="20"/>
          <w:lang w:eastAsia="it-IT"/>
        </w:rPr>
        <w:t>;</w:t>
      </w:r>
    </w:p>
    <w:p w14:paraId="38B837FF" w14:textId="77777777" w:rsidR="009518AF"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conformità alle disposizioni di legge</w:t>
      </w:r>
      <w:r w:rsidR="009518AF" w:rsidRPr="00515872">
        <w:rPr>
          <w:rFonts w:eastAsia="Times New Roman" w:cs="Tahoma"/>
          <w:szCs w:val="20"/>
          <w:lang w:eastAsia="it-IT"/>
        </w:rPr>
        <w:t>;</w:t>
      </w:r>
    </w:p>
    <w:p w14:paraId="0E4908EE" w14:textId="77777777" w:rsidR="007D1579"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equivalenza delle previsioni e degli accertamenti di entrata con le previsioni e impegni di spesa per i capitoli relativi ai servizi per conto terzi e partite di giro;</w:t>
      </w:r>
    </w:p>
    <w:p w14:paraId="22E85D64" w14:textId="77777777" w:rsidR="007D1579"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corrispondenza del conto del tesoriere con gli incassi e pagamenti risultanti dal conto del bilancio;</w:t>
      </w:r>
    </w:p>
    <w:p w14:paraId="47539161" w14:textId="77777777" w:rsidR="0093333D" w:rsidRPr="00515872" w:rsidRDefault="007D157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 xml:space="preserve">inserimento nel conto del bilancio dei residui attivi e passivi risultanti dal </w:t>
      </w:r>
      <w:r w:rsidR="0093333D" w:rsidRPr="00515872">
        <w:rPr>
          <w:rFonts w:eastAsia="Times New Roman" w:cs="Tahoma"/>
          <w:szCs w:val="20"/>
          <w:lang w:eastAsia="it-IT"/>
        </w:rPr>
        <w:t>ri</w:t>
      </w:r>
      <w:r w:rsidRPr="00515872">
        <w:rPr>
          <w:rFonts w:eastAsia="Times New Roman" w:cs="Tahoma"/>
          <w:szCs w:val="20"/>
          <w:lang w:eastAsia="it-IT"/>
        </w:rPr>
        <w:t xml:space="preserve">accertamento </w:t>
      </w:r>
      <w:r w:rsidR="0093333D" w:rsidRPr="00515872">
        <w:rPr>
          <w:rFonts w:eastAsia="Times New Roman" w:cs="Tahoma"/>
          <w:szCs w:val="20"/>
          <w:lang w:eastAsia="it-IT"/>
        </w:rPr>
        <w:t>ordinario;</w:t>
      </w:r>
    </w:p>
    <w:p w14:paraId="6BFD1E16" w14:textId="77777777" w:rsidR="0093333D" w:rsidRPr="00515872" w:rsidRDefault="0093333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corrett</w:t>
      </w:r>
      <w:r w:rsidR="00675105" w:rsidRPr="00515872">
        <w:rPr>
          <w:rFonts w:eastAsia="Times New Roman" w:cs="Tahoma"/>
          <w:szCs w:val="20"/>
          <w:lang w:eastAsia="it-IT"/>
        </w:rPr>
        <w:t>ezza</w:t>
      </w:r>
      <w:r w:rsidRPr="00515872">
        <w:rPr>
          <w:rFonts w:eastAsia="Times New Roman" w:cs="Tahoma"/>
          <w:szCs w:val="20"/>
          <w:lang w:eastAsia="it-IT"/>
        </w:rPr>
        <w:t xml:space="preserve"> </w:t>
      </w:r>
      <w:r w:rsidR="00BE0B52" w:rsidRPr="00515872">
        <w:rPr>
          <w:rFonts w:eastAsia="Times New Roman" w:cs="Tahoma"/>
          <w:szCs w:val="20"/>
          <w:lang w:eastAsia="it-IT"/>
        </w:rPr>
        <w:t xml:space="preserve">della </w:t>
      </w:r>
      <w:r w:rsidRPr="00515872">
        <w:rPr>
          <w:rFonts w:eastAsia="Times New Roman" w:cs="Tahoma"/>
          <w:szCs w:val="20"/>
          <w:lang w:eastAsia="it-IT"/>
        </w:rPr>
        <w:t>rappresentazione dei riepiloghi e dei risultati di cassa e di competenza;</w:t>
      </w:r>
    </w:p>
    <w:p w14:paraId="687828C0" w14:textId="77777777" w:rsidR="0093333D" w:rsidRPr="00515872" w:rsidRDefault="0093333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correttezza nella gestione degli agenti contabili;</w:t>
      </w:r>
    </w:p>
    <w:p w14:paraId="64C04A34" w14:textId="77777777" w:rsidR="0093333D" w:rsidRPr="00515872" w:rsidRDefault="0093333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regolarità nella tenuta degli inventari;</w:t>
      </w:r>
    </w:p>
    <w:p w14:paraId="3FEBA1C7" w14:textId="77777777" w:rsidR="0093333D" w:rsidRPr="00515872" w:rsidRDefault="0093333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corrett</w:t>
      </w:r>
      <w:r w:rsidR="00BE0B52" w:rsidRPr="00515872">
        <w:rPr>
          <w:rFonts w:eastAsia="Times New Roman" w:cs="Tahoma"/>
          <w:szCs w:val="20"/>
          <w:lang w:eastAsia="it-IT"/>
        </w:rPr>
        <w:t xml:space="preserve">ezza </w:t>
      </w:r>
      <w:r w:rsidR="00675105" w:rsidRPr="00515872">
        <w:rPr>
          <w:rFonts w:eastAsia="Times New Roman" w:cs="Tahoma"/>
          <w:szCs w:val="20"/>
          <w:lang w:eastAsia="it-IT"/>
        </w:rPr>
        <w:t xml:space="preserve">e completezza </w:t>
      </w:r>
      <w:r w:rsidR="00BE0B52" w:rsidRPr="00515872">
        <w:rPr>
          <w:rFonts w:eastAsia="Times New Roman" w:cs="Tahoma"/>
          <w:szCs w:val="20"/>
          <w:lang w:eastAsia="it-IT"/>
        </w:rPr>
        <w:t>della</w:t>
      </w:r>
      <w:r w:rsidRPr="00515872">
        <w:rPr>
          <w:rFonts w:eastAsia="Times New Roman" w:cs="Tahoma"/>
          <w:szCs w:val="20"/>
          <w:lang w:eastAsia="it-IT"/>
        </w:rPr>
        <w:t xml:space="preserve"> redazione della relazione sulla gestione;</w:t>
      </w:r>
    </w:p>
    <w:p w14:paraId="4DAA36EB" w14:textId="77777777" w:rsidR="0093333D" w:rsidRPr="00515872" w:rsidRDefault="0093333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rispetto degli obblighi in materia di dichiarazioni annuali ai fini I</w:t>
      </w:r>
      <w:r w:rsidR="00741EB6" w:rsidRPr="00515872">
        <w:rPr>
          <w:rFonts w:eastAsia="Times New Roman" w:cs="Tahoma"/>
          <w:szCs w:val="20"/>
          <w:lang w:eastAsia="it-IT"/>
        </w:rPr>
        <w:t>VA</w:t>
      </w:r>
      <w:r w:rsidRPr="00515872">
        <w:rPr>
          <w:rFonts w:eastAsia="Times New Roman" w:cs="Tahoma"/>
          <w:szCs w:val="20"/>
          <w:lang w:eastAsia="it-IT"/>
        </w:rPr>
        <w:t>, I</w:t>
      </w:r>
      <w:r w:rsidR="00741EB6" w:rsidRPr="00515872">
        <w:rPr>
          <w:rFonts w:eastAsia="Times New Roman" w:cs="Tahoma"/>
          <w:szCs w:val="20"/>
          <w:lang w:eastAsia="it-IT"/>
        </w:rPr>
        <w:t>RAP</w:t>
      </w:r>
      <w:r w:rsidRPr="00515872">
        <w:rPr>
          <w:rFonts w:eastAsia="Times New Roman" w:cs="Tahoma"/>
          <w:szCs w:val="20"/>
          <w:lang w:eastAsia="it-IT"/>
        </w:rPr>
        <w:t xml:space="preserve"> e sostituti di imposta.</w:t>
      </w:r>
    </w:p>
    <w:p w14:paraId="1609B73B" w14:textId="77777777" w:rsidR="002E2501" w:rsidRPr="00515872" w:rsidRDefault="002E2501" w:rsidP="00B879C2">
      <w:pPr>
        <w:spacing w:after="0" w:line="360" w:lineRule="auto"/>
        <w:jc w:val="both"/>
        <w:rPr>
          <w:rFonts w:eastAsia="Times New Roman" w:cs="Tahoma"/>
          <w:szCs w:val="20"/>
          <w:lang w:eastAsia="it-IT"/>
        </w:rPr>
      </w:pPr>
      <w:r w:rsidRPr="00515872">
        <w:rPr>
          <w:rFonts w:eastAsia="Times New Roman" w:cs="Tahoma"/>
          <w:szCs w:val="20"/>
          <w:lang w:eastAsia="it-IT"/>
        </w:rPr>
        <w:t>I controlli relativi ai risultati gestionali devono interessare:</w:t>
      </w:r>
    </w:p>
    <w:p w14:paraId="0DC70E74"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risultato della gestione di cassa</w:t>
      </w:r>
      <w:r w:rsidR="00717F11" w:rsidRPr="00515872">
        <w:rPr>
          <w:rFonts w:eastAsia="Times New Roman" w:cs="Tahoma"/>
          <w:szCs w:val="20"/>
          <w:lang w:eastAsia="it-IT"/>
        </w:rPr>
        <w:t>, con distinzione della cassa vincolata e conciliazione con i conti della tesoreria</w:t>
      </w:r>
      <w:r w:rsidRPr="00515872">
        <w:rPr>
          <w:rFonts w:eastAsia="Times New Roman" w:cs="Tahoma"/>
          <w:szCs w:val="20"/>
          <w:lang w:eastAsia="it-IT"/>
        </w:rPr>
        <w:t>;</w:t>
      </w:r>
    </w:p>
    <w:p w14:paraId="28823E93"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risultato della gestione finanziaria di competenza;</w:t>
      </w:r>
    </w:p>
    <w:p w14:paraId="27A75D5A"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gli equilibri di bilancio</w:t>
      </w:r>
      <w:r w:rsidR="00717F11" w:rsidRPr="00515872">
        <w:rPr>
          <w:rFonts w:eastAsia="Times New Roman" w:cs="Tahoma"/>
          <w:szCs w:val="20"/>
          <w:lang w:eastAsia="it-IT"/>
        </w:rPr>
        <w:t>, di parte corrente, parte capitale e equilibrio finale</w:t>
      </w:r>
      <w:r w:rsidRPr="00515872">
        <w:rPr>
          <w:rFonts w:eastAsia="Times New Roman" w:cs="Tahoma"/>
          <w:szCs w:val="20"/>
          <w:lang w:eastAsia="it-IT"/>
        </w:rPr>
        <w:t>;</w:t>
      </w:r>
    </w:p>
    <w:p w14:paraId="5AB51844"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risultato di amministrazione e la sua suddivisione;</w:t>
      </w:r>
    </w:p>
    <w:p w14:paraId="7070C8FC"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l’esigibilità dei residui attivi ai fini del</w:t>
      </w:r>
      <w:r w:rsidR="00717F11" w:rsidRPr="00515872">
        <w:rPr>
          <w:rFonts w:eastAsia="Times New Roman" w:cs="Tahoma"/>
          <w:szCs w:val="20"/>
          <w:lang w:eastAsia="it-IT"/>
        </w:rPr>
        <w:t>l’accantonamento al</w:t>
      </w:r>
      <w:r w:rsidRPr="00515872">
        <w:rPr>
          <w:rFonts w:eastAsia="Times New Roman" w:cs="Tahoma"/>
          <w:szCs w:val="20"/>
          <w:lang w:eastAsia="it-IT"/>
        </w:rPr>
        <w:t xml:space="preserve"> FCDE;</w:t>
      </w:r>
    </w:p>
    <w:p w14:paraId="31DB550C"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rispetto dei limiti di indebitamento;</w:t>
      </w:r>
    </w:p>
    <w:p w14:paraId="465A7D9C" w14:textId="77777777" w:rsidR="002E2501" w:rsidRPr="00515872" w:rsidRDefault="00717F1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c</w:t>
      </w:r>
      <w:r w:rsidR="002E2501" w:rsidRPr="00515872">
        <w:rPr>
          <w:rFonts w:eastAsia="Times New Roman" w:cs="Tahoma"/>
          <w:szCs w:val="20"/>
          <w:lang w:eastAsia="it-IT"/>
        </w:rPr>
        <w:t>ontenimento delle spese per il personale;</w:t>
      </w:r>
    </w:p>
    <w:p w14:paraId="189191C1"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l’andamento degli organismi partecipati e le limitazioni a cui questi sono sottoposti;</w:t>
      </w:r>
    </w:p>
    <w:p w14:paraId="239168EA"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rispetto del principio di competenza economica nel conto economico;</w:t>
      </w:r>
    </w:p>
    <w:p w14:paraId="1C729DA5"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lastRenderedPageBreak/>
        <w:t>nel conto del patrimonio, la rilevazione dei beni e rapporti giuridici attivi e passivi di pertinenza dell’ente;</w:t>
      </w:r>
    </w:p>
    <w:p w14:paraId="7416851A" w14:textId="77777777" w:rsidR="002E2501" w:rsidRPr="00515872" w:rsidRDefault="002E2501"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superamento dei parametri di deficitarietà strutturale;</w:t>
      </w:r>
    </w:p>
    <w:p w14:paraId="1EFD1F33" w14:textId="77777777" w:rsidR="002E2501" w:rsidRPr="00515872" w:rsidRDefault="00BE042F"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la presenza di eventuali debiti fuori bilancio non riconosciuti alla data di chiusura dell’esercizio;</w:t>
      </w:r>
    </w:p>
    <w:p w14:paraId="6FA2989A" w14:textId="77777777" w:rsidR="00BE042F" w:rsidRPr="00515872" w:rsidRDefault="00BE042F"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rispetto dei vincoli di finanza pubblica (fino al rendiconto 2018);</w:t>
      </w:r>
    </w:p>
    <w:p w14:paraId="4BC54B2C" w14:textId="77777777" w:rsidR="00BE042F" w:rsidRPr="00515872" w:rsidRDefault="00BE042F"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il rispetto dei vincoli di destinazione</w:t>
      </w:r>
      <w:r w:rsidR="00717F11" w:rsidRPr="00515872">
        <w:rPr>
          <w:rFonts w:eastAsia="Times New Roman" w:cs="Tahoma"/>
          <w:szCs w:val="20"/>
          <w:lang w:eastAsia="it-IT"/>
        </w:rPr>
        <w:t xml:space="preserve"> delle entrate che vi sono soggette</w:t>
      </w:r>
      <w:r w:rsidRPr="00515872">
        <w:rPr>
          <w:rFonts w:eastAsia="Times New Roman" w:cs="Tahoma"/>
          <w:szCs w:val="20"/>
          <w:lang w:eastAsia="it-IT"/>
        </w:rPr>
        <w:t>.</w:t>
      </w:r>
    </w:p>
    <w:p w14:paraId="6AE1C14E" w14:textId="77777777" w:rsidR="005140A9" w:rsidRPr="00515872" w:rsidRDefault="005140A9" w:rsidP="00B879C2">
      <w:pPr>
        <w:spacing w:after="0" w:line="360" w:lineRule="auto"/>
        <w:jc w:val="both"/>
        <w:rPr>
          <w:rFonts w:eastAsia="Times New Roman" w:cs="Tahoma"/>
          <w:szCs w:val="20"/>
          <w:lang w:eastAsia="it-IT"/>
        </w:rPr>
      </w:pPr>
      <w:r w:rsidRPr="00515872">
        <w:rPr>
          <w:rFonts w:eastAsia="Times New Roman" w:cs="Tahoma"/>
          <w:szCs w:val="20"/>
          <w:lang w:eastAsia="it-IT"/>
        </w:rPr>
        <w:t>Controlli dovranno essere effettuati anche alle risultanze di cassa e, in particolare:</w:t>
      </w:r>
    </w:p>
    <w:p w14:paraId="71C1C3DF" w14:textId="77777777" w:rsidR="005140A9" w:rsidRPr="00515872" w:rsidRDefault="005140A9"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coincidenza fra il fondo cassa risultante al tesoriere e quello risultante dalle scritture contabili dell’ente;</w:t>
      </w:r>
    </w:p>
    <w:p w14:paraId="318429A4" w14:textId="77777777" w:rsidR="005140A9" w:rsidRPr="00515872" w:rsidRDefault="009610F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coincidenza fra la cassa vincolata come risultante al tesoriere e quella risultante dalle scritture contabili dell’ente;</w:t>
      </w:r>
    </w:p>
    <w:p w14:paraId="363E3426" w14:textId="2602DFF5" w:rsidR="009610FD" w:rsidRPr="00515872" w:rsidRDefault="009610FD"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 xml:space="preserve">verifica sui pagamenti inerenti </w:t>
      </w:r>
      <w:r w:rsidR="00FD684C" w:rsidRPr="00515872">
        <w:rPr>
          <w:rFonts w:eastAsia="Times New Roman" w:cs="Tahoma"/>
          <w:szCs w:val="20"/>
          <w:lang w:eastAsia="it-IT"/>
        </w:rPr>
        <w:t>alle</w:t>
      </w:r>
      <w:r w:rsidRPr="00515872">
        <w:rPr>
          <w:rFonts w:eastAsia="Times New Roman" w:cs="Tahoma"/>
          <w:szCs w:val="20"/>
          <w:lang w:eastAsia="it-IT"/>
        </w:rPr>
        <w:t xml:space="preserve"> azioni esecutive effettuati dal tesoriere e non regolarizzati.</w:t>
      </w:r>
    </w:p>
    <w:p w14:paraId="0B6358CB" w14:textId="77777777" w:rsidR="00762550" w:rsidRPr="00515872" w:rsidRDefault="00503A27" w:rsidP="00762550">
      <w:pPr>
        <w:spacing w:after="120"/>
        <w:rPr>
          <w:rFonts w:cs="Tahoma"/>
          <w:b/>
        </w:rPr>
      </w:pPr>
      <w:r w:rsidRPr="00515872">
        <w:rPr>
          <w:rFonts w:cs="Tahoma"/>
          <w:b/>
        </w:rPr>
        <w:t>Controlli sull’anticipazione di tesoreria</w:t>
      </w:r>
    </w:p>
    <w:p w14:paraId="7D52260E" w14:textId="77777777" w:rsidR="000507C0" w:rsidRPr="00515872" w:rsidRDefault="000507C0" w:rsidP="00B879C2">
      <w:pPr>
        <w:spacing w:after="0" w:line="360" w:lineRule="auto"/>
        <w:jc w:val="both"/>
        <w:rPr>
          <w:rFonts w:eastAsia="Times New Roman" w:cs="Tahoma"/>
          <w:szCs w:val="20"/>
          <w:lang w:eastAsia="it-IT"/>
        </w:rPr>
      </w:pPr>
      <w:r w:rsidRPr="00515872">
        <w:rPr>
          <w:rFonts w:eastAsia="Times New Roman" w:cs="Tahoma"/>
          <w:szCs w:val="20"/>
          <w:lang w:eastAsia="it-IT"/>
        </w:rPr>
        <w:t>Nel caso in cui l’ente abbia fatto ricorso all’anticipazione di tesoreria ovvero all’utilizzo di entrate vincolate, l’organo di revisione è tenuto a verificare, in base alle indicazioni fornite dal principio di vigilanza n. 5:</w:t>
      </w:r>
    </w:p>
    <w:p w14:paraId="538ADDC5" w14:textId="77777777" w:rsidR="00762550" w:rsidRPr="00515872" w:rsidRDefault="000507C0"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che l’anticipazione di tesoreria utilizzata nell’esercizio sia contenuta entro i limiti di legge;</w:t>
      </w:r>
    </w:p>
    <w:p w14:paraId="116AC3FB" w14:textId="77777777" w:rsidR="000507C0" w:rsidRPr="00515872" w:rsidRDefault="000507C0"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 xml:space="preserve">la corrispondenza fra gli accertamenti </w:t>
      </w:r>
      <w:r w:rsidR="00AD4B75" w:rsidRPr="00515872">
        <w:rPr>
          <w:rFonts w:eastAsia="Times New Roman" w:cs="Tahoma"/>
          <w:szCs w:val="20"/>
          <w:lang w:eastAsia="it-IT"/>
        </w:rPr>
        <w:t>delle entrate per anticipazione di tesoreria e gli impegni di spese a titolo di rimborso della stessa;</w:t>
      </w:r>
    </w:p>
    <w:p w14:paraId="47ED3FDC" w14:textId="77777777" w:rsidR="00AD4B75" w:rsidRPr="00515872" w:rsidRDefault="00AD4B75"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che l’anticipazione non restituita al 31 dicembre corrisponda all’importo iscritto fra i residui passivi delle spese per anticipazione di tesoreria;</w:t>
      </w:r>
    </w:p>
    <w:p w14:paraId="73B7C64B" w14:textId="77777777" w:rsidR="00AD4B75" w:rsidRPr="00515872" w:rsidRDefault="00AD4B75"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che gli interessi maturati siano stati correttamente applicati facendo riferimento agli effettivi utilizzi dell’anticipazione di tesoreria;</w:t>
      </w:r>
    </w:p>
    <w:p w14:paraId="6C3F103F" w14:textId="77777777" w:rsidR="00AD4B75" w:rsidRPr="00515872" w:rsidRDefault="00AD4B75" w:rsidP="00D65838">
      <w:pPr>
        <w:pStyle w:val="Paragrafoelenco"/>
        <w:numPr>
          <w:ilvl w:val="0"/>
          <w:numId w:val="79"/>
        </w:numPr>
        <w:spacing w:line="360" w:lineRule="auto"/>
        <w:jc w:val="both"/>
        <w:rPr>
          <w:rFonts w:eastAsia="Times New Roman" w:cs="Tahoma"/>
          <w:szCs w:val="20"/>
          <w:lang w:eastAsia="it-IT"/>
        </w:rPr>
      </w:pPr>
      <w:r w:rsidRPr="00515872">
        <w:rPr>
          <w:rFonts w:eastAsia="Times New Roman" w:cs="Tahoma"/>
          <w:szCs w:val="20"/>
          <w:lang w:eastAsia="it-IT"/>
        </w:rPr>
        <w:t>che nelle situazioni di utilizzo dell’anticipazione o di entrate vincolate l’ente locale non abbia applicato l’avanzo di amministrazione non vincolato per esigenze diverse dai provvedimenti di riequilibrio.</w:t>
      </w:r>
    </w:p>
    <w:p w14:paraId="4A5F3B65" w14:textId="77777777" w:rsidR="009518AF" w:rsidRPr="00515872" w:rsidRDefault="009518AF" w:rsidP="0093333D">
      <w:pPr>
        <w:spacing w:after="120"/>
        <w:rPr>
          <w:rFonts w:cs="Tahoma"/>
          <w:b/>
        </w:rPr>
      </w:pPr>
      <w:r w:rsidRPr="00515872">
        <w:rPr>
          <w:rFonts w:cs="Tahoma"/>
          <w:b/>
        </w:rPr>
        <w:t>Parere sul riaccertamento dei residui</w:t>
      </w:r>
    </w:p>
    <w:p w14:paraId="42766AEE"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Come noto, il riaccertamento ordinario dei residui costituisce fase propedeutica alla definizione del rendiconto della gestione</w:t>
      </w:r>
      <w:r w:rsidR="004A48C8" w:rsidRPr="00515872">
        <w:rPr>
          <w:rFonts w:eastAsia="Times New Roman" w:cs="Tahoma"/>
          <w:szCs w:val="20"/>
          <w:lang w:eastAsia="it-IT"/>
        </w:rPr>
        <w:t xml:space="preserve"> da svolgersi, quindi, necessariamente prima dell’approvazione del rendiconto</w:t>
      </w:r>
      <w:r w:rsidRPr="00515872">
        <w:rPr>
          <w:rFonts w:eastAsia="Times New Roman" w:cs="Tahoma"/>
          <w:szCs w:val="20"/>
          <w:lang w:eastAsia="it-IT"/>
        </w:rPr>
        <w:t xml:space="preserve">. </w:t>
      </w:r>
      <w:r w:rsidR="00B9591C" w:rsidRPr="00515872">
        <w:rPr>
          <w:rFonts w:cs="Tahoma"/>
          <w:szCs w:val="20"/>
          <w:lang w:eastAsia="it-IT"/>
        </w:rPr>
        <w:t>Con esso vengono verificati i presupposti per il mantenimento in bilancio</w:t>
      </w:r>
      <w:r w:rsidR="00BE024A" w:rsidRPr="00515872">
        <w:rPr>
          <w:rFonts w:cs="Tahoma"/>
          <w:szCs w:val="20"/>
          <w:lang w:eastAsia="it-IT"/>
        </w:rPr>
        <w:t xml:space="preserve"> </w:t>
      </w:r>
      <w:r w:rsidR="007354A9" w:rsidRPr="00515872">
        <w:rPr>
          <w:rFonts w:cs="Tahoma"/>
          <w:szCs w:val="20"/>
          <w:lang w:eastAsia="it-IT"/>
        </w:rPr>
        <w:t xml:space="preserve">dei residui </w:t>
      </w:r>
      <w:r w:rsidR="00BE024A" w:rsidRPr="00515872">
        <w:rPr>
          <w:rFonts w:cs="Tahoma"/>
          <w:szCs w:val="20"/>
          <w:lang w:eastAsia="it-IT"/>
        </w:rPr>
        <w:t xml:space="preserve">(in particolare, provvedendo alla cancellazione di quelli </w:t>
      </w:r>
      <w:r w:rsidR="00BE024A" w:rsidRPr="00515872">
        <w:rPr>
          <w:rFonts w:cs="Tahoma"/>
          <w:color w:val="000000"/>
          <w:szCs w:val="20"/>
        </w:rPr>
        <w:t>cui non corrispondono obbligazioni giuridicamente perfezionate)</w:t>
      </w:r>
      <w:r w:rsidR="00B9591C" w:rsidRPr="00515872">
        <w:rPr>
          <w:rFonts w:cs="Tahoma"/>
          <w:szCs w:val="20"/>
          <w:lang w:eastAsia="it-IT"/>
        </w:rPr>
        <w:t xml:space="preserve">, in tutto o in parte, nonché </w:t>
      </w:r>
      <w:r w:rsidR="007354A9" w:rsidRPr="00515872">
        <w:rPr>
          <w:rFonts w:cs="Tahoma"/>
          <w:szCs w:val="20"/>
          <w:lang w:eastAsia="it-IT"/>
        </w:rPr>
        <w:t xml:space="preserve">la </w:t>
      </w:r>
      <w:r w:rsidR="00B9591C" w:rsidRPr="00515872">
        <w:rPr>
          <w:rFonts w:cs="Tahoma"/>
          <w:szCs w:val="20"/>
          <w:lang w:eastAsia="it-IT"/>
        </w:rPr>
        <w:t>loro corretta imputazione. Il riaccertamento è</w:t>
      </w:r>
      <w:r w:rsidRPr="00515872">
        <w:rPr>
          <w:rFonts w:eastAsia="Times New Roman" w:cs="Tahoma"/>
          <w:szCs w:val="20"/>
          <w:lang w:eastAsia="it-IT"/>
        </w:rPr>
        <w:t xml:space="preserve"> effettuato annualmente, con delibera di giunta, </w:t>
      </w:r>
      <w:r w:rsidRPr="00515872">
        <w:rPr>
          <w:rFonts w:eastAsia="Times New Roman" w:cs="Tahoma"/>
          <w:b/>
          <w:szCs w:val="20"/>
          <w:lang w:eastAsia="it-IT"/>
        </w:rPr>
        <w:t xml:space="preserve">previa acquisizione del </w:t>
      </w:r>
      <w:r w:rsidR="004A48C8" w:rsidRPr="00515872">
        <w:rPr>
          <w:rFonts w:eastAsia="Times New Roman" w:cs="Tahoma"/>
          <w:b/>
          <w:szCs w:val="20"/>
          <w:lang w:eastAsia="it-IT"/>
        </w:rPr>
        <w:t>parere dell’organo di revisione</w:t>
      </w:r>
      <w:r w:rsidRPr="00515872">
        <w:rPr>
          <w:rFonts w:eastAsia="Times New Roman" w:cs="Tahoma"/>
          <w:szCs w:val="20"/>
          <w:lang w:eastAsia="it-IT"/>
        </w:rPr>
        <w:t>.</w:t>
      </w:r>
    </w:p>
    <w:p w14:paraId="53F1131D" w14:textId="77777777" w:rsidR="009518AF" w:rsidRPr="00515872" w:rsidRDefault="002B5158" w:rsidP="009518AF">
      <w:pPr>
        <w:spacing w:after="0" w:line="360" w:lineRule="auto"/>
        <w:jc w:val="both"/>
        <w:rPr>
          <w:rFonts w:cs="Tahoma"/>
          <w:color w:val="000000"/>
          <w:szCs w:val="20"/>
        </w:rPr>
      </w:pPr>
      <w:r w:rsidRPr="00515872">
        <w:rPr>
          <w:rFonts w:cs="Tahoma"/>
          <w:color w:val="000000"/>
          <w:szCs w:val="20"/>
        </w:rPr>
        <w:t xml:space="preserve">Secondo quanto indicato </w:t>
      </w:r>
      <w:r w:rsidR="009518AF" w:rsidRPr="00515872">
        <w:rPr>
          <w:rFonts w:cs="Tahoma"/>
          <w:color w:val="000000"/>
          <w:szCs w:val="20"/>
        </w:rPr>
        <w:t>al pu</w:t>
      </w:r>
      <w:r w:rsidRPr="00515872">
        <w:rPr>
          <w:rFonts w:cs="Tahoma"/>
          <w:color w:val="000000"/>
          <w:szCs w:val="20"/>
        </w:rPr>
        <w:t xml:space="preserve">nto 9.1 del principio contabile </w:t>
      </w:r>
      <w:r w:rsidR="009518AF" w:rsidRPr="00515872">
        <w:rPr>
          <w:rFonts w:cs="Tahoma"/>
          <w:color w:val="000000"/>
          <w:szCs w:val="20"/>
        </w:rPr>
        <w:t xml:space="preserve">applicato n. 4/2, </w:t>
      </w:r>
      <w:r w:rsidRPr="00515872">
        <w:rPr>
          <w:rFonts w:cs="Tahoma"/>
          <w:color w:val="000000"/>
          <w:szCs w:val="20"/>
        </w:rPr>
        <w:t>l’ente deve verificare</w:t>
      </w:r>
      <w:r w:rsidR="009518AF" w:rsidRPr="00515872">
        <w:rPr>
          <w:rFonts w:cs="Tahoma"/>
          <w:color w:val="000000"/>
          <w:szCs w:val="20"/>
        </w:rPr>
        <w:t>:</w:t>
      </w:r>
    </w:p>
    <w:p w14:paraId="62771387" w14:textId="77777777" w:rsidR="009518AF" w:rsidRPr="00515872" w:rsidRDefault="009518AF" w:rsidP="00D65838">
      <w:pPr>
        <w:pStyle w:val="Paragrafoelenco"/>
        <w:numPr>
          <w:ilvl w:val="0"/>
          <w:numId w:val="141"/>
        </w:numPr>
        <w:spacing w:line="360" w:lineRule="auto"/>
        <w:jc w:val="both"/>
        <w:rPr>
          <w:rFonts w:eastAsia="Times New Roman" w:cs="Tahoma"/>
          <w:szCs w:val="20"/>
          <w:lang w:eastAsia="it-IT"/>
        </w:rPr>
      </w:pPr>
      <w:r w:rsidRPr="00515872">
        <w:rPr>
          <w:rFonts w:cs="Tahoma"/>
          <w:color w:val="000000"/>
          <w:szCs w:val="20"/>
        </w:rPr>
        <w:t>la fondatezza giuridica dei credi</w:t>
      </w:r>
      <w:r w:rsidR="00BD10F5" w:rsidRPr="00515872">
        <w:rPr>
          <w:rFonts w:cs="Tahoma"/>
          <w:color w:val="000000"/>
          <w:szCs w:val="20"/>
        </w:rPr>
        <w:t>ti accertati e dell'esigibilità;</w:t>
      </w:r>
    </w:p>
    <w:p w14:paraId="0D3513A3" w14:textId="77777777" w:rsidR="009518AF" w:rsidRPr="00515872" w:rsidRDefault="009518AF" w:rsidP="00D65838">
      <w:pPr>
        <w:pStyle w:val="Paragrafoelenco"/>
        <w:numPr>
          <w:ilvl w:val="0"/>
          <w:numId w:val="141"/>
        </w:numPr>
        <w:spacing w:line="360" w:lineRule="auto"/>
        <w:jc w:val="both"/>
        <w:rPr>
          <w:rFonts w:eastAsia="Times New Roman" w:cs="Tahoma"/>
          <w:szCs w:val="20"/>
          <w:lang w:eastAsia="it-IT"/>
        </w:rPr>
      </w:pPr>
      <w:r w:rsidRPr="00515872">
        <w:rPr>
          <w:rFonts w:cs="Tahoma"/>
          <w:color w:val="000000"/>
          <w:szCs w:val="20"/>
        </w:rPr>
        <w:t>l'affidabilità della scadenza dell'obbligazione prevista i</w:t>
      </w:r>
      <w:r w:rsidR="00A42D3C" w:rsidRPr="00515872">
        <w:rPr>
          <w:rFonts w:cs="Tahoma"/>
          <w:color w:val="000000"/>
          <w:szCs w:val="20"/>
        </w:rPr>
        <w:t xml:space="preserve">n occasione dell'accertamento o </w:t>
      </w:r>
      <w:r w:rsidRPr="00515872">
        <w:rPr>
          <w:rFonts w:cs="Tahoma"/>
          <w:color w:val="000000"/>
          <w:szCs w:val="20"/>
        </w:rPr>
        <w:t>dell'impegno;</w:t>
      </w:r>
    </w:p>
    <w:p w14:paraId="483F15C7" w14:textId="77777777" w:rsidR="009518AF" w:rsidRPr="00515872" w:rsidRDefault="009518AF" w:rsidP="00D65838">
      <w:pPr>
        <w:pStyle w:val="Paragrafoelenco"/>
        <w:numPr>
          <w:ilvl w:val="0"/>
          <w:numId w:val="141"/>
        </w:numPr>
        <w:spacing w:line="360" w:lineRule="auto"/>
        <w:jc w:val="both"/>
        <w:rPr>
          <w:rFonts w:eastAsia="Times New Roman" w:cs="Tahoma"/>
          <w:szCs w:val="20"/>
          <w:lang w:eastAsia="it-IT"/>
        </w:rPr>
      </w:pPr>
      <w:r w:rsidRPr="00515872">
        <w:rPr>
          <w:rFonts w:cs="Tahoma"/>
          <w:color w:val="000000"/>
        </w:rPr>
        <w:t>il permanere delle posizioni debitorie effettive degli impegni assunti;</w:t>
      </w:r>
    </w:p>
    <w:p w14:paraId="37334AA9" w14:textId="77777777" w:rsidR="009518AF" w:rsidRPr="00515872" w:rsidRDefault="009518AF" w:rsidP="00D65838">
      <w:pPr>
        <w:pStyle w:val="Paragrafoelenco"/>
        <w:numPr>
          <w:ilvl w:val="0"/>
          <w:numId w:val="141"/>
        </w:numPr>
        <w:spacing w:line="360" w:lineRule="auto"/>
        <w:jc w:val="both"/>
        <w:rPr>
          <w:rFonts w:eastAsia="Times New Roman" w:cs="Tahoma"/>
          <w:szCs w:val="20"/>
          <w:lang w:eastAsia="it-IT"/>
        </w:rPr>
      </w:pPr>
      <w:r w:rsidRPr="00515872">
        <w:rPr>
          <w:rFonts w:cs="Tahoma"/>
          <w:color w:val="000000"/>
        </w:rPr>
        <w:t>la corretta classificazione e imputazione dei crediti e dei debiti in bilancio.</w:t>
      </w:r>
    </w:p>
    <w:p w14:paraId="45C4074B" w14:textId="77777777" w:rsidR="002B5158" w:rsidRPr="00515872" w:rsidRDefault="002B5158" w:rsidP="002B5158">
      <w:pPr>
        <w:spacing w:line="360" w:lineRule="auto"/>
        <w:jc w:val="both"/>
        <w:rPr>
          <w:rFonts w:cs="Tahoma"/>
          <w:color w:val="000000"/>
          <w:szCs w:val="20"/>
        </w:rPr>
      </w:pPr>
      <w:r w:rsidRPr="00515872">
        <w:rPr>
          <w:rFonts w:eastAsia="Times New Roman" w:cs="Tahoma"/>
          <w:szCs w:val="20"/>
          <w:lang w:eastAsia="it-IT"/>
        </w:rPr>
        <w:lastRenderedPageBreak/>
        <w:t>L’organo di revisione</w:t>
      </w:r>
      <w:r w:rsidR="00BD10F5" w:rsidRPr="00515872">
        <w:rPr>
          <w:rFonts w:eastAsia="Times New Roman" w:cs="Tahoma"/>
          <w:szCs w:val="20"/>
          <w:lang w:eastAsia="it-IT"/>
        </w:rPr>
        <w:t xml:space="preserve"> deve</w:t>
      </w:r>
      <w:r w:rsidRPr="00515872">
        <w:rPr>
          <w:rFonts w:cs="Tahoma"/>
          <w:color w:val="000000"/>
          <w:szCs w:val="20"/>
        </w:rPr>
        <w:t xml:space="preserve"> acquisi</w:t>
      </w:r>
      <w:r w:rsidR="00BD10F5" w:rsidRPr="00515872">
        <w:rPr>
          <w:rFonts w:cs="Tahoma"/>
          <w:color w:val="000000"/>
          <w:szCs w:val="20"/>
        </w:rPr>
        <w:t xml:space="preserve">re </w:t>
      </w:r>
      <w:r w:rsidRPr="00515872">
        <w:rPr>
          <w:rFonts w:cs="Tahoma"/>
          <w:color w:val="000000"/>
          <w:szCs w:val="20"/>
        </w:rPr>
        <w:t>l'elenco dei crediti, per anno di formazione, per accentuare il controllo su quelli costituiti in epoca più remota e verificar</w:t>
      </w:r>
      <w:r w:rsidR="00B879C2" w:rsidRPr="00515872">
        <w:rPr>
          <w:rFonts w:cs="Tahoma"/>
          <w:color w:val="000000"/>
          <w:szCs w:val="20"/>
        </w:rPr>
        <w:t>n</w:t>
      </w:r>
      <w:r w:rsidRPr="00515872">
        <w:rPr>
          <w:rFonts w:cs="Tahoma"/>
          <w:color w:val="000000"/>
          <w:szCs w:val="20"/>
        </w:rPr>
        <w:t>e la fondatezza giuridica, la comunicazione al debitore, le azioni fatte per il recupero e</w:t>
      </w:r>
      <w:r w:rsidR="00BD10F5" w:rsidRPr="00515872">
        <w:rPr>
          <w:rFonts w:cs="Tahoma"/>
          <w:color w:val="000000"/>
          <w:szCs w:val="20"/>
        </w:rPr>
        <w:t xml:space="preserve"> la percentuale d’inesigibilità.</w:t>
      </w:r>
    </w:p>
    <w:p w14:paraId="0C58902E" w14:textId="77777777" w:rsidR="00BD10F5" w:rsidRPr="00515872" w:rsidRDefault="007354A9" w:rsidP="002B5158">
      <w:pPr>
        <w:spacing w:line="360" w:lineRule="auto"/>
        <w:jc w:val="both"/>
        <w:rPr>
          <w:rFonts w:cs="Tahoma"/>
          <w:color w:val="000000"/>
          <w:szCs w:val="20"/>
        </w:rPr>
      </w:pPr>
      <w:r w:rsidRPr="00515872">
        <w:rPr>
          <w:rFonts w:cs="Tahoma"/>
          <w:color w:val="000000"/>
          <w:szCs w:val="20"/>
        </w:rPr>
        <w:t xml:space="preserve">Deve inoltre verificare </w:t>
      </w:r>
      <w:r w:rsidR="00BD10F5" w:rsidRPr="00515872">
        <w:rPr>
          <w:rFonts w:cs="Tahoma"/>
          <w:color w:val="000000"/>
          <w:szCs w:val="20"/>
        </w:rPr>
        <w:t>la completezza della delibera di giunta che riaccerta i residui in or</w:t>
      </w:r>
      <w:r w:rsidR="00C0460C" w:rsidRPr="00515872">
        <w:rPr>
          <w:rFonts w:cs="Tahoma"/>
          <w:color w:val="000000"/>
          <w:szCs w:val="20"/>
        </w:rPr>
        <w:t>dine agli elementi previsti</w:t>
      </w:r>
      <w:r w:rsidR="00BD10F5" w:rsidRPr="00515872">
        <w:rPr>
          <w:rFonts w:cs="Tahoma"/>
          <w:color w:val="000000"/>
          <w:szCs w:val="20"/>
        </w:rPr>
        <w:t xml:space="preserve"> a norma di legge e dei principi contabili.</w:t>
      </w:r>
    </w:p>
    <w:p w14:paraId="3C9FF693" w14:textId="77777777" w:rsidR="00BD10F5" w:rsidRPr="00515872" w:rsidRDefault="00BD10F5" w:rsidP="002B5158">
      <w:pPr>
        <w:spacing w:line="360" w:lineRule="auto"/>
        <w:jc w:val="both"/>
        <w:rPr>
          <w:rFonts w:cs="Tahoma"/>
          <w:color w:val="000000"/>
          <w:szCs w:val="20"/>
        </w:rPr>
      </w:pPr>
      <w:r w:rsidRPr="00515872">
        <w:rPr>
          <w:rFonts w:cs="Tahoma"/>
          <w:color w:val="000000"/>
          <w:szCs w:val="20"/>
        </w:rPr>
        <w:t xml:space="preserve">Il parere dell’organo di revisione deve essere espresso anche </w:t>
      </w:r>
      <w:r w:rsidR="00C0460C" w:rsidRPr="00515872">
        <w:rPr>
          <w:rFonts w:cs="Tahoma"/>
          <w:color w:val="000000"/>
          <w:szCs w:val="20"/>
        </w:rPr>
        <w:t xml:space="preserve">nel caso di </w:t>
      </w:r>
      <w:r w:rsidRPr="00515872">
        <w:rPr>
          <w:rFonts w:cs="Tahoma"/>
          <w:color w:val="000000"/>
          <w:szCs w:val="20"/>
        </w:rPr>
        <w:t>eventuale riaccertamento parziale.</w:t>
      </w:r>
    </w:p>
    <w:p w14:paraId="5FC33247" w14:textId="77777777" w:rsidR="00BD10F5" w:rsidRPr="00515872" w:rsidRDefault="00BD10F5" w:rsidP="002B5158">
      <w:pPr>
        <w:spacing w:line="360" w:lineRule="auto"/>
        <w:jc w:val="both"/>
        <w:rPr>
          <w:rFonts w:eastAsia="Times New Roman" w:cs="Tahoma"/>
          <w:szCs w:val="20"/>
          <w:lang w:eastAsia="it-IT"/>
        </w:rPr>
      </w:pPr>
      <w:r w:rsidRPr="00515872">
        <w:rPr>
          <w:rFonts w:cs="Tahoma"/>
          <w:color w:val="000000"/>
          <w:szCs w:val="20"/>
        </w:rPr>
        <w:t>Nel caso in cui</w:t>
      </w:r>
      <w:r w:rsidR="00C0460C" w:rsidRPr="00515872">
        <w:rPr>
          <w:rFonts w:cs="Tahoma"/>
          <w:color w:val="000000"/>
          <w:szCs w:val="20"/>
        </w:rPr>
        <w:t>,</w:t>
      </w:r>
      <w:r w:rsidRPr="00515872">
        <w:rPr>
          <w:rFonts w:cs="Tahoma"/>
          <w:color w:val="000000"/>
          <w:szCs w:val="20"/>
        </w:rPr>
        <w:t xml:space="preserve"> alla fine di un esercizio</w:t>
      </w:r>
      <w:r w:rsidR="00C0460C" w:rsidRPr="00515872">
        <w:rPr>
          <w:rFonts w:cs="Tahoma"/>
          <w:color w:val="000000"/>
          <w:szCs w:val="20"/>
        </w:rPr>
        <w:t>,</w:t>
      </w:r>
      <w:r w:rsidRPr="00515872">
        <w:rPr>
          <w:rFonts w:cs="Tahoma"/>
          <w:color w:val="000000"/>
          <w:szCs w:val="20"/>
        </w:rPr>
        <w:t xml:space="preserve"> risultino pagamenti effettuati dal</w:t>
      </w:r>
      <w:r w:rsidR="00C0460C" w:rsidRPr="00515872">
        <w:rPr>
          <w:rFonts w:cs="Tahoma"/>
          <w:color w:val="000000"/>
          <w:szCs w:val="20"/>
        </w:rPr>
        <w:t xml:space="preserve"> tesoriere per azioni esecutive</w:t>
      </w:r>
      <w:r w:rsidRPr="00515872">
        <w:rPr>
          <w:rFonts w:cs="Tahoma"/>
          <w:color w:val="000000"/>
          <w:szCs w:val="20"/>
        </w:rPr>
        <w:t xml:space="preserve"> non regolarizzati, in quanto nel bilancio non sono previsti i relativi stanziamenti e impegni, è necessario, nell’ambito delle operazioni di elaborazione del rendiconto, registrare l’impegno ed emettere il relativo mandato a regolarizzare il sospeso, anche in assenza di stanziamento. L’organo di revisione deve evidenziare, nella propria relazione, </w:t>
      </w:r>
      <w:r w:rsidR="00826F6A" w:rsidRPr="00515872">
        <w:rPr>
          <w:rFonts w:cs="Tahoma"/>
          <w:color w:val="000000"/>
          <w:szCs w:val="20"/>
        </w:rPr>
        <w:t>tale eccezione alla regola del limite autorizzatorio segnalando l’effetto prodotto sul risultato di amministrazione e verificare che, contestualmente all’approvazione del rendiconto, sia stato sottoposto al consiglio il riconoscimento del relativo debito fuori bilancio.</w:t>
      </w:r>
    </w:p>
    <w:p w14:paraId="5E6CB591" w14:textId="77777777" w:rsidR="009518AF" w:rsidRPr="00515872" w:rsidRDefault="009518AF" w:rsidP="009518AF">
      <w:pPr>
        <w:spacing w:after="0" w:line="360" w:lineRule="auto"/>
        <w:jc w:val="both"/>
        <w:rPr>
          <w:rFonts w:cs="Tahoma"/>
          <w:b/>
          <w:color w:val="231F20"/>
          <w:szCs w:val="20"/>
        </w:rPr>
      </w:pPr>
      <w:r w:rsidRPr="00515872">
        <w:rPr>
          <w:rFonts w:cs="Tahoma"/>
          <w:b/>
          <w:color w:val="231F20"/>
          <w:szCs w:val="20"/>
        </w:rPr>
        <w:t>Verifiche sullo stato patrimoniale</w:t>
      </w:r>
    </w:p>
    <w:p w14:paraId="0B7E6B79" w14:textId="77777777" w:rsidR="009518AF" w:rsidRPr="00515872" w:rsidRDefault="007354A9" w:rsidP="00866FD1">
      <w:pPr>
        <w:spacing w:line="360" w:lineRule="auto"/>
        <w:jc w:val="both"/>
        <w:rPr>
          <w:rFonts w:eastAsia="Times New Roman" w:cs="Tahoma"/>
          <w:szCs w:val="20"/>
          <w:lang w:eastAsia="it-IT"/>
        </w:rPr>
      </w:pPr>
      <w:r w:rsidRPr="00515872">
        <w:rPr>
          <w:rFonts w:eastAsia="Times New Roman" w:cs="Tahoma"/>
          <w:szCs w:val="20"/>
          <w:lang w:eastAsia="it-IT"/>
        </w:rPr>
        <w:t>I revisori</w:t>
      </w:r>
      <w:r w:rsidR="009518AF" w:rsidRPr="00515872">
        <w:rPr>
          <w:rFonts w:eastAsia="Times New Roman" w:cs="Tahoma"/>
          <w:szCs w:val="20"/>
          <w:lang w:eastAsia="it-IT"/>
        </w:rPr>
        <w:t xml:space="preserve"> dev</w:t>
      </w:r>
      <w:r w:rsidRPr="00515872">
        <w:rPr>
          <w:rFonts w:eastAsia="Times New Roman" w:cs="Tahoma"/>
          <w:szCs w:val="20"/>
          <w:lang w:eastAsia="it-IT"/>
        </w:rPr>
        <w:t>ono</w:t>
      </w:r>
      <w:r w:rsidR="009518AF" w:rsidRPr="00515872">
        <w:rPr>
          <w:rFonts w:eastAsia="Times New Roman" w:cs="Tahoma"/>
          <w:szCs w:val="20"/>
          <w:lang w:eastAsia="it-IT"/>
        </w:rPr>
        <w:t xml:space="preserve"> </w:t>
      </w:r>
      <w:r w:rsidR="00AD1302" w:rsidRPr="00515872">
        <w:rPr>
          <w:rFonts w:eastAsia="Times New Roman" w:cs="Tahoma"/>
          <w:szCs w:val="20"/>
          <w:lang w:eastAsia="it-IT"/>
        </w:rPr>
        <w:t xml:space="preserve">verificare </w:t>
      </w:r>
      <w:r w:rsidRPr="00515872">
        <w:rPr>
          <w:rFonts w:eastAsia="Times New Roman" w:cs="Tahoma"/>
          <w:szCs w:val="20"/>
          <w:lang w:eastAsia="it-IT"/>
        </w:rPr>
        <w:t xml:space="preserve">anche </w:t>
      </w:r>
      <w:r w:rsidR="009518AF" w:rsidRPr="00515872">
        <w:rPr>
          <w:rFonts w:eastAsia="Times New Roman" w:cs="Tahoma"/>
          <w:szCs w:val="20"/>
          <w:lang w:eastAsia="it-IT"/>
        </w:rPr>
        <w:t xml:space="preserve">la rispondenza del prospetto </w:t>
      </w:r>
      <w:r w:rsidR="00AD1302" w:rsidRPr="00515872">
        <w:rPr>
          <w:rFonts w:eastAsia="Times New Roman" w:cs="Tahoma"/>
          <w:szCs w:val="20"/>
          <w:lang w:eastAsia="it-IT"/>
        </w:rPr>
        <w:t xml:space="preserve">di stato patrimoniale </w:t>
      </w:r>
      <w:r w:rsidR="009518AF" w:rsidRPr="00515872">
        <w:rPr>
          <w:rFonts w:eastAsia="Times New Roman" w:cs="Tahoma"/>
          <w:szCs w:val="20"/>
          <w:lang w:eastAsia="it-IT"/>
        </w:rPr>
        <w:t xml:space="preserve">al modello previsto dall’allegato </w:t>
      </w:r>
      <w:r w:rsidR="00595B3B" w:rsidRPr="00515872">
        <w:rPr>
          <w:rFonts w:eastAsia="Times New Roman" w:cs="Tahoma"/>
          <w:szCs w:val="20"/>
          <w:lang w:eastAsia="it-IT"/>
        </w:rPr>
        <w:t>10</w:t>
      </w:r>
      <w:r w:rsidR="00AD1302" w:rsidRPr="00515872">
        <w:rPr>
          <w:rFonts w:eastAsia="Times New Roman" w:cs="Tahoma"/>
          <w:szCs w:val="20"/>
          <w:lang w:eastAsia="it-IT"/>
        </w:rPr>
        <w:t xml:space="preserve"> al D.Lgs. n. 118/2011.</w:t>
      </w:r>
    </w:p>
    <w:p w14:paraId="0BEDB4BC" w14:textId="77777777" w:rsidR="0032292E" w:rsidRPr="00515872" w:rsidRDefault="0032292E" w:rsidP="00866FD1">
      <w:pPr>
        <w:spacing w:line="360" w:lineRule="auto"/>
        <w:jc w:val="both"/>
        <w:rPr>
          <w:rFonts w:eastAsia="Times New Roman" w:cs="Tahoma"/>
          <w:szCs w:val="20"/>
          <w:lang w:eastAsia="it-IT"/>
        </w:rPr>
      </w:pPr>
      <w:r w:rsidRPr="00515872">
        <w:rPr>
          <w:rFonts w:cs="Tahoma"/>
          <w:color w:val="000000"/>
          <w:szCs w:val="20"/>
        </w:rPr>
        <w:t>Dev</w:t>
      </w:r>
      <w:r w:rsidR="007354A9" w:rsidRPr="00515872">
        <w:rPr>
          <w:rFonts w:cs="Tahoma"/>
          <w:color w:val="000000"/>
          <w:szCs w:val="20"/>
        </w:rPr>
        <w:t>ono, innanzitutto</w:t>
      </w:r>
      <w:r w:rsidRPr="00515872">
        <w:rPr>
          <w:rFonts w:cs="Tahoma"/>
          <w:color w:val="000000"/>
          <w:szCs w:val="20"/>
        </w:rPr>
        <w:t xml:space="preserve"> verifica</w:t>
      </w:r>
      <w:r w:rsidR="007354A9" w:rsidRPr="00515872">
        <w:rPr>
          <w:rFonts w:cs="Tahoma"/>
          <w:color w:val="000000"/>
          <w:szCs w:val="20"/>
        </w:rPr>
        <w:t>re</w:t>
      </w:r>
      <w:r w:rsidRPr="00515872">
        <w:rPr>
          <w:rFonts w:cs="Tahoma"/>
          <w:color w:val="000000"/>
          <w:szCs w:val="20"/>
        </w:rPr>
        <w:t xml:space="preserve"> che la consistenza del patrimonio all’inizio dell’esercizio corrisponda a quella finale dell’esercizio precedente come risulta deliberata dal consiglio in sede di approvazione del rendiconto.</w:t>
      </w:r>
    </w:p>
    <w:p w14:paraId="393B577B" w14:textId="77777777" w:rsidR="00793E6E" w:rsidRPr="00515872" w:rsidRDefault="00793E6E" w:rsidP="00193444">
      <w:pPr>
        <w:spacing w:after="0" w:line="360" w:lineRule="auto"/>
        <w:jc w:val="both"/>
        <w:rPr>
          <w:rFonts w:eastAsia="Times New Roman" w:cs="Tahoma"/>
          <w:szCs w:val="20"/>
          <w:lang w:eastAsia="it-IT"/>
        </w:rPr>
      </w:pPr>
      <w:r w:rsidRPr="00515872">
        <w:rPr>
          <w:rFonts w:eastAsia="Times New Roman" w:cs="Tahoma"/>
          <w:szCs w:val="20"/>
          <w:lang w:eastAsia="it-IT"/>
        </w:rPr>
        <w:t xml:space="preserve">Il principio di vigilanza n. 9 fornisce, inoltre, una serie di suggerimenti specifici in ordine alle verifiche da operare sulle varie voci dello stato patrimoniale; </w:t>
      </w:r>
      <w:r w:rsidR="00193444" w:rsidRPr="00515872">
        <w:rPr>
          <w:rFonts w:eastAsia="Times New Roman" w:cs="Tahoma"/>
          <w:szCs w:val="20"/>
          <w:lang w:eastAsia="it-IT"/>
        </w:rPr>
        <w:t>riassumendo per macroclassi</w:t>
      </w:r>
      <w:r w:rsidRPr="00515872">
        <w:rPr>
          <w:rFonts w:eastAsia="Times New Roman" w:cs="Tahoma"/>
          <w:szCs w:val="20"/>
          <w:lang w:eastAsia="it-IT"/>
        </w:rPr>
        <w:t>:</w:t>
      </w:r>
    </w:p>
    <w:p w14:paraId="3497D297" w14:textId="77777777" w:rsidR="00793E6E" w:rsidRPr="00515872" w:rsidRDefault="00793E6E"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Immobilizzazioni</w:t>
      </w:r>
      <w:r w:rsidRPr="00515872">
        <w:rPr>
          <w:rFonts w:eastAsia="Times New Roman" w:cs="Tahoma"/>
          <w:szCs w:val="20"/>
          <w:lang w:eastAsia="it-IT"/>
        </w:rPr>
        <w:t>: verificare che le variazioni siano coerenti con l’aggiornamento dell’inventario e le movimentazioni in partita doppia</w:t>
      </w:r>
      <w:r w:rsidR="00C0460C" w:rsidRPr="00515872">
        <w:rPr>
          <w:rFonts w:eastAsia="Times New Roman" w:cs="Tahoma"/>
          <w:szCs w:val="20"/>
          <w:lang w:eastAsia="it-IT"/>
        </w:rPr>
        <w:t>;</w:t>
      </w:r>
    </w:p>
    <w:p w14:paraId="3F76BA94" w14:textId="77777777" w:rsidR="00793E6E" w:rsidRPr="00515872" w:rsidRDefault="00793E6E"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Partecipazioni</w:t>
      </w:r>
      <w:r w:rsidRPr="00515872">
        <w:rPr>
          <w:rFonts w:eastAsia="Times New Roman" w:cs="Tahoma"/>
          <w:szCs w:val="20"/>
          <w:lang w:eastAsia="it-IT"/>
        </w:rPr>
        <w:t xml:space="preserve">: verificare la coerenza </w:t>
      </w:r>
      <w:r w:rsidR="004308B1" w:rsidRPr="00515872">
        <w:rPr>
          <w:rFonts w:eastAsia="Times New Roman" w:cs="Tahoma"/>
          <w:szCs w:val="20"/>
          <w:lang w:eastAsia="it-IT"/>
        </w:rPr>
        <w:t>della classificazione rispetto alla definizione del Gruppo Amministrazione Pubblica e al perimetro di consolidamento; valutare la corretta valorizzazione con il metodo del costo o del patrimonio netto;</w:t>
      </w:r>
    </w:p>
    <w:p w14:paraId="48E0A3CB" w14:textId="77777777" w:rsidR="004308B1" w:rsidRPr="00515872" w:rsidRDefault="004308B1"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Rimanenze</w:t>
      </w:r>
      <w:r w:rsidRPr="00515872">
        <w:rPr>
          <w:rFonts w:eastAsia="Times New Roman" w:cs="Tahoma"/>
          <w:szCs w:val="20"/>
          <w:lang w:eastAsia="it-IT"/>
        </w:rPr>
        <w:t xml:space="preserve">: verificare la variazione intervenuta nell’esercizio, nonché </w:t>
      </w:r>
      <w:r w:rsidR="001B3BAA" w:rsidRPr="00515872">
        <w:rPr>
          <w:rFonts w:eastAsia="Times New Roman" w:cs="Tahoma"/>
          <w:szCs w:val="20"/>
          <w:lang w:eastAsia="it-IT"/>
        </w:rPr>
        <w:t xml:space="preserve">se vi sia </w:t>
      </w:r>
      <w:r w:rsidRPr="00515872">
        <w:rPr>
          <w:rFonts w:eastAsia="Times New Roman" w:cs="Tahoma"/>
          <w:szCs w:val="20"/>
          <w:lang w:eastAsia="it-IT"/>
        </w:rPr>
        <w:t>la necessità di tenuta della contabilità di magazzino;</w:t>
      </w:r>
    </w:p>
    <w:p w14:paraId="6CF88F64" w14:textId="77777777" w:rsidR="004308B1" w:rsidRPr="00515872" w:rsidRDefault="004308B1"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Crediti</w:t>
      </w:r>
      <w:r w:rsidRPr="00515872">
        <w:rPr>
          <w:rFonts w:eastAsia="Times New Roman" w:cs="Tahoma"/>
          <w:szCs w:val="20"/>
          <w:lang w:eastAsia="it-IT"/>
        </w:rPr>
        <w:t>: verificare la correlazione tra crediti e residui attivi</w:t>
      </w:r>
      <w:r w:rsidR="00631BD8" w:rsidRPr="00515872">
        <w:rPr>
          <w:rFonts w:eastAsia="Times New Roman" w:cs="Tahoma"/>
          <w:szCs w:val="20"/>
          <w:lang w:eastAsia="it-IT"/>
        </w:rPr>
        <w:t xml:space="preserve"> (</w:t>
      </w:r>
      <w:r w:rsidR="00275C34" w:rsidRPr="00515872">
        <w:rPr>
          <w:rFonts w:eastAsia="Times New Roman" w:cs="Tahoma"/>
          <w:szCs w:val="20"/>
          <w:lang w:eastAsia="it-IT"/>
        </w:rPr>
        <w:t>il principio di vigilanza fornisce uno schema da utilizzare per la riconciliazione fra i due saldi</w:t>
      </w:r>
      <w:r w:rsidR="00631BD8" w:rsidRPr="00515872">
        <w:rPr>
          <w:rFonts w:eastAsia="Times New Roman" w:cs="Tahoma"/>
          <w:szCs w:val="20"/>
          <w:lang w:eastAsia="it-IT"/>
        </w:rPr>
        <w:t>)</w:t>
      </w:r>
      <w:r w:rsidR="00275C34" w:rsidRPr="00515872">
        <w:rPr>
          <w:rFonts w:eastAsia="Times New Roman" w:cs="Tahoma"/>
          <w:szCs w:val="20"/>
          <w:lang w:eastAsia="it-IT"/>
        </w:rPr>
        <w:t>;</w:t>
      </w:r>
    </w:p>
    <w:p w14:paraId="16A1D7B5" w14:textId="77777777" w:rsidR="004308B1" w:rsidRPr="00515872" w:rsidRDefault="004308B1"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Attività finanziarie che non costituiscono immobilizzazioni</w:t>
      </w:r>
      <w:r w:rsidRPr="00515872">
        <w:rPr>
          <w:rFonts w:eastAsia="Times New Roman" w:cs="Tahoma"/>
          <w:szCs w:val="20"/>
          <w:lang w:eastAsia="it-IT"/>
        </w:rPr>
        <w:t>: verificare</w:t>
      </w:r>
      <w:r w:rsidR="001B3BAA" w:rsidRPr="00515872">
        <w:rPr>
          <w:rFonts w:eastAsia="Times New Roman" w:cs="Tahoma"/>
          <w:szCs w:val="20"/>
          <w:lang w:eastAsia="it-IT"/>
        </w:rPr>
        <w:t>, in particolare,</w:t>
      </w:r>
      <w:r w:rsidRPr="00515872">
        <w:rPr>
          <w:rFonts w:eastAsia="Times New Roman" w:cs="Tahoma"/>
          <w:szCs w:val="20"/>
          <w:lang w:eastAsia="it-IT"/>
        </w:rPr>
        <w:t xml:space="preserve"> </w:t>
      </w:r>
      <w:r w:rsidR="001B3BAA" w:rsidRPr="00515872">
        <w:rPr>
          <w:rFonts w:eastAsia="Times New Roman" w:cs="Tahoma"/>
          <w:szCs w:val="20"/>
          <w:lang w:eastAsia="it-IT"/>
        </w:rPr>
        <w:t>che siano</w:t>
      </w:r>
      <w:r w:rsidRPr="00515872">
        <w:rPr>
          <w:rFonts w:eastAsia="Times New Roman" w:cs="Tahoma"/>
          <w:szCs w:val="20"/>
          <w:lang w:eastAsia="it-IT"/>
        </w:rPr>
        <w:t xml:space="preserve"> presen</w:t>
      </w:r>
      <w:r w:rsidR="001B3BAA" w:rsidRPr="00515872">
        <w:rPr>
          <w:rFonts w:eastAsia="Times New Roman" w:cs="Tahoma"/>
          <w:szCs w:val="20"/>
          <w:lang w:eastAsia="it-IT"/>
        </w:rPr>
        <w:t xml:space="preserve">ti </w:t>
      </w:r>
      <w:r w:rsidRPr="00515872">
        <w:rPr>
          <w:rFonts w:eastAsia="Times New Roman" w:cs="Tahoma"/>
          <w:szCs w:val="20"/>
          <w:lang w:eastAsia="it-IT"/>
        </w:rPr>
        <w:t>le società di cui si è deliberata la dismissione;</w:t>
      </w:r>
    </w:p>
    <w:p w14:paraId="59DCEF47" w14:textId="77777777" w:rsidR="004308B1" w:rsidRPr="00515872" w:rsidRDefault="004308B1"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Disponibilità liquide</w:t>
      </w:r>
      <w:r w:rsidRPr="00515872">
        <w:rPr>
          <w:rFonts w:eastAsia="Times New Roman" w:cs="Tahoma"/>
          <w:szCs w:val="20"/>
          <w:lang w:eastAsia="it-IT"/>
        </w:rPr>
        <w:t>: verificare la presenza del conto di tesoreria</w:t>
      </w:r>
      <w:r w:rsidR="001B3BAA" w:rsidRPr="00515872">
        <w:rPr>
          <w:rFonts w:eastAsia="Times New Roman" w:cs="Tahoma"/>
          <w:szCs w:val="20"/>
          <w:lang w:eastAsia="it-IT"/>
        </w:rPr>
        <w:t>,</w:t>
      </w:r>
      <w:r w:rsidRPr="00515872">
        <w:rPr>
          <w:rFonts w:eastAsia="Times New Roman" w:cs="Tahoma"/>
          <w:szCs w:val="20"/>
          <w:lang w:eastAsia="it-IT"/>
        </w:rPr>
        <w:t xml:space="preserve"> dei saldi attivi dei conti correnti postali</w:t>
      </w:r>
      <w:r w:rsidR="001B3BAA" w:rsidRPr="00515872">
        <w:rPr>
          <w:rFonts w:eastAsia="Times New Roman" w:cs="Tahoma"/>
          <w:szCs w:val="20"/>
          <w:lang w:eastAsia="it-IT"/>
        </w:rPr>
        <w:t xml:space="preserve"> e di ogni altra disponibilità liquida</w:t>
      </w:r>
      <w:r w:rsidRPr="00515872">
        <w:rPr>
          <w:rFonts w:eastAsia="Times New Roman" w:cs="Tahoma"/>
          <w:szCs w:val="20"/>
          <w:lang w:eastAsia="it-IT"/>
        </w:rPr>
        <w:t>;</w:t>
      </w:r>
    </w:p>
    <w:p w14:paraId="0BD45D4C" w14:textId="77777777" w:rsidR="004308B1" w:rsidRPr="00515872" w:rsidRDefault="004308B1"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lastRenderedPageBreak/>
        <w:t>Patrimonio netto</w:t>
      </w:r>
      <w:r w:rsidRPr="00515872">
        <w:rPr>
          <w:rFonts w:eastAsia="Times New Roman" w:cs="Tahoma"/>
          <w:szCs w:val="20"/>
          <w:lang w:eastAsia="it-IT"/>
        </w:rPr>
        <w:t>: verificare la coerenza delle variazioni tra un esercizio e il successivo</w:t>
      </w:r>
      <w:r w:rsidR="00792DB3" w:rsidRPr="00515872">
        <w:rPr>
          <w:rFonts w:eastAsia="Times New Roman" w:cs="Tahoma"/>
          <w:szCs w:val="20"/>
          <w:lang w:eastAsia="it-IT"/>
        </w:rPr>
        <w:t>;</w:t>
      </w:r>
    </w:p>
    <w:p w14:paraId="6D0BF2AA" w14:textId="77777777" w:rsidR="00792DB3" w:rsidRPr="00515872" w:rsidRDefault="00792DB3"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Fondi</w:t>
      </w:r>
      <w:r w:rsidRPr="00515872">
        <w:rPr>
          <w:rFonts w:eastAsia="Times New Roman" w:cs="Tahoma"/>
          <w:szCs w:val="20"/>
          <w:lang w:eastAsia="it-IT"/>
        </w:rPr>
        <w:t>: verificare la coerenza con quanto accantonato nel risultato di amministrazione;</w:t>
      </w:r>
    </w:p>
    <w:p w14:paraId="7E695D96" w14:textId="77777777" w:rsidR="00792DB3" w:rsidRPr="00515872" w:rsidRDefault="00792DB3"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Debiti</w:t>
      </w:r>
      <w:r w:rsidRPr="00515872">
        <w:rPr>
          <w:rFonts w:eastAsia="Times New Roman" w:cs="Tahoma"/>
          <w:szCs w:val="20"/>
          <w:lang w:eastAsia="it-IT"/>
        </w:rPr>
        <w:t>: verificare la correlazione tra debiti e residui passivi</w:t>
      </w:r>
      <w:r w:rsidR="00631BD8" w:rsidRPr="00515872">
        <w:rPr>
          <w:rFonts w:eastAsia="Times New Roman" w:cs="Tahoma"/>
          <w:szCs w:val="20"/>
          <w:lang w:eastAsia="it-IT"/>
        </w:rPr>
        <w:t xml:space="preserve"> (</w:t>
      </w:r>
      <w:r w:rsidR="00B76E70" w:rsidRPr="00515872">
        <w:rPr>
          <w:rFonts w:eastAsia="Times New Roman" w:cs="Tahoma"/>
          <w:szCs w:val="20"/>
          <w:lang w:eastAsia="it-IT"/>
        </w:rPr>
        <w:t>anche per questi, il principio di vigilanza fornisce uno schema da utilizzare per la riconciliazione fra i due saldi</w:t>
      </w:r>
      <w:r w:rsidR="00631BD8" w:rsidRPr="00515872">
        <w:rPr>
          <w:rFonts w:eastAsia="Times New Roman" w:cs="Tahoma"/>
          <w:szCs w:val="20"/>
          <w:lang w:eastAsia="it-IT"/>
        </w:rPr>
        <w:t>)</w:t>
      </w:r>
      <w:r w:rsidR="00B76E70" w:rsidRPr="00515872">
        <w:rPr>
          <w:rFonts w:eastAsia="Times New Roman" w:cs="Tahoma"/>
          <w:szCs w:val="20"/>
          <w:lang w:eastAsia="it-IT"/>
        </w:rPr>
        <w:t>;</w:t>
      </w:r>
    </w:p>
    <w:p w14:paraId="2B38512F" w14:textId="77777777" w:rsidR="00792DB3" w:rsidRPr="00515872" w:rsidRDefault="00792DB3"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b/>
          <w:szCs w:val="20"/>
          <w:lang w:eastAsia="it-IT"/>
        </w:rPr>
        <w:t>Ratei e risconti</w:t>
      </w:r>
      <w:r w:rsidRPr="00515872">
        <w:rPr>
          <w:rFonts w:eastAsia="Times New Roman" w:cs="Tahoma"/>
          <w:szCs w:val="20"/>
          <w:lang w:eastAsia="it-IT"/>
        </w:rPr>
        <w:t xml:space="preserve">: verificare la rilevazione secondo il principio della competenza economica con particolare attenzione </w:t>
      </w:r>
      <w:r w:rsidR="00D02CF5" w:rsidRPr="00515872">
        <w:rPr>
          <w:rFonts w:eastAsia="Times New Roman" w:cs="Tahoma"/>
          <w:szCs w:val="20"/>
          <w:lang w:eastAsia="it-IT"/>
        </w:rPr>
        <w:t>ai contributi agli investimenti</w:t>
      </w:r>
      <w:r w:rsidRPr="00515872">
        <w:rPr>
          <w:rFonts w:eastAsia="Times New Roman" w:cs="Tahoma"/>
          <w:szCs w:val="20"/>
          <w:lang w:eastAsia="it-IT"/>
        </w:rPr>
        <w:t>.</w:t>
      </w:r>
    </w:p>
    <w:p w14:paraId="2A8F3E22" w14:textId="77777777" w:rsidR="00840DC0" w:rsidRPr="00515872" w:rsidRDefault="003C06BB" w:rsidP="0032614D">
      <w:pPr>
        <w:spacing w:after="0" w:line="360" w:lineRule="auto"/>
        <w:jc w:val="both"/>
        <w:rPr>
          <w:rFonts w:eastAsia="Times New Roman" w:cs="Tahoma"/>
          <w:szCs w:val="20"/>
          <w:lang w:eastAsia="it-IT"/>
        </w:rPr>
      </w:pPr>
      <w:r w:rsidRPr="00515872">
        <w:rPr>
          <w:rFonts w:eastAsia="Times New Roman" w:cs="Tahoma"/>
          <w:szCs w:val="20"/>
          <w:lang w:eastAsia="it-IT"/>
        </w:rPr>
        <w:t>Particolare attenzione deve essere rivolta alle scritture di assestamento per rilevare nella contabilità economico-patrimoniale</w:t>
      </w:r>
      <w:r w:rsidR="00840DC0" w:rsidRPr="00515872">
        <w:rPr>
          <w:rFonts w:eastAsia="Times New Roman" w:cs="Tahoma"/>
          <w:szCs w:val="20"/>
          <w:lang w:eastAsia="it-IT"/>
        </w:rPr>
        <w:t xml:space="preserve"> i movimenti che non rientrano nella contabilità integrata dell’ente per quanto attiene:</w:t>
      </w:r>
    </w:p>
    <w:p w14:paraId="544F71D2" w14:textId="77777777" w:rsidR="00840DC0" w:rsidRPr="00515872" w:rsidRDefault="00840DC0"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il sistema di rilevazione in contabilità finanziaria e in contabilità economico-patrimoniale dell’I</w:t>
      </w:r>
      <w:r w:rsidR="00631BD8" w:rsidRPr="00515872">
        <w:rPr>
          <w:rFonts w:eastAsia="Times New Roman" w:cs="Tahoma"/>
          <w:szCs w:val="20"/>
          <w:lang w:eastAsia="it-IT"/>
        </w:rPr>
        <w:t>VA</w:t>
      </w:r>
      <w:r w:rsidRPr="00515872">
        <w:rPr>
          <w:rFonts w:eastAsia="Times New Roman" w:cs="Tahoma"/>
          <w:szCs w:val="20"/>
          <w:lang w:eastAsia="it-IT"/>
        </w:rPr>
        <w:t xml:space="preserve"> split istituzionale, </w:t>
      </w:r>
      <w:r w:rsidR="0032614D" w:rsidRPr="00515872">
        <w:rPr>
          <w:rFonts w:eastAsia="Times New Roman" w:cs="Tahoma"/>
          <w:szCs w:val="20"/>
          <w:lang w:eastAsia="it-IT"/>
        </w:rPr>
        <w:t>dell’</w:t>
      </w:r>
      <w:r w:rsidRPr="00515872">
        <w:rPr>
          <w:rFonts w:eastAsia="Times New Roman" w:cs="Tahoma"/>
          <w:szCs w:val="20"/>
          <w:lang w:eastAsia="it-IT"/>
        </w:rPr>
        <w:t>I</w:t>
      </w:r>
      <w:r w:rsidR="00631BD8" w:rsidRPr="00515872">
        <w:rPr>
          <w:rFonts w:eastAsia="Times New Roman" w:cs="Tahoma"/>
          <w:szCs w:val="20"/>
          <w:lang w:eastAsia="it-IT"/>
        </w:rPr>
        <w:t>VA</w:t>
      </w:r>
      <w:r w:rsidRPr="00515872">
        <w:rPr>
          <w:rFonts w:eastAsia="Times New Roman" w:cs="Tahoma"/>
          <w:szCs w:val="20"/>
          <w:lang w:eastAsia="it-IT"/>
        </w:rPr>
        <w:t xml:space="preserve"> split commerciale e </w:t>
      </w:r>
      <w:r w:rsidR="0032614D" w:rsidRPr="00515872">
        <w:rPr>
          <w:rFonts w:eastAsia="Times New Roman" w:cs="Tahoma"/>
          <w:szCs w:val="20"/>
          <w:lang w:eastAsia="it-IT"/>
        </w:rPr>
        <w:t xml:space="preserve">del </w:t>
      </w:r>
      <w:r w:rsidRPr="00515872">
        <w:rPr>
          <w:rFonts w:eastAsia="Times New Roman" w:cs="Tahoma"/>
          <w:i/>
          <w:szCs w:val="20"/>
          <w:lang w:eastAsia="it-IT"/>
        </w:rPr>
        <w:t>reverse charge</w:t>
      </w:r>
      <w:r w:rsidRPr="00515872">
        <w:rPr>
          <w:rFonts w:eastAsia="Times New Roman" w:cs="Tahoma"/>
          <w:szCs w:val="20"/>
          <w:lang w:eastAsia="it-IT"/>
        </w:rPr>
        <w:t>;</w:t>
      </w:r>
    </w:p>
    <w:p w14:paraId="06CE6C78" w14:textId="77777777" w:rsidR="00840DC0" w:rsidRPr="00515872" w:rsidRDefault="00840DC0"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le rimanenze finali dei beni destinati alla rivendita e prodotti di consumo ed il collegamento con le rimanenze iniziali;</w:t>
      </w:r>
    </w:p>
    <w:p w14:paraId="3823EFA4" w14:textId="77777777" w:rsidR="00840DC0" w:rsidRPr="00515872" w:rsidRDefault="00840DC0"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il calcolo e la rilevazione delle quote di ammortamento;</w:t>
      </w:r>
    </w:p>
    <w:p w14:paraId="55AD3B52" w14:textId="77777777" w:rsidR="00840DC0" w:rsidRPr="00515872" w:rsidRDefault="00840DC0"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la capitalizzazione dei costi il cui impegno è sorto nella spesa corrente (ad esempio, le spese per elezioni comunali il cui costo deve essere capitalizzato per la durata del mandato);</w:t>
      </w:r>
    </w:p>
    <w:p w14:paraId="71C9A356" w14:textId="77777777" w:rsidR="00840DC0" w:rsidRPr="00515872" w:rsidRDefault="00840DC0"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l’a</w:t>
      </w:r>
      <w:r w:rsidR="004C23EA" w:rsidRPr="00515872">
        <w:rPr>
          <w:rFonts w:eastAsia="Times New Roman" w:cs="Tahoma"/>
          <w:szCs w:val="20"/>
          <w:lang w:eastAsia="it-IT"/>
        </w:rPr>
        <w:t xml:space="preserve">umento della riserva </w:t>
      </w:r>
      <w:r w:rsidRPr="00515872">
        <w:rPr>
          <w:rFonts w:eastAsia="Times New Roman" w:cs="Tahoma"/>
          <w:szCs w:val="20"/>
          <w:lang w:eastAsia="it-IT"/>
        </w:rPr>
        <w:t xml:space="preserve">da beni demaniali patrimoniali indisponibili, culturali vincolati a seguito di contabilizzazione di manutenzioni straordinarie </w:t>
      </w:r>
      <w:r w:rsidR="00907E54" w:rsidRPr="00515872">
        <w:rPr>
          <w:rFonts w:eastAsia="Times New Roman" w:cs="Tahoma"/>
          <w:szCs w:val="20"/>
          <w:lang w:eastAsia="it-IT"/>
        </w:rPr>
        <w:t>o altri incrementi, nonché il relativo decremento in fase di ammortamento dei relativi cespiti;</w:t>
      </w:r>
    </w:p>
    <w:p w14:paraId="5F8BFF52" w14:textId="77777777" w:rsidR="00907E54" w:rsidRPr="00515872" w:rsidRDefault="00907E54"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l’esposizione nell’attivo circolante del saldo in Banca d’Italia. Considerato che le scritture automatizzate movimentano il conto tesoreria occorre portare in “dare” il valore del saldo in Banca d’Italia e in avere la riduzione del conto di tesoreria;</w:t>
      </w:r>
    </w:p>
    <w:p w14:paraId="18CEC7FB" w14:textId="77777777" w:rsidR="00907E54" w:rsidRPr="00515872" w:rsidRDefault="00907E54"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l’esposizione nell’attivo circolante del saldo del conto corrente postale;</w:t>
      </w:r>
    </w:p>
    <w:p w14:paraId="4FDA9DD5" w14:textId="77777777" w:rsidR="00907E54" w:rsidRPr="00515872" w:rsidRDefault="00907E54"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l’inserimento nei conti d’ordine degli impegni su esercizi futuri ovvero degli impegni ad esigibilità differita.</w:t>
      </w:r>
    </w:p>
    <w:p w14:paraId="10E5D052" w14:textId="77777777" w:rsidR="009518AF" w:rsidRPr="00515872" w:rsidRDefault="009518AF" w:rsidP="009518AF">
      <w:pPr>
        <w:spacing w:after="0" w:line="360" w:lineRule="auto"/>
        <w:jc w:val="both"/>
        <w:rPr>
          <w:rFonts w:cs="Tahoma"/>
          <w:b/>
          <w:color w:val="231F20"/>
          <w:szCs w:val="20"/>
        </w:rPr>
      </w:pPr>
      <w:r w:rsidRPr="00515872">
        <w:rPr>
          <w:rFonts w:cs="Tahoma"/>
          <w:b/>
          <w:color w:val="231F20"/>
          <w:szCs w:val="20"/>
        </w:rPr>
        <w:t>Verifiche sul conto economico</w:t>
      </w:r>
    </w:p>
    <w:p w14:paraId="5B758865"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Sul conto economico, ove previsto, l’organo di revisione deve effettuare alcuni controlli di dettaglio, tra cui:</w:t>
      </w:r>
    </w:p>
    <w:p w14:paraId="46FE63C8" w14:textId="77777777" w:rsidR="009518AF" w:rsidRPr="00515872" w:rsidRDefault="009518AF" w:rsidP="00D65838">
      <w:pPr>
        <w:pStyle w:val="Paragrafoelenco"/>
        <w:numPr>
          <w:ilvl w:val="0"/>
          <w:numId w:val="77"/>
        </w:numPr>
        <w:spacing w:line="360" w:lineRule="auto"/>
        <w:jc w:val="both"/>
        <w:rPr>
          <w:rFonts w:eastAsia="Times New Roman" w:cs="Tahoma"/>
          <w:szCs w:val="20"/>
          <w:lang w:eastAsia="it-IT"/>
        </w:rPr>
      </w:pPr>
      <w:r w:rsidRPr="00515872">
        <w:rPr>
          <w:rFonts w:eastAsia="Times New Roman" w:cs="Tahoma"/>
          <w:szCs w:val="20"/>
          <w:lang w:eastAsia="it-IT"/>
        </w:rPr>
        <w:t xml:space="preserve">la rispondenza del prospetto al </w:t>
      </w:r>
      <w:r w:rsidR="00595B3B" w:rsidRPr="00515872">
        <w:rPr>
          <w:rFonts w:eastAsia="Times New Roman" w:cs="Tahoma"/>
          <w:szCs w:val="20"/>
          <w:lang w:eastAsia="it-IT"/>
        </w:rPr>
        <w:t>modello previsto dall’allegato 10</w:t>
      </w:r>
      <w:r w:rsidRPr="00515872">
        <w:rPr>
          <w:rFonts w:eastAsia="Times New Roman" w:cs="Tahoma"/>
          <w:szCs w:val="20"/>
          <w:lang w:eastAsia="it-IT"/>
        </w:rPr>
        <w:t xml:space="preserve"> al D.Lgs. n. 118/2011;</w:t>
      </w:r>
    </w:p>
    <w:p w14:paraId="2846C860" w14:textId="77777777" w:rsidR="009518AF" w:rsidRPr="00515872" w:rsidRDefault="009518AF" w:rsidP="00D65838">
      <w:pPr>
        <w:pStyle w:val="Paragrafoelenco"/>
        <w:numPr>
          <w:ilvl w:val="0"/>
          <w:numId w:val="78"/>
        </w:numPr>
        <w:spacing w:line="360" w:lineRule="auto"/>
        <w:jc w:val="both"/>
        <w:rPr>
          <w:rFonts w:eastAsia="Times New Roman" w:cs="Tahoma"/>
          <w:szCs w:val="20"/>
          <w:lang w:eastAsia="it-IT"/>
        </w:rPr>
      </w:pPr>
      <w:r w:rsidRPr="00515872">
        <w:rPr>
          <w:rFonts w:eastAsia="Times New Roman" w:cs="Tahoma"/>
          <w:szCs w:val="20"/>
          <w:lang w:eastAsia="it-IT"/>
        </w:rPr>
        <w:t>che gli accertamenti finanziari di competenza siano stati rettificati ed integrati, come indicato dall’art. 229 del TUEL;</w:t>
      </w:r>
    </w:p>
    <w:p w14:paraId="3E81C0C0" w14:textId="77777777" w:rsidR="009518AF" w:rsidRPr="00515872" w:rsidRDefault="009518AF" w:rsidP="00D65838">
      <w:pPr>
        <w:pStyle w:val="Paragrafoelenco"/>
        <w:numPr>
          <w:ilvl w:val="0"/>
          <w:numId w:val="78"/>
        </w:numPr>
        <w:spacing w:line="360" w:lineRule="auto"/>
        <w:jc w:val="both"/>
        <w:rPr>
          <w:rFonts w:eastAsia="Times New Roman" w:cs="Tahoma"/>
          <w:szCs w:val="20"/>
          <w:lang w:eastAsia="it-IT"/>
        </w:rPr>
      </w:pPr>
      <w:r w:rsidRPr="00515872">
        <w:rPr>
          <w:rFonts w:eastAsia="Times New Roman" w:cs="Tahoma"/>
          <w:szCs w:val="20"/>
          <w:lang w:eastAsia="it-IT"/>
        </w:rPr>
        <w:t>che gli impegni finanziari di competenza, siano stati rettificati ed integrati con la rilevazione dei seguenti elementi:</w:t>
      </w:r>
    </w:p>
    <w:p w14:paraId="12CC503B" w14:textId="77777777" w:rsidR="009518AF" w:rsidRPr="00515872" w:rsidRDefault="009518AF" w:rsidP="00D65838">
      <w:pPr>
        <w:pStyle w:val="Paragrafoelenco"/>
        <w:numPr>
          <w:ilvl w:val="0"/>
          <w:numId w:val="170"/>
        </w:numPr>
        <w:spacing w:line="360" w:lineRule="auto"/>
        <w:jc w:val="both"/>
        <w:rPr>
          <w:rFonts w:eastAsia="Times New Roman" w:cs="Tahoma"/>
          <w:szCs w:val="20"/>
          <w:lang w:eastAsia="it-IT"/>
        </w:rPr>
      </w:pPr>
      <w:r w:rsidRPr="00515872">
        <w:rPr>
          <w:rFonts w:eastAsia="Times New Roman" w:cs="Tahoma"/>
          <w:szCs w:val="20"/>
          <w:lang w:eastAsia="it-IT"/>
        </w:rPr>
        <w:t>costi di esercizi futuri;</w:t>
      </w:r>
    </w:p>
    <w:p w14:paraId="432EB00A" w14:textId="77777777" w:rsidR="009518AF" w:rsidRPr="00515872" w:rsidRDefault="009518AF" w:rsidP="00D65838">
      <w:pPr>
        <w:pStyle w:val="Paragrafoelenco"/>
        <w:numPr>
          <w:ilvl w:val="0"/>
          <w:numId w:val="170"/>
        </w:numPr>
        <w:spacing w:line="360" w:lineRule="auto"/>
        <w:jc w:val="both"/>
        <w:rPr>
          <w:rFonts w:eastAsia="Times New Roman" w:cs="Tahoma"/>
          <w:szCs w:val="20"/>
          <w:lang w:eastAsia="it-IT"/>
        </w:rPr>
      </w:pPr>
      <w:r w:rsidRPr="00515872">
        <w:rPr>
          <w:rFonts w:eastAsia="Times New Roman" w:cs="Tahoma"/>
          <w:szCs w:val="20"/>
          <w:lang w:eastAsia="it-IT"/>
        </w:rPr>
        <w:t>risconti attivi e ratei passivi;</w:t>
      </w:r>
    </w:p>
    <w:p w14:paraId="712449D8" w14:textId="77777777" w:rsidR="009518AF" w:rsidRPr="00515872" w:rsidRDefault="009518AF" w:rsidP="00D65838">
      <w:pPr>
        <w:pStyle w:val="Paragrafoelenco"/>
        <w:numPr>
          <w:ilvl w:val="0"/>
          <w:numId w:val="170"/>
        </w:numPr>
        <w:spacing w:line="360" w:lineRule="auto"/>
        <w:jc w:val="both"/>
        <w:rPr>
          <w:rFonts w:eastAsia="Times New Roman" w:cs="Tahoma"/>
          <w:szCs w:val="20"/>
          <w:lang w:eastAsia="it-IT"/>
        </w:rPr>
      </w:pPr>
      <w:r w:rsidRPr="00515872">
        <w:rPr>
          <w:rFonts w:eastAsia="Times New Roman" w:cs="Tahoma"/>
          <w:szCs w:val="20"/>
          <w:lang w:eastAsia="it-IT"/>
        </w:rPr>
        <w:t>variazioni in aumento o in diminuzione delle rimanenze;</w:t>
      </w:r>
    </w:p>
    <w:p w14:paraId="1831D7FC" w14:textId="77777777" w:rsidR="009518AF" w:rsidRPr="00515872" w:rsidRDefault="009518AF" w:rsidP="00D65838">
      <w:pPr>
        <w:pStyle w:val="Paragrafoelenco"/>
        <w:numPr>
          <w:ilvl w:val="0"/>
          <w:numId w:val="170"/>
        </w:numPr>
        <w:spacing w:line="360" w:lineRule="auto"/>
        <w:jc w:val="both"/>
        <w:rPr>
          <w:rFonts w:eastAsia="Times New Roman" w:cs="Tahoma"/>
          <w:szCs w:val="20"/>
          <w:lang w:eastAsia="it-IT"/>
        </w:rPr>
      </w:pPr>
      <w:r w:rsidRPr="00515872">
        <w:rPr>
          <w:rFonts w:eastAsia="Times New Roman" w:cs="Tahoma"/>
          <w:szCs w:val="20"/>
          <w:lang w:eastAsia="it-IT"/>
        </w:rPr>
        <w:t>quote di costo già inserite nei risconti attivi di anni precedenti;</w:t>
      </w:r>
    </w:p>
    <w:p w14:paraId="4B37A368" w14:textId="77777777" w:rsidR="009518AF" w:rsidRPr="00515872" w:rsidRDefault="009518AF" w:rsidP="00D65838">
      <w:pPr>
        <w:pStyle w:val="Paragrafoelenco"/>
        <w:numPr>
          <w:ilvl w:val="0"/>
          <w:numId w:val="170"/>
        </w:numPr>
        <w:spacing w:line="360" w:lineRule="auto"/>
        <w:jc w:val="both"/>
        <w:rPr>
          <w:rFonts w:eastAsia="Times New Roman" w:cs="Tahoma"/>
          <w:szCs w:val="20"/>
          <w:lang w:eastAsia="it-IT"/>
        </w:rPr>
      </w:pPr>
      <w:r w:rsidRPr="00515872">
        <w:rPr>
          <w:rFonts w:eastAsia="Times New Roman" w:cs="Tahoma"/>
          <w:szCs w:val="20"/>
          <w:lang w:eastAsia="it-IT"/>
        </w:rPr>
        <w:t>quote di ammortamento economico di beni a valenza pluriennale e di costi capitalizzati;</w:t>
      </w:r>
    </w:p>
    <w:p w14:paraId="3084A3D9" w14:textId="77777777" w:rsidR="00631BD8" w:rsidRPr="00515872" w:rsidRDefault="00631BD8" w:rsidP="00631BD8">
      <w:pPr>
        <w:pStyle w:val="Paragrafoelenco"/>
        <w:numPr>
          <w:ilvl w:val="0"/>
          <w:numId w:val="170"/>
        </w:numPr>
        <w:spacing w:after="0" w:line="360" w:lineRule="auto"/>
        <w:ind w:left="714" w:hanging="357"/>
        <w:jc w:val="both"/>
        <w:rPr>
          <w:rFonts w:eastAsia="Times New Roman" w:cs="Tahoma"/>
          <w:szCs w:val="20"/>
          <w:lang w:eastAsia="it-IT"/>
        </w:rPr>
      </w:pPr>
      <w:r w:rsidRPr="00515872">
        <w:rPr>
          <w:rFonts w:eastAsia="Times New Roman" w:cs="Tahoma"/>
          <w:szCs w:val="20"/>
          <w:lang w:eastAsia="it-IT"/>
        </w:rPr>
        <w:lastRenderedPageBreak/>
        <w:t>IVA</w:t>
      </w:r>
      <w:r w:rsidR="009518AF" w:rsidRPr="00515872">
        <w:rPr>
          <w:rFonts w:eastAsia="Times New Roman" w:cs="Tahoma"/>
          <w:szCs w:val="20"/>
          <w:lang w:eastAsia="it-IT"/>
        </w:rPr>
        <w:t xml:space="preserve"> per le attività effettuate in regime di impresa;</w:t>
      </w:r>
    </w:p>
    <w:p w14:paraId="6B8E9837" w14:textId="77777777" w:rsidR="009518AF" w:rsidRPr="00515872" w:rsidRDefault="009518AF" w:rsidP="00631BD8">
      <w:pPr>
        <w:spacing w:after="0" w:line="360" w:lineRule="auto"/>
        <w:ind w:left="357"/>
        <w:jc w:val="both"/>
        <w:rPr>
          <w:rFonts w:eastAsia="Times New Roman" w:cs="Tahoma"/>
          <w:szCs w:val="20"/>
          <w:lang w:eastAsia="it-IT"/>
        </w:rPr>
      </w:pPr>
      <w:r w:rsidRPr="00515872">
        <w:rPr>
          <w:rFonts w:cs="Tahoma"/>
          <w:color w:val="000000"/>
          <w:szCs w:val="20"/>
        </w:rPr>
        <w:t xml:space="preserve">tenendo presente che sono necessarie integrazioni economico-patrimoniali agli elementi finanziari per rilevare: </w:t>
      </w:r>
    </w:p>
    <w:p w14:paraId="587274C2"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le variazioni nelle rimanenze;</w:t>
      </w:r>
    </w:p>
    <w:p w14:paraId="39F61D34"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le sopravvenienze;</w:t>
      </w:r>
    </w:p>
    <w:p w14:paraId="31CB2EDB"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le plusvalenze e le minusvalenze;</w:t>
      </w:r>
    </w:p>
    <w:p w14:paraId="5AD14EAA"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le insussistenze patrimoniali;</w:t>
      </w:r>
    </w:p>
    <w:p w14:paraId="2AC3B80F"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la quota d'ammortamento dei beni;</w:t>
      </w:r>
    </w:p>
    <w:p w14:paraId="3178EB4C" w14:textId="77777777" w:rsidR="009518AF" w:rsidRPr="00515872" w:rsidRDefault="009518AF" w:rsidP="00D65838">
      <w:pPr>
        <w:pStyle w:val="Paragrafoelenco"/>
        <w:numPr>
          <w:ilvl w:val="0"/>
          <w:numId w:val="170"/>
        </w:numPr>
        <w:autoSpaceDE w:val="0"/>
        <w:autoSpaceDN w:val="0"/>
        <w:adjustRightInd w:val="0"/>
        <w:spacing w:line="360" w:lineRule="auto"/>
        <w:jc w:val="both"/>
        <w:rPr>
          <w:rFonts w:cs="Tahoma"/>
          <w:color w:val="000000"/>
          <w:szCs w:val="20"/>
        </w:rPr>
      </w:pPr>
      <w:r w:rsidRPr="00515872">
        <w:rPr>
          <w:rFonts w:cs="Tahoma"/>
          <w:color w:val="000000"/>
          <w:szCs w:val="20"/>
        </w:rPr>
        <w:t xml:space="preserve">la svalutazione dei crediti. </w:t>
      </w:r>
    </w:p>
    <w:p w14:paraId="06E77FE8" w14:textId="77777777" w:rsidR="009518AF" w:rsidRPr="00515872" w:rsidRDefault="009518AF" w:rsidP="009518AF">
      <w:pPr>
        <w:spacing w:line="360" w:lineRule="auto"/>
        <w:jc w:val="both"/>
        <w:rPr>
          <w:rFonts w:cs="Tahoma"/>
        </w:rPr>
      </w:pPr>
      <w:r w:rsidRPr="00515872">
        <w:rPr>
          <w:rFonts w:cs="Tahoma"/>
        </w:rPr>
        <w:t>Il dettaglio delle rettifiche ed integrazioni di cui sopra deve risultare da specifiche carte di lavoro sulle quali l’</w:t>
      </w:r>
      <w:r w:rsidR="00A76877" w:rsidRPr="00515872">
        <w:rPr>
          <w:rFonts w:cs="Tahoma"/>
        </w:rPr>
        <w:t>o</w:t>
      </w:r>
      <w:r w:rsidRPr="00515872">
        <w:rPr>
          <w:rFonts w:cs="Tahoma"/>
        </w:rPr>
        <w:t>rgano di revisione è tenuto ad effettuare controlli con la tecnica del campionamento.</w:t>
      </w:r>
    </w:p>
    <w:p w14:paraId="7A228AB8" w14:textId="77777777" w:rsidR="000F313A" w:rsidRPr="00515872" w:rsidRDefault="000F313A" w:rsidP="000F313A">
      <w:pPr>
        <w:spacing w:line="360" w:lineRule="auto"/>
        <w:jc w:val="both"/>
        <w:rPr>
          <w:rFonts w:cs="Tahoma"/>
        </w:rPr>
      </w:pPr>
      <w:r w:rsidRPr="00515872">
        <w:rPr>
          <w:rFonts w:cs="Tahoma"/>
        </w:rPr>
        <w:t>Il principio di vigilanza n. 9 propone una elencazione dettagliata delle conciliazioni che devono trovare i saldi esposti nel contro economico e i corrispondenti accertamenti e impegni nel piano finanziario.</w:t>
      </w:r>
    </w:p>
    <w:p w14:paraId="1A30B1D4" w14:textId="77777777" w:rsidR="00361F4B" w:rsidRPr="00515872" w:rsidRDefault="00361F4B" w:rsidP="00361F4B">
      <w:pPr>
        <w:spacing w:after="0" w:line="360" w:lineRule="auto"/>
        <w:jc w:val="both"/>
        <w:rPr>
          <w:rFonts w:cs="Tahoma"/>
          <w:b/>
          <w:color w:val="231F20"/>
          <w:szCs w:val="20"/>
        </w:rPr>
      </w:pPr>
      <w:r w:rsidRPr="00515872">
        <w:rPr>
          <w:rFonts w:cs="Tahoma"/>
          <w:b/>
          <w:color w:val="231F20"/>
          <w:szCs w:val="20"/>
        </w:rPr>
        <w:t>Vigilanza sugli adempimenti successivi</w:t>
      </w:r>
    </w:p>
    <w:p w14:paraId="5922C497" w14:textId="77777777" w:rsidR="00361F4B" w:rsidRPr="00515872" w:rsidRDefault="00361F4B" w:rsidP="00B54025">
      <w:pPr>
        <w:spacing w:after="0" w:line="360" w:lineRule="auto"/>
        <w:jc w:val="both"/>
        <w:rPr>
          <w:rFonts w:cs="Tahoma"/>
          <w:color w:val="000000"/>
          <w:sz w:val="22"/>
        </w:rPr>
      </w:pPr>
      <w:r w:rsidRPr="00515872">
        <w:rPr>
          <w:rFonts w:cs="Tahoma"/>
          <w:color w:val="000000"/>
          <w:sz w:val="22"/>
        </w:rPr>
        <w:t>Ai fini del controllo degli obblighi che gravano sull’ente locale dopo l’approvazione del rendiconto, l’organo di revisione verifica:</w:t>
      </w:r>
    </w:p>
    <w:p w14:paraId="25DCC600"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la trasmissione alla BDAP nei termini e nei modi previsti dalla legge, tenuto conto della possibilità di inviare i rendicon</w:t>
      </w:r>
      <w:r w:rsidR="00A76877" w:rsidRPr="00515872">
        <w:rPr>
          <w:rFonts w:cs="Tahoma"/>
          <w:color w:val="000000"/>
          <w:szCs w:val="20"/>
        </w:rPr>
        <w:t>ti allo stato “approvato dalla g</w:t>
      </w:r>
      <w:r w:rsidRPr="00515872">
        <w:rPr>
          <w:rFonts w:cs="Tahoma"/>
          <w:color w:val="000000"/>
          <w:szCs w:val="20"/>
        </w:rPr>
        <w:t xml:space="preserve">iunta” per verificare l’esistenza di errori e operare le eventuali correzioni prima </w:t>
      </w:r>
      <w:r w:rsidR="00A76877" w:rsidRPr="00515872">
        <w:rPr>
          <w:rFonts w:cs="Tahoma"/>
          <w:color w:val="000000"/>
          <w:szCs w:val="20"/>
        </w:rPr>
        <w:t>dell’approvazione da parte del c</w:t>
      </w:r>
      <w:r w:rsidRPr="00515872">
        <w:rPr>
          <w:rFonts w:cs="Tahoma"/>
          <w:color w:val="000000"/>
          <w:szCs w:val="20"/>
        </w:rPr>
        <w:t>onsiglio;</w:t>
      </w:r>
    </w:p>
    <w:p w14:paraId="21A4AC1E"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nell’ipotesi di mancato invio dei dati alla BDAP nei termini, il rispetto del divieto di assunzione di</w:t>
      </w:r>
      <w:r w:rsidRPr="00515872">
        <w:rPr>
          <w:rFonts w:cs="Tahoma"/>
          <w:color w:val="000000"/>
          <w:szCs w:val="20"/>
        </w:rPr>
        <w:br/>
        <w:t>personale a qualsiasi titolo, con qualsiasi tipologia contrattuale;</w:t>
      </w:r>
    </w:p>
    <w:p w14:paraId="456BC4A1"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l’invio del prospetto relativo alle spese di rappresentanza alla sezione regionale di controllo della</w:t>
      </w:r>
      <w:r w:rsidRPr="00515872">
        <w:rPr>
          <w:rFonts w:cs="Tahoma"/>
          <w:color w:val="000000"/>
          <w:szCs w:val="20"/>
        </w:rPr>
        <w:br/>
        <w:t xml:space="preserve">Corte dei </w:t>
      </w:r>
      <w:r w:rsidR="00B54025" w:rsidRPr="00515872">
        <w:rPr>
          <w:rFonts w:cs="Tahoma"/>
          <w:color w:val="000000"/>
          <w:szCs w:val="20"/>
        </w:rPr>
        <w:t>C</w:t>
      </w:r>
      <w:r w:rsidRPr="00515872">
        <w:rPr>
          <w:rFonts w:cs="Tahoma"/>
          <w:color w:val="000000"/>
          <w:szCs w:val="20"/>
        </w:rPr>
        <w:t>onti entro 10 giorni dall’approvazione del rendiconto e la sua pubblicazione sul sito dell’ente;</w:t>
      </w:r>
    </w:p>
    <w:p w14:paraId="52632423"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la pubblicazione del rendiconto sul sito internet dell’ente locale, nella sezione dedicata ai</w:t>
      </w:r>
      <w:r w:rsidRPr="00515872">
        <w:rPr>
          <w:rFonts w:cs="Tahoma"/>
          <w:color w:val="000000"/>
          <w:szCs w:val="20"/>
        </w:rPr>
        <w:br/>
        <w:t>bilanci;</w:t>
      </w:r>
    </w:p>
    <w:p w14:paraId="406E2FC7"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il rispetto degli obblighi in materia di certificato al rendiconto (li</w:t>
      </w:r>
      <w:r w:rsidR="00B54025" w:rsidRPr="00515872">
        <w:rPr>
          <w:rFonts w:cs="Tahoma"/>
          <w:color w:val="000000"/>
          <w:szCs w:val="20"/>
        </w:rPr>
        <w:t>mitatamente all’esercizio 2018);</w:t>
      </w:r>
    </w:p>
    <w:p w14:paraId="5E2BAFB2" w14:textId="77777777" w:rsidR="00361F4B" w:rsidRPr="00515872" w:rsidRDefault="00361F4B" w:rsidP="00B54025">
      <w:pPr>
        <w:pStyle w:val="Paragrafoelenco"/>
        <w:numPr>
          <w:ilvl w:val="0"/>
          <w:numId w:val="224"/>
        </w:numPr>
        <w:spacing w:line="360" w:lineRule="auto"/>
        <w:ind w:left="284" w:hanging="284"/>
        <w:jc w:val="both"/>
        <w:rPr>
          <w:rFonts w:cs="Tahoma"/>
          <w:color w:val="000000"/>
          <w:szCs w:val="20"/>
        </w:rPr>
      </w:pPr>
      <w:r w:rsidRPr="00515872">
        <w:rPr>
          <w:rFonts w:cs="Tahoma"/>
          <w:color w:val="000000"/>
          <w:szCs w:val="20"/>
        </w:rPr>
        <w:t>il rispetto degli obblighi in materia di invio dei conti del tesoriere e degli agenti contabili</w:t>
      </w:r>
      <w:r w:rsidR="00B54025" w:rsidRPr="00515872">
        <w:rPr>
          <w:rFonts w:cs="Tahoma"/>
          <w:color w:val="000000"/>
          <w:szCs w:val="20"/>
        </w:rPr>
        <w:t>.</w:t>
      </w:r>
    </w:p>
    <w:p w14:paraId="4D0027AA" w14:textId="77777777" w:rsidR="00B83307" w:rsidRPr="00515872" w:rsidRDefault="00361F4B" w:rsidP="00361F4B">
      <w:pPr>
        <w:spacing w:line="360" w:lineRule="auto"/>
        <w:jc w:val="both"/>
        <w:rPr>
          <w:rFonts w:cs="Tahoma"/>
          <w:color w:val="000000"/>
          <w:szCs w:val="20"/>
        </w:rPr>
      </w:pPr>
      <w:r w:rsidRPr="00515872">
        <w:rPr>
          <w:rFonts w:cs="Tahoma"/>
          <w:color w:val="000000"/>
          <w:szCs w:val="20"/>
        </w:rPr>
        <w:t xml:space="preserve">L’Organo di revisione è altresì tenuto a trasmettere, dopo la deliberazione del rendiconto, una relazione alla sezione regionale di controllo della Corte dei </w:t>
      </w:r>
      <w:r w:rsidR="00B54025" w:rsidRPr="00515872">
        <w:rPr>
          <w:rFonts w:cs="Tahoma"/>
          <w:color w:val="000000"/>
          <w:szCs w:val="20"/>
        </w:rPr>
        <w:t>C</w:t>
      </w:r>
      <w:r w:rsidRPr="00515872">
        <w:rPr>
          <w:rFonts w:cs="Tahoma"/>
          <w:color w:val="000000"/>
          <w:szCs w:val="20"/>
        </w:rPr>
        <w:t xml:space="preserve">onti sulla base dei questionari e linee guida definiti </w:t>
      </w:r>
      <w:r w:rsidR="00B54025" w:rsidRPr="00515872">
        <w:rPr>
          <w:rFonts w:cs="Tahoma"/>
          <w:color w:val="000000"/>
          <w:szCs w:val="20"/>
        </w:rPr>
        <w:t xml:space="preserve">annualmente </w:t>
      </w:r>
      <w:r w:rsidRPr="00515872">
        <w:rPr>
          <w:rFonts w:cs="Tahoma"/>
          <w:color w:val="000000"/>
          <w:szCs w:val="20"/>
        </w:rPr>
        <w:t>dalla medesima.</w:t>
      </w:r>
    </w:p>
    <w:p w14:paraId="19FE8318" w14:textId="77777777" w:rsidR="00277513" w:rsidRPr="00515872" w:rsidRDefault="00277513" w:rsidP="00297A21">
      <w:pPr>
        <w:pStyle w:val="Paragrafo"/>
      </w:pPr>
      <w:bookmarkStart w:id="191" w:name="_Toc521317115"/>
    </w:p>
    <w:p w14:paraId="53F7FD7E" w14:textId="77777777" w:rsidR="009518AF" w:rsidRPr="00515872" w:rsidRDefault="00AD2719" w:rsidP="00297A21">
      <w:pPr>
        <w:pStyle w:val="Paragrafo"/>
      </w:pPr>
      <w:bookmarkStart w:id="192" w:name="_Toc95912305"/>
      <w:r w:rsidRPr="00515872">
        <w:lastRenderedPageBreak/>
        <w:t>6</w:t>
      </w:r>
      <w:r w:rsidR="009518AF" w:rsidRPr="00515872">
        <w:t>.8 Relazione sulla proposta di deliberazione consiliare di approvazione del bilancio consolidato</w:t>
      </w:r>
      <w:bookmarkEnd w:id="191"/>
      <w:bookmarkEnd w:id="192"/>
    </w:p>
    <w:p w14:paraId="6BC4B971"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L’art. 239 del TUEL, </w:t>
      </w:r>
      <w:r w:rsidR="003F67F9" w:rsidRPr="00515872">
        <w:rPr>
          <w:rFonts w:eastAsia="Times New Roman" w:cs="Tahoma"/>
          <w:szCs w:val="20"/>
          <w:lang w:eastAsia="it-IT"/>
        </w:rPr>
        <w:t>al c.</w:t>
      </w:r>
      <w:r w:rsidR="00CF095E" w:rsidRPr="00515872">
        <w:rPr>
          <w:rFonts w:eastAsia="Times New Roman" w:cs="Tahoma"/>
          <w:szCs w:val="20"/>
          <w:lang w:eastAsia="it-IT"/>
        </w:rPr>
        <w:t xml:space="preserve"> 1, lett.</w:t>
      </w:r>
      <w:r w:rsidR="003F67F9" w:rsidRPr="00515872">
        <w:rPr>
          <w:rFonts w:eastAsia="Times New Roman" w:cs="Tahoma"/>
          <w:szCs w:val="20"/>
          <w:lang w:eastAsia="it-IT"/>
        </w:rPr>
        <w:t xml:space="preserve"> d-bis</w:t>
      </w:r>
      <w:r w:rsidRPr="00515872">
        <w:rPr>
          <w:rFonts w:eastAsia="Times New Roman" w:cs="Tahoma"/>
          <w:szCs w:val="20"/>
          <w:lang w:eastAsia="it-IT"/>
        </w:rPr>
        <w:t xml:space="preserve">, dispone che i revisori dell’ente locale debbano </w:t>
      </w:r>
      <w:r w:rsidR="003F67F9" w:rsidRPr="00515872">
        <w:rPr>
          <w:rFonts w:eastAsia="Times New Roman" w:cs="Tahoma"/>
          <w:szCs w:val="20"/>
          <w:lang w:eastAsia="it-IT"/>
        </w:rPr>
        <w:t xml:space="preserve">emanare una relazione </w:t>
      </w:r>
      <w:r w:rsidRPr="00515872">
        <w:rPr>
          <w:rFonts w:eastAsia="Times New Roman" w:cs="Tahoma"/>
          <w:szCs w:val="20"/>
          <w:lang w:eastAsia="it-IT"/>
        </w:rPr>
        <w:t>sulla proposta di deliberazione consiliare di approvazione del bilancio consolidato entro il termine previsto dal regolamento di contabilità e comunque non inferiore a 20 giorni, decorrente dalla trasmissione della stessa proposta approvata dall’organo esecutivo.</w:t>
      </w:r>
    </w:p>
    <w:p w14:paraId="750B08C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szCs w:val="20"/>
          <w:lang w:eastAsia="it-IT"/>
        </w:rPr>
      </w:pPr>
      <w:r w:rsidRPr="00515872">
        <w:rPr>
          <w:rFonts w:eastAsia="Times New Roman" w:cs="Tahoma"/>
          <w:bCs/>
          <w:szCs w:val="20"/>
          <w:lang w:eastAsia="it-IT"/>
        </w:rPr>
        <w:t xml:space="preserve">Nel 2016, ai fini della redazione del bilancio consolidato, secondo il relativo principio contabile applicato di cui all’allegato n. 4/4 al D.Lgs. n. 118/2011, occorreva procedere alla individuazione del gruppo amministrazione pubblica, rappresentato oltre che dallo stesso comune, anche dalle proprie articolazioni organizzative, attraverso la predisposizione e approvazione in giunta di due distinti elenchi riguardanti: </w:t>
      </w:r>
    </w:p>
    <w:p w14:paraId="435BB2BF" w14:textId="77777777" w:rsidR="009518AF" w:rsidRPr="00515872" w:rsidRDefault="009518A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 xml:space="preserve">gli enti, le aziende e le società che compongono il gruppo amministrazione pubblica; </w:t>
      </w:r>
    </w:p>
    <w:p w14:paraId="2FE5331D" w14:textId="77777777" w:rsidR="009518AF" w:rsidRPr="00515872" w:rsidRDefault="009518A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gli enti, le aziende e le società che sono ricomprese nell'ambito del bilancio consolidato.</w:t>
      </w:r>
    </w:p>
    <w:p w14:paraId="06E69E54" w14:textId="77777777" w:rsidR="00802FE3"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bCs/>
          <w:szCs w:val="20"/>
          <w:lang w:eastAsia="it-IT"/>
        </w:rPr>
        <w:t xml:space="preserve">Come già ricordato, per gli enti locali con popolazione inferiore a 5.000 abitanti </w:t>
      </w:r>
      <w:r w:rsidR="009C7196" w:rsidRPr="00515872">
        <w:rPr>
          <w:rFonts w:eastAsia="Times New Roman" w:cs="Tahoma"/>
          <w:bCs/>
          <w:szCs w:val="20"/>
          <w:lang w:eastAsia="it-IT"/>
        </w:rPr>
        <w:t>era</w:t>
      </w:r>
      <w:r w:rsidRPr="00515872">
        <w:rPr>
          <w:rFonts w:eastAsia="Times New Roman" w:cs="Tahoma"/>
          <w:bCs/>
          <w:szCs w:val="20"/>
          <w:lang w:eastAsia="it-IT"/>
        </w:rPr>
        <w:t xml:space="preserve"> prevista la possibilità di un ulteriore rinvio all’esercizio 2017 dell’adozione del bilancio consolidato e dei relativi adempimenti. </w:t>
      </w:r>
      <w:r w:rsidRPr="00515872">
        <w:rPr>
          <w:rFonts w:eastAsia="Times New Roman" w:cs="Tahoma"/>
          <w:szCs w:val="20"/>
          <w:lang w:eastAsia="it-IT"/>
        </w:rPr>
        <w:t xml:space="preserve">Per tali soggetti pubblici, l’obbligo di produzione del consolidato </w:t>
      </w:r>
      <w:r w:rsidR="009C7196" w:rsidRPr="00515872">
        <w:rPr>
          <w:rFonts w:eastAsia="Times New Roman" w:cs="Tahoma"/>
          <w:szCs w:val="20"/>
          <w:lang w:eastAsia="it-IT"/>
        </w:rPr>
        <w:t xml:space="preserve">doveva </w:t>
      </w:r>
      <w:r w:rsidRPr="00515872">
        <w:rPr>
          <w:rFonts w:eastAsia="Times New Roman" w:cs="Tahoma"/>
          <w:szCs w:val="20"/>
          <w:lang w:eastAsia="it-IT"/>
        </w:rPr>
        <w:t>decorre</w:t>
      </w:r>
      <w:r w:rsidR="009C7196" w:rsidRPr="00515872">
        <w:rPr>
          <w:rFonts w:eastAsia="Times New Roman" w:cs="Tahoma"/>
          <w:szCs w:val="20"/>
          <w:lang w:eastAsia="it-IT"/>
        </w:rPr>
        <w:t>re</w:t>
      </w:r>
      <w:r w:rsidRPr="00515872">
        <w:rPr>
          <w:rFonts w:eastAsia="Times New Roman" w:cs="Tahoma"/>
          <w:szCs w:val="20"/>
          <w:lang w:eastAsia="it-IT"/>
        </w:rPr>
        <w:t xml:space="preserve"> dall’anno 2018 con riferimento all’esercizio 2017. </w:t>
      </w:r>
    </w:p>
    <w:p w14:paraId="5854B83B" w14:textId="77777777" w:rsidR="004C0953"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szCs w:val="20"/>
        </w:rPr>
      </w:pPr>
      <w:r w:rsidRPr="00515872">
        <w:rPr>
          <w:rFonts w:eastAsia="Times New Roman" w:cs="Tahoma"/>
          <w:bCs/>
          <w:szCs w:val="20"/>
          <w:lang w:eastAsia="it-IT"/>
        </w:rPr>
        <w:t xml:space="preserve">I controlli dell’organo di revisione </w:t>
      </w:r>
      <w:r w:rsidR="00CF095E" w:rsidRPr="00515872">
        <w:rPr>
          <w:rFonts w:eastAsia="Times New Roman" w:cs="Tahoma"/>
          <w:bCs/>
          <w:szCs w:val="20"/>
          <w:lang w:eastAsia="it-IT"/>
        </w:rPr>
        <w:t xml:space="preserve">sul consolidato </w:t>
      </w:r>
      <w:r w:rsidRPr="00515872">
        <w:rPr>
          <w:rFonts w:eastAsia="Times New Roman" w:cs="Tahoma"/>
          <w:bCs/>
          <w:szCs w:val="20"/>
          <w:lang w:eastAsia="it-IT"/>
        </w:rPr>
        <w:t xml:space="preserve">interesseranno, </w:t>
      </w:r>
      <w:r w:rsidR="00CF095E" w:rsidRPr="00515872">
        <w:rPr>
          <w:rFonts w:eastAsia="Times New Roman" w:cs="Tahoma"/>
          <w:bCs/>
          <w:i/>
          <w:szCs w:val="20"/>
          <w:lang w:eastAsia="it-IT"/>
        </w:rPr>
        <w:t>in primis</w:t>
      </w:r>
      <w:r w:rsidRPr="00515872">
        <w:rPr>
          <w:rFonts w:eastAsia="Times New Roman" w:cs="Tahoma"/>
          <w:bCs/>
          <w:szCs w:val="20"/>
          <w:lang w:eastAsia="it-IT"/>
        </w:rPr>
        <w:t xml:space="preserve">, la delimitazione del “Gruppo amministrazione pubblica” (GAP) e del perimetro di consolidamento ai quali gli enti, alla data di approvazione del rendiconto, devono già essere pervenuti. </w:t>
      </w:r>
      <w:r w:rsidR="00802FE3" w:rsidRPr="00515872">
        <w:rPr>
          <w:rFonts w:eastAsia="Times New Roman" w:cs="Tahoma"/>
          <w:bCs/>
          <w:szCs w:val="20"/>
          <w:lang w:eastAsia="it-IT"/>
        </w:rPr>
        <w:t>A tal fine</w:t>
      </w:r>
      <w:r w:rsidR="004C0953" w:rsidRPr="00515872">
        <w:rPr>
          <w:rFonts w:eastAsia="Times New Roman" w:cs="Tahoma"/>
          <w:bCs/>
          <w:szCs w:val="20"/>
          <w:lang w:eastAsia="it-IT"/>
        </w:rPr>
        <w:t xml:space="preserve">, </w:t>
      </w:r>
      <w:r w:rsidR="004C0953" w:rsidRPr="00515872">
        <w:rPr>
          <w:rFonts w:cs="Tahoma"/>
          <w:color w:val="000000"/>
          <w:szCs w:val="20"/>
        </w:rPr>
        <w:t xml:space="preserve">l’organo di revisione deve verificare che l’ente capogruppo abbia </w:t>
      </w:r>
      <w:r w:rsidR="00802FE3" w:rsidRPr="00515872">
        <w:rPr>
          <w:rFonts w:cs="Tahoma"/>
          <w:color w:val="000000"/>
          <w:szCs w:val="20"/>
        </w:rPr>
        <w:t>assunto la deliberazione della g</w:t>
      </w:r>
      <w:r w:rsidR="004C0953" w:rsidRPr="00515872">
        <w:rPr>
          <w:rFonts w:cs="Tahoma"/>
          <w:color w:val="000000"/>
          <w:szCs w:val="20"/>
        </w:rPr>
        <w:t xml:space="preserve">iunta per l’approvazione degli elenchi di cui al paragrafo 3.1 dell’allegato 4/4 al D.lgs. n. 118/2011 e </w:t>
      </w:r>
      <w:r w:rsidR="00802FE3" w:rsidRPr="00515872">
        <w:rPr>
          <w:rFonts w:cs="Tahoma"/>
          <w:color w:val="000000"/>
          <w:szCs w:val="20"/>
        </w:rPr>
        <w:t xml:space="preserve">la </w:t>
      </w:r>
      <w:r w:rsidR="004C0953" w:rsidRPr="00515872">
        <w:rPr>
          <w:rFonts w:cs="Tahoma"/>
          <w:color w:val="000000"/>
          <w:szCs w:val="20"/>
        </w:rPr>
        <w:t>successiva comunicazione agli enti, alle aziende e alle società ricompresi nel perimetro di consolidamento</w:t>
      </w:r>
      <w:r w:rsidR="004C0953" w:rsidRPr="00515872">
        <w:rPr>
          <w:rFonts w:cs="Tahoma"/>
          <w:szCs w:val="20"/>
        </w:rPr>
        <w:t xml:space="preserve"> </w:t>
      </w:r>
      <w:r w:rsidR="004C0953" w:rsidRPr="00515872">
        <w:rPr>
          <w:rFonts w:cs="Tahoma"/>
          <w:color w:val="000000"/>
          <w:szCs w:val="20"/>
        </w:rPr>
        <w:t xml:space="preserve">delle direttive </w:t>
      </w:r>
      <w:r w:rsidR="00802FE3" w:rsidRPr="00515872">
        <w:rPr>
          <w:rFonts w:cs="Tahoma"/>
          <w:color w:val="000000"/>
          <w:szCs w:val="20"/>
        </w:rPr>
        <w:t>necessarie</w:t>
      </w:r>
      <w:r w:rsidR="004C0953" w:rsidRPr="00515872">
        <w:rPr>
          <w:rFonts w:cs="Tahoma"/>
          <w:color w:val="000000"/>
          <w:szCs w:val="20"/>
        </w:rPr>
        <w:t xml:space="preserve"> a rendere possibile la predisposizione del bilancio consolidato</w:t>
      </w:r>
      <w:r w:rsidR="004C0953" w:rsidRPr="00515872">
        <w:rPr>
          <w:rFonts w:cs="Tahoma"/>
          <w:color w:val="FF0000"/>
          <w:szCs w:val="20"/>
        </w:rPr>
        <w:t>.</w:t>
      </w:r>
    </w:p>
    <w:p w14:paraId="452CA6B8" w14:textId="77777777" w:rsidR="009518AF" w:rsidRPr="00515872" w:rsidRDefault="004C0953"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cs="Tahoma"/>
        </w:rPr>
        <w:t>Successivamente</w:t>
      </w:r>
      <w:r w:rsidR="009518AF" w:rsidRPr="00515872">
        <w:rPr>
          <w:rFonts w:eastAsia="Times New Roman" w:cs="Tahoma"/>
          <w:bCs/>
          <w:szCs w:val="20"/>
          <w:lang w:eastAsia="it-IT"/>
        </w:rPr>
        <w:t xml:space="preserve"> occorre verificare che tutti i soggetti appartenenti al gruppo abbiano fornito le informazioni </w:t>
      </w:r>
      <w:r w:rsidR="00802FE3" w:rsidRPr="00515872">
        <w:rPr>
          <w:rFonts w:eastAsia="Times New Roman" w:cs="Tahoma"/>
          <w:bCs/>
          <w:szCs w:val="20"/>
          <w:lang w:eastAsia="it-IT"/>
        </w:rPr>
        <w:t>richieste</w:t>
      </w:r>
      <w:r w:rsidR="009518AF" w:rsidRPr="00515872">
        <w:rPr>
          <w:rFonts w:eastAsia="Times New Roman" w:cs="Tahoma"/>
          <w:bCs/>
          <w:szCs w:val="20"/>
          <w:lang w:eastAsia="it-IT"/>
        </w:rPr>
        <w:t xml:space="preserve"> e che i bilanci dei soggetti da consolidare si riferiscano alla stessa unità temporale.</w:t>
      </w:r>
    </w:p>
    <w:p w14:paraId="5D04C14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 xml:space="preserve">L’attenzione deve poi essere posta alla procedura di consolidamento, </w:t>
      </w:r>
      <w:r w:rsidR="00802FE3" w:rsidRPr="00515872">
        <w:rPr>
          <w:rFonts w:eastAsia="Times New Roman" w:cs="Tahoma"/>
          <w:bCs/>
          <w:szCs w:val="20"/>
          <w:lang w:eastAsia="it-IT"/>
        </w:rPr>
        <w:t>con</w:t>
      </w:r>
      <w:r w:rsidRPr="00515872">
        <w:rPr>
          <w:rFonts w:eastAsia="Times New Roman" w:cs="Tahoma"/>
          <w:bCs/>
          <w:szCs w:val="20"/>
          <w:lang w:eastAsia="it-IT"/>
        </w:rPr>
        <w:t xml:space="preserve"> particolare</w:t>
      </w:r>
      <w:r w:rsidR="00802FE3" w:rsidRPr="00515872">
        <w:rPr>
          <w:rFonts w:eastAsia="Times New Roman" w:cs="Tahoma"/>
          <w:bCs/>
          <w:szCs w:val="20"/>
          <w:lang w:eastAsia="it-IT"/>
        </w:rPr>
        <w:t xml:space="preserve"> </w:t>
      </w:r>
      <w:r w:rsidRPr="00515872">
        <w:rPr>
          <w:rFonts w:eastAsia="Times New Roman" w:cs="Tahoma"/>
          <w:bCs/>
          <w:szCs w:val="20"/>
          <w:lang w:eastAsia="it-IT"/>
        </w:rPr>
        <w:t>riferimento alla fase di elisione dei rapporti costi/ricavi e debiti/crediti intercorrenti fra l’ente e le società consolidate, attraverso le rettifiche d</w:t>
      </w:r>
      <w:r w:rsidR="00802FE3" w:rsidRPr="00515872">
        <w:rPr>
          <w:rFonts w:eastAsia="Times New Roman" w:cs="Tahoma"/>
          <w:bCs/>
          <w:szCs w:val="20"/>
          <w:lang w:eastAsia="it-IT"/>
        </w:rPr>
        <w:t>i</w:t>
      </w:r>
      <w:r w:rsidRPr="00515872">
        <w:rPr>
          <w:rFonts w:eastAsia="Times New Roman" w:cs="Tahoma"/>
          <w:bCs/>
          <w:szCs w:val="20"/>
          <w:lang w:eastAsia="it-IT"/>
        </w:rPr>
        <w:t xml:space="preserve"> consolidamento, nonché all’eliminazione delle partecipazioni dell’ente nelle società a fronte della corrispondente quota di patrimonio netto.</w:t>
      </w:r>
    </w:p>
    <w:p w14:paraId="1A7791DE"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Al consolidato, infine, deve essere allegata la relazione sulla gestione contenente la nota integrativa che l’organo di revisione deve opportunamente verificare.</w:t>
      </w:r>
    </w:p>
    <w:p w14:paraId="7823B9A7" w14:textId="77777777" w:rsidR="00C92FF9" w:rsidRPr="00515872" w:rsidRDefault="00C92FF9" w:rsidP="00C92FF9">
      <w:pPr>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La relazione dell’organo di controllo al bilancio consolidato deve contenere un giudizio finale che può scaturire in un esito favorevole, non favorevole o con riserva oltre a considerazioni e segnalazioni che </w:t>
      </w:r>
      <w:r w:rsidR="00463086" w:rsidRPr="00515872">
        <w:rPr>
          <w:rFonts w:eastAsia="Times New Roman" w:cs="Tahoma"/>
          <w:szCs w:val="20"/>
          <w:lang w:eastAsia="it-IT"/>
        </w:rPr>
        <w:t>i revisori possono</w:t>
      </w:r>
      <w:r w:rsidRPr="00515872">
        <w:rPr>
          <w:rFonts w:eastAsia="Times New Roman" w:cs="Tahoma"/>
          <w:szCs w:val="20"/>
          <w:lang w:eastAsia="it-IT"/>
        </w:rPr>
        <w:t xml:space="preserve"> fare al consiglio dell’ente.</w:t>
      </w:r>
    </w:p>
    <w:p w14:paraId="0D962ADD" w14:textId="77777777" w:rsidR="00AE4796" w:rsidRPr="00515872" w:rsidRDefault="00AE4796" w:rsidP="00463086">
      <w:pPr>
        <w:spacing w:after="0" w:line="360" w:lineRule="auto"/>
        <w:jc w:val="both"/>
        <w:rPr>
          <w:rFonts w:eastAsia="Times New Roman" w:cs="Tahoma"/>
          <w:szCs w:val="20"/>
          <w:lang w:eastAsia="it-IT"/>
        </w:rPr>
      </w:pPr>
      <w:r w:rsidRPr="00515872">
        <w:rPr>
          <w:rFonts w:eastAsia="Times New Roman" w:cs="Tahoma"/>
          <w:szCs w:val="20"/>
          <w:lang w:eastAsia="it-IT"/>
        </w:rPr>
        <w:t xml:space="preserve">I controlli che </w:t>
      </w:r>
      <w:r w:rsidR="00802FE3" w:rsidRPr="00515872">
        <w:rPr>
          <w:rFonts w:eastAsia="Times New Roman" w:cs="Tahoma"/>
          <w:szCs w:val="20"/>
          <w:lang w:eastAsia="it-IT"/>
        </w:rPr>
        <w:t>l’organo di revisione</w:t>
      </w:r>
      <w:r w:rsidRPr="00515872">
        <w:rPr>
          <w:rFonts w:eastAsia="Times New Roman" w:cs="Tahoma"/>
          <w:szCs w:val="20"/>
          <w:lang w:eastAsia="it-IT"/>
        </w:rPr>
        <w:t xml:space="preserve"> deve effettuare per il rilascio della propria relazione </w:t>
      </w:r>
      <w:r w:rsidR="00463086" w:rsidRPr="00515872">
        <w:rPr>
          <w:rFonts w:eastAsia="Times New Roman" w:cs="Tahoma"/>
          <w:szCs w:val="20"/>
          <w:lang w:eastAsia="it-IT"/>
        </w:rPr>
        <w:t>devono interessare</w:t>
      </w:r>
      <w:r w:rsidRPr="00515872">
        <w:rPr>
          <w:rFonts w:eastAsia="Times New Roman" w:cs="Tahoma"/>
          <w:szCs w:val="20"/>
          <w:lang w:eastAsia="it-IT"/>
        </w:rPr>
        <w:t>, in base alle indicazioni fornite dal principio di vigilanza n. 12:</w:t>
      </w:r>
    </w:p>
    <w:p w14:paraId="54F7290A" w14:textId="77777777" w:rsidR="0031403C" w:rsidRPr="00515872" w:rsidRDefault="0031403C"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la procedura utilizzata dall’ente per il consolidamento dei dati;</w:t>
      </w:r>
    </w:p>
    <w:p w14:paraId="28EE4CC9" w14:textId="77777777" w:rsidR="0031403C" w:rsidRPr="00515872" w:rsidRDefault="00463086"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l’uniformità del</w:t>
      </w:r>
      <w:r w:rsidR="0031403C" w:rsidRPr="00515872">
        <w:rPr>
          <w:rFonts w:eastAsia="Times New Roman" w:cs="Tahoma"/>
          <w:bCs/>
          <w:szCs w:val="20"/>
          <w:lang w:eastAsia="it-IT"/>
        </w:rPr>
        <w:t>le date di riferimento dei bilanci, la struttura, il contenuto e i criteri di valutazione;</w:t>
      </w:r>
    </w:p>
    <w:p w14:paraId="590480ED" w14:textId="77777777" w:rsidR="0031403C" w:rsidRPr="00515872" w:rsidRDefault="0031403C"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la corretta classificazione e determinazione delle differenze da consolidamento</w:t>
      </w:r>
      <w:r w:rsidR="00463086" w:rsidRPr="00515872">
        <w:rPr>
          <w:rFonts w:eastAsia="Times New Roman" w:cs="Tahoma"/>
          <w:bCs/>
          <w:szCs w:val="20"/>
          <w:lang w:eastAsia="it-IT"/>
        </w:rPr>
        <w:t>.</w:t>
      </w:r>
    </w:p>
    <w:p w14:paraId="1CD2EFFF" w14:textId="77777777" w:rsidR="0031403C" w:rsidRPr="00515872" w:rsidRDefault="0031403C" w:rsidP="00463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ahoma"/>
          <w:bCs/>
          <w:szCs w:val="20"/>
          <w:lang w:eastAsia="it-IT"/>
        </w:rPr>
      </w:pPr>
      <w:r w:rsidRPr="00515872">
        <w:rPr>
          <w:rFonts w:eastAsia="Times New Roman" w:cs="Tahoma"/>
          <w:bCs/>
          <w:szCs w:val="20"/>
          <w:lang w:eastAsia="it-IT"/>
        </w:rPr>
        <w:t>In relazione ai valori evidenziati nel bilancio consolidato, l’organo di revisione deve verificare:</w:t>
      </w:r>
    </w:p>
    <w:p w14:paraId="634DD2B1" w14:textId="77777777" w:rsidR="0031403C" w:rsidRPr="00515872" w:rsidRDefault="0031403C"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che il valore delle immobilizzazioni finanziarie post-consolidamento coincida con la sommatoria dei valori a</w:t>
      </w:r>
      <w:r w:rsidR="0010467F" w:rsidRPr="00515872">
        <w:rPr>
          <w:rFonts w:eastAsia="Times New Roman" w:cs="Tahoma"/>
          <w:bCs/>
          <w:szCs w:val="20"/>
          <w:lang w:eastAsia="it-IT"/>
        </w:rPr>
        <w:t>ggregati delle immobilizzazioni, pro-quota in caso di consolidamento proporzionale, al netto delle partecipazioni oggetto di consolidamento integrale o parziale;</w:t>
      </w:r>
    </w:p>
    <w:p w14:paraId="3B98ADF6" w14:textId="77777777" w:rsidR="0010467F"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 xml:space="preserve">che le immobilizzazioni materiali </w:t>
      </w:r>
      <w:r w:rsidR="00366F14" w:rsidRPr="00515872">
        <w:rPr>
          <w:rFonts w:eastAsia="Times New Roman" w:cs="Tahoma"/>
          <w:bCs/>
          <w:szCs w:val="20"/>
          <w:lang w:eastAsia="it-IT"/>
        </w:rPr>
        <w:t xml:space="preserve">acquistate dalla partecipata </w:t>
      </w:r>
      <w:r w:rsidRPr="00515872">
        <w:rPr>
          <w:rFonts w:eastAsia="Times New Roman" w:cs="Tahoma"/>
          <w:bCs/>
          <w:szCs w:val="20"/>
          <w:lang w:eastAsia="it-IT"/>
        </w:rPr>
        <w:t>a mezz</w:t>
      </w:r>
      <w:r w:rsidR="00446C49" w:rsidRPr="00515872">
        <w:rPr>
          <w:rFonts w:eastAsia="Times New Roman" w:cs="Tahoma"/>
          <w:bCs/>
          <w:szCs w:val="20"/>
          <w:lang w:eastAsia="it-IT"/>
        </w:rPr>
        <w:t xml:space="preserve">o di contratto di leasing siano </w:t>
      </w:r>
      <w:r w:rsidRPr="00515872">
        <w:rPr>
          <w:rFonts w:eastAsia="Times New Roman" w:cs="Tahoma"/>
          <w:bCs/>
          <w:szCs w:val="20"/>
          <w:lang w:eastAsia="it-IT"/>
        </w:rPr>
        <w:t>contabilizzate nel rispetto del principio della prevalenza della sostanza sulla forma;</w:t>
      </w:r>
    </w:p>
    <w:p w14:paraId="6B569227" w14:textId="77777777" w:rsidR="0010467F"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che il valore dei crediti e debiti post-consolidamento coincida con la sommatoria dei valori aggregati dei crediti e debiti, pro-quota in caso di consolidamento proporzionale, al netto di quelli relativi ad operazioni infragruppo;</w:t>
      </w:r>
    </w:p>
    <w:p w14:paraId="7331CF8F" w14:textId="77777777" w:rsidR="0010467F"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che i costi e ricavi post-consolidamento coincidano con la sommatoria degli stessi aggregati, pro-quota in caso di consolidamento proporzionale, al netto di quelli relativi ad operazioni infragruppo;</w:t>
      </w:r>
    </w:p>
    <w:p w14:paraId="58F4A8A5" w14:textId="77777777" w:rsidR="0010467F"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le variazioni di patrimonio netto intervenute a seguito di consolidamento;</w:t>
      </w:r>
    </w:p>
    <w:p w14:paraId="3CF699FC" w14:textId="77777777" w:rsidR="0010467F"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bCs/>
          <w:szCs w:val="20"/>
          <w:lang w:eastAsia="it-IT"/>
        </w:rPr>
      </w:pPr>
      <w:r w:rsidRPr="00515872">
        <w:rPr>
          <w:rFonts w:eastAsia="Times New Roman" w:cs="Tahoma"/>
          <w:bCs/>
          <w:szCs w:val="20"/>
          <w:lang w:eastAsia="it-IT"/>
        </w:rPr>
        <w:t>che il fondo rischi ed oneri non comprenda quelli derivanti da operazioni infragruppo;</w:t>
      </w:r>
    </w:p>
    <w:p w14:paraId="5B7E1C6E" w14:textId="77777777" w:rsidR="00277513" w:rsidRPr="00515872" w:rsidRDefault="0010467F" w:rsidP="00D65838">
      <w:pPr>
        <w:pStyle w:val="Paragrafoelenco"/>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57" w:hanging="357"/>
        <w:contextualSpacing w:val="0"/>
        <w:jc w:val="both"/>
        <w:rPr>
          <w:rFonts w:eastAsia="Times New Roman" w:cs="Tahoma"/>
          <w:bCs/>
          <w:szCs w:val="20"/>
          <w:lang w:eastAsia="it-IT"/>
        </w:rPr>
      </w:pPr>
      <w:r w:rsidRPr="00515872">
        <w:rPr>
          <w:rFonts w:eastAsia="Times New Roman" w:cs="Tahoma"/>
          <w:bCs/>
          <w:szCs w:val="20"/>
          <w:lang w:eastAsia="it-IT"/>
        </w:rPr>
        <w:t>che il fondo TFR post-consolidamento coincida con la sommatoria, pro-quota in caso di consolidamento proporzionale, dei fondi TFR delle entità consolidate.</w:t>
      </w:r>
      <w:bookmarkStart w:id="193" w:name="_Toc521317116"/>
    </w:p>
    <w:p w14:paraId="10159788" w14:textId="77777777" w:rsidR="00861807" w:rsidRPr="00515872" w:rsidRDefault="00861807" w:rsidP="00861807">
      <w:pPr>
        <w:spacing w:line="360" w:lineRule="auto"/>
        <w:jc w:val="both"/>
        <w:rPr>
          <w:rFonts w:eastAsia="Times New Roman" w:cs="Tahoma"/>
          <w:szCs w:val="20"/>
          <w:lang w:eastAsia="it-IT"/>
        </w:rPr>
      </w:pPr>
      <w:r w:rsidRPr="00515872">
        <w:rPr>
          <w:rFonts w:eastAsia="Times New Roman" w:cs="Tahoma"/>
          <w:szCs w:val="20"/>
          <w:lang w:eastAsia="it-IT"/>
        </w:rPr>
        <w:t>L’organo di revisione deve infine vigilare sulle conseguenze dell’eventuale mancata deliberazione del bilancio consolidato nei termini di legge o del mancato invio dei dati alla BDAP a fronte della quale si applicano le disposizioni di cui all’art. 9, c. 1-quinquies, D.L. n. 113/2016</w:t>
      </w:r>
      <w:r w:rsidRPr="00515872">
        <w:rPr>
          <w:rStyle w:val="Rimandonotaapidipagina"/>
          <w:rFonts w:eastAsia="Times New Roman" w:cs="Tahoma"/>
          <w:szCs w:val="20"/>
          <w:lang w:eastAsia="it-IT"/>
        </w:rPr>
        <w:footnoteReference w:id="95"/>
      </w:r>
      <w:r w:rsidRPr="00515872">
        <w:rPr>
          <w:rFonts w:eastAsia="Times New Roman" w:cs="Tahoma"/>
          <w:szCs w:val="20"/>
          <w:lang w:eastAsia="it-IT"/>
        </w:rPr>
        <w:t>.</w:t>
      </w:r>
    </w:p>
    <w:p w14:paraId="276301A4" w14:textId="77777777" w:rsidR="00A72892" w:rsidRPr="00515872" w:rsidRDefault="00A72892" w:rsidP="00A72892">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57"/>
        <w:contextualSpacing w:val="0"/>
        <w:jc w:val="both"/>
        <w:rPr>
          <w:rFonts w:eastAsia="Times New Roman" w:cs="Tahoma"/>
          <w:bCs/>
          <w:szCs w:val="20"/>
          <w:lang w:eastAsia="it-IT"/>
        </w:rPr>
      </w:pPr>
    </w:p>
    <w:p w14:paraId="1C42C420" w14:textId="77777777" w:rsidR="009518AF" w:rsidRPr="00515872" w:rsidRDefault="00AD2719" w:rsidP="00297A21">
      <w:pPr>
        <w:pStyle w:val="Paragrafo"/>
      </w:pPr>
      <w:bookmarkStart w:id="194" w:name="_Toc95912306"/>
      <w:r w:rsidRPr="00515872">
        <w:lastRenderedPageBreak/>
        <w:t>6</w:t>
      </w:r>
      <w:r w:rsidR="009518AF" w:rsidRPr="00515872">
        <w:t>.9 Parere sulla modalità di gestione dei servizi e sulle proposte di costituzione o di partecipazione ad organismi esterni</w:t>
      </w:r>
      <w:bookmarkEnd w:id="193"/>
      <w:bookmarkEnd w:id="194"/>
    </w:p>
    <w:p w14:paraId="486AC768" w14:textId="77777777" w:rsidR="007E48ED" w:rsidRPr="00515872" w:rsidRDefault="007E48ED" w:rsidP="00724DC8">
      <w:pPr>
        <w:spacing w:after="120" w:line="360" w:lineRule="auto"/>
        <w:jc w:val="both"/>
        <w:rPr>
          <w:rFonts w:cs="Tahoma"/>
          <w:color w:val="000000"/>
          <w:szCs w:val="20"/>
        </w:rPr>
      </w:pPr>
      <w:r w:rsidRPr="00515872">
        <w:rPr>
          <w:rFonts w:cs="Tahoma"/>
          <w:color w:val="000000"/>
          <w:szCs w:val="20"/>
        </w:rPr>
        <w:t>L’organo di revisione deve valutare il procedimento di esternalizzazione dei servizi pubblici</w:t>
      </w:r>
      <w:r w:rsidR="00CA4286" w:rsidRPr="00515872">
        <w:rPr>
          <w:rFonts w:cs="Tahoma"/>
          <w:color w:val="000000"/>
          <w:szCs w:val="20"/>
        </w:rPr>
        <w:t xml:space="preserve"> in quanto e</w:t>
      </w:r>
      <w:r w:rsidRPr="00515872">
        <w:rPr>
          <w:rFonts w:cs="Tahoma"/>
          <w:color w:val="000000"/>
          <w:szCs w:val="20"/>
        </w:rPr>
        <w:t xml:space="preserve">sso rappresenta </w:t>
      </w:r>
      <w:r w:rsidR="0008476B" w:rsidRPr="00515872">
        <w:rPr>
          <w:rFonts w:cs="Tahoma"/>
          <w:color w:val="000000"/>
          <w:szCs w:val="20"/>
        </w:rPr>
        <w:t xml:space="preserve">un fattore </w:t>
      </w:r>
      <w:r w:rsidRPr="00515872">
        <w:rPr>
          <w:rFonts w:cs="Tahoma"/>
          <w:color w:val="000000"/>
          <w:szCs w:val="20"/>
        </w:rPr>
        <w:t>rilevante per l’ente per la gestione delle attività finalizzata al raggiungimento di standard qualitativi elevati.</w:t>
      </w:r>
    </w:p>
    <w:p w14:paraId="4370BB12" w14:textId="77777777" w:rsidR="00B651C7" w:rsidRPr="00515872" w:rsidRDefault="00B651C7" w:rsidP="00205A85">
      <w:pPr>
        <w:spacing w:line="360" w:lineRule="auto"/>
        <w:jc w:val="both"/>
        <w:rPr>
          <w:rFonts w:cs="Tahoma"/>
          <w:color w:val="000000"/>
          <w:szCs w:val="20"/>
        </w:rPr>
      </w:pPr>
      <w:r w:rsidRPr="00515872">
        <w:rPr>
          <w:rFonts w:cs="Tahoma"/>
          <w:color w:val="000000"/>
          <w:szCs w:val="20"/>
        </w:rPr>
        <w:t>Ai sensi dell’art. 239, c. 1, lett. b), n. 3 del TUEL, con modalità stabilite dall’ente, l’organo di revisione deve rilasciare il proprio parere circa le modalità di gestione dei servizi da parte dell’ente.</w:t>
      </w:r>
      <w:r w:rsidR="00205A85" w:rsidRPr="00515872">
        <w:rPr>
          <w:rFonts w:cs="Tahoma"/>
          <w:color w:val="000000"/>
          <w:szCs w:val="20"/>
        </w:rPr>
        <w:t xml:space="preserve"> In pratica, esso deve esprimere il proprio </w:t>
      </w:r>
      <w:r w:rsidR="00205A85" w:rsidRPr="00515872">
        <w:rPr>
          <w:rFonts w:cs="Tahoma"/>
          <w:b/>
          <w:color w:val="000000"/>
          <w:szCs w:val="20"/>
        </w:rPr>
        <w:t>parere sulle delibere riguardanti la modalità di gestione dei servizi</w:t>
      </w:r>
      <w:r w:rsidR="0008476B" w:rsidRPr="00515872">
        <w:rPr>
          <w:rFonts w:cs="Tahoma"/>
          <w:color w:val="000000"/>
          <w:szCs w:val="20"/>
        </w:rPr>
        <w:t>, sul rispetto dei contratti</w:t>
      </w:r>
      <w:r w:rsidR="00205A85" w:rsidRPr="00515872">
        <w:rPr>
          <w:rFonts w:cs="Tahoma"/>
          <w:color w:val="000000"/>
          <w:szCs w:val="20"/>
        </w:rPr>
        <w:t xml:space="preserve"> di servizio e su ogni eventuale </w:t>
      </w:r>
      <w:r w:rsidR="00CA4286" w:rsidRPr="00515872">
        <w:rPr>
          <w:rFonts w:cs="Tahoma"/>
          <w:color w:val="000000"/>
          <w:szCs w:val="20"/>
        </w:rPr>
        <w:t xml:space="preserve">loro </w:t>
      </w:r>
      <w:r w:rsidR="00205A85" w:rsidRPr="00515872">
        <w:rPr>
          <w:rFonts w:cs="Tahoma"/>
          <w:color w:val="000000"/>
          <w:szCs w:val="20"/>
        </w:rPr>
        <w:t>modifica o aggiornamento.</w:t>
      </w:r>
    </w:p>
    <w:p w14:paraId="56C576A8" w14:textId="77777777" w:rsidR="007E48ED" w:rsidRPr="00515872" w:rsidRDefault="007E48ED" w:rsidP="00724DC8">
      <w:pPr>
        <w:spacing w:after="120" w:line="360" w:lineRule="auto"/>
        <w:jc w:val="both"/>
        <w:rPr>
          <w:rFonts w:cs="Tahoma"/>
          <w:color w:val="000000"/>
          <w:szCs w:val="20"/>
        </w:rPr>
      </w:pPr>
      <w:r w:rsidRPr="00515872">
        <w:rPr>
          <w:rFonts w:cs="Tahoma"/>
          <w:color w:val="000000"/>
          <w:szCs w:val="20"/>
        </w:rPr>
        <w:t>L’organo di revisione deve verificare che le modalità organizzative adottate siano funzionali al monitoraggio costante della gestione dei servizi affidati all’organismo partecipato al fine di poter intervenire per tempo con eventuali azioni correttive che dovessero rendersi necessarie.</w:t>
      </w:r>
    </w:p>
    <w:p w14:paraId="7065F20E" w14:textId="77777777" w:rsidR="0008476B" w:rsidRPr="00515872" w:rsidRDefault="00187680" w:rsidP="0008476B">
      <w:pPr>
        <w:spacing w:after="0" w:line="360" w:lineRule="auto"/>
        <w:jc w:val="both"/>
        <w:rPr>
          <w:rFonts w:cs="Tahoma"/>
          <w:color w:val="000000"/>
        </w:rPr>
      </w:pPr>
      <w:r w:rsidRPr="00515872">
        <w:rPr>
          <w:rFonts w:cs="Tahoma"/>
          <w:color w:val="000000"/>
          <w:szCs w:val="20"/>
        </w:rPr>
        <w:t>L’art. 147-quater del TUEL dispone che l</w:t>
      </w:r>
      <w:r w:rsidRPr="00515872">
        <w:rPr>
          <w:rFonts w:cs="Tahoma"/>
          <w:color w:val="000000"/>
        </w:rPr>
        <w:t>'ente locale definisca, secondo la propria autonomia organizzativa, un sistema di controlli sulle societ</w:t>
      </w:r>
      <w:r w:rsidR="00204099" w:rsidRPr="00515872">
        <w:rPr>
          <w:rFonts w:cs="Tahoma"/>
          <w:color w:val="000000"/>
        </w:rPr>
        <w:t>à</w:t>
      </w:r>
      <w:r w:rsidRPr="00515872">
        <w:rPr>
          <w:rFonts w:cs="Tahoma"/>
          <w:color w:val="000000"/>
        </w:rPr>
        <w:t xml:space="preserve"> non quotate, </w:t>
      </w:r>
      <w:r w:rsidR="00D47BC3" w:rsidRPr="00515872">
        <w:rPr>
          <w:rFonts w:cs="Tahoma"/>
          <w:color w:val="000000"/>
        </w:rPr>
        <w:t xml:space="preserve">da esso </w:t>
      </w:r>
      <w:r w:rsidRPr="00515872">
        <w:rPr>
          <w:rFonts w:cs="Tahoma"/>
          <w:color w:val="000000"/>
        </w:rPr>
        <w:t>partecipate. Tali controlli sono esercitati dalle strutture proprie dell'ente locale, che ne sono responsabili</w:t>
      </w:r>
      <w:r w:rsidR="00204099" w:rsidRPr="00515872">
        <w:rPr>
          <w:rFonts w:cs="Tahoma"/>
          <w:color w:val="000000"/>
        </w:rPr>
        <w:t>. L'amministrazione deve definire preventivam</w:t>
      </w:r>
      <w:r w:rsidR="00446C49" w:rsidRPr="00515872">
        <w:rPr>
          <w:rFonts w:cs="Tahoma"/>
          <w:color w:val="000000"/>
        </w:rPr>
        <w:t xml:space="preserve">ente gli obiettivi gestionali </w:t>
      </w:r>
      <w:r w:rsidR="00204099" w:rsidRPr="00515872">
        <w:rPr>
          <w:rFonts w:cs="Tahoma"/>
          <w:color w:val="000000"/>
        </w:rPr>
        <w:t>cui deve tendere la società partecipata, secondo parametri qualitativi e quantitativi, e organizza un idoneo sistema informativo finalizzato a</w:t>
      </w:r>
      <w:r w:rsidR="0008476B" w:rsidRPr="00515872">
        <w:rPr>
          <w:rFonts w:cs="Tahoma"/>
          <w:color w:val="000000"/>
        </w:rPr>
        <w:t xml:space="preserve"> rilevare:</w:t>
      </w:r>
    </w:p>
    <w:p w14:paraId="1203F9ED" w14:textId="77777777" w:rsidR="0008476B" w:rsidRPr="00515872" w:rsidRDefault="00204099" w:rsidP="00D65838">
      <w:pPr>
        <w:pStyle w:val="Paragrafoelenco"/>
        <w:numPr>
          <w:ilvl w:val="0"/>
          <w:numId w:val="82"/>
        </w:numPr>
        <w:spacing w:after="120" w:line="360" w:lineRule="auto"/>
        <w:jc w:val="both"/>
        <w:rPr>
          <w:rFonts w:cs="Tahoma"/>
          <w:color w:val="000000"/>
          <w:szCs w:val="20"/>
        </w:rPr>
      </w:pPr>
      <w:r w:rsidRPr="00515872">
        <w:rPr>
          <w:rFonts w:cs="Tahoma"/>
          <w:color w:val="000000"/>
        </w:rPr>
        <w:t>i rapporti finanziari tra l</w:t>
      </w:r>
      <w:r w:rsidR="0008476B" w:rsidRPr="00515872">
        <w:rPr>
          <w:rFonts w:cs="Tahoma"/>
          <w:color w:val="000000"/>
        </w:rPr>
        <w:t>'ente proprietario e la società;</w:t>
      </w:r>
    </w:p>
    <w:p w14:paraId="3D97AFDF" w14:textId="77777777" w:rsidR="0008476B" w:rsidRPr="00515872" w:rsidRDefault="00204099" w:rsidP="00D65838">
      <w:pPr>
        <w:pStyle w:val="Paragrafoelenco"/>
        <w:numPr>
          <w:ilvl w:val="0"/>
          <w:numId w:val="82"/>
        </w:numPr>
        <w:spacing w:after="120" w:line="360" w:lineRule="auto"/>
        <w:jc w:val="both"/>
        <w:rPr>
          <w:rFonts w:cs="Tahoma"/>
          <w:color w:val="000000"/>
          <w:szCs w:val="20"/>
        </w:rPr>
      </w:pPr>
      <w:r w:rsidRPr="00515872">
        <w:rPr>
          <w:rFonts w:cs="Tahoma"/>
          <w:color w:val="000000"/>
        </w:rPr>
        <w:t>la situazione contabile, gestionale e o</w:t>
      </w:r>
      <w:r w:rsidR="0008476B" w:rsidRPr="00515872">
        <w:rPr>
          <w:rFonts w:cs="Tahoma"/>
          <w:color w:val="000000"/>
        </w:rPr>
        <w:t>rganizzativa della società;</w:t>
      </w:r>
    </w:p>
    <w:p w14:paraId="7F42CF61" w14:textId="77777777" w:rsidR="0008476B" w:rsidRPr="00515872" w:rsidRDefault="0008476B" w:rsidP="00D65838">
      <w:pPr>
        <w:pStyle w:val="Paragrafoelenco"/>
        <w:numPr>
          <w:ilvl w:val="0"/>
          <w:numId w:val="82"/>
        </w:numPr>
        <w:spacing w:after="120" w:line="360" w:lineRule="auto"/>
        <w:jc w:val="both"/>
        <w:rPr>
          <w:rFonts w:cs="Tahoma"/>
          <w:color w:val="000000"/>
          <w:szCs w:val="20"/>
        </w:rPr>
      </w:pPr>
      <w:r w:rsidRPr="00515872">
        <w:rPr>
          <w:rFonts w:cs="Tahoma"/>
          <w:color w:val="000000"/>
        </w:rPr>
        <w:t>i contratti di servizio;</w:t>
      </w:r>
    </w:p>
    <w:p w14:paraId="411AC67B" w14:textId="77777777" w:rsidR="0008476B" w:rsidRPr="00515872" w:rsidRDefault="0008476B" w:rsidP="00D65838">
      <w:pPr>
        <w:pStyle w:val="Paragrafoelenco"/>
        <w:numPr>
          <w:ilvl w:val="0"/>
          <w:numId w:val="82"/>
        </w:numPr>
        <w:spacing w:after="120" w:line="360" w:lineRule="auto"/>
        <w:jc w:val="both"/>
        <w:rPr>
          <w:rFonts w:cs="Tahoma"/>
          <w:color w:val="000000"/>
          <w:szCs w:val="20"/>
        </w:rPr>
      </w:pPr>
      <w:r w:rsidRPr="00515872">
        <w:rPr>
          <w:rFonts w:cs="Tahoma"/>
          <w:color w:val="000000"/>
        </w:rPr>
        <w:t>la qualità dei servizi;</w:t>
      </w:r>
    </w:p>
    <w:p w14:paraId="3B3D3B78" w14:textId="77777777" w:rsidR="0008476B" w:rsidRPr="00515872" w:rsidRDefault="00204099" w:rsidP="00D65838">
      <w:pPr>
        <w:pStyle w:val="Paragrafoelenco"/>
        <w:numPr>
          <w:ilvl w:val="0"/>
          <w:numId w:val="82"/>
        </w:numPr>
        <w:spacing w:after="120" w:line="360" w:lineRule="auto"/>
        <w:jc w:val="both"/>
        <w:rPr>
          <w:rFonts w:cs="Tahoma"/>
          <w:color w:val="000000"/>
          <w:szCs w:val="20"/>
        </w:rPr>
      </w:pPr>
      <w:r w:rsidRPr="00515872">
        <w:rPr>
          <w:rFonts w:cs="Tahoma"/>
          <w:color w:val="000000"/>
        </w:rPr>
        <w:t>il rispetto delle norme di legge sui vincoli di finanza pubblica.</w:t>
      </w:r>
    </w:p>
    <w:p w14:paraId="371F3BD1" w14:textId="77777777" w:rsidR="00187680" w:rsidRPr="00515872" w:rsidRDefault="000C5B8C" w:rsidP="0008476B">
      <w:pPr>
        <w:spacing w:after="120" w:line="360" w:lineRule="auto"/>
        <w:jc w:val="both"/>
        <w:rPr>
          <w:rFonts w:cs="Tahoma"/>
          <w:color w:val="000000"/>
          <w:szCs w:val="20"/>
        </w:rPr>
      </w:pPr>
      <w:r w:rsidRPr="00515872">
        <w:rPr>
          <w:rFonts w:cs="Tahoma"/>
          <w:color w:val="000000"/>
        </w:rPr>
        <w:t>In fase di prima applicazione è previsto che tali disposizioni si applichino agli enti locali con popolazione superiore a 100.000 abitanti, per l'anno 2014 agli enti locali con popolazione superiore a 50.000 abitanti e, a decorrere dall'anno 2015 agli enti locali con popolazione superiore a 15.000 abitanti.</w:t>
      </w:r>
    </w:p>
    <w:p w14:paraId="444696DE" w14:textId="77777777" w:rsidR="00DD3D7A" w:rsidRPr="00515872" w:rsidRDefault="00DD3D7A" w:rsidP="00DD3D7A">
      <w:pPr>
        <w:spacing w:after="120" w:line="360" w:lineRule="auto"/>
        <w:jc w:val="both"/>
        <w:rPr>
          <w:rFonts w:cs="Tahoma"/>
          <w:color w:val="000000"/>
          <w:szCs w:val="20"/>
        </w:rPr>
      </w:pPr>
      <w:r w:rsidRPr="00515872">
        <w:rPr>
          <w:rFonts w:cs="Tahoma"/>
          <w:color w:val="000000"/>
          <w:szCs w:val="20"/>
        </w:rPr>
        <w:t>Il principio di vigilanza n. 10 prevede una serie di verifiche che l’organo di revisione deve opportunamente effettuare a</w:t>
      </w:r>
      <w:r w:rsidR="00446C49" w:rsidRPr="00515872">
        <w:rPr>
          <w:rFonts w:cs="Tahoma"/>
          <w:color w:val="000000"/>
          <w:szCs w:val="20"/>
        </w:rPr>
        <w:t>l</w:t>
      </w:r>
      <w:r w:rsidRPr="00515872">
        <w:rPr>
          <w:rFonts w:cs="Tahoma"/>
          <w:color w:val="000000"/>
          <w:szCs w:val="20"/>
        </w:rPr>
        <w:t xml:space="preserve"> fin</w:t>
      </w:r>
      <w:r w:rsidR="00446C49" w:rsidRPr="00515872">
        <w:rPr>
          <w:rFonts w:cs="Tahoma"/>
          <w:color w:val="000000"/>
          <w:szCs w:val="20"/>
        </w:rPr>
        <w:t>e</w:t>
      </w:r>
      <w:r w:rsidRPr="00515872">
        <w:rPr>
          <w:rFonts w:cs="Tahoma"/>
          <w:color w:val="000000"/>
          <w:szCs w:val="20"/>
        </w:rPr>
        <w:t xml:space="preserve"> di verificare la correttezza nell’affidamento dei servizi, in particolare alle società ed enti partecipati dall’ente pubblico.</w:t>
      </w:r>
    </w:p>
    <w:p w14:paraId="6316A999" w14:textId="77777777" w:rsidR="009518AF" w:rsidRPr="00515872" w:rsidRDefault="00724DC8" w:rsidP="009518AF">
      <w:pPr>
        <w:spacing w:after="0" w:line="360" w:lineRule="auto"/>
        <w:jc w:val="both"/>
        <w:rPr>
          <w:rFonts w:cs="Tahoma"/>
          <w:color w:val="000000"/>
          <w:szCs w:val="20"/>
        </w:rPr>
      </w:pPr>
      <w:r w:rsidRPr="00515872">
        <w:rPr>
          <w:rFonts w:cs="Tahoma"/>
          <w:color w:val="000000"/>
          <w:szCs w:val="20"/>
        </w:rPr>
        <w:t>In fase di insediamento, per cominciare,</w:t>
      </w:r>
      <w:r w:rsidR="009518AF" w:rsidRPr="00515872">
        <w:rPr>
          <w:rFonts w:cs="Tahoma"/>
          <w:color w:val="000000"/>
          <w:szCs w:val="20"/>
        </w:rPr>
        <w:t xml:space="preserve"> </w:t>
      </w:r>
      <w:r w:rsidRPr="00515872">
        <w:rPr>
          <w:rFonts w:cs="Tahoma"/>
          <w:color w:val="000000"/>
          <w:szCs w:val="20"/>
        </w:rPr>
        <w:t>l’organo di revisione deve ottenere la seguente documentaz</w:t>
      </w:r>
      <w:r w:rsidR="007C1A2B" w:rsidRPr="00515872">
        <w:rPr>
          <w:rFonts w:cs="Tahoma"/>
          <w:color w:val="000000"/>
          <w:szCs w:val="20"/>
        </w:rPr>
        <w:t>i</w:t>
      </w:r>
      <w:r w:rsidRPr="00515872">
        <w:rPr>
          <w:rFonts w:cs="Tahoma"/>
          <w:color w:val="000000"/>
          <w:szCs w:val="20"/>
        </w:rPr>
        <w:t>one</w:t>
      </w:r>
      <w:r w:rsidR="009518AF" w:rsidRPr="00515872">
        <w:rPr>
          <w:rFonts w:cs="Tahoma"/>
          <w:color w:val="000000"/>
          <w:szCs w:val="20"/>
        </w:rPr>
        <w:t>:</w:t>
      </w:r>
    </w:p>
    <w:p w14:paraId="77754272" w14:textId="77777777" w:rsidR="007C1A2B" w:rsidRPr="00515872" w:rsidRDefault="00724DC8"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 xml:space="preserve">l’elenco delle società e degli organismi partecipati </w:t>
      </w:r>
      <w:r w:rsidR="007C1A2B" w:rsidRPr="00515872">
        <w:rPr>
          <w:rFonts w:cs="Tahoma"/>
          <w:color w:val="000000"/>
          <w:szCs w:val="20"/>
        </w:rPr>
        <w:t>identificandone l’attività svolta;</w:t>
      </w:r>
    </w:p>
    <w:p w14:paraId="688316E2"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 xml:space="preserve">informazioni circa il modello di </w:t>
      </w:r>
      <w:r w:rsidRPr="00515872">
        <w:rPr>
          <w:rFonts w:cs="Tahoma"/>
          <w:i/>
          <w:color w:val="000000"/>
          <w:szCs w:val="20"/>
        </w:rPr>
        <w:t>governance</w:t>
      </w:r>
      <w:r w:rsidRPr="00515872">
        <w:rPr>
          <w:rFonts w:cs="Tahoma"/>
          <w:color w:val="000000"/>
          <w:szCs w:val="20"/>
        </w:rPr>
        <w:t xml:space="preserve"> adottato dall’ente per la gestione delle proprie società ed enti partecipati;</w:t>
      </w:r>
    </w:p>
    <w:p w14:paraId="0811C588" w14:textId="77777777" w:rsidR="007C1A2B" w:rsidRPr="00515872" w:rsidRDefault="00D47BC3"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delibera di i</w:t>
      </w:r>
      <w:r w:rsidR="007C1A2B" w:rsidRPr="00515872">
        <w:rPr>
          <w:rFonts w:cs="Tahoma"/>
          <w:color w:val="000000"/>
          <w:szCs w:val="20"/>
        </w:rPr>
        <w:t>ndividuazione del GAP;</w:t>
      </w:r>
    </w:p>
    <w:p w14:paraId="2CD39553"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lastRenderedPageBreak/>
        <w:t>l’ultimo bilancio consolidato approvato;</w:t>
      </w:r>
    </w:p>
    <w:p w14:paraId="4C145D5B"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gli statuti delle società e degli altri organismi partecipati;</w:t>
      </w:r>
    </w:p>
    <w:p w14:paraId="444E3B7C"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gli ultimi 3 bilanci delle società e degli altri organismi partecipati;</w:t>
      </w:r>
    </w:p>
    <w:p w14:paraId="084CCC35"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il budget annuale con evidenziati i rapporti finanziari previsti con l’ente locale controllante;</w:t>
      </w:r>
    </w:p>
    <w:p w14:paraId="0542BDA9"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situazioni infr</w:t>
      </w:r>
      <w:r w:rsidR="00187680" w:rsidRPr="00515872">
        <w:rPr>
          <w:rFonts w:cs="Tahoma"/>
          <w:color w:val="000000"/>
          <w:szCs w:val="20"/>
        </w:rPr>
        <w:t>a</w:t>
      </w:r>
      <w:r w:rsidRPr="00515872">
        <w:rPr>
          <w:rFonts w:cs="Tahoma"/>
          <w:color w:val="000000"/>
          <w:szCs w:val="20"/>
        </w:rPr>
        <w:t>nnuali e report economico-finanziari;</w:t>
      </w:r>
    </w:p>
    <w:p w14:paraId="6C72BCE8" w14:textId="77777777" w:rsidR="007C1A2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le delibere assembleari e degli altri organi sociali che possano comportare oneri per l’ente;</w:t>
      </w:r>
    </w:p>
    <w:p w14:paraId="08C5F92F" w14:textId="77777777" w:rsidR="00F2664B" w:rsidRPr="00515872" w:rsidRDefault="007C1A2B"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i contratti di servizi</w:t>
      </w:r>
      <w:r w:rsidR="00DB6BE5" w:rsidRPr="00515872">
        <w:rPr>
          <w:rFonts w:cs="Tahoma"/>
          <w:color w:val="000000"/>
          <w:szCs w:val="20"/>
        </w:rPr>
        <w:t>o</w:t>
      </w:r>
      <w:r w:rsidRPr="00515872">
        <w:rPr>
          <w:rFonts w:cs="Tahoma"/>
          <w:color w:val="000000"/>
          <w:szCs w:val="20"/>
        </w:rPr>
        <w:t xml:space="preserve"> </w:t>
      </w:r>
      <w:r w:rsidR="007E48ED" w:rsidRPr="00515872">
        <w:rPr>
          <w:rFonts w:cs="Tahoma"/>
          <w:color w:val="000000"/>
          <w:szCs w:val="20"/>
        </w:rPr>
        <w:t>stipulati tr</w:t>
      </w:r>
      <w:r w:rsidR="00DB6BE5" w:rsidRPr="00515872">
        <w:rPr>
          <w:rFonts w:cs="Tahoma"/>
          <w:color w:val="000000"/>
          <w:szCs w:val="20"/>
        </w:rPr>
        <w:t>a</w:t>
      </w:r>
      <w:r w:rsidR="007E48ED" w:rsidRPr="00515872">
        <w:rPr>
          <w:rFonts w:cs="Tahoma"/>
          <w:color w:val="000000"/>
          <w:szCs w:val="20"/>
        </w:rPr>
        <w:t xml:space="preserve"> l’ente e le società e organismi partecipati.</w:t>
      </w:r>
    </w:p>
    <w:p w14:paraId="2DF53EF1" w14:textId="77777777" w:rsidR="00F2664B" w:rsidRPr="00515872" w:rsidRDefault="00F2664B" w:rsidP="00F2664B">
      <w:pPr>
        <w:spacing w:line="360" w:lineRule="auto"/>
        <w:jc w:val="both"/>
        <w:rPr>
          <w:rFonts w:cs="Tahoma"/>
          <w:color w:val="000000"/>
          <w:szCs w:val="20"/>
        </w:rPr>
      </w:pPr>
      <w:r w:rsidRPr="00515872">
        <w:rPr>
          <w:rFonts w:cs="Tahoma"/>
          <w:color w:val="000000"/>
          <w:szCs w:val="20"/>
        </w:rPr>
        <w:t>L’acquisto di una partecipazione societaria, anche indiretta, o la partecipazione alla costituzione di una</w:t>
      </w:r>
      <w:r w:rsidRPr="00515872">
        <w:rPr>
          <w:rFonts w:cs="Tahoma"/>
          <w:szCs w:val="20"/>
        </w:rPr>
        <w:t xml:space="preserve"> </w:t>
      </w:r>
      <w:r w:rsidRPr="00515872">
        <w:rPr>
          <w:rFonts w:cs="Tahoma"/>
          <w:color w:val="000000"/>
          <w:szCs w:val="20"/>
        </w:rPr>
        <w:t>società deve essere analiticamente motivato dall’ente locale, con apposito atto deliberativo.</w:t>
      </w:r>
    </w:p>
    <w:p w14:paraId="347C663D" w14:textId="77777777" w:rsidR="006C0D74" w:rsidRPr="00515872" w:rsidRDefault="006C0D74" w:rsidP="00DB6BE5">
      <w:pPr>
        <w:spacing w:after="0" w:line="360" w:lineRule="auto"/>
        <w:jc w:val="both"/>
        <w:rPr>
          <w:rFonts w:cs="Tahoma"/>
          <w:color w:val="000000"/>
          <w:szCs w:val="20"/>
        </w:rPr>
      </w:pPr>
      <w:r w:rsidRPr="00515872">
        <w:rPr>
          <w:rFonts w:cs="Tahoma"/>
          <w:color w:val="000000"/>
          <w:szCs w:val="20"/>
        </w:rPr>
        <w:t>In ordine alle aziende speciali e alle istituzioni</w:t>
      </w:r>
      <w:r w:rsidR="00A90515" w:rsidRPr="00515872">
        <w:rPr>
          <w:rFonts w:cs="Tahoma"/>
          <w:color w:val="000000"/>
          <w:szCs w:val="20"/>
        </w:rPr>
        <w:t xml:space="preserve"> possedute dall’ente</w:t>
      </w:r>
      <w:r w:rsidRPr="00515872">
        <w:rPr>
          <w:rFonts w:cs="Tahoma"/>
          <w:color w:val="000000"/>
          <w:szCs w:val="20"/>
        </w:rPr>
        <w:t>, l’organo di revisione deve</w:t>
      </w:r>
      <w:r w:rsidR="00E05A57" w:rsidRPr="00515872">
        <w:rPr>
          <w:rFonts w:cs="Tahoma"/>
          <w:color w:val="000000"/>
          <w:szCs w:val="20"/>
        </w:rPr>
        <w:t xml:space="preserve"> verificare che l’organo consiliare</w:t>
      </w:r>
      <w:r w:rsidRPr="00515872">
        <w:rPr>
          <w:rFonts w:cs="Tahoma"/>
          <w:color w:val="000000"/>
          <w:szCs w:val="20"/>
        </w:rPr>
        <w:t>:</w:t>
      </w:r>
    </w:p>
    <w:p w14:paraId="236AFEF7" w14:textId="77777777" w:rsidR="006C0D74"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conferisca il capitale di dotazione</w:t>
      </w:r>
      <w:r w:rsidR="006C0D74" w:rsidRPr="00515872">
        <w:rPr>
          <w:rFonts w:cs="Tahoma"/>
          <w:color w:val="000000"/>
          <w:szCs w:val="20"/>
        </w:rPr>
        <w:t>;</w:t>
      </w:r>
    </w:p>
    <w:p w14:paraId="5AC4042C" w14:textId="77777777" w:rsidR="006C0D74"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determini le finalità e gli indirizzi che devono essere perseguiti;</w:t>
      </w:r>
    </w:p>
    <w:p w14:paraId="2CE0FFE6" w14:textId="77777777" w:rsidR="00205BB1"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approvi gli atti fondamentali;</w:t>
      </w:r>
    </w:p>
    <w:p w14:paraId="4EC5F451" w14:textId="77777777" w:rsidR="006C0D74"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eserciti la dovuta vigilanza</w:t>
      </w:r>
      <w:r w:rsidR="006C0D74" w:rsidRPr="00515872">
        <w:rPr>
          <w:rFonts w:cs="Tahoma"/>
          <w:color w:val="000000"/>
          <w:szCs w:val="20"/>
        </w:rPr>
        <w:t>;</w:t>
      </w:r>
    </w:p>
    <w:p w14:paraId="1B3AB87F" w14:textId="77777777" w:rsidR="006C0D74"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verifichi i risultati della gestione</w:t>
      </w:r>
      <w:r w:rsidR="006C0D74" w:rsidRPr="00515872">
        <w:rPr>
          <w:rFonts w:cs="Tahoma"/>
          <w:color w:val="000000"/>
          <w:szCs w:val="20"/>
        </w:rPr>
        <w:t>;</w:t>
      </w:r>
    </w:p>
    <w:p w14:paraId="36C49749" w14:textId="77777777" w:rsidR="00F041CA" w:rsidRPr="00515872" w:rsidRDefault="00E05A57" w:rsidP="00D65838">
      <w:pPr>
        <w:pStyle w:val="Paragrafoelenco"/>
        <w:numPr>
          <w:ilvl w:val="0"/>
          <w:numId w:val="143"/>
        </w:numPr>
        <w:spacing w:line="360" w:lineRule="auto"/>
        <w:jc w:val="both"/>
        <w:rPr>
          <w:rFonts w:cs="Tahoma"/>
          <w:color w:val="000000"/>
          <w:szCs w:val="20"/>
        </w:rPr>
      </w:pPr>
      <w:r w:rsidRPr="00515872">
        <w:rPr>
          <w:rFonts w:cs="Tahoma"/>
          <w:color w:val="000000"/>
          <w:szCs w:val="20"/>
        </w:rPr>
        <w:t>provveda alla copertura degli eventuali costi sociali.</w:t>
      </w:r>
    </w:p>
    <w:p w14:paraId="2EEC995F" w14:textId="77777777" w:rsidR="00F041CA" w:rsidRPr="00515872" w:rsidRDefault="00F041CA" w:rsidP="008A31A1">
      <w:pPr>
        <w:spacing w:after="0" w:line="360" w:lineRule="auto"/>
        <w:jc w:val="both"/>
        <w:rPr>
          <w:rFonts w:cs="Tahoma"/>
          <w:color w:val="000000"/>
          <w:szCs w:val="20"/>
        </w:rPr>
      </w:pPr>
      <w:r w:rsidRPr="00515872">
        <w:rPr>
          <w:rFonts w:cs="Tahoma"/>
          <w:color w:val="000000"/>
          <w:szCs w:val="20"/>
        </w:rPr>
        <w:t xml:space="preserve">A tal fine, sono necessari e devono essere approvati dal suddetto </w:t>
      </w:r>
      <w:r w:rsidR="00A90515" w:rsidRPr="00515872">
        <w:rPr>
          <w:rFonts w:cs="Tahoma"/>
          <w:color w:val="000000"/>
          <w:szCs w:val="20"/>
        </w:rPr>
        <w:t>o</w:t>
      </w:r>
      <w:r w:rsidRPr="00515872">
        <w:rPr>
          <w:rFonts w:cs="Tahoma"/>
          <w:color w:val="000000"/>
          <w:szCs w:val="20"/>
        </w:rPr>
        <w:t>rgano, i seguenti documenti:</w:t>
      </w:r>
    </w:p>
    <w:p w14:paraId="45C4A0C9" w14:textId="77777777" w:rsidR="00F041CA" w:rsidRPr="00515872" w:rsidRDefault="00F041CA" w:rsidP="00D65838">
      <w:pPr>
        <w:pStyle w:val="Paragrafoelenco"/>
        <w:numPr>
          <w:ilvl w:val="0"/>
          <w:numId w:val="222"/>
        </w:numPr>
        <w:spacing w:line="360" w:lineRule="auto"/>
        <w:ind w:left="284" w:hanging="284"/>
        <w:jc w:val="both"/>
        <w:rPr>
          <w:rFonts w:cs="Tahoma"/>
          <w:color w:val="000000"/>
          <w:szCs w:val="20"/>
        </w:rPr>
      </w:pPr>
      <w:r w:rsidRPr="00515872">
        <w:rPr>
          <w:rFonts w:cs="Tahoma"/>
          <w:color w:val="000000"/>
          <w:szCs w:val="20"/>
        </w:rPr>
        <w:t>il piano-programma;</w:t>
      </w:r>
    </w:p>
    <w:p w14:paraId="23591F9B" w14:textId="77777777" w:rsidR="00F041CA" w:rsidRPr="00515872" w:rsidRDefault="00F041CA" w:rsidP="00D65838">
      <w:pPr>
        <w:pStyle w:val="Paragrafoelenco"/>
        <w:numPr>
          <w:ilvl w:val="0"/>
          <w:numId w:val="222"/>
        </w:numPr>
        <w:spacing w:line="360" w:lineRule="auto"/>
        <w:ind w:left="284" w:hanging="284"/>
        <w:jc w:val="both"/>
        <w:rPr>
          <w:rFonts w:cs="Tahoma"/>
          <w:color w:val="000000"/>
          <w:szCs w:val="20"/>
        </w:rPr>
      </w:pPr>
      <w:r w:rsidRPr="00515872">
        <w:rPr>
          <w:rFonts w:cs="Tahoma"/>
          <w:color w:val="000000"/>
          <w:szCs w:val="20"/>
        </w:rPr>
        <w:t>il budget economico almeno triennale.</w:t>
      </w:r>
    </w:p>
    <w:p w14:paraId="2D1E35F5" w14:textId="77777777" w:rsidR="006A0DCE" w:rsidRPr="00515872" w:rsidRDefault="00055470" w:rsidP="00F041CA">
      <w:pPr>
        <w:spacing w:line="360" w:lineRule="auto"/>
        <w:jc w:val="both"/>
        <w:rPr>
          <w:rFonts w:cs="Tahoma"/>
          <w:color w:val="000000"/>
          <w:szCs w:val="20"/>
        </w:rPr>
      </w:pPr>
      <w:r w:rsidRPr="00515872">
        <w:rPr>
          <w:rFonts w:cs="Tahoma"/>
          <w:color w:val="000000"/>
          <w:szCs w:val="20"/>
        </w:rPr>
        <w:t>L’organo di revisione è tenuto a mantenere in essere uno scambio periodico di informazioni con gli organi di controllo degli organismi partecipati.</w:t>
      </w:r>
      <w:r w:rsidR="001B64A8" w:rsidRPr="00515872">
        <w:rPr>
          <w:rFonts w:cs="Tahoma"/>
          <w:color w:val="000000"/>
          <w:szCs w:val="20"/>
        </w:rPr>
        <w:t xml:space="preserve"> </w:t>
      </w:r>
      <w:r w:rsidR="006A0DCE" w:rsidRPr="00515872">
        <w:rPr>
          <w:rFonts w:cs="Tahoma"/>
          <w:color w:val="000000"/>
          <w:szCs w:val="20"/>
        </w:rPr>
        <w:t>Vige l’obbligo, ai sensi del citato art. 239, c. 1, lett. b), n. 3, di esprimere il parere sulla proposta di costituzione o di partecipazione ad organismi esterni da parte dell’ente, nel rispetto delle disposizioni di legge.</w:t>
      </w:r>
    </w:p>
    <w:p w14:paraId="7B08B7C4" w14:textId="2CF8C3A9" w:rsidR="00205BB1" w:rsidRPr="00515872" w:rsidRDefault="009518AF" w:rsidP="009518AF">
      <w:pPr>
        <w:spacing w:line="360" w:lineRule="auto"/>
        <w:jc w:val="both"/>
        <w:rPr>
          <w:rFonts w:cs="Tahoma"/>
          <w:color w:val="000000"/>
          <w:szCs w:val="20"/>
        </w:rPr>
      </w:pPr>
      <w:r w:rsidRPr="00515872">
        <w:rPr>
          <w:rFonts w:cs="Tahoma"/>
          <w:color w:val="000000"/>
          <w:szCs w:val="20"/>
        </w:rPr>
        <w:t xml:space="preserve">Ancora, l’organo di revisione deve </w:t>
      </w:r>
      <w:r w:rsidRPr="00515872">
        <w:rPr>
          <w:rFonts w:cs="Tahoma"/>
          <w:b/>
          <w:color w:val="000000"/>
          <w:szCs w:val="20"/>
        </w:rPr>
        <w:t>asseverare l’eventuale trasferimento</w:t>
      </w:r>
      <w:r w:rsidRPr="00515872">
        <w:rPr>
          <w:rFonts w:cs="Tahoma"/>
          <w:color w:val="000000"/>
          <w:szCs w:val="20"/>
        </w:rPr>
        <w:t xml:space="preserve">, ove previsto, </w:t>
      </w:r>
      <w:r w:rsidRPr="00515872">
        <w:rPr>
          <w:rFonts w:cs="Tahoma"/>
          <w:b/>
          <w:color w:val="000000"/>
          <w:szCs w:val="20"/>
        </w:rPr>
        <w:t>di risorse umane e finanziarie</w:t>
      </w:r>
      <w:r w:rsidRPr="00515872">
        <w:rPr>
          <w:rFonts w:cs="Tahoma"/>
          <w:color w:val="000000"/>
          <w:szCs w:val="20"/>
        </w:rPr>
        <w:t xml:space="preserve"> e trasmettere una relazione alla Presidenza del Consiglio dei Ministri – Dipartimento della Funzione Pubblica e al Ministero dell’Economia e delle Finanze – Dipartimento RGS segnalando eventuali inadempimenti anche alle sezioni competenti della Corte dei Conti.</w:t>
      </w:r>
      <w:r w:rsidR="001B64A8" w:rsidRPr="00515872">
        <w:rPr>
          <w:rFonts w:cs="Tahoma"/>
          <w:color w:val="000000"/>
          <w:szCs w:val="20"/>
        </w:rPr>
        <w:t xml:space="preserve"> </w:t>
      </w:r>
      <w:r w:rsidR="00FD684C" w:rsidRPr="00515872">
        <w:rPr>
          <w:rFonts w:cs="Tahoma"/>
          <w:color w:val="000000"/>
          <w:szCs w:val="20"/>
        </w:rPr>
        <w:t>È</w:t>
      </w:r>
      <w:r w:rsidR="00205BB1" w:rsidRPr="00515872">
        <w:rPr>
          <w:rFonts w:cs="Tahoma"/>
          <w:color w:val="000000"/>
          <w:szCs w:val="20"/>
        </w:rPr>
        <w:t xml:space="preserve"> infine tenuto alla verifica del rispetto delle prescrizioni di cui all’art. 11 del TUSP</w:t>
      </w:r>
      <w:r w:rsidR="001A2FA6" w:rsidRPr="00515872">
        <w:rPr>
          <w:rStyle w:val="Rimandonotaapidipagina"/>
          <w:rFonts w:cs="Tahoma"/>
          <w:color w:val="000000"/>
          <w:szCs w:val="20"/>
        </w:rPr>
        <w:footnoteReference w:id="96"/>
      </w:r>
      <w:r w:rsidR="00205BB1" w:rsidRPr="00515872">
        <w:rPr>
          <w:rFonts w:cs="Tahoma"/>
          <w:color w:val="000000"/>
          <w:szCs w:val="20"/>
        </w:rPr>
        <w:t xml:space="preserve"> in ordine agli organi di amministrazione e controllo, nonché sul rispetto della normativa in materia d</w:t>
      </w:r>
      <w:r w:rsidR="008A31A1" w:rsidRPr="00515872">
        <w:rPr>
          <w:rFonts w:cs="Tahoma"/>
          <w:color w:val="000000"/>
          <w:szCs w:val="20"/>
        </w:rPr>
        <w:t>i anticorruzione e trasparenza.</w:t>
      </w:r>
    </w:p>
    <w:p w14:paraId="187ECA26" w14:textId="77777777" w:rsidR="008A31A1" w:rsidRPr="00515872" w:rsidRDefault="008A31A1" w:rsidP="009518AF">
      <w:pPr>
        <w:spacing w:line="360" w:lineRule="auto"/>
        <w:jc w:val="both"/>
        <w:rPr>
          <w:rFonts w:cs="Tahoma"/>
          <w:color w:val="000000"/>
          <w:szCs w:val="20"/>
        </w:rPr>
      </w:pPr>
      <w:r w:rsidRPr="00515872">
        <w:rPr>
          <w:rFonts w:cs="Tahoma"/>
          <w:color w:val="000000"/>
          <w:szCs w:val="20"/>
        </w:rPr>
        <w:lastRenderedPageBreak/>
        <w:t xml:space="preserve">L’organo di revisione, inoltre, deve verificare il rispetto dei contratti di servizio, con riferimento alle società </w:t>
      </w:r>
      <w:r w:rsidRPr="00515872">
        <w:rPr>
          <w:rFonts w:cs="Tahoma"/>
          <w:i/>
          <w:color w:val="000000"/>
          <w:szCs w:val="20"/>
        </w:rPr>
        <w:t xml:space="preserve">in-house </w:t>
      </w:r>
      <w:r w:rsidRPr="00515872">
        <w:rPr>
          <w:rFonts w:cs="Tahoma"/>
          <w:color w:val="000000"/>
          <w:szCs w:val="20"/>
        </w:rPr>
        <w:t>e a quelle partecipate dell’ente locale.</w:t>
      </w:r>
    </w:p>
    <w:p w14:paraId="531DD5AA" w14:textId="77777777" w:rsidR="00C353C6" w:rsidRPr="00515872" w:rsidRDefault="00C353C6" w:rsidP="009518AF">
      <w:pPr>
        <w:pStyle w:val="Sottoparagrafo"/>
        <w:rPr>
          <w:rFonts w:cs="Tahoma"/>
        </w:rPr>
      </w:pPr>
      <w:bookmarkStart w:id="195" w:name="_Toc521317117"/>
    </w:p>
    <w:p w14:paraId="3A9ACE00" w14:textId="77777777" w:rsidR="009518AF" w:rsidRPr="00515872" w:rsidRDefault="00AD2719" w:rsidP="009518AF">
      <w:pPr>
        <w:pStyle w:val="Sottoparagrafo"/>
        <w:rPr>
          <w:rFonts w:cs="Tahoma"/>
        </w:rPr>
      </w:pPr>
      <w:bookmarkStart w:id="196" w:name="_Toc95912307"/>
      <w:r w:rsidRPr="00515872">
        <w:rPr>
          <w:rFonts w:cs="Tahoma"/>
        </w:rPr>
        <w:t>6</w:t>
      </w:r>
      <w:r w:rsidR="009518AF" w:rsidRPr="00515872">
        <w:rPr>
          <w:rFonts w:cs="Tahoma"/>
        </w:rPr>
        <w:t>.9.1 Asseverazione dei debiti e crediti nei confronti delle partecipate</w:t>
      </w:r>
      <w:bookmarkEnd w:id="195"/>
      <w:bookmarkEnd w:id="196"/>
    </w:p>
    <w:p w14:paraId="5FDD9769" w14:textId="77777777" w:rsidR="009518AF" w:rsidRPr="00515872" w:rsidRDefault="009518AF" w:rsidP="009518AF">
      <w:pPr>
        <w:spacing w:line="360" w:lineRule="auto"/>
        <w:jc w:val="both"/>
        <w:rPr>
          <w:rFonts w:cs="Tahoma"/>
          <w:szCs w:val="28"/>
        </w:rPr>
      </w:pPr>
      <w:r w:rsidRPr="00515872">
        <w:rPr>
          <w:rFonts w:cs="Tahoma"/>
          <w:szCs w:val="28"/>
        </w:rPr>
        <w:t>Il D.Lgs. 22 gennaio 2016, n. 10 ha abrogato le disposizioni di cui all'art. 6, c. 4, D.L. 6 luglio 2012, n. 95, che prevedeva che</w:t>
      </w:r>
      <w:r w:rsidR="003C592F" w:rsidRPr="00515872">
        <w:rPr>
          <w:rFonts w:cs="Tahoma"/>
          <w:szCs w:val="28"/>
        </w:rPr>
        <w:t>:</w:t>
      </w:r>
      <w:r w:rsidRPr="00515872">
        <w:rPr>
          <w:rFonts w:cs="Tahoma"/>
          <w:szCs w:val="28"/>
        </w:rPr>
        <w:t xml:space="preserve"> </w:t>
      </w:r>
      <w:r w:rsidRPr="00515872">
        <w:rPr>
          <w:rFonts w:cs="Tahoma"/>
          <w:i/>
          <w:szCs w:val="28"/>
        </w:rPr>
        <w:t>“a decorrere dall'esercizio finanziario 2012, i Comuni e le Province (nel seguito anche “Enti Locali”) allegano al rendiconto della gestione una nota informativa contenente la verifica dei crediti e debiti reciproci tra l'Ente e le società partecipate. La predetta nota, asseverata dai rispettivi organi di revisione, evidenzia analiticamente eventuali discordanze e ne fornisce la motivazione; in tal caso il Comune o la Provincia adottano senza indugio, e comunque non oltre il termine dell'esercizio finanziario in corso, i provvedimenti necessari ai fini della riconciliazione delle partite debitorie e creditorie”.</w:t>
      </w:r>
      <w:r w:rsidRPr="00515872">
        <w:rPr>
          <w:rFonts w:cs="Tahoma"/>
          <w:szCs w:val="28"/>
        </w:rPr>
        <w:t xml:space="preserve"> </w:t>
      </w:r>
    </w:p>
    <w:p w14:paraId="530686F0" w14:textId="7DD2343B" w:rsidR="009518AF" w:rsidRPr="00515872" w:rsidRDefault="009518AF" w:rsidP="009518AF">
      <w:pPr>
        <w:spacing w:line="360" w:lineRule="auto"/>
        <w:jc w:val="both"/>
        <w:rPr>
          <w:rFonts w:cs="Tahoma"/>
          <w:szCs w:val="28"/>
        </w:rPr>
      </w:pPr>
      <w:r w:rsidRPr="00515872">
        <w:rPr>
          <w:rFonts w:cs="Tahoma"/>
          <w:szCs w:val="28"/>
        </w:rPr>
        <w:t xml:space="preserve">Rimane, tuttavia, l’obbligo </w:t>
      </w:r>
      <w:r w:rsidR="004778D8" w:rsidRPr="00515872">
        <w:rPr>
          <w:rFonts w:cs="Tahoma"/>
          <w:szCs w:val="28"/>
        </w:rPr>
        <w:t xml:space="preserve">per l’ente </w:t>
      </w:r>
      <w:r w:rsidRPr="00515872">
        <w:rPr>
          <w:rFonts w:cs="Tahoma"/>
          <w:szCs w:val="28"/>
        </w:rPr>
        <w:t xml:space="preserve">di inserire nella relazione sulla gestione allegata al rendiconto l’informativa asseverata dai rispettivi organi di revisione, inerente </w:t>
      </w:r>
      <w:r w:rsidR="00FD684C" w:rsidRPr="00515872">
        <w:rPr>
          <w:rFonts w:cs="Tahoma"/>
          <w:szCs w:val="28"/>
        </w:rPr>
        <w:t>agli</w:t>
      </w:r>
      <w:r w:rsidRPr="00515872">
        <w:rPr>
          <w:rFonts w:cs="Tahoma"/>
          <w:szCs w:val="28"/>
        </w:rPr>
        <w:t xml:space="preserve"> esiti della verifica dei crediti e debiti reciproci tra ente e partec</w:t>
      </w:r>
      <w:r w:rsidR="004778D8" w:rsidRPr="00515872">
        <w:rPr>
          <w:rFonts w:cs="Tahoma"/>
          <w:szCs w:val="28"/>
        </w:rPr>
        <w:t>ipate, così come previsto dall’</w:t>
      </w:r>
      <w:r w:rsidRPr="00515872">
        <w:rPr>
          <w:rFonts w:cs="Tahoma"/>
          <w:szCs w:val="28"/>
        </w:rPr>
        <w:t xml:space="preserve">art. 11, c. 6, lett. j), D.Lgs. n. 118/2011, coordinato con il D.Lgs. 10/08/2014, n. 126 e la L. 23/12/2014, n. 190. </w:t>
      </w:r>
    </w:p>
    <w:p w14:paraId="3C737F54" w14:textId="73EF0AAB" w:rsidR="009518AF" w:rsidRPr="00515872" w:rsidRDefault="009518AF" w:rsidP="009518AF">
      <w:pPr>
        <w:spacing w:line="360" w:lineRule="auto"/>
        <w:jc w:val="both"/>
        <w:rPr>
          <w:rFonts w:cs="Tahoma"/>
          <w:szCs w:val="28"/>
        </w:rPr>
      </w:pPr>
      <w:r w:rsidRPr="00515872">
        <w:rPr>
          <w:rFonts w:cs="Tahoma"/>
          <w:szCs w:val="28"/>
        </w:rPr>
        <w:t xml:space="preserve">Oggetto delle verifiche dell’organo di revisione è il prospetto contabile che evidenzia i crediti e i debiti reciproci risultanti dalla contabilità della partecipata dettagliati per tipologia. </w:t>
      </w:r>
      <w:r w:rsidR="00FD684C" w:rsidRPr="00515872">
        <w:rPr>
          <w:rFonts w:cs="Tahoma"/>
          <w:szCs w:val="28"/>
        </w:rPr>
        <w:t>È</w:t>
      </w:r>
      <w:r w:rsidRPr="00515872">
        <w:rPr>
          <w:rFonts w:cs="Tahoma"/>
          <w:szCs w:val="28"/>
        </w:rPr>
        <w:t xml:space="preserve"> opportuno che il prospetto contabile sia accompagnato da una nota esplicativa che indichi le finalità della </w:t>
      </w:r>
      <w:r w:rsidR="00087EB1" w:rsidRPr="00515872">
        <w:rPr>
          <w:rFonts w:cs="Tahoma"/>
          <w:szCs w:val="28"/>
        </w:rPr>
        <w:t>sua redaz</w:t>
      </w:r>
      <w:r w:rsidRPr="00515872">
        <w:rPr>
          <w:rFonts w:cs="Tahoma"/>
          <w:szCs w:val="28"/>
        </w:rPr>
        <w:t>ione e i criteri contabi</w:t>
      </w:r>
      <w:r w:rsidR="00087EB1" w:rsidRPr="00515872">
        <w:rPr>
          <w:rFonts w:cs="Tahoma"/>
          <w:szCs w:val="28"/>
        </w:rPr>
        <w:t>li adottati</w:t>
      </w:r>
      <w:r w:rsidRPr="00515872">
        <w:rPr>
          <w:rFonts w:cs="Tahoma"/>
          <w:szCs w:val="28"/>
        </w:rPr>
        <w:t xml:space="preserve">, stanti i differenti criteri di redazione del bilancio che caratterizzano gli enti locali rispetto alle </w:t>
      </w:r>
      <w:r w:rsidR="004778D8" w:rsidRPr="00515872">
        <w:rPr>
          <w:rFonts w:cs="Tahoma"/>
          <w:szCs w:val="28"/>
        </w:rPr>
        <w:t>società partecipate</w:t>
      </w:r>
      <w:r w:rsidRPr="00515872">
        <w:rPr>
          <w:rFonts w:cs="Tahoma"/>
          <w:szCs w:val="28"/>
        </w:rPr>
        <w:t>.</w:t>
      </w:r>
    </w:p>
    <w:p w14:paraId="35E880B3" w14:textId="77777777" w:rsidR="00E451B3" w:rsidRPr="00515872" w:rsidRDefault="001A02B1" w:rsidP="009518AF">
      <w:pPr>
        <w:spacing w:line="360" w:lineRule="auto"/>
        <w:jc w:val="both"/>
        <w:rPr>
          <w:rFonts w:cs="Tahoma"/>
          <w:szCs w:val="28"/>
        </w:rPr>
      </w:pPr>
      <w:r w:rsidRPr="00515872">
        <w:rPr>
          <w:rFonts w:cs="Tahoma"/>
          <w:szCs w:val="28"/>
        </w:rPr>
        <w:t>L’organo di revisione, oltre ad asseverare le posizione debitorie e creditorie risultanti dalla contabilità dell’ente, deve accertarsi che gli organi di controllo degli organismi partecipati abbiano, a loro volta, trasmesso la propria asseverazione.</w:t>
      </w:r>
    </w:p>
    <w:p w14:paraId="339E1BEF" w14:textId="77777777" w:rsidR="00055470" w:rsidRPr="00515872" w:rsidRDefault="001A02B1" w:rsidP="009518AF">
      <w:pPr>
        <w:spacing w:line="360" w:lineRule="auto"/>
        <w:jc w:val="both"/>
        <w:rPr>
          <w:rFonts w:cs="Tahoma"/>
          <w:szCs w:val="28"/>
        </w:rPr>
      </w:pPr>
      <w:r w:rsidRPr="00515872">
        <w:rPr>
          <w:rFonts w:cs="Tahoma"/>
          <w:szCs w:val="28"/>
        </w:rPr>
        <w:lastRenderedPageBreak/>
        <w:t xml:space="preserve">In caso di discordanze, l’ente è tenuto adottare i provvedimenti necessari a riconciliare le </w:t>
      </w:r>
      <w:r w:rsidR="00093DAC" w:rsidRPr="00515872">
        <w:rPr>
          <w:rFonts w:cs="Tahoma"/>
          <w:szCs w:val="28"/>
        </w:rPr>
        <w:t>differenze riscontrate</w:t>
      </w:r>
      <w:r w:rsidRPr="00515872">
        <w:rPr>
          <w:rFonts w:cs="Tahoma"/>
          <w:szCs w:val="28"/>
        </w:rPr>
        <w:t>.</w:t>
      </w:r>
      <w:r w:rsidR="00055470" w:rsidRPr="00515872">
        <w:rPr>
          <w:rFonts w:cs="Tahoma"/>
          <w:szCs w:val="28"/>
        </w:rPr>
        <w:t xml:space="preserve"> In tale contesto l’organo di revisione deve valutare, qualora la discordanza risultasse dovuta al mancato impegno di risorse da parte dell’ente, i presupposti per l’attivazione della procedura di riconoscimento di debiti fuori bilancio.</w:t>
      </w:r>
    </w:p>
    <w:p w14:paraId="199E31E4" w14:textId="77777777" w:rsidR="005D4F50" w:rsidRPr="00515872" w:rsidRDefault="005D4F50" w:rsidP="00297A21">
      <w:pPr>
        <w:pStyle w:val="Paragrafo"/>
      </w:pPr>
      <w:bookmarkStart w:id="197" w:name="_Toc521317118"/>
    </w:p>
    <w:p w14:paraId="64ECBE1C" w14:textId="77777777" w:rsidR="009518AF" w:rsidRPr="00515872" w:rsidRDefault="00AD2719" w:rsidP="00297A21">
      <w:pPr>
        <w:pStyle w:val="Paragrafo"/>
      </w:pPr>
      <w:bookmarkStart w:id="198" w:name="_Toc95912308"/>
      <w:r w:rsidRPr="00515872">
        <w:t>6</w:t>
      </w:r>
      <w:r w:rsidR="009518AF" w:rsidRPr="00515872">
        <w:t>.10 Parere sulle proposte di ricorso all'indebitamento</w:t>
      </w:r>
      <w:bookmarkEnd w:id="197"/>
      <w:bookmarkEnd w:id="198"/>
    </w:p>
    <w:p w14:paraId="6946208B" w14:textId="77777777" w:rsidR="0019412B" w:rsidRPr="00515872" w:rsidRDefault="0019412B" w:rsidP="009518AF">
      <w:pPr>
        <w:spacing w:line="360" w:lineRule="auto"/>
        <w:jc w:val="both"/>
        <w:rPr>
          <w:rFonts w:cs="Tahoma"/>
        </w:rPr>
      </w:pPr>
      <w:r w:rsidRPr="00515872">
        <w:rPr>
          <w:rFonts w:cs="Tahoma"/>
        </w:rPr>
        <w:t>La possibilità di ricorrere a forme di indebitamento</w:t>
      </w:r>
      <w:r w:rsidR="004778D8" w:rsidRPr="00515872">
        <w:rPr>
          <w:rFonts w:cs="Tahoma"/>
        </w:rPr>
        <w:t xml:space="preserve"> e le prime limitazioni sono</w:t>
      </w:r>
      <w:r w:rsidRPr="00515872">
        <w:rPr>
          <w:rFonts w:cs="Tahoma"/>
        </w:rPr>
        <w:t xml:space="preserve"> normat</w:t>
      </w:r>
      <w:r w:rsidR="004778D8" w:rsidRPr="00515872">
        <w:rPr>
          <w:rFonts w:cs="Tahoma"/>
        </w:rPr>
        <w:t>e</w:t>
      </w:r>
      <w:r w:rsidRPr="00515872">
        <w:rPr>
          <w:rFonts w:cs="Tahoma"/>
        </w:rPr>
        <w:t xml:space="preserve">, </w:t>
      </w:r>
      <w:r w:rsidRPr="00515872">
        <w:rPr>
          <w:rFonts w:cs="Tahoma"/>
          <w:i/>
        </w:rPr>
        <w:t>in pr</w:t>
      </w:r>
      <w:r w:rsidR="00E3115F" w:rsidRPr="00515872">
        <w:rPr>
          <w:rFonts w:cs="Tahoma"/>
          <w:i/>
        </w:rPr>
        <w:t>imis</w:t>
      </w:r>
      <w:r w:rsidR="00E3115F" w:rsidRPr="00515872">
        <w:rPr>
          <w:rFonts w:cs="Tahoma"/>
        </w:rPr>
        <w:t>, a livello costituzionale. L’art. 119 della Costituzione, infatti, sancisce che “</w:t>
      </w:r>
      <w:r w:rsidR="00E3115F" w:rsidRPr="00515872">
        <w:rPr>
          <w:rFonts w:cs="Tahoma"/>
          <w:i/>
        </w:rPr>
        <w:t xml:space="preserve">I Comuni, le Province, le Città metropolitane e le Regioni hanno un proprio patrimonio, attribuito secondo i princìpi generali determinati dalla legge dello Stato. Possono ricorrere all'indebitamento </w:t>
      </w:r>
      <w:r w:rsidR="00E3115F" w:rsidRPr="00515872">
        <w:rPr>
          <w:rFonts w:cs="Tahoma"/>
          <w:b/>
          <w:i/>
        </w:rPr>
        <w:t>solo per finanziare spese di investimento</w:t>
      </w:r>
      <w:r w:rsidR="00E3115F" w:rsidRPr="00515872">
        <w:rPr>
          <w:rFonts w:cs="Tahoma"/>
          <w:i/>
        </w:rPr>
        <w:t>, con la contestuale definizione di piani di ammortamento e a condizione che per il complesso degli enti di ciascuna Regione sia rispettato l'equilibrio di bilancio. È esclusa ogni garanzia dello Stato sui prestiti dagli stessi contratti</w:t>
      </w:r>
      <w:r w:rsidR="00E3115F" w:rsidRPr="00515872">
        <w:rPr>
          <w:rFonts w:cs="Tahoma"/>
        </w:rPr>
        <w:t>”.</w:t>
      </w:r>
    </w:p>
    <w:p w14:paraId="425B75AC" w14:textId="77777777" w:rsidR="009518AF" w:rsidRPr="00515872" w:rsidRDefault="009518AF" w:rsidP="009518AF">
      <w:pPr>
        <w:spacing w:line="360" w:lineRule="auto"/>
        <w:jc w:val="both"/>
        <w:rPr>
          <w:rFonts w:cs="Tahoma"/>
        </w:rPr>
      </w:pPr>
      <w:r w:rsidRPr="00515872">
        <w:rPr>
          <w:rFonts w:cs="Tahoma"/>
        </w:rPr>
        <w:t>Il parere sulle proposte di indebitamento da sottoporre al consiglio rientra tra quelli obbligatori previsti dalla lett. b) del c. 1 dell’art. 239 del TUEL.</w:t>
      </w:r>
    </w:p>
    <w:p w14:paraId="49BE2705" w14:textId="77777777" w:rsidR="009518AF" w:rsidRPr="00515872" w:rsidRDefault="009518AF" w:rsidP="009518AF">
      <w:pPr>
        <w:spacing w:line="360" w:lineRule="auto"/>
        <w:jc w:val="both"/>
        <w:rPr>
          <w:rFonts w:cs="Tahoma"/>
        </w:rPr>
      </w:pPr>
      <w:r w:rsidRPr="00515872">
        <w:rPr>
          <w:rFonts w:cs="Tahoma"/>
        </w:rPr>
        <w:t>Il ricorso all’indebitamento deve essere accuratamente verificato da parte dell’organo di controllo a causa dei riflessi che esso determina sugli esercizi a venire per tutto l’arco temporale di durata del prestito. A tale proposito, è opportuno che la durata del finanziamento sia commisurata con il periodo di presunta utilità dell’investimento finanziato.</w:t>
      </w:r>
    </w:p>
    <w:p w14:paraId="1EEBB4FF" w14:textId="77777777" w:rsidR="009518AF" w:rsidRPr="00515872" w:rsidRDefault="009518AF" w:rsidP="009518AF">
      <w:pPr>
        <w:spacing w:line="360" w:lineRule="auto"/>
        <w:jc w:val="both"/>
        <w:rPr>
          <w:rFonts w:cs="Tahoma"/>
        </w:rPr>
      </w:pPr>
      <w:r w:rsidRPr="00515872">
        <w:rPr>
          <w:rFonts w:cs="Tahoma"/>
        </w:rPr>
        <w:t>Le entrate derivanti da indebitamento hanno destinazione vincolata, come previsto dall’art. 202, c. 2 del TUEL.</w:t>
      </w:r>
    </w:p>
    <w:p w14:paraId="538B6DBB" w14:textId="77777777" w:rsidR="009518AF" w:rsidRPr="00515872" w:rsidRDefault="009518AF" w:rsidP="009518AF">
      <w:pPr>
        <w:spacing w:line="360" w:lineRule="auto"/>
        <w:jc w:val="both"/>
        <w:rPr>
          <w:rFonts w:cs="Tahoma"/>
        </w:rPr>
      </w:pPr>
      <w:r w:rsidRPr="00515872">
        <w:rPr>
          <w:rFonts w:cs="Tahoma"/>
        </w:rPr>
        <w:t>Gli enti locali non possono fare ricorso all’indebitamento per finanziare la ricapitalizzazione di aziende o società in perdita</w:t>
      </w:r>
      <w:r w:rsidR="004778D8" w:rsidRPr="00515872">
        <w:rPr>
          <w:rFonts w:cs="Tahoma"/>
        </w:rPr>
        <w:t>, poiché t</w:t>
      </w:r>
      <w:r w:rsidRPr="00515872">
        <w:rPr>
          <w:rFonts w:cs="Tahoma"/>
        </w:rPr>
        <w:t>ali operazioni rientrano nella spesa corrente.</w:t>
      </w:r>
    </w:p>
    <w:p w14:paraId="26FD89A2" w14:textId="77777777" w:rsidR="009518AF" w:rsidRPr="00515872" w:rsidRDefault="009518AF" w:rsidP="009518AF">
      <w:pPr>
        <w:spacing w:after="0" w:line="360" w:lineRule="auto"/>
        <w:jc w:val="both"/>
        <w:rPr>
          <w:rFonts w:cs="Tahoma"/>
          <w:szCs w:val="20"/>
        </w:rPr>
      </w:pPr>
      <w:r w:rsidRPr="00515872">
        <w:rPr>
          <w:rFonts w:cs="Tahoma"/>
          <w:szCs w:val="20"/>
        </w:rPr>
        <w:t>Affinché l’ente possa attivare un finanziamento occorre che siano rispettate le seguenti condizioni:</w:t>
      </w:r>
    </w:p>
    <w:p w14:paraId="6795D880" w14:textId="77777777" w:rsidR="009518AF" w:rsidRPr="00515872" w:rsidRDefault="009518AF" w:rsidP="00D65838">
      <w:pPr>
        <w:pStyle w:val="Paragrafoelenco"/>
        <w:numPr>
          <w:ilvl w:val="0"/>
          <w:numId w:val="101"/>
        </w:numPr>
        <w:spacing w:line="360" w:lineRule="auto"/>
        <w:jc w:val="both"/>
        <w:rPr>
          <w:rFonts w:cs="Tahoma"/>
          <w:szCs w:val="20"/>
        </w:rPr>
      </w:pPr>
      <w:r w:rsidRPr="00515872">
        <w:rPr>
          <w:rFonts w:cs="Tahoma"/>
          <w:szCs w:val="20"/>
        </w:rPr>
        <w:t xml:space="preserve">avvenuta approvazione del bilancio annuale di previsione dell’esercizio </w:t>
      </w:r>
      <w:r w:rsidR="004778D8" w:rsidRPr="00515872">
        <w:rPr>
          <w:rFonts w:cs="Tahoma"/>
          <w:szCs w:val="20"/>
        </w:rPr>
        <w:t xml:space="preserve">in cui sono iscritti i relativi </w:t>
      </w:r>
      <w:r w:rsidRPr="00515872">
        <w:rPr>
          <w:rFonts w:cs="Tahoma"/>
          <w:szCs w:val="20"/>
        </w:rPr>
        <w:t>stanziamenti;</w:t>
      </w:r>
    </w:p>
    <w:p w14:paraId="7A9F9FBB" w14:textId="77777777" w:rsidR="009518AF" w:rsidRPr="00515872" w:rsidRDefault="009518AF" w:rsidP="00D65838">
      <w:pPr>
        <w:pStyle w:val="Paragrafoelenco"/>
        <w:numPr>
          <w:ilvl w:val="0"/>
          <w:numId w:val="101"/>
        </w:numPr>
        <w:spacing w:line="360" w:lineRule="auto"/>
        <w:jc w:val="both"/>
        <w:rPr>
          <w:rFonts w:cs="Tahoma"/>
          <w:szCs w:val="20"/>
        </w:rPr>
      </w:pPr>
      <w:r w:rsidRPr="00515872">
        <w:rPr>
          <w:rFonts w:cs="Tahoma"/>
          <w:szCs w:val="20"/>
        </w:rPr>
        <w:t>avvenuta approvazione del rendiconto d’esercizio relativo al penultimo anno precedente quello in cui avviene la contrazione del mutuo.</w:t>
      </w:r>
    </w:p>
    <w:p w14:paraId="58BFC517"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rPr>
        <w:t xml:space="preserve">Uno dei principali limiti al ricorso all’indebitamento è contenuto nell’art. 204 del TUEL e riguarda sia i mutui passivi che i prestiti obbligazionari e le aperture di credito. Ai sensi della predetta disposizione, come già ricordato, l’ente locale può assumere nuovi mutui o accedere ad altre forme di indebitamento se l’importo annuale degli interessi passivi sommato a quello delle altre forme di indebitamento già contratte, al netto dei contributi statali e regionali, non supera il 10% delle entrate relative ai primi </w:t>
      </w:r>
      <w:r w:rsidR="004778D8" w:rsidRPr="00515872">
        <w:rPr>
          <w:rFonts w:cs="Tahoma"/>
          <w:szCs w:val="20"/>
        </w:rPr>
        <w:t>3</w:t>
      </w:r>
      <w:r w:rsidRPr="00515872">
        <w:rPr>
          <w:rFonts w:cs="Tahoma"/>
          <w:szCs w:val="20"/>
        </w:rPr>
        <w:t xml:space="preserve"> titoli </w:t>
      </w:r>
      <w:r w:rsidRPr="00515872">
        <w:rPr>
          <w:rFonts w:eastAsia="Times New Roman" w:cs="Tahoma"/>
          <w:szCs w:val="20"/>
          <w:lang w:eastAsia="it-IT"/>
        </w:rPr>
        <w:t xml:space="preserve">delle entrate del rendiconto </w:t>
      </w:r>
      <w:r w:rsidRPr="00515872">
        <w:rPr>
          <w:rFonts w:eastAsia="Times New Roman" w:cs="Tahoma"/>
          <w:szCs w:val="20"/>
          <w:lang w:eastAsia="it-IT"/>
        </w:rPr>
        <w:lastRenderedPageBreak/>
        <w:t>del penultimo anno precedente quello in cui viene prevista l'assunzione dei mutui.</w:t>
      </w:r>
      <w:r w:rsidR="004C0C56" w:rsidRPr="00515872">
        <w:rPr>
          <w:rFonts w:eastAsia="Times New Roman" w:cs="Tahoma"/>
          <w:szCs w:val="20"/>
          <w:lang w:eastAsia="it-IT"/>
        </w:rPr>
        <w:t xml:space="preserve"> Percentuali differenti erano previste negli anni anteriori al 2015.</w:t>
      </w:r>
    </w:p>
    <w:p w14:paraId="4FF8DC72" w14:textId="77777777" w:rsidR="00C353C6"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Il rispetto del limite di cui sopra è dimostrato attraverso il seguente prospetto:</w:t>
      </w:r>
    </w:p>
    <w:p w14:paraId="192DDA22" w14:textId="3F08E79E" w:rsidR="00C353C6" w:rsidRPr="00515872" w:rsidRDefault="00AB0D3C">
      <w:pPr>
        <w:spacing w:after="0" w:line="240" w:lineRule="auto"/>
        <w:rPr>
          <w:rFonts w:eastAsia="Times New Roman" w:cs="Tahoma"/>
          <w:szCs w:val="20"/>
          <w:highlight w:val="yellow"/>
          <w:lang w:eastAsia="it-IT"/>
        </w:rPr>
      </w:pPr>
      <w:r w:rsidRPr="00515872">
        <w:rPr>
          <w:rFonts w:cs="Tahoma"/>
          <w:noProof/>
          <w:lang w:eastAsia="it-IT"/>
        </w:rPr>
        <w:drawing>
          <wp:inline distT="0" distB="0" distL="0" distR="0" wp14:anchorId="5863E495" wp14:editId="0B450C50">
            <wp:extent cx="6210300" cy="7117959"/>
            <wp:effectExtent l="0" t="0" r="0" b="698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60" t="11413" r="28875" b="11291"/>
                    <a:stretch/>
                  </pic:blipFill>
                  <pic:spPr bwMode="auto">
                    <a:xfrm>
                      <a:off x="0" y="0"/>
                      <a:ext cx="6218712" cy="7127600"/>
                    </a:xfrm>
                    <a:prstGeom prst="rect">
                      <a:avLst/>
                    </a:prstGeom>
                    <a:ln>
                      <a:noFill/>
                    </a:ln>
                    <a:extLst>
                      <a:ext uri="{53640926-AAD7-44D8-BBD7-CCE9431645EC}">
                        <a14:shadowObscured xmlns:a14="http://schemas.microsoft.com/office/drawing/2010/main"/>
                      </a:ext>
                    </a:extLst>
                  </pic:spPr>
                </pic:pic>
              </a:graphicData>
            </a:graphic>
          </wp:inline>
        </w:drawing>
      </w:r>
    </w:p>
    <w:p w14:paraId="0F16003A" w14:textId="77777777" w:rsidR="009518AF" w:rsidRPr="00515872" w:rsidRDefault="009518AF" w:rsidP="009518AF">
      <w:pPr>
        <w:spacing w:after="0" w:line="240" w:lineRule="auto"/>
        <w:rPr>
          <w:rFonts w:eastAsia="Times New Roman" w:cs="Tahoma"/>
          <w:szCs w:val="20"/>
          <w:highlight w:val="yellow"/>
          <w:lang w:eastAsia="it-IT"/>
        </w:rPr>
      </w:pPr>
    </w:p>
    <w:p w14:paraId="5A137B8C" w14:textId="77777777" w:rsidR="008F36FC" w:rsidRPr="00515872" w:rsidRDefault="004778D8" w:rsidP="008F36FC">
      <w:pPr>
        <w:spacing w:line="360" w:lineRule="auto"/>
        <w:jc w:val="both"/>
        <w:rPr>
          <w:rFonts w:eastAsia="Times New Roman" w:cs="Tahoma"/>
          <w:szCs w:val="20"/>
          <w:lang w:eastAsia="it-IT"/>
        </w:rPr>
      </w:pPr>
      <w:r w:rsidRPr="00515872">
        <w:rPr>
          <w:rFonts w:eastAsia="Times New Roman" w:cs="Tahoma"/>
          <w:szCs w:val="20"/>
          <w:lang w:eastAsia="it-IT"/>
        </w:rPr>
        <w:lastRenderedPageBreak/>
        <w:t>Come sottolineano le S</w:t>
      </w:r>
      <w:r w:rsidR="008F36FC" w:rsidRPr="00515872">
        <w:rPr>
          <w:rFonts w:eastAsia="Times New Roman" w:cs="Tahoma"/>
          <w:szCs w:val="20"/>
          <w:lang w:eastAsia="it-IT"/>
        </w:rPr>
        <w:t xml:space="preserve">ezioni riunite della Corte dei Conti, con </w:t>
      </w:r>
      <w:r w:rsidRPr="00515872">
        <w:rPr>
          <w:rFonts w:eastAsia="Times New Roman" w:cs="Tahoma"/>
          <w:szCs w:val="20"/>
          <w:lang w:eastAsia="it-IT"/>
        </w:rPr>
        <w:t>delibera n. 20/2019, l’art. 9. c</w:t>
      </w:r>
      <w:r w:rsidR="008F36FC" w:rsidRPr="00515872">
        <w:rPr>
          <w:rFonts w:eastAsia="Times New Roman" w:cs="Tahoma"/>
          <w:szCs w:val="20"/>
          <w:lang w:eastAsia="it-IT"/>
        </w:rPr>
        <w:t>c. 1 e 1-bis, L. n. 243/2012 delinea l’obbligo, per i comuni, di ottemperare al pareggio di bilancio assunto perentoriamente a presupposto per la contrazione di debito per investimenti.</w:t>
      </w:r>
    </w:p>
    <w:p w14:paraId="387798D4"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 xml:space="preserve">I contratti di mutuo con enti diversi dalla Cassa </w:t>
      </w:r>
      <w:r w:rsidR="004B328B" w:rsidRPr="00515872">
        <w:rPr>
          <w:rFonts w:eastAsia="Times New Roman" w:cs="Tahoma"/>
          <w:szCs w:val="20"/>
          <w:lang w:eastAsia="it-IT"/>
        </w:rPr>
        <w:t>D</w:t>
      </w:r>
      <w:r w:rsidRPr="00515872">
        <w:rPr>
          <w:rFonts w:eastAsia="Times New Roman" w:cs="Tahoma"/>
          <w:szCs w:val="20"/>
          <w:lang w:eastAsia="it-IT"/>
        </w:rPr>
        <w:t xml:space="preserve">epositi e </w:t>
      </w:r>
      <w:r w:rsidR="004B328B" w:rsidRPr="00515872">
        <w:rPr>
          <w:rFonts w:eastAsia="Times New Roman" w:cs="Tahoma"/>
          <w:szCs w:val="20"/>
          <w:lang w:eastAsia="it-IT"/>
        </w:rPr>
        <w:t>P</w:t>
      </w:r>
      <w:r w:rsidRPr="00515872">
        <w:rPr>
          <w:rFonts w:eastAsia="Times New Roman" w:cs="Tahoma"/>
          <w:szCs w:val="20"/>
          <w:lang w:eastAsia="it-IT"/>
        </w:rPr>
        <w:t xml:space="preserve">restiti e dall'Istituto per il credito sportivo, devono, a pena di nullità, essere stipulati in forma pubblica e contenere le seguenti clausole e condizioni: </w:t>
      </w:r>
    </w:p>
    <w:p w14:paraId="5F2ED73A" w14:textId="77777777" w:rsidR="009518AF" w:rsidRPr="00515872" w:rsidRDefault="009518AF"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 xml:space="preserve">periodo di ammortamento </w:t>
      </w:r>
      <w:r w:rsidR="004B328B" w:rsidRPr="00515872">
        <w:rPr>
          <w:rFonts w:eastAsia="Times New Roman" w:cs="Tahoma"/>
          <w:szCs w:val="20"/>
          <w:lang w:eastAsia="it-IT"/>
        </w:rPr>
        <w:t>di durata non inferiore a</w:t>
      </w:r>
      <w:r w:rsidRPr="00515872">
        <w:rPr>
          <w:rFonts w:eastAsia="Times New Roman" w:cs="Tahoma"/>
          <w:szCs w:val="20"/>
          <w:lang w:eastAsia="it-IT"/>
        </w:rPr>
        <w:t xml:space="preserve"> 5 anni;</w:t>
      </w:r>
    </w:p>
    <w:p w14:paraId="2303C096" w14:textId="77777777" w:rsidR="009518AF" w:rsidRPr="00515872" w:rsidRDefault="009518AF"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decorrenza dell'ammortamento al 1</w:t>
      </w:r>
      <w:r w:rsidR="004B328B" w:rsidRPr="00515872">
        <w:rPr>
          <w:rFonts w:eastAsia="Times New Roman" w:cs="Tahoma"/>
          <w:szCs w:val="20"/>
          <w:lang w:eastAsia="it-IT"/>
        </w:rPr>
        <w:t>°</w:t>
      </w:r>
      <w:r w:rsidRPr="00515872">
        <w:rPr>
          <w:rFonts w:eastAsia="Times New Roman" w:cs="Tahoma"/>
          <w:szCs w:val="20"/>
          <w:lang w:eastAsia="it-IT"/>
        </w:rPr>
        <w:t xml:space="preserve"> gennaio dell'anno successivo a quello della stipula del contratto (in alternativa, la decorrenza dell'ammortamento può essere posticipata al 1° luglio seguente o al 1° gennaio dell'anno successivo e, per i contratti stipulati nel primo semestre dell'anno, può essere anticipata al 1° luglio dello stesso anno);</w:t>
      </w:r>
    </w:p>
    <w:p w14:paraId="61FFFF46" w14:textId="77777777" w:rsidR="009518AF" w:rsidRPr="00515872" w:rsidRDefault="009518AF"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rata di ammortamento comprensiva, sin dal primo anno, della quota capitale e della quota interessi;</w:t>
      </w:r>
    </w:p>
    <w:p w14:paraId="34F116E4" w14:textId="77777777" w:rsidR="009518AF" w:rsidRPr="00515872" w:rsidRDefault="009518AF"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 xml:space="preserve">unitamente alla prima rata di ammortamento devono essere corrisposti gli eventuali interessi di preammortamento gravati degli ulteriori interessi, al medesimo tasso, decorrenti dalla data di inizio dell'ammortamento e sino alla scadenza della prima rata. Qualora l'ammortamento del mutuo decorra dal 1° gennaio del secondo anno successivo a quello di stipula, gli interessi di preammortamento sono calcolati allo stesso tasso del mutuo dalla data di valuta della somministrazione al 31 dicembre successivo e sono versati dall'ente con la medesima valuta </w:t>
      </w:r>
      <w:r w:rsidR="00850C00" w:rsidRPr="00515872">
        <w:rPr>
          <w:rFonts w:eastAsia="Times New Roman" w:cs="Tahoma"/>
          <w:szCs w:val="20"/>
          <w:lang w:eastAsia="it-IT"/>
        </w:rPr>
        <w:t xml:space="preserve">al </w:t>
      </w:r>
      <w:r w:rsidRPr="00515872">
        <w:rPr>
          <w:rFonts w:eastAsia="Times New Roman" w:cs="Tahoma"/>
          <w:szCs w:val="20"/>
          <w:lang w:eastAsia="it-IT"/>
        </w:rPr>
        <w:t>31 dicembre successivo;</w:t>
      </w:r>
    </w:p>
    <w:p w14:paraId="20080957" w14:textId="77777777" w:rsidR="009518AF" w:rsidRPr="00515872" w:rsidRDefault="00850C00"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deve essere</w:t>
      </w:r>
      <w:r w:rsidR="009518AF" w:rsidRPr="00515872">
        <w:rPr>
          <w:rFonts w:eastAsia="Times New Roman" w:cs="Tahoma"/>
          <w:szCs w:val="20"/>
          <w:lang w:eastAsia="it-IT"/>
        </w:rPr>
        <w:t xml:space="preserve"> indicata la natura della spesa da finanziare e, ove necessario, dato atto dell'intervenuta approvazione del progetto definitivo o esecutivo;</w:t>
      </w:r>
    </w:p>
    <w:p w14:paraId="6F5B0048" w14:textId="77777777" w:rsidR="009518AF" w:rsidRPr="00515872" w:rsidRDefault="00850C00" w:rsidP="00D65838">
      <w:pPr>
        <w:pStyle w:val="Paragrafoelenco"/>
        <w:numPr>
          <w:ilvl w:val="0"/>
          <w:numId w:val="102"/>
        </w:numPr>
        <w:spacing w:line="360" w:lineRule="auto"/>
        <w:jc w:val="both"/>
        <w:rPr>
          <w:rFonts w:eastAsia="Times New Roman" w:cs="Tahoma"/>
          <w:szCs w:val="20"/>
          <w:lang w:eastAsia="it-IT"/>
        </w:rPr>
      </w:pPr>
      <w:r w:rsidRPr="00515872">
        <w:rPr>
          <w:rFonts w:eastAsia="Times New Roman" w:cs="Tahoma"/>
          <w:szCs w:val="20"/>
          <w:lang w:eastAsia="it-IT"/>
        </w:rPr>
        <w:t>deve essere</w:t>
      </w:r>
      <w:r w:rsidR="009518AF" w:rsidRPr="00515872">
        <w:rPr>
          <w:rFonts w:eastAsia="Times New Roman" w:cs="Tahoma"/>
          <w:szCs w:val="20"/>
          <w:lang w:eastAsia="it-IT"/>
        </w:rPr>
        <w:t xml:space="preserve"> rispettata la misura massima del tasso di interesse applicabile ai mutui, determinato periodicamente dal MEF.</w:t>
      </w:r>
    </w:p>
    <w:p w14:paraId="1126B468" w14:textId="77777777" w:rsidR="009A0A5D" w:rsidRPr="00515872" w:rsidRDefault="009A0A5D" w:rsidP="009A0A5D">
      <w:pPr>
        <w:spacing w:line="360" w:lineRule="auto"/>
        <w:jc w:val="both"/>
        <w:rPr>
          <w:rFonts w:cs="Tahoma"/>
          <w:color w:val="000000"/>
          <w:szCs w:val="20"/>
        </w:rPr>
      </w:pPr>
      <w:r w:rsidRPr="00515872">
        <w:rPr>
          <w:rFonts w:eastAsia="Times New Roman" w:cs="Tahoma"/>
          <w:szCs w:val="20"/>
          <w:lang w:eastAsia="it-IT"/>
        </w:rPr>
        <w:t>L’art. 113, D.L. 19 maggio 2020, n. 34,</w:t>
      </w:r>
      <w:r w:rsidR="004900D2" w:rsidRPr="00515872">
        <w:rPr>
          <w:rFonts w:eastAsia="Times New Roman" w:cs="Tahoma"/>
          <w:szCs w:val="20"/>
          <w:lang w:eastAsia="it-IT"/>
        </w:rPr>
        <w:t xml:space="preserve"> riprendendo dispositivi che sono già stati considerati in precedenti occasioni,</w:t>
      </w:r>
      <w:r w:rsidRPr="00515872">
        <w:rPr>
          <w:rFonts w:eastAsia="Times New Roman" w:cs="Tahoma"/>
          <w:szCs w:val="20"/>
          <w:lang w:eastAsia="it-IT"/>
        </w:rPr>
        <w:t xml:space="preserve"> in conseguenza dell’emergenza epidemiologica causata dal virus COVID-19 nei primi mesi del 2020, prevede</w:t>
      </w:r>
      <w:r w:rsidR="00122A8C" w:rsidRPr="00515872">
        <w:rPr>
          <w:rFonts w:eastAsia="Times New Roman" w:cs="Tahoma"/>
          <w:szCs w:val="20"/>
          <w:lang w:eastAsia="it-IT"/>
        </w:rPr>
        <w:t>va</w:t>
      </w:r>
      <w:r w:rsidRPr="00515872">
        <w:rPr>
          <w:rFonts w:eastAsia="Times New Roman" w:cs="Tahoma"/>
          <w:szCs w:val="20"/>
          <w:lang w:eastAsia="it-IT"/>
        </w:rPr>
        <w:t xml:space="preserve"> la possibilità per gli enti di </w:t>
      </w:r>
      <w:r w:rsidR="001629C3" w:rsidRPr="00515872">
        <w:rPr>
          <w:rFonts w:cs="Tahoma"/>
          <w:color w:val="000000"/>
          <w:szCs w:val="20"/>
        </w:rPr>
        <w:t xml:space="preserve">effettuare operazioni di rinegoziazione o sospensione </w:t>
      </w:r>
      <w:r w:rsidR="00CD048A" w:rsidRPr="00515872">
        <w:rPr>
          <w:rFonts w:cs="Tahoma"/>
          <w:color w:val="000000"/>
          <w:szCs w:val="20"/>
        </w:rPr>
        <w:t xml:space="preserve">della </w:t>
      </w:r>
      <w:r w:rsidR="001629C3" w:rsidRPr="00515872">
        <w:rPr>
          <w:rFonts w:cs="Tahoma"/>
          <w:color w:val="000000"/>
          <w:szCs w:val="20"/>
        </w:rPr>
        <w:t xml:space="preserve">quota capitale di mutui e altre forme di prestito contratto con le banche, gli intermediari finanziari e la Cassa </w:t>
      </w:r>
      <w:r w:rsidR="00323DA3" w:rsidRPr="00515872">
        <w:rPr>
          <w:rFonts w:cs="Tahoma"/>
          <w:color w:val="000000"/>
          <w:szCs w:val="20"/>
        </w:rPr>
        <w:t>D</w:t>
      </w:r>
      <w:r w:rsidR="001629C3" w:rsidRPr="00515872">
        <w:rPr>
          <w:rFonts w:cs="Tahoma"/>
          <w:color w:val="000000"/>
          <w:szCs w:val="20"/>
        </w:rPr>
        <w:t xml:space="preserve">epositi e </w:t>
      </w:r>
      <w:r w:rsidR="00323DA3" w:rsidRPr="00515872">
        <w:rPr>
          <w:rFonts w:cs="Tahoma"/>
          <w:color w:val="000000"/>
          <w:szCs w:val="20"/>
        </w:rPr>
        <w:t>P</w:t>
      </w:r>
      <w:r w:rsidR="001629C3" w:rsidRPr="00515872">
        <w:rPr>
          <w:rFonts w:cs="Tahoma"/>
          <w:color w:val="000000"/>
          <w:szCs w:val="20"/>
        </w:rPr>
        <w:t>restiti, anche nel corso dell'esercizio provvisorio, mediante deliberazione dell'organo esecutivo, fermo restando l'obbligo di provvedere alle relative iscrizioni nel bilancio di previsione</w:t>
      </w:r>
      <w:r w:rsidR="00F120F8" w:rsidRPr="00515872">
        <w:rPr>
          <w:rFonts w:cs="Tahoma"/>
          <w:color w:val="000000"/>
          <w:szCs w:val="20"/>
        </w:rPr>
        <w:t xml:space="preserve"> ovvero, in caso questo sia già stato approvato, mediante successiva variazione</w:t>
      </w:r>
      <w:r w:rsidR="001629C3" w:rsidRPr="00515872">
        <w:rPr>
          <w:rFonts w:cs="Tahoma"/>
          <w:color w:val="000000"/>
          <w:szCs w:val="20"/>
        </w:rPr>
        <w:t>. In caso di adesione ad accordi promossi dall'Associazione Bancaria Italiana (ABI) e dalle associazioni degli enti locali, che prevedono la sospensione delle quote capitale delle rate di ammortamento in scadenza nell'anno 2020 dei finanziamenti in essere, con conseguente modifica del relativo piano di ammortamento, tale sospensione p</w:t>
      </w:r>
      <w:r w:rsidR="00122A8C" w:rsidRPr="00515872">
        <w:rPr>
          <w:rFonts w:cs="Tahoma"/>
          <w:color w:val="000000"/>
          <w:szCs w:val="20"/>
        </w:rPr>
        <w:t xml:space="preserve">oteva </w:t>
      </w:r>
      <w:r w:rsidR="001629C3" w:rsidRPr="00515872">
        <w:rPr>
          <w:rFonts w:cs="Tahoma"/>
          <w:color w:val="000000"/>
          <w:szCs w:val="20"/>
        </w:rPr>
        <w:t>avvenire anche in deroga all'art. 204, c. 2, del TUEL  e all'art. 41, c. 2 e 2-bis, L. 28 dicembre 2001, n. 448, fermo restando il pagamento delle quote interessi alle scadenze contrattualmente previste.</w:t>
      </w:r>
    </w:p>
    <w:p w14:paraId="14E3C324" w14:textId="77777777" w:rsidR="00334777" w:rsidRPr="00515872" w:rsidRDefault="00C4177D" w:rsidP="00C4177D">
      <w:pPr>
        <w:spacing w:after="0" w:line="360" w:lineRule="auto"/>
        <w:jc w:val="both"/>
        <w:rPr>
          <w:rFonts w:cs="Tahoma"/>
          <w:szCs w:val="20"/>
        </w:rPr>
      </w:pPr>
      <w:r w:rsidRPr="00515872">
        <w:rPr>
          <w:rFonts w:cs="Tahoma"/>
          <w:color w:val="000000"/>
          <w:szCs w:val="20"/>
        </w:rPr>
        <w:t>L</w:t>
      </w:r>
      <w:r w:rsidR="00334777" w:rsidRPr="00515872">
        <w:rPr>
          <w:rFonts w:cs="Tahoma"/>
          <w:color w:val="000000"/>
          <w:szCs w:val="20"/>
        </w:rPr>
        <w:t xml:space="preserve">a Cassa Depositi e Prestiti </w:t>
      </w:r>
      <w:r w:rsidRPr="00515872">
        <w:rPr>
          <w:rFonts w:cs="Tahoma"/>
          <w:color w:val="000000"/>
          <w:szCs w:val="20"/>
        </w:rPr>
        <w:t xml:space="preserve">con propria circolare </w:t>
      </w:r>
      <w:r w:rsidR="00334777" w:rsidRPr="00515872">
        <w:rPr>
          <w:rFonts w:cs="Tahoma"/>
          <w:color w:val="000000"/>
          <w:szCs w:val="20"/>
        </w:rPr>
        <w:t xml:space="preserve">del 23 aprile 2020, n. 1300, </w:t>
      </w:r>
      <w:r w:rsidRPr="00515872">
        <w:rPr>
          <w:rFonts w:cs="Tahoma"/>
          <w:color w:val="000000"/>
          <w:szCs w:val="20"/>
        </w:rPr>
        <w:t xml:space="preserve">ha reso nota la disponibilità </w:t>
      </w:r>
      <w:r w:rsidR="00334777" w:rsidRPr="00515872">
        <w:rPr>
          <w:rFonts w:cs="Tahoma"/>
          <w:color w:val="000000"/>
          <w:szCs w:val="20"/>
        </w:rPr>
        <w:t>a rinegozia</w:t>
      </w:r>
      <w:r w:rsidRPr="00515872">
        <w:rPr>
          <w:rFonts w:cs="Tahoma"/>
          <w:color w:val="000000"/>
          <w:szCs w:val="20"/>
        </w:rPr>
        <w:t xml:space="preserve">re, per l’anno 2020, </w:t>
      </w:r>
      <w:r w:rsidR="00334777" w:rsidRPr="00515872">
        <w:rPr>
          <w:rFonts w:cs="Tahoma"/>
          <w:color w:val="000000"/>
          <w:szCs w:val="20"/>
        </w:rPr>
        <w:t>i prestiti in ammortament</w:t>
      </w:r>
      <w:r w:rsidRPr="00515872">
        <w:rPr>
          <w:rFonts w:cs="Tahoma"/>
          <w:color w:val="000000"/>
          <w:szCs w:val="20"/>
        </w:rPr>
        <w:t>o al 1</w:t>
      </w:r>
      <w:r w:rsidR="00323DA3" w:rsidRPr="00515872">
        <w:rPr>
          <w:rFonts w:cs="Tahoma"/>
          <w:color w:val="000000"/>
          <w:szCs w:val="20"/>
        </w:rPr>
        <w:t>°</w:t>
      </w:r>
      <w:r w:rsidRPr="00515872">
        <w:rPr>
          <w:rFonts w:cs="Tahoma"/>
          <w:color w:val="000000"/>
          <w:szCs w:val="20"/>
        </w:rPr>
        <w:t xml:space="preserve"> gennaio 2020 concessi a comuni, province, città </w:t>
      </w:r>
      <w:r w:rsidRPr="00515872">
        <w:rPr>
          <w:rFonts w:cs="Tahoma"/>
          <w:color w:val="000000"/>
          <w:szCs w:val="20"/>
        </w:rPr>
        <w:lastRenderedPageBreak/>
        <w:t>m</w:t>
      </w:r>
      <w:r w:rsidR="00334777" w:rsidRPr="00515872">
        <w:rPr>
          <w:rFonts w:cs="Tahoma"/>
          <w:color w:val="000000"/>
          <w:szCs w:val="20"/>
        </w:rPr>
        <w:t xml:space="preserve">etropolitane, </w:t>
      </w:r>
      <w:r w:rsidRPr="00515872">
        <w:rPr>
          <w:rFonts w:cs="Tahoma"/>
          <w:color w:val="000000"/>
          <w:szCs w:val="20"/>
        </w:rPr>
        <w:t>u</w:t>
      </w:r>
      <w:r w:rsidR="00334777" w:rsidRPr="00515872">
        <w:rPr>
          <w:rFonts w:cs="Tahoma"/>
          <w:color w:val="000000"/>
          <w:szCs w:val="20"/>
        </w:rPr>
        <w:t xml:space="preserve">nioni di </w:t>
      </w:r>
      <w:r w:rsidRPr="00515872">
        <w:rPr>
          <w:rFonts w:cs="Tahoma"/>
          <w:color w:val="000000"/>
          <w:szCs w:val="20"/>
        </w:rPr>
        <w:t>c</w:t>
      </w:r>
      <w:r w:rsidR="00334777" w:rsidRPr="00515872">
        <w:rPr>
          <w:rFonts w:cs="Tahoma"/>
          <w:color w:val="000000"/>
          <w:szCs w:val="20"/>
        </w:rPr>
        <w:t xml:space="preserve">omuni, </w:t>
      </w:r>
      <w:r w:rsidRPr="00515872">
        <w:rPr>
          <w:rFonts w:cs="Tahoma"/>
          <w:color w:val="000000"/>
          <w:szCs w:val="20"/>
        </w:rPr>
        <w:t>c</w:t>
      </w:r>
      <w:r w:rsidRPr="00515872">
        <w:rPr>
          <w:rFonts w:cs="Tahoma"/>
          <w:szCs w:val="20"/>
        </w:rPr>
        <w:t>omunità m</w:t>
      </w:r>
      <w:r w:rsidR="00334777" w:rsidRPr="00515872">
        <w:rPr>
          <w:rFonts w:cs="Tahoma"/>
          <w:szCs w:val="20"/>
        </w:rPr>
        <w:t xml:space="preserve">ontane </w:t>
      </w:r>
      <w:r w:rsidR="00680830" w:rsidRPr="00515872">
        <w:rPr>
          <w:rFonts w:cs="Tahoma"/>
          <w:szCs w:val="20"/>
        </w:rPr>
        <w:t>che avessero già approvato il bilancio di prev</w:t>
      </w:r>
      <w:r w:rsidRPr="00515872">
        <w:rPr>
          <w:rFonts w:cs="Tahoma"/>
          <w:szCs w:val="20"/>
        </w:rPr>
        <w:t>isione per il triennio 2020-2022</w:t>
      </w:r>
      <w:r w:rsidR="00680830" w:rsidRPr="00515872">
        <w:rPr>
          <w:rFonts w:cs="Tahoma"/>
          <w:szCs w:val="20"/>
        </w:rPr>
        <w:t xml:space="preserve">, </w:t>
      </w:r>
      <w:r w:rsidR="00334777" w:rsidRPr="00515872">
        <w:rPr>
          <w:rFonts w:cs="Tahoma"/>
          <w:szCs w:val="20"/>
        </w:rPr>
        <w:t>inclusi quelli già oggetto di precedenti programmi di rinegoziazione, aventi le seguenti caratteristiche:</w:t>
      </w:r>
    </w:p>
    <w:p w14:paraId="00C1E8E4" w14:textId="77777777" w:rsidR="00334777" w:rsidRPr="00515872" w:rsidRDefault="00334777" w:rsidP="00D65838">
      <w:pPr>
        <w:pStyle w:val="Paragrafoelenco"/>
        <w:numPr>
          <w:ilvl w:val="0"/>
          <w:numId w:val="102"/>
        </w:numPr>
        <w:spacing w:line="360" w:lineRule="auto"/>
        <w:jc w:val="both"/>
        <w:rPr>
          <w:rFonts w:eastAsia="Times New Roman" w:cs="Tahoma"/>
          <w:szCs w:val="20"/>
          <w:lang w:eastAsia="it-IT"/>
        </w:rPr>
      </w:pPr>
      <w:r w:rsidRPr="00515872">
        <w:rPr>
          <w:rFonts w:cs="Tahoma"/>
          <w:color w:val="000000"/>
          <w:szCs w:val="20"/>
        </w:rPr>
        <w:t>prestiti ordinari, a tasso fisso o variabile, e flessibili;</w:t>
      </w:r>
    </w:p>
    <w:p w14:paraId="2A1017C5" w14:textId="77777777" w:rsidR="00334777" w:rsidRPr="00515872" w:rsidRDefault="00334777" w:rsidP="00D65838">
      <w:pPr>
        <w:pStyle w:val="Paragrafoelenco"/>
        <w:numPr>
          <w:ilvl w:val="0"/>
          <w:numId w:val="102"/>
        </w:numPr>
        <w:spacing w:line="360" w:lineRule="auto"/>
        <w:jc w:val="both"/>
        <w:rPr>
          <w:rFonts w:eastAsia="Times New Roman" w:cs="Tahoma"/>
          <w:szCs w:val="20"/>
          <w:lang w:eastAsia="it-IT"/>
        </w:rPr>
      </w:pPr>
      <w:r w:rsidRPr="00515872">
        <w:rPr>
          <w:rFonts w:cs="Tahoma"/>
          <w:color w:val="000000"/>
          <w:szCs w:val="20"/>
        </w:rPr>
        <w:t xml:space="preserve">oneri di ammortamento interamente a carico dell’Ente beneficiario; </w:t>
      </w:r>
    </w:p>
    <w:p w14:paraId="466CA919" w14:textId="77777777" w:rsidR="00334777" w:rsidRPr="00515872" w:rsidRDefault="00C4177D" w:rsidP="00D65838">
      <w:pPr>
        <w:pStyle w:val="Paragrafoelenco"/>
        <w:numPr>
          <w:ilvl w:val="0"/>
          <w:numId w:val="102"/>
        </w:numPr>
        <w:spacing w:line="360" w:lineRule="auto"/>
        <w:jc w:val="both"/>
        <w:rPr>
          <w:rFonts w:eastAsia="Times New Roman" w:cs="Tahoma"/>
          <w:szCs w:val="20"/>
          <w:lang w:eastAsia="it-IT"/>
        </w:rPr>
      </w:pPr>
      <w:r w:rsidRPr="00515872">
        <w:rPr>
          <w:rFonts w:cs="Tahoma"/>
          <w:color w:val="000000"/>
          <w:szCs w:val="20"/>
        </w:rPr>
        <w:t xml:space="preserve">che fossero </w:t>
      </w:r>
      <w:r w:rsidR="00334777" w:rsidRPr="00515872">
        <w:rPr>
          <w:rFonts w:cs="Tahoma"/>
          <w:color w:val="000000"/>
          <w:szCs w:val="20"/>
        </w:rPr>
        <w:t>in ammortamento al 1° gennaio 2020, con debito residuo a tale data par</w:t>
      </w:r>
      <w:r w:rsidRPr="00515872">
        <w:rPr>
          <w:rFonts w:cs="Tahoma"/>
          <w:color w:val="000000"/>
          <w:szCs w:val="20"/>
        </w:rPr>
        <w:t>i o superiore ad euro 10.000,</w:t>
      </w:r>
      <w:r w:rsidR="00334777" w:rsidRPr="00515872">
        <w:rPr>
          <w:rFonts w:cs="Tahoma"/>
          <w:color w:val="000000"/>
          <w:szCs w:val="20"/>
        </w:rPr>
        <w:t xml:space="preserve"> e scadenza successiva al 31 dicembre 2020. </w:t>
      </w:r>
    </w:p>
    <w:p w14:paraId="51A002D4" w14:textId="77777777" w:rsidR="00680830" w:rsidRPr="00515872" w:rsidRDefault="00680830" w:rsidP="009A0A5D">
      <w:pPr>
        <w:spacing w:line="360" w:lineRule="auto"/>
        <w:jc w:val="both"/>
        <w:rPr>
          <w:rFonts w:cs="Tahoma"/>
          <w:szCs w:val="20"/>
        </w:rPr>
      </w:pPr>
      <w:r w:rsidRPr="00515872">
        <w:rPr>
          <w:rFonts w:cs="Tahoma"/>
          <w:szCs w:val="20"/>
        </w:rPr>
        <w:t>La proposta prevedeva, tra l’altro, lo slittamento del pagamento della rata semestrale di giugno al 31 luglio 2020, la sospensione per l’anno in corso del pagamento della quota capitale del primo semestre, la rideterminazione degli interessi e il pagamento della seconda rata semestrale, da effettuare entro dicembre, con una quota capitale pari allo 0,25% del debito residuo.</w:t>
      </w:r>
    </w:p>
    <w:p w14:paraId="02995FFA" w14:textId="77777777" w:rsidR="00334777" w:rsidRPr="00515872" w:rsidRDefault="00334777" w:rsidP="009A0A5D">
      <w:pPr>
        <w:spacing w:line="360" w:lineRule="auto"/>
        <w:jc w:val="both"/>
        <w:rPr>
          <w:rFonts w:cs="Tahoma"/>
          <w:szCs w:val="20"/>
        </w:rPr>
      </w:pPr>
      <w:r w:rsidRPr="00515872">
        <w:rPr>
          <w:rFonts w:cs="Tahoma"/>
          <w:szCs w:val="20"/>
        </w:rPr>
        <w:t>La richiesta di adesione doveva essere presentata entro il 3 giugno 2020.</w:t>
      </w:r>
    </w:p>
    <w:p w14:paraId="5103AEF2" w14:textId="77777777" w:rsidR="00856489" w:rsidRPr="00515872" w:rsidRDefault="00856489" w:rsidP="009A0A5D">
      <w:pPr>
        <w:spacing w:line="360" w:lineRule="auto"/>
        <w:jc w:val="both"/>
        <w:rPr>
          <w:rFonts w:eastAsia="Times New Roman" w:cs="Tahoma"/>
          <w:szCs w:val="20"/>
          <w:lang w:eastAsia="it-IT"/>
        </w:rPr>
      </w:pPr>
      <w:r w:rsidRPr="00515872">
        <w:rPr>
          <w:rFonts w:cs="Tahoma"/>
        </w:rPr>
        <w:t>L’art. 39, D.L. 30 dicembre 2019, n. 162, conv. L. 28 febbraio 2020, n. 8, prevede</w:t>
      </w:r>
      <w:r w:rsidR="00913169" w:rsidRPr="00515872">
        <w:rPr>
          <w:rFonts w:cs="Tahoma"/>
        </w:rPr>
        <w:t>va</w:t>
      </w:r>
      <w:r w:rsidRPr="00515872">
        <w:rPr>
          <w:rFonts w:cs="Tahoma"/>
        </w:rPr>
        <w:t xml:space="preserve"> che “</w:t>
      </w:r>
      <w:r w:rsidRPr="00515872">
        <w:rPr>
          <w:rFonts w:cs="Tahoma"/>
          <w:i/>
        </w:rPr>
        <w:t>I comuni, le province e le città metropolitane che abbiano contratto con banche o intermediari finanziari mutui in essere alla data del 30 giugno 2019, con scadenza successiva al 31 dicembre 2024 e con debito residuo superiore a 50.000 euro, o di valore inferiore nei casi di enti con un'incidenza degli oneri complessivi per rimborso di prestiti e interessi sulla spesa corrente media del triennio 2016-2018 superiore all'8 per cento, possono presentare al Ministero dell'economia e delle finanze, con le modalità e nei termini stabiliti con decreto del Ministro dell'economia e delle finanze da adottare, previa intesa in Conferenza Stato-città ed autonomie locali, entro novanta giorni dall'entrata in vigore del presente decreto, apposita istanza affinché tali mutui vengano ristrutturati dallo stesso Ministero, con accollo da parte dello Stato, al fine di conseguire una riduzione totale del valore finanziario delle passività totali a carico delle finanze pubbliche, ai sensi e per gli effetti dell'</w:t>
      </w:r>
      <w:hyperlink r:id="rId37" w:history="1">
        <w:r w:rsidRPr="00515872">
          <w:rPr>
            <w:rStyle w:val="Collegamentoipertestuale"/>
            <w:rFonts w:cs="Tahoma"/>
            <w:i/>
            <w:color w:val="auto"/>
            <w:u w:val="none"/>
          </w:rPr>
          <w:t>articolo 1, commi 71 e seguenti, della legge 30 dicembre 2004, n. 311</w:t>
        </w:r>
      </w:hyperlink>
      <w:r w:rsidRPr="00515872">
        <w:rPr>
          <w:rFonts w:cs="Tahoma"/>
        </w:rPr>
        <w:t>”.</w:t>
      </w:r>
    </w:p>
    <w:p w14:paraId="155B4B71"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Specifiche norme agevolative sono</w:t>
      </w:r>
      <w:r w:rsidR="00C4177D" w:rsidRPr="00515872">
        <w:rPr>
          <w:rFonts w:eastAsia="Times New Roman" w:cs="Tahoma"/>
          <w:szCs w:val="20"/>
          <w:lang w:eastAsia="it-IT"/>
        </w:rPr>
        <w:t>, inoltre,</w:t>
      </w:r>
      <w:r w:rsidRPr="00515872">
        <w:rPr>
          <w:rFonts w:eastAsia="Times New Roman" w:cs="Tahoma"/>
          <w:szCs w:val="20"/>
          <w:lang w:eastAsia="it-IT"/>
        </w:rPr>
        <w:t xml:space="preserve"> previste per gli enti locali colpiti eventi sismici.</w:t>
      </w:r>
    </w:p>
    <w:p w14:paraId="6A69EA24" w14:textId="77777777" w:rsidR="009518AF" w:rsidRPr="00515872" w:rsidRDefault="009518AF" w:rsidP="009518AF">
      <w:pPr>
        <w:spacing w:line="360" w:lineRule="auto"/>
        <w:jc w:val="both"/>
        <w:rPr>
          <w:rFonts w:cs="Tahoma"/>
          <w:iCs/>
        </w:rPr>
      </w:pPr>
      <w:r w:rsidRPr="00515872">
        <w:rPr>
          <w:rFonts w:cs="Tahoma"/>
          <w:iCs/>
        </w:rPr>
        <w:t>Oltre ai mutui, gli enti possono attivare altre forme di indebitamento, sottostando, ove compatibili, alle condizioni e limitazioni anzidette.</w:t>
      </w:r>
    </w:p>
    <w:p w14:paraId="7C485AD7" w14:textId="77777777" w:rsidR="009518AF" w:rsidRPr="00515872" w:rsidRDefault="009518AF" w:rsidP="009518AF">
      <w:pPr>
        <w:spacing w:after="0" w:line="360" w:lineRule="auto"/>
        <w:rPr>
          <w:rFonts w:cs="Tahoma"/>
          <w:b/>
        </w:rPr>
      </w:pPr>
      <w:r w:rsidRPr="00515872">
        <w:rPr>
          <w:rFonts w:cs="Tahoma"/>
          <w:b/>
        </w:rPr>
        <w:t>Prestiti obbligazionari</w:t>
      </w:r>
    </w:p>
    <w:p w14:paraId="7ED1DC4B" w14:textId="77777777" w:rsidR="00182663" w:rsidRPr="00515872" w:rsidRDefault="00323DA3" w:rsidP="00182663">
      <w:pPr>
        <w:spacing w:line="360" w:lineRule="auto"/>
        <w:jc w:val="both"/>
        <w:rPr>
          <w:rFonts w:cs="Tahoma"/>
        </w:rPr>
      </w:pPr>
      <w:r w:rsidRPr="00515872">
        <w:rPr>
          <w:rFonts w:cs="Tahoma"/>
        </w:rPr>
        <w:t xml:space="preserve">L’emissione di prestiti obbligazionari </w:t>
      </w:r>
      <w:r w:rsidR="00182663" w:rsidRPr="00515872">
        <w:rPr>
          <w:rFonts w:cs="Tahoma"/>
        </w:rPr>
        <w:t>(BOC) da p</w:t>
      </w:r>
      <w:r w:rsidRPr="00515872">
        <w:rPr>
          <w:rFonts w:cs="Tahoma"/>
        </w:rPr>
        <w:t xml:space="preserve">arte </w:t>
      </w:r>
      <w:r w:rsidR="00182663" w:rsidRPr="00515872">
        <w:rPr>
          <w:rFonts w:cs="Tahoma"/>
        </w:rPr>
        <w:t xml:space="preserve">degli enti locali </w:t>
      </w:r>
      <w:r w:rsidRPr="00515872">
        <w:rPr>
          <w:rFonts w:cs="Tahoma"/>
        </w:rPr>
        <w:t xml:space="preserve">è disciplinata dall’art. 32, </w:t>
      </w:r>
      <w:r w:rsidR="00182663" w:rsidRPr="00515872">
        <w:rPr>
          <w:rFonts w:cs="Tahoma"/>
        </w:rPr>
        <w:t xml:space="preserve">c. </w:t>
      </w:r>
      <w:r w:rsidRPr="00515872">
        <w:rPr>
          <w:rFonts w:cs="Tahoma"/>
        </w:rPr>
        <w:t>2</w:t>
      </w:r>
      <w:r w:rsidR="00182663" w:rsidRPr="00515872">
        <w:rPr>
          <w:rFonts w:cs="Tahoma"/>
        </w:rPr>
        <w:t>,</w:t>
      </w:r>
      <w:r w:rsidRPr="00515872">
        <w:rPr>
          <w:rFonts w:cs="Tahoma"/>
        </w:rPr>
        <w:t xml:space="preserve"> lett. i</w:t>
      </w:r>
      <w:r w:rsidR="00182663" w:rsidRPr="00515872">
        <w:rPr>
          <w:rFonts w:cs="Tahoma"/>
        </w:rPr>
        <w:t>), L.</w:t>
      </w:r>
      <w:r w:rsidRPr="00515872">
        <w:rPr>
          <w:rFonts w:cs="Tahoma"/>
        </w:rPr>
        <w:t xml:space="preserve"> </w:t>
      </w:r>
      <w:r w:rsidR="00182663" w:rsidRPr="00515872">
        <w:rPr>
          <w:rFonts w:cs="Tahoma"/>
        </w:rPr>
        <w:t xml:space="preserve">8 giugno </w:t>
      </w:r>
      <w:r w:rsidRPr="00515872">
        <w:rPr>
          <w:rFonts w:cs="Tahoma"/>
        </w:rPr>
        <w:t>1990 n.142 (che riguarda solo Comuni e Province) e nell’art.35</w:t>
      </w:r>
      <w:r w:rsidR="00182663" w:rsidRPr="00515872">
        <w:rPr>
          <w:rFonts w:cs="Tahoma"/>
        </w:rPr>
        <w:t>, L.</w:t>
      </w:r>
      <w:r w:rsidRPr="00515872">
        <w:rPr>
          <w:rFonts w:cs="Tahoma"/>
        </w:rPr>
        <w:t xml:space="preserve"> 23</w:t>
      </w:r>
      <w:r w:rsidR="00182663" w:rsidRPr="00515872">
        <w:rPr>
          <w:rFonts w:cs="Tahoma"/>
        </w:rPr>
        <w:t xml:space="preserve"> dicembre </w:t>
      </w:r>
      <w:r w:rsidRPr="00515872">
        <w:rPr>
          <w:rFonts w:cs="Tahoma"/>
        </w:rPr>
        <w:t>1994 n. 724 che ha esteso la facoltà a tutti gli</w:t>
      </w:r>
      <w:r w:rsidR="00182663" w:rsidRPr="00515872">
        <w:rPr>
          <w:rFonts w:cs="Tahoma"/>
        </w:rPr>
        <w:t xml:space="preserve"> enti territoriali</w:t>
      </w:r>
      <w:r w:rsidRPr="00515872">
        <w:rPr>
          <w:rFonts w:cs="Tahoma"/>
        </w:rPr>
        <w:t>.</w:t>
      </w:r>
    </w:p>
    <w:p w14:paraId="53FD228E" w14:textId="77777777" w:rsidR="00F17413" w:rsidRPr="00515872" w:rsidRDefault="00182663" w:rsidP="00F17413">
      <w:pPr>
        <w:spacing w:line="360" w:lineRule="auto"/>
        <w:jc w:val="both"/>
        <w:rPr>
          <w:rFonts w:cs="Tahoma"/>
        </w:rPr>
      </w:pPr>
      <w:r w:rsidRPr="00515872">
        <w:rPr>
          <w:rFonts w:cs="Tahoma"/>
        </w:rPr>
        <w:t xml:space="preserve">Le province, i comuni, le unioni di comuni, le città metropolitane, le comunità montane, i consorzi tra enti locali territoriali e le regioni possono emettere prestiti obbligazionari destinati esclusivamente al finanziamento degli </w:t>
      </w:r>
      <w:r w:rsidRPr="00515872">
        <w:rPr>
          <w:rFonts w:cs="Tahoma"/>
        </w:rPr>
        <w:lastRenderedPageBreak/>
        <w:t xml:space="preserve">investimenti, escluso il finanziamento della spese parte corrente. </w:t>
      </w:r>
      <w:r w:rsidR="00F17413" w:rsidRPr="00515872">
        <w:rPr>
          <w:rFonts w:cs="Tahoma"/>
        </w:rPr>
        <w:t>La delibera dell'ente emittente di approvazione del prestito deve indicare l'investimento da realizzare.</w:t>
      </w:r>
    </w:p>
    <w:p w14:paraId="31237E6C" w14:textId="77777777" w:rsidR="00182663" w:rsidRPr="00515872" w:rsidRDefault="00182663" w:rsidP="00182663">
      <w:pPr>
        <w:spacing w:line="360" w:lineRule="auto"/>
        <w:jc w:val="both"/>
        <w:rPr>
          <w:rFonts w:cs="Tahoma"/>
        </w:rPr>
      </w:pPr>
      <w:r w:rsidRPr="00515872">
        <w:rPr>
          <w:rFonts w:cs="Tahoma"/>
        </w:rPr>
        <w:t>L'emissione dei prestiti obbligazionari è subordinata alla condizione che l’ente, non si trovi in situazione di dissesto o in strutturalmente deficitarie.</w:t>
      </w:r>
    </w:p>
    <w:p w14:paraId="39B5D119" w14:textId="77777777" w:rsidR="00F17413" w:rsidRPr="00515872" w:rsidRDefault="00182663" w:rsidP="00F17413">
      <w:pPr>
        <w:spacing w:line="360" w:lineRule="auto"/>
        <w:jc w:val="both"/>
        <w:rPr>
          <w:rFonts w:cs="Tahoma"/>
        </w:rPr>
      </w:pPr>
      <w:r w:rsidRPr="00515872">
        <w:rPr>
          <w:rFonts w:cs="Tahoma"/>
        </w:rPr>
        <w:t>Nessun prestito può comunque essere emesso se dal penultimo esercizio risulti un disavanzo di amministrazione e se non sia stato deliberato il bilancio di previsione.</w:t>
      </w:r>
    </w:p>
    <w:p w14:paraId="0F237A16" w14:textId="77777777" w:rsidR="00F17413" w:rsidRPr="00515872" w:rsidRDefault="00F17413" w:rsidP="00F17413">
      <w:pPr>
        <w:spacing w:line="360" w:lineRule="auto"/>
        <w:jc w:val="both"/>
        <w:rPr>
          <w:rFonts w:cs="Tahoma"/>
        </w:rPr>
      </w:pPr>
      <w:r w:rsidRPr="00515872">
        <w:rPr>
          <w:rFonts w:cs="Tahoma"/>
        </w:rPr>
        <w:t>L</w:t>
      </w:r>
      <w:r w:rsidR="00182663" w:rsidRPr="00515872">
        <w:rPr>
          <w:rFonts w:cs="Tahoma"/>
        </w:rPr>
        <w:t>a durata del p</w:t>
      </w:r>
      <w:r w:rsidRPr="00515872">
        <w:rPr>
          <w:rFonts w:cs="Tahoma"/>
        </w:rPr>
        <w:t>restito obbligazionario non può</w:t>
      </w:r>
      <w:r w:rsidR="00182663" w:rsidRPr="00515872">
        <w:rPr>
          <w:rFonts w:cs="Tahoma"/>
        </w:rPr>
        <w:t xml:space="preserve"> essere inferiore</w:t>
      </w:r>
      <w:r w:rsidRPr="00515872">
        <w:rPr>
          <w:rFonts w:cs="Tahoma"/>
        </w:rPr>
        <w:t xml:space="preserve"> 5</w:t>
      </w:r>
      <w:r w:rsidR="00182663" w:rsidRPr="00515872">
        <w:rPr>
          <w:rFonts w:cs="Tahoma"/>
        </w:rPr>
        <w:t xml:space="preserve"> anni. </w:t>
      </w:r>
    </w:p>
    <w:p w14:paraId="5F0F54D7" w14:textId="77777777" w:rsidR="00F17413" w:rsidRPr="00515872" w:rsidRDefault="00182663" w:rsidP="00F17413">
      <w:pPr>
        <w:spacing w:line="360" w:lineRule="auto"/>
        <w:jc w:val="both"/>
        <w:rPr>
          <w:rFonts w:cs="Tahoma"/>
        </w:rPr>
      </w:pPr>
      <w:r w:rsidRPr="00515872">
        <w:rPr>
          <w:rFonts w:cs="Tahoma"/>
        </w:rPr>
        <w:t>Il</w:t>
      </w:r>
      <w:r w:rsidR="00F17413" w:rsidRPr="00515872">
        <w:rPr>
          <w:rFonts w:cs="Tahoma"/>
        </w:rPr>
        <w:t xml:space="preserve"> rendimento effettivo </w:t>
      </w:r>
      <w:r w:rsidRPr="00515872">
        <w:rPr>
          <w:rFonts w:cs="Tahoma"/>
        </w:rPr>
        <w:t>lordo</w:t>
      </w:r>
      <w:r w:rsidR="00F17413" w:rsidRPr="00515872">
        <w:rPr>
          <w:rFonts w:cs="Tahoma"/>
        </w:rPr>
        <w:t xml:space="preserve"> non può</w:t>
      </w:r>
      <w:r w:rsidRPr="00515872">
        <w:rPr>
          <w:rFonts w:cs="Tahoma"/>
        </w:rPr>
        <w:t xml:space="preserve"> essere superiore, al momento della emissione, al</w:t>
      </w:r>
      <w:r w:rsidR="00F17413" w:rsidRPr="00515872">
        <w:rPr>
          <w:rFonts w:cs="Tahoma"/>
        </w:rPr>
        <w:t xml:space="preserve"> </w:t>
      </w:r>
      <w:r w:rsidRPr="00515872">
        <w:rPr>
          <w:rFonts w:cs="Tahoma"/>
        </w:rPr>
        <w:t>rendimento lordo dei titoli di Stato di pari durata emessi nel mese</w:t>
      </w:r>
      <w:r w:rsidR="00F17413" w:rsidRPr="00515872">
        <w:rPr>
          <w:rFonts w:cs="Tahoma"/>
        </w:rPr>
        <w:t xml:space="preserve"> </w:t>
      </w:r>
      <w:r w:rsidRPr="00515872">
        <w:rPr>
          <w:rFonts w:cs="Tahoma"/>
        </w:rPr>
        <w:t xml:space="preserve">precedente maggiorato di un punto. </w:t>
      </w:r>
    </w:p>
    <w:p w14:paraId="6A369472" w14:textId="77777777" w:rsidR="00182663" w:rsidRPr="00515872" w:rsidRDefault="00182663" w:rsidP="00F17413">
      <w:pPr>
        <w:spacing w:line="360" w:lineRule="auto"/>
        <w:jc w:val="both"/>
        <w:rPr>
          <w:rFonts w:cs="Tahoma"/>
        </w:rPr>
      </w:pPr>
      <w:r w:rsidRPr="00515872">
        <w:rPr>
          <w:rFonts w:cs="Tahoma"/>
        </w:rPr>
        <w:t>Le emissioni</w:t>
      </w:r>
      <w:r w:rsidR="00F17413" w:rsidRPr="00515872">
        <w:rPr>
          <w:rFonts w:cs="Tahoma"/>
        </w:rPr>
        <w:t xml:space="preserve"> </w:t>
      </w:r>
      <w:r w:rsidRPr="00515872">
        <w:rPr>
          <w:rFonts w:cs="Tahoma"/>
        </w:rPr>
        <w:t>obbligazionarie sono sottopo</w:t>
      </w:r>
      <w:r w:rsidR="00F17413" w:rsidRPr="00515872">
        <w:rPr>
          <w:rFonts w:cs="Tahoma"/>
        </w:rPr>
        <w:t>ste al benestare preventivo della</w:t>
      </w:r>
      <w:r w:rsidRPr="00515872">
        <w:rPr>
          <w:rFonts w:cs="Tahoma"/>
        </w:rPr>
        <w:t xml:space="preserve"> Banca</w:t>
      </w:r>
      <w:r w:rsidR="00F17413" w:rsidRPr="00515872">
        <w:rPr>
          <w:rFonts w:cs="Tahoma"/>
        </w:rPr>
        <w:t xml:space="preserve"> </w:t>
      </w:r>
      <w:r w:rsidRPr="00515872">
        <w:rPr>
          <w:rFonts w:cs="Tahoma"/>
        </w:rPr>
        <w:t>d'Itali</w:t>
      </w:r>
      <w:r w:rsidR="00F17413" w:rsidRPr="00515872">
        <w:rPr>
          <w:rFonts w:cs="Tahoma"/>
        </w:rPr>
        <w:t xml:space="preserve">a, che deve essere espresso </w:t>
      </w:r>
      <w:r w:rsidRPr="00515872">
        <w:rPr>
          <w:rFonts w:cs="Tahoma"/>
        </w:rPr>
        <w:t xml:space="preserve">entro </w:t>
      </w:r>
      <w:r w:rsidR="00F17413" w:rsidRPr="00515872">
        <w:rPr>
          <w:rFonts w:cs="Tahoma"/>
        </w:rPr>
        <w:t>60</w:t>
      </w:r>
      <w:r w:rsidRPr="00515872">
        <w:rPr>
          <w:rFonts w:cs="Tahoma"/>
        </w:rPr>
        <w:t xml:space="preserve"> giorni dalla</w:t>
      </w:r>
      <w:r w:rsidR="00F17413" w:rsidRPr="00515872">
        <w:rPr>
          <w:rFonts w:cs="Tahoma"/>
        </w:rPr>
        <w:t xml:space="preserve"> </w:t>
      </w:r>
      <w:r w:rsidRPr="00515872">
        <w:rPr>
          <w:rFonts w:cs="Tahoma"/>
        </w:rPr>
        <w:t xml:space="preserve">richiesta. </w:t>
      </w:r>
    </w:p>
    <w:p w14:paraId="4AE9B92C" w14:textId="77777777" w:rsidR="009518AF" w:rsidRPr="00515872" w:rsidRDefault="009518AF" w:rsidP="009518AF">
      <w:pPr>
        <w:spacing w:after="0" w:line="360" w:lineRule="auto"/>
        <w:jc w:val="both"/>
        <w:rPr>
          <w:rFonts w:cs="Tahoma"/>
          <w:b/>
          <w:szCs w:val="20"/>
        </w:rPr>
      </w:pPr>
      <w:r w:rsidRPr="00515872">
        <w:rPr>
          <w:rFonts w:cs="Tahoma"/>
          <w:b/>
          <w:szCs w:val="20"/>
        </w:rPr>
        <w:t>Aperture di credito</w:t>
      </w:r>
    </w:p>
    <w:p w14:paraId="0371AC13" w14:textId="77777777" w:rsidR="009518AF" w:rsidRPr="00515872" w:rsidRDefault="009518AF" w:rsidP="009518AF">
      <w:pPr>
        <w:spacing w:after="0" w:line="360" w:lineRule="auto"/>
        <w:jc w:val="both"/>
        <w:rPr>
          <w:rFonts w:cs="Tahoma"/>
          <w:szCs w:val="20"/>
        </w:rPr>
      </w:pPr>
      <w:r w:rsidRPr="00515872">
        <w:rPr>
          <w:rFonts w:cs="Tahoma"/>
          <w:szCs w:val="20"/>
        </w:rPr>
        <w:t>Le aperture di credito sono soggette agli stessi limiti operativi e di bilancio previsti per i mutui passivi e sono stipulate, a pena di nullità, in forma pubblica; al momento della stipula del relativo contratto, come per i mutui passivi, si assume l’accertamento di entrata e i relativi impegni di spesa che corrisponderanno a progetti definitivi ed esecutivi dell’opera da realizzare. Condizioni e clausole obbligatorie che devono essere contenute nei contratti sono:</w:t>
      </w:r>
    </w:p>
    <w:p w14:paraId="3AE2F546"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erogazioni, totali o parziali, dell'importo del contratto in base alle richieste di volta in volta inoltrate dall'ente e previo rilascio da parte di quest'ultimo delle relative delegazioni di pagamento;</w:t>
      </w:r>
    </w:p>
    <w:p w14:paraId="2FE843E4"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interessi riferiti ai soli importi erogati. L'ammortamento di tali importi deve avere una durata non inferiore a 5 anni con decorrenza dal 1° gennaio o dal 1° luglio successivi alla data dell'erogazione;</w:t>
      </w:r>
    </w:p>
    <w:p w14:paraId="7C8143E9"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rate di ammortamento comprensive, sin dal primo anno, della quota capitale e della quota interessi;</w:t>
      </w:r>
    </w:p>
    <w:p w14:paraId="061749CB"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 xml:space="preserve">unitamente alla prima rata di ammortamento delle somme erogate, devono essere corrisposti gli eventuali interessi di preammortamento, gravati degli ulteriori interessi decorrenti dalla data di inizio dell'ammortamento e sino alla scadenza della prima rata; </w:t>
      </w:r>
    </w:p>
    <w:p w14:paraId="4676A5DF"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deve essere indicata la natura delle spese da finanziare e, ove necessario, dato atto dell'intervenuta approvazione del progetto o dei progetti definitivi o esecutivi;</w:t>
      </w:r>
    </w:p>
    <w:p w14:paraId="50C62D88" w14:textId="77777777" w:rsidR="009518AF" w:rsidRPr="00515872" w:rsidRDefault="009518AF" w:rsidP="00D65838">
      <w:pPr>
        <w:pStyle w:val="Paragrafoelenco"/>
        <w:numPr>
          <w:ilvl w:val="0"/>
          <w:numId w:val="103"/>
        </w:numPr>
        <w:spacing w:line="360" w:lineRule="auto"/>
        <w:jc w:val="both"/>
        <w:rPr>
          <w:rFonts w:eastAsia="Times New Roman" w:cs="Tahoma"/>
          <w:szCs w:val="20"/>
          <w:lang w:eastAsia="it-IT"/>
        </w:rPr>
      </w:pPr>
      <w:r w:rsidRPr="00515872">
        <w:rPr>
          <w:rFonts w:eastAsia="Times New Roman" w:cs="Tahoma"/>
          <w:szCs w:val="20"/>
          <w:lang w:eastAsia="it-IT"/>
        </w:rPr>
        <w:t xml:space="preserve">deve essere rispettata la misura massima del tasso di interesse applicabile alle aperture di credito, determinato periodicamente dal MEF. </w:t>
      </w:r>
    </w:p>
    <w:p w14:paraId="5DCDAC39" w14:textId="77777777" w:rsidR="009518AF" w:rsidRPr="00515872" w:rsidRDefault="009518AF" w:rsidP="009518AF">
      <w:pPr>
        <w:spacing w:after="0" w:line="360" w:lineRule="auto"/>
        <w:jc w:val="both"/>
        <w:rPr>
          <w:rFonts w:cs="Tahoma"/>
          <w:b/>
        </w:rPr>
      </w:pPr>
      <w:r w:rsidRPr="00515872">
        <w:rPr>
          <w:rFonts w:cs="Tahoma"/>
          <w:b/>
        </w:rPr>
        <w:t>Leasing finanziario</w:t>
      </w:r>
    </w:p>
    <w:p w14:paraId="3654DD2D" w14:textId="77777777" w:rsidR="009518AF" w:rsidRPr="00515872" w:rsidRDefault="009518AF" w:rsidP="009518AF">
      <w:pPr>
        <w:spacing w:line="360" w:lineRule="auto"/>
        <w:jc w:val="both"/>
        <w:rPr>
          <w:rFonts w:cs="Tahoma"/>
          <w:szCs w:val="20"/>
        </w:rPr>
      </w:pPr>
      <w:r w:rsidRPr="00515872">
        <w:rPr>
          <w:rFonts w:cs="Tahoma"/>
        </w:rPr>
        <w:t xml:space="preserve">Le operazioni di leasing finanziario costituiscono operazioni di indebitamento. Per il principio della prevalenza della sostanza sulla forma, il leasing finanziario ed i contratti assimilati costituiscono debito che finanzia </w:t>
      </w:r>
      <w:r w:rsidRPr="00515872">
        <w:rPr>
          <w:rFonts w:cs="Tahoma"/>
        </w:rPr>
        <w:lastRenderedPageBreak/>
        <w:t xml:space="preserve">l’investimento. Pertanto, il leasing finanziario e le operazioni assimilate sono registrate con le medesime scritture utilizzate per </w:t>
      </w:r>
      <w:r w:rsidRPr="00515872">
        <w:rPr>
          <w:rFonts w:cs="Tahoma"/>
          <w:szCs w:val="20"/>
        </w:rPr>
        <w:t>gli investimenti finanziati da debito</w:t>
      </w:r>
      <w:r w:rsidRPr="00515872">
        <w:rPr>
          <w:rStyle w:val="Rimandonotaapidipagina"/>
          <w:rFonts w:cs="Tahoma"/>
          <w:szCs w:val="20"/>
        </w:rPr>
        <w:footnoteReference w:id="97"/>
      </w:r>
      <w:r w:rsidRPr="00515872">
        <w:rPr>
          <w:rFonts w:cs="Tahoma"/>
          <w:szCs w:val="20"/>
        </w:rPr>
        <w:t>.</w:t>
      </w:r>
    </w:p>
    <w:p w14:paraId="70B5D259"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Rilascio di fideiussioni</w:t>
      </w:r>
    </w:p>
    <w:p w14:paraId="0A5399B8"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Assimilato al ricorso all’indebitamento è il rilascio di fideiussioni da parte dell’ente a favore di terzi. In particolare, l’art. 207 del TUEL prevede che i comuni, le province e le città metropolitane possono rilasciare, a mezzo di deliberazione consiliare, garanzia fideiussoria per l'assunzione di mutui destinati ad investimenti e per altre operazioni di indebitamento contratte:</w:t>
      </w:r>
    </w:p>
    <w:p w14:paraId="443CE536" w14:textId="77777777" w:rsidR="009518AF" w:rsidRPr="00515872" w:rsidRDefault="009518AF" w:rsidP="00D65838">
      <w:pPr>
        <w:pStyle w:val="Paragrafoelenco"/>
        <w:numPr>
          <w:ilvl w:val="0"/>
          <w:numId w:val="104"/>
        </w:numPr>
        <w:spacing w:line="360" w:lineRule="auto"/>
        <w:jc w:val="both"/>
        <w:rPr>
          <w:rFonts w:eastAsia="Times New Roman" w:cs="Tahoma"/>
          <w:szCs w:val="20"/>
          <w:lang w:eastAsia="it-IT"/>
        </w:rPr>
      </w:pPr>
      <w:r w:rsidRPr="00515872">
        <w:rPr>
          <w:rFonts w:eastAsia="Times New Roman" w:cs="Tahoma"/>
          <w:szCs w:val="20"/>
          <w:lang w:eastAsia="it-IT"/>
        </w:rPr>
        <w:t>da parte di aziende da essi dipendenti;</w:t>
      </w:r>
    </w:p>
    <w:p w14:paraId="6F321963" w14:textId="77777777" w:rsidR="009518AF" w:rsidRPr="00515872" w:rsidRDefault="009518AF" w:rsidP="00D65838">
      <w:pPr>
        <w:pStyle w:val="Paragrafoelenco"/>
        <w:numPr>
          <w:ilvl w:val="0"/>
          <w:numId w:val="104"/>
        </w:numPr>
        <w:spacing w:line="360" w:lineRule="auto"/>
        <w:jc w:val="both"/>
        <w:rPr>
          <w:rFonts w:eastAsia="Times New Roman" w:cs="Tahoma"/>
          <w:szCs w:val="20"/>
          <w:lang w:eastAsia="it-IT"/>
        </w:rPr>
      </w:pPr>
      <w:r w:rsidRPr="00515872">
        <w:rPr>
          <w:rFonts w:eastAsia="Times New Roman" w:cs="Tahoma"/>
          <w:szCs w:val="20"/>
          <w:lang w:eastAsia="it-IT"/>
        </w:rPr>
        <w:t>da consorzi cui partecipano;</w:t>
      </w:r>
    </w:p>
    <w:p w14:paraId="7004E3D2" w14:textId="77777777" w:rsidR="009518AF" w:rsidRPr="00515872" w:rsidRDefault="009518AF" w:rsidP="00D65838">
      <w:pPr>
        <w:pStyle w:val="Paragrafoelenco"/>
        <w:numPr>
          <w:ilvl w:val="0"/>
          <w:numId w:val="104"/>
        </w:numPr>
        <w:spacing w:after="0" w:line="360" w:lineRule="auto"/>
        <w:jc w:val="both"/>
        <w:rPr>
          <w:rFonts w:eastAsia="Times New Roman" w:cs="Tahoma"/>
          <w:szCs w:val="20"/>
          <w:lang w:eastAsia="it-IT"/>
        </w:rPr>
      </w:pPr>
      <w:r w:rsidRPr="00515872">
        <w:rPr>
          <w:rFonts w:eastAsia="Times New Roman" w:cs="Tahoma"/>
          <w:szCs w:val="20"/>
          <w:lang w:eastAsia="it-IT"/>
        </w:rPr>
        <w:t>dalle comunità montane di cui fanno parte;</w:t>
      </w:r>
    </w:p>
    <w:p w14:paraId="06A4EF0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che possono essere destinatari di contributi agli investimenti finanziati da debito.</w:t>
      </w:r>
    </w:p>
    <w:p w14:paraId="0073474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Anche a fronte di emissione di prestiti obbligazionari effettuate congiuntamente da più enti locali, gli enti capofila possono rilasciare garanzie fideiussorie riferite all'insieme delle operazioni stesse. La fideiussione può essere inoltre rilasciata a favore delle società di capitali, costituite ai sensi dell'art. 113, c. 1, lett. e)</w:t>
      </w:r>
      <w:r w:rsidR="00E3115F" w:rsidRPr="00515872">
        <w:rPr>
          <w:rFonts w:eastAsia="Times New Roman" w:cs="Tahoma"/>
          <w:szCs w:val="20"/>
          <w:lang w:eastAsia="it-IT"/>
        </w:rPr>
        <w:t xml:space="preserve"> del TUEL</w:t>
      </w:r>
      <w:r w:rsidRPr="00515872">
        <w:rPr>
          <w:rFonts w:eastAsia="Times New Roman" w:cs="Tahoma"/>
          <w:szCs w:val="20"/>
          <w:lang w:eastAsia="it-IT"/>
        </w:rPr>
        <w:t>, e a favore di terzi che possono essere destinatari di contributi agli investimenti finanziati da debito</w:t>
      </w:r>
      <w:r w:rsidR="00E3115F" w:rsidRPr="00515872">
        <w:rPr>
          <w:rFonts w:eastAsia="Times New Roman" w:cs="Tahoma"/>
          <w:szCs w:val="20"/>
          <w:lang w:eastAsia="it-IT"/>
        </w:rPr>
        <w:t xml:space="preserve"> per l’assunzione di mutui destinati alla realizzazione o alla ristrutturazione di opere ai fini culturali, sociali o sportivi, su terreni di proprietà dell’ente, al ricorrere delle condizioni di cui all’art. 207, c.3 del TUEL</w:t>
      </w:r>
      <w:r w:rsidRPr="00515872">
        <w:rPr>
          <w:rFonts w:eastAsia="Times New Roman" w:cs="Tahoma"/>
          <w:szCs w:val="20"/>
          <w:lang w:eastAsia="it-IT"/>
        </w:rPr>
        <w:t>.</w:t>
      </w:r>
    </w:p>
    <w:p w14:paraId="61830154" w14:textId="77777777" w:rsidR="009D2672" w:rsidRPr="00515872" w:rsidRDefault="009D2672" w:rsidP="009D2672">
      <w:pPr>
        <w:spacing w:after="0" w:line="360" w:lineRule="auto"/>
        <w:jc w:val="both"/>
        <w:rPr>
          <w:rFonts w:eastAsia="Times New Roman" w:cs="Tahoma"/>
          <w:b/>
          <w:szCs w:val="20"/>
          <w:lang w:eastAsia="it-IT"/>
        </w:rPr>
      </w:pPr>
      <w:r w:rsidRPr="00515872">
        <w:rPr>
          <w:rFonts w:eastAsia="Times New Roman" w:cs="Tahoma"/>
          <w:b/>
          <w:szCs w:val="20"/>
          <w:lang w:eastAsia="it-IT"/>
        </w:rPr>
        <w:t>Lettere di patronage</w:t>
      </w:r>
    </w:p>
    <w:p w14:paraId="79D6E1BC" w14:textId="77777777" w:rsidR="00947870" w:rsidRPr="00515872" w:rsidRDefault="00C4177D" w:rsidP="00947870">
      <w:pPr>
        <w:spacing w:line="360" w:lineRule="auto"/>
        <w:jc w:val="both"/>
        <w:rPr>
          <w:rFonts w:eastAsia="Times New Roman" w:cs="Tahoma"/>
          <w:b/>
          <w:szCs w:val="20"/>
          <w:lang w:eastAsia="it-IT"/>
        </w:rPr>
      </w:pPr>
      <w:r w:rsidRPr="00515872">
        <w:rPr>
          <w:rFonts w:eastAsia="Times New Roman" w:cs="Tahoma"/>
          <w:szCs w:val="20"/>
          <w:lang w:eastAsia="it-IT"/>
        </w:rPr>
        <w:t>Come chiarito dalla Corte dei C</w:t>
      </w:r>
      <w:r w:rsidR="009D2672" w:rsidRPr="00515872">
        <w:rPr>
          <w:rFonts w:eastAsia="Times New Roman" w:cs="Tahoma"/>
          <w:szCs w:val="20"/>
          <w:lang w:eastAsia="it-IT"/>
        </w:rPr>
        <w:t>onti, la lettera di patronage “forte” è assimilata ad una fideiussione e, pertanto, agli stessi limiti previsti dal TUEL per ricorrere all’</w:t>
      </w:r>
      <w:r w:rsidR="00832A77" w:rsidRPr="00515872">
        <w:rPr>
          <w:rFonts w:eastAsia="Times New Roman" w:cs="Tahoma"/>
          <w:szCs w:val="20"/>
          <w:lang w:eastAsia="it-IT"/>
        </w:rPr>
        <w:t>indebitamento.</w:t>
      </w:r>
    </w:p>
    <w:p w14:paraId="439ED605" w14:textId="77777777" w:rsidR="009518AF" w:rsidRPr="00515872" w:rsidRDefault="009518AF" w:rsidP="00947870">
      <w:pPr>
        <w:spacing w:after="0" w:line="360" w:lineRule="auto"/>
        <w:jc w:val="both"/>
        <w:rPr>
          <w:rFonts w:eastAsia="Times New Roman" w:cs="Tahoma"/>
          <w:szCs w:val="20"/>
          <w:lang w:eastAsia="it-IT"/>
        </w:rPr>
      </w:pPr>
      <w:r w:rsidRPr="00515872">
        <w:rPr>
          <w:rFonts w:eastAsia="Times New Roman" w:cs="Tahoma"/>
          <w:b/>
          <w:szCs w:val="20"/>
          <w:lang w:eastAsia="it-IT"/>
        </w:rPr>
        <w:t>Parere dell’organo di revisione</w:t>
      </w:r>
    </w:p>
    <w:p w14:paraId="3F8546D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L’organo di revisione è chiamato a formulare il proprio parere alle proposte di ricorso alle varie forme di indebitamento</w:t>
      </w:r>
      <w:r w:rsidR="00235EF9" w:rsidRPr="00515872">
        <w:rPr>
          <w:rFonts w:eastAsia="Times New Roman" w:cs="Tahoma"/>
          <w:szCs w:val="20"/>
          <w:lang w:eastAsia="it-IT"/>
        </w:rPr>
        <w:t xml:space="preserve"> da sottoporre al consiglio dell’ente</w:t>
      </w:r>
      <w:r w:rsidRPr="00515872">
        <w:rPr>
          <w:rFonts w:eastAsia="Times New Roman" w:cs="Tahoma"/>
          <w:szCs w:val="20"/>
          <w:lang w:eastAsia="it-IT"/>
        </w:rPr>
        <w:t>.</w:t>
      </w:r>
    </w:p>
    <w:p w14:paraId="76FCB6AB" w14:textId="77777777" w:rsidR="009518AF" w:rsidRPr="00515872" w:rsidRDefault="00235EF9" w:rsidP="00B07D69">
      <w:pPr>
        <w:spacing w:after="0" w:line="360" w:lineRule="auto"/>
        <w:jc w:val="both"/>
        <w:rPr>
          <w:rFonts w:eastAsia="Times New Roman" w:cs="Tahoma"/>
          <w:szCs w:val="20"/>
          <w:lang w:eastAsia="it-IT"/>
        </w:rPr>
      </w:pPr>
      <w:r w:rsidRPr="00515872">
        <w:rPr>
          <w:rFonts w:eastAsia="Times New Roman" w:cs="Tahoma"/>
          <w:szCs w:val="20"/>
          <w:lang w:eastAsia="it-IT"/>
        </w:rPr>
        <w:t>Il controllo deve avvenire nelle seguenti fasi:</w:t>
      </w:r>
    </w:p>
    <w:p w14:paraId="57F8C045" w14:textId="77777777" w:rsidR="00235EF9" w:rsidRPr="00515872" w:rsidRDefault="00235EF9" w:rsidP="00D65838">
      <w:pPr>
        <w:pStyle w:val="Paragrafoelenco"/>
        <w:numPr>
          <w:ilvl w:val="0"/>
          <w:numId w:val="104"/>
        </w:numPr>
        <w:spacing w:line="360" w:lineRule="auto"/>
        <w:jc w:val="both"/>
        <w:rPr>
          <w:rFonts w:eastAsia="Times New Roman" w:cs="Tahoma"/>
          <w:szCs w:val="20"/>
          <w:lang w:eastAsia="it-IT"/>
        </w:rPr>
      </w:pPr>
      <w:r w:rsidRPr="00515872">
        <w:rPr>
          <w:rFonts w:eastAsia="Times New Roman" w:cs="Tahoma"/>
          <w:szCs w:val="20"/>
          <w:lang w:eastAsia="it-IT"/>
        </w:rPr>
        <w:t>in sede di previsione: verificare ed attestare, nella formulazione del parere sul bilancio, il rispetto dei limiti di indebitamento, la corretta destinazione dei finanziamenti a spese di investimento e la compatibilità finanziaria degli oneri derivanti dall’ammortamento;</w:t>
      </w:r>
    </w:p>
    <w:p w14:paraId="7CF50489" w14:textId="77777777" w:rsidR="00235EF9" w:rsidRPr="00515872" w:rsidRDefault="00235EF9" w:rsidP="00D65838">
      <w:pPr>
        <w:pStyle w:val="Paragrafoelenco"/>
        <w:numPr>
          <w:ilvl w:val="0"/>
          <w:numId w:val="104"/>
        </w:numPr>
        <w:spacing w:line="360" w:lineRule="auto"/>
        <w:jc w:val="both"/>
        <w:rPr>
          <w:rFonts w:eastAsia="Times New Roman" w:cs="Tahoma"/>
          <w:szCs w:val="20"/>
          <w:lang w:eastAsia="it-IT"/>
        </w:rPr>
      </w:pPr>
      <w:r w:rsidRPr="00515872">
        <w:rPr>
          <w:rFonts w:eastAsia="Times New Roman" w:cs="Tahoma"/>
          <w:szCs w:val="20"/>
          <w:lang w:eastAsia="it-IT"/>
        </w:rPr>
        <w:t>in sede di gestione: verificare se gli atti di indebitamento rispettano le regole di legge e la corretta rilevazione contabile delle entrate e delle spese;</w:t>
      </w:r>
    </w:p>
    <w:p w14:paraId="5EBBE411" w14:textId="77777777" w:rsidR="00235EF9" w:rsidRPr="00515872" w:rsidRDefault="00235EF9" w:rsidP="00D65838">
      <w:pPr>
        <w:pStyle w:val="Paragrafoelenco"/>
        <w:numPr>
          <w:ilvl w:val="0"/>
          <w:numId w:val="104"/>
        </w:numPr>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in sede di rendicontazione: verificare ed attestare nella relazione il rispetto dei limiti </w:t>
      </w:r>
      <w:r w:rsidR="00AD710F" w:rsidRPr="00515872">
        <w:rPr>
          <w:rFonts w:eastAsia="Times New Roman" w:cs="Tahoma"/>
          <w:szCs w:val="20"/>
          <w:lang w:eastAsia="it-IT"/>
        </w:rPr>
        <w:t>e delle regole, la corretta rilevazione contabile e la quantificazione dell’eventuale avanzo vincolato.</w:t>
      </w:r>
    </w:p>
    <w:p w14:paraId="69295A62" w14:textId="77777777" w:rsidR="00277513" w:rsidRPr="00515872" w:rsidRDefault="00277513" w:rsidP="00297A21">
      <w:pPr>
        <w:pStyle w:val="Paragrafo"/>
        <w:rPr>
          <w:highlight w:val="yellow"/>
        </w:rPr>
      </w:pPr>
      <w:bookmarkStart w:id="199" w:name="_Toc521317119"/>
    </w:p>
    <w:p w14:paraId="727D4541" w14:textId="77777777" w:rsidR="009518AF" w:rsidRPr="00515872" w:rsidRDefault="00AD2719" w:rsidP="00297A21">
      <w:pPr>
        <w:pStyle w:val="Paragrafo"/>
      </w:pPr>
      <w:bookmarkStart w:id="200" w:name="_Toc95912309"/>
      <w:r w:rsidRPr="00515872">
        <w:t>6</w:t>
      </w:r>
      <w:r w:rsidR="009518AF" w:rsidRPr="00515872">
        <w:t>.11 Parere sulle proposte di utilizzo di strumenti di finanza innovativa</w:t>
      </w:r>
      <w:bookmarkEnd w:id="199"/>
      <w:bookmarkEnd w:id="200"/>
    </w:p>
    <w:p w14:paraId="4AD6BEC8"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Tra le numerose novità apportate dal D.L. n. 174/2012, un ulteriore compito viene affidato all’organo di revisione degli enti locali: quello di formulare proposte in materia di utilizzo di strumenti di finanza innovativa.</w:t>
      </w:r>
    </w:p>
    <w:p w14:paraId="2B61D55A"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Nel recente passato i contratti finanziari derivati hanno causato in molti enti locali, anche di piccole dimensioni, forti squilibri economico-finanziari a causa dei </w:t>
      </w:r>
      <w:r w:rsidRPr="00515872">
        <w:rPr>
          <w:rFonts w:eastAsia="Times New Roman" w:cs="Tahoma"/>
          <w:i/>
          <w:szCs w:val="20"/>
          <w:lang w:eastAsia="it-IT"/>
        </w:rPr>
        <w:t>mark to market</w:t>
      </w:r>
      <w:r w:rsidRPr="00515872">
        <w:rPr>
          <w:rFonts w:eastAsia="Times New Roman" w:cs="Tahoma"/>
          <w:szCs w:val="20"/>
          <w:lang w:eastAsia="it-IT"/>
        </w:rPr>
        <w:t xml:space="preserve"> negativi e </w:t>
      </w:r>
      <w:r w:rsidRPr="00515872">
        <w:rPr>
          <w:rFonts w:eastAsia="Times New Roman" w:cs="Tahoma"/>
          <w:i/>
          <w:szCs w:val="20"/>
          <w:lang w:eastAsia="it-IT"/>
        </w:rPr>
        <w:t>netting</w:t>
      </w:r>
      <w:r w:rsidRPr="00515872">
        <w:rPr>
          <w:rFonts w:eastAsia="Times New Roman" w:cs="Tahoma"/>
          <w:szCs w:val="20"/>
          <w:lang w:eastAsia="it-IT"/>
        </w:rPr>
        <w:t xml:space="preserve"> di interessi sfavorevoli. Questo ha portato all’insorgenza di numerosi contenziosi con gli istituti di credito che hanno proposto le operazioni in derivati.</w:t>
      </w:r>
    </w:p>
    <w:p w14:paraId="6342973D"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A fronte di questo scenario, il legislatore è intervenuto dapprima con il D.M. n. 389/2003 e, in seguito, con la L. n. 296/2006 e il D.L. n. 112/2008, introducendo nell’ordinamento degli enti pubblici alcuni principi fondamentali di coordinamento della finanza pubblica che assolvono a un duplice scopo:</w:t>
      </w:r>
    </w:p>
    <w:p w14:paraId="0CB0EC2F" w14:textId="77777777" w:rsidR="009518AF" w:rsidRPr="00515872" w:rsidRDefault="009518AF" w:rsidP="00D65838">
      <w:pPr>
        <w:pStyle w:val="Paragrafoelenco"/>
        <w:numPr>
          <w:ilvl w:val="0"/>
          <w:numId w:val="88"/>
        </w:numPr>
        <w:spacing w:line="360" w:lineRule="auto"/>
        <w:jc w:val="both"/>
        <w:rPr>
          <w:rFonts w:eastAsia="Times New Roman" w:cs="Tahoma"/>
          <w:szCs w:val="20"/>
          <w:lang w:eastAsia="it-IT"/>
        </w:rPr>
      </w:pPr>
      <w:r w:rsidRPr="00515872">
        <w:rPr>
          <w:rFonts w:eastAsia="Times New Roman" w:cs="Tahoma"/>
          <w:szCs w:val="20"/>
          <w:lang w:eastAsia="it-IT"/>
        </w:rPr>
        <w:t>limitare l’autonomia degli enti nell’implementazione di strumenti derivati, soprattutto di carattere speculativo;</w:t>
      </w:r>
    </w:p>
    <w:p w14:paraId="7A618590" w14:textId="77777777" w:rsidR="009518AF" w:rsidRPr="00515872" w:rsidRDefault="009518AF" w:rsidP="00D65838">
      <w:pPr>
        <w:pStyle w:val="Paragrafoelenco"/>
        <w:numPr>
          <w:ilvl w:val="0"/>
          <w:numId w:val="88"/>
        </w:numPr>
        <w:spacing w:line="360" w:lineRule="auto"/>
        <w:jc w:val="both"/>
        <w:rPr>
          <w:rFonts w:eastAsia="Times New Roman" w:cs="Tahoma"/>
          <w:szCs w:val="20"/>
          <w:lang w:eastAsia="it-IT"/>
        </w:rPr>
      </w:pPr>
      <w:r w:rsidRPr="00515872">
        <w:rPr>
          <w:rFonts w:eastAsia="Times New Roman" w:cs="Tahoma"/>
          <w:szCs w:val="20"/>
          <w:lang w:eastAsia="it-IT"/>
        </w:rPr>
        <w:t>monitorare i dati relativi alle operazioni in questione.</w:t>
      </w:r>
    </w:p>
    <w:p w14:paraId="0A4DD1E3" w14:textId="77777777" w:rsidR="009518AF" w:rsidRPr="00515872" w:rsidRDefault="00B07D69" w:rsidP="009518AF">
      <w:pPr>
        <w:spacing w:after="0" w:line="360" w:lineRule="auto"/>
        <w:jc w:val="both"/>
        <w:rPr>
          <w:rFonts w:eastAsia="Times New Roman" w:cs="Tahoma"/>
          <w:i/>
          <w:szCs w:val="20"/>
          <w:lang w:eastAsia="it-IT"/>
        </w:rPr>
      </w:pPr>
      <w:r w:rsidRPr="00515872">
        <w:rPr>
          <w:rFonts w:eastAsia="Times New Roman" w:cs="Tahoma"/>
          <w:szCs w:val="20"/>
          <w:lang w:eastAsia="it-IT"/>
        </w:rPr>
        <w:t>Ora, l’art. 62, c. 3,</w:t>
      </w:r>
      <w:r w:rsidR="009518AF" w:rsidRPr="00515872">
        <w:rPr>
          <w:rFonts w:eastAsia="Times New Roman" w:cs="Tahoma"/>
          <w:szCs w:val="20"/>
          <w:lang w:eastAsia="it-IT"/>
        </w:rPr>
        <w:t xml:space="preserve"> D.L. n. 112/2008, conv. L. n. 133/2008 e modificato dalla L. n. 147/2013, prevede espressamente che:</w:t>
      </w:r>
      <w:r w:rsidR="009518AF" w:rsidRPr="00515872">
        <w:rPr>
          <w:rFonts w:eastAsia="Times New Roman" w:cs="Tahoma"/>
          <w:i/>
          <w:szCs w:val="20"/>
          <w:lang w:eastAsia="it-IT"/>
        </w:rPr>
        <w:t>”</w:t>
      </w:r>
      <w:r w:rsidR="009518AF" w:rsidRPr="00515872">
        <w:rPr>
          <w:rFonts w:cs="Tahoma"/>
          <w:i/>
          <w:szCs w:val="20"/>
        </w:rPr>
        <w:t xml:space="preserve"> </w:t>
      </w:r>
      <w:r w:rsidR="009518AF" w:rsidRPr="00515872">
        <w:rPr>
          <w:rFonts w:eastAsia="Times New Roman" w:cs="Tahoma"/>
          <w:i/>
          <w:szCs w:val="20"/>
          <w:lang w:eastAsia="it-IT"/>
        </w:rPr>
        <w:t>Salvo quanto previsto ai successivi commi, agli enti di cui al comma 2 è fatto divieto di:</w:t>
      </w:r>
    </w:p>
    <w:p w14:paraId="6679AC95" w14:textId="77777777" w:rsidR="009518AF" w:rsidRPr="00515872" w:rsidRDefault="009518AF" w:rsidP="00D65838">
      <w:pPr>
        <w:pStyle w:val="Paragrafoelenco"/>
        <w:numPr>
          <w:ilvl w:val="0"/>
          <w:numId w:val="105"/>
        </w:numPr>
        <w:spacing w:line="360" w:lineRule="auto"/>
        <w:jc w:val="both"/>
        <w:rPr>
          <w:rFonts w:eastAsia="Times New Roman" w:cs="Tahoma"/>
          <w:i/>
          <w:szCs w:val="20"/>
          <w:lang w:eastAsia="it-IT"/>
        </w:rPr>
      </w:pPr>
      <w:r w:rsidRPr="00515872">
        <w:rPr>
          <w:rFonts w:eastAsia="Times New Roman" w:cs="Tahoma"/>
          <w:i/>
          <w:szCs w:val="20"/>
          <w:lang w:eastAsia="it-IT"/>
        </w:rPr>
        <w:t>stipulare contratti relativi agli strumenti finanziari derivati previsti dall'articolo 1, comma 3, del testo unico delle disposizioni in materia di intermediazione finanziaria, di cui al decreto legislativo 24 febbraio 1998, n. 58;</w:t>
      </w:r>
    </w:p>
    <w:p w14:paraId="64DEB608" w14:textId="77777777" w:rsidR="009518AF" w:rsidRPr="00515872" w:rsidRDefault="009518AF" w:rsidP="00D65838">
      <w:pPr>
        <w:pStyle w:val="Paragrafoelenco"/>
        <w:numPr>
          <w:ilvl w:val="0"/>
          <w:numId w:val="105"/>
        </w:numPr>
        <w:spacing w:line="360" w:lineRule="auto"/>
        <w:jc w:val="both"/>
        <w:rPr>
          <w:rFonts w:eastAsia="Times New Roman" w:cs="Tahoma"/>
          <w:i/>
          <w:szCs w:val="20"/>
          <w:lang w:eastAsia="it-IT"/>
        </w:rPr>
      </w:pPr>
      <w:r w:rsidRPr="00515872">
        <w:rPr>
          <w:rFonts w:eastAsia="Times New Roman" w:cs="Tahoma"/>
          <w:i/>
          <w:szCs w:val="20"/>
          <w:lang w:eastAsia="it-IT"/>
        </w:rPr>
        <w:t>procedere alla rinegoziazione dei contratti derivati già in essere alla data di entrata in vigore della presente disposizione;</w:t>
      </w:r>
    </w:p>
    <w:p w14:paraId="4EFA2BF2" w14:textId="77777777" w:rsidR="009518AF" w:rsidRPr="00515872" w:rsidRDefault="009518AF" w:rsidP="00D65838">
      <w:pPr>
        <w:pStyle w:val="Paragrafoelenco"/>
        <w:numPr>
          <w:ilvl w:val="0"/>
          <w:numId w:val="105"/>
        </w:numPr>
        <w:spacing w:line="360" w:lineRule="auto"/>
        <w:jc w:val="both"/>
        <w:rPr>
          <w:rFonts w:eastAsia="Times New Roman" w:cs="Tahoma"/>
          <w:i/>
          <w:szCs w:val="20"/>
          <w:lang w:eastAsia="it-IT"/>
        </w:rPr>
      </w:pPr>
      <w:r w:rsidRPr="00515872">
        <w:rPr>
          <w:rFonts w:eastAsia="Times New Roman" w:cs="Tahoma"/>
          <w:i/>
          <w:szCs w:val="20"/>
          <w:lang w:eastAsia="it-IT"/>
        </w:rPr>
        <w:t xml:space="preserve">stipulare contratti di finanziamento che includono componenti derivate.” </w:t>
      </w:r>
    </w:p>
    <w:p w14:paraId="6E74B0FD"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Sono esclusi dal divieto:</w:t>
      </w:r>
    </w:p>
    <w:p w14:paraId="0DB6BE18" w14:textId="77777777" w:rsidR="009518AF" w:rsidRPr="00515872" w:rsidRDefault="009518AF" w:rsidP="00D65838">
      <w:pPr>
        <w:pStyle w:val="Paragrafoelenco"/>
        <w:numPr>
          <w:ilvl w:val="0"/>
          <w:numId w:val="145"/>
        </w:numPr>
        <w:spacing w:line="360" w:lineRule="auto"/>
        <w:jc w:val="both"/>
        <w:rPr>
          <w:rFonts w:eastAsia="Times New Roman" w:cs="Tahoma"/>
          <w:i/>
          <w:szCs w:val="20"/>
          <w:lang w:eastAsia="it-IT"/>
        </w:rPr>
      </w:pPr>
      <w:r w:rsidRPr="00515872">
        <w:rPr>
          <w:rFonts w:eastAsia="Times New Roman" w:cs="Tahoma"/>
          <w:szCs w:val="20"/>
          <w:lang w:eastAsia="it-IT"/>
        </w:rPr>
        <w:t>le estinzioni anticipate totali dei contratti derivati;</w:t>
      </w:r>
    </w:p>
    <w:p w14:paraId="36A74CA7" w14:textId="77777777" w:rsidR="009518AF" w:rsidRPr="00515872" w:rsidRDefault="009518AF" w:rsidP="00D65838">
      <w:pPr>
        <w:pStyle w:val="Paragrafoelenco"/>
        <w:numPr>
          <w:ilvl w:val="0"/>
          <w:numId w:val="145"/>
        </w:numPr>
        <w:spacing w:line="360" w:lineRule="auto"/>
        <w:jc w:val="both"/>
        <w:rPr>
          <w:rFonts w:eastAsia="Times New Roman" w:cs="Tahoma"/>
          <w:i/>
          <w:szCs w:val="20"/>
          <w:lang w:eastAsia="it-IT"/>
        </w:rPr>
      </w:pPr>
      <w:r w:rsidRPr="00515872">
        <w:rPr>
          <w:rFonts w:eastAsia="Times New Roman" w:cs="Tahoma"/>
          <w:szCs w:val="20"/>
          <w:lang w:eastAsia="it-IT"/>
        </w:rPr>
        <w:t>le rassegnazioni dei contratti a controparti diverse nelle forme di novazioni soggettive senza modifica dei termini e condizioni finanziarie;</w:t>
      </w:r>
    </w:p>
    <w:p w14:paraId="4B346368" w14:textId="77777777" w:rsidR="009518AF" w:rsidRPr="00515872" w:rsidRDefault="009518AF" w:rsidP="00D65838">
      <w:pPr>
        <w:pStyle w:val="Paragrafoelenco"/>
        <w:numPr>
          <w:ilvl w:val="0"/>
          <w:numId w:val="145"/>
        </w:numPr>
        <w:spacing w:line="360" w:lineRule="auto"/>
        <w:jc w:val="both"/>
        <w:rPr>
          <w:rFonts w:eastAsia="Times New Roman" w:cs="Tahoma"/>
          <w:i/>
          <w:szCs w:val="20"/>
          <w:lang w:eastAsia="it-IT"/>
        </w:rPr>
      </w:pPr>
      <w:r w:rsidRPr="00515872">
        <w:rPr>
          <w:rFonts w:eastAsia="Times New Roman" w:cs="Tahoma"/>
          <w:szCs w:val="20"/>
          <w:lang w:eastAsia="it-IT"/>
        </w:rPr>
        <w:t>le ristrutturazioni a seguito di modifica delle passività di riferimento esclusivamente nella forma di operazioni prive di componenti opzionali e volte a trasformare il tasso fisso in variabile e viceversa e con la finalità di mantenere la corrispondenza tra passività rinegoziata e la collegata operazione di copertura;</w:t>
      </w:r>
    </w:p>
    <w:p w14:paraId="33D66439" w14:textId="77777777" w:rsidR="009518AF" w:rsidRPr="00515872" w:rsidRDefault="009518AF" w:rsidP="00D65838">
      <w:pPr>
        <w:pStyle w:val="Paragrafoelenco"/>
        <w:numPr>
          <w:ilvl w:val="0"/>
          <w:numId w:val="145"/>
        </w:numPr>
        <w:spacing w:line="360" w:lineRule="auto"/>
        <w:jc w:val="both"/>
        <w:rPr>
          <w:rFonts w:eastAsia="Times New Roman" w:cs="Tahoma"/>
          <w:i/>
          <w:szCs w:val="20"/>
          <w:lang w:eastAsia="it-IT"/>
        </w:rPr>
      </w:pPr>
      <w:r w:rsidRPr="00515872">
        <w:rPr>
          <w:rFonts w:eastAsia="Times New Roman" w:cs="Tahoma"/>
          <w:szCs w:val="20"/>
          <w:lang w:eastAsia="it-IT"/>
        </w:rPr>
        <w:t xml:space="preserve">i perfezionamenti di contratti di finanziamento che includono l’acquisto di </w:t>
      </w:r>
      <w:r w:rsidRPr="00515872">
        <w:rPr>
          <w:rFonts w:eastAsia="Times New Roman" w:cs="Tahoma"/>
          <w:i/>
          <w:szCs w:val="20"/>
          <w:lang w:eastAsia="it-IT"/>
        </w:rPr>
        <w:t>cap</w:t>
      </w:r>
      <w:r w:rsidRPr="00515872">
        <w:rPr>
          <w:rFonts w:eastAsia="Times New Roman" w:cs="Tahoma"/>
          <w:szCs w:val="20"/>
          <w:lang w:eastAsia="it-IT"/>
        </w:rPr>
        <w:t xml:space="preserve"> da parte dell’ente;</w:t>
      </w:r>
    </w:p>
    <w:p w14:paraId="42CFB792" w14:textId="77777777" w:rsidR="009518AF" w:rsidRPr="00515872" w:rsidRDefault="009518AF" w:rsidP="00D65838">
      <w:pPr>
        <w:pStyle w:val="Paragrafoelenco"/>
        <w:numPr>
          <w:ilvl w:val="0"/>
          <w:numId w:val="145"/>
        </w:numPr>
        <w:spacing w:line="360" w:lineRule="auto"/>
        <w:jc w:val="both"/>
        <w:rPr>
          <w:rFonts w:eastAsia="Times New Roman" w:cs="Tahoma"/>
          <w:i/>
          <w:szCs w:val="20"/>
          <w:lang w:eastAsia="it-IT"/>
        </w:rPr>
      </w:pPr>
      <w:r w:rsidRPr="00515872">
        <w:rPr>
          <w:rFonts w:eastAsia="Times New Roman" w:cs="Tahoma"/>
          <w:szCs w:val="20"/>
          <w:lang w:eastAsia="it-IT"/>
        </w:rPr>
        <w:lastRenderedPageBreak/>
        <w:t>le cancellazioni dai contratti di eventuali clausole di risoluzione anticipata mediante regol</w:t>
      </w:r>
      <w:r w:rsidR="006960FB" w:rsidRPr="00515872">
        <w:rPr>
          <w:rFonts w:eastAsia="Times New Roman" w:cs="Tahoma"/>
          <w:szCs w:val="20"/>
          <w:lang w:eastAsia="it-IT"/>
        </w:rPr>
        <w:t>amento</w:t>
      </w:r>
      <w:r w:rsidRPr="00515872">
        <w:rPr>
          <w:rFonts w:eastAsia="Times New Roman" w:cs="Tahoma"/>
          <w:szCs w:val="20"/>
          <w:lang w:eastAsia="it-IT"/>
        </w:rPr>
        <w:t xml:space="preserve"> per cassa nell’esercizio di riferimento;</w:t>
      </w:r>
    </w:p>
    <w:p w14:paraId="35C24637" w14:textId="77777777" w:rsidR="009518AF" w:rsidRPr="00515872" w:rsidRDefault="009518AF" w:rsidP="00D65838">
      <w:pPr>
        <w:pStyle w:val="Paragrafoelenco"/>
        <w:numPr>
          <w:ilvl w:val="0"/>
          <w:numId w:val="144"/>
        </w:numPr>
        <w:spacing w:line="360" w:lineRule="auto"/>
        <w:jc w:val="both"/>
        <w:rPr>
          <w:rFonts w:eastAsia="Times New Roman" w:cs="Tahoma"/>
          <w:szCs w:val="20"/>
          <w:lang w:eastAsia="it-IT"/>
        </w:rPr>
      </w:pPr>
      <w:r w:rsidRPr="00515872">
        <w:rPr>
          <w:rFonts w:eastAsia="Times New Roman" w:cs="Tahoma"/>
          <w:szCs w:val="20"/>
          <w:lang w:eastAsia="it-IT"/>
        </w:rPr>
        <w:t xml:space="preserve">le cancellazioni dai contratti esistenti di componenti opzionali diverse dall’operazione </w:t>
      </w:r>
      <w:r w:rsidRPr="00515872">
        <w:rPr>
          <w:rFonts w:eastAsia="Times New Roman" w:cs="Tahoma"/>
          <w:i/>
          <w:szCs w:val="20"/>
          <w:lang w:eastAsia="it-IT"/>
        </w:rPr>
        <w:t>cap</w:t>
      </w:r>
      <w:r w:rsidRPr="00515872">
        <w:rPr>
          <w:rFonts w:eastAsia="Times New Roman" w:cs="Tahoma"/>
          <w:szCs w:val="20"/>
          <w:lang w:eastAsia="it-IT"/>
        </w:rPr>
        <w:t xml:space="preserve"> di cui gli enti siano acquirenti, mediante regola</w:t>
      </w:r>
      <w:r w:rsidR="006960FB" w:rsidRPr="00515872">
        <w:rPr>
          <w:rFonts w:eastAsia="Times New Roman" w:cs="Tahoma"/>
          <w:szCs w:val="20"/>
          <w:lang w:eastAsia="it-IT"/>
        </w:rPr>
        <w:t>mento</w:t>
      </w:r>
      <w:r w:rsidRPr="00515872">
        <w:rPr>
          <w:rFonts w:eastAsia="Times New Roman" w:cs="Tahoma"/>
          <w:szCs w:val="20"/>
          <w:lang w:eastAsia="it-IT"/>
        </w:rPr>
        <w:t xml:space="preserve"> per cassa</w:t>
      </w:r>
      <w:r w:rsidR="006960FB" w:rsidRPr="00515872">
        <w:rPr>
          <w:rFonts w:eastAsia="Times New Roman" w:cs="Tahoma"/>
          <w:szCs w:val="20"/>
          <w:lang w:eastAsia="it-IT"/>
        </w:rPr>
        <w:t xml:space="preserve"> nell’esercizio di riferimento.</w:t>
      </w:r>
    </w:p>
    <w:p w14:paraId="790C6E37" w14:textId="77777777" w:rsidR="006960FB" w:rsidRPr="00515872" w:rsidRDefault="006960FB" w:rsidP="006960FB">
      <w:pPr>
        <w:spacing w:line="360" w:lineRule="auto"/>
        <w:jc w:val="both"/>
        <w:rPr>
          <w:rFonts w:eastAsia="Times New Roman" w:cs="Tahoma"/>
          <w:szCs w:val="20"/>
          <w:lang w:eastAsia="it-IT"/>
        </w:rPr>
      </w:pPr>
      <w:r w:rsidRPr="00515872">
        <w:rPr>
          <w:rFonts w:cs="Tahoma"/>
          <w:color w:val="000000"/>
        </w:rPr>
        <w:t xml:space="preserve">Il contratto relativo a strumenti finanziari derivati o il contratto di finanziamento che include l'acquisto di </w:t>
      </w:r>
      <w:r w:rsidRPr="00515872">
        <w:rPr>
          <w:rFonts w:cs="Tahoma"/>
          <w:i/>
          <w:color w:val="000000"/>
        </w:rPr>
        <w:t>cap</w:t>
      </w:r>
      <w:r w:rsidRPr="00515872">
        <w:rPr>
          <w:rFonts w:cs="Tahoma"/>
          <w:color w:val="000000"/>
        </w:rPr>
        <w:t xml:space="preserve"> da parte dell'ente, stipulato in violazione delle disposizioni sopra elencate è nullo.</w:t>
      </w:r>
      <w:r w:rsidR="00F9249F" w:rsidRPr="00515872">
        <w:rPr>
          <w:rFonts w:cs="Tahoma"/>
          <w:color w:val="000000"/>
        </w:rPr>
        <w:t xml:space="preserve"> Il contratto è nullo anche qualora privo dell’attestazione del soggetto competente alla sottoscrizione dello stesso di presa conoscenza dei rischi e delle caratteristiche del contratto stesso.</w:t>
      </w:r>
    </w:p>
    <w:p w14:paraId="6CED23B2" w14:textId="77777777" w:rsidR="00F30D4F" w:rsidRPr="00515872" w:rsidRDefault="009518AF" w:rsidP="00F30D4F">
      <w:pPr>
        <w:spacing w:line="360" w:lineRule="auto"/>
        <w:jc w:val="both"/>
        <w:rPr>
          <w:rFonts w:eastAsia="Times New Roman" w:cs="Tahoma"/>
          <w:szCs w:val="20"/>
          <w:lang w:eastAsia="it-IT"/>
        </w:rPr>
      </w:pPr>
      <w:r w:rsidRPr="00515872">
        <w:rPr>
          <w:rFonts w:eastAsia="Times New Roman" w:cs="Tahoma"/>
          <w:szCs w:val="20"/>
          <w:lang w:eastAsia="it-IT"/>
        </w:rPr>
        <w:t xml:space="preserve">La verifica principale dell’organo di revisione consta, pertanto, nell’appurare che l’ente </w:t>
      </w:r>
      <w:r w:rsidRPr="00515872">
        <w:rPr>
          <w:rFonts w:eastAsia="Times New Roman" w:cs="Tahoma"/>
          <w:b/>
          <w:szCs w:val="20"/>
          <w:lang w:eastAsia="it-IT"/>
        </w:rPr>
        <w:t>non effettui operazioni sui contratti derivati vietate</w:t>
      </w:r>
      <w:r w:rsidRPr="00515872">
        <w:rPr>
          <w:rFonts w:eastAsia="Times New Roman" w:cs="Tahoma"/>
          <w:szCs w:val="20"/>
          <w:lang w:eastAsia="it-IT"/>
        </w:rPr>
        <w:t xml:space="preserve"> ai sensi delle norme anzidette. L’organo di revisione deve, altresì, v</w:t>
      </w:r>
      <w:r w:rsidR="00F30D4F" w:rsidRPr="00515872">
        <w:rPr>
          <w:rFonts w:eastAsia="Times New Roman" w:cs="Tahoma"/>
          <w:szCs w:val="20"/>
          <w:lang w:eastAsia="it-IT"/>
        </w:rPr>
        <w:t>alutare se le proposte di utilizzo di strumenti di finanza innovativa rappresentino o meno forme di investimento ed esprimere il proprio parere.</w:t>
      </w:r>
    </w:p>
    <w:p w14:paraId="607F5D45" w14:textId="77777777" w:rsidR="00C353C6" w:rsidRPr="00515872" w:rsidRDefault="009518AF" w:rsidP="00C353C6">
      <w:pPr>
        <w:spacing w:line="360" w:lineRule="auto"/>
        <w:jc w:val="both"/>
        <w:rPr>
          <w:rFonts w:eastAsia="Times New Roman" w:cs="Tahoma"/>
          <w:szCs w:val="20"/>
          <w:lang w:eastAsia="it-IT"/>
        </w:rPr>
      </w:pPr>
      <w:r w:rsidRPr="00515872">
        <w:rPr>
          <w:rFonts w:eastAsia="Times New Roman" w:cs="Tahoma"/>
          <w:szCs w:val="20"/>
          <w:lang w:eastAsia="it-IT"/>
        </w:rPr>
        <w:t>Il mancato rispetto di tali disposizioni deve essere segnalato da parte dell’organo di revisione alla competente sezione della Corte dei Conti.</w:t>
      </w:r>
    </w:p>
    <w:p w14:paraId="112A18C7" w14:textId="77777777" w:rsidR="00C353C6" w:rsidRPr="00515872" w:rsidRDefault="00C353C6" w:rsidP="00C353C6">
      <w:pPr>
        <w:spacing w:line="360" w:lineRule="auto"/>
        <w:jc w:val="both"/>
        <w:rPr>
          <w:rFonts w:eastAsia="Times New Roman" w:cs="Tahoma"/>
          <w:szCs w:val="20"/>
          <w:lang w:eastAsia="it-IT"/>
        </w:rPr>
      </w:pPr>
    </w:p>
    <w:p w14:paraId="170555AC" w14:textId="77777777" w:rsidR="009518AF" w:rsidRPr="00515872" w:rsidRDefault="00AD2719" w:rsidP="00297A21">
      <w:pPr>
        <w:pStyle w:val="Paragrafo"/>
      </w:pPr>
      <w:bookmarkStart w:id="201" w:name="_Toc521317120"/>
      <w:bookmarkStart w:id="202" w:name="_Toc95912310"/>
      <w:r w:rsidRPr="00515872">
        <w:t>6</w:t>
      </w:r>
      <w:r w:rsidR="009518AF" w:rsidRPr="00515872">
        <w:t>.12 Parere sulle proposte di riconoscimento di debiti fuori bilancio e transazioni</w:t>
      </w:r>
      <w:bookmarkEnd w:id="201"/>
      <w:bookmarkEnd w:id="202"/>
    </w:p>
    <w:p w14:paraId="42B476FC"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bCs/>
          <w:szCs w:val="20"/>
          <w:lang w:eastAsia="it-IT"/>
        </w:rPr>
        <w:t>Si parla di debiti fuori bilancio in riferimento a obbligazioni verso terzi per il pagamento di una determinata somma di danaro che grava sull’ente pubblico, assunte in violazione delle norme giuridiche e contabili che regolano i procedimenti di spesa. S</w:t>
      </w:r>
      <w:r w:rsidR="007E2FB1" w:rsidRPr="00515872">
        <w:rPr>
          <w:rFonts w:eastAsia="Times New Roman" w:cs="Tahoma"/>
          <w:bCs/>
          <w:szCs w:val="20"/>
          <w:lang w:eastAsia="it-IT"/>
        </w:rPr>
        <w:t>i tratta</w:t>
      </w:r>
      <w:r w:rsidRPr="00515872">
        <w:rPr>
          <w:rFonts w:eastAsia="Times New Roman" w:cs="Tahoma"/>
          <w:bCs/>
          <w:szCs w:val="20"/>
          <w:lang w:eastAsia="it-IT"/>
        </w:rPr>
        <w:t xml:space="preserve"> pertanto </w:t>
      </w:r>
      <w:r w:rsidR="007E2FB1" w:rsidRPr="00515872">
        <w:rPr>
          <w:rFonts w:eastAsia="Times New Roman" w:cs="Tahoma"/>
          <w:bCs/>
          <w:szCs w:val="20"/>
          <w:lang w:eastAsia="it-IT"/>
        </w:rPr>
        <w:t xml:space="preserve">di </w:t>
      </w:r>
      <w:r w:rsidRPr="00515872">
        <w:rPr>
          <w:rFonts w:eastAsia="Times New Roman" w:cs="Tahoma"/>
          <w:szCs w:val="20"/>
          <w:lang w:eastAsia="it-IT"/>
        </w:rPr>
        <w:t>obbligazioni perfezionate dal punto di vista civilistico ma non previste in bilancio</w:t>
      </w:r>
      <w:r w:rsidR="007E2FB1" w:rsidRPr="00515872">
        <w:rPr>
          <w:rFonts w:eastAsia="Times New Roman" w:cs="Tahoma"/>
          <w:szCs w:val="20"/>
          <w:lang w:eastAsia="it-IT"/>
        </w:rPr>
        <w:t xml:space="preserve"> (e, quindi, non autorizzate)</w:t>
      </w:r>
      <w:r w:rsidRPr="00515872">
        <w:rPr>
          <w:rFonts w:eastAsia="Times New Roman" w:cs="Tahoma"/>
          <w:szCs w:val="20"/>
          <w:lang w:eastAsia="it-IT"/>
        </w:rPr>
        <w:t>.</w:t>
      </w:r>
    </w:p>
    <w:p w14:paraId="204570AC" w14:textId="77777777" w:rsidR="009518AF" w:rsidRPr="00515872" w:rsidRDefault="009518AF" w:rsidP="009518AF">
      <w:pPr>
        <w:pStyle w:val="NormaleWeb"/>
        <w:spacing w:line="360" w:lineRule="auto"/>
        <w:jc w:val="both"/>
        <w:rPr>
          <w:rFonts w:ascii="Tahoma" w:hAnsi="Tahoma" w:cs="Tahoma"/>
          <w:sz w:val="20"/>
          <w:szCs w:val="20"/>
        </w:rPr>
      </w:pPr>
      <w:r w:rsidRPr="00515872">
        <w:rPr>
          <w:rFonts w:ascii="Tahoma" w:hAnsi="Tahoma" w:cs="Tahoma"/>
          <w:sz w:val="20"/>
          <w:szCs w:val="20"/>
        </w:rPr>
        <w:t xml:space="preserve">Il TUEL </w:t>
      </w:r>
      <w:r w:rsidR="009D34BB" w:rsidRPr="00515872">
        <w:rPr>
          <w:rFonts w:ascii="Tahoma" w:hAnsi="Tahoma" w:cs="Tahoma"/>
          <w:sz w:val="20"/>
          <w:szCs w:val="20"/>
        </w:rPr>
        <w:t xml:space="preserve">prevede, per tali debiti, una procedura particolare per il loro </w:t>
      </w:r>
      <w:r w:rsidRPr="00515872">
        <w:rPr>
          <w:rFonts w:ascii="Tahoma" w:hAnsi="Tahoma" w:cs="Tahoma"/>
          <w:sz w:val="20"/>
          <w:szCs w:val="20"/>
        </w:rPr>
        <w:t>riconoscimento</w:t>
      </w:r>
      <w:r w:rsidR="009D34BB" w:rsidRPr="00515872">
        <w:rPr>
          <w:rFonts w:ascii="Tahoma" w:hAnsi="Tahoma" w:cs="Tahoma"/>
          <w:sz w:val="20"/>
          <w:szCs w:val="20"/>
        </w:rPr>
        <w:t>, a condizione che rientri</w:t>
      </w:r>
      <w:r w:rsidRPr="00515872">
        <w:rPr>
          <w:rFonts w:ascii="Tahoma" w:hAnsi="Tahoma" w:cs="Tahoma"/>
          <w:sz w:val="20"/>
          <w:szCs w:val="20"/>
        </w:rPr>
        <w:t xml:space="preserve">no, ai sensi dell’art. 194, </w:t>
      </w:r>
      <w:r w:rsidR="009D34BB" w:rsidRPr="00515872">
        <w:rPr>
          <w:rFonts w:ascii="Tahoma" w:hAnsi="Tahoma" w:cs="Tahoma"/>
          <w:sz w:val="20"/>
          <w:szCs w:val="20"/>
        </w:rPr>
        <w:t xml:space="preserve">in una delle </w:t>
      </w:r>
      <w:r w:rsidRPr="00515872">
        <w:rPr>
          <w:rFonts w:ascii="Tahoma" w:hAnsi="Tahoma" w:cs="Tahoma"/>
          <w:sz w:val="20"/>
          <w:szCs w:val="20"/>
        </w:rPr>
        <w:t>seguenti casistiche:</w:t>
      </w:r>
    </w:p>
    <w:p w14:paraId="23004922" w14:textId="77777777" w:rsidR="009518AF" w:rsidRPr="00515872" w:rsidRDefault="009518AF" w:rsidP="00D65838">
      <w:pPr>
        <w:pStyle w:val="Paragrafoelenco"/>
        <w:numPr>
          <w:ilvl w:val="0"/>
          <w:numId w:val="106"/>
        </w:numPr>
        <w:spacing w:line="360" w:lineRule="auto"/>
        <w:jc w:val="both"/>
        <w:rPr>
          <w:rFonts w:eastAsia="Times New Roman" w:cs="Tahoma"/>
          <w:szCs w:val="20"/>
          <w:lang w:eastAsia="it-IT"/>
        </w:rPr>
      </w:pPr>
      <w:r w:rsidRPr="00515872">
        <w:rPr>
          <w:rFonts w:eastAsia="Times New Roman" w:cs="Tahoma"/>
          <w:szCs w:val="20"/>
          <w:lang w:eastAsia="it-IT"/>
        </w:rPr>
        <w:t>sentenze esecutive;</w:t>
      </w:r>
    </w:p>
    <w:p w14:paraId="5D025E3D" w14:textId="77777777" w:rsidR="009518AF" w:rsidRPr="00515872" w:rsidRDefault="009518AF" w:rsidP="00D65838">
      <w:pPr>
        <w:pStyle w:val="Paragrafoelenco"/>
        <w:numPr>
          <w:ilvl w:val="0"/>
          <w:numId w:val="106"/>
        </w:numPr>
        <w:spacing w:line="360" w:lineRule="auto"/>
        <w:jc w:val="both"/>
        <w:rPr>
          <w:rFonts w:eastAsia="Times New Roman" w:cs="Tahoma"/>
          <w:szCs w:val="20"/>
          <w:lang w:eastAsia="it-IT"/>
        </w:rPr>
      </w:pPr>
      <w:r w:rsidRPr="00515872">
        <w:rPr>
          <w:rFonts w:eastAsia="Times New Roman" w:cs="Tahoma"/>
          <w:szCs w:val="20"/>
          <w:lang w:eastAsia="it-IT"/>
        </w:rPr>
        <w:t>copertura di disavanzi di consorzi, di aziende speciali e di istituzioni, nei limiti degli obblighi derivanti da statuto, convenzioni o atti costitutivi, purché sia stato rispettato l'obbligo di pareggio del bilancio previsto per tali enti ed il disavanzo derivi da fatti di gestione;</w:t>
      </w:r>
    </w:p>
    <w:p w14:paraId="3EE62F8A" w14:textId="77777777" w:rsidR="009518AF" w:rsidRPr="00515872" w:rsidRDefault="009518AF" w:rsidP="00D65838">
      <w:pPr>
        <w:pStyle w:val="Paragrafoelenco"/>
        <w:numPr>
          <w:ilvl w:val="0"/>
          <w:numId w:val="106"/>
        </w:numPr>
        <w:spacing w:line="360" w:lineRule="auto"/>
        <w:jc w:val="both"/>
        <w:rPr>
          <w:rFonts w:eastAsia="Times New Roman" w:cs="Tahoma"/>
          <w:szCs w:val="20"/>
          <w:lang w:eastAsia="it-IT"/>
        </w:rPr>
      </w:pPr>
      <w:r w:rsidRPr="00515872">
        <w:rPr>
          <w:rFonts w:eastAsia="Times New Roman" w:cs="Tahoma"/>
          <w:szCs w:val="20"/>
          <w:lang w:eastAsia="it-IT"/>
        </w:rPr>
        <w:t>ricapitalizzazione, nei limiti e nelle forme previste dal Codice Civile o da norme speciali, di società di capitali costituite per l'esercizio di servizi pubblici locali;</w:t>
      </w:r>
    </w:p>
    <w:p w14:paraId="1FBA91C2" w14:textId="77777777" w:rsidR="009518AF" w:rsidRPr="00515872" w:rsidRDefault="009518AF" w:rsidP="00D65838">
      <w:pPr>
        <w:pStyle w:val="Paragrafoelenco"/>
        <w:numPr>
          <w:ilvl w:val="0"/>
          <w:numId w:val="106"/>
        </w:numPr>
        <w:spacing w:line="360" w:lineRule="auto"/>
        <w:jc w:val="both"/>
        <w:rPr>
          <w:rFonts w:eastAsia="Times New Roman" w:cs="Tahoma"/>
          <w:szCs w:val="20"/>
          <w:lang w:eastAsia="it-IT"/>
        </w:rPr>
      </w:pPr>
      <w:r w:rsidRPr="00515872">
        <w:rPr>
          <w:rFonts w:eastAsia="Times New Roman" w:cs="Tahoma"/>
          <w:szCs w:val="20"/>
          <w:lang w:eastAsia="it-IT"/>
        </w:rPr>
        <w:t>procedure espropriative o di occupazione d'urgenza per opere di pubblica utilità;</w:t>
      </w:r>
    </w:p>
    <w:p w14:paraId="53768409" w14:textId="77777777" w:rsidR="00427D2B" w:rsidRPr="00515872" w:rsidRDefault="009518AF" w:rsidP="00D65838">
      <w:pPr>
        <w:pStyle w:val="Paragrafoelenco"/>
        <w:numPr>
          <w:ilvl w:val="0"/>
          <w:numId w:val="106"/>
        </w:numPr>
        <w:spacing w:line="360" w:lineRule="auto"/>
        <w:jc w:val="both"/>
        <w:rPr>
          <w:rFonts w:eastAsia="Times New Roman" w:cs="Tahoma"/>
          <w:szCs w:val="20"/>
          <w:lang w:eastAsia="it-IT"/>
        </w:rPr>
      </w:pPr>
      <w:r w:rsidRPr="00515872">
        <w:rPr>
          <w:rFonts w:eastAsia="Times New Roman" w:cs="Tahoma"/>
          <w:szCs w:val="20"/>
          <w:lang w:eastAsia="it-IT"/>
        </w:rPr>
        <w:t>acquisizione di beni e servizi, in violazione degli obblighi di cui ai cc. 1, 2 e 3 dell'art. 191 del TUEL, nei limiti degli accertati e dimostrati utilità ed arricchimento per l'ente, nell'ambito dell'espletamento di pubbliche funzioni e servizi di competenza.</w:t>
      </w:r>
    </w:p>
    <w:p w14:paraId="04B42ED5" w14:textId="77777777" w:rsidR="006D067A" w:rsidRPr="00515872" w:rsidRDefault="006D067A" w:rsidP="006D067A">
      <w:pPr>
        <w:spacing w:line="360" w:lineRule="auto"/>
        <w:jc w:val="both"/>
        <w:rPr>
          <w:rFonts w:eastAsia="Times New Roman" w:cs="Tahoma"/>
          <w:szCs w:val="20"/>
          <w:lang w:eastAsia="it-IT"/>
        </w:rPr>
      </w:pPr>
      <w:r w:rsidRPr="00515872">
        <w:rPr>
          <w:rFonts w:eastAsia="Times New Roman" w:cs="Tahoma"/>
          <w:szCs w:val="20"/>
          <w:lang w:eastAsia="it-IT"/>
        </w:rPr>
        <w:lastRenderedPageBreak/>
        <w:t xml:space="preserve">L’art. 1, c. 901, L. 30 dicembre 2018, n. 145 ha modificato l’art. 191 del TUEL, prevedendo che </w:t>
      </w:r>
      <w:r w:rsidRPr="00515872">
        <w:rPr>
          <w:rFonts w:cs="Tahoma"/>
        </w:rPr>
        <w:t>per i lavori pubblici di somma urgenza, cagionati dal verificarsi di un evento e</w:t>
      </w:r>
      <w:r w:rsidR="00860641" w:rsidRPr="00515872">
        <w:rPr>
          <w:rFonts w:cs="Tahoma"/>
        </w:rPr>
        <w:t>ccezionale o imprevedibile, la g</w:t>
      </w:r>
      <w:r w:rsidRPr="00515872">
        <w:rPr>
          <w:rFonts w:cs="Tahoma"/>
        </w:rPr>
        <w:t xml:space="preserve">iunta, entro 20 giorni dall'ordinazione fatta a terzi, su proposta del responsabile del </w:t>
      </w:r>
      <w:r w:rsidR="00E32B59" w:rsidRPr="00515872">
        <w:rPr>
          <w:rFonts w:cs="Tahoma"/>
        </w:rPr>
        <w:t>procedimento, sottopone al c</w:t>
      </w:r>
      <w:r w:rsidRPr="00515872">
        <w:rPr>
          <w:rFonts w:cs="Tahoma"/>
        </w:rPr>
        <w:t>onsiglio il provvedimento di riconoscimento della spesa con le modalità previste dall'art</w:t>
      </w:r>
      <w:r w:rsidR="00366CF1" w:rsidRPr="00515872">
        <w:rPr>
          <w:rFonts w:cs="Tahoma"/>
        </w:rPr>
        <w:t>.</w:t>
      </w:r>
      <w:r w:rsidRPr="00515872">
        <w:rPr>
          <w:rFonts w:cs="Tahoma"/>
        </w:rPr>
        <w:t xml:space="preserve"> 194, c. 1, lett. e), prevedendo la relativa copertura finanziaria nei limiti delle accertate necessità per la rimozione dello stato di pregiudizio alla pubblica incolumità. Il provvedimento di riconoscimento è adottato entro 30 giorni dalla data di deliberazione</w:t>
      </w:r>
      <w:r w:rsidR="00627DEB" w:rsidRPr="00515872">
        <w:rPr>
          <w:rFonts w:cs="Tahoma"/>
        </w:rPr>
        <w:t xml:space="preserve"> della proposta da parte della g</w:t>
      </w:r>
      <w:r w:rsidRPr="00515872">
        <w:rPr>
          <w:rFonts w:cs="Tahoma"/>
        </w:rPr>
        <w:t>iunta, e comunque entro il 31 dicembre dell'anno in corso se a tale data non sia scaduto il predetto termine.</w:t>
      </w:r>
    </w:p>
    <w:p w14:paraId="0F754187"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Per il pagamento</w:t>
      </w:r>
      <w:r w:rsidR="00113008" w:rsidRPr="00515872">
        <w:rPr>
          <w:rFonts w:eastAsia="Times New Roman" w:cs="Tahoma"/>
          <w:szCs w:val="20"/>
          <w:lang w:eastAsia="it-IT"/>
        </w:rPr>
        <w:t xml:space="preserve"> dei debiti fuori bilancio</w:t>
      </w:r>
      <w:r w:rsidRPr="00515872">
        <w:rPr>
          <w:rFonts w:eastAsia="Times New Roman" w:cs="Tahoma"/>
          <w:szCs w:val="20"/>
          <w:lang w:eastAsia="it-IT"/>
        </w:rPr>
        <w:t>, l'ente può provvedere anche mediante un piano di rateizzazione, della durata di 3 anni finanziari compreso quello in corso, convenuto con i creditori.</w:t>
      </w:r>
    </w:p>
    <w:p w14:paraId="205F8899" w14:textId="77777777" w:rsidR="009518AF" w:rsidRPr="00515872" w:rsidRDefault="009518AF" w:rsidP="009518AF">
      <w:pPr>
        <w:pStyle w:val="NormaleWeb"/>
        <w:spacing w:after="200" w:line="360" w:lineRule="auto"/>
        <w:jc w:val="both"/>
        <w:rPr>
          <w:rFonts w:ascii="Tahoma" w:hAnsi="Tahoma" w:cs="Tahoma"/>
          <w:sz w:val="20"/>
          <w:szCs w:val="20"/>
        </w:rPr>
      </w:pPr>
      <w:r w:rsidRPr="00515872">
        <w:rPr>
          <w:rFonts w:ascii="Tahoma" w:hAnsi="Tahoma" w:cs="Tahoma"/>
          <w:sz w:val="20"/>
          <w:szCs w:val="20"/>
        </w:rPr>
        <w:t>I debiti fuori bilancio possono essere saldati anche nel corso di più anni e tramite il ricorso a mutui da parte dell'ente comunale.</w:t>
      </w:r>
    </w:p>
    <w:p w14:paraId="0C082409" w14:textId="77777777" w:rsidR="009518AF" w:rsidRPr="00515872" w:rsidRDefault="009518AF" w:rsidP="009518AF">
      <w:pPr>
        <w:spacing w:line="360" w:lineRule="auto"/>
        <w:jc w:val="both"/>
        <w:rPr>
          <w:rFonts w:cs="Tahoma"/>
          <w:b/>
          <w:szCs w:val="20"/>
        </w:rPr>
      </w:pPr>
      <w:r w:rsidRPr="00515872">
        <w:rPr>
          <w:rFonts w:cs="Tahoma"/>
          <w:szCs w:val="20"/>
        </w:rPr>
        <w:t>L’art. 4 del D.Lgs. 15 settembre 1997, n. 342, confluito nell’art. 191 del TUEL, ha introdotto il principio della validità del rapporto obbligatorio dire</w:t>
      </w:r>
      <w:r w:rsidR="00226735" w:rsidRPr="00515872">
        <w:rPr>
          <w:rFonts w:cs="Tahoma"/>
          <w:szCs w:val="20"/>
        </w:rPr>
        <w:t xml:space="preserve">ttamente con l’amministrazione, </w:t>
      </w:r>
      <w:r w:rsidRPr="00515872">
        <w:rPr>
          <w:rFonts w:cs="Tahoma"/>
          <w:szCs w:val="20"/>
        </w:rPr>
        <w:t xml:space="preserve">a condizione che la prestazione o il bene fornito in violazione delle norme siano riconoscibili come dei debiti fuori bilancio ai sensi dell’art. 194. La ratio della disciplina è quella di garantire il riconoscimento di debiti per prestazioni e servizi resi in favore dell’ente locale che, benché privi di titolo, siano considerati utili per l’amministrazione. In carenza di tali presupposti, </w:t>
      </w:r>
      <w:r w:rsidRPr="00515872">
        <w:rPr>
          <w:rFonts w:cs="Tahoma"/>
          <w:b/>
          <w:szCs w:val="20"/>
        </w:rPr>
        <w:t>il rapporto obbligatorio si instaura fra il fornitore e il soggetto che ha consentito la fornitura o prestazione.</w:t>
      </w:r>
    </w:p>
    <w:p w14:paraId="2F5B2791" w14:textId="2B0C1AA9" w:rsidR="009518AF" w:rsidRPr="00515872" w:rsidRDefault="009518AF" w:rsidP="009518AF">
      <w:pPr>
        <w:spacing w:line="360" w:lineRule="auto"/>
        <w:jc w:val="both"/>
        <w:rPr>
          <w:rFonts w:cs="Tahoma"/>
          <w:szCs w:val="20"/>
        </w:rPr>
      </w:pPr>
      <w:r w:rsidRPr="00515872">
        <w:rPr>
          <w:rFonts w:cs="Tahoma"/>
          <w:szCs w:val="20"/>
        </w:rPr>
        <w:t xml:space="preserve">Quanto al procedimento per il riconoscimento del debito fuori bilancio, l’art. 194 stabilisce che la competenza spetta al consiglio, con deliberazione in sede di salvaguardia degli equilibri o con diversa periodicità stabilita dal regolamento di contabilità. La proposta di deliberazione per il riconoscimento dei debiti spetta al responsabile del servizio competente per materia che deve accertare l’effettiva sussistenza del debito e l’utilità che </w:t>
      </w:r>
      <w:r w:rsidR="00FD684C" w:rsidRPr="00515872">
        <w:rPr>
          <w:rFonts w:cs="Tahoma"/>
          <w:szCs w:val="20"/>
        </w:rPr>
        <w:t>l’ente</w:t>
      </w:r>
      <w:r w:rsidRPr="00515872">
        <w:rPr>
          <w:rFonts w:cs="Tahoma"/>
          <w:szCs w:val="20"/>
        </w:rPr>
        <w:t xml:space="preserve"> ne può trarre, nonché le fonti di finanziamento da utilizzare.</w:t>
      </w:r>
    </w:p>
    <w:p w14:paraId="5709A54A" w14:textId="77777777" w:rsidR="00226735" w:rsidRPr="00515872" w:rsidRDefault="009518AF" w:rsidP="00226735">
      <w:pPr>
        <w:spacing w:line="360" w:lineRule="auto"/>
        <w:jc w:val="both"/>
        <w:rPr>
          <w:rFonts w:cs="Tahoma"/>
          <w:szCs w:val="20"/>
        </w:rPr>
      </w:pPr>
      <w:r w:rsidRPr="00515872">
        <w:rPr>
          <w:rFonts w:cs="Tahoma"/>
          <w:szCs w:val="20"/>
        </w:rPr>
        <w:t>Per il ripiano dei debiti fuori bilancio, l’art. 193, c. 3 consente di utilizzare, per l’anno in corso e per i due successivi, le risorse generalmente previste per il ripristino degli equilibri di bilancio, ossia tutte le entrate e le disponibilità, per le spese correnti, ad eccezione di quelle</w:t>
      </w:r>
      <w:r w:rsidR="00226735" w:rsidRPr="00515872">
        <w:rPr>
          <w:rFonts w:cs="Tahoma"/>
          <w:szCs w:val="20"/>
        </w:rPr>
        <w:t xml:space="preserve"> </w:t>
      </w:r>
      <w:r w:rsidR="00226735" w:rsidRPr="00515872">
        <w:rPr>
          <w:rFonts w:cs="Tahoma"/>
        </w:rPr>
        <w:t>provenienti dall'assunzione di prestiti e di quelle con specifico vincolo di destinazione, nonché i proventi derivanti da alienazione di beni patrimoniali disponibili e da altre entrate in c/capitale con riferimento a squilibri di parte capitale. Ove non possa provvedersi con le modalità sopra indicate è possibile impiegare la quota libera del risultato di amministrazione. Per il ripristino degli equilibri, in deroga all'</w:t>
      </w:r>
      <w:hyperlink r:id="rId38" w:history="1">
        <w:r w:rsidR="00226735" w:rsidRPr="00515872">
          <w:rPr>
            <w:rStyle w:val="Collegamentoipertestuale"/>
            <w:rFonts w:cs="Tahoma"/>
            <w:color w:val="auto"/>
            <w:u w:val="none"/>
          </w:rPr>
          <w:t>art. 1</w:t>
        </w:r>
      </w:hyperlink>
      <w:r w:rsidR="00226735" w:rsidRPr="00515872">
        <w:rPr>
          <w:rFonts w:cs="Tahoma"/>
        </w:rPr>
        <w:t>, c. 169, L. 27 dicembre 2006, n. 296, l'ente può modificare le tariffe e le aliquote relative ai tributi di propria competenza.</w:t>
      </w:r>
    </w:p>
    <w:p w14:paraId="2816E9E4" w14:textId="77777777" w:rsidR="0004336E" w:rsidRPr="00515872" w:rsidRDefault="0004336E" w:rsidP="00226735">
      <w:pPr>
        <w:spacing w:line="360" w:lineRule="auto"/>
        <w:jc w:val="both"/>
        <w:rPr>
          <w:rFonts w:cs="Tahoma"/>
          <w:szCs w:val="20"/>
          <w:highlight w:val="yellow"/>
        </w:rPr>
      </w:pPr>
      <w:r w:rsidRPr="00515872">
        <w:rPr>
          <w:rFonts w:cs="Tahoma"/>
          <w:szCs w:val="20"/>
        </w:rPr>
        <w:lastRenderedPageBreak/>
        <w:t>Il riconoscimento di debiti fuori bilancio si configura come evento del tutto eccezionale dovendo essere, le spese dell’ente, di regola previste nel bilancio. È importante considerare, pertanto, la presenza di debiti fuori bilancio, molto spesso consistenti, al fine di determinare la buona gestione finanziaria ed economica dell’ente.</w:t>
      </w:r>
    </w:p>
    <w:p w14:paraId="121799C9" w14:textId="77777777" w:rsidR="007503B0" w:rsidRPr="00515872" w:rsidRDefault="009E13CA" w:rsidP="009518AF">
      <w:pPr>
        <w:spacing w:line="360" w:lineRule="auto"/>
        <w:jc w:val="both"/>
        <w:rPr>
          <w:rFonts w:cs="Tahoma"/>
        </w:rPr>
      </w:pPr>
      <w:r w:rsidRPr="00515872">
        <w:rPr>
          <w:rFonts w:eastAsia="Times New Roman" w:cs="Tahoma"/>
          <w:szCs w:val="20"/>
          <w:lang w:eastAsia="it-IT"/>
        </w:rPr>
        <w:t xml:space="preserve">La procedura in commento richiede, a norma dell’art. 239, c. 1, lett. b), n. 6 del TUEL, il parere obbligatorio dell’organo di revisione. </w:t>
      </w:r>
      <w:r w:rsidR="009518AF" w:rsidRPr="00515872">
        <w:rPr>
          <w:rFonts w:eastAsia="Times New Roman" w:cs="Tahoma"/>
          <w:szCs w:val="20"/>
          <w:lang w:eastAsia="it-IT"/>
        </w:rPr>
        <w:t xml:space="preserve">L’attività di verifica dell’organo di revisione, in questo caso, si conclude con il rilascio di un </w:t>
      </w:r>
      <w:r w:rsidR="009518AF" w:rsidRPr="00515872">
        <w:rPr>
          <w:rFonts w:eastAsia="Times New Roman" w:cs="Tahoma"/>
          <w:b/>
          <w:szCs w:val="20"/>
          <w:lang w:eastAsia="it-IT"/>
        </w:rPr>
        <w:t>parere sugli atti relativi alla copertura finanziaria</w:t>
      </w:r>
      <w:r w:rsidR="009518AF" w:rsidRPr="00515872">
        <w:rPr>
          <w:rFonts w:eastAsia="Times New Roman" w:cs="Tahoma"/>
          <w:szCs w:val="20"/>
          <w:lang w:eastAsia="it-IT"/>
        </w:rPr>
        <w:t xml:space="preserve"> di tali debiti, esponendo le proprie valutazioni in merito alla possibilità di definire accordi transattivi e </w:t>
      </w:r>
      <w:r w:rsidR="009518AF" w:rsidRPr="00515872">
        <w:rPr>
          <w:rFonts w:eastAsia="Times New Roman" w:cs="Tahoma"/>
          <w:b/>
          <w:szCs w:val="20"/>
          <w:lang w:eastAsia="it-IT"/>
        </w:rPr>
        <w:t xml:space="preserve">verificando se i debiti fuori bilancio rientrino nelle tipologie riconoscibili </w:t>
      </w:r>
      <w:r w:rsidR="009518AF" w:rsidRPr="00515872">
        <w:rPr>
          <w:rFonts w:eastAsia="Times New Roman" w:cs="Tahoma"/>
          <w:szCs w:val="20"/>
          <w:lang w:eastAsia="it-IT"/>
        </w:rPr>
        <w:t>individuate dal TUEL.</w:t>
      </w:r>
      <w:r w:rsidRPr="00515872">
        <w:rPr>
          <w:rFonts w:eastAsia="Times New Roman" w:cs="Tahoma"/>
          <w:szCs w:val="20"/>
          <w:lang w:eastAsia="it-IT"/>
        </w:rPr>
        <w:t xml:space="preserve"> </w:t>
      </w:r>
      <w:r w:rsidR="009518AF" w:rsidRPr="00515872">
        <w:rPr>
          <w:rFonts w:cs="Tahoma"/>
        </w:rPr>
        <w:t>E</w:t>
      </w:r>
      <w:r w:rsidR="00813092" w:rsidRPr="00515872">
        <w:rPr>
          <w:rFonts w:cs="Tahoma"/>
        </w:rPr>
        <w:t>sso</w:t>
      </w:r>
      <w:r w:rsidR="009518AF" w:rsidRPr="00515872">
        <w:rPr>
          <w:rFonts w:cs="Tahoma"/>
        </w:rPr>
        <w:t xml:space="preserve"> deve, innanzitutto, accertare che le obbligazioni oggetto di analisi si</w:t>
      </w:r>
      <w:r w:rsidR="007503B0" w:rsidRPr="00515872">
        <w:rPr>
          <w:rFonts w:cs="Tahoma"/>
        </w:rPr>
        <w:t>ano certe, liquide ed esigibili, nonché la loro riconducibilità alle fattispecie previste dall’art. 194 del TUEL.</w:t>
      </w:r>
    </w:p>
    <w:p w14:paraId="2E737236" w14:textId="77777777" w:rsidR="009518AF" w:rsidRPr="00515872" w:rsidRDefault="009E13CA" w:rsidP="009518AF">
      <w:pPr>
        <w:spacing w:line="360" w:lineRule="auto"/>
        <w:jc w:val="both"/>
        <w:rPr>
          <w:rFonts w:eastAsia="Times New Roman" w:cs="Tahoma"/>
          <w:szCs w:val="20"/>
          <w:lang w:eastAsia="it-IT"/>
        </w:rPr>
      </w:pPr>
      <w:r w:rsidRPr="00515872">
        <w:rPr>
          <w:rFonts w:eastAsia="Times New Roman" w:cs="Tahoma"/>
          <w:szCs w:val="20"/>
          <w:lang w:eastAsia="it-IT"/>
        </w:rPr>
        <w:t>In materia di transazioni, l</w:t>
      </w:r>
      <w:r w:rsidR="009518AF" w:rsidRPr="00515872">
        <w:rPr>
          <w:rFonts w:eastAsia="Times New Roman" w:cs="Tahoma"/>
          <w:szCs w:val="20"/>
          <w:lang w:eastAsia="it-IT"/>
        </w:rPr>
        <w:t>a giurisprudenza contabile, in merito alla necessità di acquisire il parere dell’organo di revisione, ne ha ritenuto obbligatorio il parere in tutte le transazioni che si concludano con l’approvazione da parte del consiglio comunale; tuttavia, anche in presenza di una transazione di importo consistente, pur non di competenza del consiglio comunale, ha ravvisa</w:t>
      </w:r>
      <w:r w:rsidR="00813092" w:rsidRPr="00515872">
        <w:rPr>
          <w:rFonts w:eastAsia="Times New Roman" w:cs="Tahoma"/>
          <w:szCs w:val="20"/>
          <w:lang w:eastAsia="it-IT"/>
        </w:rPr>
        <w:t>to</w:t>
      </w:r>
      <w:r w:rsidR="009518AF" w:rsidRPr="00515872">
        <w:rPr>
          <w:rFonts w:eastAsia="Times New Roman" w:cs="Tahoma"/>
          <w:szCs w:val="20"/>
          <w:lang w:eastAsia="it-IT"/>
        </w:rPr>
        <w:t xml:space="preserve"> la necessita del parere dell’organo di revisione</w:t>
      </w:r>
      <w:r w:rsidR="009518AF" w:rsidRPr="00515872">
        <w:rPr>
          <w:rStyle w:val="Rimandonotaapidipagina"/>
          <w:rFonts w:eastAsia="Times New Roman" w:cs="Tahoma"/>
          <w:szCs w:val="20"/>
          <w:lang w:eastAsia="it-IT"/>
        </w:rPr>
        <w:footnoteReference w:id="98"/>
      </w:r>
      <w:r w:rsidR="009518AF" w:rsidRPr="00515872">
        <w:rPr>
          <w:rFonts w:eastAsia="Times New Roman" w:cs="Tahoma"/>
          <w:szCs w:val="20"/>
          <w:lang w:eastAsia="it-IT"/>
        </w:rPr>
        <w:t>.</w:t>
      </w:r>
    </w:p>
    <w:p w14:paraId="1DF15251"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Compete all’organo di revisione esprimere </w:t>
      </w:r>
      <w:r w:rsidRPr="00515872">
        <w:rPr>
          <w:rFonts w:eastAsia="Times New Roman" w:cs="Tahoma"/>
          <w:b/>
          <w:szCs w:val="20"/>
          <w:lang w:eastAsia="it-IT"/>
        </w:rPr>
        <w:t>un giudizio di congruità, coerenza e attendibilità contabile</w:t>
      </w:r>
      <w:r w:rsidRPr="00515872">
        <w:rPr>
          <w:rFonts w:eastAsia="Times New Roman" w:cs="Tahoma"/>
          <w:szCs w:val="20"/>
          <w:lang w:eastAsia="it-IT"/>
        </w:rPr>
        <w:t xml:space="preserve"> riportando gli estremi dell’attività istruttoria svolta e le indicazioni per il rientro dell’obbligazione all’interno della contabilità dell’ente</w:t>
      </w:r>
      <w:r w:rsidR="007503B0" w:rsidRPr="00515872">
        <w:rPr>
          <w:rFonts w:eastAsia="Times New Roman" w:cs="Tahoma"/>
          <w:szCs w:val="20"/>
          <w:lang w:eastAsia="it-IT"/>
        </w:rPr>
        <w:t>, previa verifica dell’effettiva copertura finanziaria, con particolare riferimento agli esercizi successivi al primo</w:t>
      </w:r>
      <w:r w:rsidRPr="00515872">
        <w:rPr>
          <w:rFonts w:eastAsia="Times New Roman" w:cs="Tahoma"/>
          <w:szCs w:val="20"/>
          <w:lang w:eastAsia="it-IT"/>
        </w:rPr>
        <w:t>.</w:t>
      </w:r>
    </w:p>
    <w:p w14:paraId="4DEFB8F4"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Qualora l’ente non vi abbia provveduto, inoltre, l’organo di </w:t>
      </w:r>
      <w:r w:rsidRPr="00515872">
        <w:rPr>
          <w:rFonts w:eastAsia="Times New Roman" w:cs="Tahoma"/>
          <w:b/>
          <w:szCs w:val="20"/>
          <w:lang w:eastAsia="it-IT"/>
        </w:rPr>
        <w:t>revisione deve comunicare la violazione alla competente procura della Corte dei Conti</w:t>
      </w:r>
      <w:r w:rsidRPr="00515872">
        <w:rPr>
          <w:rFonts w:eastAsia="Times New Roman" w:cs="Tahoma"/>
          <w:szCs w:val="20"/>
          <w:lang w:eastAsia="it-IT"/>
        </w:rPr>
        <w:t>, ai sensi dell’art. 23, c. 5, L n. 289/2002.</w:t>
      </w:r>
    </w:p>
    <w:p w14:paraId="00974615" w14:textId="4474310C" w:rsidR="0045002C" w:rsidRPr="00515872" w:rsidRDefault="00FD684C" w:rsidP="009518AF">
      <w:pPr>
        <w:spacing w:line="360" w:lineRule="auto"/>
        <w:jc w:val="both"/>
        <w:rPr>
          <w:rFonts w:cs="Tahoma"/>
          <w:szCs w:val="20"/>
        </w:rPr>
      </w:pPr>
      <w:r w:rsidRPr="00515872">
        <w:rPr>
          <w:rFonts w:cs="Tahoma"/>
          <w:szCs w:val="20"/>
        </w:rPr>
        <w:t>È</w:t>
      </w:r>
      <w:r w:rsidR="0045002C" w:rsidRPr="00515872">
        <w:rPr>
          <w:rFonts w:cs="Tahoma"/>
          <w:szCs w:val="20"/>
        </w:rPr>
        <w:t xml:space="preserve"> opportuno che l’organo di revisione verifichi, anche a campione, nel corso dell’esercizio e alla fine, se sussistono spese aventi la natura di debiti fuori bilancio imputate in competenza senza un previo atto di riconoscimento e finanziamento da parte del Consiglio. A tal fine occorre accentuare le verifiche in particolare sulle somme impegnate nei primi mesi dell’esercizio. </w:t>
      </w:r>
    </w:p>
    <w:p w14:paraId="46683426" w14:textId="77777777" w:rsidR="007503B0" w:rsidRPr="00515872" w:rsidRDefault="0045002C" w:rsidP="009518AF">
      <w:pPr>
        <w:spacing w:line="360" w:lineRule="auto"/>
        <w:jc w:val="both"/>
        <w:rPr>
          <w:rFonts w:eastAsia="Times New Roman" w:cs="Tahoma"/>
          <w:szCs w:val="20"/>
          <w:lang w:eastAsia="it-IT"/>
        </w:rPr>
      </w:pPr>
      <w:r w:rsidRPr="00515872">
        <w:rPr>
          <w:rFonts w:cs="Tahoma"/>
          <w:szCs w:val="20"/>
        </w:rPr>
        <w:t xml:space="preserve">Il mancato rispetto del principio della competenza è un’irregolarità contabile. </w:t>
      </w:r>
      <w:r w:rsidR="007503B0" w:rsidRPr="00515872">
        <w:rPr>
          <w:rFonts w:eastAsia="Times New Roman" w:cs="Tahoma"/>
          <w:szCs w:val="20"/>
          <w:lang w:eastAsia="it-IT"/>
        </w:rPr>
        <w:t>L’or</w:t>
      </w:r>
      <w:r w:rsidRPr="00515872">
        <w:rPr>
          <w:rFonts w:eastAsia="Times New Roman" w:cs="Tahoma"/>
          <w:szCs w:val="20"/>
          <w:lang w:eastAsia="it-IT"/>
        </w:rPr>
        <w:t>gano di revisione deve</w:t>
      </w:r>
      <w:r w:rsidR="007503B0" w:rsidRPr="00515872">
        <w:rPr>
          <w:rFonts w:eastAsia="Times New Roman" w:cs="Tahoma"/>
          <w:szCs w:val="20"/>
          <w:lang w:eastAsia="it-IT"/>
        </w:rPr>
        <w:t xml:space="preserve"> accertarsi che </w:t>
      </w:r>
      <w:r w:rsidRPr="00515872">
        <w:rPr>
          <w:rFonts w:eastAsia="Times New Roman" w:cs="Tahoma"/>
          <w:szCs w:val="20"/>
          <w:lang w:eastAsia="it-IT"/>
        </w:rPr>
        <w:t>esso no</w:t>
      </w:r>
      <w:r w:rsidR="007503B0" w:rsidRPr="00515872">
        <w:rPr>
          <w:rFonts w:eastAsia="Times New Roman" w:cs="Tahoma"/>
          <w:szCs w:val="20"/>
          <w:lang w:eastAsia="it-IT"/>
        </w:rPr>
        <w:t xml:space="preserve">n derivi da una scelta consapevole di rinvio agli esercizi futuri di spese non finanziabili o tali da non </w:t>
      </w:r>
      <w:r w:rsidR="00513838" w:rsidRPr="00515872">
        <w:rPr>
          <w:rFonts w:eastAsia="Times New Roman" w:cs="Tahoma"/>
          <w:szCs w:val="20"/>
          <w:lang w:eastAsia="it-IT"/>
        </w:rPr>
        <w:t>fare rispettare i limiti.</w:t>
      </w:r>
    </w:p>
    <w:p w14:paraId="26A56934" w14:textId="77777777" w:rsidR="00277513" w:rsidRPr="00515872" w:rsidRDefault="00277513" w:rsidP="00297A21">
      <w:pPr>
        <w:pStyle w:val="Paragrafo"/>
        <w:rPr>
          <w:highlight w:val="yellow"/>
        </w:rPr>
      </w:pPr>
      <w:bookmarkStart w:id="203" w:name="_Toc521317121"/>
    </w:p>
    <w:p w14:paraId="32C1B533" w14:textId="77777777" w:rsidR="00A9116F" w:rsidRPr="00515872" w:rsidRDefault="00A9116F" w:rsidP="00297A21">
      <w:pPr>
        <w:pStyle w:val="Paragrafo"/>
        <w:rPr>
          <w:highlight w:val="yellow"/>
        </w:rPr>
      </w:pPr>
    </w:p>
    <w:p w14:paraId="4C51400A" w14:textId="77777777" w:rsidR="009518AF" w:rsidRPr="00515872" w:rsidRDefault="00AD2719" w:rsidP="00297A21">
      <w:pPr>
        <w:pStyle w:val="Paragrafo"/>
      </w:pPr>
      <w:bookmarkStart w:id="204" w:name="_Toc95912311"/>
      <w:r w:rsidRPr="00515872">
        <w:lastRenderedPageBreak/>
        <w:t>6</w:t>
      </w:r>
      <w:r w:rsidR="009518AF" w:rsidRPr="00515872">
        <w:t>.13 Verifica sulla tempestività dei pagamenti</w:t>
      </w:r>
      <w:bookmarkEnd w:id="203"/>
      <w:bookmarkEnd w:id="204"/>
    </w:p>
    <w:p w14:paraId="6412A9A8" w14:textId="77777777" w:rsidR="009518AF" w:rsidRPr="00515872" w:rsidRDefault="009518AF" w:rsidP="009518AF">
      <w:pPr>
        <w:spacing w:line="360" w:lineRule="auto"/>
        <w:jc w:val="both"/>
        <w:rPr>
          <w:rFonts w:cs="Tahoma"/>
          <w:szCs w:val="20"/>
        </w:rPr>
      </w:pPr>
      <w:r w:rsidRPr="00515872">
        <w:rPr>
          <w:rFonts w:cs="Tahoma"/>
          <w:szCs w:val="20"/>
        </w:rPr>
        <w:t>I ritardi cronici nei pagamenti della pubblica amministrazione rappresen</w:t>
      </w:r>
      <w:r w:rsidR="00813092" w:rsidRPr="00515872">
        <w:rPr>
          <w:rFonts w:cs="Tahoma"/>
          <w:szCs w:val="20"/>
        </w:rPr>
        <w:t>tano, ormai da tempo, un aspetto</w:t>
      </w:r>
      <w:r w:rsidRPr="00515872">
        <w:rPr>
          <w:rFonts w:cs="Tahoma"/>
          <w:szCs w:val="20"/>
        </w:rPr>
        <w:t xml:space="preserve"> </w:t>
      </w:r>
      <w:r w:rsidR="00813092" w:rsidRPr="00515872">
        <w:rPr>
          <w:rFonts w:cs="Tahoma"/>
          <w:szCs w:val="20"/>
        </w:rPr>
        <w:t>critico della liquidità delle imprese che intrattengono rapporti di fornitura con essa</w:t>
      </w:r>
      <w:r w:rsidRPr="00515872">
        <w:rPr>
          <w:rFonts w:cs="Tahoma"/>
          <w:szCs w:val="20"/>
        </w:rPr>
        <w:t>. L’introduzione di fattori limitativi alla possibilità di esborso per gli enti pubblici, quali il patto di stabilità, hanno</w:t>
      </w:r>
      <w:r w:rsidR="00C7511C" w:rsidRPr="00515872">
        <w:rPr>
          <w:rFonts w:cs="Tahoma"/>
          <w:szCs w:val="20"/>
        </w:rPr>
        <w:t>, almeno in passato,</w:t>
      </w:r>
      <w:r w:rsidRPr="00515872">
        <w:rPr>
          <w:rFonts w:cs="Tahoma"/>
          <w:szCs w:val="20"/>
        </w:rPr>
        <w:t xml:space="preserve"> ulteriormente inciso sulle tempis</w:t>
      </w:r>
      <w:r w:rsidR="00813092" w:rsidRPr="00515872">
        <w:rPr>
          <w:rFonts w:cs="Tahoma"/>
          <w:szCs w:val="20"/>
        </w:rPr>
        <w:t>tiche dei pagamenti</w:t>
      </w:r>
      <w:r w:rsidRPr="00515872">
        <w:rPr>
          <w:rFonts w:cs="Tahoma"/>
          <w:szCs w:val="20"/>
        </w:rPr>
        <w:t>. Per contenere il fenomeno, il legislatore è più volte intervenuto imponendo agli enti adempimenti finalizzati al monitoraggio e alla corretta gestione dei pagamenti dei debiti.</w:t>
      </w:r>
    </w:p>
    <w:p w14:paraId="3B036CB2" w14:textId="77777777" w:rsidR="009518AF" w:rsidRPr="00515872" w:rsidRDefault="0075244A" w:rsidP="009518AF">
      <w:pPr>
        <w:spacing w:line="360" w:lineRule="auto"/>
        <w:jc w:val="both"/>
        <w:rPr>
          <w:rFonts w:cs="Tahoma"/>
          <w:szCs w:val="20"/>
        </w:rPr>
      </w:pPr>
      <w:r w:rsidRPr="00515872">
        <w:rPr>
          <w:rFonts w:cs="Tahoma"/>
          <w:szCs w:val="20"/>
        </w:rPr>
        <w:t>L’art. 9, c. 1, lett. a),</w:t>
      </w:r>
      <w:r w:rsidR="009518AF" w:rsidRPr="00515872">
        <w:rPr>
          <w:rFonts w:cs="Tahoma"/>
          <w:szCs w:val="20"/>
        </w:rPr>
        <w:t xml:space="preserve"> D.L. 1 luglio 2009, n. 78,</w:t>
      </w:r>
      <w:r w:rsidR="00C7511C" w:rsidRPr="00515872">
        <w:rPr>
          <w:rFonts w:cs="Tahoma"/>
          <w:szCs w:val="20"/>
        </w:rPr>
        <w:t xml:space="preserve"> conv. L. 3 agosto 2009, n. 102,</w:t>
      </w:r>
      <w:r w:rsidR="009518AF" w:rsidRPr="00515872">
        <w:rPr>
          <w:rFonts w:cs="Tahoma"/>
          <w:szCs w:val="20"/>
        </w:rPr>
        <w:t xml:space="preserve"> ha previsto che entro il 31 dicembre 2009 le pubbliche amministrazioni dovevano adottare le </w:t>
      </w:r>
      <w:r w:rsidR="009518AF" w:rsidRPr="00515872">
        <w:rPr>
          <w:rFonts w:cs="Tahoma"/>
          <w:b/>
          <w:szCs w:val="20"/>
        </w:rPr>
        <w:t>opportune misure organizzative</w:t>
      </w:r>
      <w:r w:rsidR="009518AF" w:rsidRPr="00515872">
        <w:rPr>
          <w:rFonts w:cs="Tahoma"/>
          <w:szCs w:val="20"/>
        </w:rPr>
        <w:t xml:space="preserve"> per garantire il tempestivo pagamento delle somme dovute per somministrazioni, forniture ed appalti.</w:t>
      </w:r>
    </w:p>
    <w:p w14:paraId="0D6DBA44" w14:textId="77777777" w:rsidR="009518AF" w:rsidRPr="00515872" w:rsidRDefault="009518AF" w:rsidP="009518AF">
      <w:pPr>
        <w:spacing w:line="360" w:lineRule="auto"/>
        <w:jc w:val="both"/>
        <w:rPr>
          <w:rFonts w:cs="Tahoma"/>
          <w:szCs w:val="20"/>
        </w:rPr>
      </w:pPr>
      <w:r w:rsidRPr="00515872">
        <w:rPr>
          <w:rFonts w:cs="Tahoma"/>
          <w:szCs w:val="20"/>
        </w:rPr>
        <w:t>Le pubbliche amministrazioni sono obbligate, secondo quanto previsto dall’art. 8, c. 1, del D</w:t>
      </w:r>
      <w:r w:rsidR="00947082" w:rsidRPr="00515872">
        <w:rPr>
          <w:rFonts w:cs="Tahoma"/>
          <w:szCs w:val="20"/>
        </w:rPr>
        <w:t>.L. 24 aprile 2014, n. 66, conv.</w:t>
      </w:r>
      <w:r w:rsidRPr="00515872">
        <w:rPr>
          <w:rFonts w:cs="Tahoma"/>
          <w:szCs w:val="20"/>
        </w:rPr>
        <w:t xml:space="preserve"> L. 23 giugno 2014, n. 89, a pubblicare ogni anno, entro il 31 gennaio dell’anno successivo a quello di riferimento, un </w:t>
      </w:r>
      <w:r w:rsidRPr="00515872">
        <w:rPr>
          <w:rFonts w:cs="Tahoma"/>
          <w:bCs/>
          <w:szCs w:val="20"/>
        </w:rPr>
        <w:t>indicatore annuale di tempestività dei pagamenti</w:t>
      </w:r>
      <w:r w:rsidRPr="00515872">
        <w:rPr>
          <w:rFonts w:cs="Tahoma"/>
          <w:szCs w:val="20"/>
        </w:rPr>
        <w:t xml:space="preserve">, nonché a pubblicare </w:t>
      </w:r>
      <w:r w:rsidRPr="00515872">
        <w:rPr>
          <w:rFonts w:cs="Tahoma"/>
          <w:bCs/>
          <w:szCs w:val="20"/>
        </w:rPr>
        <w:t xml:space="preserve">ogni trimestre, a partire dal 2015, </w:t>
      </w:r>
      <w:r w:rsidRPr="00515872">
        <w:rPr>
          <w:rFonts w:cs="Tahoma"/>
          <w:szCs w:val="20"/>
        </w:rPr>
        <w:t xml:space="preserve">un </w:t>
      </w:r>
      <w:r w:rsidRPr="00515872">
        <w:rPr>
          <w:rFonts w:cs="Tahoma"/>
          <w:bCs/>
          <w:szCs w:val="20"/>
        </w:rPr>
        <w:t xml:space="preserve">indicatore di tempestività dei pagamenti </w:t>
      </w:r>
      <w:r w:rsidRPr="00515872">
        <w:rPr>
          <w:rFonts w:cs="Tahoma"/>
          <w:szCs w:val="20"/>
        </w:rPr>
        <w:t>entro il trentesimo giorno dalla conclusione del trimestre di riferimento. Con D.P.C.M. del 22 settembre 2014 sono state indicate le modalità e i termini per la pubblicazione degli indicatori.</w:t>
      </w:r>
    </w:p>
    <w:p w14:paraId="458F6EC3" w14:textId="77777777" w:rsidR="009518AF" w:rsidRPr="00515872" w:rsidRDefault="009518AF" w:rsidP="00E91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L'indicatore di tempestività dei pagamenti è calcolato come la somma, per ciascuna fattura emessa a titolo corrispettivo di una transazione commerciale, dei giorni effettivi intercorrenti tra la data di scadenza della fattura o richiesta equivalente di pagamento e la data di pagamento al fornitore moltiplicata per l'importo dovuto, rapportata alla somma degli importi pagati nel periodo di riferimento.</w:t>
      </w:r>
      <w:r w:rsidR="00E916D8" w:rsidRPr="00515872">
        <w:rPr>
          <w:rFonts w:eastAsia="Times New Roman" w:cs="Tahoma"/>
          <w:szCs w:val="20"/>
          <w:lang w:eastAsia="it-IT"/>
        </w:rPr>
        <w:t xml:space="preserve"> </w:t>
      </w:r>
      <w:r w:rsidRPr="00515872">
        <w:rPr>
          <w:rFonts w:eastAsia="Times New Roman" w:cs="Tahoma"/>
          <w:szCs w:val="20"/>
          <w:lang w:eastAsia="it-IT"/>
        </w:rPr>
        <w:t xml:space="preserve">In sintesi, l'indicatore è definito in termini di ritardo medio di pagamento ponderato in base all'importo delle </w:t>
      </w:r>
      <w:r w:rsidR="00E916D8" w:rsidRPr="00515872">
        <w:rPr>
          <w:rFonts w:eastAsia="Times New Roman" w:cs="Tahoma"/>
          <w:szCs w:val="20"/>
          <w:lang w:eastAsia="it-IT"/>
        </w:rPr>
        <w:t>f</w:t>
      </w:r>
      <w:r w:rsidRPr="00515872">
        <w:rPr>
          <w:rFonts w:eastAsia="Times New Roman" w:cs="Tahoma"/>
          <w:szCs w:val="20"/>
          <w:lang w:eastAsia="it-IT"/>
        </w:rPr>
        <w:t xml:space="preserve">atture. </w:t>
      </w:r>
    </w:p>
    <w:p w14:paraId="2A990130"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ahoma"/>
          <w:szCs w:val="20"/>
          <w:lang w:eastAsia="it-IT"/>
        </w:rPr>
      </w:pPr>
      <w:r w:rsidRPr="00515872">
        <w:rPr>
          <w:rFonts w:eastAsia="Times New Roman" w:cs="Tahoma"/>
          <w:szCs w:val="20"/>
          <w:lang w:eastAsia="it-IT"/>
        </w:rPr>
        <w:t>Sono esclusi dal calcolo i periodi in cui la somma era inesigibile essendo la richiesta di pagamento oggetto di contestazione o contenzioso.</w:t>
      </w:r>
    </w:p>
    <w:p w14:paraId="4ACF59D1" w14:textId="77777777" w:rsidR="000C5D12" w:rsidRPr="00515872" w:rsidRDefault="000C5D12" w:rsidP="009518AF">
      <w:pPr>
        <w:spacing w:line="360" w:lineRule="auto"/>
        <w:jc w:val="both"/>
        <w:rPr>
          <w:rFonts w:cs="Tahoma"/>
          <w:bCs/>
          <w:szCs w:val="20"/>
        </w:rPr>
      </w:pPr>
      <w:r w:rsidRPr="00515872">
        <w:rPr>
          <w:rFonts w:cs="Tahoma"/>
          <w:bCs/>
          <w:szCs w:val="20"/>
        </w:rPr>
        <w:t xml:space="preserve">L’organo di revisione deve effettuare </w:t>
      </w:r>
      <w:r w:rsidR="00DE05A9" w:rsidRPr="00515872">
        <w:rPr>
          <w:rFonts w:cs="Tahoma"/>
          <w:bCs/>
          <w:szCs w:val="20"/>
        </w:rPr>
        <w:t>le seguenti</w:t>
      </w:r>
      <w:r w:rsidRPr="00515872">
        <w:rPr>
          <w:rFonts w:cs="Tahoma"/>
          <w:bCs/>
          <w:szCs w:val="20"/>
        </w:rPr>
        <w:t xml:space="preserve"> verifiche:</w:t>
      </w:r>
    </w:p>
    <w:p w14:paraId="0FB5766E" w14:textId="77777777" w:rsidR="000C5D12" w:rsidRPr="00515872" w:rsidRDefault="000C5D12" w:rsidP="00D65838">
      <w:pPr>
        <w:pStyle w:val="Paragrafoelenco"/>
        <w:numPr>
          <w:ilvl w:val="0"/>
          <w:numId w:val="146"/>
        </w:numPr>
        <w:spacing w:line="360" w:lineRule="auto"/>
        <w:jc w:val="both"/>
        <w:rPr>
          <w:rFonts w:cs="Tahoma"/>
          <w:bCs/>
          <w:szCs w:val="20"/>
        </w:rPr>
      </w:pPr>
      <w:r w:rsidRPr="00515872">
        <w:rPr>
          <w:rFonts w:cs="Tahoma"/>
          <w:bCs/>
          <w:szCs w:val="20"/>
        </w:rPr>
        <w:t>vigilare sulla corretta applicazione delle norme finalizzate a garantire la tempestività dei pagamenti da parte delle amministrazioni pubbliche;</w:t>
      </w:r>
    </w:p>
    <w:p w14:paraId="3F8D02B9" w14:textId="77777777" w:rsidR="000C5D12" w:rsidRPr="00515872" w:rsidRDefault="000C5D12" w:rsidP="00D65838">
      <w:pPr>
        <w:pStyle w:val="Paragrafoelenco"/>
        <w:numPr>
          <w:ilvl w:val="0"/>
          <w:numId w:val="146"/>
        </w:numPr>
        <w:spacing w:line="360" w:lineRule="auto"/>
        <w:jc w:val="both"/>
        <w:rPr>
          <w:rFonts w:cs="Tahoma"/>
          <w:bCs/>
          <w:szCs w:val="20"/>
        </w:rPr>
      </w:pPr>
      <w:r w:rsidRPr="00515872">
        <w:rPr>
          <w:rFonts w:cs="Tahoma"/>
          <w:bCs/>
          <w:szCs w:val="20"/>
        </w:rPr>
        <w:t xml:space="preserve">verificare le attestazioni relative ai pagamenti effettuati dopo la scadenza dei termini previsti </w:t>
      </w:r>
      <w:r w:rsidR="00DE05A9" w:rsidRPr="00515872">
        <w:rPr>
          <w:rFonts w:cs="Tahoma"/>
          <w:bCs/>
          <w:szCs w:val="20"/>
        </w:rPr>
        <w:t>dal D.Lgs. 9 ottobre 2002, n. 231, nonché agli indicatori di tempestività;</w:t>
      </w:r>
    </w:p>
    <w:p w14:paraId="1FAE45DB" w14:textId="77777777" w:rsidR="00DE05A9" w:rsidRPr="00515872" w:rsidRDefault="00DE05A9" w:rsidP="00D65838">
      <w:pPr>
        <w:pStyle w:val="Paragrafoelenco"/>
        <w:numPr>
          <w:ilvl w:val="0"/>
          <w:numId w:val="146"/>
        </w:numPr>
        <w:spacing w:line="360" w:lineRule="auto"/>
        <w:jc w:val="both"/>
        <w:rPr>
          <w:rFonts w:cs="Tahoma"/>
          <w:bCs/>
          <w:szCs w:val="20"/>
        </w:rPr>
      </w:pPr>
      <w:r w:rsidRPr="00515872">
        <w:rPr>
          <w:rFonts w:cs="Tahoma"/>
          <w:bCs/>
          <w:szCs w:val="20"/>
        </w:rPr>
        <w:t>verificare, per gli enti che non hanno effettuato il passaggio a SIOPE+, la trasmissione alla piattaforma elettronica dei crediti commerciali delle comunicazioni relative al pagamento delle fatture;</w:t>
      </w:r>
    </w:p>
    <w:p w14:paraId="7BBAA371" w14:textId="77777777" w:rsidR="00DE05A9" w:rsidRPr="00515872" w:rsidRDefault="00DE05A9" w:rsidP="00D65838">
      <w:pPr>
        <w:pStyle w:val="Paragrafoelenco"/>
        <w:numPr>
          <w:ilvl w:val="0"/>
          <w:numId w:val="146"/>
        </w:numPr>
        <w:spacing w:line="360" w:lineRule="auto"/>
        <w:jc w:val="both"/>
        <w:rPr>
          <w:rFonts w:cs="Tahoma"/>
          <w:bCs/>
          <w:szCs w:val="20"/>
        </w:rPr>
      </w:pPr>
      <w:r w:rsidRPr="00515872">
        <w:rPr>
          <w:rFonts w:cs="Tahoma"/>
          <w:bCs/>
          <w:szCs w:val="20"/>
        </w:rPr>
        <w:t xml:space="preserve">verificare l’attuazione da parte dell’ente delle misure sui pagamenti previste dalla L. </w:t>
      </w:r>
      <w:r w:rsidR="0075244A" w:rsidRPr="00515872">
        <w:rPr>
          <w:rFonts w:cs="Tahoma"/>
          <w:bCs/>
          <w:szCs w:val="20"/>
        </w:rPr>
        <w:t xml:space="preserve">n. </w:t>
      </w:r>
      <w:r w:rsidRPr="00515872">
        <w:rPr>
          <w:rFonts w:cs="Tahoma"/>
          <w:bCs/>
          <w:szCs w:val="20"/>
        </w:rPr>
        <w:t xml:space="preserve">145/2018. </w:t>
      </w:r>
    </w:p>
    <w:p w14:paraId="421D31CB" w14:textId="77777777" w:rsidR="00C7511C" w:rsidRPr="00515872" w:rsidRDefault="00C7511C" w:rsidP="00C7511C">
      <w:pPr>
        <w:pStyle w:val="Paragrafoelenco"/>
        <w:spacing w:line="360" w:lineRule="auto"/>
        <w:ind w:left="360"/>
        <w:jc w:val="both"/>
        <w:rPr>
          <w:rFonts w:cs="Tahoma"/>
          <w:bCs/>
          <w:szCs w:val="20"/>
          <w:highlight w:val="yellow"/>
        </w:rPr>
      </w:pPr>
    </w:p>
    <w:p w14:paraId="750C0971" w14:textId="77777777" w:rsidR="009518AF" w:rsidRPr="00515872" w:rsidRDefault="00AD2719" w:rsidP="00297A21">
      <w:pPr>
        <w:pStyle w:val="Paragrafo"/>
      </w:pPr>
      <w:bookmarkStart w:id="205" w:name="_Toc521317122"/>
      <w:bookmarkStart w:id="206" w:name="_Toc95912312"/>
      <w:r w:rsidRPr="00515872">
        <w:lastRenderedPageBreak/>
        <w:t>6</w:t>
      </w:r>
      <w:r w:rsidR="009518AF" w:rsidRPr="00515872">
        <w:t>.14 Parere sulle proposte di regolamento</w:t>
      </w:r>
      <w:bookmarkEnd w:id="205"/>
      <w:bookmarkEnd w:id="206"/>
    </w:p>
    <w:p w14:paraId="69D325F1"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I revisori, in base alle disposizioni normative, rilasciano il parere sui regolamenti adottati dall’ente concernenti la contabilità, il servizio di economato, il patrimonio e i tributi locali. I regolamenti interessati sono, a titolo esemplificativo:</w:t>
      </w:r>
    </w:p>
    <w:p w14:paraId="64636BFC"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IMU;</w:t>
      </w:r>
    </w:p>
    <w:p w14:paraId="55328FCB"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TASI</w:t>
      </w:r>
      <w:r w:rsidR="008D54E6" w:rsidRPr="00515872">
        <w:rPr>
          <w:rFonts w:eastAsia="Times New Roman" w:cs="Tahoma"/>
          <w:szCs w:val="20"/>
          <w:lang w:eastAsia="it-IT"/>
        </w:rPr>
        <w:t xml:space="preserve"> (ora abolita)</w:t>
      </w:r>
      <w:r w:rsidRPr="00515872">
        <w:rPr>
          <w:rFonts w:eastAsia="Times New Roman" w:cs="Tahoma"/>
          <w:szCs w:val="20"/>
          <w:lang w:eastAsia="it-IT"/>
        </w:rPr>
        <w:t>;</w:t>
      </w:r>
    </w:p>
    <w:p w14:paraId="0FC33225"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TARI;</w:t>
      </w:r>
    </w:p>
    <w:p w14:paraId="4E676F49"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addizionale comunale IRPEF;</w:t>
      </w:r>
    </w:p>
    <w:p w14:paraId="7125260C"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imposta di soggiorno;</w:t>
      </w:r>
    </w:p>
    <w:p w14:paraId="39319518"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imposta di pubblicità e pubbliche affissioni;</w:t>
      </w:r>
    </w:p>
    <w:p w14:paraId="3E318193"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occupazione suolo pubblico;</w:t>
      </w:r>
    </w:p>
    <w:p w14:paraId="0C44C5AA"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per le entrate comunali;</w:t>
      </w:r>
    </w:p>
    <w:p w14:paraId="455FB564"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per la rateizzazione del pagamento delle entrate comunali;</w:t>
      </w:r>
    </w:p>
    <w:p w14:paraId="03BEA4BC"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per l’adesione all’accertamento;</w:t>
      </w:r>
    </w:p>
    <w:p w14:paraId="43C266E3" w14:textId="77777777" w:rsidR="009518AF" w:rsidRPr="00515872" w:rsidRDefault="009518AF" w:rsidP="00D65838">
      <w:pPr>
        <w:pStyle w:val="Paragrafoelenco"/>
        <w:numPr>
          <w:ilvl w:val="0"/>
          <w:numId w:val="107"/>
        </w:numPr>
        <w:spacing w:line="360" w:lineRule="auto"/>
        <w:jc w:val="both"/>
        <w:rPr>
          <w:rFonts w:eastAsia="Times New Roman" w:cs="Tahoma"/>
          <w:szCs w:val="20"/>
          <w:lang w:eastAsia="it-IT"/>
        </w:rPr>
      </w:pPr>
      <w:r w:rsidRPr="00515872">
        <w:rPr>
          <w:rFonts w:eastAsia="Times New Roman" w:cs="Tahoma"/>
          <w:szCs w:val="20"/>
          <w:lang w:eastAsia="it-IT"/>
        </w:rPr>
        <w:t>regolamento sul diritto di interpello del contribuente.</w:t>
      </w:r>
    </w:p>
    <w:p w14:paraId="13F1DAD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La verifica deve essere effettuata sulla completezza del regolamento. Spetta all’organo di revisione verificare il rispetto dei principi quali l’adeguatezza, la semplificazione e la trasparenza. </w:t>
      </w:r>
    </w:p>
    <w:p w14:paraId="40657C24" w14:textId="77777777" w:rsidR="00C353C6" w:rsidRPr="00515872" w:rsidRDefault="00C353C6" w:rsidP="00297A21">
      <w:pPr>
        <w:pStyle w:val="Paragrafo"/>
      </w:pPr>
      <w:bookmarkStart w:id="207" w:name="_Toc521317123"/>
    </w:p>
    <w:p w14:paraId="10584B98" w14:textId="77777777" w:rsidR="009518AF" w:rsidRPr="00515872" w:rsidRDefault="00AD2719" w:rsidP="00297A21">
      <w:pPr>
        <w:pStyle w:val="Paragrafo"/>
      </w:pPr>
      <w:bookmarkStart w:id="208" w:name="_Toc95912313"/>
      <w:r w:rsidRPr="00515872">
        <w:t>6</w:t>
      </w:r>
      <w:r w:rsidR="009518AF" w:rsidRPr="00515872">
        <w:t>.15 Verifiche sul personale e la contrattazione integrativa decentrata</w:t>
      </w:r>
      <w:bookmarkEnd w:id="207"/>
      <w:bookmarkEnd w:id="208"/>
    </w:p>
    <w:p w14:paraId="2658C9E2" w14:textId="77777777" w:rsidR="00610A70" w:rsidRPr="00515872" w:rsidRDefault="00610A70" w:rsidP="009518AF">
      <w:pPr>
        <w:spacing w:line="360" w:lineRule="auto"/>
        <w:jc w:val="both"/>
        <w:rPr>
          <w:rFonts w:cs="Tahoma"/>
          <w:szCs w:val="20"/>
        </w:rPr>
      </w:pPr>
      <w:r w:rsidRPr="00515872">
        <w:rPr>
          <w:rFonts w:cs="Tahoma"/>
          <w:szCs w:val="20"/>
        </w:rPr>
        <w:t>Il reclutamento del personale nelle pubbliche amministrazioni presuppone l’osservanza di un duplice sistema di vincoli normativi che disciplinano, da un lato, le possibilità di spesa e, dall’altro, le facoltà assunzionali.</w:t>
      </w:r>
    </w:p>
    <w:p w14:paraId="37459767" w14:textId="77777777" w:rsidR="009518AF" w:rsidRPr="00515872" w:rsidRDefault="009518AF" w:rsidP="009518AF">
      <w:pPr>
        <w:spacing w:line="360" w:lineRule="auto"/>
        <w:jc w:val="both"/>
        <w:rPr>
          <w:rFonts w:cs="Tahoma"/>
          <w:szCs w:val="20"/>
        </w:rPr>
      </w:pPr>
      <w:r w:rsidRPr="00515872">
        <w:rPr>
          <w:rFonts w:cs="Tahoma"/>
          <w:szCs w:val="20"/>
        </w:rPr>
        <w:t>In materia di personale la normativa sugli enti locali prevede una molteplicità di adempimenti e vincoli introdotti nel tempo da diversi interventi finalizzati, fondamentalmente, al contenimento della relativa spesa, quale elemento di “peso” nel complesso della spesa corrente pubblica. Gli enti pubblici sono, in genere, tenuti a concorrere al rispetto degli obiettivi di finanza pubblica anche mediante il contenimento delle spese del personale</w:t>
      </w:r>
      <w:r w:rsidR="0075244A" w:rsidRPr="00515872">
        <w:rPr>
          <w:rFonts w:cs="Tahoma"/>
          <w:szCs w:val="20"/>
        </w:rPr>
        <w:t>.</w:t>
      </w:r>
    </w:p>
    <w:p w14:paraId="03CE1C05" w14:textId="77777777" w:rsidR="009518AF" w:rsidRPr="00515872" w:rsidRDefault="009518AF" w:rsidP="009518AF">
      <w:pPr>
        <w:spacing w:after="0" w:line="360" w:lineRule="auto"/>
        <w:jc w:val="both"/>
        <w:rPr>
          <w:rFonts w:cs="Tahoma"/>
          <w:szCs w:val="20"/>
        </w:rPr>
      </w:pPr>
      <w:r w:rsidRPr="00515872">
        <w:rPr>
          <w:rFonts w:cs="Tahoma"/>
          <w:szCs w:val="20"/>
        </w:rPr>
        <w:t>Le direttive attraverso le quali si sviluppa il contenimento della spesa del personale passano attraverso:</w:t>
      </w:r>
    </w:p>
    <w:p w14:paraId="151597E1" w14:textId="77777777" w:rsidR="009518AF" w:rsidRPr="00515872" w:rsidRDefault="009518AF" w:rsidP="00D65838">
      <w:pPr>
        <w:pStyle w:val="Paragrafoelenco"/>
        <w:numPr>
          <w:ilvl w:val="0"/>
          <w:numId w:val="108"/>
        </w:numPr>
        <w:spacing w:line="360" w:lineRule="auto"/>
        <w:jc w:val="both"/>
        <w:rPr>
          <w:rFonts w:cs="Tahoma"/>
          <w:szCs w:val="20"/>
        </w:rPr>
      </w:pPr>
      <w:r w:rsidRPr="00515872">
        <w:rPr>
          <w:rFonts w:cs="Tahoma"/>
          <w:szCs w:val="20"/>
        </w:rPr>
        <w:t>la riduzione dell’incidenza della spesa per il personale e sul totale delle spese correnti;</w:t>
      </w:r>
    </w:p>
    <w:p w14:paraId="78703EB8" w14:textId="77777777" w:rsidR="009518AF" w:rsidRPr="00515872" w:rsidRDefault="009518AF" w:rsidP="00D65838">
      <w:pPr>
        <w:pStyle w:val="Paragrafoelenco"/>
        <w:numPr>
          <w:ilvl w:val="0"/>
          <w:numId w:val="108"/>
        </w:numPr>
        <w:spacing w:line="360" w:lineRule="auto"/>
        <w:jc w:val="both"/>
        <w:rPr>
          <w:rFonts w:cs="Tahoma"/>
          <w:szCs w:val="20"/>
        </w:rPr>
      </w:pPr>
      <w:r w:rsidRPr="00515872">
        <w:rPr>
          <w:rFonts w:cs="Tahoma"/>
          <w:szCs w:val="20"/>
        </w:rPr>
        <w:t>gli accorpamenti di uffici e funzioni e la riduzione delle posizioni dirigenziali;</w:t>
      </w:r>
    </w:p>
    <w:p w14:paraId="05230A97" w14:textId="77777777" w:rsidR="009518AF" w:rsidRPr="00515872" w:rsidRDefault="009518AF" w:rsidP="00D65838">
      <w:pPr>
        <w:pStyle w:val="Paragrafoelenco"/>
        <w:numPr>
          <w:ilvl w:val="0"/>
          <w:numId w:val="108"/>
        </w:numPr>
        <w:spacing w:line="360" w:lineRule="auto"/>
        <w:jc w:val="both"/>
        <w:rPr>
          <w:rFonts w:cs="Tahoma"/>
          <w:szCs w:val="20"/>
        </w:rPr>
      </w:pPr>
      <w:r w:rsidRPr="00515872">
        <w:rPr>
          <w:rFonts w:cs="Tahoma"/>
          <w:szCs w:val="20"/>
        </w:rPr>
        <w:t>il contenimento della contrattazione integrativa.</w:t>
      </w:r>
    </w:p>
    <w:p w14:paraId="2C59EC24" w14:textId="77777777" w:rsidR="003A22AF" w:rsidRPr="00515872" w:rsidRDefault="003A22AF" w:rsidP="009518AF">
      <w:pPr>
        <w:spacing w:line="360" w:lineRule="auto"/>
        <w:jc w:val="both"/>
        <w:rPr>
          <w:rFonts w:cs="Tahoma"/>
          <w:szCs w:val="20"/>
        </w:rPr>
      </w:pPr>
      <w:r w:rsidRPr="00515872">
        <w:rPr>
          <w:rFonts w:cs="Tahoma"/>
          <w:szCs w:val="20"/>
        </w:rPr>
        <w:t>L’organo di revisione deve verificare che il bilancio di previsione sia redatto nel rispetto dei vincoli di contenimento della spesa e che tal</w:t>
      </w:r>
      <w:r w:rsidR="00AA09AB" w:rsidRPr="00515872">
        <w:rPr>
          <w:rFonts w:cs="Tahoma"/>
          <w:szCs w:val="20"/>
        </w:rPr>
        <w:t>i</w:t>
      </w:r>
      <w:r w:rsidRPr="00515872">
        <w:rPr>
          <w:rFonts w:cs="Tahoma"/>
          <w:szCs w:val="20"/>
        </w:rPr>
        <w:t xml:space="preserve"> vincol</w:t>
      </w:r>
      <w:r w:rsidR="00AA09AB" w:rsidRPr="00515872">
        <w:rPr>
          <w:rFonts w:cs="Tahoma"/>
          <w:szCs w:val="20"/>
        </w:rPr>
        <w:t>i</w:t>
      </w:r>
      <w:r w:rsidRPr="00515872">
        <w:rPr>
          <w:rFonts w:cs="Tahoma"/>
          <w:szCs w:val="20"/>
        </w:rPr>
        <w:t xml:space="preserve"> sia</w:t>
      </w:r>
      <w:r w:rsidR="00AA09AB" w:rsidRPr="00515872">
        <w:rPr>
          <w:rFonts w:cs="Tahoma"/>
          <w:szCs w:val="20"/>
        </w:rPr>
        <w:t>no mantenuti</w:t>
      </w:r>
      <w:r w:rsidRPr="00515872">
        <w:rPr>
          <w:rFonts w:cs="Tahoma"/>
          <w:szCs w:val="20"/>
        </w:rPr>
        <w:t xml:space="preserve"> durante l’esercizio in occasione delle variazioni di </w:t>
      </w:r>
      <w:r w:rsidRPr="00515872">
        <w:rPr>
          <w:rFonts w:cs="Tahoma"/>
          <w:szCs w:val="20"/>
        </w:rPr>
        <w:lastRenderedPageBreak/>
        <w:t>bilancio nonché, in definitiva, a consuntivo. In caso di mancato rispetto di uno o più vincoli tra quelli previsti, l’organo di revisione deve accertarsi che siano applicati i dispositivi sanzionatori previsti.</w:t>
      </w:r>
    </w:p>
    <w:p w14:paraId="10C4FE24" w14:textId="77777777" w:rsidR="00900FFC" w:rsidRPr="00515872" w:rsidRDefault="00900FFC" w:rsidP="009518AF">
      <w:pPr>
        <w:spacing w:line="360" w:lineRule="auto"/>
        <w:jc w:val="both"/>
        <w:rPr>
          <w:rFonts w:cs="Tahoma"/>
          <w:szCs w:val="20"/>
        </w:rPr>
      </w:pPr>
      <w:r w:rsidRPr="00515872">
        <w:rPr>
          <w:rFonts w:cs="Tahoma"/>
          <w:szCs w:val="20"/>
        </w:rPr>
        <w:t>L</w:t>
      </w:r>
      <w:r w:rsidR="00F90C9A" w:rsidRPr="00515872">
        <w:rPr>
          <w:rFonts w:cs="Tahoma"/>
          <w:szCs w:val="20"/>
        </w:rPr>
        <w:t>a normativa prevede diverse misure c</w:t>
      </w:r>
      <w:r w:rsidRPr="00515872">
        <w:rPr>
          <w:rFonts w:cs="Tahoma"/>
          <w:szCs w:val="20"/>
        </w:rPr>
        <w:t>ontenitive della dinamica retributiva e limitative delle possibilità assunzionali</w:t>
      </w:r>
      <w:r w:rsidR="00F90C9A" w:rsidRPr="00515872">
        <w:rPr>
          <w:rFonts w:cs="Tahoma"/>
          <w:szCs w:val="20"/>
        </w:rPr>
        <w:t>, nonché diversi strumenti di analisi e programmazione dell’impiego di personale</w:t>
      </w:r>
      <w:r w:rsidRPr="00515872">
        <w:rPr>
          <w:rFonts w:cs="Tahoma"/>
          <w:szCs w:val="20"/>
        </w:rPr>
        <w:t>. Si riassumono di seguito le principali.</w:t>
      </w:r>
    </w:p>
    <w:p w14:paraId="7056757B" w14:textId="77777777" w:rsidR="003E29A5" w:rsidRPr="00515872" w:rsidRDefault="00377E84" w:rsidP="00377E84">
      <w:pPr>
        <w:spacing w:after="0" w:line="360" w:lineRule="auto"/>
        <w:jc w:val="both"/>
        <w:rPr>
          <w:rFonts w:cs="Tahoma"/>
          <w:szCs w:val="20"/>
        </w:rPr>
      </w:pPr>
      <w:r w:rsidRPr="00515872">
        <w:rPr>
          <w:rFonts w:cs="Tahoma"/>
          <w:szCs w:val="20"/>
        </w:rPr>
        <w:t>O</w:t>
      </w:r>
      <w:r w:rsidR="003E29A5" w:rsidRPr="00515872">
        <w:rPr>
          <w:rFonts w:cs="Tahoma"/>
          <w:szCs w:val="20"/>
        </w:rPr>
        <w:t xml:space="preserve">ccorre preliminarmente chiarire </w:t>
      </w:r>
      <w:r w:rsidRPr="00515872">
        <w:rPr>
          <w:rFonts w:cs="Tahoma"/>
          <w:szCs w:val="20"/>
        </w:rPr>
        <w:t>la possibilità dell’ente di effettuare assunzioni di personale a qualsiasi titolo è generalmente subordinata al rispetto dei seguenti adempimenti:</w:t>
      </w:r>
    </w:p>
    <w:p w14:paraId="3FE5D7AF"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approvazione del programma triennale del fabbisogno del personale;</w:t>
      </w:r>
    </w:p>
    <w:p w14:paraId="6F9032E8"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verifica del piano delle performance;</w:t>
      </w:r>
    </w:p>
    <w:p w14:paraId="09FDE26C"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approvazione del piano triennale delle azioni positive;</w:t>
      </w:r>
    </w:p>
    <w:p w14:paraId="6BE411B0"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verifica dell’eventuale presenza di situazioni di soprannumero o eccedenza di personale;</w:t>
      </w:r>
    </w:p>
    <w:p w14:paraId="27877F94"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rispetto degli obbligh</w:t>
      </w:r>
      <w:r w:rsidR="00377E84" w:rsidRPr="00515872">
        <w:rPr>
          <w:rFonts w:cs="Tahoma"/>
          <w:szCs w:val="20"/>
        </w:rPr>
        <w:t>i di certificazione dei crediti;</w:t>
      </w:r>
    </w:p>
    <w:p w14:paraId="14362750"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rispetto dei termini previsti per l’approvazione del bilancio di previsione, del rendiconto e del bilancio consolidato;</w:t>
      </w:r>
    </w:p>
    <w:p w14:paraId="7C8ED3AB" w14:textId="77777777" w:rsidR="003E29A5" w:rsidRPr="00515872" w:rsidRDefault="003E29A5" w:rsidP="00D65838">
      <w:pPr>
        <w:pStyle w:val="Paragrafoelenco"/>
        <w:numPr>
          <w:ilvl w:val="0"/>
          <w:numId w:val="108"/>
        </w:numPr>
        <w:spacing w:line="360" w:lineRule="auto"/>
        <w:jc w:val="both"/>
        <w:rPr>
          <w:rFonts w:cs="Tahoma"/>
          <w:szCs w:val="20"/>
        </w:rPr>
      </w:pPr>
      <w:r w:rsidRPr="00515872">
        <w:rPr>
          <w:rFonts w:cs="Tahoma"/>
          <w:szCs w:val="20"/>
        </w:rPr>
        <w:t>rispetto del termine di invio del conto annuale.</w:t>
      </w:r>
    </w:p>
    <w:p w14:paraId="0E5B3C63" w14:textId="77777777" w:rsidR="009518AF" w:rsidRPr="00515872" w:rsidRDefault="009518AF" w:rsidP="009518AF">
      <w:pPr>
        <w:spacing w:after="0" w:line="360" w:lineRule="auto"/>
        <w:jc w:val="both"/>
        <w:rPr>
          <w:rFonts w:cs="Tahoma"/>
          <w:b/>
          <w:szCs w:val="20"/>
        </w:rPr>
      </w:pPr>
      <w:r w:rsidRPr="00515872">
        <w:rPr>
          <w:rFonts w:cs="Tahoma"/>
          <w:b/>
          <w:szCs w:val="20"/>
        </w:rPr>
        <w:t>Contenimento della spesa del personale e limiti alle assunzioni</w:t>
      </w:r>
    </w:p>
    <w:p w14:paraId="5D285FC7" w14:textId="77777777" w:rsidR="009518AF" w:rsidRPr="00515872" w:rsidRDefault="009518AF" w:rsidP="00BC488A">
      <w:pPr>
        <w:spacing w:line="360" w:lineRule="auto"/>
        <w:jc w:val="both"/>
        <w:rPr>
          <w:rFonts w:eastAsia="Times New Roman" w:cs="Tahoma"/>
          <w:szCs w:val="20"/>
          <w:lang w:eastAsia="it-IT"/>
        </w:rPr>
      </w:pPr>
      <w:r w:rsidRPr="00515872">
        <w:rPr>
          <w:rFonts w:eastAsia="Times New Roman" w:cs="Tahoma"/>
          <w:szCs w:val="20"/>
          <w:lang w:eastAsia="it-IT"/>
        </w:rPr>
        <w:t>Le limitazioni alla spesa</w:t>
      </w:r>
      <w:r w:rsidR="00BC488A" w:rsidRPr="00515872">
        <w:rPr>
          <w:rFonts w:eastAsia="Times New Roman" w:cs="Tahoma"/>
          <w:szCs w:val="20"/>
          <w:lang w:eastAsia="it-IT"/>
        </w:rPr>
        <w:t xml:space="preserve"> per il personale</w:t>
      </w:r>
      <w:r w:rsidRPr="00515872">
        <w:rPr>
          <w:rFonts w:eastAsia="Times New Roman" w:cs="Tahoma"/>
          <w:szCs w:val="20"/>
          <w:lang w:eastAsia="it-IT"/>
        </w:rPr>
        <w:t xml:space="preserve"> si intrecciano, ovviamente, con quelle relative alle possibilità di assunzione.</w:t>
      </w:r>
    </w:p>
    <w:p w14:paraId="70EF4FDF" w14:textId="77777777" w:rsidR="00FC6300" w:rsidRPr="00515872" w:rsidRDefault="00E76271" w:rsidP="00377E84">
      <w:pPr>
        <w:spacing w:after="0" w:line="360" w:lineRule="auto"/>
        <w:jc w:val="both"/>
        <w:rPr>
          <w:rFonts w:cs="Tahoma"/>
          <w:color w:val="000000"/>
          <w:szCs w:val="20"/>
        </w:rPr>
      </w:pPr>
      <w:r w:rsidRPr="00515872">
        <w:rPr>
          <w:rFonts w:cs="Tahoma"/>
          <w:color w:val="000000"/>
          <w:szCs w:val="20"/>
        </w:rPr>
        <w:t>In relazione all’obiettivo di contenime</w:t>
      </w:r>
      <w:r w:rsidR="00F90C9A" w:rsidRPr="00515872">
        <w:rPr>
          <w:rFonts w:cs="Tahoma"/>
          <w:color w:val="000000"/>
          <w:szCs w:val="20"/>
        </w:rPr>
        <w:t>nto delle spese di personale l’o</w:t>
      </w:r>
      <w:r w:rsidRPr="00515872">
        <w:rPr>
          <w:rFonts w:cs="Tahoma"/>
          <w:color w:val="000000"/>
          <w:szCs w:val="20"/>
        </w:rPr>
        <w:t>rgano di revisione è tenuto a</w:t>
      </w:r>
      <w:r w:rsidR="00FC6300" w:rsidRPr="00515872">
        <w:rPr>
          <w:rFonts w:cs="Tahoma"/>
          <w:szCs w:val="20"/>
        </w:rPr>
        <w:t xml:space="preserve"> concentrare le proprie verifiche</w:t>
      </w:r>
      <w:r w:rsidRPr="00515872">
        <w:rPr>
          <w:rFonts w:cs="Tahoma"/>
          <w:color w:val="000000"/>
          <w:szCs w:val="20"/>
        </w:rPr>
        <w:t>:</w:t>
      </w:r>
    </w:p>
    <w:p w14:paraId="27D82483" w14:textId="77777777" w:rsidR="00FC6300" w:rsidRPr="00515872" w:rsidRDefault="00FC6300" w:rsidP="00D65838">
      <w:pPr>
        <w:pStyle w:val="Paragrafoelenco"/>
        <w:numPr>
          <w:ilvl w:val="0"/>
          <w:numId w:val="108"/>
        </w:numPr>
        <w:spacing w:line="360" w:lineRule="auto"/>
        <w:jc w:val="both"/>
        <w:rPr>
          <w:rFonts w:cs="Tahoma"/>
          <w:color w:val="000000"/>
          <w:szCs w:val="20"/>
        </w:rPr>
      </w:pPr>
      <w:r w:rsidRPr="00515872">
        <w:rPr>
          <w:rFonts w:cs="Tahoma"/>
          <w:color w:val="000000"/>
          <w:szCs w:val="20"/>
        </w:rPr>
        <w:t>in sede di bilancio di previsione: sul rispetto programmatico del vincolo di contenimento delle spese di personale oltre che il rispetto tendenziale del limite nell’esercizio precedente;</w:t>
      </w:r>
    </w:p>
    <w:p w14:paraId="29FD6ADE" w14:textId="77777777" w:rsidR="00FC6300" w:rsidRPr="00515872" w:rsidRDefault="00E76271" w:rsidP="00D65838">
      <w:pPr>
        <w:pStyle w:val="Paragrafoelenco"/>
        <w:numPr>
          <w:ilvl w:val="0"/>
          <w:numId w:val="108"/>
        </w:numPr>
        <w:spacing w:line="360" w:lineRule="auto"/>
        <w:jc w:val="both"/>
        <w:rPr>
          <w:rFonts w:cs="Tahoma"/>
          <w:color w:val="000000"/>
          <w:szCs w:val="20"/>
        </w:rPr>
      </w:pPr>
      <w:r w:rsidRPr="00515872">
        <w:rPr>
          <w:rFonts w:cs="Tahoma"/>
          <w:color w:val="000000"/>
          <w:szCs w:val="20"/>
        </w:rPr>
        <w:t>durante la gestione</w:t>
      </w:r>
      <w:r w:rsidR="00FC6300" w:rsidRPr="00515872">
        <w:rPr>
          <w:rFonts w:cs="Tahoma"/>
          <w:color w:val="000000"/>
          <w:szCs w:val="20"/>
        </w:rPr>
        <w:t>:</w:t>
      </w:r>
      <w:r w:rsidRPr="00515872">
        <w:rPr>
          <w:rFonts w:cs="Tahoma"/>
          <w:color w:val="000000"/>
          <w:szCs w:val="20"/>
        </w:rPr>
        <w:t xml:space="preserve"> </w:t>
      </w:r>
      <w:r w:rsidR="00FC6300" w:rsidRPr="00515872">
        <w:rPr>
          <w:rFonts w:cs="Tahoma"/>
          <w:color w:val="000000"/>
          <w:szCs w:val="20"/>
        </w:rPr>
        <w:t>su</w:t>
      </w:r>
      <w:r w:rsidRPr="00515872">
        <w:rPr>
          <w:rFonts w:cs="Tahoma"/>
          <w:color w:val="000000"/>
          <w:szCs w:val="20"/>
        </w:rPr>
        <w:t>l permanere del rispetto programmatico del vincolo di contenimento delle</w:t>
      </w:r>
      <w:r w:rsidR="00FC6300" w:rsidRPr="00515872">
        <w:rPr>
          <w:rFonts w:cs="Tahoma"/>
          <w:color w:val="000000"/>
          <w:szCs w:val="20"/>
        </w:rPr>
        <w:t xml:space="preserve"> </w:t>
      </w:r>
      <w:r w:rsidRPr="00515872">
        <w:rPr>
          <w:rFonts w:cs="Tahoma"/>
          <w:color w:val="000000"/>
          <w:szCs w:val="20"/>
        </w:rPr>
        <w:t>spese di personale, soprattutto in relazione ai provvedimenti (come le variazioni di bilancio) che</w:t>
      </w:r>
      <w:r w:rsidR="00FC6300" w:rsidRPr="00515872">
        <w:rPr>
          <w:rFonts w:cs="Tahoma"/>
          <w:color w:val="000000"/>
          <w:szCs w:val="20"/>
        </w:rPr>
        <w:t xml:space="preserve"> </w:t>
      </w:r>
      <w:r w:rsidRPr="00515872">
        <w:rPr>
          <w:rFonts w:cs="Tahoma"/>
          <w:color w:val="000000"/>
          <w:szCs w:val="20"/>
        </w:rPr>
        <w:t xml:space="preserve">sono destinati a produrre un impatto su queste </w:t>
      </w:r>
      <w:r w:rsidR="00FC6300" w:rsidRPr="00515872">
        <w:rPr>
          <w:rFonts w:cs="Tahoma"/>
          <w:color w:val="000000"/>
          <w:szCs w:val="20"/>
        </w:rPr>
        <w:t>ultime</w:t>
      </w:r>
      <w:r w:rsidRPr="00515872">
        <w:rPr>
          <w:rFonts w:cs="Tahoma"/>
          <w:color w:val="000000"/>
          <w:szCs w:val="20"/>
        </w:rPr>
        <w:t>;</w:t>
      </w:r>
    </w:p>
    <w:p w14:paraId="79F97FBE" w14:textId="77777777" w:rsidR="00FC6300" w:rsidRPr="00515872" w:rsidRDefault="00E76271" w:rsidP="00D65838">
      <w:pPr>
        <w:pStyle w:val="Paragrafoelenco"/>
        <w:numPr>
          <w:ilvl w:val="0"/>
          <w:numId w:val="108"/>
        </w:numPr>
        <w:spacing w:line="360" w:lineRule="auto"/>
        <w:jc w:val="both"/>
        <w:rPr>
          <w:rFonts w:cs="Tahoma"/>
          <w:color w:val="000000"/>
          <w:szCs w:val="20"/>
        </w:rPr>
      </w:pPr>
      <w:r w:rsidRPr="00515872">
        <w:rPr>
          <w:rFonts w:cs="Tahoma"/>
          <w:color w:val="000000"/>
          <w:szCs w:val="20"/>
        </w:rPr>
        <w:t>in sede di rendiconto</w:t>
      </w:r>
      <w:r w:rsidR="00FC6300" w:rsidRPr="00515872">
        <w:rPr>
          <w:rFonts w:cs="Tahoma"/>
          <w:color w:val="000000"/>
          <w:szCs w:val="20"/>
        </w:rPr>
        <w:t>:</w:t>
      </w:r>
      <w:r w:rsidRPr="00515872">
        <w:rPr>
          <w:rFonts w:cs="Tahoma"/>
          <w:color w:val="000000"/>
          <w:szCs w:val="20"/>
        </w:rPr>
        <w:t xml:space="preserve"> </w:t>
      </w:r>
      <w:r w:rsidR="00FC6300" w:rsidRPr="00515872">
        <w:rPr>
          <w:rFonts w:cs="Tahoma"/>
          <w:color w:val="000000"/>
          <w:szCs w:val="20"/>
        </w:rPr>
        <w:t>sul</w:t>
      </w:r>
      <w:r w:rsidRPr="00515872">
        <w:rPr>
          <w:rFonts w:cs="Tahoma"/>
          <w:color w:val="000000"/>
          <w:szCs w:val="20"/>
        </w:rPr>
        <w:t>l’effettivo rispetto del vincolo di contenimento delle spese di personale,</w:t>
      </w:r>
      <w:r w:rsidRPr="00515872">
        <w:rPr>
          <w:rFonts w:cs="Tahoma"/>
          <w:color w:val="000000"/>
          <w:szCs w:val="20"/>
        </w:rPr>
        <w:br/>
        <w:t>dandone atto nell’ambito della relazione al rendiconto prevista dall’art. 239 del T</w:t>
      </w:r>
      <w:r w:rsidR="000F1A75" w:rsidRPr="00515872">
        <w:rPr>
          <w:rFonts w:cs="Tahoma"/>
          <w:color w:val="000000"/>
          <w:szCs w:val="20"/>
        </w:rPr>
        <w:t>UEL</w:t>
      </w:r>
      <w:r w:rsidRPr="00515872">
        <w:rPr>
          <w:rFonts w:cs="Tahoma"/>
          <w:color w:val="000000"/>
          <w:szCs w:val="20"/>
        </w:rPr>
        <w:t>;</w:t>
      </w:r>
    </w:p>
    <w:p w14:paraId="73A68598" w14:textId="77777777" w:rsidR="00FC6300" w:rsidRPr="00515872" w:rsidRDefault="00E76271" w:rsidP="00D65838">
      <w:pPr>
        <w:pStyle w:val="Paragrafoelenco"/>
        <w:numPr>
          <w:ilvl w:val="0"/>
          <w:numId w:val="108"/>
        </w:numPr>
        <w:spacing w:line="360" w:lineRule="auto"/>
        <w:jc w:val="both"/>
        <w:rPr>
          <w:rFonts w:cs="Tahoma"/>
          <w:color w:val="000000"/>
          <w:szCs w:val="20"/>
        </w:rPr>
      </w:pPr>
      <w:r w:rsidRPr="00515872">
        <w:rPr>
          <w:rFonts w:cs="Tahoma"/>
          <w:color w:val="000000"/>
          <w:szCs w:val="20"/>
        </w:rPr>
        <w:t>nell’esercizio successivo a quello di mancato rispetto del vincolo di contenimento delle spese di</w:t>
      </w:r>
      <w:r w:rsidR="00FC6300" w:rsidRPr="00515872">
        <w:rPr>
          <w:rFonts w:cs="Tahoma"/>
          <w:color w:val="000000"/>
          <w:szCs w:val="20"/>
        </w:rPr>
        <w:t xml:space="preserve"> </w:t>
      </w:r>
      <w:r w:rsidRPr="00515872">
        <w:rPr>
          <w:rFonts w:cs="Tahoma"/>
          <w:color w:val="000000"/>
          <w:szCs w:val="20"/>
        </w:rPr>
        <w:t>personale</w:t>
      </w:r>
      <w:r w:rsidR="00FC6300" w:rsidRPr="00515872">
        <w:rPr>
          <w:rFonts w:cs="Tahoma"/>
          <w:color w:val="000000"/>
          <w:szCs w:val="20"/>
        </w:rPr>
        <w:t>:</w:t>
      </w:r>
      <w:r w:rsidRPr="00515872">
        <w:rPr>
          <w:rFonts w:cs="Tahoma"/>
          <w:color w:val="000000"/>
          <w:szCs w:val="20"/>
        </w:rPr>
        <w:t xml:space="preserve"> </w:t>
      </w:r>
      <w:r w:rsidR="00FC6300" w:rsidRPr="00515872">
        <w:rPr>
          <w:rFonts w:cs="Tahoma"/>
          <w:color w:val="000000"/>
          <w:szCs w:val="20"/>
        </w:rPr>
        <w:t>sul</w:t>
      </w:r>
      <w:r w:rsidRPr="00515872">
        <w:rPr>
          <w:rFonts w:cs="Tahoma"/>
          <w:color w:val="000000"/>
          <w:szCs w:val="20"/>
        </w:rPr>
        <w:t xml:space="preserve">l’applicazione dei </w:t>
      </w:r>
      <w:r w:rsidR="00FC6300" w:rsidRPr="00515872">
        <w:rPr>
          <w:rFonts w:cs="Tahoma"/>
          <w:color w:val="000000"/>
          <w:szCs w:val="20"/>
        </w:rPr>
        <w:t>dispositivi</w:t>
      </w:r>
      <w:r w:rsidRPr="00515872">
        <w:rPr>
          <w:rFonts w:cs="Tahoma"/>
          <w:color w:val="000000"/>
          <w:szCs w:val="20"/>
        </w:rPr>
        <w:t xml:space="preserve"> sanzionatori previsti.</w:t>
      </w:r>
    </w:p>
    <w:p w14:paraId="566015DF" w14:textId="77777777" w:rsidR="000F1A75" w:rsidRPr="00515872" w:rsidRDefault="00E76271" w:rsidP="00FC6300">
      <w:pPr>
        <w:spacing w:line="360" w:lineRule="auto"/>
        <w:jc w:val="both"/>
        <w:rPr>
          <w:rFonts w:cs="Tahoma"/>
          <w:color w:val="000000"/>
          <w:szCs w:val="20"/>
        </w:rPr>
      </w:pPr>
      <w:r w:rsidRPr="00515872">
        <w:rPr>
          <w:rFonts w:cs="Tahoma"/>
          <w:color w:val="000000"/>
          <w:szCs w:val="20"/>
        </w:rPr>
        <w:t>La verifica av</w:t>
      </w:r>
      <w:r w:rsidR="000F1A75" w:rsidRPr="00515872">
        <w:rPr>
          <w:rFonts w:cs="Tahoma"/>
          <w:color w:val="000000"/>
          <w:szCs w:val="20"/>
        </w:rPr>
        <w:t xml:space="preserve">viene mediante il confronto tra </w:t>
      </w:r>
      <w:r w:rsidRPr="00515872">
        <w:rPr>
          <w:rFonts w:cs="Tahoma"/>
          <w:color w:val="000000"/>
          <w:szCs w:val="20"/>
        </w:rPr>
        <w:t>il valore storico dell’ammontare della spesa di personale sostenuta dall’ente locale, come risultante</w:t>
      </w:r>
      <w:r w:rsidR="000F1A75" w:rsidRPr="00515872">
        <w:rPr>
          <w:rFonts w:cs="Tahoma"/>
          <w:color w:val="000000"/>
          <w:szCs w:val="20"/>
        </w:rPr>
        <w:t xml:space="preserve"> </w:t>
      </w:r>
      <w:r w:rsidRPr="00515872">
        <w:rPr>
          <w:rFonts w:cs="Tahoma"/>
          <w:color w:val="000000"/>
          <w:szCs w:val="20"/>
        </w:rPr>
        <w:t xml:space="preserve">da documenti ufficiali dell’ente o </w:t>
      </w:r>
      <w:r w:rsidR="000F1A75" w:rsidRPr="00515872">
        <w:rPr>
          <w:rFonts w:cs="Tahoma"/>
          <w:color w:val="000000"/>
          <w:szCs w:val="20"/>
        </w:rPr>
        <w:t xml:space="preserve">dai documenti predisposti dall’organo di revisione e </w:t>
      </w:r>
      <w:r w:rsidRPr="00515872">
        <w:rPr>
          <w:rFonts w:cs="Tahoma"/>
          <w:color w:val="000000"/>
          <w:szCs w:val="20"/>
        </w:rPr>
        <w:t>il valore conseguito dalla corrispondente grandezza dell’esercizio di riferimento, sulla base delle</w:t>
      </w:r>
      <w:r w:rsidR="000F1A75" w:rsidRPr="00515872">
        <w:rPr>
          <w:rFonts w:cs="Tahoma"/>
          <w:color w:val="000000"/>
          <w:szCs w:val="20"/>
        </w:rPr>
        <w:t xml:space="preserve"> r</w:t>
      </w:r>
      <w:r w:rsidRPr="00515872">
        <w:rPr>
          <w:rFonts w:cs="Tahoma"/>
          <w:color w:val="000000"/>
          <w:szCs w:val="20"/>
        </w:rPr>
        <w:t>isultanze contabili.</w:t>
      </w:r>
    </w:p>
    <w:p w14:paraId="3F33FD61" w14:textId="77777777" w:rsidR="00E76271" w:rsidRPr="00515872" w:rsidRDefault="000F1A75" w:rsidP="00FC6300">
      <w:pPr>
        <w:spacing w:line="360" w:lineRule="auto"/>
        <w:jc w:val="both"/>
        <w:rPr>
          <w:rFonts w:cs="Tahoma"/>
          <w:color w:val="000000"/>
          <w:szCs w:val="20"/>
        </w:rPr>
      </w:pPr>
      <w:r w:rsidRPr="00515872">
        <w:rPr>
          <w:rFonts w:cs="Tahoma"/>
          <w:color w:val="000000"/>
          <w:szCs w:val="20"/>
        </w:rPr>
        <w:lastRenderedPageBreak/>
        <w:t>L’o</w:t>
      </w:r>
      <w:r w:rsidR="00E76271" w:rsidRPr="00515872">
        <w:rPr>
          <w:rFonts w:cs="Tahoma"/>
          <w:color w:val="000000"/>
          <w:szCs w:val="20"/>
        </w:rPr>
        <w:t>rgano di revisione svolg</w:t>
      </w:r>
      <w:r w:rsidRPr="00515872">
        <w:rPr>
          <w:rFonts w:cs="Tahoma"/>
          <w:color w:val="000000"/>
          <w:szCs w:val="20"/>
        </w:rPr>
        <w:t>e verifiche</w:t>
      </w:r>
      <w:r w:rsidR="00E76271" w:rsidRPr="00515872">
        <w:rPr>
          <w:rFonts w:cs="Tahoma"/>
          <w:color w:val="000000"/>
          <w:szCs w:val="20"/>
        </w:rPr>
        <w:t>, anche su base campionaria, sia in relazione alla congruità delle componenti incluse sia in</w:t>
      </w:r>
      <w:r w:rsidRPr="00515872">
        <w:rPr>
          <w:rFonts w:cs="Tahoma"/>
          <w:color w:val="000000"/>
          <w:szCs w:val="20"/>
        </w:rPr>
        <w:t xml:space="preserve"> </w:t>
      </w:r>
      <w:r w:rsidR="00E76271" w:rsidRPr="00515872">
        <w:rPr>
          <w:rFonts w:cs="Tahoma"/>
          <w:color w:val="000000"/>
          <w:szCs w:val="20"/>
        </w:rPr>
        <w:t>relazione all’attendibilità delle componenti escluse dalla determinazione quantitativa (ad esempio</w:t>
      </w:r>
      <w:r w:rsidRPr="00515872">
        <w:rPr>
          <w:rFonts w:cs="Tahoma"/>
          <w:color w:val="000000"/>
          <w:szCs w:val="20"/>
        </w:rPr>
        <w:t xml:space="preserve"> </w:t>
      </w:r>
      <w:r w:rsidR="00E76271" w:rsidRPr="00515872">
        <w:rPr>
          <w:rFonts w:cs="Tahoma"/>
          <w:color w:val="000000"/>
          <w:szCs w:val="20"/>
        </w:rPr>
        <w:t>legate agli arretrati contrattuali ovvero alle spese etero-fin</w:t>
      </w:r>
      <w:r w:rsidR="00377E84" w:rsidRPr="00515872">
        <w:rPr>
          <w:rFonts w:cs="Tahoma"/>
          <w:color w:val="000000"/>
          <w:szCs w:val="20"/>
        </w:rPr>
        <w:t xml:space="preserve">anziate) oltre che </w:t>
      </w:r>
      <w:r w:rsidR="00E76271" w:rsidRPr="00515872">
        <w:rPr>
          <w:rFonts w:cs="Tahoma"/>
          <w:color w:val="000000"/>
          <w:szCs w:val="20"/>
        </w:rPr>
        <w:t>alla loro</w:t>
      </w:r>
      <w:r w:rsidRPr="00515872">
        <w:rPr>
          <w:rFonts w:cs="Tahoma"/>
          <w:color w:val="000000"/>
          <w:szCs w:val="20"/>
        </w:rPr>
        <w:t xml:space="preserve"> </w:t>
      </w:r>
      <w:r w:rsidR="00E76271" w:rsidRPr="00515872">
        <w:rPr>
          <w:rFonts w:cs="Tahoma"/>
          <w:color w:val="000000"/>
          <w:szCs w:val="20"/>
        </w:rPr>
        <w:t>conformità normativa.</w:t>
      </w:r>
    </w:p>
    <w:p w14:paraId="488C4542" w14:textId="77777777" w:rsidR="009518AF" w:rsidRPr="00515872" w:rsidRDefault="009518AF" w:rsidP="009518AF">
      <w:pPr>
        <w:spacing w:after="0" w:line="360" w:lineRule="auto"/>
        <w:jc w:val="both"/>
        <w:rPr>
          <w:rFonts w:cs="Tahoma"/>
          <w:b/>
          <w:szCs w:val="20"/>
        </w:rPr>
      </w:pPr>
      <w:r w:rsidRPr="00515872">
        <w:rPr>
          <w:rFonts w:cs="Tahoma"/>
          <w:b/>
          <w:szCs w:val="20"/>
        </w:rPr>
        <w:t>Programmazione triennale del fabbisogno di personale</w:t>
      </w:r>
    </w:p>
    <w:p w14:paraId="4849D8B5" w14:textId="77777777" w:rsidR="009518AF" w:rsidRPr="00515872" w:rsidRDefault="009518AF" w:rsidP="009518AF">
      <w:pPr>
        <w:spacing w:line="360" w:lineRule="auto"/>
        <w:jc w:val="both"/>
        <w:rPr>
          <w:rFonts w:cs="Tahoma"/>
          <w:szCs w:val="20"/>
        </w:rPr>
      </w:pPr>
      <w:r w:rsidRPr="00515872">
        <w:rPr>
          <w:rFonts w:cs="Tahoma"/>
          <w:szCs w:val="20"/>
        </w:rPr>
        <w:t>Le amministrazioni locali devono approvare un programma del fab</w:t>
      </w:r>
      <w:r w:rsidR="006A0620" w:rsidRPr="00515872">
        <w:rPr>
          <w:rFonts w:cs="Tahoma"/>
          <w:szCs w:val="20"/>
        </w:rPr>
        <w:t xml:space="preserve">bisogno di personale al fine di </w:t>
      </w:r>
      <w:r w:rsidRPr="00515872">
        <w:rPr>
          <w:rFonts w:cs="Tahoma"/>
          <w:szCs w:val="20"/>
        </w:rPr>
        <w:t xml:space="preserve">assicurare le esigenze di funzionalità e ottimizzazione delle risorse e garantire la qualità dei servizi resi, compatibilmente con le risorse finanziarie disponibili. Tale atto è </w:t>
      </w:r>
      <w:r w:rsidR="009A4E08" w:rsidRPr="00515872">
        <w:rPr>
          <w:rFonts w:cs="Tahoma"/>
          <w:szCs w:val="20"/>
        </w:rPr>
        <w:t>ora confluito nel</w:t>
      </w:r>
      <w:r w:rsidRPr="00515872">
        <w:rPr>
          <w:rFonts w:cs="Tahoma"/>
          <w:szCs w:val="20"/>
        </w:rPr>
        <w:t xml:space="preserve"> DUP.</w:t>
      </w:r>
    </w:p>
    <w:p w14:paraId="540B6887" w14:textId="77777777" w:rsidR="009518AF" w:rsidRPr="00515872" w:rsidRDefault="009518AF" w:rsidP="009518AF">
      <w:pPr>
        <w:spacing w:line="360" w:lineRule="auto"/>
        <w:jc w:val="both"/>
        <w:rPr>
          <w:rFonts w:cs="Tahoma"/>
        </w:rPr>
      </w:pPr>
      <w:r w:rsidRPr="00515872">
        <w:rPr>
          <w:rFonts w:cs="Tahoma"/>
          <w:szCs w:val="20"/>
        </w:rPr>
        <w:t>L’art. 19, c. 8</w:t>
      </w:r>
      <w:r w:rsidR="00377E84" w:rsidRPr="00515872">
        <w:rPr>
          <w:rFonts w:cs="Tahoma"/>
          <w:szCs w:val="20"/>
        </w:rPr>
        <w:t>,</w:t>
      </w:r>
      <w:r w:rsidRPr="00515872">
        <w:rPr>
          <w:rFonts w:cs="Tahoma"/>
          <w:szCs w:val="20"/>
        </w:rPr>
        <w:t xml:space="preserve"> L. 28 dicembre 2001, n. 448 richiede che l’organo di revisione accerti che i documenti di programmazione del fabbisogno del personale siano improntati al rispetto della riduzione complessiva dell</w:t>
      </w:r>
      <w:r w:rsidR="00377E84" w:rsidRPr="00515872">
        <w:rPr>
          <w:rFonts w:cs="Tahoma"/>
          <w:szCs w:val="20"/>
        </w:rPr>
        <w:t>a spesa di cui all’art. 39,</w:t>
      </w:r>
      <w:r w:rsidRPr="00515872">
        <w:rPr>
          <w:rFonts w:cs="Tahoma"/>
          <w:szCs w:val="20"/>
        </w:rPr>
        <w:t xml:space="preserve"> L. 27 dicembre 1997, n. 449. In tale contesto, </w:t>
      </w:r>
      <w:r w:rsidRPr="00515872">
        <w:rPr>
          <w:rFonts w:cs="Tahoma"/>
          <w:b/>
          <w:szCs w:val="20"/>
        </w:rPr>
        <w:t>l’organo di revisione deve appurare l’esistenza del piano e porre attenzione al fatto che il documento preveda la riduzione anzidetta</w:t>
      </w:r>
      <w:r w:rsidRPr="00515872">
        <w:rPr>
          <w:rFonts w:cs="Tahoma"/>
          <w:szCs w:val="20"/>
        </w:rPr>
        <w:t>.</w:t>
      </w:r>
    </w:p>
    <w:p w14:paraId="54B5D58A" w14:textId="77777777" w:rsidR="009518AF" w:rsidRPr="00515872" w:rsidRDefault="009518AF" w:rsidP="009518AF">
      <w:pPr>
        <w:spacing w:line="360" w:lineRule="auto"/>
        <w:jc w:val="both"/>
        <w:rPr>
          <w:rFonts w:cs="Tahoma"/>
          <w:szCs w:val="20"/>
        </w:rPr>
      </w:pPr>
      <w:r w:rsidRPr="00515872">
        <w:rPr>
          <w:rFonts w:cs="Tahoma"/>
          <w:szCs w:val="20"/>
        </w:rPr>
        <w:t xml:space="preserve">In sede di rendiconto deve essere </w:t>
      </w:r>
      <w:r w:rsidR="00377E84" w:rsidRPr="00515872">
        <w:rPr>
          <w:rFonts w:cs="Tahoma"/>
          <w:szCs w:val="20"/>
        </w:rPr>
        <w:t>riscontrato</w:t>
      </w:r>
      <w:r w:rsidRPr="00515872">
        <w:rPr>
          <w:rFonts w:cs="Tahoma"/>
          <w:szCs w:val="20"/>
        </w:rPr>
        <w:t xml:space="preserve"> il raggiungimento dell’obiettivo.</w:t>
      </w:r>
    </w:p>
    <w:p w14:paraId="5ECDE872" w14:textId="77777777" w:rsidR="009518AF" w:rsidRPr="00515872" w:rsidRDefault="009518AF" w:rsidP="009518AF">
      <w:pPr>
        <w:spacing w:line="360" w:lineRule="auto"/>
        <w:jc w:val="both"/>
        <w:rPr>
          <w:rFonts w:cs="Tahoma"/>
          <w:szCs w:val="20"/>
        </w:rPr>
      </w:pPr>
      <w:r w:rsidRPr="00515872">
        <w:rPr>
          <w:rFonts w:cs="Tahoma"/>
        </w:rPr>
        <w:t xml:space="preserve">L’adozione del Programma dei fabbisogni di personale deve precedere temporalmente la rideterminazione della dotazione organica e costituisce </w:t>
      </w:r>
      <w:r w:rsidRPr="00515872">
        <w:rPr>
          <w:rFonts w:cs="Tahoma"/>
          <w:b/>
        </w:rPr>
        <w:t>presupposto imprescindibile al reclutamento di personale</w:t>
      </w:r>
      <w:r w:rsidRPr="00515872">
        <w:rPr>
          <w:rFonts w:cs="Tahoma"/>
        </w:rPr>
        <w:t xml:space="preserve">. </w:t>
      </w:r>
      <w:r w:rsidRPr="00515872">
        <w:rPr>
          <w:rFonts w:cs="Tahoma"/>
          <w:szCs w:val="20"/>
        </w:rPr>
        <w:t xml:space="preserve">Si ricorda, infatti, che l’art. 6, c. 6, D.Lgs. n. 165/2001 </w:t>
      </w:r>
      <w:r w:rsidRPr="00515872">
        <w:rPr>
          <w:rFonts w:cs="Tahoma"/>
          <w:b/>
          <w:szCs w:val="20"/>
        </w:rPr>
        <w:t>vieta l’assunzione di nuovo personale, compreso quello appartenente a categorie protette, in mancanza dell’atto di programmazione del fabbisogno del personale</w:t>
      </w:r>
      <w:r w:rsidR="003267F2" w:rsidRPr="00515872">
        <w:rPr>
          <w:rFonts w:cs="Tahoma"/>
          <w:szCs w:val="20"/>
        </w:rPr>
        <w:t xml:space="preserve"> e di quello della do</w:t>
      </w:r>
      <w:r w:rsidRPr="00515872">
        <w:rPr>
          <w:rFonts w:cs="Tahoma"/>
          <w:szCs w:val="20"/>
        </w:rPr>
        <w:t>tazione organica</w:t>
      </w:r>
      <w:r w:rsidR="00962437" w:rsidRPr="00515872">
        <w:rPr>
          <w:rStyle w:val="Rimandonotaapidipagina"/>
          <w:rFonts w:cs="Tahoma"/>
          <w:szCs w:val="20"/>
        </w:rPr>
        <w:footnoteReference w:id="99"/>
      </w:r>
      <w:r w:rsidRPr="00515872">
        <w:rPr>
          <w:rFonts w:cs="Tahoma"/>
          <w:szCs w:val="20"/>
        </w:rPr>
        <w:t>.</w:t>
      </w:r>
    </w:p>
    <w:p w14:paraId="1C5B4B09" w14:textId="77777777" w:rsidR="00D57186" w:rsidRPr="00515872" w:rsidRDefault="00D57186" w:rsidP="009518AF">
      <w:pPr>
        <w:spacing w:line="360" w:lineRule="auto"/>
        <w:jc w:val="both"/>
        <w:rPr>
          <w:rFonts w:cs="Tahoma"/>
          <w:szCs w:val="20"/>
        </w:rPr>
      </w:pPr>
      <w:r w:rsidRPr="00515872">
        <w:rPr>
          <w:rFonts w:cs="Tahoma"/>
        </w:rPr>
        <w:t>Ciascuna amministrazione pubblica comunica entro 30 giorni dalla loro adozione, le informazioni contenute nei piani e i relativi aggiornamenti annuali al Dipartimento della funzione pubblica. In assenza di tale comunicazione, è fatto divieto alle amministrazioni di procedere alle assunzioni.</w:t>
      </w:r>
    </w:p>
    <w:p w14:paraId="755A6824" w14:textId="77777777" w:rsidR="009518AF" w:rsidRPr="00515872" w:rsidRDefault="009518AF" w:rsidP="009518AF">
      <w:pPr>
        <w:spacing w:line="360" w:lineRule="auto"/>
        <w:jc w:val="both"/>
        <w:rPr>
          <w:rFonts w:cs="Tahoma"/>
          <w:szCs w:val="20"/>
        </w:rPr>
      </w:pPr>
      <w:r w:rsidRPr="00515872">
        <w:rPr>
          <w:rFonts w:cs="Tahoma"/>
          <w:szCs w:val="20"/>
        </w:rPr>
        <w:t>L’art. 17, c. 1, lett. d</w:t>
      </w:r>
      <w:r w:rsidR="001D6DCB" w:rsidRPr="00515872">
        <w:rPr>
          <w:rFonts w:cs="Tahoma"/>
          <w:szCs w:val="20"/>
        </w:rPr>
        <w:t>-</w:t>
      </w:r>
      <w:r w:rsidR="00377E84" w:rsidRPr="00515872">
        <w:rPr>
          <w:rFonts w:cs="Tahoma"/>
          <w:szCs w:val="20"/>
        </w:rPr>
        <w:t>bis),</w:t>
      </w:r>
      <w:r w:rsidRPr="00515872">
        <w:rPr>
          <w:rFonts w:cs="Tahoma"/>
          <w:szCs w:val="20"/>
        </w:rPr>
        <w:t xml:space="preserve"> D.Lgs. n. 165/2001, inoltre, impone ai dirigenti, nell’ambito della programmazione triennale del fabbisogno di personale, la ricognizione del personale loro assegnato al fine di verificare eventuali fabbisogni ed eventuali sovrannumeri.</w:t>
      </w:r>
    </w:p>
    <w:p w14:paraId="285A1F0C" w14:textId="77777777" w:rsidR="006A0620" w:rsidRPr="00515872" w:rsidRDefault="006A0620" w:rsidP="006A0620">
      <w:pPr>
        <w:spacing w:after="0" w:line="360" w:lineRule="auto"/>
        <w:jc w:val="both"/>
        <w:rPr>
          <w:rFonts w:cs="Tahoma"/>
          <w:b/>
          <w:szCs w:val="20"/>
        </w:rPr>
      </w:pPr>
      <w:r w:rsidRPr="00515872">
        <w:rPr>
          <w:rFonts w:cs="Tahoma"/>
          <w:b/>
          <w:szCs w:val="20"/>
        </w:rPr>
        <w:t>Piano triennale delle azioni positive</w:t>
      </w:r>
    </w:p>
    <w:p w14:paraId="2465CD7A" w14:textId="77777777" w:rsidR="006A0620" w:rsidRPr="00515872" w:rsidRDefault="006A0620" w:rsidP="006A0620">
      <w:pPr>
        <w:spacing w:line="360" w:lineRule="auto"/>
        <w:jc w:val="both"/>
        <w:rPr>
          <w:rFonts w:cs="Tahoma"/>
          <w:szCs w:val="20"/>
        </w:rPr>
      </w:pPr>
      <w:r w:rsidRPr="00515872">
        <w:rPr>
          <w:rFonts w:cs="Tahoma"/>
          <w:szCs w:val="20"/>
        </w:rPr>
        <w:t xml:space="preserve">Il D.Lgs. n. 198/2006 e il D.M. 23 maggio 2007 prevedono che gli enti assicurino la rimozione degli ostacoli che impediscono la piena realizzazione di pari opportunità di lavoro tra donne e uomini. </w:t>
      </w:r>
      <w:r w:rsidRPr="00515872">
        <w:rPr>
          <w:rFonts w:eastAsia="Times New Roman" w:cs="Tahoma"/>
          <w:szCs w:val="20"/>
          <w:lang w:eastAsia="it-IT"/>
        </w:rPr>
        <w:t>Tutte le amministrazioni dello Stato devono predisporre il piano triennale di azioni positive previsto dall'art. 48, D.Lgs. n. 198/2006.</w:t>
      </w:r>
      <w:r w:rsidRPr="00515872">
        <w:rPr>
          <w:rFonts w:cs="Tahoma"/>
          <w:szCs w:val="20"/>
        </w:rPr>
        <w:t xml:space="preserve"> </w:t>
      </w:r>
      <w:r w:rsidRPr="00515872">
        <w:rPr>
          <w:rFonts w:eastAsia="Times New Roman" w:cs="Tahoma"/>
          <w:szCs w:val="20"/>
          <w:lang w:eastAsia="it-IT"/>
        </w:rPr>
        <w:t>Il Piano individua misure "speciali" finalizzate ad eliminare, in un determinato contesto, le forme di discriminazione eventualmente rilevate.</w:t>
      </w:r>
    </w:p>
    <w:p w14:paraId="70888B0C" w14:textId="77777777" w:rsidR="006A0620" w:rsidRPr="00515872" w:rsidRDefault="006A0620" w:rsidP="006A0620">
      <w:pPr>
        <w:spacing w:after="0" w:line="360" w:lineRule="auto"/>
        <w:jc w:val="both"/>
        <w:rPr>
          <w:rFonts w:eastAsia="Times New Roman" w:cs="Tahoma"/>
          <w:szCs w:val="20"/>
          <w:lang w:eastAsia="it-IT"/>
        </w:rPr>
      </w:pPr>
      <w:r w:rsidRPr="00515872">
        <w:rPr>
          <w:rFonts w:eastAsia="Times New Roman" w:cs="Tahoma"/>
          <w:szCs w:val="20"/>
          <w:lang w:eastAsia="it-IT"/>
        </w:rPr>
        <w:lastRenderedPageBreak/>
        <w:t xml:space="preserve">Obiettivi generali delle azioni sono: </w:t>
      </w:r>
    </w:p>
    <w:p w14:paraId="414B415F" w14:textId="77777777" w:rsidR="006A0620" w:rsidRPr="00515872" w:rsidRDefault="006A0620" w:rsidP="00D65838">
      <w:pPr>
        <w:pStyle w:val="Paragrafoelenco"/>
        <w:numPr>
          <w:ilvl w:val="0"/>
          <w:numId w:val="147"/>
        </w:numPr>
        <w:spacing w:line="360" w:lineRule="auto"/>
        <w:jc w:val="both"/>
        <w:rPr>
          <w:rFonts w:eastAsia="Times New Roman" w:cs="Tahoma"/>
          <w:szCs w:val="20"/>
          <w:lang w:eastAsia="it-IT"/>
        </w:rPr>
      </w:pPr>
      <w:r w:rsidRPr="00515872">
        <w:rPr>
          <w:rFonts w:eastAsia="Times New Roman" w:cs="Tahoma"/>
          <w:szCs w:val="20"/>
          <w:lang w:eastAsia="it-IT"/>
        </w:rPr>
        <w:t>garantire pari opportunità nell'accesso al lavoro, nella progressione di carriera, nella vita lavorativa, nella formazione professionale e nei casi di mobilità;</w:t>
      </w:r>
    </w:p>
    <w:p w14:paraId="7F17B6A5" w14:textId="77777777" w:rsidR="006A0620" w:rsidRPr="00515872" w:rsidRDefault="006A0620" w:rsidP="00D65838">
      <w:pPr>
        <w:pStyle w:val="Paragrafoelenco"/>
        <w:numPr>
          <w:ilvl w:val="0"/>
          <w:numId w:val="147"/>
        </w:numPr>
        <w:spacing w:line="360" w:lineRule="auto"/>
        <w:jc w:val="both"/>
        <w:rPr>
          <w:rFonts w:eastAsia="Times New Roman" w:cs="Tahoma"/>
          <w:szCs w:val="20"/>
          <w:lang w:eastAsia="it-IT"/>
        </w:rPr>
      </w:pPr>
      <w:r w:rsidRPr="00515872">
        <w:rPr>
          <w:rFonts w:eastAsia="Times New Roman" w:cs="Tahoma"/>
          <w:szCs w:val="20"/>
          <w:lang w:eastAsia="it-IT"/>
        </w:rPr>
        <w:t>promuovere il benessere organizzativo e una migliore organizzazione del lavoro che favorisca l’equilibrio tra tempi di lavoro e vita privata;</w:t>
      </w:r>
    </w:p>
    <w:p w14:paraId="4BC6CFAD" w14:textId="77777777" w:rsidR="006A0620" w:rsidRPr="00515872" w:rsidRDefault="006A0620" w:rsidP="00D65838">
      <w:pPr>
        <w:pStyle w:val="Paragrafoelenco"/>
        <w:numPr>
          <w:ilvl w:val="0"/>
          <w:numId w:val="147"/>
        </w:numPr>
        <w:spacing w:line="360" w:lineRule="auto"/>
        <w:jc w:val="both"/>
        <w:rPr>
          <w:rFonts w:eastAsia="Times New Roman" w:cs="Tahoma"/>
          <w:szCs w:val="20"/>
          <w:lang w:eastAsia="it-IT"/>
        </w:rPr>
      </w:pPr>
      <w:r w:rsidRPr="00515872">
        <w:rPr>
          <w:rFonts w:eastAsia="Times New Roman" w:cs="Tahoma"/>
          <w:szCs w:val="20"/>
          <w:lang w:eastAsia="it-IT"/>
        </w:rPr>
        <w:t>promuovere, all'interno dell'amministrazione, la cultura di genere e il rispetto del principio di non discriminazione;</w:t>
      </w:r>
    </w:p>
    <w:p w14:paraId="251A03E1" w14:textId="77777777" w:rsidR="006A0620" w:rsidRPr="00515872" w:rsidRDefault="006A0620" w:rsidP="00D65838">
      <w:pPr>
        <w:pStyle w:val="Paragrafoelenco"/>
        <w:numPr>
          <w:ilvl w:val="0"/>
          <w:numId w:val="147"/>
        </w:numPr>
        <w:spacing w:line="360" w:lineRule="auto"/>
        <w:jc w:val="both"/>
        <w:rPr>
          <w:rFonts w:eastAsia="Times New Roman" w:cs="Tahoma"/>
          <w:szCs w:val="20"/>
          <w:lang w:eastAsia="it-IT"/>
        </w:rPr>
      </w:pPr>
      <w:r w:rsidRPr="00515872">
        <w:rPr>
          <w:rFonts w:eastAsia="Times New Roman" w:cs="Tahoma"/>
          <w:szCs w:val="20"/>
          <w:lang w:eastAsia="it-IT"/>
        </w:rPr>
        <w:t>promuovere l’inserimento delle donne nei settori e nei livelli professionali nei quali esse sono sottorappresentate.</w:t>
      </w:r>
    </w:p>
    <w:p w14:paraId="72139505" w14:textId="77777777" w:rsidR="009518AF" w:rsidRPr="00515872" w:rsidRDefault="009518AF" w:rsidP="009518AF">
      <w:pPr>
        <w:spacing w:after="0" w:line="360" w:lineRule="auto"/>
        <w:jc w:val="both"/>
        <w:rPr>
          <w:rFonts w:cs="Tahoma"/>
          <w:b/>
          <w:szCs w:val="20"/>
        </w:rPr>
      </w:pPr>
      <w:r w:rsidRPr="00515872">
        <w:rPr>
          <w:rFonts w:cs="Tahoma"/>
          <w:b/>
          <w:szCs w:val="20"/>
        </w:rPr>
        <w:t>Ricognizione dotazioni organiche dirigenziali</w:t>
      </w:r>
    </w:p>
    <w:p w14:paraId="7448C930" w14:textId="77777777" w:rsidR="009518AF" w:rsidRPr="00515872" w:rsidRDefault="009518AF" w:rsidP="009518AF">
      <w:pPr>
        <w:spacing w:line="360" w:lineRule="auto"/>
        <w:jc w:val="both"/>
        <w:rPr>
          <w:rFonts w:cs="Tahoma"/>
          <w:szCs w:val="20"/>
        </w:rPr>
      </w:pPr>
      <w:r w:rsidRPr="00515872">
        <w:rPr>
          <w:rFonts w:cs="Tahoma"/>
          <w:szCs w:val="20"/>
        </w:rPr>
        <w:t>Il c. 221 dell’art. 1, L. n. 208/2015, impone agli enti locali la ricognizione delle dotazioni organiche dirigenziali al fine di eliminare eventuali duplicazioni.</w:t>
      </w:r>
    </w:p>
    <w:p w14:paraId="275B37B1" w14:textId="77777777" w:rsidR="009518AF" w:rsidRPr="00515872" w:rsidRDefault="009518AF" w:rsidP="009518AF">
      <w:pPr>
        <w:spacing w:after="0" w:line="360" w:lineRule="auto"/>
        <w:jc w:val="both"/>
        <w:rPr>
          <w:rFonts w:eastAsia="Times New Roman" w:cs="Tahoma"/>
          <w:b/>
          <w:szCs w:val="20"/>
          <w:lang w:eastAsia="it-IT"/>
        </w:rPr>
      </w:pPr>
      <w:r w:rsidRPr="00515872">
        <w:rPr>
          <w:rFonts w:eastAsia="Times New Roman" w:cs="Tahoma"/>
          <w:b/>
          <w:szCs w:val="20"/>
          <w:lang w:eastAsia="it-IT"/>
        </w:rPr>
        <w:t>Trasferimenti di risorse</w:t>
      </w:r>
    </w:p>
    <w:p w14:paraId="71744183" w14:textId="4C9DE050" w:rsidR="009518AF" w:rsidRPr="00515872" w:rsidRDefault="00B839E0" w:rsidP="009518AF">
      <w:pPr>
        <w:spacing w:line="360" w:lineRule="auto"/>
        <w:jc w:val="both"/>
        <w:rPr>
          <w:rFonts w:eastAsia="Times New Roman" w:cs="Tahoma"/>
          <w:szCs w:val="20"/>
          <w:lang w:eastAsia="it-IT"/>
        </w:rPr>
      </w:pPr>
      <w:r w:rsidRPr="00515872">
        <w:rPr>
          <w:rFonts w:eastAsia="Times New Roman" w:cs="Tahoma"/>
          <w:szCs w:val="20"/>
          <w:lang w:eastAsia="it-IT"/>
        </w:rPr>
        <w:t>L</w:t>
      </w:r>
      <w:r w:rsidR="009518AF" w:rsidRPr="00515872">
        <w:rPr>
          <w:rFonts w:eastAsia="Times New Roman" w:cs="Tahoma"/>
          <w:szCs w:val="20"/>
          <w:lang w:eastAsia="it-IT"/>
        </w:rPr>
        <w:t>e amministrazioni che costituiscono società ed enti, comunque denominati, o assumono partecipazioni in società, apportando risorse umane e finanziarie, rideterminano la propria dotazione organica di conseguenza.</w:t>
      </w:r>
      <w:r w:rsidRPr="00515872">
        <w:rPr>
          <w:rFonts w:eastAsia="Times New Roman" w:cs="Tahoma"/>
          <w:szCs w:val="20"/>
          <w:lang w:eastAsia="it-IT"/>
        </w:rPr>
        <w:t xml:space="preserve"> </w:t>
      </w:r>
      <w:r w:rsidR="009518AF" w:rsidRPr="00515872">
        <w:rPr>
          <w:rFonts w:eastAsia="Times New Roman" w:cs="Tahoma"/>
          <w:szCs w:val="20"/>
          <w:lang w:eastAsia="it-IT"/>
        </w:rPr>
        <w:t>In tali casi,</w:t>
      </w:r>
      <w:r w:rsidRPr="00515872">
        <w:rPr>
          <w:rFonts w:eastAsia="Times New Roman" w:cs="Tahoma"/>
          <w:szCs w:val="20"/>
          <w:lang w:eastAsia="it-IT"/>
        </w:rPr>
        <w:t xml:space="preserve"> come già accennato,</w:t>
      </w:r>
      <w:r w:rsidR="009518AF" w:rsidRPr="00515872">
        <w:rPr>
          <w:rFonts w:eastAsia="Times New Roman" w:cs="Tahoma"/>
          <w:szCs w:val="20"/>
          <w:lang w:eastAsia="it-IT"/>
        </w:rPr>
        <w:t xml:space="preserve"> </w:t>
      </w:r>
      <w:r w:rsidR="009518AF" w:rsidRPr="00515872">
        <w:rPr>
          <w:rFonts w:eastAsia="Times New Roman" w:cs="Tahoma"/>
          <w:b/>
          <w:szCs w:val="20"/>
          <w:lang w:eastAsia="it-IT"/>
        </w:rPr>
        <w:t>l’organo di revisione è chiamato ad asseverare il trasferimento delle risorse</w:t>
      </w:r>
      <w:r w:rsidR="009518AF" w:rsidRPr="00515872">
        <w:rPr>
          <w:rFonts w:eastAsia="Times New Roman" w:cs="Tahoma"/>
          <w:szCs w:val="20"/>
          <w:lang w:eastAsia="it-IT"/>
        </w:rPr>
        <w:t xml:space="preserve"> umane e finanziarie, verificando che lo stesso non comporti un incremento della spesa e delle risorse umane in carico, e </w:t>
      </w:r>
      <w:r w:rsidR="009A4E08" w:rsidRPr="00515872">
        <w:rPr>
          <w:rFonts w:eastAsia="Times New Roman" w:cs="Tahoma"/>
          <w:szCs w:val="20"/>
          <w:lang w:eastAsia="it-IT"/>
        </w:rPr>
        <w:t xml:space="preserve">a </w:t>
      </w:r>
      <w:r w:rsidR="009518AF" w:rsidRPr="00515872">
        <w:rPr>
          <w:rFonts w:eastAsia="Times New Roman" w:cs="Tahoma"/>
          <w:szCs w:val="20"/>
          <w:lang w:eastAsia="it-IT"/>
        </w:rPr>
        <w:t xml:space="preserve">trasmettere una relazione alla Presidenza del Consiglio dei Ministri – dipartimento RGS. </w:t>
      </w:r>
      <w:r w:rsidR="001E548F" w:rsidRPr="00515872">
        <w:rPr>
          <w:rFonts w:eastAsia="Times New Roman" w:cs="Tahoma"/>
          <w:szCs w:val="20"/>
          <w:lang w:eastAsia="it-IT"/>
        </w:rPr>
        <w:t>È</w:t>
      </w:r>
      <w:r w:rsidR="009518AF" w:rsidRPr="00515872">
        <w:rPr>
          <w:rFonts w:eastAsia="Times New Roman" w:cs="Tahoma"/>
          <w:szCs w:val="20"/>
          <w:lang w:eastAsia="it-IT"/>
        </w:rPr>
        <w:t xml:space="preserve"> suo onere, inoltre, segnalare eventuali inadempimenti alla Corte dei Conti.</w:t>
      </w:r>
    </w:p>
    <w:p w14:paraId="140231FB" w14:textId="77777777" w:rsidR="009518AF" w:rsidRPr="00515872" w:rsidRDefault="009518AF" w:rsidP="009518AF">
      <w:pPr>
        <w:spacing w:after="0" w:line="360" w:lineRule="auto"/>
        <w:jc w:val="both"/>
        <w:rPr>
          <w:rFonts w:cs="Tahoma"/>
          <w:b/>
          <w:szCs w:val="20"/>
        </w:rPr>
      </w:pPr>
      <w:r w:rsidRPr="00515872">
        <w:rPr>
          <w:rFonts w:cs="Tahoma"/>
          <w:b/>
          <w:szCs w:val="20"/>
        </w:rPr>
        <w:t>Contrattazione integrativa decentrata</w:t>
      </w:r>
    </w:p>
    <w:p w14:paraId="3344398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contrattazione collettiva determina i diritti e gli obblighi direttamente pertinenti al rapporto di lavoro, nonché le materie relative alle relazioni sindacali.</w:t>
      </w:r>
    </w:p>
    <w:p w14:paraId="5B5FFDF5"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pubbliche amministrazioni attivano autonomi livelli di contrattazione collettiva integrativa, nel rispetto dell'art. 7, c. 5, D.Lgs. 30 marzo 2001, n. 165</w:t>
      </w:r>
      <w:r w:rsidRPr="00515872">
        <w:rPr>
          <w:rStyle w:val="Rimandonotaapidipagina"/>
          <w:rFonts w:eastAsia="Times New Roman" w:cs="Tahoma"/>
          <w:szCs w:val="20"/>
          <w:lang w:eastAsia="it-IT"/>
        </w:rPr>
        <w:footnoteReference w:id="100"/>
      </w:r>
      <w:r w:rsidRPr="00515872">
        <w:rPr>
          <w:rFonts w:eastAsia="Times New Roman" w:cs="Tahoma"/>
          <w:szCs w:val="20"/>
          <w:lang w:eastAsia="it-IT"/>
        </w:rPr>
        <w:t>, e dei vincoli di bilancio risultanti dagli strumenti di programmazione annuale e pluriennale di ciascuna amministrazione.</w:t>
      </w:r>
    </w:p>
    <w:p w14:paraId="0C9E7AE5"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t xml:space="preserve">La contrattazione collettiva integrativa assicura adeguati livelli di efficienza e produttività dei servizi pubblici, incentivando l'impegno e la qualità della </w:t>
      </w:r>
      <w:r w:rsidRPr="00515872">
        <w:rPr>
          <w:rFonts w:cs="Tahoma"/>
          <w:i/>
          <w:color w:val="000000"/>
        </w:rPr>
        <w:t>performance</w:t>
      </w:r>
      <w:r w:rsidRPr="00515872">
        <w:rPr>
          <w:rFonts w:cs="Tahoma"/>
          <w:color w:val="000000"/>
        </w:rPr>
        <w:t>, destinandovi, per l'ottimale perseguimento degli obiettivi organizzativi ed individuali, una quota prevalente delle risorse finalizzate ai trattamenti economici accessori.</w:t>
      </w:r>
    </w:p>
    <w:p w14:paraId="36DD6355" w14:textId="77777777" w:rsidR="009518AF" w:rsidRPr="00515872" w:rsidRDefault="00CE4803" w:rsidP="009518AF">
      <w:pPr>
        <w:spacing w:line="360" w:lineRule="auto"/>
        <w:jc w:val="both"/>
        <w:rPr>
          <w:rFonts w:cs="Tahoma"/>
          <w:color w:val="000000"/>
          <w:shd w:val="clear" w:color="auto" w:fill="F9F8F4"/>
        </w:rPr>
      </w:pPr>
      <w:r w:rsidRPr="00515872">
        <w:rPr>
          <w:rFonts w:cs="Tahoma"/>
          <w:color w:val="000000"/>
        </w:rPr>
        <w:lastRenderedPageBreak/>
        <w:t>G</w:t>
      </w:r>
      <w:r w:rsidR="009518AF" w:rsidRPr="00515872">
        <w:rPr>
          <w:rFonts w:cs="Tahoma"/>
          <w:color w:val="000000"/>
        </w:rPr>
        <w:t>li enti locali possono destinare risorse aggiuntive alla contrattazione integrativa nei limiti stabiliti dalla contrattazione nazionale e nei limiti dei parametri di virtuosità fissati per la spesa del personale dalle vigenti disposizioni, in ogni caso nel rispetto degli obiettivi di finanza pubblica e di analoghi strumenti del contenimento della spesa.</w:t>
      </w:r>
    </w:p>
    <w:p w14:paraId="663879EF" w14:textId="77777777" w:rsidR="009518AF" w:rsidRPr="00515872" w:rsidRDefault="009518AF" w:rsidP="009518AF">
      <w:pPr>
        <w:spacing w:line="360" w:lineRule="auto"/>
        <w:jc w:val="both"/>
        <w:rPr>
          <w:rFonts w:eastAsia="Times New Roman" w:cs="Tahoma"/>
          <w:b/>
          <w:szCs w:val="20"/>
          <w:lang w:eastAsia="it-IT"/>
        </w:rPr>
      </w:pPr>
      <w:r w:rsidRPr="00515872">
        <w:rPr>
          <w:rFonts w:eastAsia="Times New Roman" w:cs="Tahoma"/>
          <w:b/>
          <w:szCs w:val="20"/>
          <w:lang w:eastAsia="it-IT"/>
        </w:rPr>
        <w:t xml:space="preserve">Il controllo sulla compatibilità dei costi della contrattazione collettiva integrativa con i vincoli di bilancio e quelli derivanti dall'applicazione delle norme di legge, </w:t>
      </w:r>
      <w:r w:rsidRPr="00515872">
        <w:rPr>
          <w:rFonts w:eastAsia="Times New Roman" w:cs="Tahoma"/>
          <w:szCs w:val="20"/>
          <w:lang w:eastAsia="it-IT"/>
        </w:rPr>
        <w:t xml:space="preserve">con particolare riferimento alle disposizioni inderogabili che incidono sulla misura e sulla corresponsione dei trattamenti accessori </w:t>
      </w:r>
      <w:r w:rsidRPr="00515872">
        <w:rPr>
          <w:rFonts w:eastAsia="Times New Roman" w:cs="Tahoma"/>
          <w:b/>
          <w:szCs w:val="20"/>
          <w:lang w:eastAsia="it-IT"/>
        </w:rPr>
        <w:t>è effettuato dal</w:t>
      </w:r>
      <w:r w:rsidR="00520C9D" w:rsidRPr="00515872">
        <w:rPr>
          <w:rFonts w:eastAsia="Times New Roman" w:cs="Tahoma"/>
          <w:b/>
          <w:szCs w:val="20"/>
          <w:lang w:eastAsia="it-IT"/>
        </w:rPr>
        <w:t>l’organo di</w:t>
      </w:r>
      <w:r w:rsidRPr="00515872">
        <w:rPr>
          <w:rFonts w:eastAsia="Times New Roman" w:cs="Tahoma"/>
          <w:b/>
          <w:szCs w:val="20"/>
          <w:lang w:eastAsia="it-IT"/>
        </w:rPr>
        <w:t xml:space="preserve"> revis</w:t>
      </w:r>
      <w:r w:rsidR="00520C9D" w:rsidRPr="00515872">
        <w:rPr>
          <w:rFonts w:eastAsia="Times New Roman" w:cs="Tahoma"/>
          <w:b/>
          <w:szCs w:val="20"/>
          <w:lang w:eastAsia="it-IT"/>
        </w:rPr>
        <w:t>ione</w:t>
      </w:r>
      <w:r w:rsidRPr="00515872">
        <w:rPr>
          <w:rFonts w:eastAsia="Times New Roman" w:cs="Tahoma"/>
          <w:b/>
          <w:szCs w:val="20"/>
          <w:lang w:eastAsia="it-IT"/>
        </w:rPr>
        <w:t xml:space="preserve"> dei conti.</w:t>
      </w:r>
    </w:p>
    <w:p w14:paraId="1FAABFA9" w14:textId="77777777" w:rsidR="009518AF" w:rsidRPr="00515872" w:rsidRDefault="009518AF" w:rsidP="009518AF">
      <w:pPr>
        <w:spacing w:line="360" w:lineRule="auto"/>
        <w:jc w:val="both"/>
        <w:rPr>
          <w:rFonts w:cs="Tahoma"/>
          <w:bCs/>
          <w:szCs w:val="20"/>
        </w:rPr>
      </w:pPr>
      <w:r w:rsidRPr="00515872">
        <w:rPr>
          <w:rFonts w:cs="Tahoma"/>
          <w:bCs/>
          <w:szCs w:val="20"/>
        </w:rPr>
        <w:t xml:space="preserve">L’ipotesi di contratto deve essere corredata da una relazione tecnico-finanziaria ed una relazione illustrativa, utilizzando gli schemi appositamente resi disponibili tramite i rispettivi siti istituzionali dal Ministero dell'Economia e delle Finanze di intesa con il Dipartimento della funzione pubblica. </w:t>
      </w:r>
    </w:p>
    <w:p w14:paraId="74877734"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Il tutto deve essere </w:t>
      </w:r>
      <w:r w:rsidRPr="00515872">
        <w:rPr>
          <w:rFonts w:eastAsia="Times New Roman" w:cs="Tahoma"/>
          <w:b/>
          <w:szCs w:val="20"/>
          <w:lang w:eastAsia="it-IT"/>
        </w:rPr>
        <w:t>sottoposto entro 5 giorni all’organo di revisione</w:t>
      </w:r>
      <w:r w:rsidRPr="00515872">
        <w:rPr>
          <w:rFonts w:eastAsia="Times New Roman" w:cs="Tahoma"/>
          <w:szCs w:val="20"/>
          <w:lang w:eastAsia="it-IT"/>
        </w:rPr>
        <w:t xml:space="preserve"> </w:t>
      </w:r>
      <w:r w:rsidRPr="00515872">
        <w:rPr>
          <w:rFonts w:cs="Tahoma"/>
          <w:bCs/>
          <w:szCs w:val="20"/>
        </w:rPr>
        <w:t xml:space="preserve">che, a sua </w:t>
      </w:r>
      <w:r w:rsidRPr="00515872">
        <w:rPr>
          <w:rFonts w:eastAsia="Times New Roman" w:cs="Tahoma"/>
          <w:szCs w:val="20"/>
          <w:lang w:eastAsia="it-IT"/>
        </w:rPr>
        <w:t>v</w:t>
      </w:r>
      <w:r w:rsidRPr="00515872">
        <w:rPr>
          <w:rFonts w:cs="Tahoma"/>
          <w:bCs/>
          <w:szCs w:val="20"/>
        </w:rPr>
        <w:t>olta,</w:t>
      </w:r>
      <w:r w:rsidRPr="00515872">
        <w:rPr>
          <w:rFonts w:eastAsia="Times New Roman" w:cs="Tahoma"/>
          <w:szCs w:val="20"/>
          <w:lang w:eastAsia="it-IT"/>
        </w:rPr>
        <w:t xml:space="preserve"> </w:t>
      </w:r>
      <w:r w:rsidRPr="00515872">
        <w:rPr>
          <w:rFonts w:eastAsia="Times New Roman" w:cs="Tahoma"/>
          <w:b/>
          <w:szCs w:val="20"/>
          <w:lang w:eastAsia="it-IT"/>
        </w:rPr>
        <w:t>deve esprimersi nei successivi 15 giorni</w:t>
      </w:r>
      <w:r w:rsidRPr="00515872">
        <w:rPr>
          <w:rFonts w:eastAsia="Times New Roman" w:cs="Tahoma"/>
          <w:szCs w:val="20"/>
          <w:lang w:eastAsia="it-IT"/>
        </w:rPr>
        <w:t xml:space="preserve">; solo in caso di assenza di rilievi da parte di questo, la giunta può autorizzare il </w:t>
      </w:r>
      <w:r w:rsidR="00B173BB" w:rsidRPr="00515872">
        <w:rPr>
          <w:rFonts w:eastAsia="Times New Roman" w:cs="Tahoma"/>
          <w:szCs w:val="20"/>
          <w:lang w:eastAsia="it-IT"/>
        </w:rPr>
        <w:t>presidente</w:t>
      </w:r>
      <w:r w:rsidRPr="00515872">
        <w:rPr>
          <w:rFonts w:eastAsia="Times New Roman" w:cs="Tahoma"/>
          <w:szCs w:val="20"/>
          <w:lang w:eastAsia="it-IT"/>
        </w:rPr>
        <w:t xml:space="preserve"> della </w:t>
      </w:r>
      <w:r w:rsidR="00B173BB" w:rsidRPr="00515872">
        <w:rPr>
          <w:rFonts w:eastAsia="Times New Roman" w:cs="Tahoma"/>
          <w:szCs w:val="20"/>
          <w:lang w:eastAsia="it-IT"/>
        </w:rPr>
        <w:t>delegazione</w:t>
      </w:r>
      <w:r w:rsidRPr="00515872">
        <w:rPr>
          <w:rFonts w:eastAsia="Times New Roman" w:cs="Tahoma"/>
          <w:szCs w:val="20"/>
          <w:lang w:eastAsia="it-IT"/>
        </w:rPr>
        <w:t xml:space="preserve"> trattante di parte pubblica a sottoscrivere il contratto</w:t>
      </w:r>
      <w:r w:rsidRPr="00515872">
        <w:rPr>
          <w:rStyle w:val="Rimandonotaapidipagina"/>
          <w:rFonts w:eastAsia="Times New Roman" w:cs="Tahoma"/>
          <w:szCs w:val="20"/>
          <w:lang w:eastAsia="it-IT"/>
        </w:rPr>
        <w:footnoteReference w:id="101"/>
      </w:r>
      <w:r w:rsidRPr="00515872">
        <w:rPr>
          <w:rFonts w:eastAsia="Times New Roman" w:cs="Tahoma"/>
          <w:szCs w:val="20"/>
          <w:lang w:eastAsia="it-IT"/>
        </w:rPr>
        <w:t xml:space="preserve">. </w:t>
      </w:r>
    </w:p>
    <w:p w14:paraId="0BF50AAB" w14:textId="77777777" w:rsidR="009518AF" w:rsidRPr="00515872" w:rsidRDefault="009518AF" w:rsidP="009518AF">
      <w:pPr>
        <w:spacing w:line="360" w:lineRule="auto"/>
        <w:jc w:val="both"/>
        <w:rPr>
          <w:rFonts w:cs="Tahoma"/>
          <w:szCs w:val="20"/>
        </w:rPr>
      </w:pPr>
      <w:r w:rsidRPr="00515872">
        <w:rPr>
          <w:rFonts w:cs="Tahoma"/>
          <w:szCs w:val="20"/>
        </w:rPr>
        <w:t>L’art. 40-bis, c. 5, D.Lgs. n. 165/2001, come modificato dal D.Lgs. n. 150/2009, prevede che gli enti trasmettano all’ARAN, per via telematica, entro 5 giorni dalla sottoscrizione, il testo contrattuale con allegata relazione tecnica ed illustrativa e con l’indicazione delle modalità di copertura dei relativi oneri. I predetti testi contrattuali sono anche trasmessi al CNEL.</w:t>
      </w:r>
    </w:p>
    <w:p w14:paraId="52A6F080" w14:textId="77777777" w:rsidR="009518AF" w:rsidRPr="00515872" w:rsidRDefault="009518AF" w:rsidP="009518AF">
      <w:pPr>
        <w:spacing w:line="360" w:lineRule="auto"/>
        <w:jc w:val="both"/>
        <w:rPr>
          <w:rFonts w:cs="Tahoma"/>
          <w:szCs w:val="20"/>
        </w:rPr>
      </w:pPr>
      <w:r w:rsidRPr="00515872">
        <w:rPr>
          <w:rFonts w:cs="Tahoma"/>
          <w:szCs w:val="20"/>
        </w:rPr>
        <w:t>Il mancato rispetto delle suddette disposizioni comporta il divieto di procedere a qualsiasi adeguamento delle risorse destinate alla contrattazione integrativa ai sensi dell’art. 40-bis, c. 7 del citato D.Lgs. n. 165/2001</w:t>
      </w:r>
      <w:r w:rsidR="0004651D" w:rsidRPr="00515872">
        <w:rPr>
          <w:rStyle w:val="Rimandonotaapidipagina"/>
          <w:rFonts w:cs="Tahoma"/>
          <w:szCs w:val="20"/>
        </w:rPr>
        <w:footnoteReference w:id="102"/>
      </w:r>
      <w:r w:rsidRPr="00515872">
        <w:rPr>
          <w:rFonts w:cs="Tahoma"/>
          <w:szCs w:val="20"/>
        </w:rPr>
        <w:t>.</w:t>
      </w:r>
    </w:p>
    <w:p w14:paraId="6965490C" w14:textId="77777777" w:rsidR="009518AF" w:rsidRPr="00515872" w:rsidRDefault="009518AF" w:rsidP="009518AF">
      <w:pPr>
        <w:spacing w:line="360" w:lineRule="auto"/>
        <w:jc w:val="both"/>
        <w:rPr>
          <w:rFonts w:cs="Tahoma"/>
          <w:szCs w:val="20"/>
        </w:rPr>
      </w:pPr>
      <w:r w:rsidRPr="00515872">
        <w:rPr>
          <w:rFonts w:cs="Tahoma"/>
          <w:szCs w:val="20"/>
        </w:rPr>
        <w:t xml:space="preserve">Il c. 3 dello stesso art. 40-bis dispone </w:t>
      </w:r>
      <w:r w:rsidRPr="00515872">
        <w:rPr>
          <w:rFonts w:cs="Tahoma"/>
          <w:bCs/>
          <w:szCs w:val="20"/>
        </w:rPr>
        <w:t>l’obbligo da parte delle amministrazioni di cui all’art. 1, c. 2</w:t>
      </w:r>
      <w:r w:rsidR="00CE4803" w:rsidRPr="00515872">
        <w:rPr>
          <w:rFonts w:cs="Tahoma"/>
          <w:bCs/>
          <w:szCs w:val="20"/>
        </w:rPr>
        <w:t>,</w:t>
      </w:r>
      <w:r w:rsidRPr="00515872">
        <w:rPr>
          <w:rFonts w:cs="Tahoma"/>
          <w:bCs/>
          <w:szCs w:val="20"/>
        </w:rPr>
        <w:t xml:space="preserve"> D.Lgs. n. 165/2001 di trasmettere entro il 31 maggio di ogni anno alla Corte dei Conti, tramite il Ministero dell’Economia e delle Finanze - Dipartimento RGS, specifiche informazioni sulla contrattazione integrativa, certificate dagli organi di controllo interno, sulla base di un’apposita scheda predisposta dallo stesso Ministero.</w:t>
      </w:r>
    </w:p>
    <w:p w14:paraId="6DB0366F" w14:textId="77777777" w:rsidR="009518AF" w:rsidRPr="00515872" w:rsidRDefault="009518AF" w:rsidP="009518AF">
      <w:pPr>
        <w:spacing w:after="0" w:line="360" w:lineRule="auto"/>
        <w:jc w:val="both"/>
        <w:rPr>
          <w:rFonts w:cs="Tahoma"/>
          <w:bCs/>
          <w:szCs w:val="20"/>
        </w:rPr>
      </w:pPr>
      <w:r w:rsidRPr="00515872">
        <w:rPr>
          <w:rFonts w:cs="Tahoma"/>
          <w:bCs/>
          <w:szCs w:val="20"/>
        </w:rPr>
        <w:t>Sono nulle le clausole contrattuali:</w:t>
      </w:r>
    </w:p>
    <w:p w14:paraId="1C2541CE" w14:textId="77777777" w:rsidR="009518AF" w:rsidRPr="00515872" w:rsidRDefault="009518AF" w:rsidP="00D65838">
      <w:pPr>
        <w:pStyle w:val="Paragrafoelenco"/>
        <w:numPr>
          <w:ilvl w:val="0"/>
          <w:numId w:val="109"/>
        </w:numPr>
        <w:spacing w:line="360" w:lineRule="auto"/>
        <w:jc w:val="both"/>
        <w:rPr>
          <w:rFonts w:cs="Tahoma"/>
          <w:szCs w:val="20"/>
        </w:rPr>
      </w:pPr>
      <w:r w:rsidRPr="00515872">
        <w:rPr>
          <w:rFonts w:cs="Tahoma"/>
          <w:szCs w:val="20"/>
        </w:rPr>
        <w:t>contrastanti con i vincoli ed i limiti dei contratti nazionali;</w:t>
      </w:r>
    </w:p>
    <w:p w14:paraId="5C5A2A84" w14:textId="77777777" w:rsidR="009518AF" w:rsidRPr="00515872" w:rsidRDefault="009518AF" w:rsidP="00D65838">
      <w:pPr>
        <w:pStyle w:val="Paragrafoelenco"/>
        <w:numPr>
          <w:ilvl w:val="0"/>
          <w:numId w:val="109"/>
        </w:numPr>
        <w:spacing w:line="360" w:lineRule="auto"/>
        <w:jc w:val="both"/>
        <w:rPr>
          <w:rFonts w:cs="Tahoma"/>
          <w:szCs w:val="20"/>
        </w:rPr>
      </w:pPr>
      <w:r w:rsidRPr="00515872">
        <w:rPr>
          <w:rFonts w:cs="Tahoma"/>
          <w:szCs w:val="20"/>
        </w:rPr>
        <w:t>che disciplinano materie non espressamente delegate;</w:t>
      </w:r>
    </w:p>
    <w:p w14:paraId="0A1DEA04" w14:textId="77777777" w:rsidR="009518AF" w:rsidRPr="00515872" w:rsidRDefault="009518AF" w:rsidP="00D65838">
      <w:pPr>
        <w:pStyle w:val="Paragrafoelenco"/>
        <w:numPr>
          <w:ilvl w:val="0"/>
          <w:numId w:val="109"/>
        </w:numPr>
        <w:spacing w:line="360" w:lineRule="auto"/>
        <w:jc w:val="both"/>
        <w:rPr>
          <w:rFonts w:cs="Tahoma"/>
          <w:szCs w:val="20"/>
        </w:rPr>
      </w:pPr>
      <w:r w:rsidRPr="00515872">
        <w:rPr>
          <w:rFonts w:cs="Tahoma"/>
          <w:szCs w:val="20"/>
        </w:rPr>
        <w:t>che comportano oneri non previsti negli strumenti di programmazione annuale e pluriennale.</w:t>
      </w:r>
    </w:p>
    <w:p w14:paraId="38A749AF" w14:textId="77777777" w:rsidR="00575C70" w:rsidRPr="00515872" w:rsidRDefault="009518AF" w:rsidP="00064D06">
      <w:pPr>
        <w:spacing w:after="0" w:line="360" w:lineRule="auto"/>
        <w:jc w:val="both"/>
        <w:rPr>
          <w:rFonts w:cs="Tahoma"/>
          <w:szCs w:val="20"/>
        </w:rPr>
      </w:pPr>
      <w:r w:rsidRPr="00515872">
        <w:rPr>
          <w:rFonts w:cs="Tahoma"/>
          <w:szCs w:val="20"/>
        </w:rPr>
        <w:lastRenderedPageBreak/>
        <w:t xml:space="preserve">In merito alla costituzione del fondo, </w:t>
      </w:r>
      <w:r w:rsidRPr="00515872">
        <w:rPr>
          <w:rFonts w:cs="Tahoma"/>
          <w:b/>
          <w:szCs w:val="20"/>
        </w:rPr>
        <w:t>l’organo di revisione deve effettuare la verifica del rispetto dei vincoli stabiliti nei CCNL</w:t>
      </w:r>
      <w:r w:rsidRPr="00515872">
        <w:rPr>
          <w:rFonts w:cs="Tahoma"/>
          <w:szCs w:val="20"/>
        </w:rPr>
        <w:t>, in particolare per quanto riguarda le risorse stabili e le risorse variabili espressamente indicate nel CCNL del 2004. Deve pertanto verificare la correttezza della costituzione del fondo e delle variazioni a decorrere dal 2004 in relazione all’applicazione delle clausole contrattuali.</w:t>
      </w:r>
      <w:r w:rsidR="00064D06" w:rsidRPr="00515872">
        <w:rPr>
          <w:rFonts w:cs="Tahoma"/>
          <w:szCs w:val="20"/>
        </w:rPr>
        <w:t xml:space="preserve"> </w:t>
      </w:r>
      <w:r w:rsidR="00575C70" w:rsidRPr="00515872">
        <w:rPr>
          <w:rFonts w:cs="Tahoma"/>
          <w:szCs w:val="20"/>
        </w:rPr>
        <w:t>L’o</w:t>
      </w:r>
      <w:r w:rsidR="00575C70" w:rsidRPr="00515872">
        <w:rPr>
          <w:rFonts w:cs="Tahoma"/>
          <w:color w:val="000000"/>
          <w:szCs w:val="20"/>
        </w:rPr>
        <w:t>rgano di revisione vi provvede sulla base:</w:t>
      </w:r>
    </w:p>
    <w:p w14:paraId="04C29B31" w14:textId="77777777" w:rsidR="00575C70" w:rsidRPr="00515872" w:rsidRDefault="00575C70" w:rsidP="00D65838">
      <w:pPr>
        <w:pStyle w:val="Paragrafoelenco"/>
        <w:numPr>
          <w:ilvl w:val="0"/>
          <w:numId w:val="109"/>
        </w:numPr>
        <w:spacing w:line="360" w:lineRule="auto"/>
        <w:jc w:val="both"/>
        <w:rPr>
          <w:rFonts w:cs="Tahoma"/>
          <w:szCs w:val="20"/>
        </w:rPr>
      </w:pPr>
      <w:r w:rsidRPr="00515872">
        <w:rPr>
          <w:rFonts w:cs="Tahoma"/>
          <w:color w:val="000000"/>
          <w:szCs w:val="20"/>
        </w:rPr>
        <w:t>della consistenza del fondo certificato nell’esercizio precedente;</w:t>
      </w:r>
    </w:p>
    <w:p w14:paraId="38C84765" w14:textId="77777777" w:rsidR="00064D06" w:rsidRPr="00515872" w:rsidRDefault="00064D06" w:rsidP="00D65838">
      <w:pPr>
        <w:pStyle w:val="Paragrafoelenco"/>
        <w:numPr>
          <w:ilvl w:val="0"/>
          <w:numId w:val="109"/>
        </w:numPr>
        <w:spacing w:line="360" w:lineRule="auto"/>
        <w:jc w:val="both"/>
        <w:rPr>
          <w:rFonts w:cs="Tahoma"/>
          <w:szCs w:val="20"/>
        </w:rPr>
      </w:pPr>
      <w:r w:rsidRPr="00515872">
        <w:rPr>
          <w:rFonts w:cs="Tahoma"/>
          <w:color w:val="000000"/>
          <w:szCs w:val="20"/>
        </w:rPr>
        <w:t>delle dinamiche caratterizzanti il personale rispetto all’esercizio precedente;</w:t>
      </w:r>
    </w:p>
    <w:p w14:paraId="7667C80D" w14:textId="77777777" w:rsidR="00064D06" w:rsidRPr="00515872" w:rsidRDefault="00064D06" w:rsidP="00D65838">
      <w:pPr>
        <w:pStyle w:val="Paragrafoelenco"/>
        <w:numPr>
          <w:ilvl w:val="0"/>
          <w:numId w:val="109"/>
        </w:numPr>
        <w:spacing w:line="360" w:lineRule="auto"/>
        <w:jc w:val="both"/>
        <w:rPr>
          <w:rFonts w:cs="Tahoma"/>
          <w:szCs w:val="20"/>
        </w:rPr>
      </w:pPr>
      <w:r w:rsidRPr="00515872">
        <w:rPr>
          <w:rFonts w:cs="Tahoma"/>
          <w:color w:val="000000"/>
          <w:szCs w:val="20"/>
        </w:rPr>
        <w:t>dei vincoli in materia di risorse destinate al trattamento accessorio;</w:t>
      </w:r>
    </w:p>
    <w:p w14:paraId="06729D2D" w14:textId="77777777" w:rsidR="00C777B3" w:rsidRPr="00515872" w:rsidRDefault="00064D06" w:rsidP="00D65838">
      <w:pPr>
        <w:pStyle w:val="Paragrafoelenco"/>
        <w:numPr>
          <w:ilvl w:val="0"/>
          <w:numId w:val="109"/>
        </w:numPr>
        <w:spacing w:line="360" w:lineRule="auto"/>
        <w:jc w:val="both"/>
        <w:rPr>
          <w:rFonts w:cs="Tahoma"/>
          <w:szCs w:val="20"/>
        </w:rPr>
      </w:pPr>
      <w:r w:rsidRPr="00515872">
        <w:rPr>
          <w:rFonts w:cs="Tahoma"/>
          <w:color w:val="000000"/>
          <w:szCs w:val="20"/>
        </w:rPr>
        <w:t>delle direttive formulate dall’organo esecutivo.</w:t>
      </w:r>
    </w:p>
    <w:p w14:paraId="760483F6" w14:textId="77777777" w:rsidR="00C777B3" w:rsidRPr="00515872" w:rsidRDefault="00C777B3" w:rsidP="00C777B3">
      <w:pPr>
        <w:spacing w:line="360" w:lineRule="auto"/>
        <w:jc w:val="both"/>
        <w:rPr>
          <w:rFonts w:cs="Tahoma"/>
          <w:color w:val="000000"/>
          <w:szCs w:val="20"/>
        </w:rPr>
      </w:pPr>
      <w:r w:rsidRPr="00515872">
        <w:rPr>
          <w:rFonts w:cs="Tahoma"/>
          <w:color w:val="000000"/>
          <w:szCs w:val="20"/>
        </w:rPr>
        <w:t xml:space="preserve">Per </w:t>
      </w:r>
      <w:r w:rsidR="00CE4803" w:rsidRPr="00515872">
        <w:rPr>
          <w:rFonts w:cs="Tahoma"/>
          <w:color w:val="000000"/>
          <w:szCs w:val="20"/>
        </w:rPr>
        <w:t>gli e</w:t>
      </w:r>
      <w:r w:rsidRPr="00515872">
        <w:rPr>
          <w:rFonts w:cs="Tahoma"/>
          <w:color w:val="000000"/>
          <w:szCs w:val="20"/>
        </w:rPr>
        <w:t xml:space="preserve">nti strutturalmente </w:t>
      </w:r>
      <w:r w:rsidRPr="00515872">
        <w:rPr>
          <w:rFonts w:cs="Tahoma"/>
          <w:b/>
          <w:bCs/>
          <w:color w:val="000000"/>
          <w:szCs w:val="20"/>
        </w:rPr>
        <w:t xml:space="preserve">deficitari </w:t>
      </w:r>
      <w:r w:rsidRPr="00515872">
        <w:rPr>
          <w:rFonts w:cs="Tahoma"/>
          <w:color w:val="000000"/>
          <w:szCs w:val="20"/>
        </w:rPr>
        <w:t xml:space="preserve">o in </w:t>
      </w:r>
      <w:r w:rsidRPr="00515872">
        <w:rPr>
          <w:rFonts w:cs="Tahoma"/>
          <w:b/>
          <w:bCs/>
          <w:color w:val="000000"/>
          <w:szCs w:val="20"/>
        </w:rPr>
        <w:t xml:space="preserve">dissesto </w:t>
      </w:r>
      <w:r w:rsidRPr="00515872">
        <w:rPr>
          <w:rFonts w:cs="Tahoma"/>
          <w:color w:val="000000"/>
          <w:szCs w:val="20"/>
        </w:rPr>
        <w:t xml:space="preserve">le assunzioni di personale sono sottoposte al controllo della </w:t>
      </w:r>
      <w:r w:rsidRPr="00515872">
        <w:rPr>
          <w:rFonts w:cs="Tahoma"/>
          <w:b/>
          <w:bCs/>
          <w:color w:val="000000"/>
          <w:szCs w:val="20"/>
        </w:rPr>
        <w:t xml:space="preserve">Commissione per la stabilità finanziaria degli enti locali </w:t>
      </w:r>
      <w:r w:rsidRPr="00515872">
        <w:rPr>
          <w:rFonts w:cs="Tahoma"/>
          <w:color w:val="000000"/>
          <w:szCs w:val="20"/>
        </w:rPr>
        <w:t>(COSFEL), presso il Ministero dell’Interno, secondo il disposto dell’art. 243, c. 1, del TUEL.</w:t>
      </w:r>
    </w:p>
    <w:p w14:paraId="2647728C" w14:textId="77777777" w:rsidR="00C261DA" w:rsidRPr="00515872" w:rsidRDefault="00C261DA" w:rsidP="00CF5855">
      <w:pPr>
        <w:spacing w:line="360" w:lineRule="auto"/>
        <w:jc w:val="both"/>
        <w:rPr>
          <w:rFonts w:cs="Tahoma"/>
          <w:szCs w:val="20"/>
        </w:rPr>
      </w:pPr>
      <w:r w:rsidRPr="00515872">
        <w:rPr>
          <w:rFonts w:cs="Tahoma"/>
          <w:szCs w:val="20"/>
        </w:rPr>
        <w:t>La disposizione del c. 604 della legge di bilancio 2022 dà attuazione a quanto previsto dall’art. 3, c. 2, D.L. n. 80/2021, che ha introdotto un incremento delle risorse per i trattamenti accessori dei dipendenti pubblici rispetto a quelle destinate alla medesima finalità nel 2021. L’incremento è ammesso</w:t>
      </w:r>
      <w:r w:rsidR="00CF5855" w:rsidRPr="00515872">
        <w:rPr>
          <w:rFonts w:cs="Tahoma"/>
          <w:szCs w:val="20"/>
        </w:rPr>
        <w:t xml:space="preserve"> </w:t>
      </w:r>
      <w:r w:rsidRPr="00515872">
        <w:rPr>
          <w:rFonts w:cs="Tahoma"/>
          <w:szCs w:val="20"/>
        </w:rPr>
        <w:t>per i dipendenti de</w:t>
      </w:r>
      <w:r w:rsidR="00CF5855" w:rsidRPr="00515872">
        <w:rPr>
          <w:rFonts w:cs="Tahoma"/>
          <w:szCs w:val="20"/>
        </w:rPr>
        <w:t xml:space="preserve">gli enti locali </w:t>
      </w:r>
      <w:r w:rsidRPr="00515872">
        <w:rPr>
          <w:rFonts w:cs="Tahoma"/>
          <w:szCs w:val="20"/>
        </w:rPr>
        <w:t>a valere sui relativi bilanci. Per tutte le Amministrazioni, l’incremento è determinato mediante l’individuazione di una percentuale rispetto al monte salari 2018.</w:t>
      </w:r>
    </w:p>
    <w:p w14:paraId="1E023A35" w14:textId="77777777" w:rsidR="009518AF" w:rsidRPr="00515872" w:rsidRDefault="009518AF" w:rsidP="009518AF">
      <w:pPr>
        <w:spacing w:after="0" w:line="360" w:lineRule="auto"/>
        <w:jc w:val="both"/>
        <w:rPr>
          <w:rFonts w:cs="Tahoma"/>
          <w:b/>
          <w:szCs w:val="20"/>
        </w:rPr>
      </w:pPr>
      <w:r w:rsidRPr="00515872">
        <w:rPr>
          <w:rFonts w:cs="Tahoma"/>
          <w:b/>
          <w:szCs w:val="20"/>
        </w:rPr>
        <w:t>Incarichi di collaborazione autonoma</w:t>
      </w:r>
    </w:p>
    <w:p w14:paraId="567FB275"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t>Per esigenze cui non possono far fronte con personale in servizio, le amministrazioni pubbliche possono conferire incarichi individuali, con contratti di lavoro autonomo, di natura occasionale o coordinata e continuativa, ad esperti di particolare e comprovata specializzazione anche universitaria. Si prescinde dal requisito della comprovata specializzazione universitaria in caso di stipulazione di contratti d'opera per attività che debbano essere svolte da professionisti iscritti in ordini o albi o con soggetti che operino nel campo dell'arte, dello spettacolo o dei mestieri artigianali, ferma restando la necessità di accertare la maturata esperienza nel settore</w:t>
      </w:r>
      <w:r w:rsidR="00513885" w:rsidRPr="00515872">
        <w:rPr>
          <w:rStyle w:val="Rimandonotaapidipagina"/>
          <w:rFonts w:cs="Tahoma"/>
          <w:color w:val="000000"/>
        </w:rPr>
        <w:footnoteReference w:id="103"/>
      </w:r>
      <w:r w:rsidRPr="00515872">
        <w:rPr>
          <w:rFonts w:cs="Tahoma"/>
          <w:color w:val="000000"/>
        </w:rPr>
        <w:t>.</w:t>
      </w:r>
    </w:p>
    <w:p w14:paraId="7BEE1CF9" w14:textId="77777777" w:rsidR="009518AF" w:rsidRPr="00515872" w:rsidRDefault="009518AF" w:rsidP="009518AF">
      <w:pPr>
        <w:spacing w:line="360" w:lineRule="auto"/>
        <w:jc w:val="both"/>
        <w:rPr>
          <w:rFonts w:cs="Tahoma"/>
          <w:color w:val="000000"/>
          <w:shd w:val="clear" w:color="auto" w:fill="F9F8F4"/>
        </w:rPr>
      </w:pPr>
      <w:r w:rsidRPr="00515872">
        <w:rPr>
          <w:rFonts w:cs="Tahoma"/>
        </w:rPr>
        <w:t>Non si possono assegnare incarichi di collaborazione i</w:t>
      </w:r>
      <w:r w:rsidR="00CF5855" w:rsidRPr="00515872">
        <w:rPr>
          <w:rFonts w:cs="Tahoma"/>
        </w:rPr>
        <w:t>n mancanza di approvazione del P</w:t>
      </w:r>
      <w:r w:rsidRPr="00515872">
        <w:rPr>
          <w:rFonts w:cs="Tahoma"/>
        </w:rPr>
        <w:t xml:space="preserve">iano delle </w:t>
      </w:r>
      <w:r w:rsidRPr="00515872">
        <w:rPr>
          <w:rFonts w:cs="Tahoma"/>
          <w:i/>
        </w:rPr>
        <w:t>performance</w:t>
      </w:r>
      <w:r w:rsidRPr="00515872">
        <w:rPr>
          <w:rFonts w:cs="Tahoma"/>
        </w:rPr>
        <w:t>.</w:t>
      </w:r>
    </w:p>
    <w:p w14:paraId="78DA80ED"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lastRenderedPageBreak/>
        <w:t xml:space="preserve">Il ricorso a contratti di collaborazione coordinata e continuativa per lo svolgimento di funzioni ordinarie o l'utilizzo dei collaboratori come lavoratori subordinati è causa di </w:t>
      </w:r>
      <w:r w:rsidRPr="00515872">
        <w:rPr>
          <w:rFonts w:cs="Tahoma"/>
          <w:b/>
          <w:color w:val="000000"/>
        </w:rPr>
        <w:t>responsabilità amministrativa per il dirigente che ha stipulato i contratti</w:t>
      </w:r>
      <w:r w:rsidRPr="00515872">
        <w:rPr>
          <w:rFonts w:cs="Tahoma"/>
          <w:color w:val="000000"/>
        </w:rPr>
        <w:t>.</w:t>
      </w:r>
    </w:p>
    <w:p w14:paraId="719109B1" w14:textId="77777777" w:rsidR="009518AF" w:rsidRPr="00515872" w:rsidRDefault="009518AF" w:rsidP="00ED2299">
      <w:pPr>
        <w:spacing w:after="0" w:line="360" w:lineRule="auto"/>
        <w:jc w:val="both"/>
        <w:rPr>
          <w:rFonts w:cs="Tahoma"/>
        </w:rPr>
      </w:pPr>
      <w:r w:rsidRPr="00515872">
        <w:rPr>
          <w:rFonts w:cs="Tahoma"/>
        </w:rPr>
        <w:t>La legittimità della stipula di contratti di lavoro autonomo, di natura occasionale, con pro</w:t>
      </w:r>
      <w:r w:rsidR="00DE29B7" w:rsidRPr="00515872">
        <w:rPr>
          <w:rFonts w:cs="Tahoma"/>
        </w:rPr>
        <w:t xml:space="preserve">fessionisti esterni è </w:t>
      </w:r>
      <w:r w:rsidRPr="00515872">
        <w:rPr>
          <w:rFonts w:cs="Tahoma"/>
        </w:rPr>
        <w:t>condizionata dai seguenti presupposti:</w:t>
      </w:r>
    </w:p>
    <w:p w14:paraId="642DC668" w14:textId="77777777" w:rsidR="009518AF" w:rsidRPr="00515872" w:rsidRDefault="009518AF" w:rsidP="00CF5855">
      <w:pPr>
        <w:pStyle w:val="Paragrafoelenco"/>
        <w:numPr>
          <w:ilvl w:val="0"/>
          <w:numId w:val="200"/>
        </w:numPr>
        <w:spacing w:line="360" w:lineRule="auto"/>
        <w:ind w:left="284" w:hanging="284"/>
        <w:jc w:val="both"/>
        <w:rPr>
          <w:rFonts w:cs="Tahoma"/>
          <w:color w:val="000000"/>
          <w:shd w:val="clear" w:color="auto" w:fill="F9F8F4"/>
        </w:rPr>
      </w:pPr>
      <w:r w:rsidRPr="00515872">
        <w:rPr>
          <w:rFonts w:cs="Tahoma"/>
          <w:color w:val="000000"/>
        </w:rPr>
        <w:t>l'oggetto della prestazione deve corrispondere alle competenze attribuite dall'ordinamento all'amministrazione conferente, ad obiettivi e progetti specifici e determinati e deve risultare coerente con le esigenze di funzionalità dell'amministrazione conferente;</w:t>
      </w:r>
    </w:p>
    <w:p w14:paraId="4B216E67" w14:textId="77777777" w:rsidR="009518AF" w:rsidRPr="00515872" w:rsidRDefault="009518AF" w:rsidP="00CF5855">
      <w:pPr>
        <w:pStyle w:val="Paragrafoelenco"/>
        <w:numPr>
          <w:ilvl w:val="0"/>
          <w:numId w:val="200"/>
        </w:numPr>
        <w:spacing w:line="360" w:lineRule="auto"/>
        <w:ind w:left="284" w:hanging="284"/>
        <w:jc w:val="both"/>
        <w:rPr>
          <w:rFonts w:cs="Tahoma"/>
          <w:color w:val="000000"/>
          <w:shd w:val="clear" w:color="auto" w:fill="F9F8F4"/>
        </w:rPr>
      </w:pPr>
      <w:r w:rsidRPr="00515872">
        <w:rPr>
          <w:rFonts w:cs="Tahoma"/>
          <w:color w:val="000000"/>
        </w:rPr>
        <w:t>l'amministrazione deve avere preliminarmente accertato l'impossibilità oggettiva di utilizzare le risorse umane disponibili al suo interno;</w:t>
      </w:r>
    </w:p>
    <w:p w14:paraId="5C955177" w14:textId="77777777" w:rsidR="00CF5855" w:rsidRPr="00515872" w:rsidRDefault="009518AF" w:rsidP="00CF5855">
      <w:pPr>
        <w:pStyle w:val="Paragrafoelenco"/>
        <w:numPr>
          <w:ilvl w:val="0"/>
          <w:numId w:val="200"/>
        </w:numPr>
        <w:spacing w:line="360" w:lineRule="auto"/>
        <w:ind w:left="284" w:hanging="284"/>
        <w:jc w:val="both"/>
        <w:rPr>
          <w:rFonts w:cs="Tahoma"/>
          <w:color w:val="000000"/>
          <w:shd w:val="clear" w:color="auto" w:fill="F9F8F4"/>
        </w:rPr>
      </w:pPr>
      <w:r w:rsidRPr="00515872">
        <w:rPr>
          <w:rFonts w:cs="Tahoma"/>
          <w:color w:val="000000"/>
        </w:rPr>
        <w:t>la prestazione deve essere di natura temporanea e altamente qualificata;</w:t>
      </w:r>
    </w:p>
    <w:p w14:paraId="67631938" w14:textId="77777777" w:rsidR="009518AF" w:rsidRPr="00515872" w:rsidRDefault="009518AF" w:rsidP="00CF5855">
      <w:pPr>
        <w:pStyle w:val="Paragrafoelenco"/>
        <w:numPr>
          <w:ilvl w:val="0"/>
          <w:numId w:val="200"/>
        </w:numPr>
        <w:spacing w:line="360" w:lineRule="auto"/>
        <w:ind w:left="284" w:hanging="284"/>
        <w:jc w:val="both"/>
        <w:rPr>
          <w:rFonts w:cs="Tahoma"/>
          <w:color w:val="000000"/>
          <w:shd w:val="clear" w:color="auto" w:fill="F9F8F4"/>
        </w:rPr>
      </w:pPr>
      <w:r w:rsidRPr="00515872">
        <w:rPr>
          <w:rFonts w:cs="Tahoma"/>
          <w:color w:val="000000"/>
        </w:rPr>
        <w:t>non è ammesso il rinnovo; l'eventuale proroga dell'incarico originario è consentita, in via eccezionale, al solo fine di completare il progetto e per ritardi non imputabili al collaboratore, ferma restando la misura del compenso pattuito in sede di affidamento dell'incarico;</w:t>
      </w:r>
    </w:p>
    <w:p w14:paraId="5FCB7520" w14:textId="77777777" w:rsidR="009518AF" w:rsidRPr="00515872" w:rsidRDefault="009518AF" w:rsidP="00CF5855">
      <w:pPr>
        <w:pStyle w:val="Paragrafoelenco"/>
        <w:numPr>
          <w:ilvl w:val="0"/>
          <w:numId w:val="200"/>
        </w:numPr>
        <w:spacing w:line="360" w:lineRule="auto"/>
        <w:ind w:left="284" w:hanging="284"/>
        <w:jc w:val="both"/>
        <w:rPr>
          <w:rFonts w:cs="Tahoma"/>
          <w:color w:val="000000"/>
          <w:shd w:val="clear" w:color="auto" w:fill="F9F8F4"/>
        </w:rPr>
      </w:pPr>
      <w:r w:rsidRPr="00515872">
        <w:rPr>
          <w:rFonts w:cs="Tahoma"/>
          <w:color w:val="000000"/>
        </w:rPr>
        <w:t>devono essere preventivamente determinati durata, oggetto e compenso della collaborazione.</w:t>
      </w:r>
    </w:p>
    <w:p w14:paraId="1B59292A" w14:textId="77777777" w:rsidR="00190620" w:rsidRPr="00515872" w:rsidRDefault="00190620" w:rsidP="009518AF">
      <w:pPr>
        <w:spacing w:line="360" w:lineRule="auto"/>
        <w:jc w:val="both"/>
        <w:rPr>
          <w:rFonts w:cs="Tahoma"/>
          <w:color w:val="000000"/>
        </w:rPr>
      </w:pPr>
      <w:r w:rsidRPr="00515872">
        <w:rPr>
          <w:rFonts w:cs="Tahoma"/>
          <w:color w:val="000000"/>
        </w:rPr>
        <w:t xml:space="preserve">La Corte dei Conti, sezione regionale di controllo per l’Emilia Romagna, con delibera n. 241/2021 del 19 novembre 2021 ha ribadito che, nell’affidamento di incarichi di collaborazione, consulenza, ricerca e studio, va applicata, come regola generale, </w:t>
      </w:r>
      <w:r w:rsidR="00CF5855" w:rsidRPr="00515872">
        <w:rPr>
          <w:rFonts w:cs="Tahoma"/>
          <w:color w:val="000000"/>
        </w:rPr>
        <w:t>quella del confronto comparativo</w:t>
      </w:r>
      <w:r w:rsidRPr="00515872">
        <w:rPr>
          <w:rFonts w:cs="Tahoma"/>
          <w:color w:val="000000"/>
        </w:rPr>
        <w:t>; uniche eccezioni, la precedente procedura andata deserta, l’unicità della prestazione sotto il profilo soggettivo, l’urgenza determinata da evento imprevedibile.</w:t>
      </w:r>
    </w:p>
    <w:p w14:paraId="468CF03F"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t xml:space="preserve">L’art. </w:t>
      </w:r>
      <w:r w:rsidR="002F49C4" w:rsidRPr="00515872">
        <w:rPr>
          <w:rFonts w:cs="Tahoma"/>
          <w:color w:val="000000"/>
        </w:rPr>
        <w:t xml:space="preserve">7, c. 5-bis, come modificato dall’art. </w:t>
      </w:r>
      <w:r w:rsidRPr="00515872">
        <w:rPr>
          <w:rFonts w:cs="Tahoma"/>
          <w:color w:val="000000"/>
        </w:rPr>
        <w:t>1, c. 11</w:t>
      </w:r>
      <w:r w:rsidR="002F49C4" w:rsidRPr="00515872">
        <w:rPr>
          <w:rFonts w:cs="Tahoma"/>
          <w:color w:val="000000"/>
        </w:rPr>
        <w:t>31</w:t>
      </w:r>
      <w:r w:rsidRPr="00515872">
        <w:rPr>
          <w:rFonts w:cs="Tahoma"/>
          <w:color w:val="000000"/>
        </w:rPr>
        <w:t xml:space="preserve">, lett. </w:t>
      </w:r>
      <w:r w:rsidR="002F49C4" w:rsidRPr="00515872">
        <w:rPr>
          <w:rFonts w:cs="Tahoma"/>
          <w:color w:val="000000"/>
        </w:rPr>
        <w:t>f</w:t>
      </w:r>
      <w:r w:rsidRPr="00515872">
        <w:rPr>
          <w:rFonts w:cs="Tahoma"/>
          <w:color w:val="000000"/>
        </w:rPr>
        <w:t>) della legge di bilancio 201</w:t>
      </w:r>
      <w:r w:rsidR="002F49C4" w:rsidRPr="00515872">
        <w:rPr>
          <w:rFonts w:cs="Tahoma"/>
          <w:color w:val="000000"/>
        </w:rPr>
        <w:t>9,</w:t>
      </w:r>
      <w:r w:rsidRPr="00515872">
        <w:rPr>
          <w:rFonts w:cs="Tahoma"/>
          <w:color w:val="000000"/>
        </w:rPr>
        <w:t xml:space="preserve"> prevede che a decorrere dal </w:t>
      </w:r>
      <w:r w:rsidR="00CF5855" w:rsidRPr="00515872">
        <w:rPr>
          <w:rFonts w:cs="Tahoma"/>
          <w:color w:val="000000"/>
        </w:rPr>
        <w:t xml:space="preserve">1° gennaio </w:t>
      </w:r>
      <w:r w:rsidRPr="00515872">
        <w:rPr>
          <w:rFonts w:cs="Tahoma"/>
          <w:color w:val="000000"/>
        </w:rPr>
        <w:t>2019 è fatto divieto alle amministrazioni pubbliche di stipulare contratti di collaborazione che si concretino in prestazioni di lavoro esclusivamente personali, continuative e le cui modalità di esecuzione siano organizzate dal committente anche con riferimento ai tempi e al luogo di lavoro.</w:t>
      </w:r>
    </w:p>
    <w:p w14:paraId="27E97F60" w14:textId="77777777" w:rsidR="009518AF" w:rsidRPr="00515872" w:rsidRDefault="009518AF" w:rsidP="009518AF">
      <w:pPr>
        <w:spacing w:line="360" w:lineRule="auto"/>
        <w:jc w:val="both"/>
        <w:rPr>
          <w:rFonts w:cs="Tahoma"/>
          <w:color w:val="000000"/>
          <w:shd w:val="clear" w:color="auto" w:fill="F9F8F4"/>
        </w:rPr>
      </w:pPr>
      <w:r w:rsidRPr="00515872">
        <w:rPr>
          <w:rFonts w:cs="Tahoma"/>
          <w:color w:val="000000"/>
        </w:rPr>
        <w:t>Con regolamento sono fissati i limiti, i criteri e le modalità per l'affidamento di incarichi di collaborazione autonoma, che si applicano a tutte le tipologie di prestazioni.</w:t>
      </w:r>
    </w:p>
    <w:p w14:paraId="43C83B39" w14:textId="77777777" w:rsidR="009518AF" w:rsidRPr="00515872" w:rsidRDefault="009518AF" w:rsidP="005E0539">
      <w:pPr>
        <w:spacing w:after="0" w:line="360" w:lineRule="auto"/>
        <w:jc w:val="both"/>
        <w:rPr>
          <w:rFonts w:cs="Tahoma"/>
          <w:b/>
          <w:color w:val="000000"/>
          <w:shd w:val="clear" w:color="auto" w:fill="F9F8F4"/>
        </w:rPr>
      </w:pPr>
      <w:r w:rsidRPr="00515872">
        <w:rPr>
          <w:rFonts w:cs="Tahoma"/>
          <w:b/>
          <w:color w:val="000000"/>
        </w:rPr>
        <w:t>Contratti di prestazione occasionale</w:t>
      </w:r>
    </w:p>
    <w:p w14:paraId="7394E022" w14:textId="2C160DF5" w:rsidR="009518AF" w:rsidRPr="00515872" w:rsidRDefault="009518AF" w:rsidP="009518AF">
      <w:pPr>
        <w:spacing w:line="360" w:lineRule="auto"/>
        <w:jc w:val="both"/>
        <w:rPr>
          <w:rFonts w:cs="Tahoma"/>
          <w:color w:val="000000"/>
          <w:shd w:val="clear" w:color="auto" w:fill="F9F8F4"/>
        </w:rPr>
      </w:pPr>
      <w:r w:rsidRPr="00515872">
        <w:rPr>
          <w:rFonts w:cs="Tahoma"/>
          <w:color w:val="000000"/>
        </w:rPr>
        <w:t>In aggiunta alle ordinarie forme assunzionali,</w:t>
      </w:r>
      <w:r w:rsidR="00CB0C29" w:rsidRPr="00515872">
        <w:rPr>
          <w:rFonts w:cs="Tahoma"/>
          <w:color w:val="000000"/>
        </w:rPr>
        <w:t xml:space="preserve"> </w:t>
      </w:r>
      <w:r w:rsidRPr="00515872">
        <w:rPr>
          <w:rFonts w:cs="Tahoma"/>
          <w:color w:val="000000"/>
        </w:rPr>
        <w:t xml:space="preserve">le pubbliche amministrazioni possono fruire, sempre nel rispetto dei vincoli in materia di contenimento della spesa del personale, della disciplina inerente </w:t>
      </w:r>
      <w:r w:rsidR="001E548F" w:rsidRPr="00515872">
        <w:rPr>
          <w:rFonts w:cs="Tahoma"/>
          <w:color w:val="000000"/>
        </w:rPr>
        <w:t>ai</w:t>
      </w:r>
      <w:r w:rsidRPr="00515872">
        <w:rPr>
          <w:rFonts w:cs="Tahoma"/>
          <w:color w:val="000000"/>
        </w:rPr>
        <w:t xml:space="preserve"> contratti di prestazione occasional</w:t>
      </w:r>
      <w:r w:rsidR="00CF5855" w:rsidRPr="00515872">
        <w:rPr>
          <w:rFonts w:cs="Tahoma"/>
          <w:color w:val="000000"/>
        </w:rPr>
        <w:t>e, prevista dall’art. 54-bis,</w:t>
      </w:r>
      <w:r w:rsidRPr="00515872">
        <w:rPr>
          <w:rFonts w:cs="Tahoma"/>
          <w:color w:val="000000"/>
        </w:rPr>
        <w:t xml:space="preserve"> D.L. 24 aprile 2017, n. 50, conv. L. 21 giugno 2017, n. 96.</w:t>
      </w:r>
    </w:p>
    <w:p w14:paraId="31675DCE" w14:textId="77777777" w:rsidR="009518AF" w:rsidRPr="00515872" w:rsidRDefault="009518AF" w:rsidP="009518AF">
      <w:pPr>
        <w:spacing w:line="360" w:lineRule="auto"/>
        <w:jc w:val="both"/>
        <w:rPr>
          <w:rFonts w:cs="Tahoma"/>
          <w:szCs w:val="20"/>
        </w:rPr>
      </w:pPr>
      <w:r w:rsidRPr="00515872">
        <w:rPr>
          <w:rFonts w:cs="Tahoma"/>
          <w:szCs w:val="20"/>
        </w:rPr>
        <w:t>Si tratta dei contratti di prestazione occasionale (c.d. “</w:t>
      </w:r>
      <w:r w:rsidRPr="00515872">
        <w:rPr>
          <w:rFonts w:cs="Tahoma"/>
          <w:i/>
          <w:iCs/>
          <w:szCs w:val="20"/>
        </w:rPr>
        <w:t>PrestO</w:t>
      </w:r>
      <w:r w:rsidRPr="00515872">
        <w:rPr>
          <w:rFonts w:cs="Tahoma"/>
          <w:szCs w:val="20"/>
        </w:rPr>
        <w:t>”) e del “</w:t>
      </w:r>
      <w:r w:rsidRPr="00515872">
        <w:rPr>
          <w:rFonts w:cs="Tahoma"/>
          <w:i/>
          <w:iCs/>
          <w:szCs w:val="20"/>
        </w:rPr>
        <w:t>Libretto famiglia</w:t>
      </w:r>
      <w:r w:rsidRPr="00515872">
        <w:rPr>
          <w:rFonts w:cs="Tahoma"/>
          <w:szCs w:val="20"/>
        </w:rPr>
        <w:t>”, introdotti in sostituzione dei precedenti “</w:t>
      </w:r>
      <w:r w:rsidRPr="00515872">
        <w:rPr>
          <w:rFonts w:cs="Tahoma"/>
          <w:i/>
          <w:iCs/>
          <w:szCs w:val="20"/>
        </w:rPr>
        <w:t>voucher lavoro</w:t>
      </w:r>
      <w:r w:rsidRPr="00515872">
        <w:rPr>
          <w:rFonts w:cs="Tahoma"/>
          <w:szCs w:val="20"/>
        </w:rPr>
        <w:t>” rivolti ai soggetti che vogliono svolgere un’attività lavorativa in modo sporadico e saltuario.</w:t>
      </w:r>
    </w:p>
    <w:p w14:paraId="65867F93" w14:textId="77777777" w:rsidR="009518AF" w:rsidRPr="00515872" w:rsidRDefault="009518AF" w:rsidP="005E0539">
      <w:pPr>
        <w:autoSpaceDE w:val="0"/>
        <w:autoSpaceDN w:val="0"/>
        <w:adjustRightInd w:val="0"/>
        <w:spacing w:after="0" w:line="360" w:lineRule="auto"/>
        <w:jc w:val="both"/>
        <w:rPr>
          <w:rFonts w:cs="Tahoma"/>
          <w:szCs w:val="20"/>
        </w:rPr>
      </w:pPr>
      <w:r w:rsidRPr="00515872">
        <w:rPr>
          <w:rFonts w:cs="Tahoma"/>
          <w:szCs w:val="20"/>
        </w:rPr>
        <w:lastRenderedPageBreak/>
        <w:t>E’, infatti, prevista anche per le pubbliche amministrazioni di cui all’art. 1, c. 2, D.L.gs. n. 165/2001, la possibilità di fare ricorso ai contratti di prestazione occasionale solo per esigenze temporanee ed eccezionali e per le seguenti specifiche attività previste dalla legge:</w:t>
      </w:r>
    </w:p>
    <w:p w14:paraId="73D91F23" w14:textId="77777777" w:rsidR="009518AF" w:rsidRPr="00515872" w:rsidRDefault="009518AF" w:rsidP="00D65838">
      <w:pPr>
        <w:pStyle w:val="Paragrafoelenco"/>
        <w:numPr>
          <w:ilvl w:val="0"/>
          <w:numId w:val="178"/>
        </w:numPr>
        <w:autoSpaceDE w:val="0"/>
        <w:autoSpaceDN w:val="0"/>
        <w:adjustRightInd w:val="0"/>
        <w:spacing w:line="360" w:lineRule="auto"/>
        <w:ind w:left="426"/>
        <w:jc w:val="both"/>
        <w:rPr>
          <w:rFonts w:cs="Tahoma"/>
          <w:szCs w:val="20"/>
        </w:rPr>
      </w:pPr>
      <w:r w:rsidRPr="00515872">
        <w:rPr>
          <w:rFonts w:cs="Tahoma"/>
          <w:szCs w:val="20"/>
        </w:rPr>
        <w:t>progetti speciali destinati a specifiche categorie di soggetti in stato di povertà, di disabilità, di detenzione, di tossicodipendenza o di funzione di ammortizzatori sociali;</w:t>
      </w:r>
    </w:p>
    <w:p w14:paraId="6B8C81C4" w14:textId="77777777" w:rsidR="009518AF" w:rsidRPr="00515872" w:rsidRDefault="009518AF" w:rsidP="00D65838">
      <w:pPr>
        <w:pStyle w:val="Paragrafoelenco"/>
        <w:numPr>
          <w:ilvl w:val="0"/>
          <w:numId w:val="178"/>
        </w:numPr>
        <w:autoSpaceDE w:val="0"/>
        <w:autoSpaceDN w:val="0"/>
        <w:adjustRightInd w:val="0"/>
        <w:spacing w:line="360" w:lineRule="auto"/>
        <w:ind w:left="426"/>
        <w:jc w:val="both"/>
        <w:rPr>
          <w:rFonts w:cs="Tahoma"/>
          <w:szCs w:val="20"/>
        </w:rPr>
      </w:pPr>
      <w:r w:rsidRPr="00515872">
        <w:rPr>
          <w:rFonts w:cs="Tahoma"/>
          <w:szCs w:val="20"/>
        </w:rPr>
        <w:t>per lo svolgimento di lavori di emergenza correlati a calamità o eventi naturali improvvisi;</w:t>
      </w:r>
    </w:p>
    <w:p w14:paraId="085B2661" w14:textId="77777777" w:rsidR="009518AF" w:rsidRPr="00515872" w:rsidRDefault="009518AF" w:rsidP="00D65838">
      <w:pPr>
        <w:pStyle w:val="Paragrafoelenco"/>
        <w:numPr>
          <w:ilvl w:val="0"/>
          <w:numId w:val="178"/>
        </w:numPr>
        <w:autoSpaceDE w:val="0"/>
        <w:autoSpaceDN w:val="0"/>
        <w:adjustRightInd w:val="0"/>
        <w:spacing w:line="360" w:lineRule="auto"/>
        <w:ind w:left="426"/>
        <w:jc w:val="both"/>
        <w:rPr>
          <w:rFonts w:cs="Tahoma"/>
          <w:szCs w:val="20"/>
        </w:rPr>
      </w:pPr>
      <w:r w:rsidRPr="00515872">
        <w:rPr>
          <w:rFonts w:cs="Tahoma"/>
          <w:szCs w:val="20"/>
        </w:rPr>
        <w:t>per attività di solidarietà, in collaborazione con altri enti pubblici e/o associazioni di volontariato;</w:t>
      </w:r>
    </w:p>
    <w:p w14:paraId="2BDC198D" w14:textId="77777777" w:rsidR="009518AF" w:rsidRPr="00515872" w:rsidRDefault="009518AF" w:rsidP="00D65838">
      <w:pPr>
        <w:pStyle w:val="Paragrafoelenco"/>
        <w:numPr>
          <w:ilvl w:val="0"/>
          <w:numId w:val="178"/>
        </w:numPr>
        <w:autoSpaceDE w:val="0"/>
        <w:autoSpaceDN w:val="0"/>
        <w:adjustRightInd w:val="0"/>
        <w:spacing w:line="360" w:lineRule="auto"/>
        <w:ind w:left="426"/>
        <w:jc w:val="both"/>
        <w:rPr>
          <w:rFonts w:cs="Tahoma"/>
          <w:szCs w:val="20"/>
        </w:rPr>
      </w:pPr>
      <w:r w:rsidRPr="00515872">
        <w:rPr>
          <w:rFonts w:cs="Tahoma"/>
          <w:szCs w:val="20"/>
        </w:rPr>
        <w:t>per l’organizzazione di manifestazioni sociali, sportive, culturali o caritat</w:t>
      </w:r>
      <w:r w:rsidR="00DB4BE1" w:rsidRPr="00515872">
        <w:rPr>
          <w:rFonts w:cs="Tahoma"/>
          <w:szCs w:val="20"/>
        </w:rPr>
        <w:t>ive</w:t>
      </w:r>
      <w:r w:rsidRPr="00515872">
        <w:rPr>
          <w:rFonts w:cs="Tahoma"/>
          <w:szCs w:val="20"/>
        </w:rPr>
        <w:t>.</w:t>
      </w:r>
    </w:p>
    <w:p w14:paraId="35CD068C" w14:textId="77777777" w:rsidR="009518AF" w:rsidRPr="00515872" w:rsidRDefault="009518AF" w:rsidP="005E0539">
      <w:pPr>
        <w:autoSpaceDE w:val="0"/>
        <w:autoSpaceDN w:val="0"/>
        <w:adjustRightInd w:val="0"/>
        <w:spacing w:after="0" w:line="360" w:lineRule="auto"/>
        <w:jc w:val="both"/>
        <w:rPr>
          <w:rFonts w:cs="Tahoma"/>
          <w:szCs w:val="20"/>
        </w:rPr>
      </w:pPr>
      <w:r w:rsidRPr="00515872">
        <w:rPr>
          <w:rFonts w:cs="Tahoma"/>
          <w:szCs w:val="20"/>
        </w:rPr>
        <w:t>Con tale fattispecie l’utilizzatore può acquisire prestazioni di lavoro sporadico di modesta entità, rispettando i seguenti limiti economici stabiliti dalla legge, riferiti all’anno civile di svolgimento dell’attività lavorativa:</w:t>
      </w:r>
    </w:p>
    <w:p w14:paraId="1580F7E9" w14:textId="77777777" w:rsidR="009518AF" w:rsidRPr="00515872" w:rsidRDefault="009518AF" w:rsidP="00D65838">
      <w:pPr>
        <w:pStyle w:val="Paragrafoelenco"/>
        <w:numPr>
          <w:ilvl w:val="0"/>
          <w:numId w:val="179"/>
        </w:numPr>
        <w:autoSpaceDE w:val="0"/>
        <w:autoSpaceDN w:val="0"/>
        <w:adjustRightInd w:val="0"/>
        <w:spacing w:line="360" w:lineRule="auto"/>
        <w:ind w:left="426"/>
        <w:jc w:val="both"/>
        <w:rPr>
          <w:rFonts w:cs="Tahoma"/>
          <w:szCs w:val="20"/>
        </w:rPr>
      </w:pPr>
      <w:r w:rsidRPr="00515872">
        <w:rPr>
          <w:rFonts w:cs="Tahoma"/>
          <w:szCs w:val="20"/>
        </w:rPr>
        <w:t>per ciascun prestatore, con riferimento alla totalità degli utilizzatori, compensi d’importo complessivo non superiore a € 5.000;</w:t>
      </w:r>
    </w:p>
    <w:p w14:paraId="0FB37153" w14:textId="77777777" w:rsidR="009518AF" w:rsidRPr="00515872" w:rsidRDefault="009518AF" w:rsidP="00D65838">
      <w:pPr>
        <w:pStyle w:val="Paragrafoelenco"/>
        <w:numPr>
          <w:ilvl w:val="0"/>
          <w:numId w:val="179"/>
        </w:numPr>
        <w:autoSpaceDE w:val="0"/>
        <w:autoSpaceDN w:val="0"/>
        <w:adjustRightInd w:val="0"/>
        <w:spacing w:line="360" w:lineRule="auto"/>
        <w:ind w:left="426"/>
        <w:jc w:val="both"/>
        <w:rPr>
          <w:rFonts w:cs="Tahoma"/>
          <w:szCs w:val="20"/>
        </w:rPr>
      </w:pPr>
      <w:r w:rsidRPr="00515872">
        <w:rPr>
          <w:rFonts w:cs="Tahoma"/>
          <w:szCs w:val="20"/>
        </w:rPr>
        <w:t xml:space="preserve">per ciascun utilizzatore, con riferimento </w:t>
      </w:r>
      <w:r w:rsidR="009068D2" w:rsidRPr="00515872">
        <w:rPr>
          <w:rFonts w:cs="Tahoma"/>
          <w:szCs w:val="20"/>
        </w:rPr>
        <w:t xml:space="preserve">alla totalità dei prestatori, </w:t>
      </w:r>
      <w:r w:rsidRPr="00515872">
        <w:rPr>
          <w:rFonts w:cs="Tahoma"/>
          <w:szCs w:val="20"/>
        </w:rPr>
        <w:t>compensi d’importo complessivo non superiore a € 5.000;</w:t>
      </w:r>
    </w:p>
    <w:p w14:paraId="720F4229" w14:textId="77777777" w:rsidR="009518AF" w:rsidRPr="00515872" w:rsidRDefault="009518AF" w:rsidP="00D65838">
      <w:pPr>
        <w:pStyle w:val="Paragrafoelenco"/>
        <w:numPr>
          <w:ilvl w:val="0"/>
          <w:numId w:val="179"/>
        </w:numPr>
        <w:autoSpaceDE w:val="0"/>
        <w:autoSpaceDN w:val="0"/>
        <w:adjustRightInd w:val="0"/>
        <w:spacing w:line="360" w:lineRule="auto"/>
        <w:ind w:left="426"/>
        <w:jc w:val="both"/>
        <w:rPr>
          <w:rFonts w:cs="Tahoma"/>
          <w:szCs w:val="20"/>
        </w:rPr>
      </w:pPr>
      <w:r w:rsidRPr="00515872">
        <w:rPr>
          <w:rFonts w:cs="Tahoma"/>
          <w:szCs w:val="20"/>
        </w:rPr>
        <w:t>per le prestazioni complessivamente rese da ogni prestatore in favore del medesimo utilizzatore, a compensi di i</w:t>
      </w:r>
      <w:r w:rsidR="00CF3D93" w:rsidRPr="00515872">
        <w:rPr>
          <w:rFonts w:cs="Tahoma"/>
          <w:szCs w:val="20"/>
        </w:rPr>
        <w:t>mporto non superiore ad € 2.500;</w:t>
      </w:r>
    </w:p>
    <w:p w14:paraId="4E6A03E6" w14:textId="77777777" w:rsidR="00CF3D93" w:rsidRPr="00515872" w:rsidRDefault="00CF3D93" w:rsidP="00D65838">
      <w:pPr>
        <w:pStyle w:val="Paragrafoelenco"/>
        <w:numPr>
          <w:ilvl w:val="0"/>
          <w:numId w:val="179"/>
        </w:numPr>
        <w:autoSpaceDE w:val="0"/>
        <w:autoSpaceDN w:val="0"/>
        <w:adjustRightInd w:val="0"/>
        <w:spacing w:line="360" w:lineRule="auto"/>
        <w:ind w:left="426"/>
        <w:jc w:val="both"/>
        <w:rPr>
          <w:rFonts w:cs="Tahoma"/>
          <w:szCs w:val="20"/>
        </w:rPr>
      </w:pPr>
      <w:r w:rsidRPr="00515872">
        <w:rPr>
          <w:rFonts w:cs="Tahoma"/>
        </w:rPr>
        <w:t>per ciascun prestatore, per le attività di cui al</w:t>
      </w:r>
      <w:r w:rsidR="00DB4BE1" w:rsidRPr="00515872">
        <w:rPr>
          <w:rFonts w:cs="Tahoma"/>
        </w:rPr>
        <w:t xml:space="preserve"> D.M. Interno 8 agosto 2007</w:t>
      </w:r>
      <w:r w:rsidRPr="00515872">
        <w:rPr>
          <w:rFonts w:cs="Tahoma"/>
        </w:rPr>
        <w:t>, svolte nei confronti di ciascun utilizzatore di cui alla</w:t>
      </w:r>
      <w:r w:rsidR="002F1F94" w:rsidRPr="00515872">
        <w:rPr>
          <w:rFonts w:cs="Tahoma"/>
        </w:rPr>
        <w:t xml:space="preserve"> L. 23 marzo 1981, n. 91</w:t>
      </w:r>
      <w:r w:rsidR="009068D2" w:rsidRPr="00515872">
        <w:rPr>
          <w:rFonts w:cs="Tahoma"/>
        </w:rPr>
        <w:t>,</w:t>
      </w:r>
      <w:r w:rsidRPr="00515872">
        <w:rPr>
          <w:rFonts w:cs="Tahoma"/>
        </w:rPr>
        <w:t xml:space="preserve"> compensi di importo complessivo non superiore a </w:t>
      </w:r>
      <w:r w:rsidR="009068D2" w:rsidRPr="00515872">
        <w:rPr>
          <w:rFonts w:cs="Tahoma"/>
        </w:rPr>
        <w:t>€ 5.000</w:t>
      </w:r>
      <w:r w:rsidRPr="00515872">
        <w:rPr>
          <w:rFonts w:cs="Tahoma"/>
        </w:rPr>
        <w:t>.</w:t>
      </w:r>
    </w:p>
    <w:p w14:paraId="542462B3" w14:textId="77777777" w:rsidR="009518AF" w:rsidRPr="00EA779E" w:rsidRDefault="009518AF" w:rsidP="009518AF">
      <w:pPr>
        <w:autoSpaceDE w:val="0"/>
        <w:autoSpaceDN w:val="0"/>
        <w:adjustRightInd w:val="0"/>
        <w:spacing w:line="360" w:lineRule="auto"/>
        <w:jc w:val="both"/>
        <w:rPr>
          <w:rFonts w:cs="Tahoma"/>
          <w:szCs w:val="20"/>
        </w:rPr>
      </w:pPr>
      <w:r w:rsidRPr="00EA779E">
        <w:rPr>
          <w:rFonts w:cs="Tahoma"/>
          <w:szCs w:val="20"/>
        </w:rPr>
        <w:t>Gli importi, da intendersi al netto dei contributi, dei premi assicurativi e dei costi di gestione, sono esenti da imposizione fiscale.</w:t>
      </w:r>
    </w:p>
    <w:p w14:paraId="12EB4632" w14:textId="77777777" w:rsidR="009518AF" w:rsidRPr="00EA779E" w:rsidRDefault="009518AF" w:rsidP="009518AF">
      <w:pPr>
        <w:autoSpaceDE w:val="0"/>
        <w:autoSpaceDN w:val="0"/>
        <w:adjustRightInd w:val="0"/>
        <w:spacing w:line="360" w:lineRule="auto"/>
        <w:jc w:val="both"/>
        <w:rPr>
          <w:rFonts w:cs="Tahoma"/>
          <w:szCs w:val="20"/>
        </w:rPr>
      </w:pPr>
      <w:r w:rsidRPr="00EA779E">
        <w:rPr>
          <w:rFonts w:cs="Tahoma"/>
          <w:szCs w:val="20"/>
        </w:rPr>
        <w:t>Alle pubbliche amministrazioni non si applica il divieto di utilizzo del contratto di prestazione occasionale che la norma prevede per i datori di lavoro in genere con più di 5 dipendenti a tempo indeterminato. Le stesse non sono neanche sottoposte alle sanzioni cui incorrono i datori di lavori privati in caso di utilizzo non conforme alla legge delle prestazioni di lavoro occasionale e al superamento del limiti di durata del rapporto stesso.</w:t>
      </w:r>
    </w:p>
    <w:p w14:paraId="66F0A57B" w14:textId="77777777" w:rsidR="009518AF" w:rsidRPr="00515872" w:rsidRDefault="009518AF" w:rsidP="009518AF">
      <w:pPr>
        <w:autoSpaceDE w:val="0"/>
        <w:autoSpaceDN w:val="0"/>
        <w:adjustRightInd w:val="0"/>
        <w:spacing w:after="0" w:line="360" w:lineRule="auto"/>
        <w:jc w:val="both"/>
        <w:rPr>
          <w:rFonts w:eastAsia="SymbolMT" w:cs="Tahoma"/>
          <w:b/>
          <w:szCs w:val="24"/>
        </w:rPr>
      </w:pPr>
      <w:r w:rsidRPr="00515872">
        <w:rPr>
          <w:rFonts w:eastAsia="SymbolMT" w:cs="Tahoma"/>
          <w:b/>
          <w:szCs w:val="24"/>
        </w:rPr>
        <w:t>Divieto di assorbimento del personale a seguito di reinternalizzazione di servizi</w:t>
      </w:r>
    </w:p>
    <w:p w14:paraId="39095E2A" w14:textId="77777777" w:rsidR="009518AF" w:rsidRPr="00515872" w:rsidRDefault="009518AF" w:rsidP="009518AF">
      <w:pPr>
        <w:autoSpaceDE w:val="0"/>
        <w:autoSpaceDN w:val="0"/>
        <w:adjustRightInd w:val="0"/>
        <w:spacing w:line="360" w:lineRule="auto"/>
        <w:jc w:val="both"/>
        <w:rPr>
          <w:rFonts w:eastAsia="SymbolMT" w:cs="Tahoma"/>
          <w:szCs w:val="24"/>
        </w:rPr>
      </w:pPr>
      <w:r w:rsidRPr="00515872">
        <w:rPr>
          <w:rFonts w:eastAsia="SymbolMT" w:cs="Tahoma"/>
          <w:szCs w:val="24"/>
        </w:rPr>
        <w:t>Le pubbliche amministrazioni che reinternalizzano servizi non possono procedere all’assorbimento automatico del personale direttamente assunto dalle partecipate. Tale principio, più volte ribadito dalla Corte Costituzionale</w:t>
      </w:r>
      <w:r w:rsidRPr="00515872">
        <w:rPr>
          <w:rStyle w:val="Rimandonotaapidipagina"/>
          <w:rFonts w:eastAsia="SymbolMT" w:cs="Tahoma"/>
          <w:szCs w:val="24"/>
        </w:rPr>
        <w:footnoteReference w:id="104"/>
      </w:r>
      <w:r w:rsidRPr="00515872">
        <w:rPr>
          <w:rFonts w:eastAsia="SymbolMT" w:cs="Tahoma"/>
          <w:szCs w:val="24"/>
        </w:rPr>
        <w:t>, è stato ri</w:t>
      </w:r>
      <w:r w:rsidR="0066538A" w:rsidRPr="00515872">
        <w:rPr>
          <w:rFonts w:eastAsia="SymbolMT" w:cs="Tahoma"/>
          <w:szCs w:val="24"/>
        </w:rPr>
        <w:t>affermato</w:t>
      </w:r>
      <w:r w:rsidR="0013795E" w:rsidRPr="00515872">
        <w:rPr>
          <w:rFonts w:eastAsia="SymbolMT" w:cs="Tahoma"/>
          <w:szCs w:val="24"/>
        </w:rPr>
        <w:t xml:space="preserve"> dalla Corte dei C</w:t>
      </w:r>
      <w:r w:rsidRPr="00515872">
        <w:rPr>
          <w:rFonts w:eastAsia="SymbolMT" w:cs="Tahoma"/>
          <w:szCs w:val="24"/>
        </w:rPr>
        <w:t xml:space="preserve">onti, da ultimo con la Deliberazione n. 10/2017/PAR della sezione di controllo per la regione Valle d’Aosta, in base alla quale non trova applicazione il </w:t>
      </w:r>
      <w:r w:rsidR="00CB1671" w:rsidRPr="00515872">
        <w:rPr>
          <w:rFonts w:eastAsia="SymbolMT" w:cs="Tahoma"/>
          <w:szCs w:val="24"/>
        </w:rPr>
        <w:t xml:space="preserve">disposto di cui all’art. 31, </w:t>
      </w:r>
      <w:r w:rsidRPr="00515872">
        <w:rPr>
          <w:rFonts w:eastAsia="SymbolMT" w:cs="Tahoma"/>
          <w:szCs w:val="24"/>
        </w:rPr>
        <w:t>D.Lgs. 30/03/2001, n. 165</w:t>
      </w:r>
      <w:r w:rsidRPr="00515872">
        <w:rPr>
          <w:rStyle w:val="Rimandonotaapidipagina"/>
          <w:rFonts w:eastAsia="SymbolMT" w:cs="Tahoma"/>
          <w:szCs w:val="24"/>
        </w:rPr>
        <w:footnoteReference w:id="105"/>
      </w:r>
      <w:r w:rsidRPr="00515872">
        <w:rPr>
          <w:rFonts w:eastAsia="SymbolMT" w:cs="Tahoma"/>
          <w:szCs w:val="24"/>
        </w:rPr>
        <w:t xml:space="preserve"> in caso di reinternalizzazione di servizi appaltati a società partecipata, </w:t>
      </w:r>
      <w:r w:rsidRPr="00515872">
        <w:rPr>
          <w:rFonts w:eastAsia="SymbolMT" w:cs="Tahoma"/>
          <w:szCs w:val="24"/>
        </w:rPr>
        <w:lastRenderedPageBreak/>
        <w:t xml:space="preserve">ancorché con requisiti di società </w:t>
      </w:r>
      <w:r w:rsidRPr="00515872">
        <w:rPr>
          <w:rFonts w:eastAsia="SymbolMT" w:cs="Tahoma"/>
          <w:i/>
          <w:szCs w:val="24"/>
        </w:rPr>
        <w:t>in house</w:t>
      </w:r>
      <w:r w:rsidRPr="00515872">
        <w:rPr>
          <w:rFonts w:eastAsia="SymbolMT" w:cs="Tahoma"/>
          <w:szCs w:val="24"/>
        </w:rPr>
        <w:t>. L’ente non ha la facoltà di assorbire automaticamente il personale ivi impiegato in quanto tale comportamento si pone in contrasto con il disposto dell’art. 97, c. 4 della Costituzione, che prevede l’accesso agli impieghi della pubblica amministrazione unicamente mediante concorso. Secondo la Corte, il mancato ricorso a tale forma di reclutamento del personale non trova, nella specie, alcuna peculiare e straordinaria ragione giustificatrice, tanto da risolversi in un privilegio indebito per i soggetti che possono beneficiarne. La partecipazione di un ente pubblico, anche totalitaria, al capitale sociale della società titolare del servizio reinternalizzato non consentirebbe l’attribuzione della natura pubblicistica alla società e, conseguentemente, ai contratti di lavoro dalla stessa instaurati con i propri dipendenti.</w:t>
      </w:r>
    </w:p>
    <w:p w14:paraId="376E3C1D" w14:textId="77777777" w:rsidR="009518AF" w:rsidRPr="00515872" w:rsidRDefault="009518AF" w:rsidP="009518AF">
      <w:pPr>
        <w:autoSpaceDE w:val="0"/>
        <w:autoSpaceDN w:val="0"/>
        <w:adjustRightInd w:val="0"/>
        <w:spacing w:line="360" w:lineRule="auto"/>
        <w:jc w:val="both"/>
        <w:rPr>
          <w:rFonts w:eastAsia="SymbolMT" w:cs="Tahoma"/>
          <w:szCs w:val="24"/>
        </w:rPr>
      </w:pPr>
      <w:r w:rsidRPr="00515872">
        <w:rPr>
          <w:rFonts w:eastAsia="SymbolMT" w:cs="Tahoma"/>
          <w:szCs w:val="24"/>
        </w:rPr>
        <w:t>Fanno eccezione, secondo le conclusioni della Corte, i soggetti già dipendenti della pubblica amministrazione che ha esternalizzato il servizio, nonché provenienti da altre pubbliche amministrazioni.</w:t>
      </w:r>
    </w:p>
    <w:p w14:paraId="1B04E99F" w14:textId="77777777" w:rsidR="00FD7A88" w:rsidRPr="00515872" w:rsidRDefault="00716248" w:rsidP="00716248">
      <w:pPr>
        <w:autoSpaceDE w:val="0"/>
        <w:autoSpaceDN w:val="0"/>
        <w:adjustRightInd w:val="0"/>
        <w:spacing w:after="0" w:line="360" w:lineRule="auto"/>
        <w:jc w:val="both"/>
        <w:rPr>
          <w:rFonts w:eastAsia="SymbolMT" w:cs="Tahoma"/>
          <w:b/>
          <w:szCs w:val="24"/>
        </w:rPr>
      </w:pPr>
      <w:r w:rsidRPr="00515872">
        <w:rPr>
          <w:rFonts w:eastAsia="SymbolMT" w:cs="Tahoma"/>
          <w:b/>
          <w:szCs w:val="24"/>
        </w:rPr>
        <w:t xml:space="preserve">Nuove misure </w:t>
      </w:r>
      <w:r w:rsidR="009554A4" w:rsidRPr="00515872">
        <w:rPr>
          <w:rFonts w:eastAsia="SymbolMT" w:cs="Tahoma"/>
          <w:b/>
          <w:szCs w:val="24"/>
        </w:rPr>
        <w:t xml:space="preserve">in attuazione </w:t>
      </w:r>
      <w:r w:rsidRPr="00515872">
        <w:rPr>
          <w:rFonts w:eastAsia="SymbolMT" w:cs="Tahoma"/>
          <w:b/>
          <w:szCs w:val="24"/>
        </w:rPr>
        <w:t>del PNRR</w:t>
      </w:r>
    </w:p>
    <w:p w14:paraId="26833E5F" w14:textId="77777777" w:rsidR="009554A4" w:rsidRPr="00515872" w:rsidRDefault="00900FFC" w:rsidP="009518AF">
      <w:pPr>
        <w:autoSpaceDE w:val="0"/>
        <w:autoSpaceDN w:val="0"/>
        <w:adjustRightInd w:val="0"/>
        <w:spacing w:line="360" w:lineRule="auto"/>
        <w:jc w:val="both"/>
        <w:rPr>
          <w:rFonts w:cs="Tahoma"/>
        </w:rPr>
      </w:pPr>
      <w:r w:rsidRPr="00515872">
        <w:rPr>
          <w:rFonts w:cs="Tahoma"/>
        </w:rPr>
        <w:t xml:space="preserve">Il </w:t>
      </w:r>
      <w:r w:rsidRPr="00515872">
        <w:rPr>
          <w:rFonts w:cs="Tahoma"/>
          <w:bCs/>
        </w:rPr>
        <w:t>D.L 9</w:t>
      </w:r>
      <w:r w:rsidR="008170EF" w:rsidRPr="00515872">
        <w:rPr>
          <w:rFonts w:cs="Tahoma"/>
          <w:bCs/>
        </w:rPr>
        <w:t xml:space="preserve"> giugno</w:t>
      </w:r>
      <w:r w:rsidRPr="00515872">
        <w:rPr>
          <w:rFonts w:cs="Tahoma"/>
          <w:bCs/>
        </w:rPr>
        <w:t>.2021, n. 80</w:t>
      </w:r>
      <w:r w:rsidRPr="00515872">
        <w:rPr>
          <w:rFonts w:cs="Tahoma"/>
        </w:rPr>
        <w:t xml:space="preserve">, </w:t>
      </w:r>
      <w:r w:rsidR="008170EF" w:rsidRPr="00515872">
        <w:rPr>
          <w:rFonts w:cs="Tahoma"/>
        </w:rPr>
        <w:t>conv. L. 6 ottobre 2021,</w:t>
      </w:r>
      <w:r w:rsidRPr="00515872">
        <w:rPr>
          <w:rFonts w:cs="Tahoma"/>
        </w:rPr>
        <w:t xml:space="preserve"> n. 113, recante “</w:t>
      </w:r>
      <w:r w:rsidRPr="00515872">
        <w:rPr>
          <w:rFonts w:cs="Tahoma"/>
          <w:i/>
          <w:iCs/>
        </w:rPr>
        <w:t>Misure urgenti per il rafforzamento della capacità amministrativa delle pubbliche amministrazioni funzionale all'attuazione del Piano nazionale di ripresa e resilienza (PNRR) e per l'efficienza della giustizia</w:t>
      </w:r>
      <w:r w:rsidRPr="00515872">
        <w:rPr>
          <w:rFonts w:cs="Tahoma"/>
        </w:rPr>
        <w:t xml:space="preserve">”, ha </w:t>
      </w:r>
      <w:r w:rsidR="00D1416C" w:rsidRPr="00515872">
        <w:rPr>
          <w:rFonts w:cs="Tahoma"/>
        </w:rPr>
        <w:t xml:space="preserve">introdotto misure al fine di accelerare e snellire il processo di reclutamento di personale, con prevedibili </w:t>
      </w:r>
      <w:r w:rsidRPr="00515872">
        <w:rPr>
          <w:rFonts w:cs="Tahoma"/>
        </w:rPr>
        <w:t xml:space="preserve">notevoli benefici </w:t>
      </w:r>
      <w:r w:rsidR="00D1416C" w:rsidRPr="00515872">
        <w:rPr>
          <w:rFonts w:cs="Tahoma"/>
        </w:rPr>
        <w:t xml:space="preserve">per gli enti, </w:t>
      </w:r>
      <w:r w:rsidRPr="00515872">
        <w:rPr>
          <w:rFonts w:cs="Tahoma"/>
        </w:rPr>
        <w:t xml:space="preserve">sia in termini di </w:t>
      </w:r>
      <w:r w:rsidRPr="00515872">
        <w:rPr>
          <w:rFonts w:cs="Tahoma"/>
          <w:b/>
          <w:bCs/>
        </w:rPr>
        <w:t>risparmio di spesa</w:t>
      </w:r>
      <w:r w:rsidRPr="00515872">
        <w:rPr>
          <w:rFonts w:cs="Tahoma"/>
        </w:rPr>
        <w:t xml:space="preserve"> che </w:t>
      </w:r>
      <w:r w:rsidRPr="00515872">
        <w:rPr>
          <w:rFonts w:cs="Tahoma"/>
          <w:b/>
          <w:bCs/>
        </w:rPr>
        <w:t>di tempo</w:t>
      </w:r>
      <w:r w:rsidRPr="00515872">
        <w:rPr>
          <w:rFonts w:cs="Tahoma"/>
        </w:rPr>
        <w:t xml:space="preserve"> per espletare le procedure concorsuali ordinarie, consentendo così agli stessi di attingere nuove risorse umane attraverso “</w:t>
      </w:r>
      <w:r w:rsidRPr="00515872">
        <w:rPr>
          <w:rFonts w:cs="Tahoma"/>
          <w:i/>
          <w:iCs/>
        </w:rPr>
        <w:t>Elenchi di Idonei</w:t>
      </w:r>
      <w:r w:rsidRPr="00515872">
        <w:rPr>
          <w:rFonts w:cs="Tahoma"/>
        </w:rPr>
        <w:t>” per assunzioni a tempo indeterminato e determinato,</w:t>
      </w:r>
      <w:r w:rsidR="009554A4" w:rsidRPr="00515872">
        <w:rPr>
          <w:rFonts w:cs="Tahoma"/>
        </w:rPr>
        <w:t xml:space="preserve"> per vari profili professionali </w:t>
      </w:r>
      <w:r w:rsidRPr="00515872">
        <w:rPr>
          <w:rFonts w:cs="Tahoma"/>
        </w:rPr>
        <w:t>e categorie, anche in assenza del pia</w:t>
      </w:r>
      <w:r w:rsidR="009554A4" w:rsidRPr="00515872">
        <w:rPr>
          <w:rFonts w:cs="Tahoma"/>
        </w:rPr>
        <w:t>no del fabbisogno di personale.</w:t>
      </w:r>
    </w:p>
    <w:p w14:paraId="13FC928A" w14:textId="77777777" w:rsidR="00D1416C" w:rsidRPr="00515872" w:rsidRDefault="0015251C" w:rsidP="00D1416C">
      <w:pPr>
        <w:autoSpaceDE w:val="0"/>
        <w:autoSpaceDN w:val="0"/>
        <w:adjustRightInd w:val="0"/>
        <w:spacing w:line="360" w:lineRule="auto"/>
        <w:jc w:val="both"/>
        <w:rPr>
          <w:rFonts w:cs="Tahoma"/>
          <w:i/>
          <w:iCs/>
        </w:rPr>
      </w:pPr>
      <w:r w:rsidRPr="00515872">
        <w:rPr>
          <w:rFonts w:cs="Tahoma"/>
        </w:rPr>
        <w:t>In particolare,</w:t>
      </w:r>
      <w:r w:rsidR="00D1416C" w:rsidRPr="00515872">
        <w:rPr>
          <w:rFonts w:cs="Tahoma"/>
        </w:rPr>
        <w:t xml:space="preserve"> </w:t>
      </w:r>
      <w:r w:rsidRPr="00515872">
        <w:rPr>
          <w:rFonts w:cs="Tahoma"/>
        </w:rPr>
        <w:t>l</w:t>
      </w:r>
      <w:r w:rsidR="00D1416C" w:rsidRPr="00515872">
        <w:rPr>
          <w:rFonts w:cs="Tahoma"/>
        </w:rPr>
        <w:t xml:space="preserve">’art. 3-bis sancisce che: </w:t>
      </w:r>
      <w:r w:rsidR="00900FFC" w:rsidRPr="00515872">
        <w:rPr>
          <w:rFonts w:cs="Tahoma"/>
        </w:rPr>
        <w:t>“</w:t>
      </w:r>
      <w:r w:rsidR="00900FFC" w:rsidRPr="00515872">
        <w:rPr>
          <w:rFonts w:cs="Tahoma"/>
          <w:i/>
          <w:iCs/>
        </w:rPr>
        <w:t xml:space="preserve">Gli enti locali possono organizzare e gestire in forma aggregata, anche in assenza di un fabbisogno di personale, selezioni uniche per la formazione di elenchi di idonei all'assunzione </w:t>
      </w:r>
      <w:r w:rsidR="00900FFC" w:rsidRPr="00515872">
        <w:rPr>
          <w:rFonts w:cs="Tahoma"/>
          <w:i/>
          <w:iCs/>
        </w:rPr>
        <w:lastRenderedPageBreak/>
        <w:t>nei ruoli dell'amministrazione, sia a tempo indeterminato si</w:t>
      </w:r>
      <w:r w:rsidR="00D1416C" w:rsidRPr="00515872">
        <w:rPr>
          <w:rFonts w:cs="Tahoma"/>
          <w:i/>
          <w:iCs/>
        </w:rPr>
        <w:t xml:space="preserve">a a tempo determinato, per vari </w:t>
      </w:r>
      <w:r w:rsidR="00900FFC" w:rsidRPr="00515872">
        <w:rPr>
          <w:rFonts w:cs="Tahoma"/>
          <w:i/>
          <w:iCs/>
        </w:rPr>
        <w:t>profili professionali e ca</w:t>
      </w:r>
      <w:r w:rsidR="009554A4" w:rsidRPr="00515872">
        <w:rPr>
          <w:rFonts w:cs="Tahoma"/>
          <w:i/>
          <w:iCs/>
        </w:rPr>
        <w:t>tegorie, compresa la dirigenza</w:t>
      </w:r>
      <w:r w:rsidR="00D1416C" w:rsidRPr="00515872">
        <w:rPr>
          <w:rFonts w:cs="Tahoma"/>
          <w:i/>
          <w:iCs/>
        </w:rPr>
        <w:t xml:space="preserve"> […]”</w:t>
      </w:r>
      <w:r w:rsidR="009554A4" w:rsidRPr="00515872">
        <w:rPr>
          <w:rFonts w:cs="Tahoma"/>
          <w:i/>
          <w:iCs/>
        </w:rPr>
        <w:t>.</w:t>
      </w:r>
      <w:r w:rsidR="009554A4" w:rsidRPr="00515872">
        <w:rPr>
          <w:rFonts w:cs="Tahoma"/>
          <w:iCs/>
        </w:rPr>
        <w:t xml:space="preserve"> </w:t>
      </w:r>
      <w:r w:rsidR="00D1416C" w:rsidRPr="00515872">
        <w:rPr>
          <w:rFonts w:cs="Tahoma"/>
          <w:iCs/>
        </w:rPr>
        <w:t xml:space="preserve">In seguito, poi, </w:t>
      </w:r>
      <w:r w:rsidR="00D1416C" w:rsidRPr="00515872">
        <w:rPr>
          <w:rFonts w:cs="Tahoma"/>
          <w:i/>
          <w:iCs/>
        </w:rPr>
        <w:t xml:space="preserve">“[…] </w:t>
      </w:r>
      <w:r w:rsidR="00900FFC" w:rsidRPr="00515872">
        <w:rPr>
          <w:rFonts w:cs="Tahoma"/>
          <w:i/>
          <w:iCs/>
        </w:rPr>
        <w:t xml:space="preserve">Gli enti locali aderenti attingono agli elenchi di idonei di cui al comma 1 per la </w:t>
      </w:r>
      <w:r w:rsidR="00900FFC" w:rsidRPr="00515872">
        <w:rPr>
          <w:rFonts w:cs="Tahoma"/>
          <w:b/>
          <w:bCs/>
          <w:i/>
          <w:iCs/>
        </w:rPr>
        <w:t>copertura delle posizioni programmate</w:t>
      </w:r>
      <w:r w:rsidR="00900FFC" w:rsidRPr="00515872">
        <w:rPr>
          <w:rFonts w:cs="Tahoma"/>
          <w:i/>
          <w:iCs/>
        </w:rPr>
        <w:t xml:space="preserve"> nei rispettivi piani dei fabbisogni di personale, in assenza di proprie graduatorie in corso di validità. Gli enti locali interessati procedono alle assunzioni, previo interpello tra i soggetti inseriti negli elenchi, ogniqualvolta si verifichi la necess</w:t>
      </w:r>
      <w:r w:rsidR="009554A4" w:rsidRPr="00515872">
        <w:rPr>
          <w:rFonts w:cs="Tahoma"/>
          <w:i/>
          <w:iCs/>
        </w:rPr>
        <w:t xml:space="preserve">ità di procedere all'assunzione </w:t>
      </w:r>
      <w:r w:rsidR="00900FFC" w:rsidRPr="00515872">
        <w:rPr>
          <w:rFonts w:cs="Tahoma"/>
          <w:i/>
          <w:iCs/>
        </w:rPr>
        <w:t>di personale in base ai documenti programma</w:t>
      </w:r>
      <w:r w:rsidR="009554A4" w:rsidRPr="00515872">
        <w:rPr>
          <w:rFonts w:cs="Tahoma"/>
          <w:i/>
          <w:iCs/>
        </w:rPr>
        <w:t>tori definiti dal singolo ente</w:t>
      </w:r>
      <w:r w:rsidR="00D1416C" w:rsidRPr="00515872">
        <w:rPr>
          <w:rFonts w:cs="Tahoma"/>
          <w:i/>
          <w:iCs/>
        </w:rPr>
        <w:t xml:space="preserve"> […]</w:t>
      </w:r>
      <w:r w:rsidR="009554A4" w:rsidRPr="00515872">
        <w:rPr>
          <w:rFonts w:cs="Tahoma"/>
          <w:i/>
          <w:iCs/>
        </w:rPr>
        <w:t>.</w:t>
      </w:r>
    </w:p>
    <w:p w14:paraId="5B8E6B4F" w14:textId="77777777" w:rsidR="00D1416C" w:rsidRPr="00515872" w:rsidRDefault="00D1416C" w:rsidP="00D1416C">
      <w:pPr>
        <w:autoSpaceDE w:val="0"/>
        <w:autoSpaceDN w:val="0"/>
        <w:adjustRightInd w:val="0"/>
        <w:spacing w:line="360" w:lineRule="auto"/>
        <w:jc w:val="both"/>
        <w:rPr>
          <w:rFonts w:cs="Tahoma"/>
          <w:iCs/>
        </w:rPr>
      </w:pPr>
      <w:r w:rsidRPr="00515872">
        <w:rPr>
          <w:rFonts w:cs="Tahoma"/>
          <w:iCs/>
        </w:rPr>
        <w:t xml:space="preserve">L’ente </w:t>
      </w:r>
      <w:r w:rsidR="00900FFC" w:rsidRPr="00515872">
        <w:rPr>
          <w:rFonts w:cs="Tahoma"/>
          <w:iCs/>
        </w:rPr>
        <w:t>interessato all'assunzione</w:t>
      </w:r>
      <w:r w:rsidRPr="00515872">
        <w:rPr>
          <w:rFonts w:cs="Tahoma"/>
          <w:iCs/>
        </w:rPr>
        <w:t xml:space="preserve"> deve interpellare i soggetti inseriti negli elenchi al fine di </w:t>
      </w:r>
      <w:r w:rsidR="00900FFC" w:rsidRPr="00515872">
        <w:rPr>
          <w:rFonts w:cs="Tahoma"/>
          <w:iCs/>
        </w:rPr>
        <w:t>verificarne la disponibilità all'assunzione</w:t>
      </w:r>
      <w:r w:rsidRPr="00515872">
        <w:rPr>
          <w:rFonts w:cs="Tahoma"/>
          <w:iCs/>
        </w:rPr>
        <w:t xml:space="preserve"> e, in</w:t>
      </w:r>
      <w:r w:rsidR="00900FFC" w:rsidRPr="00515872">
        <w:rPr>
          <w:rFonts w:cs="Tahoma"/>
          <w:iCs/>
        </w:rPr>
        <w:t xml:space="preserve"> presenza di più soggetti interessati</w:t>
      </w:r>
      <w:r w:rsidRPr="00515872">
        <w:rPr>
          <w:rFonts w:cs="Tahoma"/>
          <w:iCs/>
        </w:rPr>
        <w:t xml:space="preserve">, </w:t>
      </w:r>
      <w:r w:rsidR="00900FFC" w:rsidRPr="00515872">
        <w:rPr>
          <w:rFonts w:cs="Tahoma"/>
          <w:iCs/>
        </w:rPr>
        <w:t>procede</w:t>
      </w:r>
      <w:r w:rsidRPr="00515872">
        <w:rPr>
          <w:rFonts w:cs="Tahoma"/>
          <w:iCs/>
        </w:rPr>
        <w:t>re</w:t>
      </w:r>
      <w:r w:rsidR="00900FFC" w:rsidRPr="00515872">
        <w:rPr>
          <w:rFonts w:cs="Tahoma"/>
          <w:iCs/>
        </w:rPr>
        <w:t xml:space="preserve"> ad effettuare una </w:t>
      </w:r>
      <w:r w:rsidR="00900FFC" w:rsidRPr="00515872">
        <w:rPr>
          <w:rFonts w:cs="Tahoma"/>
          <w:b/>
          <w:bCs/>
          <w:iCs/>
        </w:rPr>
        <w:t>prova selettiva scritta o orale</w:t>
      </w:r>
      <w:r w:rsidR="00900FFC" w:rsidRPr="00515872">
        <w:rPr>
          <w:rFonts w:cs="Tahoma"/>
          <w:iCs/>
        </w:rPr>
        <w:t xml:space="preserve"> diretta a formulare una graduatoria di merito da cui attingere per la copertura del posto disponibile.</w:t>
      </w:r>
    </w:p>
    <w:p w14:paraId="01B791DD" w14:textId="77777777" w:rsidR="0015251C" w:rsidRPr="00515872" w:rsidRDefault="00900FFC" w:rsidP="00D1416C">
      <w:pPr>
        <w:autoSpaceDE w:val="0"/>
        <w:autoSpaceDN w:val="0"/>
        <w:adjustRightInd w:val="0"/>
        <w:spacing w:line="360" w:lineRule="auto"/>
        <w:jc w:val="both"/>
        <w:rPr>
          <w:rFonts w:cs="Tahoma"/>
          <w:iCs/>
        </w:rPr>
      </w:pPr>
      <w:r w:rsidRPr="00515872">
        <w:rPr>
          <w:rFonts w:cs="Tahoma"/>
          <w:iCs/>
        </w:rPr>
        <w:t>Gli adempimenti relativi all</w:t>
      </w:r>
      <w:r w:rsidR="00D1416C" w:rsidRPr="00515872">
        <w:rPr>
          <w:rFonts w:cs="Tahoma"/>
          <w:iCs/>
        </w:rPr>
        <w:t xml:space="preserve">a </w:t>
      </w:r>
      <w:r w:rsidRPr="00515872">
        <w:rPr>
          <w:rFonts w:cs="Tahoma"/>
          <w:iCs/>
        </w:rPr>
        <w:t>formazione degli elenchi possono essere gestiti congiuntamente dagli enti</w:t>
      </w:r>
      <w:r w:rsidR="0015251C" w:rsidRPr="00515872">
        <w:rPr>
          <w:rFonts w:cs="Tahoma"/>
          <w:iCs/>
        </w:rPr>
        <w:t>.</w:t>
      </w:r>
    </w:p>
    <w:p w14:paraId="7A638ECB" w14:textId="77777777" w:rsidR="0015251C" w:rsidRPr="00515872" w:rsidRDefault="0015251C" w:rsidP="0015251C">
      <w:pPr>
        <w:autoSpaceDE w:val="0"/>
        <w:autoSpaceDN w:val="0"/>
        <w:adjustRightInd w:val="0"/>
        <w:spacing w:line="360" w:lineRule="auto"/>
        <w:jc w:val="both"/>
        <w:rPr>
          <w:rFonts w:cs="Tahoma"/>
          <w:szCs w:val="24"/>
        </w:rPr>
      </w:pPr>
      <w:r w:rsidRPr="00515872">
        <w:rPr>
          <w:rFonts w:cs="Tahoma"/>
        </w:rPr>
        <w:t xml:space="preserve">Gli stessi </w:t>
      </w:r>
      <w:r w:rsidR="00D1416C" w:rsidRPr="00515872">
        <w:rPr>
          <w:rFonts w:cs="Tahoma"/>
        </w:rPr>
        <w:t>elenchi possono essere utilizzati per la copertura, con assunzioni a tempo indeterminato o a tempo determinato, dei posti che si rendono vacanti in organico a causa del passaggio diretto di propri dipendenti presso altre amministrazioni.</w:t>
      </w:r>
    </w:p>
    <w:p w14:paraId="5869F4D6" w14:textId="77777777" w:rsidR="00D1416C" w:rsidRPr="00515872" w:rsidRDefault="00D1416C" w:rsidP="0015251C">
      <w:pPr>
        <w:autoSpaceDE w:val="0"/>
        <w:autoSpaceDN w:val="0"/>
        <w:adjustRightInd w:val="0"/>
        <w:spacing w:line="360" w:lineRule="auto"/>
        <w:jc w:val="both"/>
        <w:rPr>
          <w:rFonts w:cs="Tahoma"/>
        </w:rPr>
      </w:pPr>
      <w:r w:rsidRPr="00515872">
        <w:rPr>
          <w:rFonts w:cs="Tahoma"/>
        </w:rPr>
        <w:t xml:space="preserve">Le procedure selettive sono soggette alle forme </w:t>
      </w:r>
      <w:r w:rsidR="0015251C" w:rsidRPr="00515872">
        <w:rPr>
          <w:rFonts w:cs="Tahoma"/>
        </w:rPr>
        <w:t xml:space="preserve">pubblicitarie </w:t>
      </w:r>
      <w:r w:rsidRPr="00515872">
        <w:rPr>
          <w:rFonts w:cs="Tahoma"/>
        </w:rPr>
        <w:t xml:space="preserve">previste </w:t>
      </w:r>
      <w:r w:rsidR="0015251C" w:rsidRPr="00515872">
        <w:rPr>
          <w:rFonts w:cs="Tahoma"/>
        </w:rPr>
        <w:t>dall</w:t>
      </w:r>
      <w:r w:rsidRPr="00515872">
        <w:rPr>
          <w:rFonts w:cs="Tahoma"/>
        </w:rPr>
        <w:t>a legislazione vigente.</w:t>
      </w:r>
    </w:p>
    <w:p w14:paraId="73E2A6A8" w14:textId="77777777" w:rsidR="00277513" w:rsidRPr="00515872" w:rsidRDefault="00277513" w:rsidP="00297A21">
      <w:pPr>
        <w:pStyle w:val="Paragrafo"/>
      </w:pPr>
      <w:bookmarkStart w:id="209" w:name="_Toc521317124"/>
    </w:p>
    <w:p w14:paraId="592070F8" w14:textId="77777777" w:rsidR="009518AF" w:rsidRPr="00515872" w:rsidRDefault="00AD2719" w:rsidP="00297A21">
      <w:pPr>
        <w:pStyle w:val="Paragrafo"/>
      </w:pPr>
      <w:bookmarkStart w:id="210" w:name="_Toc95912314"/>
      <w:r w:rsidRPr="00515872">
        <w:t>6</w:t>
      </w:r>
      <w:r w:rsidR="009518AF" w:rsidRPr="00515872">
        <w:t>.16 Vigilanza sulla regolarità contabile, finanziaria ed economica</w:t>
      </w:r>
      <w:bookmarkEnd w:id="209"/>
      <w:bookmarkEnd w:id="210"/>
    </w:p>
    <w:p w14:paraId="4C9AB056" w14:textId="77777777" w:rsidR="009518AF" w:rsidRPr="00515872" w:rsidRDefault="009518AF" w:rsidP="009518AF">
      <w:pPr>
        <w:spacing w:after="0" w:line="360" w:lineRule="auto"/>
        <w:jc w:val="both"/>
        <w:rPr>
          <w:rFonts w:cs="Tahoma"/>
        </w:rPr>
      </w:pPr>
      <w:r w:rsidRPr="00515872">
        <w:rPr>
          <w:rFonts w:cs="Tahoma"/>
        </w:rPr>
        <w:t>Il controllo contabile è l'insieme di operazioni con le quali i revisori verificano gli atti dell'ente, alla luce delle norme di legge, di statuto, del regolamento di contabilità e dei principi contabili. Esso è realizzato in modo sistematico e duraturo, mediante attività ed operazioni aventi ad oggetto atti e documenti prodotti dall'ente che hanno contenuto e rilevanza relativamente alla contabilità pubblica e sugli adempimenti obbligatori da un punto di vista contabile, per intercettare fattori critici quali, ad esempio:</w:t>
      </w:r>
    </w:p>
    <w:p w14:paraId="656BAFB4"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l’esecuzione di spese senza copertura finanziaria o senza assunzione dell’impegno;</w:t>
      </w:r>
    </w:p>
    <w:p w14:paraId="6F406BC6"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l’irregolare tenuta della contabilità;</w:t>
      </w:r>
    </w:p>
    <w:p w14:paraId="15736D8A"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le variazioni al bilancio di giunta non sottoposte a ratifica del consiglio;</w:t>
      </w:r>
    </w:p>
    <w:p w14:paraId="083DFC1C"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l’evidente mancata attendibilità delle previsioni di entrata e sottostima delle spese;</w:t>
      </w:r>
    </w:p>
    <w:p w14:paraId="4CFD81C2"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mancanza di pareri sugli atti amministrativi;</w:t>
      </w:r>
    </w:p>
    <w:p w14:paraId="3467C32C"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gestione provvisoria non autorizzata;</w:t>
      </w:r>
    </w:p>
    <w:p w14:paraId="0BB744B5"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l’utilizzo di entrate con vincolo di destinazione per scopi diversi;</w:t>
      </w:r>
    </w:p>
    <w:p w14:paraId="10D37F71"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il mancato rispetto del limite di anticipazione di tesoreria e per il ricorso all’indebitamento;</w:t>
      </w:r>
    </w:p>
    <w:p w14:paraId="1CCCC18F"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mancata adozione dei piani economico-finanziari quando previsti;</w:t>
      </w:r>
    </w:p>
    <w:p w14:paraId="762A4491"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mancata resa del conto degli agenti contabili;</w:t>
      </w:r>
    </w:p>
    <w:p w14:paraId="4E9562AA"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lastRenderedPageBreak/>
        <w:t>la mancata predisposizione nei termini dello schema di bilancio e di rendiconto da parte della giunta;</w:t>
      </w:r>
    </w:p>
    <w:p w14:paraId="53F6F47D"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il mancato rispetto dei termini per l’approvazione del bilancio e del rendiconto;</w:t>
      </w:r>
    </w:p>
    <w:p w14:paraId="440E4C5B"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mancata adozione dei provvedimenti di ripiano del disavanzo e del riequilibrio della gestione;</w:t>
      </w:r>
    </w:p>
    <w:p w14:paraId="73941CF1"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l’esistenza di debiti fuori bilancio senza provvedimento di copertura;</w:t>
      </w:r>
    </w:p>
    <w:p w14:paraId="14273A3F"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l’esistenza di gestioni fuori bilancio;</w:t>
      </w:r>
    </w:p>
    <w:p w14:paraId="3FF23D8E"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mancata tenuta degli inventari;</w:t>
      </w:r>
    </w:p>
    <w:p w14:paraId="4B30530B"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mancata adozione della delibera di dissesto;</w:t>
      </w:r>
    </w:p>
    <w:p w14:paraId="17EE9A66"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violazione di norme fiscali, previdenziali ed assicurative sanzionabili;</w:t>
      </w:r>
    </w:p>
    <w:p w14:paraId="37A606E2"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 xml:space="preserve">la </w:t>
      </w:r>
      <w:r w:rsidR="00F43777" w:rsidRPr="00515872">
        <w:rPr>
          <w:rFonts w:cs="Tahoma"/>
          <w:iCs/>
        </w:rPr>
        <w:t>mancata</w:t>
      </w:r>
      <w:r w:rsidRPr="00515872">
        <w:rPr>
          <w:rFonts w:cs="Tahoma"/>
          <w:iCs/>
        </w:rPr>
        <w:t xml:space="preserve"> applicazione delle sanzioni sul mancato rispetto del patto di stabilità o dell’equilibrio fra entrate e spese finali;</w:t>
      </w:r>
    </w:p>
    <w:p w14:paraId="7762DF0B"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il mancato rispetto della normativa sui limiti alle assunzioni del personale;</w:t>
      </w:r>
    </w:p>
    <w:p w14:paraId="2713AC1F"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il mancato rispetto dei vincoli di spesa sul personale e nella contrattazione decentrata integrativa;</w:t>
      </w:r>
    </w:p>
    <w:p w14:paraId="38BEF64E"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il mancato rispetto della normativa contrattuale e delle procedure di aggiudicazione che possano</w:t>
      </w:r>
      <w:r w:rsidRPr="00515872">
        <w:rPr>
          <w:rFonts w:cs="Tahoma"/>
        </w:rPr>
        <w:t xml:space="preserve"> </w:t>
      </w:r>
      <w:r w:rsidRPr="00515872">
        <w:rPr>
          <w:rFonts w:cs="Tahoma"/>
          <w:iCs/>
        </w:rPr>
        <w:t xml:space="preserve">inficiare la </w:t>
      </w:r>
      <w:r w:rsidRPr="00515872">
        <w:rPr>
          <w:rFonts w:cs="Tahoma"/>
          <w:i/>
          <w:iCs/>
        </w:rPr>
        <w:t>“par condicio”</w:t>
      </w:r>
      <w:r w:rsidRPr="00515872">
        <w:rPr>
          <w:rFonts w:cs="Tahoma"/>
          <w:iCs/>
        </w:rPr>
        <w:t xml:space="preserve"> dei concorrenti;</w:t>
      </w:r>
    </w:p>
    <w:p w14:paraId="10FBEE66" w14:textId="77777777" w:rsidR="009518AF" w:rsidRPr="00515872" w:rsidRDefault="009518AF" w:rsidP="00D65838">
      <w:pPr>
        <w:pStyle w:val="Paragrafoelenco"/>
        <w:numPr>
          <w:ilvl w:val="0"/>
          <w:numId w:val="148"/>
        </w:numPr>
        <w:spacing w:line="360" w:lineRule="auto"/>
        <w:jc w:val="both"/>
        <w:rPr>
          <w:rFonts w:cs="Tahoma"/>
        </w:rPr>
      </w:pPr>
      <w:r w:rsidRPr="00515872">
        <w:rPr>
          <w:rFonts w:cs="Tahoma"/>
          <w:iCs/>
        </w:rPr>
        <w:t>la rilevazione di rea</w:t>
      </w:r>
      <w:r w:rsidR="00F73120" w:rsidRPr="00515872">
        <w:rPr>
          <w:rFonts w:cs="Tahoma"/>
          <w:iCs/>
        </w:rPr>
        <w:t>ti commessi durante la gestione;</w:t>
      </w:r>
    </w:p>
    <w:p w14:paraId="2BF56D49" w14:textId="77777777" w:rsidR="00F73120" w:rsidRPr="00515872" w:rsidRDefault="00F73120" w:rsidP="00D65838">
      <w:pPr>
        <w:pStyle w:val="Paragrafoelenco"/>
        <w:numPr>
          <w:ilvl w:val="0"/>
          <w:numId w:val="148"/>
        </w:numPr>
        <w:spacing w:line="360" w:lineRule="auto"/>
        <w:jc w:val="both"/>
        <w:rPr>
          <w:rFonts w:cs="Tahoma"/>
          <w:szCs w:val="20"/>
        </w:rPr>
      </w:pPr>
      <w:r w:rsidRPr="00515872">
        <w:rPr>
          <w:rFonts w:cs="Tahoma"/>
          <w:color w:val="000000"/>
          <w:szCs w:val="20"/>
        </w:rPr>
        <w:t>il mancato rispetto del principio della competenza finanziaria potenziata;</w:t>
      </w:r>
    </w:p>
    <w:p w14:paraId="016E6623" w14:textId="77777777" w:rsidR="00F73120" w:rsidRPr="00515872" w:rsidRDefault="00F73120" w:rsidP="00D65838">
      <w:pPr>
        <w:pStyle w:val="Paragrafoelenco"/>
        <w:numPr>
          <w:ilvl w:val="0"/>
          <w:numId w:val="148"/>
        </w:numPr>
        <w:spacing w:line="360" w:lineRule="auto"/>
        <w:jc w:val="both"/>
        <w:rPr>
          <w:rFonts w:cs="Tahoma"/>
          <w:szCs w:val="20"/>
        </w:rPr>
      </w:pPr>
      <w:r w:rsidRPr="00515872">
        <w:rPr>
          <w:rFonts w:cs="Tahoma"/>
          <w:color w:val="000000"/>
          <w:szCs w:val="20"/>
        </w:rPr>
        <w:t>la mancata informazione sull’esistenza dei debiti fuori bilancio o di passività potenziali e probabili;</w:t>
      </w:r>
    </w:p>
    <w:p w14:paraId="0350ED50" w14:textId="77777777" w:rsidR="00F73120" w:rsidRPr="00515872" w:rsidRDefault="00F73120" w:rsidP="00D65838">
      <w:pPr>
        <w:pStyle w:val="Paragrafoelenco"/>
        <w:numPr>
          <w:ilvl w:val="0"/>
          <w:numId w:val="148"/>
        </w:numPr>
        <w:spacing w:line="360" w:lineRule="auto"/>
        <w:jc w:val="both"/>
        <w:rPr>
          <w:rFonts w:cs="Tahoma"/>
          <w:szCs w:val="20"/>
        </w:rPr>
      </w:pPr>
      <w:r w:rsidRPr="00515872">
        <w:rPr>
          <w:rFonts w:cs="Tahoma"/>
          <w:color w:val="000000"/>
          <w:szCs w:val="20"/>
        </w:rPr>
        <w:t>la mancata regolarizzazione di ordinazioni per lavori pubblici di somma urgenza;</w:t>
      </w:r>
    </w:p>
    <w:p w14:paraId="52ACCA10" w14:textId="77777777" w:rsidR="00F73120" w:rsidRPr="00515872" w:rsidRDefault="00F73120" w:rsidP="00D65838">
      <w:pPr>
        <w:pStyle w:val="Paragrafoelenco"/>
        <w:numPr>
          <w:ilvl w:val="0"/>
          <w:numId w:val="148"/>
        </w:numPr>
        <w:spacing w:line="360" w:lineRule="auto"/>
        <w:jc w:val="both"/>
        <w:rPr>
          <w:rFonts w:cs="Tahoma"/>
          <w:szCs w:val="20"/>
        </w:rPr>
      </w:pPr>
      <w:r w:rsidRPr="00515872">
        <w:rPr>
          <w:rFonts w:cs="Tahoma"/>
          <w:color w:val="000000"/>
          <w:szCs w:val="20"/>
        </w:rPr>
        <w:t>i maggiori oneri per ritardati pagamenti non giustificati.</w:t>
      </w:r>
    </w:p>
    <w:p w14:paraId="49D0AF66" w14:textId="77777777" w:rsidR="009518AF" w:rsidRPr="00515872" w:rsidRDefault="009518AF" w:rsidP="009518AF">
      <w:pPr>
        <w:spacing w:line="360" w:lineRule="auto"/>
        <w:jc w:val="both"/>
        <w:rPr>
          <w:rFonts w:cs="Tahoma"/>
        </w:rPr>
      </w:pPr>
      <w:r w:rsidRPr="00515872">
        <w:rPr>
          <w:rFonts w:cs="Tahoma"/>
          <w:szCs w:val="20"/>
        </w:rPr>
        <w:t>L’art</w:t>
      </w:r>
      <w:r w:rsidRPr="00515872">
        <w:rPr>
          <w:rFonts w:cs="Tahoma"/>
        </w:rPr>
        <w:t>. 239, c. 1, lett. c) del TUEL consente l’esercizio dell’azione di vigilanza mediante tecniche motivate di campionamento. Questo implica che la tecnica di campionamento deve essere motivata e può essere di carattere soggettivo ovvero statistico, ferma restando la necessità che la formazione del campione avvenga secondo criteri razionali. L’obiettivo del revisore è quello di conseguire elementi ragionevoli in base ai quali trarre conclusioni sulla popolazione della quale il campione è rappresentativo.</w:t>
      </w:r>
    </w:p>
    <w:p w14:paraId="65E5B6A4" w14:textId="77777777" w:rsidR="00D25E4A" w:rsidRPr="00515872" w:rsidRDefault="00D25E4A" w:rsidP="009518AF">
      <w:pPr>
        <w:spacing w:line="360" w:lineRule="auto"/>
        <w:jc w:val="both"/>
        <w:rPr>
          <w:rFonts w:cs="Tahoma"/>
        </w:rPr>
      </w:pPr>
      <w:r w:rsidRPr="00515872">
        <w:rPr>
          <w:rFonts w:cs="Tahoma"/>
        </w:rPr>
        <w:t>L’organo di revisione effettua controlli periodici secondo un programma rivolto all’intera durata del proprio mandato esercitando un controllo concomitante della gestione.</w:t>
      </w:r>
    </w:p>
    <w:p w14:paraId="389CA292" w14:textId="77777777" w:rsidR="009518AF" w:rsidRPr="00515872" w:rsidRDefault="009518AF" w:rsidP="00D136F5">
      <w:pPr>
        <w:autoSpaceDE w:val="0"/>
        <w:autoSpaceDN w:val="0"/>
        <w:adjustRightInd w:val="0"/>
        <w:spacing w:after="0" w:line="360" w:lineRule="auto"/>
        <w:ind w:left="142" w:hanging="142"/>
        <w:jc w:val="both"/>
        <w:rPr>
          <w:rFonts w:cs="Tahoma"/>
          <w:color w:val="000000"/>
        </w:rPr>
      </w:pPr>
      <w:r w:rsidRPr="00515872">
        <w:rPr>
          <w:rFonts w:cs="Tahoma"/>
          <w:color w:val="000000"/>
        </w:rPr>
        <w:t>Il controllo contabile è volto a:</w:t>
      </w:r>
    </w:p>
    <w:p w14:paraId="6C159194" w14:textId="77777777" w:rsidR="009518AF" w:rsidRPr="00515872" w:rsidRDefault="009518AF" w:rsidP="00D65838">
      <w:pPr>
        <w:pStyle w:val="Paragrafoelenco"/>
        <w:numPr>
          <w:ilvl w:val="0"/>
          <w:numId w:val="148"/>
        </w:numPr>
        <w:spacing w:line="360" w:lineRule="auto"/>
        <w:jc w:val="both"/>
        <w:rPr>
          <w:rFonts w:cs="Tahoma"/>
          <w:sz w:val="18"/>
        </w:rPr>
      </w:pPr>
      <w:r w:rsidRPr="00515872">
        <w:rPr>
          <w:rFonts w:cs="Tahoma"/>
          <w:color w:val="000000"/>
        </w:rPr>
        <w:t>verificare il rispetto della legge, dello statuto e dei regolamenti nella tenuta della contabilità;</w:t>
      </w:r>
    </w:p>
    <w:p w14:paraId="127ED31B" w14:textId="77777777" w:rsidR="009518AF" w:rsidRPr="00515872" w:rsidRDefault="009518AF" w:rsidP="00D65838">
      <w:pPr>
        <w:pStyle w:val="Paragrafoelenco"/>
        <w:numPr>
          <w:ilvl w:val="0"/>
          <w:numId w:val="148"/>
        </w:numPr>
        <w:spacing w:line="360" w:lineRule="auto"/>
        <w:jc w:val="both"/>
        <w:rPr>
          <w:rFonts w:cs="Tahoma"/>
          <w:sz w:val="18"/>
        </w:rPr>
      </w:pPr>
      <w:r w:rsidRPr="00515872">
        <w:rPr>
          <w:rFonts w:cs="Tahoma"/>
          <w:color w:val="000000"/>
        </w:rPr>
        <w:t>verificare il rispetto dei principi contabili elaborati ed approvati, sia in materia di contabilità pubblica, sia di contabilità del sistema privato;</w:t>
      </w:r>
    </w:p>
    <w:p w14:paraId="26755B7F" w14:textId="77777777" w:rsidR="009518AF" w:rsidRPr="00515872" w:rsidRDefault="009518AF" w:rsidP="00D65838">
      <w:pPr>
        <w:pStyle w:val="Paragrafoelenco"/>
        <w:numPr>
          <w:ilvl w:val="0"/>
          <w:numId w:val="148"/>
        </w:numPr>
        <w:spacing w:line="360" w:lineRule="auto"/>
        <w:jc w:val="both"/>
        <w:rPr>
          <w:rFonts w:cs="Tahoma"/>
          <w:sz w:val="18"/>
        </w:rPr>
      </w:pPr>
      <w:r w:rsidRPr="00515872">
        <w:rPr>
          <w:rFonts w:cs="Tahoma"/>
          <w:color w:val="000000"/>
        </w:rPr>
        <w:t>verifica in ordine ai metodi, alle tecniche e alle procedure di rilevazione contabile dei fatti amministrativi di esercizio dell’</w:t>
      </w:r>
      <w:r w:rsidR="00F368FF" w:rsidRPr="00515872">
        <w:rPr>
          <w:rFonts w:cs="Tahoma"/>
          <w:color w:val="000000"/>
        </w:rPr>
        <w:t>e</w:t>
      </w:r>
      <w:r w:rsidRPr="00515872">
        <w:rPr>
          <w:rFonts w:cs="Tahoma"/>
          <w:color w:val="000000"/>
        </w:rPr>
        <w:t xml:space="preserve">nte. </w:t>
      </w:r>
    </w:p>
    <w:p w14:paraId="7F43E2D0" w14:textId="77777777" w:rsidR="009518AF" w:rsidRPr="00515872" w:rsidRDefault="009518AF" w:rsidP="009518AF">
      <w:pPr>
        <w:spacing w:after="0" w:line="360" w:lineRule="auto"/>
        <w:jc w:val="both"/>
        <w:rPr>
          <w:rFonts w:cs="Tahoma"/>
        </w:rPr>
      </w:pPr>
      <w:r w:rsidRPr="00515872">
        <w:rPr>
          <w:rFonts w:cs="Tahoma"/>
          <w:iCs/>
        </w:rPr>
        <w:t>Le verifiche sulla regolarità contabile devono essere maggiormente attenzionate dall’organo di cont</w:t>
      </w:r>
      <w:r w:rsidR="00F368FF" w:rsidRPr="00515872">
        <w:rPr>
          <w:rFonts w:cs="Tahoma"/>
        </w:rPr>
        <w:t xml:space="preserve">rollo </w:t>
      </w:r>
      <w:r w:rsidRPr="00515872">
        <w:rPr>
          <w:rFonts w:cs="Tahoma"/>
        </w:rPr>
        <w:t>qualora si rilevi:</w:t>
      </w:r>
    </w:p>
    <w:p w14:paraId="6A6130EF" w14:textId="77777777" w:rsidR="009518AF" w:rsidRPr="00515872" w:rsidRDefault="009518AF" w:rsidP="00D65838">
      <w:pPr>
        <w:pStyle w:val="Paragrafoelenco"/>
        <w:numPr>
          <w:ilvl w:val="0"/>
          <w:numId w:val="113"/>
        </w:numPr>
        <w:spacing w:line="360" w:lineRule="auto"/>
        <w:jc w:val="both"/>
        <w:rPr>
          <w:rFonts w:cs="Tahoma"/>
        </w:rPr>
      </w:pPr>
      <w:r w:rsidRPr="00515872">
        <w:rPr>
          <w:rFonts w:cs="Tahoma"/>
        </w:rPr>
        <w:lastRenderedPageBreak/>
        <w:t>un saldo di cassa modesto;</w:t>
      </w:r>
    </w:p>
    <w:p w14:paraId="2D9F25E7" w14:textId="77777777" w:rsidR="009518AF" w:rsidRPr="00515872" w:rsidRDefault="009518AF" w:rsidP="00D65838">
      <w:pPr>
        <w:pStyle w:val="Paragrafoelenco"/>
        <w:numPr>
          <w:ilvl w:val="0"/>
          <w:numId w:val="113"/>
        </w:numPr>
        <w:spacing w:line="360" w:lineRule="auto"/>
        <w:jc w:val="both"/>
        <w:rPr>
          <w:rFonts w:cs="Tahoma"/>
        </w:rPr>
      </w:pPr>
      <w:r w:rsidRPr="00515872">
        <w:rPr>
          <w:rFonts w:cs="Tahoma"/>
        </w:rPr>
        <w:t>un risultato di amministrazione modesto o negativo;</w:t>
      </w:r>
    </w:p>
    <w:p w14:paraId="4D7DEA08" w14:textId="77777777" w:rsidR="009518AF" w:rsidRPr="00515872" w:rsidRDefault="009518AF" w:rsidP="00D65838">
      <w:pPr>
        <w:pStyle w:val="Paragrafoelenco"/>
        <w:numPr>
          <w:ilvl w:val="0"/>
          <w:numId w:val="113"/>
        </w:numPr>
        <w:spacing w:line="360" w:lineRule="auto"/>
        <w:jc w:val="both"/>
        <w:rPr>
          <w:rFonts w:cs="Tahoma"/>
        </w:rPr>
      </w:pPr>
      <w:r w:rsidRPr="00515872">
        <w:rPr>
          <w:rFonts w:cs="Tahoma"/>
        </w:rPr>
        <w:t>un ripetuto utilizzo dell’anticipazione di tesoreria;</w:t>
      </w:r>
    </w:p>
    <w:p w14:paraId="728809F2" w14:textId="77777777" w:rsidR="009518AF" w:rsidRPr="00515872" w:rsidRDefault="009518AF" w:rsidP="00D65838">
      <w:pPr>
        <w:pStyle w:val="Paragrafoelenco"/>
        <w:numPr>
          <w:ilvl w:val="0"/>
          <w:numId w:val="113"/>
        </w:numPr>
        <w:spacing w:line="360" w:lineRule="auto"/>
        <w:jc w:val="both"/>
        <w:rPr>
          <w:rFonts w:cs="Tahoma"/>
        </w:rPr>
      </w:pPr>
      <w:r w:rsidRPr="00515872">
        <w:rPr>
          <w:rFonts w:cs="Tahoma"/>
        </w:rPr>
        <w:t>un disequilibrio consolidato della parte corrente del bilancio;</w:t>
      </w:r>
    </w:p>
    <w:p w14:paraId="67F28F55" w14:textId="77777777" w:rsidR="009518AF" w:rsidRPr="00515872" w:rsidRDefault="009518AF" w:rsidP="00D65838">
      <w:pPr>
        <w:pStyle w:val="Paragrafoelenco"/>
        <w:numPr>
          <w:ilvl w:val="0"/>
          <w:numId w:val="113"/>
        </w:numPr>
        <w:spacing w:line="360" w:lineRule="auto"/>
        <w:jc w:val="both"/>
        <w:rPr>
          <w:rFonts w:cs="Tahoma"/>
        </w:rPr>
      </w:pPr>
      <w:r w:rsidRPr="00515872">
        <w:rPr>
          <w:rFonts w:cs="Tahoma"/>
        </w:rPr>
        <w:t>un’anomala modalità di gesti</w:t>
      </w:r>
      <w:r w:rsidR="00D25E4A" w:rsidRPr="00515872">
        <w:rPr>
          <w:rFonts w:cs="Tahoma"/>
        </w:rPr>
        <w:t>one dei servizi per conto terzi;</w:t>
      </w:r>
    </w:p>
    <w:p w14:paraId="5F71AAFC" w14:textId="77777777" w:rsidR="00D25E4A" w:rsidRPr="00515872" w:rsidRDefault="00D136F5" w:rsidP="00D65838">
      <w:pPr>
        <w:pStyle w:val="Paragrafoelenco"/>
        <w:numPr>
          <w:ilvl w:val="0"/>
          <w:numId w:val="113"/>
        </w:numPr>
        <w:spacing w:line="360" w:lineRule="auto"/>
        <w:jc w:val="both"/>
        <w:rPr>
          <w:rFonts w:cs="Tahoma"/>
        </w:rPr>
      </w:pPr>
      <w:r w:rsidRPr="00515872">
        <w:rPr>
          <w:rFonts w:cs="Tahoma"/>
        </w:rPr>
        <w:t xml:space="preserve">un </w:t>
      </w:r>
      <w:r w:rsidR="00D25E4A" w:rsidRPr="00515872">
        <w:rPr>
          <w:rFonts w:cs="Tahoma"/>
        </w:rPr>
        <w:t>aumento non giustificato delle spese in favore dei gruppi consiliari e degli organi istituzionali.</w:t>
      </w:r>
    </w:p>
    <w:p w14:paraId="26B97019" w14:textId="77777777" w:rsidR="00277513" w:rsidRPr="00515872" w:rsidRDefault="00277513" w:rsidP="009518AF">
      <w:pPr>
        <w:pStyle w:val="Sottoparagrafo"/>
        <w:ind w:left="0" w:firstLine="0"/>
        <w:rPr>
          <w:rFonts w:cs="Tahoma"/>
        </w:rPr>
      </w:pPr>
      <w:bookmarkStart w:id="211" w:name="_Toc521317125"/>
    </w:p>
    <w:p w14:paraId="330E2DCC" w14:textId="77777777" w:rsidR="009518AF" w:rsidRPr="00515872" w:rsidRDefault="00AD2719" w:rsidP="009518AF">
      <w:pPr>
        <w:pStyle w:val="Sottoparagrafo"/>
        <w:ind w:left="0" w:firstLine="0"/>
        <w:rPr>
          <w:rFonts w:cs="Tahoma"/>
        </w:rPr>
      </w:pPr>
      <w:bookmarkStart w:id="212" w:name="_Toc95912315"/>
      <w:r w:rsidRPr="00515872">
        <w:rPr>
          <w:rFonts w:cs="Tahoma"/>
        </w:rPr>
        <w:t>6</w:t>
      </w:r>
      <w:r w:rsidR="009518AF" w:rsidRPr="00515872">
        <w:rPr>
          <w:rFonts w:cs="Tahoma"/>
        </w:rPr>
        <w:t>.16.1 Gestione delle entrate</w:t>
      </w:r>
      <w:bookmarkEnd w:id="211"/>
      <w:bookmarkEnd w:id="212"/>
    </w:p>
    <w:p w14:paraId="41FFC639"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L'organo di revisione deve verificare la gestione complessiva delle entrate, anche mediante verifiche a campione, nel corso dell’esercizio, al fine di appurare:</w:t>
      </w:r>
    </w:p>
    <w:p w14:paraId="0C644DC1" w14:textId="77777777" w:rsidR="009518AF" w:rsidRPr="00515872" w:rsidRDefault="009518AF" w:rsidP="00D65838">
      <w:pPr>
        <w:pStyle w:val="Paragrafoelenco"/>
        <w:numPr>
          <w:ilvl w:val="0"/>
          <w:numId w:val="110"/>
        </w:numPr>
        <w:spacing w:line="360" w:lineRule="auto"/>
        <w:jc w:val="both"/>
        <w:rPr>
          <w:rFonts w:cs="Tahoma"/>
          <w:color w:val="000000"/>
          <w:szCs w:val="20"/>
        </w:rPr>
      </w:pPr>
      <w:r w:rsidRPr="00515872">
        <w:rPr>
          <w:rFonts w:cs="Tahoma"/>
          <w:color w:val="000000"/>
          <w:szCs w:val="20"/>
        </w:rPr>
        <w:t>che l'attività di accertamento delle entrate venga effettuata correttamente, nei tempi e nei modi previsti;</w:t>
      </w:r>
    </w:p>
    <w:p w14:paraId="7F079ECE" w14:textId="77777777" w:rsidR="009518AF" w:rsidRPr="00515872" w:rsidRDefault="009518AF" w:rsidP="00D65838">
      <w:pPr>
        <w:pStyle w:val="Paragrafoelenco"/>
        <w:numPr>
          <w:ilvl w:val="0"/>
          <w:numId w:val="110"/>
        </w:numPr>
        <w:spacing w:line="360" w:lineRule="auto"/>
        <w:jc w:val="both"/>
        <w:rPr>
          <w:rFonts w:cs="Tahoma"/>
          <w:color w:val="000000"/>
          <w:szCs w:val="20"/>
        </w:rPr>
      </w:pPr>
      <w:r w:rsidRPr="00515872">
        <w:rPr>
          <w:rFonts w:cs="Tahoma"/>
          <w:color w:val="000000"/>
          <w:szCs w:val="20"/>
        </w:rPr>
        <w:t>l'andamento complessivo delle entrate, per tenere sotto controllo gli equilibri generali del bilancio, che possono risultare compromessi in presenza di entrate tendenzialmente inferiori rispetto alle previsioni.</w:t>
      </w:r>
    </w:p>
    <w:p w14:paraId="62643FCB"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È necessario tener presente che l'andamento di talune entrate può essere verificato mensilmente, mentre per altre è necessario attendere determinate scadenze </w:t>
      </w:r>
      <w:r w:rsidR="009A5797" w:rsidRPr="00515872">
        <w:rPr>
          <w:rFonts w:cs="Tahoma"/>
          <w:color w:val="000000"/>
          <w:szCs w:val="20"/>
        </w:rPr>
        <w:t>(es. IMU</w:t>
      </w:r>
      <w:r w:rsidRPr="00515872">
        <w:rPr>
          <w:rFonts w:cs="Tahoma"/>
          <w:color w:val="000000"/>
          <w:szCs w:val="20"/>
        </w:rPr>
        <w:t>) o eventuali comunicazioni di soggetti terzi che vanno verificate (es. trasferimenti erariali o regionali, addizionale IRPEF) oppure, ancora, specifiche attività quali, ad esempio:</w:t>
      </w:r>
    </w:p>
    <w:p w14:paraId="3AF02B6F" w14:textId="77777777" w:rsidR="009518AF" w:rsidRPr="00515872" w:rsidRDefault="009518AF"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la predisposizione di ruoli;</w:t>
      </w:r>
    </w:p>
    <w:p w14:paraId="2ABF0F40" w14:textId="77777777" w:rsidR="009518AF" w:rsidRPr="00515872" w:rsidRDefault="009518AF"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l’effettuazione di conteggi;</w:t>
      </w:r>
    </w:p>
    <w:p w14:paraId="7EB8E07D" w14:textId="77777777" w:rsidR="009518AF" w:rsidRPr="00515872" w:rsidRDefault="009518AF"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l’invio di bollettini;</w:t>
      </w:r>
    </w:p>
    <w:p w14:paraId="15891E3D" w14:textId="77777777" w:rsidR="009518AF" w:rsidRPr="00515872" w:rsidRDefault="009518AF"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il rilascio di concessioni;</w:t>
      </w:r>
    </w:p>
    <w:p w14:paraId="4859C355" w14:textId="77777777" w:rsidR="009518AF" w:rsidRPr="00515872" w:rsidRDefault="009518AF"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 xml:space="preserve">la notifica di verbali. </w:t>
      </w:r>
    </w:p>
    <w:p w14:paraId="36A75E0F"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La verifica da parte dell'organo di revisione non deve limitarsi al semplice dato contabile, ma riguardare, sia pure a livello di controlli su base campionaria, anche le singole attività che determinano le diverse entrate, al fine di evidenziare se si registrano ritardi, inadempienze, ecc.</w:t>
      </w:r>
    </w:p>
    <w:p w14:paraId="4DD0388B"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Sulla base dei predetti principi, l'organo di revisione deve altresì appurare, a fine esercizio, il corretto</w:t>
      </w:r>
      <w:r w:rsidRPr="00515872">
        <w:rPr>
          <w:rFonts w:cs="Tahoma"/>
          <w:color w:val="000000"/>
          <w:szCs w:val="20"/>
        </w:rPr>
        <w:br/>
        <w:t>accertamento dei residui attivi.</w:t>
      </w:r>
    </w:p>
    <w:p w14:paraId="48161732" w14:textId="77777777" w:rsidR="009A5797" w:rsidRPr="00515872" w:rsidRDefault="009A5797" w:rsidP="003376F4">
      <w:pPr>
        <w:spacing w:after="0" w:line="360" w:lineRule="auto"/>
        <w:jc w:val="both"/>
        <w:rPr>
          <w:rFonts w:cs="Tahoma"/>
          <w:color w:val="000000"/>
          <w:szCs w:val="20"/>
        </w:rPr>
      </w:pPr>
      <w:r w:rsidRPr="00515872">
        <w:rPr>
          <w:rFonts w:cs="Tahoma"/>
          <w:color w:val="000000"/>
          <w:szCs w:val="20"/>
        </w:rPr>
        <w:t>La verifica sulla corretta applicazione dei principi contabili deve concernere:</w:t>
      </w:r>
    </w:p>
    <w:p w14:paraId="1284A5D2"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l’accertamento integrale delle entrate di dubbia esigibilità a fronte dello stanziamento del FCDE;</w:t>
      </w:r>
    </w:p>
    <w:p w14:paraId="05DA15CD"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l’accertamento dell’entrata nel momento in cui l’obbligazione è perfezionata, con imputazione all’esercizio in cui viene a scadere;</w:t>
      </w:r>
    </w:p>
    <w:p w14:paraId="1A8308E8"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non siano riferite all’esercizio finanziario entrate future;</w:t>
      </w:r>
    </w:p>
    <w:p w14:paraId="2FF95EEF"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lastRenderedPageBreak/>
        <w:t>che sia effettuata la registrazione nelle scritture contabili di tutte le entrate, comprese quelle che non generano movimenti di cassa, al fine di rilevare gli aspetti economico-patrimoniali;</w:t>
      </w:r>
    </w:p>
    <w:p w14:paraId="0CBBC893"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siano distinte le entrate ricorrenti da quelle non ricorrenti;</w:t>
      </w:r>
    </w:p>
    <w:p w14:paraId="1B0A6966"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l’accertamento sia effettuato dal responsabile del servizio cui è affidata la gestione dell’entrata;</w:t>
      </w:r>
    </w:p>
    <w:p w14:paraId="797A3828" w14:textId="77777777" w:rsidR="009A5797" w:rsidRPr="00515872" w:rsidRDefault="009A5797"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siano verificate le ragioni del mantenimento del credito.</w:t>
      </w:r>
    </w:p>
    <w:p w14:paraId="60C94905" w14:textId="77777777" w:rsidR="009B1FC6" w:rsidRPr="00515872" w:rsidRDefault="00DD2162" w:rsidP="003376F4">
      <w:pPr>
        <w:spacing w:after="0" w:line="360" w:lineRule="auto"/>
        <w:jc w:val="both"/>
        <w:rPr>
          <w:rFonts w:cs="Tahoma"/>
          <w:color w:val="000000"/>
          <w:szCs w:val="20"/>
        </w:rPr>
      </w:pPr>
      <w:r w:rsidRPr="00515872">
        <w:rPr>
          <w:rFonts w:cs="Tahoma"/>
          <w:color w:val="000000"/>
          <w:szCs w:val="20"/>
        </w:rPr>
        <w:t xml:space="preserve">Nella verifica della fase della riscossione, l’organo di revisione, deve </w:t>
      </w:r>
      <w:r w:rsidR="003376F4" w:rsidRPr="00515872">
        <w:rPr>
          <w:rFonts w:cs="Tahoma"/>
          <w:color w:val="000000"/>
          <w:szCs w:val="20"/>
        </w:rPr>
        <w:t>appurare</w:t>
      </w:r>
      <w:r w:rsidRPr="00515872">
        <w:rPr>
          <w:rFonts w:cs="Tahoma"/>
          <w:color w:val="000000"/>
          <w:szCs w:val="20"/>
        </w:rPr>
        <w:t>, tra l’altro:</w:t>
      </w:r>
    </w:p>
    <w:p w14:paraId="250333A3"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gli ordinativi di incasso siano imputati contabilmente all’esercizio in cui il tesoriere ha incassato le relative entrate, anche se la comunicazione è pervenuta all’ente nell’esercizio successivo;</w:t>
      </w:r>
    </w:p>
    <w:p w14:paraId="06E0C07F"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l’ente proceda alla regolarizzazione dell’incasso entro 60 giorni dalla comunicazione e, comunque, entro i termini previsti per la resa del conto del tesoriere;</w:t>
      </w:r>
    </w:p>
    <w:p w14:paraId="7745782A"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sia rispettato il vincolo autorizzatorio dello stanziamento per gli incassi derivanti dalle accensioni di prestiti;</w:t>
      </w:r>
    </w:p>
    <w:p w14:paraId="3F1FCDA8"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sia rispettato il vincolo di imputazione provvisoria degli incassi in attesa di regolarizzazione delle partite di giro;</w:t>
      </w:r>
    </w:p>
    <w:p w14:paraId="42217D2C"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gli incaricati interni versino le somme riscosse presso la tesoreria de</w:t>
      </w:r>
      <w:r w:rsidR="00F84DFA" w:rsidRPr="00515872">
        <w:rPr>
          <w:rFonts w:cs="Tahoma"/>
          <w:color w:val="000000"/>
          <w:szCs w:val="20"/>
        </w:rPr>
        <w:t>ll’ente con la cadenza stabilita</w:t>
      </w:r>
      <w:r w:rsidRPr="00515872">
        <w:rPr>
          <w:rFonts w:cs="Tahoma"/>
          <w:color w:val="000000"/>
          <w:szCs w:val="20"/>
        </w:rPr>
        <w:t xml:space="preserve"> dal regolamento di contabilità, non superiore a 15 giorni lavorativi.</w:t>
      </w:r>
    </w:p>
    <w:p w14:paraId="19CBE458" w14:textId="77777777" w:rsidR="00DD2162" w:rsidRPr="00515872" w:rsidRDefault="00DD2162" w:rsidP="00F84DFA">
      <w:pPr>
        <w:spacing w:after="0" w:line="360" w:lineRule="auto"/>
        <w:jc w:val="both"/>
        <w:rPr>
          <w:rFonts w:cs="Tahoma"/>
          <w:color w:val="000000"/>
          <w:szCs w:val="20"/>
        </w:rPr>
      </w:pPr>
      <w:r w:rsidRPr="00515872">
        <w:rPr>
          <w:rFonts w:cs="Tahoma"/>
          <w:color w:val="000000"/>
          <w:szCs w:val="20"/>
        </w:rPr>
        <w:t>Per quanto riguarda le somme non riscosse (residui attivi), l’organo di revisione verifica:</w:t>
      </w:r>
    </w:p>
    <w:p w14:paraId="3E03B1E6"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ogni responsabile del servizio verifichi l’esigibilità dei residui attivi in sede di riaccertamento;</w:t>
      </w:r>
    </w:p>
    <w:p w14:paraId="2ECCABA8"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le dichiarazioni di inesigibilità siano motivate;</w:t>
      </w:r>
    </w:p>
    <w:p w14:paraId="7CE22378"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i residui attivi di dubbia esigibilità stralciati siano rilevati nelle scritture economico-patrimoniali e riportati nell’apposito allegato al rendiconto e siano aggiornati ogni anno;</w:t>
      </w:r>
    </w:p>
    <w:p w14:paraId="0A77B1D3" w14:textId="77777777" w:rsidR="00DB3930"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color w:val="000000"/>
          <w:szCs w:val="20"/>
        </w:rPr>
        <w:t>che i crediti non siano prescritti;</w:t>
      </w:r>
    </w:p>
    <w:p w14:paraId="2CEDAF9D" w14:textId="77777777" w:rsidR="00DD2162" w:rsidRPr="00515872" w:rsidRDefault="00DD2162" w:rsidP="00D65838">
      <w:pPr>
        <w:pStyle w:val="Paragrafoelenco"/>
        <w:numPr>
          <w:ilvl w:val="0"/>
          <w:numId w:val="149"/>
        </w:numPr>
        <w:spacing w:line="360" w:lineRule="auto"/>
        <w:jc w:val="both"/>
        <w:rPr>
          <w:rFonts w:cs="Tahoma"/>
          <w:color w:val="000000"/>
          <w:szCs w:val="20"/>
        </w:rPr>
      </w:pPr>
      <w:r w:rsidRPr="00515872">
        <w:rPr>
          <w:rFonts w:cs="Tahoma"/>
        </w:rPr>
        <w:t>la correttezza delle azioni poste</w:t>
      </w:r>
      <w:r w:rsidR="00DB3930" w:rsidRPr="00515872">
        <w:rPr>
          <w:rFonts w:cs="Tahoma"/>
        </w:rPr>
        <w:t xml:space="preserve"> in essere per il recupero delle somme dopo la scadenza.</w:t>
      </w:r>
      <w:r w:rsidRPr="00515872">
        <w:rPr>
          <w:rFonts w:cs="Tahoma"/>
        </w:rPr>
        <w:t xml:space="preserve"> </w:t>
      </w:r>
    </w:p>
    <w:p w14:paraId="3576EA36" w14:textId="77777777" w:rsidR="00C353C6" w:rsidRPr="00515872" w:rsidRDefault="00C353C6">
      <w:pPr>
        <w:spacing w:after="0" w:line="240" w:lineRule="auto"/>
        <w:rPr>
          <w:rFonts w:cs="Tahoma"/>
          <w:b/>
          <w:bCs/>
          <w:i/>
          <w:color w:val="000000"/>
          <w:sz w:val="22"/>
          <w:szCs w:val="24"/>
          <w:highlight w:val="yellow"/>
        </w:rPr>
      </w:pPr>
      <w:bookmarkStart w:id="213" w:name="_Toc521317126"/>
    </w:p>
    <w:p w14:paraId="2E03DABB" w14:textId="77777777" w:rsidR="009518AF" w:rsidRPr="00515872" w:rsidRDefault="00AD2719" w:rsidP="009518AF">
      <w:pPr>
        <w:pStyle w:val="Sottoparagrafo"/>
        <w:rPr>
          <w:rFonts w:cs="Tahoma"/>
        </w:rPr>
      </w:pPr>
      <w:bookmarkStart w:id="214" w:name="_Toc95912316"/>
      <w:r w:rsidRPr="00515872">
        <w:rPr>
          <w:rFonts w:cs="Tahoma"/>
        </w:rPr>
        <w:t>6</w:t>
      </w:r>
      <w:r w:rsidR="009518AF" w:rsidRPr="00515872">
        <w:rPr>
          <w:rFonts w:cs="Tahoma"/>
        </w:rPr>
        <w:t>.16.2 Gestione delle spese</w:t>
      </w:r>
      <w:bookmarkEnd w:id="213"/>
      <w:bookmarkEnd w:id="214"/>
    </w:p>
    <w:p w14:paraId="64EB0BDA"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La fase di maggior rilievo nel processo di gestione della spesa è indubbiamente quella dell’impegno. L’attenzione dell’organo di revisione deve soffermarsi principalmente sulle modalità con cui gli impegni sono assunti, tenendo conto delle disposizioni normative e del regolamento di contabilità.</w:t>
      </w:r>
    </w:p>
    <w:p w14:paraId="283294D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Nel corso dell'esercizio, è anche possibile la cosiddetta "prenotazione d'impegno", con la quale, in presenza di procedure in via di espletamento, si crea un vincolo su un determinato stanziamento di bilancio, in attesa che si determinino i presupposti per l'assunzione di un formale impegno di spesa.</w:t>
      </w:r>
    </w:p>
    <w:p w14:paraId="378401F9" w14:textId="77777777" w:rsidR="009518AF" w:rsidRPr="00515872" w:rsidRDefault="00A571F1" w:rsidP="00C43F25">
      <w:pPr>
        <w:spacing w:after="0" w:line="360" w:lineRule="auto"/>
        <w:jc w:val="both"/>
        <w:rPr>
          <w:rFonts w:cs="Tahoma"/>
          <w:color w:val="000000"/>
          <w:szCs w:val="20"/>
        </w:rPr>
      </w:pPr>
      <w:r w:rsidRPr="00515872">
        <w:rPr>
          <w:rFonts w:cs="Tahoma"/>
          <w:color w:val="000000"/>
          <w:szCs w:val="20"/>
        </w:rPr>
        <w:t>L’organo di revisione deve controllare, anche a campione, la regolarità delle procedure per la contabilizzazione delle spese in conformità alle disposizioni di legge, dei principi e alle norme regolamentari.</w:t>
      </w:r>
      <w:r w:rsidR="00251349" w:rsidRPr="00515872">
        <w:rPr>
          <w:rFonts w:cs="Tahoma"/>
          <w:color w:val="000000"/>
          <w:szCs w:val="20"/>
        </w:rPr>
        <w:t xml:space="preserve"> </w:t>
      </w:r>
      <w:r w:rsidR="009518AF" w:rsidRPr="00515872">
        <w:rPr>
          <w:rFonts w:cs="Tahoma"/>
          <w:color w:val="000000"/>
          <w:szCs w:val="20"/>
        </w:rPr>
        <w:t>In particolare, l’organo di revisione deve verificare che:</w:t>
      </w:r>
    </w:p>
    <w:p w14:paraId="5E4C8472" w14:textId="77777777" w:rsidR="009518AF" w:rsidRPr="00515872" w:rsidRDefault="009518AF" w:rsidP="00C43F25">
      <w:pPr>
        <w:pStyle w:val="Paragrafoelenco"/>
        <w:numPr>
          <w:ilvl w:val="0"/>
          <w:numId w:val="111"/>
        </w:numPr>
        <w:spacing w:line="360" w:lineRule="auto"/>
        <w:ind w:left="284" w:hanging="284"/>
        <w:jc w:val="both"/>
        <w:rPr>
          <w:rFonts w:cs="Tahoma"/>
          <w:color w:val="000000"/>
          <w:szCs w:val="20"/>
        </w:rPr>
      </w:pPr>
      <w:r w:rsidRPr="00515872">
        <w:rPr>
          <w:rFonts w:cs="Tahoma"/>
          <w:color w:val="000000"/>
          <w:szCs w:val="20"/>
        </w:rPr>
        <w:lastRenderedPageBreak/>
        <w:t>non vengano assunti i cosiddetti "</w:t>
      </w:r>
      <w:r w:rsidRPr="00515872">
        <w:rPr>
          <w:rFonts w:cs="Tahoma"/>
          <w:iCs/>
          <w:color w:val="000000"/>
          <w:szCs w:val="20"/>
        </w:rPr>
        <w:t>impegni di massima</w:t>
      </w:r>
      <w:r w:rsidRPr="00515872">
        <w:rPr>
          <w:rFonts w:cs="Tahoma"/>
          <w:color w:val="000000"/>
          <w:szCs w:val="20"/>
        </w:rPr>
        <w:t>" (vale a dire, meri accantonamenti di somme</w:t>
      </w:r>
      <w:r w:rsidRPr="00515872">
        <w:rPr>
          <w:rFonts w:cs="Tahoma"/>
          <w:color w:val="000000"/>
          <w:szCs w:val="20"/>
        </w:rPr>
        <w:br/>
        <w:t>per tranquillità e comodità dei funzionari);</w:t>
      </w:r>
    </w:p>
    <w:p w14:paraId="38820532" w14:textId="77777777" w:rsidR="009518AF" w:rsidRPr="00515872" w:rsidRDefault="009518AF" w:rsidP="00C43F25">
      <w:pPr>
        <w:pStyle w:val="Paragrafoelenco"/>
        <w:numPr>
          <w:ilvl w:val="0"/>
          <w:numId w:val="111"/>
        </w:numPr>
        <w:spacing w:line="360" w:lineRule="auto"/>
        <w:ind w:left="284" w:hanging="284"/>
        <w:jc w:val="both"/>
        <w:rPr>
          <w:rFonts w:cs="Tahoma"/>
          <w:color w:val="000000"/>
          <w:szCs w:val="20"/>
        </w:rPr>
      </w:pPr>
      <w:r w:rsidRPr="00515872">
        <w:rPr>
          <w:rFonts w:cs="Tahoma"/>
          <w:color w:val="000000"/>
          <w:szCs w:val="20"/>
        </w:rPr>
        <w:t>con un unico provvedimento non venga impegnato l'intero stanziamento di bilancio (facendo confusione tra previsione e impegno di spesa), salvo i casi in cui questo è necessario per ragioni obiettive;</w:t>
      </w:r>
    </w:p>
    <w:p w14:paraId="6F0E2BB3" w14:textId="77777777" w:rsidR="009518AF" w:rsidRPr="00515872" w:rsidRDefault="009518AF" w:rsidP="00C43F25">
      <w:pPr>
        <w:pStyle w:val="Paragrafoelenco"/>
        <w:numPr>
          <w:ilvl w:val="0"/>
          <w:numId w:val="111"/>
        </w:numPr>
        <w:spacing w:line="360" w:lineRule="auto"/>
        <w:ind w:left="284" w:hanging="284"/>
        <w:jc w:val="both"/>
        <w:rPr>
          <w:rFonts w:cs="Tahoma"/>
          <w:color w:val="000000"/>
          <w:szCs w:val="20"/>
        </w:rPr>
      </w:pPr>
      <w:r w:rsidRPr="00515872">
        <w:rPr>
          <w:rFonts w:cs="Tahoma"/>
          <w:color w:val="000000"/>
          <w:szCs w:val="20"/>
        </w:rPr>
        <w:t>l'andamento delle singole voci della spesa sia in linea con le relative previsioni, in modo da tenere sotto controllo gli equilibri generali del bilancio che possono risultare compromessi in presenza di spese tendenzialmente superiori a quanto previsto inizialmente.</w:t>
      </w:r>
    </w:p>
    <w:p w14:paraId="0DAF586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Ogni provvedimento che comporti impegno di spesa deve ottenere il visto di regolarità contabile del responsabile del servizio finanziario.</w:t>
      </w:r>
    </w:p>
    <w:p w14:paraId="1ADE5FE0" w14:textId="77777777" w:rsidR="00251349" w:rsidRPr="00515872" w:rsidRDefault="009B781B" w:rsidP="009518AF">
      <w:pPr>
        <w:spacing w:after="0" w:line="360" w:lineRule="auto"/>
        <w:jc w:val="both"/>
        <w:rPr>
          <w:rFonts w:cs="Tahoma"/>
          <w:color w:val="000000"/>
          <w:szCs w:val="20"/>
        </w:rPr>
      </w:pPr>
      <w:r w:rsidRPr="00515872">
        <w:rPr>
          <w:rFonts w:cs="Tahoma"/>
          <w:color w:val="000000"/>
          <w:szCs w:val="20"/>
        </w:rPr>
        <w:t>Oggetto di particolare attenzione per l’organo di revisione sono anche le determine e delibere che prevedono impegni di spesa. Su tali atti</w:t>
      </w:r>
      <w:r w:rsidR="00251349" w:rsidRPr="00515872">
        <w:rPr>
          <w:rFonts w:cs="Tahoma"/>
          <w:color w:val="000000"/>
          <w:szCs w:val="20"/>
        </w:rPr>
        <w:t>, i revisori devono verificare:</w:t>
      </w:r>
    </w:p>
    <w:p w14:paraId="6010D7A9" w14:textId="77777777" w:rsidR="00251349" w:rsidRPr="00515872" w:rsidRDefault="00C43F25"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 xml:space="preserve">che </w:t>
      </w:r>
      <w:r w:rsidR="00251349" w:rsidRPr="00515872">
        <w:rPr>
          <w:rFonts w:cs="Tahoma"/>
          <w:color w:val="000000"/>
          <w:szCs w:val="20"/>
        </w:rPr>
        <w:t>siano riferite all’esercizio solo le spese per le quali è venuta a scadere nello stesso la relativa obbligazione giuridica;</w:t>
      </w:r>
    </w:p>
    <w:p w14:paraId="012E4C95" w14:textId="77777777" w:rsidR="00251349" w:rsidRPr="00515872" w:rsidRDefault="00C43F25"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 xml:space="preserve">che </w:t>
      </w:r>
      <w:r w:rsidR="00251349" w:rsidRPr="00515872">
        <w:rPr>
          <w:rFonts w:cs="Tahoma"/>
          <w:color w:val="000000"/>
          <w:szCs w:val="20"/>
        </w:rPr>
        <w:t>siano registrate tutte le spese, comprese quelle che non determinano movimenti di cassa effettivi, al fine della rilevazione degli effetti economico-patrimoniali;</w:t>
      </w:r>
    </w:p>
    <w:p w14:paraId="683CAFF7" w14:textId="77777777" w:rsidR="00251349" w:rsidRPr="00515872" w:rsidRDefault="00C43F25"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 xml:space="preserve">che </w:t>
      </w:r>
      <w:r w:rsidR="00251349" w:rsidRPr="00515872">
        <w:rPr>
          <w:rFonts w:cs="Tahoma"/>
          <w:color w:val="000000"/>
          <w:szCs w:val="20"/>
        </w:rPr>
        <w:t>gli atti di impegno contengano anche la trattazione degli effetti economico-patrimoniali;</w:t>
      </w:r>
    </w:p>
    <w:p w14:paraId="7B378DA4" w14:textId="77777777" w:rsidR="00251349" w:rsidRPr="00515872" w:rsidRDefault="00251349"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la decadenza a fine anno delle prenotazioni di impegni relativi a procedure in via di espletamento per le quali non sia stata assunta dall’ente locale l’obbligazione di spesa verso i terzi;</w:t>
      </w:r>
    </w:p>
    <w:p w14:paraId="1D41BC00" w14:textId="77777777" w:rsidR="00F74E0A" w:rsidRPr="00515872" w:rsidRDefault="00C43F25"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 xml:space="preserve">che </w:t>
      </w:r>
      <w:r w:rsidR="00251349" w:rsidRPr="00515872">
        <w:rPr>
          <w:rFonts w:cs="Tahoma"/>
          <w:color w:val="000000"/>
          <w:szCs w:val="20"/>
        </w:rPr>
        <w:t>l’attestazione di copertura finanziaria dei provvedimenti che danno luogo a impegni concernenti investimenti riporti gli estremi del provvedimento di accertamento delle entrate che costituiscono la copertura e la loro classificazione in bilancio;</w:t>
      </w:r>
    </w:p>
    <w:p w14:paraId="7DD6035E" w14:textId="77777777" w:rsidR="00F74E0A" w:rsidRPr="00515872" w:rsidRDefault="00251349"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nel caso di acquisizione di un investimento già realizzato, con pagamento frazionato</w:t>
      </w:r>
      <w:r w:rsidR="00F74E0A" w:rsidRPr="00515872">
        <w:rPr>
          <w:rFonts w:cs="Tahoma"/>
          <w:color w:val="000000"/>
          <w:szCs w:val="20"/>
        </w:rPr>
        <w:t xml:space="preserve"> </w:t>
      </w:r>
      <w:r w:rsidRPr="00515872">
        <w:rPr>
          <w:rFonts w:cs="Tahoma"/>
          <w:color w:val="000000"/>
          <w:szCs w:val="20"/>
        </w:rPr>
        <w:t xml:space="preserve">negli esercizi successivi, </w:t>
      </w:r>
      <w:r w:rsidR="00C43F25" w:rsidRPr="00515872">
        <w:rPr>
          <w:rFonts w:cs="Tahoma"/>
          <w:color w:val="000000"/>
          <w:szCs w:val="20"/>
        </w:rPr>
        <w:t xml:space="preserve">che </w:t>
      </w:r>
      <w:r w:rsidRPr="00515872">
        <w:rPr>
          <w:rFonts w:cs="Tahoma"/>
          <w:color w:val="000000"/>
          <w:szCs w:val="20"/>
        </w:rPr>
        <w:t>la spesa sia registrata con imputazione per l’intero</w:t>
      </w:r>
      <w:r w:rsidR="00F74E0A" w:rsidRPr="00515872">
        <w:rPr>
          <w:rFonts w:cs="Tahoma"/>
          <w:color w:val="000000"/>
          <w:szCs w:val="20"/>
        </w:rPr>
        <w:t xml:space="preserve"> </w:t>
      </w:r>
      <w:r w:rsidRPr="00515872">
        <w:rPr>
          <w:rFonts w:cs="Tahoma"/>
          <w:color w:val="000000"/>
          <w:szCs w:val="20"/>
        </w:rPr>
        <w:t>importo all’esercizio in cui il bene entra nel patrimonio dell’ente;</w:t>
      </w:r>
    </w:p>
    <w:p w14:paraId="164C3645" w14:textId="77777777" w:rsidR="00F74E0A" w:rsidRPr="00515872" w:rsidRDefault="00251349"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che nell’ipotesi di lavori pubblici di somma urgenza siano rispettate le norme</w:t>
      </w:r>
      <w:r w:rsidR="00F74E0A" w:rsidRPr="00515872">
        <w:rPr>
          <w:rFonts w:cs="Tahoma"/>
          <w:color w:val="000000"/>
          <w:szCs w:val="20"/>
        </w:rPr>
        <w:t xml:space="preserve"> </w:t>
      </w:r>
      <w:r w:rsidRPr="00515872">
        <w:rPr>
          <w:rFonts w:cs="Tahoma"/>
          <w:color w:val="000000"/>
          <w:szCs w:val="20"/>
        </w:rPr>
        <w:t>dell’ordinamento;</w:t>
      </w:r>
    </w:p>
    <w:p w14:paraId="04CAB822" w14:textId="77777777" w:rsidR="00F74E0A" w:rsidRPr="00515872" w:rsidRDefault="00251349" w:rsidP="00D65838">
      <w:pPr>
        <w:pStyle w:val="Paragrafoelenco"/>
        <w:numPr>
          <w:ilvl w:val="0"/>
          <w:numId w:val="225"/>
        </w:numPr>
        <w:spacing w:after="0" w:line="360" w:lineRule="auto"/>
        <w:ind w:left="284" w:hanging="284"/>
        <w:jc w:val="both"/>
        <w:rPr>
          <w:rFonts w:cs="Tahoma"/>
          <w:color w:val="000000"/>
          <w:szCs w:val="20"/>
        </w:rPr>
      </w:pPr>
      <w:r w:rsidRPr="00515872">
        <w:rPr>
          <w:rFonts w:cs="Tahoma"/>
          <w:color w:val="000000"/>
          <w:szCs w:val="20"/>
        </w:rPr>
        <w:t>che non siano assunti impegni per gli esercizi del bilancio successivi a quello di competenza</w:t>
      </w:r>
      <w:r w:rsidR="00F74E0A" w:rsidRPr="00515872">
        <w:rPr>
          <w:rFonts w:cs="Tahoma"/>
          <w:color w:val="000000"/>
          <w:szCs w:val="20"/>
        </w:rPr>
        <w:t xml:space="preserve"> </w:t>
      </w:r>
      <w:r w:rsidRPr="00515872">
        <w:rPr>
          <w:rFonts w:cs="Tahoma"/>
          <w:color w:val="000000"/>
          <w:szCs w:val="20"/>
        </w:rPr>
        <w:t>al di fuori dei casi contemplati dall’ordinamento;</w:t>
      </w:r>
    </w:p>
    <w:p w14:paraId="70069344" w14:textId="77777777" w:rsidR="00251349" w:rsidRPr="00515872" w:rsidRDefault="00251349" w:rsidP="00D65838">
      <w:pPr>
        <w:pStyle w:val="Paragrafoelenco"/>
        <w:numPr>
          <w:ilvl w:val="0"/>
          <w:numId w:val="225"/>
        </w:numPr>
        <w:spacing w:line="360" w:lineRule="auto"/>
        <w:ind w:left="284" w:hanging="284"/>
        <w:jc w:val="both"/>
        <w:rPr>
          <w:rFonts w:cs="Tahoma"/>
          <w:color w:val="000000"/>
          <w:szCs w:val="20"/>
        </w:rPr>
      </w:pPr>
      <w:r w:rsidRPr="00515872">
        <w:rPr>
          <w:rFonts w:cs="Tahoma"/>
          <w:color w:val="000000"/>
          <w:szCs w:val="20"/>
        </w:rPr>
        <w:t>che non siano assunti impegni sugli esercizi non considerati nel bilancio, fatta eccezione</w:t>
      </w:r>
      <w:r w:rsidR="00F74E0A" w:rsidRPr="00515872">
        <w:rPr>
          <w:rFonts w:cs="Tahoma"/>
          <w:color w:val="000000"/>
          <w:szCs w:val="20"/>
        </w:rPr>
        <w:t xml:space="preserve"> </w:t>
      </w:r>
      <w:r w:rsidRPr="00515872">
        <w:rPr>
          <w:rFonts w:cs="Tahoma"/>
          <w:color w:val="000000"/>
          <w:szCs w:val="20"/>
        </w:rPr>
        <w:t>dei casi previsti dall’ordinamento.</w:t>
      </w:r>
    </w:p>
    <w:p w14:paraId="474C8A45"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Per quanto attiene alle procedure di liquidazione e pagamento delle spese, </w:t>
      </w:r>
      <w:r w:rsidR="00B12407" w:rsidRPr="00515872">
        <w:rPr>
          <w:rFonts w:cs="Tahoma"/>
          <w:color w:val="000000"/>
          <w:szCs w:val="20"/>
        </w:rPr>
        <w:t>l’organo di revisione deve porre in essere verifiche atte ad appurare</w:t>
      </w:r>
      <w:r w:rsidRPr="00515872">
        <w:rPr>
          <w:rFonts w:cs="Tahoma"/>
          <w:color w:val="000000"/>
          <w:szCs w:val="20"/>
        </w:rPr>
        <w:t>:</w:t>
      </w:r>
    </w:p>
    <w:p w14:paraId="5E614890" w14:textId="77777777" w:rsidR="009518AF" w:rsidRPr="00515872" w:rsidRDefault="00AE1B3C" w:rsidP="00D65838">
      <w:pPr>
        <w:pStyle w:val="Paragrafoelenco"/>
        <w:numPr>
          <w:ilvl w:val="0"/>
          <w:numId w:val="112"/>
        </w:numPr>
        <w:spacing w:line="360" w:lineRule="auto"/>
        <w:jc w:val="both"/>
        <w:rPr>
          <w:rFonts w:cs="Tahoma"/>
          <w:szCs w:val="20"/>
        </w:rPr>
      </w:pPr>
      <w:r w:rsidRPr="00515872">
        <w:rPr>
          <w:rFonts w:cs="Tahoma"/>
          <w:color w:val="000000"/>
          <w:szCs w:val="20"/>
        </w:rPr>
        <w:t xml:space="preserve">che </w:t>
      </w:r>
      <w:r w:rsidR="00B12407" w:rsidRPr="00515872">
        <w:rPr>
          <w:rFonts w:cs="Tahoma"/>
          <w:color w:val="000000"/>
          <w:szCs w:val="20"/>
        </w:rPr>
        <w:t>la liquidazione sia effettuata tempestivamente dall’ufficio che ha dato esecuzione al provvedimento di spesa</w:t>
      </w:r>
      <w:r w:rsidR="009518AF" w:rsidRPr="00515872">
        <w:rPr>
          <w:rFonts w:cs="Tahoma"/>
          <w:color w:val="000000"/>
          <w:szCs w:val="20"/>
        </w:rPr>
        <w:t>;</w:t>
      </w:r>
    </w:p>
    <w:p w14:paraId="5529B1CD" w14:textId="77777777" w:rsidR="00B12407" w:rsidRPr="00515872" w:rsidRDefault="00AE1B3C" w:rsidP="00D65838">
      <w:pPr>
        <w:pStyle w:val="Paragrafoelenco"/>
        <w:numPr>
          <w:ilvl w:val="0"/>
          <w:numId w:val="112"/>
        </w:numPr>
        <w:spacing w:line="360" w:lineRule="auto"/>
        <w:jc w:val="both"/>
        <w:rPr>
          <w:rFonts w:cs="Tahoma"/>
          <w:szCs w:val="20"/>
        </w:rPr>
      </w:pPr>
      <w:r w:rsidRPr="00515872">
        <w:rPr>
          <w:rFonts w:cs="Tahoma"/>
          <w:color w:val="000000"/>
          <w:szCs w:val="20"/>
        </w:rPr>
        <w:t xml:space="preserve">che </w:t>
      </w:r>
      <w:r w:rsidR="00B12407" w:rsidRPr="00515872">
        <w:rPr>
          <w:rFonts w:cs="Tahoma"/>
          <w:color w:val="000000"/>
          <w:szCs w:val="20"/>
        </w:rPr>
        <w:t xml:space="preserve">sia disposta sulla base della documentazione necessaria a comprovare </w:t>
      </w:r>
      <w:r w:rsidR="00853A07" w:rsidRPr="00515872">
        <w:rPr>
          <w:rFonts w:cs="Tahoma"/>
          <w:color w:val="000000"/>
          <w:szCs w:val="20"/>
        </w:rPr>
        <w:t>il diritto del creditore;</w:t>
      </w:r>
    </w:p>
    <w:p w14:paraId="3B96D81F" w14:textId="77777777" w:rsidR="00853A07" w:rsidRPr="00515872" w:rsidRDefault="00853A07" w:rsidP="00D65838">
      <w:pPr>
        <w:pStyle w:val="Paragrafoelenco"/>
        <w:numPr>
          <w:ilvl w:val="0"/>
          <w:numId w:val="112"/>
        </w:numPr>
        <w:spacing w:line="360" w:lineRule="auto"/>
        <w:jc w:val="both"/>
        <w:rPr>
          <w:rFonts w:cs="Tahoma"/>
          <w:szCs w:val="20"/>
        </w:rPr>
      </w:pPr>
      <w:r w:rsidRPr="00515872">
        <w:rPr>
          <w:rFonts w:cs="Tahoma"/>
          <w:color w:val="000000"/>
          <w:szCs w:val="20"/>
        </w:rPr>
        <w:t>il contenuto obbligatorio dei mandati di pagamento;</w:t>
      </w:r>
    </w:p>
    <w:p w14:paraId="24EDDE27" w14:textId="77777777" w:rsidR="00853A07" w:rsidRPr="00515872" w:rsidRDefault="00853A07" w:rsidP="00D65838">
      <w:pPr>
        <w:pStyle w:val="Paragrafoelenco"/>
        <w:numPr>
          <w:ilvl w:val="0"/>
          <w:numId w:val="112"/>
        </w:numPr>
        <w:spacing w:line="360" w:lineRule="auto"/>
        <w:jc w:val="both"/>
        <w:rPr>
          <w:rFonts w:cs="Tahoma"/>
          <w:szCs w:val="20"/>
        </w:rPr>
      </w:pPr>
      <w:r w:rsidRPr="00515872">
        <w:rPr>
          <w:rFonts w:cs="Tahoma"/>
          <w:color w:val="000000"/>
          <w:szCs w:val="20"/>
        </w:rPr>
        <w:lastRenderedPageBreak/>
        <w:t>che i pagamenti effettuati dal tesoriere in assenza della preventiva emissione del mandato di pagamento siano limitati ai casi previsti dall’ordinamento;</w:t>
      </w:r>
    </w:p>
    <w:p w14:paraId="54703D2F" w14:textId="77777777" w:rsidR="00853A07" w:rsidRPr="00515872" w:rsidRDefault="00853A07" w:rsidP="00D65838">
      <w:pPr>
        <w:pStyle w:val="Paragrafoelenco"/>
        <w:numPr>
          <w:ilvl w:val="0"/>
          <w:numId w:val="112"/>
        </w:numPr>
        <w:spacing w:line="360" w:lineRule="auto"/>
        <w:jc w:val="both"/>
        <w:rPr>
          <w:rFonts w:cs="Tahoma"/>
          <w:szCs w:val="20"/>
        </w:rPr>
      </w:pPr>
      <w:r w:rsidRPr="00515872">
        <w:rPr>
          <w:rFonts w:cs="Tahoma"/>
          <w:color w:val="000000"/>
          <w:szCs w:val="20"/>
        </w:rPr>
        <w:t>che le regolarizzazioni dei pagamenti siano effettuate nel termine di 30 giorni e comunque entro la chiusura dell’esercizio.</w:t>
      </w:r>
    </w:p>
    <w:p w14:paraId="70E804B2"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Procedendo, sempre su base campionaria, l’organo di revisione deve verificare che sui titoli di spesa dei documenti di bilancio siano stati riportati i codici gestionali previsti dalla normativa contabile. Gli enti locali devono garantire una corretta applicazione della codifica su ogni titolo di spesa, evitando l’adozione del criterio della prevalenza, regolarizzando le operazioni effettuate in assenza di titolo e non imputando provvisoriamente ai capitoli dei servizi conto terzi.</w:t>
      </w:r>
    </w:p>
    <w:p w14:paraId="10090B97" w14:textId="77777777" w:rsidR="009B781B" w:rsidRPr="00515872" w:rsidRDefault="009B781B" w:rsidP="00923775">
      <w:pPr>
        <w:spacing w:after="0" w:line="360" w:lineRule="auto"/>
        <w:jc w:val="both"/>
        <w:rPr>
          <w:rFonts w:cs="Tahoma"/>
          <w:color w:val="000000"/>
          <w:szCs w:val="20"/>
        </w:rPr>
      </w:pPr>
      <w:r w:rsidRPr="00515872">
        <w:rPr>
          <w:rFonts w:cs="Tahoma"/>
          <w:color w:val="000000"/>
          <w:szCs w:val="20"/>
        </w:rPr>
        <w:t>Per quanto attiene le somme impegnate e non pagate entro la fine dell’esercizio, che generano residui passivi, le verifiche devono essere mirate ad accertare:</w:t>
      </w:r>
    </w:p>
    <w:p w14:paraId="460E5B20" w14:textId="77777777" w:rsidR="009B781B" w:rsidRPr="00515872" w:rsidRDefault="009B781B" w:rsidP="00D65838">
      <w:pPr>
        <w:pStyle w:val="Paragrafoelenco"/>
        <w:numPr>
          <w:ilvl w:val="0"/>
          <w:numId w:val="112"/>
        </w:numPr>
        <w:spacing w:line="360" w:lineRule="auto"/>
        <w:jc w:val="both"/>
        <w:rPr>
          <w:rFonts w:cs="Tahoma"/>
          <w:color w:val="000000"/>
          <w:szCs w:val="20"/>
        </w:rPr>
      </w:pPr>
      <w:r w:rsidRPr="00515872">
        <w:rPr>
          <w:rFonts w:cs="Tahoma"/>
          <w:color w:val="000000"/>
          <w:szCs w:val="20"/>
        </w:rPr>
        <w:t>il rispetto del divieto di conservazione fra i residui di somme non impegnate, con eccezione delle spese per procedure in via di espletamento con riferimento alle opere pubbliche;</w:t>
      </w:r>
    </w:p>
    <w:p w14:paraId="2FCAA81A" w14:textId="77777777" w:rsidR="009B781B" w:rsidRPr="00515872" w:rsidRDefault="009B781B" w:rsidP="00D65838">
      <w:pPr>
        <w:pStyle w:val="Paragrafoelenco"/>
        <w:numPr>
          <w:ilvl w:val="0"/>
          <w:numId w:val="112"/>
        </w:numPr>
        <w:spacing w:line="360" w:lineRule="auto"/>
        <w:jc w:val="both"/>
        <w:rPr>
          <w:rFonts w:cs="Tahoma"/>
          <w:color w:val="000000"/>
          <w:szCs w:val="20"/>
        </w:rPr>
      </w:pPr>
      <w:r w:rsidRPr="00515872">
        <w:rPr>
          <w:rFonts w:cs="Tahoma"/>
          <w:color w:val="000000"/>
          <w:szCs w:val="20"/>
        </w:rPr>
        <w:t>che ogni responsabile di servizio effettui la verifica di esigibilità dei residui passivi ai fini del riaccertamento ordinario.</w:t>
      </w:r>
    </w:p>
    <w:p w14:paraId="0C9FC03F" w14:textId="1DB7C7A7" w:rsidR="009518AF" w:rsidRPr="00515872" w:rsidRDefault="009518AF" w:rsidP="009518AF">
      <w:pPr>
        <w:spacing w:line="360" w:lineRule="auto"/>
        <w:jc w:val="both"/>
        <w:rPr>
          <w:rFonts w:cs="Tahoma"/>
          <w:szCs w:val="20"/>
        </w:rPr>
      </w:pPr>
      <w:r w:rsidRPr="00515872">
        <w:rPr>
          <w:rFonts w:cs="Tahoma"/>
          <w:color w:val="000000"/>
          <w:szCs w:val="20"/>
        </w:rPr>
        <w:t xml:space="preserve">Nelle ipotesi in cui l’acquisizione di beni o servizi sia avvenuta in violazione dei principi contabili inerenti </w:t>
      </w:r>
      <w:r w:rsidR="001E548F" w:rsidRPr="00515872">
        <w:rPr>
          <w:rFonts w:cs="Tahoma"/>
          <w:color w:val="000000"/>
          <w:szCs w:val="20"/>
        </w:rPr>
        <w:t>all’assunzione</w:t>
      </w:r>
      <w:r w:rsidRPr="00515872">
        <w:rPr>
          <w:rFonts w:cs="Tahoma"/>
          <w:color w:val="000000"/>
          <w:szCs w:val="20"/>
        </w:rPr>
        <w:t xml:space="preserve"> degli impegni</w:t>
      </w:r>
      <w:r w:rsidR="00923775" w:rsidRPr="00515872">
        <w:rPr>
          <w:rFonts w:cs="Tahoma"/>
          <w:color w:val="000000"/>
          <w:szCs w:val="20"/>
        </w:rPr>
        <w:t>,</w:t>
      </w:r>
      <w:r w:rsidRPr="00515872">
        <w:rPr>
          <w:rFonts w:cs="Tahoma"/>
          <w:color w:val="000000"/>
          <w:szCs w:val="20"/>
        </w:rPr>
        <w:t xml:space="preserve"> si verifica la presenza di debiti fuori bilancio di cui all’art. 194 del TUEL e la correlativa spesa può essere dichiarata legittima con deliberazione consiliare nei limiti degli accertati e dimostrati utilità e arricchimento per l’ente.</w:t>
      </w:r>
    </w:p>
    <w:p w14:paraId="679ED959" w14:textId="77777777" w:rsidR="00277513" w:rsidRPr="00515872" w:rsidRDefault="00277513" w:rsidP="009518AF">
      <w:pPr>
        <w:pStyle w:val="Sottoparagrafo"/>
        <w:rPr>
          <w:rFonts w:cs="Tahoma"/>
          <w:highlight w:val="yellow"/>
        </w:rPr>
      </w:pPr>
      <w:bookmarkStart w:id="215" w:name="_Toc521317127"/>
    </w:p>
    <w:p w14:paraId="54050878" w14:textId="77777777" w:rsidR="009518AF" w:rsidRPr="00515872" w:rsidRDefault="00AD2719" w:rsidP="009518AF">
      <w:pPr>
        <w:pStyle w:val="Sottoparagrafo"/>
        <w:rPr>
          <w:rFonts w:cs="Tahoma"/>
        </w:rPr>
      </w:pPr>
      <w:bookmarkStart w:id="216" w:name="_Toc95912317"/>
      <w:r w:rsidRPr="00515872">
        <w:rPr>
          <w:rFonts w:cs="Tahoma"/>
        </w:rPr>
        <w:t>6</w:t>
      </w:r>
      <w:r w:rsidR="009518AF" w:rsidRPr="00515872">
        <w:rPr>
          <w:rFonts w:cs="Tahoma"/>
        </w:rPr>
        <w:t>.16.3 Vigilanza sull'attività contrattuale</w:t>
      </w:r>
      <w:bookmarkEnd w:id="215"/>
      <w:bookmarkEnd w:id="216"/>
    </w:p>
    <w:p w14:paraId="6022B4F7" w14:textId="77777777" w:rsidR="00CD4618" w:rsidRPr="00515872" w:rsidRDefault="00CD4618" w:rsidP="00CD4618">
      <w:pPr>
        <w:spacing w:line="360" w:lineRule="auto"/>
        <w:jc w:val="both"/>
        <w:rPr>
          <w:rFonts w:eastAsia="Times New Roman" w:cs="Tahoma"/>
          <w:szCs w:val="20"/>
          <w:lang w:eastAsia="it-IT"/>
        </w:rPr>
      </w:pPr>
      <w:r w:rsidRPr="00515872">
        <w:rPr>
          <w:rFonts w:eastAsia="Times New Roman" w:cs="Tahoma"/>
          <w:szCs w:val="20"/>
          <w:lang w:eastAsia="it-IT"/>
        </w:rPr>
        <w:t>La vigilanza sull’attività contrattuale è disciplinata dal c.1, lett. c) dell’art. 239 del TUEL.</w:t>
      </w:r>
    </w:p>
    <w:p w14:paraId="2E854B9C"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L’art. 192 del TUEL prevede che la stipulazione dei contratti deb</w:t>
      </w:r>
      <w:r w:rsidR="00B115EF" w:rsidRPr="00515872">
        <w:rPr>
          <w:rFonts w:eastAsia="Times New Roman" w:cs="Tahoma"/>
          <w:szCs w:val="20"/>
          <w:lang w:eastAsia="it-IT"/>
        </w:rPr>
        <w:t xml:space="preserve">ba essere preceduta da apposita </w:t>
      </w:r>
      <w:r w:rsidRPr="00515872">
        <w:rPr>
          <w:rFonts w:eastAsia="Times New Roman" w:cs="Tahoma"/>
          <w:szCs w:val="20"/>
          <w:lang w:eastAsia="it-IT"/>
        </w:rPr>
        <w:t>determinazione del responsabile del procedimento di spesa indicante:</w:t>
      </w:r>
    </w:p>
    <w:p w14:paraId="4AB27E62" w14:textId="77777777" w:rsidR="009518AF" w:rsidRPr="00515872" w:rsidRDefault="009518AF" w:rsidP="00D65838">
      <w:pPr>
        <w:pStyle w:val="Paragrafoelenco"/>
        <w:numPr>
          <w:ilvl w:val="0"/>
          <w:numId w:val="87"/>
        </w:numPr>
        <w:spacing w:line="360" w:lineRule="auto"/>
        <w:jc w:val="both"/>
        <w:rPr>
          <w:rFonts w:eastAsia="Times New Roman" w:cs="Tahoma"/>
          <w:szCs w:val="20"/>
          <w:lang w:eastAsia="it-IT"/>
        </w:rPr>
      </w:pPr>
      <w:r w:rsidRPr="00515872">
        <w:rPr>
          <w:rFonts w:eastAsia="Times New Roman" w:cs="Tahoma"/>
          <w:szCs w:val="20"/>
          <w:lang w:eastAsia="it-IT"/>
        </w:rPr>
        <w:t>il fine che con il contratto si intende perseguire;</w:t>
      </w:r>
    </w:p>
    <w:p w14:paraId="3CA73FDB" w14:textId="77777777" w:rsidR="009518AF" w:rsidRPr="00515872" w:rsidRDefault="009518AF" w:rsidP="00D65838">
      <w:pPr>
        <w:pStyle w:val="Paragrafoelenco"/>
        <w:numPr>
          <w:ilvl w:val="0"/>
          <w:numId w:val="87"/>
        </w:numPr>
        <w:spacing w:line="360" w:lineRule="auto"/>
        <w:jc w:val="both"/>
        <w:rPr>
          <w:rFonts w:eastAsia="Times New Roman" w:cs="Tahoma"/>
          <w:szCs w:val="20"/>
          <w:lang w:eastAsia="it-IT"/>
        </w:rPr>
      </w:pPr>
      <w:r w:rsidRPr="00515872">
        <w:rPr>
          <w:rFonts w:eastAsia="Times New Roman" w:cs="Tahoma"/>
          <w:szCs w:val="20"/>
          <w:lang w:eastAsia="it-IT"/>
        </w:rPr>
        <w:t>l’oggetto del contratto, la sua forma e le clausole ritenuti essenziali;</w:t>
      </w:r>
    </w:p>
    <w:p w14:paraId="77498E9F" w14:textId="77777777" w:rsidR="009518AF" w:rsidRPr="00515872" w:rsidRDefault="009518AF" w:rsidP="00D65838">
      <w:pPr>
        <w:pStyle w:val="Paragrafoelenco"/>
        <w:numPr>
          <w:ilvl w:val="0"/>
          <w:numId w:val="87"/>
        </w:numPr>
        <w:spacing w:line="360" w:lineRule="auto"/>
        <w:jc w:val="both"/>
        <w:rPr>
          <w:rFonts w:eastAsia="Times New Roman" w:cs="Tahoma"/>
          <w:szCs w:val="20"/>
          <w:lang w:eastAsia="it-IT"/>
        </w:rPr>
      </w:pPr>
      <w:r w:rsidRPr="00515872">
        <w:rPr>
          <w:rFonts w:eastAsia="Times New Roman" w:cs="Tahoma"/>
          <w:szCs w:val="20"/>
          <w:lang w:eastAsia="it-IT"/>
        </w:rPr>
        <w:t>le modalità di scelta del contraente ammesse dalle disposizioni vigenti in materia di contratti delle pubbliche amministrazioni.</w:t>
      </w:r>
    </w:p>
    <w:p w14:paraId="5BF15056"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Con la determinazione a contrarre sono indicate le condizioni di legittimità della procedura di spesa prevista per i contratti passivi allo scopo di evitare l’avvio di procedure in assenza delle necessarie risorse. Allo scopo, ad ogni dirigente, responsabile del procedimento di spesa, sono assegnate, sulla base del PEG, le risorse per l’attività contrattuale dell’ente in attuazione degli obiettivi prefissati in sede di programmazione.</w:t>
      </w:r>
    </w:p>
    <w:p w14:paraId="53A3E6B5" w14:textId="77777777" w:rsidR="009518AF" w:rsidRPr="00515872" w:rsidRDefault="009518AF" w:rsidP="00042C40">
      <w:pPr>
        <w:spacing w:after="0" w:line="360" w:lineRule="auto"/>
        <w:jc w:val="both"/>
        <w:rPr>
          <w:rFonts w:eastAsia="Times New Roman" w:cs="Tahoma"/>
          <w:szCs w:val="20"/>
          <w:lang w:eastAsia="it-IT"/>
        </w:rPr>
      </w:pPr>
      <w:r w:rsidRPr="00515872">
        <w:rPr>
          <w:rFonts w:cs="Tahoma"/>
          <w:color w:val="000000"/>
          <w:szCs w:val="20"/>
        </w:rPr>
        <w:lastRenderedPageBreak/>
        <w:t>L’attività di verifica dell’organo di revisione può essere ricondotta a tre fasi di controllo:</w:t>
      </w:r>
    </w:p>
    <w:p w14:paraId="51D68412" w14:textId="77777777" w:rsidR="009518AF" w:rsidRPr="00515872" w:rsidRDefault="009518AF" w:rsidP="00D65838">
      <w:pPr>
        <w:pStyle w:val="Paragrafoelenco"/>
        <w:numPr>
          <w:ilvl w:val="0"/>
          <w:numId w:val="114"/>
        </w:numPr>
        <w:spacing w:line="360" w:lineRule="auto"/>
        <w:jc w:val="both"/>
        <w:rPr>
          <w:rFonts w:eastAsia="Times New Roman" w:cs="Tahoma"/>
          <w:szCs w:val="20"/>
          <w:lang w:eastAsia="it-IT"/>
        </w:rPr>
      </w:pPr>
      <w:r w:rsidRPr="00515872">
        <w:rPr>
          <w:rFonts w:cs="Tahoma"/>
          <w:b/>
          <w:color w:val="000000"/>
          <w:szCs w:val="20"/>
        </w:rPr>
        <w:t>controllo precedente</w:t>
      </w:r>
      <w:r w:rsidRPr="00515872">
        <w:rPr>
          <w:rFonts w:cs="Tahoma"/>
          <w:color w:val="000000"/>
          <w:szCs w:val="20"/>
        </w:rPr>
        <w:t>: relativo al monitoraggio sull'effettiva esistenza del bisogno di procedere</w:t>
      </w:r>
      <w:r w:rsidRPr="00515872">
        <w:rPr>
          <w:rFonts w:cs="Tahoma"/>
          <w:color w:val="000000"/>
          <w:szCs w:val="20"/>
        </w:rPr>
        <w:br/>
        <w:t>all'acquisto di quel bene o servizio e sulle procedure di scelta del contraente;</w:t>
      </w:r>
    </w:p>
    <w:p w14:paraId="2D9589F8" w14:textId="77777777" w:rsidR="009518AF" w:rsidRPr="00515872" w:rsidRDefault="009518AF" w:rsidP="00D65838">
      <w:pPr>
        <w:pStyle w:val="Paragrafoelenco"/>
        <w:numPr>
          <w:ilvl w:val="0"/>
          <w:numId w:val="114"/>
        </w:numPr>
        <w:spacing w:line="360" w:lineRule="auto"/>
        <w:jc w:val="both"/>
        <w:rPr>
          <w:rFonts w:eastAsia="Times New Roman" w:cs="Tahoma"/>
          <w:szCs w:val="20"/>
          <w:lang w:eastAsia="it-IT"/>
        </w:rPr>
      </w:pPr>
      <w:r w:rsidRPr="00515872">
        <w:rPr>
          <w:rFonts w:cs="Tahoma"/>
          <w:b/>
          <w:color w:val="000000"/>
          <w:szCs w:val="20"/>
        </w:rPr>
        <w:t>controllo concomitante</w:t>
      </w:r>
      <w:r w:rsidRPr="00515872">
        <w:rPr>
          <w:rFonts w:cs="Tahoma"/>
          <w:color w:val="000000"/>
          <w:szCs w:val="20"/>
        </w:rPr>
        <w:t>: relativo alla vigilanza sulla regolarità di tutti gli atti e procedure relative alla stipula del contratto;</w:t>
      </w:r>
    </w:p>
    <w:p w14:paraId="5CDACA5B" w14:textId="77777777" w:rsidR="009518AF" w:rsidRPr="00515872" w:rsidRDefault="009518AF" w:rsidP="00D65838">
      <w:pPr>
        <w:pStyle w:val="Paragrafoelenco"/>
        <w:numPr>
          <w:ilvl w:val="0"/>
          <w:numId w:val="114"/>
        </w:numPr>
        <w:spacing w:line="360" w:lineRule="auto"/>
        <w:jc w:val="both"/>
        <w:rPr>
          <w:rFonts w:eastAsia="Times New Roman" w:cs="Tahoma"/>
          <w:szCs w:val="20"/>
          <w:lang w:eastAsia="it-IT"/>
        </w:rPr>
      </w:pPr>
      <w:r w:rsidRPr="00515872">
        <w:rPr>
          <w:rFonts w:cs="Tahoma"/>
          <w:b/>
          <w:color w:val="000000"/>
          <w:szCs w:val="20"/>
        </w:rPr>
        <w:t>controllo successivo</w:t>
      </w:r>
      <w:r w:rsidRPr="00515872">
        <w:rPr>
          <w:rFonts w:cs="Tahoma"/>
          <w:color w:val="000000"/>
          <w:szCs w:val="20"/>
        </w:rPr>
        <w:t>: dato dall'attività di verifica sulla gestione da parte dell'ente del contratto stesso e dei rapporti con la controparte.</w:t>
      </w:r>
    </w:p>
    <w:p w14:paraId="5091E80A"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In generale, l’organo di revisione dovrebbe soprattutto verificare che in ogni contratto sia:</w:t>
      </w:r>
    </w:p>
    <w:p w14:paraId="087F9F74"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indicato il responsabile del procedimento;</w:t>
      </w:r>
    </w:p>
    <w:p w14:paraId="2314D41F"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indicato il termine entro cui devono essere completati gli adempimenti contrattuali;</w:t>
      </w:r>
    </w:p>
    <w:p w14:paraId="711A7ED4"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previste penali da applicarsi in caso di ritardato adempimento degli obblighi contrattuali;</w:t>
      </w:r>
    </w:p>
    <w:p w14:paraId="2080757E"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prevista, a tal fine, una congrua fideiussione (di norma il 10% del valore del contratto) a carico del fornitore e che questa contenga sempre la clausola di rinuncia al beneficio della preventiva escussione del debitore principale e la sua operatività entro 15 giorni a semplice richiesta scritta dell'amministrazione;</w:t>
      </w:r>
    </w:p>
    <w:p w14:paraId="7B281A97"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indicato il termine entro cui l'amministrazione deve effettuare il pagamento delle proprie obbligazioni;</w:t>
      </w:r>
    </w:p>
    <w:p w14:paraId="4C911F6C" w14:textId="77777777" w:rsidR="009518AF" w:rsidRPr="00515872" w:rsidRDefault="009518AF" w:rsidP="00D65838">
      <w:pPr>
        <w:pStyle w:val="Paragrafoelenco"/>
        <w:numPr>
          <w:ilvl w:val="0"/>
          <w:numId w:val="116"/>
        </w:numPr>
        <w:spacing w:line="360" w:lineRule="auto"/>
        <w:jc w:val="both"/>
        <w:rPr>
          <w:rFonts w:eastAsia="Times New Roman" w:cs="Tahoma"/>
          <w:szCs w:val="20"/>
          <w:lang w:eastAsia="it-IT"/>
        </w:rPr>
      </w:pPr>
      <w:r w:rsidRPr="00515872">
        <w:rPr>
          <w:rFonts w:cs="Tahoma"/>
          <w:color w:val="000000"/>
          <w:szCs w:val="20"/>
        </w:rPr>
        <w:t>assente la clausola compromissoria di arbitrato.</w:t>
      </w:r>
    </w:p>
    <w:p w14:paraId="766F42C7" w14:textId="77777777" w:rsidR="009518AF" w:rsidRPr="00515872" w:rsidRDefault="009518AF" w:rsidP="009518AF">
      <w:pPr>
        <w:spacing w:after="0" w:line="360" w:lineRule="auto"/>
        <w:jc w:val="both"/>
        <w:rPr>
          <w:rFonts w:cs="Tahoma"/>
          <w:b/>
          <w:color w:val="000000"/>
          <w:szCs w:val="20"/>
        </w:rPr>
      </w:pPr>
      <w:r w:rsidRPr="00515872">
        <w:rPr>
          <w:rFonts w:cs="Tahoma"/>
          <w:b/>
          <w:color w:val="000000"/>
          <w:szCs w:val="20"/>
        </w:rPr>
        <w:t>Controlli sulle opere pubbliche</w:t>
      </w:r>
    </w:p>
    <w:p w14:paraId="2561D69D"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Il settore dei lavori pubblici è quello dove operare le verifiche con maggiore accuratezza, stante la sua rilevanza sia in termini di qualità che di quantità della spesa.</w:t>
      </w:r>
    </w:p>
    <w:p w14:paraId="35730480"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In particolare, per quanto riguarda i contratti per la realizzazione di opere pubbliche, è opportuno verificare che:</w:t>
      </w:r>
    </w:p>
    <w:p w14:paraId="18807693" w14:textId="77777777" w:rsidR="009518AF" w:rsidRPr="00515872" w:rsidRDefault="009518AF" w:rsidP="00D65838">
      <w:pPr>
        <w:pStyle w:val="Paragrafoelenco"/>
        <w:numPr>
          <w:ilvl w:val="0"/>
          <w:numId w:val="115"/>
        </w:numPr>
        <w:spacing w:line="360" w:lineRule="auto"/>
        <w:jc w:val="both"/>
        <w:rPr>
          <w:rFonts w:eastAsia="Times New Roman" w:cs="Tahoma"/>
          <w:szCs w:val="20"/>
          <w:lang w:eastAsia="it-IT"/>
        </w:rPr>
      </w:pPr>
      <w:r w:rsidRPr="00515872">
        <w:rPr>
          <w:rFonts w:cs="Tahoma"/>
          <w:color w:val="000000"/>
          <w:szCs w:val="20"/>
        </w:rPr>
        <w:t>nel bando di gara sia previsto l'obbligo di dichiarare, già in sede di presentazione dell'offerta (pena l'esclusione dalla gara), che l'appaltatore ha preso visione di tutti gli elaborati progettuali, nonché del luogo dell'intervento, delle condizioni di accesso e di tutto ciò che può consentire l'immediata esecuzione dell'opera;</w:t>
      </w:r>
    </w:p>
    <w:p w14:paraId="1351913D" w14:textId="77777777" w:rsidR="009518AF" w:rsidRPr="00515872" w:rsidRDefault="009518AF" w:rsidP="00D65838">
      <w:pPr>
        <w:pStyle w:val="Paragrafoelenco"/>
        <w:numPr>
          <w:ilvl w:val="0"/>
          <w:numId w:val="115"/>
        </w:numPr>
        <w:spacing w:line="360" w:lineRule="auto"/>
        <w:jc w:val="both"/>
        <w:rPr>
          <w:rFonts w:eastAsia="Times New Roman" w:cs="Tahoma"/>
          <w:szCs w:val="20"/>
          <w:lang w:eastAsia="it-IT"/>
        </w:rPr>
      </w:pPr>
      <w:r w:rsidRPr="00515872">
        <w:rPr>
          <w:rFonts w:cs="Tahoma"/>
          <w:color w:val="000000"/>
          <w:szCs w:val="20"/>
        </w:rPr>
        <w:t>sia previsto il termine entro cui, dopo l'aggiudicazione dell'appalto, debba procedersi alla stipula del contratto, nonché il termine entro cui, dopo la stipula del contratto, debba procedersi alla consegna dei lavori ed all'inizio dei medesimi;</w:t>
      </w:r>
    </w:p>
    <w:p w14:paraId="3B3D8E9A" w14:textId="77777777" w:rsidR="00CE5DD7" w:rsidRPr="00515872" w:rsidRDefault="009518AF" w:rsidP="00D65838">
      <w:pPr>
        <w:pStyle w:val="Paragrafoelenco"/>
        <w:numPr>
          <w:ilvl w:val="0"/>
          <w:numId w:val="115"/>
        </w:numPr>
        <w:spacing w:line="360" w:lineRule="auto"/>
        <w:jc w:val="both"/>
        <w:rPr>
          <w:rFonts w:eastAsia="Times New Roman" w:cs="Tahoma"/>
          <w:szCs w:val="20"/>
          <w:lang w:eastAsia="it-IT"/>
        </w:rPr>
      </w:pPr>
      <w:r w:rsidRPr="00515872">
        <w:rPr>
          <w:rFonts w:cs="Tahoma"/>
          <w:color w:val="000000"/>
          <w:szCs w:val="20"/>
        </w:rPr>
        <w:t>sia indicato il cronoprogramma dell'intervento, con l'indicazione del termine entro cui devono essere completate le fasi della lavorazione, nonché delle penali applicabili in caso di immotivato ritardo</w:t>
      </w:r>
      <w:r w:rsidR="00CE5DD7" w:rsidRPr="00515872">
        <w:rPr>
          <w:rFonts w:cs="Tahoma"/>
          <w:color w:val="000000"/>
          <w:szCs w:val="20"/>
        </w:rPr>
        <w:t>;</w:t>
      </w:r>
    </w:p>
    <w:p w14:paraId="439481B0" w14:textId="77777777" w:rsidR="009518AF" w:rsidRPr="00515872" w:rsidRDefault="00CE5DD7" w:rsidP="00D65838">
      <w:pPr>
        <w:pStyle w:val="Paragrafoelenco"/>
        <w:numPr>
          <w:ilvl w:val="0"/>
          <w:numId w:val="115"/>
        </w:numPr>
        <w:spacing w:line="360" w:lineRule="auto"/>
        <w:jc w:val="both"/>
        <w:rPr>
          <w:rFonts w:eastAsia="Times New Roman" w:cs="Tahoma"/>
          <w:szCs w:val="20"/>
          <w:lang w:eastAsia="it-IT"/>
        </w:rPr>
      </w:pPr>
      <w:r w:rsidRPr="00515872">
        <w:rPr>
          <w:rFonts w:cs="Tahoma"/>
          <w:color w:val="000000"/>
          <w:szCs w:val="20"/>
        </w:rPr>
        <w:t>il rispetto del disposto del D.Lgs. n. 50/2016 e delle altre normative in materia di appalti pubblici</w:t>
      </w:r>
      <w:r w:rsidR="009518AF" w:rsidRPr="00515872">
        <w:rPr>
          <w:rFonts w:cs="Tahoma"/>
          <w:color w:val="000000"/>
          <w:szCs w:val="20"/>
        </w:rPr>
        <w:t>.</w:t>
      </w:r>
    </w:p>
    <w:p w14:paraId="33400B50" w14:textId="77777777" w:rsidR="009518AF" w:rsidRPr="00515872" w:rsidRDefault="009518AF" w:rsidP="009518AF">
      <w:pPr>
        <w:spacing w:line="360" w:lineRule="auto"/>
        <w:jc w:val="both"/>
        <w:rPr>
          <w:rFonts w:cs="Tahoma"/>
        </w:rPr>
      </w:pPr>
      <w:r w:rsidRPr="00515872">
        <w:rPr>
          <w:rFonts w:cs="Tahoma"/>
        </w:rPr>
        <w:t>La verifica a campione delle procedure di gara e delle fasi del correlato procedimento di aggiudicazione rientra nella funzione di vigilanza sulla regolarità gestionale dell’attività contrattuale del Comune.</w:t>
      </w:r>
    </w:p>
    <w:p w14:paraId="3AFED5C1" w14:textId="77777777" w:rsidR="00A9116F" w:rsidRPr="00515872" w:rsidRDefault="00A9116F" w:rsidP="009518AF">
      <w:pPr>
        <w:spacing w:after="0" w:line="360" w:lineRule="auto"/>
        <w:jc w:val="both"/>
        <w:rPr>
          <w:rFonts w:cs="Tahoma"/>
          <w:b/>
          <w:szCs w:val="20"/>
        </w:rPr>
      </w:pPr>
    </w:p>
    <w:p w14:paraId="09A23678" w14:textId="77777777" w:rsidR="009518AF" w:rsidRPr="00515872" w:rsidRDefault="009518AF" w:rsidP="009518AF">
      <w:pPr>
        <w:spacing w:after="0" w:line="360" w:lineRule="auto"/>
        <w:jc w:val="both"/>
        <w:rPr>
          <w:rFonts w:cs="Tahoma"/>
          <w:b/>
          <w:szCs w:val="20"/>
        </w:rPr>
      </w:pPr>
      <w:r w:rsidRPr="00515872">
        <w:rPr>
          <w:rFonts w:cs="Tahoma"/>
          <w:b/>
          <w:szCs w:val="20"/>
        </w:rPr>
        <w:lastRenderedPageBreak/>
        <w:t>Programma triennale ed elenco annuale dei lavori pubblici</w:t>
      </w:r>
    </w:p>
    <w:p w14:paraId="2F1040B5"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amministrazioni aggiudicatrici adottano il programma triennale dei lavori pubblici, nonché i relativi aggiornamenti annuali. I</w:t>
      </w:r>
      <w:r w:rsidR="00CC75E6" w:rsidRPr="00515872">
        <w:rPr>
          <w:rFonts w:eastAsia="Times New Roman" w:cs="Tahoma"/>
          <w:szCs w:val="20"/>
          <w:lang w:eastAsia="it-IT"/>
        </w:rPr>
        <w:t>l programma</w:t>
      </w:r>
      <w:r w:rsidRPr="00515872">
        <w:rPr>
          <w:rFonts w:eastAsia="Times New Roman" w:cs="Tahoma"/>
          <w:szCs w:val="20"/>
          <w:lang w:eastAsia="it-IT"/>
        </w:rPr>
        <w:t xml:space="preserve"> </w:t>
      </w:r>
      <w:r w:rsidR="00CC75E6" w:rsidRPr="00515872">
        <w:rPr>
          <w:rFonts w:eastAsia="Times New Roman" w:cs="Tahoma"/>
          <w:szCs w:val="20"/>
          <w:lang w:eastAsia="it-IT"/>
        </w:rPr>
        <w:t>è</w:t>
      </w:r>
      <w:r w:rsidRPr="00515872">
        <w:rPr>
          <w:rFonts w:eastAsia="Times New Roman" w:cs="Tahoma"/>
          <w:szCs w:val="20"/>
          <w:lang w:eastAsia="it-IT"/>
        </w:rPr>
        <w:t xml:space="preserve"> approvat</w:t>
      </w:r>
      <w:r w:rsidR="00CC75E6" w:rsidRPr="00515872">
        <w:rPr>
          <w:rFonts w:eastAsia="Times New Roman" w:cs="Tahoma"/>
          <w:szCs w:val="20"/>
          <w:lang w:eastAsia="it-IT"/>
        </w:rPr>
        <w:t>o</w:t>
      </w:r>
      <w:r w:rsidRPr="00515872">
        <w:rPr>
          <w:rFonts w:eastAsia="Times New Roman" w:cs="Tahoma"/>
          <w:szCs w:val="20"/>
          <w:lang w:eastAsia="it-IT"/>
        </w:rPr>
        <w:t xml:space="preserve"> nel rispetto dei documenti programmatori e in coerenza con il bilancio, secondo le norme che disciplinano la programmazione economico-finanziaria.</w:t>
      </w:r>
    </w:p>
    <w:p w14:paraId="1D8F328D" w14:textId="77777777" w:rsidR="009518AF" w:rsidRPr="00515872" w:rsidRDefault="00F66641" w:rsidP="009518AF">
      <w:pPr>
        <w:spacing w:line="360" w:lineRule="auto"/>
        <w:jc w:val="both"/>
        <w:rPr>
          <w:rFonts w:eastAsia="Times New Roman" w:cs="Tahoma"/>
          <w:szCs w:val="20"/>
          <w:lang w:eastAsia="it-IT"/>
        </w:rPr>
      </w:pPr>
      <w:r w:rsidRPr="00515872">
        <w:rPr>
          <w:rFonts w:eastAsia="Times New Roman" w:cs="Tahoma"/>
          <w:szCs w:val="20"/>
          <w:lang w:eastAsia="it-IT"/>
        </w:rPr>
        <w:t>A norma dell’art. 21, D.Lgs. 18 aprile 2016, n. 50, i</w:t>
      </w:r>
      <w:r w:rsidR="009518AF" w:rsidRPr="00515872">
        <w:rPr>
          <w:rFonts w:eastAsia="Times New Roman" w:cs="Tahoma"/>
          <w:szCs w:val="20"/>
          <w:lang w:eastAsia="it-IT"/>
        </w:rPr>
        <w:t>l programma triennale dei lavori pubblici e i relativi aggiornamenti annuali</w:t>
      </w:r>
      <w:r w:rsidR="0073413A" w:rsidRPr="00515872">
        <w:rPr>
          <w:rFonts w:eastAsia="Times New Roman" w:cs="Tahoma"/>
          <w:szCs w:val="20"/>
          <w:lang w:eastAsia="it-IT"/>
        </w:rPr>
        <w:t>, ora contenuti nel DUP,</w:t>
      </w:r>
      <w:r w:rsidR="009518AF" w:rsidRPr="00515872">
        <w:rPr>
          <w:rFonts w:eastAsia="Times New Roman" w:cs="Tahoma"/>
          <w:szCs w:val="20"/>
          <w:lang w:eastAsia="it-IT"/>
        </w:rPr>
        <w:t xml:space="preserve"> contengono i lavori il cui valore stimato sia pari o superiore a € 100.000 e indicano i lavori da avviare nella prima annualità; per questi deve essere riportata l'indicazione dei mezzi finanziari stanziati in bilancio, ovvero disponibili in base a contributi o risorse dello Stato, delle regioni a statuto ordinario o di altri enti pubblici.</w:t>
      </w:r>
    </w:p>
    <w:p w14:paraId="19931A0D"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Per i lavori di importo pari o superiore a 1.000.000 euro, ai fini dell'inserimento nell'elenco annuale, le amministrazioni aggiudicatrici approvano preventivamente il progetto di fattibilità tecnica ed economica. </w:t>
      </w:r>
    </w:p>
    <w:p w14:paraId="3B5B1B7F"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Nell'ambito del programma</w:t>
      </w:r>
      <w:r w:rsidR="00F66641" w:rsidRPr="00515872">
        <w:rPr>
          <w:rFonts w:eastAsia="Times New Roman" w:cs="Tahoma"/>
          <w:szCs w:val="20"/>
          <w:lang w:eastAsia="it-IT"/>
        </w:rPr>
        <w:t>,</w:t>
      </w:r>
      <w:r w:rsidRPr="00515872">
        <w:rPr>
          <w:rFonts w:eastAsia="Times New Roman" w:cs="Tahoma"/>
          <w:szCs w:val="20"/>
          <w:lang w:eastAsia="it-IT"/>
        </w:rPr>
        <w:t xml:space="preserve"> le amministrazioni aggiudicatrici individuano anche i lavori complessi e gli interventi suscettibili di essere realizzati attraverso contratti di concessione o di partenariato pubblico privato.</w:t>
      </w:r>
    </w:p>
    <w:p w14:paraId="313AA883"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Nell'elencazione delle fonti di finanziamento sono indicati anche i beni immobili disponibili che possono essere oggetto di cessione.</w:t>
      </w:r>
    </w:p>
    <w:p w14:paraId="325F671B" w14:textId="77777777" w:rsidR="009518AF" w:rsidRPr="00515872" w:rsidRDefault="009518AF" w:rsidP="009518AF">
      <w:pPr>
        <w:spacing w:line="360" w:lineRule="auto"/>
        <w:jc w:val="both"/>
        <w:rPr>
          <w:rFonts w:cs="Tahoma"/>
          <w:szCs w:val="20"/>
        </w:rPr>
      </w:pPr>
      <w:r w:rsidRPr="00515872">
        <w:rPr>
          <w:rFonts w:cs="Tahoma"/>
          <w:szCs w:val="20"/>
        </w:rPr>
        <w:t>Gli importi inclusi nello schema relativi ad interventi con onere a carico dell’ente devono trovare riferimento nel bilancio di previsione e</w:t>
      </w:r>
      <w:r w:rsidR="00B80004" w:rsidRPr="00515872">
        <w:rPr>
          <w:rFonts w:cs="Tahoma"/>
          <w:szCs w:val="20"/>
        </w:rPr>
        <w:t xml:space="preserve"> nel</w:t>
      </w:r>
      <w:r w:rsidRPr="00515872">
        <w:rPr>
          <w:rFonts w:cs="Tahoma"/>
          <w:szCs w:val="20"/>
        </w:rPr>
        <w:t xml:space="preserve"> cronoprogramma dei pagamenti</w:t>
      </w:r>
      <w:r w:rsidR="00F66641" w:rsidRPr="00515872">
        <w:rPr>
          <w:rFonts w:cs="Tahoma"/>
          <w:szCs w:val="20"/>
        </w:rPr>
        <w:t xml:space="preserve"> e</w:t>
      </w:r>
      <w:r w:rsidRPr="00515872">
        <w:rPr>
          <w:rFonts w:cs="Tahoma"/>
          <w:szCs w:val="20"/>
        </w:rPr>
        <w:t xml:space="preserve"> dev</w:t>
      </w:r>
      <w:r w:rsidR="00B80004" w:rsidRPr="00515872">
        <w:rPr>
          <w:rFonts w:cs="Tahoma"/>
          <w:szCs w:val="20"/>
        </w:rPr>
        <w:t>ono risultare compatibili</w:t>
      </w:r>
      <w:r w:rsidRPr="00515872">
        <w:rPr>
          <w:rFonts w:cs="Tahoma"/>
          <w:szCs w:val="20"/>
        </w:rPr>
        <w:t xml:space="preserve"> con le previsioni d</w:t>
      </w:r>
      <w:r w:rsidR="00B80004" w:rsidRPr="00515872">
        <w:rPr>
          <w:rFonts w:cs="Tahoma"/>
          <w:szCs w:val="20"/>
        </w:rPr>
        <w:t>e</w:t>
      </w:r>
      <w:r w:rsidRPr="00515872">
        <w:rPr>
          <w:rFonts w:cs="Tahoma"/>
          <w:szCs w:val="20"/>
        </w:rPr>
        <w:t>i pagamenti del titolo II indicate nel bilancio di cassa.</w:t>
      </w:r>
    </w:p>
    <w:p w14:paraId="11035585" w14:textId="77777777" w:rsidR="00C4763E" w:rsidRPr="00515872" w:rsidRDefault="009518AF" w:rsidP="009518AF">
      <w:pPr>
        <w:spacing w:line="360" w:lineRule="auto"/>
        <w:jc w:val="both"/>
        <w:rPr>
          <w:rFonts w:cs="Tahoma"/>
        </w:rPr>
      </w:pPr>
      <w:r w:rsidRPr="00515872">
        <w:rPr>
          <w:rFonts w:cs="Tahoma"/>
        </w:rPr>
        <w:t>Il D.M. Infrastrutture e Trasporti 16 gennaio 2018, n. 14 regolamenta le procedure per la redazione e la pubblicazione del programma triennale dei lavori pubblici, in attuazione dell’art. 21, c. 8, D.Lgs. 18 aprile 2016, n. 50. In particolare, esso prevede l’adozione del programma triennale dei lavori pubblici sulla base di schemi-tipo allegati al decreto stesso riportando, per ciascun lavoro, l’importo complessivo stimato necessario per la realizzazione del lavoro, comprensivo delle forniture e dei servizi connessi alla realizzazione dello stesso; nell’elenco annuale, il riporto dell’importo complessivo del relativo quadro economico. Il programma triennale è redatto ogni anno, scorrendo l’annualità pregressa e aggiornando i programmi precedentemente approvati, evide</w:t>
      </w:r>
      <w:r w:rsidR="00C4763E" w:rsidRPr="00515872">
        <w:rPr>
          <w:rFonts w:cs="Tahoma"/>
        </w:rPr>
        <w:t>nziando la priorità dei lavori.</w:t>
      </w:r>
    </w:p>
    <w:p w14:paraId="47F49992" w14:textId="77777777" w:rsidR="009518AF" w:rsidRPr="00515872" w:rsidRDefault="009518AF" w:rsidP="009518AF">
      <w:pPr>
        <w:spacing w:line="360" w:lineRule="auto"/>
        <w:jc w:val="both"/>
        <w:rPr>
          <w:rFonts w:cs="Tahoma"/>
        </w:rPr>
      </w:pPr>
      <w:r w:rsidRPr="00515872">
        <w:rPr>
          <w:rFonts w:cs="Tahoma"/>
        </w:rPr>
        <w:t>Il programma triennale e l’elenco annuale sono pubblicati sul profilo del committente.</w:t>
      </w:r>
    </w:p>
    <w:p w14:paraId="0DB4501B" w14:textId="77777777" w:rsidR="00660509" w:rsidRPr="00515872" w:rsidRDefault="00660509" w:rsidP="009518AF">
      <w:pPr>
        <w:spacing w:line="360" w:lineRule="auto"/>
        <w:jc w:val="both"/>
        <w:rPr>
          <w:rFonts w:cs="Tahoma"/>
          <w:szCs w:val="20"/>
        </w:rPr>
      </w:pPr>
      <w:r w:rsidRPr="00515872">
        <w:rPr>
          <w:rFonts w:cs="Tahoma"/>
          <w:szCs w:val="20"/>
        </w:rPr>
        <w:t>Si segnala che il Ministero dello Sviluppo Economico ha pubblicato nel 2017 un vademecum indirizzato ai revisori e ai sindaci designati dal Ministero dell’Economia e delle Finanze presso enti e organismi pubblici, che può costituire un utile riferimento anche per i revisori degli enti locali in ordine alle verifiche sull’attività contrattuale dell’ente.</w:t>
      </w:r>
    </w:p>
    <w:p w14:paraId="00129F36" w14:textId="77777777" w:rsidR="009518AF" w:rsidRPr="00515872" w:rsidRDefault="00AD2719" w:rsidP="00C353C6">
      <w:pPr>
        <w:pStyle w:val="Sottoparagrafo"/>
        <w:ind w:left="0" w:firstLine="0"/>
        <w:rPr>
          <w:rFonts w:cs="Tahoma"/>
        </w:rPr>
      </w:pPr>
      <w:bookmarkStart w:id="217" w:name="_Toc521317128"/>
      <w:bookmarkStart w:id="218" w:name="_Toc95912318"/>
      <w:r w:rsidRPr="00515872">
        <w:rPr>
          <w:rFonts w:cs="Tahoma"/>
        </w:rPr>
        <w:lastRenderedPageBreak/>
        <w:t>6</w:t>
      </w:r>
      <w:r w:rsidR="009518AF" w:rsidRPr="00515872">
        <w:rPr>
          <w:rFonts w:cs="Tahoma"/>
        </w:rPr>
        <w:t>.16.4 Vigilanza sull'acquisizione di beni e servizi</w:t>
      </w:r>
      <w:bookmarkEnd w:id="217"/>
      <w:bookmarkEnd w:id="218"/>
    </w:p>
    <w:p w14:paraId="6572839A"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Negli ultimi decenni il settore dei contratti pubblici è stato caratterizzato da profondi cambiamenti di tipo normativo, sia a livello comunitario sia a livello nazionale. Le direttive principali attraverso cui si snodano le normative che man mano si susseguono e sovrappongono sono:</w:t>
      </w:r>
    </w:p>
    <w:p w14:paraId="752F927F" w14:textId="77777777" w:rsidR="009518AF" w:rsidRPr="00515872" w:rsidRDefault="00CC75E6" w:rsidP="00D65838">
      <w:pPr>
        <w:pStyle w:val="Paragrafoelenco"/>
        <w:numPr>
          <w:ilvl w:val="0"/>
          <w:numId w:val="117"/>
        </w:numPr>
        <w:spacing w:line="360" w:lineRule="auto"/>
        <w:jc w:val="both"/>
        <w:rPr>
          <w:rFonts w:eastAsia="Times New Roman" w:cs="Tahoma"/>
          <w:szCs w:val="20"/>
          <w:lang w:eastAsia="it-IT"/>
        </w:rPr>
      </w:pPr>
      <w:r w:rsidRPr="00515872">
        <w:rPr>
          <w:rFonts w:eastAsia="Times New Roman" w:cs="Tahoma"/>
          <w:szCs w:val="20"/>
          <w:lang w:eastAsia="it-IT"/>
        </w:rPr>
        <w:t>il contenimento degli</w:t>
      </w:r>
      <w:r w:rsidR="009518AF" w:rsidRPr="00515872">
        <w:rPr>
          <w:rFonts w:eastAsia="Times New Roman" w:cs="Tahoma"/>
          <w:szCs w:val="20"/>
          <w:lang w:eastAsia="it-IT"/>
        </w:rPr>
        <w:t xml:space="preserve"> sprechi che avvengono nell’acquisizione di beni e servizi da parte della pubblica amministrazione;</w:t>
      </w:r>
    </w:p>
    <w:p w14:paraId="3D13FAAA" w14:textId="77777777" w:rsidR="009518AF" w:rsidRPr="00515872" w:rsidRDefault="009518AF" w:rsidP="00D65838">
      <w:pPr>
        <w:pStyle w:val="Paragrafoelenco"/>
        <w:numPr>
          <w:ilvl w:val="0"/>
          <w:numId w:val="117"/>
        </w:numPr>
        <w:spacing w:line="360" w:lineRule="auto"/>
        <w:jc w:val="both"/>
        <w:rPr>
          <w:rFonts w:eastAsia="Times New Roman" w:cs="Tahoma"/>
          <w:szCs w:val="20"/>
          <w:lang w:eastAsia="it-IT"/>
        </w:rPr>
      </w:pPr>
      <w:r w:rsidRPr="00515872">
        <w:rPr>
          <w:rFonts w:eastAsia="Times New Roman" w:cs="Tahoma"/>
          <w:szCs w:val="20"/>
          <w:lang w:eastAsia="it-IT"/>
        </w:rPr>
        <w:t>semplificare e rendere più rapide e trasparenti le procedure degli acquisti pubblici, attraverso la diffusione e l'utilizzo delle tecnologie dell'informazione e della comunicazione.</w:t>
      </w:r>
    </w:p>
    <w:p w14:paraId="42840E38" w14:textId="77777777" w:rsidR="00EC3F26" w:rsidRPr="00515872" w:rsidRDefault="00675302" w:rsidP="009518AF">
      <w:pPr>
        <w:spacing w:line="360" w:lineRule="auto"/>
        <w:jc w:val="both"/>
        <w:rPr>
          <w:rFonts w:eastAsia="Times New Roman" w:cs="Tahoma"/>
          <w:szCs w:val="20"/>
          <w:lang w:eastAsia="it-IT"/>
        </w:rPr>
      </w:pPr>
      <w:r w:rsidRPr="00515872">
        <w:rPr>
          <w:rFonts w:eastAsia="Times New Roman" w:cs="Tahoma"/>
          <w:szCs w:val="20"/>
          <w:lang w:eastAsia="it-IT"/>
        </w:rPr>
        <w:t>A norma dell</w:t>
      </w:r>
      <w:r w:rsidR="00EC3F26" w:rsidRPr="00515872">
        <w:rPr>
          <w:rFonts w:eastAsia="Times New Roman" w:cs="Tahoma"/>
          <w:szCs w:val="20"/>
          <w:lang w:eastAsia="it-IT"/>
        </w:rPr>
        <w:t>’</w:t>
      </w:r>
      <w:r w:rsidR="009518AF" w:rsidRPr="00515872">
        <w:rPr>
          <w:rFonts w:eastAsia="Times New Roman" w:cs="Tahoma"/>
          <w:szCs w:val="20"/>
          <w:lang w:eastAsia="it-IT"/>
        </w:rPr>
        <w:t>art. 21</w:t>
      </w:r>
      <w:r w:rsidR="001814C4" w:rsidRPr="00515872">
        <w:rPr>
          <w:rFonts w:eastAsia="Times New Roman" w:cs="Tahoma"/>
          <w:szCs w:val="20"/>
          <w:lang w:eastAsia="it-IT"/>
        </w:rPr>
        <w:t>, c. 6</w:t>
      </w:r>
      <w:r w:rsidR="00CC7551" w:rsidRPr="00515872">
        <w:rPr>
          <w:rFonts w:eastAsia="Times New Roman" w:cs="Tahoma"/>
          <w:szCs w:val="20"/>
          <w:lang w:eastAsia="it-IT"/>
        </w:rPr>
        <w:t>,</w:t>
      </w:r>
      <w:r w:rsidR="009518AF" w:rsidRPr="00515872">
        <w:rPr>
          <w:rFonts w:eastAsia="Times New Roman" w:cs="Tahoma"/>
          <w:szCs w:val="20"/>
          <w:lang w:eastAsia="it-IT"/>
        </w:rPr>
        <w:t xml:space="preserve"> D.Lgs. n. 50/2016, le amministrazioni aggiudicatrici sono tenute ad adottare anche un programma biennale degli acquisti di beni e servizi. Il programma biennale e i relativi aggiornamenti annuali conte</w:t>
      </w:r>
      <w:r w:rsidR="00CC7551" w:rsidRPr="00515872">
        <w:rPr>
          <w:rFonts w:eastAsia="Times New Roman" w:cs="Tahoma"/>
          <w:szCs w:val="20"/>
          <w:lang w:eastAsia="it-IT"/>
        </w:rPr>
        <w:t>mplano</w:t>
      </w:r>
      <w:r w:rsidR="009518AF" w:rsidRPr="00515872">
        <w:rPr>
          <w:rFonts w:eastAsia="Times New Roman" w:cs="Tahoma"/>
          <w:szCs w:val="20"/>
          <w:lang w:eastAsia="it-IT"/>
        </w:rPr>
        <w:t xml:space="preserve"> gli acquisti di beni e di servizi di importo unitario stimato pari o superiore a 40.000 euro. </w:t>
      </w:r>
    </w:p>
    <w:p w14:paraId="5F22589A" w14:textId="0F0EDD4E" w:rsidR="00CC7551" w:rsidRPr="00515872" w:rsidRDefault="00CC7551" w:rsidP="00EC3F26">
      <w:pPr>
        <w:spacing w:line="360" w:lineRule="auto"/>
        <w:jc w:val="both"/>
        <w:rPr>
          <w:rFonts w:eastAsia="Times New Roman" w:cs="Tahoma"/>
          <w:szCs w:val="20"/>
          <w:lang w:eastAsia="it-IT"/>
        </w:rPr>
      </w:pPr>
      <w:r w:rsidRPr="00515872">
        <w:rPr>
          <w:rFonts w:cs="Tahoma"/>
        </w:rPr>
        <w:t xml:space="preserve">Il programma evidenzia gli importi degli acquisti di forniture e servizi risultanti dalla stima del valore complessivo, ovvero, per gli acquisti di forniture e servizi ricompresi nell’elenco annuale, gli importi del prospetto economico delle acquisizioni medesime. </w:t>
      </w:r>
      <w:r w:rsidR="001E548F" w:rsidRPr="00515872">
        <w:rPr>
          <w:rFonts w:eastAsia="Times New Roman" w:cs="Tahoma"/>
          <w:szCs w:val="20"/>
          <w:lang w:eastAsia="it-IT"/>
        </w:rPr>
        <w:t>È</w:t>
      </w:r>
      <w:r w:rsidRPr="00515872">
        <w:rPr>
          <w:rFonts w:eastAsia="Times New Roman" w:cs="Tahoma"/>
          <w:szCs w:val="20"/>
          <w:lang w:eastAsia="it-IT"/>
        </w:rPr>
        <w:t xml:space="preserve"> redatto ogni anno,</w:t>
      </w:r>
      <w:r w:rsidRPr="00515872">
        <w:rPr>
          <w:rFonts w:cs="Tahoma"/>
        </w:rPr>
        <w:t xml:space="preserve"> </w:t>
      </w:r>
      <w:r w:rsidRPr="00515872">
        <w:rPr>
          <w:rFonts w:eastAsia="Times New Roman" w:cs="Tahoma"/>
          <w:szCs w:val="20"/>
          <w:lang w:eastAsia="it-IT"/>
        </w:rPr>
        <w:t>scorrendo l'annualità pregressa ed aggiornando i programmi</w:t>
      </w:r>
      <w:r w:rsidRPr="00515872">
        <w:rPr>
          <w:rFonts w:cs="Tahoma"/>
        </w:rPr>
        <w:t xml:space="preserve"> </w:t>
      </w:r>
      <w:r w:rsidRPr="00515872">
        <w:rPr>
          <w:rFonts w:eastAsia="Times New Roman" w:cs="Tahoma"/>
          <w:szCs w:val="20"/>
          <w:lang w:eastAsia="it-IT"/>
        </w:rPr>
        <w:t>precedentemente approvati.</w:t>
      </w:r>
    </w:p>
    <w:p w14:paraId="43ADF91E" w14:textId="40B0F7AF" w:rsidR="00CC7551" w:rsidRPr="00515872" w:rsidRDefault="009518AF" w:rsidP="00EC3F26">
      <w:pPr>
        <w:spacing w:line="360" w:lineRule="auto"/>
        <w:jc w:val="both"/>
        <w:rPr>
          <w:rFonts w:cs="Tahoma"/>
        </w:rPr>
      </w:pPr>
      <w:r w:rsidRPr="00515872">
        <w:rPr>
          <w:rFonts w:cs="Tahoma"/>
        </w:rPr>
        <w:t xml:space="preserve">Anche per quanto attiene il programma biennale degli acquisti e delle forniture e servizi e i relativi elenchi e aggiornamenti annuali, </w:t>
      </w:r>
      <w:r w:rsidR="00D0796D" w:rsidRPr="00515872">
        <w:rPr>
          <w:rFonts w:cs="Tahoma"/>
        </w:rPr>
        <w:t xml:space="preserve">il </w:t>
      </w:r>
      <w:r w:rsidRPr="00515872">
        <w:rPr>
          <w:rFonts w:cs="Tahoma"/>
        </w:rPr>
        <w:t xml:space="preserve">D.M. </w:t>
      </w:r>
      <w:r w:rsidR="001E548F" w:rsidRPr="00515872">
        <w:rPr>
          <w:rFonts w:cs="Tahoma"/>
        </w:rPr>
        <w:t>Infrastrutture</w:t>
      </w:r>
      <w:r w:rsidRPr="00515872">
        <w:rPr>
          <w:rFonts w:cs="Tahoma"/>
        </w:rPr>
        <w:t xml:space="preserve"> e Trasporti n. 14/2018 stabilisce l’adozione sulla base degli sc</w:t>
      </w:r>
      <w:r w:rsidR="00CC7551" w:rsidRPr="00515872">
        <w:rPr>
          <w:rFonts w:cs="Tahoma"/>
        </w:rPr>
        <w:t>hemi-tipo allegati allo stesso.</w:t>
      </w:r>
    </w:p>
    <w:p w14:paraId="043AC054"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4"/>
          <w:lang w:eastAsia="it-IT"/>
        </w:rPr>
        <w:t>l programma biennale di forniture e servizi</w:t>
      </w:r>
      <w:r w:rsidRPr="00515872">
        <w:rPr>
          <w:rFonts w:eastAsia="Times New Roman" w:cs="Tahoma"/>
          <w:szCs w:val="20"/>
          <w:lang w:eastAsia="it-IT"/>
        </w:rPr>
        <w:t>, nonché i relativi aggiornamenti annuali</w:t>
      </w:r>
      <w:r w:rsidR="00D0796D" w:rsidRPr="00515872">
        <w:rPr>
          <w:rFonts w:eastAsia="Times New Roman" w:cs="Tahoma"/>
          <w:szCs w:val="20"/>
          <w:lang w:eastAsia="it-IT"/>
        </w:rPr>
        <w:t>,</w:t>
      </w:r>
      <w:r w:rsidRPr="00515872">
        <w:rPr>
          <w:rFonts w:eastAsia="Times New Roman" w:cs="Tahoma"/>
          <w:szCs w:val="20"/>
          <w:lang w:eastAsia="it-IT"/>
        </w:rPr>
        <w:t xml:space="preserve"> sono pubblicati sul profilo del committente, sul sito i</w:t>
      </w:r>
      <w:r w:rsidR="00D0796D" w:rsidRPr="00515872">
        <w:rPr>
          <w:rFonts w:eastAsia="Times New Roman" w:cs="Tahoma"/>
          <w:szCs w:val="20"/>
          <w:lang w:eastAsia="it-IT"/>
        </w:rPr>
        <w:t>nformatico del Ministero delle Infrastrutture e dei T</w:t>
      </w:r>
      <w:r w:rsidRPr="00515872">
        <w:rPr>
          <w:rFonts w:eastAsia="Times New Roman" w:cs="Tahoma"/>
          <w:szCs w:val="20"/>
          <w:lang w:eastAsia="it-IT"/>
        </w:rPr>
        <w:t>rasporti e dell'ANAC</w:t>
      </w:r>
      <w:r w:rsidR="00305568" w:rsidRPr="00515872">
        <w:rPr>
          <w:rStyle w:val="Rimandonotaapidipagina"/>
          <w:rFonts w:eastAsia="Times New Roman" w:cs="Tahoma"/>
          <w:szCs w:val="20"/>
          <w:lang w:eastAsia="it-IT"/>
        </w:rPr>
        <w:footnoteReference w:id="106"/>
      </w:r>
      <w:r w:rsidRPr="00515872">
        <w:rPr>
          <w:rFonts w:eastAsia="Times New Roman" w:cs="Tahoma"/>
          <w:szCs w:val="20"/>
          <w:lang w:eastAsia="it-IT"/>
        </w:rPr>
        <w:t>.</w:t>
      </w:r>
    </w:p>
    <w:p w14:paraId="5CF1147B"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L’art. 9, c. 5 del D.L. 24 aprile 2014, n. 66, convertito dalla L. 23 giugno 2014, n. 89, ha previsto l’obbligo a carico delle regioni di costituire, entro il 31 dicembre 2014, i soggetti aggregatori e, il successivo c. 6, in alternativa, di stipulare con il MEF apposite convenzioni per regolare i rapporti con Consip</w:t>
      </w:r>
      <w:r w:rsidRPr="00515872">
        <w:rPr>
          <w:rStyle w:val="Rimandonotaapidipagina"/>
          <w:rFonts w:cs="Tahoma"/>
          <w:color w:val="000000"/>
          <w:szCs w:val="20"/>
        </w:rPr>
        <w:footnoteReference w:id="107"/>
      </w:r>
      <w:r w:rsidRPr="00515872">
        <w:rPr>
          <w:rFonts w:cs="Tahoma"/>
          <w:color w:val="000000"/>
          <w:szCs w:val="20"/>
        </w:rPr>
        <w:t>, quale centrale di committenza per i soggetti del territorio regionale.</w:t>
      </w:r>
    </w:p>
    <w:p w14:paraId="27AB94D7" w14:textId="77777777" w:rsidR="009518AF" w:rsidRPr="00515872" w:rsidRDefault="00CC7551" w:rsidP="009518AF">
      <w:pPr>
        <w:spacing w:line="360" w:lineRule="auto"/>
        <w:jc w:val="both"/>
        <w:rPr>
          <w:rFonts w:eastAsia="Times New Roman" w:cs="Tahoma"/>
          <w:szCs w:val="20"/>
          <w:lang w:eastAsia="it-IT"/>
        </w:rPr>
      </w:pPr>
      <w:r w:rsidRPr="00515872">
        <w:rPr>
          <w:rFonts w:eastAsia="Times New Roman" w:cs="Tahoma"/>
          <w:szCs w:val="20"/>
          <w:lang w:eastAsia="it-IT"/>
        </w:rPr>
        <w:t>Si configura</w:t>
      </w:r>
      <w:r w:rsidR="009518AF" w:rsidRPr="00515872">
        <w:rPr>
          <w:rFonts w:eastAsia="Times New Roman" w:cs="Tahoma"/>
          <w:szCs w:val="20"/>
          <w:lang w:eastAsia="it-IT"/>
        </w:rPr>
        <w:t xml:space="preserve">, pertanto, un obbligo generalizzato, in capo alle amministrazioni dello Stato, di approvvigionarsi facendo ricorso alle convenzioni della Consip, per qualunque categoria merceologica: la normativa in materia individua alcune tipologie di beni e di servizi per le quali le amministrazioni statali centrali e periferiche sono </w:t>
      </w:r>
      <w:r w:rsidR="009518AF" w:rsidRPr="00515872">
        <w:rPr>
          <w:rFonts w:eastAsia="Times New Roman" w:cs="Tahoma"/>
          <w:szCs w:val="20"/>
          <w:lang w:eastAsia="it-IT"/>
        </w:rPr>
        <w:lastRenderedPageBreak/>
        <w:t>tenute a ricorrere alla Consip S.p.A. in qualità di stazione appaltante ai fini dell'espletamento dell'appalto e della conclusione dell'accordo quadro, anche con l'utilizzo dei sistemi telematici.</w:t>
      </w:r>
    </w:p>
    <w:p w14:paraId="7C79D3FE"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I contratti stipulati in violazione della normativa Consip, secondo l’art. 26, c. 3, L. 23 dicembre 1999, n. 488 ed i contratti stipulati in violazione degli obblighi di approvvigionarsi attraverso gli strumenti di acquisto messi a disposizione da Consip sono</w:t>
      </w:r>
      <w:r w:rsidRPr="00515872">
        <w:rPr>
          <w:rFonts w:cs="Tahoma"/>
          <w:b/>
          <w:color w:val="000000"/>
          <w:szCs w:val="20"/>
        </w:rPr>
        <w:t xml:space="preserve"> causa di responsabilità amministrativa.</w:t>
      </w:r>
      <w:r w:rsidRPr="00515872">
        <w:rPr>
          <w:rFonts w:cs="Tahoma"/>
          <w:color w:val="000000"/>
          <w:szCs w:val="20"/>
        </w:rPr>
        <w:t xml:space="preserve"> Ai fini della determinazione del danno erariale si tiene anche conto della differenza tra il prezzo indicato negli strumenti di acquisto e quello del contratto.</w:t>
      </w:r>
    </w:p>
    <w:p w14:paraId="68C6B9F2" w14:textId="77777777" w:rsidR="009518AF" w:rsidRPr="00515872" w:rsidRDefault="009518AF" w:rsidP="009518AF">
      <w:pPr>
        <w:spacing w:after="0" w:line="360" w:lineRule="auto"/>
        <w:jc w:val="both"/>
        <w:rPr>
          <w:rFonts w:cs="Tahoma"/>
          <w:b/>
          <w:szCs w:val="20"/>
        </w:rPr>
      </w:pPr>
      <w:r w:rsidRPr="00515872">
        <w:rPr>
          <w:rFonts w:cs="Tahoma"/>
          <w:b/>
          <w:szCs w:val="20"/>
        </w:rPr>
        <w:t>Il nuovo codice degli appalti</w:t>
      </w:r>
    </w:p>
    <w:p w14:paraId="2AD870BA" w14:textId="77777777" w:rsidR="009518AF" w:rsidRPr="00515872" w:rsidRDefault="009518AF" w:rsidP="009518AF">
      <w:pPr>
        <w:spacing w:line="360" w:lineRule="auto"/>
        <w:jc w:val="both"/>
        <w:rPr>
          <w:rFonts w:cs="Tahoma"/>
          <w:szCs w:val="20"/>
        </w:rPr>
      </w:pPr>
      <w:r w:rsidRPr="00515872">
        <w:rPr>
          <w:rFonts w:cs="Tahoma"/>
          <w:szCs w:val="20"/>
        </w:rPr>
        <w:t xml:space="preserve">In data 19 aprile 2016 è entrato in vigore il D.Lgs. 18 aprile 2016, n. 50 </w:t>
      </w:r>
      <w:r w:rsidRPr="00515872">
        <w:rPr>
          <w:rFonts w:cs="Tahoma"/>
          <w:i/>
          <w:szCs w:val="20"/>
        </w:rPr>
        <w:t>“Attuazione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r w:rsidRPr="00515872">
        <w:rPr>
          <w:rFonts w:cs="Tahoma"/>
          <w:szCs w:val="20"/>
        </w:rPr>
        <w:t>.</w:t>
      </w:r>
    </w:p>
    <w:p w14:paraId="4C69540E" w14:textId="77777777" w:rsidR="009518AF" w:rsidRPr="00515872" w:rsidRDefault="009518AF" w:rsidP="009518AF">
      <w:pPr>
        <w:spacing w:line="360" w:lineRule="auto"/>
        <w:jc w:val="both"/>
        <w:rPr>
          <w:rFonts w:cs="Tahoma"/>
          <w:szCs w:val="20"/>
        </w:rPr>
      </w:pPr>
      <w:r w:rsidRPr="00515872">
        <w:rPr>
          <w:rFonts w:cs="Tahoma"/>
          <w:szCs w:val="20"/>
        </w:rPr>
        <w:t>Il nuovo codice degli appalti pubblici realizza l’accorpamento dell'intera materia in un unico testo, superando in tal modo l'impostazione che verteva su un codice ed un regolamento di attuazione, anche se non rappresenta un vero e proprio testo unico, in quanto molte materie mantengono una regolamentazione propria (es. sicurezza sui luoghi di lavoro, anticorruzione, trasparenza, antimafia, ecc.).</w:t>
      </w:r>
    </w:p>
    <w:p w14:paraId="7FCA77AC" w14:textId="77777777" w:rsidR="009518AF" w:rsidRPr="00515872" w:rsidRDefault="009518AF" w:rsidP="009518AF">
      <w:pPr>
        <w:spacing w:line="360" w:lineRule="auto"/>
        <w:jc w:val="both"/>
        <w:rPr>
          <w:rFonts w:cs="Tahoma"/>
          <w:szCs w:val="20"/>
        </w:rPr>
      </w:pPr>
      <w:r w:rsidRPr="00515872">
        <w:rPr>
          <w:rFonts w:cs="Tahoma"/>
          <w:szCs w:val="20"/>
        </w:rPr>
        <w:t>La materia è integrata da successivi decreti ovvero mediante linee guida, bandi tipo (il cui utilizzo diviene obbligatorio), capitolati tipo, contratti tipo ed altri strumenti di regolazione flessibile a cura di ANAC.</w:t>
      </w:r>
    </w:p>
    <w:p w14:paraId="155DF27B" w14:textId="77777777" w:rsidR="009518AF" w:rsidRPr="00515872" w:rsidRDefault="00EE1053" w:rsidP="00EE1053">
      <w:pPr>
        <w:spacing w:line="360" w:lineRule="auto"/>
        <w:jc w:val="both"/>
        <w:rPr>
          <w:rFonts w:cs="Tahoma"/>
          <w:szCs w:val="20"/>
        </w:rPr>
      </w:pPr>
      <w:r w:rsidRPr="00515872">
        <w:rPr>
          <w:rFonts w:cs="Tahoma"/>
          <w:szCs w:val="20"/>
        </w:rPr>
        <w:t>L’art. 35 del c</w:t>
      </w:r>
      <w:r w:rsidR="009518AF" w:rsidRPr="00515872">
        <w:rPr>
          <w:rFonts w:cs="Tahoma"/>
          <w:szCs w:val="20"/>
        </w:rPr>
        <w:t xml:space="preserve">odice </w:t>
      </w:r>
      <w:r w:rsidRPr="00515872">
        <w:rPr>
          <w:rFonts w:cs="Tahoma"/>
          <w:szCs w:val="20"/>
        </w:rPr>
        <w:t>individua le soglie di applicazione in funzione dei vari tipi di appalto.</w:t>
      </w:r>
    </w:p>
    <w:p w14:paraId="502C08DD" w14:textId="77777777" w:rsidR="009518AF" w:rsidRPr="00515872" w:rsidRDefault="009518AF" w:rsidP="00A77566">
      <w:pPr>
        <w:spacing w:after="0" w:line="360" w:lineRule="auto"/>
        <w:jc w:val="both"/>
        <w:rPr>
          <w:rFonts w:cs="Tahoma"/>
          <w:szCs w:val="20"/>
        </w:rPr>
      </w:pPr>
      <w:r w:rsidRPr="00515872">
        <w:rPr>
          <w:rFonts w:cs="Tahoma"/>
          <w:szCs w:val="20"/>
        </w:rPr>
        <w:t>Il codice è incentrato sul rispetto dei principi di economicità, efficacia, tempestività, correttezza, libera concorrenza, non discriminazione, trasparenza, proporzionalità, pubblicità e rotazione in modo da assicurare la possibilità di partecipazione delle micro, piccole e medie imprese (MPMI). Esso prevede, a seguito delle modifiche introdotte dal D.Lgs. 1</w:t>
      </w:r>
      <w:r w:rsidR="004D2B21" w:rsidRPr="00515872">
        <w:rPr>
          <w:rFonts w:cs="Tahoma"/>
          <w:szCs w:val="20"/>
        </w:rPr>
        <w:t>7</w:t>
      </w:r>
      <w:r w:rsidRPr="00515872">
        <w:rPr>
          <w:rFonts w:cs="Tahoma"/>
          <w:szCs w:val="20"/>
        </w:rPr>
        <w:t xml:space="preserve"> aprile 201</w:t>
      </w:r>
      <w:r w:rsidR="004D2B21" w:rsidRPr="00515872">
        <w:rPr>
          <w:rFonts w:cs="Tahoma"/>
          <w:szCs w:val="20"/>
        </w:rPr>
        <w:t>9</w:t>
      </w:r>
      <w:r w:rsidRPr="00515872">
        <w:rPr>
          <w:rFonts w:cs="Tahoma"/>
          <w:szCs w:val="20"/>
        </w:rPr>
        <w:t xml:space="preserve">, n. </w:t>
      </w:r>
      <w:r w:rsidR="004D2B21" w:rsidRPr="00515872">
        <w:rPr>
          <w:rFonts w:cs="Tahoma"/>
          <w:szCs w:val="20"/>
        </w:rPr>
        <w:t>32</w:t>
      </w:r>
      <w:r w:rsidRPr="00515872">
        <w:rPr>
          <w:rFonts w:cs="Tahoma"/>
          <w:szCs w:val="20"/>
        </w:rPr>
        <w:t xml:space="preserve">, che, salva la possibilità di ricorrere alle procedure ordinarie, </w:t>
      </w:r>
      <w:r w:rsidRPr="00515872">
        <w:rPr>
          <w:rFonts w:cs="Tahoma"/>
        </w:rPr>
        <w:t>le stazioni appaltanti procedono all'affidamento di lavori, servizi e forniture di importo inferiore alle soglie di cui all'art. 35,</w:t>
      </w:r>
      <w:r w:rsidR="00F167AD" w:rsidRPr="00515872">
        <w:rPr>
          <w:rFonts w:cs="Tahoma"/>
        </w:rPr>
        <w:t xml:space="preserve"> </w:t>
      </w:r>
      <w:r w:rsidRPr="00515872">
        <w:rPr>
          <w:rFonts w:cs="Tahoma"/>
        </w:rPr>
        <w:t>secondo le seguenti modalità:</w:t>
      </w:r>
    </w:p>
    <w:p w14:paraId="445CD842" w14:textId="77777777" w:rsidR="009518AF" w:rsidRPr="00515872" w:rsidRDefault="009518AF" w:rsidP="00D65838">
      <w:pPr>
        <w:pStyle w:val="Paragrafoelenco"/>
        <w:numPr>
          <w:ilvl w:val="0"/>
          <w:numId w:val="199"/>
        </w:numPr>
        <w:spacing w:line="360" w:lineRule="auto"/>
        <w:ind w:left="426"/>
        <w:jc w:val="both"/>
        <w:rPr>
          <w:rFonts w:cs="Tahoma"/>
          <w:szCs w:val="20"/>
        </w:rPr>
      </w:pPr>
      <w:r w:rsidRPr="00515872">
        <w:rPr>
          <w:rFonts w:cs="Tahoma"/>
        </w:rPr>
        <w:t>per affidamenti di importo inferiore a € 40.000, mediante affidamento diretto, anche senza previa consultazione di 2 o più operatori economici, o per i la</w:t>
      </w:r>
      <w:r w:rsidR="00C05BF3" w:rsidRPr="00515872">
        <w:rPr>
          <w:rFonts w:cs="Tahoma"/>
        </w:rPr>
        <w:t>vori in amministrazione diretta. La pubblicazione dell'avviso sui risultati della procedura di affidamento non è obbligatoria;</w:t>
      </w:r>
    </w:p>
    <w:p w14:paraId="38E12AE0" w14:textId="77777777" w:rsidR="009518AF" w:rsidRPr="00515872" w:rsidRDefault="00EE1053" w:rsidP="00D65838">
      <w:pPr>
        <w:pStyle w:val="Paragrafoelenco"/>
        <w:numPr>
          <w:ilvl w:val="0"/>
          <w:numId w:val="199"/>
        </w:numPr>
        <w:spacing w:line="360" w:lineRule="auto"/>
        <w:ind w:left="426"/>
        <w:jc w:val="both"/>
        <w:rPr>
          <w:rFonts w:cs="Tahoma"/>
          <w:szCs w:val="20"/>
        </w:rPr>
      </w:pPr>
      <w:r w:rsidRPr="00515872">
        <w:rPr>
          <w:rFonts w:cs="Tahoma"/>
          <w:color w:val="000000"/>
          <w:szCs w:val="20"/>
        </w:rPr>
        <w:t xml:space="preserve">per affidamenti di importo pari o superiore a </w:t>
      </w:r>
      <w:r w:rsidR="005027A3" w:rsidRPr="00515872">
        <w:rPr>
          <w:rFonts w:cs="Tahoma"/>
          <w:color w:val="000000"/>
          <w:szCs w:val="20"/>
        </w:rPr>
        <w:t xml:space="preserve">€ </w:t>
      </w:r>
      <w:r w:rsidRPr="00515872">
        <w:rPr>
          <w:rFonts w:cs="Tahoma"/>
          <w:color w:val="000000"/>
          <w:szCs w:val="20"/>
        </w:rPr>
        <w:t xml:space="preserve">40.000 e inferiore a </w:t>
      </w:r>
      <w:r w:rsidR="005027A3" w:rsidRPr="00515872">
        <w:rPr>
          <w:rFonts w:cs="Tahoma"/>
          <w:color w:val="000000"/>
          <w:szCs w:val="20"/>
        </w:rPr>
        <w:t xml:space="preserve">€ </w:t>
      </w:r>
      <w:r w:rsidRPr="00515872">
        <w:rPr>
          <w:rFonts w:cs="Tahoma"/>
          <w:color w:val="000000"/>
          <w:szCs w:val="20"/>
        </w:rPr>
        <w:t>150.000 per i lavori, o alle soglie di cui all'art</w:t>
      </w:r>
      <w:r w:rsidR="00F167AD" w:rsidRPr="00515872">
        <w:rPr>
          <w:rFonts w:cs="Tahoma"/>
          <w:color w:val="000000"/>
          <w:szCs w:val="20"/>
        </w:rPr>
        <w:t>.</w:t>
      </w:r>
      <w:r w:rsidRPr="00515872">
        <w:rPr>
          <w:rFonts w:cs="Tahoma"/>
          <w:color w:val="000000"/>
          <w:szCs w:val="20"/>
        </w:rPr>
        <w:t xml:space="preserve"> 35 per le forniture e i servizi, mediante affidamento diretto previa valutazione di </w:t>
      </w:r>
      <w:r w:rsidR="005027A3" w:rsidRPr="00515872">
        <w:rPr>
          <w:rFonts w:cs="Tahoma"/>
          <w:color w:val="000000"/>
          <w:szCs w:val="20"/>
        </w:rPr>
        <w:t>3</w:t>
      </w:r>
      <w:r w:rsidRPr="00515872">
        <w:rPr>
          <w:rFonts w:cs="Tahoma"/>
          <w:color w:val="000000"/>
          <w:szCs w:val="20"/>
        </w:rPr>
        <w:t xml:space="preserve"> preventivi, ove esistenti, per i lavori, e, per i servizi e le forniture, di almeno </w:t>
      </w:r>
      <w:r w:rsidR="005027A3" w:rsidRPr="00515872">
        <w:rPr>
          <w:rFonts w:cs="Tahoma"/>
          <w:color w:val="000000"/>
          <w:szCs w:val="20"/>
        </w:rPr>
        <w:t>5</w:t>
      </w:r>
      <w:r w:rsidRPr="00515872">
        <w:rPr>
          <w:rFonts w:cs="Tahoma"/>
          <w:color w:val="000000"/>
          <w:szCs w:val="20"/>
        </w:rPr>
        <w:t xml:space="preserve"> operatori economici individuati sulla base di indagini di mercato o tramite elenchi di operatori economici, nel rispetto di un criterio di rotazione degli inviti. I lavori possono essere eseguiti anche in amministrazione diretta, fatto salvo l'acquisto e il </w:t>
      </w:r>
      <w:r w:rsidRPr="00515872">
        <w:rPr>
          <w:rFonts w:cs="Tahoma"/>
          <w:color w:val="000000"/>
          <w:szCs w:val="20"/>
        </w:rPr>
        <w:lastRenderedPageBreak/>
        <w:t>noleggio di mezzi, per i quali si applica comunque la procedura di cui al periodo precedente. L'avviso sui risultati della procedura di affidamento contiene l'indicazi</w:t>
      </w:r>
      <w:r w:rsidR="00C76EFA" w:rsidRPr="00515872">
        <w:rPr>
          <w:rFonts w:cs="Tahoma"/>
          <w:color w:val="000000"/>
          <w:szCs w:val="20"/>
        </w:rPr>
        <w:t>one anche dei soggetti invitati</w:t>
      </w:r>
      <w:r w:rsidR="00E604EB" w:rsidRPr="00515872">
        <w:rPr>
          <w:rFonts w:cs="Tahoma"/>
          <w:color w:val="000000"/>
          <w:szCs w:val="20"/>
        </w:rPr>
        <w:t>;</w:t>
      </w:r>
    </w:p>
    <w:p w14:paraId="3136B77B" w14:textId="77777777" w:rsidR="00582267" w:rsidRPr="00515872" w:rsidRDefault="00582267" w:rsidP="00D65838">
      <w:pPr>
        <w:pStyle w:val="Paragrafoelenco"/>
        <w:numPr>
          <w:ilvl w:val="0"/>
          <w:numId w:val="199"/>
        </w:numPr>
        <w:spacing w:line="360" w:lineRule="auto"/>
        <w:ind w:left="426"/>
        <w:jc w:val="both"/>
        <w:rPr>
          <w:rFonts w:cs="Tahoma"/>
          <w:sz w:val="22"/>
          <w:szCs w:val="20"/>
        </w:rPr>
      </w:pPr>
      <w:r w:rsidRPr="00515872">
        <w:rPr>
          <w:rFonts w:cs="Tahoma"/>
          <w:color w:val="000000"/>
          <w:szCs w:val="18"/>
        </w:rPr>
        <w:t xml:space="preserve">per affidamenti di lavori di importo pari o superiore a </w:t>
      </w:r>
      <w:r w:rsidR="005027A3" w:rsidRPr="00515872">
        <w:rPr>
          <w:rFonts w:cs="Tahoma"/>
          <w:color w:val="000000"/>
          <w:szCs w:val="18"/>
        </w:rPr>
        <w:t xml:space="preserve">€ </w:t>
      </w:r>
      <w:r w:rsidRPr="00515872">
        <w:rPr>
          <w:rFonts w:cs="Tahoma"/>
          <w:color w:val="000000"/>
          <w:szCs w:val="18"/>
        </w:rPr>
        <w:t>150.000</w:t>
      </w:r>
      <w:r w:rsidR="005027A3" w:rsidRPr="00515872">
        <w:rPr>
          <w:rFonts w:cs="Tahoma"/>
          <w:color w:val="000000"/>
          <w:szCs w:val="18"/>
        </w:rPr>
        <w:t xml:space="preserve"> </w:t>
      </w:r>
      <w:r w:rsidRPr="00515872">
        <w:rPr>
          <w:rFonts w:cs="Tahoma"/>
          <w:color w:val="000000"/>
          <w:szCs w:val="18"/>
        </w:rPr>
        <w:t xml:space="preserve">e inferiore a </w:t>
      </w:r>
      <w:r w:rsidR="005027A3" w:rsidRPr="00515872">
        <w:rPr>
          <w:rFonts w:cs="Tahoma"/>
          <w:color w:val="000000"/>
          <w:szCs w:val="18"/>
        </w:rPr>
        <w:t xml:space="preserve">€ </w:t>
      </w:r>
      <w:r w:rsidRPr="00515872">
        <w:rPr>
          <w:rFonts w:cs="Tahoma"/>
          <w:color w:val="000000"/>
          <w:szCs w:val="18"/>
        </w:rPr>
        <w:t xml:space="preserve">350.000, mediante la procedura negoziata previa consultazione, ove esistenti, di almeno </w:t>
      </w:r>
      <w:r w:rsidR="005027A3" w:rsidRPr="00515872">
        <w:rPr>
          <w:rFonts w:cs="Tahoma"/>
          <w:color w:val="000000"/>
          <w:szCs w:val="18"/>
        </w:rPr>
        <w:t>10</w:t>
      </w:r>
      <w:r w:rsidRPr="00515872">
        <w:rPr>
          <w:rFonts w:cs="Tahoma"/>
          <w:color w:val="000000"/>
          <w:szCs w:val="18"/>
        </w:rPr>
        <w:t xml:space="preserve"> operatori economici, nel rispetto di un criterio di rotazione degli inviti, individuati sulla base di indagini di mercato o tramite elenchi di operatori economici. L'avviso sui risultati della procedura di affidamento contiene l'indicazione anche dei soggetti invitati;</w:t>
      </w:r>
    </w:p>
    <w:p w14:paraId="1B29B6F0" w14:textId="77777777" w:rsidR="00582267" w:rsidRPr="00515872" w:rsidRDefault="00582267" w:rsidP="00D65838">
      <w:pPr>
        <w:pStyle w:val="Paragrafoelenco"/>
        <w:numPr>
          <w:ilvl w:val="0"/>
          <w:numId w:val="199"/>
        </w:numPr>
        <w:spacing w:line="360" w:lineRule="auto"/>
        <w:ind w:left="426"/>
        <w:jc w:val="both"/>
        <w:rPr>
          <w:rFonts w:cs="Tahoma"/>
          <w:sz w:val="22"/>
          <w:szCs w:val="20"/>
        </w:rPr>
      </w:pPr>
      <w:r w:rsidRPr="00515872">
        <w:rPr>
          <w:rFonts w:cs="Tahoma"/>
          <w:color w:val="000000"/>
          <w:szCs w:val="18"/>
        </w:rPr>
        <w:t xml:space="preserve">per affidamenti di lavori di importo pari o superiore a </w:t>
      </w:r>
      <w:r w:rsidR="005027A3" w:rsidRPr="00515872">
        <w:rPr>
          <w:rFonts w:cs="Tahoma"/>
          <w:color w:val="000000"/>
          <w:szCs w:val="18"/>
        </w:rPr>
        <w:t xml:space="preserve">€ </w:t>
      </w:r>
      <w:r w:rsidRPr="00515872">
        <w:rPr>
          <w:rFonts w:cs="Tahoma"/>
          <w:color w:val="000000"/>
          <w:szCs w:val="18"/>
        </w:rPr>
        <w:t xml:space="preserve">350.000 e inferiore a </w:t>
      </w:r>
      <w:r w:rsidR="005027A3" w:rsidRPr="00515872">
        <w:rPr>
          <w:rFonts w:cs="Tahoma"/>
          <w:color w:val="000000"/>
          <w:szCs w:val="18"/>
        </w:rPr>
        <w:t xml:space="preserve">€ </w:t>
      </w:r>
      <w:r w:rsidRPr="00515872">
        <w:rPr>
          <w:rFonts w:cs="Tahoma"/>
          <w:color w:val="000000"/>
          <w:szCs w:val="18"/>
        </w:rPr>
        <w:t xml:space="preserve">1.000.000, mediante la procedura negoziata previa consultazione, ove esistenti, di almeno </w:t>
      </w:r>
      <w:r w:rsidR="005027A3" w:rsidRPr="00515872">
        <w:rPr>
          <w:rFonts w:cs="Tahoma"/>
          <w:color w:val="000000"/>
          <w:szCs w:val="18"/>
        </w:rPr>
        <w:t>15</w:t>
      </w:r>
      <w:r w:rsidRPr="00515872">
        <w:rPr>
          <w:rFonts w:cs="Tahoma"/>
          <w:color w:val="000000"/>
          <w:szCs w:val="18"/>
        </w:rPr>
        <w:t xml:space="preserve"> operatori economici, nel rispetto di un criterio di rotazione degli inviti, individuati sulla base di indagini di mercato o tramite elenchi di operatori economici. L'avviso sui risultati della procedura di affidamento contiene l'indicazione anche dei soggetti invitati;</w:t>
      </w:r>
    </w:p>
    <w:p w14:paraId="2A5BD314" w14:textId="77777777" w:rsidR="00582267" w:rsidRPr="00515872" w:rsidRDefault="00582267" w:rsidP="00D65838">
      <w:pPr>
        <w:pStyle w:val="Paragrafoelenco"/>
        <w:numPr>
          <w:ilvl w:val="0"/>
          <w:numId w:val="199"/>
        </w:numPr>
        <w:spacing w:line="360" w:lineRule="auto"/>
        <w:ind w:left="426"/>
        <w:jc w:val="both"/>
        <w:rPr>
          <w:rFonts w:cs="Tahoma"/>
          <w:sz w:val="22"/>
          <w:szCs w:val="20"/>
        </w:rPr>
      </w:pPr>
      <w:r w:rsidRPr="00515872">
        <w:rPr>
          <w:rFonts w:cs="Tahoma"/>
          <w:color w:val="000000"/>
          <w:szCs w:val="18"/>
        </w:rPr>
        <w:t xml:space="preserve">per affidamenti di lavori di importo pari o superiore a </w:t>
      </w:r>
      <w:r w:rsidR="005027A3" w:rsidRPr="00515872">
        <w:rPr>
          <w:rFonts w:cs="Tahoma"/>
          <w:color w:val="000000"/>
          <w:szCs w:val="18"/>
        </w:rPr>
        <w:t xml:space="preserve">€ </w:t>
      </w:r>
      <w:r w:rsidRPr="00515872">
        <w:rPr>
          <w:rFonts w:cs="Tahoma"/>
          <w:color w:val="000000"/>
          <w:szCs w:val="18"/>
        </w:rPr>
        <w:t xml:space="preserve">1.000.000 e fino alle soglie di cui all'art. 35, mediante ricorso alle procedure </w:t>
      </w:r>
      <w:r w:rsidR="00541967" w:rsidRPr="00515872">
        <w:rPr>
          <w:rFonts w:cs="Tahoma"/>
          <w:color w:val="000000"/>
          <w:szCs w:val="18"/>
        </w:rPr>
        <w:t>aperte di cui all’art. 60</w:t>
      </w:r>
      <w:r w:rsidR="00C53673" w:rsidRPr="00515872">
        <w:rPr>
          <w:rStyle w:val="Rimandonotaapidipagina"/>
          <w:rFonts w:cs="Tahoma"/>
          <w:szCs w:val="20"/>
        </w:rPr>
        <w:footnoteReference w:id="108"/>
      </w:r>
      <w:r w:rsidRPr="00515872">
        <w:rPr>
          <w:rFonts w:cs="Tahoma"/>
          <w:color w:val="000000"/>
          <w:szCs w:val="18"/>
        </w:rPr>
        <w:t>.</w:t>
      </w:r>
    </w:p>
    <w:p w14:paraId="1FBD8175" w14:textId="77777777" w:rsidR="009518AF" w:rsidRPr="00515872" w:rsidRDefault="009518AF" w:rsidP="009518AF">
      <w:pPr>
        <w:spacing w:line="360" w:lineRule="auto"/>
        <w:jc w:val="both"/>
        <w:rPr>
          <w:rFonts w:cs="Tahoma"/>
          <w:bCs/>
        </w:rPr>
      </w:pPr>
      <w:r w:rsidRPr="00515872">
        <w:rPr>
          <w:rFonts w:cs="Tahoma"/>
          <w:bCs/>
        </w:rPr>
        <w:t>In confor</w:t>
      </w:r>
      <w:r w:rsidR="00DC2771" w:rsidRPr="00515872">
        <w:rPr>
          <w:rFonts w:cs="Tahoma"/>
          <w:bCs/>
        </w:rPr>
        <w:t>mità a quanto previsto dall’</w:t>
      </w:r>
      <w:hyperlink r:id="rId39" w:history="1">
        <w:r w:rsidRPr="00515872">
          <w:rPr>
            <w:rStyle w:val="Collegamentoipertestuale"/>
            <w:rFonts w:cs="Tahoma"/>
            <w:bCs/>
            <w:color w:val="auto"/>
            <w:u w:val="none"/>
          </w:rPr>
          <w:t>art. 1, c. 450, L. n. 296/2006</w:t>
        </w:r>
      </w:hyperlink>
      <w:r w:rsidRPr="00515872">
        <w:rPr>
          <w:rFonts w:cs="Tahoma"/>
          <w:bCs/>
        </w:rPr>
        <w:t>, come modificato</w:t>
      </w:r>
      <w:r w:rsidR="00DC2771" w:rsidRPr="00515872">
        <w:rPr>
          <w:rFonts w:cs="Tahoma"/>
          <w:bCs/>
        </w:rPr>
        <w:t>, a decorrere dal</w:t>
      </w:r>
      <w:r w:rsidR="00CD6E3C" w:rsidRPr="00515872">
        <w:rPr>
          <w:rFonts w:cs="Tahoma"/>
          <w:bCs/>
        </w:rPr>
        <w:t xml:space="preserve"> 1</w:t>
      </w:r>
      <w:r w:rsidR="00DC2771" w:rsidRPr="00515872">
        <w:rPr>
          <w:rFonts w:cs="Tahoma"/>
          <w:bCs/>
        </w:rPr>
        <w:t>°</w:t>
      </w:r>
      <w:r w:rsidR="00CD6E3C" w:rsidRPr="00515872">
        <w:rPr>
          <w:rFonts w:cs="Tahoma"/>
          <w:bCs/>
        </w:rPr>
        <w:t xml:space="preserve"> gennaio 2019,</w:t>
      </w:r>
      <w:r w:rsidRPr="00515872">
        <w:rPr>
          <w:rFonts w:cs="Tahoma"/>
          <w:bCs/>
        </w:rPr>
        <w:t xml:space="preserve"> dall’art. </w:t>
      </w:r>
      <w:r w:rsidR="00CD6E3C" w:rsidRPr="00515872">
        <w:rPr>
          <w:rFonts w:cs="Tahoma"/>
          <w:bCs/>
        </w:rPr>
        <w:t>1, c. 130, L. 30 dicembre 2018, n. 145</w:t>
      </w:r>
      <w:r w:rsidRPr="00515872">
        <w:rPr>
          <w:rFonts w:cs="Tahoma"/>
          <w:bCs/>
        </w:rPr>
        <w:t xml:space="preserve">, per gli acquisti di beni e servizi di importo pari o superiore a € </w:t>
      </w:r>
      <w:r w:rsidR="00CD6E3C" w:rsidRPr="00515872">
        <w:rPr>
          <w:rFonts w:cs="Tahoma"/>
          <w:bCs/>
        </w:rPr>
        <w:t>5</w:t>
      </w:r>
      <w:r w:rsidRPr="00515872">
        <w:rPr>
          <w:rFonts w:cs="Tahoma"/>
          <w:bCs/>
        </w:rPr>
        <w:t>.000</w:t>
      </w:r>
      <w:r w:rsidR="00CD6E3C" w:rsidRPr="00515872">
        <w:rPr>
          <w:rFonts w:cs="Tahoma"/>
          <w:bCs/>
        </w:rPr>
        <w:t xml:space="preserve"> (in precedenza, € 1.000)</w:t>
      </w:r>
      <w:r w:rsidRPr="00515872">
        <w:rPr>
          <w:rFonts w:cs="Tahoma"/>
          <w:bCs/>
        </w:rPr>
        <w:t xml:space="preserve"> e inferiore alla soglia comunitaria (€ 40.000 per gli affidamenti diretti, € 209.000 per le procedure negoziate) l’ente è tenuto a fare ricorso al MEPA (Mercato Elettronico della Pubblica Amministrazione) ovvero ad altri mercati elettronici istituiti.</w:t>
      </w:r>
    </w:p>
    <w:p w14:paraId="441C1B27" w14:textId="77777777" w:rsidR="009518AF" w:rsidRPr="00515872" w:rsidRDefault="000A0097" w:rsidP="009518AF">
      <w:pPr>
        <w:spacing w:line="360" w:lineRule="auto"/>
        <w:jc w:val="both"/>
        <w:rPr>
          <w:rFonts w:cs="Tahoma"/>
        </w:rPr>
      </w:pPr>
      <w:r w:rsidRPr="00515872">
        <w:rPr>
          <w:rFonts w:cs="Tahoma"/>
        </w:rPr>
        <w:t>Ai fini della verifica delle limitazioni sopra delineate, i</w:t>
      </w:r>
      <w:r w:rsidR="006B67FF" w:rsidRPr="00515872">
        <w:rPr>
          <w:rFonts w:cs="Tahoma"/>
        </w:rPr>
        <w:t>l r</w:t>
      </w:r>
      <w:r w:rsidR="009518AF" w:rsidRPr="00515872">
        <w:rPr>
          <w:rFonts w:cs="Tahoma"/>
        </w:rPr>
        <w:t>evisore deve</w:t>
      </w:r>
      <w:r w:rsidRPr="00515872">
        <w:rPr>
          <w:rFonts w:cs="Tahoma"/>
        </w:rPr>
        <w:t xml:space="preserve"> porre particolare attenzione </w:t>
      </w:r>
      <w:r w:rsidR="004E1FFE" w:rsidRPr="00515872">
        <w:rPr>
          <w:rFonts w:cs="Tahoma"/>
        </w:rPr>
        <w:t xml:space="preserve">alla possibile </w:t>
      </w:r>
      <w:r w:rsidR="009518AF" w:rsidRPr="00515872">
        <w:rPr>
          <w:rFonts w:cs="Tahoma"/>
          <w:b/>
        </w:rPr>
        <w:t>esistenza</w:t>
      </w:r>
      <w:r w:rsidR="009518AF" w:rsidRPr="00515872">
        <w:rPr>
          <w:rFonts w:cs="Tahoma"/>
        </w:rPr>
        <w:t xml:space="preserve"> di </w:t>
      </w:r>
      <w:r w:rsidR="009518AF" w:rsidRPr="00515872">
        <w:rPr>
          <w:rFonts w:cs="Tahoma"/>
          <w:b/>
        </w:rPr>
        <w:t>frazionamenti artificiosi</w:t>
      </w:r>
      <w:r w:rsidR="009518AF" w:rsidRPr="00515872">
        <w:rPr>
          <w:rFonts w:cs="Tahoma"/>
        </w:rPr>
        <w:t>, tesi allo scopo di rimanere entro la soglia di pertinenza.</w:t>
      </w:r>
    </w:p>
    <w:p w14:paraId="054A831C" w14:textId="77777777" w:rsidR="009518AF" w:rsidRPr="00515872" w:rsidRDefault="007905AD" w:rsidP="009518AF">
      <w:pPr>
        <w:spacing w:line="360" w:lineRule="auto"/>
        <w:jc w:val="both"/>
        <w:rPr>
          <w:rFonts w:cs="Tahoma"/>
        </w:rPr>
      </w:pPr>
      <w:r w:rsidRPr="00515872">
        <w:rPr>
          <w:rFonts w:cs="Tahoma"/>
          <w:bCs/>
        </w:rPr>
        <w:t>Regola generale, ai sensi dell’</w:t>
      </w:r>
      <w:r w:rsidR="009518AF" w:rsidRPr="00515872">
        <w:rPr>
          <w:rFonts w:cs="Tahoma"/>
          <w:bCs/>
        </w:rPr>
        <w:t>art. 95, D.Lgs. n. 50/2016, è che le s</w:t>
      </w:r>
      <w:r w:rsidR="009518AF" w:rsidRPr="00515872">
        <w:rPr>
          <w:rFonts w:cs="Tahoma"/>
        </w:rPr>
        <w:t xml:space="preserve">tazioni appaltanti, nel rispetto dei principi di trasparenza, di non discriminazione e di parità di trattamento, procedono all'aggiudicazione degli appalti sulla base del criterio dell'offerta economicamente più vantaggiosa (OEPV) individuata sulla base del </w:t>
      </w:r>
      <w:r w:rsidR="009518AF" w:rsidRPr="00515872">
        <w:rPr>
          <w:rFonts w:cs="Tahoma"/>
          <w:bCs/>
        </w:rPr>
        <w:t xml:space="preserve">miglior rapporto qualità/prezzo </w:t>
      </w:r>
      <w:r w:rsidR="009518AF" w:rsidRPr="00515872">
        <w:rPr>
          <w:rFonts w:cs="Tahoma"/>
        </w:rPr>
        <w:t xml:space="preserve">o sulla base dell'elemento prezzo o del costo, seguendo un </w:t>
      </w:r>
      <w:r w:rsidR="009518AF" w:rsidRPr="00515872">
        <w:rPr>
          <w:rFonts w:cs="Tahoma"/>
          <w:bCs/>
        </w:rPr>
        <w:t>criterio di comparazione costo/efficacia.</w:t>
      </w:r>
    </w:p>
    <w:p w14:paraId="169477C8" w14:textId="77777777" w:rsidR="009518AF" w:rsidRPr="00515872" w:rsidRDefault="009518AF" w:rsidP="009518AF">
      <w:pPr>
        <w:spacing w:line="360" w:lineRule="auto"/>
        <w:jc w:val="both"/>
        <w:rPr>
          <w:rFonts w:cs="Tahoma"/>
        </w:rPr>
      </w:pPr>
      <w:r w:rsidRPr="00515872">
        <w:rPr>
          <w:rFonts w:cs="Tahoma"/>
        </w:rPr>
        <w:lastRenderedPageBreak/>
        <w:t xml:space="preserve">Le amministrazioni hanno l’obbligo di dotarsi di un </w:t>
      </w:r>
      <w:r w:rsidR="00DC2771" w:rsidRPr="00515872">
        <w:rPr>
          <w:rFonts w:cs="Tahoma"/>
        </w:rPr>
        <w:t>r</w:t>
      </w:r>
      <w:r w:rsidRPr="00515872">
        <w:rPr>
          <w:rFonts w:cs="Tahoma"/>
        </w:rPr>
        <w:t>egolamento per disciplinare la conduzione delle indagini di mercato e le modalità di costituzione degli elenchi dei fornitori.</w:t>
      </w:r>
    </w:p>
    <w:p w14:paraId="58C3E662" w14:textId="77777777" w:rsidR="009518AF" w:rsidRPr="00515872" w:rsidRDefault="009518AF" w:rsidP="007905AD">
      <w:pPr>
        <w:spacing w:after="0" w:line="360" w:lineRule="auto"/>
        <w:jc w:val="both"/>
        <w:rPr>
          <w:rFonts w:eastAsia="Times New Roman" w:cs="Tahoma"/>
          <w:bCs/>
          <w:szCs w:val="20"/>
          <w:lang w:eastAsia="it-IT"/>
        </w:rPr>
      </w:pPr>
      <w:r w:rsidRPr="00515872">
        <w:rPr>
          <w:rFonts w:eastAsia="Times New Roman" w:cs="Tahoma"/>
          <w:bCs/>
          <w:szCs w:val="20"/>
          <w:lang w:eastAsia="it-IT"/>
        </w:rPr>
        <w:t xml:space="preserve">Laddove siano individuate motivazioni legate all’esistenza di privative, all’infungibilità dei prodotti o servizi da acquistare o ai costi eccessivi che comporterebbe un cambio di fornitore, l’ente ha la possibilità </w:t>
      </w:r>
      <w:r w:rsidR="007905AD" w:rsidRPr="00515872">
        <w:rPr>
          <w:rFonts w:eastAsia="Times New Roman" w:cs="Tahoma"/>
          <w:bCs/>
          <w:szCs w:val="20"/>
          <w:lang w:eastAsia="it-IT"/>
        </w:rPr>
        <w:t xml:space="preserve">di </w:t>
      </w:r>
      <w:r w:rsidRPr="00515872">
        <w:rPr>
          <w:rFonts w:eastAsia="Times New Roman" w:cs="Tahoma"/>
          <w:bCs/>
          <w:szCs w:val="20"/>
          <w:lang w:eastAsia="it-IT"/>
        </w:rPr>
        <w:t xml:space="preserve">accedere a procedure negoziate senza previa pubblicazione di un bando. </w:t>
      </w:r>
      <w:r w:rsidRPr="00515872">
        <w:rPr>
          <w:rFonts w:cs="Tahoma"/>
        </w:rPr>
        <w:t>Il c. 2 dell’art</w:t>
      </w:r>
      <w:r w:rsidR="007905AD" w:rsidRPr="00515872">
        <w:rPr>
          <w:rFonts w:cs="Tahoma"/>
        </w:rPr>
        <w:t>.</w:t>
      </w:r>
      <w:r w:rsidRPr="00515872">
        <w:rPr>
          <w:rFonts w:cs="Tahoma"/>
        </w:rPr>
        <w:t xml:space="preserve"> 63 del Codice subordina l’utilizzo </w:t>
      </w:r>
      <w:r w:rsidR="007905AD" w:rsidRPr="00515872">
        <w:rPr>
          <w:rFonts w:cs="Tahoma"/>
        </w:rPr>
        <w:t xml:space="preserve">della procedura negoziata </w:t>
      </w:r>
      <w:r w:rsidRPr="00515872">
        <w:rPr>
          <w:rFonts w:cs="Tahoma"/>
        </w:rPr>
        <w:t>(dandone conto con “adeguata motivazione”) senza previa pubblicazione di un bando di gara alla sussistenza di specifici presupposti:</w:t>
      </w:r>
    </w:p>
    <w:p w14:paraId="6E6A1650" w14:textId="77777777" w:rsidR="009518AF" w:rsidRPr="00515872" w:rsidRDefault="009518AF" w:rsidP="00D65838">
      <w:pPr>
        <w:pStyle w:val="Paragrafoelenco"/>
        <w:numPr>
          <w:ilvl w:val="0"/>
          <w:numId w:val="197"/>
        </w:numPr>
        <w:spacing w:line="360" w:lineRule="auto"/>
        <w:ind w:left="426"/>
        <w:jc w:val="both"/>
        <w:rPr>
          <w:rFonts w:cs="Tahoma"/>
        </w:rPr>
      </w:pPr>
      <w:r w:rsidRPr="00515872">
        <w:rPr>
          <w:rFonts w:cs="Tahoma"/>
        </w:rPr>
        <w:t>la mancanza di offerte ovvero di offerte appropriate, di domande di partecipazione o di domande di partecipazione appropriate, in esito all'esperimento di una procedura aperta o ristretta;</w:t>
      </w:r>
    </w:p>
    <w:p w14:paraId="76E6FDA9" w14:textId="77777777" w:rsidR="009518AF" w:rsidRPr="00515872" w:rsidRDefault="009518AF" w:rsidP="00D65838">
      <w:pPr>
        <w:pStyle w:val="Paragrafoelenco"/>
        <w:numPr>
          <w:ilvl w:val="0"/>
          <w:numId w:val="197"/>
        </w:numPr>
        <w:spacing w:after="0" w:line="360" w:lineRule="auto"/>
        <w:ind w:left="426" w:hanging="357"/>
        <w:jc w:val="both"/>
        <w:rPr>
          <w:rFonts w:cs="Tahoma"/>
        </w:rPr>
      </w:pPr>
      <w:r w:rsidRPr="00515872">
        <w:rPr>
          <w:rFonts w:cs="Tahoma"/>
        </w:rPr>
        <w:t>i lavori, le forniture o i servizi possono essere forniti unicamente da un determinato operatore economico per una delle seguenti ragioni:</w:t>
      </w:r>
    </w:p>
    <w:p w14:paraId="169E2D50" w14:textId="77777777" w:rsidR="009518AF" w:rsidRPr="00515872" w:rsidRDefault="009518AF" w:rsidP="007905AD">
      <w:pPr>
        <w:spacing w:after="0" w:line="360" w:lineRule="auto"/>
        <w:ind w:left="426"/>
        <w:jc w:val="both"/>
        <w:rPr>
          <w:rFonts w:cs="Tahoma"/>
        </w:rPr>
      </w:pPr>
      <w:r w:rsidRPr="00515872">
        <w:rPr>
          <w:rFonts w:cs="Tahoma"/>
        </w:rPr>
        <w:t>- lo scopo dell'appalto consiste nella creazione o nell'acquisizione di un'opera d'arte o rappresentazione artistica unica;</w:t>
      </w:r>
    </w:p>
    <w:p w14:paraId="4D3D25B6" w14:textId="77777777" w:rsidR="009518AF" w:rsidRPr="00515872" w:rsidRDefault="009518AF" w:rsidP="007905AD">
      <w:pPr>
        <w:spacing w:after="0" w:line="360" w:lineRule="auto"/>
        <w:ind w:left="426"/>
        <w:jc w:val="both"/>
        <w:rPr>
          <w:rFonts w:cs="Tahoma"/>
        </w:rPr>
      </w:pPr>
      <w:r w:rsidRPr="00515872">
        <w:rPr>
          <w:rFonts w:cs="Tahoma"/>
        </w:rPr>
        <w:t>- la concorrenza è assente per motivi tecnici;</w:t>
      </w:r>
    </w:p>
    <w:p w14:paraId="3DDC942E" w14:textId="77777777" w:rsidR="009518AF" w:rsidRPr="00515872" w:rsidRDefault="009518AF" w:rsidP="007905AD">
      <w:pPr>
        <w:spacing w:after="0" w:line="360" w:lineRule="auto"/>
        <w:ind w:left="426"/>
        <w:jc w:val="both"/>
        <w:rPr>
          <w:rFonts w:cs="Tahoma"/>
        </w:rPr>
      </w:pPr>
      <w:r w:rsidRPr="00515872">
        <w:rPr>
          <w:rFonts w:cs="Tahoma"/>
        </w:rPr>
        <w:t>- la tutela di diritti esclusivi, inclusi i diritti di proprietà intellettuale.</w:t>
      </w:r>
    </w:p>
    <w:p w14:paraId="522D731D" w14:textId="77777777" w:rsidR="009518AF" w:rsidRPr="00515872" w:rsidRDefault="009518AF" w:rsidP="007905AD">
      <w:pPr>
        <w:spacing w:after="0" w:line="360" w:lineRule="auto"/>
        <w:ind w:left="425"/>
        <w:jc w:val="both"/>
        <w:rPr>
          <w:rFonts w:cs="Tahoma"/>
        </w:rPr>
      </w:pPr>
      <w:r w:rsidRPr="00515872">
        <w:rPr>
          <w:rFonts w:cs="Tahoma"/>
        </w:rPr>
        <w:t xml:space="preserve">Le ultime due eccezioni si applicano solo quando non esistono altri operatori economici o soluzioni alternative ragionevoli e l'assenza di concorrenza non è il risultato di </w:t>
      </w:r>
      <w:r w:rsidR="00DC2771" w:rsidRPr="00515872">
        <w:rPr>
          <w:rFonts w:cs="Tahoma"/>
        </w:rPr>
        <w:t xml:space="preserve">una limitazione artificiale dei </w:t>
      </w:r>
      <w:r w:rsidRPr="00515872">
        <w:rPr>
          <w:rFonts w:cs="Tahoma"/>
        </w:rPr>
        <w:t>parametri dell'appalto;</w:t>
      </w:r>
    </w:p>
    <w:p w14:paraId="34A60789" w14:textId="77777777" w:rsidR="007A27BD" w:rsidRPr="00515872" w:rsidRDefault="009518AF" w:rsidP="00D65838">
      <w:pPr>
        <w:pStyle w:val="Paragrafoelenco"/>
        <w:numPr>
          <w:ilvl w:val="0"/>
          <w:numId w:val="198"/>
        </w:numPr>
        <w:spacing w:line="360" w:lineRule="auto"/>
        <w:ind w:left="426"/>
        <w:jc w:val="both"/>
        <w:rPr>
          <w:rFonts w:cs="Tahoma"/>
        </w:rPr>
      </w:pPr>
      <w:r w:rsidRPr="00515872">
        <w:rPr>
          <w:rFonts w:cs="Tahoma"/>
        </w:rPr>
        <w:t xml:space="preserve">per ragioni di estrema urgenza, derivante da eventi non prevedibili dall'amministrazione aggiudicatrice, i termini per le procedure aperte o per le procedure ristrette o per le procedure competitive con negoziazione non possono essere rispettati. </w:t>
      </w:r>
    </w:p>
    <w:p w14:paraId="607BF11A" w14:textId="77777777" w:rsidR="00143478" w:rsidRPr="00515872" w:rsidRDefault="00143478" w:rsidP="00143478">
      <w:pPr>
        <w:spacing w:line="360" w:lineRule="auto"/>
        <w:jc w:val="both"/>
        <w:rPr>
          <w:rFonts w:eastAsia="Times New Roman" w:cs="Tahoma"/>
          <w:bCs/>
          <w:szCs w:val="20"/>
          <w:lang w:eastAsia="it-IT"/>
        </w:rPr>
      </w:pPr>
      <w:r w:rsidRPr="00515872">
        <w:rPr>
          <w:rFonts w:eastAsia="Times New Roman" w:cs="Tahoma"/>
          <w:bCs/>
          <w:szCs w:val="20"/>
          <w:lang w:eastAsia="it-IT"/>
        </w:rPr>
        <w:t>Con le linee guida n. 8, ANAC ha fornito indicazioni puntuali circa le modalità di accertamento dell’effettiva infungibilità di un bene o un servizio, qualora l’ente intenda accedere a tali procedure, individuando le condizioni che si devono verificare affinché si possa legittimamente farvi ricorso.</w:t>
      </w:r>
    </w:p>
    <w:p w14:paraId="0DDD6696" w14:textId="77777777" w:rsidR="00954863" w:rsidRPr="00515872" w:rsidRDefault="00177BB9" w:rsidP="007A27BD">
      <w:pPr>
        <w:spacing w:line="360" w:lineRule="auto"/>
        <w:jc w:val="both"/>
        <w:rPr>
          <w:rFonts w:cs="Tahoma"/>
        </w:rPr>
      </w:pPr>
      <w:r w:rsidRPr="00515872">
        <w:rPr>
          <w:rFonts w:cs="Tahoma"/>
        </w:rPr>
        <w:t>Il</w:t>
      </w:r>
      <w:r w:rsidR="00954863" w:rsidRPr="00515872">
        <w:rPr>
          <w:rFonts w:cs="Tahoma"/>
        </w:rPr>
        <w:t xml:space="preserve"> D.L. 16 luglio 2020, n. 76, conv. L. 11 settembre 2020, n. 120 </w:t>
      </w:r>
      <w:r w:rsidR="00AE4075" w:rsidRPr="00515872">
        <w:rPr>
          <w:rFonts w:cs="Tahoma"/>
        </w:rPr>
        <w:t>ha introdotto una semplificazione in materia di contratti pubblici motivata dalla necessità di favorire gli investimenti, prevedendo una estensione della disciplina transitoria derogatoria delle regole del codice degli appalti, al fine di accelerare i tempi di aggiudicazione delle procedure sopra e sotto la soglia comunitaria</w:t>
      </w:r>
      <w:r w:rsidRPr="00515872">
        <w:rPr>
          <w:rFonts w:cs="Tahoma"/>
        </w:rPr>
        <w:t>, a condizione che la determina a contrarre sia adottata, a partire dalla data di entrata in vigore del decreto stesso, entro il 31 dicembre 2021</w:t>
      </w:r>
      <w:r w:rsidR="00AE4075" w:rsidRPr="00515872">
        <w:rPr>
          <w:rFonts w:cs="Tahoma"/>
        </w:rPr>
        <w:t xml:space="preserve">. Esso </w:t>
      </w:r>
      <w:r w:rsidR="00954863" w:rsidRPr="00515872">
        <w:rPr>
          <w:rFonts w:cs="Tahoma"/>
        </w:rPr>
        <w:t>prevede che l'affidamento delle attività di esecuzione di lavori, servizi e forniture nonché dei servizi di ingegneria e architettura, inclusa l'attività di progettazione, di opere di importo pari o superiore alle soglie di cui all'art. 35, la procedura negoziata di cui all'art. 63, per i settori ordinari, e di cui all'art. 125, per i settori speciali, p</w:t>
      </w:r>
      <w:r w:rsidRPr="00515872">
        <w:rPr>
          <w:rFonts w:cs="Tahoma"/>
        </w:rPr>
        <w:t>ossa</w:t>
      </w:r>
      <w:r w:rsidR="00954863" w:rsidRPr="00515872">
        <w:rPr>
          <w:rFonts w:cs="Tahoma"/>
        </w:rPr>
        <w:t xml:space="preserve"> essere utilizzata, previa pubblicazione dell'avviso di indizione della gara o di altro atto equivalente, nel rispetto di un criterio di rotazione, nella misura strettamente necessaria quando, per ragioni di estrema urgenza derivanti dagli effetti negativi della crisi causata dalla pandemia da COVID-19 o dal periodo </w:t>
      </w:r>
      <w:r w:rsidR="00954863" w:rsidRPr="00515872">
        <w:rPr>
          <w:rFonts w:cs="Tahoma"/>
        </w:rPr>
        <w:lastRenderedPageBreak/>
        <w:t xml:space="preserve">di sospensione delle attività determinato dalle misure di contenimento adottate per fronteggiare la crisi, i termini, anche abbreviati, previsti dalle procedure ordinarie non possono essere rispettati. La </w:t>
      </w:r>
      <w:r w:rsidR="00C11878" w:rsidRPr="00515872">
        <w:rPr>
          <w:rFonts w:cs="Tahoma"/>
        </w:rPr>
        <w:t xml:space="preserve">medesima </w:t>
      </w:r>
      <w:r w:rsidR="00954863" w:rsidRPr="00515872">
        <w:rPr>
          <w:rFonts w:cs="Tahoma"/>
        </w:rPr>
        <w:t xml:space="preserve">procedura negoziata può essere </w:t>
      </w:r>
      <w:r w:rsidR="00C11878" w:rsidRPr="00515872">
        <w:rPr>
          <w:rFonts w:cs="Tahoma"/>
        </w:rPr>
        <w:t xml:space="preserve">altresì </w:t>
      </w:r>
      <w:r w:rsidR="00954863" w:rsidRPr="00515872">
        <w:rPr>
          <w:rFonts w:cs="Tahoma"/>
        </w:rPr>
        <w:t>utilizzata per l'affidamento delle attività di esecuzione di lavori, servizi e forniture di importo pari o superiore alle soglie di cui all'</w:t>
      </w:r>
      <w:r w:rsidR="00C11878" w:rsidRPr="00515872">
        <w:rPr>
          <w:rFonts w:cs="Tahoma"/>
        </w:rPr>
        <w:t>art. 35</w:t>
      </w:r>
      <w:r w:rsidR="00954863" w:rsidRPr="00515872">
        <w:rPr>
          <w:rFonts w:cs="Tahoma"/>
        </w:rPr>
        <w:t>, anche in caso di singoli operatori economici con sede operativa collocata in aree di preesistente crisi industriale complessa ai sensi dell'</w:t>
      </w:r>
      <w:r w:rsidR="00C11878" w:rsidRPr="00515872">
        <w:rPr>
          <w:rFonts w:cs="Tahoma"/>
        </w:rPr>
        <w:t>art. 24, D.L. 22 giugno 2012, n. 83, conv. L. 7 agosto 2012, n. 134</w:t>
      </w:r>
      <w:r w:rsidR="00954863" w:rsidRPr="00515872">
        <w:rPr>
          <w:rFonts w:cs="Tahoma"/>
        </w:rPr>
        <w:t xml:space="preserve"> che, con riferimento a dette aree ed anteriormente alla dichiarazione dello stato di emergenza sanitaria da COVID-19 del 31 gennaio 2020, abbiano stipulato con le pubbliche amministrazioni competenti un accordo di programma ai sensi dell'</w:t>
      </w:r>
      <w:r w:rsidR="00C11878" w:rsidRPr="00515872">
        <w:rPr>
          <w:rFonts w:cs="Tahoma"/>
        </w:rPr>
        <w:t>art. 252-bis, D.Lgs. 3 aprile 2006, n. 152.</w:t>
      </w:r>
    </w:p>
    <w:p w14:paraId="01B550CD" w14:textId="77777777" w:rsidR="00267FD2" w:rsidRPr="00515872" w:rsidRDefault="00267FD2" w:rsidP="007A27BD">
      <w:pPr>
        <w:spacing w:line="360" w:lineRule="auto"/>
        <w:jc w:val="both"/>
        <w:rPr>
          <w:rFonts w:cs="Tahoma"/>
        </w:rPr>
      </w:pPr>
      <w:r w:rsidRPr="00515872">
        <w:rPr>
          <w:rFonts w:cs="Tahoma"/>
        </w:rPr>
        <w:t>L’art. 48, D.L. 31 maggio 2021, n. 77, conv. L. 29 luglio 2021, n. 181 ha ulteriormente concesso alle stazioni appaltanti di ricorrere alla procedura negoziata senza previa pubblicazione del bando nella misura strettamente necessaria, quando per ragioni di estrema urgenza derivanti da circostanze imprevedibili, non imputabili alla stazione appaltante, l'applicazione dei termini, anche abbreviati, previsti dalle procedure ordinarie può compromettere la realizzazione degli obiettivi o il rispetto dei tempi di attuazione di cui al PNRR nonché al PNC</w:t>
      </w:r>
      <w:r w:rsidR="003C08A2" w:rsidRPr="00515872">
        <w:rPr>
          <w:rStyle w:val="Rimandonotaapidipagina"/>
          <w:rFonts w:cs="Tahoma"/>
        </w:rPr>
        <w:footnoteReference w:id="109"/>
      </w:r>
      <w:r w:rsidRPr="00515872">
        <w:rPr>
          <w:rFonts w:cs="Tahoma"/>
        </w:rPr>
        <w:t xml:space="preserve"> e ai programmi cofinanziati dai fondi strutturali dell'Unione Europea.</w:t>
      </w:r>
    </w:p>
    <w:p w14:paraId="23E986D1" w14:textId="77777777" w:rsidR="00421D1B" w:rsidRPr="00515872" w:rsidRDefault="00421D1B" w:rsidP="007A27BD">
      <w:pPr>
        <w:spacing w:line="360" w:lineRule="auto"/>
        <w:jc w:val="both"/>
        <w:rPr>
          <w:rFonts w:cs="Tahoma"/>
          <w:highlight w:val="yellow"/>
        </w:rPr>
      </w:pPr>
      <w:r w:rsidRPr="00515872">
        <w:rPr>
          <w:rFonts w:cs="Tahoma"/>
        </w:rPr>
        <w:t xml:space="preserve">L’art. 53 del medesimo decreto prevede semplificazioni per gli acquisti di beni e servizi informatici strumentali </w:t>
      </w:r>
      <w:r w:rsidR="00231EAD" w:rsidRPr="00515872">
        <w:rPr>
          <w:rFonts w:cs="Tahoma"/>
        </w:rPr>
        <w:t xml:space="preserve">alla realizzazione del </w:t>
      </w:r>
      <w:r w:rsidR="00143478" w:rsidRPr="00515872">
        <w:rPr>
          <w:rFonts w:cs="Tahoma"/>
        </w:rPr>
        <w:t xml:space="preserve">PNRR </w:t>
      </w:r>
      <w:r w:rsidR="007032C8" w:rsidRPr="00515872">
        <w:rPr>
          <w:rFonts w:cs="Tahoma"/>
        </w:rPr>
        <w:t xml:space="preserve">e di </w:t>
      </w:r>
      <w:r w:rsidR="007032C8" w:rsidRPr="00515872">
        <w:rPr>
          <w:rFonts w:cs="Tahoma"/>
          <w:i/>
        </w:rPr>
        <w:t>e-procurement</w:t>
      </w:r>
      <w:r w:rsidR="007032C8" w:rsidRPr="00515872">
        <w:rPr>
          <w:rFonts w:cs="Tahoma"/>
        </w:rPr>
        <w:t xml:space="preserve"> e acquisto di beni e servizi informatici, ricorrendo a procedure negoziate senza pubblicazione di bando</w:t>
      </w:r>
      <w:r w:rsidRPr="00515872">
        <w:rPr>
          <w:rFonts w:cs="Tahoma"/>
        </w:rPr>
        <w:t>.</w:t>
      </w:r>
    </w:p>
    <w:p w14:paraId="50E5B833" w14:textId="77777777" w:rsidR="009518AF" w:rsidRPr="00515872" w:rsidRDefault="009518AF" w:rsidP="009518AF">
      <w:pPr>
        <w:tabs>
          <w:tab w:val="num" w:pos="720"/>
        </w:tabs>
        <w:spacing w:after="0" w:line="360" w:lineRule="auto"/>
        <w:jc w:val="both"/>
        <w:rPr>
          <w:rFonts w:cs="Tahoma"/>
          <w:szCs w:val="20"/>
        </w:rPr>
      </w:pPr>
      <w:r w:rsidRPr="00515872">
        <w:rPr>
          <w:rFonts w:cs="Tahoma"/>
          <w:szCs w:val="20"/>
        </w:rPr>
        <w:t xml:space="preserve">Altra situazione che consente di evitare le procedure di gara è quella dell’affidamento di appalti alle società </w:t>
      </w:r>
      <w:r w:rsidRPr="00515872">
        <w:rPr>
          <w:rFonts w:cs="Tahoma"/>
          <w:i/>
          <w:szCs w:val="20"/>
        </w:rPr>
        <w:t>in house</w:t>
      </w:r>
      <w:r w:rsidRPr="00515872">
        <w:rPr>
          <w:rFonts w:cs="Tahoma"/>
          <w:szCs w:val="20"/>
        </w:rPr>
        <w:t xml:space="preserve">. Il codice disciplina espressamente tale istituto all’art. 192. In esso è previsto che concessioni o appalti a società </w:t>
      </w:r>
      <w:r w:rsidRPr="00515872">
        <w:rPr>
          <w:rFonts w:cs="Tahoma"/>
          <w:i/>
          <w:szCs w:val="20"/>
        </w:rPr>
        <w:t>in house</w:t>
      </w:r>
      <w:r w:rsidRPr="00515872">
        <w:rPr>
          <w:rFonts w:cs="Tahoma"/>
          <w:szCs w:val="20"/>
        </w:rPr>
        <w:t xml:space="preserve"> sono esclusi dalle norme previste nel codice se ricorrono tutte le condizioni di cui all’art. 5</w:t>
      </w:r>
      <w:r w:rsidRPr="00515872">
        <w:rPr>
          <w:rStyle w:val="Rimandonotaapidipagina"/>
          <w:rFonts w:cs="Tahoma"/>
          <w:szCs w:val="20"/>
        </w:rPr>
        <w:footnoteReference w:id="110"/>
      </w:r>
      <w:r w:rsidRPr="00515872">
        <w:rPr>
          <w:rFonts w:cs="Tahoma"/>
          <w:szCs w:val="20"/>
        </w:rPr>
        <w:t>.</w:t>
      </w:r>
    </w:p>
    <w:p w14:paraId="17D856D2" w14:textId="77777777" w:rsidR="009518AF" w:rsidRPr="00515872" w:rsidRDefault="009518AF" w:rsidP="009518AF">
      <w:pPr>
        <w:spacing w:line="360" w:lineRule="auto"/>
        <w:jc w:val="both"/>
        <w:rPr>
          <w:rFonts w:cs="Tahoma"/>
          <w:szCs w:val="20"/>
        </w:rPr>
      </w:pPr>
      <w:r w:rsidRPr="00515872">
        <w:rPr>
          <w:rFonts w:cs="Tahoma"/>
          <w:szCs w:val="20"/>
        </w:rPr>
        <w:t xml:space="preserve">È prevista dall’art. 192, D.Lgs. </w:t>
      </w:r>
      <w:r w:rsidR="00143478" w:rsidRPr="00515872">
        <w:rPr>
          <w:rFonts w:cs="Tahoma"/>
          <w:szCs w:val="20"/>
        </w:rPr>
        <w:t xml:space="preserve">n. </w:t>
      </w:r>
      <w:r w:rsidRPr="00515872">
        <w:rPr>
          <w:rFonts w:cs="Tahoma"/>
          <w:szCs w:val="20"/>
        </w:rPr>
        <w:t xml:space="preserve">50/2016 l’istituzione presso ANAC di un elenco delle stazioni appaltanti che operano mediante affidamenti diretti nei confronti di società </w:t>
      </w:r>
      <w:r w:rsidRPr="00515872">
        <w:rPr>
          <w:rFonts w:cs="Tahoma"/>
          <w:i/>
          <w:szCs w:val="20"/>
        </w:rPr>
        <w:t>in house</w:t>
      </w:r>
      <w:r w:rsidRPr="00515872">
        <w:rPr>
          <w:rFonts w:cs="Tahoma"/>
          <w:szCs w:val="20"/>
        </w:rPr>
        <w:t>, la cui iscrizione si rende necessaria per le stazioni appa</w:t>
      </w:r>
      <w:r w:rsidR="00143478" w:rsidRPr="00515872">
        <w:rPr>
          <w:rFonts w:cs="Tahoma"/>
          <w:szCs w:val="20"/>
        </w:rPr>
        <w:t xml:space="preserve">ltanti che intendono </w:t>
      </w:r>
      <w:r w:rsidRPr="00515872">
        <w:rPr>
          <w:rFonts w:cs="Tahoma"/>
          <w:szCs w:val="20"/>
        </w:rPr>
        <w:t>evitare le procedure di gara.</w:t>
      </w:r>
    </w:p>
    <w:p w14:paraId="6187650B" w14:textId="77777777" w:rsidR="00277513" w:rsidRPr="00515872" w:rsidRDefault="00277513" w:rsidP="009518AF">
      <w:pPr>
        <w:pStyle w:val="Sottoparagrafo"/>
        <w:rPr>
          <w:rFonts w:cs="Tahoma"/>
          <w:highlight w:val="yellow"/>
        </w:rPr>
      </w:pPr>
      <w:bookmarkStart w:id="219" w:name="_Toc521317129"/>
    </w:p>
    <w:p w14:paraId="223C3E06" w14:textId="77777777" w:rsidR="00A9116F" w:rsidRPr="00515872" w:rsidRDefault="00A9116F" w:rsidP="009518AF">
      <w:pPr>
        <w:pStyle w:val="Sottoparagrafo"/>
        <w:rPr>
          <w:rFonts w:cs="Tahoma"/>
          <w:highlight w:val="yellow"/>
        </w:rPr>
      </w:pPr>
    </w:p>
    <w:p w14:paraId="7C243CA6" w14:textId="77777777" w:rsidR="009518AF" w:rsidRPr="00515872" w:rsidRDefault="00AD2719" w:rsidP="009518AF">
      <w:pPr>
        <w:pStyle w:val="Sottoparagrafo"/>
        <w:rPr>
          <w:rFonts w:cs="Tahoma"/>
        </w:rPr>
      </w:pPr>
      <w:bookmarkStart w:id="220" w:name="_Toc95912319"/>
      <w:r w:rsidRPr="00515872">
        <w:rPr>
          <w:rFonts w:cs="Tahoma"/>
        </w:rPr>
        <w:lastRenderedPageBreak/>
        <w:t>6</w:t>
      </w:r>
      <w:r w:rsidR="009518AF" w:rsidRPr="00515872">
        <w:rPr>
          <w:rFonts w:cs="Tahoma"/>
        </w:rPr>
        <w:t>.16.5 Vigilanza sull'amministrazione dei beni</w:t>
      </w:r>
      <w:bookmarkEnd w:id="219"/>
      <w:bookmarkEnd w:id="220"/>
    </w:p>
    <w:p w14:paraId="1537AFA8" w14:textId="77777777" w:rsidR="009518AF" w:rsidRPr="00515872" w:rsidRDefault="009518AF" w:rsidP="009518AF">
      <w:pPr>
        <w:spacing w:after="0" w:line="360" w:lineRule="auto"/>
        <w:jc w:val="both"/>
        <w:rPr>
          <w:rFonts w:cs="Tahoma"/>
          <w:color w:val="000000"/>
          <w:szCs w:val="20"/>
        </w:rPr>
      </w:pPr>
      <w:r w:rsidRPr="00515872">
        <w:rPr>
          <w:rFonts w:cs="Tahoma"/>
          <w:szCs w:val="20"/>
        </w:rPr>
        <w:t xml:space="preserve">Il patrimonio dell’ente si modifica in conseguenza dei flussi della gestione di bilancio, nonché per eventi che il bilancio non rileva. </w:t>
      </w:r>
      <w:r w:rsidRPr="00515872">
        <w:rPr>
          <w:rFonts w:cs="Tahoma"/>
          <w:color w:val="000000"/>
          <w:szCs w:val="20"/>
        </w:rPr>
        <w:t>Relativamente ad esso, l'organo di revisione opera i propri controlli al fine di verificare:</w:t>
      </w:r>
    </w:p>
    <w:p w14:paraId="145A838B" w14:textId="77777777" w:rsidR="009518AF" w:rsidRPr="00515872" w:rsidRDefault="009518AF" w:rsidP="00D65838">
      <w:pPr>
        <w:pStyle w:val="Paragrafoelenco"/>
        <w:numPr>
          <w:ilvl w:val="0"/>
          <w:numId w:val="118"/>
        </w:numPr>
        <w:spacing w:line="360" w:lineRule="auto"/>
        <w:jc w:val="both"/>
        <w:rPr>
          <w:rFonts w:cs="Tahoma"/>
          <w:i/>
          <w:iCs/>
          <w:color w:val="000000"/>
          <w:szCs w:val="20"/>
        </w:rPr>
      </w:pPr>
      <w:r w:rsidRPr="00515872">
        <w:rPr>
          <w:rFonts w:cs="Tahoma"/>
          <w:color w:val="000000"/>
          <w:szCs w:val="20"/>
        </w:rPr>
        <w:t>la corretta tenuta della contabilità del patrimonio;</w:t>
      </w:r>
    </w:p>
    <w:p w14:paraId="6F753838" w14:textId="77777777" w:rsidR="009518AF" w:rsidRPr="00515872" w:rsidRDefault="009518AF" w:rsidP="00D65838">
      <w:pPr>
        <w:pStyle w:val="Paragrafoelenco"/>
        <w:numPr>
          <w:ilvl w:val="0"/>
          <w:numId w:val="118"/>
        </w:numPr>
        <w:spacing w:line="360" w:lineRule="auto"/>
        <w:jc w:val="both"/>
        <w:rPr>
          <w:rFonts w:cs="Tahoma"/>
          <w:i/>
          <w:iCs/>
          <w:color w:val="000000"/>
          <w:szCs w:val="20"/>
        </w:rPr>
      </w:pPr>
      <w:r w:rsidRPr="00515872">
        <w:rPr>
          <w:rFonts w:cs="Tahoma"/>
          <w:color w:val="000000"/>
          <w:szCs w:val="20"/>
        </w:rPr>
        <w:t>la redditività del patrimonio;</w:t>
      </w:r>
    </w:p>
    <w:p w14:paraId="7EFABC8B" w14:textId="77777777" w:rsidR="009518AF" w:rsidRPr="00515872" w:rsidRDefault="009518AF" w:rsidP="00D65838">
      <w:pPr>
        <w:pStyle w:val="Paragrafoelenco"/>
        <w:numPr>
          <w:ilvl w:val="0"/>
          <w:numId w:val="118"/>
        </w:numPr>
        <w:spacing w:line="360" w:lineRule="auto"/>
        <w:jc w:val="both"/>
        <w:rPr>
          <w:rFonts w:cs="Tahoma"/>
          <w:i/>
          <w:iCs/>
          <w:color w:val="000000"/>
          <w:szCs w:val="20"/>
        </w:rPr>
      </w:pPr>
      <w:r w:rsidRPr="00515872">
        <w:rPr>
          <w:rFonts w:cs="Tahoma"/>
          <w:color w:val="000000"/>
          <w:szCs w:val="20"/>
        </w:rPr>
        <w:t>la conservazione del patrimonio.</w:t>
      </w:r>
    </w:p>
    <w:p w14:paraId="7420189A" w14:textId="77777777" w:rsidR="006D358F" w:rsidRPr="00515872" w:rsidRDefault="006D358F" w:rsidP="006D358F">
      <w:pPr>
        <w:spacing w:line="360" w:lineRule="auto"/>
        <w:jc w:val="both"/>
        <w:rPr>
          <w:rFonts w:cs="Tahoma"/>
          <w:iCs/>
          <w:color w:val="000000"/>
          <w:szCs w:val="20"/>
        </w:rPr>
      </w:pPr>
      <w:r w:rsidRPr="00515872">
        <w:rPr>
          <w:rFonts w:cs="Tahoma"/>
          <w:iCs/>
          <w:color w:val="000000"/>
          <w:szCs w:val="20"/>
        </w:rPr>
        <w:t xml:space="preserve">Inoltre, deve verificare che la concessione in godimento a terzi di beni demaniali o appartenenti al patrimonio indisponibile, stante la loro destinazione alla diretta realizzazione degli interessi pubblici, avvenga mediante </w:t>
      </w:r>
      <w:r w:rsidR="00D7034E" w:rsidRPr="00515872">
        <w:rPr>
          <w:rFonts w:cs="Tahoma"/>
          <w:iCs/>
          <w:color w:val="000000"/>
          <w:szCs w:val="20"/>
        </w:rPr>
        <w:t>lo strumento della concessione amministrativa, mentre, per quelli appartenenti al patrimonio disponibile, la concessione avvenga secondo gli schemi del diritto comune.</w:t>
      </w:r>
    </w:p>
    <w:p w14:paraId="0E5CD2BF" w14:textId="77777777" w:rsidR="009518AF" w:rsidRPr="00515872" w:rsidRDefault="009518AF" w:rsidP="009518AF">
      <w:pPr>
        <w:spacing w:after="0" w:line="360" w:lineRule="auto"/>
        <w:jc w:val="both"/>
        <w:rPr>
          <w:rFonts w:cs="Tahoma"/>
          <w:b/>
          <w:color w:val="000000"/>
          <w:szCs w:val="20"/>
        </w:rPr>
      </w:pPr>
      <w:r w:rsidRPr="00515872">
        <w:rPr>
          <w:rFonts w:cs="Tahoma"/>
          <w:b/>
          <w:color w:val="000000"/>
          <w:szCs w:val="20"/>
        </w:rPr>
        <w:t>Corretta tenuta della contabilità del patrimonio</w:t>
      </w:r>
    </w:p>
    <w:p w14:paraId="1A0D942C"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Per quanto attiene la tenuta della contabilità del patrimonio, l'organo di revisione deve verificare, mediante controlli a campione, che gli inventari dei beni (relativi a beni demaniali, immobili indisponibili e disponibili, beni mobili, beni immateriali ed altri valori) risultino correttamente tenuti ed aggiornati; in sede di rendiconto deve verificare che ci sia corrispondenza tra quanto indicato negli inventari stessi e quanto riportato nello stato patrimoniale. Inoltre, per le immobilizzazioni il dato fisico deve conciliare con quello contabile.</w:t>
      </w:r>
    </w:p>
    <w:p w14:paraId="15FA2AF6" w14:textId="77777777" w:rsidR="009518AF" w:rsidRPr="00515872" w:rsidRDefault="009518AF" w:rsidP="009518AF">
      <w:pPr>
        <w:spacing w:after="0" w:line="360" w:lineRule="auto"/>
        <w:jc w:val="both"/>
        <w:rPr>
          <w:rFonts w:cs="Tahoma"/>
          <w:b/>
          <w:color w:val="000000"/>
          <w:szCs w:val="20"/>
        </w:rPr>
      </w:pPr>
      <w:r w:rsidRPr="00515872">
        <w:rPr>
          <w:rFonts w:cs="Tahoma"/>
          <w:b/>
          <w:color w:val="000000"/>
          <w:szCs w:val="20"/>
        </w:rPr>
        <w:t>Redditività del patrimonio</w:t>
      </w:r>
    </w:p>
    <w:p w14:paraId="394EE414" w14:textId="77777777" w:rsidR="009518AF" w:rsidRPr="00515872" w:rsidRDefault="009518AF" w:rsidP="00447126">
      <w:pPr>
        <w:spacing w:line="360" w:lineRule="auto"/>
        <w:jc w:val="both"/>
        <w:rPr>
          <w:rFonts w:cs="Tahoma"/>
          <w:szCs w:val="20"/>
        </w:rPr>
      </w:pPr>
      <w:r w:rsidRPr="00515872">
        <w:rPr>
          <w:rFonts w:cs="Tahoma"/>
          <w:szCs w:val="20"/>
        </w:rPr>
        <w:t>L’utilizz</w:t>
      </w:r>
      <w:r w:rsidR="00447126" w:rsidRPr="00515872">
        <w:rPr>
          <w:rFonts w:cs="Tahoma"/>
          <w:szCs w:val="20"/>
        </w:rPr>
        <w:t>o</w:t>
      </w:r>
      <w:r w:rsidRPr="00515872">
        <w:rPr>
          <w:rFonts w:cs="Tahoma"/>
          <w:szCs w:val="20"/>
        </w:rPr>
        <w:t xml:space="preserve"> del patrimonio immobiliare deve avvenire secondo modalità remunerative per l’ente.</w:t>
      </w:r>
    </w:p>
    <w:p w14:paraId="22909C66" w14:textId="77777777" w:rsidR="00706673" w:rsidRPr="00515872" w:rsidRDefault="009518AF" w:rsidP="00447126">
      <w:pPr>
        <w:spacing w:line="360" w:lineRule="auto"/>
        <w:jc w:val="both"/>
        <w:rPr>
          <w:rFonts w:cs="Tahoma"/>
          <w:szCs w:val="20"/>
        </w:rPr>
      </w:pPr>
      <w:r w:rsidRPr="00515872">
        <w:rPr>
          <w:rFonts w:cs="Tahoma"/>
          <w:szCs w:val="20"/>
        </w:rPr>
        <w:t>Le verifiche in ambito di redditività del patrimonio devono riguardare sia il parametro dell'efficienza nell'impiego dei beni patrimoniali e dell'utilizzo delle fonti di finanziamento relative, sia l'efficacia circa l'impiego di tali beni nel soddisfacimento d</w:t>
      </w:r>
      <w:r w:rsidR="00706673" w:rsidRPr="00515872">
        <w:rPr>
          <w:rFonts w:cs="Tahoma"/>
          <w:szCs w:val="20"/>
        </w:rPr>
        <w:t>ell'interesse dell’ente locale.</w:t>
      </w:r>
    </w:p>
    <w:p w14:paraId="20CCB353" w14:textId="77777777" w:rsidR="00723278" w:rsidRPr="00515872" w:rsidRDefault="00447126" w:rsidP="00723278">
      <w:pPr>
        <w:spacing w:line="360" w:lineRule="auto"/>
        <w:jc w:val="both"/>
        <w:rPr>
          <w:rFonts w:cs="Tahoma"/>
          <w:szCs w:val="20"/>
        </w:rPr>
      </w:pPr>
      <w:r w:rsidRPr="00515872">
        <w:rPr>
          <w:rFonts w:cs="Tahoma"/>
          <w:color w:val="000000"/>
          <w:szCs w:val="20"/>
        </w:rPr>
        <w:t>L</w:t>
      </w:r>
      <w:r w:rsidR="00706673" w:rsidRPr="00515872">
        <w:rPr>
          <w:rFonts w:cs="Tahoma"/>
          <w:color w:val="000000"/>
          <w:szCs w:val="20"/>
        </w:rPr>
        <w:t>’Organo di revisione deve verificare che i canoni annui per i beni demaniali e per i beni appartenenti al patrimonio indisponibile siano determinati avendo riguardo alle caratteristiche dei beni secondo un valore non inferiore a quello di mercato ai sensi del c</w:t>
      </w:r>
      <w:r w:rsidRPr="00515872">
        <w:rPr>
          <w:rFonts w:cs="Tahoma"/>
          <w:color w:val="000000"/>
          <w:szCs w:val="20"/>
        </w:rPr>
        <w:t>. 8, dell’art.32,</w:t>
      </w:r>
      <w:r w:rsidR="00706673" w:rsidRPr="00515872">
        <w:rPr>
          <w:rFonts w:cs="Tahoma"/>
          <w:color w:val="000000"/>
          <w:szCs w:val="20"/>
        </w:rPr>
        <w:t xml:space="preserve"> </w:t>
      </w:r>
      <w:r w:rsidRPr="00515872">
        <w:rPr>
          <w:rFonts w:cs="Tahoma"/>
          <w:color w:val="000000"/>
          <w:szCs w:val="20"/>
        </w:rPr>
        <w:t>L.</w:t>
      </w:r>
      <w:r w:rsidR="00706673" w:rsidRPr="00515872">
        <w:rPr>
          <w:rFonts w:cs="Tahoma"/>
          <w:color w:val="000000"/>
          <w:szCs w:val="20"/>
        </w:rPr>
        <w:t xml:space="preserve"> 23 dicembre 1994, n. 724</w:t>
      </w:r>
      <w:r w:rsidRPr="00515872">
        <w:rPr>
          <w:rFonts w:cs="Tahoma"/>
          <w:color w:val="000000"/>
          <w:szCs w:val="20"/>
        </w:rPr>
        <w:t>;</w:t>
      </w:r>
      <w:r w:rsidR="00706673" w:rsidRPr="00515872">
        <w:rPr>
          <w:rFonts w:cs="Tahoma"/>
          <w:color w:val="000000"/>
          <w:szCs w:val="20"/>
        </w:rPr>
        <w:t xml:space="preserve"> valore che deve essere determinato attraverso specifici accertamenti effettuati dal competente ufficio tecnico. Il criterio del valore di mercato non si applica alle concessioni per scopi sociali.</w:t>
      </w:r>
      <w:r w:rsidR="00706673" w:rsidRPr="00515872">
        <w:rPr>
          <w:rFonts w:cs="Tahoma"/>
          <w:szCs w:val="20"/>
        </w:rPr>
        <w:t xml:space="preserve"> </w:t>
      </w:r>
    </w:p>
    <w:p w14:paraId="68082874" w14:textId="77777777" w:rsidR="00723278" w:rsidRPr="00515872" w:rsidRDefault="009518AF" w:rsidP="00723278">
      <w:pPr>
        <w:spacing w:line="360" w:lineRule="auto"/>
        <w:jc w:val="both"/>
        <w:rPr>
          <w:rFonts w:cs="Tahoma"/>
          <w:szCs w:val="20"/>
        </w:rPr>
      </w:pPr>
      <w:r w:rsidRPr="00515872">
        <w:rPr>
          <w:rFonts w:cs="Tahoma"/>
        </w:rPr>
        <w:t>Con la </w:t>
      </w:r>
      <w:hyperlink r:id="rId40" w:history="1">
        <w:r w:rsidRPr="00515872">
          <w:rPr>
            <w:rStyle w:val="Collegamentoipertestuale"/>
            <w:rFonts w:cs="Tahoma"/>
            <w:color w:val="auto"/>
            <w:u w:val="none"/>
          </w:rPr>
          <w:t>sentenza n. 255, del 12 aprile 2017, la Sezione II del Tribunale Amministrativo Regionale per la Regione Sardegna</w:t>
        </w:r>
      </w:hyperlink>
      <w:r w:rsidRPr="00515872">
        <w:rPr>
          <w:rFonts w:cs="Tahoma"/>
        </w:rPr>
        <w:t>, ha legittimato il provvedimento assunto in autotutela da un ente locale (al fine di evitare un ulteriore pregiudizio per le finanze locali), che ha revocato una precedente determina relativa alla quantificazione del canone di locazione di un immobile di proprietà comunale, sulla base del presupposto che tale canone non era stato ancorato al prezzo di mercato.</w:t>
      </w:r>
    </w:p>
    <w:p w14:paraId="1C04D7EA" w14:textId="77777777" w:rsidR="006D358F" w:rsidRPr="00515872" w:rsidRDefault="009518AF" w:rsidP="00723278">
      <w:pPr>
        <w:spacing w:line="360" w:lineRule="auto"/>
        <w:jc w:val="both"/>
        <w:rPr>
          <w:rFonts w:cs="Tahoma"/>
          <w:szCs w:val="20"/>
        </w:rPr>
      </w:pPr>
      <w:r w:rsidRPr="00515872">
        <w:rPr>
          <w:rFonts w:cs="Tahoma"/>
        </w:rPr>
        <w:lastRenderedPageBreak/>
        <w:t>Costituisce</w:t>
      </w:r>
      <w:r w:rsidR="00723278" w:rsidRPr="00515872">
        <w:rPr>
          <w:rFonts w:cs="Tahoma"/>
        </w:rPr>
        <w:t>,</w:t>
      </w:r>
      <w:r w:rsidRPr="00515872">
        <w:rPr>
          <w:rFonts w:cs="Tahoma"/>
        </w:rPr>
        <w:t xml:space="preserve"> quindi</w:t>
      </w:r>
      <w:r w:rsidR="00723278" w:rsidRPr="00515872">
        <w:rPr>
          <w:rFonts w:cs="Tahoma"/>
        </w:rPr>
        <w:t>,</w:t>
      </w:r>
      <w:r w:rsidRPr="00515872">
        <w:rPr>
          <w:rFonts w:cs="Tahoma"/>
        </w:rPr>
        <w:t xml:space="preserve"> preciso onere del revisore, allo scoprire di locazioni affidate con modalità poco remunerative, sollecitare l’ente il quale, in tale contesto, ha il dovere di intervenire, quantomeno, </w:t>
      </w:r>
      <w:r w:rsidRPr="00515872">
        <w:rPr>
          <w:rFonts w:cs="Tahoma"/>
          <w:i/>
        </w:rPr>
        <w:t>pro futuro</w:t>
      </w:r>
      <w:r w:rsidRPr="00515872">
        <w:rPr>
          <w:rFonts w:cs="Tahoma"/>
        </w:rPr>
        <w:t>.</w:t>
      </w:r>
    </w:p>
    <w:p w14:paraId="00DBE375" w14:textId="77777777" w:rsidR="009518AF" w:rsidRPr="00515872" w:rsidRDefault="009518AF" w:rsidP="009518AF">
      <w:pPr>
        <w:spacing w:after="0" w:line="360" w:lineRule="auto"/>
        <w:jc w:val="both"/>
        <w:rPr>
          <w:rFonts w:cs="Tahoma"/>
          <w:b/>
          <w:szCs w:val="20"/>
        </w:rPr>
      </w:pPr>
      <w:r w:rsidRPr="00515872">
        <w:rPr>
          <w:rFonts w:cs="Tahoma"/>
          <w:b/>
          <w:color w:val="000000"/>
          <w:szCs w:val="20"/>
        </w:rPr>
        <w:t>Conservazione del patrimonio</w:t>
      </w:r>
    </w:p>
    <w:p w14:paraId="0EB1C2DE" w14:textId="77777777" w:rsidR="009518AF" w:rsidRPr="00515872" w:rsidRDefault="009518AF" w:rsidP="009518AF">
      <w:pPr>
        <w:spacing w:after="0" w:line="360" w:lineRule="auto"/>
        <w:jc w:val="both"/>
        <w:rPr>
          <w:rFonts w:cs="Tahoma"/>
          <w:szCs w:val="20"/>
        </w:rPr>
      </w:pPr>
      <w:r w:rsidRPr="00515872">
        <w:rPr>
          <w:rFonts w:cs="Tahoma"/>
          <w:szCs w:val="20"/>
        </w:rPr>
        <w:t>Relativamente alla conservazione del patrimonio, il controllo è rivolto all'impiego di risorse destinate al miglioramento, mantenimento o incremento del fondo patrimoniale. In tale contesto l’organo di revisione è tenuto a verificare:</w:t>
      </w:r>
    </w:p>
    <w:p w14:paraId="548D7D70"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la corretta individuazione, ai fini contabili, degli interventi di manutenzione ordinaria e straordinaria;</w:t>
      </w:r>
    </w:p>
    <w:p w14:paraId="53121F45"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l'esistenza di una programmazione, sia finanziaria che tecnica, dei processi di manutenzione ordinaria;</w:t>
      </w:r>
    </w:p>
    <w:p w14:paraId="794679AC"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la continuità del controllo dei locali, degli impianti e delle attrezzature;</w:t>
      </w:r>
    </w:p>
    <w:p w14:paraId="1FB6B2FF"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l'esistenza e la chiara individuazione dei responsabili degli interventi di manutenzione;</w:t>
      </w:r>
    </w:p>
    <w:p w14:paraId="3EFDAFB0"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la corretta gestione degli automezzi, anche attraverso la tenuta di una scheda informativa di ogni mezzo contenente notizie in ordine alla vita utile dello stesso;</w:t>
      </w:r>
    </w:p>
    <w:p w14:paraId="2549BE9E"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l'esistenza di schede per il monitoraggio dello stato di conservazione del patrimonio;</w:t>
      </w:r>
    </w:p>
    <w:p w14:paraId="19227869" w14:textId="77777777" w:rsidR="009518AF" w:rsidRPr="00515872" w:rsidRDefault="009518AF" w:rsidP="00D65838">
      <w:pPr>
        <w:pStyle w:val="Paragrafoelenco"/>
        <w:numPr>
          <w:ilvl w:val="0"/>
          <w:numId w:val="119"/>
        </w:numPr>
        <w:spacing w:line="360" w:lineRule="auto"/>
        <w:jc w:val="both"/>
        <w:rPr>
          <w:rFonts w:cs="Tahoma"/>
          <w:szCs w:val="20"/>
        </w:rPr>
      </w:pPr>
      <w:r w:rsidRPr="00515872">
        <w:rPr>
          <w:rFonts w:cs="Tahoma"/>
          <w:szCs w:val="20"/>
        </w:rPr>
        <w:t>l'esistenza di adeguate polizze assicurative a garanzia dei beni di proprietà.</w:t>
      </w:r>
    </w:p>
    <w:p w14:paraId="5A7212C9" w14:textId="77777777" w:rsidR="00277513" w:rsidRPr="00515872" w:rsidRDefault="00277513" w:rsidP="00297A21">
      <w:pPr>
        <w:pStyle w:val="Paragrafo"/>
        <w:rPr>
          <w:highlight w:val="yellow"/>
        </w:rPr>
      </w:pPr>
      <w:bookmarkStart w:id="221" w:name="_Toc521317130"/>
    </w:p>
    <w:p w14:paraId="65477D29" w14:textId="51FF2CF0" w:rsidR="003B635A" w:rsidRPr="00515872" w:rsidRDefault="00AD2719" w:rsidP="00297A21">
      <w:pPr>
        <w:pStyle w:val="Paragrafo"/>
      </w:pPr>
      <w:bookmarkStart w:id="222" w:name="_Toc95912320"/>
      <w:r w:rsidRPr="00515872">
        <w:t>6</w:t>
      </w:r>
      <w:r w:rsidR="003B635A" w:rsidRPr="00515872">
        <w:t xml:space="preserve">.17 </w:t>
      </w:r>
      <w:r w:rsidR="001E548F" w:rsidRPr="00515872">
        <w:t>Certificazione</w:t>
      </w:r>
      <w:r w:rsidR="003B635A" w:rsidRPr="00515872">
        <w:t xml:space="preserve"> Covid-19</w:t>
      </w:r>
      <w:bookmarkEnd w:id="222"/>
    </w:p>
    <w:p w14:paraId="02998D6D" w14:textId="77777777" w:rsidR="003B635A" w:rsidRPr="00515872" w:rsidRDefault="003B635A" w:rsidP="003B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Il D.M. dell’Economia e delle Finanza 1 aprile 2021, n. 59033, previsto dall’art. 39, c. 2, D.L. n. 104/2020, ha </w:t>
      </w:r>
      <w:r w:rsidR="00723278" w:rsidRPr="00515872">
        <w:rPr>
          <w:rFonts w:eastAsia="Times New Roman" w:cs="Tahoma"/>
          <w:szCs w:val="20"/>
          <w:lang w:eastAsia="it-IT"/>
        </w:rPr>
        <w:t>sancito</w:t>
      </w:r>
      <w:r w:rsidRPr="00515872">
        <w:rPr>
          <w:rFonts w:eastAsia="Times New Roman" w:cs="Tahoma"/>
          <w:szCs w:val="20"/>
          <w:lang w:eastAsia="it-IT"/>
        </w:rPr>
        <w:t xml:space="preserve"> per le città metropolitane, province, comune e comunità montane beneficiari del Fondo per l’esercizio delle funzioni fondamentali degli enti locali (c.d. Fondone) l’obbligo di trasmissione</w:t>
      </w:r>
      <w:r w:rsidR="00D17211" w:rsidRPr="00515872">
        <w:rPr>
          <w:rFonts w:eastAsia="Times New Roman" w:cs="Tahoma"/>
          <w:szCs w:val="20"/>
          <w:lang w:eastAsia="it-IT"/>
        </w:rPr>
        <w:t xml:space="preserve"> con modalità telematiche, al </w:t>
      </w:r>
      <w:r w:rsidR="00D17211" w:rsidRPr="00515872">
        <w:rPr>
          <w:rFonts w:cs="Tahoma"/>
        </w:rPr>
        <w:t>Ministero dell'Economia e delle Finanze-Dipartimento della Ragioneria Generale dello Stato,</w:t>
      </w:r>
      <w:r w:rsidR="00D17211" w:rsidRPr="00515872">
        <w:rPr>
          <w:rFonts w:eastAsia="Times New Roman" w:cs="Tahoma"/>
          <w:szCs w:val="20"/>
          <w:lang w:eastAsia="it-IT"/>
        </w:rPr>
        <w:t xml:space="preserve"> di una </w:t>
      </w:r>
      <w:r w:rsidRPr="00515872">
        <w:rPr>
          <w:rFonts w:eastAsia="Times New Roman" w:cs="Tahoma"/>
          <w:szCs w:val="20"/>
          <w:lang w:eastAsia="it-IT"/>
        </w:rPr>
        <w:t>certificazione relativa alle perdite di gettito fiscale connesse all’emergenza epidemiologica, entro il termine perentorio del 31 maggio 2021</w:t>
      </w:r>
      <w:r w:rsidR="005D17AA" w:rsidRPr="00515872">
        <w:rPr>
          <w:rFonts w:eastAsia="Times New Roman" w:cs="Tahoma"/>
          <w:szCs w:val="20"/>
          <w:lang w:eastAsia="it-IT"/>
        </w:rPr>
        <w:t xml:space="preserve"> (con possibilità di correzione entro il 31 luglio</w:t>
      </w:r>
      <w:r w:rsidR="0038519D" w:rsidRPr="00515872">
        <w:rPr>
          <w:rFonts w:eastAsia="Times New Roman" w:cs="Tahoma"/>
          <w:szCs w:val="20"/>
          <w:lang w:eastAsia="it-IT"/>
        </w:rPr>
        <w:t xml:space="preserve"> per chi ha effettuato l’invio con modalità provvisoria</w:t>
      </w:r>
      <w:r w:rsidR="005D17AA" w:rsidRPr="00515872">
        <w:rPr>
          <w:rFonts w:eastAsia="Times New Roman" w:cs="Tahoma"/>
          <w:szCs w:val="20"/>
          <w:lang w:eastAsia="it-IT"/>
        </w:rPr>
        <w:t>)</w:t>
      </w:r>
      <w:r w:rsidRPr="00515872">
        <w:rPr>
          <w:rFonts w:eastAsia="Times New Roman" w:cs="Tahoma"/>
          <w:szCs w:val="20"/>
          <w:lang w:eastAsia="it-IT"/>
        </w:rPr>
        <w:t>, firmata digitalmente dal rappresentante legale, dal responsabile del servizio finanziario e dall’organo di revisione. Gli importi delle riduzioni delle entrate d</w:t>
      </w:r>
      <w:r w:rsidR="00723278" w:rsidRPr="00515872">
        <w:rPr>
          <w:rFonts w:eastAsia="Times New Roman" w:cs="Tahoma"/>
          <w:szCs w:val="20"/>
          <w:lang w:eastAsia="it-IT"/>
        </w:rPr>
        <w:t>ovevano</w:t>
      </w:r>
      <w:r w:rsidRPr="00515872">
        <w:rPr>
          <w:rFonts w:eastAsia="Times New Roman" w:cs="Tahoma"/>
          <w:szCs w:val="20"/>
          <w:lang w:eastAsia="it-IT"/>
        </w:rPr>
        <w:t xml:space="preserve"> essere riportati al netto delle minori spese e delle risorse assegnate a vario titolo dallo Stato.</w:t>
      </w:r>
    </w:p>
    <w:p w14:paraId="57D347EB" w14:textId="77777777" w:rsidR="00D17211" w:rsidRPr="00515872" w:rsidRDefault="00D17211" w:rsidP="003B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rPr>
      </w:pPr>
      <w:r w:rsidRPr="00515872">
        <w:rPr>
          <w:rFonts w:cs="Tahoma"/>
        </w:rPr>
        <w:t>Gli stessi enti forni</w:t>
      </w:r>
      <w:r w:rsidR="00723278" w:rsidRPr="00515872">
        <w:rPr>
          <w:rFonts w:cs="Tahoma"/>
        </w:rPr>
        <w:t>vano</w:t>
      </w:r>
      <w:r w:rsidRPr="00515872">
        <w:rPr>
          <w:rFonts w:cs="Tahoma"/>
        </w:rPr>
        <w:t>, altresì, al Ministero dell’Economia e delle Finanze-Dipartimento della Ragioneria Generale dello Stato, le informazioni riguardanti la perdita di gettito connessa all’emergenza epidemiologica da COVID-19, al netto delle minori spese e delle risorse assegnate a vario titolo dallo Stato a ristoro delle minori entrate e delle maggiori spese connesse alla predetta emergenza con le modalità e i prospetti “COVID-19” e “COVID-19-Delibere” definiti nell’allegato al suddetto decreto, sempre entro il termine perentorio del 31 maggio 2021.</w:t>
      </w:r>
    </w:p>
    <w:p w14:paraId="5F7ADA7D" w14:textId="77777777" w:rsidR="00D17211" w:rsidRPr="00515872" w:rsidRDefault="00D17211" w:rsidP="0072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ahoma"/>
        </w:rPr>
      </w:pPr>
      <w:r w:rsidRPr="00515872">
        <w:rPr>
          <w:rFonts w:cs="Tahoma"/>
        </w:rPr>
        <w:t>Sul puntuale espletamento di tali adempimenti l’organo di revisione deve opportunamente vigilare in quanto l’art. 2 del D.M. prevede che:</w:t>
      </w:r>
    </w:p>
    <w:p w14:paraId="071CCF45" w14:textId="77777777" w:rsidR="00D17211" w:rsidRPr="00515872" w:rsidRDefault="00D17211" w:rsidP="00D17211">
      <w:pPr>
        <w:pStyle w:val="Paragrafoelenco"/>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lastRenderedPageBreak/>
        <w:t>gli enti che trasmettono, oltre il termine perentorio del 31 maggio 2021, ma entro il 30 giugno 2021, la certificazione sono assoggettati a una riduzione del fondo sperimentale di riequilibrio, dei trasferimenti compensativi o del fondo di solidarietà comunale in misura pari all’80% dell’importo delle risorse attribuite, ai sensi del primo periodo dell’art. 39, c. 2, D.L. n. 104/2020, da applicare in 3 annualità a decorrere dall’anno 2022;</w:t>
      </w:r>
    </w:p>
    <w:p w14:paraId="77484615" w14:textId="77777777" w:rsidR="00D17211" w:rsidRPr="00515872" w:rsidRDefault="00D17211" w:rsidP="00D17211">
      <w:pPr>
        <w:pStyle w:val="Paragrafoelenco"/>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 xml:space="preserve">nel caso in cui la predetta certificazione sia trasmessa nel periodo dal 1° luglio 2021 al 31 luglio 2021, la riduzione del fondo sperimentale di riequilibrio, dei trasferimenti compensativi o del fondo di solidarietà comunale di cui al primo periodo è comminata </w:t>
      </w:r>
      <w:r w:rsidR="00224D4D" w:rsidRPr="00515872">
        <w:rPr>
          <w:rFonts w:cs="Tahoma"/>
        </w:rPr>
        <w:t xml:space="preserve">in misura pari al 90% </w:t>
      </w:r>
      <w:r w:rsidRPr="00515872">
        <w:rPr>
          <w:rFonts w:cs="Tahoma"/>
        </w:rPr>
        <w:t>dell’importo delle risorse attribuite, da applicare in 3 annualità a decorrere dall’anno 2022;</w:t>
      </w:r>
    </w:p>
    <w:p w14:paraId="2AB5806D" w14:textId="77777777" w:rsidR="00D17211" w:rsidRPr="00515872" w:rsidRDefault="00D17211" w:rsidP="00D17211">
      <w:pPr>
        <w:pStyle w:val="Paragrafoelenco"/>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la riduzione del fondo sperimentale di riequilibrio, dei trasferimenti compensativi o del fondo di solidarietà comunale è applicata in misura pari al 100% dell'importo delle risorse attribuite, da applicare in 3 annualità a decorrere dall’anno 2022, qualora gli enti locali non trasmettano la certificazione entro la data del 31 luglio 2021;</w:t>
      </w:r>
    </w:p>
    <w:p w14:paraId="100CA58D" w14:textId="77777777" w:rsidR="00D17211" w:rsidRPr="00515872" w:rsidRDefault="00D17211" w:rsidP="00D17211">
      <w:pPr>
        <w:pStyle w:val="Paragrafoelenco"/>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a seguito dell’invio tardivo della certificazione, le riduzioni di risorse non sono soggette a restituzione.</w:t>
      </w:r>
    </w:p>
    <w:p w14:paraId="5037BE6E" w14:textId="77777777" w:rsidR="003B635A" w:rsidRPr="00515872" w:rsidRDefault="003B635A" w:rsidP="00297A21">
      <w:pPr>
        <w:pStyle w:val="Paragrafo"/>
        <w:rPr>
          <w:highlight w:val="yellow"/>
        </w:rPr>
      </w:pPr>
    </w:p>
    <w:p w14:paraId="0591623F" w14:textId="77777777" w:rsidR="009518AF" w:rsidRPr="00515872" w:rsidRDefault="00AD2719" w:rsidP="00297A21">
      <w:pPr>
        <w:pStyle w:val="Paragrafo"/>
      </w:pPr>
      <w:bookmarkStart w:id="223" w:name="_Toc95912321"/>
      <w:r w:rsidRPr="00515872">
        <w:t>6.18</w:t>
      </w:r>
      <w:r w:rsidR="009518AF" w:rsidRPr="00515872">
        <w:t xml:space="preserve"> Vigilanza sugli adempimenti fiscali</w:t>
      </w:r>
      <w:bookmarkEnd w:id="221"/>
      <w:bookmarkEnd w:id="223"/>
    </w:p>
    <w:p w14:paraId="3572CE06"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Gli enti locali sono soggetti fiscali passivi (oltre che attivi, per quanto riguarda le imposte e tasse di propria competenza), sotto molteplici aspetti, con peculiarità correlate al proprio </w:t>
      </w:r>
      <w:r w:rsidRPr="00515872">
        <w:rPr>
          <w:rFonts w:eastAsia="Times New Roman" w:cs="Tahoma"/>
          <w:i/>
          <w:szCs w:val="20"/>
          <w:lang w:eastAsia="it-IT"/>
        </w:rPr>
        <w:t>status</w:t>
      </w:r>
      <w:r w:rsidRPr="00515872">
        <w:rPr>
          <w:rFonts w:eastAsia="Times New Roman" w:cs="Tahoma"/>
          <w:szCs w:val="20"/>
          <w:lang w:eastAsia="it-IT"/>
        </w:rPr>
        <w:t>.</w:t>
      </w:r>
    </w:p>
    <w:p w14:paraId="10568C6E" w14:textId="77777777" w:rsidR="00277513" w:rsidRPr="00515872" w:rsidRDefault="00277513" w:rsidP="009518AF">
      <w:pPr>
        <w:pStyle w:val="Sottoparagrafo"/>
        <w:rPr>
          <w:rFonts w:cs="Tahoma"/>
          <w:highlight w:val="yellow"/>
        </w:rPr>
      </w:pPr>
      <w:bookmarkStart w:id="224" w:name="_Toc521317131"/>
    </w:p>
    <w:p w14:paraId="6356200A" w14:textId="77777777" w:rsidR="009518AF" w:rsidRPr="00515872" w:rsidRDefault="00AD2719" w:rsidP="009518AF">
      <w:pPr>
        <w:pStyle w:val="Sottoparagrafo"/>
        <w:rPr>
          <w:rFonts w:cs="Tahoma"/>
        </w:rPr>
      </w:pPr>
      <w:bookmarkStart w:id="225" w:name="_Toc95912322"/>
      <w:r w:rsidRPr="00515872">
        <w:rPr>
          <w:rFonts w:cs="Tahoma"/>
        </w:rPr>
        <w:t>6.18</w:t>
      </w:r>
      <w:r w:rsidR="009518AF" w:rsidRPr="00515872">
        <w:rPr>
          <w:rFonts w:cs="Tahoma"/>
        </w:rPr>
        <w:t>.1 Soggettività Iva</w:t>
      </w:r>
      <w:bookmarkEnd w:id="224"/>
      <w:bookmarkEnd w:id="225"/>
    </w:p>
    <w:p w14:paraId="7A1815CB"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Gli enti locali, per la loro natura di enti non commerciali di diritto pubblico, non sono tipicamente soggetti passivi IVA, salvo che esercitino attività commerciali. Ne consegue che essi rivestono tale qualifica solo nel caso in cui pongano in essere attività commerciali, con carattere di abitualità, e, limitatamente a queste attività, sono assoggettati agli adempimenti contabili e dichiarativi previsti dalla normativa.</w:t>
      </w:r>
    </w:p>
    <w:p w14:paraId="0908F7BF" w14:textId="77777777" w:rsidR="009518AF" w:rsidRPr="00515872" w:rsidRDefault="009518AF" w:rsidP="009518AF">
      <w:pPr>
        <w:spacing w:line="360" w:lineRule="auto"/>
        <w:jc w:val="both"/>
        <w:rPr>
          <w:rFonts w:cs="Tahoma"/>
          <w:color w:val="000000"/>
          <w:szCs w:val="20"/>
        </w:rPr>
      </w:pPr>
      <w:r w:rsidRPr="00515872">
        <w:rPr>
          <w:rFonts w:cs="Tahoma"/>
          <w:color w:val="000000"/>
          <w:szCs w:val="20"/>
        </w:rPr>
        <w:t xml:space="preserve">La disciplina comunitaria (art. 13, Direttiva del Consiglio 28 novembre 2006, n. 2006/112/CE) sancisce che gli stati, le regioni, le province, i comuni e gli altri enti di diritto pubblico non sono considerati soggetti passivi per le attività od operazioni che esercitano in quanto pubbliche autorità, anche quando, in relazione a tali attività od operazioni, percepiscono diritti, canoni, contributi o retribuzioni. Tuttavia, allorché tali enti esercitino attività od operazioni di questo genere, essi devono essere considerati soggetti passivi per dette attività od operazioni </w:t>
      </w:r>
      <w:r w:rsidRPr="00515872">
        <w:rPr>
          <w:rFonts w:cs="Tahoma"/>
          <w:b/>
          <w:color w:val="000000"/>
          <w:szCs w:val="20"/>
        </w:rPr>
        <w:t>quando il loro non assoggettamento provocherebbe distorsioni della concorrenza</w:t>
      </w:r>
      <w:r w:rsidRPr="00515872">
        <w:rPr>
          <w:rFonts w:cs="Tahoma"/>
          <w:color w:val="000000"/>
          <w:szCs w:val="20"/>
        </w:rPr>
        <w:t xml:space="preserve"> di una certa importanza. Gli organismi di diritto pubblico devono essere considerati come soggetti passivi per le suddette </w:t>
      </w:r>
      <w:r w:rsidRPr="00515872">
        <w:rPr>
          <w:rFonts w:cs="Tahoma"/>
          <w:color w:val="000000"/>
          <w:szCs w:val="20"/>
        </w:rPr>
        <w:lastRenderedPageBreak/>
        <w:t xml:space="preserve">attività, non </w:t>
      </w:r>
      <w:r w:rsidR="00BB3593" w:rsidRPr="00515872">
        <w:rPr>
          <w:rFonts w:cs="Tahoma"/>
          <w:color w:val="000000"/>
          <w:szCs w:val="20"/>
        </w:rPr>
        <w:t>solo quando la circostanza anzidetta</w:t>
      </w:r>
      <w:r w:rsidRPr="00515872">
        <w:rPr>
          <w:rFonts w:cs="Tahoma"/>
          <w:color w:val="000000"/>
          <w:szCs w:val="20"/>
        </w:rPr>
        <w:t xml:space="preserve"> </w:t>
      </w:r>
      <w:r w:rsidR="00BB3593" w:rsidRPr="00515872">
        <w:rPr>
          <w:rFonts w:cs="Tahoma"/>
          <w:color w:val="000000"/>
          <w:szCs w:val="20"/>
        </w:rPr>
        <w:t>volga a</w:t>
      </w:r>
      <w:r w:rsidRPr="00515872">
        <w:rPr>
          <w:rFonts w:cs="Tahoma"/>
          <w:color w:val="000000"/>
          <w:szCs w:val="20"/>
        </w:rPr>
        <w:t xml:space="preserve"> danno di loro concorrenti privati,</w:t>
      </w:r>
      <w:r w:rsidR="002B11B6" w:rsidRPr="00515872">
        <w:rPr>
          <w:rFonts w:cs="Tahoma"/>
          <w:color w:val="000000"/>
          <w:szCs w:val="20"/>
        </w:rPr>
        <w:t xml:space="preserve"> ma anche quando provocherebbe</w:t>
      </w:r>
      <w:r w:rsidRPr="00515872">
        <w:rPr>
          <w:rFonts w:cs="Tahoma"/>
          <w:color w:val="000000"/>
          <w:szCs w:val="20"/>
        </w:rPr>
        <w:t xml:space="preserve"> distorsioni a danno </w:t>
      </w:r>
      <w:r w:rsidR="002B11B6" w:rsidRPr="00515872">
        <w:rPr>
          <w:rFonts w:cs="Tahoma"/>
          <w:color w:val="000000"/>
          <w:szCs w:val="20"/>
        </w:rPr>
        <w:t xml:space="preserve">degli enti stessi </w:t>
      </w:r>
      <w:r w:rsidRPr="00515872">
        <w:rPr>
          <w:rFonts w:cs="Tahoma"/>
          <w:color w:val="000000"/>
          <w:szCs w:val="20"/>
        </w:rPr>
        <w:t>(limitazione alla detrazione dell’IVA)</w:t>
      </w:r>
      <w:r w:rsidRPr="00515872">
        <w:rPr>
          <w:rStyle w:val="Rimandonotaapidipagina"/>
          <w:rFonts w:cs="Tahoma"/>
          <w:color w:val="000000"/>
          <w:szCs w:val="20"/>
        </w:rPr>
        <w:footnoteReference w:id="111"/>
      </w:r>
      <w:r w:rsidRPr="00515872">
        <w:rPr>
          <w:rFonts w:cs="Tahoma"/>
          <w:color w:val="000000"/>
          <w:szCs w:val="20"/>
        </w:rPr>
        <w:t>.</w:t>
      </w:r>
    </w:p>
    <w:p w14:paraId="38151C8D" w14:textId="77777777" w:rsidR="009518AF" w:rsidRPr="00515872" w:rsidRDefault="009518AF" w:rsidP="002B11B6">
      <w:pPr>
        <w:spacing w:after="0" w:line="360" w:lineRule="auto"/>
        <w:jc w:val="both"/>
        <w:rPr>
          <w:rFonts w:cs="Tahoma"/>
          <w:color w:val="000000"/>
          <w:szCs w:val="20"/>
        </w:rPr>
      </w:pPr>
      <w:r w:rsidRPr="00515872">
        <w:rPr>
          <w:rFonts w:eastAsia="Times New Roman" w:cs="Tahoma"/>
          <w:szCs w:val="20"/>
          <w:lang w:eastAsia="it-IT"/>
        </w:rPr>
        <w:t xml:space="preserve">L’applicazione dell’imposta deve soddisfare i requisiti generali di carattere soggettivo, oggettivo e territoriale previsti dalla normativa IVA. </w:t>
      </w:r>
      <w:r w:rsidR="00224D4D" w:rsidRPr="00515872">
        <w:rPr>
          <w:rFonts w:cs="Tahoma"/>
          <w:color w:val="000000"/>
          <w:szCs w:val="20"/>
        </w:rPr>
        <w:t>L’art. 4,</w:t>
      </w:r>
      <w:r w:rsidRPr="00515872">
        <w:rPr>
          <w:rFonts w:cs="Tahoma"/>
          <w:color w:val="000000"/>
          <w:szCs w:val="20"/>
        </w:rPr>
        <w:t xml:space="preserve"> D.P.R. 633/1972, inoltre, considera oggettivamente commerciali, anche se esercitate da enti </w:t>
      </w:r>
      <w:r w:rsidR="00F77468" w:rsidRPr="00515872">
        <w:rPr>
          <w:rFonts w:cs="Tahoma"/>
          <w:color w:val="000000"/>
          <w:szCs w:val="20"/>
        </w:rPr>
        <w:t>pubblici</w:t>
      </w:r>
      <w:r w:rsidRPr="00515872">
        <w:rPr>
          <w:rFonts w:cs="Tahoma"/>
          <w:color w:val="000000"/>
          <w:szCs w:val="20"/>
        </w:rPr>
        <w:t>, le seguenti attività:</w:t>
      </w:r>
    </w:p>
    <w:p w14:paraId="1CF50F9D"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cessioni di beni nuovi prodotti per la vendita;</w:t>
      </w:r>
    </w:p>
    <w:p w14:paraId="0064AAF8"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erogazione di acqua e servizi di fognatura e depurazione, gas, energia elettrica e vapore;</w:t>
      </w:r>
    </w:p>
    <w:p w14:paraId="30FF90A9"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gestione di fiere ed esposizioni a carattere commerciale;</w:t>
      </w:r>
    </w:p>
    <w:p w14:paraId="575D6F72"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gestione di spacci aziendali, mense e somministrazione di pasti;</w:t>
      </w:r>
    </w:p>
    <w:p w14:paraId="36895EA7"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trasporto e deposito di merci;</w:t>
      </w:r>
    </w:p>
    <w:p w14:paraId="4F00F845"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trasporto di persone;</w:t>
      </w:r>
    </w:p>
    <w:p w14:paraId="73415378"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organizzazione di viaggi e soggiorni turistici e prestazioni alberghiere;</w:t>
      </w:r>
    </w:p>
    <w:p w14:paraId="2C2C0BB8"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servizi portuali e aeroportuali;</w:t>
      </w:r>
    </w:p>
    <w:p w14:paraId="30CA65B1"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pubblicità commerciale;</w:t>
      </w:r>
    </w:p>
    <w:p w14:paraId="5FABF497" w14:textId="77777777" w:rsidR="009518AF" w:rsidRPr="00515872" w:rsidRDefault="009518AF" w:rsidP="00D65838">
      <w:pPr>
        <w:pStyle w:val="Paragrafoelenco"/>
        <w:numPr>
          <w:ilvl w:val="0"/>
          <w:numId w:val="150"/>
        </w:numPr>
        <w:spacing w:line="360" w:lineRule="auto"/>
        <w:rPr>
          <w:rFonts w:eastAsia="Times New Roman" w:cs="Tahoma"/>
          <w:szCs w:val="20"/>
          <w:lang w:eastAsia="it-IT"/>
        </w:rPr>
      </w:pPr>
      <w:r w:rsidRPr="00515872">
        <w:rPr>
          <w:rFonts w:eastAsia="Times New Roman" w:cs="Tahoma"/>
          <w:szCs w:val="20"/>
          <w:lang w:eastAsia="it-IT"/>
        </w:rPr>
        <w:t>telecomunicazioni e radiodiffusioni circolari.</w:t>
      </w:r>
    </w:p>
    <w:p w14:paraId="62D33505" w14:textId="1C910F70"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L’esercizio congiunto di attività istituzionali e commerciali implica che, per poter detrarre l’IVA sugli acquisti inerenti </w:t>
      </w:r>
      <w:r w:rsidR="001E548F" w:rsidRPr="00515872">
        <w:rPr>
          <w:rFonts w:eastAsia="Times New Roman" w:cs="Tahoma"/>
          <w:szCs w:val="20"/>
          <w:lang w:eastAsia="it-IT"/>
        </w:rPr>
        <w:t>all’attività</w:t>
      </w:r>
      <w:r w:rsidRPr="00515872">
        <w:rPr>
          <w:rFonts w:eastAsia="Times New Roman" w:cs="Tahoma"/>
          <w:szCs w:val="20"/>
          <w:lang w:eastAsia="it-IT"/>
        </w:rPr>
        <w:t xml:space="preserve"> commerciale, l’ente debba tenere la contabilità separata ai sensi dell’art. 19-ter, c. 2</w:t>
      </w:r>
      <w:r w:rsidR="00224D4D" w:rsidRPr="00515872">
        <w:rPr>
          <w:rFonts w:eastAsia="Times New Roman" w:cs="Tahoma"/>
          <w:szCs w:val="20"/>
          <w:lang w:eastAsia="it-IT"/>
        </w:rPr>
        <w:t>,</w:t>
      </w:r>
      <w:r w:rsidRPr="00515872">
        <w:rPr>
          <w:rFonts w:eastAsia="Times New Roman" w:cs="Tahoma"/>
          <w:szCs w:val="20"/>
          <w:lang w:eastAsia="it-IT"/>
        </w:rPr>
        <w:t xml:space="preserve"> D.P.R. </w:t>
      </w:r>
      <w:r w:rsidR="00224D4D" w:rsidRPr="00515872">
        <w:rPr>
          <w:rFonts w:eastAsia="Times New Roman" w:cs="Tahoma"/>
          <w:szCs w:val="20"/>
          <w:lang w:eastAsia="it-IT"/>
        </w:rPr>
        <w:t xml:space="preserve">n. </w:t>
      </w:r>
      <w:r w:rsidRPr="00515872">
        <w:rPr>
          <w:rFonts w:eastAsia="Times New Roman" w:cs="Tahoma"/>
          <w:szCs w:val="20"/>
          <w:lang w:eastAsia="it-IT"/>
        </w:rPr>
        <w:t>633/</w:t>
      </w:r>
      <w:r w:rsidR="00224D4D" w:rsidRPr="00515872">
        <w:rPr>
          <w:rFonts w:eastAsia="Times New Roman" w:cs="Tahoma"/>
          <w:szCs w:val="20"/>
          <w:lang w:eastAsia="it-IT"/>
        </w:rPr>
        <w:t>19</w:t>
      </w:r>
      <w:r w:rsidRPr="00515872">
        <w:rPr>
          <w:rFonts w:eastAsia="Times New Roman" w:cs="Tahoma"/>
          <w:szCs w:val="20"/>
          <w:lang w:eastAsia="it-IT"/>
        </w:rPr>
        <w:t>72.</w:t>
      </w:r>
    </w:p>
    <w:p w14:paraId="5BA5FDCC" w14:textId="77777777" w:rsidR="009518AF" w:rsidRPr="00515872" w:rsidRDefault="002966E2" w:rsidP="009518AF">
      <w:pPr>
        <w:spacing w:line="360" w:lineRule="auto"/>
        <w:jc w:val="both"/>
        <w:rPr>
          <w:rFonts w:eastAsia="Times New Roman" w:cs="Tahoma"/>
          <w:szCs w:val="20"/>
          <w:lang w:eastAsia="it-IT"/>
        </w:rPr>
      </w:pPr>
      <w:r w:rsidRPr="00515872">
        <w:rPr>
          <w:rFonts w:eastAsia="Times New Roman" w:cs="Tahoma"/>
          <w:szCs w:val="20"/>
          <w:lang w:eastAsia="it-IT"/>
        </w:rPr>
        <w:t>L’art. 6,</w:t>
      </w:r>
      <w:r w:rsidR="009518AF" w:rsidRPr="00515872">
        <w:rPr>
          <w:rFonts w:eastAsia="Times New Roman" w:cs="Tahoma"/>
          <w:szCs w:val="20"/>
          <w:lang w:eastAsia="it-IT"/>
        </w:rPr>
        <w:t xml:space="preserve"> D.P.R. n. 633/1972 individua il momento in cui l’imposta diviene esigibile (e, quindi, detraibile per la controparte) nel pagamento de</w:t>
      </w:r>
      <w:r w:rsidR="00224D4D" w:rsidRPr="00515872">
        <w:rPr>
          <w:rFonts w:eastAsia="Times New Roman" w:cs="Tahoma"/>
          <w:szCs w:val="20"/>
          <w:lang w:eastAsia="it-IT"/>
        </w:rPr>
        <w:t>l</w:t>
      </w:r>
      <w:r w:rsidR="009518AF" w:rsidRPr="00515872">
        <w:rPr>
          <w:rFonts w:eastAsia="Times New Roman" w:cs="Tahoma"/>
          <w:szCs w:val="20"/>
          <w:lang w:eastAsia="it-IT"/>
        </w:rPr>
        <w:t xml:space="preserve"> corrispettiv</w:t>
      </w:r>
      <w:r w:rsidR="00224D4D" w:rsidRPr="00515872">
        <w:rPr>
          <w:rFonts w:eastAsia="Times New Roman" w:cs="Tahoma"/>
          <w:szCs w:val="20"/>
          <w:lang w:eastAsia="it-IT"/>
        </w:rPr>
        <w:t>o</w:t>
      </w:r>
      <w:r w:rsidR="009518AF" w:rsidRPr="00515872">
        <w:rPr>
          <w:rFonts w:eastAsia="Times New Roman" w:cs="Tahoma"/>
          <w:szCs w:val="20"/>
          <w:lang w:eastAsia="it-IT"/>
        </w:rPr>
        <w:t>, salvo che l’ente non abbia optato per la sua anticipazione all’atto del ricevimento della fattura.</w:t>
      </w:r>
      <w:r w:rsidR="00224D4D" w:rsidRPr="00515872">
        <w:rPr>
          <w:rFonts w:eastAsia="Times New Roman" w:cs="Tahoma"/>
          <w:szCs w:val="20"/>
          <w:lang w:eastAsia="it-IT"/>
        </w:rPr>
        <w:t xml:space="preserve"> In altre parole,</w:t>
      </w:r>
      <w:r w:rsidR="00D06481" w:rsidRPr="00515872">
        <w:rPr>
          <w:rFonts w:eastAsia="Times New Roman" w:cs="Tahoma"/>
          <w:szCs w:val="20"/>
          <w:lang w:eastAsia="it-IT"/>
        </w:rPr>
        <w:t xml:space="preserve"> nel primo caso,</w:t>
      </w:r>
      <w:r w:rsidR="00224D4D" w:rsidRPr="00515872">
        <w:rPr>
          <w:rFonts w:eastAsia="Times New Roman" w:cs="Tahoma"/>
          <w:szCs w:val="20"/>
          <w:lang w:eastAsia="it-IT"/>
        </w:rPr>
        <w:t xml:space="preserve"> per le operazioni effettuate nei confronti delle pubbliche amministrazioni, si configura la fattispecie della c.d. “esigibilità differita” dell’imposta.</w:t>
      </w:r>
    </w:p>
    <w:p w14:paraId="0A06540E" w14:textId="77777777" w:rsidR="009518AF" w:rsidRPr="00515872" w:rsidRDefault="009518AF" w:rsidP="009518AF">
      <w:pPr>
        <w:spacing w:after="0" w:line="360" w:lineRule="auto"/>
        <w:jc w:val="both"/>
        <w:rPr>
          <w:rFonts w:eastAsia="Times New Roman" w:cs="Tahoma"/>
          <w:szCs w:val="20"/>
          <w:lang w:eastAsia="it-IT"/>
        </w:rPr>
      </w:pPr>
      <w:r w:rsidRPr="00515872">
        <w:rPr>
          <w:rFonts w:eastAsia="Times New Roman" w:cs="Tahoma"/>
          <w:szCs w:val="20"/>
          <w:lang w:eastAsia="it-IT"/>
        </w:rPr>
        <w:t>L’organo di revisione deve accertare, a tal fine:</w:t>
      </w:r>
    </w:p>
    <w:p w14:paraId="2FD34181" w14:textId="77777777" w:rsidR="009518AF" w:rsidRPr="00515872" w:rsidRDefault="009518AF" w:rsidP="00D65838">
      <w:pPr>
        <w:pStyle w:val="Paragrafoelenco"/>
        <w:numPr>
          <w:ilvl w:val="0"/>
          <w:numId w:val="83"/>
        </w:numPr>
        <w:spacing w:line="360" w:lineRule="auto"/>
        <w:jc w:val="both"/>
        <w:rPr>
          <w:rFonts w:eastAsia="Times New Roman" w:cs="Tahoma"/>
          <w:szCs w:val="20"/>
          <w:lang w:eastAsia="it-IT"/>
        </w:rPr>
      </w:pPr>
      <w:r w:rsidRPr="00515872">
        <w:rPr>
          <w:rFonts w:eastAsia="Times New Roman" w:cs="Tahoma"/>
          <w:szCs w:val="20"/>
          <w:lang w:eastAsia="it-IT"/>
        </w:rPr>
        <w:t xml:space="preserve">l’esistenza di un sistema di controllo interno finalizzato al rispetto delle regole in materia di imposta sul valore aggiunto e relativi adempimenti dichiarativi; </w:t>
      </w:r>
    </w:p>
    <w:p w14:paraId="5684AFFA" w14:textId="77777777" w:rsidR="009518AF" w:rsidRPr="00515872" w:rsidRDefault="009518AF" w:rsidP="00D65838">
      <w:pPr>
        <w:pStyle w:val="Paragrafoelenco"/>
        <w:numPr>
          <w:ilvl w:val="0"/>
          <w:numId w:val="83"/>
        </w:numPr>
        <w:spacing w:line="360" w:lineRule="auto"/>
        <w:jc w:val="both"/>
        <w:rPr>
          <w:rFonts w:eastAsia="Times New Roman" w:cs="Tahoma"/>
          <w:szCs w:val="20"/>
          <w:lang w:eastAsia="it-IT"/>
        </w:rPr>
      </w:pPr>
      <w:r w:rsidRPr="00515872">
        <w:rPr>
          <w:rFonts w:eastAsia="Times New Roman" w:cs="Tahoma"/>
          <w:szCs w:val="20"/>
          <w:lang w:eastAsia="it-IT"/>
        </w:rPr>
        <w:t xml:space="preserve">la regolare tenuta delle scritture contabili; </w:t>
      </w:r>
    </w:p>
    <w:p w14:paraId="3B5FF9EA" w14:textId="77777777" w:rsidR="009518AF" w:rsidRPr="00515872" w:rsidRDefault="009518AF" w:rsidP="00D65838">
      <w:pPr>
        <w:pStyle w:val="Paragrafoelenco"/>
        <w:numPr>
          <w:ilvl w:val="0"/>
          <w:numId w:val="83"/>
        </w:numPr>
        <w:spacing w:line="360" w:lineRule="auto"/>
        <w:jc w:val="both"/>
        <w:rPr>
          <w:rFonts w:eastAsia="Times New Roman" w:cs="Tahoma"/>
          <w:szCs w:val="20"/>
          <w:lang w:eastAsia="it-IT"/>
        </w:rPr>
      </w:pPr>
      <w:r w:rsidRPr="00515872">
        <w:rPr>
          <w:rFonts w:eastAsia="Times New Roman" w:cs="Tahoma"/>
          <w:szCs w:val="20"/>
          <w:lang w:eastAsia="it-IT"/>
        </w:rPr>
        <w:t xml:space="preserve">la puntuale individuazione delle attività ai fini IVA; </w:t>
      </w:r>
    </w:p>
    <w:p w14:paraId="6C0355A7" w14:textId="77777777" w:rsidR="00D06481" w:rsidRPr="00515872" w:rsidRDefault="009518AF" w:rsidP="00D65838">
      <w:pPr>
        <w:pStyle w:val="Paragrafoelenco"/>
        <w:numPr>
          <w:ilvl w:val="0"/>
          <w:numId w:val="83"/>
        </w:numPr>
        <w:spacing w:line="360" w:lineRule="auto"/>
        <w:jc w:val="both"/>
        <w:rPr>
          <w:rFonts w:eastAsia="Times New Roman" w:cs="Tahoma"/>
          <w:szCs w:val="20"/>
          <w:lang w:eastAsia="it-IT"/>
        </w:rPr>
      </w:pPr>
      <w:r w:rsidRPr="00515872">
        <w:rPr>
          <w:rFonts w:eastAsia="Times New Roman" w:cs="Tahoma"/>
          <w:szCs w:val="20"/>
          <w:lang w:eastAsia="it-IT"/>
        </w:rPr>
        <w:t>la corretta applicazione degli obblighi e adempimenti previsti dalla normativa vigente</w:t>
      </w:r>
      <w:r w:rsidR="00D06481" w:rsidRPr="00515872">
        <w:rPr>
          <w:rFonts w:eastAsia="Times New Roman" w:cs="Tahoma"/>
          <w:szCs w:val="20"/>
          <w:lang w:eastAsia="it-IT"/>
        </w:rPr>
        <w:t xml:space="preserve">; </w:t>
      </w:r>
      <w:r w:rsidRPr="00515872">
        <w:rPr>
          <w:rFonts w:eastAsia="Times New Roman" w:cs="Tahoma"/>
          <w:szCs w:val="20"/>
          <w:lang w:eastAsia="it-IT"/>
        </w:rPr>
        <w:t>in particolare:</w:t>
      </w:r>
    </w:p>
    <w:p w14:paraId="56F9EB17" w14:textId="77777777" w:rsidR="00D06481" w:rsidRPr="00515872" w:rsidRDefault="00D06481" w:rsidP="00D06481">
      <w:pPr>
        <w:pStyle w:val="Paragrafoelenco"/>
        <w:spacing w:line="360" w:lineRule="auto"/>
        <w:ind w:left="360"/>
        <w:jc w:val="both"/>
        <w:rPr>
          <w:rFonts w:eastAsia="Times New Roman" w:cs="Tahoma"/>
          <w:szCs w:val="20"/>
          <w:lang w:eastAsia="it-IT"/>
        </w:rPr>
      </w:pPr>
      <w:r w:rsidRPr="00515872">
        <w:rPr>
          <w:rFonts w:eastAsia="Times New Roman" w:cs="Tahoma"/>
          <w:szCs w:val="20"/>
          <w:lang w:eastAsia="it-IT"/>
        </w:rPr>
        <w:t>-</w:t>
      </w:r>
      <w:r w:rsidR="009518AF" w:rsidRPr="00515872">
        <w:rPr>
          <w:rFonts w:eastAsia="Times New Roman" w:cs="Tahoma"/>
          <w:szCs w:val="20"/>
          <w:lang w:eastAsia="it-IT"/>
        </w:rPr>
        <w:t xml:space="preserve"> la regolarità dei versamenti periodici</w:t>
      </w:r>
      <w:r w:rsidRPr="00515872">
        <w:rPr>
          <w:rFonts w:eastAsia="Times New Roman" w:cs="Tahoma"/>
          <w:szCs w:val="20"/>
          <w:lang w:eastAsia="it-IT"/>
        </w:rPr>
        <w:t>;</w:t>
      </w:r>
    </w:p>
    <w:p w14:paraId="4CBCC246" w14:textId="77777777" w:rsidR="00D06481" w:rsidRPr="00515872" w:rsidRDefault="00D06481" w:rsidP="00D06481">
      <w:pPr>
        <w:pStyle w:val="Paragrafoelenco"/>
        <w:spacing w:line="360" w:lineRule="auto"/>
        <w:ind w:left="360"/>
        <w:jc w:val="both"/>
        <w:rPr>
          <w:rFonts w:eastAsia="Times New Roman" w:cs="Tahoma"/>
          <w:szCs w:val="20"/>
          <w:lang w:eastAsia="it-IT"/>
        </w:rPr>
      </w:pPr>
      <w:r w:rsidRPr="00515872">
        <w:rPr>
          <w:rFonts w:eastAsia="Times New Roman" w:cs="Tahoma"/>
          <w:szCs w:val="20"/>
          <w:lang w:eastAsia="it-IT"/>
        </w:rPr>
        <w:t>-</w:t>
      </w:r>
      <w:r w:rsidR="009518AF" w:rsidRPr="00515872">
        <w:rPr>
          <w:rFonts w:eastAsia="Times New Roman" w:cs="Tahoma"/>
          <w:szCs w:val="20"/>
          <w:lang w:eastAsia="it-IT"/>
        </w:rPr>
        <w:t xml:space="preserve"> la conformità degli stessi alle liquidazioni</w:t>
      </w:r>
      <w:r w:rsidRPr="00515872">
        <w:rPr>
          <w:rFonts w:eastAsia="Times New Roman" w:cs="Tahoma"/>
          <w:szCs w:val="20"/>
          <w:lang w:eastAsia="it-IT"/>
        </w:rPr>
        <w:t>;</w:t>
      </w:r>
    </w:p>
    <w:p w14:paraId="0075C702" w14:textId="77777777" w:rsidR="00D06481" w:rsidRPr="00515872" w:rsidRDefault="00D06481" w:rsidP="00D06481">
      <w:pPr>
        <w:pStyle w:val="Paragrafoelenco"/>
        <w:spacing w:line="360" w:lineRule="auto"/>
        <w:ind w:left="360"/>
        <w:jc w:val="both"/>
        <w:rPr>
          <w:rFonts w:eastAsia="Times New Roman" w:cs="Tahoma"/>
          <w:szCs w:val="20"/>
          <w:lang w:eastAsia="it-IT"/>
        </w:rPr>
      </w:pPr>
      <w:r w:rsidRPr="00515872">
        <w:rPr>
          <w:rFonts w:eastAsia="Times New Roman" w:cs="Tahoma"/>
          <w:szCs w:val="20"/>
          <w:lang w:eastAsia="it-IT"/>
        </w:rPr>
        <w:lastRenderedPageBreak/>
        <w:t>-</w:t>
      </w:r>
      <w:r w:rsidR="009518AF" w:rsidRPr="00515872">
        <w:rPr>
          <w:rFonts w:eastAsia="Times New Roman" w:cs="Tahoma"/>
          <w:szCs w:val="20"/>
          <w:lang w:eastAsia="it-IT"/>
        </w:rPr>
        <w:t xml:space="preserve"> la loro annotazion</w:t>
      </w:r>
      <w:r w:rsidR="002B11B6" w:rsidRPr="00515872">
        <w:rPr>
          <w:rFonts w:eastAsia="Times New Roman" w:cs="Tahoma"/>
          <w:szCs w:val="20"/>
          <w:lang w:eastAsia="it-IT"/>
        </w:rPr>
        <w:t>e</w:t>
      </w:r>
      <w:r w:rsidR="009518AF" w:rsidRPr="00515872">
        <w:rPr>
          <w:rFonts w:eastAsia="Times New Roman" w:cs="Tahoma"/>
          <w:szCs w:val="20"/>
          <w:lang w:eastAsia="it-IT"/>
        </w:rPr>
        <w:t xml:space="preserve"> sui registri contabili</w:t>
      </w:r>
      <w:r w:rsidRPr="00515872">
        <w:rPr>
          <w:rFonts w:eastAsia="Times New Roman" w:cs="Tahoma"/>
          <w:szCs w:val="20"/>
          <w:lang w:eastAsia="it-IT"/>
        </w:rPr>
        <w:t>;</w:t>
      </w:r>
    </w:p>
    <w:p w14:paraId="41604775" w14:textId="77777777" w:rsidR="009518AF" w:rsidRPr="00515872" w:rsidRDefault="00D06481" w:rsidP="00D06481">
      <w:pPr>
        <w:pStyle w:val="Paragrafoelenco"/>
        <w:spacing w:line="360" w:lineRule="auto"/>
        <w:ind w:left="360"/>
        <w:jc w:val="both"/>
        <w:rPr>
          <w:rFonts w:eastAsia="Times New Roman" w:cs="Tahoma"/>
          <w:szCs w:val="20"/>
          <w:lang w:eastAsia="it-IT"/>
        </w:rPr>
      </w:pPr>
      <w:r w:rsidRPr="00515872">
        <w:rPr>
          <w:rFonts w:eastAsia="Times New Roman" w:cs="Tahoma"/>
          <w:szCs w:val="20"/>
          <w:lang w:eastAsia="it-IT"/>
        </w:rPr>
        <w:t xml:space="preserve">- </w:t>
      </w:r>
      <w:r w:rsidR="009518AF" w:rsidRPr="00515872">
        <w:rPr>
          <w:rFonts w:eastAsia="Times New Roman" w:cs="Tahoma"/>
          <w:szCs w:val="20"/>
          <w:lang w:eastAsia="it-IT"/>
        </w:rPr>
        <w:t>even</w:t>
      </w:r>
      <w:r w:rsidRPr="00515872">
        <w:rPr>
          <w:rFonts w:eastAsia="Times New Roman" w:cs="Tahoma"/>
          <w:szCs w:val="20"/>
          <w:lang w:eastAsia="it-IT"/>
        </w:rPr>
        <w:t>tuali compensazioni fra imposte</w:t>
      </w:r>
      <w:r w:rsidR="009518AF" w:rsidRPr="00515872">
        <w:rPr>
          <w:rFonts w:eastAsia="Times New Roman" w:cs="Tahoma"/>
          <w:szCs w:val="20"/>
          <w:lang w:eastAsia="it-IT"/>
        </w:rPr>
        <w:t>;</w:t>
      </w:r>
    </w:p>
    <w:p w14:paraId="25A22208" w14:textId="77777777" w:rsidR="009518AF" w:rsidRPr="00515872" w:rsidRDefault="009518AF" w:rsidP="00D65838">
      <w:pPr>
        <w:pStyle w:val="Paragrafoelenco"/>
        <w:numPr>
          <w:ilvl w:val="0"/>
          <w:numId w:val="83"/>
        </w:numPr>
        <w:spacing w:line="360" w:lineRule="auto"/>
        <w:jc w:val="both"/>
        <w:rPr>
          <w:rFonts w:eastAsia="Times New Roman" w:cs="Tahoma"/>
          <w:szCs w:val="20"/>
          <w:lang w:eastAsia="it-IT"/>
        </w:rPr>
      </w:pPr>
      <w:r w:rsidRPr="00515872">
        <w:rPr>
          <w:rFonts w:eastAsia="Times New Roman" w:cs="Tahoma"/>
          <w:szCs w:val="20"/>
          <w:lang w:eastAsia="it-IT"/>
        </w:rPr>
        <w:t>la convenienza dell’eventuale opzione per la tenuta della contabilità separata e/o per la dispensa degli adempimenti IVA in caso di operazioni esenti, nonché di altri regimi agevolativi.</w:t>
      </w:r>
    </w:p>
    <w:p w14:paraId="580059A2" w14:textId="77777777" w:rsidR="009518AF" w:rsidRPr="00515872" w:rsidRDefault="009A5298" w:rsidP="009518AF">
      <w:pPr>
        <w:spacing w:after="0" w:line="360" w:lineRule="auto"/>
        <w:jc w:val="both"/>
        <w:rPr>
          <w:rFonts w:eastAsia="Times New Roman" w:cs="Tahoma"/>
          <w:szCs w:val="20"/>
          <w:lang w:eastAsia="it-IT"/>
        </w:rPr>
      </w:pPr>
      <w:r w:rsidRPr="00515872">
        <w:rPr>
          <w:rFonts w:eastAsia="Times New Roman" w:cs="Tahoma"/>
          <w:szCs w:val="20"/>
          <w:lang w:eastAsia="it-IT"/>
        </w:rPr>
        <w:t>Le verifiche periodiche devono essere finalizzate ad accertare:</w:t>
      </w:r>
    </w:p>
    <w:p w14:paraId="207B75B1"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il rispetto del criterio dell’inerenza degli acquisti;</w:t>
      </w:r>
    </w:p>
    <w:p w14:paraId="3B5ED8F9"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il corretto ese</w:t>
      </w:r>
      <w:r w:rsidR="00D06481" w:rsidRPr="00515872">
        <w:rPr>
          <w:rFonts w:eastAsia="Times New Roman" w:cs="Tahoma"/>
          <w:szCs w:val="20"/>
          <w:lang w:eastAsia="it-IT"/>
        </w:rPr>
        <w:t>rcizio della detrazione</w:t>
      </w:r>
      <w:r w:rsidRPr="00515872">
        <w:rPr>
          <w:rFonts w:eastAsia="Times New Roman" w:cs="Tahoma"/>
          <w:szCs w:val="20"/>
          <w:lang w:eastAsia="it-IT"/>
        </w:rPr>
        <w:t xml:space="preserve"> sugli acquisti;</w:t>
      </w:r>
    </w:p>
    <w:p w14:paraId="40B6A1D9"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che</w:t>
      </w:r>
      <w:r w:rsidR="00531B68" w:rsidRPr="00515872">
        <w:rPr>
          <w:rFonts w:eastAsia="Times New Roman" w:cs="Tahoma"/>
          <w:szCs w:val="20"/>
          <w:lang w:eastAsia="it-IT"/>
        </w:rPr>
        <w:t>,</w:t>
      </w:r>
      <w:r w:rsidRPr="00515872">
        <w:rPr>
          <w:rFonts w:eastAsia="Times New Roman" w:cs="Tahoma"/>
          <w:szCs w:val="20"/>
          <w:lang w:eastAsia="it-IT"/>
        </w:rPr>
        <w:t xml:space="preserve"> per i beni e i servizi ad uso promiscuo</w:t>
      </w:r>
      <w:r w:rsidR="00531B68" w:rsidRPr="00515872">
        <w:rPr>
          <w:rFonts w:eastAsia="Times New Roman" w:cs="Tahoma"/>
          <w:szCs w:val="20"/>
          <w:lang w:eastAsia="it-IT"/>
        </w:rPr>
        <w:t>,</w:t>
      </w:r>
      <w:r w:rsidRPr="00515872">
        <w:rPr>
          <w:rFonts w:eastAsia="Times New Roman" w:cs="Tahoma"/>
          <w:szCs w:val="20"/>
          <w:lang w:eastAsia="it-IT"/>
        </w:rPr>
        <w:t xml:space="preserve"> sia detratta solo la quota imputabile all’attività commerciale;</w:t>
      </w:r>
    </w:p>
    <w:p w14:paraId="396BD00F"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l’eventuale applicazione del pro-rata in presenza di operazioni esenti;</w:t>
      </w:r>
    </w:p>
    <w:p w14:paraId="78199B33"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l’applicazione della rettifica della detrazione in caso di cambio di destinazione;</w:t>
      </w:r>
    </w:p>
    <w:p w14:paraId="0963E5DF"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 xml:space="preserve">la corretta fatturazione delle operazioni soggette al regime del </w:t>
      </w:r>
      <w:r w:rsidRPr="00515872">
        <w:rPr>
          <w:rFonts w:eastAsia="Times New Roman" w:cs="Tahoma"/>
          <w:i/>
          <w:szCs w:val="20"/>
          <w:lang w:eastAsia="it-IT"/>
        </w:rPr>
        <w:t>reverse-charge</w:t>
      </w:r>
      <w:r w:rsidRPr="00515872">
        <w:rPr>
          <w:rFonts w:eastAsia="Times New Roman" w:cs="Tahoma"/>
          <w:szCs w:val="20"/>
          <w:lang w:eastAsia="it-IT"/>
        </w:rPr>
        <w:t xml:space="preserve"> in caso di acquisti destinati anche all’attività istituzionale;</w:t>
      </w:r>
    </w:p>
    <w:p w14:paraId="587656AE" w14:textId="77777777" w:rsidR="009A5298" w:rsidRPr="00515872" w:rsidRDefault="009A5298"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la corretta gestione della fatturazione elettronica attiva e passiva;</w:t>
      </w:r>
    </w:p>
    <w:p w14:paraId="4EE833AB" w14:textId="77777777" w:rsidR="00F51FA1" w:rsidRPr="00515872" w:rsidRDefault="00F51FA1"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le liquidazioni periodiche dell’</w:t>
      </w:r>
      <w:r w:rsidR="00D06481" w:rsidRPr="00515872">
        <w:rPr>
          <w:rFonts w:eastAsia="Times New Roman" w:cs="Tahoma"/>
          <w:szCs w:val="20"/>
          <w:lang w:eastAsia="it-IT"/>
        </w:rPr>
        <w:t>IVA</w:t>
      </w:r>
      <w:r w:rsidRPr="00515872">
        <w:rPr>
          <w:rFonts w:eastAsia="Times New Roman" w:cs="Tahoma"/>
          <w:szCs w:val="20"/>
          <w:lang w:eastAsia="it-IT"/>
        </w:rPr>
        <w:t xml:space="preserve"> e i relativi versamenti</w:t>
      </w:r>
      <w:r w:rsidR="002966E2" w:rsidRPr="00515872">
        <w:rPr>
          <w:rFonts w:eastAsia="Times New Roman" w:cs="Tahoma"/>
          <w:szCs w:val="20"/>
          <w:lang w:eastAsia="it-IT"/>
        </w:rPr>
        <w:t>, nonché dell’acconto e del saldo come risultanti dalla dichiarazione annuale</w:t>
      </w:r>
      <w:r w:rsidRPr="00515872">
        <w:rPr>
          <w:rFonts w:eastAsia="Times New Roman" w:cs="Tahoma"/>
          <w:szCs w:val="20"/>
          <w:lang w:eastAsia="it-IT"/>
        </w:rPr>
        <w:t>;</w:t>
      </w:r>
    </w:p>
    <w:p w14:paraId="3D12F486" w14:textId="77777777" w:rsidR="00F51FA1" w:rsidRPr="00515872" w:rsidRDefault="00F51FA1"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 xml:space="preserve">il corretto versamento dell’iva delle fatture soggette a </w:t>
      </w:r>
      <w:r w:rsidRPr="00515872">
        <w:rPr>
          <w:rFonts w:eastAsia="Times New Roman" w:cs="Tahoma"/>
          <w:i/>
          <w:szCs w:val="20"/>
          <w:lang w:eastAsia="it-IT"/>
        </w:rPr>
        <w:t>split payment</w:t>
      </w:r>
      <w:r w:rsidRPr="00515872">
        <w:rPr>
          <w:rFonts w:eastAsia="Times New Roman" w:cs="Tahoma"/>
          <w:szCs w:val="20"/>
          <w:lang w:eastAsia="it-IT"/>
        </w:rPr>
        <w:t>;</w:t>
      </w:r>
    </w:p>
    <w:p w14:paraId="1B3B8482" w14:textId="77777777" w:rsidR="00F51FA1" w:rsidRPr="00515872" w:rsidRDefault="00F51FA1"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l’invio telematico delle liquidazioni periodiche;</w:t>
      </w:r>
    </w:p>
    <w:p w14:paraId="5557422C" w14:textId="77777777" w:rsidR="002966E2" w:rsidRPr="00515872" w:rsidRDefault="002966E2"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l’invio telematico dei modelli INTRA, ove necessari;</w:t>
      </w:r>
    </w:p>
    <w:p w14:paraId="0F926EC0" w14:textId="77777777" w:rsidR="009518AF" w:rsidRPr="00515872" w:rsidRDefault="00F51FA1" w:rsidP="00D65838">
      <w:pPr>
        <w:pStyle w:val="Paragrafoelenco"/>
        <w:numPr>
          <w:ilvl w:val="0"/>
          <w:numId w:val="84"/>
        </w:numPr>
        <w:spacing w:line="360" w:lineRule="auto"/>
        <w:jc w:val="both"/>
        <w:rPr>
          <w:rFonts w:eastAsia="Times New Roman" w:cs="Tahoma"/>
          <w:szCs w:val="20"/>
          <w:lang w:eastAsia="it-IT"/>
        </w:rPr>
      </w:pPr>
      <w:r w:rsidRPr="00515872">
        <w:rPr>
          <w:rFonts w:eastAsia="Times New Roman" w:cs="Tahoma"/>
          <w:szCs w:val="20"/>
          <w:lang w:eastAsia="it-IT"/>
        </w:rPr>
        <w:t xml:space="preserve">la presentazione telematica della dichiarazione </w:t>
      </w:r>
      <w:r w:rsidR="00D06481" w:rsidRPr="00515872">
        <w:rPr>
          <w:rFonts w:eastAsia="Times New Roman" w:cs="Tahoma"/>
          <w:szCs w:val="20"/>
          <w:lang w:eastAsia="it-IT"/>
        </w:rPr>
        <w:t>IVA</w:t>
      </w:r>
      <w:r w:rsidR="00DA7E17" w:rsidRPr="00515872">
        <w:rPr>
          <w:rFonts w:eastAsia="Times New Roman" w:cs="Tahoma"/>
          <w:szCs w:val="20"/>
          <w:lang w:eastAsia="it-IT"/>
        </w:rPr>
        <w:t>.</w:t>
      </w:r>
    </w:p>
    <w:p w14:paraId="7FAF6A47"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ahoma"/>
          <w:b/>
          <w:color w:val="000000"/>
          <w:szCs w:val="20"/>
        </w:rPr>
      </w:pPr>
      <w:r w:rsidRPr="00515872">
        <w:rPr>
          <w:rFonts w:cs="Tahoma"/>
          <w:color w:val="000000"/>
          <w:szCs w:val="20"/>
        </w:rPr>
        <w:t xml:space="preserve">Da ultimo, occorre sottolineare che l’Agenzia delle Entrate, con risoluzione n. 90/E del 2010 ha affermato che l’organo di revisione degli enti locali svolge la </w:t>
      </w:r>
      <w:r w:rsidRPr="00515872">
        <w:rPr>
          <w:rFonts w:cs="Tahoma"/>
          <w:b/>
          <w:color w:val="000000"/>
          <w:szCs w:val="20"/>
        </w:rPr>
        <w:t>stessa funzione di garanzia – in merito alla regolarità contabile e finanziaria – che il D.Lgs. n. 39 del 27 gennaio 2010 attribuisce al revisore legale relativamente alla situazione contabile e finanziaria delle società di capitali</w:t>
      </w:r>
      <w:r w:rsidRPr="00515872">
        <w:rPr>
          <w:rFonts w:cs="Tahoma"/>
          <w:color w:val="000000"/>
          <w:szCs w:val="20"/>
        </w:rPr>
        <w:t xml:space="preserve">, presso le quali esercita la funzione e che, tra le competenze dell’organo di revisione, rientra quella di asseverare i conti pubblici, nel senso proprio di garantire che gli elementi contabili comunicati all’amministrazione finanziaria corrispondano a quelli indicati dalle scritture contabili. La risoluzione perviene alla discutibile conclusione che </w:t>
      </w:r>
      <w:r w:rsidRPr="00515872">
        <w:rPr>
          <w:rFonts w:cs="Tahoma"/>
          <w:b/>
          <w:color w:val="000000"/>
          <w:szCs w:val="20"/>
        </w:rPr>
        <w:t>la sottoscrizione dell’organo di revisione ha la stessa valenza giuridica del visto di conformità di cui all’art. 35 del D.Lgs. n. 241/1997.</w:t>
      </w:r>
    </w:p>
    <w:p w14:paraId="078D1E48" w14:textId="77777777" w:rsidR="009518AF" w:rsidRPr="00515872" w:rsidRDefault="009518AF" w:rsidP="009518AF">
      <w:pPr>
        <w:spacing w:after="0" w:line="360" w:lineRule="auto"/>
        <w:jc w:val="both"/>
        <w:rPr>
          <w:rFonts w:cs="Tahoma"/>
          <w:b/>
          <w:i/>
          <w:szCs w:val="20"/>
          <w:lang w:eastAsia="it-IT"/>
        </w:rPr>
      </w:pPr>
      <w:r w:rsidRPr="00515872">
        <w:rPr>
          <w:rFonts w:cs="Tahoma"/>
          <w:b/>
          <w:szCs w:val="20"/>
          <w:lang w:eastAsia="it-IT"/>
        </w:rPr>
        <w:t>Fattura elettronica</w:t>
      </w:r>
    </w:p>
    <w:p w14:paraId="4BCF66A1" w14:textId="77777777" w:rsidR="009518AF" w:rsidRPr="00515872" w:rsidRDefault="009518AF" w:rsidP="009518AF">
      <w:pPr>
        <w:spacing w:line="360" w:lineRule="auto"/>
        <w:jc w:val="both"/>
        <w:rPr>
          <w:rFonts w:eastAsia="Times New Roman" w:cs="Tahoma"/>
          <w:szCs w:val="20"/>
          <w:lang w:eastAsia="it-IT"/>
        </w:rPr>
      </w:pPr>
      <w:r w:rsidRPr="00515872">
        <w:rPr>
          <w:rFonts w:cs="Tahoma"/>
          <w:szCs w:val="20"/>
        </w:rPr>
        <w:t>La L. n. 244/2007 ha introdotto l’obbligo di fatturazione elettronica per tutte le operazioni effettuale nei confronti della pubblica amministrazione che, dal 31 marzo 2015, grava su tutti i fornitori, esclusi solo quelli stabiliti all’estero. A tal fine, è stato istituito il Sistema di Interscambio (SDI) quale punto di passaggio obbligato di tutte le fatture dirette alla pubblica amministrazione. A decorrere da tale data, quindi, l</w:t>
      </w:r>
      <w:r w:rsidRPr="00515872">
        <w:rPr>
          <w:rFonts w:eastAsia="Times New Roman" w:cs="Tahoma"/>
          <w:szCs w:val="20"/>
          <w:lang w:eastAsia="it-IT"/>
        </w:rPr>
        <w:t xml:space="preserve">’emissione, la trasmissione, la conservazione e l’archiviazione delle fatture emesse nei rapporti con le amministrazioni </w:t>
      </w:r>
      <w:r w:rsidRPr="00515872">
        <w:rPr>
          <w:rFonts w:eastAsia="Times New Roman" w:cs="Tahoma"/>
          <w:szCs w:val="20"/>
          <w:lang w:eastAsia="it-IT"/>
        </w:rPr>
        <w:lastRenderedPageBreak/>
        <w:t>pubbliche di cui all’art. 1, c. 2, L. n. 196/2009, nonché con le amministrazioni autonome, anche sotto forma di nota, conto, parcella e simili, deve essere effettuata esclusivamente in forma elettronica.</w:t>
      </w:r>
    </w:p>
    <w:p w14:paraId="6EA10A59"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Le amministrazioni identificano i propri uffici deputati in via esclusiva alla ricezione delle fatture elettroniche da parte del Sistema di Interscambio e ne curano l’inserimento nell’Indice delle Pubbliche Amministrazioni (IPA). L’IPA attribuisce un codice univoco a ciascun ufficio della pubblica amministrazione deputato alla ricezione delle fatture elettroniche (da indicare nella fattura) e lo rende pubblico nel sito “www.indicepa.gov.it”.</w:t>
      </w:r>
    </w:p>
    <w:p w14:paraId="3316ECB2"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 xml:space="preserve">A seguito dell’entrata in vigore di tale norma, le amministrazioni e gli enti non possono accettare le fatture emesse o trasmesse in forma cartacea, </w:t>
      </w:r>
      <w:r w:rsidRPr="00515872">
        <w:rPr>
          <w:rFonts w:eastAsia="Times New Roman" w:cs="Tahoma"/>
          <w:b/>
          <w:szCs w:val="20"/>
          <w:lang w:eastAsia="it-IT"/>
        </w:rPr>
        <w:t>né possono procedere ad alcun pagamento, nemmeno parziale, sino all’invio della fattura in formato elettronico</w:t>
      </w:r>
      <w:r w:rsidRPr="00515872">
        <w:rPr>
          <w:rFonts w:eastAsia="Times New Roman" w:cs="Tahoma"/>
          <w:szCs w:val="20"/>
          <w:lang w:eastAsia="it-IT"/>
        </w:rPr>
        <w:t>. Tale aspetto deve essere in particolare oggetto di attenzione da parte dell’organo di revisione, tipicamente in occasione delle verifiche di cassa.</w:t>
      </w:r>
    </w:p>
    <w:p w14:paraId="118345F4" w14:textId="77777777" w:rsidR="00A72892" w:rsidRPr="00515872" w:rsidRDefault="00702C43" w:rsidP="00710E70">
      <w:pPr>
        <w:spacing w:line="360" w:lineRule="auto"/>
        <w:jc w:val="both"/>
        <w:rPr>
          <w:rFonts w:eastAsia="Times New Roman" w:cs="Tahoma"/>
          <w:szCs w:val="20"/>
          <w:lang w:eastAsia="it-IT"/>
        </w:rPr>
      </w:pPr>
      <w:r w:rsidRPr="00515872">
        <w:rPr>
          <w:rFonts w:eastAsia="Times New Roman" w:cs="Tahoma"/>
          <w:szCs w:val="20"/>
          <w:lang w:eastAsia="it-IT"/>
        </w:rPr>
        <w:t>Giova precisare che il divieto in questione prevale sull’esonero dall’emissione della fattura elettronica vigente in caso di adesione del creditore a taluni regini fiscali agevolati.</w:t>
      </w:r>
    </w:p>
    <w:p w14:paraId="741F5A95" w14:textId="77777777" w:rsidR="009518AF" w:rsidRPr="00515872" w:rsidRDefault="009518AF" w:rsidP="00702C43">
      <w:pPr>
        <w:spacing w:after="0" w:line="360" w:lineRule="auto"/>
        <w:rPr>
          <w:rFonts w:cs="Tahoma"/>
          <w:b/>
          <w:i/>
        </w:rPr>
      </w:pPr>
      <w:r w:rsidRPr="00515872">
        <w:rPr>
          <w:rFonts w:cs="Tahoma"/>
          <w:b/>
          <w:i/>
        </w:rPr>
        <w:t>Split payment</w:t>
      </w:r>
    </w:p>
    <w:p w14:paraId="71E30820" w14:textId="77777777" w:rsidR="009518AF" w:rsidRPr="00515872" w:rsidRDefault="00852DAD" w:rsidP="009518AF">
      <w:pPr>
        <w:spacing w:line="360" w:lineRule="auto"/>
        <w:jc w:val="both"/>
        <w:rPr>
          <w:rFonts w:cs="Tahoma"/>
        </w:rPr>
      </w:pPr>
      <w:r w:rsidRPr="00515872">
        <w:rPr>
          <w:rFonts w:cs="Tahoma"/>
        </w:rPr>
        <w:t>A</w:t>
      </w:r>
      <w:r w:rsidR="009518AF" w:rsidRPr="00515872">
        <w:rPr>
          <w:rFonts w:cs="Tahoma"/>
        </w:rPr>
        <w:t>ltra particolarità legata alla fiscalità della pubblica amministrazione, introd</w:t>
      </w:r>
      <w:r w:rsidRPr="00515872">
        <w:rPr>
          <w:rFonts w:cs="Tahoma"/>
        </w:rPr>
        <w:t xml:space="preserve">otta </w:t>
      </w:r>
      <w:r w:rsidR="009518AF" w:rsidRPr="00515872">
        <w:rPr>
          <w:rFonts w:cs="Tahoma"/>
        </w:rPr>
        <w:t xml:space="preserve">nell’ambito di un più complesso sistema di </w:t>
      </w:r>
      <w:r w:rsidR="001F33E2" w:rsidRPr="00515872">
        <w:rPr>
          <w:rFonts w:cs="Tahoma"/>
        </w:rPr>
        <w:t xml:space="preserve">norme finalizzate al </w:t>
      </w:r>
      <w:r w:rsidR="009518AF" w:rsidRPr="00515872">
        <w:rPr>
          <w:rFonts w:cs="Tahoma"/>
        </w:rPr>
        <w:t>contrasto all’evasione fiscal</w:t>
      </w:r>
      <w:r w:rsidRPr="00515872">
        <w:rPr>
          <w:rFonts w:cs="Tahoma"/>
        </w:rPr>
        <w:t>e</w:t>
      </w:r>
      <w:r w:rsidR="009518AF" w:rsidRPr="00515872">
        <w:rPr>
          <w:rFonts w:cs="Tahoma"/>
        </w:rPr>
        <w:t>, è il meccanismo c.d. dello “</w:t>
      </w:r>
      <w:r w:rsidR="009518AF" w:rsidRPr="00515872">
        <w:rPr>
          <w:rFonts w:cs="Tahoma"/>
          <w:i/>
        </w:rPr>
        <w:t>split payment</w:t>
      </w:r>
      <w:r w:rsidR="009518AF" w:rsidRPr="00515872">
        <w:rPr>
          <w:rFonts w:cs="Tahoma"/>
        </w:rPr>
        <w:t>” o “scissione dei pagamenti”.</w:t>
      </w:r>
      <w:r w:rsidR="00C63824" w:rsidRPr="00515872">
        <w:rPr>
          <w:rFonts w:cs="Tahoma"/>
        </w:rPr>
        <w:t xml:space="preserve"> </w:t>
      </w:r>
      <w:r w:rsidR="00C63824" w:rsidRPr="00515872">
        <w:rPr>
          <w:rFonts w:cs="Tahoma"/>
          <w:color w:val="000000"/>
        </w:rPr>
        <w:t xml:space="preserve">L’art. 1, c. 629, lett. b), L. 23 dicembre 2014, n. 190, infatti, ha inserito nel </w:t>
      </w:r>
      <w:r w:rsidR="00C63824" w:rsidRPr="00515872">
        <w:rPr>
          <w:rFonts w:cs="Tahoma"/>
        </w:rPr>
        <w:t>D</w:t>
      </w:r>
      <w:r w:rsidR="001F33E2" w:rsidRPr="00515872">
        <w:rPr>
          <w:rFonts w:cs="Tahoma"/>
        </w:rPr>
        <w:t>.</w:t>
      </w:r>
      <w:r w:rsidR="00C63824" w:rsidRPr="00515872">
        <w:rPr>
          <w:rFonts w:cs="Tahoma"/>
        </w:rPr>
        <w:t>P</w:t>
      </w:r>
      <w:r w:rsidR="001F33E2" w:rsidRPr="00515872">
        <w:rPr>
          <w:rFonts w:cs="Tahoma"/>
        </w:rPr>
        <w:t>.</w:t>
      </w:r>
      <w:r w:rsidR="00C63824" w:rsidRPr="00515872">
        <w:rPr>
          <w:rFonts w:cs="Tahoma"/>
        </w:rPr>
        <w:t>R</w:t>
      </w:r>
      <w:r w:rsidR="001F33E2" w:rsidRPr="00515872">
        <w:rPr>
          <w:rFonts w:cs="Tahoma"/>
        </w:rPr>
        <w:t>.</w:t>
      </w:r>
      <w:r w:rsidR="00C63824" w:rsidRPr="00515872">
        <w:rPr>
          <w:rFonts w:cs="Tahoma"/>
        </w:rPr>
        <w:t xml:space="preserve"> n. 633/1972, </w:t>
      </w:r>
      <w:r w:rsidR="00C63824" w:rsidRPr="00515872">
        <w:rPr>
          <w:rFonts w:cs="Tahoma"/>
          <w:color w:val="000000"/>
        </w:rPr>
        <w:t xml:space="preserve">l’art. 17-ter, che prevede la scissione del pagamento dell’IVA dal pagamento del corrispettivo per le </w:t>
      </w:r>
      <w:r w:rsidR="00C63824" w:rsidRPr="00515872">
        <w:rPr>
          <w:rFonts w:cs="Tahoma"/>
        </w:rPr>
        <w:t>cessioni di beni e le prestazioni di servizi effettuate nei confronti delle amministrazioni pubbliche indicate da tale norma, nello svolgimento di attività per le quali non sono soggetti passivi di IVA.</w:t>
      </w:r>
    </w:p>
    <w:p w14:paraId="2DBBB986" w14:textId="77777777" w:rsidR="009518AF" w:rsidRPr="00515872" w:rsidRDefault="009518AF" w:rsidP="009518AF">
      <w:pPr>
        <w:spacing w:after="0" w:line="360" w:lineRule="auto"/>
        <w:jc w:val="both"/>
        <w:rPr>
          <w:rFonts w:cs="Tahoma"/>
        </w:rPr>
      </w:pPr>
      <w:r w:rsidRPr="00515872">
        <w:rPr>
          <w:rFonts w:cs="Tahoma"/>
        </w:rPr>
        <w:t xml:space="preserve">Con lo </w:t>
      </w:r>
      <w:r w:rsidRPr="00515872">
        <w:rPr>
          <w:rFonts w:cs="Tahoma"/>
          <w:i/>
        </w:rPr>
        <w:t>split payment</w:t>
      </w:r>
      <w:r w:rsidR="00C63824" w:rsidRPr="00515872">
        <w:rPr>
          <w:rFonts w:cs="Tahoma"/>
        </w:rPr>
        <w:t xml:space="preserve"> </w:t>
      </w:r>
      <w:r w:rsidRPr="00515872">
        <w:rPr>
          <w:rFonts w:cs="Tahoma"/>
        </w:rPr>
        <w:t>si effettua uno sdoppiamento del soggetto creditore in relazione alle operazioni soggette ad IVA, a seguito del quale l’ente corrisponde:</w:t>
      </w:r>
    </w:p>
    <w:p w14:paraId="15C913F0" w14:textId="77777777" w:rsidR="009518AF" w:rsidRPr="00515872" w:rsidRDefault="009518AF" w:rsidP="00D65838">
      <w:pPr>
        <w:pStyle w:val="Paragrafoelenco"/>
        <w:numPr>
          <w:ilvl w:val="0"/>
          <w:numId w:val="168"/>
        </w:numPr>
        <w:spacing w:line="360" w:lineRule="auto"/>
        <w:jc w:val="both"/>
        <w:rPr>
          <w:rFonts w:cs="Tahoma"/>
        </w:rPr>
      </w:pPr>
      <w:r w:rsidRPr="00515872">
        <w:rPr>
          <w:rFonts w:cs="Tahoma"/>
        </w:rPr>
        <w:t>al fornitore, il valore della fattura al netto di IVA;</w:t>
      </w:r>
    </w:p>
    <w:p w14:paraId="5E0E91E3" w14:textId="77777777" w:rsidR="009518AF" w:rsidRPr="00515872" w:rsidRDefault="009518AF" w:rsidP="00D65838">
      <w:pPr>
        <w:pStyle w:val="Paragrafoelenco"/>
        <w:numPr>
          <w:ilvl w:val="0"/>
          <w:numId w:val="168"/>
        </w:numPr>
        <w:spacing w:line="360" w:lineRule="auto"/>
        <w:jc w:val="both"/>
        <w:rPr>
          <w:rFonts w:cs="Tahoma"/>
        </w:rPr>
      </w:pPr>
      <w:r w:rsidRPr="00515872">
        <w:rPr>
          <w:rFonts w:cs="Tahoma"/>
        </w:rPr>
        <w:t>all’Erario, l’importo dell’imposta trattenuta al fornitore.</w:t>
      </w:r>
    </w:p>
    <w:p w14:paraId="6FFF980A" w14:textId="77777777" w:rsidR="009518AF" w:rsidRPr="00515872" w:rsidRDefault="009518AF" w:rsidP="009518AF">
      <w:pPr>
        <w:spacing w:line="360" w:lineRule="auto"/>
        <w:jc w:val="both"/>
        <w:rPr>
          <w:rFonts w:cs="Tahoma"/>
          <w:bCs/>
        </w:rPr>
      </w:pPr>
      <w:r w:rsidRPr="00515872">
        <w:rPr>
          <w:rFonts w:cs="Tahoma"/>
        </w:rPr>
        <w:t xml:space="preserve">L’IVA, in queste operazioni, non rappresenta, quindi, un credito del fornitore bensì dell’Erario cui deve essere versata direttamente dall’amministrazione che riceve la fattura. </w:t>
      </w:r>
      <w:r w:rsidRPr="00515872">
        <w:rPr>
          <w:rFonts w:cs="Tahoma"/>
          <w:bCs/>
        </w:rPr>
        <w:t>In questo contesto l’ente opera, pertanto, in veste di sostituto d’imposta ai fini IVA.</w:t>
      </w:r>
    </w:p>
    <w:p w14:paraId="3B78AB06" w14:textId="77777777" w:rsidR="009518AF" w:rsidRPr="00515872" w:rsidRDefault="009518AF" w:rsidP="009518AF">
      <w:pPr>
        <w:spacing w:line="360" w:lineRule="auto"/>
        <w:rPr>
          <w:rFonts w:cs="Tahoma"/>
          <w:bCs/>
          <w:szCs w:val="20"/>
        </w:rPr>
      </w:pPr>
      <w:r w:rsidRPr="00515872">
        <w:rPr>
          <w:rFonts w:eastAsia="Times New Roman" w:cs="Tahoma"/>
          <w:szCs w:val="20"/>
          <w:lang w:eastAsia="it-IT"/>
        </w:rPr>
        <w:t>La disciplina della scissione dei pagamenti persegue la finalità di arginare l’evasione da riscossione dell’IVA.</w:t>
      </w:r>
    </w:p>
    <w:p w14:paraId="1F45D488" w14:textId="77777777" w:rsidR="009518AF" w:rsidRPr="00515872" w:rsidRDefault="009518AF" w:rsidP="009518AF">
      <w:pPr>
        <w:spacing w:line="360" w:lineRule="auto"/>
        <w:jc w:val="both"/>
        <w:rPr>
          <w:rFonts w:cs="Tahoma"/>
          <w:bCs/>
        </w:rPr>
      </w:pPr>
      <w:r w:rsidRPr="00515872">
        <w:rPr>
          <w:rFonts w:cs="Tahoma"/>
          <w:bCs/>
          <w:szCs w:val="20"/>
        </w:rPr>
        <w:t>Dal punto di vista contabile, l’ente, non avendo alcuna discrezionalità e auto</w:t>
      </w:r>
      <w:r w:rsidRPr="00515872">
        <w:rPr>
          <w:rFonts w:cs="Tahoma"/>
          <w:bCs/>
        </w:rPr>
        <w:t>nomia gestionale sull’utilizzo delle somme trattenute a titolo d’imposta, deve gestire le stesse nelle cc.dd. “partite di giro”.</w:t>
      </w:r>
    </w:p>
    <w:p w14:paraId="54F72698"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lastRenderedPageBreak/>
        <w:t>Come precisato nella circolare n. 15/E del 13 aprile 2015 dall’Agenzia delle Entrate, sono esclusi dall’ambito applicativo gli acquisti per i quali l’ente è “</w:t>
      </w:r>
      <w:r w:rsidRPr="00515872">
        <w:rPr>
          <w:rFonts w:cs="Tahoma"/>
          <w:i/>
          <w:color w:val="000000"/>
          <w:szCs w:val="20"/>
        </w:rPr>
        <w:t>debitore d’imposta ai sensi delle disposizioni in materia di imposta sul valore aggiunto</w:t>
      </w:r>
      <w:r w:rsidRPr="00515872">
        <w:rPr>
          <w:rFonts w:cs="Tahoma"/>
          <w:color w:val="000000"/>
          <w:szCs w:val="20"/>
        </w:rPr>
        <w:t>”. Si tratta, in particolare:</w:t>
      </w:r>
    </w:p>
    <w:p w14:paraId="2890701C" w14:textId="77777777" w:rsidR="009518AF" w:rsidRPr="00515872" w:rsidRDefault="009518AF" w:rsidP="00D65838">
      <w:pPr>
        <w:pStyle w:val="Paragrafoelenco"/>
        <w:numPr>
          <w:ilvl w:val="0"/>
          <w:numId w:val="121"/>
        </w:numPr>
        <w:spacing w:line="360" w:lineRule="auto"/>
        <w:jc w:val="both"/>
        <w:rPr>
          <w:rFonts w:cs="Tahoma"/>
          <w:szCs w:val="20"/>
        </w:rPr>
      </w:pPr>
      <w:r w:rsidRPr="00515872">
        <w:rPr>
          <w:rFonts w:cs="Tahoma"/>
          <w:color w:val="000000"/>
          <w:szCs w:val="20"/>
        </w:rPr>
        <w:t>degli acquisti, effettuati nell’esercizio d’impresa, soggetti al meccanismo dell’inversione contabile (beni o servizi acquisiti da fornitori non stabiliti nel territorio dello Stato, prestazioni di subappalto nel settore edile, servizi di pulizia, di installazione di impianti e completamento di edifici, ecc.);</w:t>
      </w:r>
    </w:p>
    <w:p w14:paraId="4829A24F" w14:textId="77777777" w:rsidR="009518AF" w:rsidRPr="00515872" w:rsidRDefault="009518AF" w:rsidP="00D65838">
      <w:pPr>
        <w:pStyle w:val="Paragrafoelenco"/>
        <w:numPr>
          <w:ilvl w:val="0"/>
          <w:numId w:val="121"/>
        </w:numPr>
        <w:spacing w:line="360" w:lineRule="auto"/>
        <w:jc w:val="both"/>
        <w:rPr>
          <w:rFonts w:cs="Tahoma"/>
          <w:szCs w:val="20"/>
        </w:rPr>
      </w:pPr>
      <w:r w:rsidRPr="00515872">
        <w:rPr>
          <w:rFonts w:cs="Tahoma"/>
          <w:color w:val="000000"/>
          <w:szCs w:val="20"/>
        </w:rPr>
        <w:t>gli acquisti, effettuati nell’esercizio di impresa, di rottami di ferro, ai quali si applica il meccanismo</w:t>
      </w:r>
      <w:r w:rsidRPr="00515872">
        <w:rPr>
          <w:rFonts w:cs="Tahoma"/>
          <w:color w:val="000000"/>
          <w:szCs w:val="20"/>
        </w:rPr>
        <w:br/>
        <w:t>dell’inversione contabile ai sensi dell’art. 74, c. 7, del D.P.R. n. 633</w:t>
      </w:r>
      <w:r w:rsidR="001F33E2" w:rsidRPr="00515872">
        <w:rPr>
          <w:rFonts w:cs="Tahoma"/>
          <w:color w:val="000000"/>
          <w:szCs w:val="20"/>
        </w:rPr>
        <w:t>/</w:t>
      </w:r>
      <w:r w:rsidRPr="00515872">
        <w:rPr>
          <w:rFonts w:cs="Tahoma"/>
          <w:color w:val="000000"/>
          <w:szCs w:val="20"/>
        </w:rPr>
        <w:t>1972;</w:t>
      </w:r>
    </w:p>
    <w:p w14:paraId="00449D20" w14:textId="77777777" w:rsidR="009518AF" w:rsidRPr="00515872" w:rsidRDefault="009518AF" w:rsidP="00D65838">
      <w:pPr>
        <w:pStyle w:val="Paragrafoelenco"/>
        <w:numPr>
          <w:ilvl w:val="0"/>
          <w:numId w:val="121"/>
        </w:numPr>
        <w:spacing w:line="360" w:lineRule="auto"/>
        <w:jc w:val="both"/>
        <w:rPr>
          <w:rFonts w:cs="Tahoma"/>
          <w:szCs w:val="20"/>
        </w:rPr>
      </w:pPr>
      <w:r w:rsidRPr="00515872">
        <w:rPr>
          <w:rFonts w:cs="Tahoma"/>
          <w:color w:val="000000"/>
          <w:szCs w:val="20"/>
        </w:rPr>
        <w:t>gli acquisti intra-UE di beni effettuati, oltre la soglia di € 10.000 annui, dall’amministrazione ch</w:t>
      </w:r>
      <w:r w:rsidR="001F33E2" w:rsidRPr="00515872">
        <w:rPr>
          <w:rFonts w:cs="Tahoma"/>
          <w:color w:val="000000"/>
          <w:szCs w:val="20"/>
        </w:rPr>
        <w:t xml:space="preserve">e non sia soggetto passivo </w:t>
      </w:r>
      <w:r w:rsidRPr="00515872">
        <w:rPr>
          <w:rFonts w:cs="Tahoma"/>
          <w:color w:val="000000"/>
          <w:szCs w:val="20"/>
        </w:rPr>
        <w:t>IVA ma che sia identificato agli effetti della stessa imposta, ai sensi degli artt. 47, c. 3, e 49</w:t>
      </w:r>
      <w:r w:rsidR="001F33E2" w:rsidRPr="00515872">
        <w:rPr>
          <w:rFonts w:cs="Tahoma"/>
          <w:color w:val="000000"/>
          <w:szCs w:val="20"/>
        </w:rPr>
        <w:t>,</w:t>
      </w:r>
      <w:r w:rsidRPr="00515872">
        <w:rPr>
          <w:rFonts w:cs="Tahoma"/>
          <w:color w:val="000000"/>
          <w:szCs w:val="20"/>
        </w:rPr>
        <w:t xml:space="preserve"> D.L. n. 331/1993.</w:t>
      </w:r>
    </w:p>
    <w:p w14:paraId="634C81BB" w14:textId="1008A351"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E’</w:t>
      </w:r>
      <w:r w:rsidR="00384748" w:rsidRPr="00515872">
        <w:rPr>
          <w:rFonts w:eastAsia="Times New Roman" w:cs="Tahoma"/>
          <w:szCs w:val="20"/>
          <w:lang w:eastAsia="it-IT"/>
        </w:rPr>
        <w:t xml:space="preserve">, tuttavia, possibile che </w:t>
      </w:r>
      <w:r w:rsidRPr="00515872">
        <w:rPr>
          <w:rFonts w:eastAsia="Times New Roman" w:cs="Tahoma"/>
          <w:szCs w:val="20"/>
          <w:lang w:eastAsia="it-IT"/>
        </w:rPr>
        <w:t xml:space="preserve">beni e servizi </w:t>
      </w:r>
      <w:r w:rsidR="00384748" w:rsidRPr="00515872">
        <w:rPr>
          <w:rFonts w:eastAsia="Times New Roman" w:cs="Tahoma"/>
          <w:szCs w:val="20"/>
          <w:lang w:eastAsia="it-IT"/>
        </w:rPr>
        <w:t xml:space="preserve">acquistati </w:t>
      </w:r>
      <w:r w:rsidRPr="00515872">
        <w:rPr>
          <w:rFonts w:eastAsia="Times New Roman" w:cs="Tahoma"/>
          <w:szCs w:val="20"/>
          <w:lang w:eastAsia="it-IT"/>
        </w:rPr>
        <w:t xml:space="preserve">siano destinati dalla pubbliche amministrazioni in parte alla sfera commerciale e in parte alla sfera istituzionale non commerciale, per la cui attività l’amministrazione acquirente non riveste quindi la qualifica di soggetto passivo IVA. </w:t>
      </w:r>
      <w:r w:rsidR="001E548F" w:rsidRPr="00515872">
        <w:rPr>
          <w:rFonts w:eastAsia="Times New Roman" w:cs="Tahoma"/>
          <w:szCs w:val="20"/>
          <w:lang w:eastAsia="it-IT"/>
        </w:rPr>
        <w:t>È</w:t>
      </w:r>
      <w:r w:rsidRPr="00515872">
        <w:rPr>
          <w:rFonts w:eastAsia="Times New Roman" w:cs="Tahoma"/>
          <w:szCs w:val="20"/>
          <w:lang w:eastAsia="it-IT"/>
        </w:rPr>
        <w:t xml:space="preserve"> il caso, ad esempio, delle prestazioni di servizi di pulizia relativi ad edifici, di cui all’a</w:t>
      </w:r>
      <w:r w:rsidR="001F33E2" w:rsidRPr="00515872">
        <w:rPr>
          <w:rFonts w:eastAsia="Times New Roman" w:cs="Tahoma"/>
          <w:szCs w:val="20"/>
          <w:lang w:eastAsia="it-IT"/>
        </w:rPr>
        <w:t xml:space="preserve">rt. 17, c. 6, lett. a-ter), </w:t>
      </w:r>
      <w:r w:rsidRPr="00515872">
        <w:rPr>
          <w:rFonts w:eastAsia="Times New Roman" w:cs="Tahoma"/>
          <w:szCs w:val="20"/>
          <w:lang w:eastAsia="it-IT"/>
        </w:rPr>
        <w:t xml:space="preserve">D.P.R. n. 633/1972, che potrebbero riguardare parte dell’edificio destinata all’attività commerciale e parte all’attività istituzionale. In tali casi, la pubblica amministrazione dovrà comunicare al fornitore la quota parte del bene o servizio acquistato da destinare alla sfera commerciale, determinata con criteri oggettivi, in relazione alla quale è applicabile il meccanismo del </w:t>
      </w:r>
      <w:r w:rsidRPr="00515872">
        <w:rPr>
          <w:rFonts w:eastAsia="Times New Roman" w:cs="Tahoma"/>
          <w:i/>
          <w:szCs w:val="20"/>
          <w:lang w:eastAsia="it-IT"/>
        </w:rPr>
        <w:t>reverse charge</w:t>
      </w:r>
      <w:r w:rsidRPr="00515872">
        <w:rPr>
          <w:rFonts w:eastAsia="Times New Roman" w:cs="Tahoma"/>
          <w:szCs w:val="20"/>
          <w:lang w:eastAsia="it-IT"/>
        </w:rPr>
        <w:t>.</w:t>
      </w:r>
    </w:p>
    <w:p w14:paraId="0919CA1D" w14:textId="77777777" w:rsidR="009518AF" w:rsidRPr="00515872" w:rsidRDefault="009518AF" w:rsidP="009518AF">
      <w:pPr>
        <w:spacing w:after="0" w:line="360" w:lineRule="auto"/>
        <w:jc w:val="both"/>
        <w:rPr>
          <w:rFonts w:cs="Tahoma"/>
          <w:color w:val="000000"/>
          <w:szCs w:val="20"/>
        </w:rPr>
      </w:pPr>
      <w:r w:rsidRPr="00515872">
        <w:rPr>
          <w:rFonts w:cs="Tahoma"/>
          <w:color w:val="000000"/>
          <w:szCs w:val="20"/>
        </w:rPr>
        <w:t xml:space="preserve">Infine, lo </w:t>
      </w:r>
      <w:r w:rsidRPr="00515872">
        <w:rPr>
          <w:rFonts w:cs="Tahoma"/>
          <w:i/>
          <w:color w:val="000000"/>
          <w:szCs w:val="20"/>
        </w:rPr>
        <w:t xml:space="preserve">split payment </w:t>
      </w:r>
      <w:r w:rsidRPr="00515872">
        <w:rPr>
          <w:rFonts w:cs="Tahoma"/>
          <w:color w:val="000000"/>
          <w:szCs w:val="20"/>
        </w:rPr>
        <w:t>non si applica:</w:t>
      </w:r>
    </w:p>
    <w:p w14:paraId="3D6B80F8" w14:textId="77777777" w:rsidR="009518AF" w:rsidRPr="00515872" w:rsidRDefault="009518AF" w:rsidP="00D65838">
      <w:pPr>
        <w:pStyle w:val="Paragrafoelenco"/>
        <w:numPr>
          <w:ilvl w:val="0"/>
          <w:numId w:val="122"/>
        </w:numPr>
        <w:spacing w:line="360" w:lineRule="auto"/>
        <w:jc w:val="both"/>
        <w:rPr>
          <w:rFonts w:cs="Tahoma"/>
          <w:szCs w:val="20"/>
        </w:rPr>
      </w:pPr>
      <w:r w:rsidRPr="00515872">
        <w:rPr>
          <w:rFonts w:cs="Tahoma"/>
          <w:color w:val="000000"/>
          <w:szCs w:val="20"/>
        </w:rPr>
        <w:t>alle operazioni certificate dal fornitore mediante rilascio della ricevuta/scontrino fiscale e alle operazioni certificate mediante fattura semplificata;</w:t>
      </w:r>
    </w:p>
    <w:p w14:paraId="603F7A0A" w14:textId="77777777" w:rsidR="009518AF" w:rsidRPr="00515872" w:rsidRDefault="009518AF" w:rsidP="00D65838">
      <w:pPr>
        <w:pStyle w:val="Paragrafoelenco"/>
        <w:numPr>
          <w:ilvl w:val="0"/>
          <w:numId w:val="122"/>
        </w:numPr>
        <w:spacing w:line="360" w:lineRule="auto"/>
        <w:jc w:val="both"/>
        <w:rPr>
          <w:rFonts w:cs="Tahoma"/>
          <w:szCs w:val="20"/>
        </w:rPr>
      </w:pPr>
      <w:r w:rsidRPr="00515872">
        <w:rPr>
          <w:rFonts w:cs="Tahoma"/>
          <w:color w:val="000000"/>
          <w:szCs w:val="20"/>
        </w:rPr>
        <w:t>alle operazioni assoggettate, ai fini IVA, a regimi c.d. “speciali” che non prevedono l’evidenza dell’imposta in fattura e che ne dispongono l’assolvimento secondo regole proprie.</w:t>
      </w:r>
    </w:p>
    <w:p w14:paraId="7E39CA90" w14:textId="77777777" w:rsidR="009518AF" w:rsidRPr="00515872" w:rsidRDefault="009518AF" w:rsidP="0041314E">
      <w:pPr>
        <w:spacing w:after="0" w:line="360" w:lineRule="auto"/>
        <w:jc w:val="both"/>
        <w:rPr>
          <w:rFonts w:cs="Tahoma"/>
          <w:color w:val="000000"/>
        </w:rPr>
      </w:pPr>
      <w:r w:rsidRPr="00515872">
        <w:rPr>
          <w:rFonts w:cs="Tahoma"/>
        </w:rPr>
        <w:t>Originariamente, inoltre, e fino al 30 giugno 2017, erano esclusi dalle disposizioni in esame i compensi per prestazioni di servizi assoggettati a ritenute alla fonte a titolo di imposta sul reddito (</w:t>
      </w:r>
      <w:r w:rsidRPr="00515872">
        <w:rPr>
          <w:rFonts w:cs="Tahoma"/>
          <w:bCs/>
        </w:rPr>
        <w:t>da intendersi, le prestazioni soggette a ritenuta di acconto, come chiarito dall’Agenzia delle Entrate</w:t>
      </w:r>
      <w:r w:rsidRPr="00515872">
        <w:rPr>
          <w:rFonts w:cs="Tahoma"/>
        </w:rPr>
        <w:t xml:space="preserve">). </w:t>
      </w:r>
      <w:r w:rsidRPr="00515872">
        <w:rPr>
          <w:rFonts w:cs="Tahoma"/>
          <w:color w:val="000000"/>
        </w:rPr>
        <w:t>Con l’abrogazione del c. 2, dell’art. 17-ter</w:t>
      </w:r>
      <w:r w:rsidR="001F33E2" w:rsidRPr="00515872">
        <w:rPr>
          <w:rFonts w:cs="Tahoma"/>
          <w:color w:val="000000"/>
        </w:rPr>
        <w:t>,</w:t>
      </w:r>
      <w:r w:rsidRPr="00515872">
        <w:rPr>
          <w:rFonts w:cs="Tahoma"/>
          <w:color w:val="000000"/>
        </w:rPr>
        <w:t xml:space="preserve"> D.P.R. n. 633/1972, dal punto di vista dei fornitori di prestazioni verso le pubbliche amministrazioni si estende lo “</w:t>
      </w:r>
      <w:r w:rsidRPr="00515872">
        <w:rPr>
          <w:rFonts w:cs="Tahoma"/>
          <w:i/>
          <w:iCs/>
          <w:color w:val="000000"/>
        </w:rPr>
        <w:t>split payment</w:t>
      </w:r>
      <w:r w:rsidRPr="00515872">
        <w:rPr>
          <w:rFonts w:cs="Tahoma"/>
          <w:color w:val="000000"/>
        </w:rPr>
        <w:t xml:space="preserve">” anche ai lavoratori autonomi i cui compensi sono assoggettati a </w:t>
      </w:r>
      <w:r w:rsidR="001F33E2" w:rsidRPr="00515872">
        <w:rPr>
          <w:rFonts w:cs="Tahoma"/>
          <w:color w:val="000000"/>
        </w:rPr>
        <w:t xml:space="preserve">dette </w:t>
      </w:r>
      <w:r w:rsidRPr="00515872">
        <w:rPr>
          <w:rFonts w:cs="Tahoma"/>
          <w:color w:val="000000"/>
        </w:rPr>
        <w:t>ritenute alla fonte. I liberi professionisti che fatturano alle pubbliche amministrazioni sono quindi ora soggetti ad una duplice ritenuta:</w:t>
      </w:r>
    </w:p>
    <w:p w14:paraId="0A1CFCF6" w14:textId="77777777" w:rsidR="009518AF" w:rsidRPr="00515872" w:rsidRDefault="009518AF" w:rsidP="00D65838">
      <w:pPr>
        <w:pStyle w:val="Paragrafoelenco"/>
        <w:numPr>
          <w:ilvl w:val="0"/>
          <w:numId w:val="202"/>
        </w:numPr>
        <w:spacing w:after="0" w:line="360" w:lineRule="auto"/>
        <w:ind w:left="426" w:hanging="357"/>
        <w:jc w:val="both"/>
        <w:rPr>
          <w:rFonts w:cs="Tahoma"/>
          <w:color w:val="000000"/>
        </w:rPr>
      </w:pPr>
      <w:r w:rsidRPr="00515872">
        <w:rPr>
          <w:rFonts w:cs="Tahoma"/>
          <w:color w:val="000000"/>
        </w:rPr>
        <w:t>la ritenuta d’acconto sulle imposte sui redditi;</w:t>
      </w:r>
    </w:p>
    <w:p w14:paraId="15212C95" w14:textId="77777777" w:rsidR="009518AF" w:rsidRPr="00515872" w:rsidRDefault="009518AF" w:rsidP="00D65838">
      <w:pPr>
        <w:pStyle w:val="Paragrafoelenco"/>
        <w:numPr>
          <w:ilvl w:val="0"/>
          <w:numId w:val="202"/>
        </w:numPr>
        <w:spacing w:line="360" w:lineRule="auto"/>
        <w:ind w:left="426"/>
        <w:jc w:val="both"/>
        <w:rPr>
          <w:rFonts w:cs="Tahoma"/>
          <w:color w:val="000000"/>
        </w:rPr>
      </w:pPr>
      <w:r w:rsidRPr="00515872">
        <w:rPr>
          <w:rFonts w:cs="Tahoma"/>
          <w:color w:val="000000"/>
        </w:rPr>
        <w:t xml:space="preserve">la ritenuta per </w:t>
      </w:r>
      <w:r w:rsidRPr="00515872">
        <w:rPr>
          <w:rFonts w:cs="Tahoma"/>
          <w:i/>
          <w:color w:val="000000"/>
        </w:rPr>
        <w:t>split payment</w:t>
      </w:r>
      <w:r w:rsidRPr="00515872">
        <w:rPr>
          <w:rFonts w:cs="Tahoma"/>
          <w:color w:val="000000"/>
        </w:rPr>
        <w:t>.</w:t>
      </w:r>
    </w:p>
    <w:p w14:paraId="34B800FC" w14:textId="77777777" w:rsidR="009518AF" w:rsidRPr="00515872" w:rsidRDefault="009518AF" w:rsidP="00FB27D2">
      <w:pPr>
        <w:spacing w:after="0" w:line="360" w:lineRule="auto"/>
        <w:jc w:val="both"/>
        <w:rPr>
          <w:rFonts w:cs="Tahoma"/>
          <w:color w:val="000000"/>
        </w:rPr>
      </w:pPr>
      <w:r w:rsidRPr="00515872">
        <w:rPr>
          <w:rFonts w:cs="Tahoma"/>
        </w:rPr>
        <w:lastRenderedPageBreak/>
        <w:t xml:space="preserve">A decorrere dal 1° luglio 2017 il meccanismo in parola è stato esteso ad ulteriori fattispecie. </w:t>
      </w:r>
      <w:r w:rsidR="001A50B3" w:rsidRPr="00515872">
        <w:rPr>
          <w:rFonts w:cs="Tahoma"/>
          <w:color w:val="000000"/>
        </w:rPr>
        <w:t xml:space="preserve">Come specificato </w:t>
      </w:r>
      <w:r w:rsidRPr="00515872">
        <w:rPr>
          <w:rFonts w:cs="Tahoma"/>
          <w:color w:val="000000"/>
        </w:rPr>
        <w:t>nel</w:t>
      </w:r>
      <w:r w:rsidR="001A50B3" w:rsidRPr="00515872">
        <w:rPr>
          <w:rFonts w:cs="Tahoma"/>
          <w:color w:val="000000"/>
        </w:rPr>
        <w:t xml:space="preserve">l’art. 1, </w:t>
      </w:r>
      <w:r w:rsidRPr="00515872">
        <w:rPr>
          <w:rFonts w:cs="Tahoma"/>
          <w:color w:val="000000"/>
        </w:rPr>
        <w:t>D.L. 24 aprile 2017, n. 50, lo “</w:t>
      </w:r>
      <w:r w:rsidRPr="00515872">
        <w:rPr>
          <w:rFonts w:cs="Tahoma"/>
          <w:i/>
          <w:iCs/>
          <w:color w:val="000000"/>
        </w:rPr>
        <w:t>split payment</w:t>
      </w:r>
      <w:r w:rsidRPr="00515872">
        <w:rPr>
          <w:rFonts w:cs="Tahoma"/>
          <w:color w:val="000000"/>
        </w:rPr>
        <w:t>” è esteso alle operazioni effettuate nei confronti:</w:t>
      </w:r>
    </w:p>
    <w:p w14:paraId="120A8783" w14:textId="77777777" w:rsidR="009518AF" w:rsidRPr="00515872" w:rsidRDefault="009518AF" w:rsidP="00D65838">
      <w:pPr>
        <w:pStyle w:val="Paragrafoelenco"/>
        <w:numPr>
          <w:ilvl w:val="0"/>
          <w:numId w:val="177"/>
        </w:numPr>
        <w:spacing w:line="360" w:lineRule="auto"/>
        <w:ind w:left="426"/>
        <w:jc w:val="both"/>
        <w:rPr>
          <w:rFonts w:cs="Tahoma"/>
        </w:rPr>
      </w:pPr>
      <w:r w:rsidRPr="00515872">
        <w:rPr>
          <w:rFonts w:cs="Tahoma"/>
          <w:color w:val="000000"/>
        </w:rPr>
        <w:t>di tutte le pubbliche amministrazioni inserite nel conto economico consolidato, individuate ai</w:t>
      </w:r>
      <w:r w:rsidR="001F33E2" w:rsidRPr="00515872">
        <w:rPr>
          <w:rFonts w:cs="Tahoma"/>
          <w:color w:val="000000"/>
        </w:rPr>
        <w:t xml:space="preserve"> sensi dell’art. 1, c. 2, </w:t>
      </w:r>
      <w:r w:rsidRPr="00515872">
        <w:rPr>
          <w:rFonts w:cs="Tahoma"/>
          <w:color w:val="000000"/>
        </w:rPr>
        <w:t>L. n. 196/09;</w:t>
      </w:r>
    </w:p>
    <w:p w14:paraId="38FD5667" w14:textId="77777777" w:rsidR="009518AF" w:rsidRPr="00515872" w:rsidRDefault="009518AF" w:rsidP="00D65838">
      <w:pPr>
        <w:pStyle w:val="Paragrafoelenco"/>
        <w:numPr>
          <w:ilvl w:val="0"/>
          <w:numId w:val="177"/>
        </w:numPr>
        <w:spacing w:line="360" w:lineRule="auto"/>
        <w:ind w:left="426"/>
        <w:jc w:val="both"/>
        <w:rPr>
          <w:rFonts w:cs="Tahoma"/>
        </w:rPr>
      </w:pPr>
      <w:r w:rsidRPr="00515872">
        <w:rPr>
          <w:rFonts w:cs="Tahoma"/>
          <w:color w:val="000000"/>
        </w:rPr>
        <w:t>delle società controllate, ai sensi dell’art. 2359, c. 1, nn. 1) e 2), del Codice Civile, direttamente dalla Presidenza del Consiglio dei Ministri e dai Ministeri;</w:t>
      </w:r>
    </w:p>
    <w:p w14:paraId="69E86E87" w14:textId="77777777" w:rsidR="009518AF" w:rsidRPr="00515872" w:rsidRDefault="009518AF" w:rsidP="00D65838">
      <w:pPr>
        <w:pStyle w:val="Paragrafoelenco"/>
        <w:numPr>
          <w:ilvl w:val="0"/>
          <w:numId w:val="177"/>
        </w:numPr>
        <w:spacing w:line="360" w:lineRule="auto"/>
        <w:ind w:left="426"/>
        <w:jc w:val="both"/>
        <w:rPr>
          <w:rFonts w:cs="Tahoma"/>
        </w:rPr>
      </w:pPr>
      <w:r w:rsidRPr="00515872">
        <w:rPr>
          <w:rFonts w:cs="Tahoma"/>
          <w:color w:val="000000"/>
        </w:rPr>
        <w:t>delle società controllate, ai sensi dell’art. 2359, c. 1, n. 1), del Codice Civile, direttamente dalle Regioni, Province, Città metropolitane, Comuni, Unioni di Comuni;</w:t>
      </w:r>
    </w:p>
    <w:p w14:paraId="14E52B54" w14:textId="77777777" w:rsidR="009518AF" w:rsidRPr="00515872" w:rsidRDefault="009518AF" w:rsidP="00D65838">
      <w:pPr>
        <w:pStyle w:val="Paragrafoelenco"/>
        <w:numPr>
          <w:ilvl w:val="0"/>
          <w:numId w:val="177"/>
        </w:numPr>
        <w:spacing w:line="360" w:lineRule="auto"/>
        <w:ind w:left="426"/>
        <w:jc w:val="both"/>
        <w:rPr>
          <w:rFonts w:cs="Tahoma"/>
        </w:rPr>
      </w:pPr>
      <w:r w:rsidRPr="00515872">
        <w:rPr>
          <w:rFonts w:cs="Tahoma"/>
          <w:color w:val="000000"/>
        </w:rPr>
        <w:t>delle società controllate direttamente o indirettamente, ai sensi dell’art. 2359, c. 1, n. 1), del Codice Civile, dalle società di cui sopra;</w:t>
      </w:r>
    </w:p>
    <w:p w14:paraId="36BBF9C7" w14:textId="77777777" w:rsidR="009518AF" w:rsidRPr="00515872" w:rsidRDefault="009518AF" w:rsidP="00D65838">
      <w:pPr>
        <w:pStyle w:val="Paragrafoelenco"/>
        <w:numPr>
          <w:ilvl w:val="0"/>
          <w:numId w:val="177"/>
        </w:numPr>
        <w:spacing w:line="360" w:lineRule="auto"/>
        <w:ind w:left="426"/>
        <w:jc w:val="both"/>
        <w:rPr>
          <w:rFonts w:cs="Tahoma"/>
        </w:rPr>
      </w:pPr>
      <w:r w:rsidRPr="00515872">
        <w:rPr>
          <w:rFonts w:cs="Tahoma"/>
          <w:color w:val="000000"/>
        </w:rPr>
        <w:t>delle società quotate inserite nell’indice FTSE MIB della Borsa italiana.</w:t>
      </w:r>
    </w:p>
    <w:p w14:paraId="646A0CF9" w14:textId="77777777" w:rsidR="009518AF" w:rsidRPr="00515872" w:rsidRDefault="009518AF" w:rsidP="00FB27D2">
      <w:pPr>
        <w:spacing w:after="0" w:line="360" w:lineRule="auto"/>
        <w:jc w:val="both"/>
        <w:rPr>
          <w:rFonts w:cs="Tahoma"/>
          <w:color w:val="000000"/>
          <w:szCs w:val="20"/>
        </w:rPr>
      </w:pPr>
      <w:r w:rsidRPr="00515872">
        <w:rPr>
          <w:rFonts w:cs="Tahoma"/>
          <w:color w:val="000000"/>
          <w:szCs w:val="20"/>
        </w:rPr>
        <w:t>Il D.L. n. 148</w:t>
      </w:r>
      <w:r w:rsidR="00881269" w:rsidRPr="00515872">
        <w:rPr>
          <w:rFonts w:cs="Tahoma"/>
          <w:color w:val="000000"/>
          <w:szCs w:val="20"/>
        </w:rPr>
        <w:t>/</w:t>
      </w:r>
      <w:r w:rsidRPr="00515872">
        <w:rPr>
          <w:rFonts w:cs="Tahoma"/>
          <w:color w:val="000000"/>
          <w:szCs w:val="20"/>
        </w:rPr>
        <w:t xml:space="preserve">2017 modifica ulteriormente le regole di applicazione dello </w:t>
      </w:r>
      <w:r w:rsidRPr="00515872">
        <w:rPr>
          <w:rFonts w:cs="Tahoma"/>
          <w:i/>
          <w:color w:val="000000"/>
          <w:szCs w:val="20"/>
        </w:rPr>
        <w:t>split payment</w:t>
      </w:r>
      <w:r w:rsidRPr="00515872">
        <w:rPr>
          <w:rFonts w:cs="Tahoma"/>
          <w:color w:val="000000"/>
          <w:szCs w:val="20"/>
        </w:rPr>
        <w:t xml:space="preserve"> estendendolo a:</w:t>
      </w:r>
    </w:p>
    <w:p w14:paraId="5380A9D0" w14:textId="77777777" w:rsidR="009518AF" w:rsidRPr="00515872" w:rsidRDefault="009518AF" w:rsidP="00D65838">
      <w:pPr>
        <w:pStyle w:val="Paragrafoelenco"/>
        <w:numPr>
          <w:ilvl w:val="0"/>
          <w:numId w:val="190"/>
        </w:numPr>
        <w:spacing w:line="360" w:lineRule="auto"/>
        <w:ind w:left="426"/>
        <w:jc w:val="both"/>
        <w:rPr>
          <w:rFonts w:eastAsia="Times New Roman" w:cs="Tahoma"/>
          <w:szCs w:val="20"/>
          <w:lang w:eastAsia="it-IT"/>
        </w:rPr>
      </w:pPr>
      <w:r w:rsidRPr="00515872">
        <w:rPr>
          <w:rFonts w:eastAsia="Times New Roman" w:cs="Tahoma"/>
          <w:szCs w:val="20"/>
          <w:lang w:eastAsia="it-IT"/>
        </w:rPr>
        <w:t>enti pubblici economici nazionali, regionali e locali, comprese le aziende speciali e le aziende pubbliche di servizi alla persona;</w:t>
      </w:r>
    </w:p>
    <w:p w14:paraId="09FF65FC" w14:textId="77777777" w:rsidR="009518AF" w:rsidRPr="00515872" w:rsidRDefault="009518AF" w:rsidP="00D65838">
      <w:pPr>
        <w:pStyle w:val="Paragrafoelenco"/>
        <w:numPr>
          <w:ilvl w:val="0"/>
          <w:numId w:val="190"/>
        </w:numPr>
        <w:spacing w:line="360" w:lineRule="auto"/>
        <w:ind w:left="426"/>
        <w:jc w:val="both"/>
        <w:rPr>
          <w:rFonts w:eastAsia="Times New Roman" w:cs="Tahoma"/>
          <w:szCs w:val="20"/>
          <w:lang w:eastAsia="it-IT"/>
        </w:rPr>
      </w:pPr>
      <w:r w:rsidRPr="00515872">
        <w:rPr>
          <w:rFonts w:eastAsia="Times New Roman" w:cs="Tahoma"/>
          <w:szCs w:val="20"/>
          <w:lang w:eastAsia="it-IT"/>
        </w:rPr>
        <w:t>fondazioni partecipate da amministr</w:t>
      </w:r>
      <w:r w:rsidR="002E1704" w:rsidRPr="00515872">
        <w:rPr>
          <w:rFonts w:eastAsia="Times New Roman" w:cs="Tahoma"/>
          <w:szCs w:val="20"/>
          <w:lang w:eastAsia="it-IT"/>
        </w:rPr>
        <w:t xml:space="preserve">azioni pubbliche </w:t>
      </w:r>
      <w:r w:rsidRPr="00515872">
        <w:rPr>
          <w:rFonts w:eastAsia="Times New Roman" w:cs="Tahoma"/>
          <w:szCs w:val="20"/>
          <w:lang w:eastAsia="it-IT"/>
        </w:rPr>
        <w:t>per una percentuale complessiva del fondo di dotazione non inferiore al 70%.</w:t>
      </w:r>
    </w:p>
    <w:p w14:paraId="25F82AB9" w14:textId="77777777" w:rsidR="009518AF" w:rsidRPr="00515872" w:rsidRDefault="009518AF" w:rsidP="009518AF">
      <w:pPr>
        <w:spacing w:line="360" w:lineRule="auto"/>
        <w:jc w:val="both"/>
        <w:rPr>
          <w:rFonts w:cs="Tahoma"/>
          <w:bCs/>
        </w:rPr>
      </w:pPr>
      <w:r w:rsidRPr="00515872">
        <w:rPr>
          <w:rFonts w:cs="Tahoma"/>
        </w:rPr>
        <w:t xml:space="preserve">Al lato pratico, le fatture per prestazioni ricadenti nel regime in esame devono comunque esporre l'importo dell’imposta, con l'annotazione </w:t>
      </w:r>
      <w:r w:rsidRPr="00515872">
        <w:rPr>
          <w:rFonts w:cs="Tahoma"/>
          <w:bCs/>
        </w:rPr>
        <w:t>“scissione dei pagamenti”.</w:t>
      </w:r>
    </w:p>
    <w:p w14:paraId="3C8BBB32" w14:textId="77777777" w:rsidR="009518AF" w:rsidRPr="00515872" w:rsidRDefault="009518AF" w:rsidP="009518AF">
      <w:pPr>
        <w:spacing w:after="0" w:line="360" w:lineRule="auto"/>
        <w:jc w:val="both"/>
        <w:rPr>
          <w:rFonts w:cs="Tahoma"/>
          <w:bCs/>
        </w:rPr>
      </w:pPr>
      <w:r w:rsidRPr="00515872">
        <w:rPr>
          <w:rFonts w:cs="Tahoma"/>
          <w:bCs/>
        </w:rPr>
        <w:t>Per quanto attiene i versamenti dell’imposta, l’ente deve comportarsi diversamente a seconda che la fattura ricevuta riguardi acquisti effettuati nell’ambito dell’attività istituzionale o commerciale. Le modalità di liquidazione e versamento sono disciplinate nel D.M. Economia e Finanze 23 gennaio 2015. Nel primo caso, a norma dell’art. 4 del D.M.</w:t>
      </w:r>
      <w:r w:rsidR="00881269" w:rsidRPr="00515872">
        <w:rPr>
          <w:rFonts w:cs="Tahoma"/>
          <w:bCs/>
        </w:rPr>
        <w:t xml:space="preserve"> </w:t>
      </w:r>
      <w:r w:rsidR="00881269" w:rsidRPr="00515872">
        <w:rPr>
          <w:rFonts w:cs="Tahoma"/>
          <w:bCs/>
          <w:i/>
        </w:rPr>
        <w:t>de quo</w:t>
      </w:r>
      <w:r w:rsidRPr="00515872">
        <w:rPr>
          <w:rFonts w:cs="Tahoma"/>
          <w:bCs/>
        </w:rPr>
        <w:t>, l’ente ha la possibilità di scegliere tra le seguenti modalità:</w:t>
      </w:r>
    </w:p>
    <w:p w14:paraId="57994BA6" w14:textId="77777777" w:rsidR="009518AF" w:rsidRPr="00515872" w:rsidRDefault="009518AF" w:rsidP="00D65838">
      <w:pPr>
        <w:pStyle w:val="Paragrafoelenco"/>
        <w:numPr>
          <w:ilvl w:val="0"/>
          <w:numId w:val="63"/>
        </w:numPr>
        <w:spacing w:line="360" w:lineRule="auto"/>
        <w:jc w:val="both"/>
        <w:rPr>
          <w:rFonts w:cs="Tahoma"/>
          <w:bCs/>
        </w:rPr>
      </w:pPr>
      <w:r w:rsidRPr="00515872">
        <w:rPr>
          <w:rFonts w:cs="Tahoma"/>
          <w:bCs/>
        </w:rPr>
        <w:t>distinto versamento dell’IVA dovuta per ciascuna fattura la cui imposta è divenuta esigibile;</w:t>
      </w:r>
    </w:p>
    <w:p w14:paraId="2EF7FB05" w14:textId="77777777" w:rsidR="009518AF" w:rsidRPr="00515872" w:rsidRDefault="009518AF" w:rsidP="00D65838">
      <w:pPr>
        <w:pStyle w:val="Paragrafoelenco"/>
        <w:numPr>
          <w:ilvl w:val="0"/>
          <w:numId w:val="63"/>
        </w:numPr>
        <w:spacing w:line="360" w:lineRule="auto"/>
        <w:jc w:val="both"/>
        <w:rPr>
          <w:rFonts w:cs="Tahoma"/>
          <w:bCs/>
        </w:rPr>
      </w:pPr>
      <w:r w:rsidRPr="00515872">
        <w:rPr>
          <w:rFonts w:cs="Tahoma"/>
          <w:bCs/>
        </w:rPr>
        <w:t>effettuare, in ciascun giorno del mese, un distinto versamento dell’IVA dovuta considerando tutte le fatture per le quali l’imposta è divenuta esigibile in tale giorno;</w:t>
      </w:r>
    </w:p>
    <w:p w14:paraId="7A65AEE0" w14:textId="77777777" w:rsidR="009518AF" w:rsidRPr="00515872" w:rsidRDefault="009518AF" w:rsidP="00D65838">
      <w:pPr>
        <w:pStyle w:val="Paragrafoelenco"/>
        <w:numPr>
          <w:ilvl w:val="0"/>
          <w:numId w:val="63"/>
        </w:numPr>
        <w:spacing w:line="360" w:lineRule="auto"/>
        <w:jc w:val="both"/>
        <w:rPr>
          <w:rFonts w:cs="Tahoma"/>
          <w:bCs/>
        </w:rPr>
      </w:pPr>
      <w:r w:rsidRPr="00515872">
        <w:rPr>
          <w:rFonts w:cs="Tahoma"/>
          <w:bCs/>
        </w:rPr>
        <w:t>effettuare, entro il giorno 16 di ciascun mese, un versamento cumulativo dell’IVA dovuta considerando tutte le fatture per le quali l’imposta è divenuta esigibile nel mese precedente.</w:t>
      </w:r>
    </w:p>
    <w:p w14:paraId="29F2D331" w14:textId="77777777" w:rsidR="009518AF" w:rsidRPr="00515872" w:rsidRDefault="009518AF" w:rsidP="009518AF">
      <w:pPr>
        <w:spacing w:line="360" w:lineRule="auto"/>
        <w:jc w:val="both"/>
        <w:rPr>
          <w:rFonts w:cs="Tahoma"/>
        </w:rPr>
      </w:pPr>
      <w:r w:rsidRPr="00515872">
        <w:rPr>
          <w:rFonts w:cs="Tahoma"/>
        </w:rPr>
        <w:t>Nel caso in cui l’acquisto rientri nell’ambito dell’attività commerciale, l’art. 5 dello stesso D.M. stabilisce che l’imposta partecipi alla liquidazione periodica del mese o trimestre dell’esigibilità.</w:t>
      </w:r>
    </w:p>
    <w:p w14:paraId="639CD68A" w14:textId="77777777" w:rsidR="009518AF" w:rsidRPr="00515872" w:rsidRDefault="009518AF" w:rsidP="009518AF">
      <w:pPr>
        <w:spacing w:line="360" w:lineRule="auto"/>
        <w:jc w:val="both"/>
        <w:rPr>
          <w:rFonts w:cs="Tahoma"/>
        </w:rPr>
      </w:pPr>
      <w:r w:rsidRPr="00515872">
        <w:rPr>
          <w:rFonts w:cs="Tahoma"/>
        </w:rPr>
        <w:t xml:space="preserve">I revisori dei conti sono chiamati, nell’ambito dei più generali controlli sugli adempimenti fiscali dell’ente, a vigilare sulla corretta applicazione del meccanismo e sull’esecuzione dei versamenti dell'imposta. Il </w:t>
      </w:r>
      <w:r w:rsidR="00D01D38" w:rsidRPr="00515872">
        <w:rPr>
          <w:rFonts w:cs="Tahoma"/>
        </w:rPr>
        <w:t xml:space="preserve">citato </w:t>
      </w:r>
      <w:r w:rsidRPr="00515872">
        <w:rPr>
          <w:rFonts w:cs="Tahoma"/>
        </w:rPr>
        <w:t>D.M. 23 gennaio 2015</w:t>
      </w:r>
      <w:r w:rsidR="00D01D38" w:rsidRPr="00515872">
        <w:rPr>
          <w:rFonts w:cs="Tahoma"/>
        </w:rPr>
        <w:t>, al c. 6,</w:t>
      </w:r>
      <w:r w:rsidRPr="00515872">
        <w:rPr>
          <w:rFonts w:cs="Tahoma"/>
        </w:rPr>
        <w:t xml:space="preserve"> pone </w:t>
      </w:r>
      <w:r w:rsidRPr="00515872">
        <w:rPr>
          <w:rFonts w:cs="Tahoma"/>
          <w:b/>
        </w:rPr>
        <w:t>espressamente a capo degli organi interni di revisione e controllo la vigilanza sulla corretta esecuzione dei versamenti</w:t>
      </w:r>
      <w:r w:rsidRPr="00515872">
        <w:rPr>
          <w:rFonts w:cs="Tahoma"/>
        </w:rPr>
        <w:t xml:space="preserve"> dell’imposta.</w:t>
      </w:r>
    </w:p>
    <w:p w14:paraId="12DF60E0" w14:textId="77777777" w:rsidR="009518AF" w:rsidRPr="00515872" w:rsidRDefault="009518AF" w:rsidP="009518AF">
      <w:pPr>
        <w:spacing w:after="0" w:line="360" w:lineRule="auto"/>
        <w:jc w:val="both"/>
        <w:rPr>
          <w:rFonts w:cs="Tahoma"/>
          <w:b/>
          <w:i/>
          <w:szCs w:val="20"/>
          <w:lang w:eastAsia="it-IT"/>
        </w:rPr>
      </w:pPr>
      <w:r w:rsidRPr="00515872">
        <w:rPr>
          <w:rFonts w:cs="Tahoma"/>
          <w:b/>
          <w:i/>
          <w:szCs w:val="20"/>
          <w:lang w:eastAsia="it-IT"/>
        </w:rPr>
        <w:lastRenderedPageBreak/>
        <w:t>Reverse charge</w:t>
      </w:r>
    </w:p>
    <w:p w14:paraId="1E9424B4"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Istituto già noto, in quanto introdotto in precedenza per altre fattispecie di operazioni rientranti nell’ambito applicativo IVA, è quello del “</w:t>
      </w:r>
      <w:r w:rsidRPr="00515872">
        <w:rPr>
          <w:rFonts w:eastAsia="Times New Roman" w:cs="Tahoma"/>
          <w:i/>
          <w:szCs w:val="20"/>
          <w:lang w:eastAsia="it-IT"/>
        </w:rPr>
        <w:t>reverse charge</w:t>
      </w:r>
      <w:r w:rsidRPr="00515872">
        <w:rPr>
          <w:rFonts w:eastAsia="Times New Roman" w:cs="Tahoma"/>
          <w:szCs w:val="20"/>
          <w:lang w:eastAsia="it-IT"/>
        </w:rPr>
        <w:t xml:space="preserve">” o “inversione contabile”. </w:t>
      </w:r>
    </w:p>
    <w:p w14:paraId="3450D12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La L. 23 dicembre 2014, n. 190 ha disposto</w:t>
      </w:r>
      <w:r w:rsidR="00A52800" w:rsidRPr="00515872">
        <w:rPr>
          <w:rFonts w:eastAsia="Times New Roman" w:cs="Tahoma"/>
          <w:szCs w:val="20"/>
          <w:lang w:eastAsia="it-IT"/>
        </w:rPr>
        <w:t xml:space="preserve">, </w:t>
      </w:r>
      <w:r w:rsidRPr="00515872">
        <w:rPr>
          <w:rFonts w:eastAsia="Times New Roman" w:cs="Tahoma"/>
          <w:szCs w:val="20"/>
          <w:lang w:eastAsia="it-IT"/>
        </w:rPr>
        <w:t>con l'art. 1, c. 6</w:t>
      </w:r>
      <w:r w:rsidR="00A52800" w:rsidRPr="00515872">
        <w:rPr>
          <w:rFonts w:eastAsia="Times New Roman" w:cs="Tahoma"/>
          <w:szCs w:val="20"/>
          <w:lang w:eastAsia="it-IT"/>
        </w:rPr>
        <w:t>29, l’inserimento dell’art .</w:t>
      </w:r>
      <w:r w:rsidRPr="00515872">
        <w:rPr>
          <w:rFonts w:eastAsia="Times New Roman" w:cs="Tahoma"/>
          <w:szCs w:val="20"/>
          <w:lang w:eastAsia="it-IT"/>
        </w:rPr>
        <w:t>17-ter</w:t>
      </w:r>
      <w:r w:rsidR="00A52800" w:rsidRPr="00515872">
        <w:rPr>
          <w:rFonts w:eastAsia="Times New Roman" w:cs="Tahoma"/>
          <w:szCs w:val="20"/>
          <w:lang w:eastAsia="it-IT"/>
        </w:rPr>
        <w:t xml:space="preserve"> n</w:t>
      </w:r>
      <w:r w:rsidRPr="00515872">
        <w:rPr>
          <w:rFonts w:eastAsia="Times New Roman" w:cs="Tahoma"/>
          <w:szCs w:val="20"/>
          <w:lang w:eastAsia="it-IT"/>
        </w:rPr>
        <w:t>el D.P.R. 26 ottobre 1972, n. 633,</w:t>
      </w:r>
      <w:r w:rsidR="00A52800" w:rsidRPr="00515872">
        <w:rPr>
          <w:rFonts w:eastAsia="Times New Roman" w:cs="Tahoma"/>
          <w:szCs w:val="20"/>
          <w:lang w:eastAsia="it-IT"/>
        </w:rPr>
        <w:t xml:space="preserve"> che </w:t>
      </w:r>
      <w:r w:rsidRPr="00515872">
        <w:rPr>
          <w:rFonts w:eastAsia="Times New Roman" w:cs="Tahoma"/>
          <w:szCs w:val="20"/>
          <w:lang w:eastAsia="it-IT"/>
        </w:rPr>
        <w:t xml:space="preserve">introduce il meccanismo del </w:t>
      </w:r>
      <w:r w:rsidRPr="00515872">
        <w:rPr>
          <w:rFonts w:eastAsia="Times New Roman" w:cs="Tahoma"/>
          <w:i/>
          <w:szCs w:val="20"/>
          <w:lang w:eastAsia="it-IT"/>
        </w:rPr>
        <w:t xml:space="preserve">reverse charge </w:t>
      </w:r>
      <w:r w:rsidRPr="00515872">
        <w:rPr>
          <w:rFonts w:eastAsia="Times New Roman" w:cs="Tahoma"/>
          <w:szCs w:val="20"/>
          <w:lang w:eastAsia="it-IT"/>
        </w:rPr>
        <w:t>per le cessioni di beni e per le prestazioni di servizi effettuate nei confronti dello Stato, degli organi dello Stato ancorché dotati di personalità giuridica, degli enti pubblici territoriali e dei consorzi tra essi costituiti ai sensi dell'art. 31 del TUEL (e altri enti), per i quali i suddetti cessionari o committenti non sono debitori d'imposta ai sensi delle disposizioni in materia d'imposta sul valore aggiunto.</w:t>
      </w:r>
    </w:p>
    <w:p w14:paraId="1B739A42" w14:textId="77777777" w:rsidR="009518AF" w:rsidRPr="00515872" w:rsidRDefault="009518AF" w:rsidP="009518AF">
      <w:pPr>
        <w:spacing w:line="360" w:lineRule="auto"/>
        <w:jc w:val="both"/>
        <w:rPr>
          <w:rFonts w:cs="Tahoma"/>
          <w:szCs w:val="20"/>
        </w:rPr>
      </w:pPr>
      <w:r w:rsidRPr="00515872">
        <w:rPr>
          <w:rFonts w:cs="Tahoma"/>
          <w:szCs w:val="20"/>
        </w:rPr>
        <w:t xml:space="preserve">Il regime in parola trova applicazione solamente per le </w:t>
      </w:r>
      <w:r w:rsidRPr="00515872">
        <w:rPr>
          <w:rFonts w:cs="Tahoma"/>
          <w:b/>
          <w:szCs w:val="20"/>
        </w:rPr>
        <w:t>operazioni commerciali</w:t>
      </w:r>
      <w:r w:rsidRPr="00515872">
        <w:rPr>
          <w:rFonts w:cs="Tahoma"/>
          <w:szCs w:val="20"/>
        </w:rPr>
        <w:t xml:space="preserve"> dell’ente; diversamente il regime naturale è quello dello </w:t>
      </w:r>
      <w:r w:rsidRPr="00515872">
        <w:rPr>
          <w:rFonts w:cs="Tahoma"/>
          <w:i/>
          <w:szCs w:val="20"/>
        </w:rPr>
        <w:t>split payment</w:t>
      </w:r>
      <w:r w:rsidRPr="00515872">
        <w:rPr>
          <w:rFonts w:cs="Tahoma"/>
          <w:szCs w:val="20"/>
        </w:rPr>
        <w:t xml:space="preserve">. Spetta, pertanto, all’ente pubblico </w:t>
      </w:r>
      <w:r w:rsidR="00A52800" w:rsidRPr="00515872">
        <w:rPr>
          <w:rFonts w:cs="Tahoma"/>
          <w:szCs w:val="20"/>
        </w:rPr>
        <w:t xml:space="preserve">stabilire e </w:t>
      </w:r>
      <w:r w:rsidRPr="00515872">
        <w:rPr>
          <w:rFonts w:cs="Tahoma"/>
          <w:szCs w:val="20"/>
        </w:rPr>
        <w:t xml:space="preserve">comunicare al fornitore se la prestazione resa sia </w:t>
      </w:r>
      <w:r w:rsidR="00A52800" w:rsidRPr="00515872">
        <w:rPr>
          <w:rFonts w:cs="Tahoma"/>
          <w:szCs w:val="20"/>
        </w:rPr>
        <w:t xml:space="preserve">da considerarsi </w:t>
      </w:r>
      <w:r w:rsidRPr="00515872">
        <w:rPr>
          <w:rFonts w:cs="Tahoma"/>
          <w:szCs w:val="20"/>
        </w:rPr>
        <w:t xml:space="preserve">effettuata in ambito commerciale o istituzionale onde </w:t>
      </w:r>
      <w:r w:rsidR="001D5344" w:rsidRPr="00515872">
        <w:rPr>
          <w:rFonts w:cs="Tahoma"/>
          <w:szCs w:val="20"/>
        </w:rPr>
        <w:t xml:space="preserve">consentirgli di </w:t>
      </w:r>
      <w:r w:rsidRPr="00515872">
        <w:rPr>
          <w:rFonts w:cs="Tahoma"/>
          <w:szCs w:val="20"/>
        </w:rPr>
        <w:t>regolarsi ai fini dell’emissione della relativa fattura.</w:t>
      </w:r>
    </w:p>
    <w:p w14:paraId="3CF1A374" w14:textId="77777777" w:rsidR="009518AF" w:rsidRPr="00515872" w:rsidRDefault="009518AF" w:rsidP="009518AF">
      <w:pPr>
        <w:spacing w:line="360" w:lineRule="auto"/>
        <w:jc w:val="both"/>
        <w:rPr>
          <w:rFonts w:cs="Tahoma"/>
          <w:szCs w:val="20"/>
        </w:rPr>
      </w:pPr>
      <w:r w:rsidRPr="00515872">
        <w:rPr>
          <w:rFonts w:cs="Tahoma"/>
          <w:szCs w:val="20"/>
        </w:rPr>
        <w:t xml:space="preserve">L’eventuale applicazione della norma in parola comporta l’onere dell’integrazione della fattura da parte dell’ente cessionario con l’indicazione dell’aliquota e </w:t>
      </w:r>
      <w:r w:rsidR="001D5344" w:rsidRPr="00515872">
        <w:rPr>
          <w:rFonts w:cs="Tahoma"/>
          <w:szCs w:val="20"/>
        </w:rPr>
        <w:t xml:space="preserve">l’applicazione </w:t>
      </w:r>
      <w:r w:rsidRPr="00515872">
        <w:rPr>
          <w:rFonts w:cs="Tahoma"/>
          <w:szCs w:val="20"/>
        </w:rPr>
        <w:t>della relativa imposta e</w:t>
      </w:r>
      <w:r w:rsidR="00C0105A" w:rsidRPr="00515872">
        <w:rPr>
          <w:rFonts w:cs="Tahoma"/>
          <w:szCs w:val="20"/>
        </w:rPr>
        <w:t xml:space="preserve"> della doppia </w:t>
      </w:r>
      <w:r w:rsidRPr="00515872">
        <w:rPr>
          <w:rFonts w:cs="Tahoma"/>
          <w:szCs w:val="20"/>
        </w:rPr>
        <w:t>annotazione della stessa nel registro di cui agli artt. 23 o 24 del D.P.R. n. 633/1972</w:t>
      </w:r>
      <w:r w:rsidR="00C0105A" w:rsidRPr="00515872">
        <w:rPr>
          <w:rFonts w:cs="Tahoma"/>
          <w:szCs w:val="20"/>
        </w:rPr>
        <w:t xml:space="preserve"> e </w:t>
      </w:r>
      <w:r w:rsidRPr="00515872">
        <w:rPr>
          <w:rFonts w:cs="Tahoma"/>
          <w:szCs w:val="20"/>
        </w:rPr>
        <w:t>nel registro di cui all’art. 25.</w:t>
      </w:r>
    </w:p>
    <w:p w14:paraId="1D186BF0" w14:textId="77777777" w:rsidR="009518AF" w:rsidRPr="00515872" w:rsidRDefault="009518AF" w:rsidP="009518AF">
      <w:pPr>
        <w:spacing w:after="0" w:line="360" w:lineRule="auto"/>
        <w:jc w:val="both"/>
        <w:rPr>
          <w:rFonts w:cs="Tahoma"/>
          <w:szCs w:val="20"/>
        </w:rPr>
      </w:pPr>
      <w:r w:rsidRPr="00515872">
        <w:rPr>
          <w:rFonts w:cs="Tahoma"/>
          <w:szCs w:val="20"/>
        </w:rPr>
        <w:t>Nei casi di forniture riconducibili sia all’attività istituzionale che all’a</w:t>
      </w:r>
      <w:r w:rsidR="008D0647" w:rsidRPr="00515872">
        <w:rPr>
          <w:rFonts w:cs="Tahoma"/>
          <w:szCs w:val="20"/>
        </w:rPr>
        <w:t>ttività commerciale</w:t>
      </w:r>
      <w:r w:rsidRPr="00515872">
        <w:rPr>
          <w:rFonts w:cs="Tahoma"/>
          <w:szCs w:val="20"/>
        </w:rPr>
        <w:t>, l’ente deve, in via preventiva, richiedere al fornitore di emettere fatture separate:</w:t>
      </w:r>
    </w:p>
    <w:p w14:paraId="4CF1A503" w14:textId="77777777" w:rsidR="009518AF" w:rsidRPr="00515872" w:rsidRDefault="009518AF" w:rsidP="00D65838">
      <w:pPr>
        <w:pStyle w:val="Paragrafoelenco"/>
        <w:numPr>
          <w:ilvl w:val="0"/>
          <w:numId w:val="169"/>
        </w:numPr>
        <w:spacing w:line="360" w:lineRule="auto"/>
        <w:jc w:val="both"/>
        <w:rPr>
          <w:rFonts w:cs="Tahoma"/>
          <w:szCs w:val="20"/>
        </w:rPr>
      </w:pPr>
      <w:r w:rsidRPr="00515872">
        <w:rPr>
          <w:rFonts w:cs="Tahoma"/>
          <w:szCs w:val="20"/>
        </w:rPr>
        <w:t xml:space="preserve">una per le prestazioni istituzionali (soggetta a </w:t>
      </w:r>
      <w:r w:rsidRPr="00515872">
        <w:rPr>
          <w:rFonts w:cs="Tahoma"/>
          <w:i/>
          <w:szCs w:val="20"/>
        </w:rPr>
        <w:t>split payment</w:t>
      </w:r>
      <w:r w:rsidRPr="00515872">
        <w:rPr>
          <w:rFonts w:cs="Tahoma"/>
          <w:szCs w:val="20"/>
        </w:rPr>
        <w:t>);</w:t>
      </w:r>
    </w:p>
    <w:p w14:paraId="6D544139" w14:textId="77777777" w:rsidR="009518AF" w:rsidRPr="00515872" w:rsidRDefault="009518AF" w:rsidP="00D65838">
      <w:pPr>
        <w:pStyle w:val="Paragrafoelenco"/>
        <w:numPr>
          <w:ilvl w:val="0"/>
          <w:numId w:val="169"/>
        </w:numPr>
        <w:spacing w:line="360" w:lineRule="auto"/>
        <w:jc w:val="both"/>
        <w:rPr>
          <w:rFonts w:cs="Tahoma"/>
          <w:szCs w:val="20"/>
        </w:rPr>
      </w:pPr>
      <w:r w:rsidRPr="00515872">
        <w:rPr>
          <w:rFonts w:cs="Tahoma"/>
          <w:szCs w:val="20"/>
        </w:rPr>
        <w:t>l’altra per quelle riconducibili all</w:t>
      </w:r>
      <w:r w:rsidR="00A52800" w:rsidRPr="00515872">
        <w:rPr>
          <w:rFonts w:cs="Tahoma"/>
          <w:szCs w:val="20"/>
        </w:rPr>
        <w:t>a</w:t>
      </w:r>
      <w:r w:rsidRPr="00515872">
        <w:rPr>
          <w:rFonts w:cs="Tahoma"/>
          <w:szCs w:val="20"/>
        </w:rPr>
        <w:t xml:space="preserve"> </w:t>
      </w:r>
      <w:r w:rsidR="00A52800" w:rsidRPr="00515872">
        <w:rPr>
          <w:rFonts w:cs="Tahoma"/>
          <w:szCs w:val="20"/>
        </w:rPr>
        <w:t>sfera</w:t>
      </w:r>
      <w:r w:rsidRPr="00515872">
        <w:rPr>
          <w:rFonts w:cs="Tahoma"/>
          <w:szCs w:val="20"/>
        </w:rPr>
        <w:t xml:space="preserve"> commercial</w:t>
      </w:r>
      <w:r w:rsidR="00A52800" w:rsidRPr="00515872">
        <w:rPr>
          <w:rFonts w:cs="Tahoma"/>
          <w:szCs w:val="20"/>
        </w:rPr>
        <w:t>e</w:t>
      </w:r>
      <w:r w:rsidRPr="00515872">
        <w:rPr>
          <w:rFonts w:cs="Tahoma"/>
          <w:szCs w:val="20"/>
        </w:rPr>
        <w:t xml:space="preserve"> (soggette a </w:t>
      </w:r>
      <w:r w:rsidRPr="00515872">
        <w:rPr>
          <w:rFonts w:cs="Tahoma"/>
          <w:i/>
          <w:szCs w:val="20"/>
        </w:rPr>
        <w:t>reverse charge</w:t>
      </w:r>
      <w:r w:rsidRPr="00515872">
        <w:rPr>
          <w:rFonts w:cs="Tahoma"/>
          <w:szCs w:val="20"/>
        </w:rPr>
        <w:t>).</w:t>
      </w:r>
    </w:p>
    <w:p w14:paraId="54571F71" w14:textId="77777777" w:rsidR="009518AF" w:rsidRPr="00515872" w:rsidRDefault="009518AF" w:rsidP="009518AF">
      <w:pPr>
        <w:spacing w:line="360" w:lineRule="auto"/>
        <w:jc w:val="both"/>
        <w:rPr>
          <w:rFonts w:cs="Tahoma"/>
          <w:szCs w:val="20"/>
        </w:rPr>
      </w:pPr>
      <w:r w:rsidRPr="00515872">
        <w:rPr>
          <w:rFonts w:cs="Tahoma"/>
          <w:szCs w:val="20"/>
        </w:rPr>
        <w:t>Nel caso ciò non avvenga, la suddivisione degli imponibili contenuti nel documento deve essere fatta sulla base del criterio più idoneo possibile.</w:t>
      </w:r>
    </w:p>
    <w:p w14:paraId="2D5E1615" w14:textId="77777777" w:rsidR="009518AF" w:rsidRPr="00515872" w:rsidRDefault="009518AF" w:rsidP="009518AF">
      <w:pPr>
        <w:spacing w:after="0" w:line="360" w:lineRule="auto"/>
        <w:jc w:val="both"/>
        <w:rPr>
          <w:rFonts w:cs="Tahoma"/>
          <w:szCs w:val="20"/>
        </w:rPr>
      </w:pPr>
      <w:r w:rsidRPr="00515872">
        <w:rPr>
          <w:rFonts w:cs="Tahoma"/>
          <w:szCs w:val="20"/>
        </w:rPr>
        <w:t xml:space="preserve">In contabilità finanziaria le spese soggette al meccanismo del </w:t>
      </w:r>
      <w:r w:rsidRPr="00515872">
        <w:rPr>
          <w:rFonts w:cs="Tahoma"/>
          <w:i/>
          <w:szCs w:val="20"/>
        </w:rPr>
        <w:t>reverse charge</w:t>
      </w:r>
      <w:r w:rsidRPr="00515872">
        <w:rPr>
          <w:rFonts w:cs="Tahoma"/>
          <w:szCs w:val="20"/>
        </w:rPr>
        <w:t xml:space="preserve"> sono registrate come segue:</w:t>
      </w:r>
    </w:p>
    <w:p w14:paraId="0D81E9EA" w14:textId="77777777" w:rsidR="009518AF" w:rsidRPr="00515872" w:rsidRDefault="009518AF" w:rsidP="00D65838">
      <w:pPr>
        <w:pStyle w:val="Paragrafoelenco"/>
        <w:numPr>
          <w:ilvl w:val="0"/>
          <w:numId w:val="64"/>
        </w:numPr>
        <w:spacing w:line="360" w:lineRule="auto"/>
        <w:jc w:val="both"/>
        <w:rPr>
          <w:rFonts w:cs="Tahoma"/>
          <w:szCs w:val="20"/>
        </w:rPr>
      </w:pPr>
      <w:r w:rsidRPr="00515872">
        <w:rPr>
          <w:rFonts w:cs="Tahoma"/>
          <w:szCs w:val="20"/>
        </w:rPr>
        <w:t>la spesa concernente l’acquisizione di beni o di servizi è impegnata per l’importo comprensivo di IVA;</w:t>
      </w:r>
    </w:p>
    <w:p w14:paraId="4BF77805" w14:textId="77777777" w:rsidR="009518AF" w:rsidRPr="00515872" w:rsidRDefault="009518AF" w:rsidP="00D65838">
      <w:pPr>
        <w:pStyle w:val="Paragrafoelenco"/>
        <w:numPr>
          <w:ilvl w:val="0"/>
          <w:numId w:val="64"/>
        </w:numPr>
        <w:spacing w:line="360" w:lineRule="auto"/>
        <w:jc w:val="both"/>
        <w:rPr>
          <w:rFonts w:cs="Tahoma"/>
          <w:szCs w:val="20"/>
        </w:rPr>
      </w:pPr>
      <w:r w:rsidRPr="00515872">
        <w:rPr>
          <w:rFonts w:cs="Tahoma"/>
          <w:szCs w:val="20"/>
        </w:rPr>
        <w:t>tra le entrate correnti (Titolo III) è accertata un’entrata d’importo pari all’IVA derivante dall’operazione d’inversione contabile;</w:t>
      </w:r>
    </w:p>
    <w:p w14:paraId="6FC432A0" w14:textId="77777777" w:rsidR="009518AF" w:rsidRPr="00515872" w:rsidRDefault="009518AF" w:rsidP="00D65838">
      <w:pPr>
        <w:pStyle w:val="Paragrafoelenco"/>
        <w:numPr>
          <w:ilvl w:val="0"/>
          <w:numId w:val="64"/>
        </w:numPr>
        <w:spacing w:line="360" w:lineRule="auto"/>
        <w:jc w:val="both"/>
        <w:rPr>
          <w:rFonts w:cs="Tahoma"/>
          <w:szCs w:val="20"/>
        </w:rPr>
      </w:pPr>
      <w:r w:rsidRPr="00515872">
        <w:rPr>
          <w:rFonts w:cs="Tahoma"/>
          <w:szCs w:val="20"/>
        </w:rPr>
        <w:t>al momento del pagamento l’ente emette un mandato al lordo dell’IVA, con contestuale ritenuta per l’importo della stessa;</w:t>
      </w:r>
    </w:p>
    <w:p w14:paraId="54D72A05" w14:textId="77777777" w:rsidR="009518AF" w:rsidRPr="00515872" w:rsidRDefault="009518AF" w:rsidP="00D65838">
      <w:pPr>
        <w:pStyle w:val="Paragrafoelenco"/>
        <w:numPr>
          <w:ilvl w:val="0"/>
          <w:numId w:val="64"/>
        </w:numPr>
        <w:spacing w:line="360" w:lineRule="auto"/>
        <w:jc w:val="both"/>
        <w:rPr>
          <w:rFonts w:cs="Tahoma"/>
          <w:szCs w:val="20"/>
        </w:rPr>
      </w:pPr>
      <w:r w:rsidRPr="00515872">
        <w:rPr>
          <w:rFonts w:cs="Tahoma"/>
          <w:szCs w:val="20"/>
        </w:rPr>
        <w:t>a fronte della ritenuta, l’ente emette una reversale in entrata di pari importo a valere sull’accertamento al Titolo III;</w:t>
      </w:r>
    </w:p>
    <w:p w14:paraId="5D73F26F" w14:textId="77777777" w:rsidR="009518AF" w:rsidRPr="00515872" w:rsidRDefault="009518AF" w:rsidP="00D65838">
      <w:pPr>
        <w:pStyle w:val="Paragrafoelenco"/>
        <w:numPr>
          <w:ilvl w:val="0"/>
          <w:numId w:val="64"/>
        </w:numPr>
        <w:spacing w:line="360" w:lineRule="auto"/>
        <w:jc w:val="both"/>
        <w:rPr>
          <w:rFonts w:cs="Tahoma"/>
          <w:szCs w:val="20"/>
        </w:rPr>
      </w:pPr>
      <w:r w:rsidRPr="00515872">
        <w:rPr>
          <w:rFonts w:cs="Tahoma"/>
          <w:szCs w:val="20"/>
        </w:rPr>
        <w:t>alle scadenze per la liquidazione dell’imposta, in considerazione delle scritture richieste dalle norme fiscali, l’ente determina la propria posizione IVA e, se risulta un debito di periodo, impegna la relativa spesa (Titolo I).</w:t>
      </w:r>
    </w:p>
    <w:p w14:paraId="44286663" w14:textId="77777777" w:rsidR="009518AF" w:rsidRPr="00515872" w:rsidRDefault="009518AF" w:rsidP="009518AF">
      <w:pPr>
        <w:spacing w:line="360" w:lineRule="auto"/>
        <w:jc w:val="both"/>
        <w:rPr>
          <w:rFonts w:cs="Tahoma"/>
          <w:szCs w:val="20"/>
        </w:rPr>
      </w:pPr>
      <w:r w:rsidRPr="00515872">
        <w:rPr>
          <w:rFonts w:cs="Tahoma"/>
          <w:szCs w:val="20"/>
        </w:rPr>
        <w:lastRenderedPageBreak/>
        <w:t>Anche sull’applicazione di questo meccanismo</w:t>
      </w:r>
      <w:r w:rsidR="002F2E8F" w:rsidRPr="00515872">
        <w:rPr>
          <w:rFonts w:cs="Tahoma"/>
          <w:szCs w:val="20"/>
        </w:rPr>
        <w:t xml:space="preserve"> </w:t>
      </w:r>
      <w:r w:rsidRPr="00515872">
        <w:rPr>
          <w:rFonts w:cs="Tahoma"/>
          <w:szCs w:val="20"/>
        </w:rPr>
        <w:t>i revisori dei conti sono chiamati, ovviamente, ad espletare la propria attività di vigilanza.</w:t>
      </w:r>
    </w:p>
    <w:p w14:paraId="5CECCA8A" w14:textId="77777777" w:rsidR="00277513" w:rsidRPr="00515872" w:rsidRDefault="00277513" w:rsidP="009518AF">
      <w:pPr>
        <w:pStyle w:val="Sottoparagrafo"/>
        <w:rPr>
          <w:rFonts w:cs="Tahoma"/>
          <w:highlight w:val="yellow"/>
          <w:lang w:eastAsia="it-IT"/>
        </w:rPr>
      </w:pPr>
      <w:bookmarkStart w:id="226" w:name="_Toc521317132"/>
    </w:p>
    <w:p w14:paraId="03230387" w14:textId="77777777" w:rsidR="009518AF" w:rsidRPr="00515872" w:rsidRDefault="00AD2719" w:rsidP="009518AF">
      <w:pPr>
        <w:pStyle w:val="Sottoparagrafo"/>
        <w:rPr>
          <w:rFonts w:cs="Tahoma"/>
          <w:lang w:eastAsia="it-IT"/>
        </w:rPr>
      </w:pPr>
      <w:bookmarkStart w:id="227" w:name="_Toc95912323"/>
      <w:r w:rsidRPr="00515872">
        <w:rPr>
          <w:rFonts w:cs="Tahoma"/>
          <w:lang w:eastAsia="it-IT"/>
        </w:rPr>
        <w:t>6.18</w:t>
      </w:r>
      <w:r w:rsidR="009518AF" w:rsidRPr="00515872">
        <w:rPr>
          <w:rFonts w:cs="Tahoma"/>
          <w:lang w:eastAsia="it-IT"/>
        </w:rPr>
        <w:t>.2 Soggettività Irap</w:t>
      </w:r>
      <w:bookmarkEnd w:id="226"/>
      <w:bookmarkEnd w:id="227"/>
    </w:p>
    <w:p w14:paraId="714AFB07" w14:textId="77777777" w:rsidR="009518AF" w:rsidRPr="00515872" w:rsidRDefault="009518AF" w:rsidP="009518AF">
      <w:pPr>
        <w:spacing w:after="0" w:line="360" w:lineRule="auto"/>
        <w:jc w:val="both"/>
        <w:rPr>
          <w:rFonts w:eastAsia="Times New Roman" w:cs="Tahoma"/>
          <w:lang w:eastAsia="it-IT"/>
        </w:rPr>
      </w:pPr>
      <w:r w:rsidRPr="00515872">
        <w:rPr>
          <w:rFonts w:eastAsia="Times New Roman" w:cs="Tahoma"/>
          <w:lang w:eastAsia="it-IT"/>
        </w:rPr>
        <w:t>Per la determinazione della base imponibile IRAP, gli enti locali hanno facoltà di scegliere tra due diversi sistemi contemplati dalla normativa:</w:t>
      </w:r>
    </w:p>
    <w:p w14:paraId="648D2318" w14:textId="77777777" w:rsidR="009518AF" w:rsidRPr="00515872" w:rsidRDefault="009518AF" w:rsidP="00D65838">
      <w:pPr>
        <w:pStyle w:val="Paragrafoelenco"/>
        <w:numPr>
          <w:ilvl w:val="0"/>
          <w:numId w:val="85"/>
        </w:numPr>
        <w:spacing w:after="0" w:line="360" w:lineRule="auto"/>
        <w:jc w:val="both"/>
        <w:rPr>
          <w:rFonts w:eastAsia="Times New Roman" w:cs="Tahoma"/>
          <w:lang w:eastAsia="it-IT"/>
        </w:rPr>
      </w:pPr>
      <w:r w:rsidRPr="00515872">
        <w:rPr>
          <w:rFonts w:eastAsia="Times New Roman" w:cs="Tahoma"/>
          <w:b/>
          <w:lang w:eastAsia="it-IT"/>
        </w:rPr>
        <w:t>metodo retributivo</w:t>
      </w:r>
      <w:r w:rsidRPr="00515872">
        <w:rPr>
          <w:rFonts w:eastAsia="Times New Roman" w:cs="Tahoma"/>
          <w:lang w:eastAsia="it-IT"/>
        </w:rPr>
        <w:t>: ossia la modalità di calcolo naturale per l’ente non commerciale, con  riferimento a tutte le attività svolte che consiste nell’applicare l’aliquota IRAP dell’8,50% a tutte le retribuzioni del personale erogate dall’ente</w:t>
      </w:r>
      <w:r w:rsidRPr="00515872">
        <w:rPr>
          <w:rStyle w:val="Rimandonotaapidipagina"/>
          <w:rFonts w:eastAsia="Times New Roman" w:cs="Tahoma"/>
          <w:lang w:eastAsia="it-IT"/>
        </w:rPr>
        <w:footnoteReference w:id="112"/>
      </w:r>
      <w:r w:rsidRPr="00515872">
        <w:rPr>
          <w:rFonts w:eastAsia="Times New Roman" w:cs="Tahoma"/>
          <w:lang w:eastAsia="it-IT"/>
        </w:rPr>
        <w:t>;</w:t>
      </w:r>
    </w:p>
    <w:p w14:paraId="158841B0" w14:textId="77777777" w:rsidR="009518AF" w:rsidRPr="00515872" w:rsidRDefault="009518AF" w:rsidP="00D65838">
      <w:pPr>
        <w:pStyle w:val="Paragrafoelenco"/>
        <w:numPr>
          <w:ilvl w:val="0"/>
          <w:numId w:val="85"/>
        </w:numPr>
        <w:spacing w:line="360" w:lineRule="auto"/>
        <w:jc w:val="both"/>
        <w:rPr>
          <w:rFonts w:eastAsia="Times New Roman" w:cs="Tahoma"/>
          <w:lang w:eastAsia="it-IT"/>
        </w:rPr>
      </w:pPr>
      <w:r w:rsidRPr="00515872">
        <w:rPr>
          <w:rFonts w:eastAsia="Times New Roman" w:cs="Tahoma"/>
          <w:b/>
          <w:lang w:eastAsia="it-IT"/>
        </w:rPr>
        <w:t>metodo misto</w:t>
      </w:r>
      <w:r w:rsidRPr="00515872">
        <w:rPr>
          <w:rFonts w:eastAsia="Times New Roman" w:cs="Tahoma"/>
          <w:lang w:eastAsia="it-IT"/>
        </w:rPr>
        <w:t xml:space="preserve">: consistente nel distinguere, ai fini del calcolo, le attività istituzionali, sulle quali l’IRAP è applicata secondo i criteri del metodo retributivo come sopra esposto, e le attività commerciali, </w:t>
      </w:r>
      <w:r w:rsidR="000129FE" w:rsidRPr="00515872">
        <w:rPr>
          <w:rFonts w:eastAsia="Times New Roman" w:cs="Tahoma"/>
          <w:lang w:eastAsia="it-IT"/>
        </w:rPr>
        <w:t>per le</w:t>
      </w:r>
      <w:r w:rsidRPr="00515872">
        <w:rPr>
          <w:rFonts w:eastAsia="Times New Roman" w:cs="Tahoma"/>
          <w:lang w:eastAsia="it-IT"/>
        </w:rPr>
        <w:t xml:space="preserve"> quali la stessa è calcolata sul “Valore della produzione netta” con aliquota del 3,90%.</w:t>
      </w:r>
    </w:p>
    <w:p w14:paraId="274CBAFB"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L'imposta determinata con il metodo retributivo deve essere versata con acconti mensili sugli stipendi e degli altri emolumenti corrisp</w:t>
      </w:r>
      <w:r w:rsidR="00306C2F" w:rsidRPr="00515872">
        <w:rPr>
          <w:rFonts w:eastAsia="Times New Roman" w:cs="Tahoma"/>
          <w:szCs w:val="20"/>
          <w:lang w:eastAsia="it-IT"/>
        </w:rPr>
        <w:t>osti nel mese precedente, entro il 16 del mese con utilizzo del mod. F24EP</w:t>
      </w:r>
      <w:r w:rsidR="007C0824" w:rsidRPr="00515872">
        <w:rPr>
          <w:rStyle w:val="Rimandonotaapidipagina"/>
          <w:rFonts w:eastAsia="Times New Roman" w:cs="Tahoma"/>
          <w:lang w:eastAsia="it-IT"/>
        </w:rPr>
        <w:footnoteReference w:id="113"/>
      </w:r>
      <w:r w:rsidR="007C0824" w:rsidRPr="00515872">
        <w:rPr>
          <w:rFonts w:eastAsia="Times New Roman" w:cs="Tahoma"/>
          <w:lang w:eastAsia="it-IT"/>
        </w:rPr>
        <w:t>)</w:t>
      </w:r>
      <w:r w:rsidR="00306C2F" w:rsidRPr="00515872">
        <w:rPr>
          <w:rFonts w:eastAsia="Times New Roman" w:cs="Tahoma"/>
          <w:szCs w:val="20"/>
          <w:lang w:eastAsia="it-IT"/>
        </w:rPr>
        <w:t>.</w:t>
      </w:r>
    </w:p>
    <w:p w14:paraId="45ADF1F2" w14:textId="77777777" w:rsidR="009518AF" w:rsidRPr="00515872" w:rsidRDefault="009518AF" w:rsidP="009518AF">
      <w:pPr>
        <w:spacing w:line="360" w:lineRule="auto"/>
        <w:jc w:val="both"/>
        <w:rPr>
          <w:rFonts w:eastAsia="Times New Roman" w:cs="Tahoma"/>
          <w:lang w:eastAsia="it-IT"/>
        </w:rPr>
      </w:pPr>
      <w:r w:rsidRPr="00515872">
        <w:rPr>
          <w:rFonts w:eastAsia="Times New Roman" w:cs="Tahoma"/>
          <w:lang w:eastAsia="it-IT"/>
        </w:rPr>
        <w:t>L’ente che non intenda adottare il metodo retributivo di determinazione della base imponibile, può esercitare l’opzione per l’applicazione separata dell’IRAP, secondo le regole ordinarie valevoli per le imprese, con riferimento a una o più attività commerciali esercitate.</w:t>
      </w:r>
    </w:p>
    <w:p w14:paraId="3D27A4AF" w14:textId="77777777" w:rsidR="00024BBC" w:rsidRPr="00515872" w:rsidRDefault="009518AF" w:rsidP="009518AF">
      <w:pPr>
        <w:spacing w:line="360" w:lineRule="auto"/>
        <w:jc w:val="both"/>
        <w:rPr>
          <w:rFonts w:eastAsia="Times New Roman" w:cs="Tahoma"/>
          <w:szCs w:val="20"/>
          <w:lang w:eastAsia="it-IT"/>
        </w:rPr>
      </w:pPr>
      <w:r w:rsidRPr="00515872">
        <w:rPr>
          <w:rFonts w:eastAsia="Times New Roman" w:cs="Tahoma"/>
          <w:lang w:eastAsia="it-IT"/>
        </w:rPr>
        <w:t xml:space="preserve">L’ente che intenda optare per la determinazione della base imponibile col metodo misto deve concretizzare questa scelta con “fatti concludenti”, a decorrere dai pagamenti (con </w:t>
      </w:r>
      <w:r w:rsidR="000129FE" w:rsidRPr="00515872">
        <w:rPr>
          <w:rFonts w:eastAsia="Times New Roman" w:cs="Tahoma"/>
          <w:lang w:eastAsia="it-IT"/>
        </w:rPr>
        <w:t xml:space="preserve">modello </w:t>
      </w:r>
      <w:r w:rsidRPr="00515872">
        <w:rPr>
          <w:rFonts w:eastAsia="Times New Roman" w:cs="Tahoma"/>
          <w:lang w:eastAsia="it-IT"/>
        </w:rPr>
        <w:t>F24EP) relativi ai compensi erogati nel mese di gennaio, effettuati entro il 16 febbraio. Inoltre, l’applicazione del metodo misto, non essendo regime naturale, richiede una specifica opzione che deve essere espressa nel quadro VO del modello dichia</w:t>
      </w:r>
      <w:r w:rsidRPr="00515872">
        <w:rPr>
          <w:rFonts w:eastAsia="Times New Roman" w:cs="Tahoma"/>
          <w:szCs w:val="20"/>
          <w:lang w:eastAsia="it-IT"/>
        </w:rPr>
        <w:t>rativo annuale ai fini IVA.</w:t>
      </w:r>
    </w:p>
    <w:p w14:paraId="34E5AA43" w14:textId="77777777" w:rsidR="00024BBC" w:rsidRPr="00515872" w:rsidRDefault="00024BBC" w:rsidP="00024BBC">
      <w:pPr>
        <w:spacing w:after="0" w:line="360" w:lineRule="auto"/>
        <w:jc w:val="both"/>
        <w:rPr>
          <w:rFonts w:cs="Tahoma"/>
          <w:color w:val="000000"/>
          <w:szCs w:val="20"/>
        </w:rPr>
      </w:pPr>
      <w:r w:rsidRPr="00515872">
        <w:rPr>
          <w:rFonts w:cs="Tahoma"/>
          <w:color w:val="000000"/>
          <w:szCs w:val="20"/>
        </w:rPr>
        <w:t>In relazione all’esercizio dell’opzione è opportuno che l’ente locale:</w:t>
      </w:r>
    </w:p>
    <w:p w14:paraId="69C19A43" w14:textId="77777777" w:rsidR="00024BBC" w:rsidRPr="00515872" w:rsidRDefault="00024BBC" w:rsidP="00D65838">
      <w:pPr>
        <w:pStyle w:val="Paragrafoelenco"/>
        <w:numPr>
          <w:ilvl w:val="0"/>
          <w:numId w:val="226"/>
        </w:numPr>
        <w:spacing w:line="360" w:lineRule="auto"/>
        <w:ind w:left="284" w:hanging="284"/>
        <w:jc w:val="both"/>
        <w:rPr>
          <w:rFonts w:eastAsia="Times New Roman" w:cs="Tahoma"/>
          <w:szCs w:val="20"/>
          <w:lang w:eastAsia="it-IT"/>
        </w:rPr>
      </w:pPr>
      <w:r w:rsidRPr="00515872">
        <w:rPr>
          <w:rFonts w:cs="Tahoma"/>
          <w:color w:val="000000"/>
          <w:szCs w:val="20"/>
        </w:rPr>
        <w:t>valuti la convenienza a</w:t>
      </w:r>
      <w:r w:rsidR="000129FE" w:rsidRPr="00515872">
        <w:rPr>
          <w:rFonts w:cs="Tahoma"/>
          <w:color w:val="000000"/>
          <w:szCs w:val="20"/>
        </w:rPr>
        <w:t>d</w:t>
      </w:r>
      <w:r w:rsidRPr="00515872">
        <w:rPr>
          <w:rFonts w:cs="Tahoma"/>
          <w:color w:val="000000"/>
          <w:szCs w:val="20"/>
        </w:rPr>
        <w:t xml:space="preserve"> optare per uno o</w:t>
      </w:r>
      <w:r w:rsidR="000129FE" w:rsidRPr="00515872">
        <w:rPr>
          <w:rFonts w:cs="Tahoma"/>
          <w:color w:val="000000"/>
          <w:szCs w:val="20"/>
        </w:rPr>
        <w:t xml:space="preserve"> più servizi</w:t>
      </w:r>
      <w:r w:rsidRPr="00515872">
        <w:rPr>
          <w:rFonts w:cs="Tahoma"/>
          <w:color w:val="000000"/>
          <w:szCs w:val="20"/>
        </w:rPr>
        <w:t xml:space="preserve"> per la determinazione della base imponibile con i criteri del valore della produzione netta;</w:t>
      </w:r>
    </w:p>
    <w:p w14:paraId="4347F8F2" w14:textId="77777777" w:rsidR="00024BBC" w:rsidRPr="00515872" w:rsidRDefault="00024BBC" w:rsidP="00D65838">
      <w:pPr>
        <w:pStyle w:val="Paragrafoelenco"/>
        <w:numPr>
          <w:ilvl w:val="0"/>
          <w:numId w:val="226"/>
        </w:numPr>
        <w:spacing w:line="360" w:lineRule="auto"/>
        <w:ind w:left="284" w:hanging="284"/>
        <w:jc w:val="both"/>
        <w:rPr>
          <w:rFonts w:eastAsia="Times New Roman" w:cs="Tahoma"/>
          <w:szCs w:val="20"/>
          <w:lang w:eastAsia="it-IT"/>
        </w:rPr>
      </w:pPr>
      <w:r w:rsidRPr="00515872">
        <w:rPr>
          <w:rFonts w:cs="Tahoma"/>
          <w:color w:val="000000"/>
          <w:szCs w:val="20"/>
        </w:rPr>
        <w:t>valuti la possibilità operativa di pervenire alla elaborazione del conto economico del servizio o dei servizi, classific</w:t>
      </w:r>
      <w:r w:rsidR="000129FE" w:rsidRPr="00515872">
        <w:rPr>
          <w:rFonts w:cs="Tahoma"/>
          <w:color w:val="000000"/>
          <w:szCs w:val="20"/>
        </w:rPr>
        <w:t xml:space="preserve">ato ai sensi dell’art. 2425, </w:t>
      </w:r>
      <w:r w:rsidRPr="00515872">
        <w:rPr>
          <w:rFonts w:cs="Tahoma"/>
          <w:color w:val="000000"/>
          <w:szCs w:val="20"/>
        </w:rPr>
        <w:t>C</w:t>
      </w:r>
      <w:r w:rsidR="000129FE" w:rsidRPr="00515872">
        <w:rPr>
          <w:rFonts w:cs="Tahoma"/>
          <w:color w:val="000000"/>
          <w:szCs w:val="20"/>
        </w:rPr>
        <w:t>.C.</w:t>
      </w:r>
      <w:r w:rsidRPr="00515872">
        <w:rPr>
          <w:rFonts w:cs="Tahoma"/>
          <w:color w:val="000000"/>
          <w:szCs w:val="20"/>
        </w:rPr>
        <w:t>, ai fini della determinazione della base imponibile.</w:t>
      </w:r>
    </w:p>
    <w:p w14:paraId="3B263860" w14:textId="77777777" w:rsidR="009518AF" w:rsidRPr="00515872" w:rsidRDefault="009518AF" w:rsidP="009518AF">
      <w:pPr>
        <w:spacing w:line="360" w:lineRule="auto"/>
        <w:jc w:val="both"/>
        <w:rPr>
          <w:rFonts w:eastAsia="Times New Roman" w:cs="Tahoma"/>
          <w:lang w:eastAsia="it-IT"/>
        </w:rPr>
      </w:pPr>
      <w:r w:rsidRPr="00515872">
        <w:rPr>
          <w:rFonts w:eastAsia="Times New Roman" w:cs="Tahoma"/>
          <w:szCs w:val="20"/>
          <w:lang w:eastAsia="it-IT"/>
        </w:rPr>
        <w:lastRenderedPageBreak/>
        <w:t>In ca</w:t>
      </w:r>
      <w:r w:rsidRPr="00515872">
        <w:rPr>
          <w:rFonts w:eastAsia="Times New Roman" w:cs="Tahoma"/>
          <w:lang w:eastAsia="it-IT"/>
        </w:rPr>
        <w:t>so di calcolo della base imponibile quale valore della produzione netta, dal 1° gennaio 2016, a seguito dell’adozione della contabilità economico-patrimoniale e del piano dei conti integrato, la stessa dovrebbe essere dedotta dalle scritture contabili in questo modo tenute.</w:t>
      </w:r>
    </w:p>
    <w:p w14:paraId="444D9A42" w14:textId="77777777" w:rsidR="009518AF" w:rsidRPr="00515872" w:rsidRDefault="009518AF" w:rsidP="009518AF">
      <w:pPr>
        <w:spacing w:line="360" w:lineRule="auto"/>
        <w:jc w:val="both"/>
        <w:rPr>
          <w:rFonts w:eastAsia="Times New Roman" w:cs="Tahoma"/>
          <w:lang w:eastAsia="it-IT"/>
        </w:rPr>
      </w:pPr>
      <w:r w:rsidRPr="00515872">
        <w:rPr>
          <w:rFonts w:eastAsia="Times New Roman" w:cs="Tahoma"/>
          <w:lang w:eastAsia="it-IT"/>
        </w:rPr>
        <w:t>Per quanto riguarda la determinazione della base imponibile effettuata col metodo retributivo, invece, occorre tener presente che la stessa deve essere ridotta degli emolumenti riferiti alle attività per le quali è stata applicata la base imponibile corrispondente al valore della produzione.</w:t>
      </w:r>
    </w:p>
    <w:p w14:paraId="7023B894" w14:textId="77777777" w:rsidR="00B35CE8" w:rsidRPr="00515872" w:rsidRDefault="009518AF" w:rsidP="009518AF">
      <w:pPr>
        <w:spacing w:line="360" w:lineRule="auto"/>
        <w:jc w:val="both"/>
        <w:rPr>
          <w:rFonts w:eastAsia="Times New Roman" w:cs="Tahoma"/>
          <w:lang w:eastAsia="it-IT"/>
        </w:rPr>
      </w:pPr>
      <w:r w:rsidRPr="00515872">
        <w:rPr>
          <w:rFonts w:eastAsia="Times New Roman" w:cs="Tahoma"/>
          <w:lang w:eastAsia="it-IT"/>
        </w:rPr>
        <w:t>L’organo di revisione deve verificare l’esistenza di un sistema di controllo interno finalizzato al rispetto delle regole in materia di IRAP, riguardante anche gli adempimenti dichiarativi. Deve, altresì, accertare l’eventuale esistenza di attività commerciali rilevanti ai fini dell’opzione per l’applicazione del metodo del “Valore della produzione netta”.</w:t>
      </w:r>
    </w:p>
    <w:p w14:paraId="256D0778" w14:textId="77777777" w:rsidR="00B35CE8" w:rsidRPr="00515872" w:rsidRDefault="000129FE" w:rsidP="009922F9">
      <w:pPr>
        <w:spacing w:after="0" w:line="360" w:lineRule="auto"/>
        <w:jc w:val="both"/>
        <w:rPr>
          <w:rFonts w:cs="Tahoma"/>
          <w:color w:val="000000"/>
          <w:szCs w:val="20"/>
        </w:rPr>
      </w:pPr>
      <w:r w:rsidRPr="00515872">
        <w:rPr>
          <w:rFonts w:cs="Tahoma"/>
          <w:color w:val="000000"/>
          <w:szCs w:val="20"/>
        </w:rPr>
        <w:t>L’o</w:t>
      </w:r>
      <w:r w:rsidR="00B35CE8" w:rsidRPr="00515872">
        <w:rPr>
          <w:rFonts w:cs="Tahoma"/>
          <w:color w:val="000000"/>
          <w:szCs w:val="20"/>
        </w:rPr>
        <w:t>rgano di revisione deve verificare con la tecnica del campionamento che l’ente locale:</w:t>
      </w:r>
    </w:p>
    <w:p w14:paraId="62C44A41"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in caso di opzione per l’applicazione ai servizi commerciali ai fini IVA, del valore della produzione netta, applichi le norme fiscali previste per la determinazione della base imponibile secondo il cosiddetto “metodo contabile”;</w:t>
      </w:r>
    </w:p>
    <w:p w14:paraId="1F617A47"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riduca la base imponibile del sistema retributivo delle somme pagate nei servizi optati per gli emolumenti retributivi;</w:t>
      </w:r>
    </w:p>
    <w:p w14:paraId="799CC763"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per quanto concerne il metodo di determinazione d’imposta di tipo retributivo, versi regolarmente entro il 16 del mese successivo, gli accon</w:t>
      </w:r>
      <w:r w:rsidR="000129FE" w:rsidRPr="00515872">
        <w:rPr>
          <w:rFonts w:cs="Tahoma"/>
          <w:color w:val="000000"/>
          <w:szCs w:val="20"/>
        </w:rPr>
        <w:t>ti mensili, con l’utilizzo del m</w:t>
      </w:r>
      <w:r w:rsidRPr="00515872">
        <w:rPr>
          <w:rFonts w:cs="Tahoma"/>
          <w:color w:val="000000"/>
          <w:szCs w:val="20"/>
        </w:rPr>
        <w:t>odello F24EP;</w:t>
      </w:r>
    </w:p>
    <w:p w14:paraId="0E9A19C1"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in caso di ritardato o omesso versamento, vi provveda nel più breve tempo possibile attraverso lo strumento del ravvedimento operoso;</w:t>
      </w:r>
    </w:p>
    <w:p w14:paraId="48DAAD19"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riduca, nel cor</w:t>
      </w:r>
      <w:r w:rsidR="000129FE" w:rsidRPr="00515872">
        <w:rPr>
          <w:rFonts w:cs="Tahoma"/>
          <w:color w:val="000000"/>
          <w:szCs w:val="20"/>
        </w:rPr>
        <w:t>so dell’esercizio o in sede di d</w:t>
      </w:r>
      <w:r w:rsidRPr="00515872">
        <w:rPr>
          <w:rFonts w:cs="Tahoma"/>
          <w:color w:val="000000"/>
          <w:szCs w:val="20"/>
        </w:rPr>
        <w:t>ichiarazione annuale, la base imponibile ai fini IRAP di un ammontare pari alle deduzioni previste per tale imposta;</w:t>
      </w:r>
    </w:p>
    <w:p w14:paraId="082F6377"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versi nei termini l’eventuale s</w:t>
      </w:r>
      <w:r w:rsidR="000129FE" w:rsidRPr="00515872">
        <w:rPr>
          <w:rFonts w:cs="Tahoma"/>
          <w:color w:val="000000"/>
          <w:szCs w:val="20"/>
        </w:rPr>
        <w:t>aldo a debito risultante dalla d</w:t>
      </w:r>
      <w:r w:rsidRPr="00515872">
        <w:rPr>
          <w:rFonts w:cs="Tahoma"/>
          <w:color w:val="000000"/>
          <w:szCs w:val="20"/>
        </w:rPr>
        <w:t>ichiarazione annuale per uno o entrambi i “binari” istituzionale-retributivo e commerciale-contabile;</w:t>
      </w:r>
    </w:p>
    <w:p w14:paraId="1D07755E" w14:textId="77777777" w:rsidR="00B35CE8" w:rsidRPr="00515872" w:rsidRDefault="00B35CE8" w:rsidP="00D65838">
      <w:pPr>
        <w:pStyle w:val="Paragrafoelenco"/>
        <w:numPr>
          <w:ilvl w:val="0"/>
          <w:numId w:val="227"/>
        </w:numPr>
        <w:spacing w:line="360" w:lineRule="auto"/>
        <w:ind w:left="284" w:hanging="284"/>
        <w:jc w:val="both"/>
        <w:rPr>
          <w:rFonts w:eastAsia="Times New Roman" w:cs="Tahoma"/>
          <w:szCs w:val="20"/>
          <w:lang w:eastAsia="it-IT"/>
        </w:rPr>
      </w:pPr>
      <w:r w:rsidRPr="00515872">
        <w:rPr>
          <w:rFonts w:cs="Tahoma"/>
          <w:color w:val="000000"/>
          <w:szCs w:val="20"/>
        </w:rPr>
        <w:t>presenti nei termini la dichiarazione annuale.</w:t>
      </w:r>
      <w:r w:rsidRPr="00515872">
        <w:rPr>
          <w:rFonts w:cs="Tahoma"/>
          <w:szCs w:val="20"/>
        </w:rPr>
        <w:t xml:space="preserve"> </w:t>
      </w:r>
    </w:p>
    <w:p w14:paraId="422E6646" w14:textId="77777777" w:rsidR="009518AF" w:rsidRPr="00515872" w:rsidRDefault="009F2FB2" w:rsidP="009518AF">
      <w:pPr>
        <w:spacing w:line="360" w:lineRule="auto"/>
        <w:jc w:val="both"/>
        <w:rPr>
          <w:rFonts w:eastAsia="Times New Roman" w:cs="Tahoma"/>
          <w:lang w:eastAsia="it-IT"/>
        </w:rPr>
      </w:pPr>
      <w:r w:rsidRPr="00515872">
        <w:rPr>
          <w:rFonts w:eastAsia="Times New Roman" w:cs="Tahoma"/>
          <w:lang w:eastAsia="it-IT"/>
        </w:rPr>
        <w:t>G</w:t>
      </w:r>
      <w:r w:rsidR="009518AF" w:rsidRPr="00515872">
        <w:rPr>
          <w:rFonts w:eastAsia="Times New Roman" w:cs="Tahoma"/>
          <w:lang w:eastAsia="it-IT"/>
        </w:rPr>
        <w:t>li enti locali devono presentare la dichiarazione IRAP entro i termini ordinariamente previsti per i contribuenti soggetti a tale imposta</w:t>
      </w:r>
      <w:r w:rsidR="009518AF" w:rsidRPr="00515872">
        <w:rPr>
          <w:rStyle w:val="Rimandonotaapidipagina"/>
          <w:rFonts w:eastAsia="Times New Roman" w:cs="Tahoma"/>
          <w:lang w:eastAsia="it-IT"/>
        </w:rPr>
        <w:footnoteReference w:id="114"/>
      </w:r>
      <w:r w:rsidR="009518AF" w:rsidRPr="00515872">
        <w:rPr>
          <w:rFonts w:eastAsia="Times New Roman" w:cs="Tahoma"/>
          <w:lang w:eastAsia="it-IT"/>
        </w:rPr>
        <w:t xml:space="preserve">. Per quanto riguarda le pubbliche amministrazioni, vi è da osservare che, qualora più funzionari della stessa amministrazione siano stati delegati con atto formale ad emettere provvedimenti autorizzativi per i versamenti, ciascuno di questi dovrà compilare un apposito modello contenente i dati relativi agli imponibili IRAP ed </w:t>
      </w:r>
      <w:r w:rsidR="009F6C4A" w:rsidRPr="00515872">
        <w:rPr>
          <w:rFonts w:eastAsia="Times New Roman" w:cs="Tahoma"/>
          <w:lang w:eastAsia="it-IT"/>
        </w:rPr>
        <w:t>il</w:t>
      </w:r>
      <w:r w:rsidR="009518AF" w:rsidRPr="00515872">
        <w:rPr>
          <w:rFonts w:eastAsia="Times New Roman" w:cs="Tahoma"/>
          <w:lang w:eastAsia="it-IT"/>
        </w:rPr>
        <w:t xml:space="preserve"> valore della produzione netta e </w:t>
      </w:r>
      <w:r w:rsidR="009F6C4A" w:rsidRPr="00515872">
        <w:rPr>
          <w:rFonts w:eastAsia="Times New Roman" w:cs="Tahoma"/>
          <w:lang w:eastAsia="it-IT"/>
        </w:rPr>
        <w:t xml:space="preserve">provvedere </w:t>
      </w:r>
      <w:r w:rsidR="009518AF" w:rsidRPr="00515872">
        <w:rPr>
          <w:rFonts w:eastAsia="Times New Roman" w:cs="Tahoma"/>
          <w:lang w:eastAsia="it-IT"/>
        </w:rPr>
        <w:t>ai versamenti.</w:t>
      </w:r>
    </w:p>
    <w:p w14:paraId="09165E14" w14:textId="77777777" w:rsidR="00AD5D88" w:rsidRPr="00515872" w:rsidRDefault="00AD5D88" w:rsidP="009518AF">
      <w:pPr>
        <w:spacing w:line="360" w:lineRule="auto"/>
        <w:jc w:val="both"/>
        <w:rPr>
          <w:rFonts w:eastAsia="Times New Roman" w:cs="Tahoma"/>
          <w:szCs w:val="20"/>
          <w:lang w:eastAsia="it-IT"/>
        </w:rPr>
      </w:pPr>
      <w:r w:rsidRPr="00515872">
        <w:rPr>
          <w:rFonts w:cs="Tahoma"/>
          <w:color w:val="000000"/>
          <w:szCs w:val="20"/>
        </w:rPr>
        <w:lastRenderedPageBreak/>
        <w:t>L’</w:t>
      </w:r>
      <w:r w:rsidR="000129FE" w:rsidRPr="00515872">
        <w:rPr>
          <w:rFonts w:cs="Tahoma"/>
          <w:color w:val="000000"/>
          <w:szCs w:val="20"/>
        </w:rPr>
        <w:t>o</w:t>
      </w:r>
      <w:r w:rsidRPr="00515872">
        <w:rPr>
          <w:rFonts w:cs="Tahoma"/>
          <w:color w:val="000000"/>
          <w:szCs w:val="20"/>
        </w:rPr>
        <w:t>rgano di revisione deve sottoscrivere la dichiarazione IRAP.</w:t>
      </w:r>
    </w:p>
    <w:p w14:paraId="3A23E627" w14:textId="77777777" w:rsidR="00277513" w:rsidRPr="00515872" w:rsidRDefault="00277513" w:rsidP="009518AF">
      <w:pPr>
        <w:pStyle w:val="Sottoparagrafo"/>
        <w:rPr>
          <w:rFonts w:cs="Tahoma"/>
          <w:highlight w:val="yellow"/>
          <w:lang w:eastAsia="it-IT"/>
        </w:rPr>
      </w:pPr>
      <w:bookmarkStart w:id="228" w:name="_Toc521317133"/>
    </w:p>
    <w:p w14:paraId="0E414B8D" w14:textId="77777777" w:rsidR="009518AF" w:rsidRPr="00515872" w:rsidRDefault="00AD2719" w:rsidP="009518AF">
      <w:pPr>
        <w:pStyle w:val="Sottoparagrafo"/>
        <w:rPr>
          <w:rFonts w:cs="Tahoma"/>
          <w:lang w:eastAsia="it-IT"/>
        </w:rPr>
      </w:pPr>
      <w:bookmarkStart w:id="229" w:name="_Toc95912324"/>
      <w:r w:rsidRPr="00515872">
        <w:rPr>
          <w:rFonts w:cs="Tahoma"/>
          <w:lang w:eastAsia="it-IT"/>
        </w:rPr>
        <w:t>6.18</w:t>
      </w:r>
      <w:r w:rsidR="009518AF" w:rsidRPr="00515872">
        <w:rPr>
          <w:rFonts w:cs="Tahoma"/>
          <w:lang w:eastAsia="it-IT"/>
        </w:rPr>
        <w:t xml:space="preserve">.3 Non soggettività </w:t>
      </w:r>
      <w:r w:rsidR="00F35F17" w:rsidRPr="00515872">
        <w:rPr>
          <w:rFonts w:cs="Tahoma"/>
          <w:lang w:eastAsia="it-IT"/>
        </w:rPr>
        <w:t xml:space="preserve">passiva </w:t>
      </w:r>
      <w:r w:rsidR="009518AF" w:rsidRPr="00515872">
        <w:rPr>
          <w:rFonts w:cs="Tahoma"/>
          <w:lang w:eastAsia="it-IT"/>
        </w:rPr>
        <w:t>IRES</w:t>
      </w:r>
      <w:bookmarkEnd w:id="228"/>
      <w:bookmarkEnd w:id="229"/>
    </w:p>
    <w:p w14:paraId="79FC0A7B" w14:textId="77777777" w:rsidR="009518AF" w:rsidRPr="00515872" w:rsidRDefault="009518AF" w:rsidP="0095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 xml:space="preserve">Tra gli adempimenti fiscali cui sono soggetti gli enti locali, </w:t>
      </w:r>
      <w:r w:rsidRPr="00515872">
        <w:rPr>
          <w:rFonts w:eastAsia="Times New Roman" w:cs="Tahoma"/>
          <w:b/>
          <w:szCs w:val="20"/>
          <w:lang w:eastAsia="it-IT"/>
        </w:rPr>
        <w:t>non rientrano quelli connessi alla soggettività passiva ai fini delle imposte dirette.</w:t>
      </w:r>
      <w:r w:rsidRPr="00515872">
        <w:rPr>
          <w:rFonts w:eastAsia="Times New Roman" w:cs="Tahoma"/>
          <w:szCs w:val="20"/>
          <w:lang w:eastAsia="it-IT"/>
        </w:rPr>
        <w:t xml:space="preserve"> L’art. 74</w:t>
      </w:r>
      <w:r w:rsidR="000129FE" w:rsidRPr="00515872">
        <w:rPr>
          <w:rFonts w:eastAsia="Times New Roman" w:cs="Tahoma"/>
          <w:szCs w:val="20"/>
          <w:lang w:eastAsia="it-IT"/>
        </w:rPr>
        <w:t>,</w:t>
      </w:r>
      <w:r w:rsidRPr="00515872">
        <w:rPr>
          <w:rFonts w:eastAsia="Times New Roman" w:cs="Tahoma"/>
          <w:szCs w:val="20"/>
          <w:lang w:eastAsia="it-IT"/>
        </w:rPr>
        <w:t xml:space="preserve"> D.P.R. 22 dicembre 1986, n. 917 (TUIR), infatti, prevede che i comuni, le province, le comunità montane ed i consorzi locali di funzione </w:t>
      </w:r>
      <w:r w:rsidRPr="00515872">
        <w:rPr>
          <w:rFonts w:eastAsia="Times New Roman" w:cs="Tahoma"/>
          <w:b/>
          <w:szCs w:val="20"/>
          <w:lang w:eastAsia="it-IT"/>
        </w:rPr>
        <w:t>non sono soggetti all’IRES</w:t>
      </w:r>
      <w:r w:rsidRPr="00515872">
        <w:rPr>
          <w:rFonts w:eastAsia="Times New Roman" w:cs="Tahoma"/>
          <w:szCs w:val="20"/>
          <w:lang w:eastAsia="it-IT"/>
        </w:rPr>
        <w:t>.</w:t>
      </w:r>
    </w:p>
    <w:p w14:paraId="552AFB9B" w14:textId="77777777" w:rsidR="00277513" w:rsidRPr="00515872" w:rsidRDefault="00277513" w:rsidP="009518AF">
      <w:pPr>
        <w:pStyle w:val="Sottoparagrafo"/>
        <w:rPr>
          <w:rFonts w:cs="Tahoma"/>
          <w:lang w:eastAsia="it-IT"/>
        </w:rPr>
      </w:pPr>
      <w:bookmarkStart w:id="230" w:name="_Toc521317134"/>
    </w:p>
    <w:p w14:paraId="6D034AF0" w14:textId="77777777" w:rsidR="009518AF" w:rsidRPr="00515872" w:rsidRDefault="00AD2719" w:rsidP="009518AF">
      <w:pPr>
        <w:pStyle w:val="Sottoparagrafo"/>
        <w:rPr>
          <w:rFonts w:cs="Tahoma"/>
          <w:lang w:eastAsia="it-IT"/>
        </w:rPr>
      </w:pPr>
      <w:bookmarkStart w:id="231" w:name="_Toc95912325"/>
      <w:r w:rsidRPr="00515872">
        <w:rPr>
          <w:rFonts w:cs="Tahoma"/>
          <w:lang w:eastAsia="it-IT"/>
        </w:rPr>
        <w:t>6.18</w:t>
      </w:r>
      <w:r w:rsidR="009518AF" w:rsidRPr="00515872">
        <w:rPr>
          <w:rFonts w:cs="Tahoma"/>
          <w:lang w:eastAsia="it-IT"/>
        </w:rPr>
        <w:t>.4 Sostituto di imposta</w:t>
      </w:r>
      <w:bookmarkEnd w:id="230"/>
      <w:bookmarkEnd w:id="231"/>
    </w:p>
    <w:p w14:paraId="325ECD07" w14:textId="77777777" w:rsidR="009518AF" w:rsidRPr="00515872" w:rsidRDefault="009518AF" w:rsidP="009518AF">
      <w:pPr>
        <w:pStyle w:val="Default"/>
        <w:spacing w:line="360" w:lineRule="auto"/>
        <w:jc w:val="both"/>
        <w:rPr>
          <w:rFonts w:ascii="Tahoma" w:hAnsi="Tahoma" w:cs="Tahoma"/>
          <w:sz w:val="20"/>
          <w:szCs w:val="20"/>
        </w:rPr>
      </w:pPr>
      <w:r w:rsidRPr="00515872">
        <w:rPr>
          <w:rFonts w:ascii="Tahoma" w:hAnsi="Tahoma" w:cs="Tahoma"/>
          <w:sz w:val="20"/>
          <w:szCs w:val="20"/>
        </w:rPr>
        <w:t xml:space="preserve">L’ente locale riveste la qualifica di sostituto d’imposta per le somme corrisposte ai dipendenti, ai professionisti e agli altri soggetti durante l’anno solare. Esso è tenuto a </w:t>
      </w:r>
      <w:r w:rsidR="00C90FAF" w:rsidRPr="00515872">
        <w:rPr>
          <w:rFonts w:ascii="Tahoma" w:hAnsi="Tahoma" w:cs="Tahoma"/>
          <w:sz w:val="20"/>
          <w:szCs w:val="20"/>
        </w:rPr>
        <w:t xml:space="preserve">rilasciare annualmente ai percipienti la certificazione dei compensi erogati e delle ritenute effettuate nel corso dell’esercizio precedente, nonché a </w:t>
      </w:r>
      <w:r w:rsidRPr="00515872">
        <w:rPr>
          <w:rFonts w:ascii="Tahoma" w:hAnsi="Tahoma" w:cs="Tahoma"/>
          <w:sz w:val="20"/>
          <w:szCs w:val="20"/>
        </w:rPr>
        <w:t xml:space="preserve">presentare la dichiarazione annuale per tali somme e ad indicare le ritenute operate e versate all’Erario. La qualifica di sostituto d’imposta è rivestita per le somme corrisposte a vario titolo: </w:t>
      </w:r>
    </w:p>
    <w:p w14:paraId="79EC587C"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prestazioni di lavoro dipendente; </w:t>
      </w:r>
    </w:p>
    <w:p w14:paraId="7B0B902B"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prestazioni assimilate al lavoro dipendente; </w:t>
      </w:r>
    </w:p>
    <w:p w14:paraId="05A6BD08"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prestazioni di lavoro autonomo; </w:t>
      </w:r>
    </w:p>
    <w:p w14:paraId="68AE95AC"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prestazioni di non residenti; </w:t>
      </w:r>
    </w:p>
    <w:p w14:paraId="0CB0E96A"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contributi a imprese ed enti; </w:t>
      </w:r>
    </w:p>
    <w:p w14:paraId="79F739A2" w14:textId="77777777" w:rsidR="009518AF" w:rsidRPr="00515872" w:rsidRDefault="009518AF" w:rsidP="00D65838">
      <w:pPr>
        <w:pStyle w:val="Default"/>
        <w:numPr>
          <w:ilvl w:val="0"/>
          <w:numId w:val="191"/>
        </w:numPr>
        <w:spacing w:line="360" w:lineRule="auto"/>
        <w:ind w:left="426"/>
        <w:jc w:val="both"/>
        <w:rPr>
          <w:rFonts w:ascii="Tahoma" w:hAnsi="Tahoma" w:cs="Tahoma"/>
          <w:sz w:val="20"/>
          <w:szCs w:val="20"/>
        </w:rPr>
      </w:pPr>
      <w:r w:rsidRPr="00515872">
        <w:rPr>
          <w:rFonts w:ascii="Tahoma" w:hAnsi="Tahoma" w:cs="Tahoma"/>
          <w:sz w:val="20"/>
          <w:szCs w:val="20"/>
        </w:rPr>
        <w:t xml:space="preserve">premi e vincite erogati; </w:t>
      </w:r>
    </w:p>
    <w:p w14:paraId="1C6AE98D" w14:textId="77777777" w:rsidR="009518AF" w:rsidRPr="00515872" w:rsidRDefault="009518AF" w:rsidP="00D65838">
      <w:pPr>
        <w:pStyle w:val="Default"/>
        <w:numPr>
          <w:ilvl w:val="0"/>
          <w:numId w:val="191"/>
        </w:numPr>
        <w:spacing w:after="200" w:line="360" w:lineRule="auto"/>
        <w:ind w:left="426"/>
        <w:jc w:val="both"/>
        <w:rPr>
          <w:rFonts w:ascii="Tahoma" w:hAnsi="Tahoma" w:cs="Tahoma"/>
          <w:sz w:val="20"/>
          <w:szCs w:val="20"/>
        </w:rPr>
      </w:pPr>
      <w:r w:rsidRPr="00515872">
        <w:rPr>
          <w:rFonts w:ascii="Tahoma" w:hAnsi="Tahoma" w:cs="Tahoma"/>
          <w:sz w:val="20"/>
          <w:szCs w:val="20"/>
        </w:rPr>
        <w:t xml:space="preserve">indennità di esproprio. </w:t>
      </w:r>
    </w:p>
    <w:p w14:paraId="4C8E76B3" w14:textId="77777777" w:rsidR="009518AF" w:rsidRPr="00515872" w:rsidRDefault="009518AF" w:rsidP="009518AF">
      <w:pPr>
        <w:pStyle w:val="Default"/>
        <w:spacing w:line="360" w:lineRule="auto"/>
        <w:jc w:val="both"/>
        <w:rPr>
          <w:rFonts w:ascii="Tahoma" w:hAnsi="Tahoma" w:cs="Tahoma"/>
          <w:sz w:val="20"/>
          <w:szCs w:val="20"/>
        </w:rPr>
      </w:pPr>
      <w:r w:rsidRPr="00515872">
        <w:rPr>
          <w:rFonts w:ascii="Tahoma" w:hAnsi="Tahoma" w:cs="Tahoma"/>
          <w:sz w:val="20"/>
          <w:szCs w:val="20"/>
        </w:rPr>
        <w:t xml:space="preserve">In quanto sostituto di imposta, l’ente locale è soggetto agli adempimenti connessi a questo status, in particolare: </w:t>
      </w:r>
    </w:p>
    <w:p w14:paraId="106C9EE0" w14:textId="77777777" w:rsidR="009518AF" w:rsidRPr="00515872" w:rsidRDefault="009518AF" w:rsidP="00D65838">
      <w:pPr>
        <w:pStyle w:val="Default"/>
        <w:numPr>
          <w:ilvl w:val="0"/>
          <w:numId w:val="192"/>
        </w:numPr>
        <w:spacing w:line="360" w:lineRule="auto"/>
        <w:ind w:left="426"/>
        <w:jc w:val="both"/>
        <w:rPr>
          <w:rFonts w:ascii="Tahoma" w:hAnsi="Tahoma" w:cs="Tahoma"/>
          <w:sz w:val="20"/>
          <w:szCs w:val="20"/>
        </w:rPr>
      </w:pPr>
      <w:r w:rsidRPr="00515872">
        <w:rPr>
          <w:rFonts w:ascii="Tahoma" w:hAnsi="Tahoma" w:cs="Tahoma"/>
          <w:sz w:val="20"/>
          <w:szCs w:val="20"/>
        </w:rPr>
        <w:t xml:space="preserve">effettuazione e versamento delle ritenute; </w:t>
      </w:r>
    </w:p>
    <w:p w14:paraId="3217B5CB" w14:textId="77777777" w:rsidR="009518AF" w:rsidRPr="00515872" w:rsidRDefault="009518AF" w:rsidP="00D65838">
      <w:pPr>
        <w:pStyle w:val="Default"/>
        <w:numPr>
          <w:ilvl w:val="0"/>
          <w:numId w:val="192"/>
        </w:numPr>
        <w:spacing w:line="360" w:lineRule="auto"/>
        <w:ind w:left="426"/>
        <w:jc w:val="both"/>
        <w:rPr>
          <w:rFonts w:ascii="Tahoma" w:hAnsi="Tahoma" w:cs="Tahoma"/>
          <w:sz w:val="20"/>
          <w:szCs w:val="20"/>
        </w:rPr>
      </w:pPr>
      <w:r w:rsidRPr="00515872">
        <w:rPr>
          <w:rFonts w:ascii="Tahoma" w:hAnsi="Tahoma" w:cs="Tahoma"/>
          <w:sz w:val="20"/>
          <w:szCs w:val="20"/>
        </w:rPr>
        <w:t xml:space="preserve">certificazione dei corrispettivi; </w:t>
      </w:r>
    </w:p>
    <w:p w14:paraId="52A5EBFC" w14:textId="77777777" w:rsidR="009518AF" w:rsidRPr="00515872" w:rsidRDefault="009518AF" w:rsidP="00D65838">
      <w:pPr>
        <w:pStyle w:val="Default"/>
        <w:numPr>
          <w:ilvl w:val="0"/>
          <w:numId w:val="192"/>
        </w:numPr>
        <w:spacing w:after="200" w:line="360" w:lineRule="auto"/>
        <w:ind w:left="426"/>
        <w:jc w:val="both"/>
        <w:rPr>
          <w:rFonts w:ascii="Tahoma" w:hAnsi="Tahoma" w:cs="Tahoma"/>
          <w:sz w:val="20"/>
          <w:szCs w:val="20"/>
        </w:rPr>
      </w:pPr>
      <w:r w:rsidRPr="00515872">
        <w:rPr>
          <w:rFonts w:ascii="Tahoma" w:hAnsi="Tahoma" w:cs="Tahoma"/>
          <w:sz w:val="20"/>
          <w:szCs w:val="20"/>
        </w:rPr>
        <w:t>presentazione del modello 770.</w:t>
      </w:r>
    </w:p>
    <w:p w14:paraId="425B0813"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Come ogni sostituto di imposta, l’ente locale è tenuto ad effettuare il versamento delle ritenute entro il giorno 16 del mese successivo a quello di pagamento effettuato a titolo di compenso o altro titolo.</w:t>
      </w:r>
    </w:p>
    <w:p w14:paraId="39519F76" w14:textId="77777777" w:rsidR="009518AF" w:rsidRPr="00515872" w:rsidRDefault="009518AF" w:rsidP="008D301E">
      <w:pPr>
        <w:pStyle w:val="Default"/>
        <w:spacing w:line="360" w:lineRule="auto"/>
        <w:jc w:val="both"/>
        <w:rPr>
          <w:rFonts w:ascii="Tahoma" w:hAnsi="Tahoma" w:cs="Tahoma"/>
          <w:sz w:val="20"/>
          <w:szCs w:val="20"/>
        </w:rPr>
      </w:pPr>
      <w:r w:rsidRPr="00515872">
        <w:rPr>
          <w:rFonts w:ascii="Tahoma" w:hAnsi="Tahoma" w:cs="Tahoma"/>
          <w:b/>
          <w:bCs/>
          <w:sz w:val="20"/>
          <w:szCs w:val="20"/>
        </w:rPr>
        <w:t xml:space="preserve">Certificazione dei compensi e delle ritenute </w:t>
      </w:r>
    </w:p>
    <w:p w14:paraId="0B5F548D" w14:textId="77777777" w:rsidR="008D301E"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Nell’ambito degli adempimenti connessi alla qualifica di sostituto di imposta, l’ente è tenuto a rilasciare al percipiente una certificazione attestante l'ammontare complessivo delle somme e valori corrisposti, l'ammon</w:t>
      </w:r>
      <w:r w:rsidR="00BF386F" w:rsidRPr="00515872">
        <w:rPr>
          <w:rFonts w:ascii="Tahoma" w:hAnsi="Tahoma" w:cs="Tahoma"/>
          <w:sz w:val="20"/>
          <w:szCs w:val="20"/>
        </w:rPr>
        <w:t xml:space="preserve">tare delle ritenute operate, </w:t>
      </w:r>
      <w:r w:rsidRPr="00515872">
        <w:rPr>
          <w:rFonts w:ascii="Tahoma" w:hAnsi="Tahoma" w:cs="Tahoma"/>
          <w:sz w:val="20"/>
          <w:szCs w:val="20"/>
        </w:rPr>
        <w:t>le detra</w:t>
      </w:r>
      <w:r w:rsidR="00BF386F" w:rsidRPr="00515872">
        <w:rPr>
          <w:rFonts w:ascii="Tahoma" w:hAnsi="Tahoma" w:cs="Tahoma"/>
          <w:sz w:val="20"/>
          <w:szCs w:val="20"/>
        </w:rPr>
        <w:t xml:space="preserve">zioni di imposta effettuate e </w:t>
      </w:r>
      <w:r w:rsidRPr="00515872">
        <w:rPr>
          <w:rFonts w:ascii="Tahoma" w:hAnsi="Tahoma" w:cs="Tahoma"/>
          <w:sz w:val="20"/>
          <w:szCs w:val="20"/>
        </w:rPr>
        <w:t xml:space="preserve">i contributi previdenziali e assistenziali, nonché gli altri dati stabiliti con il provvedimento amministrativo di approvazione </w:t>
      </w:r>
      <w:r w:rsidR="008D301E" w:rsidRPr="00515872">
        <w:rPr>
          <w:rFonts w:ascii="Tahoma" w:hAnsi="Tahoma" w:cs="Tahoma"/>
          <w:sz w:val="20"/>
          <w:szCs w:val="20"/>
        </w:rPr>
        <w:t>dello schema di certificazione.</w:t>
      </w:r>
    </w:p>
    <w:p w14:paraId="633B612A"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lastRenderedPageBreak/>
        <w:t>In particolare, per quanto riguarda i redditi di lavoro dipendente e assimilato, nonché quelli di lavoro autonomo, il sostituto d’imposta deve rilasciare al soggetto percipiente, a decorrere dal 2015, la Certificazione Unica (C.U.) in duplice copia, corredata delle istruzioni per il contribuente, entro il 31 marzo (nuovo termine stabilito a decorrere dal 2017 ad opera dell’art. 7-quater, D.L. 22 ottobre 2016, n. 193, conv. L. 1 dicembre 2016, n. 225</w:t>
      </w:r>
      <w:r w:rsidR="00BF386F" w:rsidRPr="00515872">
        <w:rPr>
          <w:rStyle w:val="Rimandonotaapidipagina"/>
          <w:rFonts w:ascii="Tahoma" w:hAnsi="Tahoma" w:cs="Tahoma"/>
          <w:sz w:val="20"/>
          <w:szCs w:val="20"/>
        </w:rPr>
        <w:footnoteReference w:id="115"/>
      </w:r>
      <w:r w:rsidRPr="00515872">
        <w:rPr>
          <w:rFonts w:ascii="Tahoma" w:hAnsi="Tahoma" w:cs="Tahoma"/>
          <w:sz w:val="20"/>
          <w:szCs w:val="20"/>
        </w:rPr>
        <w:t xml:space="preserve">) dell’anno successivo a quello di corresponsione dei compensi. </w:t>
      </w:r>
    </w:p>
    <w:p w14:paraId="780B6E15" w14:textId="36ADCD60"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La Certificazione Unica deve anche essere trasmessa telematicamente all’Agenzia delle Entrate entro il giorno 7 marzo del medesimo anno.</w:t>
      </w:r>
      <w:r w:rsidR="004005E1" w:rsidRPr="00515872">
        <w:rPr>
          <w:rFonts w:ascii="Tahoma" w:hAnsi="Tahoma" w:cs="Tahoma"/>
          <w:sz w:val="20"/>
          <w:szCs w:val="20"/>
        </w:rPr>
        <w:t xml:space="preserve"> Per il 2022, </w:t>
      </w:r>
      <w:r w:rsidR="000A53FE" w:rsidRPr="00515872">
        <w:rPr>
          <w:rFonts w:ascii="Tahoma" w:hAnsi="Tahoma" w:cs="Tahoma"/>
          <w:sz w:val="20"/>
          <w:szCs w:val="20"/>
        </w:rPr>
        <w:t xml:space="preserve">relativamente ai compensi corrisposti nel corso del 2021, </w:t>
      </w:r>
      <w:r w:rsidR="004005E1" w:rsidRPr="00515872">
        <w:rPr>
          <w:rFonts w:ascii="Tahoma" w:hAnsi="Tahoma" w:cs="Tahoma"/>
          <w:sz w:val="20"/>
          <w:szCs w:val="20"/>
        </w:rPr>
        <w:t>con comunicato stampa del 14 gennaio 2022, l’Agenzia delle Entrate ha stabilito che la certificazione debba essere trasmessa entro il 16 marzo 2022.</w:t>
      </w:r>
      <w:r w:rsidRPr="00515872">
        <w:rPr>
          <w:rFonts w:ascii="Tahoma" w:hAnsi="Tahoma" w:cs="Tahoma"/>
          <w:sz w:val="20"/>
          <w:szCs w:val="20"/>
        </w:rPr>
        <w:t xml:space="preserve"> </w:t>
      </w:r>
      <w:r w:rsidR="001E548F" w:rsidRPr="00515872">
        <w:rPr>
          <w:rFonts w:ascii="Tahoma" w:hAnsi="Tahoma" w:cs="Tahoma"/>
          <w:sz w:val="20"/>
          <w:szCs w:val="20"/>
        </w:rPr>
        <w:t>È</w:t>
      </w:r>
      <w:r w:rsidR="00C90FAF" w:rsidRPr="00515872">
        <w:rPr>
          <w:rFonts w:ascii="Tahoma" w:hAnsi="Tahoma" w:cs="Tahoma"/>
          <w:sz w:val="20"/>
          <w:szCs w:val="20"/>
        </w:rPr>
        <w:t xml:space="preserve"> generalmente prevista la possibilità di invio delle certificazioni anche oltre tale data, limitatamente a quelle</w:t>
      </w:r>
      <w:r w:rsidRPr="00515872">
        <w:rPr>
          <w:rFonts w:ascii="Tahoma" w:hAnsi="Tahoma" w:cs="Tahoma"/>
          <w:sz w:val="20"/>
          <w:szCs w:val="20"/>
        </w:rPr>
        <w:t xml:space="preserve"> contenenti esclusivamente redditi non dichiarabili con il mod. 730 precompilato</w:t>
      </w:r>
      <w:r w:rsidR="00C90FAF" w:rsidRPr="00515872">
        <w:rPr>
          <w:rFonts w:ascii="Tahoma" w:hAnsi="Tahoma" w:cs="Tahoma"/>
          <w:sz w:val="20"/>
          <w:szCs w:val="20"/>
        </w:rPr>
        <w:t>,</w:t>
      </w:r>
      <w:r w:rsidRPr="00515872">
        <w:rPr>
          <w:rFonts w:ascii="Tahoma" w:hAnsi="Tahoma" w:cs="Tahoma"/>
          <w:sz w:val="20"/>
          <w:szCs w:val="20"/>
        </w:rPr>
        <w:t xml:space="preserve"> fino al termine di presentazione del mod. 770</w:t>
      </w:r>
      <w:r w:rsidR="00C90FAF" w:rsidRPr="00515872">
        <w:rPr>
          <w:rFonts w:ascii="Tahoma" w:hAnsi="Tahoma" w:cs="Tahoma"/>
          <w:sz w:val="20"/>
          <w:szCs w:val="20"/>
        </w:rPr>
        <w:t>, senza applicazione di sanzioni</w:t>
      </w:r>
      <w:r w:rsidRPr="00515872">
        <w:rPr>
          <w:rFonts w:ascii="Tahoma" w:hAnsi="Tahoma" w:cs="Tahoma"/>
          <w:sz w:val="20"/>
          <w:szCs w:val="20"/>
        </w:rPr>
        <w:t>.</w:t>
      </w:r>
    </w:p>
    <w:p w14:paraId="698B160F" w14:textId="77777777" w:rsidR="009518AF" w:rsidRPr="00515872" w:rsidRDefault="009518AF" w:rsidP="008D301E">
      <w:pPr>
        <w:pStyle w:val="Default"/>
        <w:spacing w:line="360" w:lineRule="auto"/>
        <w:jc w:val="both"/>
        <w:rPr>
          <w:rFonts w:ascii="Tahoma" w:hAnsi="Tahoma" w:cs="Tahoma"/>
          <w:sz w:val="20"/>
          <w:szCs w:val="20"/>
        </w:rPr>
      </w:pPr>
      <w:r w:rsidRPr="00515872">
        <w:rPr>
          <w:rFonts w:ascii="Tahoma" w:hAnsi="Tahoma" w:cs="Tahoma"/>
          <w:b/>
          <w:bCs/>
          <w:sz w:val="20"/>
          <w:szCs w:val="20"/>
        </w:rPr>
        <w:t xml:space="preserve">Dichiarazione del sostituto d’imposta </w:t>
      </w:r>
    </w:p>
    <w:p w14:paraId="17DA3629"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 xml:space="preserve">Per quanto riguarda il modello 770, a seguito dell’introduzione dell’obbligo della Certificazione Unica, esso presenta un contenuto notevolmente ridimensionato, dovendosi riportare, ora, solo i dati fiscali relativi alle ritenute operate nell’anno precedente, </w:t>
      </w:r>
      <w:r w:rsidR="008D301E" w:rsidRPr="00515872">
        <w:rPr>
          <w:rFonts w:ascii="Tahoma" w:hAnsi="Tahoma" w:cs="Tahoma"/>
          <w:sz w:val="20"/>
          <w:szCs w:val="20"/>
        </w:rPr>
        <w:t>a</w:t>
      </w:r>
      <w:r w:rsidRPr="00515872">
        <w:rPr>
          <w:rFonts w:ascii="Tahoma" w:hAnsi="Tahoma" w:cs="Tahoma"/>
          <w:sz w:val="20"/>
          <w:szCs w:val="20"/>
        </w:rPr>
        <w:t xml:space="preserve">i relativi versamenti, </w:t>
      </w:r>
      <w:r w:rsidR="008D301E" w:rsidRPr="00515872">
        <w:rPr>
          <w:rFonts w:ascii="Tahoma" w:hAnsi="Tahoma" w:cs="Tahoma"/>
          <w:sz w:val="20"/>
          <w:szCs w:val="20"/>
        </w:rPr>
        <w:t>al</w:t>
      </w:r>
      <w:r w:rsidRPr="00515872">
        <w:rPr>
          <w:rFonts w:ascii="Tahoma" w:hAnsi="Tahoma" w:cs="Tahoma"/>
          <w:sz w:val="20"/>
          <w:szCs w:val="20"/>
        </w:rPr>
        <w:t xml:space="preserve">le eventuali compensazioni effettuate, </w:t>
      </w:r>
      <w:r w:rsidR="008D301E" w:rsidRPr="00515872">
        <w:rPr>
          <w:rFonts w:ascii="Tahoma" w:hAnsi="Tahoma" w:cs="Tahoma"/>
          <w:sz w:val="20"/>
          <w:szCs w:val="20"/>
        </w:rPr>
        <w:t>al</w:t>
      </w:r>
      <w:r w:rsidRPr="00515872">
        <w:rPr>
          <w:rFonts w:ascii="Tahoma" w:hAnsi="Tahoma" w:cs="Tahoma"/>
          <w:sz w:val="20"/>
          <w:szCs w:val="20"/>
        </w:rPr>
        <w:t xml:space="preserve"> riepilogo dei crediti, nonché gli altri dati contributivi ed assicurativi richiesti, riferiti alle certificazioni rilasciate ai soggetti cui sono stati erogati compensi soggetti a ritenuta.</w:t>
      </w:r>
    </w:p>
    <w:p w14:paraId="295C8E46" w14:textId="77777777" w:rsidR="009518AF" w:rsidRPr="00515872" w:rsidRDefault="009518AF" w:rsidP="009518AF">
      <w:pPr>
        <w:autoSpaceDE w:val="0"/>
        <w:autoSpaceDN w:val="0"/>
        <w:adjustRightInd w:val="0"/>
        <w:spacing w:line="360" w:lineRule="auto"/>
        <w:jc w:val="both"/>
        <w:rPr>
          <w:rFonts w:cs="Tahoma"/>
          <w:szCs w:val="20"/>
        </w:rPr>
      </w:pPr>
      <w:r w:rsidRPr="00515872">
        <w:rPr>
          <w:rFonts w:cs="Tahoma"/>
          <w:szCs w:val="20"/>
        </w:rPr>
        <w:t>Quale elemento di novità si ricorda che, dal 2017, è avvenuta l’</w:t>
      </w:r>
      <w:r w:rsidRPr="00515872">
        <w:rPr>
          <w:rFonts w:cs="Tahoma"/>
          <w:b/>
          <w:szCs w:val="20"/>
        </w:rPr>
        <w:t>unificazione dei modelli, 770 Ordinario e Semplificato in un unico modello</w:t>
      </w:r>
      <w:r w:rsidRPr="00515872">
        <w:rPr>
          <w:rFonts w:cs="Tahoma"/>
          <w:szCs w:val="20"/>
        </w:rPr>
        <w:t>.</w:t>
      </w:r>
    </w:p>
    <w:p w14:paraId="5ECAE2ED"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 xml:space="preserve">Nel frontespizio del modello devono essere riportate le </w:t>
      </w:r>
      <w:r w:rsidRPr="00515872">
        <w:rPr>
          <w:rFonts w:ascii="Tahoma" w:hAnsi="Tahoma" w:cs="Tahoma"/>
          <w:b/>
          <w:sz w:val="20"/>
          <w:szCs w:val="20"/>
        </w:rPr>
        <w:t>generalità dei componenti dell’organo di revisione</w:t>
      </w:r>
      <w:r w:rsidRPr="00515872">
        <w:rPr>
          <w:rFonts w:ascii="Tahoma" w:hAnsi="Tahoma" w:cs="Tahoma"/>
          <w:sz w:val="20"/>
          <w:szCs w:val="20"/>
        </w:rPr>
        <w:t xml:space="preserve"> i quali d</w:t>
      </w:r>
      <w:r w:rsidR="00086E6E" w:rsidRPr="00515872">
        <w:rPr>
          <w:rFonts w:ascii="Tahoma" w:hAnsi="Tahoma" w:cs="Tahoma"/>
          <w:sz w:val="20"/>
          <w:szCs w:val="20"/>
        </w:rPr>
        <w:t>evono apporre la propria firma.</w:t>
      </w:r>
    </w:p>
    <w:p w14:paraId="28709396" w14:textId="77777777" w:rsidR="009518AF" w:rsidRPr="00515872" w:rsidRDefault="009518AF" w:rsidP="009518AF">
      <w:pPr>
        <w:pStyle w:val="Default"/>
        <w:spacing w:after="200" w:line="360" w:lineRule="auto"/>
        <w:jc w:val="both"/>
        <w:rPr>
          <w:rFonts w:ascii="Tahoma" w:hAnsi="Tahoma" w:cs="Tahoma"/>
          <w:sz w:val="20"/>
          <w:szCs w:val="20"/>
        </w:rPr>
      </w:pPr>
      <w:r w:rsidRPr="00515872">
        <w:rPr>
          <w:rFonts w:ascii="Tahoma" w:hAnsi="Tahoma" w:cs="Tahoma"/>
          <w:sz w:val="20"/>
          <w:szCs w:val="20"/>
        </w:rPr>
        <w:t xml:space="preserve">Come già avvenuto per il 2016, anche il termine di invio telematico previsto per il 2017 per le somme erogate nel 2016, ordinariamente previsto per il 31 luglio dell’anno successivo a quello di riferimento, è stato oggetto di proroga ad opera del D.P.C.M. 26 luglio 2017 che </w:t>
      </w:r>
      <w:r w:rsidR="00CA2070" w:rsidRPr="00515872">
        <w:rPr>
          <w:rFonts w:ascii="Tahoma" w:hAnsi="Tahoma" w:cs="Tahoma"/>
          <w:sz w:val="20"/>
          <w:szCs w:val="20"/>
        </w:rPr>
        <w:t>l’</w:t>
      </w:r>
      <w:r w:rsidRPr="00515872">
        <w:rPr>
          <w:rFonts w:ascii="Tahoma" w:hAnsi="Tahoma" w:cs="Tahoma"/>
          <w:sz w:val="20"/>
          <w:szCs w:val="20"/>
        </w:rPr>
        <w:t xml:space="preserve">ha differito al 31 ottobre 2017. La legge di bilancio per il 2018 ha, infine, prorogato a regime il termine di presentazione della dichiarazione </w:t>
      </w:r>
      <w:r w:rsidR="00CA2070" w:rsidRPr="00515872">
        <w:rPr>
          <w:rFonts w:ascii="Tahoma" w:hAnsi="Tahoma" w:cs="Tahoma"/>
          <w:i/>
          <w:sz w:val="20"/>
          <w:szCs w:val="20"/>
        </w:rPr>
        <w:t>de quo</w:t>
      </w:r>
      <w:r w:rsidR="00CA2070" w:rsidRPr="00515872">
        <w:rPr>
          <w:rFonts w:ascii="Tahoma" w:hAnsi="Tahoma" w:cs="Tahoma"/>
          <w:sz w:val="20"/>
          <w:szCs w:val="20"/>
        </w:rPr>
        <w:t xml:space="preserve"> </w:t>
      </w:r>
      <w:r w:rsidR="00086E6E" w:rsidRPr="00515872">
        <w:rPr>
          <w:rFonts w:ascii="Tahoma" w:hAnsi="Tahoma" w:cs="Tahoma"/>
          <w:sz w:val="20"/>
          <w:szCs w:val="20"/>
        </w:rPr>
        <w:t>al</w:t>
      </w:r>
      <w:r w:rsidRPr="00515872">
        <w:rPr>
          <w:rFonts w:ascii="Tahoma" w:hAnsi="Tahoma" w:cs="Tahoma"/>
          <w:sz w:val="20"/>
          <w:szCs w:val="20"/>
        </w:rPr>
        <w:t xml:space="preserve"> 31 ottobre dell’anno successivo a quello di riferimento.</w:t>
      </w:r>
    </w:p>
    <w:p w14:paraId="01DAB424" w14:textId="77777777" w:rsidR="009518AF" w:rsidRPr="00515872" w:rsidRDefault="009518AF" w:rsidP="009518AF">
      <w:pPr>
        <w:autoSpaceDE w:val="0"/>
        <w:autoSpaceDN w:val="0"/>
        <w:adjustRightInd w:val="0"/>
        <w:spacing w:line="360" w:lineRule="auto"/>
        <w:jc w:val="both"/>
        <w:rPr>
          <w:rFonts w:cs="Tahoma"/>
          <w:caps/>
          <w:szCs w:val="20"/>
        </w:rPr>
      </w:pPr>
      <w:r w:rsidRPr="00515872">
        <w:rPr>
          <w:rFonts w:cs="Tahoma"/>
          <w:szCs w:val="20"/>
        </w:rPr>
        <w:t xml:space="preserve">Nonostante il prospetto sia stato unificato, la sua </w:t>
      </w:r>
      <w:r w:rsidR="0069375F" w:rsidRPr="00515872">
        <w:rPr>
          <w:rFonts w:cs="Tahoma"/>
          <w:b/>
          <w:bCs/>
          <w:szCs w:val="20"/>
        </w:rPr>
        <w:t>trasmissione, che deve</w:t>
      </w:r>
      <w:r w:rsidRPr="00515872">
        <w:rPr>
          <w:rFonts w:cs="Tahoma"/>
          <w:b/>
          <w:bCs/>
          <w:szCs w:val="20"/>
        </w:rPr>
        <w:t xml:space="preserve"> essere effettuata telematicamente all’Agenzia delle Entrate</w:t>
      </w:r>
      <w:r w:rsidRPr="00515872">
        <w:rPr>
          <w:rFonts w:cs="Tahoma"/>
          <w:szCs w:val="20"/>
        </w:rPr>
        <w:t>, può essere spezzata in più flussi; i sostituti di imposta</w:t>
      </w:r>
      <w:r w:rsidRPr="00515872">
        <w:rPr>
          <w:rFonts w:cs="Tahoma"/>
          <w:b/>
          <w:bCs/>
          <w:szCs w:val="20"/>
        </w:rPr>
        <w:t xml:space="preserve"> </w:t>
      </w:r>
      <w:r w:rsidRPr="00515872">
        <w:rPr>
          <w:rFonts w:cs="Tahoma"/>
          <w:szCs w:val="20"/>
        </w:rPr>
        <w:t xml:space="preserve">possono infatti inviare, oltre al frontespizio, i prospetti SS, ST, SV, SX, SY riferiti alle ritenute operate sui redditi di </w:t>
      </w:r>
      <w:r w:rsidRPr="00515872">
        <w:rPr>
          <w:rFonts w:cs="Tahoma"/>
          <w:b/>
          <w:bCs/>
          <w:szCs w:val="20"/>
        </w:rPr>
        <w:t xml:space="preserve">lavoro dipendente </w:t>
      </w:r>
      <w:r w:rsidRPr="00515872">
        <w:rPr>
          <w:rFonts w:cs="Tahoma"/>
          <w:szCs w:val="20"/>
        </w:rPr>
        <w:t xml:space="preserve">e assimilati, separandoli da quelli relativi alle ritenute operate sui redditi di </w:t>
      </w:r>
      <w:r w:rsidRPr="00515872">
        <w:rPr>
          <w:rFonts w:cs="Tahoma"/>
          <w:b/>
          <w:bCs/>
          <w:szCs w:val="20"/>
        </w:rPr>
        <w:t>lavoro autonomo</w:t>
      </w:r>
      <w:r w:rsidR="0069375F" w:rsidRPr="00515872">
        <w:rPr>
          <w:rFonts w:cs="Tahoma"/>
          <w:szCs w:val="20"/>
        </w:rPr>
        <w:t xml:space="preserve"> e altri redditi.</w:t>
      </w:r>
    </w:p>
    <w:p w14:paraId="3E3D89F7" w14:textId="77777777" w:rsidR="009518AF" w:rsidRPr="00515872" w:rsidRDefault="009518AF" w:rsidP="009518AF">
      <w:pPr>
        <w:shd w:val="clear" w:color="auto" w:fill="FFFFFF"/>
        <w:spacing w:line="360" w:lineRule="auto"/>
        <w:jc w:val="both"/>
        <w:rPr>
          <w:rFonts w:eastAsia="Times New Roman" w:cs="Tahoma"/>
          <w:szCs w:val="20"/>
          <w:lang w:eastAsia="it-IT"/>
        </w:rPr>
      </w:pPr>
      <w:r w:rsidRPr="00515872">
        <w:rPr>
          <w:rFonts w:eastAsia="Times New Roman" w:cs="Tahoma"/>
          <w:szCs w:val="20"/>
          <w:lang w:eastAsia="it-IT"/>
        </w:rPr>
        <w:lastRenderedPageBreak/>
        <w:t>Si segnala, peraltro, che l’Agenzia delle Entrate, con la risoluzione n. 95/E/2017, ha chiarito che le pubbliche amministrazioni, tenute alla presentazione del modello 770, possono evitare tale adempimento se tutti i versamenti delle ritenute sono stati eseguiti direttamente in Tesoreria e non s</w:t>
      </w:r>
      <w:r w:rsidR="006C2A5A" w:rsidRPr="00515872">
        <w:rPr>
          <w:rFonts w:eastAsia="Times New Roman" w:cs="Tahoma"/>
          <w:szCs w:val="20"/>
          <w:lang w:eastAsia="it-IT"/>
        </w:rPr>
        <w:t>o</w:t>
      </w:r>
      <w:r w:rsidRPr="00515872">
        <w:rPr>
          <w:rFonts w:eastAsia="Times New Roman" w:cs="Tahoma"/>
          <w:szCs w:val="20"/>
          <w:lang w:eastAsia="it-IT"/>
        </w:rPr>
        <w:t>no stati effettuati versamenti tramite i modelli F24 o F24EP, qualora siano state trasmesse telematicamente tutte le Certificazioni Uniche. L’adempimento resta dovuto per le amministrazioni che debbano presentare quadri diversi dai quadri ST, SV e SX.</w:t>
      </w:r>
    </w:p>
    <w:p w14:paraId="59E2AE1C" w14:textId="77777777" w:rsidR="009518AF" w:rsidRPr="00515872" w:rsidRDefault="009518AF" w:rsidP="008D301E">
      <w:pPr>
        <w:pStyle w:val="Default"/>
        <w:spacing w:line="360" w:lineRule="auto"/>
        <w:jc w:val="both"/>
        <w:rPr>
          <w:rFonts w:ascii="Tahoma" w:hAnsi="Tahoma" w:cs="Tahoma"/>
          <w:sz w:val="20"/>
          <w:szCs w:val="20"/>
        </w:rPr>
      </w:pPr>
      <w:r w:rsidRPr="00515872">
        <w:rPr>
          <w:rFonts w:ascii="Tahoma" w:hAnsi="Tahoma" w:cs="Tahoma"/>
          <w:b/>
          <w:bCs/>
          <w:sz w:val="20"/>
          <w:szCs w:val="20"/>
        </w:rPr>
        <w:t xml:space="preserve">Verifiche dell’organo di revisione </w:t>
      </w:r>
    </w:p>
    <w:p w14:paraId="683E4FCC" w14:textId="77777777" w:rsidR="009518AF" w:rsidRPr="00515872" w:rsidRDefault="009518AF" w:rsidP="009518AF">
      <w:pPr>
        <w:spacing w:line="360" w:lineRule="auto"/>
        <w:jc w:val="both"/>
        <w:rPr>
          <w:rFonts w:cs="Tahoma"/>
          <w:szCs w:val="20"/>
        </w:rPr>
      </w:pPr>
      <w:r w:rsidRPr="00515872">
        <w:rPr>
          <w:rFonts w:cs="Tahoma"/>
          <w:szCs w:val="20"/>
        </w:rPr>
        <w:t xml:space="preserve">L’organo di revisione deve verificare l’esistenza di un </w:t>
      </w:r>
      <w:r w:rsidRPr="00515872">
        <w:rPr>
          <w:rFonts w:cs="Tahoma"/>
          <w:b/>
          <w:bCs/>
          <w:szCs w:val="20"/>
        </w:rPr>
        <w:t xml:space="preserve">adeguato sistema di gestione degli adempimenti </w:t>
      </w:r>
      <w:r w:rsidRPr="00515872">
        <w:rPr>
          <w:rFonts w:cs="Tahoma"/>
          <w:szCs w:val="20"/>
        </w:rPr>
        <w:t>conseguenti all’erogazione di redditi, retribuzioni, compensi, indennità, contributi e altri proventi soggetti all’obbligo della ritenuta alla fonte di cui agli artt. da 23 a 30</w:t>
      </w:r>
      <w:r w:rsidR="00086E6E" w:rsidRPr="00515872">
        <w:rPr>
          <w:rFonts w:cs="Tahoma"/>
          <w:szCs w:val="20"/>
        </w:rPr>
        <w:t>,</w:t>
      </w:r>
      <w:r w:rsidRPr="00515872">
        <w:rPr>
          <w:rFonts w:cs="Tahoma"/>
          <w:szCs w:val="20"/>
        </w:rPr>
        <w:t xml:space="preserve"> D.P.R. n. 600/1973 e all’art. 11</w:t>
      </w:r>
      <w:r w:rsidR="00086E6E" w:rsidRPr="00515872">
        <w:rPr>
          <w:rFonts w:cs="Tahoma"/>
          <w:szCs w:val="20"/>
        </w:rPr>
        <w:t>,</w:t>
      </w:r>
      <w:r w:rsidRPr="00515872">
        <w:rPr>
          <w:rFonts w:cs="Tahoma"/>
          <w:szCs w:val="20"/>
        </w:rPr>
        <w:t xml:space="preserve"> L. n. 413/1991.</w:t>
      </w:r>
    </w:p>
    <w:p w14:paraId="398826F7" w14:textId="77777777" w:rsidR="009518AF" w:rsidRPr="00515872" w:rsidRDefault="009518AF" w:rsidP="009518AF">
      <w:pPr>
        <w:pStyle w:val="Default"/>
        <w:spacing w:line="360" w:lineRule="auto"/>
        <w:jc w:val="both"/>
        <w:rPr>
          <w:rFonts w:ascii="Tahoma" w:hAnsi="Tahoma" w:cs="Tahoma"/>
          <w:sz w:val="20"/>
          <w:szCs w:val="20"/>
        </w:rPr>
      </w:pPr>
      <w:r w:rsidRPr="00515872">
        <w:rPr>
          <w:rFonts w:ascii="Tahoma" w:hAnsi="Tahoma" w:cs="Tahoma"/>
          <w:sz w:val="20"/>
          <w:szCs w:val="20"/>
        </w:rPr>
        <w:t xml:space="preserve">In particolare, l’organo di revisione deve verificare che l’ente: </w:t>
      </w:r>
    </w:p>
    <w:p w14:paraId="374BB41D"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per le diverse tipologie di retribuzioni, compensi o indennità corrisposte a terzi, abbia correttamente applicato la ritenuta a tito</w:t>
      </w:r>
      <w:r w:rsidR="0069375F" w:rsidRPr="00515872">
        <w:rPr>
          <w:rFonts w:ascii="Tahoma" w:hAnsi="Tahoma" w:cs="Tahoma"/>
          <w:sz w:val="20"/>
          <w:szCs w:val="20"/>
        </w:rPr>
        <w:t>lo di acconto o di imposta;</w:t>
      </w:r>
    </w:p>
    <w:p w14:paraId="6E4982F7" w14:textId="77777777" w:rsidR="0069375F" w:rsidRPr="00515872" w:rsidRDefault="0069375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a fronte della corresponsione di contributi alle imprese, esclusi quelli per l’acquisto di beni strumentali, abbia applicato la ritenuta del 4% prevista dall’art. 28, c. 1, D</w:t>
      </w:r>
      <w:r w:rsidR="00086E6E" w:rsidRPr="00515872">
        <w:rPr>
          <w:rFonts w:ascii="Tahoma" w:hAnsi="Tahoma" w:cs="Tahoma"/>
          <w:sz w:val="20"/>
          <w:szCs w:val="20"/>
        </w:rPr>
        <w:t>.</w:t>
      </w:r>
      <w:r w:rsidRPr="00515872">
        <w:rPr>
          <w:rFonts w:ascii="Tahoma" w:hAnsi="Tahoma" w:cs="Tahoma"/>
          <w:sz w:val="20"/>
          <w:szCs w:val="20"/>
        </w:rPr>
        <w:t>P</w:t>
      </w:r>
      <w:r w:rsidR="00086E6E" w:rsidRPr="00515872">
        <w:rPr>
          <w:rFonts w:ascii="Tahoma" w:hAnsi="Tahoma" w:cs="Tahoma"/>
          <w:sz w:val="20"/>
          <w:szCs w:val="20"/>
        </w:rPr>
        <w:t>.</w:t>
      </w:r>
      <w:r w:rsidRPr="00515872">
        <w:rPr>
          <w:rFonts w:ascii="Tahoma" w:hAnsi="Tahoma" w:cs="Tahoma"/>
          <w:sz w:val="20"/>
          <w:szCs w:val="20"/>
        </w:rPr>
        <w:t>R</w:t>
      </w:r>
      <w:r w:rsidR="00086E6E" w:rsidRPr="00515872">
        <w:rPr>
          <w:rFonts w:ascii="Tahoma" w:hAnsi="Tahoma" w:cs="Tahoma"/>
          <w:sz w:val="20"/>
          <w:szCs w:val="20"/>
        </w:rPr>
        <w:t>.</w:t>
      </w:r>
      <w:r w:rsidRPr="00515872">
        <w:rPr>
          <w:rFonts w:ascii="Tahoma" w:hAnsi="Tahoma" w:cs="Tahoma"/>
          <w:sz w:val="20"/>
          <w:szCs w:val="20"/>
        </w:rPr>
        <w:t xml:space="preserve"> n. 600/1973;</w:t>
      </w:r>
    </w:p>
    <w:p w14:paraId="1532340C"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abbia provveduto al versamento all’Erario delle ritenute, entro il giorno 16 del mese successivo a quello di erogazione del compenso, operate sia per i redditi di lavoro dipendente, assimilati, di lavoro autonomo, nonché</w:t>
      </w:r>
      <w:r w:rsidR="00086E6E" w:rsidRPr="00515872">
        <w:rPr>
          <w:rFonts w:ascii="Tahoma" w:hAnsi="Tahoma" w:cs="Tahoma"/>
          <w:sz w:val="20"/>
          <w:szCs w:val="20"/>
        </w:rPr>
        <w:t xml:space="preserve"> per prestazioni occasionali;</w:t>
      </w:r>
    </w:p>
    <w:p w14:paraId="42035CA4"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abbia provveduto al versamento all’Erario delle ritenute IRES, entro il 16 del mese successivo a quello di erogazione del reddito o compenso, effettuate sulla corresponsione di contributi ad imprese o enti</w:t>
      </w:r>
      <w:r w:rsidRPr="00515872">
        <w:rPr>
          <w:rStyle w:val="Rimandonotaapidipagina"/>
          <w:rFonts w:ascii="Tahoma" w:hAnsi="Tahoma" w:cs="Tahoma"/>
          <w:sz w:val="20"/>
          <w:szCs w:val="20"/>
        </w:rPr>
        <w:footnoteReference w:id="116"/>
      </w:r>
      <w:r w:rsidRPr="00515872">
        <w:rPr>
          <w:rFonts w:ascii="Tahoma" w:hAnsi="Tahoma" w:cs="Tahoma"/>
          <w:sz w:val="20"/>
          <w:szCs w:val="20"/>
        </w:rPr>
        <w:t>, e per indennità di esproprio</w:t>
      </w:r>
      <w:r w:rsidRPr="00515872">
        <w:rPr>
          <w:rStyle w:val="Rimandonotaapidipagina"/>
          <w:rFonts w:ascii="Tahoma" w:hAnsi="Tahoma" w:cs="Tahoma"/>
          <w:sz w:val="20"/>
          <w:szCs w:val="20"/>
        </w:rPr>
        <w:footnoteReference w:id="117"/>
      </w:r>
      <w:r w:rsidRPr="00515872">
        <w:rPr>
          <w:rFonts w:ascii="Tahoma" w:hAnsi="Tahoma" w:cs="Tahoma"/>
          <w:sz w:val="20"/>
          <w:szCs w:val="20"/>
        </w:rPr>
        <w:t xml:space="preserve">; </w:t>
      </w:r>
    </w:p>
    <w:p w14:paraId="1605E6D5"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abbia richiesto al lavoratore autonomo occasionale, all’inizio del rapporto di lavoro, un’autocertificazione mediante la quale lo stesso comunica il superamento o meno del limite di € 5.000 e, nel caso affermativo, abbia effettuato la conseguente iscrizione alla gestione separata INPS;</w:t>
      </w:r>
    </w:p>
    <w:p w14:paraId="7B753864"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 xml:space="preserve">abbia effettuato il conguaglio fiscale ai dipendenti per l’anno precedente; </w:t>
      </w:r>
    </w:p>
    <w:p w14:paraId="5B014B50"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 xml:space="preserve">abbia provveduto al versamento dei contributi previdenziali; </w:t>
      </w:r>
    </w:p>
    <w:p w14:paraId="5BB326FC"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 xml:space="preserve">abbia presentato all’INAIL la denuncia delle retribuzioni e versato il saldo dell’esercizio precedente, unitamente all’acconto dell’esercizio in corso entro la data di scadenza; </w:t>
      </w:r>
    </w:p>
    <w:p w14:paraId="02EB731C"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t>abbia consegnato la Certificazione Unica ai propri dipendenti e agli altri percettori entro i termini di legge o all’atto della cessazione del rapporto di lavoro, nonché effettuato l’invio telematico delle stesse all’Agenzia delle Entrate;</w:t>
      </w:r>
    </w:p>
    <w:p w14:paraId="1DAB9952" w14:textId="77777777" w:rsidR="009518AF" w:rsidRPr="00515872" w:rsidRDefault="009518AF" w:rsidP="00D65838">
      <w:pPr>
        <w:pStyle w:val="Default"/>
        <w:numPr>
          <w:ilvl w:val="0"/>
          <w:numId w:val="176"/>
        </w:numPr>
        <w:spacing w:line="360" w:lineRule="auto"/>
        <w:ind w:left="284" w:hanging="284"/>
        <w:jc w:val="both"/>
        <w:rPr>
          <w:rFonts w:ascii="Tahoma" w:hAnsi="Tahoma" w:cs="Tahoma"/>
          <w:sz w:val="20"/>
          <w:szCs w:val="20"/>
        </w:rPr>
      </w:pPr>
      <w:r w:rsidRPr="00515872">
        <w:rPr>
          <w:rFonts w:ascii="Tahoma" w:hAnsi="Tahoma" w:cs="Tahoma"/>
          <w:sz w:val="20"/>
          <w:szCs w:val="20"/>
        </w:rPr>
        <w:lastRenderedPageBreak/>
        <w:t>abbia trasmesso mensilmente per via telematica, entro l’ultimo giorno del mese successivo a</w:t>
      </w:r>
      <w:r w:rsidRPr="00515872">
        <w:rPr>
          <w:rFonts w:ascii="Tahoma" w:hAnsi="Tahoma" w:cs="Tahoma"/>
          <w:sz w:val="20"/>
          <w:szCs w:val="20"/>
        </w:rPr>
        <w:br/>
        <w:t>quello di riferimento, direttamente o tramite intermediari autorizzati, le denunce dei dati retributivi e le informazioni necessarie per il calcolo dei contributi (modd. DMA e Emens);</w:t>
      </w:r>
    </w:p>
    <w:p w14:paraId="5B258F58" w14:textId="77777777" w:rsidR="009518AF" w:rsidRPr="00515872" w:rsidRDefault="009518AF" w:rsidP="00D65838">
      <w:pPr>
        <w:pStyle w:val="Default"/>
        <w:numPr>
          <w:ilvl w:val="0"/>
          <w:numId w:val="176"/>
        </w:numPr>
        <w:spacing w:after="200" w:line="360" w:lineRule="auto"/>
        <w:ind w:left="284" w:hanging="284"/>
        <w:jc w:val="both"/>
        <w:rPr>
          <w:rFonts w:ascii="Tahoma" w:hAnsi="Tahoma" w:cs="Tahoma"/>
          <w:sz w:val="20"/>
          <w:szCs w:val="20"/>
        </w:rPr>
      </w:pPr>
      <w:r w:rsidRPr="00515872">
        <w:rPr>
          <w:rFonts w:ascii="Tahoma" w:hAnsi="Tahoma" w:cs="Tahoma"/>
          <w:sz w:val="20"/>
          <w:szCs w:val="20"/>
        </w:rPr>
        <w:t xml:space="preserve">abbia </w:t>
      </w:r>
      <w:r w:rsidR="0069375F" w:rsidRPr="00515872">
        <w:rPr>
          <w:rFonts w:ascii="Tahoma" w:hAnsi="Tahoma" w:cs="Tahoma"/>
          <w:sz w:val="20"/>
          <w:szCs w:val="20"/>
        </w:rPr>
        <w:t xml:space="preserve">correttamente compilato e </w:t>
      </w:r>
      <w:r w:rsidR="00C52551" w:rsidRPr="00515872">
        <w:rPr>
          <w:rFonts w:ascii="Tahoma" w:hAnsi="Tahoma" w:cs="Tahoma"/>
          <w:sz w:val="20"/>
          <w:szCs w:val="20"/>
        </w:rPr>
        <w:t>presentato il m</w:t>
      </w:r>
      <w:r w:rsidRPr="00515872">
        <w:rPr>
          <w:rFonts w:ascii="Tahoma" w:hAnsi="Tahoma" w:cs="Tahoma"/>
          <w:sz w:val="20"/>
          <w:szCs w:val="20"/>
        </w:rPr>
        <w:t>odello 770 entro il termine previsto</w:t>
      </w:r>
      <w:r w:rsidR="00C453ED" w:rsidRPr="00515872">
        <w:rPr>
          <w:rFonts w:ascii="Tahoma" w:hAnsi="Tahoma" w:cs="Tahoma"/>
          <w:sz w:val="20"/>
          <w:szCs w:val="20"/>
        </w:rPr>
        <w:t>, nonché la corrispondenza fra i dati ivi indicati e quelli riportati nella contabilità generale</w:t>
      </w:r>
      <w:r w:rsidRPr="00515872">
        <w:rPr>
          <w:rFonts w:ascii="Tahoma" w:hAnsi="Tahoma" w:cs="Tahoma"/>
          <w:sz w:val="20"/>
          <w:szCs w:val="20"/>
        </w:rPr>
        <w:t xml:space="preserve">. </w:t>
      </w:r>
    </w:p>
    <w:p w14:paraId="4AF9086C" w14:textId="77777777" w:rsidR="00277513" w:rsidRPr="00515872" w:rsidRDefault="00277513" w:rsidP="00AD5D88">
      <w:pPr>
        <w:pStyle w:val="Sottoparagrafo"/>
        <w:rPr>
          <w:rFonts w:cs="Tahoma"/>
        </w:rPr>
      </w:pPr>
      <w:bookmarkStart w:id="232" w:name="_Toc521317135"/>
    </w:p>
    <w:p w14:paraId="4EC4EED3" w14:textId="77777777" w:rsidR="009518AF" w:rsidRPr="00515872" w:rsidRDefault="00AD2719" w:rsidP="009518AF">
      <w:pPr>
        <w:pStyle w:val="Sottoparagrafo"/>
        <w:rPr>
          <w:rFonts w:cs="Tahoma"/>
        </w:rPr>
      </w:pPr>
      <w:bookmarkStart w:id="233" w:name="_Toc95912326"/>
      <w:r w:rsidRPr="00515872">
        <w:rPr>
          <w:rFonts w:cs="Tahoma"/>
        </w:rPr>
        <w:t>6.18</w:t>
      </w:r>
      <w:r w:rsidR="009518AF" w:rsidRPr="00515872">
        <w:rPr>
          <w:rFonts w:cs="Tahoma"/>
        </w:rPr>
        <w:t>.5 Visto di conformità</w:t>
      </w:r>
      <w:bookmarkEnd w:id="232"/>
      <w:bookmarkEnd w:id="233"/>
    </w:p>
    <w:p w14:paraId="740AFB73" w14:textId="77777777" w:rsidR="009518AF" w:rsidRPr="00515872" w:rsidRDefault="009518AF" w:rsidP="009518AF">
      <w:pPr>
        <w:spacing w:line="360" w:lineRule="auto"/>
        <w:jc w:val="both"/>
        <w:rPr>
          <w:rFonts w:cs="Tahoma"/>
          <w:szCs w:val="20"/>
        </w:rPr>
      </w:pPr>
      <w:r w:rsidRPr="00515872">
        <w:rPr>
          <w:rFonts w:cs="Tahoma"/>
          <w:szCs w:val="20"/>
        </w:rPr>
        <w:t xml:space="preserve">Il c. 574 della legge di stabilità 2014 imponeva, per i contribuenti intenzionati ad utilizzare la compensazione fiscale (orizzontale) dei crediti IRPEF, IRES, IRAP, oltre a quelli concernenti ritenute alla fonte, l'obbligo di richiedere l'apposizione del visto di conformità </w:t>
      </w:r>
      <w:r w:rsidR="006360A8" w:rsidRPr="00515872">
        <w:rPr>
          <w:rFonts w:cs="Tahoma"/>
          <w:szCs w:val="20"/>
        </w:rPr>
        <w:t>in caso di</w:t>
      </w:r>
      <w:r w:rsidRPr="00515872">
        <w:rPr>
          <w:rFonts w:cs="Tahoma"/>
          <w:szCs w:val="20"/>
        </w:rPr>
        <w:t xml:space="preserve"> compensazion</w:t>
      </w:r>
      <w:r w:rsidR="006360A8" w:rsidRPr="00515872">
        <w:rPr>
          <w:rFonts w:cs="Tahoma"/>
          <w:szCs w:val="20"/>
        </w:rPr>
        <w:t>i</w:t>
      </w:r>
      <w:r w:rsidRPr="00515872">
        <w:rPr>
          <w:rFonts w:cs="Tahoma"/>
          <w:szCs w:val="20"/>
        </w:rPr>
        <w:t xml:space="preserve"> di crediti </w:t>
      </w:r>
      <w:r w:rsidR="006360A8" w:rsidRPr="00515872">
        <w:rPr>
          <w:rFonts w:cs="Tahoma"/>
          <w:szCs w:val="20"/>
        </w:rPr>
        <w:t xml:space="preserve">per importi </w:t>
      </w:r>
      <w:r w:rsidRPr="00515872">
        <w:rPr>
          <w:rFonts w:cs="Tahoma"/>
          <w:szCs w:val="20"/>
        </w:rPr>
        <w:t xml:space="preserve">eccedenti i 15.000 euro annui. Questa disposizione si aggiungeva a quella prevista dall’art. 10, D.L. n. 78/2009 </w:t>
      </w:r>
      <w:r w:rsidR="00C52551" w:rsidRPr="00515872">
        <w:rPr>
          <w:rFonts w:cs="Tahoma"/>
          <w:szCs w:val="20"/>
        </w:rPr>
        <w:t>che aveva introdotto</w:t>
      </w:r>
      <w:r w:rsidRPr="00515872">
        <w:rPr>
          <w:rFonts w:cs="Tahoma"/>
          <w:szCs w:val="20"/>
        </w:rPr>
        <w:t xml:space="preserve"> il visto di conformità per la compensazione del credito IVA</w:t>
      </w:r>
      <w:r w:rsidRPr="00515872">
        <w:rPr>
          <w:rStyle w:val="Rimandonotaapidipagina"/>
          <w:rFonts w:cs="Tahoma"/>
          <w:szCs w:val="20"/>
        </w:rPr>
        <w:footnoteReference w:id="118"/>
      </w:r>
      <w:r w:rsidRPr="00515872">
        <w:rPr>
          <w:rFonts w:cs="Tahoma"/>
          <w:szCs w:val="20"/>
        </w:rPr>
        <w:t>.</w:t>
      </w:r>
    </w:p>
    <w:p w14:paraId="645D7312" w14:textId="77777777" w:rsidR="00C52551" w:rsidRPr="00515872" w:rsidRDefault="009518AF" w:rsidP="00C52551">
      <w:pPr>
        <w:spacing w:line="360" w:lineRule="auto"/>
        <w:jc w:val="both"/>
        <w:rPr>
          <w:rFonts w:cs="Tahoma"/>
          <w:color w:val="000000"/>
        </w:rPr>
      </w:pPr>
      <w:r w:rsidRPr="00515872">
        <w:rPr>
          <w:rFonts w:cs="Tahoma"/>
          <w:color w:val="000000"/>
        </w:rPr>
        <w:t xml:space="preserve">Con l’art. 3 del D.L. 24 aprile 2017, n. 50, conv. L. 21 giugno 2017, n. 96, viene modificato l’art. 1, c. 574, L. n. 147/2013, riducendo da € 15.000 ad € 5.000 il limite al di sopra del quale </w:t>
      </w:r>
      <w:r w:rsidR="001E3E87" w:rsidRPr="00515872">
        <w:rPr>
          <w:rFonts w:cs="Tahoma"/>
          <w:color w:val="000000"/>
        </w:rPr>
        <w:t>detti</w:t>
      </w:r>
      <w:r w:rsidRPr="00515872">
        <w:rPr>
          <w:rFonts w:cs="Tahoma"/>
          <w:color w:val="000000"/>
        </w:rPr>
        <w:t xml:space="preserve"> crediti </w:t>
      </w:r>
      <w:r w:rsidR="001E3E87" w:rsidRPr="00515872">
        <w:rPr>
          <w:rFonts w:cs="Tahoma"/>
          <w:color w:val="000000"/>
        </w:rPr>
        <w:t>necessitano del</w:t>
      </w:r>
      <w:r w:rsidRPr="00515872">
        <w:rPr>
          <w:rFonts w:cs="Tahoma"/>
          <w:color w:val="000000"/>
        </w:rPr>
        <w:t xml:space="preserve"> </w:t>
      </w:r>
      <w:r w:rsidRPr="00515872">
        <w:rPr>
          <w:rFonts w:cs="Tahoma"/>
          <w:iCs/>
          <w:color w:val="000000"/>
        </w:rPr>
        <w:t>visto di conformità</w:t>
      </w:r>
      <w:r w:rsidRPr="00515872">
        <w:rPr>
          <w:rStyle w:val="Rimandonotaapidipagina"/>
          <w:rFonts w:cs="Tahoma"/>
          <w:color w:val="000000"/>
        </w:rPr>
        <w:footnoteReference w:id="119"/>
      </w:r>
      <w:r w:rsidRPr="00515872">
        <w:rPr>
          <w:rFonts w:cs="Tahoma"/>
          <w:color w:val="000000"/>
        </w:rPr>
        <w:t xml:space="preserve"> </w:t>
      </w:r>
      <w:r w:rsidR="001E3E87" w:rsidRPr="00515872">
        <w:rPr>
          <w:rFonts w:cs="Tahoma"/>
          <w:color w:val="000000"/>
        </w:rPr>
        <w:t>al fine di poter essere utilizzati in compensazione</w:t>
      </w:r>
      <w:r w:rsidRPr="00515872">
        <w:rPr>
          <w:rFonts w:cs="Tahoma"/>
          <w:color w:val="000000"/>
        </w:rPr>
        <w:t>.</w:t>
      </w:r>
    </w:p>
    <w:p w14:paraId="701462F6" w14:textId="77777777" w:rsidR="00C52551" w:rsidRPr="00515872" w:rsidRDefault="009518AF" w:rsidP="00C52551">
      <w:pPr>
        <w:spacing w:line="360" w:lineRule="auto"/>
        <w:jc w:val="both"/>
        <w:rPr>
          <w:rFonts w:cs="Tahoma"/>
          <w:color w:val="000000"/>
        </w:rPr>
      </w:pPr>
      <w:r w:rsidRPr="00515872">
        <w:rPr>
          <w:rFonts w:cs="Tahoma"/>
          <w:color w:val="000000"/>
        </w:rPr>
        <w:t xml:space="preserve">Il visto di conformità può essere necessario anche nel caso </w:t>
      </w:r>
      <w:r w:rsidR="006360A8" w:rsidRPr="00515872">
        <w:rPr>
          <w:rFonts w:cs="Tahoma"/>
          <w:color w:val="000000"/>
        </w:rPr>
        <w:t xml:space="preserve">in cui </w:t>
      </w:r>
      <w:r w:rsidRPr="00515872">
        <w:rPr>
          <w:rFonts w:cs="Tahoma"/>
          <w:color w:val="000000"/>
        </w:rPr>
        <w:t>l’ente intenda richiedere il rimborso del credito IVA</w:t>
      </w:r>
      <w:r w:rsidR="00C52551" w:rsidRPr="00515872">
        <w:rPr>
          <w:rFonts w:cs="Tahoma"/>
          <w:color w:val="000000"/>
        </w:rPr>
        <w:t xml:space="preserve"> per importi superiori a €</w:t>
      </w:r>
      <w:r w:rsidRPr="00515872">
        <w:rPr>
          <w:rFonts w:cs="Tahoma"/>
          <w:color w:val="000000"/>
        </w:rPr>
        <w:t xml:space="preserve"> 30.000</w:t>
      </w:r>
      <w:r w:rsidR="00C52551" w:rsidRPr="00515872">
        <w:rPr>
          <w:rFonts w:cs="Tahoma"/>
          <w:color w:val="000000"/>
        </w:rPr>
        <w:t>.</w:t>
      </w:r>
    </w:p>
    <w:p w14:paraId="59256702" w14:textId="77777777" w:rsidR="009518AF" w:rsidRPr="00515872" w:rsidRDefault="009518AF" w:rsidP="00C52551">
      <w:pPr>
        <w:spacing w:after="0" w:line="360" w:lineRule="auto"/>
        <w:jc w:val="both"/>
        <w:rPr>
          <w:rFonts w:cs="Tahoma"/>
          <w:szCs w:val="20"/>
        </w:rPr>
      </w:pPr>
      <w:r w:rsidRPr="00515872">
        <w:rPr>
          <w:rFonts w:cs="Tahoma"/>
          <w:szCs w:val="20"/>
        </w:rPr>
        <w:t xml:space="preserve">In ogni caso, in alternativa al visto di conformità, </w:t>
      </w:r>
      <w:r w:rsidRPr="00515872">
        <w:rPr>
          <w:rFonts w:cs="Tahoma"/>
          <w:b/>
          <w:szCs w:val="20"/>
        </w:rPr>
        <w:t xml:space="preserve">la compensazione oltre </w:t>
      </w:r>
      <w:r w:rsidR="00C52551" w:rsidRPr="00515872">
        <w:rPr>
          <w:rFonts w:cs="Tahoma"/>
          <w:b/>
          <w:szCs w:val="20"/>
        </w:rPr>
        <w:t>il citato</w:t>
      </w:r>
      <w:r w:rsidRPr="00515872">
        <w:rPr>
          <w:rFonts w:cs="Tahoma"/>
          <w:b/>
          <w:szCs w:val="20"/>
        </w:rPr>
        <w:t xml:space="preserve"> limite è ammessa in presenza di sottoscrizione della dichiarazione da parte dei soggetti che sottoscrivono la relazione di revisione.</w:t>
      </w:r>
      <w:r w:rsidR="00C52551" w:rsidRPr="00515872">
        <w:rPr>
          <w:rFonts w:cs="Tahoma"/>
          <w:b/>
          <w:szCs w:val="20"/>
        </w:rPr>
        <w:t xml:space="preserve"> In questo caso, </w:t>
      </w:r>
      <w:r w:rsidRPr="00515872">
        <w:rPr>
          <w:rFonts w:cs="Tahoma"/>
          <w:szCs w:val="20"/>
        </w:rPr>
        <w:t>l’organo di revisione sia ch</w:t>
      </w:r>
      <w:r w:rsidR="00C52551" w:rsidRPr="00515872">
        <w:rPr>
          <w:rFonts w:cs="Tahoma"/>
          <w:szCs w:val="20"/>
        </w:rPr>
        <w:t>iamato a certificare il credito</w:t>
      </w:r>
      <w:r w:rsidRPr="00515872">
        <w:rPr>
          <w:rFonts w:cs="Tahoma"/>
          <w:szCs w:val="20"/>
        </w:rPr>
        <w:t>, con la firma apposta nell’apposito riquadro del frontespizio del modello dichiarativo, attesta, secondo quanto sancito dall’Agenzia delle Entrate con risoluzione del 17 settembre 2010 n. 90/E, l'esecuzione dei controlli documentali e contabili previsti dall'art. 2, c. 2, del D.M. Economia e Finanze, n. 164 del 1 giugno 1999</w:t>
      </w:r>
      <w:r w:rsidR="00C52551" w:rsidRPr="00515872">
        <w:rPr>
          <w:rFonts w:cs="Tahoma"/>
          <w:szCs w:val="20"/>
        </w:rPr>
        <w:t>, che consistono,</w:t>
      </w:r>
      <w:r w:rsidRPr="00515872">
        <w:rPr>
          <w:rFonts w:cs="Tahoma"/>
          <w:szCs w:val="20"/>
        </w:rPr>
        <w:t xml:space="preserve"> </w:t>
      </w:r>
      <w:r w:rsidR="00C52551" w:rsidRPr="00515872">
        <w:rPr>
          <w:rFonts w:cs="Tahoma"/>
          <w:szCs w:val="20"/>
        </w:rPr>
        <w:t>i</w:t>
      </w:r>
      <w:r w:rsidRPr="00515872">
        <w:rPr>
          <w:rFonts w:cs="Tahoma"/>
          <w:szCs w:val="20"/>
        </w:rPr>
        <w:t>n pratica:</w:t>
      </w:r>
    </w:p>
    <w:p w14:paraId="0AEDAA72" w14:textId="77777777" w:rsidR="009518AF" w:rsidRPr="00515872" w:rsidRDefault="00C52551" w:rsidP="00D65838">
      <w:pPr>
        <w:pStyle w:val="Paragrafoelenco"/>
        <w:numPr>
          <w:ilvl w:val="0"/>
          <w:numId w:val="193"/>
        </w:numPr>
        <w:spacing w:line="360" w:lineRule="auto"/>
        <w:ind w:left="284" w:hanging="284"/>
        <w:jc w:val="both"/>
        <w:rPr>
          <w:rFonts w:eastAsia="Times New Roman" w:cs="Tahoma"/>
          <w:szCs w:val="20"/>
          <w:lang w:eastAsia="it-IT"/>
        </w:rPr>
      </w:pPr>
      <w:r w:rsidRPr="00515872">
        <w:rPr>
          <w:rFonts w:eastAsia="Times New Roman" w:cs="Tahoma"/>
          <w:szCs w:val="20"/>
          <w:lang w:eastAsia="it-IT"/>
        </w:rPr>
        <w:t xml:space="preserve">nella </w:t>
      </w:r>
      <w:r w:rsidR="009518AF" w:rsidRPr="00515872">
        <w:rPr>
          <w:rFonts w:eastAsia="Times New Roman" w:cs="Tahoma"/>
          <w:szCs w:val="20"/>
          <w:lang w:eastAsia="it-IT"/>
        </w:rPr>
        <w:t>verifica della regolare tenuta e conservazione delle scritture contabili obbligatorie ai fini delle imposte sui redditi e delle imposte sul valore aggiunto;</w:t>
      </w:r>
    </w:p>
    <w:p w14:paraId="5AB08E69" w14:textId="77777777" w:rsidR="009518AF" w:rsidRPr="00515872" w:rsidRDefault="00C52551" w:rsidP="00D65838">
      <w:pPr>
        <w:pStyle w:val="Paragrafoelenco"/>
        <w:numPr>
          <w:ilvl w:val="0"/>
          <w:numId w:val="193"/>
        </w:numPr>
        <w:spacing w:line="360" w:lineRule="auto"/>
        <w:ind w:left="284" w:hanging="284"/>
        <w:jc w:val="both"/>
        <w:rPr>
          <w:rFonts w:eastAsia="Times New Roman" w:cs="Tahoma"/>
          <w:szCs w:val="20"/>
          <w:lang w:eastAsia="it-IT"/>
        </w:rPr>
      </w:pPr>
      <w:r w:rsidRPr="00515872">
        <w:rPr>
          <w:rFonts w:eastAsia="Times New Roman" w:cs="Tahoma"/>
          <w:szCs w:val="20"/>
          <w:lang w:eastAsia="it-IT"/>
        </w:rPr>
        <w:t xml:space="preserve">nella </w:t>
      </w:r>
      <w:r w:rsidR="009518AF" w:rsidRPr="00515872">
        <w:rPr>
          <w:rFonts w:eastAsia="Times New Roman" w:cs="Tahoma"/>
          <w:szCs w:val="20"/>
          <w:lang w:eastAsia="it-IT"/>
        </w:rPr>
        <w:t>verifica della corrispondenza dei dati esposti nella dichiarazione alle risultanze delle scritture contabili e di queste ultime alla relativa documentazione.</w:t>
      </w:r>
    </w:p>
    <w:p w14:paraId="4254386C" w14:textId="77777777" w:rsidR="00EA102D" w:rsidRPr="00515872" w:rsidRDefault="00EA102D" w:rsidP="00EA102D">
      <w:pPr>
        <w:spacing w:line="360" w:lineRule="auto"/>
        <w:ind w:left="66"/>
        <w:jc w:val="both"/>
        <w:rPr>
          <w:rFonts w:eastAsia="Times New Roman" w:cs="Tahoma"/>
          <w:szCs w:val="20"/>
          <w:lang w:eastAsia="it-IT"/>
        </w:rPr>
      </w:pPr>
      <w:r w:rsidRPr="00515872">
        <w:rPr>
          <w:rFonts w:eastAsia="Times New Roman" w:cs="Tahoma"/>
          <w:szCs w:val="20"/>
          <w:lang w:eastAsia="it-IT"/>
        </w:rPr>
        <w:t>Trattandosi di attività ultronea rispetto alle mansioni imposte dal TUEL all’organo di revisione, si ritiene che la stessa debba essere valorizzata autonomamente.</w:t>
      </w:r>
    </w:p>
    <w:p w14:paraId="4D10CB95" w14:textId="77777777" w:rsidR="009518AF" w:rsidRPr="00515872" w:rsidRDefault="00AD2719" w:rsidP="00297A21">
      <w:pPr>
        <w:pStyle w:val="Paragrafo"/>
      </w:pPr>
      <w:bookmarkStart w:id="234" w:name="_Toc521317136"/>
      <w:bookmarkStart w:id="235" w:name="_Toc95912327"/>
      <w:r w:rsidRPr="00515872">
        <w:lastRenderedPageBreak/>
        <w:t>6</w:t>
      </w:r>
      <w:r w:rsidR="009518AF" w:rsidRPr="00515872">
        <w:t>.</w:t>
      </w:r>
      <w:r w:rsidRPr="00515872">
        <w:t>19</w:t>
      </w:r>
      <w:r w:rsidR="009518AF" w:rsidRPr="00515872">
        <w:t xml:space="preserve"> Collaborazione con la Corte dei Conti</w:t>
      </w:r>
      <w:bookmarkEnd w:id="234"/>
      <w:bookmarkEnd w:id="235"/>
    </w:p>
    <w:p w14:paraId="185EF92F" w14:textId="77777777" w:rsidR="009518AF" w:rsidRPr="00515872" w:rsidRDefault="009518AF" w:rsidP="009518AF">
      <w:pPr>
        <w:spacing w:line="360" w:lineRule="auto"/>
        <w:jc w:val="both"/>
        <w:rPr>
          <w:rFonts w:cs="Tahoma"/>
          <w:szCs w:val="20"/>
        </w:rPr>
      </w:pPr>
      <w:r w:rsidRPr="00515872">
        <w:rPr>
          <w:rFonts w:cs="Tahoma"/>
          <w:szCs w:val="20"/>
        </w:rPr>
        <w:t xml:space="preserve">L’art. 7, </w:t>
      </w:r>
      <w:r w:rsidR="007B4552" w:rsidRPr="00515872">
        <w:rPr>
          <w:rFonts w:cs="Tahoma"/>
          <w:szCs w:val="20"/>
        </w:rPr>
        <w:t>L.</w:t>
      </w:r>
      <w:r w:rsidRPr="00515872">
        <w:rPr>
          <w:rFonts w:cs="Tahoma"/>
          <w:szCs w:val="20"/>
        </w:rPr>
        <w:t xml:space="preserve"> n. 131/2003 ha istituito il controllo collaborativo con gli organi di revisione contabile degli enti locali mentre la L. n. 266/2005 (legge finanziaria 2006) ha disciplinato l’invio di relazioni sul bilancio di previsione e sul rendiconto alle Sezioni Regionali di Controllo della Corte dei Conti.</w:t>
      </w:r>
    </w:p>
    <w:p w14:paraId="0E8A42B0" w14:textId="77777777" w:rsidR="009518AF" w:rsidRPr="00515872" w:rsidRDefault="009518AF" w:rsidP="009518AF">
      <w:pPr>
        <w:spacing w:line="360" w:lineRule="auto"/>
        <w:jc w:val="both"/>
        <w:rPr>
          <w:rFonts w:cs="Tahoma"/>
          <w:szCs w:val="20"/>
        </w:rPr>
      </w:pPr>
      <w:r w:rsidRPr="00515872">
        <w:rPr>
          <w:rFonts w:cs="Tahoma"/>
          <w:szCs w:val="20"/>
        </w:rPr>
        <w:t xml:space="preserve">Il </w:t>
      </w:r>
      <w:r w:rsidRPr="00515872">
        <w:rPr>
          <w:rFonts w:cs="Tahoma"/>
          <w:iCs/>
          <w:szCs w:val="20"/>
        </w:rPr>
        <w:t>controllo collaborativo della Corte dei Conti nei confronti degli enti è</w:t>
      </w:r>
      <w:r w:rsidRPr="00515872">
        <w:rPr>
          <w:rFonts w:cs="Tahoma"/>
          <w:szCs w:val="20"/>
        </w:rPr>
        <w:t xml:space="preserve"> svolto nell’interesse di questi ultimi onde evitare che vengano commesse irregolarità e per migliorare la qualità della gestione finanziaria e contabile, per definire le misure correttive da adottare da parte degli organi degli stessi enti e rimuovere gli atti irregolari, per sanare i comportamenti che rischiano di compromettere la salute finanziaria dell’ente, sulla base delle segnalazioni dell’organo di revisione.</w:t>
      </w:r>
    </w:p>
    <w:p w14:paraId="692D1FC5" w14:textId="3AE678A3" w:rsidR="009518AF" w:rsidRPr="00515872" w:rsidRDefault="009518AF" w:rsidP="009518AF">
      <w:pPr>
        <w:spacing w:after="0" w:line="360" w:lineRule="auto"/>
        <w:jc w:val="both"/>
        <w:rPr>
          <w:rFonts w:cs="Tahoma"/>
          <w:szCs w:val="20"/>
        </w:rPr>
      </w:pPr>
      <w:r w:rsidRPr="00515872">
        <w:rPr>
          <w:rFonts w:cs="Tahoma"/>
          <w:szCs w:val="20"/>
        </w:rPr>
        <w:t>In tale ambito, la Sezione delle autonomie della Corte dei Conti approva ogni anno le linee guida cui devono attenersi gli organi di revisione in relazione al bilancio di previsione dell’esercizio corrente e del consuntivo dell’esercizio precedente. A corredo delle linee guida vengono approvati anche i questionari sul bilancio di previsione</w:t>
      </w:r>
      <w:r w:rsidR="0069616E" w:rsidRPr="00515872">
        <w:rPr>
          <w:rFonts w:cs="Tahoma"/>
          <w:szCs w:val="20"/>
        </w:rPr>
        <w:t>,</w:t>
      </w:r>
      <w:r w:rsidRPr="00515872">
        <w:rPr>
          <w:rFonts w:cs="Tahoma"/>
          <w:szCs w:val="20"/>
        </w:rPr>
        <w:t xml:space="preserve"> sul conto consuntivo</w:t>
      </w:r>
      <w:r w:rsidR="0069616E" w:rsidRPr="00515872">
        <w:rPr>
          <w:rFonts w:cs="Tahoma"/>
          <w:szCs w:val="20"/>
        </w:rPr>
        <w:t xml:space="preserve"> e consolidato</w:t>
      </w:r>
      <w:r w:rsidRPr="00515872">
        <w:rPr>
          <w:rFonts w:cs="Tahoma"/>
          <w:szCs w:val="20"/>
        </w:rPr>
        <w:t xml:space="preserve">, volti a consentire l’acquisizione di una serie di dati e notizie inerenti </w:t>
      </w:r>
      <w:r w:rsidR="001E548F" w:rsidRPr="00515872">
        <w:rPr>
          <w:rFonts w:cs="Tahoma"/>
          <w:szCs w:val="20"/>
        </w:rPr>
        <w:t>alla</w:t>
      </w:r>
      <w:r w:rsidRPr="00515872">
        <w:rPr>
          <w:rFonts w:cs="Tahoma"/>
          <w:szCs w:val="20"/>
        </w:rPr>
        <w:t xml:space="preserve"> situazione finanziaria e gli adempimenti contabili dell’ente, </w:t>
      </w:r>
      <w:r w:rsidR="008E6287" w:rsidRPr="00515872">
        <w:rPr>
          <w:rFonts w:cs="Tahoma"/>
          <w:szCs w:val="20"/>
        </w:rPr>
        <w:t xml:space="preserve">generalmente </w:t>
      </w:r>
      <w:r w:rsidRPr="00515872">
        <w:rPr>
          <w:rFonts w:cs="Tahoma"/>
          <w:szCs w:val="20"/>
        </w:rPr>
        <w:t>distinti fra:</w:t>
      </w:r>
    </w:p>
    <w:p w14:paraId="0328AD80" w14:textId="77777777" w:rsidR="009518AF" w:rsidRPr="00515872" w:rsidRDefault="009518AF" w:rsidP="00D65838">
      <w:pPr>
        <w:pStyle w:val="Paragrafoelenco"/>
        <w:numPr>
          <w:ilvl w:val="0"/>
          <w:numId w:val="75"/>
        </w:numPr>
        <w:spacing w:line="360" w:lineRule="auto"/>
        <w:jc w:val="both"/>
        <w:rPr>
          <w:rFonts w:cs="Tahoma"/>
          <w:szCs w:val="20"/>
        </w:rPr>
      </w:pPr>
      <w:r w:rsidRPr="00515872">
        <w:rPr>
          <w:rFonts w:cs="Tahoma"/>
          <w:szCs w:val="20"/>
        </w:rPr>
        <w:t>province;</w:t>
      </w:r>
    </w:p>
    <w:p w14:paraId="4A94AE50" w14:textId="77777777" w:rsidR="009518AF" w:rsidRPr="00515872" w:rsidRDefault="009518AF" w:rsidP="00D65838">
      <w:pPr>
        <w:pStyle w:val="Paragrafoelenco"/>
        <w:numPr>
          <w:ilvl w:val="0"/>
          <w:numId w:val="75"/>
        </w:numPr>
        <w:spacing w:line="360" w:lineRule="auto"/>
        <w:jc w:val="both"/>
        <w:rPr>
          <w:rFonts w:cs="Tahoma"/>
          <w:szCs w:val="20"/>
        </w:rPr>
      </w:pPr>
      <w:r w:rsidRPr="00515872">
        <w:rPr>
          <w:rFonts w:cs="Tahoma"/>
          <w:szCs w:val="20"/>
        </w:rPr>
        <w:t>comuni con popolazione superiore a 5.000 abitanti;</w:t>
      </w:r>
    </w:p>
    <w:p w14:paraId="44F0105A" w14:textId="77777777" w:rsidR="009518AF" w:rsidRPr="00515872" w:rsidRDefault="009518AF" w:rsidP="00D65838">
      <w:pPr>
        <w:pStyle w:val="Paragrafoelenco"/>
        <w:numPr>
          <w:ilvl w:val="0"/>
          <w:numId w:val="75"/>
        </w:numPr>
        <w:spacing w:line="360" w:lineRule="auto"/>
        <w:jc w:val="both"/>
        <w:rPr>
          <w:rFonts w:cs="Tahoma"/>
          <w:szCs w:val="20"/>
        </w:rPr>
      </w:pPr>
      <w:r w:rsidRPr="00515872">
        <w:rPr>
          <w:rFonts w:cs="Tahoma"/>
          <w:szCs w:val="20"/>
        </w:rPr>
        <w:t>comuni con popolazione fino a 5.000 abitanti.</w:t>
      </w:r>
    </w:p>
    <w:p w14:paraId="48B01CA5" w14:textId="77777777" w:rsidR="009518AF" w:rsidRPr="00515872" w:rsidRDefault="009518AF" w:rsidP="009518AF">
      <w:pPr>
        <w:spacing w:line="360" w:lineRule="auto"/>
        <w:jc w:val="both"/>
        <w:rPr>
          <w:rFonts w:cs="Tahoma"/>
          <w:szCs w:val="20"/>
        </w:rPr>
      </w:pPr>
      <w:r w:rsidRPr="00515872">
        <w:rPr>
          <w:rFonts w:cs="Tahoma"/>
          <w:szCs w:val="20"/>
        </w:rPr>
        <w:t>I questionari, una volta approvati dalla Sezione delle Autonomie e dal coordinamento delle Sezioni regionali di controllo vengono pubblicati sulla Gazzetta Ufficiale e resi disponibili agli organi di revisione degli enti locali sul portale della Corte dei Conti. Gli utenti sono gli organi di revisione.</w:t>
      </w:r>
    </w:p>
    <w:p w14:paraId="2747B884" w14:textId="77777777" w:rsidR="009518AF" w:rsidRPr="00515872" w:rsidRDefault="009518AF" w:rsidP="009518AF">
      <w:pPr>
        <w:spacing w:line="360" w:lineRule="auto"/>
        <w:jc w:val="both"/>
        <w:rPr>
          <w:rFonts w:cs="Tahoma"/>
          <w:szCs w:val="20"/>
        </w:rPr>
      </w:pPr>
      <w:r w:rsidRPr="00515872">
        <w:rPr>
          <w:rFonts w:cs="Tahoma"/>
          <w:szCs w:val="20"/>
        </w:rPr>
        <w:t>Le scadenze per l’inoltro dei questionari è fissata annualmente in maniera differenziata per gli enti appartenenti alle diverse regioni.</w:t>
      </w:r>
    </w:p>
    <w:p w14:paraId="057E59E0" w14:textId="77777777" w:rsidR="009518AF" w:rsidRPr="00515872" w:rsidRDefault="009518AF" w:rsidP="009518AF">
      <w:pPr>
        <w:spacing w:line="360" w:lineRule="auto"/>
        <w:jc w:val="both"/>
        <w:rPr>
          <w:rFonts w:cs="Tahoma"/>
          <w:szCs w:val="20"/>
        </w:rPr>
      </w:pPr>
      <w:r w:rsidRPr="00515872">
        <w:rPr>
          <w:rFonts w:cs="Tahoma"/>
          <w:szCs w:val="20"/>
        </w:rPr>
        <w:t>Ne</w:t>
      </w:r>
      <w:r w:rsidR="0069616E" w:rsidRPr="00515872">
        <w:rPr>
          <w:rFonts w:cs="Tahoma"/>
          <w:szCs w:val="20"/>
        </w:rPr>
        <w:t>l passato recente</w:t>
      </w:r>
      <w:r w:rsidRPr="00515872">
        <w:rPr>
          <w:rFonts w:cs="Tahoma"/>
          <w:szCs w:val="20"/>
        </w:rPr>
        <w:t>, a causa del protrarsi dei termini di approvazione del bilancio di previsione fino a scadenze prossime alla chiusura dell’esercizio, si è assistito all’unificazione in un unico questionario delle informazioni richieste sia in relazione al bilancio di previsione che al consuntivo dello stesso esercizio</w:t>
      </w:r>
      <w:r w:rsidR="0069616E" w:rsidRPr="00515872">
        <w:rPr>
          <w:rFonts w:cs="Tahoma"/>
          <w:szCs w:val="20"/>
        </w:rPr>
        <w:t xml:space="preserve">, per poi tornare </w:t>
      </w:r>
      <w:r w:rsidRPr="00515872">
        <w:rPr>
          <w:rFonts w:cs="Tahoma"/>
          <w:szCs w:val="20"/>
        </w:rPr>
        <w:t>al doppio adempimento.</w:t>
      </w:r>
    </w:p>
    <w:p w14:paraId="5B4AA982" w14:textId="77777777" w:rsidR="009518AF" w:rsidRPr="00515872" w:rsidRDefault="009518AF" w:rsidP="009518AF">
      <w:pPr>
        <w:spacing w:line="360" w:lineRule="auto"/>
        <w:jc w:val="both"/>
        <w:rPr>
          <w:rFonts w:cs="Tahoma"/>
          <w:szCs w:val="20"/>
        </w:rPr>
      </w:pPr>
      <w:r w:rsidRPr="00515872">
        <w:rPr>
          <w:rFonts w:cs="Tahoma"/>
          <w:szCs w:val="20"/>
        </w:rPr>
        <w:t>I questionari, opportunamente compilati, devono essere trasmessi alle Sezioni regionali di controllo della Corte dei Conti che effettuano le necessarie verifiche sugli equilibri di bilancio e sulla gestione finanziaria dell’ente locale. La compilazione</w:t>
      </w:r>
      <w:r w:rsidR="007B4FB1" w:rsidRPr="00515872">
        <w:rPr>
          <w:rFonts w:cs="Tahoma"/>
          <w:szCs w:val="20"/>
        </w:rPr>
        <w:t>, che in passato</w:t>
      </w:r>
      <w:r w:rsidRPr="00515872">
        <w:rPr>
          <w:rFonts w:cs="Tahoma"/>
          <w:szCs w:val="20"/>
        </w:rPr>
        <w:t xml:space="preserve"> avv</w:t>
      </w:r>
      <w:r w:rsidR="00D9668C" w:rsidRPr="00515872">
        <w:rPr>
          <w:rFonts w:cs="Tahoma"/>
          <w:szCs w:val="20"/>
        </w:rPr>
        <w:t>eniva</w:t>
      </w:r>
      <w:r w:rsidRPr="00515872">
        <w:rPr>
          <w:rFonts w:cs="Tahoma"/>
          <w:szCs w:val="20"/>
        </w:rPr>
        <w:t xml:space="preserve"> a mezzo del sistema informatico denominato “SIQUEL” (Sistema Informativo Questionari Enti Locali), </w:t>
      </w:r>
      <w:r w:rsidR="008E6287" w:rsidRPr="00515872">
        <w:rPr>
          <w:rFonts w:cs="Tahoma"/>
          <w:szCs w:val="20"/>
        </w:rPr>
        <w:t>ora</w:t>
      </w:r>
      <w:r w:rsidR="003964E6" w:rsidRPr="00515872">
        <w:rPr>
          <w:rFonts w:cs="Tahoma"/>
          <w:szCs w:val="20"/>
        </w:rPr>
        <w:t xml:space="preserve"> </w:t>
      </w:r>
      <w:r w:rsidR="007B4FB1" w:rsidRPr="00515872">
        <w:rPr>
          <w:rFonts w:cs="Tahoma"/>
          <w:szCs w:val="20"/>
        </w:rPr>
        <w:t xml:space="preserve">deve essere effettuata utilizzando </w:t>
      </w:r>
      <w:r w:rsidR="003964E6" w:rsidRPr="00515872">
        <w:rPr>
          <w:rFonts w:cs="Tahoma"/>
          <w:szCs w:val="20"/>
        </w:rPr>
        <w:t>l’applicativo ConTe (Contabilità Territoriale)</w:t>
      </w:r>
      <w:r w:rsidR="008E6287" w:rsidRPr="00515872">
        <w:rPr>
          <w:rFonts w:cs="Tahoma"/>
          <w:szCs w:val="20"/>
        </w:rPr>
        <w:t>,</w:t>
      </w:r>
      <w:r w:rsidR="003964E6" w:rsidRPr="00515872">
        <w:rPr>
          <w:rFonts w:cs="Tahoma"/>
          <w:szCs w:val="20"/>
        </w:rPr>
        <w:t xml:space="preserve"> </w:t>
      </w:r>
      <w:r w:rsidR="007B4FB1" w:rsidRPr="00515872">
        <w:rPr>
          <w:rFonts w:cs="Tahoma"/>
          <w:szCs w:val="20"/>
        </w:rPr>
        <w:t xml:space="preserve">con modalità del tutto analoghe, </w:t>
      </w:r>
      <w:r w:rsidRPr="00515872">
        <w:rPr>
          <w:rFonts w:cs="Tahoma"/>
          <w:szCs w:val="20"/>
        </w:rPr>
        <w:t>previa richiesta di abilitazione e ottenimento delle relative credenziali di autenticazione</w:t>
      </w:r>
      <w:r w:rsidR="008E6287" w:rsidRPr="00515872">
        <w:rPr>
          <w:rFonts w:cs="Tahoma"/>
          <w:szCs w:val="20"/>
        </w:rPr>
        <w:t xml:space="preserve"> cui il revisore deve provvedere in fase di insediamento</w:t>
      </w:r>
      <w:r w:rsidRPr="00515872">
        <w:rPr>
          <w:rFonts w:cs="Tahoma"/>
          <w:szCs w:val="20"/>
        </w:rPr>
        <w:t xml:space="preserve">. In caso di organo </w:t>
      </w:r>
      <w:r w:rsidRPr="00515872">
        <w:rPr>
          <w:rFonts w:cs="Tahoma"/>
          <w:szCs w:val="20"/>
        </w:rPr>
        <w:lastRenderedPageBreak/>
        <w:t xml:space="preserve">di revisione collegiale, le operazioni di inserimento </w:t>
      </w:r>
      <w:r w:rsidRPr="00515872">
        <w:rPr>
          <w:rFonts w:cs="Tahoma"/>
          <w:i/>
          <w:szCs w:val="20"/>
        </w:rPr>
        <w:t>on-line</w:t>
      </w:r>
      <w:r w:rsidRPr="00515872">
        <w:rPr>
          <w:rFonts w:cs="Tahoma"/>
          <w:szCs w:val="20"/>
        </w:rPr>
        <w:t xml:space="preserve"> dei dati e delle informazioni richieste possono essere effettuate da ciascun membro del collegio, mentre la validazione e l’invio del questionario completo possono essere effettuati solo dal presidente.</w:t>
      </w:r>
      <w:r w:rsidR="0039107D" w:rsidRPr="00515872">
        <w:rPr>
          <w:rFonts w:cs="Tahoma"/>
          <w:szCs w:val="20"/>
        </w:rPr>
        <w:t xml:space="preserve"> Alla cessazione dell’incarico, il revisore </w:t>
      </w:r>
      <w:r w:rsidR="007B4FB1" w:rsidRPr="00515872">
        <w:rPr>
          <w:rFonts w:cs="Tahoma"/>
          <w:szCs w:val="20"/>
        </w:rPr>
        <w:t>uscente</w:t>
      </w:r>
      <w:r w:rsidR="0039107D" w:rsidRPr="00515872">
        <w:rPr>
          <w:rFonts w:cs="Tahoma"/>
          <w:szCs w:val="20"/>
        </w:rPr>
        <w:t xml:space="preserve"> deve chiedere la disabilitazione al portale in riferimento allo specifico ente, al fine di consentire l’accreditamento al revisore successivo.</w:t>
      </w:r>
    </w:p>
    <w:p w14:paraId="5A55D6D6" w14:textId="77777777" w:rsidR="009518AF" w:rsidRPr="00515872" w:rsidRDefault="009518AF" w:rsidP="009518AF">
      <w:pPr>
        <w:spacing w:line="360" w:lineRule="auto"/>
        <w:jc w:val="both"/>
        <w:rPr>
          <w:rFonts w:eastAsia="Times New Roman" w:cs="Tahoma"/>
          <w:szCs w:val="20"/>
          <w:lang w:eastAsia="it-IT"/>
        </w:rPr>
      </w:pPr>
      <w:r w:rsidRPr="00515872">
        <w:rPr>
          <w:rFonts w:cs="Tahoma"/>
          <w:b/>
          <w:color w:val="000000"/>
          <w:szCs w:val="20"/>
        </w:rPr>
        <w:t>Il ritardo o l’omissione dell’adempimento in parola</w:t>
      </w:r>
      <w:r w:rsidRPr="00515872">
        <w:rPr>
          <w:rFonts w:cs="Tahoma"/>
          <w:color w:val="000000"/>
          <w:szCs w:val="20"/>
        </w:rPr>
        <w:t xml:space="preserve">, ostacolando l’esercizio delle funzioni di controllo istituzionalmente attribuite alla Corte dei Conti, </w:t>
      </w:r>
      <w:r w:rsidRPr="00515872">
        <w:rPr>
          <w:rFonts w:cs="Tahoma"/>
          <w:b/>
          <w:color w:val="000000"/>
          <w:szCs w:val="20"/>
        </w:rPr>
        <w:t>costituisce grave inadempimento dell’organo di revisione, suscettibile di dar luogo alla sua revoca</w:t>
      </w:r>
      <w:r w:rsidRPr="00515872">
        <w:rPr>
          <w:rFonts w:cs="Tahoma"/>
          <w:color w:val="000000"/>
          <w:szCs w:val="20"/>
        </w:rPr>
        <w:t xml:space="preserve"> ai sensi dell’art. 235, c. 2 del TUEL da parte dell’organo consiliare. </w:t>
      </w:r>
      <w:r w:rsidRPr="00515872">
        <w:rPr>
          <w:rFonts w:eastAsia="Times New Roman" w:cs="Tahoma"/>
          <w:szCs w:val="20"/>
          <w:lang w:eastAsia="it-IT"/>
        </w:rPr>
        <w:t xml:space="preserve">Le conseguenze, tuttavia, possono essere ben più gravi della semplice revoca del mandato. Si segnalano, sul punto, le deliberazioni della Sezione di controllo per l’Abruzzo della Corte dei Conti nn. 43, 44 e 45, del 2013 e n. 27 del 2015 relative al comportamento omissivo di cui si sono resi autori i revisori di alcuni comuni abruzzesi, responsabili di non avere provveduto, nei termini prescritti dalla Sezione, all’invio tramite il sistema SIQUEL dei questionari relativi al bilancio di previsione 2012 e al rendiconto 2011, neanche a seguito di diffida, in assenza di idonee ragioni giustificative dell’inadempimento. Nelle suddette deliberazioni la Sezione Abruzzo ha disposto la trasmissione degli atti alla Procura della Repubblica, ai fini della verifica della sussistenza di eventuali </w:t>
      </w:r>
      <w:r w:rsidRPr="00515872">
        <w:rPr>
          <w:rFonts w:eastAsia="Times New Roman" w:cs="Tahoma"/>
          <w:b/>
          <w:szCs w:val="20"/>
          <w:lang w:eastAsia="it-IT"/>
        </w:rPr>
        <w:t>responsabilità per omissione di atti di ufficio</w:t>
      </w:r>
      <w:r w:rsidRPr="00515872">
        <w:rPr>
          <w:rFonts w:eastAsia="Times New Roman" w:cs="Tahoma"/>
          <w:szCs w:val="20"/>
          <w:lang w:eastAsia="it-IT"/>
        </w:rPr>
        <w:t xml:space="preserve">, reato che, ai sensi dell’art. 328 del Codice Penale, può essere punito con la </w:t>
      </w:r>
      <w:r w:rsidRPr="00515872">
        <w:rPr>
          <w:rFonts w:eastAsia="Times New Roman" w:cs="Tahoma"/>
          <w:b/>
          <w:szCs w:val="20"/>
          <w:lang w:eastAsia="it-IT"/>
        </w:rPr>
        <w:t>reclusione fino ad un anno</w:t>
      </w:r>
      <w:r w:rsidRPr="00515872">
        <w:rPr>
          <w:rFonts w:eastAsia="Times New Roman" w:cs="Tahoma"/>
          <w:szCs w:val="20"/>
          <w:lang w:eastAsia="it-IT"/>
        </w:rPr>
        <w:t xml:space="preserve"> o con la multa fino a € 1.032.</w:t>
      </w:r>
    </w:p>
    <w:p w14:paraId="2A1FBE30" w14:textId="77777777" w:rsidR="009518AF" w:rsidRPr="00515872" w:rsidRDefault="009518AF" w:rsidP="009518AF">
      <w:pPr>
        <w:spacing w:line="360" w:lineRule="auto"/>
        <w:jc w:val="both"/>
        <w:rPr>
          <w:rFonts w:eastAsia="Times New Roman" w:cs="Tahoma"/>
          <w:szCs w:val="20"/>
          <w:lang w:eastAsia="it-IT"/>
        </w:rPr>
      </w:pPr>
      <w:r w:rsidRPr="00515872">
        <w:rPr>
          <w:rFonts w:eastAsia="Times New Roman" w:cs="Tahoma"/>
          <w:szCs w:val="20"/>
          <w:lang w:eastAsia="it-IT"/>
        </w:rPr>
        <w:t>È chiaro, pertanto, che, qualora le ipotesi di responsabilità trovassero riscontro nella giurisdizione amministrativa e penale, si prospetterebbe un quadro organico ed articolato di pesanti responsabilità a carico dei componenti dell’organo di revisione degli enti locali.</w:t>
      </w:r>
    </w:p>
    <w:p w14:paraId="1ED0073D" w14:textId="77777777" w:rsidR="009518AF" w:rsidRPr="00515872" w:rsidRDefault="009518AF" w:rsidP="009518AF">
      <w:pPr>
        <w:spacing w:after="0" w:line="240" w:lineRule="auto"/>
        <w:jc w:val="center"/>
        <w:rPr>
          <w:rFonts w:cs="Tahoma"/>
          <w:b/>
        </w:rPr>
      </w:pPr>
      <w:r w:rsidRPr="00515872">
        <w:rPr>
          <w:rFonts w:cs="Tahoma"/>
          <w:highlight w:val="yellow"/>
        </w:rPr>
        <w:br w:type="page"/>
      </w:r>
      <w:r w:rsidRPr="00515872">
        <w:rPr>
          <w:rFonts w:cs="Tahoma"/>
          <w:b/>
          <w:sz w:val="40"/>
        </w:rPr>
        <w:lastRenderedPageBreak/>
        <w:t>APPENDICE</w:t>
      </w:r>
      <w:r w:rsidRPr="00515872">
        <w:rPr>
          <w:rFonts w:cs="Tahoma"/>
          <w:b/>
        </w:rPr>
        <w:br w:type="page"/>
      </w:r>
    </w:p>
    <w:p w14:paraId="2DB273CC" w14:textId="77777777" w:rsidR="009518AF" w:rsidRPr="00515872" w:rsidRDefault="009518AF" w:rsidP="009518AF">
      <w:pPr>
        <w:pStyle w:val="Titolo"/>
        <w:rPr>
          <w:rFonts w:cs="Tahoma"/>
        </w:rPr>
      </w:pPr>
      <w:bookmarkStart w:id="236" w:name="_Toc521317141"/>
      <w:bookmarkStart w:id="237" w:name="_Toc95912328"/>
      <w:r w:rsidRPr="00515872">
        <w:rPr>
          <w:rFonts w:cs="Tahoma"/>
        </w:rPr>
        <w:lastRenderedPageBreak/>
        <w:t>Tabella determinazione dei compensi dell’organo di revisione</w:t>
      </w:r>
      <w:bookmarkEnd w:id="236"/>
      <w:bookmarkEnd w:id="237"/>
    </w:p>
    <w:p w14:paraId="32111B46" w14:textId="77777777" w:rsidR="009518AF" w:rsidRPr="00515872" w:rsidRDefault="00541E50" w:rsidP="00541E50">
      <w:pPr>
        <w:tabs>
          <w:tab w:val="left" w:pos="3043"/>
        </w:tabs>
        <w:spacing w:line="360" w:lineRule="auto"/>
        <w:jc w:val="both"/>
        <w:rPr>
          <w:rFonts w:cs="Tahoma"/>
          <w:b/>
          <w:bCs/>
          <w:szCs w:val="20"/>
        </w:rPr>
      </w:pPr>
      <w:r w:rsidRPr="00515872">
        <w:rPr>
          <w:rFonts w:cs="Tahoma"/>
          <w:b/>
          <w:bCs/>
          <w:szCs w:val="20"/>
        </w:rPr>
        <w:t>D.M. Interno 21/12/2018 (G.U. Serie Generale n.3 del 4/01/2019)</w:t>
      </w:r>
    </w:p>
    <w:p w14:paraId="55500ED1" w14:textId="77777777" w:rsidR="00541E50" w:rsidRPr="00515872" w:rsidRDefault="00541E50" w:rsidP="00734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eastAsia="Times New Roman" w:cs="Tahoma"/>
          <w:szCs w:val="20"/>
          <w:lang w:eastAsia="it-IT"/>
        </w:rPr>
        <w:t>Il limite massimo del compenso base annuo lordo spettante ad ogni componente degli organi di revisione economico-finanziaria dei comuni, delle province e delle città metropolitane è pari, per ciascuna fascia demografica degli enti considerati, alla misura indicata nella tabella A, allegata al presente decreto, con le seguenti maggiorazioni</w:t>
      </w:r>
      <w:r w:rsidR="00D57B0C" w:rsidRPr="00515872">
        <w:rPr>
          <w:rFonts w:eastAsia="Times New Roman" w:cs="Tahoma"/>
          <w:szCs w:val="20"/>
          <w:lang w:eastAsia="it-IT"/>
        </w:rPr>
        <w:t>, cumulabili tra loro</w:t>
      </w:r>
      <w:r w:rsidRPr="00515872">
        <w:rPr>
          <w:rFonts w:eastAsia="Times New Roman" w:cs="Tahoma"/>
          <w:szCs w:val="20"/>
          <w:lang w:eastAsia="it-IT"/>
        </w:rPr>
        <w:t xml:space="preserve">: </w:t>
      </w:r>
    </w:p>
    <w:p w14:paraId="7B553F37" w14:textId="5A3483F1" w:rsidR="00541E50" w:rsidRPr="00515872" w:rsidRDefault="00541E50" w:rsidP="00515872">
      <w:pPr>
        <w:pStyle w:val="Paragrafoelenco"/>
        <w:numPr>
          <w:ilvl w:val="0"/>
          <w:numId w:val="239"/>
        </w:num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18"/>
        <w:jc w:val="both"/>
        <w:rPr>
          <w:rFonts w:eastAsia="Times New Roman" w:cs="Tahoma"/>
          <w:szCs w:val="20"/>
          <w:lang w:eastAsia="it-IT"/>
        </w:rPr>
      </w:pPr>
      <w:r w:rsidRPr="00515872">
        <w:rPr>
          <w:rFonts w:eastAsia="Times New Roman" w:cs="Tahoma"/>
          <w:szCs w:val="20"/>
          <w:lang w:eastAsia="it-IT"/>
        </w:rPr>
        <w:t>sino ad un massimo del 10</w:t>
      </w:r>
      <w:r w:rsidR="00734C83" w:rsidRPr="00515872">
        <w:rPr>
          <w:rFonts w:eastAsia="Times New Roman" w:cs="Tahoma"/>
          <w:szCs w:val="20"/>
          <w:lang w:eastAsia="it-IT"/>
        </w:rPr>
        <w:t>%</w:t>
      </w:r>
      <w:r w:rsidRPr="00515872">
        <w:rPr>
          <w:rFonts w:eastAsia="Times New Roman" w:cs="Tahoma"/>
          <w:szCs w:val="20"/>
          <w:lang w:eastAsia="it-IT"/>
        </w:rPr>
        <w:t xml:space="preserve"> per gli enti locali la cui spesa corrente annuale pro-capite desumibile dall'ultimo bilancio preventivo approvato, sia superiore alla media nazionale per fascia demografica di cui alla tabella B, allegata al presente decreto; </w:t>
      </w:r>
    </w:p>
    <w:p w14:paraId="10671246" w14:textId="20C6DEA9" w:rsidR="00541E50" w:rsidRPr="00515872" w:rsidRDefault="00541E50" w:rsidP="00515872">
      <w:pPr>
        <w:pStyle w:val="Paragrafoelenco"/>
        <w:numPr>
          <w:ilvl w:val="0"/>
          <w:numId w:val="239"/>
        </w:num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18"/>
        <w:jc w:val="both"/>
        <w:rPr>
          <w:rFonts w:eastAsia="Times New Roman" w:cs="Tahoma"/>
          <w:szCs w:val="20"/>
          <w:lang w:eastAsia="it-IT"/>
        </w:rPr>
      </w:pPr>
      <w:r w:rsidRPr="00515872">
        <w:rPr>
          <w:rFonts w:eastAsia="Times New Roman" w:cs="Tahoma"/>
          <w:szCs w:val="20"/>
          <w:lang w:eastAsia="it-IT"/>
        </w:rPr>
        <w:t>sino ad un massimo del 10</w:t>
      </w:r>
      <w:r w:rsidR="00734C83" w:rsidRPr="00515872">
        <w:rPr>
          <w:rFonts w:eastAsia="Times New Roman" w:cs="Tahoma"/>
          <w:szCs w:val="20"/>
          <w:lang w:eastAsia="it-IT"/>
        </w:rPr>
        <w:t>%</w:t>
      </w:r>
      <w:r w:rsidRPr="00515872">
        <w:rPr>
          <w:rFonts w:eastAsia="Times New Roman" w:cs="Tahoma"/>
          <w:szCs w:val="20"/>
          <w:lang w:eastAsia="it-IT"/>
        </w:rPr>
        <w:t xml:space="preserve"> per gli enti locali la cui spesa per investimenti annuale pro-capite, desumibile dall'ultimo bilancio preventivo approvato, sia superiore alla media nazionale per fascia demografica di cui alla tabella C, allegata al presente decreto. </w:t>
      </w:r>
    </w:p>
    <w:p w14:paraId="5D34D37B" w14:textId="77777777" w:rsidR="003135DF" w:rsidRPr="00515872" w:rsidRDefault="003135DF" w:rsidP="00313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ahoma"/>
          <w:szCs w:val="20"/>
          <w:lang w:eastAsia="it-IT"/>
        </w:rPr>
      </w:pPr>
      <w:r w:rsidRPr="00515872">
        <w:rPr>
          <w:rFonts w:cs="Tahoma"/>
        </w:rPr>
        <w:t>I limiti massimi del compenso spettante ai componenti dell'organo di revisione economico-finanziaria, come determinato in base al presente decreto, sono da intendersi al netto dell'IVA (nei casi in cui il revisore sia soggetto passivo dell'imposta) e dei contributi previdenziali posti a carico dell'ente da specifiche disposizioni di legge.</w:t>
      </w:r>
    </w:p>
    <w:p w14:paraId="4EA1FD89" w14:textId="77777777" w:rsidR="009518AF" w:rsidRPr="00515872" w:rsidRDefault="009518AF" w:rsidP="009518AF">
      <w:pPr>
        <w:spacing w:after="0" w:line="360" w:lineRule="auto"/>
        <w:jc w:val="center"/>
        <w:rPr>
          <w:rFonts w:cs="Tahoma"/>
          <w:b/>
          <w:szCs w:val="20"/>
        </w:rPr>
      </w:pPr>
      <w:r w:rsidRPr="00515872">
        <w:rPr>
          <w:rFonts w:cs="Tahoma"/>
          <w:b/>
          <w:szCs w:val="20"/>
        </w:rPr>
        <w:t>Tabella A</w:t>
      </w:r>
      <w:r w:rsidR="00350E3F" w:rsidRPr="00515872">
        <w:rPr>
          <w:rFonts w:cs="Tahoma"/>
          <w:b/>
          <w:szCs w:val="20"/>
        </w:rPr>
        <w:t xml:space="preserve"> – COMPENSO BASE LORDO ANNUO PER OGNI COMPONENTE DELL’ORGANO DI REVISIONE DEGLI ENTI LOCALI</w:t>
      </w:r>
      <w:r w:rsidR="00903F52" w:rsidRPr="00515872">
        <w:rPr>
          <w:rFonts w:cs="Tahoma"/>
          <w:b/>
          <w:szCs w:val="20"/>
        </w:rPr>
        <w:t xml:space="preserve"> (confronto D.M. 20/05/2005 – D.M. 21/12/2018)</w:t>
      </w:r>
    </w:p>
    <w:tbl>
      <w:tblPr>
        <w:tblStyle w:val="Grigliatabella"/>
        <w:tblW w:w="0" w:type="auto"/>
        <w:jc w:val="center"/>
        <w:tblLook w:val="04A0" w:firstRow="1" w:lastRow="0" w:firstColumn="1" w:lastColumn="0" w:noHBand="0" w:noVBand="1"/>
      </w:tblPr>
      <w:tblGrid>
        <w:gridCol w:w="695"/>
        <w:gridCol w:w="19"/>
        <w:gridCol w:w="3816"/>
        <w:gridCol w:w="2552"/>
        <w:gridCol w:w="2546"/>
      </w:tblGrid>
      <w:tr w:rsidR="00350E3F" w:rsidRPr="00515872" w14:paraId="1525171A" w14:textId="77777777" w:rsidTr="009063EA">
        <w:trPr>
          <w:jc w:val="center"/>
        </w:trPr>
        <w:tc>
          <w:tcPr>
            <w:tcW w:w="4530" w:type="dxa"/>
            <w:gridSpan w:val="3"/>
          </w:tcPr>
          <w:p w14:paraId="3788412B" w14:textId="77777777" w:rsidR="00350E3F" w:rsidRPr="00515872" w:rsidRDefault="00350E3F" w:rsidP="002641DC">
            <w:pPr>
              <w:spacing w:after="0"/>
              <w:rPr>
                <w:rFonts w:cs="Tahoma"/>
                <w:szCs w:val="20"/>
              </w:rPr>
            </w:pPr>
          </w:p>
        </w:tc>
        <w:tc>
          <w:tcPr>
            <w:tcW w:w="2552" w:type="dxa"/>
          </w:tcPr>
          <w:p w14:paraId="0138E4A5"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20/05/2005</w:t>
            </w:r>
          </w:p>
        </w:tc>
        <w:tc>
          <w:tcPr>
            <w:tcW w:w="2546" w:type="dxa"/>
          </w:tcPr>
          <w:p w14:paraId="7EA82F22"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21/12/2018</w:t>
            </w:r>
          </w:p>
        </w:tc>
      </w:tr>
      <w:tr w:rsidR="00B518B9" w:rsidRPr="00515872" w14:paraId="4B55931E" w14:textId="77777777" w:rsidTr="009063EA">
        <w:trPr>
          <w:jc w:val="center"/>
        </w:trPr>
        <w:tc>
          <w:tcPr>
            <w:tcW w:w="4530" w:type="dxa"/>
            <w:gridSpan w:val="3"/>
          </w:tcPr>
          <w:p w14:paraId="4AF4071A" w14:textId="77777777" w:rsidR="00B518B9" w:rsidRPr="00515872" w:rsidRDefault="00B518B9" w:rsidP="00393822">
            <w:pPr>
              <w:spacing w:after="0"/>
              <w:rPr>
                <w:rFonts w:cs="Tahoma"/>
                <w:b/>
                <w:szCs w:val="20"/>
              </w:rPr>
            </w:pPr>
            <w:r w:rsidRPr="00515872">
              <w:rPr>
                <w:rFonts w:cs="Tahoma"/>
                <w:b/>
                <w:szCs w:val="20"/>
              </w:rPr>
              <w:t>Comuni</w:t>
            </w:r>
          </w:p>
        </w:tc>
        <w:tc>
          <w:tcPr>
            <w:tcW w:w="2552" w:type="dxa"/>
          </w:tcPr>
          <w:p w14:paraId="0EC1554D" w14:textId="77777777" w:rsidR="00B518B9" w:rsidRPr="00515872" w:rsidRDefault="00B518B9" w:rsidP="00393822">
            <w:pPr>
              <w:spacing w:after="0"/>
              <w:rPr>
                <w:rFonts w:cs="Tahoma"/>
                <w:b/>
                <w:szCs w:val="20"/>
              </w:rPr>
            </w:pPr>
          </w:p>
        </w:tc>
        <w:tc>
          <w:tcPr>
            <w:tcW w:w="2546" w:type="dxa"/>
          </w:tcPr>
          <w:p w14:paraId="29F2312F" w14:textId="77777777" w:rsidR="00B518B9" w:rsidRPr="00515872" w:rsidRDefault="00B518B9" w:rsidP="00393822">
            <w:pPr>
              <w:spacing w:after="0"/>
              <w:rPr>
                <w:rFonts w:cs="Tahoma"/>
                <w:b/>
                <w:szCs w:val="20"/>
              </w:rPr>
            </w:pPr>
          </w:p>
        </w:tc>
      </w:tr>
      <w:tr w:rsidR="00350E3F" w:rsidRPr="00515872" w14:paraId="25381818" w14:textId="77777777" w:rsidTr="009063EA">
        <w:trPr>
          <w:jc w:val="center"/>
        </w:trPr>
        <w:tc>
          <w:tcPr>
            <w:tcW w:w="714" w:type="dxa"/>
            <w:gridSpan w:val="2"/>
          </w:tcPr>
          <w:p w14:paraId="2CF9C4D6" w14:textId="77777777" w:rsidR="00350E3F" w:rsidRPr="00515872" w:rsidRDefault="00350E3F" w:rsidP="00350E3F">
            <w:pPr>
              <w:spacing w:after="0"/>
              <w:rPr>
                <w:rFonts w:cs="Tahoma"/>
                <w:szCs w:val="20"/>
              </w:rPr>
            </w:pPr>
            <w:r w:rsidRPr="00515872">
              <w:rPr>
                <w:rFonts w:cs="Tahoma"/>
                <w:szCs w:val="20"/>
              </w:rPr>
              <w:t>a)</w:t>
            </w:r>
          </w:p>
        </w:tc>
        <w:tc>
          <w:tcPr>
            <w:tcW w:w="3816" w:type="dxa"/>
          </w:tcPr>
          <w:p w14:paraId="0500FE8B" w14:textId="77777777" w:rsidR="00350E3F" w:rsidRPr="00515872" w:rsidRDefault="00350E3F" w:rsidP="00350E3F">
            <w:pPr>
              <w:spacing w:after="0"/>
              <w:rPr>
                <w:rFonts w:cs="Tahoma"/>
                <w:szCs w:val="20"/>
              </w:rPr>
            </w:pPr>
            <w:r w:rsidRPr="00515872">
              <w:rPr>
                <w:rFonts w:cs="Tahoma"/>
                <w:szCs w:val="20"/>
              </w:rPr>
              <w:t>comuni con meno di 500 abitanti</w:t>
            </w:r>
          </w:p>
        </w:tc>
        <w:tc>
          <w:tcPr>
            <w:tcW w:w="2552" w:type="dxa"/>
          </w:tcPr>
          <w:p w14:paraId="1231C1D6" w14:textId="77777777" w:rsidR="00350E3F" w:rsidRPr="00515872" w:rsidRDefault="00350E3F" w:rsidP="00A628D4">
            <w:pPr>
              <w:spacing w:after="0"/>
              <w:jc w:val="right"/>
              <w:rPr>
                <w:rFonts w:cs="Tahoma"/>
                <w:szCs w:val="20"/>
              </w:rPr>
            </w:pPr>
            <w:r w:rsidRPr="00515872">
              <w:rPr>
                <w:rFonts w:cs="Tahoma"/>
                <w:szCs w:val="20"/>
              </w:rPr>
              <w:t>euro 2.060</w:t>
            </w:r>
          </w:p>
        </w:tc>
        <w:tc>
          <w:tcPr>
            <w:tcW w:w="2546" w:type="dxa"/>
          </w:tcPr>
          <w:p w14:paraId="19E5F015" w14:textId="77777777" w:rsidR="00350E3F" w:rsidRPr="00515872" w:rsidRDefault="00350E3F" w:rsidP="00A628D4">
            <w:pPr>
              <w:spacing w:after="0"/>
              <w:jc w:val="right"/>
              <w:rPr>
                <w:rFonts w:cs="Tahoma"/>
                <w:szCs w:val="20"/>
              </w:rPr>
            </w:pPr>
            <w:r w:rsidRPr="00515872">
              <w:rPr>
                <w:rFonts w:cs="Tahoma"/>
                <w:szCs w:val="20"/>
              </w:rPr>
              <w:t>euro 2.480</w:t>
            </w:r>
          </w:p>
        </w:tc>
      </w:tr>
      <w:tr w:rsidR="00350E3F" w:rsidRPr="00515872" w14:paraId="0270E62F" w14:textId="77777777" w:rsidTr="009063EA">
        <w:trPr>
          <w:jc w:val="center"/>
        </w:trPr>
        <w:tc>
          <w:tcPr>
            <w:tcW w:w="714" w:type="dxa"/>
            <w:gridSpan w:val="2"/>
          </w:tcPr>
          <w:p w14:paraId="7401089D" w14:textId="77777777" w:rsidR="00350E3F" w:rsidRPr="00515872" w:rsidRDefault="00350E3F" w:rsidP="00350E3F">
            <w:pPr>
              <w:spacing w:after="0"/>
              <w:rPr>
                <w:rFonts w:cs="Tahoma"/>
                <w:szCs w:val="20"/>
              </w:rPr>
            </w:pPr>
            <w:r w:rsidRPr="00515872">
              <w:rPr>
                <w:rFonts w:cs="Tahoma"/>
                <w:szCs w:val="20"/>
              </w:rPr>
              <w:t>b)</w:t>
            </w:r>
          </w:p>
        </w:tc>
        <w:tc>
          <w:tcPr>
            <w:tcW w:w="3816" w:type="dxa"/>
          </w:tcPr>
          <w:p w14:paraId="66B45C34" w14:textId="77777777" w:rsidR="00350E3F" w:rsidRPr="00515872" w:rsidRDefault="00350E3F" w:rsidP="00350E3F">
            <w:pPr>
              <w:spacing w:after="0"/>
              <w:rPr>
                <w:rFonts w:cs="Tahoma"/>
                <w:szCs w:val="20"/>
              </w:rPr>
            </w:pPr>
            <w:r w:rsidRPr="00515872">
              <w:rPr>
                <w:rFonts w:eastAsia="Times New Roman" w:cs="Tahoma"/>
                <w:szCs w:val="20"/>
                <w:lang w:eastAsia="it-IT"/>
              </w:rPr>
              <w:t>comuni da 550 a 999 abitanti</w:t>
            </w:r>
          </w:p>
        </w:tc>
        <w:tc>
          <w:tcPr>
            <w:tcW w:w="2552" w:type="dxa"/>
          </w:tcPr>
          <w:p w14:paraId="304229C2"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2.640</w:t>
            </w:r>
          </w:p>
        </w:tc>
        <w:tc>
          <w:tcPr>
            <w:tcW w:w="2546" w:type="dxa"/>
          </w:tcPr>
          <w:p w14:paraId="7548BC68"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3.180</w:t>
            </w:r>
          </w:p>
        </w:tc>
      </w:tr>
      <w:tr w:rsidR="00350E3F" w:rsidRPr="00515872" w14:paraId="368AB1DE" w14:textId="77777777" w:rsidTr="009063EA">
        <w:trPr>
          <w:jc w:val="center"/>
        </w:trPr>
        <w:tc>
          <w:tcPr>
            <w:tcW w:w="714" w:type="dxa"/>
            <w:gridSpan w:val="2"/>
          </w:tcPr>
          <w:p w14:paraId="403B4B0D" w14:textId="77777777" w:rsidR="00350E3F" w:rsidRPr="00515872" w:rsidRDefault="00350E3F" w:rsidP="00350E3F">
            <w:pPr>
              <w:spacing w:after="0"/>
              <w:rPr>
                <w:rFonts w:cs="Tahoma"/>
                <w:szCs w:val="20"/>
              </w:rPr>
            </w:pPr>
            <w:r w:rsidRPr="00515872">
              <w:rPr>
                <w:rFonts w:cs="Tahoma"/>
                <w:szCs w:val="20"/>
              </w:rPr>
              <w:t>c)</w:t>
            </w:r>
          </w:p>
        </w:tc>
        <w:tc>
          <w:tcPr>
            <w:tcW w:w="3816" w:type="dxa"/>
          </w:tcPr>
          <w:p w14:paraId="3DBB117C"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 a 1.999 abitanti</w:t>
            </w:r>
          </w:p>
        </w:tc>
        <w:tc>
          <w:tcPr>
            <w:tcW w:w="2552" w:type="dxa"/>
          </w:tcPr>
          <w:p w14:paraId="4C9A91C5"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 xml:space="preserve">euro 3.450 </w:t>
            </w:r>
          </w:p>
        </w:tc>
        <w:tc>
          <w:tcPr>
            <w:tcW w:w="2546" w:type="dxa"/>
          </w:tcPr>
          <w:p w14:paraId="60D7169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 xml:space="preserve">euro 4.150 </w:t>
            </w:r>
          </w:p>
        </w:tc>
      </w:tr>
      <w:tr w:rsidR="00350E3F" w:rsidRPr="00515872" w14:paraId="13684BB5" w14:textId="77777777" w:rsidTr="009063EA">
        <w:trPr>
          <w:jc w:val="center"/>
        </w:trPr>
        <w:tc>
          <w:tcPr>
            <w:tcW w:w="714" w:type="dxa"/>
            <w:gridSpan w:val="2"/>
          </w:tcPr>
          <w:p w14:paraId="01D653AA" w14:textId="77777777" w:rsidR="00350E3F" w:rsidRPr="00515872" w:rsidRDefault="00350E3F" w:rsidP="00350E3F">
            <w:pPr>
              <w:spacing w:after="0"/>
              <w:rPr>
                <w:rFonts w:cs="Tahoma"/>
                <w:szCs w:val="20"/>
              </w:rPr>
            </w:pPr>
            <w:r w:rsidRPr="00515872">
              <w:rPr>
                <w:rFonts w:cs="Tahoma"/>
                <w:szCs w:val="20"/>
              </w:rPr>
              <w:t>d)</w:t>
            </w:r>
          </w:p>
        </w:tc>
        <w:tc>
          <w:tcPr>
            <w:tcW w:w="3816" w:type="dxa"/>
          </w:tcPr>
          <w:p w14:paraId="16545536"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 xml:space="preserve">comuni da 2.000 a 2.999 abitanti </w:t>
            </w:r>
          </w:p>
        </w:tc>
        <w:tc>
          <w:tcPr>
            <w:tcW w:w="2552" w:type="dxa"/>
          </w:tcPr>
          <w:p w14:paraId="3C55B1CA"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 xml:space="preserve">euro 5.010 </w:t>
            </w:r>
          </w:p>
        </w:tc>
        <w:tc>
          <w:tcPr>
            <w:tcW w:w="2546" w:type="dxa"/>
          </w:tcPr>
          <w:p w14:paraId="3E927391"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 xml:space="preserve">euro 6.030 </w:t>
            </w:r>
          </w:p>
        </w:tc>
      </w:tr>
      <w:tr w:rsidR="00350E3F" w:rsidRPr="00515872" w14:paraId="039C78F4" w14:textId="77777777" w:rsidTr="009063EA">
        <w:trPr>
          <w:jc w:val="center"/>
        </w:trPr>
        <w:tc>
          <w:tcPr>
            <w:tcW w:w="714" w:type="dxa"/>
            <w:gridSpan w:val="2"/>
          </w:tcPr>
          <w:p w14:paraId="232D23EA" w14:textId="77777777" w:rsidR="00350E3F" w:rsidRPr="00515872" w:rsidRDefault="00350E3F" w:rsidP="00350E3F">
            <w:pPr>
              <w:spacing w:after="0"/>
              <w:rPr>
                <w:rFonts w:cs="Tahoma"/>
                <w:szCs w:val="20"/>
              </w:rPr>
            </w:pPr>
            <w:r w:rsidRPr="00515872">
              <w:rPr>
                <w:rFonts w:cs="Tahoma"/>
                <w:szCs w:val="20"/>
              </w:rPr>
              <w:t>e)</w:t>
            </w:r>
          </w:p>
        </w:tc>
        <w:tc>
          <w:tcPr>
            <w:tcW w:w="3816" w:type="dxa"/>
          </w:tcPr>
          <w:p w14:paraId="15C79496"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3.000 a 4.999 abitanti</w:t>
            </w:r>
          </w:p>
        </w:tc>
        <w:tc>
          <w:tcPr>
            <w:tcW w:w="2552" w:type="dxa"/>
          </w:tcPr>
          <w:p w14:paraId="249C0A66"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5.900</w:t>
            </w:r>
          </w:p>
        </w:tc>
        <w:tc>
          <w:tcPr>
            <w:tcW w:w="2546" w:type="dxa"/>
          </w:tcPr>
          <w:p w14:paraId="11479E9C"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7.100</w:t>
            </w:r>
          </w:p>
        </w:tc>
      </w:tr>
      <w:tr w:rsidR="00350E3F" w:rsidRPr="00515872" w14:paraId="445CC3AE" w14:textId="77777777" w:rsidTr="009063EA">
        <w:trPr>
          <w:jc w:val="center"/>
        </w:trPr>
        <w:tc>
          <w:tcPr>
            <w:tcW w:w="714" w:type="dxa"/>
            <w:gridSpan w:val="2"/>
          </w:tcPr>
          <w:p w14:paraId="24D8D78C" w14:textId="77777777" w:rsidR="00350E3F" w:rsidRPr="00515872" w:rsidRDefault="00350E3F" w:rsidP="00350E3F">
            <w:pPr>
              <w:spacing w:after="0"/>
              <w:rPr>
                <w:rFonts w:cs="Tahoma"/>
                <w:szCs w:val="20"/>
              </w:rPr>
            </w:pPr>
            <w:r w:rsidRPr="00515872">
              <w:rPr>
                <w:rFonts w:cs="Tahoma"/>
                <w:szCs w:val="20"/>
              </w:rPr>
              <w:t>f)</w:t>
            </w:r>
          </w:p>
        </w:tc>
        <w:tc>
          <w:tcPr>
            <w:tcW w:w="3816" w:type="dxa"/>
          </w:tcPr>
          <w:p w14:paraId="2DD1E476"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5.000 a 9.999 abitanti</w:t>
            </w:r>
          </w:p>
        </w:tc>
        <w:tc>
          <w:tcPr>
            <w:tcW w:w="2552" w:type="dxa"/>
          </w:tcPr>
          <w:p w14:paraId="68364B19"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6.490</w:t>
            </w:r>
          </w:p>
        </w:tc>
        <w:tc>
          <w:tcPr>
            <w:tcW w:w="2546" w:type="dxa"/>
          </w:tcPr>
          <w:p w14:paraId="05EBDBD2"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10.150</w:t>
            </w:r>
          </w:p>
        </w:tc>
      </w:tr>
      <w:tr w:rsidR="00350E3F" w:rsidRPr="00515872" w14:paraId="1D1DE654" w14:textId="77777777" w:rsidTr="009063EA">
        <w:trPr>
          <w:jc w:val="center"/>
        </w:trPr>
        <w:tc>
          <w:tcPr>
            <w:tcW w:w="714" w:type="dxa"/>
            <w:gridSpan w:val="2"/>
          </w:tcPr>
          <w:p w14:paraId="35CBD37C" w14:textId="77777777" w:rsidR="00350E3F" w:rsidRPr="00515872" w:rsidRDefault="00350E3F" w:rsidP="00350E3F">
            <w:pPr>
              <w:spacing w:after="0"/>
              <w:rPr>
                <w:rFonts w:cs="Tahoma"/>
                <w:szCs w:val="20"/>
              </w:rPr>
            </w:pPr>
            <w:r w:rsidRPr="00515872">
              <w:rPr>
                <w:rFonts w:cs="Tahoma"/>
                <w:szCs w:val="20"/>
              </w:rPr>
              <w:t>g)</w:t>
            </w:r>
          </w:p>
        </w:tc>
        <w:tc>
          <w:tcPr>
            <w:tcW w:w="3816" w:type="dxa"/>
          </w:tcPr>
          <w:p w14:paraId="677D1DC0"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10.000 a 19.999 abitanti</w:t>
            </w:r>
          </w:p>
        </w:tc>
        <w:tc>
          <w:tcPr>
            <w:tcW w:w="2552" w:type="dxa"/>
          </w:tcPr>
          <w:p w14:paraId="45EB498F"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8.240</w:t>
            </w:r>
          </w:p>
        </w:tc>
        <w:tc>
          <w:tcPr>
            <w:tcW w:w="2546" w:type="dxa"/>
          </w:tcPr>
          <w:p w14:paraId="6E71C19F"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12.890</w:t>
            </w:r>
          </w:p>
        </w:tc>
      </w:tr>
      <w:tr w:rsidR="00350E3F" w:rsidRPr="00515872" w14:paraId="2BD32854" w14:textId="77777777" w:rsidTr="009063EA">
        <w:trPr>
          <w:jc w:val="center"/>
        </w:trPr>
        <w:tc>
          <w:tcPr>
            <w:tcW w:w="714" w:type="dxa"/>
            <w:gridSpan w:val="2"/>
          </w:tcPr>
          <w:p w14:paraId="1F19D7D8" w14:textId="77777777" w:rsidR="00350E3F" w:rsidRPr="00515872" w:rsidRDefault="00350E3F" w:rsidP="00350E3F">
            <w:pPr>
              <w:spacing w:after="0"/>
              <w:rPr>
                <w:rFonts w:cs="Tahoma"/>
                <w:szCs w:val="20"/>
              </w:rPr>
            </w:pPr>
            <w:r w:rsidRPr="00515872">
              <w:rPr>
                <w:rFonts w:cs="Tahoma"/>
                <w:szCs w:val="20"/>
              </w:rPr>
              <w:t>h)</w:t>
            </w:r>
          </w:p>
        </w:tc>
        <w:tc>
          <w:tcPr>
            <w:tcW w:w="3816" w:type="dxa"/>
          </w:tcPr>
          <w:p w14:paraId="3D7A3D34"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20.000 a 59.999 abitanti</w:t>
            </w:r>
          </w:p>
        </w:tc>
        <w:tc>
          <w:tcPr>
            <w:tcW w:w="2552" w:type="dxa"/>
          </w:tcPr>
          <w:p w14:paraId="158AD586"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10.020</w:t>
            </w:r>
          </w:p>
        </w:tc>
        <w:tc>
          <w:tcPr>
            <w:tcW w:w="2546" w:type="dxa"/>
          </w:tcPr>
          <w:p w14:paraId="0A2E4329"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15.670</w:t>
            </w:r>
          </w:p>
        </w:tc>
      </w:tr>
      <w:tr w:rsidR="00350E3F" w:rsidRPr="00515872" w14:paraId="42AE02D3" w14:textId="77777777" w:rsidTr="009063EA">
        <w:trPr>
          <w:jc w:val="center"/>
        </w:trPr>
        <w:tc>
          <w:tcPr>
            <w:tcW w:w="714" w:type="dxa"/>
            <w:gridSpan w:val="2"/>
          </w:tcPr>
          <w:p w14:paraId="5EBEED57" w14:textId="77777777" w:rsidR="00350E3F" w:rsidRPr="00515872" w:rsidRDefault="00350E3F" w:rsidP="00350E3F">
            <w:pPr>
              <w:spacing w:after="0"/>
              <w:rPr>
                <w:rFonts w:cs="Tahoma"/>
                <w:szCs w:val="20"/>
              </w:rPr>
            </w:pPr>
            <w:r w:rsidRPr="00515872">
              <w:rPr>
                <w:rFonts w:cs="Tahoma"/>
                <w:szCs w:val="20"/>
              </w:rPr>
              <w:t>i)</w:t>
            </w:r>
          </w:p>
        </w:tc>
        <w:tc>
          <w:tcPr>
            <w:tcW w:w="3816" w:type="dxa"/>
          </w:tcPr>
          <w:p w14:paraId="5DA3FFBD"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60.000 a 99.999 abitanti</w:t>
            </w:r>
          </w:p>
        </w:tc>
        <w:tc>
          <w:tcPr>
            <w:tcW w:w="2552" w:type="dxa"/>
          </w:tcPr>
          <w:p w14:paraId="7796ED64"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11.770</w:t>
            </w:r>
          </w:p>
        </w:tc>
        <w:tc>
          <w:tcPr>
            <w:tcW w:w="2546" w:type="dxa"/>
          </w:tcPr>
          <w:p w14:paraId="741E1F91"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18.410</w:t>
            </w:r>
          </w:p>
        </w:tc>
      </w:tr>
      <w:tr w:rsidR="00350E3F" w:rsidRPr="00515872" w14:paraId="3FCD5180" w14:textId="77777777" w:rsidTr="009063EA">
        <w:trPr>
          <w:jc w:val="center"/>
        </w:trPr>
        <w:tc>
          <w:tcPr>
            <w:tcW w:w="714" w:type="dxa"/>
            <w:gridSpan w:val="2"/>
          </w:tcPr>
          <w:p w14:paraId="28AF29F4" w14:textId="77777777" w:rsidR="00350E3F" w:rsidRPr="00515872" w:rsidRDefault="00350E3F" w:rsidP="00350E3F">
            <w:pPr>
              <w:spacing w:after="0"/>
              <w:rPr>
                <w:rFonts w:cs="Tahoma"/>
                <w:szCs w:val="20"/>
              </w:rPr>
            </w:pPr>
            <w:r w:rsidRPr="00515872">
              <w:rPr>
                <w:rFonts w:cs="Tahoma"/>
                <w:szCs w:val="20"/>
              </w:rPr>
              <w:t>l)</w:t>
            </w:r>
          </w:p>
        </w:tc>
        <w:tc>
          <w:tcPr>
            <w:tcW w:w="3816" w:type="dxa"/>
          </w:tcPr>
          <w:p w14:paraId="62E92C30"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100.000 a 249.999 abitanti</w:t>
            </w:r>
          </w:p>
        </w:tc>
        <w:tc>
          <w:tcPr>
            <w:tcW w:w="2552" w:type="dxa"/>
          </w:tcPr>
          <w:p w14:paraId="26511045"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13.560</w:t>
            </w:r>
          </w:p>
        </w:tc>
        <w:tc>
          <w:tcPr>
            <w:tcW w:w="2546" w:type="dxa"/>
          </w:tcPr>
          <w:p w14:paraId="0EE9F0F3"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21.210</w:t>
            </w:r>
          </w:p>
        </w:tc>
      </w:tr>
      <w:tr w:rsidR="00350E3F" w:rsidRPr="00515872" w14:paraId="31ADBE01" w14:textId="77777777" w:rsidTr="009063EA">
        <w:trPr>
          <w:jc w:val="center"/>
        </w:trPr>
        <w:tc>
          <w:tcPr>
            <w:tcW w:w="714" w:type="dxa"/>
            <w:gridSpan w:val="2"/>
          </w:tcPr>
          <w:p w14:paraId="42BC7052" w14:textId="77777777" w:rsidR="00350E3F" w:rsidRPr="00515872" w:rsidRDefault="00350E3F" w:rsidP="00350E3F">
            <w:pPr>
              <w:spacing w:after="0"/>
              <w:rPr>
                <w:rFonts w:cs="Tahoma"/>
                <w:szCs w:val="20"/>
              </w:rPr>
            </w:pPr>
            <w:r w:rsidRPr="00515872">
              <w:rPr>
                <w:rFonts w:cs="Tahoma"/>
                <w:szCs w:val="20"/>
              </w:rPr>
              <w:lastRenderedPageBreak/>
              <w:t>m)</w:t>
            </w:r>
          </w:p>
        </w:tc>
        <w:tc>
          <w:tcPr>
            <w:tcW w:w="3816" w:type="dxa"/>
          </w:tcPr>
          <w:p w14:paraId="522DC4F1"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250.000 a 499.999 abitanti</w:t>
            </w:r>
          </w:p>
        </w:tc>
        <w:tc>
          <w:tcPr>
            <w:tcW w:w="2552" w:type="dxa"/>
          </w:tcPr>
          <w:p w14:paraId="40E93282"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15.310</w:t>
            </w:r>
          </w:p>
        </w:tc>
        <w:tc>
          <w:tcPr>
            <w:tcW w:w="2546" w:type="dxa"/>
          </w:tcPr>
          <w:p w14:paraId="4D4380B7"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23.940</w:t>
            </w:r>
          </w:p>
        </w:tc>
      </w:tr>
      <w:tr w:rsidR="00350E3F" w:rsidRPr="00515872" w14:paraId="0ED2983D" w14:textId="77777777" w:rsidTr="009063EA">
        <w:trPr>
          <w:jc w:val="center"/>
        </w:trPr>
        <w:tc>
          <w:tcPr>
            <w:tcW w:w="714" w:type="dxa"/>
            <w:gridSpan w:val="2"/>
          </w:tcPr>
          <w:p w14:paraId="715EF7D0" w14:textId="77777777" w:rsidR="00350E3F" w:rsidRPr="00515872" w:rsidRDefault="00350E3F" w:rsidP="00350E3F">
            <w:pPr>
              <w:spacing w:after="0"/>
              <w:rPr>
                <w:rFonts w:cs="Tahoma"/>
                <w:szCs w:val="20"/>
              </w:rPr>
            </w:pPr>
            <w:r w:rsidRPr="00515872">
              <w:rPr>
                <w:rFonts w:cs="Tahoma"/>
                <w:szCs w:val="20"/>
              </w:rPr>
              <w:t>n)</w:t>
            </w:r>
          </w:p>
        </w:tc>
        <w:tc>
          <w:tcPr>
            <w:tcW w:w="3816" w:type="dxa"/>
          </w:tcPr>
          <w:p w14:paraId="6355E364"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500.000 abitanti ed oltre</w:t>
            </w:r>
          </w:p>
        </w:tc>
        <w:tc>
          <w:tcPr>
            <w:tcW w:w="2552" w:type="dxa"/>
          </w:tcPr>
          <w:p w14:paraId="710164D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17.680</w:t>
            </w:r>
          </w:p>
        </w:tc>
        <w:tc>
          <w:tcPr>
            <w:tcW w:w="2546" w:type="dxa"/>
          </w:tcPr>
          <w:p w14:paraId="5D86936D"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27.650</w:t>
            </w:r>
          </w:p>
        </w:tc>
      </w:tr>
      <w:tr w:rsidR="00B518B9" w:rsidRPr="00515872" w14:paraId="19DC60FE" w14:textId="77777777" w:rsidTr="009063EA">
        <w:trPr>
          <w:jc w:val="center"/>
        </w:trPr>
        <w:tc>
          <w:tcPr>
            <w:tcW w:w="4530" w:type="dxa"/>
            <w:gridSpan w:val="3"/>
          </w:tcPr>
          <w:p w14:paraId="40271541" w14:textId="77777777" w:rsidR="00B518B9" w:rsidRPr="00515872" w:rsidRDefault="00B518B9" w:rsidP="00393822">
            <w:pPr>
              <w:spacing w:after="0"/>
              <w:rPr>
                <w:rFonts w:cs="Tahoma"/>
                <w:b/>
                <w:szCs w:val="20"/>
              </w:rPr>
            </w:pPr>
            <w:r w:rsidRPr="00515872">
              <w:rPr>
                <w:rFonts w:cs="Tahoma"/>
                <w:b/>
                <w:szCs w:val="20"/>
              </w:rPr>
              <w:t>Città metropolitane e Province</w:t>
            </w:r>
          </w:p>
        </w:tc>
        <w:tc>
          <w:tcPr>
            <w:tcW w:w="2552" w:type="dxa"/>
          </w:tcPr>
          <w:p w14:paraId="36674830" w14:textId="77777777" w:rsidR="00B518B9" w:rsidRPr="00515872" w:rsidRDefault="00B518B9" w:rsidP="00A628D4">
            <w:pPr>
              <w:spacing w:after="0"/>
              <w:jc w:val="right"/>
              <w:rPr>
                <w:rFonts w:cs="Tahoma"/>
                <w:b/>
                <w:szCs w:val="20"/>
              </w:rPr>
            </w:pPr>
          </w:p>
        </w:tc>
        <w:tc>
          <w:tcPr>
            <w:tcW w:w="2546" w:type="dxa"/>
          </w:tcPr>
          <w:p w14:paraId="334930A8" w14:textId="77777777" w:rsidR="00B518B9" w:rsidRPr="00515872" w:rsidRDefault="00B518B9" w:rsidP="00A628D4">
            <w:pPr>
              <w:spacing w:after="0"/>
              <w:jc w:val="right"/>
              <w:rPr>
                <w:rFonts w:cs="Tahoma"/>
                <w:b/>
                <w:szCs w:val="20"/>
              </w:rPr>
            </w:pPr>
          </w:p>
        </w:tc>
      </w:tr>
      <w:tr w:rsidR="00350E3F" w:rsidRPr="00515872" w14:paraId="0BAF74C7" w14:textId="77777777" w:rsidTr="009063EA">
        <w:trPr>
          <w:jc w:val="center"/>
        </w:trPr>
        <w:tc>
          <w:tcPr>
            <w:tcW w:w="695" w:type="dxa"/>
          </w:tcPr>
          <w:p w14:paraId="3681C073" w14:textId="77777777" w:rsidR="00350E3F" w:rsidRPr="00515872" w:rsidRDefault="00350E3F" w:rsidP="00393822">
            <w:pPr>
              <w:spacing w:after="0"/>
              <w:rPr>
                <w:rFonts w:cs="Tahoma"/>
                <w:szCs w:val="20"/>
              </w:rPr>
            </w:pPr>
            <w:r w:rsidRPr="00515872">
              <w:rPr>
                <w:rFonts w:cs="Tahoma"/>
                <w:szCs w:val="20"/>
              </w:rPr>
              <w:t>a)</w:t>
            </w:r>
          </w:p>
        </w:tc>
        <w:tc>
          <w:tcPr>
            <w:tcW w:w="3835" w:type="dxa"/>
            <w:gridSpan w:val="2"/>
          </w:tcPr>
          <w:p w14:paraId="2AC0BCE4" w14:textId="77777777" w:rsidR="00350E3F" w:rsidRPr="00515872" w:rsidRDefault="00350E3F" w:rsidP="00393822">
            <w:pPr>
              <w:spacing w:after="0"/>
              <w:rPr>
                <w:rFonts w:cs="Tahoma"/>
                <w:szCs w:val="20"/>
              </w:rPr>
            </w:pPr>
            <w:r w:rsidRPr="00515872">
              <w:rPr>
                <w:rFonts w:eastAsia="Times New Roman" w:cs="Tahoma"/>
                <w:szCs w:val="20"/>
                <w:lang w:eastAsia="it-IT"/>
              </w:rPr>
              <w:t>province sino a 400.00 abitanti</w:t>
            </w:r>
          </w:p>
        </w:tc>
        <w:tc>
          <w:tcPr>
            <w:tcW w:w="2552" w:type="dxa"/>
          </w:tcPr>
          <w:p w14:paraId="3F1B4AC0"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15.310</w:t>
            </w:r>
          </w:p>
        </w:tc>
        <w:tc>
          <w:tcPr>
            <w:tcW w:w="2546" w:type="dxa"/>
          </w:tcPr>
          <w:p w14:paraId="150F6C03"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23.940</w:t>
            </w:r>
          </w:p>
        </w:tc>
      </w:tr>
      <w:tr w:rsidR="00350E3F" w:rsidRPr="00515872" w14:paraId="03BC3383" w14:textId="77777777" w:rsidTr="009063EA">
        <w:trPr>
          <w:jc w:val="center"/>
        </w:trPr>
        <w:tc>
          <w:tcPr>
            <w:tcW w:w="695" w:type="dxa"/>
          </w:tcPr>
          <w:p w14:paraId="651FA6EB" w14:textId="77777777" w:rsidR="00350E3F" w:rsidRPr="00515872" w:rsidRDefault="00350E3F" w:rsidP="00393822">
            <w:pPr>
              <w:spacing w:after="0"/>
              <w:rPr>
                <w:rFonts w:cs="Tahoma"/>
                <w:szCs w:val="20"/>
              </w:rPr>
            </w:pPr>
            <w:r w:rsidRPr="00515872">
              <w:rPr>
                <w:rFonts w:cs="Tahoma"/>
                <w:szCs w:val="20"/>
              </w:rPr>
              <w:t>b)</w:t>
            </w:r>
          </w:p>
        </w:tc>
        <w:tc>
          <w:tcPr>
            <w:tcW w:w="3835" w:type="dxa"/>
            <w:gridSpan w:val="2"/>
          </w:tcPr>
          <w:p w14:paraId="0A538128" w14:textId="77777777" w:rsidR="00350E3F" w:rsidRPr="00515872" w:rsidRDefault="00350E3F" w:rsidP="00393822">
            <w:pPr>
              <w:spacing w:after="0"/>
              <w:rPr>
                <w:rFonts w:cs="Tahoma"/>
                <w:szCs w:val="20"/>
              </w:rPr>
            </w:pPr>
            <w:r w:rsidRPr="00515872">
              <w:rPr>
                <w:rFonts w:eastAsia="Times New Roman" w:cs="Tahoma"/>
                <w:szCs w:val="20"/>
                <w:lang w:eastAsia="it-IT"/>
              </w:rPr>
              <w:t>province con oltre 400.00 abitanti</w:t>
            </w:r>
          </w:p>
        </w:tc>
        <w:tc>
          <w:tcPr>
            <w:tcW w:w="2552" w:type="dxa"/>
          </w:tcPr>
          <w:p w14:paraId="408E91B4"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17.680</w:t>
            </w:r>
          </w:p>
        </w:tc>
        <w:tc>
          <w:tcPr>
            <w:tcW w:w="2546" w:type="dxa"/>
          </w:tcPr>
          <w:p w14:paraId="38788CBE"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27.650</w:t>
            </w:r>
          </w:p>
        </w:tc>
      </w:tr>
    </w:tbl>
    <w:p w14:paraId="6610DDF0" w14:textId="77777777" w:rsidR="009518AF" w:rsidRPr="00515872" w:rsidRDefault="009518AF" w:rsidP="009518AF">
      <w:pPr>
        <w:spacing w:after="0" w:line="240" w:lineRule="auto"/>
        <w:rPr>
          <w:rFonts w:eastAsia="Times New Roman" w:cs="Tahoma"/>
          <w:b/>
          <w:szCs w:val="20"/>
          <w:lang w:eastAsia="it-IT"/>
        </w:rPr>
      </w:pPr>
    </w:p>
    <w:p w14:paraId="301F269E" w14:textId="77777777" w:rsidR="009518AF" w:rsidRPr="00515872" w:rsidRDefault="009518AF" w:rsidP="009518AF">
      <w:pPr>
        <w:spacing w:after="0" w:line="360" w:lineRule="auto"/>
        <w:jc w:val="center"/>
        <w:rPr>
          <w:rFonts w:eastAsia="Times New Roman" w:cs="Tahoma"/>
          <w:b/>
          <w:szCs w:val="20"/>
          <w:lang w:eastAsia="it-IT"/>
        </w:rPr>
      </w:pPr>
      <w:r w:rsidRPr="00515872">
        <w:rPr>
          <w:rFonts w:eastAsia="Times New Roman" w:cs="Tahoma"/>
          <w:b/>
          <w:szCs w:val="20"/>
          <w:lang w:eastAsia="it-IT"/>
        </w:rPr>
        <w:t>Tabella B – SPESA CORRENTE ANNUALE PRO-CAPITE IN EURO</w:t>
      </w:r>
    </w:p>
    <w:tbl>
      <w:tblPr>
        <w:tblStyle w:val="Grigliatabella"/>
        <w:tblW w:w="0" w:type="auto"/>
        <w:jc w:val="center"/>
        <w:tblLook w:val="04A0" w:firstRow="1" w:lastRow="0" w:firstColumn="1" w:lastColumn="0" w:noHBand="0" w:noVBand="1"/>
      </w:tblPr>
      <w:tblGrid>
        <w:gridCol w:w="714"/>
        <w:gridCol w:w="103"/>
        <w:gridCol w:w="3714"/>
        <w:gridCol w:w="2552"/>
        <w:gridCol w:w="2545"/>
      </w:tblGrid>
      <w:tr w:rsidR="00350E3F" w:rsidRPr="00515872" w14:paraId="331EB568" w14:textId="77777777" w:rsidTr="009063EA">
        <w:trPr>
          <w:jc w:val="center"/>
        </w:trPr>
        <w:tc>
          <w:tcPr>
            <w:tcW w:w="4531" w:type="dxa"/>
            <w:gridSpan w:val="3"/>
          </w:tcPr>
          <w:p w14:paraId="36193A7D" w14:textId="77777777" w:rsidR="00350E3F" w:rsidRPr="00515872" w:rsidRDefault="00350E3F" w:rsidP="002641DC">
            <w:pPr>
              <w:spacing w:after="0"/>
              <w:rPr>
                <w:rFonts w:cs="Tahoma"/>
                <w:szCs w:val="20"/>
              </w:rPr>
            </w:pPr>
          </w:p>
        </w:tc>
        <w:tc>
          <w:tcPr>
            <w:tcW w:w="2552" w:type="dxa"/>
          </w:tcPr>
          <w:p w14:paraId="00E5A501"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20/05/2005</w:t>
            </w:r>
          </w:p>
        </w:tc>
        <w:tc>
          <w:tcPr>
            <w:tcW w:w="2545" w:type="dxa"/>
          </w:tcPr>
          <w:p w14:paraId="04F7D7CE"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21/12/2018</w:t>
            </w:r>
          </w:p>
        </w:tc>
      </w:tr>
      <w:tr w:rsidR="006D01FF" w:rsidRPr="00515872" w14:paraId="0F57670F" w14:textId="77777777" w:rsidTr="009063EA">
        <w:trPr>
          <w:jc w:val="center"/>
        </w:trPr>
        <w:tc>
          <w:tcPr>
            <w:tcW w:w="4531" w:type="dxa"/>
            <w:gridSpan w:val="3"/>
          </w:tcPr>
          <w:p w14:paraId="3C222544" w14:textId="77777777" w:rsidR="006D01FF" w:rsidRPr="00515872" w:rsidRDefault="006D01FF" w:rsidP="00393822">
            <w:pPr>
              <w:spacing w:after="0"/>
              <w:rPr>
                <w:rFonts w:cs="Tahoma"/>
                <w:b/>
                <w:szCs w:val="20"/>
              </w:rPr>
            </w:pPr>
            <w:r w:rsidRPr="00515872">
              <w:rPr>
                <w:rFonts w:cs="Tahoma"/>
                <w:b/>
                <w:szCs w:val="20"/>
              </w:rPr>
              <w:t>Comuni</w:t>
            </w:r>
          </w:p>
        </w:tc>
        <w:tc>
          <w:tcPr>
            <w:tcW w:w="2552" w:type="dxa"/>
          </w:tcPr>
          <w:p w14:paraId="04FC6B06" w14:textId="77777777" w:rsidR="006D01FF" w:rsidRPr="00515872" w:rsidRDefault="006D01FF" w:rsidP="00393822">
            <w:pPr>
              <w:spacing w:after="0"/>
              <w:rPr>
                <w:rFonts w:cs="Tahoma"/>
                <w:b/>
                <w:szCs w:val="20"/>
              </w:rPr>
            </w:pPr>
          </w:p>
        </w:tc>
        <w:tc>
          <w:tcPr>
            <w:tcW w:w="2545" w:type="dxa"/>
          </w:tcPr>
          <w:p w14:paraId="62A281B8" w14:textId="77777777" w:rsidR="006D01FF" w:rsidRPr="00515872" w:rsidRDefault="006D01FF" w:rsidP="00393822">
            <w:pPr>
              <w:spacing w:after="0"/>
              <w:rPr>
                <w:rFonts w:cs="Tahoma"/>
                <w:b/>
                <w:szCs w:val="20"/>
              </w:rPr>
            </w:pPr>
          </w:p>
        </w:tc>
      </w:tr>
      <w:tr w:rsidR="0045445D" w:rsidRPr="00515872" w14:paraId="0BD02358" w14:textId="77777777" w:rsidTr="009063EA">
        <w:trPr>
          <w:jc w:val="center"/>
        </w:trPr>
        <w:tc>
          <w:tcPr>
            <w:tcW w:w="714" w:type="dxa"/>
          </w:tcPr>
          <w:p w14:paraId="27195D8D" w14:textId="77777777" w:rsidR="0045445D" w:rsidRPr="00515872" w:rsidRDefault="0045445D" w:rsidP="0045445D">
            <w:pPr>
              <w:spacing w:after="0"/>
              <w:rPr>
                <w:rFonts w:cs="Tahoma"/>
                <w:szCs w:val="20"/>
              </w:rPr>
            </w:pPr>
            <w:r w:rsidRPr="00515872">
              <w:rPr>
                <w:rFonts w:cs="Tahoma"/>
                <w:szCs w:val="20"/>
              </w:rPr>
              <w:t>a)</w:t>
            </w:r>
          </w:p>
        </w:tc>
        <w:tc>
          <w:tcPr>
            <w:tcW w:w="3817" w:type="dxa"/>
            <w:gridSpan w:val="2"/>
          </w:tcPr>
          <w:p w14:paraId="1326BF6B" w14:textId="77777777" w:rsidR="0045445D" w:rsidRPr="00515872" w:rsidRDefault="0045445D" w:rsidP="0045445D">
            <w:pPr>
              <w:spacing w:after="0"/>
              <w:rPr>
                <w:rFonts w:cs="Tahoma"/>
                <w:szCs w:val="20"/>
              </w:rPr>
            </w:pPr>
            <w:r w:rsidRPr="00515872">
              <w:rPr>
                <w:rFonts w:cs="Tahoma"/>
                <w:szCs w:val="20"/>
              </w:rPr>
              <w:t>comuni con meno di 500 abitanti</w:t>
            </w:r>
          </w:p>
        </w:tc>
        <w:tc>
          <w:tcPr>
            <w:tcW w:w="2552" w:type="dxa"/>
          </w:tcPr>
          <w:p w14:paraId="508A3380" w14:textId="77777777" w:rsidR="0045445D" w:rsidRPr="00515872" w:rsidRDefault="0045445D" w:rsidP="00A628D4">
            <w:pPr>
              <w:spacing w:after="0"/>
              <w:jc w:val="right"/>
              <w:rPr>
                <w:rFonts w:cs="Tahoma"/>
                <w:szCs w:val="20"/>
              </w:rPr>
            </w:pPr>
            <w:r w:rsidRPr="00515872">
              <w:rPr>
                <w:rFonts w:eastAsia="Times New Roman" w:cs="Tahoma"/>
                <w:szCs w:val="20"/>
                <w:lang w:eastAsia="it-IT"/>
              </w:rPr>
              <w:t>euro 1.127</w:t>
            </w:r>
          </w:p>
        </w:tc>
        <w:tc>
          <w:tcPr>
            <w:tcW w:w="2545" w:type="dxa"/>
          </w:tcPr>
          <w:p w14:paraId="60E6A837" w14:textId="77777777" w:rsidR="0045445D" w:rsidRPr="00515872" w:rsidRDefault="0045445D" w:rsidP="00A628D4">
            <w:pPr>
              <w:spacing w:after="0"/>
              <w:jc w:val="right"/>
              <w:rPr>
                <w:rFonts w:cs="Tahoma"/>
                <w:szCs w:val="20"/>
              </w:rPr>
            </w:pPr>
            <w:r w:rsidRPr="00515872">
              <w:rPr>
                <w:rFonts w:eastAsia="Times New Roman" w:cs="Tahoma"/>
                <w:szCs w:val="20"/>
                <w:lang w:eastAsia="it-IT"/>
              </w:rPr>
              <w:t>euro 1.440</w:t>
            </w:r>
          </w:p>
        </w:tc>
      </w:tr>
      <w:tr w:rsidR="0045445D" w:rsidRPr="00515872" w14:paraId="61E9EB05" w14:textId="77777777" w:rsidTr="009063EA">
        <w:trPr>
          <w:jc w:val="center"/>
        </w:trPr>
        <w:tc>
          <w:tcPr>
            <w:tcW w:w="714" w:type="dxa"/>
          </w:tcPr>
          <w:p w14:paraId="4AE8A6E2" w14:textId="77777777" w:rsidR="0045445D" w:rsidRPr="00515872" w:rsidRDefault="0045445D" w:rsidP="0045445D">
            <w:pPr>
              <w:spacing w:after="0"/>
              <w:rPr>
                <w:rFonts w:cs="Tahoma"/>
                <w:szCs w:val="20"/>
              </w:rPr>
            </w:pPr>
            <w:r w:rsidRPr="00515872">
              <w:rPr>
                <w:rFonts w:cs="Tahoma"/>
                <w:szCs w:val="20"/>
              </w:rPr>
              <w:t>b)</w:t>
            </w:r>
          </w:p>
        </w:tc>
        <w:tc>
          <w:tcPr>
            <w:tcW w:w="3817" w:type="dxa"/>
            <w:gridSpan w:val="2"/>
          </w:tcPr>
          <w:p w14:paraId="5A57039E" w14:textId="77777777" w:rsidR="0045445D" w:rsidRPr="00515872" w:rsidRDefault="0045445D" w:rsidP="0045445D">
            <w:pPr>
              <w:spacing w:after="0"/>
              <w:rPr>
                <w:rFonts w:cs="Tahoma"/>
                <w:szCs w:val="20"/>
              </w:rPr>
            </w:pPr>
            <w:r w:rsidRPr="00515872">
              <w:rPr>
                <w:rFonts w:eastAsia="Times New Roman" w:cs="Tahoma"/>
                <w:szCs w:val="20"/>
                <w:lang w:eastAsia="it-IT"/>
              </w:rPr>
              <w:t>comuni da 550 a 999 abitanti</w:t>
            </w:r>
          </w:p>
        </w:tc>
        <w:tc>
          <w:tcPr>
            <w:tcW w:w="2552" w:type="dxa"/>
          </w:tcPr>
          <w:p w14:paraId="5732A43B" w14:textId="77777777" w:rsidR="0045445D" w:rsidRPr="00515872" w:rsidRDefault="0045445D" w:rsidP="00A628D4">
            <w:pPr>
              <w:spacing w:after="0"/>
              <w:jc w:val="right"/>
              <w:rPr>
                <w:rFonts w:cs="Tahoma"/>
                <w:szCs w:val="20"/>
              </w:rPr>
            </w:pPr>
            <w:r w:rsidRPr="00515872">
              <w:rPr>
                <w:rFonts w:eastAsia="Times New Roman" w:cs="Tahoma"/>
                <w:szCs w:val="20"/>
                <w:lang w:eastAsia="it-IT"/>
              </w:rPr>
              <w:t>euro 853</w:t>
            </w:r>
          </w:p>
        </w:tc>
        <w:tc>
          <w:tcPr>
            <w:tcW w:w="2545" w:type="dxa"/>
          </w:tcPr>
          <w:p w14:paraId="4CD3517C" w14:textId="77777777" w:rsidR="0045445D" w:rsidRPr="00515872" w:rsidRDefault="0045445D" w:rsidP="00A628D4">
            <w:pPr>
              <w:spacing w:after="0"/>
              <w:jc w:val="right"/>
              <w:rPr>
                <w:rFonts w:cs="Tahoma"/>
                <w:szCs w:val="20"/>
              </w:rPr>
            </w:pPr>
            <w:r w:rsidRPr="00515872">
              <w:rPr>
                <w:rFonts w:eastAsia="Times New Roman" w:cs="Tahoma"/>
                <w:szCs w:val="20"/>
                <w:lang w:eastAsia="it-IT"/>
              </w:rPr>
              <w:t>euro 1.110</w:t>
            </w:r>
          </w:p>
        </w:tc>
      </w:tr>
      <w:tr w:rsidR="0045445D" w:rsidRPr="00515872" w14:paraId="78520554" w14:textId="77777777" w:rsidTr="009063EA">
        <w:trPr>
          <w:jc w:val="center"/>
        </w:trPr>
        <w:tc>
          <w:tcPr>
            <w:tcW w:w="714" w:type="dxa"/>
          </w:tcPr>
          <w:p w14:paraId="65EA0B03" w14:textId="77777777" w:rsidR="0045445D" w:rsidRPr="00515872" w:rsidRDefault="0045445D" w:rsidP="0045445D">
            <w:pPr>
              <w:spacing w:after="0"/>
              <w:rPr>
                <w:rFonts w:cs="Tahoma"/>
                <w:szCs w:val="20"/>
              </w:rPr>
            </w:pPr>
            <w:r w:rsidRPr="00515872">
              <w:rPr>
                <w:rFonts w:cs="Tahoma"/>
                <w:szCs w:val="20"/>
              </w:rPr>
              <w:t>c)</w:t>
            </w:r>
          </w:p>
        </w:tc>
        <w:tc>
          <w:tcPr>
            <w:tcW w:w="3817" w:type="dxa"/>
            <w:gridSpan w:val="2"/>
          </w:tcPr>
          <w:p w14:paraId="5EB55704"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1.000 a 1.999 abitanti</w:t>
            </w:r>
          </w:p>
        </w:tc>
        <w:tc>
          <w:tcPr>
            <w:tcW w:w="2552" w:type="dxa"/>
          </w:tcPr>
          <w:p w14:paraId="6DD827FD"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729</w:t>
            </w:r>
          </w:p>
        </w:tc>
        <w:tc>
          <w:tcPr>
            <w:tcW w:w="2545" w:type="dxa"/>
          </w:tcPr>
          <w:p w14:paraId="18831890"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930</w:t>
            </w:r>
          </w:p>
        </w:tc>
      </w:tr>
      <w:tr w:rsidR="0045445D" w:rsidRPr="00515872" w14:paraId="7A3FF30E" w14:textId="77777777" w:rsidTr="009063EA">
        <w:trPr>
          <w:jc w:val="center"/>
        </w:trPr>
        <w:tc>
          <w:tcPr>
            <w:tcW w:w="714" w:type="dxa"/>
          </w:tcPr>
          <w:p w14:paraId="7DA3707B" w14:textId="77777777" w:rsidR="0045445D" w:rsidRPr="00515872" w:rsidRDefault="0045445D" w:rsidP="0045445D">
            <w:pPr>
              <w:spacing w:after="0"/>
              <w:rPr>
                <w:rFonts w:cs="Tahoma"/>
                <w:szCs w:val="20"/>
              </w:rPr>
            </w:pPr>
            <w:r w:rsidRPr="00515872">
              <w:rPr>
                <w:rFonts w:cs="Tahoma"/>
                <w:szCs w:val="20"/>
              </w:rPr>
              <w:t>d)</w:t>
            </w:r>
          </w:p>
        </w:tc>
        <w:tc>
          <w:tcPr>
            <w:tcW w:w="3817" w:type="dxa"/>
            <w:gridSpan w:val="2"/>
          </w:tcPr>
          <w:p w14:paraId="021F2063"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 xml:space="preserve">comuni da 2.000 a 2.999 abitanti </w:t>
            </w:r>
          </w:p>
        </w:tc>
        <w:tc>
          <w:tcPr>
            <w:tcW w:w="2552" w:type="dxa"/>
          </w:tcPr>
          <w:p w14:paraId="7F2A399F"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693</w:t>
            </w:r>
          </w:p>
        </w:tc>
        <w:tc>
          <w:tcPr>
            <w:tcW w:w="2545" w:type="dxa"/>
          </w:tcPr>
          <w:p w14:paraId="11F189CB"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790</w:t>
            </w:r>
          </w:p>
        </w:tc>
      </w:tr>
      <w:tr w:rsidR="0045445D" w:rsidRPr="00515872" w14:paraId="1064518D" w14:textId="77777777" w:rsidTr="009063EA">
        <w:trPr>
          <w:jc w:val="center"/>
        </w:trPr>
        <w:tc>
          <w:tcPr>
            <w:tcW w:w="714" w:type="dxa"/>
          </w:tcPr>
          <w:p w14:paraId="025C56C7" w14:textId="77777777" w:rsidR="0045445D" w:rsidRPr="00515872" w:rsidRDefault="0045445D" w:rsidP="0045445D">
            <w:pPr>
              <w:spacing w:after="0"/>
              <w:rPr>
                <w:rFonts w:cs="Tahoma"/>
                <w:szCs w:val="20"/>
              </w:rPr>
            </w:pPr>
            <w:r w:rsidRPr="00515872">
              <w:rPr>
                <w:rFonts w:cs="Tahoma"/>
                <w:szCs w:val="20"/>
              </w:rPr>
              <w:t>e)</w:t>
            </w:r>
          </w:p>
        </w:tc>
        <w:tc>
          <w:tcPr>
            <w:tcW w:w="3817" w:type="dxa"/>
            <w:gridSpan w:val="2"/>
          </w:tcPr>
          <w:p w14:paraId="2B79B8FB"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3.000 a 4.999 abitanti</w:t>
            </w:r>
          </w:p>
        </w:tc>
        <w:tc>
          <w:tcPr>
            <w:tcW w:w="2552" w:type="dxa"/>
          </w:tcPr>
          <w:p w14:paraId="77BA40DC"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664</w:t>
            </w:r>
          </w:p>
        </w:tc>
        <w:tc>
          <w:tcPr>
            <w:tcW w:w="2545" w:type="dxa"/>
          </w:tcPr>
          <w:p w14:paraId="3F573A4C"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770</w:t>
            </w:r>
          </w:p>
        </w:tc>
      </w:tr>
      <w:tr w:rsidR="0045445D" w:rsidRPr="00515872" w14:paraId="4131B1BE" w14:textId="77777777" w:rsidTr="009063EA">
        <w:trPr>
          <w:jc w:val="center"/>
        </w:trPr>
        <w:tc>
          <w:tcPr>
            <w:tcW w:w="714" w:type="dxa"/>
          </w:tcPr>
          <w:p w14:paraId="73993CD3" w14:textId="77777777" w:rsidR="0045445D" w:rsidRPr="00515872" w:rsidRDefault="0045445D" w:rsidP="0045445D">
            <w:pPr>
              <w:spacing w:after="0"/>
              <w:rPr>
                <w:rFonts w:cs="Tahoma"/>
                <w:szCs w:val="20"/>
              </w:rPr>
            </w:pPr>
            <w:r w:rsidRPr="00515872">
              <w:rPr>
                <w:rFonts w:cs="Tahoma"/>
                <w:szCs w:val="20"/>
              </w:rPr>
              <w:t>f)</w:t>
            </w:r>
          </w:p>
        </w:tc>
        <w:tc>
          <w:tcPr>
            <w:tcW w:w="3817" w:type="dxa"/>
            <w:gridSpan w:val="2"/>
          </w:tcPr>
          <w:p w14:paraId="58BF6A1B"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5.000 a 9.999 abitanti</w:t>
            </w:r>
          </w:p>
        </w:tc>
        <w:tc>
          <w:tcPr>
            <w:tcW w:w="2552" w:type="dxa"/>
          </w:tcPr>
          <w:p w14:paraId="42566699"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663</w:t>
            </w:r>
          </w:p>
        </w:tc>
        <w:tc>
          <w:tcPr>
            <w:tcW w:w="2545" w:type="dxa"/>
          </w:tcPr>
          <w:p w14:paraId="07AADECA"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710</w:t>
            </w:r>
          </w:p>
        </w:tc>
      </w:tr>
      <w:tr w:rsidR="0045445D" w:rsidRPr="00515872" w14:paraId="4327731A" w14:textId="77777777" w:rsidTr="009063EA">
        <w:trPr>
          <w:jc w:val="center"/>
        </w:trPr>
        <w:tc>
          <w:tcPr>
            <w:tcW w:w="714" w:type="dxa"/>
          </w:tcPr>
          <w:p w14:paraId="2A7C8F01" w14:textId="77777777" w:rsidR="0045445D" w:rsidRPr="00515872" w:rsidRDefault="0045445D" w:rsidP="0045445D">
            <w:pPr>
              <w:spacing w:after="0"/>
              <w:rPr>
                <w:rFonts w:cs="Tahoma"/>
                <w:szCs w:val="20"/>
              </w:rPr>
            </w:pPr>
            <w:r w:rsidRPr="00515872">
              <w:rPr>
                <w:rFonts w:cs="Tahoma"/>
                <w:szCs w:val="20"/>
              </w:rPr>
              <w:t>g)</w:t>
            </w:r>
          </w:p>
        </w:tc>
        <w:tc>
          <w:tcPr>
            <w:tcW w:w="3817" w:type="dxa"/>
            <w:gridSpan w:val="2"/>
          </w:tcPr>
          <w:p w14:paraId="0786F00F"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10.000 a 19.999 abitanti</w:t>
            </w:r>
          </w:p>
        </w:tc>
        <w:tc>
          <w:tcPr>
            <w:tcW w:w="2552" w:type="dxa"/>
          </w:tcPr>
          <w:p w14:paraId="5EB428FE"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692</w:t>
            </w:r>
          </w:p>
        </w:tc>
        <w:tc>
          <w:tcPr>
            <w:tcW w:w="2545" w:type="dxa"/>
          </w:tcPr>
          <w:p w14:paraId="4095854B"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710</w:t>
            </w:r>
          </w:p>
        </w:tc>
      </w:tr>
      <w:tr w:rsidR="0045445D" w:rsidRPr="00515872" w14:paraId="60F3E49E" w14:textId="77777777" w:rsidTr="009063EA">
        <w:trPr>
          <w:jc w:val="center"/>
        </w:trPr>
        <w:tc>
          <w:tcPr>
            <w:tcW w:w="714" w:type="dxa"/>
          </w:tcPr>
          <w:p w14:paraId="5B7772A7" w14:textId="77777777" w:rsidR="0045445D" w:rsidRPr="00515872" w:rsidRDefault="0045445D" w:rsidP="0045445D">
            <w:pPr>
              <w:spacing w:after="0"/>
              <w:rPr>
                <w:rFonts w:cs="Tahoma"/>
                <w:szCs w:val="20"/>
              </w:rPr>
            </w:pPr>
            <w:r w:rsidRPr="00515872">
              <w:rPr>
                <w:rFonts w:cs="Tahoma"/>
                <w:szCs w:val="20"/>
              </w:rPr>
              <w:t>h)</w:t>
            </w:r>
          </w:p>
        </w:tc>
        <w:tc>
          <w:tcPr>
            <w:tcW w:w="3817" w:type="dxa"/>
            <w:gridSpan w:val="2"/>
          </w:tcPr>
          <w:p w14:paraId="10765214"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20.000 a 59.999 abitanti</w:t>
            </w:r>
          </w:p>
        </w:tc>
        <w:tc>
          <w:tcPr>
            <w:tcW w:w="2552" w:type="dxa"/>
          </w:tcPr>
          <w:p w14:paraId="263781D7"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724</w:t>
            </w:r>
          </w:p>
        </w:tc>
        <w:tc>
          <w:tcPr>
            <w:tcW w:w="2545" w:type="dxa"/>
          </w:tcPr>
          <w:p w14:paraId="3A7CCDE7"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750</w:t>
            </w:r>
          </w:p>
        </w:tc>
      </w:tr>
      <w:tr w:rsidR="0045445D" w:rsidRPr="00515872" w14:paraId="5925F9C3" w14:textId="77777777" w:rsidTr="009063EA">
        <w:trPr>
          <w:jc w:val="center"/>
        </w:trPr>
        <w:tc>
          <w:tcPr>
            <w:tcW w:w="714" w:type="dxa"/>
          </w:tcPr>
          <w:p w14:paraId="0796691A" w14:textId="77777777" w:rsidR="0045445D" w:rsidRPr="00515872" w:rsidRDefault="0045445D" w:rsidP="0045445D">
            <w:pPr>
              <w:spacing w:after="0"/>
              <w:rPr>
                <w:rFonts w:cs="Tahoma"/>
                <w:szCs w:val="20"/>
              </w:rPr>
            </w:pPr>
            <w:r w:rsidRPr="00515872">
              <w:rPr>
                <w:rFonts w:cs="Tahoma"/>
                <w:szCs w:val="20"/>
              </w:rPr>
              <w:t>i)</w:t>
            </w:r>
          </w:p>
        </w:tc>
        <w:tc>
          <w:tcPr>
            <w:tcW w:w="3817" w:type="dxa"/>
            <w:gridSpan w:val="2"/>
          </w:tcPr>
          <w:p w14:paraId="304ACCE8"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60.000 a 99.999 abitanti</w:t>
            </w:r>
          </w:p>
        </w:tc>
        <w:tc>
          <w:tcPr>
            <w:tcW w:w="2552" w:type="dxa"/>
          </w:tcPr>
          <w:p w14:paraId="40A3BE8B"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851</w:t>
            </w:r>
          </w:p>
        </w:tc>
        <w:tc>
          <w:tcPr>
            <w:tcW w:w="2545" w:type="dxa"/>
          </w:tcPr>
          <w:p w14:paraId="64D1A14D"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870</w:t>
            </w:r>
          </w:p>
        </w:tc>
      </w:tr>
      <w:tr w:rsidR="0045445D" w:rsidRPr="00515872" w14:paraId="00EADD6B" w14:textId="77777777" w:rsidTr="009063EA">
        <w:trPr>
          <w:jc w:val="center"/>
        </w:trPr>
        <w:tc>
          <w:tcPr>
            <w:tcW w:w="714" w:type="dxa"/>
          </w:tcPr>
          <w:p w14:paraId="20EB922C" w14:textId="77777777" w:rsidR="0045445D" w:rsidRPr="00515872" w:rsidRDefault="0045445D" w:rsidP="0045445D">
            <w:pPr>
              <w:spacing w:after="0"/>
              <w:rPr>
                <w:rFonts w:cs="Tahoma"/>
                <w:szCs w:val="20"/>
              </w:rPr>
            </w:pPr>
            <w:r w:rsidRPr="00515872">
              <w:rPr>
                <w:rFonts w:cs="Tahoma"/>
                <w:szCs w:val="20"/>
              </w:rPr>
              <w:t>l)</w:t>
            </w:r>
          </w:p>
        </w:tc>
        <w:tc>
          <w:tcPr>
            <w:tcW w:w="3817" w:type="dxa"/>
            <w:gridSpan w:val="2"/>
          </w:tcPr>
          <w:p w14:paraId="08535DC8"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100.000 a 249.999 abitanti</w:t>
            </w:r>
          </w:p>
        </w:tc>
        <w:tc>
          <w:tcPr>
            <w:tcW w:w="2552" w:type="dxa"/>
          </w:tcPr>
          <w:p w14:paraId="01417330"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979</w:t>
            </w:r>
          </w:p>
        </w:tc>
        <w:tc>
          <w:tcPr>
            <w:tcW w:w="2545" w:type="dxa"/>
          </w:tcPr>
          <w:p w14:paraId="46ECAE63"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1.050</w:t>
            </w:r>
          </w:p>
        </w:tc>
      </w:tr>
      <w:tr w:rsidR="0045445D" w:rsidRPr="00515872" w14:paraId="6912B7EB" w14:textId="77777777" w:rsidTr="009063EA">
        <w:trPr>
          <w:jc w:val="center"/>
        </w:trPr>
        <w:tc>
          <w:tcPr>
            <w:tcW w:w="714" w:type="dxa"/>
          </w:tcPr>
          <w:p w14:paraId="4D3CFB75" w14:textId="77777777" w:rsidR="0045445D" w:rsidRPr="00515872" w:rsidRDefault="0045445D" w:rsidP="0045445D">
            <w:pPr>
              <w:spacing w:after="0"/>
              <w:rPr>
                <w:rFonts w:cs="Tahoma"/>
                <w:szCs w:val="20"/>
              </w:rPr>
            </w:pPr>
            <w:r w:rsidRPr="00515872">
              <w:rPr>
                <w:rFonts w:cs="Tahoma"/>
                <w:szCs w:val="20"/>
              </w:rPr>
              <w:t>m)</w:t>
            </w:r>
          </w:p>
        </w:tc>
        <w:tc>
          <w:tcPr>
            <w:tcW w:w="3817" w:type="dxa"/>
            <w:gridSpan w:val="2"/>
          </w:tcPr>
          <w:p w14:paraId="37878A14"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250.000 a 499.999 abitanti</w:t>
            </w:r>
          </w:p>
        </w:tc>
        <w:tc>
          <w:tcPr>
            <w:tcW w:w="2552" w:type="dxa"/>
          </w:tcPr>
          <w:p w14:paraId="65C8E6A6"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1.271</w:t>
            </w:r>
          </w:p>
        </w:tc>
        <w:tc>
          <w:tcPr>
            <w:tcW w:w="2545" w:type="dxa"/>
          </w:tcPr>
          <w:p w14:paraId="67454FC9"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1.350</w:t>
            </w:r>
          </w:p>
        </w:tc>
      </w:tr>
      <w:tr w:rsidR="0045445D" w:rsidRPr="00515872" w14:paraId="0DB5937D" w14:textId="77777777" w:rsidTr="009063EA">
        <w:trPr>
          <w:jc w:val="center"/>
        </w:trPr>
        <w:tc>
          <w:tcPr>
            <w:tcW w:w="714" w:type="dxa"/>
          </w:tcPr>
          <w:p w14:paraId="0E26B3C7" w14:textId="77777777" w:rsidR="0045445D" w:rsidRPr="00515872" w:rsidRDefault="0045445D" w:rsidP="0045445D">
            <w:pPr>
              <w:spacing w:after="0"/>
              <w:rPr>
                <w:rFonts w:cs="Tahoma"/>
                <w:szCs w:val="20"/>
              </w:rPr>
            </w:pPr>
            <w:r w:rsidRPr="00515872">
              <w:rPr>
                <w:rFonts w:cs="Tahoma"/>
                <w:szCs w:val="20"/>
              </w:rPr>
              <w:t>n)</w:t>
            </w:r>
          </w:p>
        </w:tc>
        <w:tc>
          <w:tcPr>
            <w:tcW w:w="3817" w:type="dxa"/>
            <w:gridSpan w:val="2"/>
          </w:tcPr>
          <w:p w14:paraId="7DCB8100" w14:textId="77777777" w:rsidR="0045445D" w:rsidRPr="00515872" w:rsidRDefault="0045445D" w:rsidP="0045445D">
            <w:pPr>
              <w:spacing w:after="0"/>
              <w:rPr>
                <w:rFonts w:eastAsia="Times New Roman" w:cs="Tahoma"/>
                <w:szCs w:val="20"/>
                <w:lang w:eastAsia="it-IT"/>
              </w:rPr>
            </w:pPr>
            <w:r w:rsidRPr="00515872">
              <w:rPr>
                <w:rFonts w:eastAsia="Times New Roman" w:cs="Tahoma"/>
                <w:szCs w:val="20"/>
                <w:lang w:eastAsia="it-IT"/>
              </w:rPr>
              <w:t>comuni da 500.000 abitanti ed oltre</w:t>
            </w:r>
          </w:p>
        </w:tc>
        <w:tc>
          <w:tcPr>
            <w:tcW w:w="2552" w:type="dxa"/>
          </w:tcPr>
          <w:p w14:paraId="0320E78C"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1.347</w:t>
            </w:r>
          </w:p>
        </w:tc>
        <w:tc>
          <w:tcPr>
            <w:tcW w:w="2545" w:type="dxa"/>
          </w:tcPr>
          <w:p w14:paraId="205F93CB" w14:textId="77777777" w:rsidR="0045445D" w:rsidRPr="00515872" w:rsidRDefault="0045445D" w:rsidP="00A628D4">
            <w:pPr>
              <w:spacing w:after="0"/>
              <w:jc w:val="right"/>
              <w:rPr>
                <w:rFonts w:eastAsia="Times New Roman" w:cs="Tahoma"/>
                <w:szCs w:val="20"/>
                <w:lang w:eastAsia="it-IT"/>
              </w:rPr>
            </w:pPr>
            <w:r w:rsidRPr="00515872">
              <w:rPr>
                <w:rFonts w:eastAsia="Times New Roman" w:cs="Tahoma"/>
                <w:szCs w:val="20"/>
                <w:lang w:eastAsia="it-IT"/>
              </w:rPr>
              <w:t>euro 1.420</w:t>
            </w:r>
          </w:p>
        </w:tc>
      </w:tr>
      <w:tr w:rsidR="00350E3F" w:rsidRPr="00515872" w14:paraId="1FE0E8CC" w14:textId="77777777" w:rsidTr="009063EA">
        <w:trPr>
          <w:jc w:val="center"/>
        </w:trPr>
        <w:tc>
          <w:tcPr>
            <w:tcW w:w="4531" w:type="dxa"/>
            <w:gridSpan w:val="3"/>
          </w:tcPr>
          <w:p w14:paraId="09E7EA7F" w14:textId="77777777" w:rsidR="00350E3F" w:rsidRPr="00515872" w:rsidRDefault="00350E3F" w:rsidP="00393822">
            <w:pPr>
              <w:spacing w:after="0"/>
              <w:rPr>
                <w:rFonts w:cs="Tahoma"/>
                <w:b/>
                <w:szCs w:val="20"/>
              </w:rPr>
            </w:pPr>
            <w:r w:rsidRPr="00515872">
              <w:rPr>
                <w:rFonts w:cs="Tahoma"/>
                <w:b/>
                <w:szCs w:val="20"/>
              </w:rPr>
              <w:t>Città metropolitane e Province</w:t>
            </w:r>
          </w:p>
        </w:tc>
        <w:tc>
          <w:tcPr>
            <w:tcW w:w="2552" w:type="dxa"/>
          </w:tcPr>
          <w:p w14:paraId="211BB393" w14:textId="77777777" w:rsidR="00350E3F" w:rsidRPr="00515872" w:rsidRDefault="00350E3F" w:rsidP="00A628D4">
            <w:pPr>
              <w:spacing w:after="0"/>
              <w:jc w:val="right"/>
              <w:rPr>
                <w:rFonts w:cs="Tahoma"/>
                <w:b/>
                <w:szCs w:val="20"/>
              </w:rPr>
            </w:pPr>
          </w:p>
        </w:tc>
        <w:tc>
          <w:tcPr>
            <w:tcW w:w="2545" w:type="dxa"/>
          </w:tcPr>
          <w:p w14:paraId="3EC4D309" w14:textId="77777777" w:rsidR="00350E3F" w:rsidRPr="00515872" w:rsidRDefault="00350E3F" w:rsidP="00A628D4">
            <w:pPr>
              <w:spacing w:after="0"/>
              <w:jc w:val="right"/>
              <w:rPr>
                <w:rFonts w:cs="Tahoma"/>
                <w:b/>
                <w:szCs w:val="20"/>
              </w:rPr>
            </w:pPr>
          </w:p>
        </w:tc>
      </w:tr>
      <w:tr w:rsidR="00E13FB7" w:rsidRPr="00515872" w14:paraId="4A05AA97" w14:textId="77777777" w:rsidTr="009063EA">
        <w:trPr>
          <w:jc w:val="center"/>
        </w:trPr>
        <w:tc>
          <w:tcPr>
            <w:tcW w:w="817" w:type="dxa"/>
            <w:gridSpan w:val="2"/>
          </w:tcPr>
          <w:p w14:paraId="124F9C80" w14:textId="77777777" w:rsidR="00E13FB7" w:rsidRPr="00515872" w:rsidRDefault="00E13FB7" w:rsidP="00393822">
            <w:pPr>
              <w:spacing w:after="0"/>
              <w:rPr>
                <w:rFonts w:cs="Tahoma"/>
                <w:szCs w:val="20"/>
              </w:rPr>
            </w:pPr>
            <w:r w:rsidRPr="00515872">
              <w:rPr>
                <w:rFonts w:cs="Tahoma"/>
                <w:szCs w:val="20"/>
              </w:rPr>
              <w:t>a)</w:t>
            </w:r>
          </w:p>
        </w:tc>
        <w:tc>
          <w:tcPr>
            <w:tcW w:w="3714" w:type="dxa"/>
          </w:tcPr>
          <w:p w14:paraId="13338B6E" w14:textId="77777777" w:rsidR="00E13FB7" w:rsidRPr="00515872" w:rsidRDefault="00E13FB7" w:rsidP="00393822">
            <w:pPr>
              <w:spacing w:after="0"/>
              <w:rPr>
                <w:rFonts w:cs="Tahoma"/>
                <w:szCs w:val="20"/>
              </w:rPr>
            </w:pPr>
            <w:r w:rsidRPr="00515872">
              <w:rPr>
                <w:rFonts w:eastAsia="Times New Roman" w:cs="Tahoma"/>
                <w:szCs w:val="20"/>
                <w:lang w:eastAsia="it-IT"/>
              </w:rPr>
              <w:t>province sino a 400.00 abitanti</w:t>
            </w:r>
          </w:p>
        </w:tc>
        <w:tc>
          <w:tcPr>
            <w:tcW w:w="2552" w:type="dxa"/>
          </w:tcPr>
          <w:p w14:paraId="3B78C5E4" w14:textId="77777777" w:rsidR="00E13FB7" w:rsidRPr="00515872" w:rsidRDefault="00E13FB7" w:rsidP="00A628D4">
            <w:pPr>
              <w:spacing w:after="0"/>
              <w:jc w:val="right"/>
              <w:rPr>
                <w:rFonts w:cs="Tahoma"/>
                <w:szCs w:val="20"/>
              </w:rPr>
            </w:pPr>
            <w:r w:rsidRPr="00515872">
              <w:rPr>
                <w:rFonts w:eastAsia="Times New Roman" w:cs="Tahoma"/>
                <w:szCs w:val="20"/>
                <w:lang w:eastAsia="it-IT"/>
              </w:rPr>
              <w:t>euro 156</w:t>
            </w:r>
          </w:p>
        </w:tc>
        <w:tc>
          <w:tcPr>
            <w:tcW w:w="2545" w:type="dxa"/>
          </w:tcPr>
          <w:p w14:paraId="234C87E2" w14:textId="77777777" w:rsidR="00E13FB7" w:rsidRPr="00515872" w:rsidRDefault="00350E3F" w:rsidP="00A628D4">
            <w:pPr>
              <w:spacing w:after="0"/>
              <w:jc w:val="right"/>
              <w:rPr>
                <w:rFonts w:cs="Tahoma"/>
                <w:szCs w:val="20"/>
              </w:rPr>
            </w:pPr>
            <w:r w:rsidRPr="00515872">
              <w:rPr>
                <w:rFonts w:cs="Tahoma"/>
                <w:szCs w:val="20"/>
              </w:rPr>
              <w:t>e</w:t>
            </w:r>
            <w:r w:rsidR="00E13FB7" w:rsidRPr="00515872">
              <w:rPr>
                <w:rFonts w:cs="Tahoma"/>
                <w:szCs w:val="20"/>
              </w:rPr>
              <w:t>uro 150</w:t>
            </w:r>
          </w:p>
        </w:tc>
      </w:tr>
      <w:tr w:rsidR="00E13FB7" w:rsidRPr="00515872" w14:paraId="66D57986" w14:textId="77777777" w:rsidTr="009063EA">
        <w:trPr>
          <w:jc w:val="center"/>
        </w:trPr>
        <w:tc>
          <w:tcPr>
            <w:tcW w:w="817" w:type="dxa"/>
            <w:gridSpan w:val="2"/>
          </w:tcPr>
          <w:p w14:paraId="566E3341" w14:textId="77777777" w:rsidR="00E13FB7" w:rsidRPr="00515872" w:rsidRDefault="00E13FB7" w:rsidP="00393822">
            <w:pPr>
              <w:spacing w:after="0"/>
              <w:rPr>
                <w:rFonts w:cs="Tahoma"/>
                <w:szCs w:val="20"/>
              </w:rPr>
            </w:pPr>
            <w:r w:rsidRPr="00515872">
              <w:rPr>
                <w:rFonts w:cs="Tahoma"/>
                <w:szCs w:val="20"/>
              </w:rPr>
              <w:t>b)</w:t>
            </w:r>
          </w:p>
        </w:tc>
        <w:tc>
          <w:tcPr>
            <w:tcW w:w="3714" w:type="dxa"/>
          </w:tcPr>
          <w:p w14:paraId="5CB11AA1" w14:textId="77777777" w:rsidR="00E13FB7" w:rsidRPr="00515872" w:rsidRDefault="00E13FB7" w:rsidP="00393822">
            <w:pPr>
              <w:spacing w:after="0"/>
              <w:rPr>
                <w:rFonts w:cs="Tahoma"/>
                <w:szCs w:val="20"/>
              </w:rPr>
            </w:pPr>
            <w:r w:rsidRPr="00515872">
              <w:rPr>
                <w:rFonts w:eastAsia="Times New Roman" w:cs="Tahoma"/>
                <w:szCs w:val="20"/>
                <w:lang w:eastAsia="it-IT"/>
              </w:rPr>
              <w:t>province con oltre 400.00 abitanti</w:t>
            </w:r>
          </w:p>
        </w:tc>
        <w:tc>
          <w:tcPr>
            <w:tcW w:w="2552" w:type="dxa"/>
          </w:tcPr>
          <w:p w14:paraId="11578069" w14:textId="77777777" w:rsidR="00E13FB7" w:rsidRPr="00515872" w:rsidRDefault="00E13FB7" w:rsidP="00A628D4">
            <w:pPr>
              <w:spacing w:after="0"/>
              <w:jc w:val="right"/>
              <w:rPr>
                <w:rFonts w:cs="Tahoma"/>
                <w:szCs w:val="20"/>
              </w:rPr>
            </w:pPr>
            <w:r w:rsidRPr="00515872">
              <w:rPr>
                <w:rFonts w:eastAsia="Times New Roman" w:cs="Tahoma"/>
                <w:szCs w:val="20"/>
                <w:lang w:eastAsia="it-IT"/>
              </w:rPr>
              <w:t>euro 103</w:t>
            </w:r>
          </w:p>
        </w:tc>
        <w:tc>
          <w:tcPr>
            <w:tcW w:w="2545" w:type="dxa"/>
          </w:tcPr>
          <w:p w14:paraId="64E60187" w14:textId="77777777" w:rsidR="00E13FB7" w:rsidRPr="00515872" w:rsidRDefault="00350E3F" w:rsidP="00A628D4">
            <w:pPr>
              <w:spacing w:after="0"/>
              <w:jc w:val="right"/>
              <w:rPr>
                <w:rFonts w:cs="Tahoma"/>
                <w:szCs w:val="20"/>
              </w:rPr>
            </w:pPr>
            <w:r w:rsidRPr="00515872">
              <w:rPr>
                <w:rFonts w:cs="Tahoma"/>
                <w:szCs w:val="20"/>
              </w:rPr>
              <w:t>e</w:t>
            </w:r>
            <w:r w:rsidR="00E13FB7" w:rsidRPr="00515872">
              <w:rPr>
                <w:rFonts w:cs="Tahoma"/>
                <w:szCs w:val="20"/>
              </w:rPr>
              <w:t>uro 120</w:t>
            </w:r>
          </w:p>
        </w:tc>
      </w:tr>
    </w:tbl>
    <w:p w14:paraId="26A3EF96" w14:textId="77777777" w:rsidR="009518AF" w:rsidRPr="00515872" w:rsidRDefault="009518AF" w:rsidP="009518AF">
      <w:pPr>
        <w:spacing w:line="360" w:lineRule="auto"/>
        <w:rPr>
          <w:rFonts w:cs="Tahoma"/>
          <w:szCs w:val="20"/>
        </w:rPr>
      </w:pPr>
    </w:p>
    <w:p w14:paraId="7A2B022A" w14:textId="77777777" w:rsidR="009518AF" w:rsidRPr="00515872" w:rsidRDefault="009518AF" w:rsidP="009518AF">
      <w:pPr>
        <w:spacing w:after="0" w:line="360" w:lineRule="auto"/>
        <w:jc w:val="center"/>
        <w:rPr>
          <w:rFonts w:eastAsia="Times New Roman" w:cs="Tahoma"/>
          <w:b/>
          <w:szCs w:val="20"/>
          <w:lang w:eastAsia="it-IT"/>
        </w:rPr>
      </w:pPr>
      <w:r w:rsidRPr="00515872">
        <w:rPr>
          <w:rFonts w:eastAsia="Times New Roman" w:cs="Tahoma"/>
          <w:b/>
          <w:szCs w:val="20"/>
          <w:lang w:eastAsia="it-IT"/>
        </w:rPr>
        <w:t>Tabella C – SPESA PER INVESTIMENTO ANNUALE PRO-CAPITE COMUNI</w:t>
      </w:r>
    </w:p>
    <w:tbl>
      <w:tblPr>
        <w:tblStyle w:val="Grigliatabella"/>
        <w:tblW w:w="0" w:type="auto"/>
        <w:jc w:val="center"/>
        <w:tblLook w:val="04A0" w:firstRow="1" w:lastRow="0" w:firstColumn="1" w:lastColumn="0" w:noHBand="0" w:noVBand="1"/>
      </w:tblPr>
      <w:tblGrid>
        <w:gridCol w:w="700"/>
        <w:gridCol w:w="14"/>
        <w:gridCol w:w="3817"/>
        <w:gridCol w:w="2552"/>
        <w:gridCol w:w="2545"/>
      </w:tblGrid>
      <w:tr w:rsidR="00350E3F" w:rsidRPr="00515872" w14:paraId="4C6E2B00" w14:textId="77777777" w:rsidTr="009063EA">
        <w:trPr>
          <w:jc w:val="center"/>
        </w:trPr>
        <w:tc>
          <w:tcPr>
            <w:tcW w:w="4531" w:type="dxa"/>
            <w:gridSpan w:val="3"/>
          </w:tcPr>
          <w:p w14:paraId="5EFEF9B2" w14:textId="77777777" w:rsidR="00350E3F" w:rsidRPr="00515872" w:rsidRDefault="00350E3F" w:rsidP="002641DC">
            <w:pPr>
              <w:spacing w:after="0"/>
              <w:rPr>
                <w:rFonts w:cs="Tahoma"/>
                <w:szCs w:val="20"/>
              </w:rPr>
            </w:pPr>
          </w:p>
        </w:tc>
        <w:tc>
          <w:tcPr>
            <w:tcW w:w="2552" w:type="dxa"/>
          </w:tcPr>
          <w:p w14:paraId="76BE05FD"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20/05/2005</w:t>
            </w:r>
          </w:p>
        </w:tc>
        <w:tc>
          <w:tcPr>
            <w:tcW w:w="2545" w:type="dxa"/>
          </w:tcPr>
          <w:p w14:paraId="72F8C36D" w14:textId="77777777" w:rsidR="00350E3F" w:rsidRPr="00515872" w:rsidRDefault="00350E3F" w:rsidP="002641DC">
            <w:pPr>
              <w:spacing w:after="0"/>
              <w:rPr>
                <w:rFonts w:eastAsia="Times New Roman" w:cs="Tahoma"/>
                <w:szCs w:val="20"/>
                <w:lang w:eastAsia="it-IT"/>
              </w:rPr>
            </w:pPr>
            <w:r w:rsidRPr="00515872">
              <w:rPr>
                <w:rFonts w:eastAsia="Times New Roman" w:cs="Tahoma"/>
                <w:szCs w:val="20"/>
                <w:lang w:eastAsia="it-IT"/>
              </w:rPr>
              <w:t>Importi D.M. 21/12/2018</w:t>
            </w:r>
          </w:p>
        </w:tc>
      </w:tr>
      <w:tr w:rsidR="00350E3F" w:rsidRPr="00515872" w14:paraId="76A57C68" w14:textId="77777777" w:rsidTr="009063EA">
        <w:trPr>
          <w:jc w:val="center"/>
        </w:trPr>
        <w:tc>
          <w:tcPr>
            <w:tcW w:w="4531" w:type="dxa"/>
            <w:gridSpan w:val="3"/>
          </w:tcPr>
          <w:p w14:paraId="39748953" w14:textId="77777777" w:rsidR="00350E3F" w:rsidRPr="00515872" w:rsidRDefault="00350E3F" w:rsidP="00393822">
            <w:pPr>
              <w:spacing w:after="0"/>
              <w:rPr>
                <w:rFonts w:cs="Tahoma"/>
                <w:b/>
                <w:szCs w:val="20"/>
              </w:rPr>
            </w:pPr>
            <w:r w:rsidRPr="00515872">
              <w:rPr>
                <w:rFonts w:cs="Tahoma"/>
                <w:b/>
                <w:szCs w:val="20"/>
              </w:rPr>
              <w:t>Comuni</w:t>
            </w:r>
          </w:p>
        </w:tc>
        <w:tc>
          <w:tcPr>
            <w:tcW w:w="2552" w:type="dxa"/>
          </w:tcPr>
          <w:p w14:paraId="46C50553" w14:textId="77777777" w:rsidR="00350E3F" w:rsidRPr="00515872" w:rsidRDefault="00350E3F" w:rsidP="00393822">
            <w:pPr>
              <w:spacing w:after="0"/>
              <w:rPr>
                <w:rFonts w:cs="Tahoma"/>
                <w:b/>
                <w:szCs w:val="20"/>
              </w:rPr>
            </w:pPr>
          </w:p>
        </w:tc>
        <w:tc>
          <w:tcPr>
            <w:tcW w:w="2545" w:type="dxa"/>
          </w:tcPr>
          <w:p w14:paraId="0F6A28A2" w14:textId="77777777" w:rsidR="00350E3F" w:rsidRPr="00515872" w:rsidRDefault="00350E3F" w:rsidP="00393822">
            <w:pPr>
              <w:spacing w:after="0"/>
              <w:rPr>
                <w:rFonts w:cs="Tahoma"/>
                <w:b/>
                <w:szCs w:val="20"/>
              </w:rPr>
            </w:pPr>
          </w:p>
        </w:tc>
      </w:tr>
      <w:tr w:rsidR="00350E3F" w:rsidRPr="00515872" w14:paraId="5520F75D" w14:textId="77777777" w:rsidTr="009063EA">
        <w:trPr>
          <w:jc w:val="center"/>
        </w:trPr>
        <w:tc>
          <w:tcPr>
            <w:tcW w:w="714" w:type="dxa"/>
            <w:gridSpan w:val="2"/>
          </w:tcPr>
          <w:p w14:paraId="45A28C67" w14:textId="77777777" w:rsidR="00350E3F" w:rsidRPr="00515872" w:rsidRDefault="00350E3F" w:rsidP="00350E3F">
            <w:pPr>
              <w:spacing w:after="0"/>
              <w:rPr>
                <w:rFonts w:cs="Tahoma"/>
                <w:szCs w:val="20"/>
              </w:rPr>
            </w:pPr>
            <w:r w:rsidRPr="00515872">
              <w:rPr>
                <w:rFonts w:cs="Tahoma"/>
                <w:szCs w:val="20"/>
              </w:rPr>
              <w:t>a)</w:t>
            </w:r>
          </w:p>
        </w:tc>
        <w:tc>
          <w:tcPr>
            <w:tcW w:w="3817" w:type="dxa"/>
          </w:tcPr>
          <w:p w14:paraId="07F1378B" w14:textId="77777777" w:rsidR="00350E3F" w:rsidRPr="00515872" w:rsidRDefault="00350E3F" w:rsidP="00350E3F">
            <w:pPr>
              <w:spacing w:after="0"/>
              <w:rPr>
                <w:rFonts w:cs="Tahoma"/>
                <w:szCs w:val="20"/>
              </w:rPr>
            </w:pPr>
            <w:r w:rsidRPr="00515872">
              <w:rPr>
                <w:rFonts w:cs="Tahoma"/>
                <w:szCs w:val="20"/>
              </w:rPr>
              <w:t>comuni con meno di 500 abitanti</w:t>
            </w:r>
          </w:p>
        </w:tc>
        <w:tc>
          <w:tcPr>
            <w:tcW w:w="2552" w:type="dxa"/>
          </w:tcPr>
          <w:p w14:paraId="4BEC8718"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1.788</w:t>
            </w:r>
          </w:p>
        </w:tc>
        <w:tc>
          <w:tcPr>
            <w:tcW w:w="2545" w:type="dxa"/>
          </w:tcPr>
          <w:p w14:paraId="4C077504"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980</w:t>
            </w:r>
          </w:p>
        </w:tc>
      </w:tr>
      <w:tr w:rsidR="00350E3F" w:rsidRPr="00515872" w14:paraId="6B2CBD62" w14:textId="77777777" w:rsidTr="009063EA">
        <w:trPr>
          <w:jc w:val="center"/>
        </w:trPr>
        <w:tc>
          <w:tcPr>
            <w:tcW w:w="714" w:type="dxa"/>
            <w:gridSpan w:val="2"/>
          </w:tcPr>
          <w:p w14:paraId="6CBE8D9D" w14:textId="77777777" w:rsidR="00350E3F" w:rsidRPr="00515872" w:rsidRDefault="00350E3F" w:rsidP="00350E3F">
            <w:pPr>
              <w:spacing w:after="0"/>
              <w:rPr>
                <w:rFonts w:cs="Tahoma"/>
                <w:szCs w:val="20"/>
              </w:rPr>
            </w:pPr>
            <w:r w:rsidRPr="00515872">
              <w:rPr>
                <w:rFonts w:cs="Tahoma"/>
                <w:szCs w:val="20"/>
              </w:rPr>
              <w:t>b)</w:t>
            </w:r>
          </w:p>
        </w:tc>
        <w:tc>
          <w:tcPr>
            <w:tcW w:w="3817" w:type="dxa"/>
          </w:tcPr>
          <w:p w14:paraId="654BB047" w14:textId="77777777" w:rsidR="00350E3F" w:rsidRPr="00515872" w:rsidRDefault="00350E3F" w:rsidP="00350E3F">
            <w:pPr>
              <w:spacing w:after="0"/>
              <w:rPr>
                <w:rFonts w:cs="Tahoma"/>
                <w:szCs w:val="20"/>
              </w:rPr>
            </w:pPr>
            <w:r w:rsidRPr="00515872">
              <w:rPr>
                <w:rFonts w:eastAsia="Times New Roman" w:cs="Tahoma"/>
                <w:szCs w:val="20"/>
                <w:lang w:eastAsia="it-IT"/>
              </w:rPr>
              <w:t>comuni da 550 a 999 abitanti</w:t>
            </w:r>
          </w:p>
        </w:tc>
        <w:tc>
          <w:tcPr>
            <w:tcW w:w="2552" w:type="dxa"/>
          </w:tcPr>
          <w:p w14:paraId="23B67188"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941</w:t>
            </w:r>
          </w:p>
        </w:tc>
        <w:tc>
          <w:tcPr>
            <w:tcW w:w="2545" w:type="dxa"/>
          </w:tcPr>
          <w:p w14:paraId="292E2ACD"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520</w:t>
            </w:r>
          </w:p>
        </w:tc>
      </w:tr>
      <w:tr w:rsidR="00350E3F" w:rsidRPr="00515872" w14:paraId="15EB49B3" w14:textId="77777777" w:rsidTr="009063EA">
        <w:trPr>
          <w:jc w:val="center"/>
        </w:trPr>
        <w:tc>
          <w:tcPr>
            <w:tcW w:w="714" w:type="dxa"/>
            <w:gridSpan w:val="2"/>
          </w:tcPr>
          <w:p w14:paraId="2E6A3A4F" w14:textId="77777777" w:rsidR="00350E3F" w:rsidRPr="00515872" w:rsidRDefault="00350E3F" w:rsidP="00350E3F">
            <w:pPr>
              <w:spacing w:after="0"/>
              <w:rPr>
                <w:rFonts w:cs="Tahoma"/>
                <w:szCs w:val="20"/>
              </w:rPr>
            </w:pPr>
            <w:r w:rsidRPr="00515872">
              <w:rPr>
                <w:rFonts w:cs="Tahoma"/>
                <w:szCs w:val="20"/>
              </w:rPr>
              <w:t>c)</w:t>
            </w:r>
          </w:p>
        </w:tc>
        <w:tc>
          <w:tcPr>
            <w:tcW w:w="3817" w:type="dxa"/>
          </w:tcPr>
          <w:p w14:paraId="3C4BBD25"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 a 1.999 abitanti</w:t>
            </w:r>
          </w:p>
        </w:tc>
        <w:tc>
          <w:tcPr>
            <w:tcW w:w="2552" w:type="dxa"/>
          </w:tcPr>
          <w:p w14:paraId="40A4031E"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682</w:t>
            </w:r>
          </w:p>
        </w:tc>
        <w:tc>
          <w:tcPr>
            <w:tcW w:w="2545" w:type="dxa"/>
          </w:tcPr>
          <w:p w14:paraId="6F18651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350</w:t>
            </w:r>
          </w:p>
        </w:tc>
      </w:tr>
      <w:tr w:rsidR="00350E3F" w:rsidRPr="00515872" w14:paraId="203ABF8E" w14:textId="77777777" w:rsidTr="009063EA">
        <w:trPr>
          <w:jc w:val="center"/>
        </w:trPr>
        <w:tc>
          <w:tcPr>
            <w:tcW w:w="714" w:type="dxa"/>
            <w:gridSpan w:val="2"/>
          </w:tcPr>
          <w:p w14:paraId="7E7714CA" w14:textId="77777777" w:rsidR="00350E3F" w:rsidRPr="00515872" w:rsidRDefault="00350E3F" w:rsidP="00350E3F">
            <w:pPr>
              <w:spacing w:after="0"/>
              <w:rPr>
                <w:rFonts w:cs="Tahoma"/>
                <w:szCs w:val="20"/>
              </w:rPr>
            </w:pPr>
            <w:r w:rsidRPr="00515872">
              <w:rPr>
                <w:rFonts w:cs="Tahoma"/>
                <w:szCs w:val="20"/>
              </w:rPr>
              <w:t>d)</w:t>
            </w:r>
          </w:p>
        </w:tc>
        <w:tc>
          <w:tcPr>
            <w:tcW w:w="3817" w:type="dxa"/>
          </w:tcPr>
          <w:p w14:paraId="39659580"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 xml:space="preserve">comuni da 2.000 a 2.999 abitanti </w:t>
            </w:r>
          </w:p>
        </w:tc>
        <w:tc>
          <w:tcPr>
            <w:tcW w:w="2552" w:type="dxa"/>
          </w:tcPr>
          <w:p w14:paraId="09251CC1"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493</w:t>
            </w:r>
          </w:p>
        </w:tc>
        <w:tc>
          <w:tcPr>
            <w:tcW w:w="2545" w:type="dxa"/>
          </w:tcPr>
          <w:p w14:paraId="6FCCD600"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250</w:t>
            </w:r>
          </w:p>
        </w:tc>
      </w:tr>
      <w:tr w:rsidR="00350E3F" w:rsidRPr="00515872" w14:paraId="7095C6D4" w14:textId="77777777" w:rsidTr="009063EA">
        <w:trPr>
          <w:jc w:val="center"/>
        </w:trPr>
        <w:tc>
          <w:tcPr>
            <w:tcW w:w="714" w:type="dxa"/>
            <w:gridSpan w:val="2"/>
          </w:tcPr>
          <w:p w14:paraId="08D36050" w14:textId="77777777" w:rsidR="00350E3F" w:rsidRPr="00515872" w:rsidRDefault="00350E3F" w:rsidP="00350E3F">
            <w:pPr>
              <w:spacing w:after="0"/>
              <w:rPr>
                <w:rFonts w:cs="Tahoma"/>
                <w:szCs w:val="20"/>
              </w:rPr>
            </w:pPr>
            <w:r w:rsidRPr="00515872">
              <w:rPr>
                <w:rFonts w:cs="Tahoma"/>
                <w:szCs w:val="20"/>
              </w:rPr>
              <w:t>e)</w:t>
            </w:r>
          </w:p>
        </w:tc>
        <w:tc>
          <w:tcPr>
            <w:tcW w:w="3817" w:type="dxa"/>
          </w:tcPr>
          <w:p w14:paraId="3022999B"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3.000 a 4.999 abitanti</w:t>
            </w:r>
          </w:p>
        </w:tc>
        <w:tc>
          <w:tcPr>
            <w:tcW w:w="2552" w:type="dxa"/>
          </w:tcPr>
          <w:p w14:paraId="3A6BA02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456</w:t>
            </w:r>
          </w:p>
        </w:tc>
        <w:tc>
          <w:tcPr>
            <w:tcW w:w="2545" w:type="dxa"/>
          </w:tcPr>
          <w:p w14:paraId="4DEBF7FF"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200</w:t>
            </w:r>
          </w:p>
        </w:tc>
      </w:tr>
      <w:tr w:rsidR="00350E3F" w:rsidRPr="00515872" w14:paraId="579EB8C0" w14:textId="77777777" w:rsidTr="009063EA">
        <w:trPr>
          <w:jc w:val="center"/>
        </w:trPr>
        <w:tc>
          <w:tcPr>
            <w:tcW w:w="714" w:type="dxa"/>
            <w:gridSpan w:val="2"/>
          </w:tcPr>
          <w:p w14:paraId="3CF9A103" w14:textId="77777777" w:rsidR="00350E3F" w:rsidRPr="00515872" w:rsidRDefault="00350E3F" w:rsidP="00350E3F">
            <w:pPr>
              <w:spacing w:after="0"/>
              <w:rPr>
                <w:rFonts w:cs="Tahoma"/>
                <w:szCs w:val="20"/>
              </w:rPr>
            </w:pPr>
            <w:r w:rsidRPr="00515872">
              <w:rPr>
                <w:rFonts w:cs="Tahoma"/>
                <w:szCs w:val="20"/>
              </w:rPr>
              <w:t>f)</w:t>
            </w:r>
          </w:p>
        </w:tc>
        <w:tc>
          <w:tcPr>
            <w:tcW w:w="3817" w:type="dxa"/>
          </w:tcPr>
          <w:p w14:paraId="4FA2BC71"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5.000 a 9.999 abitanti</w:t>
            </w:r>
          </w:p>
        </w:tc>
        <w:tc>
          <w:tcPr>
            <w:tcW w:w="2552" w:type="dxa"/>
          </w:tcPr>
          <w:p w14:paraId="3124186A"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336</w:t>
            </w:r>
          </w:p>
        </w:tc>
        <w:tc>
          <w:tcPr>
            <w:tcW w:w="2545" w:type="dxa"/>
          </w:tcPr>
          <w:p w14:paraId="50C95A6C"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150</w:t>
            </w:r>
          </w:p>
        </w:tc>
      </w:tr>
      <w:tr w:rsidR="00350E3F" w:rsidRPr="00515872" w14:paraId="1EC5D347" w14:textId="77777777" w:rsidTr="009063EA">
        <w:trPr>
          <w:jc w:val="center"/>
        </w:trPr>
        <w:tc>
          <w:tcPr>
            <w:tcW w:w="714" w:type="dxa"/>
            <w:gridSpan w:val="2"/>
          </w:tcPr>
          <w:p w14:paraId="7F227D94" w14:textId="77777777" w:rsidR="00350E3F" w:rsidRPr="00515872" w:rsidRDefault="00350E3F" w:rsidP="00350E3F">
            <w:pPr>
              <w:spacing w:after="0"/>
              <w:rPr>
                <w:rFonts w:cs="Tahoma"/>
                <w:szCs w:val="20"/>
              </w:rPr>
            </w:pPr>
            <w:r w:rsidRPr="00515872">
              <w:rPr>
                <w:rFonts w:cs="Tahoma"/>
                <w:szCs w:val="20"/>
              </w:rPr>
              <w:t>g)</w:t>
            </w:r>
          </w:p>
        </w:tc>
        <w:tc>
          <w:tcPr>
            <w:tcW w:w="3817" w:type="dxa"/>
          </w:tcPr>
          <w:p w14:paraId="6938A32E"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10.000 a 19.999 abitanti</w:t>
            </w:r>
          </w:p>
        </w:tc>
        <w:tc>
          <w:tcPr>
            <w:tcW w:w="2552" w:type="dxa"/>
          </w:tcPr>
          <w:p w14:paraId="3CD904D6"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298</w:t>
            </w:r>
          </w:p>
        </w:tc>
        <w:tc>
          <w:tcPr>
            <w:tcW w:w="2545" w:type="dxa"/>
          </w:tcPr>
          <w:p w14:paraId="6C9B5982"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120</w:t>
            </w:r>
          </w:p>
        </w:tc>
      </w:tr>
      <w:tr w:rsidR="00350E3F" w:rsidRPr="00515872" w14:paraId="7E2178A7" w14:textId="77777777" w:rsidTr="009063EA">
        <w:trPr>
          <w:jc w:val="center"/>
        </w:trPr>
        <w:tc>
          <w:tcPr>
            <w:tcW w:w="714" w:type="dxa"/>
            <w:gridSpan w:val="2"/>
          </w:tcPr>
          <w:p w14:paraId="264718CC" w14:textId="77777777" w:rsidR="00350E3F" w:rsidRPr="00515872" w:rsidRDefault="00350E3F" w:rsidP="00350E3F">
            <w:pPr>
              <w:spacing w:after="0"/>
              <w:rPr>
                <w:rFonts w:cs="Tahoma"/>
                <w:szCs w:val="20"/>
              </w:rPr>
            </w:pPr>
            <w:r w:rsidRPr="00515872">
              <w:rPr>
                <w:rFonts w:cs="Tahoma"/>
                <w:szCs w:val="20"/>
              </w:rPr>
              <w:t>h)</w:t>
            </w:r>
          </w:p>
        </w:tc>
        <w:tc>
          <w:tcPr>
            <w:tcW w:w="3817" w:type="dxa"/>
          </w:tcPr>
          <w:p w14:paraId="108F00F6"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20.000 a 59.999 abitanti</w:t>
            </w:r>
          </w:p>
        </w:tc>
        <w:tc>
          <w:tcPr>
            <w:tcW w:w="2552" w:type="dxa"/>
          </w:tcPr>
          <w:p w14:paraId="59248F5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297</w:t>
            </w:r>
          </w:p>
        </w:tc>
        <w:tc>
          <w:tcPr>
            <w:tcW w:w="2545" w:type="dxa"/>
          </w:tcPr>
          <w:p w14:paraId="6A9C02BA"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110</w:t>
            </w:r>
          </w:p>
        </w:tc>
      </w:tr>
      <w:tr w:rsidR="00350E3F" w:rsidRPr="00515872" w14:paraId="196934AA" w14:textId="77777777" w:rsidTr="009063EA">
        <w:trPr>
          <w:jc w:val="center"/>
        </w:trPr>
        <w:tc>
          <w:tcPr>
            <w:tcW w:w="714" w:type="dxa"/>
            <w:gridSpan w:val="2"/>
          </w:tcPr>
          <w:p w14:paraId="651E8BC3" w14:textId="77777777" w:rsidR="00350E3F" w:rsidRPr="00515872" w:rsidRDefault="00350E3F" w:rsidP="00350E3F">
            <w:pPr>
              <w:spacing w:after="0"/>
              <w:rPr>
                <w:rFonts w:cs="Tahoma"/>
                <w:szCs w:val="20"/>
              </w:rPr>
            </w:pPr>
            <w:r w:rsidRPr="00515872">
              <w:rPr>
                <w:rFonts w:cs="Tahoma"/>
                <w:szCs w:val="20"/>
              </w:rPr>
              <w:t>i)</w:t>
            </w:r>
          </w:p>
        </w:tc>
        <w:tc>
          <w:tcPr>
            <w:tcW w:w="3817" w:type="dxa"/>
          </w:tcPr>
          <w:p w14:paraId="5FE4A3A9"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60.000 a 99.999 abitanti</w:t>
            </w:r>
          </w:p>
        </w:tc>
        <w:tc>
          <w:tcPr>
            <w:tcW w:w="2552" w:type="dxa"/>
          </w:tcPr>
          <w:p w14:paraId="616772D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309</w:t>
            </w:r>
          </w:p>
        </w:tc>
        <w:tc>
          <w:tcPr>
            <w:tcW w:w="2545" w:type="dxa"/>
          </w:tcPr>
          <w:p w14:paraId="58ADAA40"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230</w:t>
            </w:r>
          </w:p>
        </w:tc>
      </w:tr>
      <w:tr w:rsidR="00350E3F" w:rsidRPr="00515872" w14:paraId="02D77645" w14:textId="77777777" w:rsidTr="009063EA">
        <w:trPr>
          <w:jc w:val="center"/>
        </w:trPr>
        <w:tc>
          <w:tcPr>
            <w:tcW w:w="714" w:type="dxa"/>
            <w:gridSpan w:val="2"/>
          </w:tcPr>
          <w:p w14:paraId="7416284F" w14:textId="77777777" w:rsidR="00350E3F" w:rsidRPr="00515872" w:rsidRDefault="00350E3F" w:rsidP="00350E3F">
            <w:pPr>
              <w:spacing w:after="0"/>
              <w:rPr>
                <w:rFonts w:cs="Tahoma"/>
                <w:szCs w:val="20"/>
              </w:rPr>
            </w:pPr>
            <w:r w:rsidRPr="00515872">
              <w:rPr>
                <w:rFonts w:cs="Tahoma"/>
                <w:szCs w:val="20"/>
              </w:rPr>
              <w:t>l)</w:t>
            </w:r>
          </w:p>
        </w:tc>
        <w:tc>
          <w:tcPr>
            <w:tcW w:w="3817" w:type="dxa"/>
          </w:tcPr>
          <w:p w14:paraId="111554A4"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100.000 a 249.999 abitanti</w:t>
            </w:r>
          </w:p>
        </w:tc>
        <w:tc>
          <w:tcPr>
            <w:tcW w:w="2552" w:type="dxa"/>
          </w:tcPr>
          <w:p w14:paraId="7A5CC774"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399</w:t>
            </w:r>
          </w:p>
        </w:tc>
        <w:tc>
          <w:tcPr>
            <w:tcW w:w="2545" w:type="dxa"/>
          </w:tcPr>
          <w:p w14:paraId="545CAFF7"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150</w:t>
            </w:r>
          </w:p>
        </w:tc>
      </w:tr>
      <w:tr w:rsidR="00350E3F" w:rsidRPr="00515872" w14:paraId="07833D7F" w14:textId="77777777" w:rsidTr="009063EA">
        <w:trPr>
          <w:jc w:val="center"/>
        </w:trPr>
        <w:tc>
          <w:tcPr>
            <w:tcW w:w="714" w:type="dxa"/>
            <w:gridSpan w:val="2"/>
          </w:tcPr>
          <w:p w14:paraId="1EE0D8E2" w14:textId="77777777" w:rsidR="00350E3F" w:rsidRPr="00515872" w:rsidRDefault="00350E3F" w:rsidP="00350E3F">
            <w:pPr>
              <w:spacing w:after="0"/>
              <w:rPr>
                <w:rFonts w:cs="Tahoma"/>
                <w:szCs w:val="20"/>
              </w:rPr>
            </w:pPr>
            <w:r w:rsidRPr="00515872">
              <w:rPr>
                <w:rFonts w:cs="Tahoma"/>
                <w:szCs w:val="20"/>
              </w:rPr>
              <w:t>m)</w:t>
            </w:r>
          </w:p>
        </w:tc>
        <w:tc>
          <w:tcPr>
            <w:tcW w:w="3817" w:type="dxa"/>
          </w:tcPr>
          <w:p w14:paraId="32ED2933"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250.000 a 499.999 abitanti</w:t>
            </w:r>
          </w:p>
        </w:tc>
        <w:tc>
          <w:tcPr>
            <w:tcW w:w="2552" w:type="dxa"/>
          </w:tcPr>
          <w:p w14:paraId="4F5264DD"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528</w:t>
            </w:r>
          </w:p>
        </w:tc>
        <w:tc>
          <w:tcPr>
            <w:tcW w:w="2545" w:type="dxa"/>
          </w:tcPr>
          <w:p w14:paraId="26F45C3C"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180</w:t>
            </w:r>
          </w:p>
        </w:tc>
      </w:tr>
      <w:tr w:rsidR="00350E3F" w:rsidRPr="00515872" w14:paraId="629B9852" w14:textId="77777777" w:rsidTr="009063EA">
        <w:trPr>
          <w:jc w:val="center"/>
        </w:trPr>
        <w:tc>
          <w:tcPr>
            <w:tcW w:w="714" w:type="dxa"/>
            <w:gridSpan w:val="2"/>
          </w:tcPr>
          <w:p w14:paraId="50DAE07E" w14:textId="77777777" w:rsidR="00350E3F" w:rsidRPr="00515872" w:rsidRDefault="00350E3F" w:rsidP="00350E3F">
            <w:pPr>
              <w:spacing w:after="0"/>
              <w:rPr>
                <w:rFonts w:cs="Tahoma"/>
                <w:szCs w:val="20"/>
              </w:rPr>
            </w:pPr>
            <w:r w:rsidRPr="00515872">
              <w:rPr>
                <w:rFonts w:cs="Tahoma"/>
                <w:szCs w:val="20"/>
              </w:rPr>
              <w:t>n)</w:t>
            </w:r>
          </w:p>
        </w:tc>
        <w:tc>
          <w:tcPr>
            <w:tcW w:w="3817" w:type="dxa"/>
          </w:tcPr>
          <w:p w14:paraId="77E313D1" w14:textId="77777777" w:rsidR="00350E3F" w:rsidRPr="00515872" w:rsidRDefault="00350E3F" w:rsidP="00350E3F">
            <w:pPr>
              <w:spacing w:after="0"/>
              <w:rPr>
                <w:rFonts w:eastAsia="Times New Roman" w:cs="Tahoma"/>
                <w:szCs w:val="20"/>
                <w:lang w:eastAsia="it-IT"/>
              </w:rPr>
            </w:pPr>
            <w:r w:rsidRPr="00515872">
              <w:rPr>
                <w:rFonts w:eastAsia="Times New Roman" w:cs="Tahoma"/>
                <w:szCs w:val="20"/>
                <w:lang w:eastAsia="it-IT"/>
              </w:rPr>
              <w:t>comuni da 500.000 abitanti ed oltre</w:t>
            </w:r>
          </w:p>
        </w:tc>
        <w:tc>
          <w:tcPr>
            <w:tcW w:w="2552" w:type="dxa"/>
          </w:tcPr>
          <w:p w14:paraId="5D7C3528"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1.368</w:t>
            </w:r>
          </w:p>
        </w:tc>
        <w:tc>
          <w:tcPr>
            <w:tcW w:w="2545" w:type="dxa"/>
          </w:tcPr>
          <w:p w14:paraId="01101FAB"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150</w:t>
            </w:r>
          </w:p>
        </w:tc>
      </w:tr>
      <w:tr w:rsidR="00350E3F" w:rsidRPr="00515872" w14:paraId="331A735E" w14:textId="77777777" w:rsidTr="009063EA">
        <w:trPr>
          <w:jc w:val="center"/>
        </w:trPr>
        <w:tc>
          <w:tcPr>
            <w:tcW w:w="4531" w:type="dxa"/>
            <w:gridSpan w:val="3"/>
          </w:tcPr>
          <w:p w14:paraId="062F5A49" w14:textId="77777777" w:rsidR="00350E3F" w:rsidRPr="00515872" w:rsidRDefault="00350E3F" w:rsidP="00350E3F">
            <w:pPr>
              <w:spacing w:after="0"/>
              <w:rPr>
                <w:rFonts w:cs="Tahoma"/>
                <w:b/>
                <w:szCs w:val="20"/>
              </w:rPr>
            </w:pPr>
            <w:r w:rsidRPr="00515872">
              <w:rPr>
                <w:rFonts w:cs="Tahoma"/>
                <w:b/>
                <w:szCs w:val="20"/>
              </w:rPr>
              <w:t>Città metropolitane e Province</w:t>
            </w:r>
          </w:p>
        </w:tc>
        <w:tc>
          <w:tcPr>
            <w:tcW w:w="2552" w:type="dxa"/>
          </w:tcPr>
          <w:p w14:paraId="61A74EF3" w14:textId="77777777" w:rsidR="00350E3F" w:rsidRPr="00515872" w:rsidRDefault="00350E3F" w:rsidP="00A628D4">
            <w:pPr>
              <w:spacing w:after="0"/>
              <w:jc w:val="right"/>
              <w:rPr>
                <w:rFonts w:cs="Tahoma"/>
                <w:b/>
                <w:szCs w:val="20"/>
              </w:rPr>
            </w:pPr>
          </w:p>
        </w:tc>
        <w:tc>
          <w:tcPr>
            <w:tcW w:w="2545" w:type="dxa"/>
          </w:tcPr>
          <w:p w14:paraId="6A8CB577" w14:textId="77777777" w:rsidR="00350E3F" w:rsidRPr="00515872" w:rsidRDefault="00350E3F" w:rsidP="00A628D4">
            <w:pPr>
              <w:spacing w:after="0"/>
              <w:jc w:val="right"/>
              <w:rPr>
                <w:rFonts w:cs="Tahoma"/>
                <w:b/>
                <w:szCs w:val="20"/>
              </w:rPr>
            </w:pPr>
          </w:p>
        </w:tc>
      </w:tr>
      <w:tr w:rsidR="00350E3F" w:rsidRPr="00515872" w14:paraId="46F26D8D" w14:textId="77777777" w:rsidTr="009063EA">
        <w:trPr>
          <w:jc w:val="center"/>
        </w:trPr>
        <w:tc>
          <w:tcPr>
            <w:tcW w:w="700" w:type="dxa"/>
          </w:tcPr>
          <w:p w14:paraId="18C8AE86" w14:textId="77777777" w:rsidR="00350E3F" w:rsidRPr="00515872" w:rsidRDefault="00350E3F" w:rsidP="00393822">
            <w:pPr>
              <w:spacing w:after="0"/>
              <w:rPr>
                <w:rFonts w:cs="Tahoma"/>
                <w:szCs w:val="20"/>
              </w:rPr>
            </w:pPr>
            <w:r w:rsidRPr="00515872">
              <w:rPr>
                <w:rFonts w:cs="Tahoma"/>
                <w:szCs w:val="20"/>
              </w:rPr>
              <w:t>a)</w:t>
            </w:r>
          </w:p>
        </w:tc>
        <w:tc>
          <w:tcPr>
            <w:tcW w:w="3831" w:type="dxa"/>
            <w:gridSpan w:val="2"/>
          </w:tcPr>
          <w:p w14:paraId="65DC0832" w14:textId="77777777" w:rsidR="00350E3F" w:rsidRPr="00515872" w:rsidRDefault="00350E3F" w:rsidP="00393822">
            <w:pPr>
              <w:spacing w:after="0"/>
              <w:rPr>
                <w:rFonts w:cs="Tahoma"/>
                <w:szCs w:val="20"/>
              </w:rPr>
            </w:pPr>
            <w:r w:rsidRPr="00515872">
              <w:rPr>
                <w:rFonts w:eastAsia="Times New Roman" w:cs="Tahoma"/>
                <w:szCs w:val="20"/>
                <w:lang w:eastAsia="it-IT"/>
              </w:rPr>
              <w:t>province sino a 400.00 abitanti</w:t>
            </w:r>
          </w:p>
        </w:tc>
        <w:tc>
          <w:tcPr>
            <w:tcW w:w="2552" w:type="dxa"/>
          </w:tcPr>
          <w:p w14:paraId="453344E0"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86</w:t>
            </w:r>
          </w:p>
        </w:tc>
        <w:tc>
          <w:tcPr>
            <w:tcW w:w="2545" w:type="dxa"/>
          </w:tcPr>
          <w:p w14:paraId="5AE60FA1"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30</w:t>
            </w:r>
          </w:p>
        </w:tc>
      </w:tr>
      <w:tr w:rsidR="00350E3F" w:rsidRPr="00515872" w14:paraId="105FA47E" w14:textId="77777777" w:rsidTr="009063EA">
        <w:trPr>
          <w:jc w:val="center"/>
        </w:trPr>
        <w:tc>
          <w:tcPr>
            <w:tcW w:w="700" w:type="dxa"/>
          </w:tcPr>
          <w:p w14:paraId="5D61A0CC" w14:textId="77777777" w:rsidR="00350E3F" w:rsidRPr="00515872" w:rsidRDefault="00350E3F" w:rsidP="00393822">
            <w:pPr>
              <w:spacing w:after="0"/>
              <w:rPr>
                <w:rFonts w:cs="Tahoma"/>
                <w:szCs w:val="20"/>
              </w:rPr>
            </w:pPr>
            <w:r w:rsidRPr="00515872">
              <w:rPr>
                <w:rFonts w:cs="Tahoma"/>
                <w:szCs w:val="20"/>
              </w:rPr>
              <w:t>b)</w:t>
            </w:r>
          </w:p>
        </w:tc>
        <w:tc>
          <w:tcPr>
            <w:tcW w:w="3831" w:type="dxa"/>
            <w:gridSpan w:val="2"/>
          </w:tcPr>
          <w:p w14:paraId="0562A581" w14:textId="77777777" w:rsidR="00350E3F" w:rsidRPr="00515872" w:rsidRDefault="00350E3F" w:rsidP="00393822">
            <w:pPr>
              <w:spacing w:after="0"/>
              <w:rPr>
                <w:rFonts w:cs="Tahoma"/>
                <w:szCs w:val="20"/>
              </w:rPr>
            </w:pPr>
            <w:r w:rsidRPr="00515872">
              <w:rPr>
                <w:rFonts w:eastAsia="Times New Roman" w:cs="Tahoma"/>
                <w:szCs w:val="20"/>
                <w:lang w:eastAsia="it-IT"/>
              </w:rPr>
              <w:t>province con oltre 400.00 abitanti</w:t>
            </w:r>
          </w:p>
        </w:tc>
        <w:tc>
          <w:tcPr>
            <w:tcW w:w="2552" w:type="dxa"/>
          </w:tcPr>
          <w:p w14:paraId="3473EEDA" w14:textId="77777777" w:rsidR="00350E3F" w:rsidRPr="00515872" w:rsidRDefault="00350E3F" w:rsidP="00A628D4">
            <w:pPr>
              <w:spacing w:after="0"/>
              <w:jc w:val="right"/>
              <w:rPr>
                <w:rFonts w:cs="Tahoma"/>
                <w:szCs w:val="20"/>
              </w:rPr>
            </w:pPr>
            <w:r w:rsidRPr="00515872">
              <w:rPr>
                <w:rFonts w:eastAsia="Times New Roman" w:cs="Tahoma"/>
                <w:szCs w:val="20"/>
                <w:lang w:eastAsia="it-IT"/>
              </w:rPr>
              <w:t>euro 64</w:t>
            </w:r>
          </w:p>
        </w:tc>
        <w:tc>
          <w:tcPr>
            <w:tcW w:w="2545" w:type="dxa"/>
          </w:tcPr>
          <w:p w14:paraId="5E9EE262" w14:textId="77777777" w:rsidR="00350E3F" w:rsidRPr="00515872" w:rsidRDefault="00350E3F" w:rsidP="00A628D4">
            <w:pPr>
              <w:spacing w:after="0"/>
              <w:jc w:val="right"/>
              <w:rPr>
                <w:rFonts w:eastAsia="Times New Roman" w:cs="Tahoma"/>
                <w:szCs w:val="20"/>
                <w:lang w:eastAsia="it-IT"/>
              </w:rPr>
            </w:pPr>
            <w:r w:rsidRPr="00515872">
              <w:rPr>
                <w:rFonts w:eastAsia="Times New Roman" w:cs="Tahoma"/>
                <w:szCs w:val="20"/>
                <w:lang w:eastAsia="it-IT"/>
              </w:rPr>
              <w:t>euro 20</w:t>
            </w:r>
          </w:p>
        </w:tc>
      </w:tr>
    </w:tbl>
    <w:p w14:paraId="403635EA" w14:textId="77777777" w:rsidR="009518AF" w:rsidRPr="00515872" w:rsidRDefault="009518AF" w:rsidP="009518AF">
      <w:pPr>
        <w:spacing w:after="0" w:line="240" w:lineRule="auto"/>
        <w:rPr>
          <w:rFonts w:cs="Tahoma"/>
          <w:bCs/>
          <w:szCs w:val="20"/>
        </w:rPr>
      </w:pPr>
      <w:r w:rsidRPr="00515872">
        <w:rPr>
          <w:rFonts w:cs="Tahoma"/>
          <w:bCs/>
          <w:szCs w:val="20"/>
        </w:rPr>
        <w:br w:type="page"/>
      </w:r>
    </w:p>
    <w:p w14:paraId="7ABF1810" w14:textId="77777777" w:rsidR="00D072EC" w:rsidRPr="00515872" w:rsidRDefault="00D072EC" w:rsidP="00D072EC">
      <w:pPr>
        <w:pStyle w:val="Titolo"/>
        <w:rPr>
          <w:rFonts w:cs="Tahoma"/>
        </w:rPr>
      </w:pPr>
      <w:bookmarkStart w:id="238" w:name="_Toc95912329"/>
      <w:r w:rsidRPr="00515872">
        <w:rPr>
          <w:rFonts w:cs="Tahoma"/>
        </w:rPr>
        <w:lastRenderedPageBreak/>
        <w:t>Schemi del bilancio di previsione</w:t>
      </w:r>
      <w:bookmarkEnd w:id="238"/>
    </w:p>
    <w:p w14:paraId="100B17A6" w14:textId="77777777" w:rsidR="00D072EC" w:rsidRPr="00515872" w:rsidRDefault="00D072EC" w:rsidP="00D072EC">
      <w:pPr>
        <w:spacing w:line="360" w:lineRule="auto"/>
        <w:jc w:val="both"/>
        <w:rPr>
          <w:rFonts w:cs="Tahoma"/>
          <w:bCs/>
          <w:szCs w:val="20"/>
        </w:rPr>
      </w:pPr>
      <w:r w:rsidRPr="00515872">
        <w:rPr>
          <w:rFonts w:cs="Tahoma"/>
          <w:bCs/>
          <w:szCs w:val="20"/>
        </w:rPr>
        <w:t>Si riportano gli schemi del riepilogo generale delle entrate e delle spese per titoli di cui all’allagato 9 al D.Lgs. n. 118/2011.</w:t>
      </w:r>
    </w:p>
    <w:p w14:paraId="1496FC45" w14:textId="77777777" w:rsidR="00D072EC" w:rsidRPr="00515872" w:rsidRDefault="00D072EC" w:rsidP="009518AF">
      <w:pPr>
        <w:spacing w:after="0" w:line="240" w:lineRule="auto"/>
        <w:rPr>
          <w:rFonts w:cs="Tahoma"/>
          <w:bCs/>
          <w:szCs w:val="20"/>
        </w:rPr>
      </w:pPr>
      <w:r w:rsidRPr="00515872">
        <w:rPr>
          <w:rFonts w:cs="Tahoma"/>
          <w:noProof/>
          <w:lang w:eastAsia="it-IT"/>
        </w:rPr>
        <w:drawing>
          <wp:inline distT="0" distB="0" distL="0" distR="0" wp14:anchorId="72F606EA" wp14:editId="63744581">
            <wp:extent cx="6480175" cy="38195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680" t="15563" r="11911" b="29708"/>
                    <a:stretch/>
                  </pic:blipFill>
                  <pic:spPr bwMode="auto">
                    <a:xfrm>
                      <a:off x="0" y="0"/>
                      <a:ext cx="6506603" cy="3835102"/>
                    </a:xfrm>
                    <a:prstGeom prst="rect">
                      <a:avLst/>
                    </a:prstGeom>
                    <a:ln>
                      <a:noFill/>
                    </a:ln>
                    <a:extLst>
                      <a:ext uri="{53640926-AAD7-44D8-BBD7-CCE9431645EC}">
                        <a14:shadowObscured xmlns:a14="http://schemas.microsoft.com/office/drawing/2010/main"/>
                      </a:ext>
                    </a:extLst>
                  </pic:spPr>
                </pic:pic>
              </a:graphicData>
            </a:graphic>
          </wp:inline>
        </w:drawing>
      </w:r>
    </w:p>
    <w:p w14:paraId="7F58A90C" w14:textId="77777777" w:rsidR="00D072EC" w:rsidRPr="00515872" w:rsidRDefault="00D072EC" w:rsidP="009518AF">
      <w:pPr>
        <w:spacing w:after="0" w:line="240" w:lineRule="auto"/>
        <w:rPr>
          <w:rFonts w:cs="Tahoma"/>
          <w:bCs/>
          <w:szCs w:val="20"/>
        </w:rPr>
      </w:pPr>
      <w:r w:rsidRPr="00515872">
        <w:rPr>
          <w:rFonts w:cs="Tahoma"/>
          <w:noProof/>
          <w:lang w:eastAsia="it-IT"/>
        </w:rPr>
        <w:lastRenderedPageBreak/>
        <w:drawing>
          <wp:inline distT="0" distB="0" distL="0" distR="0" wp14:anchorId="7E9B417F" wp14:editId="252CAAF6">
            <wp:extent cx="6443345" cy="536257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547" t="15305" r="25452" b="19502"/>
                    <a:stretch/>
                  </pic:blipFill>
                  <pic:spPr bwMode="auto">
                    <a:xfrm>
                      <a:off x="0" y="0"/>
                      <a:ext cx="6461814" cy="5377946"/>
                    </a:xfrm>
                    <a:prstGeom prst="rect">
                      <a:avLst/>
                    </a:prstGeom>
                    <a:ln>
                      <a:noFill/>
                    </a:ln>
                    <a:extLst>
                      <a:ext uri="{53640926-AAD7-44D8-BBD7-CCE9431645EC}">
                        <a14:shadowObscured xmlns:a14="http://schemas.microsoft.com/office/drawing/2010/main"/>
                      </a:ext>
                    </a:extLst>
                  </pic:spPr>
                </pic:pic>
              </a:graphicData>
            </a:graphic>
          </wp:inline>
        </w:drawing>
      </w:r>
    </w:p>
    <w:p w14:paraId="075A243A" w14:textId="77777777" w:rsidR="00D072EC" w:rsidRPr="00515872" w:rsidRDefault="00D072EC" w:rsidP="009518AF">
      <w:pPr>
        <w:spacing w:after="0" w:line="240" w:lineRule="auto"/>
        <w:rPr>
          <w:rFonts w:cs="Tahoma"/>
          <w:bCs/>
          <w:szCs w:val="20"/>
        </w:rPr>
      </w:pPr>
    </w:p>
    <w:p w14:paraId="282C8A15" w14:textId="77777777" w:rsidR="00D072EC" w:rsidRPr="00515872" w:rsidRDefault="00D072EC" w:rsidP="009518AF">
      <w:pPr>
        <w:spacing w:after="0" w:line="240" w:lineRule="auto"/>
        <w:rPr>
          <w:rFonts w:cs="Tahoma"/>
          <w:bCs/>
          <w:szCs w:val="20"/>
        </w:rPr>
      </w:pPr>
      <w:r w:rsidRPr="00515872">
        <w:rPr>
          <w:rFonts w:cs="Tahoma"/>
          <w:noProof/>
          <w:lang w:eastAsia="it-IT"/>
        </w:rPr>
        <w:lastRenderedPageBreak/>
        <w:drawing>
          <wp:inline distT="0" distB="0" distL="0" distR="0" wp14:anchorId="3DA762BA" wp14:editId="59835EB9">
            <wp:extent cx="6344285" cy="5343525"/>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9103" t="16860" r="15646" b="13885"/>
                    <a:stretch/>
                  </pic:blipFill>
                  <pic:spPr bwMode="auto">
                    <a:xfrm>
                      <a:off x="0" y="0"/>
                      <a:ext cx="6354412" cy="5352055"/>
                    </a:xfrm>
                    <a:prstGeom prst="rect">
                      <a:avLst/>
                    </a:prstGeom>
                    <a:ln>
                      <a:noFill/>
                    </a:ln>
                    <a:extLst>
                      <a:ext uri="{53640926-AAD7-44D8-BBD7-CCE9431645EC}">
                        <a14:shadowObscured xmlns:a14="http://schemas.microsoft.com/office/drawing/2010/main"/>
                      </a:ext>
                    </a:extLst>
                  </pic:spPr>
                </pic:pic>
              </a:graphicData>
            </a:graphic>
          </wp:inline>
        </w:drawing>
      </w:r>
    </w:p>
    <w:p w14:paraId="4FBA0645" w14:textId="77777777" w:rsidR="00D072EC" w:rsidRPr="00515872" w:rsidRDefault="00D072EC">
      <w:pPr>
        <w:spacing w:after="0" w:line="240" w:lineRule="auto"/>
        <w:rPr>
          <w:rFonts w:eastAsia="MS Gothic" w:cs="Tahoma"/>
          <w:b/>
          <w:bCs/>
          <w:kern w:val="28"/>
          <w:sz w:val="40"/>
          <w:szCs w:val="32"/>
        </w:rPr>
      </w:pPr>
      <w:bookmarkStart w:id="239" w:name="_Toc521317146"/>
      <w:r w:rsidRPr="00515872">
        <w:rPr>
          <w:rFonts w:cs="Tahoma"/>
        </w:rPr>
        <w:br w:type="page"/>
      </w:r>
    </w:p>
    <w:p w14:paraId="2E8F5936" w14:textId="77777777" w:rsidR="009518AF" w:rsidRPr="00515872" w:rsidRDefault="009518AF" w:rsidP="009518AF">
      <w:pPr>
        <w:pStyle w:val="Titolo"/>
        <w:rPr>
          <w:rFonts w:cs="Tahoma"/>
        </w:rPr>
      </w:pPr>
      <w:bookmarkStart w:id="240" w:name="_Toc95912330"/>
      <w:r w:rsidRPr="00515872">
        <w:rPr>
          <w:rFonts w:cs="Tahoma"/>
        </w:rPr>
        <w:lastRenderedPageBreak/>
        <w:t>Tabella dei parametri di risconto della situazione di deficitarietà strutturale</w:t>
      </w:r>
      <w:bookmarkEnd w:id="239"/>
      <w:bookmarkEnd w:id="240"/>
    </w:p>
    <w:p w14:paraId="4C5E45C8" w14:textId="77777777" w:rsidR="009518AF" w:rsidRPr="00515872" w:rsidRDefault="009518AF" w:rsidP="009518AF">
      <w:pPr>
        <w:spacing w:line="360" w:lineRule="auto"/>
        <w:jc w:val="both"/>
        <w:rPr>
          <w:rFonts w:cs="Tahoma"/>
          <w:bCs/>
          <w:szCs w:val="20"/>
        </w:rPr>
      </w:pPr>
      <w:r w:rsidRPr="00515872">
        <w:rPr>
          <w:rFonts w:cs="Tahoma"/>
          <w:bCs/>
          <w:szCs w:val="20"/>
        </w:rPr>
        <w:t>Allegati al D.M. Interno di concerto con il Ministero</w:t>
      </w:r>
      <w:r w:rsidR="00996AB1" w:rsidRPr="00515872">
        <w:rPr>
          <w:rFonts w:cs="Tahoma"/>
          <w:bCs/>
          <w:szCs w:val="20"/>
        </w:rPr>
        <w:t xml:space="preserve"> dell’economia e delle finanze 2</w:t>
      </w:r>
      <w:r w:rsidRPr="00515872">
        <w:rPr>
          <w:rFonts w:cs="Tahoma"/>
          <w:bCs/>
          <w:szCs w:val="20"/>
        </w:rPr>
        <w:t>8/</w:t>
      </w:r>
      <w:r w:rsidR="00996AB1" w:rsidRPr="00515872">
        <w:rPr>
          <w:rFonts w:cs="Tahoma"/>
          <w:bCs/>
          <w:szCs w:val="20"/>
        </w:rPr>
        <w:t>12/2018</w:t>
      </w:r>
    </w:p>
    <w:p w14:paraId="57A7E957" w14:textId="77777777" w:rsidR="00996AB1" w:rsidRPr="00515872" w:rsidRDefault="00BE1879" w:rsidP="009518AF">
      <w:pPr>
        <w:spacing w:after="0" w:line="360" w:lineRule="auto"/>
        <w:jc w:val="both"/>
        <w:rPr>
          <w:rFonts w:eastAsia="Times New Roman" w:cs="Tahoma"/>
          <w:b/>
          <w:bCs/>
          <w:szCs w:val="20"/>
          <w:lang w:eastAsia="it-IT"/>
        </w:rPr>
      </w:pPr>
      <w:r w:rsidRPr="00515872">
        <w:rPr>
          <w:rFonts w:eastAsia="Times New Roman" w:cs="Tahoma"/>
          <w:b/>
          <w:bCs/>
          <w:szCs w:val="20"/>
          <w:lang w:eastAsia="it-IT"/>
        </w:rPr>
        <w:t>ALLEGATO A – Tabella A1 – Parametri obiettivi per comuni, province, città metropolitane e comunità montane per il triennio 2019-2021</w:t>
      </w:r>
    </w:p>
    <w:tbl>
      <w:tblPr>
        <w:tblStyle w:val="Grigliatabella"/>
        <w:tblW w:w="9918" w:type="dxa"/>
        <w:jc w:val="center"/>
        <w:tblLayout w:type="fixed"/>
        <w:tblLook w:val="04A0" w:firstRow="1" w:lastRow="0" w:firstColumn="1" w:lastColumn="0" w:noHBand="0" w:noVBand="1"/>
      </w:tblPr>
      <w:tblGrid>
        <w:gridCol w:w="1171"/>
        <w:gridCol w:w="1205"/>
        <w:gridCol w:w="2297"/>
        <w:gridCol w:w="1559"/>
        <w:gridCol w:w="851"/>
        <w:gridCol w:w="1701"/>
        <w:gridCol w:w="1134"/>
      </w:tblGrid>
      <w:tr w:rsidR="00BE1879" w:rsidRPr="00515872" w14:paraId="65E9CF7A" w14:textId="77777777" w:rsidTr="002404B0">
        <w:trPr>
          <w:jc w:val="center"/>
        </w:trPr>
        <w:tc>
          <w:tcPr>
            <w:tcW w:w="1171" w:type="dxa"/>
            <w:vMerge w:val="restart"/>
          </w:tcPr>
          <w:p w14:paraId="5FAF86B8"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Parametro</w:t>
            </w:r>
          </w:p>
        </w:tc>
        <w:tc>
          <w:tcPr>
            <w:tcW w:w="1205" w:type="dxa"/>
            <w:vMerge w:val="restart"/>
          </w:tcPr>
          <w:p w14:paraId="6BD0320F"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Codice indicatore</w:t>
            </w:r>
          </w:p>
        </w:tc>
        <w:tc>
          <w:tcPr>
            <w:tcW w:w="2297" w:type="dxa"/>
            <w:vMerge w:val="restart"/>
          </w:tcPr>
          <w:p w14:paraId="2D1D54E6"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Denominazione dell’indicatore</w:t>
            </w:r>
          </w:p>
        </w:tc>
        <w:tc>
          <w:tcPr>
            <w:tcW w:w="1559" w:type="dxa"/>
            <w:vMerge w:val="restart"/>
          </w:tcPr>
          <w:p w14:paraId="594EC150"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Condizione di deficitarietà del parametro</w:t>
            </w:r>
          </w:p>
        </w:tc>
        <w:tc>
          <w:tcPr>
            <w:tcW w:w="3686" w:type="dxa"/>
            <w:gridSpan w:val="3"/>
          </w:tcPr>
          <w:p w14:paraId="3D5AF806"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Soglie (valori percentuali)</w:t>
            </w:r>
          </w:p>
        </w:tc>
      </w:tr>
      <w:tr w:rsidR="00BE1879" w:rsidRPr="00515872" w14:paraId="2FBE829E" w14:textId="77777777" w:rsidTr="002404B0">
        <w:trPr>
          <w:jc w:val="center"/>
        </w:trPr>
        <w:tc>
          <w:tcPr>
            <w:tcW w:w="1171" w:type="dxa"/>
            <w:vMerge/>
          </w:tcPr>
          <w:p w14:paraId="55C9583B" w14:textId="77777777" w:rsidR="00BE1879" w:rsidRPr="00515872" w:rsidRDefault="00BE1879" w:rsidP="00C353C6">
            <w:pPr>
              <w:spacing w:after="0" w:line="360" w:lineRule="auto"/>
              <w:rPr>
                <w:rFonts w:eastAsia="Times New Roman" w:cs="Tahoma"/>
                <w:b/>
                <w:bCs/>
                <w:sz w:val="18"/>
                <w:szCs w:val="20"/>
                <w:lang w:eastAsia="it-IT"/>
              </w:rPr>
            </w:pPr>
          </w:p>
        </w:tc>
        <w:tc>
          <w:tcPr>
            <w:tcW w:w="1205" w:type="dxa"/>
            <w:vMerge/>
          </w:tcPr>
          <w:p w14:paraId="284AB244" w14:textId="77777777" w:rsidR="00BE1879" w:rsidRPr="00515872" w:rsidRDefault="00BE1879" w:rsidP="00C353C6">
            <w:pPr>
              <w:spacing w:after="0" w:line="360" w:lineRule="auto"/>
              <w:rPr>
                <w:rFonts w:eastAsia="Times New Roman" w:cs="Tahoma"/>
                <w:b/>
                <w:bCs/>
                <w:sz w:val="18"/>
                <w:szCs w:val="20"/>
                <w:lang w:eastAsia="it-IT"/>
              </w:rPr>
            </w:pPr>
          </w:p>
        </w:tc>
        <w:tc>
          <w:tcPr>
            <w:tcW w:w="2297" w:type="dxa"/>
            <w:vMerge/>
          </w:tcPr>
          <w:p w14:paraId="54A5A495" w14:textId="77777777" w:rsidR="00BE1879" w:rsidRPr="00515872" w:rsidRDefault="00BE1879" w:rsidP="00C353C6">
            <w:pPr>
              <w:spacing w:after="0" w:line="360" w:lineRule="auto"/>
              <w:rPr>
                <w:rFonts w:eastAsia="Times New Roman" w:cs="Tahoma"/>
                <w:b/>
                <w:bCs/>
                <w:sz w:val="18"/>
                <w:szCs w:val="20"/>
                <w:lang w:eastAsia="it-IT"/>
              </w:rPr>
            </w:pPr>
          </w:p>
        </w:tc>
        <w:tc>
          <w:tcPr>
            <w:tcW w:w="1559" w:type="dxa"/>
            <w:vMerge/>
          </w:tcPr>
          <w:p w14:paraId="71A7C5B6" w14:textId="77777777" w:rsidR="00BE1879" w:rsidRPr="00515872" w:rsidRDefault="00BE1879" w:rsidP="00C353C6">
            <w:pPr>
              <w:spacing w:after="0" w:line="360" w:lineRule="auto"/>
              <w:rPr>
                <w:rFonts w:eastAsia="Times New Roman" w:cs="Tahoma"/>
                <w:b/>
                <w:bCs/>
                <w:sz w:val="18"/>
                <w:szCs w:val="20"/>
                <w:lang w:eastAsia="it-IT"/>
              </w:rPr>
            </w:pPr>
          </w:p>
        </w:tc>
        <w:tc>
          <w:tcPr>
            <w:tcW w:w="851" w:type="dxa"/>
          </w:tcPr>
          <w:p w14:paraId="4C58D24D"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Comuni</w:t>
            </w:r>
          </w:p>
        </w:tc>
        <w:tc>
          <w:tcPr>
            <w:tcW w:w="1701" w:type="dxa"/>
          </w:tcPr>
          <w:p w14:paraId="06889F21"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Province e città metropolitane</w:t>
            </w:r>
          </w:p>
        </w:tc>
        <w:tc>
          <w:tcPr>
            <w:tcW w:w="1134" w:type="dxa"/>
          </w:tcPr>
          <w:p w14:paraId="424D6F95" w14:textId="77777777" w:rsidR="00BE1879"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Comunità montane</w:t>
            </w:r>
          </w:p>
        </w:tc>
      </w:tr>
      <w:tr w:rsidR="00996AB1" w:rsidRPr="00515872" w14:paraId="1C630E32" w14:textId="77777777" w:rsidTr="002404B0">
        <w:trPr>
          <w:jc w:val="center"/>
        </w:trPr>
        <w:tc>
          <w:tcPr>
            <w:tcW w:w="1171" w:type="dxa"/>
          </w:tcPr>
          <w:p w14:paraId="3AA5B8EC"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P1</w:t>
            </w:r>
          </w:p>
        </w:tc>
        <w:tc>
          <w:tcPr>
            <w:tcW w:w="1205" w:type="dxa"/>
          </w:tcPr>
          <w:p w14:paraId="02B40131"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1.1</w:t>
            </w:r>
          </w:p>
        </w:tc>
        <w:tc>
          <w:tcPr>
            <w:tcW w:w="2297" w:type="dxa"/>
          </w:tcPr>
          <w:p w14:paraId="4E9E64E7" w14:textId="77777777" w:rsidR="00996AB1" w:rsidRPr="00515872" w:rsidRDefault="00996AB1" w:rsidP="00C353C6">
            <w:pPr>
              <w:spacing w:after="0" w:line="360" w:lineRule="auto"/>
              <w:rPr>
                <w:rFonts w:eastAsia="Times New Roman" w:cs="Tahoma"/>
                <w:b/>
                <w:bCs/>
                <w:sz w:val="18"/>
                <w:szCs w:val="20"/>
                <w:lang w:eastAsia="it-IT"/>
              </w:rPr>
            </w:pPr>
            <w:r w:rsidRPr="00515872">
              <w:rPr>
                <w:rFonts w:cs="Tahoma"/>
                <w:sz w:val="18"/>
                <w:szCs w:val="20"/>
              </w:rPr>
              <w:t>Incidenza spese rigide (ripiano disavanzo, personale e debito) su entrate correnti</w:t>
            </w:r>
          </w:p>
        </w:tc>
        <w:tc>
          <w:tcPr>
            <w:tcW w:w="1559" w:type="dxa"/>
          </w:tcPr>
          <w:p w14:paraId="2D91E34A"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del</w:t>
            </w:r>
          </w:p>
        </w:tc>
        <w:tc>
          <w:tcPr>
            <w:tcW w:w="851" w:type="dxa"/>
          </w:tcPr>
          <w:p w14:paraId="50C9518B"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48%</w:t>
            </w:r>
          </w:p>
        </w:tc>
        <w:tc>
          <w:tcPr>
            <w:tcW w:w="1701" w:type="dxa"/>
          </w:tcPr>
          <w:p w14:paraId="564A1C29"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41%</w:t>
            </w:r>
          </w:p>
        </w:tc>
        <w:tc>
          <w:tcPr>
            <w:tcW w:w="1134" w:type="dxa"/>
          </w:tcPr>
          <w:p w14:paraId="7427227D"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60%</w:t>
            </w:r>
          </w:p>
        </w:tc>
      </w:tr>
      <w:tr w:rsidR="00996AB1" w:rsidRPr="00515872" w14:paraId="7D45B5EA" w14:textId="77777777" w:rsidTr="002404B0">
        <w:trPr>
          <w:jc w:val="center"/>
        </w:trPr>
        <w:tc>
          <w:tcPr>
            <w:tcW w:w="1171" w:type="dxa"/>
          </w:tcPr>
          <w:p w14:paraId="1F246683"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P2</w:t>
            </w:r>
          </w:p>
        </w:tc>
        <w:tc>
          <w:tcPr>
            <w:tcW w:w="1205" w:type="dxa"/>
          </w:tcPr>
          <w:p w14:paraId="527D7AF8"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2.8</w:t>
            </w:r>
          </w:p>
        </w:tc>
        <w:tc>
          <w:tcPr>
            <w:tcW w:w="2297" w:type="dxa"/>
          </w:tcPr>
          <w:p w14:paraId="32E34B98" w14:textId="77777777" w:rsidR="00996AB1" w:rsidRPr="00515872" w:rsidRDefault="00996AB1" w:rsidP="00C353C6">
            <w:pPr>
              <w:spacing w:after="0" w:line="360" w:lineRule="auto"/>
              <w:rPr>
                <w:rFonts w:cs="Tahoma"/>
                <w:sz w:val="18"/>
                <w:szCs w:val="20"/>
              </w:rPr>
            </w:pPr>
            <w:r w:rsidRPr="00515872">
              <w:rPr>
                <w:rFonts w:cs="Tahoma"/>
                <w:sz w:val="18"/>
                <w:szCs w:val="20"/>
              </w:rPr>
              <w:t>Incidenza degli incassi delle entrate proprie sulle previsioni definitive di parte corrente</w:t>
            </w:r>
          </w:p>
        </w:tc>
        <w:tc>
          <w:tcPr>
            <w:tcW w:w="1559" w:type="dxa"/>
          </w:tcPr>
          <w:p w14:paraId="54D7D558"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minore del</w:t>
            </w:r>
          </w:p>
        </w:tc>
        <w:tc>
          <w:tcPr>
            <w:tcW w:w="851" w:type="dxa"/>
          </w:tcPr>
          <w:p w14:paraId="7720639D"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22%</w:t>
            </w:r>
          </w:p>
        </w:tc>
        <w:tc>
          <w:tcPr>
            <w:tcW w:w="1701" w:type="dxa"/>
          </w:tcPr>
          <w:p w14:paraId="309A654A"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21%</w:t>
            </w:r>
          </w:p>
        </w:tc>
        <w:tc>
          <w:tcPr>
            <w:tcW w:w="1134" w:type="dxa"/>
          </w:tcPr>
          <w:p w14:paraId="2E2C870C"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20%</w:t>
            </w:r>
          </w:p>
        </w:tc>
      </w:tr>
      <w:tr w:rsidR="00996AB1" w:rsidRPr="00515872" w14:paraId="1861F579" w14:textId="77777777" w:rsidTr="002404B0">
        <w:trPr>
          <w:jc w:val="center"/>
        </w:trPr>
        <w:tc>
          <w:tcPr>
            <w:tcW w:w="1171" w:type="dxa"/>
          </w:tcPr>
          <w:p w14:paraId="7660DB0C"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P3</w:t>
            </w:r>
          </w:p>
        </w:tc>
        <w:tc>
          <w:tcPr>
            <w:tcW w:w="1205" w:type="dxa"/>
          </w:tcPr>
          <w:p w14:paraId="7CC0641A"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3.2</w:t>
            </w:r>
          </w:p>
        </w:tc>
        <w:tc>
          <w:tcPr>
            <w:tcW w:w="2297" w:type="dxa"/>
          </w:tcPr>
          <w:p w14:paraId="7BCD2650" w14:textId="77777777" w:rsidR="00996AB1" w:rsidRPr="00515872" w:rsidRDefault="00996AB1" w:rsidP="00C353C6">
            <w:pPr>
              <w:spacing w:after="0" w:line="360" w:lineRule="auto"/>
              <w:rPr>
                <w:rFonts w:cs="Tahoma"/>
                <w:sz w:val="18"/>
                <w:szCs w:val="20"/>
              </w:rPr>
            </w:pPr>
            <w:r w:rsidRPr="00515872">
              <w:rPr>
                <w:rFonts w:cs="Tahoma"/>
                <w:sz w:val="18"/>
                <w:szCs w:val="20"/>
              </w:rPr>
              <w:t>Anticipazioni chiuse solo contabilmente</w:t>
            </w:r>
          </w:p>
        </w:tc>
        <w:tc>
          <w:tcPr>
            <w:tcW w:w="1559" w:type="dxa"/>
          </w:tcPr>
          <w:p w14:paraId="0843C86C"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di</w:t>
            </w:r>
          </w:p>
        </w:tc>
        <w:tc>
          <w:tcPr>
            <w:tcW w:w="851" w:type="dxa"/>
          </w:tcPr>
          <w:p w14:paraId="2B6C865E"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w:t>
            </w:r>
          </w:p>
        </w:tc>
        <w:tc>
          <w:tcPr>
            <w:tcW w:w="1701" w:type="dxa"/>
          </w:tcPr>
          <w:p w14:paraId="7D6B8149"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w:t>
            </w:r>
          </w:p>
        </w:tc>
        <w:tc>
          <w:tcPr>
            <w:tcW w:w="1134" w:type="dxa"/>
          </w:tcPr>
          <w:p w14:paraId="204BD61E"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w:t>
            </w:r>
          </w:p>
        </w:tc>
      </w:tr>
      <w:tr w:rsidR="00996AB1" w:rsidRPr="00515872" w14:paraId="74E81C65" w14:textId="77777777" w:rsidTr="002404B0">
        <w:trPr>
          <w:jc w:val="center"/>
        </w:trPr>
        <w:tc>
          <w:tcPr>
            <w:tcW w:w="1171" w:type="dxa"/>
          </w:tcPr>
          <w:p w14:paraId="0112DBC2"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P4</w:t>
            </w:r>
          </w:p>
        </w:tc>
        <w:tc>
          <w:tcPr>
            <w:tcW w:w="1205" w:type="dxa"/>
          </w:tcPr>
          <w:p w14:paraId="4B8548D0"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10.3</w:t>
            </w:r>
          </w:p>
        </w:tc>
        <w:tc>
          <w:tcPr>
            <w:tcW w:w="2297" w:type="dxa"/>
          </w:tcPr>
          <w:p w14:paraId="53473B43" w14:textId="77777777" w:rsidR="00996AB1" w:rsidRPr="00515872" w:rsidRDefault="00996AB1" w:rsidP="00C353C6">
            <w:pPr>
              <w:spacing w:after="0" w:line="360" w:lineRule="auto"/>
              <w:rPr>
                <w:rFonts w:cs="Tahoma"/>
                <w:sz w:val="18"/>
                <w:szCs w:val="20"/>
              </w:rPr>
            </w:pPr>
            <w:r w:rsidRPr="00515872">
              <w:rPr>
                <w:rFonts w:cs="Tahoma"/>
                <w:sz w:val="18"/>
                <w:szCs w:val="20"/>
              </w:rPr>
              <w:t>Sostenibilità debiti finanziari</w:t>
            </w:r>
          </w:p>
        </w:tc>
        <w:tc>
          <w:tcPr>
            <w:tcW w:w="1559" w:type="dxa"/>
          </w:tcPr>
          <w:p w14:paraId="6EB96DA0"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del</w:t>
            </w:r>
          </w:p>
        </w:tc>
        <w:tc>
          <w:tcPr>
            <w:tcW w:w="851" w:type="dxa"/>
          </w:tcPr>
          <w:p w14:paraId="5AAF8FBB"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16%</w:t>
            </w:r>
          </w:p>
        </w:tc>
        <w:tc>
          <w:tcPr>
            <w:tcW w:w="1701" w:type="dxa"/>
          </w:tcPr>
          <w:p w14:paraId="1C29D579"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15%</w:t>
            </w:r>
          </w:p>
        </w:tc>
        <w:tc>
          <w:tcPr>
            <w:tcW w:w="1134" w:type="dxa"/>
          </w:tcPr>
          <w:p w14:paraId="0BEF42F3"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14%</w:t>
            </w:r>
          </w:p>
        </w:tc>
      </w:tr>
      <w:tr w:rsidR="00996AB1" w:rsidRPr="00515872" w14:paraId="4FA53445" w14:textId="77777777" w:rsidTr="002404B0">
        <w:trPr>
          <w:jc w:val="center"/>
        </w:trPr>
        <w:tc>
          <w:tcPr>
            <w:tcW w:w="1171" w:type="dxa"/>
          </w:tcPr>
          <w:p w14:paraId="079650C5"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P5</w:t>
            </w:r>
          </w:p>
        </w:tc>
        <w:tc>
          <w:tcPr>
            <w:tcW w:w="1205" w:type="dxa"/>
          </w:tcPr>
          <w:p w14:paraId="2CA555A2"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12.4</w:t>
            </w:r>
          </w:p>
        </w:tc>
        <w:tc>
          <w:tcPr>
            <w:tcW w:w="2297" w:type="dxa"/>
          </w:tcPr>
          <w:p w14:paraId="5DD2E6F1" w14:textId="77777777" w:rsidR="00996AB1" w:rsidRPr="00515872" w:rsidRDefault="00996AB1" w:rsidP="00C353C6">
            <w:pPr>
              <w:spacing w:after="0" w:line="360" w:lineRule="auto"/>
              <w:rPr>
                <w:rFonts w:cs="Tahoma"/>
                <w:sz w:val="18"/>
                <w:szCs w:val="20"/>
              </w:rPr>
            </w:pPr>
            <w:r w:rsidRPr="00515872">
              <w:rPr>
                <w:rFonts w:cs="Tahoma"/>
                <w:sz w:val="18"/>
                <w:szCs w:val="20"/>
              </w:rPr>
              <w:t>Sostenibilità disavanzo effettivamente a carico dell'esercizio</w:t>
            </w:r>
          </w:p>
        </w:tc>
        <w:tc>
          <w:tcPr>
            <w:tcW w:w="1559" w:type="dxa"/>
          </w:tcPr>
          <w:p w14:paraId="7EF28323"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del</w:t>
            </w:r>
          </w:p>
        </w:tc>
        <w:tc>
          <w:tcPr>
            <w:tcW w:w="851" w:type="dxa"/>
          </w:tcPr>
          <w:p w14:paraId="389DE2E1"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1,20%</w:t>
            </w:r>
          </w:p>
        </w:tc>
        <w:tc>
          <w:tcPr>
            <w:tcW w:w="1701" w:type="dxa"/>
          </w:tcPr>
          <w:p w14:paraId="1C15B3AC"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1,20%</w:t>
            </w:r>
          </w:p>
        </w:tc>
        <w:tc>
          <w:tcPr>
            <w:tcW w:w="1134" w:type="dxa"/>
          </w:tcPr>
          <w:p w14:paraId="079A9079"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1,20%</w:t>
            </w:r>
          </w:p>
        </w:tc>
      </w:tr>
      <w:tr w:rsidR="00996AB1" w:rsidRPr="00515872" w14:paraId="28EDC197" w14:textId="77777777" w:rsidTr="002404B0">
        <w:trPr>
          <w:jc w:val="center"/>
        </w:trPr>
        <w:tc>
          <w:tcPr>
            <w:tcW w:w="1171" w:type="dxa"/>
          </w:tcPr>
          <w:p w14:paraId="0FD30B65"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P6</w:t>
            </w:r>
          </w:p>
        </w:tc>
        <w:tc>
          <w:tcPr>
            <w:tcW w:w="1205" w:type="dxa"/>
          </w:tcPr>
          <w:p w14:paraId="2E68CA61"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13.1</w:t>
            </w:r>
          </w:p>
        </w:tc>
        <w:tc>
          <w:tcPr>
            <w:tcW w:w="2297" w:type="dxa"/>
          </w:tcPr>
          <w:p w14:paraId="0528B6EB" w14:textId="77777777" w:rsidR="00996AB1" w:rsidRPr="00515872" w:rsidRDefault="00996AB1" w:rsidP="00C353C6">
            <w:pPr>
              <w:spacing w:after="0" w:line="360" w:lineRule="auto"/>
              <w:rPr>
                <w:rFonts w:cs="Tahoma"/>
                <w:sz w:val="18"/>
                <w:szCs w:val="20"/>
              </w:rPr>
            </w:pPr>
            <w:r w:rsidRPr="00515872">
              <w:rPr>
                <w:rFonts w:cs="Tahoma"/>
                <w:sz w:val="18"/>
                <w:szCs w:val="20"/>
              </w:rPr>
              <w:t>Debiti riconosciuti e finanziati</w:t>
            </w:r>
          </w:p>
        </w:tc>
        <w:tc>
          <w:tcPr>
            <w:tcW w:w="1559" w:type="dxa"/>
          </w:tcPr>
          <w:p w14:paraId="05FE1A62"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del</w:t>
            </w:r>
          </w:p>
        </w:tc>
        <w:tc>
          <w:tcPr>
            <w:tcW w:w="851" w:type="dxa"/>
          </w:tcPr>
          <w:p w14:paraId="0046E03F"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w:t>
            </w:r>
          </w:p>
        </w:tc>
        <w:tc>
          <w:tcPr>
            <w:tcW w:w="1701" w:type="dxa"/>
          </w:tcPr>
          <w:p w14:paraId="3A157EAB"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w:t>
            </w:r>
          </w:p>
        </w:tc>
        <w:tc>
          <w:tcPr>
            <w:tcW w:w="1134" w:type="dxa"/>
          </w:tcPr>
          <w:p w14:paraId="65A93F49"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1%</w:t>
            </w:r>
          </w:p>
        </w:tc>
      </w:tr>
      <w:tr w:rsidR="00996AB1" w:rsidRPr="00515872" w14:paraId="540D18F9" w14:textId="77777777" w:rsidTr="002404B0">
        <w:trPr>
          <w:jc w:val="center"/>
        </w:trPr>
        <w:tc>
          <w:tcPr>
            <w:tcW w:w="1171" w:type="dxa"/>
          </w:tcPr>
          <w:p w14:paraId="4428912D"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P7</w:t>
            </w:r>
          </w:p>
        </w:tc>
        <w:tc>
          <w:tcPr>
            <w:tcW w:w="1205" w:type="dxa"/>
          </w:tcPr>
          <w:p w14:paraId="63564496" w14:textId="77777777" w:rsidR="00996AB1" w:rsidRPr="00515872" w:rsidRDefault="00BE1879"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13.2+13.3</w:t>
            </w:r>
          </w:p>
        </w:tc>
        <w:tc>
          <w:tcPr>
            <w:tcW w:w="2297" w:type="dxa"/>
          </w:tcPr>
          <w:p w14:paraId="7F921524" w14:textId="77777777" w:rsidR="00996AB1" w:rsidRPr="00515872" w:rsidRDefault="00996AB1" w:rsidP="00C353C6">
            <w:pPr>
              <w:spacing w:after="0" w:line="360" w:lineRule="auto"/>
              <w:rPr>
                <w:rFonts w:cs="Tahoma"/>
                <w:sz w:val="18"/>
                <w:szCs w:val="20"/>
              </w:rPr>
            </w:pPr>
            <w:r w:rsidRPr="00515872">
              <w:rPr>
                <w:rFonts w:cs="Tahoma"/>
                <w:sz w:val="18"/>
                <w:szCs w:val="20"/>
              </w:rPr>
              <w:t>Debiti in corso di riconoscimento + Debiti riconosciuti e in corso di finanziamento</w:t>
            </w:r>
          </w:p>
        </w:tc>
        <w:tc>
          <w:tcPr>
            <w:tcW w:w="1559" w:type="dxa"/>
          </w:tcPr>
          <w:p w14:paraId="22420070"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maggiore dello</w:t>
            </w:r>
          </w:p>
        </w:tc>
        <w:tc>
          <w:tcPr>
            <w:tcW w:w="851" w:type="dxa"/>
          </w:tcPr>
          <w:p w14:paraId="591793FD"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0,60%</w:t>
            </w:r>
          </w:p>
        </w:tc>
        <w:tc>
          <w:tcPr>
            <w:tcW w:w="1701" w:type="dxa"/>
          </w:tcPr>
          <w:p w14:paraId="78953FCD"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0,60%</w:t>
            </w:r>
          </w:p>
        </w:tc>
        <w:tc>
          <w:tcPr>
            <w:tcW w:w="1134" w:type="dxa"/>
          </w:tcPr>
          <w:p w14:paraId="10BD9516"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0,60%</w:t>
            </w:r>
          </w:p>
        </w:tc>
      </w:tr>
      <w:tr w:rsidR="00996AB1" w:rsidRPr="00515872" w14:paraId="0DEA4441" w14:textId="77777777" w:rsidTr="002404B0">
        <w:trPr>
          <w:jc w:val="center"/>
        </w:trPr>
        <w:tc>
          <w:tcPr>
            <w:tcW w:w="1171" w:type="dxa"/>
          </w:tcPr>
          <w:p w14:paraId="1583FA33" w14:textId="77777777" w:rsidR="00996AB1" w:rsidRPr="00515872" w:rsidRDefault="00996AB1" w:rsidP="00C353C6">
            <w:pPr>
              <w:spacing w:after="0" w:line="360" w:lineRule="auto"/>
              <w:rPr>
                <w:rFonts w:eastAsia="Times New Roman" w:cs="Tahoma"/>
                <w:b/>
                <w:bCs/>
                <w:sz w:val="18"/>
                <w:szCs w:val="20"/>
                <w:lang w:eastAsia="it-IT"/>
              </w:rPr>
            </w:pPr>
            <w:r w:rsidRPr="00515872">
              <w:rPr>
                <w:rFonts w:eastAsia="Times New Roman" w:cs="Tahoma"/>
                <w:b/>
                <w:bCs/>
                <w:sz w:val="18"/>
                <w:szCs w:val="20"/>
                <w:lang w:eastAsia="it-IT"/>
              </w:rPr>
              <w:t>P8</w:t>
            </w:r>
          </w:p>
        </w:tc>
        <w:tc>
          <w:tcPr>
            <w:tcW w:w="1205" w:type="dxa"/>
          </w:tcPr>
          <w:p w14:paraId="03224608" w14:textId="77777777" w:rsidR="00996AB1" w:rsidRPr="00515872" w:rsidRDefault="00996AB1" w:rsidP="00C353C6">
            <w:pPr>
              <w:spacing w:after="0" w:line="360" w:lineRule="auto"/>
              <w:rPr>
                <w:rFonts w:eastAsia="Times New Roman" w:cs="Tahoma"/>
                <w:b/>
                <w:bCs/>
                <w:sz w:val="18"/>
                <w:szCs w:val="20"/>
                <w:lang w:eastAsia="it-IT"/>
              </w:rPr>
            </w:pPr>
          </w:p>
        </w:tc>
        <w:tc>
          <w:tcPr>
            <w:tcW w:w="2297" w:type="dxa"/>
          </w:tcPr>
          <w:p w14:paraId="54E549AB" w14:textId="77777777" w:rsidR="00996AB1" w:rsidRPr="00515872" w:rsidRDefault="00867828" w:rsidP="00C353C6">
            <w:pPr>
              <w:spacing w:after="0" w:line="360" w:lineRule="auto"/>
              <w:rPr>
                <w:rFonts w:cs="Tahoma"/>
                <w:sz w:val="18"/>
                <w:szCs w:val="20"/>
              </w:rPr>
            </w:pPr>
            <w:r w:rsidRPr="00515872">
              <w:rPr>
                <w:rFonts w:cs="Tahoma"/>
                <w:sz w:val="18"/>
                <w:szCs w:val="20"/>
              </w:rPr>
              <w:t>I</w:t>
            </w:r>
            <w:r w:rsidR="00996AB1" w:rsidRPr="00515872">
              <w:rPr>
                <w:rFonts w:cs="Tahoma"/>
                <w:sz w:val="18"/>
                <w:szCs w:val="20"/>
              </w:rPr>
              <w:t>ndicatore concernente l’effettiva capacità di riscossione (riferito al totale delle entrate)</w:t>
            </w:r>
          </w:p>
        </w:tc>
        <w:tc>
          <w:tcPr>
            <w:tcW w:w="1559" w:type="dxa"/>
          </w:tcPr>
          <w:p w14:paraId="7B47F7C4" w14:textId="77777777" w:rsidR="00996AB1" w:rsidRPr="00515872" w:rsidRDefault="00BE1879" w:rsidP="00C353C6">
            <w:pPr>
              <w:spacing w:after="0" w:line="360" w:lineRule="auto"/>
              <w:rPr>
                <w:rFonts w:eastAsia="Times New Roman" w:cs="Tahoma"/>
                <w:b/>
                <w:bCs/>
                <w:sz w:val="18"/>
                <w:szCs w:val="20"/>
                <w:lang w:eastAsia="it-IT"/>
              </w:rPr>
            </w:pPr>
            <w:r w:rsidRPr="00515872">
              <w:rPr>
                <w:rFonts w:cs="Tahoma"/>
                <w:sz w:val="18"/>
                <w:szCs w:val="20"/>
              </w:rPr>
              <w:t>deficitario se minore del</w:t>
            </w:r>
          </w:p>
        </w:tc>
        <w:tc>
          <w:tcPr>
            <w:tcW w:w="851" w:type="dxa"/>
          </w:tcPr>
          <w:p w14:paraId="12F91876"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47%</w:t>
            </w:r>
          </w:p>
        </w:tc>
        <w:tc>
          <w:tcPr>
            <w:tcW w:w="1701" w:type="dxa"/>
          </w:tcPr>
          <w:p w14:paraId="792C1CE3"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45%</w:t>
            </w:r>
          </w:p>
        </w:tc>
        <w:tc>
          <w:tcPr>
            <w:tcW w:w="1134" w:type="dxa"/>
          </w:tcPr>
          <w:p w14:paraId="2C5D2F3F" w14:textId="77777777" w:rsidR="00996AB1" w:rsidRPr="00515872" w:rsidRDefault="00BE1879" w:rsidP="00C353C6">
            <w:pPr>
              <w:spacing w:after="0" w:line="360" w:lineRule="auto"/>
              <w:rPr>
                <w:rFonts w:eastAsia="Times New Roman" w:cs="Tahoma"/>
                <w:bCs/>
                <w:sz w:val="18"/>
                <w:szCs w:val="20"/>
                <w:lang w:eastAsia="it-IT"/>
              </w:rPr>
            </w:pPr>
            <w:r w:rsidRPr="00515872">
              <w:rPr>
                <w:rFonts w:eastAsia="Times New Roman" w:cs="Tahoma"/>
                <w:bCs/>
                <w:sz w:val="18"/>
                <w:szCs w:val="20"/>
                <w:lang w:eastAsia="it-IT"/>
              </w:rPr>
              <w:t>54%</w:t>
            </w:r>
          </w:p>
        </w:tc>
      </w:tr>
      <w:bookmarkEnd w:id="125"/>
      <w:bookmarkEnd w:id="126"/>
    </w:tbl>
    <w:p w14:paraId="6F492636" w14:textId="77777777" w:rsidR="001F2528" w:rsidRPr="00515872" w:rsidRDefault="001F2528" w:rsidP="00E037F4">
      <w:pPr>
        <w:spacing w:after="0" w:line="360" w:lineRule="auto"/>
        <w:jc w:val="both"/>
        <w:rPr>
          <w:rFonts w:eastAsia="Times New Roman" w:cs="Tahoma"/>
          <w:szCs w:val="20"/>
          <w:lang w:eastAsia="it-IT"/>
        </w:rPr>
      </w:pPr>
    </w:p>
    <w:p w14:paraId="644BD316" w14:textId="77777777" w:rsidR="00913839" w:rsidRPr="00515872" w:rsidRDefault="00913839" w:rsidP="00913839">
      <w:pPr>
        <w:spacing w:after="0" w:line="360" w:lineRule="auto"/>
        <w:jc w:val="both"/>
        <w:rPr>
          <w:rFonts w:eastAsia="Times New Roman" w:cs="Tahoma"/>
          <w:b/>
          <w:bCs/>
          <w:szCs w:val="20"/>
          <w:lang w:eastAsia="it-IT"/>
        </w:rPr>
      </w:pPr>
      <w:r w:rsidRPr="00515872">
        <w:rPr>
          <w:rFonts w:eastAsia="Times New Roman" w:cs="Tahoma"/>
          <w:b/>
          <w:bCs/>
          <w:szCs w:val="20"/>
          <w:lang w:eastAsia="it-IT"/>
        </w:rPr>
        <w:t xml:space="preserve">ALLEGATO A – Tabella A2 – Definizione degli indicatori di bilancio </w:t>
      </w:r>
      <w:r w:rsidR="00A9116F" w:rsidRPr="00515872">
        <w:rPr>
          <w:rFonts w:eastAsia="Times New Roman" w:cs="Tahoma"/>
          <w:b/>
          <w:bCs/>
          <w:szCs w:val="20"/>
          <w:lang w:eastAsia="it-IT"/>
        </w:rPr>
        <w:t>(D.M. Interno 22 dicembre 2015)</w:t>
      </w:r>
    </w:p>
    <w:tbl>
      <w:tblPr>
        <w:tblStyle w:val="Grigliatabella"/>
        <w:tblW w:w="9918" w:type="dxa"/>
        <w:jc w:val="center"/>
        <w:tblLook w:val="04A0" w:firstRow="1" w:lastRow="0" w:firstColumn="1" w:lastColumn="0" w:noHBand="0" w:noVBand="1"/>
      </w:tblPr>
      <w:tblGrid>
        <w:gridCol w:w="1413"/>
        <w:gridCol w:w="2693"/>
        <w:gridCol w:w="5812"/>
      </w:tblGrid>
      <w:tr w:rsidR="00913839" w:rsidRPr="00515872" w14:paraId="693C6B2B" w14:textId="77777777" w:rsidTr="002404B0">
        <w:trPr>
          <w:jc w:val="center"/>
        </w:trPr>
        <w:tc>
          <w:tcPr>
            <w:tcW w:w="1413" w:type="dxa"/>
          </w:tcPr>
          <w:p w14:paraId="4BEDDB5E" w14:textId="77777777" w:rsidR="00913839" w:rsidRPr="00515872" w:rsidRDefault="00913839" w:rsidP="00C353C6">
            <w:pPr>
              <w:spacing w:after="0" w:line="360" w:lineRule="auto"/>
              <w:rPr>
                <w:rFonts w:eastAsia="Times New Roman" w:cs="Tahoma"/>
                <w:b/>
                <w:bCs/>
                <w:sz w:val="18"/>
                <w:szCs w:val="20"/>
                <w:lang w:eastAsia="it-IT"/>
              </w:rPr>
            </w:pPr>
            <w:r w:rsidRPr="00515872">
              <w:rPr>
                <w:rFonts w:cs="Tahoma"/>
                <w:sz w:val="18"/>
                <w:szCs w:val="20"/>
              </w:rPr>
              <w:t>Codice indicatore</w:t>
            </w:r>
          </w:p>
        </w:tc>
        <w:tc>
          <w:tcPr>
            <w:tcW w:w="2693" w:type="dxa"/>
          </w:tcPr>
          <w:p w14:paraId="7F057FF5" w14:textId="77777777" w:rsidR="00913839" w:rsidRPr="00515872" w:rsidRDefault="00913839" w:rsidP="00C353C6">
            <w:pPr>
              <w:spacing w:after="0" w:line="360" w:lineRule="auto"/>
              <w:rPr>
                <w:rFonts w:eastAsia="Times New Roman" w:cs="Tahoma"/>
                <w:b/>
                <w:bCs/>
                <w:sz w:val="18"/>
                <w:szCs w:val="20"/>
                <w:lang w:eastAsia="it-IT"/>
              </w:rPr>
            </w:pPr>
            <w:r w:rsidRPr="00515872">
              <w:rPr>
                <w:rFonts w:cs="Tahoma"/>
                <w:sz w:val="18"/>
                <w:szCs w:val="20"/>
              </w:rPr>
              <w:t>Denominazione indicatore</w:t>
            </w:r>
          </w:p>
        </w:tc>
        <w:tc>
          <w:tcPr>
            <w:tcW w:w="5812" w:type="dxa"/>
          </w:tcPr>
          <w:p w14:paraId="110ADFE7" w14:textId="77777777" w:rsidR="00913839" w:rsidRPr="00515872" w:rsidRDefault="00913839" w:rsidP="00C353C6">
            <w:pPr>
              <w:spacing w:after="0" w:line="360" w:lineRule="auto"/>
              <w:rPr>
                <w:rFonts w:eastAsia="Times New Roman" w:cs="Tahoma"/>
                <w:b/>
                <w:bCs/>
                <w:sz w:val="18"/>
                <w:szCs w:val="20"/>
                <w:lang w:eastAsia="it-IT"/>
              </w:rPr>
            </w:pPr>
            <w:r w:rsidRPr="00515872">
              <w:rPr>
                <w:rFonts w:cs="Tahoma"/>
                <w:sz w:val="18"/>
                <w:szCs w:val="20"/>
              </w:rPr>
              <w:t>Definizione indicatore (da calcolare come valori percentuali)</w:t>
            </w:r>
          </w:p>
        </w:tc>
      </w:tr>
      <w:tr w:rsidR="00913839" w:rsidRPr="00515872" w14:paraId="66A99854" w14:textId="77777777" w:rsidTr="002404B0">
        <w:trPr>
          <w:jc w:val="center"/>
        </w:trPr>
        <w:tc>
          <w:tcPr>
            <w:tcW w:w="1413" w:type="dxa"/>
          </w:tcPr>
          <w:p w14:paraId="4DE8510C" w14:textId="77777777" w:rsidR="00913839" w:rsidRPr="00515872" w:rsidRDefault="00913839" w:rsidP="00C353C6">
            <w:pPr>
              <w:spacing w:after="0" w:line="360" w:lineRule="auto"/>
              <w:rPr>
                <w:rFonts w:cs="Tahoma"/>
                <w:sz w:val="18"/>
                <w:szCs w:val="20"/>
              </w:rPr>
            </w:pPr>
            <w:r w:rsidRPr="00515872">
              <w:rPr>
                <w:rFonts w:cs="Tahoma"/>
                <w:sz w:val="18"/>
                <w:szCs w:val="20"/>
              </w:rPr>
              <w:t>1.1</w:t>
            </w:r>
          </w:p>
        </w:tc>
        <w:tc>
          <w:tcPr>
            <w:tcW w:w="2693" w:type="dxa"/>
          </w:tcPr>
          <w:p w14:paraId="647A1FEF" w14:textId="77777777" w:rsidR="00913839" w:rsidRPr="00515872" w:rsidRDefault="00913839" w:rsidP="00C353C6">
            <w:pPr>
              <w:spacing w:after="0" w:line="360" w:lineRule="auto"/>
              <w:rPr>
                <w:rFonts w:cs="Tahoma"/>
                <w:sz w:val="18"/>
                <w:szCs w:val="20"/>
              </w:rPr>
            </w:pPr>
            <w:r w:rsidRPr="00515872">
              <w:rPr>
                <w:rFonts w:cs="Tahoma"/>
                <w:sz w:val="18"/>
                <w:szCs w:val="20"/>
              </w:rPr>
              <w:t>Incidenza spese rigide (ripiano disavanzo, personale e debito) su entrate correnti</w:t>
            </w:r>
          </w:p>
        </w:tc>
        <w:tc>
          <w:tcPr>
            <w:tcW w:w="5812" w:type="dxa"/>
          </w:tcPr>
          <w:p w14:paraId="3C280737" w14:textId="77777777" w:rsidR="00913839" w:rsidRPr="00515872" w:rsidRDefault="00913839" w:rsidP="00C353C6">
            <w:pPr>
              <w:spacing w:after="0" w:line="360" w:lineRule="auto"/>
              <w:rPr>
                <w:rFonts w:cs="Tahoma"/>
                <w:sz w:val="18"/>
                <w:szCs w:val="20"/>
              </w:rPr>
            </w:pPr>
            <w:r w:rsidRPr="00515872">
              <w:rPr>
                <w:rFonts w:cs="Tahoma"/>
                <w:sz w:val="18"/>
                <w:szCs w:val="20"/>
              </w:rPr>
              <w:t>[Ripiano disavanzo a carico dell'esercizio + Impegni (Macroaggregati 1.1 "Redditi di lavoro dipendente" + pdc 1.02.01.01.000 "IRAP"– FPV entrata concernente il Macroaggregato 1.1 + FPV personale in uscita 1.1 + 1.7 "Interessi passivi" + Titolo 4 Rimborso prestiti)] /(Accertamenti primi tre titoli Entrate)</w:t>
            </w:r>
          </w:p>
        </w:tc>
      </w:tr>
      <w:tr w:rsidR="00913839" w:rsidRPr="00515872" w14:paraId="049EF27D" w14:textId="77777777" w:rsidTr="002404B0">
        <w:trPr>
          <w:jc w:val="center"/>
        </w:trPr>
        <w:tc>
          <w:tcPr>
            <w:tcW w:w="1413" w:type="dxa"/>
          </w:tcPr>
          <w:p w14:paraId="1345B612" w14:textId="77777777" w:rsidR="00913839" w:rsidRPr="00515872" w:rsidRDefault="00913839" w:rsidP="00C353C6">
            <w:pPr>
              <w:spacing w:after="0" w:line="360" w:lineRule="auto"/>
              <w:rPr>
                <w:rFonts w:cs="Tahoma"/>
                <w:sz w:val="18"/>
                <w:szCs w:val="20"/>
              </w:rPr>
            </w:pPr>
            <w:r w:rsidRPr="00515872">
              <w:rPr>
                <w:rFonts w:cs="Tahoma"/>
                <w:sz w:val="18"/>
                <w:szCs w:val="20"/>
              </w:rPr>
              <w:t>2.8</w:t>
            </w:r>
          </w:p>
        </w:tc>
        <w:tc>
          <w:tcPr>
            <w:tcW w:w="2693" w:type="dxa"/>
          </w:tcPr>
          <w:p w14:paraId="74668510" w14:textId="77777777" w:rsidR="00913839" w:rsidRPr="00515872" w:rsidRDefault="00913839" w:rsidP="00C353C6">
            <w:pPr>
              <w:spacing w:after="0" w:line="360" w:lineRule="auto"/>
              <w:rPr>
                <w:rFonts w:cs="Tahoma"/>
                <w:sz w:val="18"/>
                <w:szCs w:val="20"/>
              </w:rPr>
            </w:pPr>
            <w:r w:rsidRPr="00515872">
              <w:rPr>
                <w:rFonts w:cs="Tahoma"/>
                <w:sz w:val="18"/>
                <w:szCs w:val="20"/>
              </w:rPr>
              <w:t>Incidenza degli incassi delle entrate proprie sulle previsioni definitive di parte corrente</w:t>
            </w:r>
          </w:p>
        </w:tc>
        <w:tc>
          <w:tcPr>
            <w:tcW w:w="5812" w:type="dxa"/>
          </w:tcPr>
          <w:p w14:paraId="1C0B9D51" w14:textId="77777777" w:rsidR="00913839" w:rsidRPr="00515872" w:rsidRDefault="00913839" w:rsidP="00C353C6">
            <w:pPr>
              <w:spacing w:after="0" w:line="360" w:lineRule="auto"/>
              <w:rPr>
                <w:rFonts w:cs="Tahoma"/>
                <w:sz w:val="18"/>
                <w:szCs w:val="20"/>
              </w:rPr>
            </w:pPr>
            <w:r w:rsidRPr="00515872">
              <w:rPr>
                <w:rFonts w:cs="Tahoma"/>
                <w:sz w:val="18"/>
                <w:szCs w:val="20"/>
              </w:rPr>
              <w:t>Totale incassi c/competenza e c/residui (pdc E.1.01.00.00.000 "Tributi" – "Compartecipazioni di tributi" E.1.01.04.00.000 + E.3.00.00.00.000 "Entrate extratributarie") / Stanziamenti definitivi di cassa dei primi tre titoli delle Entrate</w:t>
            </w:r>
          </w:p>
        </w:tc>
      </w:tr>
      <w:tr w:rsidR="00913839" w:rsidRPr="00515872" w14:paraId="564FAECC" w14:textId="77777777" w:rsidTr="002404B0">
        <w:trPr>
          <w:jc w:val="center"/>
        </w:trPr>
        <w:tc>
          <w:tcPr>
            <w:tcW w:w="1413" w:type="dxa"/>
          </w:tcPr>
          <w:p w14:paraId="60C95284" w14:textId="77777777" w:rsidR="00913839" w:rsidRPr="00515872" w:rsidRDefault="00913839" w:rsidP="00C353C6">
            <w:pPr>
              <w:spacing w:after="0" w:line="360" w:lineRule="auto"/>
              <w:rPr>
                <w:rFonts w:cs="Tahoma"/>
                <w:sz w:val="18"/>
                <w:szCs w:val="20"/>
              </w:rPr>
            </w:pPr>
            <w:r w:rsidRPr="00515872">
              <w:rPr>
                <w:rFonts w:cs="Tahoma"/>
                <w:sz w:val="18"/>
                <w:szCs w:val="20"/>
              </w:rPr>
              <w:t>3.2</w:t>
            </w:r>
          </w:p>
        </w:tc>
        <w:tc>
          <w:tcPr>
            <w:tcW w:w="2693" w:type="dxa"/>
          </w:tcPr>
          <w:p w14:paraId="266F7922" w14:textId="77777777" w:rsidR="00913839" w:rsidRPr="00515872" w:rsidRDefault="00913839" w:rsidP="00C353C6">
            <w:pPr>
              <w:spacing w:after="0" w:line="360" w:lineRule="auto"/>
              <w:rPr>
                <w:rFonts w:cs="Tahoma"/>
                <w:sz w:val="18"/>
                <w:szCs w:val="20"/>
              </w:rPr>
            </w:pPr>
            <w:r w:rsidRPr="00515872">
              <w:rPr>
                <w:rFonts w:cs="Tahoma"/>
                <w:sz w:val="18"/>
                <w:szCs w:val="20"/>
              </w:rPr>
              <w:t>Anticipazioni chiuse solo contabilmente</w:t>
            </w:r>
          </w:p>
        </w:tc>
        <w:tc>
          <w:tcPr>
            <w:tcW w:w="5812" w:type="dxa"/>
          </w:tcPr>
          <w:p w14:paraId="1D86C566" w14:textId="77777777" w:rsidR="00913839" w:rsidRPr="00515872" w:rsidRDefault="00913839" w:rsidP="00C353C6">
            <w:pPr>
              <w:spacing w:after="0" w:line="360" w:lineRule="auto"/>
              <w:rPr>
                <w:rFonts w:cs="Tahoma"/>
                <w:sz w:val="18"/>
                <w:szCs w:val="20"/>
              </w:rPr>
            </w:pPr>
            <w:r w:rsidRPr="00515872">
              <w:rPr>
                <w:rFonts w:cs="Tahoma"/>
                <w:sz w:val="18"/>
                <w:szCs w:val="20"/>
              </w:rPr>
              <w:t>Anticipazione di tesoreria all'inizio dell'esercizio successivo / max previsto dalla norma</w:t>
            </w:r>
          </w:p>
        </w:tc>
      </w:tr>
      <w:tr w:rsidR="00913839" w:rsidRPr="00515872" w14:paraId="4D2E1A90" w14:textId="77777777" w:rsidTr="002404B0">
        <w:trPr>
          <w:jc w:val="center"/>
        </w:trPr>
        <w:tc>
          <w:tcPr>
            <w:tcW w:w="1413" w:type="dxa"/>
          </w:tcPr>
          <w:p w14:paraId="49F1B2A8" w14:textId="77777777" w:rsidR="00913839" w:rsidRPr="00515872" w:rsidRDefault="00913839" w:rsidP="00C353C6">
            <w:pPr>
              <w:spacing w:after="0" w:line="360" w:lineRule="auto"/>
              <w:rPr>
                <w:rFonts w:cs="Tahoma"/>
                <w:sz w:val="18"/>
                <w:szCs w:val="20"/>
              </w:rPr>
            </w:pPr>
            <w:r w:rsidRPr="00515872">
              <w:rPr>
                <w:rFonts w:cs="Tahoma"/>
                <w:sz w:val="18"/>
                <w:szCs w:val="20"/>
              </w:rPr>
              <w:t>10.3</w:t>
            </w:r>
          </w:p>
        </w:tc>
        <w:tc>
          <w:tcPr>
            <w:tcW w:w="2693" w:type="dxa"/>
          </w:tcPr>
          <w:p w14:paraId="585FBC1C" w14:textId="77777777" w:rsidR="00913839" w:rsidRPr="00515872" w:rsidRDefault="00913839" w:rsidP="00C353C6">
            <w:pPr>
              <w:spacing w:after="0" w:line="360" w:lineRule="auto"/>
              <w:rPr>
                <w:rFonts w:cs="Tahoma"/>
                <w:sz w:val="18"/>
                <w:szCs w:val="20"/>
              </w:rPr>
            </w:pPr>
            <w:r w:rsidRPr="00515872">
              <w:rPr>
                <w:rFonts w:cs="Tahoma"/>
                <w:sz w:val="18"/>
                <w:szCs w:val="20"/>
              </w:rPr>
              <w:t>Sostenibilità dei debiti finanziari</w:t>
            </w:r>
          </w:p>
        </w:tc>
        <w:tc>
          <w:tcPr>
            <w:tcW w:w="5812" w:type="dxa"/>
          </w:tcPr>
          <w:p w14:paraId="6BC05948" w14:textId="77777777" w:rsidR="00913839" w:rsidRPr="00515872" w:rsidRDefault="00913839" w:rsidP="00C353C6">
            <w:pPr>
              <w:spacing w:after="0" w:line="360" w:lineRule="auto"/>
              <w:rPr>
                <w:rFonts w:cs="Tahoma"/>
                <w:sz w:val="18"/>
                <w:szCs w:val="20"/>
              </w:rPr>
            </w:pPr>
            <w:r w:rsidRPr="00515872">
              <w:rPr>
                <w:rFonts w:cs="Tahoma"/>
                <w:sz w:val="18"/>
                <w:szCs w:val="20"/>
              </w:rPr>
              <w:t>[Impegni (Totale 1.7 "Interessi passivi" –"Interessi di mora" (U.1.07.06.02.000) – "Interessi per anticipazioni prestiti" (U.1.07.06.04.000) + Titolo 4 della spesa – estinzioni anticipate) – (Accertamenti Entrate categoria E.4.02.06.00.000 "Contributi agli investimenti direttamente destinati al rimborso di prestiti da amministrazioni pubbliche") + Trasferimenti in conto capitale per assunzione di debiti dell'amministrazione da parte di amministrazioni pubbliche (E.4.03.01.00.000) + Trasferimenti in conto capitale da parte di amministrazioni pubbliche per cancellazione di debiti dell'amministrazione (E.4.03.04.00.000)] / Accertamenti titoli 1, 2 e 3</w:t>
            </w:r>
          </w:p>
        </w:tc>
      </w:tr>
      <w:tr w:rsidR="00913839" w:rsidRPr="00515872" w14:paraId="46362523" w14:textId="77777777" w:rsidTr="002404B0">
        <w:trPr>
          <w:jc w:val="center"/>
        </w:trPr>
        <w:tc>
          <w:tcPr>
            <w:tcW w:w="1413" w:type="dxa"/>
          </w:tcPr>
          <w:p w14:paraId="7CBDE671" w14:textId="77777777" w:rsidR="00913839" w:rsidRPr="00515872" w:rsidRDefault="00913839" w:rsidP="00C353C6">
            <w:pPr>
              <w:spacing w:after="0" w:line="360" w:lineRule="auto"/>
              <w:rPr>
                <w:rFonts w:cs="Tahoma"/>
                <w:sz w:val="18"/>
                <w:szCs w:val="20"/>
              </w:rPr>
            </w:pPr>
            <w:r w:rsidRPr="00515872">
              <w:rPr>
                <w:rFonts w:cs="Tahoma"/>
                <w:sz w:val="18"/>
                <w:szCs w:val="20"/>
              </w:rPr>
              <w:t>12.4</w:t>
            </w:r>
          </w:p>
        </w:tc>
        <w:tc>
          <w:tcPr>
            <w:tcW w:w="2693" w:type="dxa"/>
          </w:tcPr>
          <w:p w14:paraId="1C3E7EFB" w14:textId="77777777" w:rsidR="00913839" w:rsidRPr="00515872" w:rsidRDefault="00913839" w:rsidP="00C353C6">
            <w:pPr>
              <w:spacing w:after="0" w:line="360" w:lineRule="auto"/>
              <w:rPr>
                <w:rFonts w:cs="Tahoma"/>
                <w:sz w:val="18"/>
                <w:szCs w:val="20"/>
              </w:rPr>
            </w:pPr>
            <w:r w:rsidRPr="00515872">
              <w:rPr>
                <w:rFonts w:cs="Tahoma"/>
                <w:sz w:val="18"/>
                <w:szCs w:val="20"/>
              </w:rPr>
              <w:t>Sostenibilità disavanzo effettivamente a carico dell'esercizio</w:t>
            </w:r>
          </w:p>
        </w:tc>
        <w:tc>
          <w:tcPr>
            <w:tcW w:w="5812" w:type="dxa"/>
          </w:tcPr>
          <w:p w14:paraId="249A1576" w14:textId="77777777" w:rsidR="00913839" w:rsidRPr="00515872" w:rsidRDefault="00913839" w:rsidP="00C353C6">
            <w:pPr>
              <w:spacing w:after="0" w:line="360" w:lineRule="auto"/>
              <w:rPr>
                <w:rFonts w:cs="Tahoma"/>
                <w:sz w:val="18"/>
                <w:szCs w:val="20"/>
              </w:rPr>
            </w:pPr>
            <w:r w:rsidRPr="00515872">
              <w:rPr>
                <w:rFonts w:cs="Tahoma"/>
                <w:sz w:val="18"/>
                <w:szCs w:val="20"/>
              </w:rPr>
              <w:t>Disavanzo iscritto in spesa del conto del bilancio / Accertamenti dei titoli 1, 2 e 3 delle entrate</w:t>
            </w:r>
          </w:p>
        </w:tc>
      </w:tr>
      <w:tr w:rsidR="00913839" w:rsidRPr="00515872" w14:paraId="3220DCF6" w14:textId="77777777" w:rsidTr="002404B0">
        <w:trPr>
          <w:jc w:val="center"/>
        </w:trPr>
        <w:tc>
          <w:tcPr>
            <w:tcW w:w="1413" w:type="dxa"/>
          </w:tcPr>
          <w:p w14:paraId="263B7E51" w14:textId="77777777" w:rsidR="00913839" w:rsidRPr="00515872" w:rsidRDefault="00913839" w:rsidP="00C353C6">
            <w:pPr>
              <w:spacing w:after="0" w:line="360" w:lineRule="auto"/>
              <w:rPr>
                <w:rFonts w:cs="Tahoma"/>
                <w:sz w:val="18"/>
                <w:szCs w:val="20"/>
              </w:rPr>
            </w:pPr>
            <w:r w:rsidRPr="00515872">
              <w:rPr>
                <w:rFonts w:cs="Tahoma"/>
                <w:sz w:val="18"/>
                <w:szCs w:val="20"/>
              </w:rPr>
              <w:t>13.1</w:t>
            </w:r>
          </w:p>
        </w:tc>
        <w:tc>
          <w:tcPr>
            <w:tcW w:w="2693" w:type="dxa"/>
          </w:tcPr>
          <w:p w14:paraId="5369B1A8" w14:textId="77777777" w:rsidR="00913839" w:rsidRPr="00515872" w:rsidRDefault="00913839" w:rsidP="00C353C6">
            <w:pPr>
              <w:spacing w:after="0" w:line="360" w:lineRule="auto"/>
              <w:rPr>
                <w:rFonts w:cs="Tahoma"/>
                <w:sz w:val="18"/>
                <w:szCs w:val="20"/>
              </w:rPr>
            </w:pPr>
            <w:r w:rsidRPr="00515872">
              <w:rPr>
                <w:rFonts w:cs="Tahoma"/>
                <w:sz w:val="18"/>
                <w:szCs w:val="20"/>
              </w:rPr>
              <w:t>Debiti riconosciuti e finanziati</w:t>
            </w:r>
          </w:p>
        </w:tc>
        <w:tc>
          <w:tcPr>
            <w:tcW w:w="5812" w:type="dxa"/>
          </w:tcPr>
          <w:p w14:paraId="18D157C5" w14:textId="77777777" w:rsidR="00913839" w:rsidRPr="00515872" w:rsidRDefault="00913839" w:rsidP="00C353C6">
            <w:pPr>
              <w:spacing w:after="0" w:line="360" w:lineRule="auto"/>
              <w:rPr>
                <w:rFonts w:cs="Tahoma"/>
                <w:sz w:val="18"/>
                <w:szCs w:val="20"/>
              </w:rPr>
            </w:pPr>
            <w:r w:rsidRPr="00515872">
              <w:rPr>
                <w:rFonts w:cs="Tahoma"/>
                <w:sz w:val="18"/>
                <w:szCs w:val="20"/>
              </w:rPr>
              <w:t>Importo debiti fuori bilancio riconosciuti e finanziati / Totale impegni titolo 1 e titolo 2</w:t>
            </w:r>
          </w:p>
        </w:tc>
      </w:tr>
      <w:tr w:rsidR="00913839" w:rsidRPr="00515872" w14:paraId="6615F596" w14:textId="77777777" w:rsidTr="002404B0">
        <w:trPr>
          <w:jc w:val="center"/>
        </w:trPr>
        <w:tc>
          <w:tcPr>
            <w:tcW w:w="1413" w:type="dxa"/>
          </w:tcPr>
          <w:p w14:paraId="31C98C48" w14:textId="77777777" w:rsidR="00913839" w:rsidRPr="00515872" w:rsidRDefault="00913839" w:rsidP="00C353C6">
            <w:pPr>
              <w:spacing w:after="0" w:line="360" w:lineRule="auto"/>
              <w:rPr>
                <w:rFonts w:cs="Tahoma"/>
                <w:sz w:val="18"/>
                <w:szCs w:val="20"/>
              </w:rPr>
            </w:pPr>
            <w:r w:rsidRPr="00515872">
              <w:rPr>
                <w:rFonts w:cs="Tahoma"/>
                <w:sz w:val="18"/>
                <w:szCs w:val="20"/>
              </w:rPr>
              <w:t>13.2+13.3</w:t>
            </w:r>
          </w:p>
        </w:tc>
        <w:tc>
          <w:tcPr>
            <w:tcW w:w="2693" w:type="dxa"/>
          </w:tcPr>
          <w:p w14:paraId="1C176181" w14:textId="77777777" w:rsidR="00913839" w:rsidRPr="00515872" w:rsidRDefault="00913839" w:rsidP="00C353C6">
            <w:pPr>
              <w:spacing w:after="0" w:line="360" w:lineRule="auto"/>
              <w:rPr>
                <w:rFonts w:cs="Tahoma"/>
                <w:sz w:val="18"/>
                <w:szCs w:val="20"/>
              </w:rPr>
            </w:pPr>
            <w:r w:rsidRPr="00515872">
              <w:rPr>
                <w:rFonts w:cs="Tahoma"/>
                <w:sz w:val="18"/>
                <w:szCs w:val="20"/>
              </w:rPr>
              <w:t>Debiti in corso di riconoscimento + Debiti riconosciuti e in corso di finanziamento</w:t>
            </w:r>
          </w:p>
        </w:tc>
        <w:tc>
          <w:tcPr>
            <w:tcW w:w="5812" w:type="dxa"/>
          </w:tcPr>
          <w:p w14:paraId="48043FF2" w14:textId="77777777" w:rsidR="00913839" w:rsidRPr="00515872" w:rsidRDefault="00913839" w:rsidP="00C353C6">
            <w:pPr>
              <w:spacing w:after="0" w:line="360" w:lineRule="auto"/>
              <w:rPr>
                <w:rFonts w:cs="Tahoma"/>
                <w:sz w:val="18"/>
                <w:szCs w:val="20"/>
              </w:rPr>
            </w:pPr>
            <w:r w:rsidRPr="00515872">
              <w:rPr>
                <w:rFonts w:cs="Tahoma"/>
                <w:sz w:val="18"/>
                <w:szCs w:val="20"/>
              </w:rPr>
              <w:t>(Importo debiti fuori bilancio in corso di riconoscimento + Importo debiti fuori bilancio riconosciuti e in corso di finanziamento) / Totale accertamento entrate dei titoli 1, 2 e 3</w:t>
            </w:r>
          </w:p>
        </w:tc>
      </w:tr>
      <w:tr w:rsidR="00913839" w:rsidRPr="00515872" w14:paraId="079B394A" w14:textId="77777777" w:rsidTr="002404B0">
        <w:trPr>
          <w:jc w:val="center"/>
        </w:trPr>
        <w:tc>
          <w:tcPr>
            <w:tcW w:w="1413" w:type="dxa"/>
          </w:tcPr>
          <w:p w14:paraId="737B710D" w14:textId="77777777" w:rsidR="00913839" w:rsidRPr="00515872" w:rsidRDefault="00913839" w:rsidP="00C353C6">
            <w:pPr>
              <w:spacing w:after="0" w:line="360" w:lineRule="auto"/>
              <w:rPr>
                <w:rFonts w:cs="Tahoma"/>
                <w:sz w:val="18"/>
                <w:szCs w:val="20"/>
              </w:rPr>
            </w:pPr>
          </w:p>
        </w:tc>
        <w:tc>
          <w:tcPr>
            <w:tcW w:w="2693" w:type="dxa"/>
          </w:tcPr>
          <w:p w14:paraId="61ACFFB3" w14:textId="77777777" w:rsidR="00913839" w:rsidRPr="00515872" w:rsidRDefault="00913839" w:rsidP="00C353C6">
            <w:pPr>
              <w:spacing w:after="0" w:line="360" w:lineRule="auto"/>
              <w:rPr>
                <w:rFonts w:cs="Tahoma"/>
                <w:sz w:val="18"/>
                <w:szCs w:val="20"/>
              </w:rPr>
            </w:pPr>
            <w:r w:rsidRPr="00515872">
              <w:rPr>
                <w:rFonts w:cs="Tahoma"/>
                <w:sz w:val="18"/>
                <w:szCs w:val="20"/>
              </w:rPr>
              <w:t>Indicatore concernente l’effettiva capacità di riscossione (riferito al totale delle entrate)</w:t>
            </w:r>
          </w:p>
        </w:tc>
        <w:tc>
          <w:tcPr>
            <w:tcW w:w="5812" w:type="dxa"/>
          </w:tcPr>
          <w:p w14:paraId="44DA5928" w14:textId="77777777" w:rsidR="00913839" w:rsidRPr="00515872" w:rsidRDefault="00913839" w:rsidP="00C353C6">
            <w:pPr>
              <w:spacing w:after="0" w:line="360" w:lineRule="auto"/>
              <w:rPr>
                <w:rFonts w:cs="Tahoma"/>
                <w:sz w:val="18"/>
                <w:szCs w:val="20"/>
              </w:rPr>
            </w:pPr>
            <w:r w:rsidRPr="00515872">
              <w:rPr>
                <w:rFonts w:cs="Tahoma"/>
                <w:sz w:val="18"/>
                <w:szCs w:val="20"/>
              </w:rPr>
              <w:t>% di riscossione complessiva: (riscossioni c/comp + riscossioni c/residui) / (Accertamenti + residui definitivi iniziali)</w:t>
            </w:r>
          </w:p>
        </w:tc>
      </w:tr>
    </w:tbl>
    <w:p w14:paraId="68F1729E" w14:textId="77777777" w:rsidR="00157E2A" w:rsidRPr="00515872" w:rsidRDefault="00157E2A" w:rsidP="00913839">
      <w:pPr>
        <w:spacing w:after="0" w:line="360" w:lineRule="auto"/>
        <w:jc w:val="both"/>
        <w:rPr>
          <w:rFonts w:eastAsia="Times New Roman" w:cs="Tahoma"/>
          <w:b/>
          <w:bCs/>
          <w:szCs w:val="20"/>
          <w:lang w:eastAsia="it-IT"/>
        </w:rPr>
      </w:pPr>
    </w:p>
    <w:p w14:paraId="11C71415" w14:textId="77777777" w:rsidR="00157E2A" w:rsidRPr="00515872" w:rsidRDefault="00157E2A" w:rsidP="00157E2A">
      <w:pPr>
        <w:pStyle w:val="Titolo"/>
        <w:rPr>
          <w:rFonts w:cs="Tahoma"/>
        </w:rPr>
      </w:pPr>
      <w:bookmarkStart w:id="241" w:name="_Toc95912331"/>
      <w:r w:rsidRPr="00515872">
        <w:rPr>
          <w:rFonts w:cs="Tahoma"/>
        </w:rPr>
        <w:lastRenderedPageBreak/>
        <w:t>Valori soglia per fascia demografica ex Art. 33, c. 2, D.L. n. 34/2019</w:t>
      </w:r>
      <w:bookmarkEnd w:id="241"/>
    </w:p>
    <w:p w14:paraId="1D5A26B3" w14:textId="77777777" w:rsidR="004F2EF4" w:rsidRPr="00515872" w:rsidRDefault="004F2EF4" w:rsidP="004F2EF4">
      <w:pPr>
        <w:spacing w:line="360" w:lineRule="auto"/>
        <w:jc w:val="both"/>
        <w:rPr>
          <w:rFonts w:cs="Tahoma"/>
          <w:bCs/>
          <w:szCs w:val="20"/>
        </w:rPr>
      </w:pPr>
      <w:r w:rsidRPr="00515872">
        <w:rPr>
          <w:rFonts w:cs="Tahoma"/>
          <w:bCs/>
          <w:szCs w:val="20"/>
        </w:rPr>
        <w:t>Tabelle D.M. Pubblica Amministrazione 17 marzo 2020</w:t>
      </w:r>
    </w:p>
    <w:p w14:paraId="268B55EE" w14:textId="77777777" w:rsidR="00412CBD" w:rsidRPr="00515872" w:rsidRDefault="004F2EF4" w:rsidP="00A9116F">
      <w:pPr>
        <w:spacing w:line="240" w:lineRule="auto"/>
        <w:jc w:val="both"/>
        <w:rPr>
          <w:rFonts w:eastAsia="Times New Roman" w:cs="Tahoma"/>
          <w:b/>
          <w:bCs/>
          <w:szCs w:val="20"/>
          <w:lang w:eastAsia="it-IT"/>
        </w:rPr>
      </w:pPr>
      <w:r w:rsidRPr="00515872">
        <w:rPr>
          <w:rFonts w:eastAsia="Times New Roman" w:cs="Tahoma"/>
          <w:b/>
          <w:bCs/>
          <w:szCs w:val="20"/>
          <w:lang w:eastAsia="it-IT"/>
        </w:rPr>
        <w:t xml:space="preserve">Art. 4 </w:t>
      </w:r>
      <w:r w:rsidR="00A9116F" w:rsidRPr="00515872">
        <w:rPr>
          <w:rFonts w:eastAsia="Times New Roman" w:cs="Tahoma"/>
          <w:b/>
          <w:bCs/>
          <w:szCs w:val="20"/>
          <w:lang w:eastAsia="it-IT"/>
        </w:rPr>
        <w:t>– Tabella 1</w:t>
      </w:r>
    </w:p>
    <w:tbl>
      <w:tblPr>
        <w:tblStyle w:val="Grigliatabella"/>
        <w:tblW w:w="5000" w:type="pct"/>
        <w:tblLook w:val="04A0" w:firstRow="1" w:lastRow="0" w:firstColumn="1" w:lastColumn="0" w:noHBand="0" w:noVBand="1"/>
      </w:tblPr>
      <w:tblGrid>
        <w:gridCol w:w="6986"/>
        <w:gridCol w:w="2642"/>
      </w:tblGrid>
      <w:tr w:rsidR="00412CBD" w:rsidRPr="00515872" w14:paraId="61E79DF8" w14:textId="77777777" w:rsidTr="00515872">
        <w:tc>
          <w:tcPr>
            <w:tcW w:w="3628" w:type="pct"/>
            <w:hideMark/>
          </w:tcPr>
          <w:p w14:paraId="4A6C4814" w14:textId="77777777" w:rsidR="00412CBD" w:rsidRPr="00515872" w:rsidRDefault="00412CBD" w:rsidP="00412CBD">
            <w:pPr>
              <w:spacing w:after="0" w:line="240" w:lineRule="auto"/>
              <w:jc w:val="center"/>
              <w:rPr>
                <w:rFonts w:eastAsia="Times New Roman" w:cs="Tahoma"/>
                <w:b/>
                <w:szCs w:val="20"/>
                <w:lang w:eastAsia="it-IT"/>
              </w:rPr>
            </w:pPr>
            <w:r w:rsidRPr="00515872">
              <w:rPr>
                <w:rFonts w:eastAsia="Times New Roman" w:cs="Tahoma"/>
                <w:b/>
                <w:szCs w:val="20"/>
                <w:lang w:eastAsia="it-IT"/>
              </w:rPr>
              <w:t>Fasce demografiche</w:t>
            </w:r>
          </w:p>
        </w:tc>
        <w:tc>
          <w:tcPr>
            <w:tcW w:w="1372" w:type="pct"/>
            <w:hideMark/>
          </w:tcPr>
          <w:p w14:paraId="3715FF15" w14:textId="77777777" w:rsidR="00412CBD" w:rsidRPr="00515872" w:rsidRDefault="00412CBD" w:rsidP="00412CBD">
            <w:pPr>
              <w:spacing w:after="0" w:line="240" w:lineRule="auto"/>
              <w:jc w:val="center"/>
              <w:rPr>
                <w:rFonts w:eastAsia="Times New Roman" w:cs="Tahoma"/>
                <w:b/>
                <w:szCs w:val="20"/>
                <w:lang w:eastAsia="it-IT"/>
              </w:rPr>
            </w:pPr>
            <w:r w:rsidRPr="00515872">
              <w:rPr>
                <w:rFonts w:eastAsia="Times New Roman" w:cs="Tahoma"/>
                <w:b/>
                <w:szCs w:val="20"/>
                <w:lang w:eastAsia="it-IT"/>
              </w:rPr>
              <w:t>Valore soglia</w:t>
            </w:r>
          </w:p>
        </w:tc>
      </w:tr>
      <w:tr w:rsidR="00412CBD" w:rsidRPr="00515872" w14:paraId="79A65BC6" w14:textId="77777777" w:rsidTr="00515872">
        <w:tc>
          <w:tcPr>
            <w:tcW w:w="3628" w:type="pct"/>
            <w:hideMark/>
          </w:tcPr>
          <w:p w14:paraId="0DA42F07"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a) comuni con meno di 1.000 abitanti</w:t>
            </w:r>
          </w:p>
        </w:tc>
        <w:tc>
          <w:tcPr>
            <w:tcW w:w="1372" w:type="pct"/>
            <w:hideMark/>
          </w:tcPr>
          <w:p w14:paraId="6EACE3A6"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29,5%</w:t>
            </w:r>
          </w:p>
        </w:tc>
      </w:tr>
      <w:tr w:rsidR="00412CBD" w:rsidRPr="00515872" w14:paraId="1EF13CA5" w14:textId="77777777" w:rsidTr="00515872">
        <w:tc>
          <w:tcPr>
            <w:tcW w:w="3628" w:type="pct"/>
            <w:hideMark/>
          </w:tcPr>
          <w:p w14:paraId="7E1BC086"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b) comuni da 1.000 a 1.999 abitanti</w:t>
            </w:r>
          </w:p>
        </w:tc>
        <w:tc>
          <w:tcPr>
            <w:tcW w:w="1372" w:type="pct"/>
            <w:hideMark/>
          </w:tcPr>
          <w:p w14:paraId="09B5CFCA"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28,6%</w:t>
            </w:r>
          </w:p>
        </w:tc>
      </w:tr>
      <w:tr w:rsidR="00412CBD" w:rsidRPr="00515872" w14:paraId="34412451" w14:textId="77777777" w:rsidTr="00515872">
        <w:tc>
          <w:tcPr>
            <w:tcW w:w="3628" w:type="pct"/>
            <w:hideMark/>
          </w:tcPr>
          <w:p w14:paraId="27B04BA0"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c) comuni da 2.000 a 2.999 abitanti</w:t>
            </w:r>
          </w:p>
        </w:tc>
        <w:tc>
          <w:tcPr>
            <w:tcW w:w="1372" w:type="pct"/>
            <w:hideMark/>
          </w:tcPr>
          <w:p w14:paraId="3152101E"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27,6%</w:t>
            </w:r>
          </w:p>
        </w:tc>
      </w:tr>
      <w:tr w:rsidR="00412CBD" w:rsidRPr="00515872" w14:paraId="70773353" w14:textId="77777777" w:rsidTr="00515872">
        <w:tc>
          <w:tcPr>
            <w:tcW w:w="3628" w:type="pct"/>
            <w:hideMark/>
          </w:tcPr>
          <w:p w14:paraId="421B13F6"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d) comuni da 3.000 a 4.999 abitanti</w:t>
            </w:r>
          </w:p>
        </w:tc>
        <w:tc>
          <w:tcPr>
            <w:tcW w:w="1372" w:type="pct"/>
            <w:hideMark/>
          </w:tcPr>
          <w:p w14:paraId="23D9AAB9"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27,2%</w:t>
            </w:r>
          </w:p>
        </w:tc>
      </w:tr>
      <w:tr w:rsidR="00412CBD" w:rsidRPr="00515872" w14:paraId="1FB24998" w14:textId="77777777" w:rsidTr="00515872">
        <w:tc>
          <w:tcPr>
            <w:tcW w:w="3628" w:type="pct"/>
            <w:hideMark/>
          </w:tcPr>
          <w:p w14:paraId="27F8F93B"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e) comuni da 5.000 a 9.999 abitanti</w:t>
            </w:r>
          </w:p>
        </w:tc>
        <w:tc>
          <w:tcPr>
            <w:tcW w:w="1372" w:type="pct"/>
            <w:hideMark/>
          </w:tcPr>
          <w:p w14:paraId="157E0C80"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26,9%</w:t>
            </w:r>
          </w:p>
        </w:tc>
      </w:tr>
      <w:tr w:rsidR="00412CBD" w:rsidRPr="00515872" w14:paraId="015650EA" w14:textId="77777777" w:rsidTr="00515872">
        <w:tc>
          <w:tcPr>
            <w:tcW w:w="3628" w:type="pct"/>
            <w:hideMark/>
          </w:tcPr>
          <w:p w14:paraId="15BDFD73"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f) comuni da 10.000 a 59.999 abitanti</w:t>
            </w:r>
          </w:p>
        </w:tc>
        <w:tc>
          <w:tcPr>
            <w:tcW w:w="1372" w:type="pct"/>
            <w:hideMark/>
          </w:tcPr>
          <w:p w14:paraId="34B0E537"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27,0%</w:t>
            </w:r>
          </w:p>
        </w:tc>
      </w:tr>
      <w:tr w:rsidR="00412CBD" w:rsidRPr="00515872" w14:paraId="07089911" w14:textId="77777777" w:rsidTr="00515872">
        <w:tc>
          <w:tcPr>
            <w:tcW w:w="3628" w:type="pct"/>
            <w:hideMark/>
          </w:tcPr>
          <w:p w14:paraId="676AE3FE"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g) comuni da 60.000 a 249.999 abitanti</w:t>
            </w:r>
          </w:p>
        </w:tc>
        <w:tc>
          <w:tcPr>
            <w:tcW w:w="1372" w:type="pct"/>
            <w:hideMark/>
          </w:tcPr>
          <w:p w14:paraId="0AB96FF4"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27,6%</w:t>
            </w:r>
          </w:p>
        </w:tc>
      </w:tr>
      <w:tr w:rsidR="00412CBD" w:rsidRPr="00515872" w14:paraId="7AE1C488" w14:textId="77777777" w:rsidTr="00515872">
        <w:tc>
          <w:tcPr>
            <w:tcW w:w="3628" w:type="pct"/>
            <w:hideMark/>
          </w:tcPr>
          <w:p w14:paraId="6FE4E835"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h) comuni da 250.000 a 1.499.999 abitanti</w:t>
            </w:r>
          </w:p>
        </w:tc>
        <w:tc>
          <w:tcPr>
            <w:tcW w:w="1372" w:type="pct"/>
            <w:hideMark/>
          </w:tcPr>
          <w:p w14:paraId="3BAD1A96"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28,8%</w:t>
            </w:r>
          </w:p>
        </w:tc>
      </w:tr>
      <w:tr w:rsidR="00412CBD" w:rsidRPr="00515872" w14:paraId="4475BE23" w14:textId="77777777" w:rsidTr="00515872">
        <w:tc>
          <w:tcPr>
            <w:tcW w:w="3628" w:type="pct"/>
            <w:hideMark/>
          </w:tcPr>
          <w:p w14:paraId="423D7FA8" w14:textId="77777777" w:rsidR="00412CBD" w:rsidRPr="00515872" w:rsidRDefault="00412CBD" w:rsidP="00412CBD">
            <w:pPr>
              <w:spacing w:after="0" w:line="240" w:lineRule="auto"/>
              <w:rPr>
                <w:rFonts w:eastAsia="Times New Roman" w:cs="Tahoma"/>
                <w:szCs w:val="20"/>
                <w:lang w:eastAsia="it-IT"/>
              </w:rPr>
            </w:pPr>
            <w:r w:rsidRPr="00515872">
              <w:rPr>
                <w:rFonts w:eastAsia="Times New Roman" w:cs="Tahoma"/>
                <w:szCs w:val="20"/>
                <w:lang w:eastAsia="it-IT"/>
              </w:rPr>
              <w:t>i) comuni con 1.500.000 di abitanti e oltre</w:t>
            </w:r>
          </w:p>
        </w:tc>
        <w:tc>
          <w:tcPr>
            <w:tcW w:w="1372" w:type="pct"/>
            <w:hideMark/>
          </w:tcPr>
          <w:p w14:paraId="4C571963" w14:textId="77777777" w:rsidR="00412CBD" w:rsidRPr="00515872" w:rsidRDefault="00412CBD" w:rsidP="00412CBD">
            <w:pPr>
              <w:spacing w:after="0" w:line="240" w:lineRule="auto"/>
              <w:jc w:val="center"/>
              <w:rPr>
                <w:rFonts w:eastAsia="Times New Roman" w:cs="Tahoma"/>
                <w:szCs w:val="20"/>
                <w:lang w:eastAsia="it-IT"/>
              </w:rPr>
            </w:pPr>
            <w:r w:rsidRPr="00515872">
              <w:rPr>
                <w:rFonts w:eastAsia="Times New Roman" w:cs="Tahoma"/>
                <w:szCs w:val="20"/>
                <w:lang w:eastAsia="it-IT"/>
              </w:rPr>
              <w:t>25,3%</w:t>
            </w:r>
          </w:p>
        </w:tc>
      </w:tr>
    </w:tbl>
    <w:p w14:paraId="740C1004" w14:textId="77777777" w:rsidR="00412CBD" w:rsidRPr="00515872" w:rsidRDefault="00412CBD" w:rsidP="00E037F4">
      <w:pPr>
        <w:spacing w:after="0" w:line="360" w:lineRule="auto"/>
        <w:jc w:val="both"/>
        <w:rPr>
          <w:rFonts w:eastAsia="Times New Roman" w:cs="Tahoma"/>
          <w:szCs w:val="20"/>
          <w:lang w:eastAsia="it-IT"/>
        </w:rPr>
      </w:pPr>
    </w:p>
    <w:p w14:paraId="0DCF585A" w14:textId="77777777" w:rsidR="001B6687" w:rsidRPr="00515872" w:rsidRDefault="00A9116F" w:rsidP="00A9116F">
      <w:pPr>
        <w:spacing w:line="240" w:lineRule="auto"/>
        <w:jc w:val="both"/>
        <w:rPr>
          <w:rFonts w:eastAsia="Times New Roman" w:cs="Tahoma"/>
          <w:b/>
          <w:bCs/>
          <w:szCs w:val="20"/>
          <w:lang w:eastAsia="it-IT"/>
        </w:rPr>
      </w:pPr>
      <w:r w:rsidRPr="00515872">
        <w:rPr>
          <w:rFonts w:eastAsia="Times New Roman" w:cs="Tahoma"/>
          <w:b/>
          <w:bCs/>
          <w:szCs w:val="20"/>
          <w:lang w:eastAsia="it-IT"/>
        </w:rPr>
        <w:t>Art. 5 – Tabella 2</w:t>
      </w:r>
    </w:p>
    <w:tbl>
      <w:tblPr>
        <w:tblStyle w:val="Grigliatabella"/>
        <w:tblW w:w="0" w:type="auto"/>
        <w:tblLook w:val="04A0" w:firstRow="1" w:lastRow="0" w:firstColumn="1" w:lastColumn="0" w:noHBand="0" w:noVBand="1"/>
      </w:tblPr>
      <w:tblGrid>
        <w:gridCol w:w="4390"/>
        <w:gridCol w:w="1134"/>
        <w:gridCol w:w="992"/>
        <w:gridCol w:w="992"/>
        <w:gridCol w:w="992"/>
        <w:gridCol w:w="1128"/>
      </w:tblGrid>
      <w:tr w:rsidR="00E331C1" w:rsidRPr="00515872" w14:paraId="7E69A6F2" w14:textId="77777777" w:rsidTr="00E331C1">
        <w:tc>
          <w:tcPr>
            <w:tcW w:w="4390" w:type="dxa"/>
          </w:tcPr>
          <w:p w14:paraId="667D2193"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Comuni</w:t>
            </w:r>
          </w:p>
        </w:tc>
        <w:tc>
          <w:tcPr>
            <w:tcW w:w="1134" w:type="dxa"/>
          </w:tcPr>
          <w:p w14:paraId="697DFD09"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2020</w:t>
            </w:r>
          </w:p>
        </w:tc>
        <w:tc>
          <w:tcPr>
            <w:tcW w:w="992" w:type="dxa"/>
          </w:tcPr>
          <w:p w14:paraId="21612D0B"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2021</w:t>
            </w:r>
          </w:p>
        </w:tc>
        <w:tc>
          <w:tcPr>
            <w:tcW w:w="992" w:type="dxa"/>
          </w:tcPr>
          <w:p w14:paraId="2809D29E"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2022</w:t>
            </w:r>
          </w:p>
        </w:tc>
        <w:tc>
          <w:tcPr>
            <w:tcW w:w="992" w:type="dxa"/>
          </w:tcPr>
          <w:p w14:paraId="1BE1C627"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2023</w:t>
            </w:r>
          </w:p>
        </w:tc>
        <w:tc>
          <w:tcPr>
            <w:tcW w:w="1128" w:type="dxa"/>
          </w:tcPr>
          <w:p w14:paraId="3F7B75F9" w14:textId="77777777" w:rsidR="001B6687" w:rsidRPr="00515872" w:rsidRDefault="001B6687" w:rsidP="00E331C1">
            <w:pPr>
              <w:pStyle w:val="Testonotaapidipagina"/>
              <w:jc w:val="center"/>
              <w:rPr>
                <w:rFonts w:ascii="Tahoma" w:hAnsi="Tahoma" w:cs="Tahoma"/>
                <w:b/>
              </w:rPr>
            </w:pPr>
            <w:r w:rsidRPr="00515872">
              <w:rPr>
                <w:rFonts w:ascii="Tahoma" w:hAnsi="Tahoma" w:cs="Tahoma"/>
                <w:b/>
              </w:rPr>
              <w:t>2024</w:t>
            </w:r>
          </w:p>
        </w:tc>
      </w:tr>
      <w:tr w:rsidR="00E331C1" w:rsidRPr="00515872" w14:paraId="24EA811A" w14:textId="77777777" w:rsidTr="00E331C1">
        <w:tc>
          <w:tcPr>
            <w:tcW w:w="4390" w:type="dxa"/>
          </w:tcPr>
          <w:p w14:paraId="36369BC8" w14:textId="77777777" w:rsidR="001B6687" w:rsidRPr="00515872" w:rsidRDefault="001B6687" w:rsidP="009922F9">
            <w:pPr>
              <w:pStyle w:val="Testonotaapidipagina"/>
              <w:rPr>
                <w:rFonts w:ascii="Tahoma" w:hAnsi="Tahoma" w:cs="Tahoma"/>
              </w:rPr>
            </w:pPr>
            <w:r w:rsidRPr="00515872">
              <w:rPr>
                <w:rFonts w:ascii="Tahoma" w:hAnsi="Tahoma" w:cs="Tahoma"/>
              </w:rPr>
              <w:t>Comuni con meno di 1.000 abitanti</w:t>
            </w:r>
          </w:p>
        </w:tc>
        <w:tc>
          <w:tcPr>
            <w:tcW w:w="1134" w:type="dxa"/>
          </w:tcPr>
          <w:p w14:paraId="680329E3" w14:textId="77777777" w:rsidR="001B6687" w:rsidRPr="00515872" w:rsidRDefault="005D2667" w:rsidP="00E331C1">
            <w:pPr>
              <w:pStyle w:val="Testonotaapidipagina"/>
              <w:jc w:val="center"/>
              <w:rPr>
                <w:rFonts w:ascii="Tahoma" w:hAnsi="Tahoma" w:cs="Tahoma"/>
              </w:rPr>
            </w:pPr>
            <w:r w:rsidRPr="00515872">
              <w:rPr>
                <w:rFonts w:ascii="Tahoma" w:hAnsi="Tahoma" w:cs="Tahoma"/>
              </w:rPr>
              <w:t>23,0%</w:t>
            </w:r>
          </w:p>
        </w:tc>
        <w:tc>
          <w:tcPr>
            <w:tcW w:w="992" w:type="dxa"/>
          </w:tcPr>
          <w:p w14:paraId="5C6AC853" w14:textId="77777777" w:rsidR="001B6687" w:rsidRPr="00515872" w:rsidRDefault="005D2667" w:rsidP="00E331C1">
            <w:pPr>
              <w:pStyle w:val="Testonotaapidipagina"/>
              <w:jc w:val="center"/>
              <w:rPr>
                <w:rFonts w:ascii="Tahoma" w:hAnsi="Tahoma" w:cs="Tahoma"/>
              </w:rPr>
            </w:pPr>
            <w:r w:rsidRPr="00515872">
              <w:rPr>
                <w:rFonts w:ascii="Tahoma" w:hAnsi="Tahoma" w:cs="Tahoma"/>
              </w:rPr>
              <w:t>29,0%</w:t>
            </w:r>
          </w:p>
        </w:tc>
        <w:tc>
          <w:tcPr>
            <w:tcW w:w="992" w:type="dxa"/>
          </w:tcPr>
          <w:p w14:paraId="0793F059" w14:textId="77777777" w:rsidR="001B6687" w:rsidRPr="00515872" w:rsidRDefault="005D2667" w:rsidP="00E331C1">
            <w:pPr>
              <w:pStyle w:val="Testonotaapidipagina"/>
              <w:jc w:val="center"/>
              <w:rPr>
                <w:rFonts w:ascii="Tahoma" w:hAnsi="Tahoma" w:cs="Tahoma"/>
              </w:rPr>
            </w:pPr>
            <w:r w:rsidRPr="00515872">
              <w:rPr>
                <w:rFonts w:ascii="Tahoma" w:hAnsi="Tahoma" w:cs="Tahoma"/>
              </w:rPr>
              <w:t>33,0%</w:t>
            </w:r>
          </w:p>
        </w:tc>
        <w:tc>
          <w:tcPr>
            <w:tcW w:w="992" w:type="dxa"/>
          </w:tcPr>
          <w:p w14:paraId="517831CA" w14:textId="77777777" w:rsidR="001B6687" w:rsidRPr="00515872" w:rsidRDefault="005D2667" w:rsidP="00E331C1">
            <w:pPr>
              <w:pStyle w:val="Testonotaapidipagina"/>
              <w:jc w:val="center"/>
              <w:rPr>
                <w:rFonts w:ascii="Tahoma" w:hAnsi="Tahoma" w:cs="Tahoma"/>
              </w:rPr>
            </w:pPr>
            <w:r w:rsidRPr="00515872">
              <w:rPr>
                <w:rFonts w:ascii="Tahoma" w:hAnsi="Tahoma" w:cs="Tahoma"/>
              </w:rPr>
              <w:t>34,0%</w:t>
            </w:r>
          </w:p>
        </w:tc>
        <w:tc>
          <w:tcPr>
            <w:tcW w:w="1128" w:type="dxa"/>
          </w:tcPr>
          <w:p w14:paraId="0B1AF9B6" w14:textId="77777777" w:rsidR="001B6687" w:rsidRPr="00515872" w:rsidRDefault="005D2667" w:rsidP="00E331C1">
            <w:pPr>
              <w:pStyle w:val="Testonotaapidipagina"/>
              <w:jc w:val="center"/>
              <w:rPr>
                <w:rFonts w:ascii="Tahoma" w:hAnsi="Tahoma" w:cs="Tahoma"/>
              </w:rPr>
            </w:pPr>
            <w:r w:rsidRPr="00515872">
              <w:rPr>
                <w:rFonts w:ascii="Tahoma" w:hAnsi="Tahoma" w:cs="Tahoma"/>
              </w:rPr>
              <w:t>35,0%</w:t>
            </w:r>
          </w:p>
        </w:tc>
      </w:tr>
      <w:tr w:rsidR="00E331C1" w:rsidRPr="00515872" w14:paraId="496BFFE1" w14:textId="77777777" w:rsidTr="00E331C1">
        <w:tc>
          <w:tcPr>
            <w:tcW w:w="4390" w:type="dxa"/>
          </w:tcPr>
          <w:p w14:paraId="53678EF2" w14:textId="77777777" w:rsidR="002F14B9" w:rsidRPr="00515872" w:rsidRDefault="002F14B9" w:rsidP="002F14B9">
            <w:pPr>
              <w:pStyle w:val="Testonotaapidipagina"/>
              <w:rPr>
                <w:rFonts w:ascii="Tahoma" w:hAnsi="Tahoma" w:cs="Tahoma"/>
              </w:rPr>
            </w:pPr>
            <w:r w:rsidRPr="00515872">
              <w:rPr>
                <w:rFonts w:ascii="Tahoma" w:hAnsi="Tahoma" w:cs="Tahoma"/>
              </w:rPr>
              <w:t>Comuni da 1.000 a 1.999 abitanti</w:t>
            </w:r>
          </w:p>
        </w:tc>
        <w:tc>
          <w:tcPr>
            <w:tcW w:w="1134" w:type="dxa"/>
          </w:tcPr>
          <w:p w14:paraId="46E3C536" w14:textId="77777777" w:rsidR="002F14B9" w:rsidRPr="00515872" w:rsidRDefault="002F14B9" w:rsidP="00E331C1">
            <w:pPr>
              <w:pStyle w:val="Testonotaapidipagina"/>
              <w:jc w:val="center"/>
              <w:rPr>
                <w:rFonts w:ascii="Tahoma" w:hAnsi="Tahoma" w:cs="Tahoma"/>
              </w:rPr>
            </w:pPr>
            <w:r w:rsidRPr="00515872">
              <w:rPr>
                <w:rFonts w:ascii="Tahoma" w:hAnsi="Tahoma" w:cs="Tahoma"/>
              </w:rPr>
              <w:t>23,0%</w:t>
            </w:r>
          </w:p>
        </w:tc>
        <w:tc>
          <w:tcPr>
            <w:tcW w:w="992" w:type="dxa"/>
          </w:tcPr>
          <w:p w14:paraId="2B1186A7" w14:textId="77777777" w:rsidR="002F14B9" w:rsidRPr="00515872" w:rsidRDefault="002F14B9" w:rsidP="00E331C1">
            <w:pPr>
              <w:pStyle w:val="Testonotaapidipagina"/>
              <w:jc w:val="center"/>
              <w:rPr>
                <w:rFonts w:ascii="Tahoma" w:hAnsi="Tahoma" w:cs="Tahoma"/>
              </w:rPr>
            </w:pPr>
            <w:r w:rsidRPr="00515872">
              <w:rPr>
                <w:rFonts w:ascii="Tahoma" w:hAnsi="Tahoma" w:cs="Tahoma"/>
              </w:rPr>
              <w:t>29,0%</w:t>
            </w:r>
          </w:p>
        </w:tc>
        <w:tc>
          <w:tcPr>
            <w:tcW w:w="992" w:type="dxa"/>
          </w:tcPr>
          <w:p w14:paraId="5A678CEF" w14:textId="77777777" w:rsidR="002F14B9" w:rsidRPr="00515872" w:rsidRDefault="002F14B9" w:rsidP="00E331C1">
            <w:pPr>
              <w:pStyle w:val="Testonotaapidipagina"/>
              <w:jc w:val="center"/>
              <w:rPr>
                <w:rFonts w:ascii="Tahoma" w:hAnsi="Tahoma" w:cs="Tahoma"/>
              </w:rPr>
            </w:pPr>
            <w:r w:rsidRPr="00515872">
              <w:rPr>
                <w:rFonts w:ascii="Tahoma" w:hAnsi="Tahoma" w:cs="Tahoma"/>
              </w:rPr>
              <w:t>33,0%</w:t>
            </w:r>
          </w:p>
        </w:tc>
        <w:tc>
          <w:tcPr>
            <w:tcW w:w="992" w:type="dxa"/>
          </w:tcPr>
          <w:p w14:paraId="5196859D" w14:textId="77777777" w:rsidR="002F14B9" w:rsidRPr="00515872" w:rsidRDefault="002F14B9" w:rsidP="00E331C1">
            <w:pPr>
              <w:pStyle w:val="Testonotaapidipagina"/>
              <w:jc w:val="center"/>
              <w:rPr>
                <w:rFonts w:ascii="Tahoma" w:hAnsi="Tahoma" w:cs="Tahoma"/>
              </w:rPr>
            </w:pPr>
            <w:r w:rsidRPr="00515872">
              <w:rPr>
                <w:rFonts w:ascii="Tahoma" w:hAnsi="Tahoma" w:cs="Tahoma"/>
              </w:rPr>
              <w:t>34,0%</w:t>
            </w:r>
          </w:p>
        </w:tc>
        <w:tc>
          <w:tcPr>
            <w:tcW w:w="1128" w:type="dxa"/>
          </w:tcPr>
          <w:p w14:paraId="1690BB3E" w14:textId="77777777" w:rsidR="002F14B9" w:rsidRPr="00515872" w:rsidRDefault="002F14B9" w:rsidP="00E331C1">
            <w:pPr>
              <w:pStyle w:val="Testonotaapidipagina"/>
              <w:jc w:val="center"/>
              <w:rPr>
                <w:rFonts w:ascii="Tahoma" w:hAnsi="Tahoma" w:cs="Tahoma"/>
              </w:rPr>
            </w:pPr>
            <w:r w:rsidRPr="00515872">
              <w:rPr>
                <w:rFonts w:ascii="Tahoma" w:hAnsi="Tahoma" w:cs="Tahoma"/>
              </w:rPr>
              <w:t>35,0%</w:t>
            </w:r>
          </w:p>
        </w:tc>
      </w:tr>
      <w:tr w:rsidR="00E331C1" w:rsidRPr="00515872" w14:paraId="115BD71B" w14:textId="77777777" w:rsidTr="00E331C1">
        <w:tc>
          <w:tcPr>
            <w:tcW w:w="4390" w:type="dxa"/>
          </w:tcPr>
          <w:p w14:paraId="4F444A15" w14:textId="77777777" w:rsidR="002F14B9" w:rsidRPr="00515872" w:rsidRDefault="002F14B9" w:rsidP="002F14B9">
            <w:pPr>
              <w:pStyle w:val="Testonotaapidipagina"/>
              <w:rPr>
                <w:rFonts w:ascii="Tahoma" w:hAnsi="Tahoma" w:cs="Tahoma"/>
              </w:rPr>
            </w:pPr>
            <w:r w:rsidRPr="00515872">
              <w:rPr>
                <w:rFonts w:ascii="Tahoma" w:hAnsi="Tahoma" w:cs="Tahoma"/>
              </w:rPr>
              <w:t>Comuni da 2.000 a 2.999 abitanti</w:t>
            </w:r>
          </w:p>
        </w:tc>
        <w:tc>
          <w:tcPr>
            <w:tcW w:w="1134" w:type="dxa"/>
          </w:tcPr>
          <w:p w14:paraId="09DADE53" w14:textId="77777777" w:rsidR="002F14B9" w:rsidRPr="00515872" w:rsidRDefault="002F14B9" w:rsidP="00E331C1">
            <w:pPr>
              <w:pStyle w:val="Testonotaapidipagina"/>
              <w:jc w:val="center"/>
              <w:rPr>
                <w:rFonts w:ascii="Tahoma" w:hAnsi="Tahoma" w:cs="Tahoma"/>
              </w:rPr>
            </w:pPr>
            <w:r w:rsidRPr="00515872">
              <w:rPr>
                <w:rFonts w:ascii="Tahoma" w:hAnsi="Tahoma" w:cs="Tahoma"/>
              </w:rPr>
              <w:t>20,0%</w:t>
            </w:r>
          </w:p>
        </w:tc>
        <w:tc>
          <w:tcPr>
            <w:tcW w:w="992" w:type="dxa"/>
          </w:tcPr>
          <w:p w14:paraId="2C8FCFB3" w14:textId="77777777" w:rsidR="002F14B9" w:rsidRPr="00515872" w:rsidRDefault="002F14B9" w:rsidP="00E331C1">
            <w:pPr>
              <w:pStyle w:val="Testonotaapidipagina"/>
              <w:jc w:val="center"/>
              <w:rPr>
                <w:rFonts w:ascii="Tahoma" w:hAnsi="Tahoma" w:cs="Tahoma"/>
              </w:rPr>
            </w:pPr>
            <w:r w:rsidRPr="00515872">
              <w:rPr>
                <w:rFonts w:ascii="Tahoma" w:hAnsi="Tahoma" w:cs="Tahoma"/>
              </w:rPr>
              <w:t>25,0%</w:t>
            </w:r>
          </w:p>
        </w:tc>
        <w:tc>
          <w:tcPr>
            <w:tcW w:w="992" w:type="dxa"/>
          </w:tcPr>
          <w:p w14:paraId="241FCCB0" w14:textId="77777777" w:rsidR="002F14B9" w:rsidRPr="00515872" w:rsidRDefault="002F14B9" w:rsidP="00E331C1">
            <w:pPr>
              <w:pStyle w:val="Testonotaapidipagina"/>
              <w:jc w:val="center"/>
              <w:rPr>
                <w:rFonts w:ascii="Tahoma" w:hAnsi="Tahoma" w:cs="Tahoma"/>
              </w:rPr>
            </w:pPr>
            <w:r w:rsidRPr="00515872">
              <w:rPr>
                <w:rFonts w:ascii="Tahoma" w:hAnsi="Tahoma" w:cs="Tahoma"/>
              </w:rPr>
              <w:t>28,0%</w:t>
            </w:r>
          </w:p>
        </w:tc>
        <w:tc>
          <w:tcPr>
            <w:tcW w:w="992" w:type="dxa"/>
          </w:tcPr>
          <w:p w14:paraId="72FC3A6D" w14:textId="77777777" w:rsidR="002F14B9" w:rsidRPr="00515872" w:rsidRDefault="002F14B9" w:rsidP="00E331C1">
            <w:pPr>
              <w:pStyle w:val="Testonotaapidipagina"/>
              <w:jc w:val="center"/>
              <w:rPr>
                <w:rFonts w:ascii="Tahoma" w:hAnsi="Tahoma" w:cs="Tahoma"/>
              </w:rPr>
            </w:pPr>
            <w:r w:rsidRPr="00515872">
              <w:rPr>
                <w:rFonts w:ascii="Tahoma" w:hAnsi="Tahoma" w:cs="Tahoma"/>
              </w:rPr>
              <w:t>29,0%</w:t>
            </w:r>
          </w:p>
        </w:tc>
        <w:tc>
          <w:tcPr>
            <w:tcW w:w="1128" w:type="dxa"/>
          </w:tcPr>
          <w:p w14:paraId="515A542B" w14:textId="77777777" w:rsidR="002F14B9" w:rsidRPr="00515872" w:rsidRDefault="002F14B9" w:rsidP="00E331C1">
            <w:pPr>
              <w:pStyle w:val="Testonotaapidipagina"/>
              <w:jc w:val="center"/>
              <w:rPr>
                <w:rFonts w:ascii="Tahoma" w:hAnsi="Tahoma" w:cs="Tahoma"/>
              </w:rPr>
            </w:pPr>
            <w:r w:rsidRPr="00515872">
              <w:rPr>
                <w:rFonts w:ascii="Tahoma" w:hAnsi="Tahoma" w:cs="Tahoma"/>
              </w:rPr>
              <w:t>30,0%</w:t>
            </w:r>
          </w:p>
        </w:tc>
      </w:tr>
      <w:tr w:rsidR="00E331C1" w:rsidRPr="00515872" w14:paraId="24BC823E" w14:textId="77777777" w:rsidTr="00E331C1">
        <w:tc>
          <w:tcPr>
            <w:tcW w:w="4390" w:type="dxa"/>
          </w:tcPr>
          <w:p w14:paraId="0B57E65A" w14:textId="77777777" w:rsidR="002F14B9" w:rsidRPr="00515872" w:rsidRDefault="002F14B9" w:rsidP="002F14B9">
            <w:pPr>
              <w:pStyle w:val="Testonotaapidipagina"/>
              <w:rPr>
                <w:rFonts w:ascii="Tahoma" w:hAnsi="Tahoma" w:cs="Tahoma"/>
              </w:rPr>
            </w:pPr>
            <w:r w:rsidRPr="00515872">
              <w:rPr>
                <w:rFonts w:ascii="Tahoma" w:hAnsi="Tahoma" w:cs="Tahoma"/>
              </w:rPr>
              <w:t>Comuni da 3.000 a 4.999 abitanti</w:t>
            </w:r>
          </w:p>
        </w:tc>
        <w:tc>
          <w:tcPr>
            <w:tcW w:w="1134" w:type="dxa"/>
          </w:tcPr>
          <w:p w14:paraId="462CBF5F" w14:textId="77777777" w:rsidR="002F14B9" w:rsidRPr="00515872" w:rsidRDefault="002F14B9" w:rsidP="00E331C1">
            <w:pPr>
              <w:pStyle w:val="Testonotaapidipagina"/>
              <w:jc w:val="center"/>
              <w:rPr>
                <w:rFonts w:ascii="Tahoma" w:hAnsi="Tahoma" w:cs="Tahoma"/>
              </w:rPr>
            </w:pPr>
            <w:r w:rsidRPr="00515872">
              <w:rPr>
                <w:rFonts w:ascii="Tahoma" w:hAnsi="Tahoma" w:cs="Tahoma"/>
              </w:rPr>
              <w:t>19,0%</w:t>
            </w:r>
          </w:p>
        </w:tc>
        <w:tc>
          <w:tcPr>
            <w:tcW w:w="992" w:type="dxa"/>
          </w:tcPr>
          <w:p w14:paraId="3DB66D96" w14:textId="77777777" w:rsidR="002F14B9" w:rsidRPr="00515872" w:rsidRDefault="002F14B9" w:rsidP="00E331C1">
            <w:pPr>
              <w:pStyle w:val="Testonotaapidipagina"/>
              <w:jc w:val="center"/>
              <w:rPr>
                <w:rFonts w:ascii="Tahoma" w:hAnsi="Tahoma" w:cs="Tahoma"/>
              </w:rPr>
            </w:pPr>
            <w:r w:rsidRPr="00515872">
              <w:rPr>
                <w:rFonts w:ascii="Tahoma" w:hAnsi="Tahoma" w:cs="Tahoma"/>
              </w:rPr>
              <w:t>24,0%</w:t>
            </w:r>
          </w:p>
        </w:tc>
        <w:tc>
          <w:tcPr>
            <w:tcW w:w="992" w:type="dxa"/>
          </w:tcPr>
          <w:p w14:paraId="1A96F7AD" w14:textId="77777777" w:rsidR="002F14B9" w:rsidRPr="00515872" w:rsidRDefault="002F14B9" w:rsidP="00E331C1">
            <w:pPr>
              <w:pStyle w:val="Testonotaapidipagina"/>
              <w:jc w:val="center"/>
              <w:rPr>
                <w:rFonts w:ascii="Tahoma" w:hAnsi="Tahoma" w:cs="Tahoma"/>
              </w:rPr>
            </w:pPr>
            <w:r w:rsidRPr="00515872">
              <w:rPr>
                <w:rFonts w:ascii="Tahoma" w:hAnsi="Tahoma" w:cs="Tahoma"/>
              </w:rPr>
              <w:t>26,0%</w:t>
            </w:r>
          </w:p>
        </w:tc>
        <w:tc>
          <w:tcPr>
            <w:tcW w:w="992" w:type="dxa"/>
          </w:tcPr>
          <w:p w14:paraId="2CA855B5" w14:textId="77777777" w:rsidR="002F14B9" w:rsidRPr="00515872" w:rsidRDefault="002F14B9" w:rsidP="00E331C1">
            <w:pPr>
              <w:pStyle w:val="Testonotaapidipagina"/>
              <w:jc w:val="center"/>
              <w:rPr>
                <w:rFonts w:ascii="Tahoma" w:hAnsi="Tahoma" w:cs="Tahoma"/>
              </w:rPr>
            </w:pPr>
            <w:r w:rsidRPr="00515872">
              <w:rPr>
                <w:rFonts w:ascii="Tahoma" w:hAnsi="Tahoma" w:cs="Tahoma"/>
              </w:rPr>
              <w:t>27,0%</w:t>
            </w:r>
          </w:p>
        </w:tc>
        <w:tc>
          <w:tcPr>
            <w:tcW w:w="1128" w:type="dxa"/>
          </w:tcPr>
          <w:p w14:paraId="50ECBA86" w14:textId="77777777" w:rsidR="002F14B9" w:rsidRPr="00515872" w:rsidRDefault="002F14B9" w:rsidP="00E331C1">
            <w:pPr>
              <w:pStyle w:val="Testonotaapidipagina"/>
              <w:jc w:val="center"/>
              <w:rPr>
                <w:rFonts w:ascii="Tahoma" w:hAnsi="Tahoma" w:cs="Tahoma"/>
              </w:rPr>
            </w:pPr>
            <w:r w:rsidRPr="00515872">
              <w:rPr>
                <w:rFonts w:ascii="Tahoma" w:hAnsi="Tahoma" w:cs="Tahoma"/>
              </w:rPr>
              <w:t>28,0%</w:t>
            </w:r>
          </w:p>
        </w:tc>
      </w:tr>
      <w:tr w:rsidR="00E331C1" w:rsidRPr="00515872" w14:paraId="56F84C8C" w14:textId="77777777" w:rsidTr="00E331C1">
        <w:tc>
          <w:tcPr>
            <w:tcW w:w="4390" w:type="dxa"/>
          </w:tcPr>
          <w:p w14:paraId="6EDD5D03" w14:textId="77777777" w:rsidR="002F14B9" w:rsidRPr="00515872" w:rsidRDefault="002F14B9" w:rsidP="002F14B9">
            <w:pPr>
              <w:pStyle w:val="Testonotaapidipagina"/>
              <w:rPr>
                <w:rFonts w:ascii="Tahoma" w:hAnsi="Tahoma" w:cs="Tahoma"/>
              </w:rPr>
            </w:pPr>
            <w:r w:rsidRPr="00515872">
              <w:rPr>
                <w:rFonts w:ascii="Tahoma" w:hAnsi="Tahoma" w:cs="Tahoma"/>
              </w:rPr>
              <w:t>Comuni da 5.000 a 9.999 abitanti</w:t>
            </w:r>
          </w:p>
        </w:tc>
        <w:tc>
          <w:tcPr>
            <w:tcW w:w="1134" w:type="dxa"/>
          </w:tcPr>
          <w:p w14:paraId="3D4629C9" w14:textId="77777777" w:rsidR="002F14B9" w:rsidRPr="00515872" w:rsidRDefault="002F14B9" w:rsidP="00E331C1">
            <w:pPr>
              <w:pStyle w:val="Testonotaapidipagina"/>
              <w:jc w:val="center"/>
              <w:rPr>
                <w:rFonts w:ascii="Tahoma" w:hAnsi="Tahoma" w:cs="Tahoma"/>
              </w:rPr>
            </w:pPr>
            <w:r w:rsidRPr="00515872">
              <w:rPr>
                <w:rFonts w:ascii="Tahoma" w:hAnsi="Tahoma" w:cs="Tahoma"/>
              </w:rPr>
              <w:t>17,0%</w:t>
            </w:r>
          </w:p>
        </w:tc>
        <w:tc>
          <w:tcPr>
            <w:tcW w:w="992" w:type="dxa"/>
          </w:tcPr>
          <w:p w14:paraId="47BDDADC" w14:textId="77777777" w:rsidR="002F14B9" w:rsidRPr="00515872" w:rsidRDefault="002F14B9" w:rsidP="00E331C1">
            <w:pPr>
              <w:pStyle w:val="Testonotaapidipagina"/>
              <w:jc w:val="center"/>
              <w:rPr>
                <w:rFonts w:ascii="Tahoma" w:hAnsi="Tahoma" w:cs="Tahoma"/>
              </w:rPr>
            </w:pPr>
            <w:r w:rsidRPr="00515872">
              <w:rPr>
                <w:rFonts w:ascii="Tahoma" w:hAnsi="Tahoma" w:cs="Tahoma"/>
              </w:rPr>
              <w:t>21,0%</w:t>
            </w:r>
          </w:p>
        </w:tc>
        <w:tc>
          <w:tcPr>
            <w:tcW w:w="992" w:type="dxa"/>
          </w:tcPr>
          <w:p w14:paraId="598217C4" w14:textId="77777777" w:rsidR="002F14B9" w:rsidRPr="00515872" w:rsidRDefault="002F14B9" w:rsidP="00E331C1">
            <w:pPr>
              <w:pStyle w:val="Testonotaapidipagina"/>
              <w:jc w:val="center"/>
              <w:rPr>
                <w:rFonts w:ascii="Tahoma" w:hAnsi="Tahoma" w:cs="Tahoma"/>
              </w:rPr>
            </w:pPr>
            <w:r w:rsidRPr="00515872">
              <w:rPr>
                <w:rFonts w:ascii="Tahoma" w:hAnsi="Tahoma" w:cs="Tahoma"/>
              </w:rPr>
              <w:t>24,0%</w:t>
            </w:r>
          </w:p>
        </w:tc>
        <w:tc>
          <w:tcPr>
            <w:tcW w:w="992" w:type="dxa"/>
          </w:tcPr>
          <w:p w14:paraId="6ED69EFB" w14:textId="77777777" w:rsidR="002F14B9" w:rsidRPr="00515872" w:rsidRDefault="002F14B9" w:rsidP="00E331C1">
            <w:pPr>
              <w:pStyle w:val="Testonotaapidipagina"/>
              <w:jc w:val="center"/>
              <w:rPr>
                <w:rFonts w:ascii="Tahoma" w:hAnsi="Tahoma" w:cs="Tahoma"/>
              </w:rPr>
            </w:pPr>
            <w:r w:rsidRPr="00515872">
              <w:rPr>
                <w:rFonts w:ascii="Tahoma" w:hAnsi="Tahoma" w:cs="Tahoma"/>
              </w:rPr>
              <w:t>25,0%</w:t>
            </w:r>
          </w:p>
        </w:tc>
        <w:tc>
          <w:tcPr>
            <w:tcW w:w="1128" w:type="dxa"/>
          </w:tcPr>
          <w:p w14:paraId="3A9DE8C9" w14:textId="77777777" w:rsidR="002F14B9" w:rsidRPr="00515872" w:rsidRDefault="002F14B9" w:rsidP="00E331C1">
            <w:pPr>
              <w:pStyle w:val="Testonotaapidipagina"/>
              <w:jc w:val="center"/>
              <w:rPr>
                <w:rFonts w:ascii="Tahoma" w:hAnsi="Tahoma" w:cs="Tahoma"/>
              </w:rPr>
            </w:pPr>
            <w:r w:rsidRPr="00515872">
              <w:rPr>
                <w:rFonts w:ascii="Tahoma" w:hAnsi="Tahoma" w:cs="Tahoma"/>
              </w:rPr>
              <w:t>26,0%</w:t>
            </w:r>
          </w:p>
        </w:tc>
      </w:tr>
      <w:tr w:rsidR="00E331C1" w:rsidRPr="00515872" w14:paraId="7FDEC374" w14:textId="77777777" w:rsidTr="00E331C1">
        <w:tc>
          <w:tcPr>
            <w:tcW w:w="4390" w:type="dxa"/>
          </w:tcPr>
          <w:p w14:paraId="0E9D756C" w14:textId="77777777" w:rsidR="002F14B9" w:rsidRPr="00515872" w:rsidRDefault="002F14B9" w:rsidP="002F14B9">
            <w:pPr>
              <w:pStyle w:val="Testonotaapidipagina"/>
              <w:rPr>
                <w:rFonts w:ascii="Tahoma" w:hAnsi="Tahoma" w:cs="Tahoma"/>
              </w:rPr>
            </w:pPr>
            <w:r w:rsidRPr="00515872">
              <w:rPr>
                <w:rFonts w:ascii="Tahoma" w:hAnsi="Tahoma" w:cs="Tahoma"/>
              </w:rPr>
              <w:t>Comuni da 10.000 a 59.999 abitanti</w:t>
            </w:r>
          </w:p>
        </w:tc>
        <w:tc>
          <w:tcPr>
            <w:tcW w:w="1134" w:type="dxa"/>
          </w:tcPr>
          <w:p w14:paraId="49AE6C8D" w14:textId="77777777" w:rsidR="002F14B9" w:rsidRPr="00515872" w:rsidRDefault="002F14B9" w:rsidP="00E331C1">
            <w:pPr>
              <w:pStyle w:val="Testonotaapidipagina"/>
              <w:jc w:val="center"/>
              <w:rPr>
                <w:rFonts w:ascii="Tahoma" w:hAnsi="Tahoma" w:cs="Tahoma"/>
              </w:rPr>
            </w:pPr>
            <w:r w:rsidRPr="00515872">
              <w:rPr>
                <w:rFonts w:ascii="Tahoma" w:hAnsi="Tahoma" w:cs="Tahoma"/>
              </w:rPr>
              <w:t>9,0%</w:t>
            </w:r>
          </w:p>
        </w:tc>
        <w:tc>
          <w:tcPr>
            <w:tcW w:w="992" w:type="dxa"/>
          </w:tcPr>
          <w:p w14:paraId="43873F87" w14:textId="77777777" w:rsidR="002F14B9" w:rsidRPr="00515872" w:rsidRDefault="002F14B9" w:rsidP="00E331C1">
            <w:pPr>
              <w:pStyle w:val="Testonotaapidipagina"/>
              <w:jc w:val="center"/>
              <w:rPr>
                <w:rFonts w:ascii="Tahoma" w:hAnsi="Tahoma" w:cs="Tahoma"/>
              </w:rPr>
            </w:pPr>
            <w:r w:rsidRPr="00515872">
              <w:rPr>
                <w:rFonts w:ascii="Tahoma" w:hAnsi="Tahoma" w:cs="Tahoma"/>
              </w:rPr>
              <w:t>16,0%</w:t>
            </w:r>
          </w:p>
        </w:tc>
        <w:tc>
          <w:tcPr>
            <w:tcW w:w="992" w:type="dxa"/>
          </w:tcPr>
          <w:p w14:paraId="369D03DF" w14:textId="77777777" w:rsidR="002F14B9" w:rsidRPr="00515872" w:rsidRDefault="002F14B9" w:rsidP="00E331C1">
            <w:pPr>
              <w:pStyle w:val="Testonotaapidipagina"/>
              <w:jc w:val="center"/>
              <w:rPr>
                <w:rFonts w:ascii="Tahoma" w:hAnsi="Tahoma" w:cs="Tahoma"/>
              </w:rPr>
            </w:pPr>
            <w:r w:rsidRPr="00515872">
              <w:rPr>
                <w:rFonts w:ascii="Tahoma" w:hAnsi="Tahoma" w:cs="Tahoma"/>
              </w:rPr>
              <w:t>19,0%</w:t>
            </w:r>
          </w:p>
        </w:tc>
        <w:tc>
          <w:tcPr>
            <w:tcW w:w="992" w:type="dxa"/>
          </w:tcPr>
          <w:p w14:paraId="40AA5615" w14:textId="77777777" w:rsidR="002F14B9" w:rsidRPr="00515872" w:rsidRDefault="002F14B9" w:rsidP="00E331C1">
            <w:pPr>
              <w:pStyle w:val="Testonotaapidipagina"/>
              <w:jc w:val="center"/>
              <w:rPr>
                <w:rFonts w:ascii="Tahoma" w:hAnsi="Tahoma" w:cs="Tahoma"/>
              </w:rPr>
            </w:pPr>
            <w:r w:rsidRPr="00515872">
              <w:rPr>
                <w:rFonts w:ascii="Tahoma" w:hAnsi="Tahoma" w:cs="Tahoma"/>
              </w:rPr>
              <w:t>21,0%</w:t>
            </w:r>
          </w:p>
        </w:tc>
        <w:tc>
          <w:tcPr>
            <w:tcW w:w="1128" w:type="dxa"/>
          </w:tcPr>
          <w:p w14:paraId="61B535D3" w14:textId="77777777" w:rsidR="002F14B9" w:rsidRPr="00515872" w:rsidRDefault="002F14B9" w:rsidP="00E331C1">
            <w:pPr>
              <w:pStyle w:val="Testonotaapidipagina"/>
              <w:jc w:val="center"/>
              <w:rPr>
                <w:rFonts w:ascii="Tahoma" w:hAnsi="Tahoma" w:cs="Tahoma"/>
              </w:rPr>
            </w:pPr>
            <w:r w:rsidRPr="00515872">
              <w:rPr>
                <w:rFonts w:ascii="Tahoma" w:hAnsi="Tahoma" w:cs="Tahoma"/>
              </w:rPr>
              <w:t>22,0%</w:t>
            </w:r>
          </w:p>
        </w:tc>
      </w:tr>
      <w:tr w:rsidR="00E331C1" w:rsidRPr="00515872" w14:paraId="46FE606C" w14:textId="77777777" w:rsidTr="00E331C1">
        <w:tc>
          <w:tcPr>
            <w:tcW w:w="4390" w:type="dxa"/>
          </w:tcPr>
          <w:p w14:paraId="1FFD373F" w14:textId="77777777" w:rsidR="002F14B9" w:rsidRPr="00515872" w:rsidRDefault="002F14B9" w:rsidP="002F14B9">
            <w:pPr>
              <w:pStyle w:val="Testonotaapidipagina"/>
              <w:rPr>
                <w:rFonts w:ascii="Tahoma" w:hAnsi="Tahoma" w:cs="Tahoma"/>
              </w:rPr>
            </w:pPr>
            <w:r w:rsidRPr="00515872">
              <w:rPr>
                <w:rFonts w:ascii="Tahoma" w:hAnsi="Tahoma" w:cs="Tahoma"/>
              </w:rPr>
              <w:t>Comuni da 60.000 a 249.999 abitanti</w:t>
            </w:r>
          </w:p>
        </w:tc>
        <w:tc>
          <w:tcPr>
            <w:tcW w:w="1134" w:type="dxa"/>
          </w:tcPr>
          <w:p w14:paraId="503D3A56" w14:textId="77777777" w:rsidR="002F14B9" w:rsidRPr="00515872" w:rsidRDefault="002F14B9" w:rsidP="00E331C1">
            <w:pPr>
              <w:pStyle w:val="Testonotaapidipagina"/>
              <w:jc w:val="center"/>
              <w:rPr>
                <w:rFonts w:ascii="Tahoma" w:hAnsi="Tahoma" w:cs="Tahoma"/>
              </w:rPr>
            </w:pPr>
            <w:r w:rsidRPr="00515872">
              <w:rPr>
                <w:rFonts w:ascii="Tahoma" w:hAnsi="Tahoma" w:cs="Tahoma"/>
              </w:rPr>
              <w:t>7,0%</w:t>
            </w:r>
          </w:p>
        </w:tc>
        <w:tc>
          <w:tcPr>
            <w:tcW w:w="992" w:type="dxa"/>
          </w:tcPr>
          <w:p w14:paraId="57F3D5E6" w14:textId="77777777" w:rsidR="002F14B9" w:rsidRPr="00515872" w:rsidRDefault="002F14B9" w:rsidP="00E331C1">
            <w:pPr>
              <w:pStyle w:val="Testonotaapidipagina"/>
              <w:jc w:val="center"/>
              <w:rPr>
                <w:rFonts w:ascii="Tahoma" w:hAnsi="Tahoma" w:cs="Tahoma"/>
              </w:rPr>
            </w:pPr>
            <w:r w:rsidRPr="00515872">
              <w:rPr>
                <w:rFonts w:ascii="Tahoma" w:hAnsi="Tahoma" w:cs="Tahoma"/>
              </w:rPr>
              <w:t>12,0%</w:t>
            </w:r>
          </w:p>
        </w:tc>
        <w:tc>
          <w:tcPr>
            <w:tcW w:w="992" w:type="dxa"/>
          </w:tcPr>
          <w:p w14:paraId="4061BE88" w14:textId="77777777" w:rsidR="002F14B9" w:rsidRPr="00515872" w:rsidRDefault="002F14B9" w:rsidP="00E331C1">
            <w:pPr>
              <w:pStyle w:val="Testonotaapidipagina"/>
              <w:jc w:val="center"/>
              <w:rPr>
                <w:rFonts w:ascii="Tahoma" w:hAnsi="Tahoma" w:cs="Tahoma"/>
              </w:rPr>
            </w:pPr>
            <w:r w:rsidRPr="00515872">
              <w:rPr>
                <w:rFonts w:ascii="Tahoma" w:hAnsi="Tahoma" w:cs="Tahoma"/>
              </w:rPr>
              <w:t>14,0%</w:t>
            </w:r>
          </w:p>
        </w:tc>
        <w:tc>
          <w:tcPr>
            <w:tcW w:w="992" w:type="dxa"/>
          </w:tcPr>
          <w:p w14:paraId="00D7496B" w14:textId="77777777" w:rsidR="002F14B9" w:rsidRPr="00515872" w:rsidRDefault="002F14B9" w:rsidP="00E331C1">
            <w:pPr>
              <w:pStyle w:val="Testonotaapidipagina"/>
              <w:jc w:val="center"/>
              <w:rPr>
                <w:rFonts w:ascii="Tahoma" w:hAnsi="Tahoma" w:cs="Tahoma"/>
              </w:rPr>
            </w:pPr>
            <w:r w:rsidRPr="00515872">
              <w:rPr>
                <w:rFonts w:ascii="Tahoma" w:hAnsi="Tahoma" w:cs="Tahoma"/>
              </w:rPr>
              <w:t>15,0%</w:t>
            </w:r>
          </w:p>
        </w:tc>
        <w:tc>
          <w:tcPr>
            <w:tcW w:w="1128" w:type="dxa"/>
          </w:tcPr>
          <w:p w14:paraId="5E283176" w14:textId="77777777" w:rsidR="002F14B9" w:rsidRPr="00515872" w:rsidRDefault="002F14B9" w:rsidP="00E331C1">
            <w:pPr>
              <w:pStyle w:val="Testonotaapidipagina"/>
              <w:jc w:val="center"/>
              <w:rPr>
                <w:rFonts w:ascii="Tahoma" w:hAnsi="Tahoma" w:cs="Tahoma"/>
              </w:rPr>
            </w:pPr>
            <w:r w:rsidRPr="00515872">
              <w:rPr>
                <w:rFonts w:ascii="Tahoma" w:hAnsi="Tahoma" w:cs="Tahoma"/>
              </w:rPr>
              <w:t>16,0%</w:t>
            </w:r>
          </w:p>
        </w:tc>
      </w:tr>
      <w:tr w:rsidR="002F14B9" w:rsidRPr="00515872" w14:paraId="7DE87FF6" w14:textId="77777777" w:rsidTr="00E331C1">
        <w:tc>
          <w:tcPr>
            <w:tcW w:w="4390" w:type="dxa"/>
          </w:tcPr>
          <w:p w14:paraId="27C5EB66" w14:textId="77777777" w:rsidR="002F14B9" w:rsidRPr="00515872" w:rsidRDefault="002F14B9" w:rsidP="002F14B9">
            <w:pPr>
              <w:pStyle w:val="Testonotaapidipagina"/>
              <w:rPr>
                <w:rFonts w:ascii="Tahoma" w:hAnsi="Tahoma" w:cs="Tahoma"/>
              </w:rPr>
            </w:pPr>
            <w:r w:rsidRPr="00515872">
              <w:rPr>
                <w:rFonts w:ascii="Tahoma" w:hAnsi="Tahoma" w:cs="Tahoma"/>
              </w:rPr>
              <w:t>Comuni da 250.000 a 1.499.999 abitanti</w:t>
            </w:r>
          </w:p>
        </w:tc>
        <w:tc>
          <w:tcPr>
            <w:tcW w:w="1134" w:type="dxa"/>
          </w:tcPr>
          <w:p w14:paraId="6EE46B90" w14:textId="77777777" w:rsidR="002F14B9" w:rsidRPr="00515872" w:rsidRDefault="002F14B9" w:rsidP="00E331C1">
            <w:pPr>
              <w:pStyle w:val="Testonotaapidipagina"/>
              <w:jc w:val="center"/>
              <w:rPr>
                <w:rFonts w:ascii="Tahoma" w:hAnsi="Tahoma" w:cs="Tahoma"/>
              </w:rPr>
            </w:pPr>
            <w:r w:rsidRPr="00515872">
              <w:rPr>
                <w:rFonts w:ascii="Tahoma" w:hAnsi="Tahoma" w:cs="Tahoma"/>
              </w:rPr>
              <w:t>3,0%</w:t>
            </w:r>
          </w:p>
        </w:tc>
        <w:tc>
          <w:tcPr>
            <w:tcW w:w="992" w:type="dxa"/>
          </w:tcPr>
          <w:p w14:paraId="4BFF6667" w14:textId="77777777" w:rsidR="002F14B9" w:rsidRPr="00515872" w:rsidRDefault="002F14B9" w:rsidP="00E331C1">
            <w:pPr>
              <w:pStyle w:val="Testonotaapidipagina"/>
              <w:jc w:val="center"/>
              <w:rPr>
                <w:rFonts w:ascii="Tahoma" w:hAnsi="Tahoma" w:cs="Tahoma"/>
              </w:rPr>
            </w:pPr>
            <w:r w:rsidRPr="00515872">
              <w:rPr>
                <w:rFonts w:ascii="Tahoma" w:hAnsi="Tahoma" w:cs="Tahoma"/>
              </w:rPr>
              <w:t>6,0%</w:t>
            </w:r>
          </w:p>
        </w:tc>
        <w:tc>
          <w:tcPr>
            <w:tcW w:w="992" w:type="dxa"/>
          </w:tcPr>
          <w:p w14:paraId="20085742" w14:textId="77777777" w:rsidR="002F14B9" w:rsidRPr="00515872" w:rsidRDefault="002F14B9" w:rsidP="00E331C1">
            <w:pPr>
              <w:pStyle w:val="Testonotaapidipagina"/>
              <w:jc w:val="center"/>
              <w:rPr>
                <w:rFonts w:ascii="Tahoma" w:hAnsi="Tahoma" w:cs="Tahoma"/>
              </w:rPr>
            </w:pPr>
            <w:r w:rsidRPr="00515872">
              <w:rPr>
                <w:rFonts w:ascii="Tahoma" w:hAnsi="Tahoma" w:cs="Tahoma"/>
              </w:rPr>
              <w:t>8,0%</w:t>
            </w:r>
          </w:p>
        </w:tc>
        <w:tc>
          <w:tcPr>
            <w:tcW w:w="992" w:type="dxa"/>
          </w:tcPr>
          <w:p w14:paraId="7B0850A5" w14:textId="77777777" w:rsidR="002F14B9" w:rsidRPr="00515872" w:rsidRDefault="002F14B9" w:rsidP="00E331C1">
            <w:pPr>
              <w:pStyle w:val="Testonotaapidipagina"/>
              <w:jc w:val="center"/>
              <w:rPr>
                <w:rFonts w:ascii="Tahoma" w:hAnsi="Tahoma" w:cs="Tahoma"/>
              </w:rPr>
            </w:pPr>
            <w:r w:rsidRPr="00515872">
              <w:rPr>
                <w:rFonts w:ascii="Tahoma" w:hAnsi="Tahoma" w:cs="Tahoma"/>
              </w:rPr>
              <w:t>9,0%</w:t>
            </w:r>
          </w:p>
        </w:tc>
        <w:tc>
          <w:tcPr>
            <w:tcW w:w="1128" w:type="dxa"/>
          </w:tcPr>
          <w:p w14:paraId="090AC9B3" w14:textId="77777777" w:rsidR="002F14B9" w:rsidRPr="00515872" w:rsidRDefault="002F14B9" w:rsidP="00E331C1">
            <w:pPr>
              <w:pStyle w:val="Testonotaapidipagina"/>
              <w:jc w:val="center"/>
              <w:rPr>
                <w:rFonts w:ascii="Tahoma" w:hAnsi="Tahoma" w:cs="Tahoma"/>
              </w:rPr>
            </w:pPr>
            <w:r w:rsidRPr="00515872">
              <w:rPr>
                <w:rFonts w:ascii="Tahoma" w:hAnsi="Tahoma" w:cs="Tahoma"/>
              </w:rPr>
              <w:t>10,0%</w:t>
            </w:r>
          </w:p>
        </w:tc>
      </w:tr>
      <w:tr w:rsidR="002F14B9" w:rsidRPr="00515872" w14:paraId="332267D5" w14:textId="77777777" w:rsidTr="00E331C1">
        <w:tc>
          <w:tcPr>
            <w:tcW w:w="4390" w:type="dxa"/>
          </w:tcPr>
          <w:p w14:paraId="5B81F973" w14:textId="77777777" w:rsidR="002F14B9" w:rsidRPr="00515872" w:rsidRDefault="002F14B9" w:rsidP="002F14B9">
            <w:pPr>
              <w:pStyle w:val="Testonotaapidipagina"/>
              <w:rPr>
                <w:rFonts w:ascii="Tahoma" w:hAnsi="Tahoma" w:cs="Tahoma"/>
              </w:rPr>
            </w:pPr>
            <w:r w:rsidRPr="00515872">
              <w:rPr>
                <w:rFonts w:ascii="Tahoma" w:hAnsi="Tahoma" w:cs="Tahoma"/>
              </w:rPr>
              <w:t>Comuni con 1.500.000 di abitanti e oltre</w:t>
            </w:r>
          </w:p>
        </w:tc>
        <w:tc>
          <w:tcPr>
            <w:tcW w:w="1134" w:type="dxa"/>
          </w:tcPr>
          <w:p w14:paraId="244B9F00" w14:textId="77777777" w:rsidR="002F14B9" w:rsidRPr="00515872" w:rsidRDefault="002F14B9" w:rsidP="00E331C1">
            <w:pPr>
              <w:pStyle w:val="Testonotaapidipagina"/>
              <w:jc w:val="center"/>
              <w:rPr>
                <w:rFonts w:ascii="Tahoma" w:hAnsi="Tahoma" w:cs="Tahoma"/>
              </w:rPr>
            </w:pPr>
            <w:r w:rsidRPr="00515872">
              <w:rPr>
                <w:rFonts w:ascii="Tahoma" w:hAnsi="Tahoma" w:cs="Tahoma"/>
              </w:rPr>
              <w:t>1,5%</w:t>
            </w:r>
          </w:p>
        </w:tc>
        <w:tc>
          <w:tcPr>
            <w:tcW w:w="992" w:type="dxa"/>
          </w:tcPr>
          <w:p w14:paraId="041F7DE6" w14:textId="77777777" w:rsidR="002F14B9" w:rsidRPr="00515872" w:rsidRDefault="002F14B9" w:rsidP="00E331C1">
            <w:pPr>
              <w:pStyle w:val="Testonotaapidipagina"/>
              <w:jc w:val="center"/>
              <w:rPr>
                <w:rFonts w:ascii="Tahoma" w:hAnsi="Tahoma" w:cs="Tahoma"/>
              </w:rPr>
            </w:pPr>
            <w:r w:rsidRPr="00515872">
              <w:rPr>
                <w:rFonts w:ascii="Tahoma" w:hAnsi="Tahoma" w:cs="Tahoma"/>
              </w:rPr>
              <w:t>3,0%</w:t>
            </w:r>
          </w:p>
        </w:tc>
        <w:tc>
          <w:tcPr>
            <w:tcW w:w="992" w:type="dxa"/>
          </w:tcPr>
          <w:p w14:paraId="472D8B30" w14:textId="77777777" w:rsidR="002F14B9" w:rsidRPr="00515872" w:rsidRDefault="00BA6B25" w:rsidP="00E331C1">
            <w:pPr>
              <w:pStyle w:val="Testonotaapidipagina"/>
              <w:jc w:val="center"/>
              <w:rPr>
                <w:rFonts w:ascii="Tahoma" w:hAnsi="Tahoma" w:cs="Tahoma"/>
              </w:rPr>
            </w:pPr>
            <w:r w:rsidRPr="00515872">
              <w:rPr>
                <w:rFonts w:ascii="Tahoma" w:hAnsi="Tahoma" w:cs="Tahoma"/>
              </w:rPr>
              <w:t>4</w:t>
            </w:r>
            <w:r w:rsidR="002F14B9" w:rsidRPr="00515872">
              <w:rPr>
                <w:rFonts w:ascii="Tahoma" w:hAnsi="Tahoma" w:cs="Tahoma"/>
              </w:rPr>
              <w:t>,0%</w:t>
            </w:r>
          </w:p>
        </w:tc>
        <w:tc>
          <w:tcPr>
            <w:tcW w:w="992" w:type="dxa"/>
          </w:tcPr>
          <w:p w14:paraId="394197D7" w14:textId="77777777" w:rsidR="002F14B9" w:rsidRPr="00515872" w:rsidRDefault="00BA6B25" w:rsidP="00E331C1">
            <w:pPr>
              <w:pStyle w:val="Testonotaapidipagina"/>
              <w:jc w:val="center"/>
              <w:rPr>
                <w:rFonts w:ascii="Tahoma" w:hAnsi="Tahoma" w:cs="Tahoma"/>
              </w:rPr>
            </w:pPr>
            <w:r w:rsidRPr="00515872">
              <w:rPr>
                <w:rFonts w:ascii="Tahoma" w:hAnsi="Tahoma" w:cs="Tahoma"/>
              </w:rPr>
              <w:t>4</w:t>
            </w:r>
            <w:r w:rsidR="002F14B9" w:rsidRPr="00515872">
              <w:rPr>
                <w:rFonts w:ascii="Tahoma" w:hAnsi="Tahoma" w:cs="Tahoma"/>
              </w:rPr>
              <w:t>,</w:t>
            </w:r>
            <w:r w:rsidRPr="00515872">
              <w:rPr>
                <w:rFonts w:ascii="Tahoma" w:hAnsi="Tahoma" w:cs="Tahoma"/>
              </w:rPr>
              <w:t>5</w:t>
            </w:r>
            <w:r w:rsidR="002F14B9" w:rsidRPr="00515872">
              <w:rPr>
                <w:rFonts w:ascii="Tahoma" w:hAnsi="Tahoma" w:cs="Tahoma"/>
              </w:rPr>
              <w:t>%</w:t>
            </w:r>
          </w:p>
        </w:tc>
        <w:tc>
          <w:tcPr>
            <w:tcW w:w="1128" w:type="dxa"/>
          </w:tcPr>
          <w:p w14:paraId="246AE00F" w14:textId="77777777" w:rsidR="002F14B9" w:rsidRPr="00515872" w:rsidRDefault="00BA6B25" w:rsidP="00E331C1">
            <w:pPr>
              <w:pStyle w:val="Testonotaapidipagina"/>
              <w:jc w:val="center"/>
              <w:rPr>
                <w:rFonts w:ascii="Tahoma" w:hAnsi="Tahoma" w:cs="Tahoma"/>
              </w:rPr>
            </w:pPr>
            <w:r w:rsidRPr="00515872">
              <w:rPr>
                <w:rFonts w:ascii="Tahoma" w:hAnsi="Tahoma" w:cs="Tahoma"/>
              </w:rPr>
              <w:t>5</w:t>
            </w:r>
            <w:r w:rsidR="002F14B9" w:rsidRPr="00515872">
              <w:rPr>
                <w:rFonts w:ascii="Tahoma" w:hAnsi="Tahoma" w:cs="Tahoma"/>
              </w:rPr>
              <w:t>,0%</w:t>
            </w:r>
          </w:p>
        </w:tc>
      </w:tr>
    </w:tbl>
    <w:p w14:paraId="49F61BB0" w14:textId="77777777" w:rsidR="001B6687" w:rsidRPr="00515872" w:rsidRDefault="001B6687" w:rsidP="00E037F4">
      <w:pPr>
        <w:spacing w:after="0" w:line="360" w:lineRule="auto"/>
        <w:jc w:val="both"/>
        <w:rPr>
          <w:rFonts w:eastAsia="Times New Roman" w:cs="Tahoma"/>
          <w:szCs w:val="20"/>
          <w:lang w:eastAsia="it-IT"/>
        </w:rPr>
      </w:pPr>
    </w:p>
    <w:p w14:paraId="01910974" w14:textId="77777777" w:rsidR="00CE37CE" w:rsidRPr="00515872" w:rsidRDefault="00CE37CE" w:rsidP="00A9116F">
      <w:pPr>
        <w:spacing w:line="240" w:lineRule="auto"/>
        <w:jc w:val="both"/>
        <w:rPr>
          <w:rFonts w:eastAsia="Times New Roman" w:cs="Tahoma"/>
          <w:b/>
          <w:bCs/>
          <w:szCs w:val="20"/>
          <w:lang w:eastAsia="it-IT"/>
        </w:rPr>
      </w:pPr>
      <w:r w:rsidRPr="00515872">
        <w:rPr>
          <w:rFonts w:eastAsia="Times New Roman" w:cs="Tahoma"/>
          <w:b/>
          <w:bCs/>
          <w:szCs w:val="20"/>
          <w:lang w:eastAsia="it-IT"/>
        </w:rPr>
        <w:t>Art. 6 – Tabella 3</w:t>
      </w:r>
    </w:p>
    <w:tbl>
      <w:tblPr>
        <w:tblStyle w:val="Grigliatabella"/>
        <w:tblW w:w="0" w:type="auto"/>
        <w:tblLook w:val="04A0" w:firstRow="1" w:lastRow="0" w:firstColumn="1" w:lastColumn="0" w:noHBand="0" w:noVBand="1"/>
      </w:tblPr>
      <w:tblGrid>
        <w:gridCol w:w="5807"/>
        <w:gridCol w:w="3821"/>
      </w:tblGrid>
      <w:tr w:rsidR="00CE37CE" w:rsidRPr="00515872" w14:paraId="5A91BCD0" w14:textId="77777777" w:rsidTr="005C0018">
        <w:tc>
          <w:tcPr>
            <w:tcW w:w="5807" w:type="dxa"/>
          </w:tcPr>
          <w:p w14:paraId="34246ACD" w14:textId="77777777" w:rsidR="00CE37CE" w:rsidRPr="00515872" w:rsidRDefault="00CE37CE" w:rsidP="005C0018">
            <w:pPr>
              <w:pStyle w:val="Testonotaapidipagina"/>
              <w:jc w:val="center"/>
              <w:rPr>
                <w:rFonts w:ascii="Tahoma" w:hAnsi="Tahoma" w:cs="Tahoma"/>
                <w:b/>
              </w:rPr>
            </w:pPr>
            <w:r w:rsidRPr="00515872">
              <w:rPr>
                <w:rFonts w:ascii="Tahoma" w:hAnsi="Tahoma" w:cs="Tahoma"/>
                <w:b/>
              </w:rPr>
              <w:t>Fasce demografiche</w:t>
            </w:r>
          </w:p>
        </w:tc>
        <w:tc>
          <w:tcPr>
            <w:tcW w:w="3821" w:type="dxa"/>
          </w:tcPr>
          <w:p w14:paraId="74221522" w14:textId="77777777" w:rsidR="00CE37CE" w:rsidRPr="00515872" w:rsidRDefault="00CE37CE" w:rsidP="005C0018">
            <w:pPr>
              <w:pStyle w:val="Testonotaapidipagina"/>
              <w:jc w:val="center"/>
              <w:rPr>
                <w:rFonts w:ascii="Tahoma" w:hAnsi="Tahoma" w:cs="Tahoma"/>
                <w:b/>
              </w:rPr>
            </w:pPr>
            <w:r w:rsidRPr="00515872">
              <w:rPr>
                <w:rFonts w:ascii="Tahoma" w:hAnsi="Tahoma" w:cs="Tahoma"/>
                <w:b/>
              </w:rPr>
              <w:t>Valore soglia</w:t>
            </w:r>
          </w:p>
        </w:tc>
      </w:tr>
      <w:tr w:rsidR="004F3656" w:rsidRPr="00515872" w14:paraId="00E80B09" w14:textId="77777777" w:rsidTr="005C0018">
        <w:tc>
          <w:tcPr>
            <w:tcW w:w="5807" w:type="dxa"/>
          </w:tcPr>
          <w:p w14:paraId="240558BF" w14:textId="77777777" w:rsidR="004F3656" w:rsidRPr="00515872" w:rsidRDefault="004F3656" w:rsidP="004F3656">
            <w:pPr>
              <w:pStyle w:val="Testonotaapidipagina"/>
              <w:rPr>
                <w:rFonts w:ascii="Tahoma" w:hAnsi="Tahoma" w:cs="Tahoma"/>
              </w:rPr>
            </w:pPr>
            <w:r w:rsidRPr="00515872">
              <w:rPr>
                <w:rFonts w:ascii="Tahoma" w:hAnsi="Tahoma" w:cs="Tahoma"/>
              </w:rPr>
              <w:t>Comuni con meno di 1.000 abitanti</w:t>
            </w:r>
          </w:p>
        </w:tc>
        <w:tc>
          <w:tcPr>
            <w:tcW w:w="3821" w:type="dxa"/>
          </w:tcPr>
          <w:p w14:paraId="7C2A616A" w14:textId="77777777" w:rsidR="004F3656" w:rsidRPr="00515872" w:rsidRDefault="004F3656" w:rsidP="005C0018">
            <w:pPr>
              <w:pStyle w:val="Testonotaapidipagina"/>
              <w:jc w:val="center"/>
              <w:rPr>
                <w:rFonts w:ascii="Tahoma" w:hAnsi="Tahoma" w:cs="Tahoma"/>
              </w:rPr>
            </w:pPr>
            <w:r w:rsidRPr="00515872">
              <w:rPr>
                <w:rFonts w:ascii="Tahoma" w:hAnsi="Tahoma" w:cs="Tahoma"/>
              </w:rPr>
              <w:t>33,5%</w:t>
            </w:r>
          </w:p>
        </w:tc>
      </w:tr>
      <w:tr w:rsidR="004F3656" w:rsidRPr="00515872" w14:paraId="3E7E078C" w14:textId="77777777" w:rsidTr="005C0018">
        <w:tc>
          <w:tcPr>
            <w:tcW w:w="5807" w:type="dxa"/>
          </w:tcPr>
          <w:p w14:paraId="60FBFE8E" w14:textId="77777777" w:rsidR="004F3656" w:rsidRPr="00515872" w:rsidRDefault="004F3656" w:rsidP="004F3656">
            <w:pPr>
              <w:pStyle w:val="Testonotaapidipagina"/>
              <w:rPr>
                <w:rFonts w:ascii="Tahoma" w:hAnsi="Tahoma" w:cs="Tahoma"/>
              </w:rPr>
            </w:pPr>
            <w:r w:rsidRPr="00515872">
              <w:rPr>
                <w:rFonts w:ascii="Tahoma" w:hAnsi="Tahoma" w:cs="Tahoma"/>
              </w:rPr>
              <w:t>Comuni da 1.000 a 1.999 abitanti</w:t>
            </w:r>
          </w:p>
        </w:tc>
        <w:tc>
          <w:tcPr>
            <w:tcW w:w="3821" w:type="dxa"/>
          </w:tcPr>
          <w:p w14:paraId="3E6186D2" w14:textId="77777777" w:rsidR="004F3656" w:rsidRPr="00515872" w:rsidRDefault="004F3656" w:rsidP="005C0018">
            <w:pPr>
              <w:pStyle w:val="Testonotaapidipagina"/>
              <w:jc w:val="center"/>
              <w:rPr>
                <w:rFonts w:ascii="Tahoma" w:hAnsi="Tahoma" w:cs="Tahoma"/>
              </w:rPr>
            </w:pPr>
            <w:r w:rsidRPr="00515872">
              <w:rPr>
                <w:rFonts w:ascii="Tahoma" w:hAnsi="Tahoma" w:cs="Tahoma"/>
              </w:rPr>
              <w:t>32,6%</w:t>
            </w:r>
          </w:p>
        </w:tc>
      </w:tr>
      <w:tr w:rsidR="004F3656" w:rsidRPr="00515872" w14:paraId="6C730851" w14:textId="77777777" w:rsidTr="005C0018">
        <w:tc>
          <w:tcPr>
            <w:tcW w:w="5807" w:type="dxa"/>
          </w:tcPr>
          <w:p w14:paraId="03F456DC" w14:textId="77777777" w:rsidR="004F3656" w:rsidRPr="00515872" w:rsidRDefault="004F3656" w:rsidP="004F3656">
            <w:pPr>
              <w:pStyle w:val="Testonotaapidipagina"/>
              <w:rPr>
                <w:rFonts w:ascii="Tahoma" w:hAnsi="Tahoma" w:cs="Tahoma"/>
              </w:rPr>
            </w:pPr>
            <w:r w:rsidRPr="00515872">
              <w:rPr>
                <w:rFonts w:ascii="Tahoma" w:hAnsi="Tahoma" w:cs="Tahoma"/>
              </w:rPr>
              <w:t>Comuni da 2.000 a 2.999 abitanti</w:t>
            </w:r>
          </w:p>
        </w:tc>
        <w:tc>
          <w:tcPr>
            <w:tcW w:w="3821" w:type="dxa"/>
          </w:tcPr>
          <w:p w14:paraId="4FB4F6F6" w14:textId="77777777" w:rsidR="004F3656" w:rsidRPr="00515872" w:rsidRDefault="004F3656" w:rsidP="005C0018">
            <w:pPr>
              <w:pStyle w:val="Testonotaapidipagina"/>
              <w:jc w:val="center"/>
              <w:rPr>
                <w:rFonts w:ascii="Tahoma" w:hAnsi="Tahoma" w:cs="Tahoma"/>
              </w:rPr>
            </w:pPr>
            <w:r w:rsidRPr="00515872">
              <w:rPr>
                <w:rFonts w:ascii="Tahoma" w:hAnsi="Tahoma" w:cs="Tahoma"/>
              </w:rPr>
              <w:t>31,6%</w:t>
            </w:r>
          </w:p>
        </w:tc>
      </w:tr>
      <w:tr w:rsidR="004F3656" w:rsidRPr="00515872" w14:paraId="1C6CEA81" w14:textId="77777777" w:rsidTr="005C0018">
        <w:tc>
          <w:tcPr>
            <w:tcW w:w="5807" w:type="dxa"/>
          </w:tcPr>
          <w:p w14:paraId="1412FA2C" w14:textId="77777777" w:rsidR="004F3656" w:rsidRPr="00515872" w:rsidRDefault="004F3656" w:rsidP="004F3656">
            <w:pPr>
              <w:pStyle w:val="Testonotaapidipagina"/>
              <w:rPr>
                <w:rFonts w:ascii="Tahoma" w:hAnsi="Tahoma" w:cs="Tahoma"/>
              </w:rPr>
            </w:pPr>
            <w:r w:rsidRPr="00515872">
              <w:rPr>
                <w:rFonts w:ascii="Tahoma" w:hAnsi="Tahoma" w:cs="Tahoma"/>
              </w:rPr>
              <w:t>Comuni da 3.000 a 4.999 abitanti</w:t>
            </w:r>
          </w:p>
        </w:tc>
        <w:tc>
          <w:tcPr>
            <w:tcW w:w="3821" w:type="dxa"/>
          </w:tcPr>
          <w:p w14:paraId="37142F72" w14:textId="77777777" w:rsidR="004F3656" w:rsidRPr="00515872" w:rsidRDefault="004F3656" w:rsidP="005C0018">
            <w:pPr>
              <w:pStyle w:val="Testonotaapidipagina"/>
              <w:jc w:val="center"/>
              <w:rPr>
                <w:rFonts w:ascii="Tahoma" w:hAnsi="Tahoma" w:cs="Tahoma"/>
              </w:rPr>
            </w:pPr>
            <w:r w:rsidRPr="00515872">
              <w:rPr>
                <w:rFonts w:ascii="Tahoma" w:hAnsi="Tahoma" w:cs="Tahoma"/>
              </w:rPr>
              <w:t>31,2%</w:t>
            </w:r>
          </w:p>
        </w:tc>
      </w:tr>
      <w:tr w:rsidR="004F3656" w:rsidRPr="00515872" w14:paraId="6024BE97" w14:textId="77777777" w:rsidTr="005C0018">
        <w:tc>
          <w:tcPr>
            <w:tcW w:w="5807" w:type="dxa"/>
          </w:tcPr>
          <w:p w14:paraId="196D1249" w14:textId="77777777" w:rsidR="004F3656" w:rsidRPr="00515872" w:rsidRDefault="004F3656" w:rsidP="004F3656">
            <w:pPr>
              <w:pStyle w:val="Testonotaapidipagina"/>
              <w:rPr>
                <w:rFonts w:ascii="Tahoma" w:hAnsi="Tahoma" w:cs="Tahoma"/>
              </w:rPr>
            </w:pPr>
            <w:r w:rsidRPr="00515872">
              <w:rPr>
                <w:rFonts w:ascii="Tahoma" w:hAnsi="Tahoma" w:cs="Tahoma"/>
              </w:rPr>
              <w:t>Comuni da 5.000 a 9.999 abitanti</w:t>
            </w:r>
          </w:p>
        </w:tc>
        <w:tc>
          <w:tcPr>
            <w:tcW w:w="3821" w:type="dxa"/>
          </w:tcPr>
          <w:p w14:paraId="08632F93" w14:textId="77777777" w:rsidR="004F3656" w:rsidRPr="00515872" w:rsidRDefault="004F3656" w:rsidP="005C0018">
            <w:pPr>
              <w:pStyle w:val="Testonotaapidipagina"/>
              <w:jc w:val="center"/>
              <w:rPr>
                <w:rFonts w:ascii="Tahoma" w:hAnsi="Tahoma" w:cs="Tahoma"/>
              </w:rPr>
            </w:pPr>
            <w:r w:rsidRPr="00515872">
              <w:rPr>
                <w:rFonts w:ascii="Tahoma" w:hAnsi="Tahoma" w:cs="Tahoma"/>
              </w:rPr>
              <w:t>30,9%</w:t>
            </w:r>
          </w:p>
        </w:tc>
      </w:tr>
      <w:tr w:rsidR="004F3656" w:rsidRPr="00515872" w14:paraId="13601FB5" w14:textId="77777777" w:rsidTr="005C0018">
        <w:tc>
          <w:tcPr>
            <w:tcW w:w="5807" w:type="dxa"/>
          </w:tcPr>
          <w:p w14:paraId="7CB09CCA" w14:textId="77777777" w:rsidR="004F3656" w:rsidRPr="00515872" w:rsidRDefault="004F3656" w:rsidP="004F3656">
            <w:pPr>
              <w:pStyle w:val="Testonotaapidipagina"/>
              <w:rPr>
                <w:rFonts w:ascii="Tahoma" w:hAnsi="Tahoma" w:cs="Tahoma"/>
              </w:rPr>
            </w:pPr>
            <w:r w:rsidRPr="00515872">
              <w:rPr>
                <w:rFonts w:ascii="Tahoma" w:hAnsi="Tahoma" w:cs="Tahoma"/>
              </w:rPr>
              <w:t>Comuni da 10.000 a 59.999 abitanti</w:t>
            </w:r>
          </w:p>
        </w:tc>
        <w:tc>
          <w:tcPr>
            <w:tcW w:w="3821" w:type="dxa"/>
          </w:tcPr>
          <w:p w14:paraId="1E7BEDD7" w14:textId="77777777" w:rsidR="004F3656" w:rsidRPr="00515872" w:rsidRDefault="004F3656" w:rsidP="005C0018">
            <w:pPr>
              <w:pStyle w:val="Testonotaapidipagina"/>
              <w:jc w:val="center"/>
              <w:rPr>
                <w:rFonts w:ascii="Tahoma" w:hAnsi="Tahoma" w:cs="Tahoma"/>
              </w:rPr>
            </w:pPr>
            <w:r w:rsidRPr="00515872">
              <w:rPr>
                <w:rFonts w:ascii="Tahoma" w:hAnsi="Tahoma" w:cs="Tahoma"/>
              </w:rPr>
              <w:t>31,0%</w:t>
            </w:r>
          </w:p>
        </w:tc>
      </w:tr>
      <w:tr w:rsidR="004F3656" w:rsidRPr="00515872" w14:paraId="275A23EA" w14:textId="77777777" w:rsidTr="005C0018">
        <w:tc>
          <w:tcPr>
            <w:tcW w:w="5807" w:type="dxa"/>
          </w:tcPr>
          <w:p w14:paraId="69AD2AFC" w14:textId="77777777" w:rsidR="004F3656" w:rsidRPr="00515872" w:rsidRDefault="004F3656" w:rsidP="004F3656">
            <w:pPr>
              <w:pStyle w:val="Testonotaapidipagina"/>
              <w:rPr>
                <w:rFonts w:ascii="Tahoma" w:hAnsi="Tahoma" w:cs="Tahoma"/>
              </w:rPr>
            </w:pPr>
            <w:r w:rsidRPr="00515872">
              <w:rPr>
                <w:rFonts w:ascii="Tahoma" w:hAnsi="Tahoma" w:cs="Tahoma"/>
              </w:rPr>
              <w:t>Comuni da 60.000 a 249.999 abitanti</w:t>
            </w:r>
          </w:p>
        </w:tc>
        <w:tc>
          <w:tcPr>
            <w:tcW w:w="3821" w:type="dxa"/>
          </w:tcPr>
          <w:p w14:paraId="3356E349" w14:textId="77777777" w:rsidR="004F3656" w:rsidRPr="00515872" w:rsidRDefault="004F3656" w:rsidP="005C0018">
            <w:pPr>
              <w:pStyle w:val="Testonotaapidipagina"/>
              <w:jc w:val="center"/>
              <w:rPr>
                <w:rFonts w:ascii="Tahoma" w:hAnsi="Tahoma" w:cs="Tahoma"/>
              </w:rPr>
            </w:pPr>
            <w:r w:rsidRPr="00515872">
              <w:rPr>
                <w:rFonts w:ascii="Tahoma" w:hAnsi="Tahoma" w:cs="Tahoma"/>
              </w:rPr>
              <w:t>31,6%</w:t>
            </w:r>
          </w:p>
        </w:tc>
      </w:tr>
      <w:tr w:rsidR="004F3656" w:rsidRPr="00515872" w14:paraId="3CAD42B6" w14:textId="77777777" w:rsidTr="005C0018">
        <w:tc>
          <w:tcPr>
            <w:tcW w:w="5807" w:type="dxa"/>
          </w:tcPr>
          <w:p w14:paraId="48208AEB" w14:textId="77777777" w:rsidR="004F3656" w:rsidRPr="00515872" w:rsidRDefault="004F3656" w:rsidP="004F3656">
            <w:pPr>
              <w:pStyle w:val="Testonotaapidipagina"/>
              <w:rPr>
                <w:rFonts w:ascii="Tahoma" w:hAnsi="Tahoma" w:cs="Tahoma"/>
              </w:rPr>
            </w:pPr>
            <w:r w:rsidRPr="00515872">
              <w:rPr>
                <w:rFonts w:ascii="Tahoma" w:hAnsi="Tahoma" w:cs="Tahoma"/>
              </w:rPr>
              <w:t>Comuni da 250.000 a 1.499.999 abitanti</w:t>
            </w:r>
          </w:p>
        </w:tc>
        <w:tc>
          <w:tcPr>
            <w:tcW w:w="3821" w:type="dxa"/>
          </w:tcPr>
          <w:p w14:paraId="237E3B14" w14:textId="77777777" w:rsidR="004F3656" w:rsidRPr="00515872" w:rsidRDefault="004F3656" w:rsidP="005C0018">
            <w:pPr>
              <w:pStyle w:val="Testonotaapidipagina"/>
              <w:jc w:val="center"/>
              <w:rPr>
                <w:rFonts w:ascii="Tahoma" w:hAnsi="Tahoma" w:cs="Tahoma"/>
              </w:rPr>
            </w:pPr>
            <w:r w:rsidRPr="00515872">
              <w:rPr>
                <w:rFonts w:ascii="Tahoma" w:hAnsi="Tahoma" w:cs="Tahoma"/>
              </w:rPr>
              <w:t>32,8%</w:t>
            </w:r>
          </w:p>
        </w:tc>
      </w:tr>
      <w:tr w:rsidR="004F3656" w:rsidRPr="00515872" w14:paraId="2AAF2D88" w14:textId="77777777" w:rsidTr="005C0018">
        <w:tc>
          <w:tcPr>
            <w:tcW w:w="5807" w:type="dxa"/>
          </w:tcPr>
          <w:p w14:paraId="5DE50ECA" w14:textId="77777777" w:rsidR="004F3656" w:rsidRPr="00515872" w:rsidRDefault="004F3656" w:rsidP="004F3656">
            <w:pPr>
              <w:pStyle w:val="Testonotaapidipagina"/>
              <w:rPr>
                <w:rFonts w:ascii="Tahoma" w:hAnsi="Tahoma" w:cs="Tahoma"/>
              </w:rPr>
            </w:pPr>
            <w:r w:rsidRPr="00515872">
              <w:rPr>
                <w:rFonts w:ascii="Tahoma" w:hAnsi="Tahoma" w:cs="Tahoma"/>
              </w:rPr>
              <w:t>Comuni con 1.500.000 di abitanti e oltre</w:t>
            </w:r>
          </w:p>
        </w:tc>
        <w:tc>
          <w:tcPr>
            <w:tcW w:w="3821" w:type="dxa"/>
          </w:tcPr>
          <w:p w14:paraId="377550F2" w14:textId="77777777" w:rsidR="004F3656" w:rsidRPr="00515872" w:rsidRDefault="004F3656" w:rsidP="00A9116F">
            <w:pPr>
              <w:pStyle w:val="Testonotaapidipagina"/>
              <w:jc w:val="center"/>
              <w:rPr>
                <w:rFonts w:ascii="Tahoma" w:hAnsi="Tahoma" w:cs="Tahoma"/>
              </w:rPr>
            </w:pPr>
            <w:r w:rsidRPr="00515872">
              <w:rPr>
                <w:rFonts w:ascii="Tahoma" w:hAnsi="Tahoma" w:cs="Tahoma"/>
              </w:rPr>
              <w:t>29,3%</w:t>
            </w:r>
          </w:p>
        </w:tc>
      </w:tr>
    </w:tbl>
    <w:p w14:paraId="1D72772D" w14:textId="77777777" w:rsidR="00CE37CE" w:rsidRPr="00515872" w:rsidRDefault="00CE37CE" w:rsidP="00E037F4">
      <w:pPr>
        <w:spacing w:after="0" w:line="360" w:lineRule="auto"/>
        <w:jc w:val="both"/>
        <w:rPr>
          <w:rFonts w:eastAsia="Times New Roman" w:cs="Tahoma"/>
          <w:szCs w:val="20"/>
          <w:lang w:eastAsia="it-IT"/>
        </w:rPr>
      </w:pPr>
    </w:p>
    <w:sectPr w:rsidR="00CE37CE" w:rsidRPr="00515872" w:rsidSect="00C03D30">
      <w:pgSz w:w="11906" w:h="16838"/>
      <w:pgMar w:top="1417" w:right="1134" w:bottom="1134" w:left="1134" w:header="141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999C" w14:textId="77777777" w:rsidR="001B6224" w:rsidRDefault="001B6224" w:rsidP="000756EB">
      <w:pPr>
        <w:spacing w:after="0" w:line="240" w:lineRule="auto"/>
      </w:pPr>
      <w:r>
        <w:separator/>
      </w:r>
    </w:p>
  </w:endnote>
  <w:endnote w:type="continuationSeparator" w:id="0">
    <w:p w14:paraId="0174D3BB" w14:textId="77777777" w:rsidR="001B6224" w:rsidRDefault="001B6224" w:rsidP="0007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strangelo Edessa">
    <w:altName w:val="Segoe UI Historic"/>
    <w:panose1 w:val="00000000000000000000"/>
    <w:charset w:val="00"/>
    <w:family w:val="script"/>
    <w:pitch w:val="variable"/>
    <w:sig w:usb0="80002043" w:usb1="00000000" w:usb2="00000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New">
    <w:panose1 w:val="00000000000000000000"/>
    <w:charset w:val="00"/>
    <w:family w:val="roman"/>
    <w:notTrueType/>
    <w:pitch w:val="default"/>
    <w:sig w:usb0="00000003" w:usb1="00000000" w:usb2="00000000" w:usb3="00000000" w:csb0="00000001" w:csb1="00000000"/>
  </w:font>
  <w:font w:name="MicrosoftYaHeiUI">
    <w:altName w:val="Times New Roman"/>
    <w:panose1 w:val="00000000000000000000"/>
    <w:charset w:val="00"/>
    <w:family w:val="roman"/>
    <w:notTrueType/>
    <w:pitch w:val="default"/>
    <w:sig w:usb0="00000003" w:usb1="00000000" w:usb2="00000000" w:usb3="00000000" w:csb0="00000001" w:csb1="00000000"/>
  </w:font>
  <w:font w:name="Raleway-Black">
    <w:altName w:val="Times New Roman"/>
    <w:panose1 w:val="00000000000000000000"/>
    <w:charset w:val="00"/>
    <w:family w:val="roman"/>
    <w:notTrueType/>
    <w:pitch w:val="default"/>
  </w:font>
  <w:font w:name="Minion Pro">
    <w:panose1 w:val="02040703060201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1657" w14:textId="77777777" w:rsidR="007960D5" w:rsidRDefault="007960D5"/>
  <w:tbl>
    <w:tblPr>
      <w:tblW w:w="0" w:type="auto"/>
      <w:tblInd w:w="108" w:type="dxa"/>
      <w:tblLayout w:type="fixed"/>
      <w:tblLook w:val="0000" w:firstRow="0" w:lastRow="0" w:firstColumn="0" w:lastColumn="0" w:noHBand="0" w:noVBand="0"/>
    </w:tblPr>
    <w:tblGrid>
      <w:gridCol w:w="9464"/>
    </w:tblGrid>
    <w:tr w:rsidR="007960D5" w14:paraId="5BF21A41" w14:textId="77777777" w:rsidTr="001672F9">
      <w:trPr>
        <w:trHeight w:val="340"/>
      </w:trPr>
      <w:tc>
        <w:tcPr>
          <w:tcW w:w="9464" w:type="dxa"/>
          <w:tcBorders>
            <w:top w:val="single" w:sz="4" w:space="0" w:color="FF0000"/>
          </w:tcBorders>
          <w:shd w:val="clear" w:color="auto" w:fill="auto"/>
        </w:tcPr>
        <w:p w14:paraId="6F2AE723" w14:textId="77777777" w:rsidR="007960D5" w:rsidRDefault="007960D5" w:rsidP="001672F9">
          <w:pPr>
            <w:widowControl w:val="0"/>
            <w:spacing w:before="200" w:after="0" w:line="200" w:lineRule="exact"/>
          </w:pPr>
          <w:r>
            <w:rPr>
              <w:rFonts w:cs="Tahoma"/>
              <w:b/>
              <w:color w:val="4F81BD"/>
              <w:sz w:val="18"/>
              <w:szCs w:val="18"/>
            </w:rPr>
            <w:t xml:space="preserve">E Book – Collana I PRATICI di Fiscoetasse                                                                                               </w:t>
          </w:r>
          <w:r>
            <w:rPr>
              <w:rFonts w:cs="Tahoma"/>
              <w:b/>
              <w:color w:val="4F81BD"/>
              <w:sz w:val="18"/>
              <w:szCs w:val="18"/>
            </w:rPr>
            <w:fldChar w:fldCharType="begin"/>
          </w:r>
          <w:r>
            <w:rPr>
              <w:rFonts w:cs="Tahoma"/>
              <w:b/>
              <w:color w:val="4F81BD"/>
              <w:sz w:val="18"/>
              <w:szCs w:val="18"/>
            </w:rPr>
            <w:instrText xml:space="preserve"> PAGE </w:instrText>
          </w:r>
          <w:r>
            <w:rPr>
              <w:rFonts w:cs="Tahoma"/>
              <w:b/>
              <w:color w:val="4F81BD"/>
              <w:sz w:val="18"/>
              <w:szCs w:val="18"/>
            </w:rPr>
            <w:fldChar w:fldCharType="separate"/>
          </w:r>
          <w:r w:rsidR="000F14F4">
            <w:rPr>
              <w:rFonts w:cs="Tahoma"/>
              <w:b/>
              <w:noProof/>
              <w:color w:val="4F81BD"/>
              <w:sz w:val="18"/>
              <w:szCs w:val="18"/>
            </w:rPr>
            <w:t>5</w:t>
          </w:r>
          <w:r>
            <w:rPr>
              <w:rFonts w:cs="Tahoma"/>
              <w:b/>
              <w:color w:val="4F81BD"/>
              <w:sz w:val="18"/>
              <w:szCs w:val="18"/>
            </w:rPr>
            <w:fldChar w:fldCharType="end"/>
          </w:r>
          <w:r>
            <w:rPr>
              <w:rFonts w:cs="Tahoma"/>
              <w:b/>
              <w:color w:val="4F81BD"/>
              <w:sz w:val="18"/>
              <w:szCs w:val="18"/>
            </w:rPr>
            <w:t xml:space="preserve"> </w:t>
          </w:r>
        </w:p>
      </w:tc>
    </w:tr>
  </w:tbl>
  <w:p w14:paraId="71E62938" w14:textId="77777777" w:rsidR="007960D5" w:rsidRDefault="007960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60F2" w14:textId="77777777" w:rsidR="001B6224" w:rsidRDefault="001B6224" w:rsidP="000756EB">
      <w:pPr>
        <w:spacing w:after="0" w:line="240" w:lineRule="auto"/>
      </w:pPr>
      <w:r>
        <w:separator/>
      </w:r>
    </w:p>
  </w:footnote>
  <w:footnote w:type="continuationSeparator" w:id="0">
    <w:p w14:paraId="5A19FBCB" w14:textId="77777777" w:rsidR="001B6224" w:rsidRDefault="001B6224" w:rsidP="000756EB">
      <w:pPr>
        <w:spacing w:after="0" w:line="240" w:lineRule="auto"/>
      </w:pPr>
      <w:r>
        <w:continuationSeparator/>
      </w:r>
    </w:p>
  </w:footnote>
  <w:footnote w:id="1">
    <w:p w14:paraId="0F135636" w14:textId="77777777" w:rsidR="007960D5" w:rsidRPr="007E176C" w:rsidRDefault="007960D5">
      <w:pPr>
        <w:pStyle w:val="Testonotaapidipagina"/>
        <w:rPr>
          <w:rFonts w:ascii="Tahoma" w:hAnsi="Tahoma" w:cs="Tahoma"/>
          <w:sz w:val="18"/>
          <w:szCs w:val="18"/>
        </w:rPr>
      </w:pPr>
      <w:r w:rsidRPr="007E176C">
        <w:rPr>
          <w:rStyle w:val="Rimandonotaapidipagina"/>
          <w:rFonts w:ascii="Tahoma" w:hAnsi="Tahoma" w:cs="Tahoma"/>
          <w:sz w:val="18"/>
          <w:szCs w:val="18"/>
        </w:rPr>
        <w:footnoteRef/>
      </w:r>
      <w:r w:rsidRPr="007E176C">
        <w:rPr>
          <w:rFonts w:ascii="Tahoma" w:hAnsi="Tahoma" w:cs="Tahoma"/>
          <w:sz w:val="18"/>
          <w:szCs w:val="18"/>
        </w:rPr>
        <w:t xml:space="preserve"> Da ultima, vedi Deliberazione 21 luglio 2021, n. 13/SEZAUT/2021/INPR.</w:t>
      </w:r>
    </w:p>
  </w:footnote>
  <w:footnote w:id="2">
    <w:p w14:paraId="73DF04AB" w14:textId="77777777" w:rsidR="007960D5" w:rsidRPr="00AC7C0F" w:rsidRDefault="007960D5" w:rsidP="00AC7C0F">
      <w:pPr>
        <w:pStyle w:val="Testonotaapidipagina"/>
        <w:jc w:val="both"/>
        <w:rPr>
          <w:rFonts w:ascii="Tahoma" w:hAnsi="Tahoma" w:cs="Tahoma"/>
          <w:sz w:val="18"/>
          <w:szCs w:val="18"/>
        </w:rPr>
      </w:pPr>
      <w:r>
        <w:rPr>
          <w:rStyle w:val="Rimandonotaapidipagina"/>
        </w:rPr>
        <w:footnoteRef/>
      </w:r>
      <w:r>
        <w:t xml:space="preserve"> </w:t>
      </w:r>
      <w:r w:rsidRPr="00AC7C0F">
        <w:rPr>
          <w:rFonts w:ascii="Tahoma" w:hAnsi="Tahoma" w:cs="Tahoma"/>
          <w:sz w:val="18"/>
          <w:szCs w:val="18"/>
        </w:rPr>
        <w:t>In relazione alla possibilità di procedere ad un avvicendamento alla carica di presidente tra membri dello stesso collegio, il Ministero dell’Interno-Direzione centrale della Finanza locale ha affermato che la scelta del componente con funzioni di presidente compete all’Organo consiliare dell’ente anche nella situazione di dimi</w:t>
      </w:r>
      <w:r>
        <w:rPr>
          <w:rFonts w:ascii="Tahoma" w:hAnsi="Tahoma" w:cs="Tahoma"/>
          <w:sz w:val="18"/>
          <w:szCs w:val="18"/>
        </w:rPr>
        <w:t>ssioni dello stesso e di consens</w:t>
      </w:r>
      <w:r w:rsidRPr="00AC7C0F">
        <w:rPr>
          <w:rFonts w:ascii="Tahoma" w:hAnsi="Tahoma" w:cs="Tahoma"/>
          <w:sz w:val="18"/>
          <w:szCs w:val="18"/>
        </w:rPr>
        <w:t xml:space="preserve">uale scambio di ruoli con altro componente, previa verifica dei requisiti richiesti in capo al revisore subentrante. Tale pronunciamento desta qualche perplessità in ordine alla sorte del presidente dimissionario che rimarrebbe in carica quale componente del collegio, pur non essendo stato eletto mediante sorteggio ai sensi del </w:t>
      </w:r>
      <w:r w:rsidRPr="00AC7C0F">
        <w:rPr>
          <w:rFonts w:ascii="Tahoma" w:hAnsi="Tahoma" w:cs="Tahoma"/>
          <w:bCs/>
          <w:sz w:val="18"/>
          <w:szCs w:val="18"/>
        </w:rPr>
        <w:t>D.L. n. 138/2011.</w:t>
      </w:r>
    </w:p>
  </w:footnote>
  <w:footnote w:id="3">
    <w:p w14:paraId="4DC31705" w14:textId="77777777" w:rsidR="007960D5" w:rsidRPr="00DA36EF" w:rsidRDefault="007960D5" w:rsidP="00DA36EF">
      <w:pPr>
        <w:spacing w:after="0"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w:t>
      </w:r>
      <w:r w:rsidRPr="00DA36EF">
        <w:rPr>
          <w:rFonts w:eastAsia="Times New Roman" w:cs="Tahoma"/>
          <w:sz w:val="18"/>
          <w:szCs w:val="18"/>
          <w:lang w:eastAsia="it-IT"/>
        </w:rPr>
        <w:t xml:space="preserve">Sono funzioni fondamentali dei comuni, ai sensi dell'art. 14, D.L. 78/2010, conv. L. 122/2010 come modificato dall’art. 19, D.L. 95/2012 conv. L. 125/2012: </w:t>
      </w:r>
    </w:p>
    <w:p w14:paraId="5057013E"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organizzazione generale dell'amministrazione, gestione finanziaria e contabile e controllo;</w:t>
      </w:r>
    </w:p>
    <w:p w14:paraId="34D78CFA"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organizzazione dei servizi pubblici di interesse generale di ambito comunale, ivi compresi i servizi di trasporto pubblico comunale;</w:t>
      </w:r>
    </w:p>
    <w:p w14:paraId="4C482A69"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catasto, ad eccezione delle funzioni mantenute allo Stato dalla normativa vigente;</w:t>
      </w:r>
    </w:p>
    <w:p w14:paraId="078FE4F3"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pianificazione urbanistica ed edilizia di ambito comunale nonché la partecipazione alla pianificazione territoriale di livello sovracomunale;</w:t>
      </w:r>
    </w:p>
    <w:p w14:paraId="364EF9D9"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attività, in ambito comunale, di pianificazione di protezione civile e di coordinamento dei primi soccorsi;</w:t>
      </w:r>
    </w:p>
    <w:p w14:paraId="0ED3BCD2"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organizzazione e gestione dei servizi di raccolta, avvio e smaltimento e recupero dei rifiuti urbani e la riscossione dei relativi tributi;</w:t>
      </w:r>
    </w:p>
    <w:p w14:paraId="6BFF8699"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progettazione e gestione del sistema locale dei servizi sociali ed erogazione delle relative prestazioni ai cittadini, secondo quanto previsto dall'articolo 118, quarto comma, della Costituzione;</w:t>
      </w:r>
    </w:p>
    <w:p w14:paraId="44DB9245"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edilizia scolastica per la parte non attribuita alla competenza delle province, organizzazione e gestione dei servizi scolastici;</w:t>
      </w:r>
    </w:p>
    <w:p w14:paraId="3687301E" w14:textId="77777777" w:rsidR="007960D5" w:rsidRPr="00DA36EF" w:rsidRDefault="007960D5" w:rsidP="00D65838">
      <w:pPr>
        <w:pStyle w:val="Paragrafoelenco"/>
        <w:numPr>
          <w:ilvl w:val="0"/>
          <w:numId w:val="171"/>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polizia municipale e polizia amministrativa locale;</w:t>
      </w:r>
    </w:p>
    <w:p w14:paraId="7B4DBA93" w14:textId="77777777" w:rsidR="007960D5" w:rsidRPr="00DA36EF" w:rsidRDefault="007960D5" w:rsidP="00D65838">
      <w:pPr>
        <w:pStyle w:val="Paragrafoelenco"/>
        <w:numPr>
          <w:ilvl w:val="0"/>
          <w:numId w:val="172"/>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tenuta dei registri di stato civile e di popolazione e compiti in materia di servizi anagrafici nonché in materia di servizi elettorali, nell'esercizio delle funzioni di competenza statale;</w:t>
      </w:r>
    </w:p>
    <w:p w14:paraId="6FFB84C6"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sz w:val="18"/>
          <w:szCs w:val="18"/>
        </w:rPr>
        <w:t>l-bis) i servizi in materia statistica.</w:t>
      </w:r>
    </w:p>
  </w:footnote>
  <w:footnote w:id="4">
    <w:p w14:paraId="1F218503" w14:textId="77777777" w:rsidR="007960D5" w:rsidRPr="00F373F9" w:rsidRDefault="007960D5" w:rsidP="00DA36EF">
      <w:pPr>
        <w:pStyle w:val="Testonotaapidipagina"/>
        <w:jc w:val="both"/>
        <w:rPr>
          <w:rFonts w:ascii="Tahoma" w:hAnsi="Tahoma" w:cs="Tahoma"/>
          <w:sz w:val="18"/>
          <w:szCs w:val="18"/>
        </w:rPr>
      </w:pPr>
      <w:r w:rsidRPr="00456CE0">
        <w:rPr>
          <w:rStyle w:val="Rimandonotaapidipagina"/>
          <w:rFonts w:ascii="Tahoma" w:hAnsi="Tahoma" w:cs="Tahoma"/>
          <w:sz w:val="18"/>
          <w:szCs w:val="18"/>
        </w:rPr>
        <w:footnoteRef/>
      </w:r>
      <w:r w:rsidRPr="00456CE0">
        <w:rPr>
          <w:rFonts w:ascii="Tahoma" w:hAnsi="Tahoma" w:cs="Tahoma"/>
          <w:sz w:val="18"/>
          <w:szCs w:val="18"/>
        </w:rPr>
        <w:t xml:space="preserve"> Termine più volte differito e ora nuovamente rinviato. </w:t>
      </w:r>
      <w:r w:rsidRPr="00456CE0">
        <w:rPr>
          <w:rStyle w:val="markedcontent"/>
          <w:rFonts w:ascii="Tahoma" w:eastAsia="MS Gothic" w:hAnsi="Tahoma" w:cs="Tahoma"/>
          <w:sz w:val="18"/>
          <w:szCs w:val="18"/>
        </w:rPr>
        <w:t>L'entrata in vigore dell'esercizio obbligatorio di tutte le funzioni comunali dei piccoli comuni è stato</w:t>
      </w:r>
      <w:r w:rsidRPr="00456CE0">
        <w:rPr>
          <w:rFonts w:ascii="Tahoma" w:hAnsi="Tahoma" w:cs="Tahoma"/>
          <w:sz w:val="18"/>
          <w:szCs w:val="18"/>
        </w:rPr>
        <w:t xml:space="preserve"> </w:t>
      </w:r>
      <w:r w:rsidRPr="00456CE0">
        <w:rPr>
          <w:rStyle w:val="markedcontent"/>
          <w:rFonts w:ascii="Tahoma" w:eastAsia="MS Gothic" w:hAnsi="Tahoma" w:cs="Tahoma"/>
          <w:sz w:val="18"/>
          <w:szCs w:val="18"/>
        </w:rPr>
        <w:t>prorogato più volte, da ultimo al 31 dicembre 2021 da parte dell’art. 2, c.3 del DL 183/2020.</w:t>
      </w:r>
    </w:p>
  </w:footnote>
  <w:footnote w:id="5">
    <w:p w14:paraId="63F878EA" w14:textId="77777777" w:rsidR="007960D5" w:rsidRDefault="007960D5" w:rsidP="00AE4AB7">
      <w:pPr>
        <w:pStyle w:val="Testonotaapidipagina"/>
        <w:jc w:val="both"/>
      </w:pPr>
      <w:r>
        <w:rPr>
          <w:rStyle w:val="Rimandonotaapidipagina"/>
        </w:rPr>
        <w:footnoteRef/>
      </w:r>
      <w:r>
        <w:t xml:space="preserve"> </w:t>
      </w:r>
      <w:r w:rsidRPr="00AE4AB7">
        <w:rPr>
          <w:rFonts w:ascii="Tahoma" w:hAnsi="Tahoma" w:cs="Tahoma"/>
          <w:sz w:val="18"/>
          <w:szCs w:val="18"/>
        </w:rPr>
        <w:t>In un parere del 3 novembre 2020 il Ministero dell’Interno-Dipartimento per gli Affari Interni e Territoriali, richiamando anche il parere della Corte dei Conti sez. reg. Piemonte n. 44 del 23 aprile 2018, ha sancito l’incompatibilità fra le funzioni di revisore e componente dell’Organismo Indipendente di Valutazione (OIV).</w:t>
      </w:r>
    </w:p>
  </w:footnote>
  <w:footnote w:id="6">
    <w:p w14:paraId="4E438505" w14:textId="77777777" w:rsidR="007960D5" w:rsidRPr="00FF6A3D" w:rsidRDefault="007960D5" w:rsidP="00FF6A3D">
      <w:pPr>
        <w:pStyle w:val="Testonotaapidipagina"/>
        <w:jc w:val="both"/>
        <w:rPr>
          <w:rFonts w:ascii="Tahoma" w:hAnsi="Tahoma" w:cs="Tahoma"/>
          <w:i/>
          <w:sz w:val="18"/>
          <w:szCs w:val="18"/>
        </w:rPr>
      </w:pPr>
      <w:r>
        <w:rPr>
          <w:rStyle w:val="Rimandonotaapidipagina"/>
        </w:rPr>
        <w:footnoteRef/>
      </w:r>
      <w:r>
        <w:t xml:space="preserve"> </w:t>
      </w:r>
      <w:r w:rsidRPr="00FF6A3D">
        <w:rPr>
          <w:rFonts w:ascii="Tahoma" w:hAnsi="Tahoma" w:cs="Tahoma"/>
          <w:sz w:val="18"/>
          <w:szCs w:val="18"/>
        </w:rPr>
        <w:t>In una massima del 26 marzo 2015, il Ministero dell’Interno – Dipartimento per gli affari interni e territoriali, ha affermato che “</w:t>
      </w:r>
      <w:r w:rsidRPr="00FF6A3D">
        <w:rPr>
          <w:rFonts w:ascii="Tahoma" w:hAnsi="Tahoma" w:cs="Tahoma"/>
          <w:i/>
          <w:sz w:val="18"/>
          <w:szCs w:val="18"/>
        </w:rPr>
        <w:t>Nella attuale formulazione del predetto articolo non è indicato in quale fascia di enti siano da considerare le unioni di comuni che, in passato, si è ritenuto potessero essere assimilate alle comunità montane per le quali il legislatore ha previsto l'equiparazione ai comuni con popolazione inferiore a 5.000 abitanti.</w:t>
      </w:r>
    </w:p>
    <w:p w14:paraId="0F52ECC2" w14:textId="77777777" w:rsidR="007960D5" w:rsidRDefault="007960D5" w:rsidP="00FF6A3D">
      <w:pPr>
        <w:pStyle w:val="Testonotaapidipagina"/>
        <w:jc w:val="both"/>
        <w:rPr>
          <w:rFonts w:ascii="Tahoma" w:hAnsi="Tahoma" w:cs="Tahoma"/>
          <w:i/>
          <w:sz w:val="18"/>
          <w:szCs w:val="18"/>
        </w:rPr>
      </w:pPr>
      <w:r w:rsidRPr="00FF6A3D">
        <w:rPr>
          <w:rFonts w:ascii="Tahoma" w:hAnsi="Tahoma" w:cs="Tahoma"/>
          <w:i/>
          <w:sz w:val="18"/>
          <w:szCs w:val="18"/>
        </w:rPr>
        <w:t>Con le nuove disposizioni di cui all'articolo 234, comma 3-bis, del decreto legislativo n.267 del 2000 e all'articolo 1, comma 110, lettera c), della legge n.56 del 2014, è stato previsto che la funzione di revisione economico-finanziaria possa essere svolta dall'organo di revisione delle Unioni di comuni anche per tut</w:t>
      </w:r>
      <w:r>
        <w:rPr>
          <w:rFonts w:ascii="Tahoma" w:hAnsi="Tahoma" w:cs="Tahoma"/>
          <w:i/>
          <w:sz w:val="18"/>
          <w:szCs w:val="18"/>
        </w:rPr>
        <w:t>ti i comuni che ne fanno parte.</w:t>
      </w:r>
    </w:p>
    <w:p w14:paraId="7B517D14" w14:textId="77777777" w:rsidR="007960D5" w:rsidRDefault="007960D5" w:rsidP="006633D0">
      <w:pPr>
        <w:pStyle w:val="Testonotaapidipagina"/>
        <w:spacing w:after="200"/>
        <w:jc w:val="both"/>
      </w:pPr>
      <w:r w:rsidRPr="00FF6A3D">
        <w:rPr>
          <w:rFonts w:ascii="Tahoma" w:hAnsi="Tahoma" w:cs="Tahoma"/>
          <w:i/>
          <w:sz w:val="18"/>
          <w:szCs w:val="18"/>
        </w:rPr>
        <w:t>Nelle more di un aggiornamento normativo del testo unico delle leggi sull'ordinamento degli enti locali, si ritiene che, ai fini della determinazione del limite degli affidamenti, il soggetto incaricato di svolgere la revisione economico-finanziaria dell'unione e di tutti i comuni che ne fanno parte sia da considerare destinatario di un incarico unico da computare nel limite dei quattro incarichi se la popolazione complessiva dell'unione è inferiore ai 5.000 abitanti o nel limite dei tre incarichi se la popolazione complessiva è compresa tra 5.000 e 99.999 abitanti.</w:t>
      </w:r>
      <w:r w:rsidRPr="00FF6A3D">
        <w:rPr>
          <w:rFonts w:ascii="Tahoma" w:hAnsi="Tahoma" w:cs="Tahoma"/>
          <w:sz w:val="18"/>
          <w:szCs w:val="18"/>
        </w:rPr>
        <w:t>”</w:t>
      </w:r>
    </w:p>
  </w:footnote>
  <w:footnote w:id="7">
    <w:p w14:paraId="003867B9"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Documento n. 1 – </w:t>
      </w:r>
      <w:r w:rsidRPr="00DA36EF">
        <w:rPr>
          <w:rFonts w:ascii="Tahoma" w:hAnsi="Tahoma" w:cs="Tahoma"/>
          <w:bCs/>
          <w:color w:val="000000"/>
          <w:sz w:val="18"/>
          <w:szCs w:val="18"/>
        </w:rPr>
        <w:t>Principi di vigilanza e controllo dell’organo di revisione degli Enti locali.</w:t>
      </w:r>
    </w:p>
  </w:footnote>
  <w:footnote w:id="8">
    <w:p w14:paraId="0EEFD6A3" w14:textId="77777777" w:rsidR="007960D5" w:rsidRDefault="007960D5" w:rsidP="00773B1D">
      <w:pPr>
        <w:pStyle w:val="Testonotaapidipagina"/>
        <w:jc w:val="both"/>
      </w:pPr>
      <w:r>
        <w:rPr>
          <w:rStyle w:val="Rimandonotaapidipagina"/>
        </w:rPr>
        <w:footnoteRef/>
      </w:r>
      <w:r>
        <w:t xml:space="preserve"> </w:t>
      </w:r>
      <w:r w:rsidRPr="00773B1D">
        <w:rPr>
          <w:rFonts w:ascii="Tahoma" w:hAnsi="Tahoma" w:cs="Tahoma"/>
          <w:sz w:val="18"/>
        </w:rPr>
        <w:t xml:space="preserve">Il Ministero dell’Interno-Dipartimento per gli Affari Interni e Territoriali ha affermato, in un parere dell’11 giugno 2020, che, in caso di dimissioni anticipate del revisore unico, l’ente locale può procedere alla nomina del novo revisore senza la necessità di aspettare il decorso effettivo del termine di </w:t>
      </w:r>
      <w:r w:rsidRPr="00773B1D">
        <w:rPr>
          <w:rFonts w:ascii="Tahoma" w:hAnsi="Tahoma" w:cs="Tahoma"/>
          <w:i/>
          <w:sz w:val="18"/>
        </w:rPr>
        <w:t>prorogatio</w:t>
      </w:r>
      <w:r w:rsidRPr="00773B1D">
        <w:rPr>
          <w:rFonts w:ascii="Tahoma" w:hAnsi="Tahoma" w:cs="Tahoma"/>
          <w:sz w:val="18"/>
        </w:rPr>
        <w:t xml:space="preserve"> una volta avvenuta l’estrazione a sorte.</w:t>
      </w:r>
    </w:p>
  </w:footnote>
  <w:footnote w:id="9">
    <w:p w14:paraId="2209E80F" w14:textId="77777777" w:rsidR="007960D5" w:rsidRPr="00DA36EF" w:rsidRDefault="007960D5" w:rsidP="003368D4">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Si noti come </w:t>
      </w:r>
      <w:r>
        <w:rPr>
          <w:rFonts w:ascii="Tahoma" w:hAnsi="Tahoma" w:cs="Tahoma"/>
          <w:sz w:val="18"/>
          <w:szCs w:val="18"/>
        </w:rPr>
        <w:t>l’art. 234 del TUEL</w:t>
      </w:r>
      <w:r w:rsidRPr="00DA36EF">
        <w:rPr>
          <w:rFonts w:ascii="Tahoma" w:hAnsi="Tahoma" w:cs="Tahoma"/>
          <w:sz w:val="18"/>
          <w:szCs w:val="18"/>
        </w:rPr>
        <w:t xml:space="preserve"> faccia ancora riferimento ai distinti albi dei dottori commercialisti e dei ragionieri da tempo riuniti, con effetto dal 2008, nell’albo unico dei dottori commercialisti ed esperti contabili.</w:t>
      </w:r>
    </w:p>
  </w:footnote>
  <w:footnote w:id="10">
    <w:p w14:paraId="71185C2C"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Con comunicato del 16 aprile 2020, </w:t>
      </w:r>
      <w:r w:rsidRPr="00DA36EF">
        <w:rPr>
          <w:rFonts w:ascii="Tahoma" w:hAnsi="Tahoma" w:cs="Tahoma"/>
          <w:color w:val="1C2024"/>
          <w:sz w:val="18"/>
          <w:szCs w:val="18"/>
          <w:shd w:val="clear" w:color="auto" w:fill="FFFFFF"/>
        </w:rPr>
        <w:t xml:space="preserve">facendo seguito al precedente comunicato del 27 marzo del medesimo oggetto, il Ministero dell’Interno – Dipartimento per gli affari interni e territoriali, in riferimento all’art. 103 D.L. 17 marzo 2020, n. 18 relativo alla sospensione dei procedimenti amministrativi in scadenza tra il periodo 23 febbraio 2020 – 15 aprile 2020 disposta a seguito dell’emergenza epidemiologica causata dal virus COVID-19, ha previsto che, in caso di scadenza dell’organo di revisione all’interno del periodo di sospensione, qualora non si sia potuto provvedere al rinnovo per comprovati motivi, la stessa è differita al 15 maggio 2020, anche oltre il termine di </w:t>
      </w:r>
      <w:r w:rsidRPr="00DA36EF">
        <w:rPr>
          <w:rFonts w:ascii="Tahoma" w:hAnsi="Tahoma" w:cs="Tahoma"/>
          <w:i/>
          <w:color w:val="1C2024"/>
          <w:sz w:val="18"/>
          <w:szCs w:val="18"/>
          <w:shd w:val="clear" w:color="auto" w:fill="FFFFFF"/>
        </w:rPr>
        <w:t>prorogatio</w:t>
      </w:r>
      <w:r w:rsidRPr="00DA36EF">
        <w:rPr>
          <w:rFonts w:ascii="Tahoma" w:hAnsi="Tahoma" w:cs="Tahoma"/>
          <w:color w:val="1C2024"/>
          <w:sz w:val="18"/>
          <w:szCs w:val="18"/>
          <w:shd w:val="clear" w:color="auto" w:fill="FFFFFF"/>
        </w:rPr>
        <w:t xml:space="preserve"> previsto dalla legge.</w:t>
      </w:r>
    </w:p>
  </w:footnote>
  <w:footnote w:id="11">
    <w:p w14:paraId="4E94F666"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Si veda tabella “Determinazione dei compensi” riportata in appendice.</w:t>
      </w:r>
    </w:p>
  </w:footnote>
  <w:footnote w:id="12">
    <w:p w14:paraId="43BD8EFB"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Il termine, inizialmente fissato per il 31/12/2013 è stato successivamente prorogato, da ultimo con il D.L. 30 dicembre 2016, n. 244, fino al 31/12/2017. Non è stata riproposta, invece, detta proroga a decorrere dall’anno 2018.</w:t>
      </w:r>
    </w:p>
  </w:footnote>
  <w:footnote w:id="13">
    <w:p w14:paraId="5A230A8C" w14:textId="77777777" w:rsidR="007960D5" w:rsidRPr="00DA36EF" w:rsidRDefault="007960D5" w:rsidP="004845E3">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Vedasi, sull’argomento, la Delibera delle n. 5 del 21 gennaio 2019 della Corte dei Conti Emilia Romagna.</w:t>
      </w:r>
    </w:p>
  </w:footnote>
  <w:footnote w:id="14">
    <w:p w14:paraId="0D58951F" w14:textId="77777777" w:rsidR="007960D5" w:rsidRPr="00DA36EF" w:rsidRDefault="007960D5" w:rsidP="004845E3">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Vedasi tabella B in appendice.</w:t>
      </w:r>
    </w:p>
  </w:footnote>
  <w:footnote w:id="15">
    <w:p w14:paraId="1A5D8E32"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Vedasi tabella C in appendice.</w:t>
      </w:r>
    </w:p>
  </w:footnote>
  <w:footnote w:id="16">
    <w:p w14:paraId="1224D607" w14:textId="77777777" w:rsidR="007960D5" w:rsidRPr="00DA36EF" w:rsidRDefault="007960D5" w:rsidP="00DA36EF">
      <w:pPr>
        <w:spacing w:after="0" w:line="240" w:lineRule="auto"/>
        <w:jc w:val="both"/>
        <w:rPr>
          <w:rFonts w:eastAsia="Times New Roman" w:cs="Tahoma"/>
          <w:i/>
          <w:sz w:val="18"/>
          <w:szCs w:val="18"/>
          <w:lang w:eastAsia="it-IT"/>
        </w:rPr>
      </w:pPr>
      <w:r w:rsidRPr="00DA36EF">
        <w:rPr>
          <w:rStyle w:val="Rimandonotaapidipagina"/>
          <w:rFonts w:cs="Tahoma"/>
          <w:sz w:val="18"/>
          <w:szCs w:val="18"/>
        </w:rPr>
        <w:footnoteRef/>
      </w:r>
      <w:r w:rsidRPr="00DA36EF">
        <w:rPr>
          <w:rFonts w:cs="Tahoma"/>
          <w:sz w:val="18"/>
          <w:szCs w:val="18"/>
        </w:rPr>
        <w:t xml:space="preserve"> Art. 1, c. 126 L. n. 662/96: </w:t>
      </w:r>
      <w:r w:rsidRPr="00DA36EF">
        <w:rPr>
          <w:rFonts w:cs="Tahoma"/>
          <w:i/>
          <w:sz w:val="18"/>
          <w:szCs w:val="18"/>
        </w:rPr>
        <w:t>“</w:t>
      </w:r>
      <w:r w:rsidRPr="00DA36EF">
        <w:rPr>
          <w:rFonts w:eastAsia="Times New Roman" w:cs="Tahoma"/>
          <w:i/>
          <w:sz w:val="18"/>
          <w:szCs w:val="18"/>
          <w:lang w:eastAsia="it-IT"/>
        </w:rPr>
        <w:t>I compensi corrisposti da pubbliche amministrazioni di cui all'articolo 1, comma 2, del decreto legislativo 3 febbraio 1993, n. 29, spettanti ai dipendenti pubblici che siano componenti di organi di amministrazione, di revisione e di collegi sindacali sono ridotti per ciascun incarico in misura pari al 5 per cento per gli importi superiori a lire 5 milioni lordi annui, al 10 per cento per gli ulteriori importi superiori a lire 10 milioni lordi annui, al 20 per cento per gli ulteriori importi superiori a lire 20 milioni lordi annui. Con decreto del Presidente del Consiglio dei ministri sono definite le modalità di versamento all'erario dell'importo corrispondente alla riduzione per prestazioni comunque rese a decorrere dalla data di entrata in vigore della presente legge.”</w:t>
      </w:r>
    </w:p>
    <w:p w14:paraId="2A33976C" w14:textId="77777777" w:rsidR="007960D5" w:rsidRPr="00DA36EF" w:rsidRDefault="007960D5" w:rsidP="00DA36EF">
      <w:pPr>
        <w:spacing w:after="0" w:line="240" w:lineRule="auto"/>
        <w:jc w:val="both"/>
        <w:rPr>
          <w:rFonts w:eastAsia="Times New Roman" w:cs="Tahoma"/>
          <w:sz w:val="18"/>
          <w:szCs w:val="18"/>
          <w:lang w:eastAsia="it-IT"/>
        </w:rPr>
      </w:pPr>
      <w:r w:rsidRPr="00DA36EF">
        <w:rPr>
          <w:rFonts w:cs="Tahoma"/>
          <w:sz w:val="18"/>
          <w:szCs w:val="18"/>
        </w:rPr>
        <w:t xml:space="preserve">Il D.M.C.M. n. 486/98 ha esteso l’ambito applicativo della L. n. 662/96 prevedendo che </w:t>
      </w:r>
      <w:r w:rsidRPr="00DA36EF">
        <w:rPr>
          <w:rFonts w:cs="Tahoma"/>
          <w:i/>
          <w:sz w:val="18"/>
          <w:szCs w:val="18"/>
        </w:rPr>
        <w:t>“</w:t>
      </w:r>
      <w:r w:rsidRPr="00DA36EF">
        <w:rPr>
          <w:rFonts w:eastAsia="Times New Roman" w:cs="Tahoma"/>
          <w:i/>
          <w:sz w:val="18"/>
          <w:szCs w:val="18"/>
          <w:lang w:eastAsia="it-IT"/>
        </w:rPr>
        <w:t>La riduzione dei compensi di cui al comma 1 deve essere effettuata anche nei confronti dei dipendenti di pubbliche amministrazioni diverse da quelle indicate dall'articolo 1, comma 2, del decreto legislativo 3 febbraio 1993, n. 29.”</w:t>
      </w:r>
    </w:p>
  </w:footnote>
  <w:footnote w:id="17">
    <w:p w14:paraId="1844CBA6" w14:textId="77777777" w:rsidR="007960D5" w:rsidRPr="000C6A6D" w:rsidRDefault="007960D5" w:rsidP="000C6A6D">
      <w:pPr>
        <w:pStyle w:val="Testonotaapidipagina"/>
        <w:spacing w:after="200"/>
        <w:jc w:val="both"/>
        <w:rPr>
          <w:rFonts w:ascii="Tahoma" w:hAnsi="Tahoma" w:cs="Tahoma"/>
          <w:sz w:val="18"/>
          <w:szCs w:val="18"/>
        </w:rPr>
      </w:pPr>
      <w:r w:rsidRPr="000C6A6D">
        <w:rPr>
          <w:rStyle w:val="Rimandonotaapidipagina"/>
          <w:rFonts w:ascii="Tahoma" w:hAnsi="Tahoma" w:cs="Tahoma"/>
          <w:sz w:val="18"/>
          <w:szCs w:val="18"/>
        </w:rPr>
        <w:footnoteRef/>
      </w:r>
      <w:r w:rsidRPr="000C6A6D">
        <w:rPr>
          <w:rFonts w:ascii="Tahoma" w:hAnsi="Tahoma" w:cs="Tahoma"/>
          <w:sz w:val="18"/>
          <w:szCs w:val="18"/>
        </w:rPr>
        <w:t xml:space="preserve"> Tale limite, precedentemente fissato in 5.000 abitanti, è stato così innalzato dall’art. 1, co.732, L. 27 dicembre 2006, n. 296.</w:t>
      </w:r>
    </w:p>
  </w:footnote>
  <w:footnote w:id="18">
    <w:p w14:paraId="224568BD" w14:textId="77777777" w:rsidR="007960D5" w:rsidRPr="000C6A6D" w:rsidRDefault="007960D5" w:rsidP="008A00F5">
      <w:pPr>
        <w:pStyle w:val="Testonotaapidipagina"/>
        <w:jc w:val="both"/>
        <w:rPr>
          <w:rFonts w:ascii="Tahoma" w:hAnsi="Tahoma" w:cs="Tahoma"/>
          <w:sz w:val="18"/>
          <w:szCs w:val="18"/>
        </w:rPr>
      </w:pPr>
      <w:r w:rsidRPr="000C6A6D">
        <w:rPr>
          <w:rStyle w:val="Rimandonotaapidipagina"/>
          <w:rFonts w:ascii="Tahoma" w:hAnsi="Tahoma" w:cs="Tahoma"/>
          <w:sz w:val="18"/>
          <w:szCs w:val="18"/>
        </w:rPr>
        <w:footnoteRef/>
      </w:r>
      <w:r w:rsidRPr="000C6A6D">
        <w:rPr>
          <w:rFonts w:ascii="Tahoma" w:hAnsi="Tahoma" w:cs="Tahoma"/>
          <w:sz w:val="18"/>
          <w:szCs w:val="18"/>
        </w:rPr>
        <w:t xml:space="preserve"> In relazione alla problematica della riduzione del numero di abitanti nel corso del mandato, il Ministero dell’Interno-Direzione centrale per la Finanza, nel parere pubblicato sul proprio sito istituzionale in data 9 giugno 2021, nel ribadire che, per quanto riguarda l’Organo di revisione, si fa riferimento alla popolazione calcolata al 31 dicembre del penultimo anno precedente la data dell’estrazione dall’elenco, ha chiarito che l’Organo di revisore nominato a seguito del sorteggio deve rimanere in carica per tutta la durata del triennio anche nel caso in cui la popolazione dell’ente, nel frattempo, scenda sotto i 15.000 abitanti. </w:t>
      </w:r>
    </w:p>
  </w:footnote>
  <w:footnote w:id="19">
    <w:p w14:paraId="5BCFCE6F"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Iscrizione ad uno dei seguenti albi:</w:t>
      </w:r>
    </w:p>
    <w:p w14:paraId="4E2F65DE" w14:textId="77777777" w:rsidR="007960D5" w:rsidRPr="00DA36EF" w:rsidRDefault="007960D5" w:rsidP="00DA36EF">
      <w:pPr>
        <w:pStyle w:val="Testonotaapidipagina"/>
        <w:numPr>
          <w:ilvl w:val="0"/>
          <w:numId w:val="17"/>
        </w:numPr>
        <w:jc w:val="both"/>
        <w:rPr>
          <w:rFonts w:ascii="Tahoma" w:hAnsi="Tahoma" w:cs="Tahoma"/>
          <w:sz w:val="18"/>
          <w:szCs w:val="18"/>
        </w:rPr>
      </w:pPr>
      <w:r w:rsidRPr="00DA36EF">
        <w:rPr>
          <w:rFonts w:ascii="Tahoma" w:hAnsi="Tahoma" w:cs="Tahoma"/>
          <w:sz w:val="18"/>
          <w:szCs w:val="18"/>
        </w:rPr>
        <w:t>Registro dei revisori contabili;</w:t>
      </w:r>
    </w:p>
    <w:p w14:paraId="0B63E4EC" w14:textId="77777777" w:rsidR="007960D5" w:rsidRPr="00DA36EF" w:rsidRDefault="007960D5" w:rsidP="00DA36EF">
      <w:pPr>
        <w:pStyle w:val="Testonotaapidipagina"/>
        <w:numPr>
          <w:ilvl w:val="0"/>
          <w:numId w:val="17"/>
        </w:numPr>
        <w:jc w:val="both"/>
        <w:rPr>
          <w:rFonts w:ascii="Tahoma" w:hAnsi="Tahoma" w:cs="Tahoma"/>
          <w:sz w:val="18"/>
          <w:szCs w:val="18"/>
        </w:rPr>
      </w:pPr>
      <w:r w:rsidRPr="00DA36EF">
        <w:rPr>
          <w:rFonts w:ascii="Tahoma" w:hAnsi="Tahoma" w:cs="Tahoma"/>
          <w:sz w:val="18"/>
          <w:szCs w:val="18"/>
        </w:rPr>
        <w:t>Albo dei dottori commercialisti;</w:t>
      </w:r>
    </w:p>
    <w:p w14:paraId="1251DB19" w14:textId="77777777" w:rsidR="007960D5" w:rsidRPr="00DA36EF" w:rsidRDefault="007960D5" w:rsidP="00DA36EF">
      <w:pPr>
        <w:pStyle w:val="Testonotaapidipagina"/>
        <w:numPr>
          <w:ilvl w:val="0"/>
          <w:numId w:val="17"/>
        </w:numPr>
        <w:jc w:val="both"/>
        <w:rPr>
          <w:rFonts w:ascii="Tahoma" w:hAnsi="Tahoma" w:cs="Tahoma"/>
          <w:sz w:val="18"/>
          <w:szCs w:val="18"/>
        </w:rPr>
      </w:pPr>
      <w:r w:rsidRPr="00DA36EF">
        <w:rPr>
          <w:rFonts w:ascii="Tahoma" w:hAnsi="Tahoma" w:cs="Tahoma"/>
          <w:sz w:val="18"/>
          <w:szCs w:val="18"/>
        </w:rPr>
        <w:t>Albo dei ragionieri.</w:t>
      </w:r>
    </w:p>
  </w:footnote>
  <w:footnote w:id="20">
    <w:p w14:paraId="694F0BBF"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Dove: AR = rischio di revisione; IR = rischio intrinseco; CR = rischio di controllo; DR = rischio di non individuazione.</w:t>
      </w:r>
    </w:p>
  </w:footnote>
  <w:footnote w:id="21">
    <w:p w14:paraId="18828B09"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Documento n. 1 – Principi di vigilanza e controllo dell’Organo di revisione degli Enti Locali.</w:t>
      </w:r>
    </w:p>
  </w:footnote>
  <w:footnote w:id="22">
    <w:p w14:paraId="631C9A48"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Cassazione, Sentenze 26 marzo 1990, n. 2428 e 11 agosto 1990, n. 8218.</w:t>
      </w:r>
    </w:p>
  </w:footnote>
  <w:footnote w:id="23">
    <w:p w14:paraId="5B5796F8" w14:textId="77777777" w:rsidR="007960D5" w:rsidRDefault="007960D5" w:rsidP="009975EA">
      <w:pPr>
        <w:pStyle w:val="Testonotaapidipagina"/>
        <w:spacing w:after="200"/>
        <w:jc w:val="both"/>
      </w:pPr>
      <w:r w:rsidRPr="00F602CF">
        <w:rPr>
          <w:rStyle w:val="Rimandonotaapidipagina"/>
          <w:rFonts w:ascii="Tahoma" w:hAnsi="Tahoma" w:cs="Tahoma"/>
          <w:sz w:val="18"/>
        </w:rPr>
        <w:footnoteRef/>
      </w:r>
      <w:r w:rsidRPr="00F602CF">
        <w:rPr>
          <w:rFonts w:ascii="Tahoma" w:hAnsi="Tahoma" w:cs="Tahoma"/>
          <w:sz w:val="18"/>
        </w:rPr>
        <w:t xml:space="preserve"> </w:t>
      </w:r>
      <w:r>
        <w:rPr>
          <w:rFonts w:ascii="Tahoma" w:hAnsi="Tahoma" w:cs="Tahoma"/>
          <w:sz w:val="18"/>
        </w:rPr>
        <w:t>C</w:t>
      </w:r>
      <w:r w:rsidRPr="00C640BD">
        <w:rPr>
          <w:rFonts w:ascii="Tahoma" w:hAnsi="Tahoma" w:cs="Tahoma"/>
          <w:sz w:val="18"/>
        </w:rPr>
        <w:t xml:space="preserve">omma così modificato, a decorrere dal 17 luglio 2020, dall’art. </w:t>
      </w:r>
      <w:hyperlink r:id="rId1" w:history="1">
        <w:r w:rsidRPr="00C640BD">
          <w:rPr>
            <w:rStyle w:val="Collegamentoipertestuale"/>
            <w:rFonts w:ascii="Tahoma" w:eastAsia="MS Gothic" w:hAnsi="Tahoma" w:cs="Tahoma"/>
            <w:color w:val="auto"/>
            <w:sz w:val="18"/>
            <w:u w:val="none"/>
          </w:rPr>
          <w:t>23, comma 1</w:t>
        </w:r>
      </w:hyperlink>
      <w:r w:rsidRPr="00C640BD">
        <w:rPr>
          <w:rFonts w:ascii="Tahoma" w:hAnsi="Tahoma" w:cs="Tahoma"/>
          <w:sz w:val="18"/>
        </w:rPr>
        <w:t xml:space="preserve">, </w:t>
      </w:r>
      <w:hyperlink r:id="rId2" w:history="1">
        <w:r w:rsidRPr="00C640BD">
          <w:rPr>
            <w:rStyle w:val="Collegamentoipertestuale"/>
            <w:rFonts w:ascii="Tahoma" w:eastAsia="MS Gothic" w:hAnsi="Tahoma" w:cs="Tahoma"/>
            <w:color w:val="auto"/>
            <w:sz w:val="18"/>
            <w:u w:val="none"/>
          </w:rPr>
          <w:t>D.L. 16 luglio 2020, n. 76</w:t>
        </w:r>
      </w:hyperlink>
      <w:r w:rsidRPr="00C640BD">
        <w:rPr>
          <w:rFonts w:ascii="Tahoma" w:hAnsi="Tahoma" w:cs="Tahoma"/>
          <w:sz w:val="18"/>
        </w:rPr>
        <w:t xml:space="preserve">, convertito, con modificazioni, dalla </w:t>
      </w:r>
      <w:hyperlink r:id="rId3" w:history="1">
        <w:r w:rsidRPr="00C640BD">
          <w:rPr>
            <w:rStyle w:val="Collegamentoipertestuale"/>
            <w:rFonts w:ascii="Tahoma" w:eastAsia="MS Gothic" w:hAnsi="Tahoma" w:cs="Tahoma"/>
            <w:color w:val="auto"/>
            <w:sz w:val="18"/>
            <w:u w:val="none"/>
          </w:rPr>
          <w:t>L. 11 settembre 2020, n. 120</w:t>
        </w:r>
      </w:hyperlink>
      <w:r w:rsidRPr="00C640BD">
        <w:rPr>
          <w:rFonts w:ascii="Tahoma" w:hAnsi="Tahoma" w:cs="Tahoma"/>
          <w:sz w:val="18"/>
        </w:rPr>
        <w:t>.</w:t>
      </w:r>
    </w:p>
  </w:footnote>
  <w:footnote w:id="24">
    <w:p w14:paraId="4A4787A1"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Il d</w:t>
      </w:r>
      <w:r w:rsidRPr="00DA36EF">
        <w:rPr>
          <w:rFonts w:ascii="Tahoma" w:hAnsi="Tahoma" w:cs="Tahoma"/>
          <w:color w:val="000000"/>
          <w:sz w:val="18"/>
          <w:szCs w:val="18"/>
          <w:shd w:val="clear" w:color="auto" w:fill="FFFFFF"/>
        </w:rPr>
        <w:t>olo generico consiste nella rappresentazione e nella volontà dell’intero fatto tipico; il dolo specifico indica un elemento essenziale, previsto espressamente dalla fattispecie incriminatrice, avente natura psichica e consiste in uno scopo ulteriore verso cui deve tendere la volontà del soggetto agente, ma che, ai fini dell’esistenza della fattispecie, non occorre che sia effettivamente conseguito.</w:t>
      </w:r>
    </w:p>
  </w:footnote>
  <w:footnote w:id="25">
    <w:p w14:paraId="352AF5AB"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i/>
          <w:sz w:val="18"/>
          <w:szCs w:val="18"/>
        </w:rPr>
        <w:t>“Reclusione da 1 a 6 anni. Se la falsità concerne un atto o parte di un atto, che faccia fede fino a querela di falso, la reclusione è da 3 a 10 anni”.</w:t>
      </w:r>
    </w:p>
  </w:footnote>
  <w:footnote w:id="26">
    <w:p w14:paraId="4C1F7437" w14:textId="77777777" w:rsidR="007960D5" w:rsidRPr="00DA36EF" w:rsidRDefault="007960D5" w:rsidP="00B008E1">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color w:val="231F20"/>
          <w:sz w:val="18"/>
          <w:szCs w:val="18"/>
        </w:rPr>
        <w:t>P</w:t>
      </w:r>
      <w:r w:rsidRPr="00DA36EF">
        <w:rPr>
          <w:rFonts w:ascii="Tahoma" w:hAnsi="Tahoma" w:cs="Tahoma"/>
          <w:sz w:val="18"/>
          <w:szCs w:val="18"/>
        </w:rPr>
        <w:t>er agevolazione si intende la condotta con cui in qualsiasi modo, anche omissivo, si rende possibile o più agevole a chi non ha il diritto o la competenza, procurarsi per via autonoma la conoscenza della notizia.</w:t>
      </w:r>
    </w:p>
  </w:footnote>
  <w:footnote w:id="27">
    <w:p w14:paraId="6DBA4CAD" w14:textId="77777777" w:rsidR="007960D5" w:rsidRPr="00DA36EF" w:rsidRDefault="007960D5" w:rsidP="00B008E1">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 tal senso, Corte dei Conti, ss.rr., sentenza n. 441/1985.</w:t>
      </w:r>
    </w:p>
  </w:footnote>
  <w:footnote w:id="28">
    <w:p w14:paraId="1F1C7BDD" w14:textId="77777777" w:rsidR="007960D5" w:rsidRPr="00543342" w:rsidRDefault="007960D5" w:rsidP="00B008E1">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543342">
        <w:rPr>
          <w:rFonts w:ascii="Tahoma" w:hAnsi="Tahoma" w:cs="Tahoma"/>
          <w:sz w:val="18"/>
          <w:szCs w:val="18"/>
        </w:rPr>
        <w:t xml:space="preserve"> Art. 90, D.P.R. n. 97/2003.</w:t>
      </w:r>
    </w:p>
  </w:footnote>
  <w:footnote w:id="29">
    <w:p w14:paraId="22C8A03C"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Si veda la sentenza della Corte dei Conti – Sezione Prima Giurisdizione Centrale di Appello del 17 maggio 2017, n. 176 con la quale si conferma la condanna ai consiglieri comunali responsabili di servizio per il danno arrecato all’ente a seguito di irregolarità nel riconoscimento di debiti fuori bilancio. </w:t>
      </w:r>
    </w:p>
  </w:footnote>
  <w:footnote w:id="30">
    <w:p w14:paraId="05B7D433" w14:textId="77777777" w:rsidR="007960D5" w:rsidRPr="00DA36EF" w:rsidRDefault="007960D5" w:rsidP="00DA3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ahoma"/>
          <w:sz w:val="18"/>
          <w:szCs w:val="18"/>
        </w:rPr>
      </w:pPr>
      <w:r w:rsidRPr="00DA36EF">
        <w:rPr>
          <w:rStyle w:val="Rimandonotaapidipagina"/>
          <w:rFonts w:cs="Tahoma"/>
          <w:sz w:val="18"/>
          <w:szCs w:val="18"/>
        </w:rPr>
        <w:footnoteRef/>
      </w:r>
      <w:r w:rsidRPr="00DA36EF">
        <w:rPr>
          <w:rFonts w:cs="Tahoma"/>
          <w:sz w:val="18"/>
          <w:szCs w:val="18"/>
        </w:rPr>
        <w:t xml:space="preserve"> </w:t>
      </w:r>
      <w:r w:rsidRPr="00DA36EF">
        <w:rPr>
          <w:rFonts w:eastAsia="Times New Roman" w:cs="Tahoma"/>
          <w:sz w:val="18"/>
          <w:szCs w:val="18"/>
          <w:lang w:eastAsia="it-IT"/>
        </w:rPr>
        <w:t>Ad esempio, nel 2016 le entrate per l'addizionale comunale IRPEF sono accertate per un importo pari agli accertamenti del 2014 per addizionale IRPEF, incassati in c/competenza nel 2014 e in c/residui nel 2015.</w:t>
      </w:r>
    </w:p>
  </w:footnote>
  <w:footnote w:id="31">
    <w:p w14:paraId="7854570E" w14:textId="77777777" w:rsidR="007960D5" w:rsidRPr="00DA36EF" w:rsidRDefault="007960D5" w:rsidP="00DA36EF">
      <w:pPr>
        <w:spacing w:after="0"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w:t>
      </w:r>
      <w:r w:rsidRPr="00DA36EF">
        <w:rPr>
          <w:rFonts w:eastAsia="Times New Roman" w:cs="Tahoma"/>
          <w:kern w:val="1"/>
          <w:sz w:val="18"/>
          <w:szCs w:val="18"/>
          <w:lang w:eastAsia="it-IT"/>
        </w:rPr>
        <w:t>Riguardo alla mancata restituzione dell’anticipazione di tesoreria, secondo la commissione ARCONET, come affermato nella riunione del 14 marzo 2018, con la risposta alla FAQ n. 29, le anticipazioni di tesoreria “</w:t>
      </w:r>
      <w:r w:rsidRPr="00DA36EF">
        <w:rPr>
          <w:rFonts w:eastAsia="Times New Roman" w:cs="Tahoma"/>
          <w:i/>
          <w:kern w:val="1"/>
          <w:sz w:val="18"/>
          <w:szCs w:val="18"/>
          <w:lang w:eastAsia="it-IT"/>
        </w:rPr>
        <w:t>non costituiscono debito per l’ente, in quanto destinate a fronteggiare temporanee esigenze di liquidità dell’ente e destinate ad essere chiuse entro l’esercizio</w:t>
      </w:r>
      <w:r w:rsidRPr="00DA36EF">
        <w:rPr>
          <w:rFonts w:eastAsia="Times New Roman" w:cs="Tahoma"/>
          <w:kern w:val="1"/>
          <w:sz w:val="18"/>
          <w:szCs w:val="18"/>
          <w:lang w:eastAsia="it-IT"/>
        </w:rPr>
        <w:t xml:space="preserve">”. </w:t>
      </w:r>
      <w:r w:rsidRPr="00DA36EF">
        <w:rPr>
          <w:rFonts w:eastAsia="Times New Roman" w:cs="Tahoma"/>
          <w:sz w:val="18"/>
          <w:szCs w:val="18"/>
          <w:lang w:eastAsia="it-IT"/>
        </w:rPr>
        <w:t>Qualora ciò non accadesse, la chiusura contabile dell’anticipazione di tesoreria al 31 dicembre dell’esercizio precedente, come indicato dalla stessa commissione, è effettuata nell’esercizio successivo, alla prima data utile, attraverso:</w:t>
      </w:r>
    </w:p>
    <w:p w14:paraId="569CAC92" w14:textId="77777777" w:rsidR="007960D5" w:rsidRPr="00DA36EF" w:rsidRDefault="007960D5" w:rsidP="00DA36EF">
      <w:pPr>
        <w:spacing w:after="0" w:line="240" w:lineRule="auto"/>
        <w:jc w:val="both"/>
        <w:rPr>
          <w:rFonts w:eastAsia="Times New Roman" w:cs="Tahoma"/>
          <w:sz w:val="18"/>
          <w:szCs w:val="18"/>
          <w:lang w:eastAsia="it-IT"/>
        </w:rPr>
      </w:pPr>
      <w:r w:rsidRPr="00DA36EF">
        <w:rPr>
          <w:rFonts w:eastAsia="Times New Roman" w:cs="Tahoma"/>
          <w:sz w:val="18"/>
          <w:szCs w:val="18"/>
          <w:lang w:eastAsia="it-IT"/>
        </w:rPr>
        <w:t>a) l’accertamento dell’entrata derivante dall’anticipazione di tesoreria in essere alla data del 1° gennaio, e il correlato impegno concernete il rimborso dell’anticipazione;</w:t>
      </w:r>
    </w:p>
    <w:p w14:paraId="539539E0" w14:textId="77777777" w:rsidR="007960D5" w:rsidRPr="00DA36EF" w:rsidRDefault="007960D5" w:rsidP="00DA36EF">
      <w:pPr>
        <w:spacing w:after="0" w:line="240" w:lineRule="auto"/>
        <w:jc w:val="both"/>
        <w:rPr>
          <w:rFonts w:eastAsia="Times New Roman" w:cs="Tahoma"/>
          <w:sz w:val="18"/>
          <w:szCs w:val="18"/>
          <w:lang w:eastAsia="it-IT"/>
        </w:rPr>
      </w:pPr>
      <w:r w:rsidRPr="00DA36EF">
        <w:rPr>
          <w:rFonts w:eastAsia="Times New Roman" w:cs="Tahoma"/>
          <w:sz w:val="18"/>
          <w:szCs w:val="18"/>
          <w:lang w:eastAsia="it-IT"/>
        </w:rPr>
        <w:t>b) una regolazione contabile costituita da un mandato in c/residui a valere dell’impegno concernente il rimborso dell’anticipazione di tesoreria non pagato nell’esercizio precedente, e dalla correlata reversale in c/competenza a valere dell’accertamento di cui alla lettera a).</w:t>
      </w:r>
    </w:p>
    <w:p w14:paraId="1EDA223D" w14:textId="77777777" w:rsidR="007960D5" w:rsidRPr="00DA36EF" w:rsidRDefault="007960D5" w:rsidP="00DA36EF">
      <w:pPr>
        <w:spacing w:after="0" w:line="240" w:lineRule="auto"/>
        <w:jc w:val="both"/>
        <w:rPr>
          <w:rFonts w:eastAsia="Times New Roman" w:cs="Tahoma"/>
          <w:sz w:val="18"/>
          <w:szCs w:val="18"/>
          <w:lang w:eastAsia="it-IT"/>
        </w:rPr>
      </w:pPr>
      <w:r w:rsidRPr="00DA36EF">
        <w:rPr>
          <w:rFonts w:eastAsia="Times New Roman" w:cs="Tahoma"/>
          <w:sz w:val="18"/>
          <w:szCs w:val="18"/>
          <w:lang w:eastAsia="it-IT"/>
        </w:rPr>
        <w:t>Al 1° gennaio il fondo cassa iniziale risulta pari a zero.</w:t>
      </w:r>
    </w:p>
    <w:p w14:paraId="31604C29" w14:textId="77777777" w:rsidR="007960D5" w:rsidRPr="00DA36EF" w:rsidRDefault="007960D5" w:rsidP="00DA36EF">
      <w:pPr>
        <w:spacing w:after="0" w:line="240" w:lineRule="auto"/>
        <w:jc w:val="both"/>
        <w:rPr>
          <w:rFonts w:eastAsia="Times New Roman" w:cs="Tahoma"/>
          <w:sz w:val="18"/>
          <w:szCs w:val="18"/>
          <w:lang w:eastAsia="it-IT"/>
        </w:rPr>
      </w:pPr>
      <w:r w:rsidRPr="00DA36EF">
        <w:rPr>
          <w:rFonts w:eastAsia="Times New Roman" w:cs="Tahoma"/>
          <w:sz w:val="18"/>
          <w:szCs w:val="18"/>
          <w:lang w:eastAsia="it-IT"/>
        </w:rPr>
        <w:t>Alla data del 1° gennaio, il livello massimo dell’anticipazione di tesoreria del nuovo anno è determinato nel rispetto dei limiti di legge, considerando l’anticipazione non restituita.</w:t>
      </w:r>
    </w:p>
    <w:p w14:paraId="56569E1B" w14:textId="77777777" w:rsidR="007960D5" w:rsidRPr="00DA36EF" w:rsidRDefault="007960D5" w:rsidP="00DA36EF">
      <w:pPr>
        <w:pStyle w:val="Testonotaapidipagina"/>
        <w:rPr>
          <w:rFonts w:ascii="Tahoma" w:hAnsi="Tahoma" w:cs="Tahoma"/>
          <w:sz w:val="18"/>
          <w:szCs w:val="18"/>
        </w:rPr>
      </w:pPr>
    </w:p>
  </w:footnote>
  <w:footnote w:id="32">
    <w:p w14:paraId="53FC4A26" w14:textId="77777777" w:rsidR="007960D5" w:rsidRDefault="007960D5">
      <w:pPr>
        <w:pStyle w:val="Testonotaapidipagina"/>
      </w:pPr>
      <w:r>
        <w:rPr>
          <w:rStyle w:val="Rimandonotaapidipagina"/>
        </w:rPr>
        <w:footnoteRef/>
      </w:r>
      <w:r>
        <w:t xml:space="preserve"> </w:t>
      </w:r>
      <w:r w:rsidRPr="0061180B">
        <w:rPr>
          <w:rFonts w:ascii="Tahoma" w:hAnsi="Tahoma" w:cs="Tahoma"/>
          <w:sz w:val="18"/>
        </w:rPr>
        <w:t>Aggiornamento del principio contabile previsto dai decreti ministeriali del 7 settembre 2020 e del 1 settembre 2021.</w:t>
      </w:r>
    </w:p>
  </w:footnote>
  <w:footnote w:id="33">
    <w:p w14:paraId="10B57391" w14:textId="77777777" w:rsidR="007960D5" w:rsidRPr="002E6A34" w:rsidRDefault="007960D5" w:rsidP="002E6A34">
      <w:pPr>
        <w:pStyle w:val="Testonotaapidipagina"/>
        <w:jc w:val="both"/>
        <w:rPr>
          <w:rFonts w:ascii="Tahoma" w:hAnsi="Tahoma" w:cs="Tahoma"/>
          <w:sz w:val="18"/>
          <w:szCs w:val="18"/>
        </w:rPr>
      </w:pPr>
      <w:r w:rsidRPr="002E6A34">
        <w:rPr>
          <w:rStyle w:val="Rimandonotaapidipagina"/>
          <w:rFonts w:ascii="Tahoma" w:hAnsi="Tahoma" w:cs="Tahoma"/>
          <w:sz w:val="18"/>
          <w:szCs w:val="18"/>
        </w:rPr>
        <w:footnoteRef/>
      </w:r>
      <w:r w:rsidRPr="002E6A34">
        <w:rPr>
          <w:rFonts w:ascii="Tahoma" w:hAnsi="Tahoma" w:cs="Tahoma"/>
          <w:sz w:val="18"/>
          <w:szCs w:val="18"/>
        </w:rPr>
        <w:t xml:space="preserve"> Oneri inerenti alla progettazione, alla direzione dei lavori ovvero al direttore dell'esecuzione, alla vigilanza, ai collaudi tecnici e amministrativi ovvero alle verifiche di conformità, al collaudo statico, agli studi e alle ricerche connessi, alla progettazione dei piani di sicurezza e di coordinamento e al coordinamento della sicurezza in fase di esecuzione quando previsti dal D.L.gs. n. 81/2008, alle prestazioni professionali e specialistiche necessari per la redazione di un progetto esecutivo completo in ogni dettaglio.</w:t>
      </w:r>
    </w:p>
  </w:footnote>
  <w:footnote w:id="34">
    <w:p w14:paraId="1C1F3A66"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Le percentuali dal 2018 in poi sono così modificate, in ultimo, dall’art. 1, c. 882, L. 27 dicembre 2017, n. 205.</w:t>
      </w:r>
    </w:p>
  </w:footnote>
  <w:footnote w:id="35">
    <w:p w14:paraId="751021C9" w14:textId="77777777" w:rsidR="007960D5" w:rsidRPr="00DA36EF" w:rsidRDefault="007960D5" w:rsidP="00AB7EB1">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eastAsia="Calibri" w:hAnsi="Tahoma" w:cs="Tahoma"/>
          <w:sz w:val="18"/>
          <w:szCs w:val="18"/>
          <w:lang w:eastAsia="en-US"/>
        </w:rPr>
        <w:t>Con la delibera n. 279/2018, la Corte dei Conti, sezione di controllo per il Veneto, consolida e precisa il principio dell'obbligatorietà della costituzione di un apposito fondo rischi in presenza di una obbligazione passiva condizionata all'esito del giudizio.</w:t>
      </w:r>
    </w:p>
  </w:footnote>
  <w:footnote w:id="36">
    <w:p w14:paraId="06ED07D8"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Organismo che sovraintende all’applicazione del nuovo ordinamento contabile degli enti locali.</w:t>
      </w:r>
    </w:p>
  </w:footnote>
  <w:footnote w:id="37">
    <w:p w14:paraId="4E52ABA1" w14:textId="77777777" w:rsidR="007960D5" w:rsidRPr="00DA36EF" w:rsidRDefault="007960D5" w:rsidP="00E61E41">
      <w:pPr>
        <w:spacing w:line="240" w:lineRule="auto"/>
        <w:jc w:val="both"/>
        <w:rPr>
          <w:rFonts w:eastAsia="Times New Roman" w:cs="Tahoma"/>
          <w:i/>
          <w:sz w:val="18"/>
          <w:szCs w:val="18"/>
          <w:lang w:eastAsia="it-IT"/>
        </w:rPr>
      </w:pPr>
      <w:r w:rsidRPr="00DA36EF">
        <w:rPr>
          <w:rStyle w:val="Rimandonotaapidipagina"/>
          <w:rFonts w:cs="Tahoma"/>
          <w:sz w:val="18"/>
          <w:szCs w:val="18"/>
        </w:rPr>
        <w:footnoteRef/>
      </w:r>
      <w:r w:rsidRPr="00DA36EF">
        <w:rPr>
          <w:rFonts w:cs="Tahoma"/>
          <w:sz w:val="18"/>
          <w:szCs w:val="18"/>
        </w:rPr>
        <w:t xml:space="preserve"> Ai sensi dell’art.1, c. 2, lett. b)</w:t>
      </w:r>
      <w:r>
        <w:rPr>
          <w:rFonts w:cs="Tahoma"/>
          <w:sz w:val="18"/>
          <w:szCs w:val="18"/>
        </w:rPr>
        <w:t>,</w:t>
      </w:r>
      <w:r w:rsidRPr="00DA36EF">
        <w:rPr>
          <w:rFonts w:cs="Tahoma"/>
          <w:sz w:val="18"/>
          <w:szCs w:val="18"/>
        </w:rPr>
        <w:t xml:space="preserve"> D.Lgs. 118/2011. </w:t>
      </w:r>
      <w:r w:rsidRPr="00DA36EF">
        <w:rPr>
          <w:rFonts w:cs="Tahoma"/>
          <w:i/>
          <w:sz w:val="18"/>
          <w:szCs w:val="18"/>
        </w:rPr>
        <w:t>“P</w:t>
      </w:r>
      <w:r w:rsidRPr="00DA36EF">
        <w:rPr>
          <w:rFonts w:eastAsia="Times New Roman" w:cs="Tahoma"/>
          <w:i/>
          <w:sz w:val="18"/>
          <w:szCs w:val="18"/>
          <w:lang w:eastAsia="it-IT"/>
        </w:rPr>
        <w:t>er organismi strumentali delle regioni e degli enti locali si intendono le loro articolazioni organizzative, anche a livello territoriale, dotate di autonomia gestionale e contabile, prive di personalità giuridica. Le gestioni fuori bilancio autorizzate da legge e le istituzioni di cui all'art. 114, c. 2, del D.Lg. 18 agosto 2000, n. 267, sono organismi strumentali. Gli organismi strumentali sono distinti nelle tipologie definite in corrispondenza delle missioni del bilancio.”</w:t>
      </w:r>
    </w:p>
  </w:footnote>
  <w:footnote w:id="38">
    <w:p w14:paraId="548F283D" w14:textId="77777777" w:rsidR="007960D5" w:rsidRPr="00DA36EF" w:rsidRDefault="007960D5" w:rsidP="00DA36EF">
      <w:pPr>
        <w:spacing w:after="0" w:line="240" w:lineRule="auto"/>
        <w:jc w:val="both"/>
        <w:rPr>
          <w:rFonts w:eastAsia="Times New Roman" w:cs="Tahoma"/>
          <w:i/>
          <w:sz w:val="18"/>
          <w:szCs w:val="18"/>
          <w:lang w:eastAsia="it-IT"/>
        </w:rPr>
      </w:pPr>
      <w:r w:rsidRPr="00DA36EF">
        <w:rPr>
          <w:rStyle w:val="Rimandonotaapidipagina"/>
          <w:rFonts w:cs="Tahoma"/>
          <w:sz w:val="18"/>
          <w:szCs w:val="18"/>
        </w:rPr>
        <w:footnoteRef/>
      </w:r>
      <w:r w:rsidRPr="00DA36EF">
        <w:rPr>
          <w:rFonts w:cs="Tahoma"/>
          <w:sz w:val="18"/>
          <w:szCs w:val="18"/>
        </w:rPr>
        <w:t xml:space="preserve"> Ai sensi dell’art.11-ter, c. 1</w:t>
      </w:r>
      <w:r>
        <w:rPr>
          <w:rFonts w:cs="Tahoma"/>
          <w:sz w:val="18"/>
          <w:szCs w:val="18"/>
        </w:rPr>
        <w:t>,</w:t>
      </w:r>
      <w:r w:rsidRPr="00DA36EF">
        <w:rPr>
          <w:rFonts w:cs="Tahoma"/>
          <w:sz w:val="18"/>
          <w:szCs w:val="18"/>
        </w:rPr>
        <w:t xml:space="preserve"> D.Lgs. 118/2011: </w:t>
      </w:r>
      <w:r w:rsidRPr="00DA36EF">
        <w:rPr>
          <w:rFonts w:cs="Tahoma"/>
          <w:i/>
          <w:sz w:val="18"/>
          <w:szCs w:val="18"/>
        </w:rPr>
        <w:t>“S</w:t>
      </w:r>
      <w:r w:rsidRPr="00DA36EF">
        <w:rPr>
          <w:rFonts w:eastAsia="Times New Roman" w:cs="Tahoma"/>
          <w:i/>
          <w:sz w:val="18"/>
          <w:szCs w:val="18"/>
          <w:lang w:eastAsia="it-IT"/>
        </w:rPr>
        <w:t>i definisce ente strumentale controllato di una regione o di un ente locale di cui all'art. 2 del D.Lgs. 18 agosto 2000, n. 267, l'azienda o l'ente, pubblico o privato, nei cui confronti la regione o l'ente locale ha una delle seguenti condizioni:</w:t>
      </w:r>
    </w:p>
    <w:p w14:paraId="13078374" w14:textId="77777777" w:rsidR="007960D5" w:rsidRPr="00DA36EF" w:rsidRDefault="007960D5" w:rsidP="00D65838">
      <w:pPr>
        <w:pStyle w:val="Paragrafoelenco"/>
        <w:numPr>
          <w:ilvl w:val="0"/>
          <w:numId w:val="173"/>
        </w:numPr>
        <w:spacing w:after="0" w:line="240" w:lineRule="auto"/>
        <w:jc w:val="both"/>
        <w:rPr>
          <w:rFonts w:eastAsia="Times New Roman" w:cs="Tahoma"/>
          <w:i/>
          <w:sz w:val="18"/>
          <w:szCs w:val="18"/>
          <w:lang w:eastAsia="it-IT"/>
        </w:rPr>
      </w:pPr>
      <w:r w:rsidRPr="00DA36EF">
        <w:rPr>
          <w:rFonts w:eastAsia="Times New Roman" w:cs="Tahoma"/>
          <w:i/>
          <w:sz w:val="18"/>
          <w:szCs w:val="18"/>
          <w:lang w:eastAsia="it-IT"/>
        </w:rPr>
        <w:t>il possesso, diretto o indiretto, della maggioranza dei voti esercitabili nell'ente o nell'azienda;</w:t>
      </w:r>
    </w:p>
    <w:p w14:paraId="224AC412" w14:textId="77777777" w:rsidR="007960D5" w:rsidRPr="00DA36EF" w:rsidRDefault="007960D5" w:rsidP="00D65838">
      <w:pPr>
        <w:pStyle w:val="Paragrafoelenco"/>
        <w:numPr>
          <w:ilvl w:val="0"/>
          <w:numId w:val="173"/>
        </w:numPr>
        <w:spacing w:after="0" w:line="240" w:lineRule="auto"/>
        <w:jc w:val="both"/>
        <w:rPr>
          <w:rFonts w:eastAsia="Times New Roman" w:cs="Tahoma"/>
          <w:i/>
          <w:sz w:val="18"/>
          <w:szCs w:val="18"/>
          <w:lang w:eastAsia="it-IT"/>
        </w:rPr>
      </w:pPr>
      <w:r w:rsidRPr="00DA36EF">
        <w:rPr>
          <w:rFonts w:eastAsia="Times New Roman" w:cs="Tahoma"/>
          <w:i/>
          <w:sz w:val="18"/>
          <w:szCs w:val="18"/>
          <w:lang w:eastAsia="it-IT"/>
        </w:rPr>
        <w:t xml:space="preserve">il potere assegnato da legge, statuto o convenzione di nominare o rimuovere la maggioranza dei componenti degli organi decisionali, competenti a definire le scelte strategiche e le politiche di settore, nonché a decidere in ordine all'indirizzo, alla pianificazione ed alla programmazione dell'attività di un ente o di un'azienda; </w:t>
      </w:r>
    </w:p>
    <w:p w14:paraId="2950B298" w14:textId="77777777" w:rsidR="007960D5" w:rsidRPr="00DA36EF" w:rsidRDefault="007960D5" w:rsidP="00D65838">
      <w:pPr>
        <w:pStyle w:val="Paragrafoelenco"/>
        <w:numPr>
          <w:ilvl w:val="0"/>
          <w:numId w:val="173"/>
        </w:numPr>
        <w:spacing w:after="0" w:line="240" w:lineRule="auto"/>
        <w:jc w:val="both"/>
        <w:rPr>
          <w:rFonts w:eastAsia="Times New Roman" w:cs="Tahoma"/>
          <w:i/>
          <w:sz w:val="18"/>
          <w:szCs w:val="18"/>
          <w:lang w:eastAsia="it-IT"/>
        </w:rPr>
      </w:pPr>
      <w:r w:rsidRPr="00DA36EF">
        <w:rPr>
          <w:rFonts w:eastAsia="Times New Roman" w:cs="Tahoma"/>
          <w:i/>
          <w:sz w:val="18"/>
          <w:szCs w:val="18"/>
          <w:lang w:eastAsia="it-IT"/>
        </w:rPr>
        <w:t>la maggioranza, diretta o indiretta, dei diritti di voto nelle sedute degli organi decisionali, competenti a definire le scelte strategiche e le politiche di settore, nonché a decidere in ordine all'indirizzo, alla pianificazione ed alla programmazione dell'attività dell'ente o dell'azienda;</w:t>
      </w:r>
    </w:p>
    <w:p w14:paraId="17E032B5" w14:textId="77777777" w:rsidR="007960D5" w:rsidRPr="00DA36EF" w:rsidRDefault="007960D5" w:rsidP="00D65838">
      <w:pPr>
        <w:pStyle w:val="Paragrafoelenco"/>
        <w:numPr>
          <w:ilvl w:val="0"/>
          <w:numId w:val="173"/>
        </w:numPr>
        <w:spacing w:after="0" w:line="240" w:lineRule="auto"/>
        <w:jc w:val="both"/>
        <w:rPr>
          <w:rFonts w:eastAsia="Times New Roman" w:cs="Tahoma"/>
          <w:i/>
          <w:sz w:val="18"/>
          <w:szCs w:val="18"/>
          <w:lang w:eastAsia="it-IT"/>
        </w:rPr>
      </w:pPr>
      <w:r w:rsidRPr="00DA36EF">
        <w:rPr>
          <w:rFonts w:eastAsia="Times New Roman" w:cs="Tahoma"/>
          <w:i/>
          <w:sz w:val="18"/>
          <w:szCs w:val="18"/>
          <w:lang w:eastAsia="it-IT"/>
        </w:rPr>
        <w:t>l'obbligo di ripianare i disavanzi, nei casi consentiti dalla legge, per percentuali superiori alla propria quota di partecipazione;</w:t>
      </w:r>
    </w:p>
    <w:p w14:paraId="0F061A28" w14:textId="77777777" w:rsidR="007960D5" w:rsidRPr="00DA36EF" w:rsidRDefault="007960D5" w:rsidP="00E61E41">
      <w:pPr>
        <w:pStyle w:val="Paragrafoelenco"/>
        <w:numPr>
          <w:ilvl w:val="0"/>
          <w:numId w:val="173"/>
        </w:numPr>
        <w:spacing w:line="240" w:lineRule="auto"/>
        <w:ind w:left="357" w:hanging="357"/>
        <w:jc w:val="both"/>
        <w:rPr>
          <w:rFonts w:eastAsia="Times New Roman" w:cs="Tahoma"/>
          <w:sz w:val="18"/>
          <w:szCs w:val="18"/>
          <w:lang w:eastAsia="it-IT"/>
        </w:rPr>
      </w:pPr>
      <w:r w:rsidRPr="00DA36EF">
        <w:rPr>
          <w:rFonts w:eastAsia="Times New Roman" w:cs="Tahoma"/>
          <w:i/>
          <w:sz w:val="18"/>
          <w:szCs w:val="18"/>
          <w:lang w:eastAsia="it-IT"/>
        </w:rPr>
        <w:t>un'influenza dominante in virtù di contratti o clausole statutarie, nei casi in cui la legge consente tali contratti o clausole...”</w:t>
      </w:r>
      <w:r w:rsidRPr="00DA36EF">
        <w:rPr>
          <w:rFonts w:eastAsia="Times New Roman" w:cs="Tahoma"/>
          <w:sz w:val="18"/>
          <w:szCs w:val="18"/>
          <w:lang w:eastAsia="it-IT"/>
        </w:rPr>
        <w:t xml:space="preserve"> </w:t>
      </w:r>
    </w:p>
  </w:footnote>
  <w:footnote w:id="39">
    <w:p w14:paraId="7826202F" w14:textId="77777777" w:rsidR="007960D5" w:rsidRPr="00DA36EF" w:rsidRDefault="007960D5" w:rsidP="00E61E41">
      <w:pPr>
        <w:spacing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Ai sensi dell’art. 11-ter, c. 2</w:t>
      </w:r>
      <w:r>
        <w:rPr>
          <w:rFonts w:cs="Tahoma"/>
          <w:sz w:val="18"/>
          <w:szCs w:val="18"/>
        </w:rPr>
        <w:t>,</w:t>
      </w:r>
      <w:r w:rsidRPr="00DA36EF">
        <w:rPr>
          <w:rFonts w:cs="Tahoma"/>
          <w:sz w:val="18"/>
          <w:szCs w:val="18"/>
        </w:rPr>
        <w:t xml:space="preserve"> D.Lgs. 118/2011: </w:t>
      </w:r>
      <w:r w:rsidRPr="00DA36EF">
        <w:rPr>
          <w:rFonts w:cs="Tahoma"/>
          <w:i/>
          <w:sz w:val="18"/>
          <w:szCs w:val="18"/>
        </w:rPr>
        <w:t>“S</w:t>
      </w:r>
      <w:r w:rsidRPr="00DA36EF">
        <w:rPr>
          <w:rFonts w:eastAsia="Times New Roman" w:cs="Tahoma"/>
          <w:i/>
          <w:sz w:val="18"/>
          <w:szCs w:val="18"/>
          <w:lang w:eastAsia="it-IT"/>
        </w:rPr>
        <w:t>i definisce ente strumentale partecipato da una regione o da un ente locale di cui all'art. 2 del D.Lgs. 18 agosto 2000, n. 267, l'azienda o l'ente, pubblico o privato, nel quale la regione o l'ente locale ha una partecipazione, in assenza delle condizioni di cui al c. 1.”</w:t>
      </w:r>
    </w:p>
  </w:footnote>
  <w:footnote w:id="40">
    <w:p w14:paraId="69AD98FE" w14:textId="77777777" w:rsidR="007960D5" w:rsidRPr="00DA36EF" w:rsidRDefault="007960D5" w:rsidP="00E61E41">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color w:val="000000"/>
          <w:sz w:val="18"/>
          <w:szCs w:val="18"/>
        </w:rPr>
        <w:t>L'influenza dominante si manifesta attraverso clausole contrattuali che incidono significativamente sulla gestione della partecipata che svolge l'attività prevalentemente nei confronti dell'ente controllante.</w:t>
      </w:r>
    </w:p>
  </w:footnote>
  <w:footnote w:id="41">
    <w:p w14:paraId="43D33418" w14:textId="77777777" w:rsidR="007960D5" w:rsidRPr="00DA36EF" w:rsidRDefault="007960D5" w:rsidP="00E61E41">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w:t>
      </w:r>
      <w:r w:rsidRPr="00DA36EF">
        <w:rPr>
          <w:rFonts w:ascii="Tahoma" w:hAnsi="Tahoma" w:cs="Tahoma"/>
          <w:bCs/>
          <w:iCs/>
          <w:sz w:val="18"/>
          <w:szCs w:val="18"/>
        </w:rPr>
        <w:t>’</w:t>
      </w:r>
      <w:r w:rsidRPr="00DA36EF">
        <w:rPr>
          <w:rFonts w:ascii="Tahoma" w:hAnsi="Tahoma" w:cs="Tahoma"/>
          <w:color w:val="000000"/>
          <w:sz w:val="18"/>
          <w:szCs w:val="18"/>
        </w:rPr>
        <w:t>attività si definisce prevalente se la società controllata ha conseguito nell'anno precedente ricavi a favore dell'amministrazione pubblica capogruppo superiori all'80% dell'intero fatturato.</w:t>
      </w:r>
    </w:p>
  </w:footnote>
  <w:footnote w:id="42">
    <w:p w14:paraId="1882652C" w14:textId="77777777" w:rsidR="007960D5" w:rsidRPr="00DA36EF" w:rsidRDefault="007960D5" w:rsidP="00DA36EF">
      <w:pPr>
        <w:pStyle w:val="Testonotaapidipagina"/>
        <w:rPr>
          <w:rFonts w:ascii="Tahoma" w:hAnsi="Tahoma" w:cs="Tahoma"/>
          <w:i/>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Ai sensi dell’art 2359, C.C.: </w:t>
      </w:r>
      <w:r w:rsidRPr="00DA36EF">
        <w:rPr>
          <w:rFonts w:ascii="Tahoma" w:hAnsi="Tahoma" w:cs="Tahoma"/>
          <w:i/>
          <w:sz w:val="18"/>
          <w:szCs w:val="18"/>
        </w:rPr>
        <w:t>“Sono considerate società controllate:</w:t>
      </w:r>
    </w:p>
    <w:p w14:paraId="5D700467" w14:textId="77777777" w:rsidR="007960D5" w:rsidRPr="00DA36EF" w:rsidRDefault="007960D5" w:rsidP="00DA36EF">
      <w:pPr>
        <w:pStyle w:val="Testonotaapidipagina"/>
        <w:rPr>
          <w:rFonts w:ascii="Tahoma" w:hAnsi="Tahoma" w:cs="Tahoma"/>
          <w:i/>
          <w:sz w:val="18"/>
          <w:szCs w:val="18"/>
        </w:rPr>
      </w:pPr>
      <w:r w:rsidRPr="00DA36EF">
        <w:rPr>
          <w:rFonts w:ascii="Tahoma" w:hAnsi="Tahoma" w:cs="Tahoma"/>
          <w:i/>
          <w:sz w:val="18"/>
          <w:szCs w:val="18"/>
        </w:rPr>
        <w:t>1) le società in cui un’altra società dispone della maggioranza dei voti esercitabili nell’assemblea ordinaria;</w:t>
      </w:r>
    </w:p>
    <w:p w14:paraId="2D65BED5" w14:textId="77777777" w:rsidR="007960D5" w:rsidRPr="00DA36EF" w:rsidRDefault="007960D5" w:rsidP="00DA36EF">
      <w:pPr>
        <w:pStyle w:val="Testonotaapidipagina"/>
        <w:jc w:val="both"/>
        <w:rPr>
          <w:rFonts w:ascii="Tahoma" w:hAnsi="Tahoma" w:cs="Tahoma"/>
          <w:i/>
          <w:sz w:val="18"/>
          <w:szCs w:val="18"/>
        </w:rPr>
      </w:pPr>
      <w:r w:rsidRPr="00DA36EF">
        <w:rPr>
          <w:rFonts w:ascii="Tahoma" w:hAnsi="Tahoma" w:cs="Tahoma"/>
          <w:i/>
          <w:sz w:val="18"/>
          <w:szCs w:val="18"/>
        </w:rPr>
        <w:t>2) le società in cui un’altra società dispone di voti sufficienti per esercitare un’influenza dominante nell’assemblea ordinaria;</w:t>
      </w:r>
    </w:p>
    <w:p w14:paraId="3356BBEF" w14:textId="77777777" w:rsidR="007960D5" w:rsidRPr="00DA36EF" w:rsidRDefault="007960D5" w:rsidP="00DA36EF">
      <w:pPr>
        <w:pStyle w:val="Testonotaapidipagina"/>
        <w:rPr>
          <w:rFonts w:ascii="Tahoma" w:hAnsi="Tahoma" w:cs="Tahoma"/>
          <w:i/>
          <w:sz w:val="18"/>
          <w:szCs w:val="18"/>
        </w:rPr>
      </w:pPr>
      <w:r w:rsidRPr="00DA36EF">
        <w:rPr>
          <w:rFonts w:ascii="Tahoma" w:hAnsi="Tahoma" w:cs="Tahoma"/>
          <w:i/>
          <w:sz w:val="18"/>
          <w:szCs w:val="18"/>
        </w:rPr>
        <w:t>3) le società che sono sotto influenza dominante di un’altra società in virtù di particolari vincoli contrattuali con essa.”</w:t>
      </w:r>
    </w:p>
  </w:footnote>
  <w:footnote w:id="43">
    <w:p w14:paraId="21748F66" w14:textId="77777777" w:rsidR="007960D5" w:rsidRPr="00C761F3" w:rsidRDefault="007960D5" w:rsidP="00C761F3">
      <w:pPr>
        <w:pStyle w:val="Testonotaapidipagina"/>
        <w:jc w:val="both"/>
        <w:rPr>
          <w:rFonts w:ascii="Tahoma" w:hAnsi="Tahoma" w:cs="Tahoma"/>
          <w:sz w:val="18"/>
          <w:szCs w:val="18"/>
        </w:rPr>
      </w:pPr>
      <w:r>
        <w:rPr>
          <w:rStyle w:val="Rimandonotaapidipagina"/>
        </w:rPr>
        <w:footnoteRef/>
      </w:r>
      <w:r>
        <w:t xml:space="preserve"> </w:t>
      </w:r>
      <w:r w:rsidRPr="00C761F3">
        <w:rPr>
          <w:rFonts w:ascii="Tahoma" w:hAnsi="Tahoma" w:cs="Tahoma"/>
          <w:bCs/>
          <w:iCs/>
          <w:sz w:val="18"/>
          <w:szCs w:val="18"/>
        </w:rPr>
        <w:t>A decorrere dal 2019, con riferimento all'esercizio 2018, la definizione di società partecipata è estesa alle società nelle quali l'ente locale, direttamente o indirettamente, dispone di una quota significativa di voti, esercitabili in assemblea, pari o superiore al 20%, o al 10% se trattasi di società quotata</w:t>
      </w:r>
      <w:r>
        <w:rPr>
          <w:rFonts w:ascii="Tahoma" w:hAnsi="Tahoma" w:cs="Tahoma"/>
          <w:bCs/>
          <w:iCs/>
          <w:sz w:val="18"/>
          <w:szCs w:val="18"/>
        </w:rPr>
        <w:t>.</w:t>
      </w:r>
    </w:p>
  </w:footnote>
  <w:footnote w:id="44">
    <w:p w14:paraId="0FAE1227" w14:textId="77777777" w:rsidR="007960D5" w:rsidRPr="00D072EC" w:rsidRDefault="007960D5">
      <w:pPr>
        <w:pStyle w:val="Testonotaapidipagina"/>
        <w:rPr>
          <w:rFonts w:ascii="Tahoma" w:hAnsi="Tahoma" w:cs="Tahoma"/>
          <w:sz w:val="18"/>
          <w:szCs w:val="18"/>
        </w:rPr>
      </w:pPr>
      <w:r w:rsidRPr="00D072EC">
        <w:rPr>
          <w:rStyle w:val="Rimandonotaapidipagina"/>
          <w:rFonts w:ascii="Tahoma" w:hAnsi="Tahoma" w:cs="Tahoma"/>
          <w:sz w:val="18"/>
          <w:szCs w:val="18"/>
        </w:rPr>
        <w:footnoteRef/>
      </w:r>
      <w:r w:rsidRPr="00D072EC">
        <w:rPr>
          <w:rFonts w:ascii="Tahoma" w:hAnsi="Tahoma" w:cs="Tahoma"/>
          <w:sz w:val="18"/>
          <w:szCs w:val="18"/>
        </w:rPr>
        <w:t xml:space="preserve"> Vedi schemi del bilancio di previsione in appendice.</w:t>
      </w:r>
    </w:p>
  </w:footnote>
  <w:footnote w:id="45">
    <w:p w14:paraId="23FB0A55" w14:textId="77777777" w:rsidR="007960D5" w:rsidRPr="00964579" w:rsidRDefault="007960D5" w:rsidP="00964579">
      <w:pPr>
        <w:pStyle w:val="Testonotaapidipagina"/>
        <w:spacing w:after="200"/>
        <w:jc w:val="both"/>
        <w:rPr>
          <w:rFonts w:ascii="Tahoma" w:hAnsi="Tahoma" w:cs="Tahoma"/>
          <w:sz w:val="18"/>
          <w:szCs w:val="18"/>
        </w:rPr>
      </w:pPr>
      <w:r w:rsidRPr="00964579">
        <w:rPr>
          <w:rStyle w:val="Rimandonotaapidipagina"/>
          <w:rFonts w:ascii="Tahoma" w:hAnsi="Tahoma" w:cs="Tahoma"/>
          <w:sz w:val="18"/>
          <w:szCs w:val="18"/>
        </w:rPr>
        <w:footnoteRef/>
      </w:r>
      <w:r w:rsidRPr="00964579">
        <w:rPr>
          <w:rFonts w:ascii="Tahoma" w:hAnsi="Tahoma" w:cs="Tahoma"/>
          <w:sz w:val="18"/>
          <w:szCs w:val="18"/>
        </w:rPr>
        <w:t xml:space="preserve"> L’art. 52, c. 2, D.L. 25 maggio 2021, n. 73, conv. L. 23 luglio 2021, n. 106, ha disposto, per i soli enti locali che abbiano incassato le anticipazioni di liquidità di cui al D.L. 8 aprile 2013, n</w:t>
      </w:r>
      <w:r w:rsidRPr="00BB37C3">
        <w:rPr>
          <w:rFonts w:ascii="Tahoma" w:hAnsi="Tahoma" w:cs="Tahoma"/>
          <w:sz w:val="18"/>
          <w:szCs w:val="18"/>
        </w:rPr>
        <w:t xml:space="preserve">. 35, il differimento </w:t>
      </w:r>
      <w:r>
        <w:rPr>
          <w:rFonts w:ascii="Tahoma" w:hAnsi="Tahoma" w:cs="Tahoma"/>
          <w:sz w:val="18"/>
          <w:szCs w:val="18"/>
        </w:rPr>
        <w:t xml:space="preserve">del </w:t>
      </w:r>
      <w:r w:rsidRPr="00BB37C3">
        <w:rPr>
          <w:rFonts w:ascii="Tahoma" w:hAnsi="Tahoma" w:cs="Tahoma"/>
          <w:sz w:val="18"/>
          <w:szCs w:val="18"/>
        </w:rPr>
        <w:t xml:space="preserve">termine per la deliberazione del </w:t>
      </w:r>
      <w:r>
        <w:rPr>
          <w:rFonts w:ascii="Tahoma" w:hAnsi="Tahoma" w:cs="Tahoma"/>
          <w:sz w:val="18"/>
          <w:szCs w:val="18"/>
        </w:rPr>
        <w:t>bilancio di previsione 2021-2023 al 31 luglio 2021.</w:t>
      </w:r>
    </w:p>
  </w:footnote>
  <w:footnote w:id="46">
    <w:p w14:paraId="70C82024"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color w:val="000000"/>
          <w:sz w:val="18"/>
          <w:szCs w:val="18"/>
        </w:rPr>
        <w:t xml:space="preserve">Solo per la TARI, </w:t>
      </w:r>
      <w:r w:rsidRPr="00DA36EF">
        <w:rPr>
          <w:rFonts w:ascii="Tahoma" w:eastAsia="Calibri" w:hAnsi="Tahoma" w:cs="Tahoma"/>
          <w:color w:val="000000"/>
          <w:sz w:val="18"/>
          <w:szCs w:val="18"/>
          <w:lang w:eastAsia="en-US"/>
        </w:rPr>
        <w:t xml:space="preserve">l’art. 107, c. 4, D.L. n. 18/2020, conv. </w:t>
      </w:r>
      <w:r w:rsidRPr="00DA36EF">
        <w:rPr>
          <w:rStyle w:val="rosso"/>
          <w:rFonts w:ascii="Tahoma" w:eastAsia="MS Gothic" w:hAnsi="Tahoma" w:cs="Tahoma"/>
          <w:sz w:val="18"/>
          <w:szCs w:val="18"/>
        </w:rPr>
        <w:t>L. 24 aprile 2020, n. 27, prevedeva che i</w:t>
      </w:r>
      <w:r w:rsidRPr="00DA36EF">
        <w:rPr>
          <w:rFonts w:ascii="Tahoma" w:eastAsia="Calibri" w:hAnsi="Tahoma" w:cs="Tahoma"/>
          <w:color w:val="000000"/>
          <w:sz w:val="18"/>
          <w:szCs w:val="18"/>
          <w:lang w:eastAsia="en-US"/>
        </w:rPr>
        <w:t xml:space="preserve"> comuni potessero approvare le tariffe entro il 30 giugno 2020. Tale disposizione è stata tuttavia abrogata dall’art. 138, D.L. n. 34/2020.</w:t>
      </w:r>
    </w:p>
  </w:footnote>
  <w:footnote w:id="47">
    <w:p w14:paraId="4885E6EF" w14:textId="77777777" w:rsidR="007960D5" w:rsidRPr="00DA36EF" w:rsidRDefault="007960D5" w:rsidP="005D6D9C">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 precedenza, </w:t>
      </w:r>
      <w:r w:rsidRPr="00DA36EF">
        <w:rPr>
          <w:rFonts w:ascii="Tahoma" w:eastAsia="Calibri" w:hAnsi="Tahoma" w:cs="Tahoma"/>
          <w:color w:val="000000"/>
          <w:sz w:val="18"/>
          <w:szCs w:val="18"/>
          <w:lang w:eastAsia="en-US"/>
        </w:rPr>
        <w:t>dell'art. 161, c. 1, del TUEL prevedeva la redazione di apposita certificazione sui principali dati del bilancio di previsione; l</w:t>
      </w:r>
      <w:r w:rsidRPr="00DA36EF">
        <w:rPr>
          <w:rFonts w:ascii="Tahoma" w:eastAsia="Calibri" w:hAnsi="Tahoma" w:cs="Tahoma"/>
          <w:bCs/>
          <w:color w:val="000000"/>
          <w:sz w:val="18"/>
          <w:szCs w:val="18"/>
          <w:lang w:eastAsia="en-US"/>
        </w:rPr>
        <w:t>a certificazione annuale doveva essere sottoscritta digitalmente dal segretario, dal responsabile del servizio finanziario e dall’organo di revisione.</w:t>
      </w:r>
    </w:p>
  </w:footnote>
  <w:footnote w:id="48">
    <w:p w14:paraId="53F9415B" w14:textId="77777777" w:rsidR="007960D5" w:rsidRPr="00DA36EF" w:rsidRDefault="007960D5" w:rsidP="0074093D">
      <w:pPr>
        <w:pStyle w:val="Testonotaapidipagina"/>
        <w:spacing w:after="12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 Sezione Autonomie della Corte dei Conti, con deliberazione n. 9/2016 ha sancito che per le entrate caratterizzate da un determinato tasso d’inesigibilità, la previsione di cassa non potrà mai eccedere quanto mediamente è stato riscosso negli ultimi esercizi.</w:t>
      </w:r>
    </w:p>
  </w:footnote>
  <w:footnote w:id="49">
    <w:p w14:paraId="1C4D146E" w14:textId="77777777" w:rsidR="007960D5" w:rsidRPr="004B42B6" w:rsidRDefault="007960D5" w:rsidP="004B42B6">
      <w:pPr>
        <w:pStyle w:val="Testonotaapidipagina"/>
        <w:jc w:val="both"/>
        <w:rPr>
          <w:rFonts w:ascii="Tahoma" w:hAnsi="Tahoma" w:cs="Tahoma"/>
          <w:sz w:val="18"/>
          <w:szCs w:val="18"/>
        </w:rPr>
      </w:pPr>
      <w:r>
        <w:rPr>
          <w:rStyle w:val="Rimandonotaapidipagina"/>
        </w:rPr>
        <w:footnoteRef/>
      </w:r>
      <w:r>
        <w:t xml:space="preserve"> </w:t>
      </w:r>
      <w:r w:rsidRPr="004B42B6">
        <w:rPr>
          <w:rFonts w:ascii="Tahoma" w:hAnsi="Tahoma" w:cs="Tahoma"/>
          <w:sz w:val="18"/>
          <w:szCs w:val="18"/>
        </w:rPr>
        <w:t>Art</w:t>
      </w:r>
      <w:r>
        <w:rPr>
          <w:rFonts w:ascii="Tahoma" w:hAnsi="Tahoma" w:cs="Tahoma"/>
          <w:sz w:val="18"/>
          <w:szCs w:val="18"/>
        </w:rPr>
        <w:t>.</w:t>
      </w:r>
      <w:r w:rsidRPr="004B42B6">
        <w:rPr>
          <w:rFonts w:ascii="Tahoma" w:hAnsi="Tahoma" w:cs="Tahoma"/>
          <w:sz w:val="18"/>
          <w:szCs w:val="18"/>
        </w:rPr>
        <w:t xml:space="preserve"> 183, c.</w:t>
      </w:r>
      <w:r>
        <w:rPr>
          <w:rFonts w:ascii="Tahoma" w:hAnsi="Tahoma" w:cs="Tahoma"/>
          <w:sz w:val="18"/>
          <w:szCs w:val="18"/>
        </w:rPr>
        <w:t xml:space="preserve"> </w:t>
      </w:r>
      <w:r w:rsidRPr="004B42B6">
        <w:rPr>
          <w:rFonts w:ascii="Tahoma" w:hAnsi="Tahoma" w:cs="Tahoma"/>
          <w:sz w:val="18"/>
          <w:szCs w:val="18"/>
        </w:rPr>
        <w:t xml:space="preserve">8, TUEL: </w:t>
      </w:r>
      <w:r w:rsidRPr="004B42B6">
        <w:rPr>
          <w:rFonts w:ascii="Tahoma" w:hAnsi="Tahoma" w:cs="Tahoma"/>
          <w:i/>
          <w:sz w:val="18"/>
          <w:szCs w:val="18"/>
        </w:rPr>
        <w:t>“Al fine di evitare ritardi nei pagamenti e la formazione di debiti pregressi, il responsabile della spesa che adotta provvedimenti che comportano impegni di spesa ha l'obbligo di accertare preventivamente che il programma dei conseguenti pagamenti sia compatibile con i relativi stanziamenti di cassa e con le regole del patto di stabilità interno; la violazione dell'obbligo di accertamento di cui al presente comma comporta responsabilità disciplinare ed amministrativa. Qualora lo stanziamento di cassa, per ragioni sopravvenute, non consenta di far fronte all'obbligo contrattuale, l'amministrazione adotta le opportune iniziative, anche di tipo contabile, amministrativo o contrattuale, per evitare la formazione di debiti pregressi”</w:t>
      </w:r>
    </w:p>
  </w:footnote>
  <w:footnote w:id="50">
    <w:p w14:paraId="541587AB" w14:textId="77777777" w:rsidR="007960D5" w:rsidRPr="00DA36EF" w:rsidRDefault="007960D5" w:rsidP="0074093D">
      <w:pPr>
        <w:spacing w:after="120"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Art. 1, c. </w:t>
      </w:r>
      <w:r w:rsidRPr="00DA36EF">
        <w:rPr>
          <w:rFonts w:cs="Tahoma"/>
          <w:color w:val="000000"/>
          <w:sz w:val="18"/>
          <w:szCs w:val="18"/>
        </w:rPr>
        <w:t xml:space="preserve">460, L. 11 dicembre 2016, n. 232: </w:t>
      </w:r>
      <w:r w:rsidRPr="00DA36EF">
        <w:rPr>
          <w:rFonts w:cs="Tahoma"/>
          <w:i/>
          <w:color w:val="000000"/>
          <w:sz w:val="18"/>
          <w:szCs w:val="18"/>
        </w:rPr>
        <w:t xml:space="preserve">“A decorrere dal 1º gennaio 2018, i proventi dei titoli abilitativi edilizi e delle sanzioni previste dal testo unico di cui al decreto del Presidente della Repubblica 6 giugno 2001, n. 380, sono destinati esclusivamente e senza vincoli temporali alla realizzazione e alla manutenzione ordinaria e straordinaria delle opere di urbanizzazione primaria e secondaria, al risanamento di complessi edilizi compresi nei centri storici e nelle periferie degradate, a interventi di riuso e di rigenerazione, a interventi di demolizione di costruzioni abusive, all'acquisizione e alla realizzazione di aree verdi destinate a uso pubblico, a interventi di tutela e riqualificazione dell'ambiente e del paesaggio, anche ai fini della prevenzione e della mitigazione del rischio idrogeologico e sismico e della tutela e riqualificazione del patrimonio rurale pubblico, nonché a interventi volti a favorire l'insediamento di attività di agricoltura nell'ambito urbano e a spese di progettazione per opere pubbliche. </w:t>
      </w:r>
      <w:r w:rsidRPr="00DA36EF">
        <w:rPr>
          <w:rFonts w:eastAsia="Times New Roman" w:cs="Tahoma"/>
          <w:i/>
          <w:sz w:val="18"/>
          <w:szCs w:val="18"/>
          <w:lang w:eastAsia="it-IT"/>
        </w:rPr>
        <w:t>A decorrere dal 1° aprile 2020 le risorse non utilizzate ai sensi del primo periodo possono essere altresì utilizzate per promuovere la predisposizione di programmi diretti al completamento delle infrastrutture e delle opere di urbanizzazione primaria e secondaria dei piani di zona esistenti, fermo restando l'obbligo dei comuni di porre in essere tutte le iniziative necessarie per ottenere l'adempimento, anche per equivalente, delle obbligazioni assunte nelle apposite convenzioni o atti d'obbligo da parte degli operatori</w:t>
      </w:r>
      <w:r w:rsidRPr="00DA36EF">
        <w:rPr>
          <w:rFonts w:cs="Tahoma"/>
          <w:i/>
          <w:color w:val="000000"/>
          <w:sz w:val="18"/>
          <w:szCs w:val="18"/>
        </w:rPr>
        <w:t>”</w:t>
      </w:r>
    </w:p>
  </w:footnote>
  <w:footnote w:id="51">
    <w:p w14:paraId="59027E71" w14:textId="77777777" w:rsidR="007960D5" w:rsidRPr="00F04FBF" w:rsidRDefault="007960D5" w:rsidP="00F04FBF">
      <w:pPr>
        <w:pStyle w:val="Testonotaapidipagina"/>
        <w:jc w:val="both"/>
        <w:rPr>
          <w:rFonts w:ascii="Tahoma" w:hAnsi="Tahoma" w:cs="Tahoma"/>
          <w:sz w:val="18"/>
          <w:szCs w:val="18"/>
        </w:rPr>
      </w:pPr>
      <w:r w:rsidRPr="00F04FBF">
        <w:rPr>
          <w:rStyle w:val="Rimandonotaapidipagina"/>
          <w:rFonts w:ascii="Tahoma" w:hAnsi="Tahoma" w:cs="Tahoma"/>
          <w:sz w:val="18"/>
          <w:szCs w:val="18"/>
        </w:rPr>
        <w:footnoteRef/>
      </w:r>
      <w:r w:rsidRPr="00F04FBF">
        <w:rPr>
          <w:rFonts w:ascii="Tahoma" w:hAnsi="Tahoma" w:cs="Tahoma"/>
          <w:sz w:val="18"/>
          <w:szCs w:val="18"/>
        </w:rPr>
        <w:t xml:space="preserve"> La disposizione</w:t>
      </w:r>
      <w:r>
        <w:rPr>
          <w:rFonts w:ascii="Tahoma" w:hAnsi="Tahoma" w:cs="Tahoma"/>
          <w:sz w:val="18"/>
          <w:szCs w:val="18"/>
        </w:rPr>
        <w:t xml:space="preserve"> </w:t>
      </w:r>
      <w:r w:rsidRPr="00F04FBF">
        <w:rPr>
          <w:rFonts w:ascii="Tahoma" w:hAnsi="Tahoma" w:cs="Tahoma"/>
          <w:sz w:val="18"/>
          <w:szCs w:val="18"/>
        </w:rPr>
        <w:t xml:space="preserve">non ha più la portata triennale (2018-2020) che aveva nella fase iniziale, </w:t>
      </w:r>
      <w:r>
        <w:rPr>
          <w:rFonts w:ascii="Tahoma" w:hAnsi="Tahoma" w:cs="Tahoma"/>
          <w:sz w:val="18"/>
          <w:szCs w:val="18"/>
        </w:rPr>
        <w:t>in quanto l’art. 11-bis, i</w:t>
      </w:r>
      <w:r w:rsidRPr="00F04FBF">
        <w:rPr>
          <w:rFonts w:ascii="Tahoma" w:hAnsi="Tahoma" w:cs="Tahoma"/>
          <w:sz w:val="18"/>
          <w:szCs w:val="18"/>
        </w:rPr>
        <w:t>l c</w:t>
      </w:r>
      <w:r>
        <w:rPr>
          <w:rFonts w:ascii="Tahoma" w:hAnsi="Tahoma" w:cs="Tahoma"/>
          <w:sz w:val="18"/>
          <w:szCs w:val="18"/>
        </w:rPr>
        <w:t xml:space="preserve">. </w:t>
      </w:r>
      <w:r w:rsidRPr="00F04FBF">
        <w:rPr>
          <w:rFonts w:ascii="Tahoma" w:hAnsi="Tahoma" w:cs="Tahoma"/>
          <w:sz w:val="18"/>
          <w:szCs w:val="18"/>
        </w:rPr>
        <w:t>4</w:t>
      </w:r>
      <w:r>
        <w:rPr>
          <w:rFonts w:ascii="Tahoma" w:hAnsi="Tahoma" w:cs="Tahoma"/>
          <w:sz w:val="18"/>
          <w:szCs w:val="18"/>
        </w:rPr>
        <w:t>,</w:t>
      </w:r>
      <w:r w:rsidRPr="00F04FBF">
        <w:rPr>
          <w:rFonts w:ascii="Tahoma" w:hAnsi="Tahoma" w:cs="Tahoma"/>
          <w:sz w:val="18"/>
          <w:szCs w:val="18"/>
        </w:rPr>
        <w:t xml:space="preserve"> D</w:t>
      </w:r>
      <w:r>
        <w:rPr>
          <w:rFonts w:ascii="Tahoma" w:hAnsi="Tahoma" w:cs="Tahoma"/>
          <w:sz w:val="18"/>
          <w:szCs w:val="18"/>
        </w:rPr>
        <w:t>.</w:t>
      </w:r>
      <w:r w:rsidRPr="00F04FBF">
        <w:rPr>
          <w:rFonts w:ascii="Tahoma" w:hAnsi="Tahoma" w:cs="Tahoma"/>
          <w:sz w:val="18"/>
          <w:szCs w:val="18"/>
        </w:rPr>
        <w:t>L</w:t>
      </w:r>
      <w:r>
        <w:rPr>
          <w:rFonts w:ascii="Tahoma" w:hAnsi="Tahoma" w:cs="Tahoma"/>
          <w:sz w:val="18"/>
          <w:szCs w:val="18"/>
        </w:rPr>
        <w:t>.</w:t>
      </w:r>
      <w:r w:rsidRPr="00F04FBF">
        <w:rPr>
          <w:rFonts w:ascii="Tahoma" w:hAnsi="Tahoma" w:cs="Tahoma"/>
          <w:sz w:val="18"/>
          <w:szCs w:val="18"/>
        </w:rPr>
        <w:t xml:space="preserve"> </w:t>
      </w:r>
      <w:r>
        <w:rPr>
          <w:rFonts w:ascii="Tahoma" w:hAnsi="Tahoma" w:cs="Tahoma"/>
          <w:sz w:val="18"/>
          <w:szCs w:val="18"/>
        </w:rPr>
        <w:t xml:space="preserve">n. </w:t>
      </w:r>
      <w:r w:rsidRPr="00F04FBF">
        <w:rPr>
          <w:rFonts w:ascii="Tahoma" w:hAnsi="Tahoma" w:cs="Tahoma"/>
          <w:sz w:val="18"/>
          <w:szCs w:val="18"/>
        </w:rPr>
        <w:t>135/2018 ha soppresso il primo periodo del</w:t>
      </w:r>
      <w:r>
        <w:rPr>
          <w:rFonts w:ascii="Tahoma" w:hAnsi="Tahoma" w:cs="Tahoma"/>
          <w:sz w:val="18"/>
          <w:szCs w:val="18"/>
        </w:rPr>
        <w:t>l’art. 1, c. 866, L. n.205/2017</w:t>
      </w:r>
      <w:r w:rsidRPr="00F04FBF">
        <w:rPr>
          <w:rFonts w:ascii="Tahoma" w:hAnsi="Tahoma" w:cs="Tahoma"/>
          <w:sz w:val="18"/>
          <w:szCs w:val="18"/>
        </w:rPr>
        <w:t xml:space="preserve"> </w:t>
      </w:r>
      <w:r>
        <w:rPr>
          <w:rFonts w:ascii="Tahoma" w:hAnsi="Tahoma" w:cs="Tahoma"/>
          <w:sz w:val="18"/>
          <w:szCs w:val="18"/>
        </w:rPr>
        <w:t xml:space="preserve">nella parte in cui si riferiva </w:t>
      </w:r>
      <w:r w:rsidRPr="00B649EF">
        <w:rPr>
          <w:rFonts w:ascii="Tahoma" w:hAnsi="Tahoma" w:cs="Tahoma"/>
          <w:i/>
          <w:sz w:val="18"/>
          <w:szCs w:val="18"/>
        </w:rPr>
        <w:t>"Per gli anni dal 2018 al 2020"</w:t>
      </w:r>
      <w:r>
        <w:rPr>
          <w:rFonts w:ascii="Tahoma" w:hAnsi="Tahoma" w:cs="Tahoma"/>
          <w:i/>
          <w:sz w:val="18"/>
          <w:szCs w:val="18"/>
        </w:rPr>
        <w:t>.</w:t>
      </w:r>
    </w:p>
  </w:footnote>
  <w:footnote w:id="52">
    <w:p w14:paraId="4FB98E4A"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Intese concluse in ambito regionale che garantiscano, per l'anno di riferimento, il rispetto del saldo di cui all'art. 9, c. 1, del complesso degli enti territoriali della regione interessata, compresa la medesima regione.</w:t>
      </w:r>
    </w:p>
  </w:footnote>
  <w:footnote w:id="53">
    <w:p w14:paraId="1C949389" w14:textId="77777777" w:rsidR="007960D5" w:rsidRPr="00DA0D9D" w:rsidRDefault="007960D5" w:rsidP="00210A0C">
      <w:pPr>
        <w:pStyle w:val="Testonotaapidipagina"/>
        <w:jc w:val="both"/>
        <w:rPr>
          <w:rFonts w:ascii="Tahoma" w:hAnsi="Tahoma" w:cs="Tahoma"/>
          <w:sz w:val="18"/>
          <w:szCs w:val="18"/>
        </w:rPr>
      </w:pPr>
      <w:r w:rsidRPr="00DA0D9D">
        <w:rPr>
          <w:rStyle w:val="Rimandonotaapidipagina"/>
          <w:rFonts w:ascii="Tahoma" w:hAnsi="Tahoma" w:cs="Tahoma"/>
          <w:sz w:val="18"/>
          <w:szCs w:val="18"/>
        </w:rPr>
        <w:footnoteRef/>
      </w:r>
      <w:r w:rsidRPr="00DA0D9D">
        <w:rPr>
          <w:rFonts w:ascii="Tahoma" w:hAnsi="Tahoma" w:cs="Tahoma"/>
          <w:sz w:val="18"/>
          <w:szCs w:val="18"/>
        </w:rPr>
        <w:t xml:space="preserve"> L’art. 106, c. 3-bis, D.L. 19 maggio 2020, n. 34, conv. L. 17 luglio 2020, n. 77 ha differito, relativamente all’esercizio 2020, tale termine al </w:t>
      </w:r>
      <w:r>
        <w:rPr>
          <w:rFonts w:ascii="Tahoma" w:hAnsi="Tahoma" w:cs="Tahoma"/>
          <w:sz w:val="18"/>
          <w:szCs w:val="18"/>
        </w:rPr>
        <w:t>30 settembre 2020; l’art. 54, c. 1, D.L. 14 agosto 2020, n. 104, conv. L. 13 ottobre 2020, n. 126 ha ulteriormente differito il termine al 30 novembre 2020.</w:t>
      </w:r>
    </w:p>
  </w:footnote>
  <w:footnote w:id="54">
    <w:p w14:paraId="0AECC2C5" w14:textId="77777777" w:rsidR="007960D5" w:rsidRDefault="007960D5">
      <w:pPr>
        <w:pStyle w:val="Testonotaapidipagina"/>
      </w:pPr>
      <w:r>
        <w:rPr>
          <w:rStyle w:val="Rimandonotaapidipagina"/>
        </w:rPr>
        <w:footnoteRef/>
      </w:r>
      <w:r>
        <w:t xml:space="preserve"> </w:t>
      </w:r>
      <w:r w:rsidRPr="00997AB0">
        <w:rPr>
          <w:rFonts w:ascii="Tahoma" w:hAnsi="Tahoma" w:cs="Tahoma"/>
          <w:sz w:val="18"/>
          <w:szCs w:val="18"/>
        </w:rPr>
        <w:t>Commissariamento dell’ente.</w:t>
      </w:r>
    </w:p>
  </w:footnote>
  <w:footnote w:id="55">
    <w:p w14:paraId="37F8A46F" w14:textId="77777777" w:rsidR="007960D5" w:rsidRPr="004D32BA" w:rsidRDefault="007960D5" w:rsidP="00700D35">
      <w:pPr>
        <w:pStyle w:val="Testonotaapidipagina"/>
        <w:spacing w:after="200"/>
        <w:jc w:val="both"/>
        <w:rPr>
          <w:rFonts w:ascii="Tahoma" w:hAnsi="Tahoma" w:cs="Tahoma"/>
          <w:sz w:val="18"/>
          <w:szCs w:val="18"/>
        </w:rPr>
      </w:pPr>
      <w:r w:rsidRPr="004D32BA">
        <w:rPr>
          <w:rStyle w:val="Rimandonotaapidipagina"/>
          <w:rFonts w:ascii="Tahoma" w:hAnsi="Tahoma" w:cs="Tahoma"/>
          <w:sz w:val="18"/>
          <w:szCs w:val="18"/>
        </w:rPr>
        <w:footnoteRef/>
      </w:r>
      <w:r w:rsidRPr="004D32BA">
        <w:rPr>
          <w:rFonts w:ascii="Tahoma" w:hAnsi="Tahoma" w:cs="Tahoma"/>
          <w:sz w:val="18"/>
          <w:szCs w:val="18"/>
        </w:rPr>
        <w:t xml:space="preserve"> I valori sogli per fascia demografica sono stati definiti con DM Pubblica Amministrazione 17 marzo 2020. Vedi Tabella 1, art. 4 D.M. Pubblica Amministrazione 17 marzo 2020 in allegato. </w:t>
      </w:r>
    </w:p>
  </w:footnote>
  <w:footnote w:id="56">
    <w:p w14:paraId="58C8F7E3" w14:textId="77777777" w:rsidR="007960D5" w:rsidRPr="004D32BA" w:rsidRDefault="007960D5" w:rsidP="00271441">
      <w:pPr>
        <w:pStyle w:val="Testonotaapidipagina"/>
        <w:spacing w:after="200"/>
        <w:rPr>
          <w:rFonts w:ascii="Tahoma" w:hAnsi="Tahoma" w:cs="Tahoma"/>
          <w:sz w:val="18"/>
          <w:szCs w:val="18"/>
        </w:rPr>
      </w:pPr>
      <w:r w:rsidRPr="004D32BA">
        <w:rPr>
          <w:rStyle w:val="Rimandonotaapidipagina"/>
          <w:rFonts w:ascii="Tahoma" w:hAnsi="Tahoma" w:cs="Tahoma"/>
          <w:sz w:val="18"/>
          <w:szCs w:val="18"/>
        </w:rPr>
        <w:footnoteRef/>
      </w:r>
      <w:r w:rsidRPr="004D32BA">
        <w:rPr>
          <w:rFonts w:ascii="Tahoma" w:hAnsi="Tahoma" w:cs="Tahoma"/>
          <w:sz w:val="18"/>
          <w:szCs w:val="18"/>
        </w:rPr>
        <w:t xml:space="preserve"> Vedi Tabella 2, art. 5, D.M. Pubblica Amministrazione 17 marzo 2020 in allegato.</w:t>
      </w:r>
    </w:p>
  </w:footnote>
  <w:footnote w:id="57">
    <w:p w14:paraId="30DA96D5" w14:textId="77777777" w:rsidR="007960D5" w:rsidRPr="00EF4D25" w:rsidRDefault="007960D5" w:rsidP="00271441">
      <w:pPr>
        <w:pStyle w:val="Testonotaapidipagina"/>
        <w:rPr>
          <w:rFonts w:ascii="Tahoma" w:hAnsi="Tahoma" w:cs="Tahoma"/>
          <w:sz w:val="18"/>
          <w:szCs w:val="18"/>
        </w:rPr>
      </w:pPr>
      <w:r w:rsidRPr="004D32BA">
        <w:rPr>
          <w:rStyle w:val="Rimandonotaapidipagina"/>
          <w:rFonts w:ascii="Tahoma" w:hAnsi="Tahoma" w:cs="Tahoma"/>
          <w:sz w:val="18"/>
          <w:szCs w:val="18"/>
        </w:rPr>
        <w:footnoteRef/>
      </w:r>
      <w:r w:rsidRPr="004D32BA">
        <w:rPr>
          <w:rFonts w:ascii="Tahoma" w:hAnsi="Tahoma" w:cs="Tahoma"/>
          <w:sz w:val="18"/>
          <w:szCs w:val="18"/>
        </w:rPr>
        <w:t xml:space="preserve"> Vedi Tabella 3, art. 6, D.M. Pubblica Amministrazione 17 marzo 2020 in allegato.</w:t>
      </w:r>
    </w:p>
  </w:footnote>
  <w:footnote w:id="58">
    <w:p w14:paraId="4CD93B46" w14:textId="77777777" w:rsidR="007960D5" w:rsidRDefault="007960D5">
      <w:pPr>
        <w:pStyle w:val="Testonotaapidipagina"/>
      </w:pPr>
      <w:r>
        <w:rPr>
          <w:rStyle w:val="Rimandonotaapidipagina"/>
        </w:rPr>
        <w:footnoteRef/>
      </w:r>
      <w:r>
        <w:t xml:space="preserve"> </w:t>
      </w:r>
    </w:p>
  </w:footnote>
  <w:footnote w:id="59">
    <w:p w14:paraId="44C3DAB9"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w:t>
      </w:r>
      <w:r w:rsidRPr="00DA36EF">
        <w:rPr>
          <w:rFonts w:ascii="Tahoma" w:hAnsi="Tahoma" w:cs="Tahoma"/>
          <w:iCs/>
          <w:color w:val="000000"/>
          <w:sz w:val="18"/>
          <w:szCs w:val="18"/>
        </w:rPr>
        <w:t>rt. 1, c. 388, L. n. 147/2013.</w:t>
      </w:r>
    </w:p>
  </w:footnote>
  <w:footnote w:id="60">
    <w:p w14:paraId="28AAD36F" w14:textId="77777777" w:rsidR="007960D5" w:rsidRPr="00BB37C3"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L’art. 107 del D.L. 1</w:t>
      </w:r>
      <w:r w:rsidRPr="00BB37C3">
        <w:rPr>
          <w:rFonts w:ascii="Tahoma" w:hAnsi="Tahoma" w:cs="Tahoma"/>
          <w:sz w:val="18"/>
          <w:szCs w:val="18"/>
        </w:rPr>
        <w:t xml:space="preserve">7 marzo 2020, n. 18 “Cura Italia”, conv. L. 24 aprile 2020, n. 27 ha previsto il differimento del termine di approvazione del rendiconto relativo all’anno 2019 al 30 giugno 2020. </w:t>
      </w:r>
      <w:r>
        <w:rPr>
          <w:rFonts w:ascii="Tahoma" w:hAnsi="Tahoma" w:cs="Tahoma"/>
          <w:sz w:val="18"/>
          <w:szCs w:val="18"/>
        </w:rPr>
        <w:t xml:space="preserve">L’art. 3, D.L. 30 aprile 2021, n.56, differisce il termine per l’approvazione dei rendiconti relativi al 2020 al 31 maggio 2021. </w:t>
      </w:r>
      <w:r w:rsidRPr="00BB37C3">
        <w:rPr>
          <w:rFonts w:ascii="Tahoma" w:hAnsi="Tahoma" w:cs="Tahoma"/>
          <w:sz w:val="18"/>
          <w:szCs w:val="18"/>
        </w:rPr>
        <w:t>L’art. 52, c. 2, D.L. 25 maggio 2021, n. 73, conv. L. 23 luglio 2021, n. 106, ha disposto, per i soli enti locali che abbiano incassato le anticipazioni di liquidità di cui al D.L. 8 aprile 2013, n. 35, il differimento termine per la deliberazione del rendiconto di gestione relativo all’esercizio 2020 al 31 luglio 2021.</w:t>
      </w:r>
    </w:p>
  </w:footnote>
  <w:footnote w:id="61">
    <w:p w14:paraId="3C7E1634" w14:textId="77777777" w:rsidR="007960D5" w:rsidRPr="002A6015" w:rsidRDefault="007960D5">
      <w:pPr>
        <w:pStyle w:val="Testonotaapidipagina"/>
        <w:rPr>
          <w:rFonts w:ascii="Tahoma" w:hAnsi="Tahoma" w:cs="Tahoma"/>
        </w:rPr>
      </w:pPr>
      <w:r w:rsidRPr="002A6015">
        <w:rPr>
          <w:rStyle w:val="Rimandonotaapidipagina"/>
          <w:rFonts w:ascii="Tahoma" w:hAnsi="Tahoma" w:cs="Tahoma"/>
          <w:sz w:val="18"/>
        </w:rPr>
        <w:footnoteRef/>
      </w:r>
      <w:r w:rsidRPr="002A6015">
        <w:rPr>
          <w:rFonts w:ascii="Tahoma" w:hAnsi="Tahoma" w:cs="Tahoma"/>
          <w:sz w:val="18"/>
        </w:rPr>
        <w:t xml:space="preserve"> Commissariamento e scioglimento del consiglio.</w:t>
      </w:r>
    </w:p>
  </w:footnote>
  <w:footnote w:id="62">
    <w:p w14:paraId="4C268A4D"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Gli organismi e gli enti strumentali delle regioni, delle province autonome di Trento e di Bolzano e degli enti locali trasmettevano il prospetto entro il 30 giugno 2017.</w:t>
      </w:r>
    </w:p>
  </w:footnote>
  <w:footnote w:id="63">
    <w:p w14:paraId="7D949BC3" w14:textId="77777777" w:rsidR="007960D5" w:rsidRPr="00DA36EF" w:rsidRDefault="007960D5" w:rsidP="00DA36EF">
      <w:pPr>
        <w:spacing w:after="0"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Secondo l’art. 11, c.6, D.Lgs. 118/2011</w:t>
      </w:r>
      <w:r w:rsidRPr="00DA36EF">
        <w:rPr>
          <w:rFonts w:eastAsia="Times New Roman" w:cs="Tahoma"/>
          <w:sz w:val="18"/>
          <w:szCs w:val="18"/>
          <w:lang w:eastAsia="it-IT"/>
        </w:rPr>
        <w:t xml:space="preserve"> la relazione illustra:</w:t>
      </w:r>
    </w:p>
    <w:p w14:paraId="49288857" w14:textId="77777777" w:rsidR="007960D5" w:rsidRPr="00DA36EF" w:rsidRDefault="007960D5" w:rsidP="00DA36EF">
      <w:pPr>
        <w:spacing w:after="0" w:line="240" w:lineRule="auto"/>
        <w:jc w:val="both"/>
        <w:rPr>
          <w:rFonts w:cs="Tahoma"/>
          <w:i/>
          <w:color w:val="000000"/>
          <w:sz w:val="18"/>
          <w:szCs w:val="18"/>
        </w:rPr>
      </w:pPr>
      <w:r w:rsidRPr="00DA36EF">
        <w:rPr>
          <w:rFonts w:eastAsia="Times New Roman" w:cs="Tahoma"/>
          <w:i/>
          <w:sz w:val="18"/>
          <w:szCs w:val="18"/>
          <w:lang w:eastAsia="it-IT"/>
        </w:rPr>
        <w:t>“</w:t>
      </w:r>
      <w:r w:rsidRPr="00DA36EF">
        <w:rPr>
          <w:rFonts w:cs="Tahoma"/>
          <w:i/>
          <w:color w:val="000000"/>
          <w:sz w:val="18"/>
          <w:szCs w:val="18"/>
        </w:rPr>
        <w:t>a) i criteri di valutazione utilizzati;</w:t>
      </w:r>
    </w:p>
    <w:p w14:paraId="33035F3A"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b) le principali voci del conto del bilancio;</w:t>
      </w:r>
    </w:p>
    <w:p w14:paraId="236903F2"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c) le principali variazioni alle previsioni finanziarie intervenute in corso d'anno, comprendendo l'utilizzazione dei fondi</w:t>
      </w:r>
      <w:r w:rsidRPr="00DA36EF">
        <w:rPr>
          <w:rFonts w:cs="Tahoma"/>
          <w:i/>
          <w:color w:val="000000"/>
          <w:sz w:val="18"/>
          <w:szCs w:val="18"/>
        </w:rPr>
        <w:br/>
        <w:t>di riserva e gli utilizzi delle quote vincolate e accantonate del risultato di amministrazione al 1° gennaio dell'esercizio precedente, distinguendo i vincoli derivanti dalla legge e dai principi contabili, dai trasferimenti, da mutui e altri finanziamenti, vincoli formalmente attribuiti dall'ente;</w:t>
      </w:r>
    </w:p>
    <w:p w14:paraId="0EC92685"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d) l'elenco analitico delle quote vincolate e accantonate del risultato di amministrazione al 31 dicembre dell'esercizio precedente, distinguendo i vincoli derivanti dalla legge e dai principi contabili, dai trasferimenti, da mutui e altri finanziamenti, vincoli formalmente attribuiti dall'ente;</w:t>
      </w:r>
    </w:p>
    <w:p w14:paraId="55D77A5B" w14:textId="77777777" w:rsidR="007960D5" w:rsidRPr="00DA36EF" w:rsidRDefault="007960D5" w:rsidP="00DA36EF">
      <w:pPr>
        <w:spacing w:after="0" w:line="240" w:lineRule="auto"/>
        <w:jc w:val="both"/>
        <w:rPr>
          <w:rFonts w:cs="Tahoma"/>
          <w:i/>
          <w:iCs/>
          <w:color w:val="000000"/>
          <w:sz w:val="18"/>
          <w:szCs w:val="18"/>
        </w:rPr>
      </w:pPr>
      <w:r w:rsidRPr="00DA36EF">
        <w:rPr>
          <w:rFonts w:cs="Tahoma"/>
          <w:i/>
          <w:iCs/>
          <w:color w:val="000000"/>
          <w:sz w:val="18"/>
          <w:szCs w:val="18"/>
        </w:rPr>
        <w:t>d-bis) solo con riferimento alle regioni, l'elenco degli impegni per spese di investimento di competenza dell'esercizio finanziati con il ricorso al debito non contratto;</w:t>
      </w:r>
    </w:p>
    <w:p w14:paraId="467DDE2F" w14:textId="77777777" w:rsidR="007960D5" w:rsidRPr="00DA36EF" w:rsidRDefault="007960D5" w:rsidP="00DA36EF">
      <w:pPr>
        <w:spacing w:after="0" w:line="240" w:lineRule="auto"/>
        <w:jc w:val="both"/>
        <w:rPr>
          <w:rFonts w:cs="Tahoma"/>
          <w:i/>
          <w:iCs/>
          <w:color w:val="000000"/>
          <w:sz w:val="18"/>
          <w:szCs w:val="18"/>
        </w:rPr>
      </w:pPr>
      <w:r w:rsidRPr="00DA36EF">
        <w:rPr>
          <w:rFonts w:cs="Tahoma"/>
          <w:i/>
          <w:iCs/>
          <w:color w:val="000000"/>
          <w:sz w:val="18"/>
          <w:szCs w:val="18"/>
        </w:rPr>
        <w:t>d-ter) solo con riferimento alle regioni, l'elenco degli impegni per spese di investimento che hanno determinato il disavanzo da debito autorizzato e non contratto alla fine dell'anno, distintamente per esercizio di formazione;</w:t>
      </w:r>
    </w:p>
    <w:p w14:paraId="65C184D8"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e) le ragioni della persistenza dei residui con anzianità superiore ai cinque anni e di maggiore consistenza, nonché sulla</w:t>
      </w:r>
      <w:r w:rsidRPr="00DA36EF">
        <w:rPr>
          <w:rFonts w:cs="Tahoma"/>
          <w:i/>
          <w:color w:val="000000"/>
          <w:sz w:val="18"/>
          <w:szCs w:val="18"/>
        </w:rPr>
        <w:br/>
        <w:t>fondatezza degli stessi, compresi i crediti di cui al comma 4, lettera n);</w:t>
      </w:r>
    </w:p>
    <w:p w14:paraId="4C122F28"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f) l'elenco delle movimentazioni effettuate nel corso dell'esercizio sui capitoli di entrata e di spesa riguardanti l'anticipazione, evidenziando l'utilizzo medio e l'utilizzo massimo dell'anticipazione nel corso dell'anno, nel caso in cui il conto del bilancio, in deroga al principio generale dell'integrità, espone il saldo al 31 dicembre dell'anticipazione attivata al netto dei relativi rimborsi;</w:t>
      </w:r>
    </w:p>
    <w:p w14:paraId="70A7DF74"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g) l'elencazione dei diritti reali di godimento e la loro illustrazione;</w:t>
      </w:r>
    </w:p>
    <w:p w14:paraId="733461BE"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h) l'elenco dei propri enti e organismi strumentali, con la precisazione che i relativi rendiconti o bilanci di esercizio sono consultabili nel proprio sito internet;</w:t>
      </w:r>
    </w:p>
    <w:p w14:paraId="3B96B8EC"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i) l'elenco delle partecipazioni dirette possedute con l'indicazione della relativa quota percentuale;</w:t>
      </w:r>
    </w:p>
    <w:p w14:paraId="20411C2A"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j) gli esiti della verifica dei crediti e debiti reciproci con i propri enti strumentali e le società controllate e partecipate. La predetta informativa, asseverata dai rispettivi organi di revisione, evidenzia analiticamente eventuali discordanze e ne fornisce la motivazione; in tal caso l'ente assume senza indugio, e comunque non oltre il termine dell'esercizio finanziario in corso, i provvedimenti necessari ai fini della riconciliazione delle partite debitorie e creditorie;</w:t>
      </w:r>
    </w:p>
    <w:p w14:paraId="7CE23658"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k) gli oneri e gli impegni sostenuti, derivanti da contratti relativi a strumenti finanziari derivati o da contratti di finanziamento che includono una componente derivata;</w:t>
      </w:r>
    </w:p>
    <w:p w14:paraId="0D4BCBED"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l) l'elenco delle garanzie principali o sussidiarie prestate dall'ente a favore di enti e di altri soggetti ai sensi delle leggi vigenti, con l'indicazione delle eventuali richieste di escussione nei confronti dell'ente e del rischio di applicazione dell'art. 3, comma 17 della legge 24 dicembre 2003, n. 350;</w:t>
      </w:r>
    </w:p>
    <w:p w14:paraId="2FDB039D"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m) l'elenco descrittivo dei beni appartenenti al patrimonio immobiliare dell'ente alla data di chiusura dell'esercizio cui il conto si riferisce, con l'indicazione delle rispettive destinazioni e degli eventuali proventi da essi prodotti;</w:t>
      </w:r>
    </w:p>
    <w:p w14:paraId="00266093" w14:textId="77777777" w:rsidR="007960D5" w:rsidRPr="00DA36EF" w:rsidRDefault="007960D5" w:rsidP="00DA36EF">
      <w:pPr>
        <w:spacing w:after="0" w:line="240" w:lineRule="auto"/>
        <w:jc w:val="both"/>
        <w:rPr>
          <w:rFonts w:cs="Tahoma"/>
          <w:i/>
          <w:color w:val="000000"/>
          <w:sz w:val="18"/>
          <w:szCs w:val="18"/>
        </w:rPr>
      </w:pPr>
      <w:r w:rsidRPr="00DA36EF">
        <w:rPr>
          <w:rFonts w:cs="Tahoma"/>
          <w:i/>
          <w:color w:val="000000"/>
          <w:sz w:val="18"/>
          <w:szCs w:val="18"/>
        </w:rPr>
        <w:t>n) gli elementi richiesti dall'art. 2427 e dagli altri articoli del codice civile, nonché da altre norme di legge e dai documenti sui principi contabili applicabili;</w:t>
      </w:r>
    </w:p>
    <w:p w14:paraId="5B53A644" w14:textId="77777777" w:rsidR="007960D5" w:rsidRPr="00DA36EF" w:rsidRDefault="007960D5" w:rsidP="00DA36EF">
      <w:pPr>
        <w:spacing w:after="0" w:line="240" w:lineRule="auto"/>
        <w:jc w:val="both"/>
        <w:rPr>
          <w:rFonts w:eastAsia="Times New Roman" w:cs="Tahoma"/>
          <w:i/>
          <w:sz w:val="18"/>
          <w:szCs w:val="18"/>
          <w:lang w:eastAsia="it-IT"/>
        </w:rPr>
      </w:pPr>
      <w:r w:rsidRPr="00DA36EF">
        <w:rPr>
          <w:rFonts w:cs="Tahoma"/>
          <w:i/>
          <w:color w:val="000000"/>
          <w:sz w:val="18"/>
          <w:szCs w:val="18"/>
        </w:rPr>
        <w:t>o) altre informazioni riguardanti i risultati della gestione, richieste dalla legge o necessarie per l'interpretazione del rendiconto.</w:t>
      </w:r>
      <w:r w:rsidRPr="00DA36EF">
        <w:rPr>
          <w:rFonts w:eastAsia="Times New Roman" w:cs="Tahoma"/>
          <w:i/>
          <w:sz w:val="18"/>
          <w:szCs w:val="18"/>
          <w:lang w:eastAsia="it-IT"/>
        </w:rPr>
        <w:t>”</w:t>
      </w:r>
    </w:p>
  </w:footnote>
  <w:footnote w:id="64">
    <w:p w14:paraId="331E67C1" w14:textId="77777777" w:rsidR="007960D5" w:rsidRPr="00697DB4" w:rsidRDefault="007960D5" w:rsidP="00DA36EF">
      <w:pPr>
        <w:pStyle w:val="Testonotaapidipagina"/>
        <w:rPr>
          <w:rFonts w:ascii="Tahoma" w:hAnsi="Tahoma" w:cs="Tahoma"/>
          <w:sz w:val="16"/>
          <w:szCs w:val="18"/>
          <w:lang w:val="en-US"/>
        </w:rPr>
      </w:pPr>
      <w:r w:rsidRPr="00DA36EF">
        <w:rPr>
          <w:rStyle w:val="Rimandonotaapidipagina"/>
          <w:rFonts w:ascii="Tahoma" w:hAnsi="Tahoma" w:cs="Tahoma"/>
          <w:sz w:val="18"/>
          <w:szCs w:val="18"/>
        </w:rPr>
        <w:footnoteRef/>
      </w:r>
      <w:r w:rsidRPr="00697DB4">
        <w:rPr>
          <w:rFonts w:ascii="Tahoma" w:hAnsi="Tahoma" w:cs="Tahoma"/>
          <w:sz w:val="18"/>
          <w:szCs w:val="18"/>
          <w:lang w:val="en-US"/>
        </w:rPr>
        <w:t xml:space="preserve"> Art. 169, TUEL</w:t>
      </w:r>
    </w:p>
  </w:footnote>
  <w:footnote w:id="65">
    <w:p w14:paraId="307F324D" w14:textId="77777777" w:rsidR="007960D5" w:rsidRPr="00F972B9" w:rsidRDefault="007960D5">
      <w:pPr>
        <w:pStyle w:val="Testonotaapidipagina"/>
        <w:rPr>
          <w:lang w:val="en-US"/>
        </w:rPr>
      </w:pPr>
      <w:r w:rsidRPr="00F972B9">
        <w:rPr>
          <w:rStyle w:val="Rimandonotaapidipagina"/>
          <w:rFonts w:ascii="Tahoma" w:hAnsi="Tahoma" w:cs="Tahoma"/>
          <w:sz w:val="18"/>
        </w:rPr>
        <w:footnoteRef/>
      </w:r>
      <w:r w:rsidRPr="00F972B9">
        <w:rPr>
          <w:rFonts w:ascii="Tahoma" w:hAnsi="Tahoma" w:cs="Tahoma"/>
          <w:sz w:val="18"/>
          <w:lang w:val="en-US"/>
        </w:rPr>
        <w:t xml:space="preserve"> Art. 10, D.Lgs. 27 ottobre 2009, n. 150</w:t>
      </w:r>
    </w:p>
  </w:footnote>
  <w:footnote w:id="66">
    <w:p w14:paraId="1AB98FFD"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 precedenza il limite era di 15.000.</w:t>
      </w:r>
    </w:p>
  </w:footnote>
  <w:footnote w:id="67">
    <w:p w14:paraId="5BD5927C"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Corte dei Conti, sez. reg. contr. Sardegna, Del. 1/2018/Par</w:t>
      </w:r>
    </w:p>
  </w:footnote>
  <w:footnote w:id="68">
    <w:p w14:paraId="2B617404"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 pronuncia dalla Corte Costituzionale del 25 novembre 2016, n. 251 ha dichiarato:</w:t>
      </w:r>
    </w:p>
    <w:p w14:paraId="54AC968B" w14:textId="77777777" w:rsidR="007960D5" w:rsidRPr="00DA36EF" w:rsidRDefault="007960D5" w:rsidP="00D65838">
      <w:pPr>
        <w:pStyle w:val="Testonotaapidipagina"/>
        <w:numPr>
          <w:ilvl w:val="0"/>
          <w:numId w:val="142"/>
        </w:numPr>
        <w:jc w:val="both"/>
        <w:rPr>
          <w:rFonts w:ascii="Tahoma" w:hAnsi="Tahoma" w:cs="Tahoma"/>
          <w:sz w:val="18"/>
          <w:szCs w:val="18"/>
        </w:rPr>
      </w:pPr>
      <w:r w:rsidRPr="00DA36EF">
        <w:rPr>
          <w:rFonts w:ascii="Tahoma" w:hAnsi="Tahoma" w:cs="Tahoma"/>
          <w:sz w:val="18"/>
          <w:szCs w:val="18"/>
        </w:rPr>
        <w:t>l’illegittimità costituzionale dell’art. 11, c. 1, lettere a), b), numero 2), c), numeri 1) e 2), e), f), g), h), i), l), m), n), o), p) e q), e c. 2, della legge 7 agosto 2015, n. 124 (Deleghe al Governo in materia di riorganizzazione delle amministrazioni pubbliche), nella parte in cui prevede che i decreti legislativi attuativi siano adottati previa acquisizione del parere reso in sede di Conferenza unificata, anziché previa intesa in sede di Conferenza Stato-Regioni;</w:t>
      </w:r>
    </w:p>
    <w:p w14:paraId="7C182B35" w14:textId="77777777" w:rsidR="007960D5" w:rsidRPr="00DA36EF" w:rsidRDefault="007960D5" w:rsidP="00D65838">
      <w:pPr>
        <w:pStyle w:val="Testonotaapidipagina"/>
        <w:numPr>
          <w:ilvl w:val="0"/>
          <w:numId w:val="142"/>
        </w:numPr>
        <w:jc w:val="both"/>
        <w:rPr>
          <w:rFonts w:ascii="Tahoma" w:hAnsi="Tahoma" w:cs="Tahoma"/>
          <w:sz w:val="18"/>
          <w:szCs w:val="18"/>
        </w:rPr>
      </w:pPr>
      <w:r w:rsidRPr="00DA36EF">
        <w:rPr>
          <w:rFonts w:ascii="Tahoma" w:hAnsi="Tahoma" w:cs="Tahoma"/>
          <w:sz w:val="18"/>
          <w:szCs w:val="18"/>
        </w:rPr>
        <w:t>l’illegittimità costituzionale dell’art. 17, c. 1, lettere a), b), c), d), e), f), l), m), o), q), r), s) e t), della legge n. 124 del 2015, nella parte in cui, in combinato disposto con l’art. 16, commi 1 e 4, della medesima legge n. 124 del 2015, prevede che il Governo adotti i relativi decreti legislativi attuativi previo parere in sede di Conferenza unificata, anziché previa intesa in sede di Conferenza Stato-Regioni;</w:t>
      </w:r>
    </w:p>
    <w:p w14:paraId="463E92DB" w14:textId="77777777" w:rsidR="007960D5" w:rsidRPr="00DA36EF" w:rsidRDefault="007960D5" w:rsidP="00D65838">
      <w:pPr>
        <w:pStyle w:val="Testonotaapidipagina"/>
        <w:numPr>
          <w:ilvl w:val="0"/>
          <w:numId w:val="142"/>
        </w:numPr>
        <w:jc w:val="both"/>
        <w:rPr>
          <w:rFonts w:ascii="Tahoma" w:hAnsi="Tahoma" w:cs="Tahoma"/>
          <w:sz w:val="18"/>
          <w:szCs w:val="18"/>
        </w:rPr>
      </w:pPr>
      <w:r w:rsidRPr="00DA36EF">
        <w:rPr>
          <w:rFonts w:ascii="Tahoma" w:hAnsi="Tahoma" w:cs="Tahoma"/>
          <w:sz w:val="18"/>
          <w:szCs w:val="18"/>
        </w:rPr>
        <w:t>l’illegittimità costituzionale dell’art. 18, lettere a), b), c), e), i), l) e m), numeri da 1) a 7), della legge n. 124 del 2015, nella parte in cui, in combinato disposto con l’art. 16, commi 1 e 4, della medesima legge n. 124 del 2015, prevede che il Governo adotti i relativi decreti legislativi attuativi previo parere, anziché previa intesa, in sede di Conferenza unificata;</w:t>
      </w:r>
    </w:p>
    <w:p w14:paraId="6994A61C" w14:textId="77777777" w:rsidR="007960D5" w:rsidRPr="00DA36EF" w:rsidRDefault="007960D5" w:rsidP="006660EA">
      <w:pPr>
        <w:pStyle w:val="Testonotaapidipagina"/>
        <w:numPr>
          <w:ilvl w:val="0"/>
          <w:numId w:val="142"/>
        </w:numPr>
        <w:spacing w:after="200"/>
        <w:ind w:left="357" w:hanging="357"/>
        <w:jc w:val="both"/>
        <w:rPr>
          <w:rFonts w:ascii="Tahoma" w:hAnsi="Tahoma" w:cs="Tahoma"/>
          <w:sz w:val="18"/>
          <w:szCs w:val="18"/>
        </w:rPr>
      </w:pPr>
      <w:r w:rsidRPr="00DA36EF">
        <w:rPr>
          <w:rFonts w:ascii="Tahoma" w:hAnsi="Tahoma" w:cs="Tahoma"/>
          <w:sz w:val="18"/>
          <w:szCs w:val="18"/>
        </w:rPr>
        <w:t>l’illegittimità costituzionale dell’art. 19, lettere b), c), d), g), h), l), m), n), o), p), s), t) e u), della legge n. 124 del 2015, nella parte in cui, in combinato disposto con l’art. 16, commi 1 e 4, della medesima legge n. 124 del 2015, prevede che il Governo adotti i relativi decreti legislativi attuativi previo parere, anziché previa intesa, in sede di Conferenza unificata.</w:t>
      </w:r>
    </w:p>
  </w:footnote>
  <w:footnote w:id="69">
    <w:p w14:paraId="06B5761D" w14:textId="77777777" w:rsidR="007960D5" w:rsidRPr="00DA36EF" w:rsidRDefault="007960D5" w:rsidP="006660EA">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w:t>
      </w:r>
      <w:r w:rsidRPr="00DA36EF">
        <w:rPr>
          <w:rFonts w:ascii="Tahoma" w:hAnsi="Tahoma" w:cs="Tahoma"/>
          <w:bCs/>
          <w:color w:val="000000"/>
          <w:sz w:val="18"/>
          <w:szCs w:val="18"/>
        </w:rPr>
        <w:t>ocietà pubblica di progetto.</w:t>
      </w:r>
    </w:p>
  </w:footnote>
  <w:footnote w:id="70">
    <w:p w14:paraId="7A80E643" w14:textId="77777777" w:rsidR="007960D5" w:rsidRPr="00DA36EF" w:rsidRDefault="007960D5" w:rsidP="006660EA">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Partenariato pubblico privato.</w:t>
      </w:r>
    </w:p>
  </w:footnote>
  <w:footnote w:id="71">
    <w:p w14:paraId="3E0E8D3A"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Società a partecipazione mista pubblico-privata.</w:t>
      </w:r>
    </w:p>
  </w:footnote>
  <w:footnote w:id="72">
    <w:p w14:paraId="4F4CD1B2" w14:textId="77777777" w:rsidR="007960D5" w:rsidRPr="00DA36EF" w:rsidRDefault="007960D5" w:rsidP="00D25298">
      <w:pPr>
        <w:spacing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Art. 21-bis, L. 10 ottobre 1990, n. 287: </w:t>
      </w:r>
      <w:r w:rsidRPr="00DA36EF">
        <w:rPr>
          <w:rFonts w:cs="Tahoma"/>
          <w:i/>
          <w:sz w:val="18"/>
          <w:szCs w:val="18"/>
        </w:rPr>
        <w:t>“</w:t>
      </w:r>
      <w:r w:rsidRPr="00DA36EF">
        <w:rPr>
          <w:rFonts w:eastAsia="Times New Roman" w:cs="Tahoma"/>
          <w:i/>
          <w:sz w:val="18"/>
          <w:szCs w:val="18"/>
          <w:lang w:eastAsia="it-IT"/>
        </w:rPr>
        <w:t>L'Autorità garante della concorrenza e del mercato è legittimata ad agire in giudizio contro gli atti amministrativi generali, i regolamenti ed i provvedimenti di qualsiasi amministrazione pubblica che violino le norme a tutela della concorrenza e del mercato. L'Autorità garante della concorrenza e del mercato, se ritiene che una pubblica amministrazione abbia emanato un atto in violazione delle norme a tutela della concorrenza e del mercato, emette, entro sessanta giorni, un parere motivato, nel quale indica gli specifici profili delle violazioni riscontrate. Se la pubblica amministrazione non si conforma nei sessanta giorni successivi alla comunicazione del parere, l'Autorità può presentare, tramite l'Avvocatura dello Stato, il ricorso, entro i successivi trenta giorni. Ai giudizi instaurati ai sensi del comma 1 si applica la disciplina di cui al Libro IV, Titolo V, del decreto legislativo 2 luglio 2010, n. 104”.</w:t>
      </w:r>
      <w:r w:rsidRPr="00DA36EF">
        <w:rPr>
          <w:rFonts w:eastAsia="Times New Roman" w:cs="Tahoma"/>
          <w:sz w:val="18"/>
          <w:szCs w:val="18"/>
          <w:lang w:eastAsia="it-IT"/>
        </w:rPr>
        <w:t xml:space="preserve"> </w:t>
      </w:r>
    </w:p>
  </w:footnote>
  <w:footnote w:id="73">
    <w:p w14:paraId="51157B85" w14:textId="77777777" w:rsidR="007960D5" w:rsidRPr="00DA36EF" w:rsidRDefault="007960D5" w:rsidP="00D25298">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16, c. 1: </w:t>
      </w:r>
      <w:r w:rsidRPr="00DA36EF">
        <w:rPr>
          <w:rFonts w:ascii="Tahoma" w:hAnsi="Tahoma" w:cs="Tahoma"/>
          <w:i/>
          <w:color w:val="000000"/>
          <w:sz w:val="18"/>
          <w:szCs w:val="18"/>
        </w:rPr>
        <w:t>“Le società in house ricevono affidamenti diretti di contratti pubblici dalle amministrazioni che esercitano su di esse il controllo analogo o da ciascuna delle amministrazioni che esercitano su di esse il controllo analogo congiunto solo se non vi sia partecipazione di capitali privati, ad eccezione di quella prescritta da norme di legge e che avvenga in forme che non comportino controllo o potere di veto, né l'esercizio di un'influenza determinante sulla società controllata”.</w:t>
      </w:r>
    </w:p>
  </w:footnote>
  <w:footnote w:id="74">
    <w:p w14:paraId="40307FB3"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16, c. 3: </w:t>
      </w:r>
      <w:r w:rsidRPr="00DA36EF">
        <w:rPr>
          <w:rFonts w:ascii="Tahoma" w:hAnsi="Tahoma" w:cs="Tahoma"/>
          <w:i/>
          <w:sz w:val="18"/>
          <w:szCs w:val="18"/>
        </w:rPr>
        <w:t>“G</w:t>
      </w:r>
      <w:r w:rsidRPr="00DA36EF">
        <w:rPr>
          <w:rFonts w:ascii="Tahoma" w:hAnsi="Tahoma" w:cs="Tahoma"/>
          <w:i/>
          <w:color w:val="000000"/>
          <w:sz w:val="18"/>
          <w:szCs w:val="18"/>
        </w:rPr>
        <w:t>li statuti delle società di cui al presente articolo devono prevedere che oltre l'ottanta per cento del loro fatturato sia effettuato nello svolgimento dei compiti a esse affidati dall'ente pubb</w:t>
      </w:r>
      <w:r>
        <w:rPr>
          <w:rFonts w:ascii="Tahoma" w:hAnsi="Tahoma" w:cs="Tahoma"/>
          <w:i/>
          <w:color w:val="000000"/>
          <w:sz w:val="18"/>
          <w:szCs w:val="18"/>
        </w:rPr>
        <w:t>lico o dagli enti pubblici soci</w:t>
      </w:r>
      <w:r w:rsidRPr="00DA36EF">
        <w:rPr>
          <w:rFonts w:ascii="Tahoma" w:hAnsi="Tahoma" w:cs="Tahoma"/>
          <w:i/>
          <w:color w:val="000000"/>
          <w:sz w:val="18"/>
          <w:szCs w:val="18"/>
        </w:rPr>
        <w:t>”</w:t>
      </w:r>
      <w:r>
        <w:rPr>
          <w:rFonts w:ascii="Tahoma" w:hAnsi="Tahoma" w:cs="Tahoma"/>
          <w:i/>
          <w:color w:val="000000"/>
          <w:sz w:val="18"/>
          <w:szCs w:val="18"/>
        </w:rPr>
        <w:t>.</w:t>
      </w:r>
    </w:p>
  </w:footnote>
  <w:footnote w:id="75">
    <w:p w14:paraId="1F9FBC76" w14:textId="77777777" w:rsidR="007960D5" w:rsidRPr="009F2FAB" w:rsidRDefault="007960D5" w:rsidP="009F2FAB">
      <w:pPr>
        <w:pStyle w:val="Testonotaapidipagina"/>
        <w:jc w:val="both"/>
        <w:rPr>
          <w:rFonts w:ascii="Tahoma" w:hAnsi="Tahoma" w:cs="Tahoma"/>
          <w:sz w:val="18"/>
        </w:rPr>
      </w:pPr>
      <w:r w:rsidRPr="009F2FAB">
        <w:rPr>
          <w:rStyle w:val="Rimandonotaapidipagina"/>
          <w:rFonts w:ascii="Tahoma" w:hAnsi="Tahoma" w:cs="Tahoma"/>
          <w:sz w:val="18"/>
        </w:rPr>
        <w:footnoteRef/>
      </w:r>
      <w:r w:rsidRPr="009F2FAB">
        <w:rPr>
          <w:rFonts w:ascii="Tahoma" w:hAnsi="Tahoma" w:cs="Tahoma"/>
          <w:sz w:val="18"/>
        </w:rPr>
        <w:t xml:space="preserve"> Disposizione sospesa dalla data del 17 marzo 2020 e fino al 15 dicembre 2020 a norma dell’art. 1, c. 4-duodecies, D.L. 7 ottobre 2020, n. 125, conv. L. 27 novembre 2020, n. 159, in considerazione dell'emergenza epidemiologica da COVID-19.</w:t>
      </w:r>
    </w:p>
  </w:footnote>
  <w:footnote w:id="76">
    <w:p w14:paraId="4E0DCAD1" w14:textId="77777777" w:rsidR="007960D5" w:rsidRPr="00DA36EF" w:rsidRDefault="007960D5" w:rsidP="000C7199">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 mancata redazione del piano p</w:t>
      </w:r>
      <w:r>
        <w:rPr>
          <w:rFonts w:ascii="Tahoma" w:hAnsi="Tahoma" w:cs="Tahoma"/>
          <w:sz w:val="18"/>
          <w:szCs w:val="18"/>
        </w:rPr>
        <w:t>oteva</w:t>
      </w:r>
      <w:r w:rsidRPr="00DA36EF">
        <w:rPr>
          <w:rFonts w:ascii="Tahoma" w:hAnsi="Tahoma" w:cs="Tahoma"/>
          <w:sz w:val="18"/>
          <w:szCs w:val="18"/>
        </w:rPr>
        <w:t xml:space="preserve"> comportare </w:t>
      </w:r>
      <w:r>
        <w:rPr>
          <w:rFonts w:ascii="Tahoma" w:hAnsi="Tahoma" w:cs="Tahoma"/>
          <w:sz w:val="18"/>
          <w:szCs w:val="18"/>
        </w:rPr>
        <w:t xml:space="preserve">responsabilità per </w:t>
      </w:r>
      <w:r w:rsidRPr="00DA36EF">
        <w:rPr>
          <w:rFonts w:ascii="Tahoma" w:hAnsi="Tahoma" w:cs="Tahoma"/>
          <w:sz w:val="18"/>
          <w:szCs w:val="18"/>
        </w:rPr>
        <w:t>danno erariale (Delibera n. 101/2015, Corte dei Conti – Sezione Abruzzo).</w:t>
      </w:r>
    </w:p>
  </w:footnote>
  <w:footnote w:id="77">
    <w:p w14:paraId="022A8680" w14:textId="77777777" w:rsidR="007960D5" w:rsidRPr="00DA36EF" w:rsidRDefault="007960D5" w:rsidP="00561C96">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color w:val="000000"/>
          <w:sz w:val="18"/>
          <w:szCs w:val="18"/>
        </w:rPr>
        <w:t> Ai fini dell'applicazione del criterio di cui all'art. 20, c. 2, lett. d), il primo triennio rilevante è il triennio 2017-2019. Nelle more della prima applicazione del suddetto criterio relativo al triennio 2017-2019, si applica la soglia di fatturato medio non superiore a 500.000 euro per il triennio precedente l'entrata in vigore del presente decreto ai fini dell'adozione dei piani di revisione straordinaria di cui all'art. 24 e per i trienni 2015-2017 e 2016-2018 ai fini dell'adozione dei piani di razionalizzazione di cui all'art. 20.</w:t>
      </w:r>
    </w:p>
  </w:footnote>
  <w:footnote w:id="78">
    <w:p w14:paraId="3476966C"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color w:val="000000"/>
          <w:sz w:val="18"/>
          <w:szCs w:val="18"/>
        </w:rPr>
        <w:t>Solo ai fini della prima applicazione del criterio di cui all'art. 20, c. 2, lett. e), si considerano i risultati dei 5 esercizi successivi all'entrata in vigore del presente decreto. Ciò dovrebbe determinare che per dette società la suddetta verifica andrebbe applicata per la prima volta soltanto nella “</w:t>
      </w:r>
      <w:r w:rsidRPr="00DA36EF">
        <w:rPr>
          <w:rFonts w:ascii="Tahoma" w:hAnsi="Tahoma" w:cs="Tahoma"/>
          <w:i/>
          <w:iCs/>
          <w:color w:val="000000"/>
          <w:sz w:val="18"/>
          <w:szCs w:val="18"/>
        </w:rPr>
        <w:t>Razionalizzazione periodica</w:t>
      </w:r>
      <w:r w:rsidRPr="00DA36EF">
        <w:rPr>
          <w:rFonts w:ascii="Tahoma" w:hAnsi="Tahoma" w:cs="Tahoma"/>
          <w:color w:val="000000"/>
          <w:sz w:val="18"/>
          <w:szCs w:val="18"/>
        </w:rPr>
        <w:t>” da effettuarsi nel 2022.</w:t>
      </w:r>
    </w:p>
  </w:footnote>
  <w:footnote w:id="79">
    <w:p w14:paraId="4475705F" w14:textId="77777777" w:rsidR="007960D5" w:rsidRPr="00DA36EF" w:rsidRDefault="007960D5" w:rsidP="00276B9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Per l’anno 2020 il termine è differito al 30 giugno 2020 dall’art. 107, c. 8, D.L. 17 marzo 2020, n. 18, conv. L. 24 aprile 2020, n. 24.</w:t>
      </w:r>
    </w:p>
  </w:footnote>
  <w:footnote w:id="80">
    <w:p w14:paraId="6864D3C3" w14:textId="77777777" w:rsidR="007960D5" w:rsidRPr="00C7325D" w:rsidRDefault="007960D5" w:rsidP="004D1BB0">
      <w:pPr>
        <w:pStyle w:val="Testonotaapidipagina"/>
        <w:jc w:val="both"/>
        <w:rPr>
          <w:rFonts w:ascii="Tahoma" w:hAnsi="Tahoma" w:cs="Tahoma"/>
        </w:rPr>
      </w:pPr>
      <w:r w:rsidRPr="00C7325D">
        <w:rPr>
          <w:rStyle w:val="Rimandonotaapidipagina"/>
          <w:rFonts w:ascii="Tahoma" w:hAnsi="Tahoma" w:cs="Tahoma"/>
          <w:sz w:val="18"/>
        </w:rPr>
        <w:footnoteRef/>
      </w:r>
      <w:r w:rsidRPr="00C7325D">
        <w:rPr>
          <w:rFonts w:ascii="Tahoma" w:hAnsi="Tahoma" w:cs="Tahoma"/>
          <w:sz w:val="18"/>
        </w:rPr>
        <w:t xml:space="preserve"> Termine differito al 30 settembre 2020, qualora esso scada antecedentemente alla predetta data a norma dell’art. 17, c. 1-bis, D.L. 16 luglio 2020, n. 76, conv. L. 11 settembre 2020, n. 120. Sono rimessi in termini gli enti locali per i quali il termine di 3 mesi è scaduto alla data del 30 giugno 2020, per effetto del rinvio precedentemente operato ai sensi dell'art. 107, c. 7, D.L. 17 marzo 2020, n. 18, conv. L. 24 aprile 2020, n. 27, o è scaduto fra il 30 giugno 2020 e la data di entrata in vigore della legge di conversione D.L. n. 76/2020.</w:t>
      </w:r>
    </w:p>
  </w:footnote>
  <w:footnote w:id="81">
    <w:p w14:paraId="7F1CC537" w14:textId="77777777" w:rsidR="007960D5" w:rsidRPr="00071746" w:rsidRDefault="007960D5" w:rsidP="00276B9F">
      <w:pPr>
        <w:pStyle w:val="Testonotaapidipagina"/>
        <w:jc w:val="both"/>
        <w:rPr>
          <w:rFonts w:ascii="Tahoma" w:hAnsi="Tahoma" w:cs="Tahoma"/>
          <w:sz w:val="18"/>
          <w:szCs w:val="18"/>
        </w:rPr>
      </w:pPr>
      <w:r w:rsidRPr="00071746">
        <w:rPr>
          <w:rStyle w:val="Rimandonotaapidipagina"/>
          <w:rFonts w:ascii="Tahoma" w:hAnsi="Tahoma" w:cs="Tahoma"/>
          <w:sz w:val="18"/>
          <w:szCs w:val="18"/>
        </w:rPr>
        <w:footnoteRef/>
      </w:r>
      <w:r w:rsidRPr="00071746">
        <w:rPr>
          <w:rFonts w:ascii="Tahoma" w:hAnsi="Tahoma" w:cs="Tahoma"/>
          <w:sz w:val="18"/>
          <w:szCs w:val="18"/>
        </w:rPr>
        <w:t xml:space="preserve"> </w:t>
      </w:r>
      <w:r w:rsidRPr="009A2338">
        <w:rPr>
          <w:rFonts w:ascii="Tahoma" w:hAnsi="Tahoma" w:cs="Tahoma"/>
          <w:sz w:val="18"/>
          <w:szCs w:val="18"/>
        </w:rPr>
        <w:t>Il termine è elevato di ulteriori 180 giorni per i comuni con popolazione superiore a 250.000 abitanti o capoluogo di provincia e per le province.</w:t>
      </w:r>
    </w:p>
  </w:footnote>
  <w:footnote w:id="82">
    <w:p w14:paraId="0DC6C5F8" w14:textId="77777777" w:rsidR="007960D5" w:rsidRPr="00DA36EF" w:rsidRDefault="007960D5" w:rsidP="00276B9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9A2338">
        <w:rPr>
          <w:rFonts w:ascii="Tahoma" w:hAnsi="Tahoma" w:cs="Tahoma"/>
          <w:sz w:val="18"/>
          <w:szCs w:val="18"/>
          <w:lang w:val="en-US"/>
        </w:rPr>
        <w:t xml:space="preserve"> Art. 36, D.L. 24/04/2017, n. 50, conv. </w:t>
      </w:r>
      <w:r w:rsidRPr="00DA36EF">
        <w:rPr>
          <w:rFonts w:ascii="Tahoma" w:hAnsi="Tahoma" w:cs="Tahoma"/>
          <w:sz w:val="18"/>
          <w:szCs w:val="18"/>
        </w:rPr>
        <w:t>L. 21/06/2017, n. 96.</w:t>
      </w:r>
    </w:p>
  </w:footnote>
  <w:footnote w:id="83">
    <w:p w14:paraId="1DA57FA8" w14:textId="77777777" w:rsidR="007960D5" w:rsidRPr="001370AA" w:rsidRDefault="007960D5" w:rsidP="00276B9F">
      <w:pPr>
        <w:pStyle w:val="Testonotaapidipagina"/>
        <w:spacing w:after="200"/>
        <w:jc w:val="both"/>
        <w:rPr>
          <w:rFonts w:ascii="Tahoma" w:hAnsi="Tahoma" w:cs="Tahoma"/>
          <w:sz w:val="18"/>
          <w:szCs w:val="18"/>
        </w:rPr>
      </w:pPr>
      <w:r w:rsidRPr="001370AA">
        <w:rPr>
          <w:rStyle w:val="Rimandonotaapidipagina"/>
          <w:rFonts w:ascii="Tahoma" w:hAnsi="Tahoma" w:cs="Tahoma"/>
          <w:sz w:val="18"/>
          <w:szCs w:val="18"/>
        </w:rPr>
        <w:footnoteRef/>
      </w:r>
      <w:r w:rsidRPr="001370AA">
        <w:rPr>
          <w:rFonts w:ascii="Tahoma" w:hAnsi="Tahoma" w:cs="Tahoma"/>
          <w:sz w:val="18"/>
          <w:szCs w:val="18"/>
        </w:rPr>
        <w:t xml:space="preserve"> Termine prorogato al 30 settembre 2020, qualora il termine di novanta giorni scada antecedentemente alla predetta data, dall’art. 17, c. 1, D.L. 16 luglio 2020, n. 76, conv. L 11 settembre 2020, n. 120, successivamente al 30 settembre 2021, qualora il previsto termine di novanta giorni scada antecedentemente alla predetta data, a norma dell’art. 30, c. 11-bis, D.L. 22 marzo 2021, n. 41, conv. L. 21 maggio 2021, n.69, e, infine, al 30 giugno 2021, qualora, rispettivamente, i termini di novanta giorni siano scaduti antecedentemente alla predetta data, a norma dell’art. 11-quater, c. 9, D.L. 22 aprile 2021, n. 52, conv. L. 17 giugno 2021, n. 87. </w:t>
      </w:r>
    </w:p>
  </w:footnote>
  <w:footnote w:id="84">
    <w:p w14:paraId="711F0B39" w14:textId="77777777" w:rsidR="007960D5" w:rsidRPr="00DA36EF" w:rsidRDefault="007960D5" w:rsidP="00276B9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 particolare, è prevista la seguente modulazione della durata del piano di riequilibrio:</w:t>
      </w:r>
    </w:p>
    <w:tbl>
      <w:tblPr>
        <w:tblStyle w:val="Grigliatabella"/>
        <w:tblW w:w="0" w:type="auto"/>
        <w:tblLook w:val="04A0" w:firstRow="1" w:lastRow="0" w:firstColumn="1" w:lastColumn="0" w:noHBand="0" w:noVBand="1"/>
      </w:tblPr>
      <w:tblGrid>
        <w:gridCol w:w="4821"/>
        <w:gridCol w:w="4807"/>
      </w:tblGrid>
      <w:tr w:rsidR="007960D5" w:rsidRPr="00DA36EF" w14:paraId="166301E6" w14:textId="77777777" w:rsidTr="009063EA">
        <w:tc>
          <w:tcPr>
            <w:tcW w:w="4889" w:type="dxa"/>
          </w:tcPr>
          <w:p w14:paraId="4EFE7694" w14:textId="77777777" w:rsidR="007960D5" w:rsidRPr="00DA36EF" w:rsidRDefault="007960D5" w:rsidP="00DA36EF">
            <w:pPr>
              <w:pStyle w:val="Testonotaapidipagina"/>
              <w:jc w:val="center"/>
              <w:rPr>
                <w:rFonts w:ascii="Tahoma" w:hAnsi="Tahoma" w:cs="Tahoma"/>
                <w:b/>
                <w:sz w:val="18"/>
                <w:szCs w:val="18"/>
              </w:rPr>
            </w:pPr>
            <w:r w:rsidRPr="00DA36EF">
              <w:rPr>
                <w:rFonts w:ascii="Tahoma" w:hAnsi="Tahoma" w:cs="Tahoma"/>
                <w:b/>
                <w:sz w:val="18"/>
                <w:szCs w:val="18"/>
              </w:rPr>
              <w:t>Rapporto passività/impegni di cui al Titolo I</w:t>
            </w:r>
          </w:p>
        </w:tc>
        <w:tc>
          <w:tcPr>
            <w:tcW w:w="4889" w:type="dxa"/>
          </w:tcPr>
          <w:p w14:paraId="1317E2C3" w14:textId="77777777" w:rsidR="007960D5" w:rsidRPr="00DA36EF" w:rsidRDefault="007960D5" w:rsidP="00DA36EF">
            <w:pPr>
              <w:pStyle w:val="Testonotaapidipagina"/>
              <w:jc w:val="center"/>
              <w:rPr>
                <w:rFonts w:ascii="Tahoma" w:hAnsi="Tahoma" w:cs="Tahoma"/>
                <w:b/>
                <w:sz w:val="18"/>
                <w:szCs w:val="18"/>
              </w:rPr>
            </w:pPr>
            <w:r w:rsidRPr="00DA36EF">
              <w:rPr>
                <w:rFonts w:ascii="Tahoma" w:hAnsi="Tahoma" w:cs="Tahoma"/>
                <w:b/>
                <w:sz w:val="18"/>
                <w:szCs w:val="18"/>
              </w:rPr>
              <w:t>Durata massima del Piano di riequilibrio finanziario pluriennale</w:t>
            </w:r>
          </w:p>
        </w:tc>
      </w:tr>
      <w:tr w:rsidR="007960D5" w:rsidRPr="00DA36EF" w14:paraId="6138275E" w14:textId="77777777" w:rsidTr="009063EA">
        <w:tc>
          <w:tcPr>
            <w:tcW w:w="4889" w:type="dxa"/>
          </w:tcPr>
          <w:p w14:paraId="6F4C8ABA" w14:textId="77777777" w:rsidR="007960D5" w:rsidRPr="00F97536" w:rsidRDefault="007960D5" w:rsidP="00DA36EF">
            <w:pPr>
              <w:pStyle w:val="Testonotaapidipagina"/>
              <w:jc w:val="center"/>
              <w:rPr>
                <w:rFonts w:ascii="Tahoma" w:hAnsi="Tahoma" w:cs="Tahoma"/>
                <w:sz w:val="18"/>
                <w:szCs w:val="18"/>
              </w:rPr>
            </w:pPr>
            <w:r w:rsidRPr="00F97536">
              <w:rPr>
                <w:rFonts w:ascii="Tahoma" w:hAnsi="Tahoma" w:cs="Tahoma"/>
                <w:sz w:val="18"/>
                <w:szCs w:val="18"/>
              </w:rPr>
              <w:t>Fino al 20%</w:t>
            </w:r>
          </w:p>
        </w:tc>
        <w:tc>
          <w:tcPr>
            <w:tcW w:w="4889" w:type="dxa"/>
          </w:tcPr>
          <w:p w14:paraId="6672E7EC" w14:textId="77777777" w:rsidR="007960D5" w:rsidRPr="00DA36EF" w:rsidRDefault="007960D5" w:rsidP="00DA36EF">
            <w:pPr>
              <w:pStyle w:val="Testonotaapidipagina"/>
              <w:jc w:val="center"/>
              <w:rPr>
                <w:rFonts w:ascii="Tahoma" w:hAnsi="Tahoma" w:cs="Tahoma"/>
                <w:sz w:val="18"/>
                <w:szCs w:val="18"/>
              </w:rPr>
            </w:pPr>
            <w:r w:rsidRPr="00DA36EF">
              <w:rPr>
                <w:rFonts w:ascii="Tahoma" w:hAnsi="Tahoma" w:cs="Tahoma"/>
                <w:sz w:val="18"/>
                <w:szCs w:val="18"/>
              </w:rPr>
              <w:t>4 anni</w:t>
            </w:r>
          </w:p>
        </w:tc>
      </w:tr>
      <w:tr w:rsidR="007960D5" w:rsidRPr="00DA36EF" w14:paraId="4D85CD73" w14:textId="77777777" w:rsidTr="009063EA">
        <w:tc>
          <w:tcPr>
            <w:tcW w:w="4889" w:type="dxa"/>
          </w:tcPr>
          <w:p w14:paraId="424B2ACC" w14:textId="77777777" w:rsidR="007960D5" w:rsidRPr="00F97536" w:rsidRDefault="007960D5" w:rsidP="00DA36EF">
            <w:pPr>
              <w:pStyle w:val="Testonotaapidipagina"/>
              <w:jc w:val="center"/>
              <w:rPr>
                <w:rFonts w:ascii="Tahoma" w:hAnsi="Tahoma" w:cs="Tahoma"/>
                <w:sz w:val="18"/>
                <w:szCs w:val="18"/>
              </w:rPr>
            </w:pPr>
            <w:r w:rsidRPr="00F97536">
              <w:rPr>
                <w:rFonts w:ascii="Tahoma" w:hAnsi="Tahoma" w:cs="Tahoma"/>
                <w:sz w:val="18"/>
                <w:szCs w:val="18"/>
              </w:rPr>
              <w:t>Superiore al 20% e fino al 60%</w:t>
            </w:r>
          </w:p>
        </w:tc>
        <w:tc>
          <w:tcPr>
            <w:tcW w:w="4889" w:type="dxa"/>
          </w:tcPr>
          <w:p w14:paraId="58B5B24B" w14:textId="77777777" w:rsidR="007960D5" w:rsidRPr="00DA36EF" w:rsidRDefault="007960D5" w:rsidP="00DA36EF">
            <w:pPr>
              <w:pStyle w:val="Testonotaapidipagina"/>
              <w:jc w:val="center"/>
              <w:rPr>
                <w:rFonts w:ascii="Tahoma" w:hAnsi="Tahoma" w:cs="Tahoma"/>
                <w:sz w:val="18"/>
                <w:szCs w:val="18"/>
              </w:rPr>
            </w:pPr>
            <w:r w:rsidRPr="00DA36EF">
              <w:rPr>
                <w:rFonts w:ascii="Tahoma" w:hAnsi="Tahoma" w:cs="Tahoma"/>
                <w:sz w:val="18"/>
                <w:szCs w:val="18"/>
              </w:rPr>
              <w:t>10 anni</w:t>
            </w:r>
          </w:p>
        </w:tc>
      </w:tr>
      <w:tr w:rsidR="007960D5" w:rsidRPr="00DA36EF" w14:paraId="25F4E27D" w14:textId="77777777" w:rsidTr="009063EA">
        <w:tc>
          <w:tcPr>
            <w:tcW w:w="4889" w:type="dxa"/>
          </w:tcPr>
          <w:p w14:paraId="21278554" w14:textId="77777777" w:rsidR="007960D5" w:rsidRPr="00F97536" w:rsidRDefault="007960D5" w:rsidP="00DA36EF">
            <w:pPr>
              <w:pStyle w:val="Testonotaapidipagina"/>
              <w:jc w:val="center"/>
              <w:rPr>
                <w:rFonts w:ascii="Tahoma" w:hAnsi="Tahoma" w:cs="Tahoma"/>
                <w:sz w:val="18"/>
                <w:szCs w:val="18"/>
              </w:rPr>
            </w:pPr>
            <w:r w:rsidRPr="00F97536">
              <w:rPr>
                <w:rFonts w:ascii="Tahoma" w:hAnsi="Tahoma" w:cs="Tahoma"/>
                <w:sz w:val="18"/>
                <w:szCs w:val="18"/>
              </w:rPr>
              <w:t>Superiore al 60% e fino al 100% per comuni fino a 60.000 abitanti</w:t>
            </w:r>
          </w:p>
        </w:tc>
        <w:tc>
          <w:tcPr>
            <w:tcW w:w="4889" w:type="dxa"/>
          </w:tcPr>
          <w:p w14:paraId="0432A51C" w14:textId="77777777" w:rsidR="007960D5" w:rsidRPr="00DA36EF" w:rsidRDefault="007960D5" w:rsidP="00DA36EF">
            <w:pPr>
              <w:pStyle w:val="Testonotaapidipagina"/>
              <w:jc w:val="center"/>
              <w:rPr>
                <w:rFonts w:ascii="Tahoma" w:hAnsi="Tahoma" w:cs="Tahoma"/>
                <w:sz w:val="18"/>
                <w:szCs w:val="18"/>
              </w:rPr>
            </w:pPr>
            <w:r w:rsidRPr="00DA36EF">
              <w:rPr>
                <w:rFonts w:ascii="Tahoma" w:hAnsi="Tahoma" w:cs="Tahoma"/>
                <w:sz w:val="18"/>
                <w:szCs w:val="18"/>
              </w:rPr>
              <w:t>15 anni</w:t>
            </w:r>
          </w:p>
        </w:tc>
      </w:tr>
      <w:tr w:rsidR="007960D5" w:rsidRPr="00DA36EF" w14:paraId="17929CE2" w14:textId="77777777" w:rsidTr="009063EA">
        <w:tc>
          <w:tcPr>
            <w:tcW w:w="4889" w:type="dxa"/>
          </w:tcPr>
          <w:p w14:paraId="3EA19B8B" w14:textId="77777777" w:rsidR="007960D5" w:rsidRPr="00F97536" w:rsidRDefault="007960D5" w:rsidP="00DA36EF">
            <w:pPr>
              <w:pStyle w:val="Testonotaapidipagina"/>
              <w:jc w:val="center"/>
              <w:rPr>
                <w:rFonts w:ascii="Tahoma" w:hAnsi="Tahoma" w:cs="Tahoma"/>
                <w:sz w:val="18"/>
                <w:szCs w:val="18"/>
              </w:rPr>
            </w:pPr>
            <w:r w:rsidRPr="00F97536">
              <w:rPr>
                <w:rFonts w:ascii="Tahoma" w:hAnsi="Tahoma" w:cs="Tahoma"/>
                <w:sz w:val="18"/>
                <w:szCs w:val="18"/>
              </w:rPr>
              <w:t>Oltre il 60 per cento per i comuni con popolazione superiore a 60.000 abitanti e oltre il 100 per cento per tutti gli altri comuni</w:t>
            </w:r>
          </w:p>
        </w:tc>
        <w:tc>
          <w:tcPr>
            <w:tcW w:w="4889" w:type="dxa"/>
          </w:tcPr>
          <w:p w14:paraId="58D8FDEF" w14:textId="77777777" w:rsidR="007960D5" w:rsidRPr="00DA36EF" w:rsidRDefault="007960D5" w:rsidP="00DA36EF">
            <w:pPr>
              <w:pStyle w:val="Testonotaapidipagina"/>
              <w:jc w:val="center"/>
              <w:rPr>
                <w:rFonts w:ascii="Tahoma" w:hAnsi="Tahoma" w:cs="Tahoma"/>
                <w:sz w:val="18"/>
                <w:szCs w:val="18"/>
              </w:rPr>
            </w:pPr>
            <w:r w:rsidRPr="00DA36EF">
              <w:rPr>
                <w:rFonts w:ascii="Tahoma" w:hAnsi="Tahoma" w:cs="Tahoma"/>
                <w:sz w:val="18"/>
                <w:szCs w:val="18"/>
              </w:rPr>
              <w:t>20 anni</w:t>
            </w:r>
          </w:p>
        </w:tc>
      </w:tr>
    </w:tbl>
    <w:p w14:paraId="6E994285" w14:textId="77777777" w:rsidR="007960D5" w:rsidRPr="00DA36EF" w:rsidRDefault="007960D5" w:rsidP="00276B9F">
      <w:pPr>
        <w:pStyle w:val="Testonotaapidipagina"/>
        <w:rPr>
          <w:rFonts w:ascii="Tahoma" w:hAnsi="Tahoma" w:cs="Tahoma"/>
          <w:sz w:val="18"/>
          <w:szCs w:val="18"/>
        </w:rPr>
      </w:pPr>
    </w:p>
  </w:footnote>
  <w:footnote w:id="85">
    <w:p w14:paraId="0899DFE8" w14:textId="77777777" w:rsidR="007960D5" w:rsidRPr="00DA36EF" w:rsidRDefault="007960D5" w:rsidP="00276B9F">
      <w:pPr>
        <w:spacing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Art. 1, c. 848, L. 205/2017: “</w:t>
      </w:r>
      <w:r w:rsidRPr="00DA36EF">
        <w:rPr>
          <w:rFonts w:eastAsia="Times New Roman" w:cs="Tahoma"/>
          <w:i/>
          <w:sz w:val="18"/>
          <w:szCs w:val="18"/>
          <w:lang w:eastAsia="it-IT"/>
        </w:rPr>
        <w:t>I comuni che non hanno deliberato il riaccertamento straordinario dei residui attivi e passivi previsto dall'articolo 3, comma 7, del decreto legislativo 23 giugno 2011, n. 118, nonché quelli per i quali le competenti sezioni regionali della Corte dei conti o i servizi ispettivi del Ministero dell'economia e delle finanze hanno accertato la presenza di residui risalenti agli esercizi antecedenti il 2015 non correttamente accertati entro il 1° gennaio 2015, provvedono, contestualmente all'approvazione del rendiconto 2017, al riaccertamento straordinario dei residui al 31 dicembre 2017 provenienti dalla gestione 2014 e precedenti, secondo le modalità definite con decreto del Ministero dell'economia e delle finanze da emanare entro il 28 febbraio 2018.</w:t>
      </w:r>
      <w:r w:rsidRPr="00DA36EF">
        <w:rPr>
          <w:rFonts w:eastAsia="Times New Roman" w:cs="Tahoma"/>
          <w:sz w:val="18"/>
          <w:szCs w:val="18"/>
          <w:lang w:eastAsia="it-IT"/>
        </w:rPr>
        <w:t>”</w:t>
      </w:r>
    </w:p>
  </w:footnote>
  <w:footnote w:id="86">
    <w:p w14:paraId="122F76DD" w14:textId="77777777" w:rsidR="007960D5" w:rsidRPr="00264DFE" w:rsidRDefault="007960D5" w:rsidP="00276B9F">
      <w:pPr>
        <w:pStyle w:val="Testonotaapidipagina"/>
        <w:spacing w:after="200"/>
        <w:jc w:val="both"/>
        <w:rPr>
          <w:rFonts w:ascii="Tahoma" w:hAnsi="Tahoma" w:cs="Tahoma"/>
          <w:sz w:val="18"/>
          <w:szCs w:val="18"/>
        </w:rPr>
      </w:pPr>
      <w:r w:rsidRPr="00264DFE">
        <w:rPr>
          <w:rStyle w:val="Rimandonotaapidipagina"/>
          <w:rFonts w:ascii="Tahoma" w:hAnsi="Tahoma" w:cs="Tahoma"/>
          <w:sz w:val="18"/>
          <w:szCs w:val="18"/>
        </w:rPr>
        <w:footnoteRef/>
      </w:r>
      <w:r w:rsidRPr="00264DFE">
        <w:rPr>
          <w:rFonts w:ascii="Tahoma" w:hAnsi="Tahoma" w:cs="Tahoma"/>
          <w:sz w:val="18"/>
          <w:szCs w:val="18"/>
        </w:rPr>
        <w:t xml:space="preserve"> Termini differiti al 30 giugno 2020</w:t>
      </w:r>
      <w:r>
        <w:rPr>
          <w:rFonts w:ascii="Tahoma" w:hAnsi="Tahoma" w:cs="Tahoma"/>
          <w:sz w:val="18"/>
          <w:szCs w:val="18"/>
        </w:rPr>
        <w:t>, relativamente all’anno 2020,</w:t>
      </w:r>
      <w:r w:rsidRPr="00264DFE">
        <w:rPr>
          <w:rFonts w:ascii="Tahoma" w:hAnsi="Tahoma" w:cs="Tahoma"/>
          <w:sz w:val="18"/>
          <w:szCs w:val="18"/>
        </w:rPr>
        <w:t xml:space="preserve"> a norma dell’art 107, c. 7, D.L. 17 marzo 2020, n. 18, conv. </w:t>
      </w:r>
      <w:hyperlink r:id="rId4" w:history="1">
        <w:r w:rsidRPr="00264DFE">
          <w:rPr>
            <w:rStyle w:val="Collegamentoipertestuale"/>
            <w:rFonts w:ascii="Tahoma" w:eastAsiaTheme="majorEastAsia" w:hAnsi="Tahoma" w:cs="Tahoma"/>
            <w:color w:val="auto"/>
            <w:sz w:val="18"/>
            <w:szCs w:val="18"/>
            <w:u w:val="none"/>
          </w:rPr>
          <w:t>L. 24 aprile 2020, n. 27</w:t>
        </w:r>
      </w:hyperlink>
      <w:r w:rsidRPr="00264DFE">
        <w:rPr>
          <w:rFonts w:ascii="Tahoma" w:hAnsi="Tahoma" w:cs="Tahoma"/>
          <w:sz w:val="18"/>
          <w:szCs w:val="18"/>
        </w:rPr>
        <w:t>.</w:t>
      </w:r>
    </w:p>
  </w:footnote>
  <w:footnote w:id="87">
    <w:p w14:paraId="41EFBCE0" w14:textId="77777777" w:rsidR="007960D5" w:rsidRPr="00264DFE" w:rsidRDefault="007960D5" w:rsidP="00EB6DAC">
      <w:pPr>
        <w:pStyle w:val="Testonotaapidipagina"/>
        <w:spacing w:after="200"/>
        <w:jc w:val="both"/>
        <w:rPr>
          <w:rFonts w:ascii="Tahoma" w:hAnsi="Tahoma" w:cs="Tahoma"/>
          <w:sz w:val="18"/>
          <w:szCs w:val="18"/>
        </w:rPr>
      </w:pPr>
      <w:r w:rsidRPr="00264DFE">
        <w:rPr>
          <w:rStyle w:val="Rimandonotaapidipagina"/>
          <w:rFonts w:ascii="Tahoma" w:hAnsi="Tahoma" w:cs="Tahoma"/>
          <w:sz w:val="18"/>
          <w:szCs w:val="18"/>
        </w:rPr>
        <w:footnoteRef/>
      </w:r>
      <w:r w:rsidRPr="00264DFE">
        <w:rPr>
          <w:rFonts w:ascii="Tahoma" w:hAnsi="Tahoma" w:cs="Tahoma"/>
          <w:sz w:val="18"/>
          <w:szCs w:val="18"/>
        </w:rPr>
        <w:t xml:space="preserve"> Termini differiti al 30 giugno 2020</w:t>
      </w:r>
      <w:r>
        <w:rPr>
          <w:rFonts w:ascii="Tahoma" w:hAnsi="Tahoma" w:cs="Tahoma"/>
          <w:sz w:val="18"/>
          <w:szCs w:val="18"/>
        </w:rPr>
        <w:t xml:space="preserve">, relativamente all’anno 2020, </w:t>
      </w:r>
      <w:r w:rsidRPr="00264DFE">
        <w:rPr>
          <w:rFonts w:ascii="Tahoma" w:hAnsi="Tahoma" w:cs="Tahoma"/>
          <w:sz w:val="18"/>
          <w:szCs w:val="18"/>
        </w:rPr>
        <w:t xml:space="preserve">a norma dell’art 107, c. 7, D.L. 17 marzo 2020, n. 18, conv. </w:t>
      </w:r>
      <w:hyperlink r:id="rId5" w:history="1">
        <w:r w:rsidRPr="00264DFE">
          <w:rPr>
            <w:rStyle w:val="Collegamentoipertestuale"/>
            <w:rFonts w:ascii="Tahoma" w:eastAsiaTheme="majorEastAsia" w:hAnsi="Tahoma" w:cs="Tahoma"/>
            <w:color w:val="auto"/>
            <w:sz w:val="18"/>
            <w:szCs w:val="18"/>
            <w:u w:val="none"/>
          </w:rPr>
          <w:t>L. 24 aprile 2020, n. 27</w:t>
        </w:r>
      </w:hyperlink>
      <w:r w:rsidRPr="00264DFE">
        <w:rPr>
          <w:rFonts w:ascii="Tahoma" w:hAnsi="Tahoma" w:cs="Tahoma"/>
          <w:sz w:val="18"/>
          <w:szCs w:val="18"/>
        </w:rPr>
        <w:t>.</w:t>
      </w:r>
    </w:p>
  </w:footnote>
  <w:footnote w:id="88">
    <w:p w14:paraId="252DA6E2" w14:textId="77777777" w:rsidR="007960D5" w:rsidRPr="002F27EC" w:rsidRDefault="007960D5" w:rsidP="00276B9F">
      <w:pPr>
        <w:pStyle w:val="Testonotaapidipagina"/>
        <w:spacing w:after="200"/>
        <w:rPr>
          <w:rFonts w:ascii="Tahoma" w:hAnsi="Tahoma" w:cs="Tahoma"/>
          <w:sz w:val="18"/>
          <w:szCs w:val="18"/>
        </w:rPr>
      </w:pPr>
      <w:r w:rsidRPr="002F27EC">
        <w:rPr>
          <w:rStyle w:val="Rimandonotaapidipagina"/>
          <w:rFonts w:ascii="Tahoma" w:hAnsi="Tahoma" w:cs="Tahoma"/>
          <w:sz w:val="18"/>
          <w:szCs w:val="18"/>
        </w:rPr>
        <w:footnoteRef/>
      </w:r>
      <w:r w:rsidRPr="002F27EC">
        <w:rPr>
          <w:rFonts w:ascii="Tahoma" w:hAnsi="Tahoma" w:cs="Tahoma"/>
          <w:sz w:val="18"/>
          <w:szCs w:val="18"/>
        </w:rPr>
        <w:t xml:space="preserve"> </w:t>
      </w:r>
      <w:r w:rsidRPr="002F27EC">
        <w:rPr>
          <w:rFonts w:ascii="Tahoma" w:eastAsiaTheme="majorEastAsia" w:hAnsi="Tahoma" w:cs="Tahoma"/>
          <w:color w:val="000000"/>
          <w:sz w:val="18"/>
          <w:szCs w:val="18"/>
        </w:rPr>
        <w:t>Sez. Autonomie n. 13/2016, su art. 1, c. 714 e ss., L. n. 208/2015.</w:t>
      </w:r>
    </w:p>
  </w:footnote>
  <w:footnote w:id="89">
    <w:p w14:paraId="6367E6D8" w14:textId="77777777" w:rsidR="007960D5" w:rsidRDefault="007960D5" w:rsidP="00276B9F">
      <w:pPr>
        <w:pStyle w:val="Testonotaapidipagina"/>
        <w:jc w:val="both"/>
      </w:pPr>
      <w:r w:rsidRPr="00DA36EF">
        <w:rPr>
          <w:rStyle w:val="Rimandonotaapidipagina"/>
          <w:rFonts w:ascii="Tahoma" w:hAnsi="Tahoma" w:cs="Tahoma"/>
          <w:sz w:val="18"/>
          <w:szCs w:val="18"/>
        </w:rPr>
        <w:footnoteRef/>
      </w:r>
      <w:r w:rsidRPr="00DA36EF">
        <w:rPr>
          <w:rFonts w:ascii="Tahoma" w:hAnsi="Tahoma" w:cs="Tahoma"/>
          <w:sz w:val="18"/>
          <w:szCs w:val="18"/>
        </w:rPr>
        <w:t xml:space="preserve"> Si veda tabella “Indici deficitarietà strutturale” in appendice. I precedenti indicatori erano stati individuati con D.M. Interno di concerto con il Ministero dell’economia e delle finanze del 18/02/2013.</w:t>
      </w:r>
    </w:p>
  </w:footnote>
  <w:footnote w:id="90">
    <w:p w14:paraId="240FD5E5" w14:textId="77777777" w:rsidR="007960D5" w:rsidRPr="00CE6B79" w:rsidRDefault="007960D5" w:rsidP="00CE6B79">
      <w:pPr>
        <w:pStyle w:val="Testonotaapidipagina"/>
        <w:jc w:val="both"/>
        <w:rPr>
          <w:rFonts w:ascii="Tahoma" w:hAnsi="Tahoma" w:cs="Tahoma"/>
          <w:sz w:val="18"/>
        </w:rPr>
      </w:pPr>
      <w:r w:rsidRPr="00CE6B79">
        <w:rPr>
          <w:rStyle w:val="Rimandonotaapidipagina"/>
          <w:rFonts w:ascii="Tahoma" w:hAnsi="Tahoma" w:cs="Tahoma"/>
          <w:sz w:val="18"/>
        </w:rPr>
        <w:footnoteRef/>
      </w:r>
      <w:r w:rsidRPr="00CE6B79">
        <w:rPr>
          <w:rFonts w:ascii="Tahoma" w:hAnsi="Tahoma" w:cs="Tahoma"/>
          <w:sz w:val="18"/>
        </w:rPr>
        <w:t xml:space="preserve"> Art. 68, c. 1, D.L n.18/2020: </w:t>
      </w:r>
      <w:r w:rsidRPr="00CE6B79">
        <w:rPr>
          <w:rFonts w:ascii="Tahoma" w:hAnsi="Tahoma" w:cs="Tahoma"/>
          <w:i/>
          <w:sz w:val="18"/>
        </w:rPr>
        <w:t xml:space="preserve">“Con riferimento alle entrate tributarie e non tributarie, sono sospesi i termini dei versamenti, in scadenza nel periodo dall'8 marzo 2020 al 31 agosto 2021, derivanti da cartelle di pagamento emesse dagli agenti della riscossione nonché dagli avvisi previsti dagli </w:t>
      </w:r>
      <w:hyperlink r:id="rId6" w:history="1">
        <w:r w:rsidRPr="00CE6B79">
          <w:rPr>
            <w:rStyle w:val="Collegamentoipertestuale"/>
            <w:rFonts w:ascii="Tahoma" w:eastAsiaTheme="majorEastAsia" w:hAnsi="Tahoma" w:cs="Tahoma"/>
            <w:i/>
            <w:color w:val="auto"/>
            <w:sz w:val="18"/>
            <w:u w:val="none"/>
          </w:rPr>
          <w:t>articoli 29</w:t>
        </w:r>
      </w:hyperlink>
      <w:r w:rsidRPr="00CE6B79">
        <w:rPr>
          <w:rFonts w:ascii="Tahoma" w:hAnsi="Tahoma" w:cs="Tahoma"/>
          <w:i/>
          <w:sz w:val="18"/>
        </w:rPr>
        <w:t xml:space="preserve"> e </w:t>
      </w:r>
      <w:hyperlink r:id="rId7" w:history="1">
        <w:r w:rsidRPr="00CE6B79">
          <w:rPr>
            <w:rStyle w:val="Collegamentoipertestuale"/>
            <w:rFonts w:ascii="Tahoma" w:eastAsiaTheme="majorEastAsia" w:hAnsi="Tahoma" w:cs="Tahoma"/>
            <w:i/>
            <w:color w:val="auto"/>
            <w:sz w:val="18"/>
            <w:u w:val="none"/>
          </w:rPr>
          <w:t>30 del decreto-legge 31 maggio 2010, n. 78</w:t>
        </w:r>
      </w:hyperlink>
      <w:r w:rsidRPr="00CE6B79">
        <w:rPr>
          <w:rFonts w:ascii="Tahoma" w:hAnsi="Tahoma" w:cs="Tahoma"/>
          <w:i/>
          <w:sz w:val="18"/>
        </w:rPr>
        <w:t xml:space="preserve">, convertito, con modificazioni, dalla </w:t>
      </w:r>
      <w:hyperlink r:id="rId8" w:history="1">
        <w:r w:rsidRPr="00CE6B79">
          <w:rPr>
            <w:rStyle w:val="Collegamentoipertestuale"/>
            <w:rFonts w:ascii="Tahoma" w:eastAsiaTheme="majorEastAsia" w:hAnsi="Tahoma" w:cs="Tahoma"/>
            <w:i/>
            <w:color w:val="auto"/>
            <w:sz w:val="18"/>
            <w:u w:val="none"/>
          </w:rPr>
          <w:t>legge 30 luglio 2010, n. 122</w:t>
        </w:r>
      </w:hyperlink>
      <w:r w:rsidRPr="00CE6B79">
        <w:rPr>
          <w:rFonts w:ascii="Tahoma" w:hAnsi="Tahoma" w:cs="Tahoma"/>
          <w:i/>
          <w:sz w:val="18"/>
        </w:rPr>
        <w:t>. I versamenti oggetto di sospensione devono essere effettuati in unica soluzione entro il mese successivo al termine del periodo di sospensione. Non si procede al rimborso di quanto già versato. Si applicano le disposizioni di cui all'</w:t>
      </w:r>
      <w:hyperlink r:id="rId9" w:history="1">
        <w:r w:rsidRPr="00CE6B79">
          <w:rPr>
            <w:rStyle w:val="Collegamentoipertestuale"/>
            <w:rFonts w:ascii="Tahoma" w:eastAsiaTheme="majorEastAsia" w:hAnsi="Tahoma" w:cs="Tahoma"/>
            <w:i/>
            <w:color w:val="auto"/>
            <w:sz w:val="18"/>
            <w:u w:val="none"/>
          </w:rPr>
          <w:t>articolo 12 del decreto legislativo 24 settembre 2015, n. 159</w:t>
        </w:r>
      </w:hyperlink>
      <w:r w:rsidRPr="00CE6B79">
        <w:rPr>
          <w:rFonts w:ascii="Tahoma" w:hAnsi="Tahoma" w:cs="Tahoma"/>
          <w:sz w:val="18"/>
        </w:rPr>
        <w:t>”</w:t>
      </w:r>
    </w:p>
    <w:p w14:paraId="0E8D7B7A" w14:textId="77777777" w:rsidR="007960D5" w:rsidRPr="00CE6B79" w:rsidRDefault="007960D5" w:rsidP="00CE6B79">
      <w:pPr>
        <w:pStyle w:val="Testonotaapidipagina"/>
        <w:jc w:val="both"/>
        <w:rPr>
          <w:rFonts w:ascii="Tahoma" w:hAnsi="Tahoma" w:cs="Tahoma"/>
          <w:sz w:val="18"/>
        </w:rPr>
      </w:pPr>
      <w:r w:rsidRPr="00CE6B79">
        <w:rPr>
          <w:rFonts w:ascii="Tahoma" w:hAnsi="Tahoma" w:cs="Tahoma"/>
          <w:sz w:val="18"/>
        </w:rPr>
        <w:t>Art. 68, c. 2-bis, D.L n.18/2020: “</w:t>
      </w:r>
      <w:r w:rsidRPr="00CE6B79">
        <w:rPr>
          <w:rFonts w:ascii="Tahoma" w:hAnsi="Tahoma" w:cs="Tahoma"/>
          <w:i/>
          <w:sz w:val="18"/>
        </w:rPr>
        <w:t>Nei confronti delle persone fisiche che, alla data del 21 febbraio 2020, avevano la residenza ovvero la sede operativa nel territorio dei comuni individuati nell'</w:t>
      </w:r>
      <w:hyperlink r:id="rId10" w:history="1">
        <w:r w:rsidRPr="00CE6B79">
          <w:rPr>
            <w:rStyle w:val="Collegamentoipertestuale"/>
            <w:rFonts w:ascii="Tahoma" w:eastAsiaTheme="majorEastAsia" w:hAnsi="Tahoma" w:cs="Tahoma"/>
            <w:i/>
            <w:color w:val="auto"/>
            <w:sz w:val="18"/>
            <w:u w:val="none"/>
          </w:rPr>
          <w:t>allegato 1 al decreto del Presidente del Consiglio dei ministri 1° marzo 2020</w:t>
        </w:r>
      </w:hyperlink>
      <w:r w:rsidRPr="00CE6B79">
        <w:rPr>
          <w:rFonts w:ascii="Tahoma" w:hAnsi="Tahoma" w:cs="Tahoma"/>
          <w:i/>
          <w:sz w:val="18"/>
        </w:rPr>
        <w:t>, e dei soggetti diversi dalle persone fisiche che, alla stessa data del 21 febbraio 2020, avevano nei medesimi comuni la sede legale o la sede operativa, i termini delle sospensioni di cui ai commi 1 e 2 decorrono dalla medesima data del 21 febbraio 2020.</w:t>
      </w:r>
      <w:r w:rsidRPr="00CE6B79">
        <w:rPr>
          <w:rFonts w:ascii="Tahoma" w:hAnsi="Tahoma" w:cs="Tahoma"/>
          <w:sz w:val="18"/>
        </w:rPr>
        <w:t>”</w:t>
      </w:r>
    </w:p>
  </w:footnote>
  <w:footnote w:id="91">
    <w:p w14:paraId="64C69D28"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Vedi paragrafo 3.7.2 in materia di responsabilità penale.</w:t>
      </w:r>
    </w:p>
  </w:footnote>
  <w:footnote w:id="92">
    <w:p w14:paraId="3287FD52" w14:textId="77777777" w:rsidR="007960D5" w:rsidRPr="00DA36EF" w:rsidRDefault="007960D5" w:rsidP="00DA36EF">
      <w:pPr>
        <w:pStyle w:val="Testonotaapidipagina"/>
        <w:jc w:val="both"/>
        <w:rPr>
          <w:rFonts w:ascii="Tahoma" w:hAnsi="Tahoma" w:cs="Tahoma"/>
          <w:iCs/>
          <w:color w:val="000000"/>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sidRPr="00DA36EF">
        <w:rPr>
          <w:rFonts w:ascii="Tahoma" w:hAnsi="Tahoma" w:cs="Tahoma"/>
          <w:iCs/>
          <w:sz w:val="18"/>
          <w:szCs w:val="18"/>
        </w:rPr>
        <w:t>L’importanza di una comunicazione tempestiva del parere dell’organo di revisione sulla proposta di bilancio da sottoporre al consiglio è stata rimarcata dal T</w:t>
      </w:r>
      <w:r>
        <w:rPr>
          <w:rFonts w:ascii="Tahoma" w:hAnsi="Tahoma" w:cs="Tahoma"/>
          <w:iCs/>
          <w:sz w:val="18"/>
          <w:szCs w:val="18"/>
        </w:rPr>
        <w:t>AR</w:t>
      </w:r>
      <w:r w:rsidRPr="00DA36EF">
        <w:rPr>
          <w:rFonts w:ascii="Tahoma" w:hAnsi="Tahoma" w:cs="Tahoma"/>
          <w:iCs/>
          <w:sz w:val="18"/>
          <w:szCs w:val="18"/>
        </w:rPr>
        <w:t xml:space="preserve"> della Puglia, con sentenza n. 3649 del 21 dicembre 2015, con la quale il Tribunale ha disposto l’</w:t>
      </w:r>
      <w:r w:rsidRPr="00DA36EF">
        <w:rPr>
          <w:rFonts w:ascii="Tahoma" w:hAnsi="Tahoma" w:cs="Tahoma"/>
          <w:b/>
          <w:iCs/>
          <w:sz w:val="18"/>
          <w:szCs w:val="18"/>
        </w:rPr>
        <w:t>annullamento della delibera di approvazione del bilancio di previsione e del rendiconto</w:t>
      </w:r>
      <w:r w:rsidRPr="00DA36EF">
        <w:rPr>
          <w:rFonts w:ascii="Tahoma" w:hAnsi="Tahoma" w:cs="Tahoma"/>
          <w:iCs/>
          <w:sz w:val="18"/>
          <w:szCs w:val="18"/>
        </w:rPr>
        <w:t xml:space="preserve"> di un comune, a seguito del ricorso di alcuni consiglieri che lamentavano </w:t>
      </w:r>
      <w:r w:rsidRPr="00DA36EF">
        <w:rPr>
          <w:rFonts w:ascii="Tahoma" w:hAnsi="Tahoma" w:cs="Tahoma"/>
          <w:iCs/>
          <w:color w:val="000000"/>
          <w:sz w:val="18"/>
          <w:szCs w:val="18"/>
        </w:rPr>
        <w:t xml:space="preserve">l’impossibilità di prendere visione del parere del collegio dei revisori, prima della seduta deputata alla disamina e approvazione del documento contabile. Secondo i giudici pugliesi, tale fatto ha comportato una </w:t>
      </w:r>
      <w:r w:rsidRPr="00DA36EF">
        <w:rPr>
          <w:rFonts w:ascii="Tahoma" w:hAnsi="Tahoma" w:cs="Tahoma"/>
          <w:b/>
          <w:iCs/>
          <w:color w:val="000000"/>
          <w:sz w:val="18"/>
          <w:szCs w:val="18"/>
        </w:rPr>
        <w:t>lesione alle prerogative dei consiglieri</w:t>
      </w:r>
      <w:r w:rsidRPr="00DA36EF">
        <w:rPr>
          <w:rFonts w:ascii="Tahoma" w:hAnsi="Tahoma" w:cs="Tahoma"/>
          <w:iCs/>
          <w:color w:val="000000"/>
          <w:sz w:val="18"/>
          <w:szCs w:val="18"/>
        </w:rPr>
        <w:t xml:space="preserve"> i quali non sono stati posti nella condizione di esercitare adeguatamente i loro compiti di controllo sull’attività degli organi di governo dell’ente locale.</w:t>
      </w:r>
    </w:p>
    <w:p w14:paraId="260DFAF2"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iCs/>
          <w:color w:val="000000"/>
          <w:sz w:val="18"/>
          <w:szCs w:val="18"/>
        </w:rPr>
        <w:t xml:space="preserve">Allo stesso modo il </w:t>
      </w:r>
      <w:r w:rsidRPr="00DA36EF">
        <w:rPr>
          <w:rFonts w:ascii="Tahoma" w:hAnsi="Tahoma" w:cs="Tahoma"/>
          <w:iCs/>
          <w:sz w:val="18"/>
          <w:szCs w:val="18"/>
        </w:rPr>
        <w:t>T</w:t>
      </w:r>
      <w:r>
        <w:rPr>
          <w:rFonts w:ascii="Tahoma" w:hAnsi="Tahoma" w:cs="Tahoma"/>
          <w:iCs/>
          <w:sz w:val="18"/>
          <w:szCs w:val="18"/>
        </w:rPr>
        <w:t>AR</w:t>
      </w:r>
      <w:r w:rsidRPr="00DA36EF">
        <w:rPr>
          <w:rFonts w:ascii="Tahoma" w:hAnsi="Tahoma" w:cs="Tahoma"/>
          <w:iCs/>
          <w:sz w:val="18"/>
          <w:szCs w:val="18"/>
        </w:rPr>
        <w:t xml:space="preserve"> della Calabria, con la sentenza n. 1175 del 20 luglio 2017, ha disposto l’annullamento della delibera di approvazione del bilancio di previsione a causa della mancata tempestiva allegazione della relazione dell’organo di revisione contabile, avendo, questo fatto, impedito ai consiglieri ricorrenti di esercitare le prerogative proprie del loro incarico, in violazione delle disposizioni regolamentari dell’ente disciplinanti le modalità temporali della messa a disposizione dello schema di bilancio di previsione e della documentazione allegata.</w:t>
      </w:r>
    </w:p>
  </w:footnote>
  <w:footnote w:id="93">
    <w:p w14:paraId="0160ECAF" w14:textId="77777777" w:rsidR="007960D5" w:rsidRPr="0089354F" w:rsidRDefault="007960D5">
      <w:pPr>
        <w:pStyle w:val="Testonotaapidipagina"/>
        <w:rPr>
          <w:rFonts w:ascii="Tahoma" w:hAnsi="Tahoma" w:cs="Tahoma"/>
        </w:rPr>
      </w:pPr>
      <w:r w:rsidRPr="0089354F">
        <w:rPr>
          <w:rStyle w:val="Rimandonotaapidipagina"/>
          <w:rFonts w:ascii="Tahoma" w:hAnsi="Tahoma" w:cs="Tahoma"/>
          <w:sz w:val="18"/>
        </w:rPr>
        <w:footnoteRef/>
      </w:r>
      <w:r w:rsidRPr="0089354F">
        <w:rPr>
          <w:rFonts w:ascii="Tahoma" w:hAnsi="Tahoma" w:cs="Tahoma"/>
          <w:sz w:val="18"/>
        </w:rPr>
        <w:t xml:space="preserve"> Da redigersi secondo lo schema previsto dal D.M. Infrastrutture e dei Trasporti 14 gennaio 2018, n. 14.</w:t>
      </w:r>
    </w:p>
  </w:footnote>
  <w:footnote w:id="94">
    <w:p w14:paraId="7E64B616" w14:textId="77777777" w:rsidR="007960D5" w:rsidRPr="00DA36EF" w:rsidRDefault="007960D5" w:rsidP="00DA36EF">
      <w:pPr>
        <w:pStyle w:val="Testonotaapidipagina"/>
        <w:jc w:val="both"/>
        <w:rPr>
          <w:rFonts w:ascii="Tahoma" w:hAnsi="Tahoma" w:cs="Tahoma"/>
          <w:iCs/>
          <w:color w:val="000000"/>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Anche sulla relazione </w:t>
      </w:r>
      <w:r w:rsidRPr="00DA36EF">
        <w:rPr>
          <w:rFonts w:ascii="Tahoma" w:hAnsi="Tahoma" w:cs="Tahoma"/>
          <w:iCs/>
          <w:sz w:val="18"/>
          <w:szCs w:val="18"/>
        </w:rPr>
        <w:t>dell’organo di revisione al rendiconto da sottoporre al consiglio il T</w:t>
      </w:r>
      <w:r>
        <w:rPr>
          <w:rFonts w:ascii="Tahoma" w:hAnsi="Tahoma" w:cs="Tahoma"/>
          <w:iCs/>
          <w:sz w:val="18"/>
          <w:szCs w:val="18"/>
        </w:rPr>
        <w:t>AR</w:t>
      </w:r>
      <w:r w:rsidRPr="00DA36EF">
        <w:rPr>
          <w:rFonts w:ascii="Tahoma" w:hAnsi="Tahoma" w:cs="Tahoma"/>
          <w:iCs/>
          <w:sz w:val="18"/>
          <w:szCs w:val="18"/>
        </w:rPr>
        <w:t xml:space="preserve"> della Puglia ha ribadito, con la citata sentenza n. 3649 del 21 dicembre 2015, la necessità di una tempestiva presa visione da parte dei consiglieri al fine di esercitare le proprie prerogative, disponendo l’</w:t>
      </w:r>
      <w:r w:rsidRPr="00DA36EF">
        <w:rPr>
          <w:rFonts w:ascii="Tahoma" w:hAnsi="Tahoma" w:cs="Tahoma"/>
          <w:b/>
          <w:iCs/>
          <w:sz w:val="18"/>
          <w:szCs w:val="18"/>
        </w:rPr>
        <w:t>annullamento della delibera di approvazione del bilancio di previsione e del rendiconto</w:t>
      </w:r>
      <w:r>
        <w:rPr>
          <w:rFonts w:ascii="Tahoma" w:hAnsi="Tahoma" w:cs="Tahoma"/>
          <w:b/>
          <w:iCs/>
          <w:sz w:val="18"/>
          <w:szCs w:val="18"/>
        </w:rPr>
        <w:t>,</w:t>
      </w:r>
      <w:r w:rsidRPr="00741EB6">
        <w:rPr>
          <w:rFonts w:ascii="Tahoma" w:hAnsi="Tahoma" w:cs="Tahoma"/>
          <w:iCs/>
          <w:sz w:val="18"/>
          <w:szCs w:val="18"/>
        </w:rPr>
        <w:t xml:space="preserve"> priva di tale relazione.</w:t>
      </w:r>
    </w:p>
    <w:p w14:paraId="78AA52E4"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iCs/>
          <w:color w:val="000000"/>
          <w:sz w:val="18"/>
          <w:szCs w:val="18"/>
        </w:rPr>
        <w:t xml:space="preserve">Allo stesso modo il </w:t>
      </w:r>
      <w:r w:rsidRPr="00DA36EF">
        <w:rPr>
          <w:rFonts w:ascii="Tahoma" w:hAnsi="Tahoma" w:cs="Tahoma"/>
          <w:iCs/>
          <w:sz w:val="18"/>
          <w:szCs w:val="18"/>
        </w:rPr>
        <w:t>T</w:t>
      </w:r>
      <w:r>
        <w:rPr>
          <w:rFonts w:ascii="Tahoma" w:hAnsi="Tahoma" w:cs="Tahoma"/>
          <w:iCs/>
          <w:sz w:val="18"/>
          <w:szCs w:val="18"/>
        </w:rPr>
        <w:t>AR</w:t>
      </w:r>
      <w:r w:rsidRPr="00DA36EF">
        <w:rPr>
          <w:rFonts w:ascii="Tahoma" w:hAnsi="Tahoma" w:cs="Tahoma"/>
          <w:iCs/>
          <w:sz w:val="18"/>
          <w:szCs w:val="18"/>
        </w:rPr>
        <w:t xml:space="preserve"> della Calabria, con la sentenza n. 1900 del 6 dicembre 2017, ha disposto l’annullamento della delibera di approvazione del rendiconto di gestione a causa della mancata tempestiva allegazione della relazione dell’organo di revisione contabile, avendo, questo fatto, impedito ai consiglieri ricorrenti di esercitare le prerogative proprie del loro incarico, in violazione delle disposizioni regolamentari dell’ente disciplinanti le modalità temporali della messa a disposizione ella proposta di rendiconto.</w:t>
      </w:r>
    </w:p>
  </w:footnote>
  <w:footnote w:id="95">
    <w:p w14:paraId="393AE599" w14:textId="6AE14E16" w:rsidR="007960D5" w:rsidRPr="00DA36EF" w:rsidRDefault="007960D5" w:rsidP="00861807">
      <w:pPr>
        <w:spacing w:after="0"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w:t>
      </w:r>
      <w:r w:rsidRPr="00DA36EF">
        <w:rPr>
          <w:rFonts w:eastAsia="Times New Roman" w:cs="Tahoma"/>
          <w:sz w:val="18"/>
          <w:szCs w:val="18"/>
          <w:lang w:eastAsia="it-IT"/>
        </w:rPr>
        <w:t>art. 9, c. 1-quinquies, D.L. n. 113/2016:</w:t>
      </w:r>
      <w:r w:rsidRPr="00DA36EF">
        <w:rPr>
          <w:rFonts w:cs="Tahoma"/>
          <w:sz w:val="18"/>
          <w:szCs w:val="18"/>
        </w:rPr>
        <w:t xml:space="preserve"> “</w:t>
      </w:r>
      <w:r w:rsidRPr="00DA36EF">
        <w:rPr>
          <w:rFonts w:eastAsia="Times New Roman" w:cs="Tahoma"/>
          <w:i/>
          <w:sz w:val="18"/>
          <w:szCs w:val="18"/>
          <w:lang w:eastAsia="it-IT"/>
        </w:rPr>
        <w:t xml:space="preserve">In caso di mancato rispetto dei termini previsti per l'approvazione dei bilanci di previsione, dei rendiconti e del bilancio consolidato , nonché di mancato invio, entro trenta giorni dal termine previsto per l'approvazione, dei relativi dati alla banca dati delle amministrazioni pubbliche di cui all'articolo 13 della legge 31 dicembre 2009, n. 196, compresi i dati aggregati per voce del piano dei conti integrato, gli enti territoriali, ferma restando per gli enti locali che non rispettano i termini per l'approvazione dei bilanci di previsione e dei rendiconti la procedura prevista dall'articolo 141 del testo unico di cui al decreto legislativo 18 agosto 2000, n. 267, non possono procedere ad assunzioni di personale a qualsiasi titolo, con qualsivoglia tipologia contrattuale, ivi compresi i rapporti di collaborazione coordinata e continuativa e di somministrazione, anche con riferimento ai processi di stabilizzazione in atto, fino a quando non abbiano adempiuto. </w:t>
      </w:r>
      <w:r w:rsidR="001E548F" w:rsidRPr="00DA36EF">
        <w:rPr>
          <w:rFonts w:eastAsia="Times New Roman" w:cs="Tahoma"/>
          <w:i/>
          <w:sz w:val="18"/>
          <w:szCs w:val="18"/>
          <w:lang w:eastAsia="it-IT"/>
        </w:rPr>
        <w:t>È</w:t>
      </w:r>
      <w:r w:rsidRPr="00DA36EF">
        <w:rPr>
          <w:rFonts w:eastAsia="Times New Roman" w:cs="Tahoma"/>
          <w:i/>
          <w:sz w:val="18"/>
          <w:szCs w:val="18"/>
          <w:lang w:eastAsia="it-IT"/>
        </w:rPr>
        <w:t xml:space="preserve"> fatto altresì divieto di stipulare contratti di servizio con soggetti privati che si configurino come elusivi della disposizione del precedente periodo.</w:t>
      </w:r>
      <w:r w:rsidRPr="00DA36EF">
        <w:rPr>
          <w:rFonts w:eastAsia="Times New Roman" w:cs="Tahoma"/>
          <w:sz w:val="18"/>
          <w:szCs w:val="18"/>
          <w:lang w:eastAsia="it-IT"/>
        </w:rPr>
        <w:t>”</w:t>
      </w:r>
    </w:p>
  </w:footnote>
  <w:footnote w:id="96">
    <w:p w14:paraId="2386E04C" w14:textId="77777777" w:rsidR="007960D5"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w:t>
      </w:r>
      <w:r>
        <w:rPr>
          <w:rFonts w:ascii="Tahoma" w:hAnsi="Tahoma" w:cs="Tahoma"/>
          <w:sz w:val="18"/>
          <w:szCs w:val="18"/>
        </w:rPr>
        <w:t>Nella nomina dei componenti degli organi amministrativi e di controllo di società a controllo pubblico:</w:t>
      </w:r>
    </w:p>
    <w:p w14:paraId="0857828E"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sz w:val="18"/>
          <w:szCs w:val="18"/>
        </w:rPr>
        <w:t xml:space="preserve">- requisiti di onorabilità, professionalità e autonomia </w:t>
      </w:r>
      <w:r w:rsidRPr="00DA36EF">
        <w:rPr>
          <w:rFonts w:ascii="Tahoma" w:hAnsi="Tahoma" w:cs="Tahoma"/>
          <w:color w:val="000000"/>
          <w:sz w:val="18"/>
          <w:szCs w:val="18"/>
        </w:rPr>
        <w:t>stabiliti con decreto del Presidente del Consiglio dei Ministri, su proposta del Ministro dell'economia e delle finanze, previa intesa in Conferenza unificata ai sensi dell'art. 9, D.Lgs. 28 agosto 1997, n. 281;</w:t>
      </w:r>
    </w:p>
    <w:p w14:paraId="203824E1"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color w:val="000000"/>
          <w:sz w:val="18"/>
          <w:szCs w:val="18"/>
        </w:rPr>
        <w:t>- rispetto del principio di equilibrio di genere, almeno nella misura di un terzo, da computare sul numero complessivo delle designazioni o nomine effettuate in corso d'anno;</w:t>
      </w:r>
    </w:p>
    <w:p w14:paraId="24EB946C"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color w:val="000000"/>
          <w:sz w:val="18"/>
          <w:szCs w:val="18"/>
        </w:rPr>
        <w:t xml:space="preserve">- in caso di società a controllo pubblico costituita in forma di società a responsabilità limitata, non è consentito, in deroga all'articolo 2475, c. 3, </w:t>
      </w:r>
      <w:r>
        <w:rPr>
          <w:rFonts w:ascii="Tahoma" w:hAnsi="Tahoma" w:cs="Tahoma"/>
          <w:color w:val="000000"/>
          <w:sz w:val="18"/>
          <w:szCs w:val="18"/>
        </w:rPr>
        <w:t>C</w:t>
      </w:r>
      <w:r w:rsidRPr="00DA36EF">
        <w:rPr>
          <w:rFonts w:ascii="Tahoma" w:hAnsi="Tahoma" w:cs="Tahoma"/>
          <w:color w:val="000000"/>
          <w:sz w:val="18"/>
          <w:szCs w:val="18"/>
        </w:rPr>
        <w:t>.</w:t>
      </w:r>
      <w:r>
        <w:rPr>
          <w:rFonts w:ascii="Tahoma" w:hAnsi="Tahoma" w:cs="Tahoma"/>
          <w:color w:val="000000"/>
          <w:sz w:val="18"/>
          <w:szCs w:val="18"/>
        </w:rPr>
        <w:t>C</w:t>
      </w:r>
      <w:r w:rsidRPr="00DA36EF">
        <w:rPr>
          <w:rFonts w:ascii="Tahoma" w:hAnsi="Tahoma" w:cs="Tahoma"/>
          <w:color w:val="000000"/>
          <w:sz w:val="18"/>
          <w:szCs w:val="18"/>
        </w:rPr>
        <w:t>., prevedere che l'amministrazione sia affidata, disgiuntamente o congiuntamente, a due o più soci;</w:t>
      </w:r>
    </w:p>
    <w:p w14:paraId="7CA9AE0D"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color w:val="000000"/>
          <w:sz w:val="18"/>
          <w:szCs w:val="18"/>
        </w:rPr>
        <w:t>- il limite dei compensi massimi;</w:t>
      </w:r>
    </w:p>
    <w:p w14:paraId="1487191E"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color w:val="000000"/>
          <w:sz w:val="18"/>
          <w:szCs w:val="18"/>
        </w:rPr>
        <w:t>- insussistenza di rapporto di lavoro dipendente degli amministratori delle società a controllo pubblico con le amministrazioni pubbliche controllanti o vigilanti; qualora siano dipendenti della società controllante, in virtù del principio di onnicomprensività della retribuzione, fatto salvo il diritto alla copertura assicurativa e al rimborso delle spese documentate, nel rispetto del limite di spesa di cui al c. 6, essi hanno l'obbligo di riversare i relativi compensi alla società di appartenenza;</w:t>
      </w:r>
    </w:p>
    <w:p w14:paraId="1DDB590F"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Fonts w:ascii="Tahoma" w:hAnsi="Tahoma" w:cs="Tahoma"/>
          <w:color w:val="000000"/>
          <w:sz w:val="18"/>
          <w:szCs w:val="18"/>
        </w:rPr>
        <w:t>- divieto di corrispondere ai dirigenti delle società a controllo pubblico indennità o trattamenti di fine mandato diversi o ulteriori rispetto a quelli previsti dalla legge o dalla contrattazione collettiva ovvero di stipulare patti o accordi di non concorrenza, anche a</w:t>
      </w:r>
      <w:r>
        <w:rPr>
          <w:rFonts w:ascii="Tahoma" w:hAnsi="Tahoma" w:cs="Tahoma"/>
          <w:color w:val="000000"/>
          <w:sz w:val="18"/>
          <w:szCs w:val="18"/>
        </w:rPr>
        <w:t>i sensi dell'articolo 2125 del C.C..</w:t>
      </w:r>
    </w:p>
  </w:footnote>
  <w:footnote w:id="97">
    <w:p w14:paraId="02F46108"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 commissione Arconet, con la risposta alla Faq n. 23 del 6/07/2017 ha stabilito che non sono assimilabili ai contratti di leasing finanziario, ai fini dell’applicazione dei principi contabili, le fattispecie che si configurano come “partenariato pubblico-privato” e non sono considerati, pertanto, investimenti finanziati da debito.</w:t>
      </w:r>
    </w:p>
  </w:footnote>
  <w:footnote w:id="98">
    <w:p w14:paraId="743B1571"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Corte dei Conti Emilia Romagna, Sez. contr., Delib. 12 settembre 2017, n. 129</w:t>
      </w:r>
    </w:p>
  </w:footnote>
  <w:footnote w:id="99">
    <w:p w14:paraId="19B29055" w14:textId="77777777" w:rsidR="007960D5" w:rsidRPr="00962437" w:rsidRDefault="007960D5" w:rsidP="00962437">
      <w:pPr>
        <w:pStyle w:val="Testonotaapidipagina"/>
        <w:jc w:val="both"/>
        <w:rPr>
          <w:rFonts w:ascii="Tahoma" w:hAnsi="Tahoma" w:cs="Tahoma"/>
        </w:rPr>
      </w:pPr>
      <w:r w:rsidRPr="00962437">
        <w:rPr>
          <w:rStyle w:val="Rimandonotaapidipagina"/>
          <w:rFonts w:ascii="Tahoma" w:hAnsi="Tahoma" w:cs="Tahoma"/>
          <w:sz w:val="18"/>
        </w:rPr>
        <w:footnoteRef/>
      </w:r>
      <w:r w:rsidRPr="00962437">
        <w:rPr>
          <w:rFonts w:ascii="Tahoma" w:hAnsi="Tahoma" w:cs="Tahoma"/>
          <w:sz w:val="18"/>
        </w:rPr>
        <w:t xml:space="preserve"> L’art. 6, c. 6-bis, D.L. 9 giugno 2021, n. 80, conv. L</w:t>
      </w:r>
      <w:r>
        <w:rPr>
          <w:rFonts w:ascii="Tahoma" w:hAnsi="Tahoma" w:cs="Tahoma"/>
          <w:sz w:val="18"/>
        </w:rPr>
        <w:t>. 6 agosto 2021, n.113</w:t>
      </w:r>
      <w:r w:rsidRPr="00962437">
        <w:rPr>
          <w:rFonts w:ascii="Tahoma" w:hAnsi="Tahoma" w:cs="Tahoma"/>
          <w:sz w:val="18"/>
        </w:rPr>
        <w:t xml:space="preserve">. ha disposto la disapplicazione delle sanzioni di cui all’art. 6, c. 6, D.Lgs. n. 165/2001 fino al 30 aprile 2022. </w:t>
      </w:r>
    </w:p>
  </w:footnote>
  <w:footnote w:id="100">
    <w:p w14:paraId="7257D63B" w14:textId="77777777" w:rsidR="007960D5" w:rsidRPr="00DA36EF" w:rsidRDefault="007960D5" w:rsidP="00CE4803">
      <w:pPr>
        <w:spacing w:line="240" w:lineRule="auto"/>
        <w:jc w:val="both"/>
        <w:rPr>
          <w:rFonts w:eastAsia="Times New Roman" w:cs="Tahoma"/>
          <w:sz w:val="18"/>
          <w:szCs w:val="18"/>
          <w:lang w:eastAsia="it-IT"/>
        </w:rPr>
      </w:pPr>
      <w:r w:rsidRPr="00DA36EF">
        <w:rPr>
          <w:rStyle w:val="Rimandonotaapidipagina"/>
          <w:rFonts w:cs="Tahoma"/>
          <w:sz w:val="18"/>
          <w:szCs w:val="18"/>
        </w:rPr>
        <w:footnoteRef/>
      </w:r>
      <w:r w:rsidRPr="00DA36EF">
        <w:rPr>
          <w:rFonts w:cs="Tahoma"/>
          <w:sz w:val="18"/>
          <w:szCs w:val="18"/>
        </w:rPr>
        <w:t xml:space="preserve"> Art. 7, c. 5, D.Lgs. 30 marzo 2001, n. 165: </w:t>
      </w:r>
      <w:r w:rsidRPr="00DA36EF">
        <w:rPr>
          <w:rFonts w:cs="Tahoma"/>
          <w:i/>
          <w:sz w:val="18"/>
          <w:szCs w:val="18"/>
        </w:rPr>
        <w:t>“</w:t>
      </w:r>
      <w:r w:rsidRPr="00DA36EF">
        <w:rPr>
          <w:rFonts w:eastAsia="Times New Roman" w:cs="Tahoma"/>
          <w:i/>
          <w:sz w:val="18"/>
          <w:szCs w:val="18"/>
          <w:lang w:eastAsia="it-IT"/>
        </w:rPr>
        <w:t>Le amministrazioni pubbliche non possono erogare trattamenti economici accessori che non corrispondano alle prestazioni effettivamente rese”.</w:t>
      </w:r>
    </w:p>
  </w:footnote>
  <w:footnote w:id="101">
    <w:p w14:paraId="2EC28EF8" w14:textId="77777777" w:rsidR="007960D5" w:rsidRPr="00DA36EF" w:rsidRDefault="007960D5" w:rsidP="00CE4803">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5, c. 3, del CCNL dell’1.4.1999, come sostituito dall’art.4 del CCNL del 22.1.2004.</w:t>
      </w:r>
    </w:p>
  </w:footnote>
  <w:footnote w:id="102">
    <w:p w14:paraId="78F38B8B" w14:textId="77777777" w:rsidR="007960D5" w:rsidRPr="0004651D" w:rsidRDefault="007960D5" w:rsidP="0004651D">
      <w:pPr>
        <w:pStyle w:val="Testonotaapidipagina"/>
        <w:jc w:val="both"/>
        <w:rPr>
          <w:rFonts w:ascii="Tahoma" w:hAnsi="Tahoma" w:cs="Tahoma"/>
          <w:sz w:val="18"/>
        </w:rPr>
      </w:pPr>
      <w:r w:rsidRPr="00CE4803">
        <w:rPr>
          <w:rStyle w:val="Rimandonotaapidipagina"/>
          <w:rFonts w:ascii="Tahoma" w:hAnsi="Tahoma" w:cs="Tahoma"/>
          <w:sz w:val="18"/>
        </w:rPr>
        <w:footnoteRef/>
      </w:r>
      <w:r w:rsidRPr="00CE4803">
        <w:rPr>
          <w:rFonts w:ascii="Tahoma" w:hAnsi="Tahoma" w:cs="Tahoma"/>
          <w:sz w:val="18"/>
        </w:rPr>
        <w:t xml:space="preserve"> La Corte dei Conti, sezione regionale di controllo per la Puglia, con delibera del 22 settembre 2020 ha dichiarato illegittima la certificazione postuma degli effetti finanziari dei contratti decentrati già sottoscritti.</w:t>
      </w:r>
    </w:p>
  </w:footnote>
  <w:footnote w:id="103">
    <w:p w14:paraId="323D5054" w14:textId="77777777" w:rsidR="007960D5" w:rsidRPr="008147D6" w:rsidRDefault="007960D5" w:rsidP="00513885">
      <w:pPr>
        <w:pStyle w:val="Testonotaapidipagina"/>
        <w:jc w:val="both"/>
        <w:rPr>
          <w:rFonts w:ascii="Tahoma" w:hAnsi="Tahoma" w:cs="Tahoma"/>
          <w:i/>
          <w:sz w:val="18"/>
          <w:szCs w:val="18"/>
        </w:rPr>
      </w:pPr>
      <w:r w:rsidRPr="00CF5855">
        <w:rPr>
          <w:rStyle w:val="Rimandonotaapidipagina"/>
          <w:rFonts w:ascii="Tahoma" w:hAnsi="Tahoma" w:cs="Tahoma"/>
          <w:sz w:val="18"/>
          <w:szCs w:val="18"/>
        </w:rPr>
        <w:footnoteRef/>
      </w:r>
      <w:r w:rsidRPr="00CF5855">
        <w:rPr>
          <w:rFonts w:ascii="Tahoma" w:hAnsi="Tahoma" w:cs="Tahoma"/>
          <w:sz w:val="18"/>
          <w:szCs w:val="18"/>
        </w:rPr>
        <w:t xml:space="preserve"> La prima Sezione centrale di Appello della Corte dei Conti ha evidenziato, nella sent. n. 181/2019 che: </w:t>
      </w:r>
      <w:r w:rsidRPr="00CF5855">
        <w:rPr>
          <w:rFonts w:ascii="Tahoma" w:hAnsi="Tahoma" w:cs="Tahoma"/>
          <w:i/>
          <w:sz w:val="18"/>
          <w:szCs w:val="18"/>
        </w:rPr>
        <w:t>“Il rispetto dei principi di cui all’art. 7, commi 6 e ss., del D.Lgs. n. 165 del 2001 impone che l’incarico possa essere conferito ad un soggetto esterno sol al ricorrere di ben precisi presupposti, che vanno puntualmente accertati prima dell’affidamento. E, dell’esito di detto accertamento, è indispensabile che sia dato conto espressamente e compiutamente nella motivazione del provvedimento, poiché, ove così non fosse, l’affidamento dell’incarico non solo risulterebbe illegittimamente conferito, ma sarebbe da considerare anche inutile per l’amministrazione, non risultandone comprovata la necessità. Conseguentemente, la spesa sarebbe ingiustificata e, quindi, costituirebbe danno erariale”.</w:t>
      </w:r>
    </w:p>
  </w:footnote>
  <w:footnote w:id="104">
    <w:p w14:paraId="753F71AA" w14:textId="77777777" w:rsidR="007960D5" w:rsidRPr="00DA36EF" w:rsidRDefault="007960D5" w:rsidP="00CB1671">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Sentenze n. 62/2012, n. 167/2013, n. 227/2013 e n. 7/2015.</w:t>
      </w:r>
    </w:p>
  </w:footnote>
  <w:footnote w:id="105">
    <w:p w14:paraId="1DF88E15" w14:textId="77777777" w:rsidR="007960D5" w:rsidRPr="00DA36EF" w:rsidRDefault="007960D5" w:rsidP="00DA36EF">
      <w:pPr>
        <w:pStyle w:val="Testonotaapidipagina"/>
        <w:jc w:val="both"/>
        <w:rPr>
          <w:rFonts w:ascii="Tahoma" w:hAnsi="Tahoma" w:cs="Tahoma"/>
          <w:color w:val="000000"/>
          <w:sz w:val="18"/>
          <w:szCs w:val="18"/>
          <w:shd w:val="clear" w:color="auto" w:fill="F9F8F4"/>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31, D.Lgs. 30/03/2001, n. 165: “</w:t>
      </w:r>
      <w:r w:rsidRPr="00DA36EF">
        <w:rPr>
          <w:rFonts w:ascii="Tahoma" w:hAnsi="Tahoma" w:cs="Tahoma"/>
          <w:i/>
          <w:color w:val="000000"/>
          <w:sz w:val="18"/>
          <w:szCs w:val="18"/>
        </w:rPr>
        <w:t>Fatte salve le disposizioni speciali, nel caso di trasferim</w:t>
      </w:r>
      <w:r>
        <w:rPr>
          <w:rFonts w:ascii="Tahoma" w:hAnsi="Tahoma" w:cs="Tahoma"/>
          <w:i/>
          <w:color w:val="000000"/>
          <w:sz w:val="18"/>
          <w:szCs w:val="18"/>
        </w:rPr>
        <w:t>ento o conferimento di attività</w:t>
      </w:r>
      <w:r w:rsidRPr="00DA36EF">
        <w:rPr>
          <w:rFonts w:ascii="Tahoma" w:hAnsi="Tahoma" w:cs="Tahoma"/>
          <w:i/>
          <w:color w:val="000000"/>
          <w:sz w:val="18"/>
          <w:szCs w:val="18"/>
        </w:rPr>
        <w:t>, svolte da pubbliche amministrazioni, enti pubblici o loro aziende o strutture, ad altri soggetti, pubblici o privati, al personale che passa alle dipendenze ditali soggetti si applicano l'articolo 2112 del codice civile e si osservano le procedure di informazione e di consultazione di cui all'articolo 47, commi da 1 a 4, della legge 29 dicembre 1990, n. 428.</w:t>
      </w:r>
      <w:r w:rsidRPr="00DA36EF">
        <w:rPr>
          <w:rFonts w:ascii="Tahoma" w:hAnsi="Tahoma" w:cs="Tahoma"/>
          <w:color w:val="000000"/>
          <w:sz w:val="18"/>
          <w:szCs w:val="18"/>
        </w:rPr>
        <w:t>”</w:t>
      </w:r>
    </w:p>
    <w:p w14:paraId="636F70E7" w14:textId="77777777" w:rsidR="007960D5" w:rsidRPr="00DA36EF" w:rsidRDefault="007960D5" w:rsidP="00DA36EF">
      <w:pPr>
        <w:pStyle w:val="NormaleWeb"/>
        <w:shd w:val="clear" w:color="auto" w:fill="FFFFFF"/>
        <w:spacing w:line="240" w:lineRule="auto"/>
        <w:jc w:val="both"/>
        <w:textAlignment w:val="baseline"/>
        <w:rPr>
          <w:rFonts w:ascii="Tahoma" w:hAnsi="Tahoma" w:cs="Tahoma"/>
          <w:i/>
          <w:color w:val="0C0C0F"/>
          <w:sz w:val="18"/>
          <w:szCs w:val="18"/>
        </w:rPr>
      </w:pPr>
      <w:r w:rsidRPr="00DA36EF">
        <w:rPr>
          <w:rFonts w:ascii="Tahoma" w:hAnsi="Tahoma" w:cs="Tahoma"/>
          <w:color w:val="000000"/>
          <w:sz w:val="18"/>
          <w:szCs w:val="18"/>
        </w:rPr>
        <w:t>Art. 2112 Codice Civile: “</w:t>
      </w:r>
      <w:r w:rsidRPr="00DA36EF">
        <w:rPr>
          <w:rFonts w:ascii="Tahoma" w:hAnsi="Tahoma" w:cs="Tahoma"/>
          <w:i/>
          <w:color w:val="0C0C0F"/>
          <w:sz w:val="18"/>
          <w:szCs w:val="18"/>
        </w:rPr>
        <w:t>In caso di trasferimento d'azienda, il rapporto di lavoro continua con il cessionario ed il lavoratore conserva tutti i diritti che ne derivano.</w:t>
      </w:r>
    </w:p>
    <w:p w14:paraId="454B2D60" w14:textId="77777777" w:rsidR="007960D5" w:rsidRPr="00DA36EF" w:rsidRDefault="007960D5" w:rsidP="00DA36EF">
      <w:pPr>
        <w:pStyle w:val="NormaleWeb"/>
        <w:shd w:val="clear" w:color="auto" w:fill="FFFFFF"/>
        <w:spacing w:line="240" w:lineRule="auto"/>
        <w:jc w:val="both"/>
        <w:textAlignment w:val="baseline"/>
        <w:rPr>
          <w:rFonts w:ascii="Tahoma" w:hAnsi="Tahoma" w:cs="Tahoma"/>
          <w:i/>
          <w:color w:val="0C0C0F"/>
          <w:sz w:val="18"/>
          <w:szCs w:val="18"/>
        </w:rPr>
      </w:pPr>
      <w:r w:rsidRPr="00DA36EF">
        <w:rPr>
          <w:rFonts w:ascii="Tahoma" w:hAnsi="Tahoma" w:cs="Tahoma"/>
          <w:i/>
          <w:color w:val="0C0C0F"/>
          <w:sz w:val="18"/>
          <w:szCs w:val="18"/>
        </w:rPr>
        <w:t>Il cedente ed il cessionario sono obbligati, in solido, per tutti i crediti che il lavoratore aveva al tempo del trasferimento. Con le procedure di cui agli articoli 410 e 411 del codice di procedura civile il lavoratore può consentire la liberazione del cedente dalle obbligazioni derivanti dal rapporto di lavoro.</w:t>
      </w:r>
    </w:p>
    <w:p w14:paraId="7018A572" w14:textId="77777777" w:rsidR="007960D5" w:rsidRPr="00DA36EF" w:rsidRDefault="007960D5" w:rsidP="00DA36EF">
      <w:pPr>
        <w:pStyle w:val="NormaleWeb"/>
        <w:shd w:val="clear" w:color="auto" w:fill="FFFFFF"/>
        <w:spacing w:line="240" w:lineRule="auto"/>
        <w:jc w:val="both"/>
        <w:textAlignment w:val="baseline"/>
        <w:rPr>
          <w:rFonts w:ascii="Tahoma" w:hAnsi="Tahoma" w:cs="Tahoma"/>
          <w:i/>
          <w:color w:val="0C0C0F"/>
          <w:sz w:val="18"/>
          <w:szCs w:val="18"/>
        </w:rPr>
      </w:pPr>
      <w:r w:rsidRPr="00DA36EF">
        <w:rPr>
          <w:rFonts w:ascii="Tahoma" w:hAnsi="Tahoma" w:cs="Tahoma"/>
          <w:i/>
          <w:color w:val="0C0C0F"/>
          <w:sz w:val="18"/>
          <w:szCs w:val="18"/>
        </w:rPr>
        <w:t>Il cessionario è tenuto ad applicare i trattamenti economici e normativi previsti dai contratti collettivi nazionali, territoriali ed aziendali vigenti alla data del trasferimento, fino alla loro scadenza, salvo che siano sostituiti da altri contratti collettivi applicabili all'impresa del cessionario. L'effetto di sostituzione si produce esclusivamente fra contratti collettivi del medesimo livello.</w:t>
      </w:r>
    </w:p>
    <w:p w14:paraId="7C9003FE" w14:textId="77777777" w:rsidR="007960D5" w:rsidRPr="00DA36EF" w:rsidRDefault="007960D5" w:rsidP="00DA36EF">
      <w:pPr>
        <w:pStyle w:val="NormaleWeb"/>
        <w:shd w:val="clear" w:color="auto" w:fill="FFFFFF"/>
        <w:spacing w:line="240" w:lineRule="auto"/>
        <w:jc w:val="both"/>
        <w:textAlignment w:val="baseline"/>
        <w:rPr>
          <w:rFonts w:ascii="Tahoma" w:hAnsi="Tahoma" w:cs="Tahoma"/>
          <w:i/>
          <w:color w:val="0C0C0F"/>
          <w:sz w:val="18"/>
          <w:szCs w:val="18"/>
        </w:rPr>
      </w:pPr>
      <w:r w:rsidRPr="00DA36EF">
        <w:rPr>
          <w:rFonts w:ascii="Tahoma" w:hAnsi="Tahoma" w:cs="Tahoma"/>
          <w:i/>
          <w:color w:val="0C0C0F"/>
          <w:sz w:val="18"/>
          <w:szCs w:val="18"/>
        </w:rPr>
        <w:t>Ferma restando la facoltà di esercitare il recesso ai sensi della normativa in materia di licenziamenti, il trasferimento d'azienda non costituisce di per sé motivo di licenziamento. Il lavoratore, le cui condizioni di lavoro subiscono una sostanziale modifica nei tre mesi successivi al trasferimento d'azienda, può rassegnare le proprie dimissioni con gli effetti di cui all'articolo 2119, primo comma.</w:t>
      </w:r>
    </w:p>
    <w:p w14:paraId="3BF61199" w14:textId="77777777" w:rsidR="007960D5" w:rsidRPr="00DA36EF" w:rsidRDefault="007960D5" w:rsidP="00DA36EF">
      <w:pPr>
        <w:pStyle w:val="NormaleWeb"/>
        <w:shd w:val="clear" w:color="auto" w:fill="FFFFFF"/>
        <w:spacing w:line="240" w:lineRule="auto"/>
        <w:jc w:val="both"/>
        <w:textAlignment w:val="baseline"/>
        <w:rPr>
          <w:rFonts w:ascii="Tahoma" w:hAnsi="Tahoma" w:cs="Tahoma"/>
          <w:i/>
          <w:color w:val="0C0C0F"/>
          <w:sz w:val="18"/>
          <w:szCs w:val="18"/>
        </w:rPr>
      </w:pPr>
      <w:r w:rsidRPr="00DA36EF">
        <w:rPr>
          <w:rFonts w:ascii="Tahoma" w:hAnsi="Tahoma" w:cs="Tahoma"/>
          <w:i/>
          <w:color w:val="0C0C0F"/>
          <w:sz w:val="18"/>
          <w:szCs w:val="18"/>
        </w:rPr>
        <w:t xml:space="preserve">Ai fini e per gli effetti di cui al presente articolo si intende per trasferimento d'azienda qualsiasi operazione che, in seguito a cessione contrattuale o fusione, comporti il mutamento nella titolarità di un'attività economica organizzata, con o senza scopo di lucro, preesistente al trasferimento e che conserva nel trasferimento la propria identità a prescindere dalla tipologia negoziale o dal provvedimento sulla base del quale il trasferimento è attuato ivi compresi l'usufrutto o l'affitto di azienda. Le disposizioni del presente articolo si applicano altresì al trasferimento di parte dell'azienda, intesa come articolazione funzionalmente autonoma di un'attività economica organizzata, identificata come tale dal cedente e dal cessionario al momento del suo trasferimento. </w:t>
      </w:r>
    </w:p>
    <w:p w14:paraId="6A0DEAD4" w14:textId="77777777" w:rsidR="007960D5" w:rsidRPr="00DA36EF" w:rsidRDefault="007960D5" w:rsidP="00DA36EF">
      <w:pPr>
        <w:pStyle w:val="NormaleWeb"/>
        <w:shd w:val="clear" w:color="auto" w:fill="FFFFFF"/>
        <w:spacing w:line="240" w:lineRule="auto"/>
        <w:jc w:val="both"/>
        <w:textAlignment w:val="baseline"/>
        <w:rPr>
          <w:rFonts w:ascii="Tahoma" w:hAnsi="Tahoma" w:cs="Tahoma"/>
          <w:color w:val="0C0C0F"/>
          <w:sz w:val="18"/>
          <w:szCs w:val="18"/>
        </w:rPr>
      </w:pPr>
      <w:r w:rsidRPr="00DA36EF">
        <w:rPr>
          <w:rFonts w:ascii="Tahoma" w:hAnsi="Tahoma" w:cs="Tahoma"/>
          <w:i/>
          <w:color w:val="0C0C0F"/>
          <w:sz w:val="18"/>
          <w:szCs w:val="18"/>
        </w:rPr>
        <w:t xml:space="preserve">Nel caso in cui l'alienante stipuli con l'acquirente un contratto di appalto la cui esecuzione avviene utilizzando il ramo d'azienda oggetto di cessione, tra appaltante e appaltatore opera un regime di solidarietà di cui all'articolo 29, comma 2, </w:t>
      </w:r>
      <w:r w:rsidRPr="00DA36EF">
        <w:rPr>
          <w:rFonts w:ascii="Tahoma" w:hAnsi="Tahoma" w:cs="Tahoma"/>
          <w:i/>
          <w:sz w:val="18"/>
          <w:szCs w:val="18"/>
        </w:rPr>
        <w:t>del </w:t>
      </w:r>
      <w:hyperlink r:id="rId11" w:history="1">
        <w:r w:rsidRPr="00DA36EF">
          <w:rPr>
            <w:rStyle w:val="Collegamentoipertestuale"/>
            <w:rFonts w:ascii="Tahoma" w:eastAsiaTheme="majorEastAsia" w:hAnsi="Tahoma" w:cs="Tahoma"/>
            <w:i/>
            <w:color w:val="auto"/>
            <w:sz w:val="18"/>
            <w:szCs w:val="18"/>
            <w:u w:val="none"/>
            <w:bdr w:val="none" w:sz="0" w:space="0" w:color="auto" w:frame="1"/>
          </w:rPr>
          <w:t>decreto legislativo 10 settembre 2003, n. 276</w:t>
        </w:r>
      </w:hyperlink>
      <w:r w:rsidRPr="00DA36EF">
        <w:rPr>
          <w:rFonts w:ascii="Tahoma" w:hAnsi="Tahoma" w:cs="Tahoma"/>
          <w:color w:val="0C0C0F"/>
          <w:sz w:val="18"/>
          <w:szCs w:val="18"/>
        </w:rPr>
        <w:t>.”</w:t>
      </w:r>
    </w:p>
  </w:footnote>
  <w:footnote w:id="106">
    <w:p w14:paraId="32F6B576" w14:textId="77777777" w:rsidR="007960D5" w:rsidRPr="00DA36EF" w:rsidRDefault="007960D5" w:rsidP="00C53673">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Autorità Nazionale Anti Corruzione con funzioni di prevenzione della corruzione nell’ambito delle amministrazioni pubbliche e delle società partecipate.</w:t>
      </w:r>
    </w:p>
  </w:footnote>
  <w:footnote w:id="107">
    <w:p w14:paraId="3D9C3FAB" w14:textId="77777777" w:rsidR="007960D5" w:rsidRPr="00DA36EF" w:rsidRDefault="007960D5" w:rsidP="00DA36EF">
      <w:pPr>
        <w:pStyle w:val="NormaleWeb"/>
        <w:spacing w:line="240" w:lineRule="auto"/>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Consip è una società per azioni del Ministero dell'Economia e delle Finanze che svolge attività di consulenza, assistenza e supporto nell'ambito degli acquisti di beni e servizi delle amministrazioni pubbliche. In qualità di centrale di committenza nazionale, realizza il programma di razionalizzazione degli acquisti nella P.A. Sulla base di specifiche convenzioni, supporta singole amministrazioni su tutti gli aspetti del processo di approvvigionamento.</w:t>
      </w:r>
    </w:p>
  </w:footnote>
  <w:footnote w:id="108">
    <w:p w14:paraId="2E4347C2" w14:textId="77777777" w:rsidR="007960D5" w:rsidRPr="00DA36EF" w:rsidRDefault="007960D5" w:rsidP="00C53673">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In precedenza: </w:t>
      </w:r>
    </w:p>
    <w:p w14:paraId="66249FA3" w14:textId="77777777" w:rsidR="007960D5" w:rsidRPr="00DA36EF" w:rsidRDefault="007960D5" w:rsidP="00C53673">
      <w:pPr>
        <w:pStyle w:val="Testonotaapidipagina"/>
        <w:numPr>
          <w:ilvl w:val="0"/>
          <w:numId w:val="142"/>
        </w:numPr>
        <w:jc w:val="both"/>
        <w:rPr>
          <w:rFonts w:ascii="Tahoma" w:hAnsi="Tahoma" w:cs="Tahoma"/>
          <w:sz w:val="18"/>
          <w:szCs w:val="18"/>
        </w:rPr>
      </w:pPr>
      <w:r w:rsidRPr="00DA36EF">
        <w:rPr>
          <w:rFonts w:ascii="Tahoma" w:hAnsi="Tahoma" w:cs="Tahoma"/>
          <w:sz w:val="18"/>
          <w:szCs w:val="18"/>
        </w:rPr>
        <w:t>per affidamenti di importo pari o superiore a € 40.000 e inferiore a € 150.000 per i lavori, o alle soglie di cui all'art. 35 per le forniture e i servizi, mediante procedura negoziata previa consultazione, ove esistenti, di almeno 10 operatori economici per i lavori, e, per i servizi e le forniture, di almeno 5 operatori economici individuati sulla base di indagini di mercato o tramite elenchi di operatori economici, nel rispetto di un criterio di rotazione degli inviti. I lavori possono essere eseguiti anche in amministrazione diretta, fatto salvo l'acquisto e il noleggio di mezzi, per i quali si applica comunque la procedura negoziata previa consultazione di cui al periodo precedente</w:t>
      </w:r>
      <w:r>
        <w:rPr>
          <w:rFonts w:ascii="Tahoma" w:hAnsi="Tahoma" w:cs="Tahoma"/>
          <w:sz w:val="18"/>
          <w:szCs w:val="18"/>
        </w:rPr>
        <w:t>;</w:t>
      </w:r>
    </w:p>
    <w:p w14:paraId="260D18F7" w14:textId="77777777" w:rsidR="007960D5" w:rsidRPr="00DA36EF" w:rsidRDefault="007960D5" w:rsidP="00C53673">
      <w:pPr>
        <w:pStyle w:val="Paragrafoelenco"/>
        <w:numPr>
          <w:ilvl w:val="0"/>
          <w:numId w:val="142"/>
        </w:numPr>
        <w:spacing w:after="0" w:line="240" w:lineRule="auto"/>
        <w:ind w:left="357" w:hanging="357"/>
        <w:jc w:val="both"/>
        <w:rPr>
          <w:rFonts w:cs="Tahoma"/>
          <w:sz w:val="18"/>
          <w:szCs w:val="18"/>
        </w:rPr>
      </w:pPr>
      <w:r w:rsidRPr="00DA36EF">
        <w:rPr>
          <w:rFonts w:cs="Tahoma"/>
          <w:sz w:val="18"/>
          <w:szCs w:val="18"/>
        </w:rPr>
        <w:t>per i lavori di importo pari o superiore a € 150.000 e inferiore a € 1.000.000, mediante procedura negoziata con consultazione di almeno 15 operatori economici, ove esistenti, nel rispetto di un criterio di rotazione degli inviti, individuati sulla base di indagini di mercato o tramite elenchi di operatori economici;</w:t>
      </w:r>
    </w:p>
    <w:p w14:paraId="5F839305" w14:textId="77777777" w:rsidR="007960D5" w:rsidRPr="00DA36EF" w:rsidRDefault="007960D5" w:rsidP="00C53673">
      <w:pPr>
        <w:pStyle w:val="Paragrafoelenco"/>
        <w:numPr>
          <w:ilvl w:val="0"/>
          <w:numId w:val="142"/>
        </w:numPr>
        <w:spacing w:after="0" w:line="240" w:lineRule="auto"/>
        <w:ind w:left="357" w:hanging="357"/>
        <w:jc w:val="both"/>
        <w:rPr>
          <w:rFonts w:cs="Tahoma"/>
          <w:sz w:val="18"/>
          <w:szCs w:val="18"/>
        </w:rPr>
      </w:pPr>
      <w:r w:rsidRPr="00DA36EF">
        <w:rPr>
          <w:rFonts w:cs="Tahoma"/>
          <w:sz w:val="18"/>
          <w:szCs w:val="18"/>
        </w:rPr>
        <w:t>per i lavori di importo pari o superiore a € 1.000.000 mediante ricorso alle procedure ordinarie</w:t>
      </w:r>
      <w:r>
        <w:rPr>
          <w:rFonts w:cs="Tahoma"/>
          <w:sz w:val="18"/>
          <w:szCs w:val="18"/>
        </w:rPr>
        <w:t>.</w:t>
      </w:r>
    </w:p>
  </w:footnote>
  <w:footnote w:id="109">
    <w:p w14:paraId="55AC181B" w14:textId="77777777" w:rsidR="007960D5" w:rsidRPr="003C08A2" w:rsidRDefault="007960D5" w:rsidP="00143478">
      <w:pPr>
        <w:pStyle w:val="PreformattatoHTML"/>
        <w:jc w:val="both"/>
        <w:rPr>
          <w:rFonts w:ascii="Tahoma" w:hAnsi="Tahoma" w:cs="Tahoma"/>
          <w:sz w:val="18"/>
        </w:rPr>
      </w:pPr>
      <w:r w:rsidRPr="003C08A2">
        <w:rPr>
          <w:rStyle w:val="Rimandonotaapidipagina"/>
          <w:rFonts w:ascii="Tahoma" w:hAnsi="Tahoma" w:cs="Tahoma"/>
          <w:sz w:val="18"/>
        </w:rPr>
        <w:footnoteRef/>
      </w:r>
      <w:r w:rsidRPr="00143478">
        <w:rPr>
          <w:rFonts w:ascii="Tahoma" w:hAnsi="Tahoma" w:cs="Tahoma"/>
          <w:sz w:val="18"/>
        </w:rPr>
        <w:t xml:space="preserve"> </w:t>
      </w:r>
      <w:r>
        <w:rPr>
          <w:rFonts w:ascii="Tahoma" w:hAnsi="Tahoma" w:cs="Tahoma"/>
          <w:sz w:val="18"/>
        </w:rPr>
        <w:t xml:space="preserve">Piano </w:t>
      </w:r>
      <w:r w:rsidRPr="003C08A2">
        <w:rPr>
          <w:rFonts w:ascii="Tahoma" w:hAnsi="Tahoma" w:cs="Tahoma"/>
          <w:sz w:val="18"/>
        </w:rPr>
        <w:t>nazionale per gli investimenti complementari al PNRR, di cui all'art. 1, D.L. 6 maggio 2021, n. 59, finalizzato ad integrare con risorse nazionali gli interventi del PNRR.</w:t>
      </w:r>
    </w:p>
    <w:p w14:paraId="4625B639" w14:textId="77777777" w:rsidR="007960D5" w:rsidRDefault="007960D5">
      <w:pPr>
        <w:pStyle w:val="Testonotaapidipagina"/>
      </w:pPr>
    </w:p>
  </w:footnote>
  <w:footnote w:id="110">
    <w:p w14:paraId="2FCC908F" w14:textId="77777777" w:rsidR="007960D5" w:rsidRPr="00DA36EF" w:rsidRDefault="007960D5" w:rsidP="00DA36EF">
      <w:pPr>
        <w:pStyle w:val="Testonotaapidipagina"/>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Tali condizioni sono:</w:t>
      </w:r>
    </w:p>
    <w:p w14:paraId="55D28E59"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sz w:val="18"/>
          <w:szCs w:val="18"/>
        </w:rPr>
        <w:t>- una pubblica amministrazione esercita sull'affidatario il controllo analogo (i cc. 4 e 5 prevedono che il controllo analogo sussiste anche quando le amministrazioni aggiudicatrici o gli enti aggiudicatori esercitano tale controllo in forma congiunta);</w:t>
      </w:r>
    </w:p>
    <w:p w14:paraId="09ABC25A"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sz w:val="18"/>
          <w:szCs w:val="18"/>
        </w:rPr>
        <w:t>- oltre l'80% delle attività del soggetto controllato è effettuata nello svolgimento dei compiti affidati dal soggetto controllante;</w:t>
      </w:r>
    </w:p>
    <w:p w14:paraId="1D4BBE41" w14:textId="77777777" w:rsidR="007960D5" w:rsidRPr="00DA36EF" w:rsidRDefault="007960D5" w:rsidP="00DA36EF">
      <w:pPr>
        <w:pStyle w:val="Testonotaapidipagina"/>
        <w:jc w:val="both"/>
        <w:rPr>
          <w:rFonts w:ascii="Tahoma" w:hAnsi="Tahoma" w:cs="Tahoma"/>
          <w:sz w:val="18"/>
          <w:szCs w:val="18"/>
        </w:rPr>
      </w:pPr>
      <w:r w:rsidRPr="00DA36EF">
        <w:rPr>
          <w:rFonts w:ascii="Tahoma" w:hAnsi="Tahoma" w:cs="Tahoma"/>
          <w:sz w:val="18"/>
          <w:szCs w:val="18"/>
        </w:rPr>
        <w:t>- nella controllata non vi è alcuna partecipazione diretta di capitali privati, ad eccezione delle partecipazioni non determinanti.</w:t>
      </w:r>
    </w:p>
  </w:footnote>
  <w:footnote w:id="111">
    <w:p w14:paraId="7DCE88FE"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La Corte di Cassazione, con ordinanza n. 19812 del 9 agosto 2017, ha sancito il </w:t>
      </w:r>
      <w:r w:rsidRPr="00DA36EF">
        <w:rPr>
          <w:rFonts w:ascii="Tahoma" w:hAnsi="Tahoma" w:cs="Tahoma"/>
          <w:i/>
          <w:sz w:val="18"/>
          <w:szCs w:val="18"/>
        </w:rPr>
        <w:t xml:space="preserve">discrimen </w:t>
      </w:r>
      <w:r w:rsidRPr="00DA36EF">
        <w:rPr>
          <w:rFonts w:ascii="Tahoma" w:hAnsi="Tahoma" w:cs="Tahoma"/>
          <w:sz w:val="18"/>
          <w:szCs w:val="18"/>
        </w:rPr>
        <w:t>relativo alle attività svolte in dagli enti pubblici stabilendo che:</w:t>
      </w:r>
    </w:p>
    <w:p w14:paraId="776A801E" w14:textId="77777777" w:rsidR="007960D5" w:rsidRPr="00DA36EF" w:rsidRDefault="007960D5" w:rsidP="00DA36EF">
      <w:pPr>
        <w:pStyle w:val="Testonotaapidipagina"/>
        <w:jc w:val="both"/>
        <w:rPr>
          <w:rFonts w:ascii="Tahoma" w:hAnsi="Tahoma" w:cs="Tahoma"/>
          <w:i/>
          <w:sz w:val="18"/>
          <w:szCs w:val="18"/>
        </w:rPr>
      </w:pPr>
      <w:r w:rsidRPr="00DA36EF">
        <w:rPr>
          <w:rFonts w:ascii="Tahoma" w:hAnsi="Tahoma" w:cs="Tahoma"/>
          <w:sz w:val="18"/>
          <w:szCs w:val="18"/>
        </w:rPr>
        <w:t>- sono riconducibili alle attività svolte in veste di pubblica autorità quelle che costituiscono cura effettiva di interessi pubblici, poste in essere nell’esercizio dei poteri amministrativi, fondate sul cosiddetto “</w:t>
      </w:r>
      <w:r w:rsidRPr="00DA36EF">
        <w:rPr>
          <w:rFonts w:ascii="Tahoma" w:hAnsi="Tahoma" w:cs="Tahoma"/>
          <w:i/>
          <w:sz w:val="18"/>
          <w:szCs w:val="18"/>
        </w:rPr>
        <w:t>ius imperi”;</w:t>
      </w:r>
    </w:p>
    <w:p w14:paraId="4BC1E4E0" w14:textId="77777777" w:rsidR="007960D5" w:rsidRPr="00DA36EF" w:rsidRDefault="007960D5" w:rsidP="00DA36EF">
      <w:pPr>
        <w:pStyle w:val="Testonotaapidipagina"/>
        <w:rPr>
          <w:rFonts w:ascii="Tahoma" w:hAnsi="Tahoma" w:cs="Tahoma"/>
          <w:sz w:val="18"/>
          <w:szCs w:val="18"/>
        </w:rPr>
      </w:pPr>
      <w:r w:rsidRPr="00DA36EF">
        <w:rPr>
          <w:rFonts w:ascii="Tahoma" w:hAnsi="Tahoma" w:cs="Tahoma"/>
          <w:sz w:val="18"/>
          <w:szCs w:val="18"/>
        </w:rPr>
        <w:t>- sono riconducibili alle attività di natura commerciale quelle di carattere privatistico, espressione dello “</w:t>
      </w:r>
      <w:r w:rsidRPr="00DA36EF">
        <w:rPr>
          <w:rFonts w:ascii="Tahoma" w:hAnsi="Tahoma" w:cs="Tahoma"/>
          <w:i/>
          <w:sz w:val="18"/>
          <w:szCs w:val="18"/>
        </w:rPr>
        <w:t>ius gestionis</w:t>
      </w:r>
      <w:r w:rsidRPr="00DA36EF">
        <w:rPr>
          <w:rFonts w:ascii="Tahoma" w:hAnsi="Tahoma" w:cs="Tahoma"/>
          <w:sz w:val="18"/>
          <w:szCs w:val="18"/>
        </w:rPr>
        <w:t>”.</w:t>
      </w:r>
    </w:p>
  </w:footnote>
  <w:footnote w:id="112">
    <w:p w14:paraId="68764774" w14:textId="77777777" w:rsidR="007960D5" w:rsidRPr="00DA36EF" w:rsidRDefault="007960D5" w:rsidP="00DA36EF">
      <w:pPr>
        <w:spacing w:after="0" w:line="240" w:lineRule="auto"/>
        <w:jc w:val="both"/>
        <w:rPr>
          <w:rFonts w:cs="Tahoma"/>
          <w:sz w:val="18"/>
          <w:szCs w:val="18"/>
        </w:rPr>
      </w:pPr>
      <w:r w:rsidRPr="00DA36EF">
        <w:rPr>
          <w:rStyle w:val="Rimandonotaapidipagina"/>
          <w:rFonts w:cs="Tahoma"/>
          <w:sz w:val="18"/>
          <w:szCs w:val="18"/>
        </w:rPr>
        <w:footnoteRef/>
      </w:r>
      <w:r w:rsidRPr="00DA36EF">
        <w:rPr>
          <w:rFonts w:cs="Tahoma"/>
          <w:sz w:val="18"/>
          <w:szCs w:val="18"/>
        </w:rPr>
        <w:t xml:space="preserve"> Intendendosi per tali:</w:t>
      </w:r>
    </w:p>
    <w:p w14:paraId="1CA0246E" w14:textId="77777777" w:rsidR="007960D5" w:rsidRPr="00DA36EF" w:rsidRDefault="007960D5" w:rsidP="00D65838">
      <w:pPr>
        <w:pStyle w:val="Paragrafoelenco"/>
        <w:numPr>
          <w:ilvl w:val="0"/>
          <w:numId w:val="120"/>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retribuzioni erogate al personale dipendente (criterio di cassa);</w:t>
      </w:r>
    </w:p>
    <w:p w14:paraId="46A24A08" w14:textId="77777777" w:rsidR="007960D5" w:rsidRPr="00DA36EF" w:rsidRDefault="007960D5" w:rsidP="00D65838">
      <w:pPr>
        <w:pStyle w:val="Paragrafoelenco"/>
        <w:numPr>
          <w:ilvl w:val="0"/>
          <w:numId w:val="120"/>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redditi assimilati a quelli di lavoro dipendente di cui all’art.50 del TUIR;</w:t>
      </w:r>
    </w:p>
    <w:p w14:paraId="5AFEE5FA" w14:textId="77777777" w:rsidR="007960D5" w:rsidRPr="00DA36EF" w:rsidRDefault="007960D5" w:rsidP="00D65838">
      <w:pPr>
        <w:pStyle w:val="Paragrafoelenco"/>
        <w:numPr>
          <w:ilvl w:val="0"/>
          <w:numId w:val="120"/>
        </w:numPr>
        <w:spacing w:after="0" w:line="240" w:lineRule="auto"/>
        <w:jc w:val="both"/>
        <w:rPr>
          <w:rFonts w:eastAsia="Times New Roman" w:cs="Tahoma"/>
          <w:sz w:val="18"/>
          <w:szCs w:val="18"/>
          <w:lang w:eastAsia="it-IT"/>
        </w:rPr>
      </w:pPr>
      <w:r w:rsidRPr="00DA36EF">
        <w:rPr>
          <w:rFonts w:eastAsia="Times New Roman" w:cs="Tahoma"/>
          <w:sz w:val="18"/>
          <w:szCs w:val="18"/>
          <w:lang w:eastAsia="it-IT"/>
        </w:rPr>
        <w:t>compensi erogati per le collaborazioni coordinate e continuative di cui all'art. 50, c. 1, lett. c-bis) del TUIR;</w:t>
      </w:r>
    </w:p>
    <w:p w14:paraId="7FC99630" w14:textId="77777777" w:rsidR="007960D5" w:rsidRPr="00DA36EF" w:rsidRDefault="007960D5" w:rsidP="000129FE">
      <w:pPr>
        <w:pStyle w:val="Paragrafoelenco"/>
        <w:numPr>
          <w:ilvl w:val="0"/>
          <w:numId w:val="120"/>
        </w:numPr>
        <w:spacing w:line="240" w:lineRule="auto"/>
        <w:ind w:left="714" w:hanging="357"/>
        <w:jc w:val="both"/>
        <w:rPr>
          <w:rFonts w:eastAsia="Times New Roman" w:cs="Tahoma"/>
          <w:sz w:val="18"/>
          <w:szCs w:val="18"/>
          <w:lang w:eastAsia="it-IT"/>
        </w:rPr>
      </w:pPr>
      <w:r w:rsidRPr="00DA36EF">
        <w:rPr>
          <w:rFonts w:eastAsia="Times New Roman" w:cs="Tahoma"/>
          <w:sz w:val="18"/>
          <w:szCs w:val="18"/>
          <w:lang w:eastAsia="it-IT"/>
        </w:rPr>
        <w:t>compensi erogati per le attività di lavoro autonomo non esercitato abitualmente di cui all'art. 67, c. 1, lett. l), del TUIR.</w:t>
      </w:r>
    </w:p>
  </w:footnote>
  <w:footnote w:id="113">
    <w:p w14:paraId="73939EA1" w14:textId="77777777" w:rsidR="007960D5" w:rsidRPr="00DA36EF" w:rsidRDefault="007960D5" w:rsidP="007C0824">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Modello per i versamenti fiscali degli enti pubblici.</w:t>
      </w:r>
    </w:p>
  </w:footnote>
  <w:footnote w:id="114">
    <w:p w14:paraId="0139759C" w14:textId="77777777" w:rsidR="007960D5" w:rsidRPr="00DA36EF" w:rsidRDefault="007960D5" w:rsidP="00DA36EF">
      <w:pPr>
        <w:pStyle w:val="Testonotaapidipagina"/>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Per il 2017 il termine per l’invio telematico è stato differito dal 30 settembre al 31 ottobre. Inoltre, la legge di bilancio per il 2018 proroga a regime i termini di invio delle dichiarazioni al 31 ottobre dell’anno successivo a quello di riferimento. A decorrere dal 2019, l’adempimento deve essere espletato entro il 30 novembre.</w:t>
      </w:r>
    </w:p>
  </w:footnote>
  <w:footnote w:id="115">
    <w:p w14:paraId="1461A389" w14:textId="77777777" w:rsidR="007960D5" w:rsidRPr="00BF386F" w:rsidRDefault="007960D5">
      <w:pPr>
        <w:pStyle w:val="Testonotaapidipagina"/>
        <w:rPr>
          <w:rFonts w:ascii="Tahoma" w:hAnsi="Tahoma" w:cs="Tahoma"/>
          <w:sz w:val="18"/>
          <w:szCs w:val="18"/>
        </w:rPr>
      </w:pPr>
      <w:r w:rsidRPr="00BF386F">
        <w:rPr>
          <w:rStyle w:val="Rimandonotaapidipagina"/>
          <w:rFonts w:ascii="Tahoma" w:hAnsi="Tahoma" w:cs="Tahoma"/>
          <w:sz w:val="18"/>
          <w:szCs w:val="18"/>
        </w:rPr>
        <w:footnoteRef/>
      </w:r>
      <w:r w:rsidRPr="00BF386F">
        <w:rPr>
          <w:rFonts w:ascii="Tahoma" w:hAnsi="Tahoma" w:cs="Tahoma"/>
          <w:sz w:val="18"/>
          <w:szCs w:val="18"/>
        </w:rPr>
        <w:t xml:space="preserve"> In precedenza</w:t>
      </w:r>
      <w:r>
        <w:rPr>
          <w:rFonts w:ascii="Tahoma" w:hAnsi="Tahoma" w:cs="Tahoma"/>
          <w:sz w:val="18"/>
          <w:szCs w:val="18"/>
        </w:rPr>
        <w:t>,</w:t>
      </w:r>
      <w:r w:rsidRPr="00BF386F">
        <w:rPr>
          <w:rFonts w:ascii="Tahoma" w:hAnsi="Tahoma" w:cs="Tahoma"/>
          <w:sz w:val="18"/>
          <w:szCs w:val="18"/>
        </w:rPr>
        <w:t xml:space="preserve"> il termine </w:t>
      </w:r>
      <w:r>
        <w:rPr>
          <w:rFonts w:ascii="Tahoma" w:hAnsi="Tahoma" w:cs="Tahoma"/>
          <w:sz w:val="18"/>
          <w:szCs w:val="18"/>
        </w:rPr>
        <w:t>e</w:t>
      </w:r>
      <w:r w:rsidRPr="00BF386F">
        <w:rPr>
          <w:rFonts w:ascii="Tahoma" w:hAnsi="Tahoma" w:cs="Tahoma"/>
          <w:sz w:val="18"/>
          <w:szCs w:val="18"/>
        </w:rPr>
        <w:t xml:space="preserve">ra </w:t>
      </w:r>
      <w:r>
        <w:rPr>
          <w:rFonts w:ascii="Tahoma" w:hAnsi="Tahoma" w:cs="Tahoma"/>
          <w:sz w:val="18"/>
          <w:szCs w:val="18"/>
        </w:rPr>
        <w:t>stabilito a</w:t>
      </w:r>
      <w:r w:rsidRPr="00BF386F">
        <w:rPr>
          <w:rFonts w:ascii="Tahoma" w:hAnsi="Tahoma" w:cs="Tahoma"/>
          <w:sz w:val="18"/>
          <w:szCs w:val="18"/>
        </w:rPr>
        <w:t>l 28 febbraio.</w:t>
      </w:r>
    </w:p>
  </w:footnote>
  <w:footnote w:id="116">
    <w:p w14:paraId="00CB8BA7" w14:textId="77777777" w:rsidR="007960D5" w:rsidRPr="00DA36EF" w:rsidRDefault="007960D5" w:rsidP="00C52551">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28, D.P.R. 29 settembre 1973, n. 600.</w:t>
      </w:r>
    </w:p>
  </w:footnote>
  <w:footnote w:id="117">
    <w:p w14:paraId="1BB92C39" w14:textId="77777777" w:rsidR="007960D5" w:rsidRPr="00DA36EF" w:rsidRDefault="007960D5" w:rsidP="00C52551">
      <w:pPr>
        <w:pStyle w:val="Testonotaapidipagina"/>
        <w:spacing w:after="200"/>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Art. 11, L. 30 dicembre 1991, n. 413.</w:t>
      </w:r>
    </w:p>
  </w:footnote>
  <w:footnote w:id="118">
    <w:p w14:paraId="29E2386D" w14:textId="77777777" w:rsidR="007960D5" w:rsidRPr="00DA36EF" w:rsidRDefault="007960D5" w:rsidP="00C52551">
      <w:pPr>
        <w:pStyle w:val="Testonotaapidipagina"/>
        <w:spacing w:after="200"/>
        <w:jc w:val="both"/>
        <w:rPr>
          <w:rFonts w:ascii="Tahoma" w:hAnsi="Tahoma" w:cs="Tahoma"/>
          <w:sz w:val="18"/>
          <w:szCs w:val="18"/>
        </w:rPr>
      </w:pPr>
      <w:r w:rsidRPr="00DA36EF">
        <w:rPr>
          <w:rStyle w:val="Rimandonotaapidipagina"/>
          <w:rFonts w:ascii="Tahoma" w:hAnsi="Tahoma" w:cs="Tahoma"/>
          <w:sz w:val="18"/>
          <w:szCs w:val="18"/>
        </w:rPr>
        <w:footnoteRef/>
      </w:r>
      <w:r w:rsidRPr="00DA36EF">
        <w:rPr>
          <w:rFonts w:ascii="Tahoma" w:hAnsi="Tahoma" w:cs="Tahoma"/>
          <w:sz w:val="18"/>
          <w:szCs w:val="18"/>
        </w:rPr>
        <w:t xml:space="preserve"> Sul tema, il D.L. n. 193/2016 ha innalzato a € 30.000 la soglia di esenzione dal visto di conformità per le richieste di rimborso di crediti IVA a decorrere dalla data della sua entrata in vigore.</w:t>
      </w:r>
    </w:p>
  </w:footnote>
  <w:footnote w:id="119">
    <w:p w14:paraId="669B6D49" w14:textId="608798BF" w:rsidR="007960D5" w:rsidRPr="00DA36EF" w:rsidRDefault="007960D5" w:rsidP="00DA36EF">
      <w:pPr>
        <w:pStyle w:val="Testonotaapidipagina"/>
        <w:rPr>
          <w:rFonts w:ascii="Tahoma" w:hAnsi="Tahoma" w:cs="Tahoma"/>
          <w:sz w:val="18"/>
          <w:szCs w:val="18"/>
          <w:lang w:val="en-US"/>
        </w:rPr>
      </w:pPr>
      <w:r w:rsidRPr="00DA36EF">
        <w:rPr>
          <w:rStyle w:val="Rimandonotaapidipagina"/>
          <w:rFonts w:ascii="Tahoma" w:hAnsi="Tahoma" w:cs="Tahoma"/>
          <w:sz w:val="18"/>
          <w:szCs w:val="18"/>
        </w:rPr>
        <w:footnoteRef/>
      </w:r>
      <w:r w:rsidRPr="00DA36EF">
        <w:rPr>
          <w:rFonts w:ascii="Tahoma" w:hAnsi="Tahoma" w:cs="Tahoma"/>
          <w:sz w:val="18"/>
          <w:szCs w:val="18"/>
          <w:lang w:val="en-US"/>
        </w:rPr>
        <w:t xml:space="preserve"> A</w:t>
      </w:r>
      <w:r w:rsidRPr="00DA36EF">
        <w:rPr>
          <w:rFonts w:ascii="Tahoma" w:hAnsi="Tahoma" w:cs="Tahoma"/>
          <w:color w:val="000000"/>
          <w:sz w:val="18"/>
          <w:szCs w:val="18"/>
          <w:lang w:val="en-US"/>
        </w:rPr>
        <w:t xml:space="preserve">rt. 35, c. 1, lett. a), </w:t>
      </w:r>
      <w:r w:rsidR="001E548F" w:rsidRPr="00DA36EF">
        <w:rPr>
          <w:rFonts w:ascii="Tahoma" w:hAnsi="Tahoma" w:cs="Tahoma"/>
          <w:color w:val="000000"/>
          <w:sz w:val="18"/>
          <w:szCs w:val="18"/>
          <w:lang w:val="en-US"/>
        </w:rPr>
        <w:t>D. Lgs</w:t>
      </w:r>
      <w:r w:rsidRPr="00DA36EF">
        <w:rPr>
          <w:rFonts w:ascii="Tahoma" w:hAnsi="Tahoma" w:cs="Tahoma"/>
          <w:color w:val="000000"/>
          <w:sz w:val="18"/>
          <w:szCs w:val="18"/>
          <w:lang w:val="en-US"/>
        </w:rPr>
        <w:t>. n. 241/1997.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2F0" w14:textId="77777777" w:rsidR="007960D5" w:rsidRDefault="007960D5">
    <w:pPr>
      <w:pStyle w:val="Intestazione"/>
    </w:pPr>
    <w:r>
      <w:rPr>
        <w:smallCaps/>
        <w:noProof/>
        <w:lang w:eastAsia="it-IT"/>
      </w:rPr>
      <mc:AlternateContent>
        <mc:Choice Requires="wps">
          <w:drawing>
            <wp:anchor distT="0" distB="0" distL="114935" distR="114935" simplePos="0" relativeHeight="251657728" behindDoc="1" locked="0" layoutInCell="1" allowOverlap="1" wp14:anchorId="7814A094" wp14:editId="4A613AA3">
              <wp:simplePos x="0" y="0"/>
              <wp:positionH relativeFrom="page">
                <wp:posOffset>1033780</wp:posOffset>
              </wp:positionH>
              <wp:positionV relativeFrom="page">
                <wp:posOffset>387350</wp:posOffset>
              </wp:positionV>
              <wp:extent cx="5709285"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13A43473" w14:textId="77777777" w:rsidR="007960D5" w:rsidRDefault="007960D5">
                          <w:pPr>
                            <w:pStyle w:val="Intestazione"/>
                            <w:jc w:val="center"/>
                          </w:pPr>
                          <w:r>
                            <w:rPr>
                              <w:rFonts w:eastAsia="Minion Pro" w:cs="Tahoma"/>
                              <w:spacing w:val="-4"/>
                              <w:position w:val="1"/>
                              <w:sz w:val="18"/>
                              <w:szCs w:val="18"/>
                              <w:u w:val="single" w:color="EA5B12"/>
                            </w:rPr>
                            <w:t>MARCO PAOLINI – INTRODUZIONE ALLA REVISIONE DEI CONTI DEGLI ENTI LOCALI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4A094"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13A43473" w14:textId="77777777" w:rsidR="007960D5" w:rsidRDefault="007960D5">
                    <w:pPr>
                      <w:pStyle w:val="Intestazione"/>
                      <w:jc w:val="center"/>
                    </w:pPr>
                    <w:r>
                      <w:rPr>
                        <w:rFonts w:eastAsia="Minion Pro" w:cs="Tahoma"/>
                        <w:spacing w:val="-4"/>
                        <w:position w:val="1"/>
                        <w:sz w:val="18"/>
                        <w:szCs w:val="18"/>
                        <w:u w:val="single" w:color="EA5B12"/>
                      </w:rPr>
                      <w:t>MARCO PAOLINI – INTRODUZIONE ALLA REVISIONE DEI CONTI DEGLI ENTI LOCALI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BAE"/>
    <w:multiLevelType w:val="hybridMultilevel"/>
    <w:tmpl w:val="73A269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0963289"/>
    <w:multiLevelType w:val="hybridMultilevel"/>
    <w:tmpl w:val="014632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14C6F5D"/>
    <w:multiLevelType w:val="hybridMultilevel"/>
    <w:tmpl w:val="2CEE04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1C03EAB"/>
    <w:multiLevelType w:val="hybridMultilevel"/>
    <w:tmpl w:val="DBE6B3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1C105CB"/>
    <w:multiLevelType w:val="hybridMultilevel"/>
    <w:tmpl w:val="B734D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1FB2FC9"/>
    <w:multiLevelType w:val="hybridMultilevel"/>
    <w:tmpl w:val="F05805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28F5DDE"/>
    <w:multiLevelType w:val="hybridMultilevel"/>
    <w:tmpl w:val="9F200F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29C518E"/>
    <w:multiLevelType w:val="hybridMultilevel"/>
    <w:tmpl w:val="DF9278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2CE533E"/>
    <w:multiLevelType w:val="hybridMultilevel"/>
    <w:tmpl w:val="5EF42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3BE40BF"/>
    <w:multiLevelType w:val="hybridMultilevel"/>
    <w:tmpl w:val="30EA12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04D2130D"/>
    <w:multiLevelType w:val="hybridMultilevel"/>
    <w:tmpl w:val="20665F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52B0040"/>
    <w:multiLevelType w:val="hybridMultilevel"/>
    <w:tmpl w:val="842863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06353F35"/>
    <w:multiLevelType w:val="hybridMultilevel"/>
    <w:tmpl w:val="2090B7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07BB3FE0"/>
    <w:multiLevelType w:val="hybridMultilevel"/>
    <w:tmpl w:val="853E0E5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08BF3A96"/>
    <w:multiLevelType w:val="hybridMultilevel"/>
    <w:tmpl w:val="A6325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091931F4"/>
    <w:multiLevelType w:val="hybridMultilevel"/>
    <w:tmpl w:val="2228D5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093B45F6"/>
    <w:multiLevelType w:val="hybridMultilevel"/>
    <w:tmpl w:val="69CC4C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09F82E44"/>
    <w:multiLevelType w:val="hybridMultilevel"/>
    <w:tmpl w:val="46B2AC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A1C7729"/>
    <w:multiLevelType w:val="hybridMultilevel"/>
    <w:tmpl w:val="63B203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0B043FA4"/>
    <w:multiLevelType w:val="hybridMultilevel"/>
    <w:tmpl w:val="5C7093C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15:restartNumberingAfterBreak="0">
    <w:nsid w:val="0B7F348C"/>
    <w:multiLevelType w:val="hybridMultilevel"/>
    <w:tmpl w:val="55D687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0B817BBB"/>
    <w:multiLevelType w:val="hybridMultilevel"/>
    <w:tmpl w:val="20B051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0BA977E1"/>
    <w:multiLevelType w:val="hybridMultilevel"/>
    <w:tmpl w:val="79A674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0BAE3E9A"/>
    <w:multiLevelType w:val="hybridMultilevel"/>
    <w:tmpl w:val="9AA41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C474459"/>
    <w:multiLevelType w:val="hybridMultilevel"/>
    <w:tmpl w:val="895E5E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0CEB51C6"/>
    <w:multiLevelType w:val="hybridMultilevel"/>
    <w:tmpl w:val="E146E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D4543AA"/>
    <w:multiLevelType w:val="hybridMultilevel"/>
    <w:tmpl w:val="0E867B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0DD975F9"/>
    <w:multiLevelType w:val="hybridMultilevel"/>
    <w:tmpl w:val="36188C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0DFE0C35"/>
    <w:multiLevelType w:val="hybridMultilevel"/>
    <w:tmpl w:val="EACAC9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0F0604DA"/>
    <w:multiLevelType w:val="hybridMultilevel"/>
    <w:tmpl w:val="95D0E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F3A4989"/>
    <w:multiLevelType w:val="hybridMultilevel"/>
    <w:tmpl w:val="9B4A11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0FAD0A74"/>
    <w:multiLevelType w:val="hybridMultilevel"/>
    <w:tmpl w:val="73FCF0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10647033"/>
    <w:multiLevelType w:val="hybridMultilevel"/>
    <w:tmpl w:val="39A25A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10CC1513"/>
    <w:multiLevelType w:val="hybridMultilevel"/>
    <w:tmpl w:val="554C9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1AC294D"/>
    <w:multiLevelType w:val="hybridMultilevel"/>
    <w:tmpl w:val="432EAD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11B32565"/>
    <w:multiLevelType w:val="hybridMultilevel"/>
    <w:tmpl w:val="864EF1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2A33501"/>
    <w:multiLevelType w:val="hybridMultilevel"/>
    <w:tmpl w:val="F61E964C"/>
    <w:lvl w:ilvl="0" w:tplc="8D162802">
      <w:start w:val="2"/>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3D32D6D"/>
    <w:multiLevelType w:val="hybridMultilevel"/>
    <w:tmpl w:val="E064E3E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156E6493"/>
    <w:multiLevelType w:val="hybridMultilevel"/>
    <w:tmpl w:val="751AC4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160042FB"/>
    <w:multiLevelType w:val="hybridMultilevel"/>
    <w:tmpl w:val="B784E9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16F90B92"/>
    <w:multiLevelType w:val="hybridMultilevel"/>
    <w:tmpl w:val="2348F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73A411E"/>
    <w:multiLevelType w:val="hybridMultilevel"/>
    <w:tmpl w:val="9F868A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183849C9"/>
    <w:multiLevelType w:val="hybridMultilevel"/>
    <w:tmpl w:val="EC169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183E47E4"/>
    <w:multiLevelType w:val="hybridMultilevel"/>
    <w:tmpl w:val="755017E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1862159A"/>
    <w:multiLevelType w:val="hybridMultilevel"/>
    <w:tmpl w:val="D542E380"/>
    <w:lvl w:ilvl="0" w:tplc="04100001">
      <w:start w:val="1"/>
      <w:numFmt w:val="bullet"/>
      <w:lvlText w:val=""/>
      <w:lvlJc w:val="left"/>
      <w:pPr>
        <w:ind w:left="721" w:hanging="360"/>
      </w:pPr>
      <w:rPr>
        <w:rFonts w:ascii="Symbol" w:hAnsi="Symbo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46" w15:restartNumberingAfterBreak="0">
    <w:nsid w:val="190756CC"/>
    <w:multiLevelType w:val="hybridMultilevel"/>
    <w:tmpl w:val="2A40359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7" w15:restartNumberingAfterBreak="0">
    <w:nsid w:val="19C134D5"/>
    <w:multiLevelType w:val="hybridMultilevel"/>
    <w:tmpl w:val="242AA2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1ABA155B"/>
    <w:multiLevelType w:val="multilevel"/>
    <w:tmpl w:val="48ECD462"/>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1D72492B"/>
    <w:multiLevelType w:val="hybridMultilevel"/>
    <w:tmpl w:val="798EB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1D7674AA"/>
    <w:multiLevelType w:val="hybridMultilevel"/>
    <w:tmpl w:val="B91864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1E9A37AA"/>
    <w:multiLevelType w:val="hybridMultilevel"/>
    <w:tmpl w:val="9176E9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1F286CF1"/>
    <w:multiLevelType w:val="hybridMultilevel"/>
    <w:tmpl w:val="3196AEC6"/>
    <w:lvl w:ilvl="0" w:tplc="1D4A1F84">
      <w:numFmt w:val="bullet"/>
      <w:lvlText w:val="-"/>
      <w:lvlJc w:val="left"/>
      <w:pPr>
        <w:ind w:left="720" w:hanging="360"/>
      </w:pPr>
      <w:rPr>
        <w:rFonts w:ascii="Estrangelo Edessa" w:eastAsia="Times New Roman" w:hAnsi="Estrangelo Edess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FB10B24"/>
    <w:multiLevelType w:val="hybridMultilevel"/>
    <w:tmpl w:val="0CC41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00B7EE1"/>
    <w:multiLevelType w:val="hybridMultilevel"/>
    <w:tmpl w:val="9410A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03F42BF"/>
    <w:multiLevelType w:val="hybridMultilevel"/>
    <w:tmpl w:val="C82E10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20772D36"/>
    <w:multiLevelType w:val="hybridMultilevel"/>
    <w:tmpl w:val="8E9A43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20773548"/>
    <w:multiLevelType w:val="multilevel"/>
    <w:tmpl w:val="D4C6260C"/>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i/>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0DC4C23"/>
    <w:multiLevelType w:val="hybridMultilevel"/>
    <w:tmpl w:val="41F2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117201E"/>
    <w:multiLevelType w:val="hybridMultilevel"/>
    <w:tmpl w:val="C5C481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211D1814"/>
    <w:multiLevelType w:val="hybridMultilevel"/>
    <w:tmpl w:val="CF240E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1" w15:restartNumberingAfterBreak="0">
    <w:nsid w:val="228E5C94"/>
    <w:multiLevelType w:val="hybridMultilevel"/>
    <w:tmpl w:val="BF720C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2" w15:restartNumberingAfterBreak="0">
    <w:nsid w:val="22C05649"/>
    <w:multiLevelType w:val="hybridMultilevel"/>
    <w:tmpl w:val="E73EF152"/>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232C7BCC"/>
    <w:multiLevelType w:val="hybridMultilevel"/>
    <w:tmpl w:val="31FCF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15:restartNumberingAfterBreak="0">
    <w:nsid w:val="23EC3F16"/>
    <w:multiLevelType w:val="hybridMultilevel"/>
    <w:tmpl w:val="FE189B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23FA5CB2"/>
    <w:multiLevelType w:val="hybridMultilevel"/>
    <w:tmpl w:val="CAF24B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6" w15:restartNumberingAfterBreak="0">
    <w:nsid w:val="24144AE8"/>
    <w:multiLevelType w:val="hybridMultilevel"/>
    <w:tmpl w:val="B300873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7" w15:restartNumberingAfterBreak="0">
    <w:nsid w:val="25271427"/>
    <w:multiLevelType w:val="hybridMultilevel"/>
    <w:tmpl w:val="805847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15:restartNumberingAfterBreak="0">
    <w:nsid w:val="25417AF7"/>
    <w:multiLevelType w:val="hybridMultilevel"/>
    <w:tmpl w:val="5900B2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25A5757F"/>
    <w:multiLevelType w:val="hybridMultilevel"/>
    <w:tmpl w:val="D4901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5B41D8B"/>
    <w:multiLevelType w:val="hybridMultilevel"/>
    <w:tmpl w:val="17706B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25F25E7C"/>
    <w:multiLevelType w:val="hybridMultilevel"/>
    <w:tmpl w:val="1102B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26A70F31"/>
    <w:multiLevelType w:val="hybridMultilevel"/>
    <w:tmpl w:val="967CC0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70D460C"/>
    <w:multiLevelType w:val="hybridMultilevel"/>
    <w:tmpl w:val="F8243E8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4" w15:restartNumberingAfterBreak="0">
    <w:nsid w:val="276A4D47"/>
    <w:multiLevelType w:val="hybridMultilevel"/>
    <w:tmpl w:val="BB1E1B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5" w15:restartNumberingAfterBreak="0">
    <w:nsid w:val="27FC27DA"/>
    <w:multiLevelType w:val="hybridMultilevel"/>
    <w:tmpl w:val="21644B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288C4F9B"/>
    <w:multiLevelType w:val="hybridMultilevel"/>
    <w:tmpl w:val="89609A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7" w15:restartNumberingAfterBreak="0">
    <w:nsid w:val="28B44020"/>
    <w:multiLevelType w:val="hybridMultilevel"/>
    <w:tmpl w:val="A45AA1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95A2C9B"/>
    <w:multiLevelType w:val="hybridMultilevel"/>
    <w:tmpl w:val="A9BAC4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9" w15:restartNumberingAfterBreak="0">
    <w:nsid w:val="2A0546F9"/>
    <w:multiLevelType w:val="hybridMultilevel"/>
    <w:tmpl w:val="1AEE8D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B0512CF"/>
    <w:multiLevelType w:val="hybridMultilevel"/>
    <w:tmpl w:val="81AAC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2B3D7F11"/>
    <w:multiLevelType w:val="hybridMultilevel"/>
    <w:tmpl w:val="09D6A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B4F40A8"/>
    <w:multiLevelType w:val="hybridMultilevel"/>
    <w:tmpl w:val="4DC27A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3" w15:restartNumberingAfterBreak="0">
    <w:nsid w:val="2BA1765D"/>
    <w:multiLevelType w:val="hybridMultilevel"/>
    <w:tmpl w:val="320A0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BD82B08"/>
    <w:multiLevelType w:val="hybridMultilevel"/>
    <w:tmpl w:val="1FCAD5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2BF755E4"/>
    <w:multiLevelType w:val="hybridMultilevel"/>
    <w:tmpl w:val="A29A5C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6" w15:restartNumberingAfterBreak="0">
    <w:nsid w:val="2C090B8A"/>
    <w:multiLevelType w:val="hybridMultilevel"/>
    <w:tmpl w:val="C096AD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7" w15:restartNumberingAfterBreak="0">
    <w:nsid w:val="2D8C0F80"/>
    <w:multiLevelType w:val="hybridMultilevel"/>
    <w:tmpl w:val="B08A21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8" w15:restartNumberingAfterBreak="0">
    <w:nsid w:val="2DD17683"/>
    <w:multiLevelType w:val="hybridMultilevel"/>
    <w:tmpl w:val="89227B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9" w15:restartNumberingAfterBreak="0">
    <w:nsid w:val="2DDE5A3E"/>
    <w:multiLevelType w:val="hybridMultilevel"/>
    <w:tmpl w:val="9E3E59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0" w15:restartNumberingAfterBreak="0">
    <w:nsid w:val="2E117828"/>
    <w:multiLevelType w:val="hybridMultilevel"/>
    <w:tmpl w:val="E94E18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1" w15:restartNumberingAfterBreak="0">
    <w:nsid w:val="2E496820"/>
    <w:multiLevelType w:val="hybridMultilevel"/>
    <w:tmpl w:val="A38015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2E995077"/>
    <w:multiLevelType w:val="hybridMultilevel"/>
    <w:tmpl w:val="32C05A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3" w15:restartNumberingAfterBreak="0">
    <w:nsid w:val="2EF65B00"/>
    <w:multiLevelType w:val="hybridMultilevel"/>
    <w:tmpl w:val="C2FCB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2FEB09A2"/>
    <w:multiLevelType w:val="hybridMultilevel"/>
    <w:tmpl w:val="60EC96D4"/>
    <w:lvl w:ilvl="0" w:tplc="FD5AF540">
      <w:start w:val="12"/>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FF10049"/>
    <w:multiLevelType w:val="hybridMultilevel"/>
    <w:tmpl w:val="2D52F4E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6" w15:restartNumberingAfterBreak="0">
    <w:nsid w:val="30D51174"/>
    <w:multiLevelType w:val="hybridMultilevel"/>
    <w:tmpl w:val="991A10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7" w15:restartNumberingAfterBreak="0">
    <w:nsid w:val="32326A0B"/>
    <w:multiLevelType w:val="hybridMultilevel"/>
    <w:tmpl w:val="08808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23423CE"/>
    <w:multiLevelType w:val="hybridMultilevel"/>
    <w:tmpl w:val="DA7A0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9" w15:restartNumberingAfterBreak="0">
    <w:nsid w:val="325939DC"/>
    <w:multiLevelType w:val="hybridMultilevel"/>
    <w:tmpl w:val="DC0EC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2726BCF"/>
    <w:multiLevelType w:val="hybridMultilevel"/>
    <w:tmpl w:val="5EE848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33BB4D98"/>
    <w:multiLevelType w:val="hybridMultilevel"/>
    <w:tmpl w:val="F69684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15:restartNumberingAfterBreak="0">
    <w:nsid w:val="343932B0"/>
    <w:multiLevelType w:val="hybridMultilevel"/>
    <w:tmpl w:val="7BC83E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3" w15:restartNumberingAfterBreak="0">
    <w:nsid w:val="35967581"/>
    <w:multiLevelType w:val="hybridMultilevel"/>
    <w:tmpl w:val="50009DFA"/>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4" w15:restartNumberingAfterBreak="0">
    <w:nsid w:val="35B93F7B"/>
    <w:multiLevelType w:val="hybridMultilevel"/>
    <w:tmpl w:val="7DA8F7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5" w15:restartNumberingAfterBreak="0">
    <w:nsid w:val="35E01FC1"/>
    <w:multiLevelType w:val="hybridMultilevel"/>
    <w:tmpl w:val="E9060C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6" w15:restartNumberingAfterBreak="0">
    <w:nsid w:val="36312C6B"/>
    <w:multiLevelType w:val="hybridMultilevel"/>
    <w:tmpl w:val="926E27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7" w15:restartNumberingAfterBreak="0">
    <w:nsid w:val="37EF03E4"/>
    <w:multiLevelType w:val="hybridMultilevel"/>
    <w:tmpl w:val="BF48A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8914BFA"/>
    <w:multiLevelType w:val="hybridMultilevel"/>
    <w:tmpl w:val="1876A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B60013B"/>
    <w:multiLevelType w:val="hybridMultilevel"/>
    <w:tmpl w:val="D1C295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0" w15:restartNumberingAfterBreak="0">
    <w:nsid w:val="3C1D59C9"/>
    <w:multiLevelType w:val="hybridMultilevel"/>
    <w:tmpl w:val="9C1209F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1" w15:restartNumberingAfterBreak="0">
    <w:nsid w:val="3D0F2A43"/>
    <w:multiLevelType w:val="hybridMultilevel"/>
    <w:tmpl w:val="177067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2" w15:restartNumberingAfterBreak="0">
    <w:nsid w:val="3D1330D6"/>
    <w:multiLevelType w:val="hybridMultilevel"/>
    <w:tmpl w:val="6980C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D7D36F1"/>
    <w:multiLevelType w:val="hybridMultilevel"/>
    <w:tmpl w:val="11FA23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4" w15:restartNumberingAfterBreak="0">
    <w:nsid w:val="3DCB4D85"/>
    <w:multiLevelType w:val="hybridMultilevel"/>
    <w:tmpl w:val="360E47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5" w15:restartNumberingAfterBreak="0">
    <w:nsid w:val="3DE11C56"/>
    <w:multiLevelType w:val="hybridMultilevel"/>
    <w:tmpl w:val="A7F4A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3DE5382B"/>
    <w:multiLevelType w:val="hybridMultilevel"/>
    <w:tmpl w:val="EFD8E4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7" w15:restartNumberingAfterBreak="0">
    <w:nsid w:val="3DE81D5D"/>
    <w:multiLevelType w:val="hybridMultilevel"/>
    <w:tmpl w:val="80DA9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E1E5289"/>
    <w:multiLevelType w:val="hybridMultilevel"/>
    <w:tmpl w:val="42FC2B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9" w15:restartNumberingAfterBreak="0">
    <w:nsid w:val="3F2F3AE0"/>
    <w:multiLevelType w:val="hybridMultilevel"/>
    <w:tmpl w:val="C88AD0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407B7535"/>
    <w:multiLevelType w:val="hybridMultilevel"/>
    <w:tmpl w:val="9B104D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1" w15:restartNumberingAfterBreak="0">
    <w:nsid w:val="4086254F"/>
    <w:multiLevelType w:val="hybridMultilevel"/>
    <w:tmpl w:val="0BE005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2" w15:restartNumberingAfterBreak="0">
    <w:nsid w:val="41970C22"/>
    <w:multiLevelType w:val="hybridMultilevel"/>
    <w:tmpl w:val="6A9082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429928D8"/>
    <w:multiLevelType w:val="hybridMultilevel"/>
    <w:tmpl w:val="2788D4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4" w15:restartNumberingAfterBreak="0">
    <w:nsid w:val="43764F5E"/>
    <w:multiLevelType w:val="hybridMultilevel"/>
    <w:tmpl w:val="3C784F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5" w15:restartNumberingAfterBreak="0">
    <w:nsid w:val="43EC0860"/>
    <w:multiLevelType w:val="hybridMultilevel"/>
    <w:tmpl w:val="062E60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6" w15:restartNumberingAfterBreak="0">
    <w:nsid w:val="464620ED"/>
    <w:multiLevelType w:val="hybridMultilevel"/>
    <w:tmpl w:val="CF8AA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46574CEF"/>
    <w:multiLevelType w:val="multilevel"/>
    <w:tmpl w:val="DAAA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78B5991"/>
    <w:multiLevelType w:val="hybridMultilevel"/>
    <w:tmpl w:val="B4CEC2E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9" w15:restartNumberingAfterBreak="0">
    <w:nsid w:val="479B51BC"/>
    <w:multiLevelType w:val="hybridMultilevel"/>
    <w:tmpl w:val="4EB006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7AD0525"/>
    <w:multiLevelType w:val="multilevel"/>
    <w:tmpl w:val="DAAA5A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15:restartNumberingAfterBreak="0">
    <w:nsid w:val="47CA5431"/>
    <w:multiLevelType w:val="hybridMultilevel"/>
    <w:tmpl w:val="5588A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2" w15:restartNumberingAfterBreak="0">
    <w:nsid w:val="47EA3275"/>
    <w:multiLevelType w:val="hybridMultilevel"/>
    <w:tmpl w:val="DE60A7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3" w15:restartNumberingAfterBreak="0">
    <w:nsid w:val="48117CBF"/>
    <w:multiLevelType w:val="hybridMultilevel"/>
    <w:tmpl w:val="F66E80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48134E8A"/>
    <w:multiLevelType w:val="hybridMultilevel"/>
    <w:tmpl w:val="C5A87484"/>
    <w:lvl w:ilvl="0" w:tplc="8D162802">
      <w:start w:val="2"/>
      <w:numFmt w:val="bullet"/>
      <w:lvlText w:val="-"/>
      <w:lvlJc w:val="left"/>
      <w:pPr>
        <w:ind w:left="970" w:hanging="360"/>
      </w:pPr>
      <w:rPr>
        <w:rFonts w:ascii="Tahoma" w:eastAsia="Calibri" w:hAnsi="Tahoma" w:cs="Tahoma" w:hint="default"/>
      </w:rPr>
    </w:lvl>
    <w:lvl w:ilvl="1" w:tplc="04100001">
      <w:start w:val="1"/>
      <w:numFmt w:val="bullet"/>
      <w:lvlText w:val=""/>
      <w:lvlJc w:val="left"/>
      <w:pPr>
        <w:ind w:left="1690" w:hanging="360"/>
      </w:pPr>
      <w:rPr>
        <w:rFonts w:ascii="Symbol" w:hAnsi="Symbol" w:hint="default"/>
      </w:rPr>
    </w:lvl>
    <w:lvl w:ilvl="2" w:tplc="04100005" w:tentative="1">
      <w:start w:val="1"/>
      <w:numFmt w:val="bullet"/>
      <w:lvlText w:val=""/>
      <w:lvlJc w:val="left"/>
      <w:pPr>
        <w:ind w:left="2410" w:hanging="360"/>
      </w:pPr>
      <w:rPr>
        <w:rFonts w:ascii="Wingdings" w:hAnsi="Wingdings" w:hint="default"/>
      </w:rPr>
    </w:lvl>
    <w:lvl w:ilvl="3" w:tplc="04100001" w:tentative="1">
      <w:start w:val="1"/>
      <w:numFmt w:val="bullet"/>
      <w:lvlText w:val=""/>
      <w:lvlJc w:val="left"/>
      <w:pPr>
        <w:ind w:left="3130" w:hanging="360"/>
      </w:pPr>
      <w:rPr>
        <w:rFonts w:ascii="Symbol" w:hAnsi="Symbol" w:hint="default"/>
      </w:rPr>
    </w:lvl>
    <w:lvl w:ilvl="4" w:tplc="04100003" w:tentative="1">
      <w:start w:val="1"/>
      <w:numFmt w:val="bullet"/>
      <w:lvlText w:val="o"/>
      <w:lvlJc w:val="left"/>
      <w:pPr>
        <w:ind w:left="3850" w:hanging="360"/>
      </w:pPr>
      <w:rPr>
        <w:rFonts w:ascii="Courier New" w:hAnsi="Courier New" w:cs="Courier New" w:hint="default"/>
      </w:rPr>
    </w:lvl>
    <w:lvl w:ilvl="5" w:tplc="04100005" w:tentative="1">
      <w:start w:val="1"/>
      <w:numFmt w:val="bullet"/>
      <w:lvlText w:val=""/>
      <w:lvlJc w:val="left"/>
      <w:pPr>
        <w:ind w:left="4570" w:hanging="360"/>
      </w:pPr>
      <w:rPr>
        <w:rFonts w:ascii="Wingdings" w:hAnsi="Wingdings" w:hint="default"/>
      </w:rPr>
    </w:lvl>
    <w:lvl w:ilvl="6" w:tplc="04100001" w:tentative="1">
      <w:start w:val="1"/>
      <w:numFmt w:val="bullet"/>
      <w:lvlText w:val=""/>
      <w:lvlJc w:val="left"/>
      <w:pPr>
        <w:ind w:left="5290" w:hanging="360"/>
      </w:pPr>
      <w:rPr>
        <w:rFonts w:ascii="Symbol" w:hAnsi="Symbol" w:hint="default"/>
      </w:rPr>
    </w:lvl>
    <w:lvl w:ilvl="7" w:tplc="04100003" w:tentative="1">
      <w:start w:val="1"/>
      <w:numFmt w:val="bullet"/>
      <w:lvlText w:val="o"/>
      <w:lvlJc w:val="left"/>
      <w:pPr>
        <w:ind w:left="6010" w:hanging="360"/>
      </w:pPr>
      <w:rPr>
        <w:rFonts w:ascii="Courier New" w:hAnsi="Courier New" w:cs="Courier New" w:hint="default"/>
      </w:rPr>
    </w:lvl>
    <w:lvl w:ilvl="8" w:tplc="04100005" w:tentative="1">
      <w:start w:val="1"/>
      <w:numFmt w:val="bullet"/>
      <w:lvlText w:val=""/>
      <w:lvlJc w:val="left"/>
      <w:pPr>
        <w:ind w:left="6730" w:hanging="360"/>
      </w:pPr>
      <w:rPr>
        <w:rFonts w:ascii="Wingdings" w:hAnsi="Wingdings" w:hint="default"/>
      </w:rPr>
    </w:lvl>
  </w:abstractNum>
  <w:abstractNum w:abstractNumId="135" w15:restartNumberingAfterBreak="0">
    <w:nsid w:val="48967531"/>
    <w:multiLevelType w:val="hybridMultilevel"/>
    <w:tmpl w:val="9634F6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6" w15:restartNumberingAfterBreak="0">
    <w:nsid w:val="489A792C"/>
    <w:multiLevelType w:val="hybridMultilevel"/>
    <w:tmpl w:val="C3DA2D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7" w15:restartNumberingAfterBreak="0">
    <w:nsid w:val="49300708"/>
    <w:multiLevelType w:val="hybridMultilevel"/>
    <w:tmpl w:val="F56CEC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8" w15:restartNumberingAfterBreak="0">
    <w:nsid w:val="497A0BB2"/>
    <w:multiLevelType w:val="hybridMultilevel"/>
    <w:tmpl w:val="C942A2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9" w15:restartNumberingAfterBreak="0">
    <w:nsid w:val="4A0140D4"/>
    <w:multiLevelType w:val="hybridMultilevel"/>
    <w:tmpl w:val="8D3257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0" w15:restartNumberingAfterBreak="0">
    <w:nsid w:val="4A2C5179"/>
    <w:multiLevelType w:val="multilevel"/>
    <w:tmpl w:val="DAAA5A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4A7E7FDE"/>
    <w:multiLevelType w:val="hybridMultilevel"/>
    <w:tmpl w:val="9D28A6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2" w15:restartNumberingAfterBreak="0">
    <w:nsid w:val="4AA31DB7"/>
    <w:multiLevelType w:val="hybridMultilevel"/>
    <w:tmpl w:val="462A4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4AE2149C"/>
    <w:multiLevelType w:val="hybridMultilevel"/>
    <w:tmpl w:val="CF520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AEA46AB"/>
    <w:multiLevelType w:val="hybridMultilevel"/>
    <w:tmpl w:val="9CA857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5" w15:restartNumberingAfterBreak="0">
    <w:nsid w:val="4DAB6D81"/>
    <w:multiLevelType w:val="hybridMultilevel"/>
    <w:tmpl w:val="7AC65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4DB14495"/>
    <w:multiLevelType w:val="hybridMultilevel"/>
    <w:tmpl w:val="A496A5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7" w15:restartNumberingAfterBreak="0">
    <w:nsid w:val="4DDD511D"/>
    <w:multiLevelType w:val="hybridMultilevel"/>
    <w:tmpl w:val="2E7A67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8" w15:restartNumberingAfterBreak="0">
    <w:nsid w:val="4E80504A"/>
    <w:multiLevelType w:val="hybridMultilevel"/>
    <w:tmpl w:val="BD9E04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9" w15:restartNumberingAfterBreak="0">
    <w:nsid w:val="4E9320BF"/>
    <w:multiLevelType w:val="hybridMultilevel"/>
    <w:tmpl w:val="F3D6F2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0" w15:restartNumberingAfterBreak="0">
    <w:nsid w:val="4EDF175B"/>
    <w:multiLevelType w:val="hybridMultilevel"/>
    <w:tmpl w:val="4B3A7F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1" w15:restartNumberingAfterBreak="0">
    <w:nsid w:val="4F02330B"/>
    <w:multiLevelType w:val="hybridMultilevel"/>
    <w:tmpl w:val="BAEA4D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2" w15:restartNumberingAfterBreak="0">
    <w:nsid w:val="4F716435"/>
    <w:multiLevelType w:val="hybridMultilevel"/>
    <w:tmpl w:val="02B07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4FBC2B38"/>
    <w:multiLevelType w:val="hybridMultilevel"/>
    <w:tmpl w:val="64A43D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4FC574F3"/>
    <w:multiLevelType w:val="hybridMultilevel"/>
    <w:tmpl w:val="E4868B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5" w15:restartNumberingAfterBreak="0">
    <w:nsid w:val="50395CC4"/>
    <w:multiLevelType w:val="hybridMultilevel"/>
    <w:tmpl w:val="3AC864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6" w15:restartNumberingAfterBreak="0">
    <w:nsid w:val="50C4471F"/>
    <w:multiLevelType w:val="hybridMultilevel"/>
    <w:tmpl w:val="435A6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50E64B8D"/>
    <w:multiLevelType w:val="hybridMultilevel"/>
    <w:tmpl w:val="3D2AE5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8" w15:restartNumberingAfterBreak="0">
    <w:nsid w:val="51FE538C"/>
    <w:multiLevelType w:val="hybridMultilevel"/>
    <w:tmpl w:val="CE66D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9" w15:restartNumberingAfterBreak="0">
    <w:nsid w:val="52886E81"/>
    <w:multiLevelType w:val="hybridMultilevel"/>
    <w:tmpl w:val="224E5E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0" w15:restartNumberingAfterBreak="0">
    <w:nsid w:val="52E611B7"/>
    <w:multiLevelType w:val="hybridMultilevel"/>
    <w:tmpl w:val="5F7C96D0"/>
    <w:lvl w:ilvl="0" w:tplc="04100001">
      <w:start w:val="1"/>
      <w:numFmt w:val="bullet"/>
      <w:lvlText w:val=""/>
      <w:lvlJc w:val="left"/>
      <w:pPr>
        <w:ind w:left="-665" w:hanging="360"/>
      </w:pPr>
      <w:rPr>
        <w:rFonts w:ascii="Symbol" w:hAnsi="Symbol" w:hint="default"/>
      </w:rPr>
    </w:lvl>
    <w:lvl w:ilvl="1" w:tplc="04100003" w:tentative="1">
      <w:start w:val="1"/>
      <w:numFmt w:val="bullet"/>
      <w:lvlText w:val="o"/>
      <w:lvlJc w:val="left"/>
      <w:pPr>
        <w:ind w:left="-305" w:hanging="360"/>
      </w:pPr>
      <w:rPr>
        <w:rFonts w:ascii="Courier New" w:hAnsi="Courier New" w:cs="Courier New" w:hint="default"/>
      </w:rPr>
    </w:lvl>
    <w:lvl w:ilvl="2" w:tplc="04100005" w:tentative="1">
      <w:start w:val="1"/>
      <w:numFmt w:val="bullet"/>
      <w:lvlText w:val=""/>
      <w:lvlJc w:val="left"/>
      <w:pPr>
        <w:ind w:left="415" w:hanging="360"/>
      </w:pPr>
      <w:rPr>
        <w:rFonts w:ascii="Wingdings" w:hAnsi="Wingdings" w:hint="default"/>
      </w:rPr>
    </w:lvl>
    <w:lvl w:ilvl="3" w:tplc="04100001" w:tentative="1">
      <w:start w:val="1"/>
      <w:numFmt w:val="bullet"/>
      <w:lvlText w:val=""/>
      <w:lvlJc w:val="left"/>
      <w:pPr>
        <w:ind w:left="1135" w:hanging="360"/>
      </w:pPr>
      <w:rPr>
        <w:rFonts w:ascii="Symbol" w:hAnsi="Symbol" w:hint="default"/>
      </w:rPr>
    </w:lvl>
    <w:lvl w:ilvl="4" w:tplc="04100003" w:tentative="1">
      <w:start w:val="1"/>
      <w:numFmt w:val="bullet"/>
      <w:lvlText w:val="o"/>
      <w:lvlJc w:val="left"/>
      <w:pPr>
        <w:ind w:left="1855" w:hanging="360"/>
      </w:pPr>
      <w:rPr>
        <w:rFonts w:ascii="Courier New" w:hAnsi="Courier New" w:cs="Courier New" w:hint="default"/>
      </w:rPr>
    </w:lvl>
    <w:lvl w:ilvl="5" w:tplc="04100005" w:tentative="1">
      <w:start w:val="1"/>
      <w:numFmt w:val="bullet"/>
      <w:lvlText w:val=""/>
      <w:lvlJc w:val="left"/>
      <w:pPr>
        <w:ind w:left="2575" w:hanging="360"/>
      </w:pPr>
      <w:rPr>
        <w:rFonts w:ascii="Wingdings" w:hAnsi="Wingdings" w:hint="default"/>
      </w:rPr>
    </w:lvl>
    <w:lvl w:ilvl="6" w:tplc="04100001" w:tentative="1">
      <w:start w:val="1"/>
      <w:numFmt w:val="bullet"/>
      <w:lvlText w:val=""/>
      <w:lvlJc w:val="left"/>
      <w:pPr>
        <w:ind w:left="3295" w:hanging="360"/>
      </w:pPr>
      <w:rPr>
        <w:rFonts w:ascii="Symbol" w:hAnsi="Symbol" w:hint="default"/>
      </w:rPr>
    </w:lvl>
    <w:lvl w:ilvl="7" w:tplc="04100003" w:tentative="1">
      <w:start w:val="1"/>
      <w:numFmt w:val="bullet"/>
      <w:lvlText w:val="o"/>
      <w:lvlJc w:val="left"/>
      <w:pPr>
        <w:ind w:left="4015" w:hanging="360"/>
      </w:pPr>
      <w:rPr>
        <w:rFonts w:ascii="Courier New" w:hAnsi="Courier New" w:cs="Courier New" w:hint="default"/>
      </w:rPr>
    </w:lvl>
    <w:lvl w:ilvl="8" w:tplc="04100005" w:tentative="1">
      <w:start w:val="1"/>
      <w:numFmt w:val="bullet"/>
      <w:lvlText w:val=""/>
      <w:lvlJc w:val="left"/>
      <w:pPr>
        <w:ind w:left="4735" w:hanging="360"/>
      </w:pPr>
      <w:rPr>
        <w:rFonts w:ascii="Wingdings" w:hAnsi="Wingdings" w:hint="default"/>
      </w:rPr>
    </w:lvl>
  </w:abstractNum>
  <w:abstractNum w:abstractNumId="161" w15:restartNumberingAfterBreak="0">
    <w:nsid w:val="53A94AF2"/>
    <w:multiLevelType w:val="hybridMultilevel"/>
    <w:tmpl w:val="F230C3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3CE4546"/>
    <w:multiLevelType w:val="hybridMultilevel"/>
    <w:tmpl w:val="84DC89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3" w15:restartNumberingAfterBreak="0">
    <w:nsid w:val="544E7C6E"/>
    <w:multiLevelType w:val="hybridMultilevel"/>
    <w:tmpl w:val="CE2C01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4" w15:restartNumberingAfterBreak="0">
    <w:nsid w:val="546A2BF8"/>
    <w:multiLevelType w:val="hybridMultilevel"/>
    <w:tmpl w:val="ECC4AA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5" w15:restartNumberingAfterBreak="0">
    <w:nsid w:val="54B72FEE"/>
    <w:multiLevelType w:val="hybridMultilevel"/>
    <w:tmpl w:val="F4BC7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54EF2EA5"/>
    <w:multiLevelType w:val="hybridMultilevel"/>
    <w:tmpl w:val="49B06C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7" w15:restartNumberingAfterBreak="0">
    <w:nsid w:val="56A53E4D"/>
    <w:multiLevelType w:val="hybridMultilevel"/>
    <w:tmpl w:val="92987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56D276A8"/>
    <w:multiLevelType w:val="hybridMultilevel"/>
    <w:tmpl w:val="C5EEC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584226D1"/>
    <w:multiLevelType w:val="hybridMultilevel"/>
    <w:tmpl w:val="D92C281E"/>
    <w:lvl w:ilvl="0" w:tplc="85AA38E2">
      <w:start w:val="1"/>
      <w:numFmt w:val="lowerLetter"/>
      <w:lvlText w:val="%1)"/>
      <w:lvlJc w:val="left"/>
      <w:pPr>
        <w:ind w:left="1293" w:hanging="360"/>
      </w:pPr>
      <w:rPr>
        <w:rFonts w:ascii="Tahoma" w:eastAsia="Calibri" w:hAnsi="Tahoma" w:cs="Times New Roman"/>
      </w:rPr>
    </w:lvl>
    <w:lvl w:ilvl="1" w:tplc="04100019" w:tentative="1">
      <w:start w:val="1"/>
      <w:numFmt w:val="lowerLetter"/>
      <w:lvlText w:val="%2."/>
      <w:lvlJc w:val="left"/>
      <w:pPr>
        <w:ind w:left="2013" w:hanging="360"/>
      </w:pPr>
    </w:lvl>
    <w:lvl w:ilvl="2" w:tplc="0410001B" w:tentative="1">
      <w:start w:val="1"/>
      <w:numFmt w:val="lowerRoman"/>
      <w:lvlText w:val="%3."/>
      <w:lvlJc w:val="right"/>
      <w:pPr>
        <w:ind w:left="2733" w:hanging="180"/>
      </w:pPr>
    </w:lvl>
    <w:lvl w:ilvl="3" w:tplc="0410000F" w:tentative="1">
      <w:start w:val="1"/>
      <w:numFmt w:val="decimal"/>
      <w:lvlText w:val="%4."/>
      <w:lvlJc w:val="left"/>
      <w:pPr>
        <w:ind w:left="3453" w:hanging="360"/>
      </w:pPr>
    </w:lvl>
    <w:lvl w:ilvl="4" w:tplc="04100019" w:tentative="1">
      <w:start w:val="1"/>
      <w:numFmt w:val="lowerLetter"/>
      <w:lvlText w:val="%5."/>
      <w:lvlJc w:val="left"/>
      <w:pPr>
        <w:ind w:left="4173" w:hanging="360"/>
      </w:pPr>
    </w:lvl>
    <w:lvl w:ilvl="5" w:tplc="0410001B" w:tentative="1">
      <w:start w:val="1"/>
      <w:numFmt w:val="lowerRoman"/>
      <w:lvlText w:val="%6."/>
      <w:lvlJc w:val="right"/>
      <w:pPr>
        <w:ind w:left="4893" w:hanging="180"/>
      </w:pPr>
    </w:lvl>
    <w:lvl w:ilvl="6" w:tplc="0410000F" w:tentative="1">
      <w:start w:val="1"/>
      <w:numFmt w:val="decimal"/>
      <w:lvlText w:val="%7."/>
      <w:lvlJc w:val="left"/>
      <w:pPr>
        <w:ind w:left="5613" w:hanging="360"/>
      </w:pPr>
    </w:lvl>
    <w:lvl w:ilvl="7" w:tplc="04100019" w:tentative="1">
      <w:start w:val="1"/>
      <w:numFmt w:val="lowerLetter"/>
      <w:lvlText w:val="%8."/>
      <w:lvlJc w:val="left"/>
      <w:pPr>
        <w:ind w:left="6333" w:hanging="360"/>
      </w:pPr>
    </w:lvl>
    <w:lvl w:ilvl="8" w:tplc="0410001B" w:tentative="1">
      <w:start w:val="1"/>
      <w:numFmt w:val="lowerRoman"/>
      <w:lvlText w:val="%9."/>
      <w:lvlJc w:val="right"/>
      <w:pPr>
        <w:ind w:left="7053" w:hanging="180"/>
      </w:pPr>
    </w:lvl>
  </w:abstractNum>
  <w:abstractNum w:abstractNumId="170" w15:restartNumberingAfterBreak="0">
    <w:nsid w:val="5B1B70A8"/>
    <w:multiLevelType w:val="hybridMultilevel"/>
    <w:tmpl w:val="4DCA97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1" w15:restartNumberingAfterBreak="0">
    <w:nsid w:val="5B621AB8"/>
    <w:multiLevelType w:val="hybridMultilevel"/>
    <w:tmpl w:val="57E456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2" w15:restartNumberingAfterBreak="0">
    <w:nsid w:val="5B6877EF"/>
    <w:multiLevelType w:val="hybridMultilevel"/>
    <w:tmpl w:val="D7743B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3" w15:restartNumberingAfterBreak="0">
    <w:nsid w:val="5B6D28B8"/>
    <w:multiLevelType w:val="hybridMultilevel"/>
    <w:tmpl w:val="A4B4FA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4" w15:restartNumberingAfterBreak="0">
    <w:nsid w:val="5C272071"/>
    <w:multiLevelType w:val="multilevel"/>
    <w:tmpl w:val="9106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C3F25EA"/>
    <w:multiLevelType w:val="hybridMultilevel"/>
    <w:tmpl w:val="37F651BC"/>
    <w:lvl w:ilvl="0" w:tplc="04100017">
      <w:start w:val="1"/>
      <w:numFmt w:val="lowerLetter"/>
      <w:lvlText w:val="%1)"/>
      <w:lvlJc w:val="left"/>
      <w:pPr>
        <w:ind w:left="360" w:hanging="360"/>
      </w:pPr>
    </w:lvl>
    <w:lvl w:ilvl="1" w:tplc="EE5E5436">
      <w:start w:val="1"/>
      <w:numFmt w:val="decimal"/>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6" w15:restartNumberingAfterBreak="0">
    <w:nsid w:val="5CC544B2"/>
    <w:multiLevelType w:val="multilevel"/>
    <w:tmpl w:val="6594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CFE3EC6"/>
    <w:multiLevelType w:val="hybridMultilevel"/>
    <w:tmpl w:val="DF3462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8" w15:restartNumberingAfterBreak="0">
    <w:nsid w:val="5D5017C8"/>
    <w:multiLevelType w:val="hybridMultilevel"/>
    <w:tmpl w:val="FCAE50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9" w15:restartNumberingAfterBreak="0">
    <w:nsid w:val="5E2465CC"/>
    <w:multiLevelType w:val="multilevel"/>
    <w:tmpl w:val="DAAA5A94"/>
    <w:lvl w:ilvl="0">
      <w:start w:val="1"/>
      <w:numFmt w:val="bullet"/>
      <w:lvlText w:val=""/>
      <w:lvlJc w:val="left"/>
      <w:pPr>
        <w:tabs>
          <w:tab w:val="num" w:pos="363"/>
        </w:tabs>
        <w:ind w:left="363" w:hanging="360"/>
      </w:pPr>
      <w:rPr>
        <w:rFonts w:ascii="Symbol" w:hAnsi="Symbol" w:hint="default"/>
        <w:sz w:val="20"/>
      </w:rPr>
    </w:lvl>
    <w:lvl w:ilvl="1">
      <w:start w:val="1"/>
      <w:numFmt w:val="bullet"/>
      <w:lvlText w:val=""/>
      <w:lvlJc w:val="left"/>
      <w:pPr>
        <w:tabs>
          <w:tab w:val="num" w:pos="1083"/>
        </w:tabs>
        <w:ind w:left="1083" w:hanging="360"/>
      </w:pPr>
      <w:rPr>
        <w:rFonts w:ascii="Wingdings" w:hAnsi="Wingdings"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80" w15:restartNumberingAfterBreak="0">
    <w:nsid w:val="5EF22843"/>
    <w:multiLevelType w:val="hybridMultilevel"/>
    <w:tmpl w:val="97843B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1" w15:restartNumberingAfterBreak="0">
    <w:nsid w:val="5FF577D7"/>
    <w:multiLevelType w:val="hybridMultilevel"/>
    <w:tmpl w:val="7FF670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2" w15:restartNumberingAfterBreak="0">
    <w:nsid w:val="60090B92"/>
    <w:multiLevelType w:val="hybridMultilevel"/>
    <w:tmpl w:val="3092BC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3" w15:restartNumberingAfterBreak="0">
    <w:nsid w:val="601C6FD2"/>
    <w:multiLevelType w:val="hybridMultilevel"/>
    <w:tmpl w:val="558EAE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4" w15:restartNumberingAfterBreak="0">
    <w:nsid w:val="606F3CE9"/>
    <w:multiLevelType w:val="hybridMultilevel"/>
    <w:tmpl w:val="FA842B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15:restartNumberingAfterBreak="0">
    <w:nsid w:val="61780D80"/>
    <w:multiLevelType w:val="hybridMultilevel"/>
    <w:tmpl w:val="16EEE7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6" w15:restartNumberingAfterBreak="0">
    <w:nsid w:val="61E01D60"/>
    <w:multiLevelType w:val="hybridMultilevel"/>
    <w:tmpl w:val="4E9AEE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7" w15:restartNumberingAfterBreak="0">
    <w:nsid w:val="61FB1F11"/>
    <w:multiLevelType w:val="hybridMultilevel"/>
    <w:tmpl w:val="0D8635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8" w15:restartNumberingAfterBreak="0">
    <w:nsid w:val="621B70AA"/>
    <w:multiLevelType w:val="hybridMultilevel"/>
    <w:tmpl w:val="F29015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9" w15:restartNumberingAfterBreak="0">
    <w:nsid w:val="62274F91"/>
    <w:multiLevelType w:val="hybridMultilevel"/>
    <w:tmpl w:val="768A26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0" w15:restartNumberingAfterBreak="0">
    <w:nsid w:val="632E2605"/>
    <w:multiLevelType w:val="hybridMultilevel"/>
    <w:tmpl w:val="7DC2F7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1" w15:restartNumberingAfterBreak="0">
    <w:nsid w:val="636F52D2"/>
    <w:multiLevelType w:val="hybridMultilevel"/>
    <w:tmpl w:val="269A5F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2" w15:restartNumberingAfterBreak="0">
    <w:nsid w:val="63F9024D"/>
    <w:multiLevelType w:val="hybridMultilevel"/>
    <w:tmpl w:val="6C708BBE"/>
    <w:lvl w:ilvl="0" w:tplc="04100001">
      <w:start w:val="1"/>
      <w:numFmt w:val="bullet"/>
      <w:lvlText w:val=""/>
      <w:lvlJc w:val="left"/>
      <w:pPr>
        <w:tabs>
          <w:tab w:val="num" w:pos="360"/>
        </w:tabs>
        <w:ind w:left="360" w:hanging="360"/>
      </w:pPr>
      <w:rPr>
        <w:rFonts w:ascii="Symbol" w:hAnsi="Symbol" w:hint="default"/>
      </w:rPr>
    </w:lvl>
    <w:lvl w:ilvl="1" w:tplc="29F29B8E" w:tentative="1">
      <w:start w:val="1"/>
      <w:numFmt w:val="bullet"/>
      <w:lvlText w:val=""/>
      <w:lvlJc w:val="left"/>
      <w:pPr>
        <w:tabs>
          <w:tab w:val="num" w:pos="1080"/>
        </w:tabs>
        <w:ind w:left="1080" w:hanging="360"/>
      </w:pPr>
      <w:rPr>
        <w:rFonts w:ascii="Wingdings" w:hAnsi="Wingdings" w:hint="default"/>
      </w:rPr>
    </w:lvl>
    <w:lvl w:ilvl="2" w:tplc="29DEA518" w:tentative="1">
      <w:start w:val="1"/>
      <w:numFmt w:val="bullet"/>
      <w:lvlText w:val=""/>
      <w:lvlJc w:val="left"/>
      <w:pPr>
        <w:tabs>
          <w:tab w:val="num" w:pos="1800"/>
        </w:tabs>
        <w:ind w:left="1800" w:hanging="360"/>
      </w:pPr>
      <w:rPr>
        <w:rFonts w:ascii="Wingdings" w:hAnsi="Wingdings" w:hint="default"/>
      </w:rPr>
    </w:lvl>
    <w:lvl w:ilvl="3" w:tplc="27E835A4" w:tentative="1">
      <w:start w:val="1"/>
      <w:numFmt w:val="bullet"/>
      <w:lvlText w:val=""/>
      <w:lvlJc w:val="left"/>
      <w:pPr>
        <w:tabs>
          <w:tab w:val="num" w:pos="2520"/>
        </w:tabs>
        <w:ind w:left="2520" w:hanging="360"/>
      </w:pPr>
      <w:rPr>
        <w:rFonts w:ascii="Wingdings" w:hAnsi="Wingdings" w:hint="default"/>
      </w:rPr>
    </w:lvl>
    <w:lvl w:ilvl="4" w:tplc="48EE5870" w:tentative="1">
      <w:start w:val="1"/>
      <w:numFmt w:val="bullet"/>
      <w:lvlText w:val=""/>
      <w:lvlJc w:val="left"/>
      <w:pPr>
        <w:tabs>
          <w:tab w:val="num" w:pos="3240"/>
        </w:tabs>
        <w:ind w:left="3240" w:hanging="360"/>
      </w:pPr>
      <w:rPr>
        <w:rFonts w:ascii="Wingdings" w:hAnsi="Wingdings" w:hint="default"/>
      </w:rPr>
    </w:lvl>
    <w:lvl w:ilvl="5" w:tplc="36DE632E" w:tentative="1">
      <w:start w:val="1"/>
      <w:numFmt w:val="bullet"/>
      <w:lvlText w:val=""/>
      <w:lvlJc w:val="left"/>
      <w:pPr>
        <w:tabs>
          <w:tab w:val="num" w:pos="3960"/>
        </w:tabs>
        <w:ind w:left="3960" w:hanging="360"/>
      </w:pPr>
      <w:rPr>
        <w:rFonts w:ascii="Wingdings" w:hAnsi="Wingdings" w:hint="default"/>
      </w:rPr>
    </w:lvl>
    <w:lvl w:ilvl="6" w:tplc="511875E2" w:tentative="1">
      <w:start w:val="1"/>
      <w:numFmt w:val="bullet"/>
      <w:lvlText w:val=""/>
      <w:lvlJc w:val="left"/>
      <w:pPr>
        <w:tabs>
          <w:tab w:val="num" w:pos="4680"/>
        </w:tabs>
        <w:ind w:left="4680" w:hanging="360"/>
      </w:pPr>
      <w:rPr>
        <w:rFonts w:ascii="Wingdings" w:hAnsi="Wingdings" w:hint="default"/>
      </w:rPr>
    </w:lvl>
    <w:lvl w:ilvl="7" w:tplc="E1807BB0" w:tentative="1">
      <w:start w:val="1"/>
      <w:numFmt w:val="bullet"/>
      <w:lvlText w:val=""/>
      <w:lvlJc w:val="left"/>
      <w:pPr>
        <w:tabs>
          <w:tab w:val="num" w:pos="5400"/>
        </w:tabs>
        <w:ind w:left="5400" w:hanging="360"/>
      </w:pPr>
      <w:rPr>
        <w:rFonts w:ascii="Wingdings" w:hAnsi="Wingdings" w:hint="default"/>
      </w:rPr>
    </w:lvl>
    <w:lvl w:ilvl="8" w:tplc="6CA0B0F4" w:tentative="1">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64141961"/>
    <w:multiLevelType w:val="hybridMultilevel"/>
    <w:tmpl w:val="CA4C4D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4" w15:restartNumberingAfterBreak="0">
    <w:nsid w:val="648C2043"/>
    <w:multiLevelType w:val="hybridMultilevel"/>
    <w:tmpl w:val="A90E05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5" w15:restartNumberingAfterBreak="0">
    <w:nsid w:val="6531561D"/>
    <w:multiLevelType w:val="hybridMultilevel"/>
    <w:tmpl w:val="045A6D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6" w15:restartNumberingAfterBreak="0">
    <w:nsid w:val="65A13091"/>
    <w:multiLevelType w:val="hybridMultilevel"/>
    <w:tmpl w:val="F28804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7" w15:restartNumberingAfterBreak="0">
    <w:nsid w:val="67BB47E8"/>
    <w:multiLevelType w:val="hybridMultilevel"/>
    <w:tmpl w:val="B8ECDE7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8" w15:restartNumberingAfterBreak="0">
    <w:nsid w:val="68194EED"/>
    <w:multiLevelType w:val="hybridMultilevel"/>
    <w:tmpl w:val="47ECB6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68C758DE"/>
    <w:multiLevelType w:val="hybridMultilevel"/>
    <w:tmpl w:val="E99A3A02"/>
    <w:lvl w:ilvl="0" w:tplc="04100001">
      <w:start w:val="1"/>
      <w:numFmt w:val="bullet"/>
      <w:lvlText w:val=""/>
      <w:lvlJc w:val="left"/>
      <w:pPr>
        <w:ind w:left="2204" w:hanging="360"/>
      </w:pPr>
      <w:rPr>
        <w:rFonts w:ascii="Symbol" w:hAnsi="Symbol" w:hint="default"/>
      </w:rPr>
    </w:lvl>
    <w:lvl w:ilvl="1" w:tplc="04100003" w:tentative="1">
      <w:start w:val="1"/>
      <w:numFmt w:val="bullet"/>
      <w:lvlText w:val="o"/>
      <w:lvlJc w:val="left"/>
      <w:pPr>
        <w:ind w:left="2924" w:hanging="360"/>
      </w:pPr>
      <w:rPr>
        <w:rFonts w:ascii="Courier New" w:hAnsi="Courier New" w:cs="Courier New" w:hint="default"/>
      </w:rPr>
    </w:lvl>
    <w:lvl w:ilvl="2" w:tplc="04100005" w:tentative="1">
      <w:start w:val="1"/>
      <w:numFmt w:val="bullet"/>
      <w:lvlText w:val=""/>
      <w:lvlJc w:val="left"/>
      <w:pPr>
        <w:ind w:left="3644" w:hanging="360"/>
      </w:pPr>
      <w:rPr>
        <w:rFonts w:ascii="Wingdings" w:hAnsi="Wingdings" w:hint="default"/>
      </w:rPr>
    </w:lvl>
    <w:lvl w:ilvl="3" w:tplc="04100001" w:tentative="1">
      <w:start w:val="1"/>
      <w:numFmt w:val="bullet"/>
      <w:lvlText w:val=""/>
      <w:lvlJc w:val="left"/>
      <w:pPr>
        <w:ind w:left="4364" w:hanging="360"/>
      </w:pPr>
      <w:rPr>
        <w:rFonts w:ascii="Symbol" w:hAnsi="Symbol" w:hint="default"/>
      </w:rPr>
    </w:lvl>
    <w:lvl w:ilvl="4" w:tplc="04100003" w:tentative="1">
      <w:start w:val="1"/>
      <w:numFmt w:val="bullet"/>
      <w:lvlText w:val="o"/>
      <w:lvlJc w:val="left"/>
      <w:pPr>
        <w:ind w:left="5084" w:hanging="360"/>
      </w:pPr>
      <w:rPr>
        <w:rFonts w:ascii="Courier New" w:hAnsi="Courier New" w:cs="Courier New" w:hint="default"/>
      </w:rPr>
    </w:lvl>
    <w:lvl w:ilvl="5" w:tplc="04100005" w:tentative="1">
      <w:start w:val="1"/>
      <w:numFmt w:val="bullet"/>
      <w:lvlText w:val=""/>
      <w:lvlJc w:val="left"/>
      <w:pPr>
        <w:ind w:left="5804" w:hanging="360"/>
      </w:pPr>
      <w:rPr>
        <w:rFonts w:ascii="Wingdings" w:hAnsi="Wingdings" w:hint="default"/>
      </w:rPr>
    </w:lvl>
    <w:lvl w:ilvl="6" w:tplc="04100001" w:tentative="1">
      <w:start w:val="1"/>
      <w:numFmt w:val="bullet"/>
      <w:lvlText w:val=""/>
      <w:lvlJc w:val="left"/>
      <w:pPr>
        <w:ind w:left="6524" w:hanging="360"/>
      </w:pPr>
      <w:rPr>
        <w:rFonts w:ascii="Symbol" w:hAnsi="Symbol" w:hint="default"/>
      </w:rPr>
    </w:lvl>
    <w:lvl w:ilvl="7" w:tplc="04100003" w:tentative="1">
      <w:start w:val="1"/>
      <w:numFmt w:val="bullet"/>
      <w:lvlText w:val="o"/>
      <w:lvlJc w:val="left"/>
      <w:pPr>
        <w:ind w:left="7244" w:hanging="360"/>
      </w:pPr>
      <w:rPr>
        <w:rFonts w:ascii="Courier New" w:hAnsi="Courier New" w:cs="Courier New" w:hint="default"/>
      </w:rPr>
    </w:lvl>
    <w:lvl w:ilvl="8" w:tplc="04100005" w:tentative="1">
      <w:start w:val="1"/>
      <w:numFmt w:val="bullet"/>
      <w:lvlText w:val=""/>
      <w:lvlJc w:val="left"/>
      <w:pPr>
        <w:ind w:left="7964" w:hanging="360"/>
      </w:pPr>
      <w:rPr>
        <w:rFonts w:ascii="Wingdings" w:hAnsi="Wingdings" w:hint="default"/>
      </w:rPr>
    </w:lvl>
  </w:abstractNum>
  <w:abstractNum w:abstractNumId="200" w15:restartNumberingAfterBreak="0">
    <w:nsid w:val="68E744B2"/>
    <w:multiLevelType w:val="hybridMultilevel"/>
    <w:tmpl w:val="5AC4AC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15:restartNumberingAfterBreak="0">
    <w:nsid w:val="6A5A48CC"/>
    <w:multiLevelType w:val="hybridMultilevel"/>
    <w:tmpl w:val="08BC83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2" w15:restartNumberingAfterBreak="0">
    <w:nsid w:val="6B0E43E8"/>
    <w:multiLevelType w:val="hybridMultilevel"/>
    <w:tmpl w:val="B8DC5A3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3" w15:restartNumberingAfterBreak="0">
    <w:nsid w:val="6B5E4C9B"/>
    <w:multiLevelType w:val="hybridMultilevel"/>
    <w:tmpl w:val="157CB3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6BF13ACF"/>
    <w:multiLevelType w:val="multilevel"/>
    <w:tmpl w:val="C58C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C013178"/>
    <w:multiLevelType w:val="hybridMultilevel"/>
    <w:tmpl w:val="C3AAD5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6" w15:restartNumberingAfterBreak="0">
    <w:nsid w:val="6C6F2EDA"/>
    <w:multiLevelType w:val="hybridMultilevel"/>
    <w:tmpl w:val="3152A0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7" w15:restartNumberingAfterBreak="0">
    <w:nsid w:val="6E3C4B09"/>
    <w:multiLevelType w:val="hybridMultilevel"/>
    <w:tmpl w:val="63343A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8" w15:restartNumberingAfterBreak="0">
    <w:nsid w:val="6EAA4D03"/>
    <w:multiLevelType w:val="hybridMultilevel"/>
    <w:tmpl w:val="59FA44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9" w15:restartNumberingAfterBreak="0">
    <w:nsid w:val="6F2407E6"/>
    <w:multiLevelType w:val="hybridMultilevel"/>
    <w:tmpl w:val="5E52CA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0" w15:restartNumberingAfterBreak="0">
    <w:nsid w:val="6F4B5D24"/>
    <w:multiLevelType w:val="hybridMultilevel"/>
    <w:tmpl w:val="08E0E8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1" w15:restartNumberingAfterBreak="0">
    <w:nsid w:val="6F696F29"/>
    <w:multiLevelType w:val="hybridMultilevel"/>
    <w:tmpl w:val="AEDCB73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2" w15:restartNumberingAfterBreak="0">
    <w:nsid w:val="6FAB31F1"/>
    <w:multiLevelType w:val="hybridMultilevel"/>
    <w:tmpl w:val="CD2CC4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3" w15:restartNumberingAfterBreak="0">
    <w:nsid w:val="6FF27092"/>
    <w:multiLevelType w:val="hybridMultilevel"/>
    <w:tmpl w:val="E4E828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4" w15:restartNumberingAfterBreak="0">
    <w:nsid w:val="71226627"/>
    <w:multiLevelType w:val="hybridMultilevel"/>
    <w:tmpl w:val="5DE0C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15:restartNumberingAfterBreak="0">
    <w:nsid w:val="7265619F"/>
    <w:multiLevelType w:val="hybridMultilevel"/>
    <w:tmpl w:val="C668F7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6" w15:restartNumberingAfterBreak="0">
    <w:nsid w:val="748F686B"/>
    <w:multiLevelType w:val="hybridMultilevel"/>
    <w:tmpl w:val="2F762A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7" w15:restartNumberingAfterBreak="0">
    <w:nsid w:val="76073544"/>
    <w:multiLevelType w:val="hybridMultilevel"/>
    <w:tmpl w:val="82E4ED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8" w15:restartNumberingAfterBreak="0">
    <w:nsid w:val="76F85976"/>
    <w:multiLevelType w:val="hybridMultilevel"/>
    <w:tmpl w:val="8BA856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78936055"/>
    <w:multiLevelType w:val="hybridMultilevel"/>
    <w:tmpl w:val="C8C25A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0" w15:restartNumberingAfterBreak="0">
    <w:nsid w:val="78B32F7A"/>
    <w:multiLevelType w:val="hybridMultilevel"/>
    <w:tmpl w:val="E780CE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1" w15:restartNumberingAfterBreak="0">
    <w:nsid w:val="79267805"/>
    <w:multiLevelType w:val="hybridMultilevel"/>
    <w:tmpl w:val="61E627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2" w15:restartNumberingAfterBreak="0">
    <w:nsid w:val="795F01B8"/>
    <w:multiLevelType w:val="hybridMultilevel"/>
    <w:tmpl w:val="241228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3" w15:restartNumberingAfterBreak="0">
    <w:nsid w:val="79645591"/>
    <w:multiLevelType w:val="hybridMultilevel"/>
    <w:tmpl w:val="D72EBB0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4" w15:restartNumberingAfterBreak="0">
    <w:nsid w:val="79E21495"/>
    <w:multiLevelType w:val="multilevel"/>
    <w:tmpl w:val="DAAA5A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5" w15:restartNumberingAfterBreak="0">
    <w:nsid w:val="7AF4234B"/>
    <w:multiLevelType w:val="hybridMultilevel"/>
    <w:tmpl w:val="AE3247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6" w15:restartNumberingAfterBreak="0">
    <w:nsid w:val="7B5B3107"/>
    <w:multiLevelType w:val="hybridMultilevel"/>
    <w:tmpl w:val="15C0AE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7" w15:restartNumberingAfterBreak="0">
    <w:nsid w:val="7BAA0630"/>
    <w:multiLevelType w:val="hybridMultilevel"/>
    <w:tmpl w:val="3B3245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8" w15:restartNumberingAfterBreak="0">
    <w:nsid w:val="7BCB5B73"/>
    <w:multiLevelType w:val="hybridMultilevel"/>
    <w:tmpl w:val="3ED4CF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9" w15:restartNumberingAfterBreak="0">
    <w:nsid w:val="7BF3743B"/>
    <w:multiLevelType w:val="hybridMultilevel"/>
    <w:tmpl w:val="ABA2DBC0"/>
    <w:lvl w:ilvl="0" w:tplc="0410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0" w15:restartNumberingAfterBreak="0">
    <w:nsid w:val="7C3E353D"/>
    <w:multiLevelType w:val="hybridMultilevel"/>
    <w:tmpl w:val="35103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7CAA5A04"/>
    <w:multiLevelType w:val="hybridMultilevel"/>
    <w:tmpl w:val="09A69896"/>
    <w:lvl w:ilvl="0" w:tplc="04100001">
      <w:start w:val="1"/>
      <w:numFmt w:val="bullet"/>
      <w:lvlText w:val=""/>
      <w:lvlJc w:val="left"/>
      <w:pPr>
        <w:ind w:left="7307"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7CB161F0"/>
    <w:multiLevelType w:val="hybridMultilevel"/>
    <w:tmpl w:val="144643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3" w15:restartNumberingAfterBreak="0">
    <w:nsid w:val="7D487F78"/>
    <w:multiLevelType w:val="hybridMultilevel"/>
    <w:tmpl w:val="D8C6E4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4" w15:restartNumberingAfterBreak="0">
    <w:nsid w:val="7E0A0C13"/>
    <w:multiLevelType w:val="hybridMultilevel"/>
    <w:tmpl w:val="ACF249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5" w15:restartNumberingAfterBreak="0">
    <w:nsid w:val="7EC05199"/>
    <w:multiLevelType w:val="hybridMultilevel"/>
    <w:tmpl w:val="3DAEC8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6" w15:restartNumberingAfterBreak="0">
    <w:nsid w:val="7F147F99"/>
    <w:multiLevelType w:val="hybridMultilevel"/>
    <w:tmpl w:val="A7BEAF9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7" w15:restartNumberingAfterBreak="0">
    <w:nsid w:val="7F245FA7"/>
    <w:multiLevelType w:val="hybridMultilevel"/>
    <w:tmpl w:val="A8F079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8" w15:restartNumberingAfterBreak="0">
    <w:nsid w:val="7FF939F1"/>
    <w:multiLevelType w:val="hybridMultilevel"/>
    <w:tmpl w:val="17487B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2"/>
  </w:num>
  <w:num w:numId="2">
    <w:abstractNumId w:val="220"/>
  </w:num>
  <w:num w:numId="3">
    <w:abstractNumId w:val="173"/>
  </w:num>
  <w:num w:numId="4">
    <w:abstractNumId w:val="195"/>
  </w:num>
  <w:num w:numId="5">
    <w:abstractNumId w:val="228"/>
  </w:num>
  <w:num w:numId="6">
    <w:abstractNumId w:val="6"/>
  </w:num>
  <w:num w:numId="7">
    <w:abstractNumId w:val="207"/>
  </w:num>
  <w:num w:numId="8">
    <w:abstractNumId w:val="206"/>
  </w:num>
  <w:num w:numId="9">
    <w:abstractNumId w:val="235"/>
  </w:num>
  <w:num w:numId="10">
    <w:abstractNumId w:val="213"/>
  </w:num>
  <w:num w:numId="11">
    <w:abstractNumId w:val="23"/>
  </w:num>
  <w:num w:numId="12">
    <w:abstractNumId w:val="15"/>
  </w:num>
  <w:num w:numId="13">
    <w:abstractNumId w:val="9"/>
  </w:num>
  <w:num w:numId="14">
    <w:abstractNumId w:val="89"/>
  </w:num>
  <w:num w:numId="15">
    <w:abstractNumId w:val="158"/>
  </w:num>
  <w:num w:numId="16">
    <w:abstractNumId w:val="160"/>
  </w:num>
  <w:num w:numId="17">
    <w:abstractNumId w:val="49"/>
  </w:num>
  <w:num w:numId="18">
    <w:abstractNumId w:val="14"/>
  </w:num>
  <w:num w:numId="19">
    <w:abstractNumId w:val="164"/>
  </w:num>
  <w:num w:numId="20">
    <w:abstractNumId w:val="56"/>
  </w:num>
  <w:num w:numId="21">
    <w:abstractNumId w:val="226"/>
  </w:num>
  <w:num w:numId="22">
    <w:abstractNumId w:val="55"/>
  </w:num>
  <w:num w:numId="23">
    <w:abstractNumId w:val="182"/>
  </w:num>
  <w:num w:numId="24">
    <w:abstractNumId w:val="84"/>
  </w:num>
  <w:num w:numId="25">
    <w:abstractNumId w:val="91"/>
  </w:num>
  <w:num w:numId="26">
    <w:abstractNumId w:val="119"/>
  </w:num>
  <w:num w:numId="27">
    <w:abstractNumId w:val="42"/>
  </w:num>
  <w:num w:numId="28">
    <w:abstractNumId w:val="1"/>
  </w:num>
  <w:num w:numId="29">
    <w:abstractNumId w:val="144"/>
  </w:num>
  <w:num w:numId="30">
    <w:abstractNumId w:val="147"/>
  </w:num>
  <w:num w:numId="31">
    <w:abstractNumId w:val="186"/>
  </w:num>
  <w:num w:numId="32">
    <w:abstractNumId w:val="146"/>
  </w:num>
  <w:num w:numId="33">
    <w:abstractNumId w:val="4"/>
  </w:num>
  <w:num w:numId="34">
    <w:abstractNumId w:val="114"/>
  </w:num>
  <w:num w:numId="35">
    <w:abstractNumId w:val="194"/>
  </w:num>
  <w:num w:numId="36">
    <w:abstractNumId w:val="105"/>
  </w:num>
  <w:num w:numId="37">
    <w:abstractNumId w:val="222"/>
  </w:num>
  <w:num w:numId="38">
    <w:abstractNumId w:val="237"/>
  </w:num>
  <w:num w:numId="39">
    <w:abstractNumId w:val="138"/>
  </w:num>
  <w:num w:numId="40">
    <w:abstractNumId w:val="135"/>
  </w:num>
  <w:num w:numId="41">
    <w:abstractNumId w:val="124"/>
  </w:num>
  <w:num w:numId="42">
    <w:abstractNumId w:val="192"/>
  </w:num>
  <w:num w:numId="43">
    <w:abstractNumId w:val="217"/>
  </w:num>
  <w:num w:numId="44">
    <w:abstractNumId w:val="33"/>
  </w:num>
  <w:num w:numId="45">
    <w:abstractNumId w:val="181"/>
  </w:num>
  <w:num w:numId="46">
    <w:abstractNumId w:val="10"/>
  </w:num>
  <w:num w:numId="47">
    <w:abstractNumId w:val="39"/>
  </w:num>
  <w:num w:numId="48">
    <w:abstractNumId w:val="234"/>
  </w:num>
  <w:num w:numId="49">
    <w:abstractNumId w:val="131"/>
  </w:num>
  <w:num w:numId="50">
    <w:abstractNumId w:val="211"/>
  </w:num>
  <w:num w:numId="51">
    <w:abstractNumId w:val="210"/>
  </w:num>
  <w:num w:numId="52">
    <w:abstractNumId w:val="70"/>
  </w:num>
  <w:num w:numId="53">
    <w:abstractNumId w:val="177"/>
  </w:num>
  <w:num w:numId="54">
    <w:abstractNumId w:val="61"/>
  </w:num>
  <w:num w:numId="55">
    <w:abstractNumId w:val="92"/>
  </w:num>
  <w:num w:numId="56">
    <w:abstractNumId w:val="74"/>
  </w:num>
  <w:num w:numId="57">
    <w:abstractNumId w:val="106"/>
  </w:num>
  <w:num w:numId="58">
    <w:abstractNumId w:val="209"/>
  </w:num>
  <w:num w:numId="59">
    <w:abstractNumId w:val="16"/>
  </w:num>
  <w:num w:numId="60">
    <w:abstractNumId w:val="111"/>
  </w:num>
  <w:num w:numId="61">
    <w:abstractNumId w:val="85"/>
  </w:num>
  <w:num w:numId="62">
    <w:abstractNumId w:val="11"/>
  </w:num>
  <w:num w:numId="63">
    <w:abstractNumId w:val="116"/>
  </w:num>
  <w:num w:numId="64">
    <w:abstractNumId w:val="110"/>
  </w:num>
  <w:num w:numId="65">
    <w:abstractNumId w:val="154"/>
  </w:num>
  <w:num w:numId="66">
    <w:abstractNumId w:val="190"/>
  </w:num>
  <w:num w:numId="67">
    <w:abstractNumId w:val="59"/>
  </w:num>
  <w:num w:numId="68">
    <w:abstractNumId w:val="44"/>
  </w:num>
  <w:num w:numId="69">
    <w:abstractNumId w:val="170"/>
  </w:num>
  <w:num w:numId="70">
    <w:abstractNumId w:val="172"/>
  </w:num>
  <w:num w:numId="71">
    <w:abstractNumId w:val="113"/>
  </w:num>
  <w:num w:numId="72">
    <w:abstractNumId w:val="215"/>
  </w:num>
  <w:num w:numId="73">
    <w:abstractNumId w:val="50"/>
  </w:num>
  <w:num w:numId="74">
    <w:abstractNumId w:val="221"/>
  </w:num>
  <w:num w:numId="75">
    <w:abstractNumId w:val="216"/>
  </w:num>
  <w:num w:numId="76">
    <w:abstractNumId w:val="193"/>
  </w:num>
  <w:num w:numId="77">
    <w:abstractNumId w:val="63"/>
  </w:num>
  <w:num w:numId="78">
    <w:abstractNumId w:val="3"/>
  </w:num>
  <w:num w:numId="79">
    <w:abstractNumId w:val="137"/>
  </w:num>
  <w:num w:numId="80">
    <w:abstractNumId w:val="157"/>
  </w:num>
  <w:num w:numId="81">
    <w:abstractNumId w:val="150"/>
  </w:num>
  <w:num w:numId="82">
    <w:abstractNumId w:val="87"/>
  </w:num>
  <w:num w:numId="83">
    <w:abstractNumId w:val="212"/>
  </w:num>
  <w:num w:numId="84">
    <w:abstractNumId w:val="60"/>
  </w:num>
  <w:num w:numId="85">
    <w:abstractNumId w:val="29"/>
  </w:num>
  <w:num w:numId="86">
    <w:abstractNumId w:val="236"/>
  </w:num>
  <w:num w:numId="87">
    <w:abstractNumId w:val="68"/>
  </w:num>
  <w:num w:numId="88">
    <w:abstractNumId w:val="17"/>
  </w:num>
  <w:num w:numId="89">
    <w:abstractNumId w:val="208"/>
  </w:num>
  <w:num w:numId="90">
    <w:abstractNumId w:val="104"/>
  </w:num>
  <w:num w:numId="91">
    <w:abstractNumId w:val="201"/>
  </w:num>
  <w:num w:numId="92">
    <w:abstractNumId w:val="180"/>
  </w:num>
  <w:num w:numId="93">
    <w:abstractNumId w:val="22"/>
  </w:num>
  <w:num w:numId="94">
    <w:abstractNumId w:val="47"/>
  </w:num>
  <w:num w:numId="95">
    <w:abstractNumId w:val="21"/>
  </w:num>
  <w:num w:numId="96">
    <w:abstractNumId w:val="200"/>
  </w:num>
  <w:num w:numId="97">
    <w:abstractNumId w:val="88"/>
  </w:num>
  <w:num w:numId="98">
    <w:abstractNumId w:val="187"/>
  </w:num>
  <w:num w:numId="99">
    <w:abstractNumId w:val="128"/>
  </w:num>
  <w:num w:numId="100">
    <w:abstractNumId w:val="196"/>
  </w:num>
  <w:num w:numId="101">
    <w:abstractNumId w:val="35"/>
  </w:num>
  <w:num w:numId="102">
    <w:abstractNumId w:val="148"/>
  </w:num>
  <w:num w:numId="103">
    <w:abstractNumId w:val="166"/>
  </w:num>
  <w:num w:numId="104">
    <w:abstractNumId w:val="101"/>
  </w:num>
  <w:num w:numId="105">
    <w:abstractNumId w:val="197"/>
  </w:num>
  <w:num w:numId="106">
    <w:abstractNumId w:val="96"/>
  </w:num>
  <w:num w:numId="107">
    <w:abstractNumId w:val="123"/>
  </w:num>
  <w:num w:numId="108">
    <w:abstractNumId w:val="95"/>
  </w:num>
  <w:num w:numId="109">
    <w:abstractNumId w:val="13"/>
  </w:num>
  <w:num w:numId="110">
    <w:abstractNumId w:val="18"/>
  </w:num>
  <w:num w:numId="111">
    <w:abstractNumId w:val="159"/>
  </w:num>
  <w:num w:numId="112">
    <w:abstractNumId w:val="5"/>
  </w:num>
  <w:num w:numId="113">
    <w:abstractNumId w:val="86"/>
  </w:num>
  <w:num w:numId="114">
    <w:abstractNumId w:val="90"/>
  </w:num>
  <w:num w:numId="115">
    <w:abstractNumId w:val="66"/>
  </w:num>
  <w:num w:numId="116">
    <w:abstractNumId w:val="225"/>
  </w:num>
  <w:num w:numId="117">
    <w:abstractNumId w:val="40"/>
  </w:num>
  <w:num w:numId="118">
    <w:abstractNumId w:val="171"/>
  </w:num>
  <w:num w:numId="119">
    <w:abstractNumId w:val="32"/>
  </w:num>
  <w:num w:numId="120">
    <w:abstractNumId w:val="127"/>
  </w:num>
  <w:num w:numId="121">
    <w:abstractNumId w:val="130"/>
  </w:num>
  <w:num w:numId="122">
    <w:abstractNumId w:val="140"/>
  </w:num>
  <w:num w:numId="123">
    <w:abstractNumId w:val="179"/>
  </w:num>
  <w:num w:numId="124">
    <w:abstractNumId w:val="224"/>
  </w:num>
  <w:num w:numId="125">
    <w:abstractNumId w:val="48"/>
  </w:num>
  <w:num w:numId="126">
    <w:abstractNumId w:val="118"/>
  </w:num>
  <w:num w:numId="127">
    <w:abstractNumId w:val="7"/>
  </w:num>
  <w:num w:numId="128">
    <w:abstractNumId w:val="120"/>
  </w:num>
  <w:num w:numId="129">
    <w:abstractNumId w:val="151"/>
  </w:num>
  <w:num w:numId="130">
    <w:abstractNumId w:val="232"/>
  </w:num>
  <w:num w:numId="131">
    <w:abstractNumId w:val="102"/>
  </w:num>
  <w:num w:numId="132">
    <w:abstractNumId w:val="67"/>
  </w:num>
  <w:num w:numId="133">
    <w:abstractNumId w:val="163"/>
  </w:num>
  <w:num w:numId="134">
    <w:abstractNumId w:val="189"/>
  </w:num>
  <w:num w:numId="135">
    <w:abstractNumId w:val="155"/>
  </w:num>
  <w:num w:numId="136">
    <w:abstractNumId w:val="100"/>
  </w:num>
  <w:num w:numId="137">
    <w:abstractNumId w:val="64"/>
  </w:num>
  <w:num w:numId="138">
    <w:abstractNumId w:val="183"/>
  </w:num>
  <w:num w:numId="139">
    <w:abstractNumId w:val="238"/>
  </w:num>
  <w:num w:numId="140">
    <w:abstractNumId w:val="2"/>
  </w:num>
  <w:num w:numId="141">
    <w:abstractNumId w:val="188"/>
  </w:num>
  <w:num w:numId="142">
    <w:abstractNumId w:val="19"/>
  </w:num>
  <w:num w:numId="143">
    <w:abstractNumId w:val="98"/>
  </w:num>
  <w:num w:numId="144">
    <w:abstractNumId w:val="125"/>
  </w:num>
  <w:num w:numId="145">
    <w:abstractNumId w:val="178"/>
  </w:num>
  <w:num w:numId="146">
    <w:abstractNumId w:val="132"/>
  </w:num>
  <w:num w:numId="147">
    <w:abstractNumId w:val="38"/>
  </w:num>
  <w:num w:numId="148">
    <w:abstractNumId w:val="162"/>
  </w:num>
  <w:num w:numId="149">
    <w:abstractNumId w:val="233"/>
  </w:num>
  <w:num w:numId="150">
    <w:abstractNumId w:val="65"/>
  </w:num>
  <w:num w:numId="151">
    <w:abstractNumId w:val="25"/>
  </w:num>
  <w:num w:numId="152">
    <w:abstractNumId w:val="27"/>
  </w:num>
  <w:num w:numId="153">
    <w:abstractNumId w:val="37"/>
  </w:num>
  <w:num w:numId="154">
    <w:abstractNumId w:val="149"/>
  </w:num>
  <w:num w:numId="155">
    <w:abstractNumId w:val="28"/>
  </w:num>
  <w:num w:numId="156">
    <w:abstractNumId w:val="136"/>
  </w:num>
  <w:num w:numId="157">
    <w:abstractNumId w:val="141"/>
  </w:num>
  <w:num w:numId="158">
    <w:abstractNumId w:val="219"/>
  </w:num>
  <w:num w:numId="159">
    <w:abstractNumId w:val="0"/>
  </w:num>
  <w:num w:numId="160">
    <w:abstractNumId w:val="121"/>
  </w:num>
  <w:num w:numId="161">
    <w:abstractNumId w:val="43"/>
  </w:num>
  <w:num w:numId="162">
    <w:abstractNumId w:val="31"/>
  </w:num>
  <w:num w:numId="163">
    <w:abstractNumId w:val="78"/>
  </w:num>
  <w:num w:numId="164">
    <w:abstractNumId w:val="191"/>
  </w:num>
  <w:num w:numId="165">
    <w:abstractNumId w:val="205"/>
  </w:num>
  <w:num w:numId="166">
    <w:abstractNumId w:val="139"/>
  </w:num>
  <w:num w:numId="167">
    <w:abstractNumId w:val="109"/>
  </w:num>
  <w:num w:numId="168">
    <w:abstractNumId w:val="227"/>
  </w:num>
  <w:num w:numId="169">
    <w:abstractNumId w:val="76"/>
  </w:num>
  <w:num w:numId="170">
    <w:abstractNumId w:val="52"/>
  </w:num>
  <w:num w:numId="171">
    <w:abstractNumId w:val="175"/>
  </w:num>
  <w:num w:numId="172">
    <w:abstractNumId w:val="94"/>
  </w:num>
  <w:num w:numId="173">
    <w:abstractNumId w:val="103"/>
  </w:num>
  <w:num w:numId="174">
    <w:abstractNumId w:val="62"/>
  </w:num>
  <w:num w:numId="175">
    <w:abstractNumId w:val="82"/>
  </w:num>
  <w:num w:numId="176">
    <w:abstractNumId w:val="218"/>
  </w:num>
  <w:num w:numId="177">
    <w:abstractNumId w:val="145"/>
  </w:num>
  <w:num w:numId="178">
    <w:abstractNumId w:val="129"/>
  </w:num>
  <w:num w:numId="179">
    <w:abstractNumId w:val="142"/>
  </w:num>
  <w:num w:numId="180">
    <w:abstractNumId w:val="168"/>
  </w:num>
  <w:num w:numId="181">
    <w:abstractNumId w:val="79"/>
  </w:num>
  <w:num w:numId="182">
    <w:abstractNumId w:val="69"/>
  </w:num>
  <w:num w:numId="183">
    <w:abstractNumId w:val="75"/>
  </w:num>
  <w:num w:numId="184">
    <w:abstractNumId w:val="77"/>
  </w:num>
  <w:num w:numId="185">
    <w:abstractNumId w:val="34"/>
  </w:num>
  <w:num w:numId="186">
    <w:abstractNumId w:val="73"/>
  </w:num>
  <w:num w:numId="187">
    <w:abstractNumId w:val="81"/>
  </w:num>
  <w:num w:numId="188">
    <w:abstractNumId w:val="152"/>
  </w:num>
  <w:num w:numId="189">
    <w:abstractNumId w:val="108"/>
  </w:num>
  <w:num w:numId="190">
    <w:abstractNumId w:val="112"/>
  </w:num>
  <w:num w:numId="191">
    <w:abstractNumId w:val="117"/>
  </w:num>
  <w:num w:numId="192">
    <w:abstractNumId w:val="165"/>
  </w:num>
  <w:num w:numId="193">
    <w:abstractNumId w:val="30"/>
  </w:num>
  <w:num w:numId="194">
    <w:abstractNumId w:val="41"/>
  </w:num>
  <w:num w:numId="195">
    <w:abstractNumId w:val="54"/>
  </w:num>
  <w:num w:numId="196">
    <w:abstractNumId w:val="143"/>
  </w:num>
  <w:num w:numId="197">
    <w:abstractNumId w:val="26"/>
  </w:num>
  <w:num w:numId="198">
    <w:abstractNumId w:val="184"/>
  </w:num>
  <w:num w:numId="199">
    <w:abstractNumId w:val="214"/>
  </w:num>
  <w:num w:numId="200">
    <w:abstractNumId w:val="8"/>
  </w:num>
  <w:num w:numId="201">
    <w:abstractNumId w:val="20"/>
  </w:num>
  <w:num w:numId="202">
    <w:abstractNumId w:val="58"/>
  </w:num>
  <w:num w:numId="203">
    <w:abstractNumId w:val="115"/>
  </w:num>
  <w:num w:numId="204">
    <w:abstractNumId w:val="24"/>
  </w:num>
  <w:num w:numId="205">
    <w:abstractNumId w:val="126"/>
  </w:num>
  <w:num w:numId="206">
    <w:abstractNumId w:val="230"/>
  </w:num>
  <w:num w:numId="207">
    <w:abstractNumId w:val="72"/>
  </w:num>
  <w:num w:numId="208">
    <w:abstractNumId w:val="174"/>
  </w:num>
  <w:num w:numId="209">
    <w:abstractNumId w:val="204"/>
  </w:num>
  <w:num w:numId="210">
    <w:abstractNumId w:val="57"/>
  </w:num>
  <w:num w:numId="211">
    <w:abstractNumId w:val="51"/>
  </w:num>
  <w:num w:numId="212">
    <w:abstractNumId w:val="198"/>
  </w:num>
  <w:num w:numId="213">
    <w:abstractNumId w:val="176"/>
  </w:num>
  <w:num w:numId="214">
    <w:abstractNumId w:val="169"/>
  </w:num>
  <w:num w:numId="215">
    <w:abstractNumId w:val="99"/>
  </w:num>
  <w:num w:numId="216">
    <w:abstractNumId w:val="133"/>
  </w:num>
  <w:num w:numId="217">
    <w:abstractNumId w:val="46"/>
  </w:num>
  <w:num w:numId="218">
    <w:abstractNumId w:val="53"/>
  </w:num>
  <w:num w:numId="219">
    <w:abstractNumId w:val="185"/>
  </w:num>
  <w:num w:numId="220">
    <w:abstractNumId w:val="153"/>
  </w:num>
  <w:num w:numId="221">
    <w:abstractNumId w:val="45"/>
  </w:num>
  <w:num w:numId="222">
    <w:abstractNumId w:val="83"/>
  </w:num>
  <w:num w:numId="223">
    <w:abstractNumId w:val="167"/>
  </w:num>
  <w:num w:numId="224">
    <w:abstractNumId w:val="71"/>
  </w:num>
  <w:num w:numId="225">
    <w:abstractNumId w:val="107"/>
  </w:num>
  <w:num w:numId="226">
    <w:abstractNumId w:val="122"/>
  </w:num>
  <w:num w:numId="227">
    <w:abstractNumId w:val="97"/>
  </w:num>
  <w:num w:numId="228">
    <w:abstractNumId w:val="199"/>
  </w:num>
  <w:num w:numId="229">
    <w:abstractNumId w:val="80"/>
  </w:num>
  <w:num w:numId="230">
    <w:abstractNumId w:val="231"/>
  </w:num>
  <w:num w:numId="231">
    <w:abstractNumId w:val="93"/>
  </w:num>
  <w:num w:numId="232">
    <w:abstractNumId w:val="203"/>
  </w:num>
  <w:num w:numId="233">
    <w:abstractNumId w:val="36"/>
  </w:num>
  <w:num w:numId="234">
    <w:abstractNumId w:val="156"/>
  </w:num>
  <w:num w:numId="235">
    <w:abstractNumId w:val="202"/>
  </w:num>
  <w:num w:numId="236">
    <w:abstractNumId w:val="134"/>
  </w:num>
  <w:num w:numId="237">
    <w:abstractNumId w:val="161"/>
  </w:num>
  <w:num w:numId="238">
    <w:abstractNumId w:val="223"/>
  </w:num>
  <w:num w:numId="239">
    <w:abstractNumId w:val="22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08"/>
  <w:hyphenationZone w:val="283"/>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A94"/>
    <w:rsid w:val="0000071E"/>
    <w:rsid w:val="00000B45"/>
    <w:rsid w:val="00000D55"/>
    <w:rsid w:val="00000F1D"/>
    <w:rsid w:val="000013E9"/>
    <w:rsid w:val="00001900"/>
    <w:rsid w:val="00001CEE"/>
    <w:rsid w:val="00001E3E"/>
    <w:rsid w:val="00002078"/>
    <w:rsid w:val="000021EB"/>
    <w:rsid w:val="00002307"/>
    <w:rsid w:val="000023B8"/>
    <w:rsid w:val="000026A0"/>
    <w:rsid w:val="00002BB2"/>
    <w:rsid w:val="00002C54"/>
    <w:rsid w:val="00003ECF"/>
    <w:rsid w:val="00004062"/>
    <w:rsid w:val="000041CF"/>
    <w:rsid w:val="000046C4"/>
    <w:rsid w:val="00004752"/>
    <w:rsid w:val="00004805"/>
    <w:rsid w:val="000048A9"/>
    <w:rsid w:val="0000493E"/>
    <w:rsid w:val="000055BB"/>
    <w:rsid w:val="00005D50"/>
    <w:rsid w:val="00006269"/>
    <w:rsid w:val="0000683E"/>
    <w:rsid w:val="00006A56"/>
    <w:rsid w:val="00006A8D"/>
    <w:rsid w:val="00007457"/>
    <w:rsid w:val="0000781A"/>
    <w:rsid w:val="00007EE6"/>
    <w:rsid w:val="00010351"/>
    <w:rsid w:val="00010D51"/>
    <w:rsid w:val="00011FB7"/>
    <w:rsid w:val="00012636"/>
    <w:rsid w:val="00012708"/>
    <w:rsid w:val="000127AE"/>
    <w:rsid w:val="000129FE"/>
    <w:rsid w:val="00012CD0"/>
    <w:rsid w:val="00012DB1"/>
    <w:rsid w:val="00012E82"/>
    <w:rsid w:val="000131AB"/>
    <w:rsid w:val="00013226"/>
    <w:rsid w:val="00013E16"/>
    <w:rsid w:val="00013F20"/>
    <w:rsid w:val="00014436"/>
    <w:rsid w:val="000146C6"/>
    <w:rsid w:val="00014A83"/>
    <w:rsid w:val="00014A93"/>
    <w:rsid w:val="0001541C"/>
    <w:rsid w:val="000155D0"/>
    <w:rsid w:val="0001575F"/>
    <w:rsid w:val="00015A1D"/>
    <w:rsid w:val="000164C1"/>
    <w:rsid w:val="000165BF"/>
    <w:rsid w:val="00016867"/>
    <w:rsid w:val="0001762A"/>
    <w:rsid w:val="0001763B"/>
    <w:rsid w:val="00017D30"/>
    <w:rsid w:val="000203E0"/>
    <w:rsid w:val="000207B8"/>
    <w:rsid w:val="00020C9A"/>
    <w:rsid w:val="00021973"/>
    <w:rsid w:val="00021B0A"/>
    <w:rsid w:val="00021ED5"/>
    <w:rsid w:val="000222C2"/>
    <w:rsid w:val="000222EF"/>
    <w:rsid w:val="0002235B"/>
    <w:rsid w:val="0002255E"/>
    <w:rsid w:val="0002326C"/>
    <w:rsid w:val="00023C77"/>
    <w:rsid w:val="000246C0"/>
    <w:rsid w:val="00024AFA"/>
    <w:rsid w:val="00024BBC"/>
    <w:rsid w:val="00024C4C"/>
    <w:rsid w:val="00024D62"/>
    <w:rsid w:val="00024F64"/>
    <w:rsid w:val="000253A1"/>
    <w:rsid w:val="00025457"/>
    <w:rsid w:val="00026202"/>
    <w:rsid w:val="000266EB"/>
    <w:rsid w:val="00026EFF"/>
    <w:rsid w:val="000277DE"/>
    <w:rsid w:val="0003010E"/>
    <w:rsid w:val="00030CDD"/>
    <w:rsid w:val="00031143"/>
    <w:rsid w:val="0003170C"/>
    <w:rsid w:val="00031827"/>
    <w:rsid w:val="00031D4E"/>
    <w:rsid w:val="000324C2"/>
    <w:rsid w:val="00032A3E"/>
    <w:rsid w:val="00032F45"/>
    <w:rsid w:val="000331F8"/>
    <w:rsid w:val="000337F0"/>
    <w:rsid w:val="00033B4E"/>
    <w:rsid w:val="00033BED"/>
    <w:rsid w:val="0003400C"/>
    <w:rsid w:val="00034231"/>
    <w:rsid w:val="0003426E"/>
    <w:rsid w:val="0003432B"/>
    <w:rsid w:val="0003454D"/>
    <w:rsid w:val="000345DA"/>
    <w:rsid w:val="00035744"/>
    <w:rsid w:val="00035A7E"/>
    <w:rsid w:val="00035C47"/>
    <w:rsid w:val="000364DC"/>
    <w:rsid w:val="00036646"/>
    <w:rsid w:val="00037561"/>
    <w:rsid w:val="000409DA"/>
    <w:rsid w:val="00040A5B"/>
    <w:rsid w:val="00041093"/>
    <w:rsid w:val="00041340"/>
    <w:rsid w:val="0004137A"/>
    <w:rsid w:val="00041406"/>
    <w:rsid w:val="00041766"/>
    <w:rsid w:val="00041AF9"/>
    <w:rsid w:val="000424D4"/>
    <w:rsid w:val="00042BD0"/>
    <w:rsid w:val="00042C40"/>
    <w:rsid w:val="00042D94"/>
    <w:rsid w:val="00043137"/>
    <w:rsid w:val="0004336E"/>
    <w:rsid w:val="00043AFC"/>
    <w:rsid w:val="00044914"/>
    <w:rsid w:val="0004494E"/>
    <w:rsid w:val="000451E5"/>
    <w:rsid w:val="0004651D"/>
    <w:rsid w:val="0004701D"/>
    <w:rsid w:val="0004742F"/>
    <w:rsid w:val="00047DF7"/>
    <w:rsid w:val="00050113"/>
    <w:rsid w:val="00050748"/>
    <w:rsid w:val="000507C0"/>
    <w:rsid w:val="0005165D"/>
    <w:rsid w:val="00051F52"/>
    <w:rsid w:val="000521A6"/>
    <w:rsid w:val="000523F1"/>
    <w:rsid w:val="00052995"/>
    <w:rsid w:val="00052B3B"/>
    <w:rsid w:val="00052C1F"/>
    <w:rsid w:val="00053143"/>
    <w:rsid w:val="0005316A"/>
    <w:rsid w:val="000536D0"/>
    <w:rsid w:val="00053CB3"/>
    <w:rsid w:val="00053F49"/>
    <w:rsid w:val="000541D4"/>
    <w:rsid w:val="00054B1E"/>
    <w:rsid w:val="00055371"/>
    <w:rsid w:val="00055470"/>
    <w:rsid w:val="000562B2"/>
    <w:rsid w:val="00057021"/>
    <w:rsid w:val="0005725C"/>
    <w:rsid w:val="000574F9"/>
    <w:rsid w:val="000578F4"/>
    <w:rsid w:val="00057C40"/>
    <w:rsid w:val="00060118"/>
    <w:rsid w:val="0006015D"/>
    <w:rsid w:val="000605CE"/>
    <w:rsid w:val="00060649"/>
    <w:rsid w:val="000606EA"/>
    <w:rsid w:val="000619AA"/>
    <w:rsid w:val="00061C89"/>
    <w:rsid w:val="0006272A"/>
    <w:rsid w:val="00062AD1"/>
    <w:rsid w:val="00062BC2"/>
    <w:rsid w:val="00062C0A"/>
    <w:rsid w:val="00062C19"/>
    <w:rsid w:val="00062DC0"/>
    <w:rsid w:val="00063500"/>
    <w:rsid w:val="00063CF7"/>
    <w:rsid w:val="00063F7F"/>
    <w:rsid w:val="0006431C"/>
    <w:rsid w:val="00064484"/>
    <w:rsid w:val="00064736"/>
    <w:rsid w:val="00064B3D"/>
    <w:rsid w:val="00064D06"/>
    <w:rsid w:val="0006510C"/>
    <w:rsid w:val="0006545E"/>
    <w:rsid w:val="000656A9"/>
    <w:rsid w:val="00065E2F"/>
    <w:rsid w:val="000662CA"/>
    <w:rsid w:val="00066542"/>
    <w:rsid w:val="000668F7"/>
    <w:rsid w:val="000669D0"/>
    <w:rsid w:val="00066EEC"/>
    <w:rsid w:val="00066F24"/>
    <w:rsid w:val="00067376"/>
    <w:rsid w:val="00067D68"/>
    <w:rsid w:val="00070081"/>
    <w:rsid w:val="00070088"/>
    <w:rsid w:val="00070419"/>
    <w:rsid w:val="00071119"/>
    <w:rsid w:val="00071746"/>
    <w:rsid w:val="000717E3"/>
    <w:rsid w:val="00071E18"/>
    <w:rsid w:val="0007215F"/>
    <w:rsid w:val="000723E9"/>
    <w:rsid w:val="0007262F"/>
    <w:rsid w:val="00072FFB"/>
    <w:rsid w:val="0007322D"/>
    <w:rsid w:val="000732B8"/>
    <w:rsid w:val="00073985"/>
    <w:rsid w:val="00073D2D"/>
    <w:rsid w:val="00074426"/>
    <w:rsid w:val="000744D0"/>
    <w:rsid w:val="0007458B"/>
    <w:rsid w:val="00074C06"/>
    <w:rsid w:val="00075074"/>
    <w:rsid w:val="00075234"/>
    <w:rsid w:val="000756E3"/>
    <w:rsid w:val="000756EB"/>
    <w:rsid w:val="00075D3B"/>
    <w:rsid w:val="0007684D"/>
    <w:rsid w:val="00076923"/>
    <w:rsid w:val="000770C2"/>
    <w:rsid w:val="00080256"/>
    <w:rsid w:val="000803C5"/>
    <w:rsid w:val="000805C0"/>
    <w:rsid w:val="00080618"/>
    <w:rsid w:val="00080824"/>
    <w:rsid w:val="000809BF"/>
    <w:rsid w:val="00080AE0"/>
    <w:rsid w:val="00080EA1"/>
    <w:rsid w:val="00080FA0"/>
    <w:rsid w:val="000811B7"/>
    <w:rsid w:val="00081DB5"/>
    <w:rsid w:val="00081EEE"/>
    <w:rsid w:val="00082730"/>
    <w:rsid w:val="00082825"/>
    <w:rsid w:val="00082A2B"/>
    <w:rsid w:val="00082EF1"/>
    <w:rsid w:val="0008346A"/>
    <w:rsid w:val="00083A99"/>
    <w:rsid w:val="000842AC"/>
    <w:rsid w:val="000843F9"/>
    <w:rsid w:val="00084576"/>
    <w:rsid w:val="000845DE"/>
    <w:rsid w:val="0008476B"/>
    <w:rsid w:val="00085730"/>
    <w:rsid w:val="000858CA"/>
    <w:rsid w:val="00085E43"/>
    <w:rsid w:val="000862DC"/>
    <w:rsid w:val="000862E3"/>
    <w:rsid w:val="000867F5"/>
    <w:rsid w:val="00086AAF"/>
    <w:rsid w:val="00086AD5"/>
    <w:rsid w:val="00086E6E"/>
    <w:rsid w:val="00086E77"/>
    <w:rsid w:val="00087506"/>
    <w:rsid w:val="00087D3F"/>
    <w:rsid w:val="00087EB1"/>
    <w:rsid w:val="00090298"/>
    <w:rsid w:val="00090FE9"/>
    <w:rsid w:val="00091408"/>
    <w:rsid w:val="00091433"/>
    <w:rsid w:val="000919FD"/>
    <w:rsid w:val="00091C46"/>
    <w:rsid w:val="00091E80"/>
    <w:rsid w:val="00091F65"/>
    <w:rsid w:val="000920F6"/>
    <w:rsid w:val="000927AE"/>
    <w:rsid w:val="00092925"/>
    <w:rsid w:val="0009296C"/>
    <w:rsid w:val="00092D13"/>
    <w:rsid w:val="00092DFB"/>
    <w:rsid w:val="00093BA4"/>
    <w:rsid w:val="00093DAC"/>
    <w:rsid w:val="00093EA9"/>
    <w:rsid w:val="00094043"/>
    <w:rsid w:val="0009448C"/>
    <w:rsid w:val="000944D6"/>
    <w:rsid w:val="000946FD"/>
    <w:rsid w:val="00095291"/>
    <w:rsid w:val="0009607F"/>
    <w:rsid w:val="000960C5"/>
    <w:rsid w:val="00096140"/>
    <w:rsid w:val="0009725C"/>
    <w:rsid w:val="0009779C"/>
    <w:rsid w:val="000978D9"/>
    <w:rsid w:val="00097E23"/>
    <w:rsid w:val="000A0097"/>
    <w:rsid w:val="000A026B"/>
    <w:rsid w:val="000A076B"/>
    <w:rsid w:val="000A1A7E"/>
    <w:rsid w:val="000A1D5E"/>
    <w:rsid w:val="000A2C5C"/>
    <w:rsid w:val="000A2ED9"/>
    <w:rsid w:val="000A3022"/>
    <w:rsid w:val="000A3224"/>
    <w:rsid w:val="000A357F"/>
    <w:rsid w:val="000A40AE"/>
    <w:rsid w:val="000A4339"/>
    <w:rsid w:val="000A5091"/>
    <w:rsid w:val="000A53FE"/>
    <w:rsid w:val="000A56B6"/>
    <w:rsid w:val="000A5DB7"/>
    <w:rsid w:val="000A603F"/>
    <w:rsid w:val="000A6400"/>
    <w:rsid w:val="000A65BF"/>
    <w:rsid w:val="000A6655"/>
    <w:rsid w:val="000A6C3C"/>
    <w:rsid w:val="000A75C4"/>
    <w:rsid w:val="000A7C3E"/>
    <w:rsid w:val="000B0147"/>
    <w:rsid w:val="000B01C2"/>
    <w:rsid w:val="000B0547"/>
    <w:rsid w:val="000B090D"/>
    <w:rsid w:val="000B0A0C"/>
    <w:rsid w:val="000B1CB2"/>
    <w:rsid w:val="000B1F6A"/>
    <w:rsid w:val="000B24F8"/>
    <w:rsid w:val="000B25AA"/>
    <w:rsid w:val="000B287B"/>
    <w:rsid w:val="000B30C4"/>
    <w:rsid w:val="000B3A64"/>
    <w:rsid w:val="000B3DCD"/>
    <w:rsid w:val="000B4222"/>
    <w:rsid w:val="000B4468"/>
    <w:rsid w:val="000B49DE"/>
    <w:rsid w:val="000B4FCA"/>
    <w:rsid w:val="000B53F8"/>
    <w:rsid w:val="000B5A24"/>
    <w:rsid w:val="000B6053"/>
    <w:rsid w:val="000B64F2"/>
    <w:rsid w:val="000B65C3"/>
    <w:rsid w:val="000B66EF"/>
    <w:rsid w:val="000B6CBF"/>
    <w:rsid w:val="000B6E46"/>
    <w:rsid w:val="000B7022"/>
    <w:rsid w:val="000B70B2"/>
    <w:rsid w:val="000B70D2"/>
    <w:rsid w:val="000B7858"/>
    <w:rsid w:val="000B78A3"/>
    <w:rsid w:val="000B7BE1"/>
    <w:rsid w:val="000B7ED6"/>
    <w:rsid w:val="000C076C"/>
    <w:rsid w:val="000C092D"/>
    <w:rsid w:val="000C0C21"/>
    <w:rsid w:val="000C0F5F"/>
    <w:rsid w:val="000C291C"/>
    <w:rsid w:val="000C2ED7"/>
    <w:rsid w:val="000C3330"/>
    <w:rsid w:val="000C3740"/>
    <w:rsid w:val="000C3AF9"/>
    <w:rsid w:val="000C3C11"/>
    <w:rsid w:val="000C44AA"/>
    <w:rsid w:val="000C47DC"/>
    <w:rsid w:val="000C4898"/>
    <w:rsid w:val="000C59AC"/>
    <w:rsid w:val="000C5B8C"/>
    <w:rsid w:val="000C5D12"/>
    <w:rsid w:val="000C6029"/>
    <w:rsid w:val="000C6136"/>
    <w:rsid w:val="000C65BB"/>
    <w:rsid w:val="000C695F"/>
    <w:rsid w:val="000C6A6D"/>
    <w:rsid w:val="000C6E86"/>
    <w:rsid w:val="000C7199"/>
    <w:rsid w:val="000C7710"/>
    <w:rsid w:val="000D05B4"/>
    <w:rsid w:val="000D0B88"/>
    <w:rsid w:val="000D1E4E"/>
    <w:rsid w:val="000D20CD"/>
    <w:rsid w:val="000D21D9"/>
    <w:rsid w:val="000D2212"/>
    <w:rsid w:val="000D2252"/>
    <w:rsid w:val="000D3FBB"/>
    <w:rsid w:val="000D45A7"/>
    <w:rsid w:val="000D4601"/>
    <w:rsid w:val="000D4656"/>
    <w:rsid w:val="000D501C"/>
    <w:rsid w:val="000D5736"/>
    <w:rsid w:val="000D59CD"/>
    <w:rsid w:val="000D65E9"/>
    <w:rsid w:val="000D69B3"/>
    <w:rsid w:val="000D6CD9"/>
    <w:rsid w:val="000D7154"/>
    <w:rsid w:val="000D7338"/>
    <w:rsid w:val="000D7AAB"/>
    <w:rsid w:val="000E027F"/>
    <w:rsid w:val="000E0B4F"/>
    <w:rsid w:val="000E0C38"/>
    <w:rsid w:val="000E0DCE"/>
    <w:rsid w:val="000E13D4"/>
    <w:rsid w:val="000E22BA"/>
    <w:rsid w:val="000E24FE"/>
    <w:rsid w:val="000E2843"/>
    <w:rsid w:val="000E34A7"/>
    <w:rsid w:val="000E408A"/>
    <w:rsid w:val="000E481F"/>
    <w:rsid w:val="000E4C90"/>
    <w:rsid w:val="000E4D76"/>
    <w:rsid w:val="000E4F3A"/>
    <w:rsid w:val="000E4F82"/>
    <w:rsid w:val="000E563D"/>
    <w:rsid w:val="000E5673"/>
    <w:rsid w:val="000E5747"/>
    <w:rsid w:val="000E5827"/>
    <w:rsid w:val="000E5BCD"/>
    <w:rsid w:val="000E6157"/>
    <w:rsid w:val="000E65F2"/>
    <w:rsid w:val="000E68D1"/>
    <w:rsid w:val="000E6A7C"/>
    <w:rsid w:val="000E6B21"/>
    <w:rsid w:val="000E7F8B"/>
    <w:rsid w:val="000F062B"/>
    <w:rsid w:val="000F0A8C"/>
    <w:rsid w:val="000F0E32"/>
    <w:rsid w:val="000F1196"/>
    <w:rsid w:val="000F1260"/>
    <w:rsid w:val="000F1261"/>
    <w:rsid w:val="000F14D9"/>
    <w:rsid w:val="000F14F4"/>
    <w:rsid w:val="000F15A3"/>
    <w:rsid w:val="000F1A75"/>
    <w:rsid w:val="000F27DB"/>
    <w:rsid w:val="000F313A"/>
    <w:rsid w:val="000F45C5"/>
    <w:rsid w:val="000F4C4F"/>
    <w:rsid w:val="000F4D36"/>
    <w:rsid w:val="000F4E4D"/>
    <w:rsid w:val="000F4EC9"/>
    <w:rsid w:val="000F5265"/>
    <w:rsid w:val="000F54F2"/>
    <w:rsid w:val="000F5549"/>
    <w:rsid w:val="000F554B"/>
    <w:rsid w:val="000F55A6"/>
    <w:rsid w:val="000F5DCD"/>
    <w:rsid w:val="000F6502"/>
    <w:rsid w:val="000F655B"/>
    <w:rsid w:val="000F6568"/>
    <w:rsid w:val="000F69D7"/>
    <w:rsid w:val="000F6A27"/>
    <w:rsid w:val="000F6F86"/>
    <w:rsid w:val="001002D1"/>
    <w:rsid w:val="001004D3"/>
    <w:rsid w:val="00100EA4"/>
    <w:rsid w:val="00101435"/>
    <w:rsid w:val="00102896"/>
    <w:rsid w:val="001032AB"/>
    <w:rsid w:val="00103E1B"/>
    <w:rsid w:val="0010443A"/>
    <w:rsid w:val="0010467F"/>
    <w:rsid w:val="00104E14"/>
    <w:rsid w:val="00104F99"/>
    <w:rsid w:val="00105A08"/>
    <w:rsid w:val="00105D3E"/>
    <w:rsid w:val="00105E56"/>
    <w:rsid w:val="001061EA"/>
    <w:rsid w:val="0010639F"/>
    <w:rsid w:val="001063AA"/>
    <w:rsid w:val="0010690C"/>
    <w:rsid w:val="00106AB7"/>
    <w:rsid w:val="00107195"/>
    <w:rsid w:val="00107269"/>
    <w:rsid w:val="001100CB"/>
    <w:rsid w:val="0011028C"/>
    <w:rsid w:val="00110C2F"/>
    <w:rsid w:val="001119D7"/>
    <w:rsid w:val="00112987"/>
    <w:rsid w:val="00113008"/>
    <w:rsid w:val="00113062"/>
    <w:rsid w:val="001131B0"/>
    <w:rsid w:val="0011373C"/>
    <w:rsid w:val="00113C47"/>
    <w:rsid w:val="00113FE3"/>
    <w:rsid w:val="001142A5"/>
    <w:rsid w:val="001142F8"/>
    <w:rsid w:val="0011452D"/>
    <w:rsid w:val="00114F91"/>
    <w:rsid w:val="0011549D"/>
    <w:rsid w:val="00115FBE"/>
    <w:rsid w:val="00116472"/>
    <w:rsid w:val="00116935"/>
    <w:rsid w:val="00116967"/>
    <w:rsid w:val="00116C3B"/>
    <w:rsid w:val="00116EC7"/>
    <w:rsid w:val="0011736C"/>
    <w:rsid w:val="001174BB"/>
    <w:rsid w:val="00117CBE"/>
    <w:rsid w:val="00117E48"/>
    <w:rsid w:val="00120A38"/>
    <w:rsid w:val="001211E3"/>
    <w:rsid w:val="00121E1D"/>
    <w:rsid w:val="001221C2"/>
    <w:rsid w:val="00122510"/>
    <w:rsid w:val="00122824"/>
    <w:rsid w:val="00122A2C"/>
    <w:rsid w:val="00122A8C"/>
    <w:rsid w:val="00122D2C"/>
    <w:rsid w:val="00122E65"/>
    <w:rsid w:val="00123273"/>
    <w:rsid w:val="0012394A"/>
    <w:rsid w:val="0012396E"/>
    <w:rsid w:val="00123BF7"/>
    <w:rsid w:val="00123D45"/>
    <w:rsid w:val="00124701"/>
    <w:rsid w:val="00124D4F"/>
    <w:rsid w:val="00124F08"/>
    <w:rsid w:val="00125A6D"/>
    <w:rsid w:val="00125A86"/>
    <w:rsid w:val="00125BAC"/>
    <w:rsid w:val="00125C55"/>
    <w:rsid w:val="00125D07"/>
    <w:rsid w:val="00126520"/>
    <w:rsid w:val="00126E4C"/>
    <w:rsid w:val="001272B4"/>
    <w:rsid w:val="0012742A"/>
    <w:rsid w:val="001274DF"/>
    <w:rsid w:val="001275F2"/>
    <w:rsid w:val="00127A77"/>
    <w:rsid w:val="00130382"/>
    <w:rsid w:val="00131025"/>
    <w:rsid w:val="00131E26"/>
    <w:rsid w:val="00132281"/>
    <w:rsid w:val="00132C55"/>
    <w:rsid w:val="00133365"/>
    <w:rsid w:val="00134956"/>
    <w:rsid w:val="00134F60"/>
    <w:rsid w:val="001351ED"/>
    <w:rsid w:val="001355F3"/>
    <w:rsid w:val="00135C77"/>
    <w:rsid w:val="00135E13"/>
    <w:rsid w:val="00135E9B"/>
    <w:rsid w:val="00135FCC"/>
    <w:rsid w:val="00136338"/>
    <w:rsid w:val="00136CA9"/>
    <w:rsid w:val="00136F03"/>
    <w:rsid w:val="00137034"/>
    <w:rsid w:val="001370AA"/>
    <w:rsid w:val="0013730C"/>
    <w:rsid w:val="0013752B"/>
    <w:rsid w:val="0013753A"/>
    <w:rsid w:val="00137659"/>
    <w:rsid w:val="0013795E"/>
    <w:rsid w:val="00137E22"/>
    <w:rsid w:val="001404BA"/>
    <w:rsid w:val="001423F2"/>
    <w:rsid w:val="00142A69"/>
    <w:rsid w:val="001430CF"/>
    <w:rsid w:val="00143478"/>
    <w:rsid w:val="001438F0"/>
    <w:rsid w:val="001440BF"/>
    <w:rsid w:val="001444C6"/>
    <w:rsid w:val="00144601"/>
    <w:rsid w:val="001453A1"/>
    <w:rsid w:val="00145D05"/>
    <w:rsid w:val="00146396"/>
    <w:rsid w:val="0014658B"/>
    <w:rsid w:val="001465EE"/>
    <w:rsid w:val="00146DD1"/>
    <w:rsid w:val="00147655"/>
    <w:rsid w:val="001476FE"/>
    <w:rsid w:val="00147AB6"/>
    <w:rsid w:val="001503B7"/>
    <w:rsid w:val="00150A46"/>
    <w:rsid w:val="00150E70"/>
    <w:rsid w:val="00151530"/>
    <w:rsid w:val="001519FF"/>
    <w:rsid w:val="00151CB3"/>
    <w:rsid w:val="00151DA1"/>
    <w:rsid w:val="001523D6"/>
    <w:rsid w:val="0015251C"/>
    <w:rsid w:val="0015287D"/>
    <w:rsid w:val="00152932"/>
    <w:rsid w:val="00152AB9"/>
    <w:rsid w:val="00152EA0"/>
    <w:rsid w:val="001531B5"/>
    <w:rsid w:val="00153630"/>
    <w:rsid w:val="00153CF9"/>
    <w:rsid w:val="00153EE4"/>
    <w:rsid w:val="00154466"/>
    <w:rsid w:val="001546C0"/>
    <w:rsid w:val="00154824"/>
    <w:rsid w:val="00154B18"/>
    <w:rsid w:val="00154E01"/>
    <w:rsid w:val="00155494"/>
    <w:rsid w:val="00156042"/>
    <w:rsid w:val="0015651D"/>
    <w:rsid w:val="00156B5F"/>
    <w:rsid w:val="00156B8D"/>
    <w:rsid w:val="00156CCF"/>
    <w:rsid w:val="00157D6E"/>
    <w:rsid w:val="00157E2A"/>
    <w:rsid w:val="001601DF"/>
    <w:rsid w:val="001608D3"/>
    <w:rsid w:val="00160BA5"/>
    <w:rsid w:val="00161165"/>
    <w:rsid w:val="00161698"/>
    <w:rsid w:val="001619E0"/>
    <w:rsid w:val="00161C65"/>
    <w:rsid w:val="00162040"/>
    <w:rsid w:val="00162132"/>
    <w:rsid w:val="00162947"/>
    <w:rsid w:val="001629C3"/>
    <w:rsid w:val="001632EF"/>
    <w:rsid w:val="0016382C"/>
    <w:rsid w:val="00163B57"/>
    <w:rsid w:val="00163FEA"/>
    <w:rsid w:val="001645C7"/>
    <w:rsid w:val="00164773"/>
    <w:rsid w:val="00164BBE"/>
    <w:rsid w:val="001653B1"/>
    <w:rsid w:val="001657B5"/>
    <w:rsid w:val="00165BD9"/>
    <w:rsid w:val="00165BEB"/>
    <w:rsid w:val="00165D11"/>
    <w:rsid w:val="0016607D"/>
    <w:rsid w:val="0016621C"/>
    <w:rsid w:val="00166239"/>
    <w:rsid w:val="00166517"/>
    <w:rsid w:val="0016652C"/>
    <w:rsid w:val="001666F9"/>
    <w:rsid w:val="00166E2F"/>
    <w:rsid w:val="001672F9"/>
    <w:rsid w:val="001676B2"/>
    <w:rsid w:val="00167AA0"/>
    <w:rsid w:val="00167E6F"/>
    <w:rsid w:val="00170F29"/>
    <w:rsid w:val="001713D8"/>
    <w:rsid w:val="001718BD"/>
    <w:rsid w:val="00171AFE"/>
    <w:rsid w:val="00171BCF"/>
    <w:rsid w:val="00171CBB"/>
    <w:rsid w:val="001722A5"/>
    <w:rsid w:val="0017255E"/>
    <w:rsid w:val="00172B63"/>
    <w:rsid w:val="00172D54"/>
    <w:rsid w:val="001738F7"/>
    <w:rsid w:val="00173C78"/>
    <w:rsid w:val="00173EDC"/>
    <w:rsid w:val="00173FE0"/>
    <w:rsid w:val="0017476E"/>
    <w:rsid w:val="00174BB7"/>
    <w:rsid w:val="00174D52"/>
    <w:rsid w:val="00175093"/>
    <w:rsid w:val="001750D2"/>
    <w:rsid w:val="00175B05"/>
    <w:rsid w:val="00175DAA"/>
    <w:rsid w:val="00175E38"/>
    <w:rsid w:val="0017622C"/>
    <w:rsid w:val="00176949"/>
    <w:rsid w:val="00176CDD"/>
    <w:rsid w:val="00176F9A"/>
    <w:rsid w:val="00177BB9"/>
    <w:rsid w:val="00177FAE"/>
    <w:rsid w:val="00180AB2"/>
    <w:rsid w:val="00180BB0"/>
    <w:rsid w:val="00181162"/>
    <w:rsid w:val="001814C4"/>
    <w:rsid w:val="00182603"/>
    <w:rsid w:val="00182663"/>
    <w:rsid w:val="00182FC8"/>
    <w:rsid w:val="00184195"/>
    <w:rsid w:val="0018481F"/>
    <w:rsid w:val="00184C06"/>
    <w:rsid w:val="001861EF"/>
    <w:rsid w:val="001865ED"/>
    <w:rsid w:val="0018678A"/>
    <w:rsid w:val="00186C6B"/>
    <w:rsid w:val="00186F38"/>
    <w:rsid w:val="00187680"/>
    <w:rsid w:val="00187BC1"/>
    <w:rsid w:val="00187D3C"/>
    <w:rsid w:val="00187E13"/>
    <w:rsid w:val="00190110"/>
    <w:rsid w:val="00190620"/>
    <w:rsid w:val="00190724"/>
    <w:rsid w:val="00190817"/>
    <w:rsid w:val="001908F7"/>
    <w:rsid w:val="00190939"/>
    <w:rsid w:val="00190B7F"/>
    <w:rsid w:val="00190E1A"/>
    <w:rsid w:val="00191432"/>
    <w:rsid w:val="001915DF"/>
    <w:rsid w:val="00191A8B"/>
    <w:rsid w:val="00192289"/>
    <w:rsid w:val="001928B5"/>
    <w:rsid w:val="00192A7F"/>
    <w:rsid w:val="0019331D"/>
    <w:rsid w:val="00193444"/>
    <w:rsid w:val="00193A59"/>
    <w:rsid w:val="00193CFA"/>
    <w:rsid w:val="0019412B"/>
    <w:rsid w:val="00194262"/>
    <w:rsid w:val="001942D3"/>
    <w:rsid w:val="001943F0"/>
    <w:rsid w:val="0019444C"/>
    <w:rsid w:val="00194577"/>
    <w:rsid w:val="00195511"/>
    <w:rsid w:val="00195C64"/>
    <w:rsid w:val="00196174"/>
    <w:rsid w:val="001963BF"/>
    <w:rsid w:val="00196535"/>
    <w:rsid w:val="001966EF"/>
    <w:rsid w:val="00197737"/>
    <w:rsid w:val="00197993"/>
    <w:rsid w:val="001A0247"/>
    <w:rsid w:val="001A02B1"/>
    <w:rsid w:val="001A0910"/>
    <w:rsid w:val="001A0FB4"/>
    <w:rsid w:val="001A10F7"/>
    <w:rsid w:val="001A1CED"/>
    <w:rsid w:val="001A2978"/>
    <w:rsid w:val="001A2FA6"/>
    <w:rsid w:val="001A439B"/>
    <w:rsid w:val="001A44CC"/>
    <w:rsid w:val="001A4590"/>
    <w:rsid w:val="001A467A"/>
    <w:rsid w:val="001A46E2"/>
    <w:rsid w:val="001A4B05"/>
    <w:rsid w:val="001A4B86"/>
    <w:rsid w:val="001A4E19"/>
    <w:rsid w:val="001A50B3"/>
    <w:rsid w:val="001A582F"/>
    <w:rsid w:val="001A6742"/>
    <w:rsid w:val="001A68FC"/>
    <w:rsid w:val="001A6D74"/>
    <w:rsid w:val="001A6E0C"/>
    <w:rsid w:val="001A7377"/>
    <w:rsid w:val="001A77A0"/>
    <w:rsid w:val="001A78DD"/>
    <w:rsid w:val="001A792E"/>
    <w:rsid w:val="001A7DC7"/>
    <w:rsid w:val="001B05D2"/>
    <w:rsid w:val="001B0C5D"/>
    <w:rsid w:val="001B1066"/>
    <w:rsid w:val="001B1813"/>
    <w:rsid w:val="001B1B79"/>
    <w:rsid w:val="001B1F0E"/>
    <w:rsid w:val="001B24B4"/>
    <w:rsid w:val="001B271C"/>
    <w:rsid w:val="001B28D8"/>
    <w:rsid w:val="001B2992"/>
    <w:rsid w:val="001B3011"/>
    <w:rsid w:val="001B31E2"/>
    <w:rsid w:val="001B3219"/>
    <w:rsid w:val="001B389D"/>
    <w:rsid w:val="001B3BAA"/>
    <w:rsid w:val="001B4B86"/>
    <w:rsid w:val="001B53FE"/>
    <w:rsid w:val="001B56E7"/>
    <w:rsid w:val="001B6224"/>
    <w:rsid w:val="001B63BE"/>
    <w:rsid w:val="001B64A8"/>
    <w:rsid w:val="001B6556"/>
    <w:rsid w:val="001B6687"/>
    <w:rsid w:val="001B7425"/>
    <w:rsid w:val="001C03BC"/>
    <w:rsid w:val="001C0E73"/>
    <w:rsid w:val="001C1091"/>
    <w:rsid w:val="001C1A84"/>
    <w:rsid w:val="001C2432"/>
    <w:rsid w:val="001C2488"/>
    <w:rsid w:val="001C25A9"/>
    <w:rsid w:val="001C2D0E"/>
    <w:rsid w:val="001C2F08"/>
    <w:rsid w:val="001C4234"/>
    <w:rsid w:val="001C4BEF"/>
    <w:rsid w:val="001C57DC"/>
    <w:rsid w:val="001C58A9"/>
    <w:rsid w:val="001C5A62"/>
    <w:rsid w:val="001C60E0"/>
    <w:rsid w:val="001C6438"/>
    <w:rsid w:val="001C687A"/>
    <w:rsid w:val="001C6D6C"/>
    <w:rsid w:val="001C7608"/>
    <w:rsid w:val="001C7967"/>
    <w:rsid w:val="001C7B2D"/>
    <w:rsid w:val="001C7B90"/>
    <w:rsid w:val="001C7E81"/>
    <w:rsid w:val="001D07C5"/>
    <w:rsid w:val="001D0948"/>
    <w:rsid w:val="001D09BD"/>
    <w:rsid w:val="001D0A72"/>
    <w:rsid w:val="001D0F53"/>
    <w:rsid w:val="001D0F72"/>
    <w:rsid w:val="001D1410"/>
    <w:rsid w:val="001D1597"/>
    <w:rsid w:val="001D182B"/>
    <w:rsid w:val="001D1B35"/>
    <w:rsid w:val="001D217D"/>
    <w:rsid w:val="001D2F3E"/>
    <w:rsid w:val="001D3305"/>
    <w:rsid w:val="001D3360"/>
    <w:rsid w:val="001D3522"/>
    <w:rsid w:val="001D3622"/>
    <w:rsid w:val="001D36BC"/>
    <w:rsid w:val="001D3850"/>
    <w:rsid w:val="001D3CCE"/>
    <w:rsid w:val="001D4061"/>
    <w:rsid w:val="001D4BDC"/>
    <w:rsid w:val="001D4C39"/>
    <w:rsid w:val="001D4CC1"/>
    <w:rsid w:val="001D5016"/>
    <w:rsid w:val="001D5221"/>
    <w:rsid w:val="001D52F4"/>
    <w:rsid w:val="001D5344"/>
    <w:rsid w:val="001D5A6F"/>
    <w:rsid w:val="001D5B52"/>
    <w:rsid w:val="001D5BD3"/>
    <w:rsid w:val="001D623C"/>
    <w:rsid w:val="001D657C"/>
    <w:rsid w:val="001D6587"/>
    <w:rsid w:val="001D6C84"/>
    <w:rsid w:val="001D6DCB"/>
    <w:rsid w:val="001D7191"/>
    <w:rsid w:val="001E073C"/>
    <w:rsid w:val="001E07D7"/>
    <w:rsid w:val="001E0814"/>
    <w:rsid w:val="001E1B15"/>
    <w:rsid w:val="001E23EA"/>
    <w:rsid w:val="001E23F4"/>
    <w:rsid w:val="001E2538"/>
    <w:rsid w:val="001E27A4"/>
    <w:rsid w:val="001E2966"/>
    <w:rsid w:val="001E30B4"/>
    <w:rsid w:val="001E3AF4"/>
    <w:rsid w:val="001E3E87"/>
    <w:rsid w:val="001E4257"/>
    <w:rsid w:val="001E4593"/>
    <w:rsid w:val="001E45A7"/>
    <w:rsid w:val="001E4ADA"/>
    <w:rsid w:val="001E5088"/>
    <w:rsid w:val="001E548F"/>
    <w:rsid w:val="001E59EB"/>
    <w:rsid w:val="001E5E82"/>
    <w:rsid w:val="001E630A"/>
    <w:rsid w:val="001E6354"/>
    <w:rsid w:val="001E638F"/>
    <w:rsid w:val="001E6AEF"/>
    <w:rsid w:val="001E6CA1"/>
    <w:rsid w:val="001E6E06"/>
    <w:rsid w:val="001E7756"/>
    <w:rsid w:val="001E776A"/>
    <w:rsid w:val="001E78BB"/>
    <w:rsid w:val="001E7DCA"/>
    <w:rsid w:val="001F0116"/>
    <w:rsid w:val="001F02EA"/>
    <w:rsid w:val="001F0E89"/>
    <w:rsid w:val="001F1212"/>
    <w:rsid w:val="001F15EB"/>
    <w:rsid w:val="001F2286"/>
    <w:rsid w:val="001F2528"/>
    <w:rsid w:val="001F275D"/>
    <w:rsid w:val="001F33E2"/>
    <w:rsid w:val="001F3C5C"/>
    <w:rsid w:val="001F40ED"/>
    <w:rsid w:val="001F4376"/>
    <w:rsid w:val="001F48D8"/>
    <w:rsid w:val="001F4C78"/>
    <w:rsid w:val="001F526B"/>
    <w:rsid w:val="001F562A"/>
    <w:rsid w:val="001F572E"/>
    <w:rsid w:val="001F59B1"/>
    <w:rsid w:val="001F6245"/>
    <w:rsid w:val="001F6993"/>
    <w:rsid w:val="001F7586"/>
    <w:rsid w:val="001F7929"/>
    <w:rsid w:val="00200E9A"/>
    <w:rsid w:val="00200EFB"/>
    <w:rsid w:val="00201142"/>
    <w:rsid w:val="00201814"/>
    <w:rsid w:val="00201FCD"/>
    <w:rsid w:val="002023CC"/>
    <w:rsid w:val="00202621"/>
    <w:rsid w:val="00202ED0"/>
    <w:rsid w:val="00203084"/>
    <w:rsid w:val="0020318F"/>
    <w:rsid w:val="0020353F"/>
    <w:rsid w:val="00203969"/>
    <w:rsid w:val="00203B60"/>
    <w:rsid w:val="00204099"/>
    <w:rsid w:val="00204269"/>
    <w:rsid w:val="002049DE"/>
    <w:rsid w:val="00204AEB"/>
    <w:rsid w:val="00204C7B"/>
    <w:rsid w:val="002050D0"/>
    <w:rsid w:val="002055CC"/>
    <w:rsid w:val="0020565D"/>
    <w:rsid w:val="00205877"/>
    <w:rsid w:val="00205A85"/>
    <w:rsid w:val="00205BB1"/>
    <w:rsid w:val="00205E23"/>
    <w:rsid w:val="0020630B"/>
    <w:rsid w:val="00206355"/>
    <w:rsid w:val="00206E4D"/>
    <w:rsid w:val="00206FB1"/>
    <w:rsid w:val="00207D4D"/>
    <w:rsid w:val="00207FF2"/>
    <w:rsid w:val="00210A0C"/>
    <w:rsid w:val="00210EFA"/>
    <w:rsid w:val="002110DD"/>
    <w:rsid w:val="002117F6"/>
    <w:rsid w:val="00211D71"/>
    <w:rsid w:val="0021259D"/>
    <w:rsid w:val="002126D6"/>
    <w:rsid w:val="00212704"/>
    <w:rsid w:val="00212970"/>
    <w:rsid w:val="00212FB5"/>
    <w:rsid w:val="0021374E"/>
    <w:rsid w:val="002148B6"/>
    <w:rsid w:val="0021497A"/>
    <w:rsid w:val="0021497F"/>
    <w:rsid w:val="0021508B"/>
    <w:rsid w:val="0021549D"/>
    <w:rsid w:val="00215611"/>
    <w:rsid w:val="00215675"/>
    <w:rsid w:val="00215736"/>
    <w:rsid w:val="00215EF0"/>
    <w:rsid w:val="00215FA1"/>
    <w:rsid w:val="00216863"/>
    <w:rsid w:val="00217806"/>
    <w:rsid w:val="00220A3B"/>
    <w:rsid w:val="00220DDF"/>
    <w:rsid w:val="00220DE6"/>
    <w:rsid w:val="00220F77"/>
    <w:rsid w:val="002220B9"/>
    <w:rsid w:val="0022266C"/>
    <w:rsid w:val="0022321F"/>
    <w:rsid w:val="002233C1"/>
    <w:rsid w:val="00224257"/>
    <w:rsid w:val="00224546"/>
    <w:rsid w:val="00224817"/>
    <w:rsid w:val="00224C81"/>
    <w:rsid w:val="00224CE2"/>
    <w:rsid w:val="00224CE3"/>
    <w:rsid w:val="00224D4D"/>
    <w:rsid w:val="00224E4D"/>
    <w:rsid w:val="00225227"/>
    <w:rsid w:val="002252BB"/>
    <w:rsid w:val="002254B8"/>
    <w:rsid w:val="002258BD"/>
    <w:rsid w:val="00225972"/>
    <w:rsid w:val="00225E97"/>
    <w:rsid w:val="00226735"/>
    <w:rsid w:val="00226AA3"/>
    <w:rsid w:val="00226C6A"/>
    <w:rsid w:val="002277B7"/>
    <w:rsid w:val="002307BF"/>
    <w:rsid w:val="00230EF6"/>
    <w:rsid w:val="00231EAD"/>
    <w:rsid w:val="00232166"/>
    <w:rsid w:val="00232293"/>
    <w:rsid w:val="00232C7B"/>
    <w:rsid w:val="00232D55"/>
    <w:rsid w:val="002331C2"/>
    <w:rsid w:val="002336DF"/>
    <w:rsid w:val="00233846"/>
    <w:rsid w:val="00233939"/>
    <w:rsid w:val="00234034"/>
    <w:rsid w:val="0023490C"/>
    <w:rsid w:val="00234C22"/>
    <w:rsid w:val="00235EF9"/>
    <w:rsid w:val="0023634C"/>
    <w:rsid w:val="002364CD"/>
    <w:rsid w:val="0023680A"/>
    <w:rsid w:val="00236AB9"/>
    <w:rsid w:val="00236CA0"/>
    <w:rsid w:val="00236E68"/>
    <w:rsid w:val="00236E8C"/>
    <w:rsid w:val="00237223"/>
    <w:rsid w:val="002373C2"/>
    <w:rsid w:val="0023769F"/>
    <w:rsid w:val="002376B1"/>
    <w:rsid w:val="002376B4"/>
    <w:rsid w:val="00237892"/>
    <w:rsid w:val="00237C14"/>
    <w:rsid w:val="00237D24"/>
    <w:rsid w:val="002404B0"/>
    <w:rsid w:val="00240A26"/>
    <w:rsid w:val="002414A4"/>
    <w:rsid w:val="0024180E"/>
    <w:rsid w:val="00241CC3"/>
    <w:rsid w:val="0024310F"/>
    <w:rsid w:val="002435DB"/>
    <w:rsid w:val="00243B19"/>
    <w:rsid w:val="002440E3"/>
    <w:rsid w:val="00244617"/>
    <w:rsid w:val="00244701"/>
    <w:rsid w:val="002448A3"/>
    <w:rsid w:val="002449FA"/>
    <w:rsid w:val="00244FB0"/>
    <w:rsid w:val="002455E0"/>
    <w:rsid w:val="0024579A"/>
    <w:rsid w:val="0024579C"/>
    <w:rsid w:val="00245845"/>
    <w:rsid w:val="00245C4E"/>
    <w:rsid w:val="00245F6D"/>
    <w:rsid w:val="00246108"/>
    <w:rsid w:val="00246353"/>
    <w:rsid w:val="00246E11"/>
    <w:rsid w:val="00247824"/>
    <w:rsid w:val="002478EF"/>
    <w:rsid w:val="00247AA9"/>
    <w:rsid w:val="00247AFD"/>
    <w:rsid w:val="002503C2"/>
    <w:rsid w:val="00250426"/>
    <w:rsid w:val="0025079F"/>
    <w:rsid w:val="00250BD3"/>
    <w:rsid w:val="00250E8B"/>
    <w:rsid w:val="00251349"/>
    <w:rsid w:val="00251C5A"/>
    <w:rsid w:val="00251FFE"/>
    <w:rsid w:val="0025307A"/>
    <w:rsid w:val="002533CA"/>
    <w:rsid w:val="0025341B"/>
    <w:rsid w:val="00253951"/>
    <w:rsid w:val="00254054"/>
    <w:rsid w:val="00255327"/>
    <w:rsid w:val="002555EC"/>
    <w:rsid w:val="002558F6"/>
    <w:rsid w:val="00255920"/>
    <w:rsid w:val="0025593E"/>
    <w:rsid w:val="00255960"/>
    <w:rsid w:val="0025608F"/>
    <w:rsid w:val="002567AC"/>
    <w:rsid w:val="00256BE2"/>
    <w:rsid w:val="00257472"/>
    <w:rsid w:val="002574FF"/>
    <w:rsid w:val="002576A7"/>
    <w:rsid w:val="00257F2D"/>
    <w:rsid w:val="00260903"/>
    <w:rsid w:val="00260BC2"/>
    <w:rsid w:val="00261382"/>
    <w:rsid w:val="00261939"/>
    <w:rsid w:val="00261A14"/>
    <w:rsid w:val="00261C20"/>
    <w:rsid w:val="00261CAF"/>
    <w:rsid w:val="002624DB"/>
    <w:rsid w:val="00262896"/>
    <w:rsid w:val="002628CF"/>
    <w:rsid w:val="00262971"/>
    <w:rsid w:val="00263085"/>
    <w:rsid w:val="0026362B"/>
    <w:rsid w:val="00263CBF"/>
    <w:rsid w:val="00263FC2"/>
    <w:rsid w:val="002641D8"/>
    <w:rsid w:val="002641DC"/>
    <w:rsid w:val="00264320"/>
    <w:rsid w:val="0026438B"/>
    <w:rsid w:val="00264555"/>
    <w:rsid w:val="00264B02"/>
    <w:rsid w:val="00264DFE"/>
    <w:rsid w:val="002653EC"/>
    <w:rsid w:val="002656CD"/>
    <w:rsid w:val="00265BF7"/>
    <w:rsid w:val="00266300"/>
    <w:rsid w:val="00266BC0"/>
    <w:rsid w:val="00266CCF"/>
    <w:rsid w:val="00266D17"/>
    <w:rsid w:val="002673B6"/>
    <w:rsid w:val="002676CB"/>
    <w:rsid w:val="00267957"/>
    <w:rsid w:val="00267A1F"/>
    <w:rsid w:val="00267E6D"/>
    <w:rsid w:val="00267EB8"/>
    <w:rsid w:val="00267FD2"/>
    <w:rsid w:val="0027001C"/>
    <w:rsid w:val="0027003C"/>
    <w:rsid w:val="002701DF"/>
    <w:rsid w:val="0027041D"/>
    <w:rsid w:val="0027091B"/>
    <w:rsid w:val="00270F95"/>
    <w:rsid w:val="002710A6"/>
    <w:rsid w:val="00271441"/>
    <w:rsid w:val="00271E4C"/>
    <w:rsid w:val="002725BE"/>
    <w:rsid w:val="002726EE"/>
    <w:rsid w:val="00272DE1"/>
    <w:rsid w:val="00272FD8"/>
    <w:rsid w:val="00273094"/>
    <w:rsid w:val="0027377C"/>
    <w:rsid w:val="00273988"/>
    <w:rsid w:val="00273B48"/>
    <w:rsid w:val="00273C2E"/>
    <w:rsid w:val="00273FAC"/>
    <w:rsid w:val="00274A4E"/>
    <w:rsid w:val="00274DEE"/>
    <w:rsid w:val="0027511E"/>
    <w:rsid w:val="00275663"/>
    <w:rsid w:val="002756D3"/>
    <w:rsid w:val="00275C34"/>
    <w:rsid w:val="00275D5C"/>
    <w:rsid w:val="00275DE0"/>
    <w:rsid w:val="0027603F"/>
    <w:rsid w:val="002764ED"/>
    <w:rsid w:val="00276B9F"/>
    <w:rsid w:val="00277513"/>
    <w:rsid w:val="00280311"/>
    <w:rsid w:val="00280A3D"/>
    <w:rsid w:val="00281159"/>
    <w:rsid w:val="002811BE"/>
    <w:rsid w:val="002818FF"/>
    <w:rsid w:val="0028190B"/>
    <w:rsid w:val="00281CAD"/>
    <w:rsid w:val="00281E3B"/>
    <w:rsid w:val="00282600"/>
    <w:rsid w:val="00282856"/>
    <w:rsid w:val="0028347B"/>
    <w:rsid w:val="00283547"/>
    <w:rsid w:val="002840D0"/>
    <w:rsid w:val="002840EB"/>
    <w:rsid w:val="00284119"/>
    <w:rsid w:val="00284955"/>
    <w:rsid w:val="00285513"/>
    <w:rsid w:val="00285E79"/>
    <w:rsid w:val="00286033"/>
    <w:rsid w:val="002865C2"/>
    <w:rsid w:val="00286786"/>
    <w:rsid w:val="00287022"/>
    <w:rsid w:val="00287CF3"/>
    <w:rsid w:val="0029029C"/>
    <w:rsid w:val="00290F13"/>
    <w:rsid w:val="00291062"/>
    <w:rsid w:val="00291237"/>
    <w:rsid w:val="002913BA"/>
    <w:rsid w:val="00291609"/>
    <w:rsid w:val="0029193F"/>
    <w:rsid w:val="00291F7C"/>
    <w:rsid w:val="002920E6"/>
    <w:rsid w:val="00292883"/>
    <w:rsid w:val="00292AAF"/>
    <w:rsid w:val="00293361"/>
    <w:rsid w:val="002939D0"/>
    <w:rsid w:val="00293BB2"/>
    <w:rsid w:val="00293BDA"/>
    <w:rsid w:val="00293DF8"/>
    <w:rsid w:val="00294E67"/>
    <w:rsid w:val="00295404"/>
    <w:rsid w:val="002957F9"/>
    <w:rsid w:val="002966E2"/>
    <w:rsid w:val="00296B55"/>
    <w:rsid w:val="00296FA0"/>
    <w:rsid w:val="00297043"/>
    <w:rsid w:val="0029763A"/>
    <w:rsid w:val="0029779F"/>
    <w:rsid w:val="002979FB"/>
    <w:rsid w:val="00297A21"/>
    <w:rsid w:val="00297E03"/>
    <w:rsid w:val="002A0E2A"/>
    <w:rsid w:val="002A111B"/>
    <w:rsid w:val="002A1576"/>
    <w:rsid w:val="002A2497"/>
    <w:rsid w:val="002A2990"/>
    <w:rsid w:val="002A2A69"/>
    <w:rsid w:val="002A2E1A"/>
    <w:rsid w:val="002A30FF"/>
    <w:rsid w:val="002A3156"/>
    <w:rsid w:val="002A38C6"/>
    <w:rsid w:val="002A4010"/>
    <w:rsid w:val="002A4104"/>
    <w:rsid w:val="002A4694"/>
    <w:rsid w:val="002A4D37"/>
    <w:rsid w:val="002A4FAB"/>
    <w:rsid w:val="002A5542"/>
    <w:rsid w:val="002A55A8"/>
    <w:rsid w:val="002A56C3"/>
    <w:rsid w:val="002A595D"/>
    <w:rsid w:val="002A5DA0"/>
    <w:rsid w:val="002A6015"/>
    <w:rsid w:val="002A6116"/>
    <w:rsid w:val="002A62B4"/>
    <w:rsid w:val="002A6337"/>
    <w:rsid w:val="002A66F7"/>
    <w:rsid w:val="002A6BD8"/>
    <w:rsid w:val="002A74BA"/>
    <w:rsid w:val="002A76E0"/>
    <w:rsid w:val="002A7B5E"/>
    <w:rsid w:val="002B041E"/>
    <w:rsid w:val="002B0743"/>
    <w:rsid w:val="002B0958"/>
    <w:rsid w:val="002B0A07"/>
    <w:rsid w:val="002B0FE9"/>
    <w:rsid w:val="002B1000"/>
    <w:rsid w:val="002B11B6"/>
    <w:rsid w:val="002B1738"/>
    <w:rsid w:val="002B244E"/>
    <w:rsid w:val="002B245C"/>
    <w:rsid w:val="002B25CB"/>
    <w:rsid w:val="002B26B1"/>
    <w:rsid w:val="002B2CA5"/>
    <w:rsid w:val="002B3D4B"/>
    <w:rsid w:val="002B3F3E"/>
    <w:rsid w:val="002B44F5"/>
    <w:rsid w:val="002B4508"/>
    <w:rsid w:val="002B4696"/>
    <w:rsid w:val="002B4A90"/>
    <w:rsid w:val="002B4FE6"/>
    <w:rsid w:val="002B5158"/>
    <w:rsid w:val="002B5324"/>
    <w:rsid w:val="002B535E"/>
    <w:rsid w:val="002B658F"/>
    <w:rsid w:val="002B6644"/>
    <w:rsid w:val="002B68C3"/>
    <w:rsid w:val="002B6910"/>
    <w:rsid w:val="002B6A1D"/>
    <w:rsid w:val="002B6AA9"/>
    <w:rsid w:val="002B7C24"/>
    <w:rsid w:val="002C01CA"/>
    <w:rsid w:val="002C0352"/>
    <w:rsid w:val="002C0AB2"/>
    <w:rsid w:val="002C0DC9"/>
    <w:rsid w:val="002C1206"/>
    <w:rsid w:val="002C143A"/>
    <w:rsid w:val="002C1F52"/>
    <w:rsid w:val="002C3395"/>
    <w:rsid w:val="002C3801"/>
    <w:rsid w:val="002C4427"/>
    <w:rsid w:val="002C4627"/>
    <w:rsid w:val="002C543A"/>
    <w:rsid w:val="002C5532"/>
    <w:rsid w:val="002C5589"/>
    <w:rsid w:val="002C5611"/>
    <w:rsid w:val="002C5BFE"/>
    <w:rsid w:val="002C64C9"/>
    <w:rsid w:val="002C69A7"/>
    <w:rsid w:val="002C711E"/>
    <w:rsid w:val="002C73E0"/>
    <w:rsid w:val="002D008A"/>
    <w:rsid w:val="002D082B"/>
    <w:rsid w:val="002D0AA1"/>
    <w:rsid w:val="002D0ABB"/>
    <w:rsid w:val="002D0C33"/>
    <w:rsid w:val="002D0C79"/>
    <w:rsid w:val="002D1270"/>
    <w:rsid w:val="002D172A"/>
    <w:rsid w:val="002D17FF"/>
    <w:rsid w:val="002D1928"/>
    <w:rsid w:val="002D306E"/>
    <w:rsid w:val="002D365D"/>
    <w:rsid w:val="002D378C"/>
    <w:rsid w:val="002D38A8"/>
    <w:rsid w:val="002D3AB4"/>
    <w:rsid w:val="002D3B04"/>
    <w:rsid w:val="002D3B0A"/>
    <w:rsid w:val="002D4056"/>
    <w:rsid w:val="002D4251"/>
    <w:rsid w:val="002D4624"/>
    <w:rsid w:val="002D518B"/>
    <w:rsid w:val="002D59FF"/>
    <w:rsid w:val="002D5D92"/>
    <w:rsid w:val="002D62A6"/>
    <w:rsid w:val="002D63F9"/>
    <w:rsid w:val="002D6751"/>
    <w:rsid w:val="002D68BD"/>
    <w:rsid w:val="002D736B"/>
    <w:rsid w:val="002D748C"/>
    <w:rsid w:val="002D74D8"/>
    <w:rsid w:val="002D7DFE"/>
    <w:rsid w:val="002E0399"/>
    <w:rsid w:val="002E05A4"/>
    <w:rsid w:val="002E0F62"/>
    <w:rsid w:val="002E0FFF"/>
    <w:rsid w:val="002E10AD"/>
    <w:rsid w:val="002E1704"/>
    <w:rsid w:val="002E2501"/>
    <w:rsid w:val="002E2733"/>
    <w:rsid w:val="002E2A38"/>
    <w:rsid w:val="002E4513"/>
    <w:rsid w:val="002E4E5B"/>
    <w:rsid w:val="002E51AA"/>
    <w:rsid w:val="002E5F88"/>
    <w:rsid w:val="002E6A34"/>
    <w:rsid w:val="002E6D1F"/>
    <w:rsid w:val="002E6D64"/>
    <w:rsid w:val="002E78D4"/>
    <w:rsid w:val="002E7937"/>
    <w:rsid w:val="002E7AE2"/>
    <w:rsid w:val="002F04AD"/>
    <w:rsid w:val="002F14B9"/>
    <w:rsid w:val="002F1CB3"/>
    <w:rsid w:val="002F1F94"/>
    <w:rsid w:val="002F20BB"/>
    <w:rsid w:val="002F27EC"/>
    <w:rsid w:val="002F2C3D"/>
    <w:rsid w:val="002F2E8F"/>
    <w:rsid w:val="002F3B5E"/>
    <w:rsid w:val="002F3E22"/>
    <w:rsid w:val="002F3EA3"/>
    <w:rsid w:val="002F40C4"/>
    <w:rsid w:val="002F44F4"/>
    <w:rsid w:val="002F4677"/>
    <w:rsid w:val="002F46E1"/>
    <w:rsid w:val="002F49C4"/>
    <w:rsid w:val="002F4CD3"/>
    <w:rsid w:val="002F52D9"/>
    <w:rsid w:val="002F549C"/>
    <w:rsid w:val="002F5FC3"/>
    <w:rsid w:val="002F6087"/>
    <w:rsid w:val="002F654A"/>
    <w:rsid w:val="002F6F82"/>
    <w:rsid w:val="002F706B"/>
    <w:rsid w:val="002F78BD"/>
    <w:rsid w:val="002F7D57"/>
    <w:rsid w:val="002F7DA6"/>
    <w:rsid w:val="0030037A"/>
    <w:rsid w:val="003009B1"/>
    <w:rsid w:val="00300BA5"/>
    <w:rsid w:val="00301002"/>
    <w:rsid w:val="003029EE"/>
    <w:rsid w:val="00302D94"/>
    <w:rsid w:val="00303325"/>
    <w:rsid w:val="003039C6"/>
    <w:rsid w:val="003043C4"/>
    <w:rsid w:val="003046FF"/>
    <w:rsid w:val="0030497E"/>
    <w:rsid w:val="003049CB"/>
    <w:rsid w:val="00304A34"/>
    <w:rsid w:val="00304A88"/>
    <w:rsid w:val="003050D2"/>
    <w:rsid w:val="003050E5"/>
    <w:rsid w:val="00305568"/>
    <w:rsid w:val="003058C0"/>
    <w:rsid w:val="003058C1"/>
    <w:rsid w:val="00305CFA"/>
    <w:rsid w:val="0030677A"/>
    <w:rsid w:val="00306C2F"/>
    <w:rsid w:val="00306EEE"/>
    <w:rsid w:val="003070A7"/>
    <w:rsid w:val="00307138"/>
    <w:rsid w:val="00307777"/>
    <w:rsid w:val="00307B70"/>
    <w:rsid w:val="0031005E"/>
    <w:rsid w:val="003103A3"/>
    <w:rsid w:val="00311020"/>
    <w:rsid w:val="003110A7"/>
    <w:rsid w:val="003112C8"/>
    <w:rsid w:val="0031178A"/>
    <w:rsid w:val="00311BBF"/>
    <w:rsid w:val="00311E66"/>
    <w:rsid w:val="00312A26"/>
    <w:rsid w:val="003135DF"/>
    <w:rsid w:val="0031403C"/>
    <w:rsid w:val="003140AC"/>
    <w:rsid w:val="00314705"/>
    <w:rsid w:val="00314A2B"/>
    <w:rsid w:val="00316568"/>
    <w:rsid w:val="003166E8"/>
    <w:rsid w:val="003172B7"/>
    <w:rsid w:val="00317C6C"/>
    <w:rsid w:val="00317EF3"/>
    <w:rsid w:val="00320526"/>
    <w:rsid w:val="00320AEC"/>
    <w:rsid w:val="00320DA9"/>
    <w:rsid w:val="00321741"/>
    <w:rsid w:val="0032177C"/>
    <w:rsid w:val="00322575"/>
    <w:rsid w:val="003226AE"/>
    <w:rsid w:val="0032292E"/>
    <w:rsid w:val="00322A22"/>
    <w:rsid w:val="00322E1A"/>
    <w:rsid w:val="00322ECC"/>
    <w:rsid w:val="00322F4C"/>
    <w:rsid w:val="00323196"/>
    <w:rsid w:val="0032397B"/>
    <w:rsid w:val="00323B5C"/>
    <w:rsid w:val="00323DA3"/>
    <w:rsid w:val="00324752"/>
    <w:rsid w:val="00324E60"/>
    <w:rsid w:val="00324F75"/>
    <w:rsid w:val="0032549C"/>
    <w:rsid w:val="00325A55"/>
    <w:rsid w:val="00325D05"/>
    <w:rsid w:val="0032614D"/>
    <w:rsid w:val="00326729"/>
    <w:rsid w:val="003267F2"/>
    <w:rsid w:val="00327464"/>
    <w:rsid w:val="003274BB"/>
    <w:rsid w:val="00327725"/>
    <w:rsid w:val="00327C98"/>
    <w:rsid w:val="0033035F"/>
    <w:rsid w:val="00330644"/>
    <w:rsid w:val="0033102E"/>
    <w:rsid w:val="00331072"/>
    <w:rsid w:val="00331348"/>
    <w:rsid w:val="00331C06"/>
    <w:rsid w:val="00331C65"/>
    <w:rsid w:val="00331F2F"/>
    <w:rsid w:val="0033261E"/>
    <w:rsid w:val="00332AC7"/>
    <w:rsid w:val="00332C88"/>
    <w:rsid w:val="003330C3"/>
    <w:rsid w:val="003332A4"/>
    <w:rsid w:val="0033348F"/>
    <w:rsid w:val="003336EC"/>
    <w:rsid w:val="0033371F"/>
    <w:rsid w:val="00333763"/>
    <w:rsid w:val="00333A50"/>
    <w:rsid w:val="00333AE5"/>
    <w:rsid w:val="00333C09"/>
    <w:rsid w:val="00333CC2"/>
    <w:rsid w:val="00334057"/>
    <w:rsid w:val="0033414D"/>
    <w:rsid w:val="0033444F"/>
    <w:rsid w:val="003345E4"/>
    <w:rsid w:val="00334777"/>
    <w:rsid w:val="00335337"/>
    <w:rsid w:val="00335627"/>
    <w:rsid w:val="0033581F"/>
    <w:rsid w:val="00335EF1"/>
    <w:rsid w:val="00335FEA"/>
    <w:rsid w:val="00336045"/>
    <w:rsid w:val="003365AC"/>
    <w:rsid w:val="003368D4"/>
    <w:rsid w:val="00336BE2"/>
    <w:rsid w:val="00336EDC"/>
    <w:rsid w:val="0033769D"/>
    <w:rsid w:val="003376F4"/>
    <w:rsid w:val="00337C5F"/>
    <w:rsid w:val="00337E87"/>
    <w:rsid w:val="00340015"/>
    <w:rsid w:val="003400B7"/>
    <w:rsid w:val="00340208"/>
    <w:rsid w:val="0034024D"/>
    <w:rsid w:val="00340ECA"/>
    <w:rsid w:val="00341B35"/>
    <w:rsid w:val="00341B69"/>
    <w:rsid w:val="00341E81"/>
    <w:rsid w:val="00342520"/>
    <w:rsid w:val="00342787"/>
    <w:rsid w:val="00342EB5"/>
    <w:rsid w:val="003440EF"/>
    <w:rsid w:val="003447E9"/>
    <w:rsid w:val="00344829"/>
    <w:rsid w:val="00344DDE"/>
    <w:rsid w:val="003456FE"/>
    <w:rsid w:val="003458D6"/>
    <w:rsid w:val="00345A68"/>
    <w:rsid w:val="00346014"/>
    <w:rsid w:val="00346872"/>
    <w:rsid w:val="00346D3A"/>
    <w:rsid w:val="00346DA8"/>
    <w:rsid w:val="00346DB1"/>
    <w:rsid w:val="00347419"/>
    <w:rsid w:val="0034750C"/>
    <w:rsid w:val="003476E4"/>
    <w:rsid w:val="00350272"/>
    <w:rsid w:val="00350E3F"/>
    <w:rsid w:val="00350F6A"/>
    <w:rsid w:val="00351268"/>
    <w:rsid w:val="0035132C"/>
    <w:rsid w:val="00351D24"/>
    <w:rsid w:val="0035200F"/>
    <w:rsid w:val="003525FE"/>
    <w:rsid w:val="003528A1"/>
    <w:rsid w:val="00352F18"/>
    <w:rsid w:val="00353388"/>
    <w:rsid w:val="00353DED"/>
    <w:rsid w:val="00353E86"/>
    <w:rsid w:val="00354602"/>
    <w:rsid w:val="0035588B"/>
    <w:rsid w:val="00355963"/>
    <w:rsid w:val="003559C7"/>
    <w:rsid w:val="00355E47"/>
    <w:rsid w:val="003560B2"/>
    <w:rsid w:val="00356205"/>
    <w:rsid w:val="00356271"/>
    <w:rsid w:val="00356787"/>
    <w:rsid w:val="00356CE3"/>
    <w:rsid w:val="00356E6D"/>
    <w:rsid w:val="00356FFC"/>
    <w:rsid w:val="00357D9A"/>
    <w:rsid w:val="003605A9"/>
    <w:rsid w:val="003608DA"/>
    <w:rsid w:val="00360B98"/>
    <w:rsid w:val="00360C1C"/>
    <w:rsid w:val="00360EA7"/>
    <w:rsid w:val="0036106A"/>
    <w:rsid w:val="00361D11"/>
    <w:rsid w:val="00361DE1"/>
    <w:rsid w:val="00361F47"/>
    <w:rsid w:val="00361F4B"/>
    <w:rsid w:val="00362CDC"/>
    <w:rsid w:val="00362E0A"/>
    <w:rsid w:val="0036314B"/>
    <w:rsid w:val="00363220"/>
    <w:rsid w:val="00363446"/>
    <w:rsid w:val="0036344A"/>
    <w:rsid w:val="0036373A"/>
    <w:rsid w:val="00363A66"/>
    <w:rsid w:val="00363BDC"/>
    <w:rsid w:val="0036450A"/>
    <w:rsid w:val="00364664"/>
    <w:rsid w:val="003646E1"/>
    <w:rsid w:val="00364F6F"/>
    <w:rsid w:val="003652C4"/>
    <w:rsid w:val="00365676"/>
    <w:rsid w:val="00365A98"/>
    <w:rsid w:val="00366430"/>
    <w:rsid w:val="00366B78"/>
    <w:rsid w:val="00366CF1"/>
    <w:rsid w:val="00366EF7"/>
    <w:rsid w:val="00366F14"/>
    <w:rsid w:val="00367685"/>
    <w:rsid w:val="00367840"/>
    <w:rsid w:val="00367CAF"/>
    <w:rsid w:val="00367F51"/>
    <w:rsid w:val="00370F12"/>
    <w:rsid w:val="00371181"/>
    <w:rsid w:val="0037124D"/>
    <w:rsid w:val="00371403"/>
    <w:rsid w:val="00371773"/>
    <w:rsid w:val="003717AF"/>
    <w:rsid w:val="003717F8"/>
    <w:rsid w:val="0037180B"/>
    <w:rsid w:val="003721E0"/>
    <w:rsid w:val="003723D1"/>
    <w:rsid w:val="003725F4"/>
    <w:rsid w:val="00372684"/>
    <w:rsid w:val="00372933"/>
    <w:rsid w:val="00373DE7"/>
    <w:rsid w:val="0037483E"/>
    <w:rsid w:val="00375A87"/>
    <w:rsid w:val="00375AAB"/>
    <w:rsid w:val="0037662A"/>
    <w:rsid w:val="00377193"/>
    <w:rsid w:val="003776F4"/>
    <w:rsid w:val="003778E2"/>
    <w:rsid w:val="003779C0"/>
    <w:rsid w:val="00377A56"/>
    <w:rsid w:val="00377D4B"/>
    <w:rsid w:val="00377E84"/>
    <w:rsid w:val="00380326"/>
    <w:rsid w:val="00381166"/>
    <w:rsid w:val="00381393"/>
    <w:rsid w:val="003813F8"/>
    <w:rsid w:val="0038157C"/>
    <w:rsid w:val="00382051"/>
    <w:rsid w:val="003823CD"/>
    <w:rsid w:val="00383023"/>
    <w:rsid w:val="0038303B"/>
    <w:rsid w:val="00383230"/>
    <w:rsid w:val="003844F8"/>
    <w:rsid w:val="00384748"/>
    <w:rsid w:val="00384C33"/>
    <w:rsid w:val="00384F17"/>
    <w:rsid w:val="00385010"/>
    <w:rsid w:val="0038519D"/>
    <w:rsid w:val="003852E7"/>
    <w:rsid w:val="00385813"/>
    <w:rsid w:val="003859F5"/>
    <w:rsid w:val="00385BB6"/>
    <w:rsid w:val="00385E2A"/>
    <w:rsid w:val="00386D06"/>
    <w:rsid w:val="00386F4D"/>
    <w:rsid w:val="0038707D"/>
    <w:rsid w:val="003871FF"/>
    <w:rsid w:val="0038737B"/>
    <w:rsid w:val="0038748C"/>
    <w:rsid w:val="00387547"/>
    <w:rsid w:val="00387616"/>
    <w:rsid w:val="0038776C"/>
    <w:rsid w:val="00390391"/>
    <w:rsid w:val="00390587"/>
    <w:rsid w:val="00390748"/>
    <w:rsid w:val="00390C07"/>
    <w:rsid w:val="0039107D"/>
    <w:rsid w:val="003913C1"/>
    <w:rsid w:val="00391543"/>
    <w:rsid w:val="00391E13"/>
    <w:rsid w:val="00392D31"/>
    <w:rsid w:val="00393719"/>
    <w:rsid w:val="00393822"/>
    <w:rsid w:val="00393884"/>
    <w:rsid w:val="00394BF0"/>
    <w:rsid w:val="00394C0C"/>
    <w:rsid w:val="003953C5"/>
    <w:rsid w:val="00395F81"/>
    <w:rsid w:val="003962DB"/>
    <w:rsid w:val="00396401"/>
    <w:rsid w:val="003964E6"/>
    <w:rsid w:val="003973AD"/>
    <w:rsid w:val="00397495"/>
    <w:rsid w:val="00397A27"/>
    <w:rsid w:val="00397AD7"/>
    <w:rsid w:val="003A030F"/>
    <w:rsid w:val="003A0B8C"/>
    <w:rsid w:val="003A1AA1"/>
    <w:rsid w:val="003A1BA2"/>
    <w:rsid w:val="003A1D8C"/>
    <w:rsid w:val="003A22AF"/>
    <w:rsid w:val="003A22D7"/>
    <w:rsid w:val="003A2BD8"/>
    <w:rsid w:val="003A376A"/>
    <w:rsid w:val="003A3A35"/>
    <w:rsid w:val="003A3A58"/>
    <w:rsid w:val="003A4802"/>
    <w:rsid w:val="003A4BAE"/>
    <w:rsid w:val="003A4E21"/>
    <w:rsid w:val="003A524A"/>
    <w:rsid w:val="003A5A9F"/>
    <w:rsid w:val="003A607E"/>
    <w:rsid w:val="003A64EB"/>
    <w:rsid w:val="003A6529"/>
    <w:rsid w:val="003A65EC"/>
    <w:rsid w:val="003A6671"/>
    <w:rsid w:val="003A66DC"/>
    <w:rsid w:val="003A6CF2"/>
    <w:rsid w:val="003A753D"/>
    <w:rsid w:val="003B0217"/>
    <w:rsid w:val="003B02CC"/>
    <w:rsid w:val="003B036A"/>
    <w:rsid w:val="003B0945"/>
    <w:rsid w:val="003B2953"/>
    <w:rsid w:val="003B2B13"/>
    <w:rsid w:val="003B2F11"/>
    <w:rsid w:val="003B309D"/>
    <w:rsid w:val="003B32A0"/>
    <w:rsid w:val="003B37B5"/>
    <w:rsid w:val="003B382F"/>
    <w:rsid w:val="003B4BE9"/>
    <w:rsid w:val="003B4DD6"/>
    <w:rsid w:val="003B5139"/>
    <w:rsid w:val="003B536A"/>
    <w:rsid w:val="003B54FA"/>
    <w:rsid w:val="003B5585"/>
    <w:rsid w:val="003B57AE"/>
    <w:rsid w:val="003B592E"/>
    <w:rsid w:val="003B5944"/>
    <w:rsid w:val="003B59A4"/>
    <w:rsid w:val="003B6354"/>
    <w:rsid w:val="003B635A"/>
    <w:rsid w:val="003B711B"/>
    <w:rsid w:val="003B72D5"/>
    <w:rsid w:val="003B7307"/>
    <w:rsid w:val="003B7FEC"/>
    <w:rsid w:val="003C034F"/>
    <w:rsid w:val="003C0410"/>
    <w:rsid w:val="003C06BB"/>
    <w:rsid w:val="003C07E2"/>
    <w:rsid w:val="003C08A2"/>
    <w:rsid w:val="003C0D10"/>
    <w:rsid w:val="003C133E"/>
    <w:rsid w:val="003C17AC"/>
    <w:rsid w:val="003C1A13"/>
    <w:rsid w:val="003C1B0D"/>
    <w:rsid w:val="003C27DF"/>
    <w:rsid w:val="003C2AD8"/>
    <w:rsid w:val="003C2F15"/>
    <w:rsid w:val="003C3016"/>
    <w:rsid w:val="003C36A3"/>
    <w:rsid w:val="003C36B1"/>
    <w:rsid w:val="003C36C8"/>
    <w:rsid w:val="003C4C06"/>
    <w:rsid w:val="003C4C99"/>
    <w:rsid w:val="003C5364"/>
    <w:rsid w:val="003C592F"/>
    <w:rsid w:val="003C680B"/>
    <w:rsid w:val="003C6DB0"/>
    <w:rsid w:val="003C7DA0"/>
    <w:rsid w:val="003C7DBD"/>
    <w:rsid w:val="003D03AC"/>
    <w:rsid w:val="003D0408"/>
    <w:rsid w:val="003D0F29"/>
    <w:rsid w:val="003D1345"/>
    <w:rsid w:val="003D183D"/>
    <w:rsid w:val="003D2750"/>
    <w:rsid w:val="003D2A15"/>
    <w:rsid w:val="003D2C35"/>
    <w:rsid w:val="003D3800"/>
    <w:rsid w:val="003D39D0"/>
    <w:rsid w:val="003D3A5E"/>
    <w:rsid w:val="003D3DE1"/>
    <w:rsid w:val="003D402F"/>
    <w:rsid w:val="003D439E"/>
    <w:rsid w:val="003D4C40"/>
    <w:rsid w:val="003D506F"/>
    <w:rsid w:val="003D510A"/>
    <w:rsid w:val="003D5436"/>
    <w:rsid w:val="003D5806"/>
    <w:rsid w:val="003D5D92"/>
    <w:rsid w:val="003D6D4D"/>
    <w:rsid w:val="003D7299"/>
    <w:rsid w:val="003D7888"/>
    <w:rsid w:val="003E006B"/>
    <w:rsid w:val="003E0997"/>
    <w:rsid w:val="003E0AD3"/>
    <w:rsid w:val="003E0FAF"/>
    <w:rsid w:val="003E124C"/>
    <w:rsid w:val="003E1CD1"/>
    <w:rsid w:val="003E2900"/>
    <w:rsid w:val="003E29A5"/>
    <w:rsid w:val="003E2D62"/>
    <w:rsid w:val="003E2E8D"/>
    <w:rsid w:val="003E3686"/>
    <w:rsid w:val="003E3772"/>
    <w:rsid w:val="003E37D8"/>
    <w:rsid w:val="003E4287"/>
    <w:rsid w:val="003E42B0"/>
    <w:rsid w:val="003E49A8"/>
    <w:rsid w:val="003E4C93"/>
    <w:rsid w:val="003E50E8"/>
    <w:rsid w:val="003E5834"/>
    <w:rsid w:val="003E5EA7"/>
    <w:rsid w:val="003E6912"/>
    <w:rsid w:val="003E694C"/>
    <w:rsid w:val="003E69AE"/>
    <w:rsid w:val="003E6A97"/>
    <w:rsid w:val="003E6EB6"/>
    <w:rsid w:val="003E7025"/>
    <w:rsid w:val="003E7031"/>
    <w:rsid w:val="003E74A5"/>
    <w:rsid w:val="003E776A"/>
    <w:rsid w:val="003E79B0"/>
    <w:rsid w:val="003E7AEF"/>
    <w:rsid w:val="003E7E88"/>
    <w:rsid w:val="003F0435"/>
    <w:rsid w:val="003F05C2"/>
    <w:rsid w:val="003F0EBB"/>
    <w:rsid w:val="003F1970"/>
    <w:rsid w:val="003F2C8A"/>
    <w:rsid w:val="003F2C98"/>
    <w:rsid w:val="003F2F5F"/>
    <w:rsid w:val="003F3685"/>
    <w:rsid w:val="003F3B5F"/>
    <w:rsid w:val="003F3F7A"/>
    <w:rsid w:val="003F4E6A"/>
    <w:rsid w:val="003F5455"/>
    <w:rsid w:val="003F5841"/>
    <w:rsid w:val="003F5E02"/>
    <w:rsid w:val="003F6315"/>
    <w:rsid w:val="003F6364"/>
    <w:rsid w:val="003F6622"/>
    <w:rsid w:val="003F67F9"/>
    <w:rsid w:val="003F70E5"/>
    <w:rsid w:val="003F7162"/>
    <w:rsid w:val="003F76ED"/>
    <w:rsid w:val="003F7B39"/>
    <w:rsid w:val="003F7BD9"/>
    <w:rsid w:val="003F7BF9"/>
    <w:rsid w:val="003F7C7D"/>
    <w:rsid w:val="003F7CBE"/>
    <w:rsid w:val="0040045A"/>
    <w:rsid w:val="004005E1"/>
    <w:rsid w:val="00400BB7"/>
    <w:rsid w:val="00400D12"/>
    <w:rsid w:val="00401018"/>
    <w:rsid w:val="0040109D"/>
    <w:rsid w:val="004010A1"/>
    <w:rsid w:val="00401325"/>
    <w:rsid w:val="004017DD"/>
    <w:rsid w:val="00402346"/>
    <w:rsid w:val="0040244A"/>
    <w:rsid w:val="0040276B"/>
    <w:rsid w:val="00402A58"/>
    <w:rsid w:val="004031EB"/>
    <w:rsid w:val="00403812"/>
    <w:rsid w:val="00403ADC"/>
    <w:rsid w:val="00404C7B"/>
    <w:rsid w:val="00404F72"/>
    <w:rsid w:val="004058DA"/>
    <w:rsid w:val="004066B7"/>
    <w:rsid w:val="004069D1"/>
    <w:rsid w:val="00407656"/>
    <w:rsid w:val="00407C4D"/>
    <w:rsid w:val="00407CB1"/>
    <w:rsid w:val="00407D48"/>
    <w:rsid w:val="00407DC4"/>
    <w:rsid w:val="00410081"/>
    <w:rsid w:val="0041062E"/>
    <w:rsid w:val="00410E5B"/>
    <w:rsid w:val="00411715"/>
    <w:rsid w:val="00411853"/>
    <w:rsid w:val="00412CBD"/>
    <w:rsid w:val="00412D9B"/>
    <w:rsid w:val="004130E7"/>
    <w:rsid w:val="0041314E"/>
    <w:rsid w:val="0041331A"/>
    <w:rsid w:val="004136AB"/>
    <w:rsid w:val="004137BF"/>
    <w:rsid w:val="004138C7"/>
    <w:rsid w:val="004139F3"/>
    <w:rsid w:val="00413EA6"/>
    <w:rsid w:val="00414133"/>
    <w:rsid w:val="004142C6"/>
    <w:rsid w:val="004144D8"/>
    <w:rsid w:val="00414557"/>
    <w:rsid w:val="00414A8C"/>
    <w:rsid w:val="00414FA6"/>
    <w:rsid w:val="004152C0"/>
    <w:rsid w:val="00415321"/>
    <w:rsid w:val="00415C42"/>
    <w:rsid w:val="00415DCE"/>
    <w:rsid w:val="00416C22"/>
    <w:rsid w:val="004203D3"/>
    <w:rsid w:val="00421A51"/>
    <w:rsid w:val="00421C1C"/>
    <w:rsid w:val="00421D1B"/>
    <w:rsid w:val="0042289E"/>
    <w:rsid w:val="004229AE"/>
    <w:rsid w:val="00422D51"/>
    <w:rsid w:val="00423427"/>
    <w:rsid w:val="00423621"/>
    <w:rsid w:val="00423954"/>
    <w:rsid w:val="00423AA3"/>
    <w:rsid w:val="00423C64"/>
    <w:rsid w:val="00424E62"/>
    <w:rsid w:val="0042533F"/>
    <w:rsid w:val="00425640"/>
    <w:rsid w:val="00426BE8"/>
    <w:rsid w:val="00427180"/>
    <w:rsid w:val="00427313"/>
    <w:rsid w:val="00427471"/>
    <w:rsid w:val="00427D2B"/>
    <w:rsid w:val="00427E00"/>
    <w:rsid w:val="00427F09"/>
    <w:rsid w:val="004300DF"/>
    <w:rsid w:val="00430147"/>
    <w:rsid w:val="004308AF"/>
    <w:rsid w:val="004308B1"/>
    <w:rsid w:val="00430A3D"/>
    <w:rsid w:val="0043113C"/>
    <w:rsid w:val="0043135F"/>
    <w:rsid w:val="00431B2A"/>
    <w:rsid w:val="00431B4C"/>
    <w:rsid w:val="004323E4"/>
    <w:rsid w:val="0043251C"/>
    <w:rsid w:val="004327EA"/>
    <w:rsid w:val="00432A07"/>
    <w:rsid w:val="00433731"/>
    <w:rsid w:val="00433776"/>
    <w:rsid w:val="00434205"/>
    <w:rsid w:val="0043428E"/>
    <w:rsid w:val="0043444B"/>
    <w:rsid w:val="004347B3"/>
    <w:rsid w:val="00435119"/>
    <w:rsid w:val="004367CC"/>
    <w:rsid w:val="00436E08"/>
    <w:rsid w:val="00436FBA"/>
    <w:rsid w:val="00436FCA"/>
    <w:rsid w:val="004372ED"/>
    <w:rsid w:val="00437C85"/>
    <w:rsid w:val="00440097"/>
    <w:rsid w:val="004401EB"/>
    <w:rsid w:val="00440594"/>
    <w:rsid w:val="00441A05"/>
    <w:rsid w:val="00441A9F"/>
    <w:rsid w:val="00441C49"/>
    <w:rsid w:val="004420E6"/>
    <w:rsid w:val="0044225E"/>
    <w:rsid w:val="004423ED"/>
    <w:rsid w:val="00442797"/>
    <w:rsid w:val="00442EB9"/>
    <w:rsid w:val="00443172"/>
    <w:rsid w:val="004434CA"/>
    <w:rsid w:val="00443661"/>
    <w:rsid w:val="00443C29"/>
    <w:rsid w:val="00443D04"/>
    <w:rsid w:val="00443F1B"/>
    <w:rsid w:val="004442F9"/>
    <w:rsid w:val="004443FE"/>
    <w:rsid w:val="0044450E"/>
    <w:rsid w:val="004445FB"/>
    <w:rsid w:val="00444854"/>
    <w:rsid w:val="00444902"/>
    <w:rsid w:val="00444B1D"/>
    <w:rsid w:val="004457D4"/>
    <w:rsid w:val="00446873"/>
    <w:rsid w:val="00446A0D"/>
    <w:rsid w:val="00446BB7"/>
    <w:rsid w:val="00446C49"/>
    <w:rsid w:val="00446DC8"/>
    <w:rsid w:val="00447126"/>
    <w:rsid w:val="0044757D"/>
    <w:rsid w:val="004475D3"/>
    <w:rsid w:val="004479B6"/>
    <w:rsid w:val="00447AFC"/>
    <w:rsid w:val="0045002C"/>
    <w:rsid w:val="00450D32"/>
    <w:rsid w:val="00450FED"/>
    <w:rsid w:val="00451677"/>
    <w:rsid w:val="00451DBE"/>
    <w:rsid w:val="0045259C"/>
    <w:rsid w:val="00452663"/>
    <w:rsid w:val="0045279C"/>
    <w:rsid w:val="0045288E"/>
    <w:rsid w:val="00452909"/>
    <w:rsid w:val="004529A5"/>
    <w:rsid w:val="00452C64"/>
    <w:rsid w:val="004533FF"/>
    <w:rsid w:val="00453497"/>
    <w:rsid w:val="00453C9C"/>
    <w:rsid w:val="0045445D"/>
    <w:rsid w:val="0045470F"/>
    <w:rsid w:val="00454736"/>
    <w:rsid w:val="00454C10"/>
    <w:rsid w:val="00455061"/>
    <w:rsid w:val="0045524F"/>
    <w:rsid w:val="00455D41"/>
    <w:rsid w:val="00456625"/>
    <w:rsid w:val="004568D4"/>
    <w:rsid w:val="00456A2B"/>
    <w:rsid w:val="00456CE0"/>
    <w:rsid w:val="00456D6D"/>
    <w:rsid w:val="00457474"/>
    <w:rsid w:val="004577B9"/>
    <w:rsid w:val="00457FF3"/>
    <w:rsid w:val="004605EF"/>
    <w:rsid w:val="004610C6"/>
    <w:rsid w:val="00461478"/>
    <w:rsid w:val="004614F1"/>
    <w:rsid w:val="004618A0"/>
    <w:rsid w:val="004618C8"/>
    <w:rsid w:val="00461A96"/>
    <w:rsid w:val="00462B36"/>
    <w:rsid w:val="00463086"/>
    <w:rsid w:val="0046431B"/>
    <w:rsid w:val="00464559"/>
    <w:rsid w:val="004646B7"/>
    <w:rsid w:val="00464EF7"/>
    <w:rsid w:val="00464F73"/>
    <w:rsid w:val="00464F7C"/>
    <w:rsid w:val="00465441"/>
    <w:rsid w:val="004654BE"/>
    <w:rsid w:val="00465C78"/>
    <w:rsid w:val="00465CC2"/>
    <w:rsid w:val="00466490"/>
    <w:rsid w:val="0046651C"/>
    <w:rsid w:val="004669B2"/>
    <w:rsid w:val="00466A48"/>
    <w:rsid w:val="0046706D"/>
    <w:rsid w:val="00467138"/>
    <w:rsid w:val="004675AD"/>
    <w:rsid w:val="00467763"/>
    <w:rsid w:val="00467B41"/>
    <w:rsid w:val="00470094"/>
    <w:rsid w:val="00470EF3"/>
    <w:rsid w:val="004712A5"/>
    <w:rsid w:val="00471D50"/>
    <w:rsid w:val="00472C65"/>
    <w:rsid w:val="00472F02"/>
    <w:rsid w:val="00473D39"/>
    <w:rsid w:val="0047442F"/>
    <w:rsid w:val="0047453A"/>
    <w:rsid w:val="00474839"/>
    <w:rsid w:val="00474A49"/>
    <w:rsid w:val="00474ACD"/>
    <w:rsid w:val="00475148"/>
    <w:rsid w:val="0047518B"/>
    <w:rsid w:val="00475BD2"/>
    <w:rsid w:val="00475D54"/>
    <w:rsid w:val="00475E1C"/>
    <w:rsid w:val="00475F13"/>
    <w:rsid w:val="004764FF"/>
    <w:rsid w:val="0047661E"/>
    <w:rsid w:val="00476959"/>
    <w:rsid w:val="00476CEF"/>
    <w:rsid w:val="00476D45"/>
    <w:rsid w:val="004778D8"/>
    <w:rsid w:val="00477BC1"/>
    <w:rsid w:val="0048046D"/>
    <w:rsid w:val="00480559"/>
    <w:rsid w:val="004807B5"/>
    <w:rsid w:val="0048126E"/>
    <w:rsid w:val="00481B01"/>
    <w:rsid w:val="004822DE"/>
    <w:rsid w:val="0048280D"/>
    <w:rsid w:val="00482C1B"/>
    <w:rsid w:val="0048342A"/>
    <w:rsid w:val="004839FA"/>
    <w:rsid w:val="00483F97"/>
    <w:rsid w:val="00484230"/>
    <w:rsid w:val="004845E3"/>
    <w:rsid w:val="0048490E"/>
    <w:rsid w:val="004851E4"/>
    <w:rsid w:val="0048657E"/>
    <w:rsid w:val="00486FAF"/>
    <w:rsid w:val="00487707"/>
    <w:rsid w:val="00487E46"/>
    <w:rsid w:val="004900D2"/>
    <w:rsid w:val="004906F8"/>
    <w:rsid w:val="00490733"/>
    <w:rsid w:val="00490781"/>
    <w:rsid w:val="00490EE5"/>
    <w:rsid w:val="0049111A"/>
    <w:rsid w:val="00491E84"/>
    <w:rsid w:val="00491FDE"/>
    <w:rsid w:val="0049221B"/>
    <w:rsid w:val="0049255E"/>
    <w:rsid w:val="00492738"/>
    <w:rsid w:val="0049278F"/>
    <w:rsid w:val="004929CF"/>
    <w:rsid w:val="00492BF6"/>
    <w:rsid w:val="00493528"/>
    <w:rsid w:val="00493FA5"/>
    <w:rsid w:val="00494AF5"/>
    <w:rsid w:val="0049505E"/>
    <w:rsid w:val="004953DD"/>
    <w:rsid w:val="0049551D"/>
    <w:rsid w:val="00495A84"/>
    <w:rsid w:val="00495B2B"/>
    <w:rsid w:val="004961EC"/>
    <w:rsid w:val="0049650A"/>
    <w:rsid w:val="00496A1E"/>
    <w:rsid w:val="00497091"/>
    <w:rsid w:val="004970A3"/>
    <w:rsid w:val="0049729B"/>
    <w:rsid w:val="004975BB"/>
    <w:rsid w:val="004978D0"/>
    <w:rsid w:val="0049792F"/>
    <w:rsid w:val="00497CFE"/>
    <w:rsid w:val="00497E00"/>
    <w:rsid w:val="00497F50"/>
    <w:rsid w:val="004A00DC"/>
    <w:rsid w:val="004A089B"/>
    <w:rsid w:val="004A0CCC"/>
    <w:rsid w:val="004A127C"/>
    <w:rsid w:val="004A1380"/>
    <w:rsid w:val="004A17AB"/>
    <w:rsid w:val="004A1800"/>
    <w:rsid w:val="004A188F"/>
    <w:rsid w:val="004A1993"/>
    <w:rsid w:val="004A1C17"/>
    <w:rsid w:val="004A1C1F"/>
    <w:rsid w:val="004A1CFB"/>
    <w:rsid w:val="004A1D69"/>
    <w:rsid w:val="004A21B6"/>
    <w:rsid w:val="004A2785"/>
    <w:rsid w:val="004A2A2C"/>
    <w:rsid w:val="004A31EF"/>
    <w:rsid w:val="004A363A"/>
    <w:rsid w:val="004A3AAC"/>
    <w:rsid w:val="004A3BC9"/>
    <w:rsid w:val="004A48C8"/>
    <w:rsid w:val="004A4A99"/>
    <w:rsid w:val="004A5750"/>
    <w:rsid w:val="004A5C04"/>
    <w:rsid w:val="004A6529"/>
    <w:rsid w:val="004A6566"/>
    <w:rsid w:val="004A65DC"/>
    <w:rsid w:val="004A66BE"/>
    <w:rsid w:val="004A6AA9"/>
    <w:rsid w:val="004A70A1"/>
    <w:rsid w:val="004A71B2"/>
    <w:rsid w:val="004A736E"/>
    <w:rsid w:val="004A7843"/>
    <w:rsid w:val="004A7960"/>
    <w:rsid w:val="004A7D07"/>
    <w:rsid w:val="004B02FE"/>
    <w:rsid w:val="004B052A"/>
    <w:rsid w:val="004B08B6"/>
    <w:rsid w:val="004B08BB"/>
    <w:rsid w:val="004B0A54"/>
    <w:rsid w:val="004B1CAC"/>
    <w:rsid w:val="004B1CE8"/>
    <w:rsid w:val="004B20A9"/>
    <w:rsid w:val="004B28E7"/>
    <w:rsid w:val="004B328B"/>
    <w:rsid w:val="004B3802"/>
    <w:rsid w:val="004B42B6"/>
    <w:rsid w:val="004B43BA"/>
    <w:rsid w:val="004B49F5"/>
    <w:rsid w:val="004B50E9"/>
    <w:rsid w:val="004B5184"/>
    <w:rsid w:val="004B537F"/>
    <w:rsid w:val="004B5480"/>
    <w:rsid w:val="004B5CB3"/>
    <w:rsid w:val="004B5DE5"/>
    <w:rsid w:val="004B6160"/>
    <w:rsid w:val="004B65AA"/>
    <w:rsid w:val="004B690D"/>
    <w:rsid w:val="004B6957"/>
    <w:rsid w:val="004B6A47"/>
    <w:rsid w:val="004B6D0A"/>
    <w:rsid w:val="004B6E41"/>
    <w:rsid w:val="004B7269"/>
    <w:rsid w:val="004B7650"/>
    <w:rsid w:val="004B7715"/>
    <w:rsid w:val="004B7A0A"/>
    <w:rsid w:val="004B7AEF"/>
    <w:rsid w:val="004B7C68"/>
    <w:rsid w:val="004B7E73"/>
    <w:rsid w:val="004C07B5"/>
    <w:rsid w:val="004C0953"/>
    <w:rsid w:val="004C0C56"/>
    <w:rsid w:val="004C1074"/>
    <w:rsid w:val="004C1356"/>
    <w:rsid w:val="004C1A33"/>
    <w:rsid w:val="004C1A59"/>
    <w:rsid w:val="004C1C49"/>
    <w:rsid w:val="004C23EA"/>
    <w:rsid w:val="004C2982"/>
    <w:rsid w:val="004C2BEC"/>
    <w:rsid w:val="004C2FA7"/>
    <w:rsid w:val="004C319B"/>
    <w:rsid w:val="004C3E4F"/>
    <w:rsid w:val="004C4327"/>
    <w:rsid w:val="004C43D8"/>
    <w:rsid w:val="004C4AFF"/>
    <w:rsid w:val="004C4F62"/>
    <w:rsid w:val="004C53BC"/>
    <w:rsid w:val="004C544C"/>
    <w:rsid w:val="004C59D6"/>
    <w:rsid w:val="004C62EA"/>
    <w:rsid w:val="004C63C7"/>
    <w:rsid w:val="004C6864"/>
    <w:rsid w:val="004C6B67"/>
    <w:rsid w:val="004C6D22"/>
    <w:rsid w:val="004C6ECD"/>
    <w:rsid w:val="004C6F5E"/>
    <w:rsid w:val="004C7997"/>
    <w:rsid w:val="004C79D0"/>
    <w:rsid w:val="004D00F8"/>
    <w:rsid w:val="004D0740"/>
    <w:rsid w:val="004D1599"/>
    <w:rsid w:val="004D1976"/>
    <w:rsid w:val="004D1BB0"/>
    <w:rsid w:val="004D1F69"/>
    <w:rsid w:val="004D2097"/>
    <w:rsid w:val="004D24E5"/>
    <w:rsid w:val="004D27AD"/>
    <w:rsid w:val="004D27BF"/>
    <w:rsid w:val="004D2AB4"/>
    <w:rsid w:val="004D2B21"/>
    <w:rsid w:val="004D2CED"/>
    <w:rsid w:val="004D2DF1"/>
    <w:rsid w:val="004D2FD7"/>
    <w:rsid w:val="004D31D1"/>
    <w:rsid w:val="004D32BA"/>
    <w:rsid w:val="004D353F"/>
    <w:rsid w:val="004D3C3B"/>
    <w:rsid w:val="004D3DAD"/>
    <w:rsid w:val="004D4D71"/>
    <w:rsid w:val="004D56B9"/>
    <w:rsid w:val="004D5807"/>
    <w:rsid w:val="004D662C"/>
    <w:rsid w:val="004D6E0F"/>
    <w:rsid w:val="004D72EB"/>
    <w:rsid w:val="004D74E6"/>
    <w:rsid w:val="004D77A2"/>
    <w:rsid w:val="004E0D39"/>
    <w:rsid w:val="004E128E"/>
    <w:rsid w:val="004E180C"/>
    <w:rsid w:val="004E1E68"/>
    <w:rsid w:val="004E1FFE"/>
    <w:rsid w:val="004E2705"/>
    <w:rsid w:val="004E28AF"/>
    <w:rsid w:val="004E2AEE"/>
    <w:rsid w:val="004E3B53"/>
    <w:rsid w:val="004E3FA1"/>
    <w:rsid w:val="004E4C1B"/>
    <w:rsid w:val="004E4F7B"/>
    <w:rsid w:val="004E582F"/>
    <w:rsid w:val="004E5982"/>
    <w:rsid w:val="004E5F11"/>
    <w:rsid w:val="004E6306"/>
    <w:rsid w:val="004E6BDB"/>
    <w:rsid w:val="004E74B0"/>
    <w:rsid w:val="004F0125"/>
    <w:rsid w:val="004F0186"/>
    <w:rsid w:val="004F06D0"/>
    <w:rsid w:val="004F1802"/>
    <w:rsid w:val="004F1847"/>
    <w:rsid w:val="004F19A6"/>
    <w:rsid w:val="004F2398"/>
    <w:rsid w:val="004F2CBB"/>
    <w:rsid w:val="004F2EF4"/>
    <w:rsid w:val="004F357B"/>
    <w:rsid w:val="004F3656"/>
    <w:rsid w:val="004F3CBB"/>
    <w:rsid w:val="004F41F7"/>
    <w:rsid w:val="004F49A1"/>
    <w:rsid w:val="004F5942"/>
    <w:rsid w:val="004F5C72"/>
    <w:rsid w:val="004F602D"/>
    <w:rsid w:val="004F6608"/>
    <w:rsid w:val="004F69AC"/>
    <w:rsid w:val="004F6B0B"/>
    <w:rsid w:val="004F7082"/>
    <w:rsid w:val="004F7F74"/>
    <w:rsid w:val="00500204"/>
    <w:rsid w:val="00500504"/>
    <w:rsid w:val="0050052D"/>
    <w:rsid w:val="005009B3"/>
    <w:rsid w:val="00500EFB"/>
    <w:rsid w:val="00502641"/>
    <w:rsid w:val="005027A3"/>
    <w:rsid w:val="005033B7"/>
    <w:rsid w:val="00503A27"/>
    <w:rsid w:val="00503C6A"/>
    <w:rsid w:val="00503E4A"/>
    <w:rsid w:val="00504727"/>
    <w:rsid w:val="00504E40"/>
    <w:rsid w:val="00505C20"/>
    <w:rsid w:val="00505EBB"/>
    <w:rsid w:val="005066F2"/>
    <w:rsid w:val="00506767"/>
    <w:rsid w:val="00506ADD"/>
    <w:rsid w:val="00507389"/>
    <w:rsid w:val="0051031F"/>
    <w:rsid w:val="00510F28"/>
    <w:rsid w:val="00511243"/>
    <w:rsid w:val="00511674"/>
    <w:rsid w:val="005119D2"/>
    <w:rsid w:val="00511D48"/>
    <w:rsid w:val="00512132"/>
    <w:rsid w:val="005122A2"/>
    <w:rsid w:val="005122CE"/>
    <w:rsid w:val="00512A3C"/>
    <w:rsid w:val="00512BCE"/>
    <w:rsid w:val="00513838"/>
    <w:rsid w:val="00513885"/>
    <w:rsid w:val="00513DF0"/>
    <w:rsid w:val="00513ED1"/>
    <w:rsid w:val="005140A9"/>
    <w:rsid w:val="00514838"/>
    <w:rsid w:val="0051488F"/>
    <w:rsid w:val="00514983"/>
    <w:rsid w:val="00514A35"/>
    <w:rsid w:val="00515872"/>
    <w:rsid w:val="005158A5"/>
    <w:rsid w:val="005159EE"/>
    <w:rsid w:val="005167B5"/>
    <w:rsid w:val="0051698A"/>
    <w:rsid w:val="00516C9F"/>
    <w:rsid w:val="00516EEA"/>
    <w:rsid w:val="00517446"/>
    <w:rsid w:val="0051753A"/>
    <w:rsid w:val="0052092A"/>
    <w:rsid w:val="00520B33"/>
    <w:rsid w:val="00520C79"/>
    <w:rsid w:val="00520C9D"/>
    <w:rsid w:val="00520E38"/>
    <w:rsid w:val="00521404"/>
    <w:rsid w:val="00521946"/>
    <w:rsid w:val="00521949"/>
    <w:rsid w:val="00521D65"/>
    <w:rsid w:val="005222EF"/>
    <w:rsid w:val="005229F3"/>
    <w:rsid w:val="00522F17"/>
    <w:rsid w:val="0052360F"/>
    <w:rsid w:val="00523780"/>
    <w:rsid w:val="00523F69"/>
    <w:rsid w:val="0052418C"/>
    <w:rsid w:val="0052435D"/>
    <w:rsid w:val="005243EE"/>
    <w:rsid w:val="0052454D"/>
    <w:rsid w:val="00524749"/>
    <w:rsid w:val="00524C5C"/>
    <w:rsid w:val="0052524E"/>
    <w:rsid w:val="00525CA5"/>
    <w:rsid w:val="00525E2E"/>
    <w:rsid w:val="00526A1C"/>
    <w:rsid w:val="0052724D"/>
    <w:rsid w:val="00527C17"/>
    <w:rsid w:val="00530A2B"/>
    <w:rsid w:val="00530B9C"/>
    <w:rsid w:val="00530BF9"/>
    <w:rsid w:val="00530C66"/>
    <w:rsid w:val="00530DA2"/>
    <w:rsid w:val="005310F8"/>
    <w:rsid w:val="00531352"/>
    <w:rsid w:val="005313EC"/>
    <w:rsid w:val="00531409"/>
    <w:rsid w:val="00531471"/>
    <w:rsid w:val="0053148B"/>
    <w:rsid w:val="005317A6"/>
    <w:rsid w:val="005319FF"/>
    <w:rsid w:val="00531B65"/>
    <w:rsid w:val="00531B68"/>
    <w:rsid w:val="00531DD4"/>
    <w:rsid w:val="00531FC0"/>
    <w:rsid w:val="00532150"/>
    <w:rsid w:val="00532410"/>
    <w:rsid w:val="00532C1A"/>
    <w:rsid w:val="00532CD6"/>
    <w:rsid w:val="00533DE9"/>
    <w:rsid w:val="005342B5"/>
    <w:rsid w:val="005344A3"/>
    <w:rsid w:val="00534594"/>
    <w:rsid w:val="00534A83"/>
    <w:rsid w:val="005352A5"/>
    <w:rsid w:val="00535A14"/>
    <w:rsid w:val="00535E98"/>
    <w:rsid w:val="00536219"/>
    <w:rsid w:val="00536249"/>
    <w:rsid w:val="00536A07"/>
    <w:rsid w:val="00536B6B"/>
    <w:rsid w:val="00537262"/>
    <w:rsid w:val="005377A2"/>
    <w:rsid w:val="00537AF3"/>
    <w:rsid w:val="00537D23"/>
    <w:rsid w:val="00537E39"/>
    <w:rsid w:val="00540498"/>
    <w:rsid w:val="0054169D"/>
    <w:rsid w:val="00541967"/>
    <w:rsid w:val="00541E50"/>
    <w:rsid w:val="005423B6"/>
    <w:rsid w:val="005424AA"/>
    <w:rsid w:val="005426CC"/>
    <w:rsid w:val="00543342"/>
    <w:rsid w:val="00543C0F"/>
    <w:rsid w:val="00543F76"/>
    <w:rsid w:val="00544585"/>
    <w:rsid w:val="00544783"/>
    <w:rsid w:val="00544DD5"/>
    <w:rsid w:val="00544EDE"/>
    <w:rsid w:val="0054511A"/>
    <w:rsid w:val="005451FA"/>
    <w:rsid w:val="00545C4F"/>
    <w:rsid w:val="00546025"/>
    <w:rsid w:val="00546228"/>
    <w:rsid w:val="0054667A"/>
    <w:rsid w:val="00546B49"/>
    <w:rsid w:val="00546E0B"/>
    <w:rsid w:val="00546FB9"/>
    <w:rsid w:val="005470F4"/>
    <w:rsid w:val="00547508"/>
    <w:rsid w:val="005479AE"/>
    <w:rsid w:val="00547A4C"/>
    <w:rsid w:val="00547FE0"/>
    <w:rsid w:val="00550970"/>
    <w:rsid w:val="005526B5"/>
    <w:rsid w:val="00552833"/>
    <w:rsid w:val="005529F4"/>
    <w:rsid w:val="00552D4F"/>
    <w:rsid w:val="00553E18"/>
    <w:rsid w:val="00553F51"/>
    <w:rsid w:val="005545CA"/>
    <w:rsid w:val="005547A8"/>
    <w:rsid w:val="00554D4B"/>
    <w:rsid w:val="00554E54"/>
    <w:rsid w:val="00555F40"/>
    <w:rsid w:val="0055673D"/>
    <w:rsid w:val="00556B54"/>
    <w:rsid w:val="00556BF8"/>
    <w:rsid w:val="00556CF5"/>
    <w:rsid w:val="00556F42"/>
    <w:rsid w:val="00557840"/>
    <w:rsid w:val="0055784C"/>
    <w:rsid w:val="00557C8D"/>
    <w:rsid w:val="005602CF"/>
    <w:rsid w:val="00560881"/>
    <w:rsid w:val="005617C0"/>
    <w:rsid w:val="00561849"/>
    <w:rsid w:val="005618C2"/>
    <w:rsid w:val="00561C96"/>
    <w:rsid w:val="005621F9"/>
    <w:rsid w:val="00562CED"/>
    <w:rsid w:val="00562D14"/>
    <w:rsid w:val="0056344D"/>
    <w:rsid w:val="00563474"/>
    <w:rsid w:val="005634BB"/>
    <w:rsid w:val="0056455B"/>
    <w:rsid w:val="00564798"/>
    <w:rsid w:val="005651F7"/>
    <w:rsid w:val="005664CC"/>
    <w:rsid w:val="00566872"/>
    <w:rsid w:val="00566C3E"/>
    <w:rsid w:val="00566E5D"/>
    <w:rsid w:val="005673CA"/>
    <w:rsid w:val="005700B5"/>
    <w:rsid w:val="0057024D"/>
    <w:rsid w:val="00570B27"/>
    <w:rsid w:val="00571065"/>
    <w:rsid w:val="00571146"/>
    <w:rsid w:val="005713DA"/>
    <w:rsid w:val="00571598"/>
    <w:rsid w:val="00571B7E"/>
    <w:rsid w:val="00571DAA"/>
    <w:rsid w:val="00571E6F"/>
    <w:rsid w:val="00571F72"/>
    <w:rsid w:val="00572413"/>
    <w:rsid w:val="005728D7"/>
    <w:rsid w:val="00572B5C"/>
    <w:rsid w:val="00573491"/>
    <w:rsid w:val="00573E0A"/>
    <w:rsid w:val="00573FE7"/>
    <w:rsid w:val="00574207"/>
    <w:rsid w:val="00574228"/>
    <w:rsid w:val="005747B2"/>
    <w:rsid w:val="00574A17"/>
    <w:rsid w:val="00574B17"/>
    <w:rsid w:val="005751CC"/>
    <w:rsid w:val="0057520D"/>
    <w:rsid w:val="00575AF9"/>
    <w:rsid w:val="00575BDA"/>
    <w:rsid w:val="00575C70"/>
    <w:rsid w:val="0057679A"/>
    <w:rsid w:val="00576ABE"/>
    <w:rsid w:val="00577058"/>
    <w:rsid w:val="00577FF0"/>
    <w:rsid w:val="00580419"/>
    <w:rsid w:val="005806BC"/>
    <w:rsid w:val="0058088D"/>
    <w:rsid w:val="00580A0C"/>
    <w:rsid w:val="00580AAF"/>
    <w:rsid w:val="00580BA1"/>
    <w:rsid w:val="00581BC3"/>
    <w:rsid w:val="00582035"/>
    <w:rsid w:val="00582161"/>
    <w:rsid w:val="00582267"/>
    <w:rsid w:val="005826A2"/>
    <w:rsid w:val="005829B2"/>
    <w:rsid w:val="00583E5C"/>
    <w:rsid w:val="00584290"/>
    <w:rsid w:val="00584C8A"/>
    <w:rsid w:val="00585CC6"/>
    <w:rsid w:val="005869AB"/>
    <w:rsid w:val="00587718"/>
    <w:rsid w:val="00587A03"/>
    <w:rsid w:val="00587A94"/>
    <w:rsid w:val="0059077F"/>
    <w:rsid w:val="00590D53"/>
    <w:rsid w:val="0059167B"/>
    <w:rsid w:val="00591815"/>
    <w:rsid w:val="0059183E"/>
    <w:rsid w:val="00591DA7"/>
    <w:rsid w:val="00592138"/>
    <w:rsid w:val="005923F0"/>
    <w:rsid w:val="0059299C"/>
    <w:rsid w:val="00593CAA"/>
    <w:rsid w:val="00593EBD"/>
    <w:rsid w:val="00594015"/>
    <w:rsid w:val="00594D5E"/>
    <w:rsid w:val="00594E4E"/>
    <w:rsid w:val="00594E72"/>
    <w:rsid w:val="005952AC"/>
    <w:rsid w:val="00595951"/>
    <w:rsid w:val="00595A1C"/>
    <w:rsid w:val="00595B3B"/>
    <w:rsid w:val="00596037"/>
    <w:rsid w:val="0059638D"/>
    <w:rsid w:val="00596C2E"/>
    <w:rsid w:val="00597890"/>
    <w:rsid w:val="005A04F8"/>
    <w:rsid w:val="005A181C"/>
    <w:rsid w:val="005A1B4A"/>
    <w:rsid w:val="005A25F4"/>
    <w:rsid w:val="005A277F"/>
    <w:rsid w:val="005A2813"/>
    <w:rsid w:val="005A2B27"/>
    <w:rsid w:val="005A2B84"/>
    <w:rsid w:val="005A2C37"/>
    <w:rsid w:val="005A3EE4"/>
    <w:rsid w:val="005A4309"/>
    <w:rsid w:val="005A4BB3"/>
    <w:rsid w:val="005A4D0C"/>
    <w:rsid w:val="005A50C6"/>
    <w:rsid w:val="005A52CB"/>
    <w:rsid w:val="005A5B3C"/>
    <w:rsid w:val="005A5B58"/>
    <w:rsid w:val="005A5D7D"/>
    <w:rsid w:val="005A5FCF"/>
    <w:rsid w:val="005A6093"/>
    <w:rsid w:val="005A687B"/>
    <w:rsid w:val="005A6DBA"/>
    <w:rsid w:val="005A777A"/>
    <w:rsid w:val="005A7878"/>
    <w:rsid w:val="005A7E7B"/>
    <w:rsid w:val="005B01F9"/>
    <w:rsid w:val="005B034C"/>
    <w:rsid w:val="005B054C"/>
    <w:rsid w:val="005B08B2"/>
    <w:rsid w:val="005B0E70"/>
    <w:rsid w:val="005B106D"/>
    <w:rsid w:val="005B1DE1"/>
    <w:rsid w:val="005B2031"/>
    <w:rsid w:val="005B2530"/>
    <w:rsid w:val="005B257A"/>
    <w:rsid w:val="005B26BC"/>
    <w:rsid w:val="005B2824"/>
    <w:rsid w:val="005B3B1A"/>
    <w:rsid w:val="005B3E4E"/>
    <w:rsid w:val="005B3F44"/>
    <w:rsid w:val="005B4122"/>
    <w:rsid w:val="005B508D"/>
    <w:rsid w:val="005B53F9"/>
    <w:rsid w:val="005B54FA"/>
    <w:rsid w:val="005B5730"/>
    <w:rsid w:val="005B5D16"/>
    <w:rsid w:val="005B646F"/>
    <w:rsid w:val="005B6D39"/>
    <w:rsid w:val="005B6F67"/>
    <w:rsid w:val="005C0018"/>
    <w:rsid w:val="005C0187"/>
    <w:rsid w:val="005C0246"/>
    <w:rsid w:val="005C0492"/>
    <w:rsid w:val="005C0642"/>
    <w:rsid w:val="005C07A7"/>
    <w:rsid w:val="005C0BFA"/>
    <w:rsid w:val="005C0CF8"/>
    <w:rsid w:val="005C0EC4"/>
    <w:rsid w:val="005C1AC6"/>
    <w:rsid w:val="005C22DB"/>
    <w:rsid w:val="005C2349"/>
    <w:rsid w:val="005C24D2"/>
    <w:rsid w:val="005C2514"/>
    <w:rsid w:val="005C3B73"/>
    <w:rsid w:val="005C3D1A"/>
    <w:rsid w:val="005C3EB0"/>
    <w:rsid w:val="005C3EBD"/>
    <w:rsid w:val="005C3F61"/>
    <w:rsid w:val="005C5B23"/>
    <w:rsid w:val="005C7BE7"/>
    <w:rsid w:val="005D060E"/>
    <w:rsid w:val="005D0EAC"/>
    <w:rsid w:val="005D0F9D"/>
    <w:rsid w:val="005D13B3"/>
    <w:rsid w:val="005D14D3"/>
    <w:rsid w:val="005D1580"/>
    <w:rsid w:val="005D17AA"/>
    <w:rsid w:val="005D1980"/>
    <w:rsid w:val="005D1AED"/>
    <w:rsid w:val="005D1ED0"/>
    <w:rsid w:val="005D20E1"/>
    <w:rsid w:val="005D2213"/>
    <w:rsid w:val="005D22BB"/>
    <w:rsid w:val="005D22EE"/>
    <w:rsid w:val="005D2667"/>
    <w:rsid w:val="005D3016"/>
    <w:rsid w:val="005D3F45"/>
    <w:rsid w:val="005D41FE"/>
    <w:rsid w:val="005D47DD"/>
    <w:rsid w:val="005D4F50"/>
    <w:rsid w:val="005D55E5"/>
    <w:rsid w:val="005D62D9"/>
    <w:rsid w:val="005D6308"/>
    <w:rsid w:val="005D63D3"/>
    <w:rsid w:val="005D6C59"/>
    <w:rsid w:val="005D6D26"/>
    <w:rsid w:val="005D6D9C"/>
    <w:rsid w:val="005D7128"/>
    <w:rsid w:val="005D7295"/>
    <w:rsid w:val="005D7352"/>
    <w:rsid w:val="005D77D1"/>
    <w:rsid w:val="005D7971"/>
    <w:rsid w:val="005D79E1"/>
    <w:rsid w:val="005D7C5C"/>
    <w:rsid w:val="005D7E93"/>
    <w:rsid w:val="005E0539"/>
    <w:rsid w:val="005E0585"/>
    <w:rsid w:val="005E0A2E"/>
    <w:rsid w:val="005E1588"/>
    <w:rsid w:val="005E1B0A"/>
    <w:rsid w:val="005E2370"/>
    <w:rsid w:val="005E4142"/>
    <w:rsid w:val="005E4B6C"/>
    <w:rsid w:val="005E550E"/>
    <w:rsid w:val="005E55CB"/>
    <w:rsid w:val="005E5620"/>
    <w:rsid w:val="005E5B28"/>
    <w:rsid w:val="005E6BD4"/>
    <w:rsid w:val="005E70EC"/>
    <w:rsid w:val="005E7113"/>
    <w:rsid w:val="005E7CF5"/>
    <w:rsid w:val="005F063A"/>
    <w:rsid w:val="005F0CB9"/>
    <w:rsid w:val="005F12C6"/>
    <w:rsid w:val="005F187C"/>
    <w:rsid w:val="005F1997"/>
    <w:rsid w:val="005F1B46"/>
    <w:rsid w:val="005F1FFC"/>
    <w:rsid w:val="005F2116"/>
    <w:rsid w:val="005F2161"/>
    <w:rsid w:val="005F2382"/>
    <w:rsid w:val="005F247A"/>
    <w:rsid w:val="005F283B"/>
    <w:rsid w:val="005F351F"/>
    <w:rsid w:val="005F3553"/>
    <w:rsid w:val="005F35C9"/>
    <w:rsid w:val="005F368E"/>
    <w:rsid w:val="005F37D8"/>
    <w:rsid w:val="005F3908"/>
    <w:rsid w:val="005F3C7A"/>
    <w:rsid w:val="005F3D6F"/>
    <w:rsid w:val="005F3DBC"/>
    <w:rsid w:val="005F3FF6"/>
    <w:rsid w:val="005F4ACB"/>
    <w:rsid w:val="005F5C77"/>
    <w:rsid w:val="005F6240"/>
    <w:rsid w:val="005F62C1"/>
    <w:rsid w:val="005F6A80"/>
    <w:rsid w:val="005F7405"/>
    <w:rsid w:val="005F7658"/>
    <w:rsid w:val="005F7C42"/>
    <w:rsid w:val="00600151"/>
    <w:rsid w:val="0060040E"/>
    <w:rsid w:val="00600551"/>
    <w:rsid w:val="006005D6"/>
    <w:rsid w:val="0060070A"/>
    <w:rsid w:val="00600A03"/>
    <w:rsid w:val="00601550"/>
    <w:rsid w:val="006017C3"/>
    <w:rsid w:val="00601963"/>
    <w:rsid w:val="00602092"/>
    <w:rsid w:val="006020CA"/>
    <w:rsid w:val="006020E0"/>
    <w:rsid w:val="006021A3"/>
    <w:rsid w:val="00602573"/>
    <w:rsid w:val="00603707"/>
    <w:rsid w:val="00603FD7"/>
    <w:rsid w:val="006041C7"/>
    <w:rsid w:val="0060423B"/>
    <w:rsid w:val="00604A7D"/>
    <w:rsid w:val="00604C20"/>
    <w:rsid w:val="00605430"/>
    <w:rsid w:val="006055B0"/>
    <w:rsid w:val="00606482"/>
    <w:rsid w:val="00606612"/>
    <w:rsid w:val="006069E8"/>
    <w:rsid w:val="00606F1B"/>
    <w:rsid w:val="006070C1"/>
    <w:rsid w:val="00607176"/>
    <w:rsid w:val="00607420"/>
    <w:rsid w:val="00607521"/>
    <w:rsid w:val="00607A3E"/>
    <w:rsid w:val="00607D1E"/>
    <w:rsid w:val="00607FE4"/>
    <w:rsid w:val="00610A70"/>
    <w:rsid w:val="00610EEF"/>
    <w:rsid w:val="00611434"/>
    <w:rsid w:val="00611462"/>
    <w:rsid w:val="0061180B"/>
    <w:rsid w:val="0061184E"/>
    <w:rsid w:val="00611DA1"/>
    <w:rsid w:val="00611FD1"/>
    <w:rsid w:val="006120AA"/>
    <w:rsid w:val="00612238"/>
    <w:rsid w:val="0061268B"/>
    <w:rsid w:val="00613886"/>
    <w:rsid w:val="00613B20"/>
    <w:rsid w:val="00613DAD"/>
    <w:rsid w:val="00613F75"/>
    <w:rsid w:val="00615CAA"/>
    <w:rsid w:val="00616001"/>
    <w:rsid w:val="00616438"/>
    <w:rsid w:val="006177B4"/>
    <w:rsid w:val="00617887"/>
    <w:rsid w:val="00617D8B"/>
    <w:rsid w:val="0062024E"/>
    <w:rsid w:val="006209D5"/>
    <w:rsid w:val="00620DD3"/>
    <w:rsid w:val="0062116E"/>
    <w:rsid w:val="006215A5"/>
    <w:rsid w:val="00621E06"/>
    <w:rsid w:val="00621FE5"/>
    <w:rsid w:val="00622438"/>
    <w:rsid w:val="0062266C"/>
    <w:rsid w:val="00622960"/>
    <w:rsid w:val="0062342E"/>
    <w:rsid w:val="006234CE"/>
    <w:rsid w:val="006234F8"/>
    <w:rsid w:val="006239FB"/>
    <w:rsid w:val="00624031"/>
    <w:rsid w:val="006240C3"/>
    <w:rsid w:val="00624118"/>
    <w:rsid w:val="006242BE"/>
    <w:rsid w:val="00624858"/>
    <w:rsid w:val="00625716"/>
    <w:rsid w:val="00625816"/>
    <w:rsid w:val="00625E70"/>
    <w:rsid w:val="00625FDA"/>
    <w:rsid w:val="006260F1"/>
    <w:rsid w:val="006264C7"/>
    <w:rsid w:val="00626F33"/>
    <w:rsid w:val="00627DEB"/>
    <w:rsid w:val="00630804"/>
    <w:rsid w:val="00630AAD"/>
    <w:rsid w:val="00630B4D"/>
    <w:rsid w:val="00631488"/>
    <w:rsid w:val="00631548"/>
    <w:rsid w:val="0063162A"/>
    <w:rsid w:val="006317DA"/>
    <w:rsid w:val="0063193D"/>
    <w:rsid w:val="00631BD8"/>
    <w:rsid w:val="006322B5"/>
    <w:rsid w:val="00632526"/>
    <w:rsid w:val="006331F2"/>
    <w:rsid w:val="00633894"/>
    <w:rsid w:val="00633AA0"/>
    <w:rsid w:val="00633C6D"/>
    <w:rsid w:val="00633CFE"/>
    <w:rsid w:val="00634397"/>
    <w:rsid w:val="0063440D"/>
    <w:rsid w:val="006345B5"/>
    <w:rsid w:val="006345DC"/>
    <w:rsid w:val="006347C7"/>
    <w:rsid w:val="00634F93"/>
    <w:rsid w:val="0063534C"/>
    <w:rsid w:val="0063590D"/>
    <w:rsid w:val="00635989"/>
    <w:rsid w:val="006360A8"/>
    <w:rsid w:val="006361CC"/>
    <w:rsid w:val="00636267"/>
    <w:rsid w:val="00636415"/>
    <w:rsid w:val="00636824"/>
    <w:rsid w:val="006370C1"/>
    <w:rsid w:val="00637988"/>
    <w:rsid w:val="00637C90"/>
    <w:rsid w:val="00640143"/>
    <w:rsid w:val="00640562"/>
    <w:rsid w:val="006406D5"/>
    <w:rsid w:val="00640ACB"/>
    <w:rsid w:val="00640FF8"/>
    <w:rsid w:val="0064127B"/>
    <w:rsid w:val="00641852"/>
    <w:rsid w:val="006427D8"/>
    <w:rsid w:val="00642EFD"/>
    <w:rsid w:val="00644155"/>
    <w:rsid w:val="006444D1"/>
    <w:rsid w:val="006448B1"/>
    <w:rsid w:val="0064562E"/>
    <w:rsid w:val="00645A82"/>
    <w:rsid w:val="00646964"/>
    <w:rsid w:val="0064708B"/>
    <w:rsid w:val="00647286"/>
    <w:rsid w:val="00647415"/>
    <w:rsid w:val="00647AB2"/>
    <w:rsid w:val="0065028D"/>
    <w:rsid w:val="00650C8F"/>
    <w:rsid w:val="006513F7"/>
    <w:rsid w:val="006518E4"/>
    <w:rsid w:val="00651CC1"/>
    <w:rsid w:val="006521A8"/>
    <w:rsid w:val="00652256"/>
    <w:rsid w:val="0065251E"/>
    <w:rsid w:val="00652CE7"/>
    <w:rsid w:val="0065321D"/>
    <w:rsid w:val="00653293"/>
    <w:rsid w:val="00653E77"/>
    <w:rsid w:val="006540A5"/>
    <w:rsid w:val="00654144"/>
    <w:rsid w:val="00654301"/>
    <w:rsid w:val="00655478"/>
    <w:rsid w:val="00655DEC"/>
    <w:rsid w:val="006562CF"/>
    <w:rsid w:val="00656C71"/>
    <w:rsid w:val="00657A1D"/>
    <w:rsid w:val="00657AF1"/>
    <w:rsid w:val="00660509"/>
    <w:rsid w:val="00660634"/>
    <w:rsid w:val="00660948"/>
    <w:rsid w:val="00660C5B"/>
    <w:rsid w:val="0066155A"/>
    <w:rsid w:val="00662A5B"/>
    <w:rsid w:val="00662CB4"/>
    <w:rsid w:val="006633D0"/>
    <w:rsid w:val="00663681"/>
    <w:rsid w:val="00663727"/>
    <w:rsid w:val="00663D7E"/>
    <w:rsid w:val="00664642"/>
    <w:rsid w:val="00664742"/>
    <w:rsid w:val="00664931"/>
    <w:rsid w:val="00664983"/>
    <w:rsid w:val="00664E0F"/>
    <w:rsid w:val="0066515B"/>
    <w:rsid w:val="00665273"/>
    <w:rsid w:val="0066538A"/>
    <w:rsid w:val="006655EC"/>
    <w:rsid w:val="0066573F"/>
    <w:rsid w:val="00665937"/>
    <w:rsid w:val="0066607C"/>
    <w:rsid w:val="006660EA"/>
    <w:rsid w:val="00666297"/>
    <w:rsid w:val="00666AC0"/>
    <w:rsid w:val="006671C7"/>
    <w:rsid w:val="00667281"/>
    <w:rsid w:val="006674FC"/>
    <w:rsid w:val="006676C7"/>
    <w:rsid w:val="00671041"/>
    <w:rsid w:val="0067104F"/>
    <w:rsid w:val="006711E8"/>
    <w:rsid w:val="00671464"/>
    <w:rsid w:val="00671BC4"/>
    <w:rsid w:val="006725E6"/>
    <w:rsid w:val="00673394"/>
    <w:rsid w:val="00673C3B"/>
    <w:rsid w:val="00673CC8"/>
    <w:rsid w:val="00673F33"/>
    <w:rsid w:val="006744A4"/>
    <w:rsid w:val="00674C26"/>
    <w:rsid w:val="00674D2A"/>
    <w:rsid w:val="00675105"/>
    <w:rsid w:val="00675302"/>
    <w:rsid w:val="0067553A"/>
    <w:rsid w:val="006758F3"/>
    <w:rsid w:val="00676908"/>
    <w:rsid w:val="006776C8"/>
    <w:rsid w:val="0067784A"/>
    <w:rsid w:val="00677B8A"/>
    <w:rsid w:val="00677D5D"/>
    <w:rsid w:val="00677F0A"/>
    <w:rsid w:val="00677F12"/>
    <w:rsid w:val="00677F29"/>
    <w:rsid w:val="00680830"/>
    <w:rsid w:val="00680E90"/>
    <w:rsid w:val="0068172E"/>
    <w:rsid w:val="00681A6C"/>
    <w:rsid w:val="00681B88"/>
    <w:rsid w:val="00682073"/>
    <w:rsid w:val="0068245D"/>
    <w:rsid w:val="0068267F"/>
    <w:rsid w:val="00682E44"/>
    <w:rsid w:val="00684099"/>
    <w:rsid w:val="0068484C"/>
    <w:rsid w:val="006849E0"/>
    <w:rsid w:val="00684D22"/>
    <w:rsid w:val="00685038"/>
    <w:rsid w:val="0068518F"/>
    <w:rsid w:val="00685308"/>
    <w:rsid w:val="00685A2B"/>
    <w:rsid w:val="00685D11"/>
    <w:rsid w:val="00686112"/>
    <w:rsid w:val="00686283"/>
    <w:rsid w:val="006865D1"/>
    <w:rsid w:val="0068684D"/>
    <w:rsid w:val="00686BFF"/>
    <w:rsid w:val="00686C07"/>
    <w:rsid w:val="00686C55"/>
    <w:rsid w:val="00686D06"/>
    <w:rsid w:val="00687410"/>
    <w:rsid w:val="00687830"/>
    <w:rsid w:val="0069058B"/>
    <w:rsid w:val="0069099C"/>
    <w:rsid w:val="00690A5A"/>
    <w:rsid w:val="00690CCC"/>
    <w:rsid w:val="00690D56"/>
    <w:rsid w:val="00691565"/>
    <w:rsid w:val="00692A0D"/>
    <w:rsid w:val="00692E1E"/>
    <w:rsid w:val="0069321B"/>
    <w:rsid w:val="006932BF"/>
    <w:rsid w:val="0069359F"/>
    <w:rsid w:val="0069375F"/>
    <w:rsid w:val="00693DF4"/>
    <w:rsid w:val="006940B3"/>
    <w:rsid w:val="00694640"/>
    <w:rsid w:val="006946F3"/>
    <w:rsid w:val="00695775"/>
    <w:rsid w:val="00695B63"/>
    <w:rsid w:val="006960FB"/>
    <w:rsid w:val="0069616E"/>
    <w:rsid w:val="006961A9"/>
    <w:rsid w:val="00696219"/>
    <w:rsid w:val="0069641F"/>
    <w:rsid w:val="00696E54"/>
    <w:rsid w:val="00696E6D"/>
    <w:rsid w:val="0069701D"/>
    <w:rsid w:val="0069709F"/>
    <w:rsid w:val="00697111"/>
    <w:rsid w:val="00697175"/>
    <w:rsid w:val="006972CE"/>
    <w:rsid w:val="0069766C"/>
    <w:rsid w:val="00697C79"/>
    <w:rsid w:val="00697DB4"/>
    <w:rsid w:val="006A0300"/>
    <w:rsid w:val="006A046B"/>
    <w:rsid w:val="006A05CF"/>
    <w:rsid w:val="006A0620"/>
    <w:rsid w:val="006A0DCE"/>
    <w:rsid w:val="006A170F"/>
    <w:rsid w:val="006A2087"/>
    <w:rsid w:val="006A2097"/>
    <w:rsid w:val="006A2637"/>
    <w:rsid w:val="006A2789"/>
    <w:rsid w:val="006A2AE6"/>
    <w:rsid w:val="006A2CEF"/>
    <w:rsid w:val="006A3337"/>
    <w:rsid w:val="006A3887"/>
    <w:rsid w:val="006A3A8A"/>
    <w:rsid w:val="006A3AEC"/>
    <w:rsid w:val="006A3D0E"/>
    <w:rsid w:val="006A3DDC"/>
    <w:rsid w:val="006A44F6"/>
    <w:rsid w:val="006A483C"/>
    <w:rsid w:val="006A500C"/>
    <w:rsid w:val="006A5025"/>
    <w:rsid w:val="006A5079"/>
    <w:rsid w:val="006A510C"/>
    <w:rsid w:val="006A5725"/>
    <w:rsid w:val="006A5872"/>
    <w:rsid w:val="006A5905"/>
    <w:rsid w:val="006A5AF5"/>
    <w:rsid w:val="006A5C5B"/>
    <w:rsid w:val="006A5EEE"/>
    <w:rsid w:val="006A724D"/>
    <w:rsid w:val="006B046A"/>
    <w:rsid w:val="006B0FBE"/>
    <w:rsid w:val="006B14FF"/>
    <w:rsid w:val="006B1810"/>
    <w:rsid w:val="006B1BE9"/>
    <w:rsid w:val="006B32BD"/>
    <w:rsid w:val="006B36D4"/>
    <w:rsid w:val="006B42B8"/>
    <w:rsid w:val="006B4D58"/>
    <w:rsid w:val="006B4E9F"/>
    <w:rsid w:val="006B4F46"/>
    <w:rsid w:val="006B5155"/>
    <w:rsid w:val="006B520D"/>
    <w:rsid w:val="006B58E1"/>
    <w:rsid w:val="006B5F9C"/>
    <w:rsid w:val="006B67FF"/>
    <w:rsid w:val="006B75CC"/>
    <w:rsid w:val="006B7B49"/>
    <w:rsid w:val="006B7DDB"/>
    <w:rsid w:val="006B7E58"/>
    <w:rsid w:val="006C079D"/>
    <w:rsid w:val="006C0868"/>
    <w:rsid w:val="006C0D74"/>
    <w:rsid w:val="006C0FD6"/>
    <w:rsid w:val="006C11E3"/>
    <w:rsid w:val="006C15F1"/>
    <w:rsid w:val="006C1609"/>
    <w:rsid w:val="006C1E68"/>
    <w:rsid w:val="006C2198"/>
    <w:rsid w:val="006C2A5A"/>
    <w:rsid w:val="006C2EC1"/>
    <w:rsid w:val="006C34B6"/>
    <w:rsid w:val="006C34F9"/>
    <w:rsid w:val="006C4318"/>
    <w:rsid w:val="006C43C8"/>
    <w:rsid w:val="006C45EC"/>
    <w:rsid w:val="006C4B63"/>
    <w:rsid w:val="006C4C85"/>
    <w:rsid w:val="006C4F72"/>
    <w:rsid w:val="006C59C7"/>
    <w:rsid w:val="006C5AD4"/>
    <w:rsid w:val="006C5C56"/>
    <w:rsid w:val="006C61A7"/>
    <w:rsid w:val="006C65BF"/>
    <w:rsid w:val="006C6A46"/>
    <w:rsid w:val="006C726B"/>
    <w:rsid w:val="006C761F"/>
    <w:rsid w:val="006C7929"/>
    <w:rsid w:val="006D01FF"/>
    <w:rsid w:val="006D067A"/>
    <w:rsid w:val="006D0844"/>
    <w:rsid w:val="006D0AF3"/>
    <w:rsid w:val="006D0C28"/>
    <w:rsid w:val="006D0C98"/>
    <w:rsid w:val="006D0DB3"/>
    <w:rsid w:val="006D0F34"/>
    <w:rsid w:val="006D0FB7"/>
    <w:rsid w:val="006D1353"/>
    <w:rsid w:val="006D15CA"/>
    <w:rsid w:val="006D16B7"/>
    <w:rsid w:val="006D215A"/>
    <w:rsid w:val="006D229A"/>
    <w:rsid w:val="006D324C"/>
    <w:rsid w:val="006D32AC"/>
    <w:rsid w:val="006D358F"/>
    <w:rsid w:val="006D46A9"/>
    <w:rsid w:val="006D4B44"/>
    <w:rsid w:val="006D4BDE"/>
    <w:rsid w:val="006D4CB4"/>
    <w:rsid w:val="006D5299"/>
    <w:rsid w:val="006D5427"/>
    <w:rsid w:val="006D54D8"/>
    <w:rsid w:val="006D55AB"/>
    <w:rsid w:val="006D5B02"/>
    <w:rsid w:val="006D5C94"/>
    <w:rsid w:val="006D6F1B"/>
    <w:rsid w:val="006E0288"/>
    <w:rsid w:val="006E0689"/>
    <w:rsid w:val="006E068F"/>
    <w:rsid w:val="006E06E6"/>
    <w:rsid w:val="006E0EA0"/>
    <w:rsid w:val="006E1368"/>
    <w:rsid w:val="006E1383"/>
    <w:rsid w:val="006E1397"/>
    <w:rsid w:val="006E1734"/>
    <w:rsid w:val="006E1A5D"/>
    <w:rsid w:val="006E28B9"/>
    <w:rsid w:val="006E2BA4"/>
    <w:rsid w:val="006E3903"/>
    <w:rsid w:val="006E3962"/>
    <w:rsid w:val="006E3DAB"/>
    <w:rsid w:val="006E3F1B"/>
    <w:rsid w:val="006E40A4"/>
    <w:rsid w:val="006E42A6"/>
    <w:rsid w:val="006E4797"/>
    <w:rsid w:val="006E482F"/>
    <w:rsid w:val="006E560D"/>
    <w:rsid w:val="006E57C4"/>
    <w:rsid w:val="006E6029"/>
    <w:rsid w:val="006E60D3"/>
    <w:rsid w:val="006E65F2"/>
    <w:rsid w:val="006E6B2B"/>
    <w:rsid w:val="006E717B"/>
    <w:rsid w:val="006E7818"/>
    <w:rsid w:val="006E78FD"/>
    <w:rsid w:val="006E7F38"/>
    <w:rsid w:val="006F0031"/>
    <w:rsid w:val="006F036F"/>
    <w:rsid w:val="006F0645"/>
    <w:rsid w:val="006F16A7"/>
    <w:rsid w:val="006F1B02"/>
    <w:rsid w:val="006F1CF3"/>
    <w:rsid w:val="006F22E9"/>
    <w:rsid w:val="006F2B7F"/>
    <w:rsid w:val="006F301F"/>
    <w:rsid w:val="006F3B68"/>
    <w:rsid w:val="006F3F5E"/>
    <w:rsid w:val="006F499E"/>
    <w:rsid w:val="006F51B1"/>
    <w:rsid w:val="006F5AEA"/>
    <w:rsid w:val="006F5F44"/>
    <w:rsid w:val="006F5FF6"/>
    <w:rsid w:val="006F6414"/>
    <w:rsid w:val="006F678E"/>
    <w:rsid w:val="006F6EBC"/>
    <w:rsid w:val="00700580"/>
    <w:rsid w:val="00700A57"/>
    <w:rsid w:val="00700D35"/>
    <w:rsid w:val="00700F36"/>
    <w:rsid w:val="00701D6F"/>
    <w:rsid w:val="00701DEB"/>
    <w:rsid w:val="00702C43"/>
    <w:rsid w:val="00702C57"/>
    <w:rsid w:val="00702C95"/>
    <w:rsid w:val="007032C8"/>
    <w:rsid w:val="007039A4"/>
    <w:rsid w:val="00703C5F"/>
    <w:rsid w:val="00703FFB"/>
    <w:rsid w:val="00704900"/>
    <w:rsid w:val="00705654"/>
    <w:rsid w:val="00705F00"/>
    <w:rsid w:val="00706039"/>
    <w:rsid w:val="00706272"/>
    <w:rsid w:val="00706673"/>
    <w:rsid w:val="0070678D"/>
    <w:rsid w:val="00706B3F"/>
    <w:rsid w:val="00706CC1"/>
    <w:rsid w:val="007072A6"/>
    <w:rsid w:val="0070749A"/>
    <w:rsid w:val="007075E2"/>
    <w:rsid w:val="007078CC"/>
    <w:rsid w:val="00710502"/>
    <w:rsid w:val="00710761"/>
    <w:rsid w:val="00710AE7"/>
    <w:rsid w:val="00710DD9"/>
    <w:rsid w:val="00710E46"/>
    <w:rsid w:val="00710E70"/>
    <w:rsid w:val="0071120B"/>
    <w:rsid w:val="0071189C"/>
    <w:rsid w:val="00712B09"/>
    <w:rsid w:val="00712ECA"/>
    <w:rsid w:val="00713347"/>
    <w:rsid w:val="007137B5"/>
    <w:rsid w:val="00713B09"/>
    <w:rsid w:val="0071417A"/>
    <w:rsid w:val="0071426B"/>
    <w:rsid w:val="007146C7"/>
    <w:rsid w:val="00714A55"/>
    <w:rsid w:val="00714B77"/>
    <w:rsid w:val="00714D0D"/>
    <w:rsid w:val="00714F17"/>
    <w:rsid w:val="007154F3"/>
    <w:rsid w:val="00715731"/>
    <w:rsid w:val="00715976"/>
    <w:rsid w:val="007159C0"/>
    <w:rsid w:val="00715D2D"/>
    <w:rsid w:val="00715D51"/>
    <w:rsid w:val="00716248"/>
    <w:rsid w:val="00716491"/>
    <w:rsid w:val="00716529"/>
    <w:rsid w:val="00717444"/>
    <w:rsid w:val="007175D4"/>
    <w:rsid w:val="00717946"/>
    <w:rsid w:val="00717B02"/>
    <w:rsid w:val="00717B34"/>
    <w:rsid w:val="00717E38"/>
    <w:rsid w:val="00717F11"/>
    <w:rsid w:val="00717F2A"/>
    <w:rsid w:val="00717F91"/>
    <w:rsid w:val="00720018"/>
    <w:rsid w:val="00720183"/>
    <w:rsid w:val="00720363"/>
    <w:rsid w:val="00720D01"/>
    <w:rsid w:val="00720FF1"/>
    <w:rsid w:val="007212C2"/>
    <w:rsid w:val="0072154A"/>
    <w:rsid w:val="0072169A"/>
    <w:rsid w:val="00721F94"/>
    <w:rsid w:val="007221D5"/>
    <w:rsid w:val="00722280"/>
    <w:rsid w:val="00722971"/>
    <w:rsid w:val="00722F33"/>
    <w:rsid w:val="00723041"/>
    <w:rsid w:val="00723278"/>
    <w:rsid w:val="00723306"/>
    <w:rsid w:val="007233D1"/>
    <w:rsid w:val="00723AFE"/>
    <w:rsid w:val="0072416A"/>
    <w:rsid w:val="0072467E"/>
    <w:rsid w:val="00724DC8"/>
    <w:rsid w:val="00724F53"/>
    <w:rsid w:val="00725986"/>
    <w:rsid w:val="0072621F"/>
    <w:rsid w:val="00726882"/>
    <w:rsid w:val="007268A6"/>
    <w:rsid w:val="007272D6"/>
    <w:rsid w:val="0072748C"/>
    <w:rsid w:val="00727629"/>
    <w:rsid w:val="00727672"/>
    <w:rsid w:val="00727A3A"/>
    <w:rsid w:val="00727ABE"/>
    <w:rsid w:val="00727C69"/>
    <w:rsid w:val="00730604"/>
    <w:rsid w:val="00730D73"/>
    <w:rsid w:val="00730E49"/>
    <w:rsid w:val="007314C1"/>
    <w:rsid w:val="00731E0B"/>
    <w:rsid w:val="00731FB6"/>
    <w:rsid w:val="00732A63"/>
    <w:rsid w:val="00733A4A"/>
    <w:rsid w:val="00733ECB"/>
    <w:rsid w:val="00733EF5"/>
    <w:rsid w:val="00734023"/>
    <w:rsid w:val="0073413A"/>
    <w:rsid w:val="00734355"/>
    <w:rsid w:val="007347DD"/>
    <w:rsid w:val="00734BB1"/>
    <w:rsid w:val="00734C83"/>
    <w:rsid w:val="007354A9"/>
    <w:rsid w:val="007357B9"/>
    <w:rsid w:val="00735ACB"/>
    <w:rsid w:val="00736ABF"/>
    <w:rsid w:val="00736D6C"/>
    <w:rsid w:val="007372B2"/>
    <w:rsid w:val="00737A5F"/>
    <w:rsid w:val="00737AB9"/>
    <w:rsid w:val="00737CE8"/>
    <w:rsid w:val="007401AA"/>
    <w:rsid w:val="0074093D"/>
    <w:rsid w:val="00740B9C"/>
    <w:rsid w:val="00740C86"/>
    <w:rsid w:val="00740F1E"/>
    <w:rsid w:val="00741020"/>
    <w:rsid w:val="007413AE"/>
    <w:rsid w:val="00741974"/>
    <w:rsid w:val="00741BBB"/>
    <w:rsid w:val="00741EB6"/>
    <w:rsid w:val="00741F18"/>
    <w:rsid w:val="00742744"/>
    <w:rsid w:val="00742E40"/>
    <w:rsid w:val="00743555"/>
    <w:rsid w:val="00743A5D"/>
    <w:rsid w:val="007444C9"/>
    <w:rsid w:val="00744B27"/>
    <w:rsid w:val="00744CBA"/>
    <w:rsid w:val="007456C9"/>
    <w:rsid w:val="0074590B"/>
    <w:rsid w:val="00746E18"/>
    <w:rsid w:val="007470E3"/>
    <w:rsid w:val="00747A77"/>
    <w:rsid w:val="00747A8B"/>
    <w:rsid w:val="00747B34"/>
    <w:rsid w:val="007503B0"/>
    <w:rsid w:val="007509FD"/>
    <w:rsid w:val="00750FD7"/>
    <w:rsid w:val="007518E6"/>
    <w:rsid w:val="00751CAC"/>
    <w:rsid w:val="00751CC3"/>
    <w:rsid w:val="00751F7D"/>
    <w:rsid w:val="00752166"/>
    <w:rsid w:val="0075244A"/>
    <w:rsid w:val="00752BEE"/>
    <w:rsid w:val="00752EA9"/>
    <w:rsid w:val="007531A5"/>
    <w:rsid w:val="007534E1"/>
    <w:rsid w:val="00753776"/>
    <w:rsid w:val="007541B7"/>
    <w:rsid w:val="007542DF"/>
    <w:rsid w:val="0075472E"/>
    <w:rsid w:val="007548A9"/>
    <w:rsid w:val="00754969"/>
    <w:rsid w:val="007551F4"/>
    <w:rsid w:val="007551F5"/>
    <w:rsid w:val="007563D4"/>
    <w:rsid w:val="007569C7"/>
    <w:rsid w:val="00756A67"/>
    <w:rsid w:val="00756AE4"/>
    <w:rsid w:val="00756CEF"/>
    <w:rsid w:val="007570B1"/>
    <w:rsid w:val="0075716D"/>
    <w:rsid w:val="00757CFF"/>
    <w:rsid w:val="007601E8"/>
    <w:rsid w:val="0076033C"/>
    <w:rsid w:val="0076048A"/>
    <w:rsid w:val="007604CE"/>
    <w:rsid w:val="00760F95"/>
    <w:rsid w:val="0076217D"/>
    <w:rsid w:val="00762390"/>
    <w:rsid w:val="00762550"/>
    <w:rsid w:val="007627B1"/>
    <w:rsid w:val="00762947"/>
    <w:rsid w:val="00764457"/>
    <w:rsid w:val="0076481E"/>
    <w:rsid w:val="007649F3"/>
    <w:rsid w:val="00764A27"/>
    <w:rsid w:val="00764F40"/>
    <w:rsid w:val="007655A2"/>
    <w:rsid w:val="00765EF2"/>
    <w:rsid w:val="00766089"/>
    <w:rsid w:val="00766314"/>
    <w:rsid w:val="0076656E"/>
    <w:rsid w:val="00767F95"/>
    <w:rsid w:val="007706C5"/>
    <w:rsid w:val="007706FF"/>
    <w:rsid w:val="007707D9"/>
    <w:rsid w:val="007708DB"/>
    <w:rsid w:val="00771003"/>
    <w:rsid w:val="0077130D"/>
    <w:rsid w:val="00771450"/>
    <w:rsid w:val="00771B32"/>
    <w:rsid w:val="00772671"/>
    <w:rsid w:val="00772BB1"/>
    <w:rsid w:val="007732CC"/>
    <w:rsid w:val="00773B1D"/>
    <w:rsid w:val="00773C69"/>
    <w:rsid w:val="00773F90"/>
    <w:rsid w:val="00773FE1"/>
    <w:rsid w:val="007741DB"/>
    <w:rsid w:val="00774790"/>
    <w:rsid w:val="00774A1F"/>
    <w:rsid w:val="00774F66"/>
    <w:rsid w:val="007752DD"/>
    <w:rsid w:val="007754DF"/>
    <w:rsid w:val="007758CC"/>
    <w:rsid w:val="00775FDC"/>
    <w:rsid w:val="007765FC"/>
    <w:rsid w:val="007769EE"/>
    <w:rsid w:val="00776DC6"/>
    <w:rsid w:val="00780915"/>
    <w:rsid w:val="007811CA"/>
    <w:rsid w:val="0078220B"/>
    <w:rsid w:val="00782632"/>
    <w:rsid w:val="00782668"/>
    <w:rsid w:val="00782BA4"/>
    <w:rsid w:val="00782CC4"/>
    <w:rsid w:val="00782D9A"/>
    <w:rsid w:val="00782DFE"/>
    <w:rsid w:val="00782FA4"/>
    <w:rsid w:val="00783238"/>
    <w:rsid w:val="007832E5"/>
    <w:rsid w:val="00783D44"/>
    <w:rsid w:val="00783D4A"/>
    <w:rsid w:val="00784052"/>
    <w:rsid w:val="007843DB"/>
    <w:rsid w:val="0078444B"/>
    <w:rsid w:val="0078588D"/>
    <w:rsid w:val="00785999"/>
    <w:rsid w:val="007865D0"/>
    <w:rsid w:val="007871D6"/>
    <w:rsid w:val="00787D02"/>
    <w:rsid w:val="007905AD"/>
    <w:rsid w:val="007909D1"/>
    <w:rsid w:val="007911E0"/>
    <w:rsid w:val="00791251"/>
    <w:rsid w:val="007914AB"/>
    <w:rsid w:val="00791563"/>
    <w:rsid w:val="00791569"/>
    <w:rsid w:val="0079168B"/>
    <w:rsid w:val="0079196F"/>
    <w:rsid w:val="00791DAC"/>
    <w:rsid w:val="0079209E"/>
    <w:rsid w:val="007925B1"/>
    <w:rsid w:val="00792B52"/>
    <w:rsid w:val="00792DB3"/>
    <w:rsid w:val="00792E5D"/>
    <w:rsid w:val="00792EDC"/>
    <w:rsid w:val="00793B28"/>
    <w:rsid w:val="00793B80"/>
    <w:rsid w:val="00793E6E"/>
    <w:rsid w:val="00793EC2"/>
    <w:rsid w:val="00794497"/>
    <w:rsid w:val="00794FD0"/>
    <w:rsid w:val="00795078"/>
    <w:rsid w:val="0079541B"/>
    <w:rsid w:val="00795889"/>
    <w:rsid w:val="007959A4"/>
    <w:rsid w:val="007960D5"/>
    <w:rsid w:val="007963F7"/>
    <w:rsid w:val="00796428"/>
    <w:rsid w:val="00796621"/>
    <w:rsid w:val="00797ADD"/>
    <w:rsid w:val="00797D19"/>
    <w:rsid w:val="007A0029"/>
    <w:rsid w:val="007A069D"/>
    <w:rsid w:val="007A07DC"/>
    <w:rsid w:val="007A08A9"/>
    <w:rsid w:val="007A08B4"/>
    <w:rsid w:val="007A0E38"/>
    <w:rsid w:val="007A1A5B"/>
    <w:rsid w:val="007A1ABF"/>
    <w:rsid w:val="007A1B93"/>
    <w:rsid w:val="007A1C4B"/>
    <w:rsid w:val="007A1D79"/>
    <w:rsid w:val="007A2641"/>
    <w:rsid w:val="007A27BD"/>
    <w:rsid w:val="007A285B"/>
    <w:rsid w:val="007A2A7E"/>
    <w:rsid w:val="007A2BFC"/>
    <w:rsid w:val="007A35AE"/>
    <w:rsid w:val="007A3EA6"/>
    <w:rsid w:val="007A47C3"/>
    <w:rsid w:val="007A4814"/>
    <w:rsid w:val="007A5105"/>
    <w:rsid w:val="007A5392"/>
    <w:rsid w:val="007A5C6C"/>
    <w:rsid w:val="007A601E"/>
    <w:rsid w:val="007A630F"/>
    <w:rsid w:val="007A6BDF"/>
    <w:rsid w:val="007A6EF8"/>
    <w:rsid w:val="007A72B8"/>
    <w:rsid w:val="007A76E0"/>
    <w:rsid w:val="007A7CA3"/>
    <w:rsid w:val="007A7F0D"/>
    <w:rsid w:val="007B074B"/>
    <w:rsid w:val="007B0B71"/>
    <w:rsid w:val="007B0D9E"/>
    <w:rsid w:val="007B1040"/>
    <w:rsid w:val="007B2359"/>
    <w:rsid w:val="007B2C96"/>
    <w:rsid w:val="007B2DB9"/>
    <w:rsid w:val="007B37C9"/>
    <w:rsid w:val="007B3D56"/>
    <w:rsid w:val="007B3D65"/>
    <w:rsid w:val="007B4552"/>
    <w:rsid w:val="007B48B8"/>
    <w:rsid w:val="007B4D64"/>
    <w:rsid w:val="007B4E23"/>
    <w:rsid w:val="007B4FB1"/>
    <w:rsid w:val="007B547D"/>
    <w:rsid w:val="007B5821"/>
    <w:rsid w:val="007B6EA3"/>
    <w:rsid w:val="007B72F0"/>
    <w:rsid w:val="007B75D3"/>
    <w:rsid w:val="007B7971"/>
    <w:rsid w:val="007B7B5E"/>
    <w:rsid w:val="007C078C"/>
    <w:rsid w:val="007C0824"/>
    <w:rsid w:val="007C13F7"/>
    <w:rsid w:val="007C1618"/>
    <w:rsid w:val="007C1A2B"/>
    <w:rsid w:val="007C1A63"/>
    <w:rsid w:val="007C1DF3"/>
    <w:rsid w:val="007C2030"/>
    <w:rsid w:val="007C24C8"/>
    <w:rsid w:val="007C3261"/>
    <w:rsid w:val="007C33AF"/>
    <w:rsid w:val="007C3998"/>
    <w:rsid w:val="007C3B3F"/>
    <w:rsid w:val="007C3BAE"/>
    <w:rsid w:val="007C414B"/>
    <w:rsid w:val="007C427B"/>
    <w:rsid w:val="007C49D2"/>
    <w:rsid w:val="007C5C3C"/>
    <w:rsid w:val="007C5D51"/>
    <w:rsid w:val="007C5DCE"/>
    <w:rsid w:val="007C65B1"/>
    <w:rsid w:val="007C65E9"/>
    <w:rsid w:val="007C66E8"/>
    <w:rsid w:val="007C6BE3"/>
    <w:rsid w:val="007C70B4"/>
    <w:rsid w:val="007C736E"/>
    <w:rsid w:val="007C7387"/>
    <w:rsid w:val="007C73E6"/>
    <w:rsid w:val="007C7693"/>
    <w:rsid w:val="007D0042"/>
    <w:rsid w:val="007D032F"/>
    <w:rsid w:val="007D1579"/>
    <w:rsid w:val="007D196C"/>
    <w:rsid w:val="007D1B57"/>
    <w:rsid w:val="007D2B97"/>
    <w:rsid w:val="007D2C2F"/>
    <w:rsid w:val="007D3215"/>
    <w:rsid w:val="007D3303"/>
    <w:rsid w:val="007D3713"/>
    <w:rsid w:val="007D38D1"/>
    <w:rsid w:val="007D3A38"/>
    <w:rsid w:val="007D3CC9"/>
    <w:rsid w:val="007D4583"/>
    <w:rsid w:val="007D466A"/>
    <w:rsid w:val="007D490E"/>
    <w:rsid w:val="007D4F3F"/>
    <w:rsid w:val="007D51FB"/>
    <w:rsid w:val="007D5EBA"/>
    <w:rsid w:val="007D652E"/>
    <w:rsid w:val="007D67CF"/>
    <w:rsid w:val="007D6C5F"/>
    <w:rsid w:val="007D7BC6"/>
    <w:rsid w:val="007D7DFB"/>
    <w:rsid w:val="007E0840"/>
    <w:rsid w:val="007E0AAC"/>
    <w:rsid w:val="007E0C01"/>
    <w:rsid w:val="007E166F"/>
    <w:rsid w:val="007E176C"/>
    <w:rsid w:val="007E207A"/>
    <w:rsid w:val="007E22D6"/>
    <w:rsid w:val="007E29BD"/>
    <w:rsid w:val="007E2DD2"/>
    <w:rsid w:val="007E2FB1"/>
    <w:rsid w:val="007E38C8"/>
    <w:rsid w:val="007E390D"/>
    <w:rsid w:val="007E4033"/>
    <w:rsid w:val="007E43A6"/>
    <w:rsid w:val="007E48ED"/>
    <w:rsid w:val="007E50C1"/>
    <w:rsid w:val="007E5540"/>
    <w:rsid w:val="007E566C"/>
    <w:rsid w:val="007E686D"/>
    <w:rsid w:val="007E6993"/>
    <w:rsid w:val="007E69B5"/>
    <w:rsid w:val="007E7039"/>
    <w:rsid w:val="007E7F10"/>
    <w:rsid w:val="007F01F6"/>
    <w:rsid w:val="007F05E0"/>
    <w:rsid w:val="007F066C"/>
    <w:rsid w:val="007F1916"/>
    <w:rsid w:val="007F1F52"/>
    <w:rsid w:val="007F200A"/>
    <w:rsid w:val="007F24B4"/>
    <w:rsid w:val="007F2558"/>
    <w:rsid w:val="007F31E3"/>
    <w:rsid w:val="007F339D"/>
    <w:rsid w:val="007F43AC"/>
    <w:rsid w:val="007F540F"/>
    <w:rsid w:val="007F5598"/>
    <w:rsid w:val="007F592F"/>
    <w:rsid w:val="007F5AEA"/>
    <w:rsid w:val="007F5FFE"/>
    <w:rsid w:val="007F6009"/>
    <w:rsid w:val="007F6022"/>
    <w:rsid w:val="007F61F3"/>
    <w:rsid w:val="007F66C3"/>
    <w:rsid w:val="007F6773"/>
    <w:rsid w:val="007F67E0"/>
    <w:rsid w:val="007F6E34"/>
    <w:rsid w:val="007F6E93"/>
    <w:rsid w:val="007F6F22"/>
    <w:rsid w:val="007F74FE"/>
    <w:rsid w:val="007F76A6"/>
    <w:rsid w:val="007F7D03"/>
    <w:rsid w:val="007F7DB4"/>
    <w:rsid w:val="0080024E"/>
    <w:rsid w:val="00800533"/>
    <w:rsid w:val="00800BCF"/>
    <w:rsid w:val="00800C91"/>
    <w:rsid w:val="00800D3A"/>
    <w:rsid w:val="008012AD"/>
    <w:rsid w:val="00801CA7"/>
    <w:rsid w:val="00801E42"/>
    <w:rsid w:val="00802335"/>
    <w:rsid w:val="0080276C"/>
    <w:rsid w:val="00802B5C"/>
    <w:rsid w:val="00802DE0"/>
    <w:rsid w:val="00802FAA"/>
    <w:rsid w:val="00802FE3"/>
    <w:rsid w:val="008032C6"/>
    <w:rsid w:val="00803DD1"/>
    <w:rsid w:val="0080428B"/>
    <w:rsid w:val="0080431E"/>
    <w:rsid w:val="00804BE3"/>
    <w:rsid w:val="00804E0E"/>
    <w:rsid w:val="00805284"/>
    <w:rsid w:val="0080567D"/>
    <w:rsid w:val="00805D71"/>
    <w:rsid w:val="00805FF9"/>
    <w:rsid w:val="008064BE"/>
    <w:rsid w:val="00806836"/>
    <w:rsid w:val="00806862"/>
    <w:rsid w:val="00806BBC"/>
    <w:rsid w:val="00807F9D"/>
    <w:rsid w:val="008100EE"/>
    <w:rsid w:val="00810C12"/>
    <w:rsid w:val="008114A4"/>
    <w:rsid w:val="008114AD"/>
    <w:rsid w:val="00811AB2"/>
    <w:rsid w:val="00811B1F"/>
    <w:rsid w:val="00811B4F"/>
    <w:rsid w:val="00811EC5"/>
    <w:rsid w:val="00812E4E"/>
    <w:rsid w:val="00813092"/>
    <w:rsid w:val="00813227"/>
    <w:rsid w:val="00813492"/>
    <w:rsid w:val="00813511"/>
    <w:rsid w:val="00813BB0"/>
    <w:rsid w:val="0081475B"/>
    <w:rsid w:val="008147B2"/>
    <w:rsid w:val="008147D6"/>
    <w:rsid w:val="00814B36"/>
    <w:rsid w:val="00814F18"/>
    <w:rsid w:val="00815CEC"/>
    <w:rsid w:val="00816B11"/>
    <w:rsid w:val="00816B4F"/>
    <w:rsid w:val="00817005"/>
    <w:rsid w:val="008170EF"/>
    <w:rsid w:val="00817636"/>
    <w:rsid w:val="008176C2"/>
    <w:rsid w:val="00820A88"/>
    <w:rsid w:val="00820F32"/>
    <w:rsid w:val="00820FBF"/>
    <w:rsid w:val="008217E2"/>
    <w:rsid w:val="00821900"/>
    <w:rsid w:val="008222D6"/>
    <w:rsid w:val="008240CB"/>
    <w:rsid w:val="0082448C"/>
    <w:rsid w:val="00825462"/>
    <w:rsid w:val="00825688"/>
    <w:rsid w:val="00825EBE"/>
    <w:rsid w:val="00825F89"/>
    <w:rsid w:val="00825FFA"/>
    <w:rsid w:val="00826F6A"/>
    <w:rsid w:val="00827081"/>
    <w:rsid w:val="0082755B"/>
    <w:rsid w:val="008278AC"/>
    <w:rsid w:val="00830879"/>
    <w:rsid w:val="00830B51"/>
    <w:rsid w:val="00830F50"/>
    <w:rsid w:val="008310D2"/>
    <w:rsid w:val="008312FE"/>
    <w:rsid w:val="00831492"/>
    <w:rsid w:val="0083186B"/>
    <w:rsid w:val="00832739"/>
    <w:rsid w:val="00832A77"/>
    <w:rsid w:val="00833368"/>
    <w:rsid w:val="00833581"/>
    <w:rsid w:val="00833A8F"/>
    <w:rsid w:val="00833C97"/>
    <w:rsid w:val="00833CD5"/>
    <w:rsid w:val="00833D05"/>
    <w:rsid w:val="00835133"/>
    <w:rsid w:val="00835284"/>
    <w:rsid w:val="008358DA"/>
    <w:rsid w:val="00835D49"/>
    <w:rsid w:val="00836821"/>
    <w:rsid w:val="008368D5"/>
    <w:rsid w:val="0083694F"/>
    <w:rsid w:val="00836EE6"/>
    <w:rsid w:val="00837292"/>
    <w:rsid w:val="00837C56"/>
    <w:rsid w:val="008400AC"/>
    <w:rsid w:val="00840363"/>
    <w:rsid w:val="00840DC0"/>
    <w:rsid w:val="00841348"/>
    <w:rsid w:val="00841851"/>
    <w:rsid w:val="0084281C"/>
    <w:rsid w:val="00843B2F"/>
    <w:rsid w:val="00843CC1"/>
    <w:rsid w:val="00844523"/>
    <w:rsid w:val="00844603"/>
    <w:rsid w:val="00844C49"/>
    <w:rsid w:val="00845545"/>
    <w:rsid w:val="00845B42"/>
    <w:rsid w:val="00846C60"/>
    <w:rsid w:val="00847043"/>
    <w:rsid w:val="00847112"/>
    <w:rsid w:val="008472A9"/>
    <w:rsid w:val="008474A3"/>
    <w:rsid w:val="00847D61"/>
    <w:rsid w:val="00847E0A"/>
    <w:rsid w:val="00847F81"/>
    <w:rsid w:val="008504D9"/>
    <w:rsid w:val="00850811"/>
    <w:rsid w:val="008508B5"/>
    <w:rsid w:val="008509C0"/>
    <w:rsid w:val="00850C00"/>
    <w:rsid w:val="00850C5C"/>
    <w:rsid w:val="00851380"/>
    <w:rsid w:val="0085149E"/>
    <w:rsid w:val="0085297D"/>
    <w:rsid w:val="00852C48"/>
    <w:rsid w:val="00852DAD"/>
    <w:rsid w:val="00852E11"/>
    <w:rsid w:val="008538AA"/>
    <w:rsid w:val="008538AF"/>
    <w:rsid w:val="00853A07"/>
    <w:rsid w:val="00855195"/>
    <w:rsid w:val="00855553"/>
    <w:rsid w:val="00856489"/>
    <w:rsid w:val="008564B1"/>
    <w:rsid w:val="008568AB"/>
    <w:rsid w:val="00857016"/>
    <w:rsid w:val="0085740F"/>
    <w:rsid w:val="00857BF7"/>
    <w:rsid w:val="00857CCC"/>
    <w:rsid w:val="00857E4E"/>
    <w:rsid w:val="00860298"/>
    <w:rsid w:val="00860641"/>
    <w:rsid w:val="00861045"/>
    <w:rsid w:val="00861807"/>
    <w:rsid w:val="00862300"/>
    <w:rsid w:val="0086272D"/>
    <w:rsid w:val="00862C0B"/>
    <w:rsid w:val="008632E3"/>
    <w:rsid w:val="008636F9"/>
    <w:rsid w:val="00863D76"/>
    <w:rsid w:val="008644A5"/>
    <w:rsid w:val="00864CD4"/>
    <w:rsid w:val="00864F92"/>
    <w:rsid w:val="00865F3D"/>
    <w:rsid w:val="0086641B"/>
    <w:rsid w:val="008666BD"/>
    <w:rsid w:val="00866A86"/>
    <w:rsid w:val="00866F57"/>
    <w:rsid w:val="00866FD1"/>
    <w:rsid w:val="00867828"/>
    <w:rsid w:val="00867E74"/>
    <w:rsid w:val="00870D46"/>
    <w:rsid w:val="008712EA"/>
    <w:rsid w:val="00871AB5"/>
    <w:rsid w:val="008723EF"/>
    <w:rsid w:val="008728C4"/>
    <w:rsid w:val="00872CB1"/>
    <w:rsid w:val="0087314B"/>
    <w:rsid w:val="00873409"/>
    <w:rsid w:val="008735D7"/>
    <w:rsid w:val="0087368A"/>
    <w:rsid w:val="0087390A"/>
    <w:rsid w:val="00873E2C"/>
    <w:rsid w:val="00874353"/>
    <w:rsid w:val="008744FE"/>
    <w:rsid w:val="00874F0A"/>
    <w:rsid w:val="008755F4"/>
    <w:rsid w:val="0087566D"/>
    <w:rsid w:val="008759F0"/>
    <w:rsid w:val="00875F48"/>
    <w:rsid w:val="00876596"/>
    <w:rsid w:val="0087662D"/>
    <w:rsid w:val="0087734F"/>
    <w:rsid w:val="0087779E"/>
    <w:rsid w:val="008779DE"/>
    <w:rsid w:val="00877C15"/>
    <w:rsid w:val="0088052D"/>
    <w:rsid w:val="00880C58"/>
    <w:rsid w:val="00881269"/>
    <w:rsid w:val="008814EB"/>
    <w:rsid w:val="00881885"/>
    <w:rsid w:val="00881DE4"/>
    <w:rsid w:val="008829E4"/>
    <w:rsid w:val="008830D0"/>
    <w:rsid w:val="008834F0"/>
    <w:rsid w:val="00883AF2"/>
    <w:rsid w:val="00883F71"/>
    <w:rsid w:val="0088465D"/>
    <w:rsid w:val="008849D9"/>
    <w:rsid w:val="00884CDC"/>
    <w:rsid w:val="008852C1"/>
    <w:rsid w:val="008854A0"/>
    <w:rsid w:val="008854AA"/>
    <w:rsid w:val="008856DB"/>
    <w:rsid w:val="0088624B"/>
    <w:rsid w:val="00886695"/>
    <w:rsid w:val="008866DF"/>
    <w:rsid w:val="008868D1"/>
    <w:rsid w:val="00886D31"/>
    <w:rsid w:val="00887277"/>
    <w:rsid w:val="008875F2"/>
    <w:rsid w:val="008876D6"/>
    <w:rsid w:val="00887751"/>
    <w:rsid w:val="00887858"/>
    <w:rsid w:val="00887CDC"/>
    <w:rsid w:val="00890105"/>
    <w:rsid w:val="008908C8"/>
    <w:rsid w:val="0089099A"/>
    <w:rsid w:val="00890BD0"/>
    <w:rsid w:val="00890E11"/>
    <w:rsid w:val="00890E98"/>
    <w:rsid w:val="00891990"/>
    <w:rsid w:val="008919C3"/>
    <w:rsid w:val="00891CD5"/>
    <w:rsid w:val="00891D77"/>
    <w:rsid w:val="00891E92"/>
    <w:rsid w:val="0089208F"/>
    <w:rsid w:val="00892778"/>
    <w:rsid w:val="0089286F"/>
    <w:rsid w:val="00892C6F"/>
    <w:rsid w:val="00892DDD"/>
    <w:rsid w:val="0089354F"/>
    <w:rsid w:val="00893ADB"/>
    <w:rsid w:val="00894016"/>
    <w:rsid w:val="00894545"/>
    <w:rsid w:val="00894840"/>
    <w:rsid w:val="00894844"/>
    <w:rsid w:val="008948D1"/>
    <w:rsid w:val="00894A87"/>
    <w:rsid w:val="008964BE"/>
    <w:rsid w:val="008968B1"/>
    <w:rsid w:val="008978E6"/>
    <w:rsid w:val="008979A0"/>
    <w:rsid w:val="00897DB1"/>
    <w:rsid w:val="00897E7B"/>
    <w:rsid w:val="008A00F5"/>
    <w:rsid w:val="008A0958"/>
    <w:rsid w:val="008A1413"/>
    <w:rsid w:val="008A18FD"/>
    <w:rsid w:val="008A1C14"/>
    <w:rsid w:val="008A23DF"/>
    <w:rsid w:val="008A2A3F"/>
    <w:rsid w:val="008A2CFF"/>
    <w:rsid w:val="008A2F93"/>
    <w:rsid w:val="008A31A1"/>
    <w:rsid w:val="008A36A0"/>
    <w:rsid w:val="008A3EB9"/>
    <w:rsid w:val="008A4125"/>
    <w:rsid w:val="008A4E99"/>
    <w:rsid w:val="008A53C3"/>
    <w:rsid w:val="008A5460"/>
    <w:rsid w:val="008A5521"/>
    <w:rsid w:val="008A59FD"/>
    <w:rsid w:val="008A5E3A"/>
    <w:rsid w:val="008A63FA"/>
    <w:rsid w:val="008A6428"/>
    <w:rsid w:val="008A698A"/>
    <w:rsid w:val="008A69F7"/>
    <w:rsid w:val="008A6CF3"/>
    <w:rsid w:val="008A6EE9"/>
    <w:rsid w:val="008A7717"/>
    <w:rsid w:val="008A7832"/>
    <w:rsid w:val="008A789D"/>
    <w:rsid w:val="008A78EE"/>
    <w:rsid w:val="008A7B59"/>
    <w:rsid w:val="008A7EC8"/>
    <w:rsid w:val="008B0655"/>
    <w:rsid w:val="008B1035"/>
    <w:rsid w:val="008B18C1"/>
    <w:rsid w:val="008B1FAE"/>
    <w:rsid w:val="008B2B62"/>
    <w:rsid w:val="008B2D75"/>
    <w:rsid w:val="008B2DD6"/>
    <w:rsid w:val="008B338C"/>
    <w:rsid w:val="008B3A0D"/>
    <w:rsid w:val="008B3DF6"/>
    <w:rsid w:val="008B3FF4"/>
    <w:rsid w:val="008B4132"/>
    <w:rsid w:val="008B43BC"/>
    <w:rsid w:val="008B465B"/>
    <w:rsid w:val="008B5005"/>
    <w:rsid w:val="008B5802"/>
    <w:rsid w:val="008B626E"/>
    <w:rsid w:val="008B6AC4"/>
    <w:rsid w:val="008B71C0"/>
    <w:rsid w:val="008B73AD"/>
    <w:rsid w:val="008B748F"/>
    <w:rsid w:val="008B7FAE"/>
    <w:rsid w:val="008C0109"/>
    <w:rsid w:val="008C0B4E"/>
    <w:rsid w:val="008C0D67"/>
    <w:rsid w:val="008C1043"/>
    <w:rsid w:val="008C12DD"/>
    <w:rsid w:val="008C189F"/>
    <w:rsid w:val="008C1FB3"/>
    <w:rsid w:val="008C2967"/>
    <w:rsid w:val="008C2E98"/>
    <w:rsid w:val="008C33E6"/>
    <w:rsid w:val="008C3709"/>
    <w:rsid w:val="008C383F"/>
    <w:rsid w:val="008C3DA3"/>
    <w:rsid w:val="008C3F7D"/>
    <w:rsid w:val="008C4893"/>
    <w:rsid w:val="008C4A51"/>
    <w:rsid w:val="008C62D8"/>
    <w:rsid w:val="008C646E"/>
    <w:rsid w:val="008C6D69"/>
    <w:rsid w:val="008C7C27"/>
    <w:rsid w:val="008C7E0B"/>
    <w:rsid w:val="008D0565"/>
    <w:rsid w:val="008D0647"/>
    <w:rsid w:val="008D12D9"/>
    <w:rsid w:val="008D1393"/>
    <w:rsid w:val="008D2377"/>
    <w:rsid w:val="008D24DA"/>
    <w:rsid w:val="008D301E"/>
    <w:rsid w:val="008D3BE2"/>
    <w:rsid w:val="008D4582"/>
    <w:rsid w:val="008D46A3"/>
    <w:rsid w:val="008D4D52"/>
    <w:rsid w:val="008D517F"/>
    <w:rsid w:val="008D54E6"/>
    <w:rsid w:val="008D55E0"/>
    <w:rsid w:val="008D5CF1"/>
    <w:rsid w:val="008D5FB8"/>
    <w:rsid w:val="008D6387"/>
    <w:rsid w:val="008D6B01"/>
    <w:rsid w:val="008D6E31"/>
    <w:rsid w:val="008D7057"/>
    <w:rsid w:val="008D7219"/>
    <w:rsid w:val="008D7779"/>
    <w:rsid w:val="008D7B14"/>
    <w:rsid w:val="008D7F5D"/>
    <w:rsid w:val="008E0355"/>
    <w:rsid w:val="008E0717"/>
    <w:rsid w:val="008E0A3E"/>
    <w:rsid w:val="008E0A48"/>
    <w:rsid w:val="008E0C7D"/>
    <w:rsid w:val="008E0F76"/>
    <w:rsid w:val="008E1257"/>
    <w:rsid w:val="008E1463"/>
    <w:rsid w:val="008E16FE"/>
    <w:rsid w:val="008E1EC8"/>
    <w:rsid w:val="008E255D"/>
    <w:rsid w:val="008E2685"/>
    <w:rsid w:val="008E30D0"/>
    <w:rsid w:val="008E3671"/>
    <w:rsid w:val="008E3706"/>
    <w:rsid w:val="008E3AD2"/>
    <w:rsid w:val="008E3CC6"/>
    <w:rsid w:val="008E3FBD"/>
    <w:rsid w:val="008E4312"/>
    <w:rsid w:val="008E498C"/>
    <w:rsid w:val="008E4A4D"/>
    <w:rsid w:val="008E4BCC"/>
    <w:rsid w:val="008E4E87"/>
    <w:rsid w:val="008E4FCD"/>
    <w:rsid w:val="008E54A2"/>
    <w:rsid w:val="008E55FD"/>
    <w:rsid w:val="008E5AEA"/>
    <w:rsid w:val="008E5F78"/>
    <w:rsid w:val="008E61A4"/>
    <w:rsid w:val="008E6287"/>
    <w:rsid w:val="008E6D09"/>
    <w:rsid w:val="008E7002"/>
    <w:rsid w:val="008E708C"/>
    <w:rsid w:val="008E721D"/>
    <w:rsid w:val="008E785D"/>
    <w:rsid w:val="008E7AAC"/>
    <w:rsid w:val="008F02B4"/>
    <w:rsid w:val="008F0487"/>
    <w:rsid w:val="008F151D"/>
    <w:rsid w:val="008F29F0"/>
    <w:rsid w:val="008F2EF3"/>
    <w:rsid w:val="008F36FC"/>
    <w:rsid w:val="008F37C5"/>
    <w:rsid w:val="008F4176"/>
    <w:rsid w:val="008F46D5"/>
    <w:rsid w:val="008F49A0"/>
    <w:rsid w:val="008F4B1C"/>
    <w:rsid w:val="008F4D40"/>
    <w:rsid w:val="008F4F1C"/>
    <w:rsid w:val="008F57FC"/>
    <w:rsid w:val="008F59E7"/>
    <w:rsid w:val="008F5D21"/>
    <w:rsid w:val="008F5D4D"/>
    <w:rsid w:val="008F6107"/>
    <w:rsid w:val="008F628E"/>
    <w:rsid w:val="008F6309"/>
    <w:rsid w:val="008F6C8B"/>
    <w:rsid w:val="008F6E9D"/>
    <w:rsid w:val="008F6FC9"/>
    <w:rsid w:val="008F70A5"/>
    <w:rsid w:val="008F7806"/>
    <w:rsid w:val="008F7B6B"/>
    <w:rsid w:val="00900534"/>
    <w:rsid w:val="009006A2"/>
    <w:rsid w:val="009008CD"/>
    <w:rsid w:val="00900CA0"/>
    <w:rsid w:val="00900D73"/>
    <w:rsid w:val="00900FFC"/>
    <w:rsid w:val="009010C7"/>
    <w:rsid w:val="0090136D"/>
    <w:rsid w:val="009016ED"/>
    <w:rsid w:val="00901A1F"/>
    <w:rsid w:val="00901E78"/>
    <w:rsid w:val="00902170"/>
    <w:rsid w:val="0090222F"/>
    <w:rsid w:val="009024CE"/>
    <w:rsid w:val="00903681"/>
    <w:rsid w:val="00903BF6"/>
    <w:rsid w:val="00903F52"/>
    <w:rsid w:val="00903FD5"/>
    <w:rsid w:val="009046A2"/>
    <w:rsid w:val="009048B8"/>
    <w:rsid w:val="00904AB7"/>
    <w:rsid w:val="00904C2D"/>
    <w:rsid w:val="00904D62"/>
    <w:rsid w:val="00904F08"/>
    <w:rsid w:val="00905189"/>
    <w:rsid w:val="009051EC"/>
    <w:rsid w:val="009063EA"/>
    <w:rsid w:val="009068C2"/>
    <w:rsid w:val="009068D2"/>
    <w:rsid w:val="00906CAD"/>
    <w:rsid w:val="00907221"/>
    <w:rsid w:val="00907C68"/>
    <w:rsid w:val="00907D21"/>
    <w:rsid w:val="00907E54"/>
    <w:rsid w:val="00910121"/>
    <w:rsid w:val="009103B5"/>
    <w:rsid w:val="0091075F"/>
    <w:rsid w:val="00910C64"/>
    <w:rsid w:val="00911098"/>
    <w:rsid w:val="00911820"/>
    <w:rsid w:val="00911A18"/>
    <w:rsid w:val="00911BD9"/>
    <w:rsid w:val="00911DC0"/>
    <w:rsid w:val="00912B1E"/>
    <w:rsid w:val="00913169"/>
    <w:rsid w:val="00913839"/>
    <w:rsid w:val="00913CDB"/>
    <w:rsid w:val="009141A1"/>
    <w:rsid w:val="009142C3"/>
    <w:rsid w:val="00915640"/>
    <w:rsid w:val="00915A6E"/>
    <w:rsid w:val="00915F23"/>
    <w:rsid w:val="0091609E"/>
    <w:rsid w:val="00916109"/>
    <w:rsid w:val="00916C34"/>
    <w:rsid w:val="0091753D"/>
    <w:rsid w:val="0091779F"/>
    <w:rsid w:val="00917961"/>
    <w:rsid w:val="00917F40"/>
    <w:rsid w:val="00917FCC"/>
    <w:rsid w:val="009200B2"/>
    <w:rsid w:val="00920402"/>
    <w:rsid w:val="00920576"/>
    <w:rsid w:val="00920607"/>
    <w:rsid w:val="009209AF"/>
    <w:rsid w:val="00920F5B"/>
    <w:rsid w:val="00921865"/>
    <w:rsid w:val="00921D24"/>
    <w:rsid w:val="00922B48"/>
    <w:rsid w:val="00922DA6"/>
    <w:rsid w:val="00922F75"/>
    <w:rsid w:val="00923775"/>
    <w:rsid w:val="0092381B"/>
    <w:rsid w:val="00923D2A"/>
    <w:rsid w:val="00923FCA"/>
    <w:rsid w:val="009245D1"/>
    <w:rsid w:val="00924CD3"/>
    <w:rsid w:val="00925145"/>
    <w:rsid w:val="00925184"/>
    <w:rsid w:val="0092525A"/>
    <w:rsid w:val="009253D2"/>
    <w:rsid w:val="0092540C"/>
    <w:rsid w:val="009256F7"/>
    <w:rsid w:val="00925733"/>
    <w:rsid w:val="00925842"/>
    <w:rsid w:val="00925F40"/>
    <w:rsid w:val="00926080"/>
    <w:rsid w:val="00926BFD"/>
    <w:rsid w:val="00926EF9"/>
    <w:rsid w:val="0092728E"/>
    <w:rsid w:val="00927425"/>
    <w:rsid w:val="0092747A"/>
    <w:rsid w:val="0092758E"/>
    <w:rsid w:val="0093027D"/>
    <w:rsid w:val="0093099A"/>
    <w:rsid w:val="0093156D"/>
    <w:rsid w:val="009319B7"/>
    <w:rsid w:val="00931D04"/>
    <w:rsid w:val="0093243B"/>
    <w:rsid w:val="009326F4"/>
    <w:rsid w:val="009328F1"/>
    <w:rsid w:val="00932B09"/>
    <w:rsid w:val="00932C93"/>
    <w:rsid w:val="00932DC8"/>
    <w:rsid w:val="00932F32"/>
    <w:rsid w:val="009331A3"/>
    <w:rsid w:val="0093333D"/>
    <w:rsid w:val="00933790"/>
    <w:rsid w:val="00933911"/>
    <w:rsid w:val="009339E9"/>
    <w:rsid w:val="00934206"/>
    <w:rsid w:val="009347E4"/>
    <w:rsid w:val="0093510A"/>
    <w:rsid w:val="0093589A"/>
    <w:rsid w:val="00935EB2"/>
    <w:rsid w:val="00936833"/>
    <w:rsid w:val="00936F3B"/>
    <w:rsid w:val="0093756C"/>
    <w:rsid w:val="00937618"/>
    <w:rsid w:val="00937BD2"/>
    <w:rsid w:val="00937ED5"/>
    <w:rsid w:val="00937FB0"/>
    <w:rsid w:val="009403E1"/>
    <w:rsid w:val="00940FC6"/>
    <w:rsid w:val="009413C1"/>
    <w:rsid w:val="009413E1"/>
    <w:rsid w:val="00941712"/>
    <w:rsid w:val="009417FC"/>
    <w:rsid w:val="00941934"/>
    <w:rsid w:val="009423DE"/>
    <w:rsid w:val="00942736"/>
    <w:rsid w:val="00942903"/>
    <w:rsid w:val="00942BA2"/>
    <w:rsid w:val="00942C62"/>
    <w:rsid w:val="009431FD"/>
    <w:rsid w:val="00943674"/>
    <w:rsid w:val="0094386F"/>
    <w:rsid w:val="009438A7"/>
    <w:rsid w:val="00943B4E"/>
    <w:rsid w:val="00943D68"/>
    <w:rsid w:val="00943ED1"/>
    <w:rsid w:val="00944689"/>
    <w:rsid w:val="009447CE"/>
    <w:rsid w:val="00944EE6"/>
    <w:rsid w:val="009450A6"/>
    <w:rsid w:val="00945130"/>
    <w:rsid w:val="00945857"/>
    <w:rsid w:val="009460E2"/>
    <w:rsid w:val="00946744"/>
    <w:rsid w:val="00946D6E"/>
    <w:rsid w:val="00947082"/>
    <w:rsid w:val="009476C9"/>
    <w:rsid w:val="00947870"/>
    <w:rsid w:val="00947A29"/>
    <w:rsid w:val="0095072A"/>
    <w:rsid w:val="00950E0D"/>
    <w:rsid w:val="009513D1"/>
    <w:rsid w:val="009518AF"/>
    <w:rsid w:val="0095196A"/>
    <w:rsid w:val="00951CF6"/>
    <w:rsid w:val="0095299E"/>
    <w:rsid w:val="00953F7A"/>
    <w:rsid w:val="0095405A"/>
    <w:rsid w:val="00954863"/>
    <w:rsid w:val="00954B88"/>
    <w:rsid w:val="0095519B"/>
    <w:rsid w:val="009554A4"/>
    <w:rsid w:val="00956486"/>
    <w:rsid w:val="00956EB0"/>
    <w:rsid w:val="00956F28"/>
    <w:rsid w:val="009571BE"/>
    <w:rsid w:val="00957350"/>
    <w:rsid w:val="00957438"/>
    <w:rsid w:val="00957B20"/>
    <w:rsid w:val="00957F6A"/>
    <w:rsid w:val="00960315"/>
    <w:rsid w:val="00960392"/>
    <w:rsid w:val="00960412"/>
    <w:rsid w:val="00960CF2"/>
    <w:rsid w:val="009610FD"/>
    <w:rsid w:val="00961409"/>
    <w:rsid w:val="0096196B"/>
    <w:rsid w:val="00961B5A"/>
    <w:rsid w:val="00962437"/>
    <w:rsid w:val="00962841"/>
    <w:rsid w:val="00962EAF"/>
    <w:rsid w:val="00963415"/>
    <w:rsid w:val="00963419"/>
    <w:rsid w:val="00963EF1"/>
    <w:rsid w:val="00964579"/>
    <w:rsid w:val="00964808"/>
    <w:rsid w:val="00966119"/>
    <w:rsid w:val="00966E65"/>
    <w:rsid w:val="009674C8"/>
    <w:rsid w:val="0096792E"/>
    <w:rsid w:val="00967A69"/>
    <w:rsid w:val="00970616"/>
    <w:rsid w:val="00970A78"/>
    <w:rsid w:val="00971039"/>
    <w:rsid w:val="00971392"/>
    <w:rsid w:val="00971A13"/>
    <w:rsid w:val="00971BE9"/>
    <w:rsid w:val="00971D45"/>
    <w:rsid w:val="0097342E"/>
    <w:rsid w:val="009749BE"/>
    <w:rsid w:val="00974A21"/>
    <w:rsid w:val="0097566A"/>
    <w:rsid w:val="009756BD"/>
    <w:rsid w:val="00975D99"/>
    <w:rsid w:val="009765EE"/>
    <w:rsid w:val="0097684D"/>
    <w:rsid w:val="00976A1E"/>
    <w:rsid w:val="00976C3D"/>
    <w:rsid w:val="009772FF"/>
    <w:rsid w:val="00977827"/>
    <w:rsid w:val="00977A2D"/>
    <w:rsid w:val="00977B2B"/>
    <w:rsid w:val="009803F6"/>
    <w:rsid w:val="00980455"/>
    <w:rsid w:val="009808A2"/>
    <w:rsid w:val="00981508"/>
    <w:rsid w:val="009815DC"/>
    <w:rsid w:val="00981F96"/>
    <w:rsid w:val="0098261F"/>
    <w:rsid w:val="00982961"/>
    <w:rsid w:val="00983224"/>
    <w:rsid w:val="009836FB"/>
    <w:rsid w:val="00983720"/>
    <w:rsid w:val="00983730"/>
    <w:rsid w:val="00983839"/>
    <w:rsid w:val="00983D79"/>
    <w:rsid w:val="00983F07"/>
    <w:rsid w:val="009843EA"/>
    <w:rsid w:val="00984486"/>
    <w:rsid w:val="00984A65"/>
    <w:rsid w:val="00984DEB"/>
    <w:rsid w:val="00984DF4"/>
    <w:rsid w:val="009853B6"/>
    <w:rsid w:val="009853E9"/>
    <w:rsid w:val="00985534"/>
    <w:rsid w:val="00985683"/>
    <w:rsid w:val="009858CD"/>
    <w:rsid w:val="00985F2B"/>
    <w:rsid w:val="009860F9"/>
    <w:rsid w:val="00986FAE"/>
    <w:rsid w:val="00986FFE"/>
    <w:rsid w:val="00987172"/>
    <w:rsid w:val="00987410"/>
    <w:rsid w:val="0099022B"/>
    <w:rsid w:val="009907A7"/>
    <w:rsid w:val="00990984"/>
    <w:rsid w:val="00990A10"/>
    <w:rsid w:val="0099109F"/>
    <w:rsid w:val="009916F7"/>
    <w:rsid w:val="00991941"/>
    <w:rsid w:val="009919A6"/>
    <w:rsid w:val="009919AD"/>
    <w:rsid w:val="00991BDD"/>
    <w:rsid w:val="00991CDF"/>
    <w:rsid w:val="009920C1"/>
    <w:rsid w:val="009921C9"/>
    <w:rsid w:val="009922F9"/>
    <w:rsid w:val="0099280A"/>
    <w:rsid w:val="00992BF8"/>
    <w:rsid w:val="00992BFA"/>
    <w:rsid w:val="00992E30"/>
    <w:rsid w:val="00992EC0"/>
    <w:rsid w:val="0099319B"/>
    <w:rsid w:val="009938D2"/>
    <w:rsid w:val="009940DB"/>
    <w:rsid w:val="0099446E"/>
    <w:rsid w:val="0099460F"/>
    <w:rsid w:val="009949C6"/>
    <w:rsid w:val="00994EAF"/>
    <w:rsid w:val="00994F07"/>
    <w:rsid w:val="00994FE5"/>
    <w:rsid w:val="00995192"/>
    <w:rsid w:val="0099521C"/>
    <w:rsid w:val="009954D5"/>
    <w:rsid w:val="00995541"/>
    <w:rsid w:val="0099611D"/>
    <w:rsid w:val="0099641B"/>
    <w:rsid w:val="009964DE"/>
    <w:rsid w:val="0099663D"/>
    <w:rsid w:val="00996716"/>
    <w:rsid w:val="00996AB1"/>
    <w:rsid w:val="0099719C"/>
    <w:rsid w:val="009972CD"/>
    <w:rsid w:val="009975EA"/>
    <w:rsid w:val="009979F0"/>
    <w:rsid w:val="00997AB0"/>
    <w:rsid w:val="00997BBD"/>
    <w:rsid w:val="009A02A9"/>
    <w:rsid w:val="009A0436"/>
    <w:rsid w:val="009A0800"/>
    <w:rsid w:val="009A0A5D"/>
    <w:rsid w:val="009A0C93"/>
    <w:rsid w:val="009A0D7A"/>
    <w:rsid w:val="009A0DFC"/>
    <w:rsid w:val="009A0FAD"/>
    <w:rsid w:val="009A1267"/>
    <w:rsid w:val="009A14BF"/>
    <w:rsid w:val="009A1C10"/>
    <w:rsid w:val="009A2338"/>
    <w:rsid w:val="009A2F3C"/>
    <w:rsid w:val="009A357A"/>
    <w:rsid w:val="009A390A"/>
    <w:rsid w:val="009A3D03"/>
    <w:rsid w:val="009A3EC0"/>
    <w:rsid w:val="009A4361"/>
    <w:rsid w:val="009A442C"/>
    <w:rsid w:val="009A4558"/>
    <w:rsid w:val="009A4968"/>
    <w:rsid w:val="009A4E08"/>
    <w:rsid w:val="009A5298"/>
    <w:rsid w:val="009A534D"/>
    <w:rsid w:val="009A5797"/>
    <w:rsid w:val="009A5DDD"/>
    <w:rsid w:val="009A6831"/>
    <w:rsid w:val="009A6E52"/>
    <w:rsid w:val="009A7C83"/>
    <w:rsid w:val="009A7EB7"/>
    <w:rsid w:val="009B0079"/>
    <w:rsid w:val="009B039D"/>
    <w:rsid w:val="009B047C"/>
    <w:rsid w:val="009B0811"/>
    <w:rsid w:val="009B0BA1"/>
    <w:rsid w:val="009B1764"/>
    <w:rsid w:val="009B1961"/>
    <w:rsid w:val="009B1C1A"/>
    <w:rsid w:val="009B1F8D"/>
    <w:rsid w:val="009B1FC6"/>
    <w:rsid w:val="009B2541"/>
    <w:rsid w:val="009B26AC"/>
    <w:rsid w:val="009B2B1A"/>
    <w:rsid w:val="009B2D0A"/>
    <w:rsid w:val="009B3135"/>
    <w:rsid w:val="009B32E8"/>
    <w:rsid w:val="009B3742"/>
    <w:rsid w:val="009B395F"/>
    <w:rsid w:val="009B4B0D"/>
    <w:rsid w:val="009B571C"/>
    <w:rsid w:val="009B5A76"/>
    <w:rsid w:val="009B5C44"/>
    <w:rsid w:val="009B6A17"/>
    <w:rsid w:val="009B6D09"/>
    <w:rsid w:val="009B701A"/>
    <w:rsid w:val="009B71E0"/>
    <w:rsid w:val="009B73B7"/>
    <w:rsid w:val="009B781B"/>
    <w:rsid w:val="009B79EA"/>
    <w:rsid w:val="009B7FB7"/>
    <w:rsid w:val="009C0131"/>
    <w:rsid w:val="009C03EB"/>
    <w:rsid w:val="009C0BE2"/>
    <w:rsid w:val="009C14E4"/>
    <w:rsid w:val="009C2199"/>
    <w:rsid w:val="009C27FE"/>
    <w:rsid w:val="009C2981"/>
    <w:rsid w:val="009C3620"/>
    <w:rsid w:val="009C3A03"/>
    <w:rsid w:val="009C3B2D"/>
    <w:rsid w:val="009C3F58"/>
    <w:rsid w:val="009C4192"/>
    <w:rsid w:val="009C43CF"/>
    <w:rsid w:val="009C43DF"/>
    <w:rsid w:val="009C4AA5"/>
    <w:rsid w:val="009C4D24"/>
    <w:rsid w:val="009C5A42"/>
    <w:rsid w:val="009C6105"/>
    <w:rsid w:val="009C65B3"/>
    <w:rsid w:val="009C7196"/>
    <w:rsid w:val="009C73B9"/>
    <w:rsid w:val="009C7410"/>
    <w:rsid w:val="009C77B7"/>
    <w:rsid w:val="009C7C11"/>
    <w:rsid w:val="009D0574"/>
    <w:rsid w:val="009D05BE"/>
    <w:rsid w:val="009D0EF3"/>
    <w:rsid w:val="009D0FBB"/>
    <w:rsid w:val="009D14B9"/>
    <w:rsid w:val="009D1B94"/>
    <w:rsid w:val="009D21DF"/>
    <w:rsid w:val="009D23A0"/>
    <w:rsid w:val="009D2672"/>
    <w:rsid w:val="009D26DF"/>
    <w:rsid w:val="009D2855"/>
    <w:rsid w:val="009D2CA9"/>
    <w:rsid w:val="009D3079"/>
    <w:rsid w:val="009D3253"/>
    <w:rsid w:val="009D34BB"/>
    <w:rsid w:val="009D350E"/>
    <w:rsid w:val="009D3C1D"/>
    <w:rsid w:val="009D3C91"/>
    <w:rsid w:val="009D3E89"/>
    <w:rsid w:val="009D3F07"/>
    <w:rsid w:val="009D5986"/>
    <w:rsid w:val="009D5C34"/>
    <w:rsid w:val="009D65C0"/>
    <w:rsid w:val="009D6A11"/>
    <w:rsid w:val="009D7E45"/>
    <w:rsid w:val="009E07D9"/>
    <w:rsid w:val="009E0957"/>
    <w:rsid w:val="009E0C45"/>
    <w:rsid w:val="009E0E33"/>
    <w:rsid w:val="009E13CA"/>
    <w:rsid w:val="009E163D"/>
    <w:rsid w:val="009E1C6C"/>
    <w:rsid w:val="009E1CC9"/>
    <w:rsid w:val="009E1D58"/>
    <w:rsid w:val="009E250A"/>
    <w:rsid w:val="009E35D5"/>
    <w:rsid w:val="009E36C7"/>
    <w:rsid w:val="009E3940"/>
    <w:rsid w:val="009E3DCE"/>
    <w:rsid w:val="009E40E1"/>
    <w:rsid w:val="009E413F"/>
    <w:rsid w:val="009E4388"/>
    <w:rsid w:val="009E44A5"/>
    <w:rsid w:val="009E47E9"/>
    <w:rsid w:val="009E4C5D"/>
    <w:rsid w:val="009E4C8D"/>
    <w:rsid w:val="009E4E47"/>
    <w:rsid w:val="009E55EF"/>
    <w:rsid w:val="009E61DD"/>
    <w:rsid w:val="009E6615"/>
    <w:rsid w:val="009E7015"/>
    <w:rsid w:val="009E74AC"/>
    <w:rsid w:val="009E7A81"/>
    <w:rsid w:val="009F108F"/>
    <w:rsid w:val="009F1473"/>
    <w:rsid w:val="009F1731"/>
    <w:rsid w:val="009F2C25"/>
    <w:rsid w:val="009F2E30"/>
    <w:rsid w:val="009F2FAB"/>
    <w:rsid w:val="009F2FB2"/>
    <w:rsid w:val="009F33A7"/>
    <w:rsid w:val="009F36D5"/>
    <w:rsid w:val="009F44CD"/>
    <w:rsid w:val="009F4502"/>
    <w:rsid w:val="009F4565"/>
    <w:rsid w:val="009F460A"/>
    <w:rsid w:val="009F5343"/>
    <w:rsid w:val="009F629C"/>
    <w:rsid w:val="009F64A7"/>
    <w:rsid w:val="009F656C"/>
    <w:rsid w:val="009F6B33"/>
    <w:rsid w:val="009F6C4A"/>
    <w:rsid w:val="009F7620"/>
    <w:rsid w:val="009F7703"/>
    <w:rsid w:val="009F77DE"/>
    <w:rsid w:val="009F7C43"/>
    <w:rsid w:val="00A001B7"/>
    <w:rsid w:val="00A00267"/>
    <w:rsid w:val="00A0032A"/>
    <w:rsid w:val="00A0075C"/>
    <w:rsid w:val="00A01C32"/>
    <w:rsid w:val="00A02078"/>
    <w:rsid w:val="00A020E2"/>
    <w:rsid w:val="00A02524"/>
    <w:rsid w:val="00A033E5"/>
    <w:rsid w:val="00A037C4"/>
    <w:rsid w:val="00A03B34"/>
    <w:rsid w:val="00A03C0E"/>
    <w:rsid w:val="00A03CEE"/>
    <w:rsid w:val="00A03D55"/>
    <w:rsid w:val="00A04529"/>
    <w:rsid w:val="00A04820"/>
    <w:rsid w:val="00A04A1A"/>
    <w:rsid w:val="00A04C03"/>
    <w:rsid w:val="00A05A9C"/>
    <w:rsid w:val="00A05D3D"/>
    <w:rsid w:val="00A05E73"/>
    <w:rsid w:val="00A0615E"/>
    <w:rsid w:val="00A06607"/>
    <w:rsid w:val="00A066B0"/>
    <w:rsid w:val="00A06863"/>
    <w:rsid w:val="00A06C1B"/>
    <w:rsid w:val="00A06C68"/>
    <w:rsid w:val="00A06FC9"/>
    <w:rsid w:val="00A0700F"/>
    <w:rsid w:val="00A070CD"/>
    <w:rsid w:val="00A07468"/>
    <w:rsid w:val="00A07AD9"/>
    <w:rsid w:val="00A07C61"/>
    <w:rsid w:val="00A100F2"/>
    <w:rsid w:val="00A107BB"/>
    <w:rsid w:val="00A113E6"/>
    <w:rsid w:val="00A11F91"/>
    <w:rsid w:val="00A12305"/>
    <w:rsid w:val="00A126AC"/>
    <w:rsid w:val="00A12852"/>
    <w:rsid w:val="00A128FD"/>
    <w:rsid w:val="00A1367B"/>
    <w:rsid w:val="00A136E0"/>
    <w:rsid w:val="00A138D0"/>
    <w:rsid w:val="00A13941"/>
    <w:rsid w:val="00A13AA3"/>
    <w:rsid w:val="00A13CA6"/>
    <w:rsid w:val="00A13DA2"/>
    <w:rsid w:val="00A140F4"/>
    <w:rsid w:val="00A143A3"/>
    <w:rsid w:val="00A143EA"/>
    <w:rsid w:val="00A144EF"/>
    <w:rsid w:val="00A14518"/>
    <w:rsid w:val="00A14A43"/>
    <w:rsid w:val="00A14A71"/>
    <w:rsid w:val="00A14C36"/>
    <w:rsid w:val="00A14C94"/>
    <w:rsid w:val="00A15026"/>
    <w:rsid w:val="00A155B7"/>
    <w:rsid w:val="00A1575E"/>
    <w:rsid w:val="00A15D56"/>
    <w:rsid w:val="00A15FDF"/>
    <w:rsid w:val="00A1618A"/>
    <w:rsid w:val="00A16419"/>
    <w:rsid w:val="00A16E24"/>
    <w:rsid w:val="00A17325"/>
    <w:rsid w:val="00A17D94"/>
    <w:rsid w:val="00A17DF3"/>
    <w:rsid w:val="00A2018A"/>
    <w:rsid w:val="00A20683"/>
    <w:rsid w:val="00A20850"/>
    <w:rsid w:val="00A21258"/>
    <w:rsid w:val="00A2178E"/>
    <w:rsid w:val="00A21CFF"/>
    <w:rsid w:val="00A22146"/>
    <w:rsid w:val="00A22A48"/>
    <w:rsid w:val="00A22BC9"/>
    <w:rsid w:val="00A22E13"/>
    <w:rsid w:val="00A22ED7"/>
    <w:rsid w:val="00A23098"/>
    <w:rsid w:val="00A235F4"/>
    <w:rsid w:val="00A23D73"/>
    <w:rsid w:val="00A247FC"/>
    <w:rsid w:val="00A24984"/>
    <w:rsid w:val="00A24EBE"/>
    <w:rsid w:val="00A25C27"/>
    <w:rsid w:val="00A25EE1"/>
    <w:rsid w:val="00A26013"/>
    <w:rsid w:val="00A2625E"/>
    <w:rsid w:val="00A2638B"/>
    <w:rsid w:val="00A26765"/>
    <w:rsid w:val="00A26CE4"/>
    <w:rsid w:val="00A26DB5"/>
    <w:rsid w:val="00A27057"/>
    <w:rsid w:val="00A27A0A"/>
    <w:rsid w:val="00A300FD"/>
    <w:rsid w:val="00A3053E"/>
    <w:rsid w:val="00A30936"/>
    <w:rsid w:val="00A30CF1"/>
    <w:rsid w:val="00A314C2"/>
    <w:rsid w:val="00A31DAA"/>
    <w:rsid w:val="00A32671"/>
    <w:rsid w:val="00A32E5E"/>
    <w:rsid w:val="00A32EBE"/>
    <w:rsid w:val="00A32FB2"/>
    <w:rsid w:val="00A3347B"/>
    <w:rsid w:val="00A335B0"/>
    <w:rsid w:val="00A33831"/>
    <w:rsid w:val="00A34214"/>
    <w:rsid w:val="00A3499F"/>
    <w:rsid w:val="00A34DC4"/>
    <w:rsid w:val="00A34F42"/>
    <w:rsid w:val="00A353CE"/>
    <w:rsid w:val="00A353D7"/>
    <w:rsid w:val="00A35626"/>
    <w:rsid w:val="00A3644D"/>
    <w:rsid w:val="00A3646F"/>
    <w:rsid w:val="00A36793"/>
    <w:rsid w:val="00A36B74"/>
    <w:rsid w:val="00A36F8A"/>
    <w:rsid w:val="00A373A0"/>
    <w:rsid w:val="00A376D5"/>
    <w:rsid w:val="00A377DC"/>
    <w:rsid w:val="00A3791F"/>
    <w:rsid w:val="00A37A56"/>
    <w:rsid w:val="00A37C26"/>
    <w:rsid w:val="00A41036"/>
    <w:rsid w:val="00A412F1"/>
    <w:rsid w:val="00A41BFF"/>
    <w:rsid w:val="00A42BE6"/>
    <w:rsid w:val="00A42D17"/>
    <w:rsid w:val="00A42D3C"/>
    <w:rsid w:val="00A42EBE"/>
    <w:rsid w:val="00A43C7A"/>
    <w:rsid w:val="00A43DA3"/>
    <w:rsid w:val="00A44131"/>
    <w:rsid w:val="00A44359"/>
    <w:rsid w:val="00A44491"/>
    <w:rsid w:val="00A45292"/>
    <w:rsid w:val="00A45E0B"/>
    <w:rsid w:val="00A466B5"/>
    <w:rsid w:val="00A4706D"/>
    <w:rsid w:val="00A476EA"/>
    <w:rsid w:val="00A47BA0"/>
    <w:rsid w:val="00A47BD3"/>
    <w:rsid w:val="00A47D91"/>
    <w:rsid w:val="00A50353"/>
    <w:rsid w:val="00A50563"/>
    <w:rsid w:val="00A5108E"/>
    <w:rsid w:val="00A517E8"/>
    <w:rsid w:val="00A52800"/>
    <w:rsid w:val="00A5308B"/>
    <w:rsid w:val="00A531B2"/>
    <w:rsid w:val="00A532D7"/>
    <w:rsid w:val="00A53B13"/>
    <w:rsid w:val="00A53CE1"/>
    <w:rsid w:val="00A53F92"/>
    <w:rsid w:val="00A54A78"/>
    <w:rsid w:val="00A54F66"/>
    <w:rsid w:val="00A55486"/>
    <w:rsid w:val="00A55D10"/>
    <w:rsid w:val="00A55D54"/>
    <w:rsid w:val="00A55EEA"/>
    <w:rsid w:val="00A5606C"/>
    <w:rsid w:val="00A56217"/>
    <w:rsid w:val="00A56C6F"/>
    <w:rsid w:val="00A57150"/>
    <w:rsid w:val="00A571F1"/>
    <w:rsid w:val="00A57A4B"/>
    <w:rsid w:val="00A60F25"/>
    <w:rsid w:val="00A611C0"/>
    <w:rsid w:val="00A61310"/>
    <w:rsid w:val="00A6149A"/>
    <w:rsid w:val="00A628D4"/>
    <w:rsid w:val="00A628E5"/>
    <w:rsid w:val="00A62A6B"/>
    <w:rsid w:val="00A62DC7"/>
    <w:rsid w:val="00A62ED9"/>
    <w:rsid w:val="00A631BD"/>
    <w:rsid w:val="00A6340B"/>
    <w:rsid w:val="00A63BC8"/>
    <w:rsid w:val="00A64341"/>
    <w:rsid w:val="00A6442F"/>
    <w:rsid w:val="00A649D6"/>
    <w:rsid w:val="00A64E1F"/>
    <w:rsid w:val="00A655C6"/>
    <w:rsid w:val="00A65A62"/>
    <w:rsid w:val="00A65CA3"/>
    <w:rsid w:val="00A65EF5"/>
    <w:rsid w:val="00A66660"/>
    <w:rsid w:val="00A66731"/>
    <w:rsid w:val="00A66994"/>
    <w:rsid w:val="00A66E88"/>
    <w:rsid w:val="00A66EF7"/>
    <w:rsid w:val="00A67E73"/>
    <w:rsid w:val="00A67F55"/>
    <w:rsid w:val="00A70CBA"/>
    <w:rsid w:val="00A71BFF"/>
    <w:rsid w:val="00A72892"/>
    <w:rsid w:val="00A736A4"/>
    <w:rsid w:val="00A738B7"/>
    <w:rsid w:val="00A7423F"/>
    <w:rsid w:val="00A7522D"/>
    <w:rsid w:val="00A752D8"/>
    <w:rsid w:val="00A75CCD"/>
    <w:rsid w:val="00A760DE"/>
    <w:rsid w:val="00A7661A"/>
    <w:rsid w:val="00A76877"/>
    <w:rsid w:val="00A76AF5"/>
    <w:rsid w:val="00A76F9B"/>
    <w:rsid w:val="00A77566"/>
    <w:rsid w:val="00A77640"/>
    <w:rsid w:val="00A80027"/>
    <w:rsid w:val="00A804E8"/>
    <w:rsid w:val="00A80534"/>
    <w:rsid w:val="00A80678"/>
    <w:rsid w:val="00A81273"/>
    <w:rsid w:val="00A817A4"/>
    <w:rsid w:val="00A817FF"/>
    <w:rsid w:val="00A818A1"/>
    <w:rsid w:val="00A81B7A"/>
    <w:rsid w:val="00A82639"/>
    <w:rsid w:val="00A82C22"/>
    <w:rsid w:val="00A831C2"/>
    <w:rsid w:val="00A83A96"/>
    <w:rsid w:val="00A83AFA"/>
    <w:rsid w:val="00A83B1A"/>
    <w:rsid w:val="00A8412A"/>
    <w:rsid w:val="00A84AEC"/>
    <w:rsid w:val="00A855A1"/>
    <w:rsid w:val="00A85648"/>
    <w:rsid w:val="00A85D11"/>
    <w:rsid w:val="00A860C5"/>
    <w:rsid w:val="00A862D7"/>
    <w:rsid w:val="00A866A1"/>
    <w:rsid w:val="00A867B5"/>
    <w:rsid w:val="00A874BB"/>
    <w:rsid w:val="00A87734"/>
    <w:rsid w:val="00A87841"/>
    <w:rsid w:val="00A87BAD"/>
    <w:rsid w:val="00A87E19"/>
    <w:rsid w:val="00A90515"/>
    <w:rsid w:val="00A905C3"/>
    <w:rsid w:val="00A9116F"/>
    <w:rsid w:val="00A934AC"/>
    <w:rsid w:val="00A93B76"/>
    <w:rsid w:val="00A93F7A"/>
    <w:rsid w:val="00A947AB"/>
    <w:rsid w:val="00A94885"/>
    <w:rsid w:val="00A94ACF"/>
    <w:rsid w:val="00A94CC2"/>
    <w:rsid w:val="00A94FAA"/>
    <w:rsid w:val="00A959EB"/>
    <w:rsid w:val="00A95D8F"/>
    <w:rsid w:val="00A95EF8"/>
    <w:rsid w:val="00A96704"/>
    <w:rsid w:val="00A96834"/>
    <w:rsid w:val="00A96D38"/>
    <w:rsid w:val="00A9741F"/>
    <w:rsid w:val="00A97524"/>
    <w:rsid w:val="00A9769D"/>
    <w:rsid w:val="00A97B4F"/>
    <w:rsid w:val="00AA09AB"/>
    <w:rsid w:val="00AA0A74"/>
    <w:rsid w:val="00AA0CF0"/>
    <w:rsid w:val="00AA17C5"/>
    <w:rsid w:val="00AA1A3A"/>
    <w:rsid w:val="00AA1CC1"/>
    <w:rsid w:val="00AA30F7"/>
    <w:rsid w:val="00AA3AE3"/>
    <w:rsid w:val="00AA40D5"/>
    <w:rsid w:val="00AA44DE"/>
    <w:rsid w:val="00AA45CF"/>
    <w:rsid w:val="00AA4F5A"/>
    <w:rsid w:val="00AA4FB8"/>
    <w:rsid w:val="00AA69CF"/>
    <w:rsid w:val="00AA6A67"/>
    <w:rsid w:val="00AA6F01"/>
    <w:rsid w:val="00AA714D"/>
    <w:rsid w:val="00AA7573"/>
    <w:rsid w:val="00AA7B73"/>
    <w:rsid w:val="00AA7EED"/>
    <w:rsid w:val="00AB0B5A"/>
    <w:rsid w:val="00AB0D3C"/>
    <w:rsid w:val="00AB114D"/>
    <w:rsid w:val="00AB19ED"/>
    <w:rsid w:val="00AB2462"/>
    <w:rsid w:val="00AB376F"/>
    <w:rsid w:val="00AB3C4C"/>
    <w:rsid w:val="00AB3EB9"/>
    <w:rsid w:val="00AB4E63"/>
    <w:rsid w:val="00AB4F7E"/>
    <w:rsid w:val="00AB4FFE"/>
    <w:rsid w:val="00AB6BC6"/>
    <w:rsid w:val="00AB7101"/>
    <w:rsid w:val="00AB7EB1"/>
    <w:rsid w:val="00AC060A"/>
    <w:rsid w:val="00AC06F8"/>
    <w:rsid w:val="00AC0DCE"/>
    <w:rsid w:val="00AC0ED6"/>
    <w:rsid w:val="00AC1665"/>
    <w:rsid w:val="00AC1F40"/>
    <w:rsid w:val="00AC2991"/>
    <w:rsid w:val="00AC2BEF"/>
    <w:rsid w:val="00AC34E2"/>
    <w:rsid w:val="00AC36A3"/>
    <w:rsid w:val="00AC3A1D"/>
    <w:rsid w:val="00AC3C10"/>
    <w:rsid w:val="00AC3FEE"/>
    <w:rsid w:val="00AC4245"/>
    <w:rsid w:val="00AC4549"/>
    <w:rsid w:val="00AC465D"/>
    <w:rsid w:val="00AC4AF3"/>
    <w:rsid w:val="00AC4C52"/>
    <w:rsid w:val="00AC5A9F"/>
    <w:rsid w:val="00AC6305"/>
    <w:rsid w:val="00AC6A2F"/>
    <w:rsid w:val="00AC6AE4"/>
    <w:rsid w:val="00AC6D21"/>
    <w:rsid w:val="00AC6EBB"/>
    <w:rsid w:val="00AC6F4F"/>
    <w:rsid w:val="00AC7128"/>
    <w:rsid w:val="00AC77B0"/>
    <w:rsid w:val="00AC7951"/>
    <w:rsid w:val="00AC7C0F"/>
    <w:rsid w:val="00AD03DE"/>
    <w:rsid w:val="00AD126C"/>
    <w:rsid w:val="00AD1302"/>
    <w:rsid w:val="00AD1EEC"/>
    <w:rsid w:val="00AD204E"/>
    <w:rsid w:val="00AD2719"/>
    <w:rsid w:val="00AD29BD"/>
    <w:rsid w:val="00AD29D3"/>
    <w:rsid w:val="00AD30AA"/>
    <w:rsid w:val="00AD3524"/>
    <w:rsid w:val="00AD3C5A"/>
    <w:rsid w:val="00AD3D30"/>
    <w:rsid w:val="00AD42DE"/>
    <w:rsid w:val="00AD43F8"/>
    <w:rsid w:val="00AD47A8"/>
    <w:rsid w:val="00AD4B75"/>
    <w:rsid w:val="00AD4C17"/>
    <w:rsid w:val="00AD5C0F"/>
    <w:rsid w:val="00AD5D88"/>
    <w:rsid w:val="00AD6281"/>
    <w:rsid w:val="00AD6303"/>
    <w:rsid w:val="00AD68D1"/>
    <w:rsid w:val="00AD710F"/>
    <w:rsid w:val="00AD75C6"/>
    <w:rsid w:val="00AD75D6"/>
    <w:rsid w:val="00AD7C2A"/>
    <w:rsid w:val="00AD7DD5"/>
    <w:rsid w:val="00AD7F4C"/>
    <w:rsid w:val="00AE00CE"/>
    <w:rsid w:val="00AE05EB"/>
    <w:rsid w:val="00AE07DC"/>
    <w:rsid w:val="00AE0B15"/>
    <w:rsid w:val="00AE0EFC"/>
    <w:rsid w:val="00AE18C2"/>
    <w:rsid w:val="00AE1B3C"/>
    <w:rsid w:val="00AE1D2C"/>
    <w:rsid w:val="00AE255E"/>
    <w:rsid w:val="00AE27C8"/>
    <w:rsid w:val="00AE281E"/>
    <w:rsid w:val="00AE32C9"/>
    <w:rsid w:val="00AE38C4"/>
    <w:rsid w:val="00AE3914"/>
    <w:rsid w:val="00AE3B5B"/>
    <w:rsid w:val="00AE3D38"/>
    <w:rsid w:val="00AE4075"/>
    <w:rsid w:val="00AE4796"/>
    <w:rsid w:val="00AE4AB7"/>
    <w:rsid w:val="00AE52E5"/>
    <w:rsid w:val="00AE55B4"/>
    <w:rsid w:val="00AE6C11"/>
    <w:rsid w:val="00AE7267"/>
    <w:rsid w:val="00AE7661"/>
    <w:rsid w:val="00AE799A"/>
    <w:rsid w:val="00AE7A68"/>
    <w:rsid w:val="00AF0260"/>
    <w:rsid w:val="00AF07B3"/>
    <w:rsid w:val="00AF0B05"/>
    <w:rsid w:val="00AF12A0"/>
    <w:rsid w:val="00AF1436"/>
    <w:rsid w:val="00AF1852"/>
    <w:rsid w:val="00AF1D16"/>
    <w:rsid w:val="00AF2189"/>
    <w:rsid w:val="00AF2364"/>
    <w:rsid w:val="00AF2897"/>
    <w:rsid w:val="00AF2AD7"/>
    <w:rsid w:val="00AF3139"/>
    <w:rsid w:val="00AF3157"/>
    <w:rsid w:val="00AF3165"/>
    <w:rsid w:val="00AF34F8"/>
    <w:rsid w:val="00AF3DED"/>
    <w:rsid w:val="00AF4B93"/>
    <w:rsid w:val="00AF4F81"/>
    <w:rsid w:val="00AF56F8"/>
    <w:rsid w:val="00AF5C68"/>
    <w:rsid w:val="00AF60C3"/>
    <w:rsid w:val="00AF704B"/>
    <w:rsid w:val="00AF70A3"/>
    <w:rsid w:val="00AF75A5"/>
    <w:rsid w:val="00B004B1"/>
    <w:rsid w:val="00B0070A"/>
    <w:rsid w:val="00B008E1"/>
    <w:rsid w:val="00B00AA0"/>
    <w:rsid w:val="00B01448"/>
    <w:rsid w:val="00B017E7"/>
    <w:rsid w:val="00B01A99"/>
    <w:rsid w:val="00B01F59"/>
    <w:rsid w:val="00B01F8B"/>
    <w:rsid w:val="00B0249C"/>
    <w:rsid w:val="00B0337C"/>
    <w:rsid w:val="00B03672"/>
    <w:rsid w:val="00B0382C"/>
    <w:rsid w:val="00B039D6"/>
    <w:rsid w:val="00B04369"/>
    <w:rsid w:val="00B05106"/>
    <w:rsid w:val="00B05675"/>
    <w:rsid w:val="00B05763"/>
    <w:rsid w:val="00B0579D"/>
    <w:rsid w:val="00B05ACE"/>
    <w:rsid w:val="00B05DBA"/>
    <w:rsid w:val="00B07173"/>
    <w:rsid w:val="00B071F1"/>
    <w:rsid w:val="00B078DB"/>
    <w:rsid w:val="00B07B85"/>
    <w:rsid w:val="00B07D69"/>
    <w:rsid w:val="00B07E90"/>
    <w:rsid w:val="00B101FF"/>
    <w:rsid w:val="00B103FB"/>
    <w:rsid w:val="00B108AC"/>
    <w:rsid w:val="00B10AFA"/>
    <w:rsid w:val="00B10DB5"/>
    <w:rsid w:val="00B1135F"/>
    <w:rsid w:val="00B115EF"/>
    <w:rsid w:val="00B11921"/>
    <w:rsid w:val="00B12407"/>
    <w:rsid w:val="00B1244B"/>
    <w:rsid w:val="00B129BD"/>
    <w:rsid w:val="00B12B6E"/>
    <w:rsid w:val="00B12BB6"/>
    <w:rsid w:val="00B13105"/>
    <w:rsid w:val="00B13499"/>
    <w:rsid w:val="00B14075"/>
    <w:rsid w:val="00B1428B"/>
    <w:rsid w:val="00B14F83"/>
    <w:rsid w:val="00B14FD1"/>
    <w:rsid w:val="00B1550C"/>
    <w:rsid w:val="00B1599A"/>
    <w:rsid w:val="00B16F2E"/>
    <w:rsid w:val="00B173BB"/>
    <w:rsid w:val="00B1779D"/>
    <w:rsid w:val="00B177A0"/>
    <w:rsid w:val="00B17D07"/>
    <w:rsid w:val="00B17F03"/>
    <w:rsid w:val="00B205A9"/>
    <w:rsid w:val="00B20694"/>
    <w:rsid w:val="00B207D3"/>
    <w:rsid w:val="00B20D02"/>
    <w:rsid w:val="00B20D16"/>
    <w:rsid w:val="00B20D80"/>
    <w:rsid w:val="00B21C02"/>
    <w:rsid w:val="00B22237"/>
    <w:rsid w:val="00B227C2"/>
    <w:rsid w:val="00B2284A"/>
    <w:rsid w:val="00B22BC3"/>
    <w:rsid w:val="00B2500B"/>
    <w:rsid w:val="00B25041"/>
    <w:rsid w:val="00B254B7"/>
    <w:rsid w:val="00B25D5E"/>
    <w:rsid w:val="00B25D6D"/>
    <w:rsid w:val="00B26AE6"/>
    <w:rsid w:val="00B26C33"/>
    <w:rsid w:val="00B26C6F"/>
    <w:rsid w:val="00B26DB5"/>
    <w:rsid w:val="00B26FD9"/>
    <w:rsid w:val="00B2704C"/>
    <w:rsid w:val="00B27C68"/>
    <w:rsid w:val="00B3008C"/>
    <w:rsid w:val="00B305EA"/>
    <w:rsid w:val="00B30952"/>
    <w:rsid w:val="00B30CA1"/>
    <w:rsid w:val="00B31128"/>
    <w:rsid w:val="00B31AE6"/>
    <w:rsid w:val="00B31DC7"/>
    <w:rsid w:val="00B32B4C"/>
    <w:rsid w:val="00B33464"/>
    <w:rsid w:val="00B337C8"/>
    <w:rsid w:val="00B33A77"/>
    <w:rsid w:val="00B33E19"/>
    <w:rsid w:val="00B34084"/>
    <w:rsid w:val="00B3426F"/>
    <w:rsid w:val="00B34416"/>
    <w:rsid w:val="00B347EA"/>
    <w:rsid w:val="00B34C25"/>
    <w:rsid w:val="00B34CC6"/>
    <w:rsid w:val="00B353DC"/>
    <w:rsid w:val="00B359B0"/>
    <w:rsid w:val="00B35AA0"/>
    <w:rsid w:val="00B35CE8"/>
    <w:rsid w:val="00B3615E"/>
    <w:rsid w:val="00B36A68"/>
    <w:rsid w:val="00B36A6C"/>
    <w:rsid w:val="00B37376"/>
    <w:rsid w:val="00B3740D"/>
    <w:rsid w:val="00B377A6"/>
    <w:rsid w:val="00B378B6"/>
    <w:rsid w:val="00B405A2"/>
    <w:rsid w:val="00B409C0"/>
    <w:rsid w:val="00B411C4"/>
    <w:rsid w:val="00B41235"/>
    <w:rsid w:val="00B41386"/>
    <w:rsid w:val="00B41A28"/>
    <w:rsid w:val="00B42145"/>
    <w:rsid w:val="00B42CEE"/>
    <w:rsid w:val="00B43A4A"/>
    <w:rsid w:val="00B43B05"/>
    <w:rsid w:val="00B43C1A"/>
    <w:rsid w:val="00B44F2F"/>
    <w:rsid w:val="00B454D0"/>
    <w:rsid w:val="00B45CCF"/>
    <w:rsid w:val="00B460CE"/>
    <w:rsid w:val="00B46166"/>
    <w:rsid w:val="00B46630"/>
    <w:rsid w:val="00B467C8"/>
    <w:rsid w:val="00B46821"/>
    <w:rsid w:val="00B468C1"/>
    <w:rsid w:val="00B46981"/>
    <w:rsid w:val="00B46C2C"/>
    <w:rsid w:val="00B46E70"/>
    <w:rsid w:val="00B47376"/>
    <w:rsid w:val="00B47E6E"/>
    <w:rsid w:val="00B50200"/>
    <w:rsid w:val="00B51287"/>
    <w:rsid w:val="00B5129E"/>
    <w:rsid w:val="00B512A8"/>
    <w:rsid w:val="00B51562"/>
    <w:rsid w:val="00B518B9"/>
    <w:rsid w:val="00B5247F"/>
    <w:rsid w:val="00B52C4E"/>
    <w:rsid w:val="00B5316E"/>
    <w:rsid w:val="00B536E0"/>
    <w:rsid w:val="00B54025"/>
    <w:rsid w:val="00B5415A"/>
    <w:rsid w:val="00B54A2E"/>
    <w:rsid w:val="00B54CBD"/>
    <w:rsid w:val="00B55DB4"/>
    <w:rsid w:val="00B560B0"/>
    <w:rsid w:val="00B560D4"/>
    <w:rsid w:val="00B561E8"/>
    <w:rsid w:val="00B566F3"/>
    <w:rsid w:val="00B56716"/>
    <w:rsid w:val="00B56C7F"/>
    <w:rsid w:val="00B56DB9"/>
    <w:rsid w:val="00B579F2"/>
    <w:rsid w:val="00B600AD"/>
    <w:rsid w:val="00B604AB"/>
    <w:rsid w:val="00B6093D"/>
    <w:rsid w:val="00B60A76"/>
    <w:rsid w:val="00B60FB8"/>
    <w:rsid w:val="00B61463"/>
    <w:rsid w:val="00B619AF"/>
    <w:rsid w:val="00B61F0F"/>
    <w:rsid w:val="00B6212D"/>
    <w:rsid w:val="00B62629"/>
    <w:rsid w:val="00B62972"/>
    <w:rsid w:val="00B6363B"/>
    <w:rsid w:val="00B639B9"/>
    <w:rsid w:val="00B63E4A"/>
    <w:rsid w:val="00B646AA"/>
    <w:rsid w:val="00B649EF"/>
    <w:rsid w:val="00B6508C"/>
    <w:rsid w:val="00B650D3"/>
    <w:rsid w:val="00B651C7"/>
    <w:rsid w:val="00B65328"/>
    <w:rsid w:val="00B6551B"/>
    <w:rsid w:val="00B6570E"/>
    <w:rsid w:val="00B65A60"/>
    <w:rsid w:val="00B663C4"/>
    <w:rsid w:val="00B66AF8"/>
    <w:rsid w:val="00B67505"/>
    <w:rsid w:val="00B675BE"/>
    <w:rsid w:val="00B67AA7"/>
    <w:rsid w:val="00B707AA"/>
    <w:rsid w:val="00B70A07"/>
    <w:rsid w:val="00B70F59"/>
    <w:rsid w:val="00B711C4"/>
    <w:rsid w:val="00B7127E"/>
    <w:rsid w:val="00B71301"/>
    <w:rsid w:val="00B71693"/>
    <w:rsid w:val="00B71D1D"/>
    <w:rsid w:val="00B71D86"/>
    <w:rsid w:val="00B71FC2"/>
    <w:rsid w:val="00B724CE"/>
    <w:rsid w:val="00B727DC"/>
    <w:rsid w:val="00B72866"/>
    <w:rsid w:val="00B729CA"/>
    <w:rsid w:val="00B729E5"/>
    <w:rsid w:val="00B72A86"/>
    <w:rsid w:val="00B72D5C"/>
    <w:rsid w:val="00B730A8"/>
    <w:rsid w:val="00B73617"/>
    <w:rsid w:val="00B73F8A"/>
    <w:rsid w:val="00B7413B"/>
    <w:rsid w:val="00B74CE0"/>
    <w:rsid w:val="00B75020"/>
    <w:rsid w:val="00B75305"/>
    <w:rsid w:val="00B753E6"/>
    <w:rsid w:val="00B75580"/>
    <w:rsid w:val="00B7656B"/>
    <w:rsid w:val="00B765BE"/>
    <w:rsid w:val="00B768F9"/>
    <w:rsid w:val="00B76AD4"/>
    <w:rsid w:val="00B76E70"/>
    <w:rsid w:val="00B77DFF"/>
    <w:rsid w:val="00B80004"/>
    <w:rsid w:val="00B802E1"/>
    <w:rsid w:val="00B80300"/>
    <w:rsid w:val="00B80CAB"/>
    <w:rsid w:val="00B81AA2"/>
    <w:rsid w:val="00B81B1C"/>
    <w:rsid w:val="00B81BCC"/>
    <w:rsid w:val="00B81D25"/>
    <w:rsid w:val="00B8227D"/>
    <w:rsid w:val="00B824DD"/>
    <w:rsid w:val="00B82CA3"/>
    <w:rsid w:val="00B82E57"/>
    <w:rsid w:val="00B83307"/>
    <w:rsid w:val="00B83473"/>
    <w:rsid w:val="00B836DA"/>
    <w:rsid w:val="00B839E0"/>
    <w:rsid w:val="00B83E75"/>
    <w:rsid w:val="00B8412C"/>
    <w:rsid w:val="00B8443E"/>
    <w:rsid w:val="00B846E8"/>
    <w:rsid w:val="00B85418"/>
    <w:rsid w:val="00B857FF"/>
    <w:rsid w:val="00B85C80"/>
    <w:rsid w:val="00B86B00"/>
    <w:rsid w:val="00B86C69"/>
    <w:rsid w:val="00B874CA"/>
    <w:rsid w:val="00B87858"/>
    <w:rsid w:val="00B8798D"/>
    <w:rsid w:val="00B879C2"/>
    <w:rsid w:val="00B90656"/>
    <w:rsid w:val="00B90807"/>
    <w:rsid w:val="00B90A56"/>
    <w:rsid w:val="00B90CB2"/>
    <w:rsid w:val="00B91263"/>
    <w:rsid w:val="00B91C7C"/>
    <w:rsid w:val="00B92181"/>
    <w:rsid w:val="00B92451"/>
    <w:rsid w:val="00B92500"/>
    <w:rsid w:val="00B92BDE"/>
    <w:rsid w:val="00B92F02"/>
    <w:rsid w:val="00B939B9"/>
    <w:rsid w:val="00B93AA8"/>
    <w:rsid w:val="00B93EF5"/>
    <w:rsid w:val="00B940B4"/>
    <w:rsid w:val="00B9443E"/>
    <w:rsid w:val="00B946D5"/>
    <w:rsid w:val="00B949CE"/>
    <w:rsid w:val="00B9516C"/>
    <w:rsid w:val="00B95243"/>
    <w:rsid w:val="00B954BB"/>
    <w:rsid w:val="00B9591C"/>
    <w:rsid w:val="00B96535"/>
    <w:rsid w:val="00B96609"/>
    <w:rsid w:val="00B96616"/>
    <w:rsid w:val="00B966A7"/>
    <w:rsid w:val="00B972A5"/>
    <w:rsid w:val="00B972F6"/>
    <w:rsid w:val="00B97393"/>
    <w:rsid w:val="00B97C21"/>
    <w:rsid w:val="00BA041E"/>
    <w:rsid w:val="00BA0B66"/>
    <w:rsid w:val="00BA0D6F"/>
    <w:rsid w:val="00BA0F54"/>
    <w:rsid w:val="00BA1650"/>
    <w:rsid w:val="00BA1AC1"/>
    <w:rsid w:val="00BA1C65"/>
    <w:rsid w:val="00BA1C7F"/>
    <w:rsid w:val="00BA2BD5"/>
    <w:rsid w:val="00BA2E23"/>
    <w:rsid w:val="00BA349E"/>
    <w:rsid w:val="00BA44F6"/>
    <w:rsid w:val="00BA45BE"/>
    <w:rsid w:val="00BA5309"/>
    <w:rsid w:val="00BA5A05"/>
    <w:rsid w:val="00BA65D4"/>
    <w:rsid w:val="00BA6686"/>
    <w:rsid w:val="00BA6B25"/>
    <w:rsid w:val="00BA6C53"/>
    <w:rsid w:val="00BA751E"/>
    <w:rsid w:val="00BA7527"/>
    <w:rsid w:val="00BA7802"/>
    <w:rsid w:val="00BA7CE8"/>
    <w:rsid w:val="00BA7E3C"/>
    <w:rsid w:val="00BB06FD"/>
    <w:rsid w:val="00BB1134"/>
    <w:rsid w:val="00BB18B1"/>
    <w:rsid w:val="00BB20D5"/>
    <w:rsid w:val="00BB22BC"/>
    <w:rsid w:val="00BB233A"/>
    <w:rsid w:val="00BB34D5"/>
    <w:rsid w:val="00BB3593"/>
    <w:rsid w:val="00BB37C3"/>
    <w:rsid w:val="00BB38CB"/>
    <w:rsid w:val="00BB393B"/>
    <w:rsid w:val="00BB458C"/>
    <w:rsid w:val="00BB464C"/>
    <w:rsid w:val="00BB4DD0"/>
    <w:rsid w:val="00BB5395"/>
    <w:rsid w:val="00BB6559"/>
    <w:rsid w:val="00BB6E1C"/>
    <w:rsid w:val="00BB6E1F"/>
    <w:rsid w:val="00BB6F18"/>
    <w:rsid w:val="00BC0495"/>
    <w:rsid w:val="00BC067D"/>
    <w:rsid w:val="00BC093F"/>
    <w:rsid w:val="00BC097B"/>
    <w:rsid w:val="00BC1044"/>
    <w:rsid w:val="00BC1233"/>
    <w:rsid w:val="00BC1325"/>
    <w:rsid w:val="00BC13B7"/>
    <w:rsid w:val="00BC17E0"/>
    <w:rsid w:val="00BC1E00"/>
    <w:rsid w:val="00BC201C"/>
    <w:rsid w:val="00BC25D5"/>
    <w:rsid w:val="00BC267C"/>
    <w:rsid w:val="00BC338F"/>
    <w:rsid w:val="00BC4125"/>
    <w:rsid w:val="00BC488A"/>
    <w:rsid w:val="00BC4906"/>
    <w:rsid w:val="00BC4AC1"/>
    <w:rsid w:val="00BC4B70"/>
    <w:rsid w:val="00BC4D9E"/>
    <w:rsid w:val="00BC4E47"/>
    <w:rsid w:val="00BC55B6"/>
    <w:rsid w:val="00BC55CB"/>
    <w:rsid w:val="00BC5BEC"/>
    <w:rsid w:val="00BC62BB"/>
    <w:rsid w:val="00BC62D8"/>
    <w:rsid w:val="00BC672C"/>
    <w:rsid w:val="00BC6A16"/>
    <w:rsid w:val="00BC6CA7"/>
    <w:rsid w:val="00BC6E56"/>
    <w:rsid w:val="00BC6EB0"/>
    <w:rsid w:val="00BC7229"/>
    <w:rsid w:val="00BC773A"/>
    <w:rsid w:val="00BC7927"/>
    <w:rsid w:val="00BC7A94"/>
    <w:rsid w:val="00BD0689"/>
    <w:rsid w:val="00BD0ADB"/>
    <w:rsid w:val="00BD10F5"/>
    <w:rsid w:val="00BD12F9"/>
    <w:rsid w:val="00BD1426"/>
    <w:rsid w:val="00BD1C80"/>
    <w:rsid w:val="00BD1D61"/>
    <w:rsid w:val="00BD2388"/>
    <w:rsid w:val="00BD2742"/>
    <w:rsid w:val="00BD2D24"/>
    <w:rsid w:val="00BD2D3F"/>
    <w:rsid w:val="00BD2EBC"/>
    <w:rsid w:val="00BD30D5"/>
    <w:rsid w:val="00BD4313"/>
    <w:rsid w:val="00BD54B6"/>
    <w:rsid w:val="00BD5798"/>
    <w:rsid w:val="00BD5AE5"/>
    <w:rsid w:val="00BD651E"/>
    <w:rsid w:val="00BD653F"/>
    <w:rsid w:val="00BD6694"/>
    <w:rsid w:val="00BD6912"/>
    <w:rsid w:val="00BD6D24"/>
    <w:rsid w:val="00BE024A"/>
    <w:rsid w:val="00BE039D"/>
    <w:rsid w:val="00BE042F"/>
    <w:rsid w:val="00BE0B52"/>
    <w:rsid w:val="00BE0EB3"/>
    <w:rsid w:val="00BE0F6A"/>
    <w:rsid w:val="00BE12EC"/>
    <w:rsid w:val="00BE1879"/>
    <w:rsid w:val="00BE2D65"/>
    <w:rsid w:val="00BE2FAE"/>
    <w:rsid w:val="00BE35C9"/>
    <w:rsid w:val="00BE36EE"/>
    <w:rsid w:val="00BE37C1"/>
    <w:rsid w:val="00BE39AC"/>
    <w:rsid w:val="00BE41D3"/>
    <w:rsid w:val="00BE4330"/>
    <w:rsid w:val="00BE4349"/>
    <w:rsid w:val="00BE5DAD"/>
    <w:rsid w:val="00BE6428"/>
    <w:rsid w:val="00BE68CE"/>
    <w:rsid w:val="00BE6DE1"/>
    <w:rsid w:val="00BF0238"/>
    <w:rsid w:val="00BF0357"/>
    <w:rsid w:val="00BF0510"/>
    <w:rsid w:val="00BF186E"/>
    <w:rsid w:val="00BF18E4"/>
    <w:rsid w:val="00BF1E46"/>
    <w:rsid w:val="00BF237A"/>
    <w:rsid w:val="00BF264F"/>
    <w:rsid w:val="00BF2F0F"/>
    <w:rsid w:val="00BF318C"/>
    <w:rsid w:val="00BF3405"/>
    <w:rsid w:val="00BF368A"/>
    <w:rsid w:val="00BF386F"/>
    <w:rsid w:val="00BF4371"/>
    <w:rsid w:val="00BF44DB"/>
    <w:rsid w:val="00BF47BA"/>
    <w:rsid w:val="00BF5230"/>
    <w:rsid w:val="00BF5753"/>
    <w:rsid w:val="00BF59FC"/>
    <w:rsid w:val="00BF5E9B"/>
    <w:rsid w:val="00BF5FF1"/>
    <w:rsid w:val="00BF6CAF"/>
    <w:rsid w:val="00BF7A11"/>
    <w:rsid w:val="00BF7E78"/>
    <w:rsid w:val="00BF7FA7"/>
    <w:rsid w:val="00BF7FB6"/>
    <w:rsid w:val="00C00000"/>
    <w:rsid w:val="00C007B9"/>
    <w:rsid w:val="00C0084C"/>
    <w:rsid w:val="00C00BB0"/>
    <w:rsid w:val="00C00BC0"/>
    <w:rsid w:val="00C00D6B"/>
    <w:rsid w:val="00C0105A"/>
    <w:rsid w:val="00C0114F"/>
    <w:rsid w:val="00C013E7"/>
    <w:rsid w:val="00C01FC1"/>
    <w:rsid w:val="00C026FB"/>
    <w:rsid w:val="00C02975"/>
    <w:rsid w:val="00C02B5D"/>
    <w:rsid w:val="00C03062"/>
    <w:rsid w:val="00C0332D"/>
    <w:rsid w:val="00C035E5"/>
    <w:rsid w:val="00C03D13"/>
    <w:rsid w:val="00C03D30"/>
    <w:rsid w:val="00C03EDF"/>
    <w:rsid w:val="00C0460C"/>
    <w:rsid w:val="00C04A5A"/>
    <w:rsid w:val="00C04CD8"/>
    <w:rsid w:val="00C04EDC"/>
    <w:rsid w:val="00C04EFF"/>
    <w:rsid w:val="00C0574A"/>
    <w:rsid w:val="00C059EB"/>
    <w:rsid w:val="00C05ABF"/>
    <w:rsid w:val="00C05BF3"/>
    <w:rsid w:val="00C05ED7"/>
    <w:rsid w:val="00C06159"/>
    <w:rsid w:val="00C0664C"/>
    <w:rsid w:val="00C07097"/>
    <w:rsid w:val="00C07104"/>
    <w:rsid w:val="00C07E93"/>
    <w:rsid w:val="00C10BF9"/>
    <w:rsid w:val="00C10C86"/>
    <w:rsid w:val="00C114BB"/>
    <w:rsid w:val="00C11878"/>
    <w:rsid w:val="00C12198"/>
    <w:rsid w:val="00C1262D"/>
    <w:rsid w:val="00C1269E"/>
    <w:rsid w:val="00C14675"/>
    <w:rsid w:val="00C147D6"/>
    <w:rsid w:val="00C14AFA"/>
    <w:rsid w:val="00C14FCE"/>
    <w:rsid w:val="00C15085"/>
    <w:rsid w:val="00C154DE"/>
    <w:rsid w:val="00C162CA"/>
    <w:rsid w:val="00C16C94"/>
    <w:rsid w:val="00C16EEC"/>
    <w:rsid w:val="00C172E7"/>
    <w:rsid w:val="00C176E9"/>
    <w:rsid w:val="00C1775C"/>
    <w:rsid w:val="00C17947"/>
    <w:rsid w:val="00C202FA"/>
    <w:rsid w:val="00C20864"/>
    <w:rsid w:val="00C20EAB"/>
    <w:rsid w:val="00C21B92"/>
    <w:rsid w:val="00C21E72"/>
    <w:rsid w:val="00C2249E"/>
    <w:rsid w:val="00C2249F"/>
    <w:rsid w:val="00C2264F"/>
    <w:rsid w:val="00C22705"/>
    <w:rsid w:val="00C22B26"/>
    <w:rsid w:val="00C23096"/>
    <w:rsid w:val="00C231B4"/>
    <w:rsid w:val="00C23496"/>
    <w:rsid w:val="00C23B03"/>
    <w:rsid w:val="00C23C45"/>
    <w:rsid w:val="00C23F26"/>
    <w:rsid w:val="00C23F5D"/>
    <w:rsid w:val="00C24086"/>
    <w:rsid w:val="00C241EF"/>
    <w:rsid w:val="00C246D5"/>
    <w:rsid w:val="00C24DDD"/>
    <w:rsid w:val="00C25015"/>
    <w:rsid w:val="00C2506F"/>
    <w:rsid w:val="00C256EF"/>
    <w:rsid w:val="00C25A56"/>
    <w:rsid w:val="00C261DA"/>
    <w:rsid w:val="00C26451"/>
    <w:rsid w:val="00C26986"/>
    <w:rsid w:val="00C26B00"/>
    <w:rsid w:val="00C26E1C"/>
    <w:rsid w:val="00C27157"/>
    <w:rsid w:val="00C27C5A"/>
    <w:rsid w:val="00C27C5E"/>
    <w:rsid w:val="00C30763"/>
    <w:rsid w:val="00C311AA"/>
    <w:rsid w:val="00C322B5"/>
    <w:rsid w:val="00C32302"/>
    <w:rsid w:val="00C32615"/>
    <w:rsid w:val="00C32D04"/>
    <w:rsid w:val="00C34734"/>
    <w:rsid w:val="00C34CC4"/>
    <w:rsid w:val="00C35093"/>
    <w:rsid w:val="00C3531B"/>
    <w:rsid w:val="00C353C6"/>
    <w:rsid w:val="00C36520"/>
    <w:rsid w:val="00C36937"/>
    <w:rsid w:val="00C37001"/>
    <w:rsid w:val="00C379A7"/>
    <w:rsid w:val="00C40805"/>
    <w:rsid w:val="00C40D20"/>
    <w:rsid w:val="00C40EC8"/>
    <w:rsid w:val="00C4177D"/>
    <w:rsid w:val="00C41945"/>
    <w:rsid w:val="00C41AEC"/>
    <w:rsid w:val="00C41B11"/>
    <w:rsid w:val="00C41EBF"/>
    <w:rsid w:val="00C41F8B"/>
    <w:rsid w:val="00C427BA"/>
    <w:rsid w:val="00C4317D"/>
    <w:rsid w:val="00C43515"/>
    <w:rsid w:val="00C43985"/>
    <w:rsid w:val="00C43C75"/>
    <w:rsid w:val="00C43F25"/>
    <w:rsid w:val="00C44607"/>
    <w:rsid w:val="00C452C3"/>
    <w:rsid w:val="00C453ED"/>
    <w:rsid w:val="00C45E8E"/>
    <w:rsid w:val="00C460C0"/>
    <w:rsid w:val="00C46654"/>
    <w:rsid w:val="00C46710"/>
    <w:rsid w:val="00C46B2E"/>
    <w:rsid w:val="00C46C81"/>
    <w:rsid w:val="00C4763E"/>
    <w:rsid w:val="00C47D3B"/>
    <w:rsid w:val="00C47D83"/>
    <w:rsid w:val="00C47DD8"/>
    <w:rsid w:val="00C47DDD"/>
    <w:rsid w:val="00C5012A"/>
    <w:rsid w:val="00C50E38"/>
    <w:rsid w:val="00C51301"/>
    <w:rsid w:val="00C51671"/>
    <w:rsid w:val="00C52536"/>
    <w:rsid w:val="00C52551"/>
    <w:rsid w:val="00C5284B"/>
    <w:rsid w:val="00C53559"/>
    <w:rsid w:val="00C53673"/>
    <w:rsid w:val="00C538CF"/>
    <w:rsid w:val="00C53E07"/>
    <w:rsid w:val="00C540DB"/>
    <w:rsid w:val="00C542C4"/>
    <w:rsid w:val="00C54580"/>
    <w:rsid w:val="00C5484A"/>
    <w:rsid w:val="00C54CCC"/>
    <w:rsid w:val="00C55002"/>
    <w:rsid w:val="00C550A3"/>
    <w:rsid w:val="00C55109"/>
    <w:rsid w:val="00C55445"/>
    <w:rsid w:val="00C555BF"/>
    <w:rsid w:val="00C55C7E"/>
    <w:rsid w:val="00C55CDB"/>
    <w:rsid w:val="00C563F7"/>
    <w:rsid w:val="00C568BA"/>
    <w:rsid w:val="00C56CF1"/>
    <w:rsid w:val="00C5733C"/>
    <w:rsid w:val="00C57ACF"/>
    <w:rsid w:val="00C57D1C"/>
    <w:rsid w:val="00C603A4"/>
    <w:rsid w:val="00C606D5"/>
    <w:rsid w:val="00C6128B"/>
    <w:rsid w:val="00C6156F"/>
    <w:rsid w:val="00C621B5"/>
    <w:rsid w:val="00C632F6"/>
    <w:rsid w:val="00C63824"/>
    <w:rsid w:val="00C640BD"/>
    <w:rsid w:val="00C645EB"/>
    <w:rsid w:val="00C6477D"/>
    <w:rsid w:val="00C65429"/>
    <w:rsid w:val="00C65CA2"/>
    <w:rsid w:val="00C6617A"/>
    <w:rsid w:val="00C666FA"/>
    <w:rsid w:val="00C673A9"/>
    <w:rsid w:val="00C673E8"/>
    <w:rsid w:val="00C6795C"/>
    <w:rsid w:val="00C67FAD"/>
    <w:rsid w:val="00C7013C"/>
    <w:rsid w:val="00C71C44"/>
    <w:rsid w:val="00C71CEA"/>
    <w:rsid w:val="00C72505"/>
    <w:rsid w:val="00C7321A"/>
    <w:rsid w:val="00C7325D"/>
    <w:rsid w:val="00C73B3A"/>
    <w:rsid w:val="00C73C44"/>
    <w:rsid w:val="00C73E47"/>
    <w:rsid w:val="00C741B8"/>
    <w:rsid w:val="00C74647"/>
    <w:rsid w:val="00C7464F"/>
    <w:rsid w:val="00C747A5"/>
    <w:rsid w:val="00C7511C"/>
    <w:rsid w:val="00C755E4"/>
    <w:rsid w:val="00C7561B"/>
    <w:rsid w:val="00C75875"/>
    <w:rsid w:val="00C75BE7"/>
    <w:rsid w:val="00C75ED0"/>
    <w:rsid w:val="00C761F3"/>
    <w:rsid w:val="00C76E0A"/>
    <w:rsid w:val="00C76EFA"/>
    <w:rsid w:val="00C7748E"/>
    <w:rsid w:val="00C7758B"/>
    <w:rsid w:val="00C777B3"/>
    <w:rsid w:val="00C77C10"/>
    <w:rsid w:val="00C80157"/>
    <w:rsid w:val="00C80360"/>
    <w:rsid w:val="00C803EA"/>
    <w:rsid w:val="00C80864"/>
    <w:rsid w:val="00C810DA"/>
    <w:rsid w:val="00C81666"/>
    <w:rsid w:val="00C81686"/>
    <w:rsid w:val="00C81703"/>
    <w:rsid w:val="00C81BAF"/>
    <w:rsid w:val="00C8222C"/>
    <w:rsid w:val="00C822DB"/>
    <w:rsid w:val="00C8230C"/>
    <w:rsid w:val="00C82331"/>
    <w:rsid w:val="00C82E55"/>
    <w:rsid w:val="00C83360"/>
    <w:rsid w:val="00C83C8C"/>
    <w:rsid w:val="00C841A7"/>
    <w:rsid w:val="00C84387"/>
    <w:rsid w:val="00C844F8"/>
    <w:rsid w:val="00C84823"/>
    <w:rsid w:val="00C848C3"/>
    <w:rsid w:val="00C848D1"/>
    <w:rsid w:val="00C85070"/>
    <w:rsid w:val="00C8518B"/>
    <w:rsid w:val="00C85867"/>
    <w:rsid w:val="00C85B9D"/>
    <w:rsid w:val="00C864A6"/>
    <w:rsid w:val="00C865BB"/>
    <w:rsid w:val="00C86CCE"/>
    <w:rsid w:val="00C86FC9"/>
    <w:rsid w:val="00C878B6"/>
    <w:rsid w:val="00C87F2D"/>
    <w:rsid w:val="00C902D7"/>
    <w:rsid w:val="00C9051F"/>
    <w:rsid w:val="00C906CC"/>
    <w:rsid w:val="00C90B24"/>
    <w:rsid w:val="00C90FAF"/>
    <w:rsid w:val="00C90FCC"/>
    <w:rsid w:val="00C919DA"/>
    <w:rsid w:val="00C92137"/>
    <w:rsid w:val="00C924C2"/>
    <w:rsid w:val="00C928B4"/>
    <w:rsid w:val="00C92A6F"/>
    <w:rsid w:val="00C92C51"/>
    <w:rsid w:val="00C92FDC"/>
    <w:rsid w:val="00C92FF9"/>
    <w:rsid w:val="00C9397B"/>
    <w:rsid w:val="00C93D9B"/>
    <w:rsid w:val="00C94AB9"/>
    <w:rsid w:val="00C94B43"/>
    <w:rsid w:val="00C94CB0"/>
    <w:rsid w:val="00C954BC"/>
    <w:rsid w:val="00C95BEE"/>
    <w:rsid w:val="00C96500"/>
    <w:rsid w:val="00C9653C"/>
    <w:rsid w:val="00C96867"/>
    <w:rsid w:val="00C96C66"/>
    <w:rsid w:val="00C96DA0"/>
    <w:rsid w:val="00C96DA2"/>
    <w:rsid w:val="00C96E78"/>
    <w:rsid w:val="00C96FF9"/>
    <w:rsid w:val="00C976F3"/>
    <w:rsid w:val="00C97B0A"/>
    <w:rsid w:val="00CA0B49"/>
    <w:rsid w:val="00CA0E9D"/>
    <w:rsid w:val="00CA0FA7"/>
    <w:rsid w:val="00CA1A36"/>
    <w:rsid w:val="00CA2070"/>
    <w:rsid w:val="00CA22F1"/>
    <w:rsid w:val="00CA28FF"/>
    <w:rsid w:val="00CA3E6A"/>
    <w:rsid w:val="00CA4286"/>
    <w:rsid w:val="00CA4382"/>
    <w:rsid w:val="00CA4995"/>
    <w:rsid w:val="00CA4C1B"/>
    <w:rsid w:val="00CA4FB8"/>
    <w:rsid w:val="00CA6A27"/>
    <w:rsid w:val="00CA6FDC"/>
    <w:rsid w:val="00CA72AA"/>
    <w:rsid w:val="00CB011E"/>
    <w:rsid w:val="00CB08DE"/>
    <w:rsid w:val="00CB0AF8"/>
    <w:rsid w:val="00CB0BF8"/>
    <w:rsid w:val="00CB0C29"/>
    <w:rsid w:val="00CB1522"/>
    <w:rsid w:val="00CB1671"/>
    <w:rsid w:val="00CB1B84"/>
    <w:rsid w:val="00CB2109"/>
    <w:rsid w:val="00CB2F21"/>
    <w:rsid w:val="00CB2FE3"/>
    <w:rsid w:val="00CB31B2"/>
    <w:rsid w:val="00CB37EB"/>
    <w:rsid w:val="00CB3995"/>
    <w:rsid w:val="00CB443A"/>
    <w:rsid w:val="00CB457E"/>
    <w:rsid w:val="00CB48F2"/>
    <w:rsid w:val="00CB4AD2"/>
    <w:rsid w:val="00CB4B29"/>
    <w:rsid w:val="00CB4CAB"/>
    <w:rsid w:val="00CB5E85"/>
    <w:rsid w:val="00CB67BB"/>
    <w:rsid w:val="00CB7250"/>
    <w:rsid w:val="00CB7C10"/>
    <w:rsid w:val="00CB7E5C"/>
    <w:rsid w:val="00CC002F"/>
    <w:rsid w:val="00CC07B9"/>
    <w:rsid w:val="00CC0861"/>
    <w:rsid w:val="00CC1226"/>
    <w:rsid w:val="00CC17DB"/>
    <w:rsid w:val="00CC1C6F"/>
    <w:rsid w:val="00CC1F3E"/>
    <w:rsid w:val="00CC1F49"/>
    <w:rsid w:val="00CC2162"/>
    <w:rsid w:val="00CC271F"/>
    <w:rsid w:val="00CC2816"/>
    <w:rsid w:val="00CC2BD3"/>
    <w:rsid w:val="00CC3243"/>
    <w:rsid w:val="00CC3512"/>
    <w:rsid w:val="00CC3B3F"/>
    <w:rsid w:val="00CC3CF9"/>
    <w:rsid w:val="00CC3DE9"/>
    <w:rsid w:val="00CC3E9C"/>
    <w:rsid w:val="00CC4836"/>
    <w:rsid w:val="00CC48A2"/>
    <w:rsid w:val="00CC4C45"/>
    <w:rsid w:val="00CC58DB"/>
    <w:rsid w:val="00CC64F8"/>
    <w:rsid w:val="00CC699C"/>
    <w:rsid w:val="00CC6BBE"/>
    <w:rsid w:val="00CC7144"/>
    <w:rsid w:val="00CC7551"/>
    <w:rsid w:val="00CC7596"/>
    <w:rsid w:val="00CC75E6"/>
    <w:rsid w:val="00CC790F"/>
    <w:rsid w:val="00CC7C3E"/>
    <w:rsid w:val="00CC7CA2"/>
    <w:rsid w:val="00CD0399"/>
    <w:rsid w:val="00CD048A"/>
    <w:rsid w:val="00CD0588"/>
    <w:rsid w:val="00CD0A56"/>
    <w:rsid w:val="00CD0BDA"/>
    <w:rsid w:val="00CD0EA8"/>
    <w:rsid w:val="00CD0FF6"/>
    <w:rsid w:val="00CD18FD"/>
    <w:rsid w:val="00CD1D01"/>
    <w:rsid w:val="00CD204A"/>
    <w:rsid w:val="00CD24E6"/>
    <w:rsid w:val="00CD26AC"/>
    <w:rsid w:val="00CD2A84"/>
    <w:rsid w:val="00CD2F61"/>
    <w:rsid w:val="00CD378F"/>
    <w:rsid w:val="00CD3876"/>
    <w:rsid w:val="00CD4264"/>
    <w:rsid w:val="00CD4618"/>
    <w:rsid w:val="00CD474F"/>
    <w:rsid w:val="00CD4A06"/>
    <w:rsid w:val="00CD4C2F"/>
    <w:rsid w:val="00CD4C9E"/>
    <w:rsid w:val="00CD519D"/>
    <w:rsid w:val="00CD5804"/>
    <w:rsid w:val="00CD5AAC"/>
    <w:rsid w:val="00CD5D68"/>
    <w:rsid w:val="00CD5E1E"/>
    <w:rsid w:val="00CD5F49"/>
    <w:rsid w:val="00CD5F50"/>
    <w:rsid w:val="00CD63F4"/>
    <w:rsid w:val="00CD6596"/>
    <w:rsid w:val="00CD660D"/>
    <w:rsid w:val="00CD67B9"/>
    <w:rsid w:val="00CD6CF7"/>
    <w:rsid w:val="00CD6E3C"/>
    <w:rsid w:val="00CD77FD"/>
    <w:rsid w:val="00CD7856"/>
    <w:rsid w:val="00CD792F"/>
    <w:rsid w:val="00CD7A2B"/>
    <w:rsid w:val="00CD7DB3"/>
    <w:rsid w:val="00CE0150"/>
    <w:rsid w:val="00CE017C"/>
    <w:rsid w:val="00CE0360"/>
    <w:rsid w:val="00CE0559"/>
    <w:rsid w:val="00CE0A42"/>
    <w:rsid w:val="00CE0FC0"/>
    <w:rsid w:val="00CE1F16"/>
    <w:rsid w:val="00CE1F7D"/>
    <w:rsid w:val="00CE2001"/>
    <w:rsid w:val="00CE21CD"/>
    <w:rsid w:val="00CE288C"/>
    <w:rsid w:val="00CE29D4"/>
    <w:rsid w:val="00CE37CE"/>
    <w:rsid w:val="00CE3FFD"/>
    <w:rsid w:val="00CE40DD"/>
    <w:rsid w:val="00CE434D"/>
    <w:rsid w:val="00CE4803"/>
    <w:rsid w:val="00CE4BEE"/>
    <w:rsid w:val="00CE4CB6"/>
    <w:rsid w:val="00CE5DD7"/>
    <w:rsid w:val="00CE5DED"/>
    <w:rsid w:val="00CE668E"/>
    <w:rsid w:val="00CE670F"/>
    <w:rsid w:val="00CE6B79"/>
    <w:rsid w:val="00CE6C3D"/>
    <w:rsid w:val="00CE6DCE"/>
    <w:rsid w:val="00CE7231"/>
    <w:rsid w:val="00CE7473"/>
    <w:rsid w:val="00CE74A8"/>
    <w:rsid w:val="00CE78A5"/>
    <w:rsid w:val="00CE7D51"/>
    <w:rsid w:val="00CE7D87"/>
    <w:rsid w:val="00CF001E"/>
    <w:rsid w:val="00CF095E"/>
    <w:rsid w:val="00CF0B86"/>
    <w:rsid w:val="00CF126D"/>
    <w:rsid w:val="00CF157C"/>
    <w:rsid w:val="00CF190B"/>
    <w:rsid w:val="00CF1920"/>
    <w:rsid w:val="00CF1ED2"/>
    <w:rsid w:val="00CF1F61"/>
    <w:rsid w:val="00CF23C8"/>
    <w:rsid w:val="00CF26CC"/>
    <w:rsid w:val="00CF2A4F"/>
    <w:rsid w:val="00CF2AF7"/>
    <w:rsid w:val="00CF2D6C"/>
    <w:rsid w:val="00CF321E"/>
    <w:rsid w:val="00CF32E7"/>
    <w:rsid w:val="00CF3937"/>
    <w:rsid w:val="00CF3D93"/>
    <w:rsid w:val="00CF45A6"/>
    <w:rsid w:val="00CF48AE"/>
    <w:rsid w:val="00CF4B27"/>
    <w:rsid w:val="00CF4DE8"/>
    <w:rsid w:val="00CF5855"/>
    <w:rsid w:val="00CF58B4"/>
    <w:rsid w:val="00CF5E5A"/>
    <w:rsid w:val="00CF6259"/>
    <w:rsid w:val="00CF6354"/>
    <w:rsid w:val="00CF7346"/>
    <w:rsid w:val="00CF73A4"/>
    <w:rsid w:val="00CF76DC"/>
    <w:rsid w:val="00CF7BB7"/>
    <w:rsid w:val="00D0006E"/>
    <w:rsid w:val="00D005BF"/>
    <w:rsid w:val="00D00F66"/>
    <w:rsid w:val="00D00FF4"/>
    <w:rsid w:val="00D014D7"/>
    <w:rsid w:val="00D014EC"/>
    <w:rsid w:val="00D01D38"/>
    <w:rsid w:val="00D020DB"/>
    <w:rsid w:val="00D029C5"/>
    <w:rsid w:val="00D02CA7"/>
    <w:rsid w:val="00D02CF5"/>
    <w:rsid w:val="00D03015"/>
    <w:rsid w:val="00D0432E"/>
    <w:rsid w:val="00D044A9"/>
    <w:rsid w:val="00D0479F"/>
    <w:rsid w:val="00D04B77"/>
    <w:rsid w:val="00D04E20"/>
    <w:rsid w:val="00D05171"/>
    <w:rsid w:val="00D0518A"/>
    <w:rsid w:val="00D05914"/>
    <w:rsid w:val="00D059A6"/>
    <w:rsid w:val="00D05EA3"/>
    <w:rsid w:val="00D05EAC"/>
    <w:rsid w:val="00D06481"/>
    <w:rsid w:val="00D06594"/>
    <w:rsid w:val="00D06948"/>
    <w:rsid w:val="00D06BA2"/>
    <w:rsid w:val="00D06C6B"/>
    <w:rsid w:val="00D06C91"/>
    <w:rsid w:val="00D072EC"/>
    <w:rsid w:val="00D0796D"/>
    <w:rsid w:val="00D079B7"/>
    <w:rsid w:val="00D103A3"/>
    <w:rsid w:val="00D106AB"/>
    <w:rsid w:val="00D107F5"/>
    <w:rsid w:val="00D10B68"/>
    <w:rsid w:val="00D10F90"/>
    <w:rsid w:val="00D11612"/>
    <w:rsid w:val="00D11881"/>
    <w:rsid w:val="00D12AC2"/>
    <w:rsid w:val="00D12CC2"/>
    <w:rsid w:val="00D12E2D"/>
    <w:rsid w:val="00D1311B"/>
    <w:rsid w:val="00D1342A"/>
    <w:rsid w:val="00D136F5"/>
    <w:rsid w:val="00D13B13"/>
    <w:rsid w:val="00D13FD5"/>
    <w:rsid w:val="00D140B5"/>
    <w:rsid w:val="00D1416C"/>
    <w:rsid w:val="00D14285"/>
    <w:rsid w:val="00D142D2"/>
    <w:rsid w:val="00D14BDB"/>
    <w:rsid w:val="00D14C3E"/>
    <w:rsid w:val="00D14EC3"/>
    <w:rsid w:val="00D15BA7"/>
    <w:rsid w:val="00D15FF6"/>
    <w:rsid w:val="00D166BB"/>
    <w:rsid w:val="00D16FD4"/>
    <w:rsid w:val="00D1716C"/>
    <w:rsid w:val="00D17211"/>
    <w:rsid w:val="00D17378"/>
    <w:rsid w:val="00D173B9"/>
    <w:rsid w:val="00D17D10"/>
    <w:rsid w:val="00D2050B"/>
    <w:rsid w:val="00D20647"/>
    <w:rsid w:val="00D20715"/>
    <w:rsid w:val="00D210B6"/>
    <w:rsid w:val="00D21696"/>
    <w:rsid w:val="00D219B6"/>
    <w:rsid w:val="00D21DE1"/>
    <w:rsid w:val="00D22247"/>
    <w:rsid w:val="00D22C20"/>
    <w:rsid w:val="00D2304B"/>
    <w:rsid w:val="00D23190"/>
    <w:rsid w:val="00D23580"/>
    <w:rsid w:val="00D2414B"/>
    <w:rsid w:val="00D24191"/>
    <w:rsid w:val="00D2449C"/>
    <w:rsid w:val="00D24ECA"/>
    <w:rsid w:val="00D2528E"/>
    <w:rsid w:val="00D25298"/>
    <w:rsid w:val="00D25B13"/>
    <w:rsid w:val="00D25DCA"/>
    <w:rsid w:val="00D25E4A"/>
    <w:rsid w:val="00D2643E"/>
    <w:rsid w:val="00D26545"/>
    <w:rsid w:val="00D26814"/>
    <w:rsid w:val="00D26D40"/>
    <w:rsid w:val="00D27338"/>
    <w:rsid w:val="00D27C30"/>
    <w:rsid w:val="00D3027A"/>
    <w:rsid w:val="00D314A9"/>
    <w:rsid w:val="00D31A8B"/>
    <w:rsid w:val="00D31D5F"/>
    <w:rsid w:val="00D3212C"/>
    <w:rsid w:val="00D3223D"/>
    <w:rsid w:val="00D32827"/>
    <w:rsid w:val="00D32AAB"/>
    <w:rsid w:val="00D32C55"/>
    <w:rsid w:val="00D32F97"/>
    <w:rsid w:val="00D336FE"/>
    <w:rsid w:val="00D338BF"/>
    <w:rsid w:val="00D33D1B"/>
    <w:rsid w:val="00D34834"/>
    <w:rsid w:val="00D34C80"/>
    <w:rsid w:val="00D34E39"/>
    <w:rsid w:val="00D353F5"/>
    <w:rsid w:val="00D35669"/>
    <w:rsid w:val="00D357DC"/>
    <w:rsid w:val="00D359FF"/>
    <w:rsid w:val="00D360A9"/>
    <w:rsid w:val="00D36381"/>
    <w:rsid w:val="00D3659B"/>
    <w:rsid w:val="00D366AE"/>
    <w:rsid w:val="00D3740B"/>
    <w:rsid w:val="00D3746E"/>
    <w:rsid w:val="00D40A3C"/>
    <w:rsid w:val="00D41FD1"/>
    <w:rsid w:val="00D421FB"/>
    <w:rsid w:val="00D42A4F"/>
    <w:rsid w:val="00D42CA0"/>
    <w:rsid w:val="00D42DB8"/>
    <w:rsid w:val="00D4330B"/>
    <w:rsid w:val="00D43377"/>
    <w:rsid w:val="00D4367E"/>
    <w:rsid w:val="00D43689"/>
    <w:rsid w:val="00D44793"/>
    <w:rsid w:val="00D4532F"/>
    <w:rsid w:val="00D45340"/>
    <w:rsid w:val="00D45592"/>
    <w:rsid w:val="00D4591F"/>
    <w:rsid w:val="00D4599E"/>
    <w:rsid w:val="00D45B15"/>
    <w:rsid w:val="00D45B7A"/>
    <w:rsid w:val="00D45F83"/>
    <w:rsid w:val="00D46796"/>
    <w:rsid w:val="00D46A40"/>
    <w:rsid w:val="00D46F66"/>
    <w:rsid w:val="00D47174"/>
    <w:rsid w:val="00D47198"/>
    <w:rsid w:val="00D4781B"/>
    <w:rsid w:val="00D47AB3"/>
    <w:rsid w:val="00D47BC3"/>
    <w:rsid w:val="00D5095E"/>
    <w:rsid w:val="00D510C4"/>
    <w:rsid w:val="00D5168F"/>
    <w:rsid w:val="00D5182D"/>
    <w:rsid w:val="00D5191D"/>
    <w:rsid w:val="00D51D50"/>
    <w:rsid w:val="00D51EBB"/>
    <w:rsid w:val="00D521B8"/>
    <w:rsid w:val="00D5241A"/>
    <w:rsid w:val="00D52D0C"/>
    <w:rsid w:val="00D532F6"/>
    <w:rsid w:val="00D53A7C"/>
    <w:rsid w:val="00D541B2"/>
    <w:rsid w:val="00D552AC"/>
    <w:rsid w:val="00D55B4E"/>
    <w:rsid w:val="00D55C5A"/>
    <w:rsid w:val="00D569CE"/>
    <w:rsid w:val="00D57186"/>
    <w:rsid w:val="00D572A9"/>
    <w:rsid w:val="00D57B0C"/>
    <w:rsid w:val="00D57CDE"/>
    <w:rsid w:val="00D6036B"/>
    <w:rsid w:val="00D6120A"/>
    <w:rsid w:val="00D617D5"/>
    <w:rsid w:val="00D61933"/>
    <w:rsid w:val="00D61961"/>
    <w:rsid w:val="00D62086"/>
    <w:rsid w:val="00D6232D"/>
    <w:rsid w:val="00D6266D"/>
    <w:rsid w:val="00D6284F"/>
    <w:rsid w:val="00D62AA8"/>
    <w:rsid w:val="00D633EB"/>
    <w:rsid w:val="00D6372E"/>
    <w:rsid w:val="00D63BEC"/>
    <w:rsid w:val="00D63C81"/>
    <w:rsid w:val="00D6472E"/>
    <w:rsid w:val="00D64759"/>
    <w:rsid w:val="00D652E2"/>
    <w:rsid w:val="00D65838"/>
    <w:rsid w:val="00D65B39"/>
    <w:rsid w:val="00D6691F"/>
    <w:rsid w:val="00D66B21"/>
    <w:rsid w:val="00D66B91"/>
    <w:rsid w:val="00D6701C"/>
    <w:rsid w:val="00D677BD"/>
    <w:rsid w:val="00D679FB"/>
    <w:rsid w:val="00D67A21"/>
    <w:rsid w:val="00D70055"/>
    <w:rsid w:val="00D7034E"/>
    <w:rsid w:val="00D70481"/>
    <w:rsid w:val="00D7091D"/>
    <w:rsid w:val="00D70D11"/>
    <w:rsid w:val="00D70EF4"/>
    <w:rsid w:val="00D711BE"/>
    <w:rsid w:val="00D715FC"/>
    <w:rsid w:val="00D716CC"/>
    <w:rsid w:val="00D71952"/>
    <w:rsid w:val="00D71962"/>
    <w:rsid w:val="00D719C3"/>
    <w:rsid w:val="00D719E4"/>
    <w:rsid w:val="00D7291D"/>
    <w:rsid w:val="00D72B2B"/>
    <w:rsid w:val="00D72B6D"/>
    <w:rsid w:val="00D7378B"/>
    <w:rsid w:val="00D7494A"/>
    <w:rsid w:val="00D74AAF"/>
    <w:rsid w:val="00D74F3D"/>
    <w:rsid w:val="00D75145"/>
    <w:rsid w:val="00D7592A"/>
    <w:rsid w:val="00D75CF4"/>
    <w:rsid w:val="00D76010"/>
    <w:rsid w:val="00D76244"/>
    <w:rsid w:val="00D766D9"/>
    <w:rsid w:val="00D76912"/>
    <w:rsid w:val="00D76A73"/>
    <w:rsid w:val="00D76B60"/>
    <w:rsid w:val="00D80946"/>
    <w:rsid w:val="00D80F99"/>
    <w:rsid w:val="00D8104F"/>
    <w:rsid w:val="00D81211"/>
    <w:rsid w:val="00D8122B"/>
    <w:rsid w:val="00D8145F"/>
    <w:rsid w:val="00D82CA6"/>
    <w:rsid w:val="00D82E1E"/>
    <w:rsid w:val="00D83746"/>
    <w:rsid w:val="00D83C85"/>
    <w:rsid w:val="00D8420E"/>
    <w:rsid w:val="00D8425A"/>
    <w:rsid w:val="00D84275"/>
    <w:rsid w:val="00D84515"/>
    <w:rsid w:val="00D849BF"/>
    <w:rsid w:val="00D84DAF"/>
    <w:rsid w:val="00D852B1"/>
    <w:rsid w:val="00D85750"/>
    <w:rsid w:val="00D861F7"/>
    <w:rsid w:val="00D86241"/>
    <w:rsid w:val="00D86561"/>
    <w:rsid w:val="00D869CE"/>
    <w:rsid w:val="00D86AB2"/>
    <w:rsid w:val="00D86B1F"/>
    <w:rsid w:val="00D86B32"/>
    <w:rsid w:val="00D86E41"/>
    <w:rsid w:val="00D86FE8"/>
    <w:rsid w:val="00D87B61"/>
    <w:rsid w:val="00D87D9F"/>
    <w:rsid w:val="00D87E5C"/>
    <w:rsid w:val="00D9031E"/>
    <w:rsid w:val="00D90411"/>
    <w:rsid w:val="00D9079F"/>
    <w:rsid w:val="00D915ED"/>
    <w:rsid w:val="00D91690"/>
    <w:rsid w:val="00D9174E"/>
    <w:rsid w:val="00D91D70"/>
    <w:rsid w:val="00D921F9"/>
    <w:rsid w:val="00D92452"/>
    <w:rsid w:val="00D9245D"/>
    <w:rsid w:val="00D92CF5"/>
    <w:rsid w:val="00D92F0B"/>
    <w:rsid w:val="00D9311F"/>
    <w:rsid w:val="00D93BB1"/>
    <w:rsid w:val="00D93D25"/>
    <w:rsid w:val="00D944DD"/>
    <w:rsid w:val="00D94A87"/>
    <w:rsid w:val="00D95EB7"/>
    <w:rsid w:val="00D9668C"/>
    <w:rsid w:val="00D96902"/>
    <w:rsid w:val="00D96CA9"/>
    <w:rsid w:val="00D96E8D"/>
    <w:rsid w:val="00D97E6B"/>
    <w:rsid w:val="00DA0255"/>
    <w:rsid w:val="00DA08AB"/>
    <w:rsid w:val="00DA0D9D"/>
    <w:rsid w:val="00DA0E89"/>
    <w:rsid w:val="00DA14EA"/>
    <w:rsid w:val="00DA1742"/>
    <w:rsid w:val="00DA1984"/>
    <w:rsid w:val="00DA1F8A"/>
    <w:rsid w:val="00DA2A26"/>
    <w:rsid w:val="00DA2C11"/>
    <w:rsid w:val="00DA2D08"/>
    <w:rsid w:val="00DA36EF"/>
    <w:rsid w:val="00DA3939"/>
    <w:rsid w:val="00DA3C1D"/>
    <w:rsid w:val="00DA4974"/>
    <w:rsid w:val="00DA4FEF"/>
    <w:rsid w:val="00DA544B"/>
    <w:rsid w:val="00DA555C"/>
    <w:rsid w:val="00DA56A3"/>
    <w:rsid w:val="00DA6D22"/>
    <w:rsid w:val="00DA745F"/>
    <w:rsid w:val="00DA74B8"/>
    <w:rsid w:val="00DA7901"/>
    <w:rsid w:val="00DA7E17"/>
    <w:rsid w:val="00DA7ED0"/>
    <w:rsid w:val="00DB0354"/>
    <w:rsid w:val="00DB0397"/>
    <w:rsid w:val="00DB0AF7"/>
    <w:rsid w:val="00DB0C0A"/>
    <w:rsid w:val="00DB202F"/>
    <w:rsid w:val="00DB21BA"/>
    <w:rsid w:val="00DB3128"/>
    <w:rsid w:val="00DB3682"/>
    <w:rsid w:val="00DB3930"/>
    <w:rsid w:val="00DB395E"/>
    <w:rsid w:val="00DB47E9"/>
    <w:rsid w:val="00DB495F"/>
    <w:rsid w:val="00DB4BE1"/>
    <w:rsid w:val="00DB5004"/>
    <w:rsid w:val="00DB544D"/>
    <w:rsid w:val="00DB55BF"/>
    <w:rsid w:val="00DB6446"/>
    <w:rsid w:val="00DB6BE5"/>
    <w:rsid w:val="00DB748A"/>
    <w:rsid w:val="00DC0049"/>
    <w:rsid w:val="00DC0849"/>
    <w:rsid w:val="00DC0F10"/>
    <w:rsid w:val="00DC121F"/>
    <w:rsid w:val="00DC142C"/>
    <w:rsid w:val="00DC15F5"/>
    <w:rsid w:val="00DC1914"/>
    <w:rsid w:val="00DC21E1"/>
    <w:rsid w:val="00DC22A6"/>
    <w:rsid w:val="00DC258B"/>
    <w:rsid w:val="00DC2771"/>
    <w:rsid w:val="00DC2CD4"/>
    <w:rsid w:val="00DC326F"/>
    <w:rsid w:val="00DC4784"/>
    <w:rsid w:val="00DC4FB4"/>
    <w:rsid w:val="00DC5181"/>
    <w:rsid w:val="00DC54EE"/>
    <w:rsid w:val="00DC6679"/>
    <w:rsid w:val="00DC6973"/>
    <w:rsid w:val="00DC6B13"/>
    <w:rsid w:val="00DC6B91"/>
    <w:rsid w:val="00DC6EEB"/>
    <w:rsid w:val="00DD0939"/>
    <w:rsid w:val="00DD0952"/>
    <w:rsid w:val="00DD11A3"/>
    <w:rsid w:val="00DD1747"/>
    <w:rsid w:val="00DD1BE5"/>
    <w:rsid w:val="00DD2162"/>
    <w:rsid w:val="00DD28DC"/>
    <w:rsid w:val="00DD2D58"/>
    <w:rsid w:val="00DD2DF7"/>
    <w:rsid w:val="00DD2F8B"/>
    <w:rsid w:val="00DD34CB"/>
    <w:rsid w:val="00DD3571"/>
    <w:rsid w:val="00DD3929"/>
    <w:rsid w:val="00DD393B"/>
    <w:rsid w:val="00DD3D2E"/>
    <w:rsid w:val="00DD3D7A"/>
    <w:rsid w:val="00DD3F1A"/>
    <w:rsid w:val="00DD461A"/>
    <w:rsid w:val="00DD4EBB"/>
    <w:rsid w:val="00DD6175"/>
    <w:rsid w:val="00DD64C0"/>
    <w:rsid w:val="00DD672D"/>
    <w:rsid w:val="00DD6995"/>
    <w:rsid w:val="00DD6E92"/>
    <w:rsid w:val="00DD6F06"/>
    <w:rsid w:val="00DD7541"/>
    <w:rsid w:val="00DD78FF"/>
    <w:rsid w:val="00DD7B8E"/>
    <w:rsid w:val="00DD7D80"/>
    <w:rsid w:val="00DE05A9"/>
    <w:rsid w:val="00DE07DE"/>
    <w:rsid w:val="00DE0EFC"/>
    <w:rsid w:val="00DE13F3"/>
    <w:rsid w:val="00DE1960"/>
    <w:rsid w:val="00DE1FE9"/>
    <w:rsid w:val="00DE29B7"/>
    <w:rsid w:val="00DE2BF6"/>
    <w:rsid w:val="00DE2E70"/>
    <w:rsid w:val="00DE2F18"/>
    <w:rsid w:val="00DE3810"/>
    <w:rsid w:val="00DE3F0A"/>
    <w:rsid w:val="00DE4019"/>
    <w:rsid w:val="00DE4B84"/>
    <w:rsid w:val="00DE5152"/>
    <w:rsid w:val="00DE577C"/>
    <w:rsid w:val="00DE5B63"/>
    <w:rsid w:val="00DE6424"/>
    <w:rsid w:val="00DE69D7"/>
    <w:rsid w:val="00DE73C6"/>
    <w:rsid w:val="00DE77D4"/>
    <w:rsid w:val="00DE79E5"/>
    <w:rsid w:val="00DE7F8B"/>
    <w:rsid w:val="00DF00D5"/>
    <w:rsid w:val="00DF17AD"/>
    <w:rsid w:val="00DF1890"/>
    <w:rsid w:val="00DF1B36"/>
    <w:rsid w:val="00DF1ED8"/>
    <w:rsid w:val="00DF1F97"/>
    <w:rsid w:val="00DF209D"/>
    <w:rsid w:val="00DF2444"/>
    <w:rsid w:val="00DF2764"/>
    <w:rsid w:val="00DF2DD1"/>
    <w:rsid w:val="00DF2F39"/>
    <w:rsid w:val="00DF34B2"/>
    <w:rsid w:val="00DF39C9"/>
    <w:rsid w:val="00DF3C37"/>
    <w:rsid w:val="00DF44D1"/>
    <w:rsid w:val="00DF455F"/>
    <w:rsid w:val="00DF5278"/>
    <w:rsid w:val="00DF59DB"/>
    <w:rsid w:val="00DF5A84"/>
    <w:rsid w:val="00DF5BE9"/>
    <w:rsid w:val="00DF5FF5"/>
    <w:rsid w:val="00DF6238"/>
    <w:rsid w:val="00DF6368"/>
    <w:rsid w:val="00DF772D"/>
    <w:rsid w:val="00DF7905"/>
    <w:rsid w:val="00E002E8"/>
    <w:rsid w:val="00E00494"/>
    <w:rsid w:val="00E00621"/>
    <w:rsid w:val="00E00921"/>
    <w:rsid w:val="00E010BA"/>
    <w:rsid w:val="00E01205"/>
    <w:rsid w:val="00E01306"/>
    <w:rsid w:val="00E01603"/>
    <w:rsid w:val="00E01B07"/>
    <w:rsid w:val="00E01C4A"/>
    <w:rsid w:val="00E025D9"/>
    <w:rsid w:val="00E02A32"/>
    <w:rsid w:val="00E02E6A"/>
    <w:rsid w:val="00E02FC5"/>
    <w:rsid w:val="00E0330B"/>
    <w:rsid w:val="00E03514"/>
    <w:rsid w:val="00E037F4"/>
    <w:rsid w:val="00E04010"/>
    <w:rsid w:val="00E04197"/>
    <w:rsid w:val="00E0421A"/>
    <w:rsid w:val="00E04584"/>
    <w:rsid w:val="00E047A2"/>
    <w:rsid w:val="00E04A96"/>
    <w:rsid w:val="00E04DB5"/>
    <w:rsid w:val="00E04F13"/>
    <w:rsid w:val="00E0539F"/>
    <w:rsid w:val="00E05A57"/>
    <w:rsid w:val="00E05A7A"/>
    <w:rsid w:val="00E05E32"/>
    <w:rsid w:val="00E06E86"/>
    <w:rsid w:val="00E071CE"/>
    <w:rsid w:val="00E0723E"/>
    <w:rsid w:val="00E07620"/>
    <w:rsid w:val="00E079E7"/>
    <w:rsid w:val="00E07AA3"/>
    <w:rsid w:val="00E07B96"/>
    <w:rsid w:val="00E101DF"/>
    <w:rsid w:val="00E10EB9"/>
    <w:rsid w:val="00E11290"/>
    <w:rsid w:val="00E114F9"/>
    <w:rsid w:val="00E11534"/>
    <w:rsid w:val="00E11626"/>
    <w:rsid w:val="00E11A85"/>
    <w:rsid w:val="00E11D37"/>
    <w:rsid w:val="00E11D8D"/>
    <w:rsid w:val="00E122C2"/>
    <w:rsid w:val="00E125C9"/>
    <w:rsid w:val="00E1291D"/>
    <w:rsid w:val="00E12C22"/>
    <w:rsid w:val="00E12F1A"/>
    <w:rsid w:val="00E131B5"/>
    <w:rsid w:val="00E1325D"/>
    <w:rsid w:val="00E13A29"/>
    <w:rsid w:val="00E13CC8"/>
    <w:rsid w:val="00E13D09"/>
    <w:rsid w:val="00E13F19"/>
    <w:rsid w:val="00E13FB7"/>
    <w:rsid w:val="00E1476B"/>
    <w:rsid w:val="00E14E9B"/>
    <w:rsid w:val="00E15395"/>
    <w:rsid w:val="00E1542C"/>
    <w:rsid w:val="00E15481"/>
    <w:rsid w:val="00E15A86"/>
    <w:rsid w:val="00E15CD4"/>
    <w:rsid w:val="00E15E34"/>
    <w:rsid w:val="00E15FB3"/>
    <w:rsid w:val="00E1647A"/>
    <w:rsid w:val="00E16ECC"/>
    <w:rsid w:val="00E17029"/>
    <w:rsid w:val="00E17A5E"/>
    <w:rsid w:val="00E17B33"/>
    <w:rsid w:val="00E17EE7"/>
    <w:rsid w:val="00E203E7"/>
    <w:rsid w:val="00E2089C"/>
    <w:rsid w:val="00E20CF8"/>
    <w:rsid w:val="00E20DC8"/>
    <w:rsid w:val="00E20ED9"/>
    <w:rsid w:val="00E20F4D"/>
    <w:rsid w:val="00E2155F"/>
    <w:rsid w:val="00E216E9"/>
    <w:rsid w:val="00E218B7"/>
    <w:rsid w:val="00E21FB9"/>
    <w:rsid w:val="00E2210C"/>
    <w:rsid w:val="00E22940"/>
    <w:rsid w:val="00E22B2E"/>
    <w:rsid w:val="00E22EBF"/>
    <w:rsid w:val="00E23270"/>
    <w:rsid w:val="00E235EA"/>
    <w:rsid w:val="00E23644"/>
    <w:rsid w:val="00E23773"/>
    <w:rsid w:val="00E23849"/>
    <w:rsid w:val="00E241C7"/>
    <w:rsid w:val="00E24835"/>
    <w:rsid w:val="00E24889"/>
    <w:rsid w:val="00E24B96"/>
    <w:rsid w:val="00E2554E"/>
    <w:rsid w:val="00E26C8A"/>
    <w:rsid w:val="00E26DA4"/>
    <w:rsid w:val="00E27079"/>
    <w:rsid w:val="00E27433"/>
    <w:rsid w:val="00E27715"/>
    <w:rsid w:val="00E27D38"/>
    <w:rsid w:val="00E27D4F"/>
    <w:rsid w:val="00E301A5"/>
    <w:rsid w:val="00E30328"/>
    <w:rsid w:val="00E3115F"/>
    <w:rsid w:val="00E31264"/>
    <w:rsid w:val="00E317B1"/>
    <w:rsid w:val="00E319EC"/>
    <w:rsid w:val="00E31A17"/>
    <w:rsid w:val="00E32922"/>
    <w:rsid w:val="00E329E5"/>
    <w:rsid w:val="00E329F9"/>
    <w:rsid w:val="00E32B59"/>
    <w:rsid w:val="00E32C89"/>
    <w:rsid w:val="00E32C9C"/>
    <w:rsid w:val="00E32DA8"/>
    <w:rsid w:val="00E331C1"/>
    <w:rsid w:val="00E336F0"/>
    <w:rsid w:val="00E33AF7"/>
    <w:rsid w:val="00E346F1"/>
    <w:rsid w:val="00E34EA9"/>
    <w:rsid w:val="00E34FD1"/>
    <w:rsid w:val="00E35667"/>
    <w:rsid w:val="00E35A48"/>
    <w:rsid w:val="00E35AF4"/>
    <w:rsid w:val="00E35B1F"/>
    <w:rsid w:val="00E36980"/>
    <w:rsid w:val="00E36A3C"/>
    <w:rsid w:val="00E36F94"/>
    <w:rsid w:val="00E3741B"/>
    <w:rsid w:val="00E4008F"/>
    <w:rsid w:val="00E40225"/>
    <w:rsid w:val="00E41105"/>
    <w:rsid w:val="00E41FF4"/>
    <w:rsid w:val="00E4317B"/>
    <w:rsid w:val="00E431A0"/>
    <w:rsid w:val="00E4383F"/>
    <w:rsid w:val="00E448D4"/>
    <w:rsid w:val="00E44DCF"/>
    <w:rsid w:val="00E44ED9"/>
    <w:rsid w:val="00E451B3"/>
    <w:rsid w:val="00E459A9"/>
    <w:rsid w:val="00E45EB4"/>
    <w:rsid w:val="00E466AA"/>
    <w:rsid w:val="00E46AF5"/>
    <w:rsid w:val="00E46E14"/>
    <w:rsid w:val="00E4736A"/>
    <w:rsid w:val="00E475CC"/>
    <w:rsid w:val="00E47FD3"/>
    <w:rsid w:val="00E50316"/>
    <w:rsid w:val="00E5051A"/>
    <w:rsid w:val="00E50599"/>
    <w:rsid w:val="00E50742"/>
    <w:rsid w:val="00E507A4"/>
    <w:rsid w:val="00E50FED"/>
    <w:rsid w:val="00E5115C"/>
    <w:rsid w:val="00E512AD"/>
    <w:rsid w:val="00E515DF"/>
    <w:rsid w:val="00E5168C"/>
    <w:rsid w:val="00E51D58"/>
    <w:rsid w:val="00E52609"/>
    <w:rsid w:val="00E537DE"/>
    <w:rsid w:val="00E54286"/>
    <w:rsid w:val="00E54552"/>
    <w:rsid w:val="00E555DF"/>
    <w:rsid w:val="00E557C1"/>
    <w:rsid w:val="00E55A70"/>
    <w:rsid w:val="00E55DF4"/>
    <w:rsid w:val="00E56066"/>
    <w:rsid w:val="00E562A7"/>
    <w:rsid w:val="00E56AF7"/>
    <w:rsid w:val="00E56BE3"/>
    <w:rsid w:val="00E576A5"/>
    <w:rsid w:val="00E5790D"/>
    <w:rsid w:val="00E57AA4"/>
    <w:rsid w:val="00E603DA"/>
    <w:rsid w:val="00E604EB"/>
    <w:rsid w:val="00E60B8D"/>
    <w:rsid w:val="00E60CB1"/>
    <w:rsid w:val="00E6163A"/>
    <w:rsid w:val="00E61935"/>
    <w:rsid w:val="00E61B6E"/>
    <w:rsid w:val="00E61E41"/>
    <w:rsid w:val="00E61FCE"/>
    <w:rsid w:val="00E621AB"/>
    <w:rsid w:val="00E62672"/>
    <w:rsid w:val="00E62966"/>
    <w:rsid w:val="00E62D07"/>
    <w:rsid w:val="00E62FED"/>
    <w:rsid w:val="00E63A23"/>
    <w:rsid w:val="00E63CB0"/>
    <w:rsid w:val="00E63E12"/>
    <w:rsid w:val="00E63F5E"/>
    <w:rsid w:val="00E642BC"/>
    <w:rsid w:val="00E64C8A"/>
    <w:rsid w:val="00E655BE"/>
    <w:rsid w:val="00E65988"/>
    <w:rsid w:val="00E65FBE"/>
    <w:rsid w:val="00E662A2"/>
    <w:rsid w:val="00E662BD"/>
    <w:rsid w:val="00E663E4"/>
    <w:rsid w:val="00E6684A"/>
    <w:rsid w:val="00E66A37"/>
    <w:rsid w:val="00E66FAB"/>
    <w:rsid w:val="00E670E5"/>
    <w:rsid w:val="00E67571"/>
    <w:rsid w:val="00E7023B"/>
    <w:rsid w:val="00E7089A"/>
    <w:rsid w:val="00E709FE"/>
    <w:rsid w:val="00E70ED7"/>
    <w:rsid w:val="00E716DD"/>
    <w:rsid w:val="00E71994"/>
    <w:rsid w:val="00E71DE0"/>
    <w:rsid w:val="00E724CA"/>
    <w:rsid w:val="00E729C0"/>
    <w:rsid w:val="00E72EC0"/>
    <w:rsid w:val="00E731E9"/>
    <w:rsid w:val="00E73264"/>
    <w:rsid w:val="00E73B09"/>
    <w:rsid w:val="00E73B7C"/>
    <w:rsid w:val="00E73C5B"/>
    <w:rsid w:val="00E73E76"/>
    <w:rsid w:val="00E73EFA"/>
    <w:rsid w:val="00E741D0"/>
    <w:rsid w:val="00E7434E"/>
    <w:rsid w:val="00E743B5"/>
    <w:rsid w:val="00E74BC7"/>
    <w:rsid w:val="00E75342"/>
    <w:rsid w:val="00E75E74"/>
    <w:rsid w:val="00E76271"/>
    <w:rsid w:val="00E7660F"/>
    <w:rsid w:val="00E770B8"/>
    <w:rsid w:val="00E776F2"/>
    <w:rsid w:val="00E7797F"/>
    <w:rsid w:val="00E779F6"/>
    <w:rsid w:val="00E77A37"/>
    <w:rsid w:val="00E8018D"/>
    <w:rsid w:val="00E80483"/>
    <w:rsid w:val="00E80F29"/>
    <w:rsid w:val="00E81822"/>
    <w:rsid w:val="00E82126"/>
    <w:rsid w:val="00E8228F"/>
    <w:rsid w:val="00E8234D"/>
    <w:rsid w:val="00E82517"/>
    <w:rsid w:val="00E82BF6"/>
    <w:rsid w:val="00E830E4"/>
    <w:rsid w:val="00E83215"/>
    <w:rsid w:val="00E8372B"/>
    <w:rsid w:val="00E8398A"/>
    <w:rsid w:val="00E83AAB"/>
    <w:rsid w:val="00E83C83"/>
    <w:rsid w:val="00E84007"/>
    <w:rsid w:val="00E84A62"/>
    <w:rsid w:val="00E84BEE"/>
    <w:rsid w:val="00E857B1"/>
    <w:rsid w:val="00E86457"/>
    <w:rsid w:val="00E8673B"/>
    <w:rsid w:val="00E867EB"/>
    <w:rsid w:val="00E86808"/>
    <w:rsid w:val="00E87071"/>
    <w:rsid w:val="00E873A9"/>
    <w:rsid w:val="00E875C2"/>
    <w:rsid w:val="00E878DE"/>
    <w:rsid w:val="00E87FF4"/>
    <w:rsid w:val="00E90162"/>
    <w:rsid w:val="00E9081F"/>
    <w:rsid w:val="00E90B1F"/>
    <w:rsid w:val="00E9112B"/>
    <w:rsid w:val="00E9132E"/>
    <w:rsid w:val="00E914FA"/>
    <w:rsid w:val="00E916D8"/>
    <w:rsid w:val="00E924F1"/>
    <w:rsid w:val="00E933DE"/>
    <w:rsid w:val="00E93A5D"/>
    <w:rsid w:val="00E93C9B"/>
    <w:rsid w:val="00E94526"/>
    <w:rsid w:val="00E947D1"/>
    <w:rsid w:val="00E96099"/>
    <w:rsid w:val="00E963E7"/>
    <w:rsid w:val="00E964B5"/>
    <w:rsid w:val="00E971BB"/>
    <w:rsid w:val="00E97444"/>
    <w:rsid w:val="00E97469"/>
    <w:rsid w:val="00E97781"/>
    <w:rsid w:val="00EA01A1"/>
    <w:rsid w:val="00EA0276"/>
    <w:rsid w:val="00EA04F6"/>
    <w:rsid w:val="00EA102D"/>
    <w:rsid w:val="00EA201E"/>
    <w:rsid w:val="00EA21C6"/>
    <w:rsid w:val="00EA232B"/>
    <w:rsid w:val="00EA294F"/>
    <w:rsid w:val="00EA2B93"/>
    <w:rsid w:val="00EA2CC1"/>
    <w:rsid w:val="00EA2E7B"/>
    <w:rsid w:val="00EA3B8B"/>
    <w:rsid w:val="00EA3D44"/>
    <w:rsid w:val="00EA3DC5"/>
    <w:rsid w:val="00EA4A4E"/>
    <w:rsid w:val="00EA4C75"/>
    <w:rsid w:val="00EA4EDC"/>
    <w:rsid w:val="00EA5235"/>
    <w:rsid w:val="00EA537B"/>
    <w:rsid w:val="00EA5436"/>
    <w:rsid w:val="00EA557E"/>
    <w:rsid w:val="00EA56B2"/>
    <w:rsid w:val="00EA5B1A"/>
    <w:rsid w:val="00EA5F4D"/>
    <w:rsid w:val="00EA6478"/>
    <w:rsid w:val="00EA67CA"/>
    <w:rsid w:val="00EA6907"/>
    <w:rsid w:val="00EA6CA0"/>
    <w:rsid w:val="00EA6E94"/>
    <w:rsid w:val="00EA7248"/>
    <w:rsid w:val="00EA74F0"/>
    <w:rsid w:val="00EA779E"/>
    <w:rsid w:val="00EB024A"/>
    <w:rsid w:val="00EB02E7"/>
    <w:rsid w:val="00EB08B4"/>
    <w:rsid w:val="00EB0C4C"/>
    <w:rsid w:val="00EB109B"/>
    <w:rsid w:val="00EB11F7"/>
    <w:rsid w:val="00EB30B3"/>
    <w:rsid w:val="00EB3780"/>
    <w:rsid w:val="00EB37A7"/>
    <w:rsid w:val="00EB3D0B"/>
    <w:rsid w:val="00EB3E2F"/>
    <w:rsid w:val="00EB3F1A"/>
    <w:rsid w:val="00EB40BE"/>
    <w:rsid w:val="00EB41EF"/>
    <w:rsid w:val="00EB4A01"/>
    <w:rsid w:val="00EB54E3"/>
    <w:rsid w:val="00EB58AA"/>
    <w:rsid w:val="00EB5976"/>
    <w:rsid w:val="00EB5CD9"/>
    <w:rsid w:val="00EB67A4"/>
    <w:rsid w:val="00EB6D0B"/>
    <w:rsid w:val="00EB6DAC"/>
    <w:rsid w:val="00EB6E91"/>
    <w:rsid w:val="00EB6EFB"/>
    <w:rsid w:val="00EB7199"/>
    <w:rsid w:val="00EB71F1"/>
    <w:rsid w:val="00EB730A"/>
    <w:rsid w:val="00EB7448"/>
    <w:rsid w:val="00EB75D6"/>
    <w:rsid w:val="00EC0ACC"/>
    <w:rsid w:val="00EC0CCC"/>
    <w:rsid w:val="00EC0F85"/>
    <w:rsid w:val="00EC12E0"/>
    <w:rsid w:val="00EC1604"/>
    <w:rsid w:val="00EC1CF3"/>
    <w:rsid w:val="00EC2639"/>
    <w:rsid w:val="00EC2E4C"/>
    <w:rsid w:val="00EC3290"/>
    <w:rsid w:val="00EC3C48"/>
    <w:rsid w:val="00EC3E83"/>
    <w:rsid w:val="00EC3F26"/>
    <w:rsid w:val="00EC4963"/>
    <w:rsid w:val="00EC4A10"/>
    <w:rsid w:val="00EC4A37"/>
    <w:rsid w:val="00EC6070"/>
    <w:rsid w:val="00EC6389"/>
    <w:rsid w:val="00EC65F5"/>
    <w:rsid w:val="00EC69E3"/>
    <w:rsid w:val="00EC6ECF"/>
    <w:rsid w:val="00EC7347"/>
    <w:rsid w:val="00EC796C"/>
    <w:rsid w:val="00ED01B8"/>
    <w:rsid w:val="00ED0822"/>
    <w:rsid w:val="00ED090D"/>
    <w:rsid w:val="00ED0B60"/>
    <w:rsid w:val="00ED16B0"/>
    <w:rsid w:val="00ED1786"/>
    <w:rsid w:val="00ED1A0D"/>
    <w:rsid w:val="00ED2222"/>
    <w:rsid w:val="00ED2299"/>
    <w:rsid w:val="00ED23AC"/>
    <w:rsid w:val="00ED2C00"/>
    <w:rsid w:val="00ED350E"/>
    <w:rsid w:val="00ED3917"/>
    <w:rsid w:val="00ED3ACE"/>
    <w:rsid w:val="00ED3E3D"/>
    <w:rsid w:val="00ED3FC0"/>
    <w:rsid w:val="00ED4F65"/>
    <w:rsid w:val="00ED52E1"/>
    <w:rsid w:val="00ED5313"/>
    <w:rsid w:val="00ED5539"/>
    <w:rsid w:val="00ED5D77"/>
    <w:rsid w:val="00ED5DBF"/>
    <w:rsid w:val="00ED69D3"/>
    <w:rsid w:val="00ED6B0D"/>
    <w:rsid w:val="00ED71F5"/>
    <w:rsid w:val="00ED767D"/>
    <w:rsid w:val="00ED7C88"/>
    <w:rsid w:val="00ED7D2A"/>
    <w:rsid w:val="00ED7D90"/>
    <w:rsid w:val="00EE038C"/>
    <w:rsid w:val="00EE05C9"/>
    <w:rsid w:val="00EE0F10"/>
    <w:rsid w:val="00EE1053"/>
    <w:rsid w:val="00EE14B4"/>
    <w:rsid w:val="00EE1C2A"/>
    <w:rsid w:val="00EE1C2D"/>
    <w:rsid w:val="00EE2C1A"/>
    <w:rsid w:val="00EE378A"/>
    <w:rsid w:val="00EE4179"/>
    <w:rsid w:val="00EE42B5"/>
    <w:rsid w:val="00EE43F6"/>
    <w:rsid w:val="00EE478B"/>
    <w:rsid w:val="00EE4C1C"/>
    <w:rsid w:val="00EE5590"/>
    <w:rsid w:val="00EE5916"/>
    <w:rsid w:val="00EE5AE0"/>
    <w:rsid w:val="00EE6356"/>
    <w:rsid w:val="00EE6790"/>
    <w:rsid w:val="00EE6FD3"/>
    <w:rsid w:val="00EE723F"/>
    <w:rsid w:val="00EE75B4"/>
    <w:rsid w:val="00EE765E"/>
    <w:rsid w:val="00EE7E2E"/>
    <w:rsid w:val="00EF0106"/>
    <w:rsid w:val="00EF0473"/>
    <w:rsid w:val="00EF09AF"/>
    <w:rsid w:val="00EF0BB1"/>
    <w:rsid w:val="00EF0FDF"/>
    <w:rsid w:val="00EF1247"/>
    <w:rsid w:val="00EF12A8"/>
    <w:rsid w:val="00EF1837"/>
    <w:rsid w:val="00EF18D0"/>
    <w:rsid w:val="00EF1F11"/>
    <w:rsid w:val="00EF245A"/>
    <w:rsid w:val="00EF2B4F"/>
    <w:rsid w:val="00EF2C84"/>
    <w:rsid w:val="00EF2FD3"/>
    <w:rsid w:val="00EF349A"/>
    <w:rsid w:val="00EF34DC"/>
    <w:rsid w:val="00EF35D1"/>
    <w:rsid w:val="00EF390D"/>
    <w:rsid w:val="00EF3965"/>
    <w:rsid w:val="00EF3A3B"/>
    <w:rsid w:val="00EF3D54"/>
    <w:rsid w:val="00EF3DFA"/>
    <w:rsid w:val="00EF4328"/>
    <w:rsid w:val="00EF4D25"/>
    <w:rsid w:val="00EF4E2A"/>
    <w:rsid w:val="00EF5123"/>
    <w:rsid w:val="00EF513E"/>
    <w:rsid w:val="00EF52EE"/>
    <w:rsid w:val="00EF5530"/>
    <w:rsid w:val="00EF55C5"/>
    <w:rsid w:val="00EF5662"/>
    <w:rsid w:val="00EF57F7"/>
    <w:rsid w:val="00EF59D0"/>
    <w:rsid w:val="00EF5F76"/>
    <w:rsid w:val="00EF6444"/>
    <w:rsid w:val="00EF69C5"/>
    <w:rsid w:val="00EF6DDF"/>
    <w:rsid w:val="00EF75D0"/>
    <w:rsid w:val="00F0040C"/>
    <w:rsid w:val="00F008E3"/>
    <w:rsid w:val="00F0091B"/>
    <w:rsid w:val="00F00E4B"/>
    <w:rsid w:val="00F00ECB"/>
    <w:rsid w:val="00F01303"/>
    <w:rsid w:val="00F01938"/>
    <w:rsid w:val="00F01B22"/>
    <w:rsid w:val="00F01E5D"/>
    <w:rsid w:val="00F01F21"/>
    <w:rsid w:val="00F02062"/>
    <w:rsid w:val="00F02782"/>
    <w:rsid w:val="00F0297A"/>
    <w:rsid w:val="00F03E5B"/>
    <w:rsid w:val="00F041CA"/>
    <w:rsid w:val="00F0499E"/>
    <w:rsid w:val="00F04F70"/>
    <w:rsid w:val="00F04FBF"/>
    <w:rsid w:val="00F051C2"/>
    <w:rsid w:val="00F05747"/>
    <w:rsid w:val="00F06242"/>
    <w:rsid w:val="00F06B95"/>
    <w:rsid w:val="00F071D6"/>
    <w:rsid w:val="00F077F9"/>
    <w:rsid w:val="00F07814"/>
    <w:rsid w:val="00F07873"/>
    <w:rsid w:val="00F07DD9"/>
    <w:rsid w:val="00F10642"/>
    <w:rsid w:val="00F11034"/>
    <w:rsid w:val="00F110AA"/>
    <w:rsid w:val="00F11700"/>
    <w:rsid w:val="00F11A85"/>
    <w:rsid w:val="00F11FE6"/>
    <w:rsid w:val="00F120F8"/>
    <w:rsid w:val="00F12304"/>
    <w:rsid w:val="00F12388"/>
    <w:rsid w:val="00F12D4D"/>
    <w:rsid w:val="00F12E00"/>
    <w:rsid w:val="00F13660"/>
    <w:rsid w:val="00F13B64"/>
    <w:rsid w:val="00F13C5D"/>
    <w:rsid w:val="00F143A9"/>
    <w:rsid w:val="00F1499E"/>
    <w:rsid w:val="00F14A50"/>
    <w:rsid w:val="00F151F3"/>
    <w:rsid w:val="00F15220"/>
    <w:rsid w:val="00F15650"/>
    <w:rsid w:val="00F1582F"/>
    <w:rsid w:val="00F1599D"/>
    <w:rsid w:val="00F15A2C"/>
    <w:rsid w:val="00F15B6B"/>
    <w:rsid w:val="00F16199"/>
    <w:rsid w:val="00F167AD"/>
    <w:rsid w:val="00F16BAD"/>
    <w:rsid w:val="00F17036"/>
    <w:rsid w:val="00F17413"/>
    <w:rsid w:val="00F17500"/>
    <w:rsid w:val="00F20CEE"/>
    <w:rsid w:val="00F213FD"/>
    <w:rsid w:val="00F2161E"/>
    <w:rsid w:val="00F21B1F"/>
    <w:rsid w:val="00F22A72"/>
    <w:rsid w:val="00F23202"/>
    <w:rsid w:val="00F2325D"/>
    <w:rsid w:val="00F235C3"/>
    <w:rsid w:val="00F23E11"/>
    <w:rsid w:val="00F241B4"/>
    <w:rsid w:val="00F24444"/>
    <w:rsid w:val="00F24DC4"/>
    <w:rsid w:val="00F25918"/>
    <w:rsid w:val="00F2664B"/>
    <w:rsid w:val="00F266BE"/>
    <w:rsid w:val="00F26989"/>
    <w:rsid w:val="00F26B57"/>
    <w:rsid w:val="00F27479"/>
    <w:rsid w:val="00F279ED"/>
    <w:rsid w:val="00F30A8B"/>
    <w:rsid w:val="00F30D4F"/>
    <w:rsid w:val="00F31429"/>
    <w:rsid w:val="00F319A9"/>
    <w:rsid w:val="00F32069"/>
    <w:rsid w:val="00F32B07"/>
    <w:rsid w:val="00F32B35"/>
    <w:rsid w:val="00F32E74"/>
    <w:rsid w:val="00F33312"/>
    <w:rsid w:val="00F33399"/>
    <w:rsid w:val="00F34441"/>
    <w:rsid w:val="00F3465B"/>
    <w:rsid w:val="00F34B65"/>
    <w:rsid w:val="00F3554F"/>
    <w:rsid w:val="00F35AB9"/>
    <w:rsid w:val="00F35AD7"/>
    <w:rsid w:val="00F35B9D"/>
    <w:rsid w:val="00F35F17"/>
    <w:rsid w:val="00F360BF"/>
    <w:rsid w:val="00F36430"/>
    <w:rsid w:val="00F366A5"/>
    <w:rsid w:val="00F368FF"/>
    <w:rsid w:val="00F36CC3"/>
    <w:rsid w:val="00F36D11"/>
    <w:rsid w:val="00F373F9"/>
    <w:rsid w:val="00F375D9"/>
    <w:rsid w:val="00F37A6C"/>
    <w:rsid w:val="00F37C14"/>
    <w:rsid w:val="00F40024"/>
    <w:rsid w:val="00F40815"/>
    <w:rsid w:val="00F40D66"/>
    <w:rsid w:val="00F41145"/>
    <w:rsid w:val="00F416E1"/>
    <w:rsid w:val="00F41A79"/>
    <w:rsid w:val="00F41A85"/>
    <w:rsid w:val="00F42554"/>
    <w:rsid w:val="00F42DE2"/>
    <w:rsid w:val="00F43777"/>
    <w:rsid w:val="00F43A0D"/>
    <w:rsid w:val="00F43A30"/>
    <w:rsid w:val="00F43F36"/>
    <w:rsid w:val="00F44BE1"/>
    <w:rsid w:val="00F452FA"/>
    <w:rsid w:val="00F45E4B"/>
    <w:rsid w:val="00F462EC"/>
    <w:rsid w:val="00F46D7B"/>
    <w:rsid w:val="00F478C9"/>
    <w:rsid w:val="00F47A04"/>
    <w:rsid w:val="00F47BB5"/>
    <w:rsid w:val="00F5011B"/>
    <w:rsid w:val="00F50621"/>
    <w:rsid w:val="00F50CF7"/>
    <w:rsid w:val="00F512B2"/>
    <w:rsid w:val="00F51B21"/>
    <w:rsid w:val="00F51FA1"/>
    <w:rsid w:val="00F520A6"/>
    <w:rsid w:val="00F520BD"/>
    <w:rsid w:val="00F521DE"/>
    <w:rsid w:val="00F52401"/>
    <w:rsid w:val="00F53308"/>
    <w:rsid w:val="00F54005"/>
    <w:rsid w:val="00F547CB"/>
    <w:rsid w:val="00F54DE5"/>
    <w:rsid w:val="00F55076"/>
    <w:rsid w:val="00F55211"/>
    <w:rsid w:val="00F55281"/>
    <w:rsid w:val="00F55683"/>
    <w:rsid w:val="00F5582E"/>
    <w:rsid w:val="00F55951"/>
    <w:rsid w:val="00F56114"/>
    <w:rsid w:val="00F56E90"/>
    <w:rsid w:val="00F57758"/>
    <w:rsid w:val="00F57941"/>
    <w:rsid w:val="00F57C70"/>
    <w:rsid w:val="00F602CF"/>
    <w:rsid w:val="00F603FF"/>
    <w:rsid w:val="00F607CB"/>
    <w:rsid w:val="00F60FEF"/>
    <w:rsid w:val="00F61588"/>
    <w:rsid w:val="00F61A39"/>
    <w:rsid w:val="00F61E9D"/>
    <w:rsid w:val="00F61F43"/>
    <w:rsid w:val="00F63DD0"/>
    <w:rsid w:val="00F64012"/>
    <w:rsid w:val="00F640D4"/>
    <w:rsid w:val="00F65A99"/>
    <w:rsid w:val="00F66641"/>
    <w:rsid w:val="00F67B2D"/>
    <w:rsid w:val="00F7052E"/>
    <w:rsid w:val="00F70B6D"/>
    <w:rsid w:val="00F70C48"/>
    <w:rsid w:val="00F7174F"/>
    <w:rsid w:val="00F71ADA"/>
    <w:rsid w:val="00F71B2F"/>
    <w:rsid w:val="00F72466"/>
    <w:rsid w:val="00F73068"/>
    <w:rsid w:val="00F73120"/>
    <w:rsid w:val="00F737DE"/>
    <w:rsid w:val="00F73C68"/>
    <w:rsid w:val="00F7448F"/>
    <w:rsid w:val="00F74E0A"/>
    <w:rsid w:val="00F7564E"/>
    <w:rsid w:val="00F758E7"/>
    <w:rsid w:val="00F766C1"/>
    <w:rsid w:val="00F767C3"/>
    <w:rsid w:val="00F76DD6"/>
    <w:rsid w:val="00F77468"/>
    <w:rsid w:val="00F7748B"/>
    <w:rsid w:val="00F806E4"/>
    <w:rsid w:val="00F807D4"/>
    <w:rsid w:val="00F80BC9"/>
    <w:rsid w:val="00F81D2A"/>
    <w:rsid w:val="00F8388E"/>
    <w:rsid w:val="00F84589"/>
    <w:rsid w:val="00F84DFA"/>
    <w:rsid w:val="00F84E9C"/>
    <w:rsid w:val="00F8506F"/>
    <w:rsid w:val="00F8509C"/>
    <w:rsid w:val="00F851DA"/>
    <w:rsid w:val="00F85BD5"/>
    <w:rsid w:val="00F862D2"/>
    <w:rsid w:val="00F86447"/>
    <w:rsid w:val="00F86578"/>
    <w:rsid w:val="00F86875"/>
    <w:rsid w:val="00F86A69"/>
    <w:rsid w:val="00F872C6"/>
    <w:rsid w:val="00F87502"/>
    <w:rsid w:val="00F876F0"/>
    <w:rsid w:val="00F87770"/>
    <w:rsid w:val="00F87834"/>
    <w:rsid w:val="00F87D51"/>
    <w:rsid w:val="00F87DE4"/>
    <w:rsid w:val="00F900F5"/>
    <w:rsid w:val="00F90537"/>
    <w:rsid w:val="00F90C49"/>
    <w:rsid w:val="00F90C9A"/>
    <w:rsid w:val="00F90FC3"/>
    <w:rsid w:val="00F9181A"/>
    <w:rsid w:val="00F9239C"/>
    <w:rsid w:val="00F9249F"/>
    <w:rsid w:val="00F92685"/>
    <w:rsid w:val="00F931C1"/>
    <w:rsid w:val="00F935BF"/>
    <w:rsid w:val="00F937DA"/>
    <w:rsid w:val="00F938AC"/>
    <w:rsid w:val="00F93EF9"/>
    <w:rsid w:val="00F945B5"/>
    <w:rsid w:val="00F94704"/>
    <w:rsid w:val="00F947EF"/>
    <w:rsid w:val="00F94D33"/>
    <w:rsid w:val="00F94E10"/>
    <w:rsid w:val="00F95083"/>
    <w:rsid w:val="00F95CC0"/>
    <w:rsid w:val="00F95ECF"/>
    <w:rsid w:val="00F95EE0"/>
    <w:rsid w:val="00F95EF0"/>
    <w:rsid w:val="00F96D70"/>
    <w:rsid w:val="00F96E5A"/>
    <w:rsid w:val="00F96F0E"/>
    <w:rsid w:val="00F972B9"/>
    <w:rsid w:val="00F97536"/>
    <w:rsid w:val="00F9777B"/>
    <w:rsid w:val="00F97CA8"/>
    <w:rsid w:val="00FA0051"/>
    <w:rsid w:val="00FA0067"/>
    <w:rsid w:val="00FA00D1"/>
    <w:rsid w:val="00FA17EB"/>
    <w:rsid w:val="00FA1833"/>
    <w:rsid w:val="00FA1EE1"/>
    <w:rsid w:val="00FA2648"/>
    <w:rsid w:val="00FA293C"/>
    <w:rsid w:val="00FA31EB"/>
    <w:rsid w:val="00FA33C5"/>
    <w:rsid w:val="00FA3BB3"/>
    <w:rsid w:val="00FA422B"/>
    <w:rsid w:val="00FA443C"/>
    <w:rsid w:val="00FA493B"/>
    <w:rsid w:val="00FA50CF"/>
    <w:rsid w:val="00FA52F2"/>
    <w:rsid w:val="00FA56BB"/>
    <w:rsid w:val="00FA5893"/>
    <w:rsid w:val="00FA5B23"/>
    <w:rsid w:val="00FA6AA0"/>
    <w:rsid w:val="00FA6EE6"/>
    <w:rsid w:val="00FB014B"/>
    <w:rsid w:val="00FB02DA"/>
    <w:rsid w:val="00FB04B7"/>
    <w:rsid w:val="00FB0588"/>
    <w:rsid w:val="00FB0676"/>
    <w:rsid w:val="00FB0B01"/>
    <w:rsid w:val="00FB12E0"/>
    <w:rsid w:val="00FB1940"/>
    <w:rsid w:val="00FB1CC1"/>
    <w:rsid w:val="00FB26FF"/>
    <w:rsid w:val="00FB27D2"/>
    <w:rsid w:val="00FB3972"/>
    <w:rsid w:val="00FB4B06"/>
    <w:rsid w:val="00FB4B90"/>
    <w:rsid w:val="00FB4BD2"/>
    <w:rsid w:val="00FB52D0"/>
    <w:rsid w:val="00FB56BF"/>
    <w:rsid w:val="00FB582A"/>
    <w:rsid w:val="00FB5AA3"/>
    <w:rsid w:val="00FB5D7E"/>
    <w:rsid w:val="00FB609B"/>
    <w:rsid w:val="00FB647B"/>
    <w:rsid w:val="00FB6A1D"/>
    <w:rsid w:val="00FB6CED"/>
    <w:rsid w:val="00FB7ADA"/>
    <w:rsid w:val="00FB7FF7"/>
    <w:rsid w:val="00FC10C3"/>
    <w:rsid w:val="00FC12A4"/>
    <w:rsid w:val="00FC14DE"/>
    <w:rsid w:val="00FC1848"/>
    <w:rsid w:val="00FC1859"/>
    <w:rsid w:val="00FC1D1A"/>
    <w:rsid w:val="00FC211D"/>
    <w:rsid w:val="00FC2347"/>
    <w:rsid w:val="00FC319A"/>
    <w:rsid w:val="00FC3241"/>
    <w:rsid w:val="00FC3846"/>
    <w:rsid w:val="00FC3D03"/>
    <w:rsid w:val="00FC44B7"/>
    <w:rsid w:val="00FC5B36"/>
    <w:rsid w:val="00FC5CB7"/>
    <w:rsid w:val="00FC6300"/>
    <w:rsid w:val="00FC639E"/>
    <w:rsid w:val="00FC68E1"/>
    <w:rsid w:val="00FC6E82"/>
    <w:rsid w:val="00FC76DC"/>
    <w:rsid w:val="00FC7963"/>
    <w:rsid w:val="00FD0075"/>
    <w:rsid w:val="00FD0962"/>
    <w:rsid w:val="00FD0AB9"/>
    <w:rsid w:val="00FD0B4F"/>
    <w:rsid w:val="00FD0BBB"/>
    <w:rsid w:val="00FD1C4A"/>
    <w:rsid w:val="00FD23D6"/>
    <w:rsid w:val="00FD24B7"/>
    <w:rsid w:val="00FD2CDD"/>
    <w:rsid w:val="00FD2F4C"/>
    <w:rsid w:val="00FD2F55"/>
    <w:rsid w:val="00FD301B"/>
    <w:rsid w:val="00FD30DF"/>
    <w:rsid w:val="00FD3191"/>
    <w:rsid w:val="00FD357A"/>
    <w:rsid w:val="00FD37E9"/>
    <w:rsid w:val="00FD3D32"/>
    <w:rsid w:val="00FD3DB5"/>
    <w:rsid w:val="00FD3FFD"/>
    <w:rsid w:val="00FD4000"/>
    <w:rsid w:val="00FD4510"/>
    <w:rsid w:val="00FD4C6F"/>
    <w:rsid w:val="00FD4E79"/>
    <w:rsid w:val="00FD4FAA"/>
    <w:rsid w:val="00FD5A4F"/>
    <w:rsid w:val="00FD615F"/>
    <w:rsid w:val="00FD66FE"/>
    <w:rsid w:val="00FD67BF"/>
    <w:rsid w:val="00FD684C"/>
    <w:rsid w:val="00FD7267"/>
    <w:rsid w:val="00FD7323"/>
    <w:rsid w:val="00FD79EA"/>
    <w:rsid w:val="00FD7A88"/>
    <w:rsid w:val="00FD7AEA"/>
    <w:rsid w:val="00FD7D48"/>
    <w:rsid w:val="00FD7D7C"/>
    <w:rsid w:val="00FE082C"/>
    <w:rsid w:val="00FE0A90"/>
    <w:rsid w:val="00FE1748"/>
    <w:rsid w:val="00FE185C"/>
    <w:rsid w:val="00FE1B9A"/>
    <w:rsid w:val="00FE1E5F"/>
    <w:rsid w:val="00FE1EC6"/>
    <w:rsid w:val="00FE212B"/>
    <w:rsid w:val="00FE272A"/>
    <w:rsid w:val="00FE28F7"/>
    <w:rsid w:val="00FE2B56"/>
    <w:rsid w:val="00FE2CE5"/>
    <w:rsid w:val="00FE2D75"/>
    <w:rsid w:val="00FE2D91"/>
    <w:rsid w:val="00FE38FB"/>
    <w:rsid w:val="00FE433A"/>
    <w:rsid w:val="00FE4439"/>
    <w:rsid w:val="00FE5008"/>
    <w:rsid w:val="00FE5169"/>
    <w:rsid w:val="00FE54F1"/>
    <w:rsid w:val="00FE59CC"/>
    <w:rsid w:val="00FE5B39"/>
    <w:rsid w:val="00FE5CD2"/>
    <w:rsid w:val="00FE670A"/>
    <w:rsid w:val="00FE6BBC"/>
    <w:rsid w:val="00FE6D68"/>
    <w:rsid w:val="00FE6FF2"/>
    <w:rsid w:val="00FE709B"/>
    <w:rsid w:val="00FE7753"/>
    <w:rsid w:val="00FE7AFF"/>
    <w:rsid w:val="00FF0065"/>
    <w:rsid w:val="00FF03B0"/>
    <w:rsid w:val="00FF06F9"/>
    <w:rsid w:val="00FF0DA1"/>
    <w:rsid w:val="00FF1064"/>
    <w:rsid w:val="00FF11D5"/>
    <w:rsid w:val="00FF1278"/>
    <w:rsid w:val="00FF1716"/>
    <w:rsid w:val="00FF21C7"/>
    <w:rsid w:val="00FF2A00"/>
    <w:rsid w:val="00FF2C06"/>
    <w:rsid w:val="00FF2E12"/>
    <w:rsid w:val="00FF364C"/>
    <w:rsid w:val="00FF37B1"/>
    <w:rsid w:val="00FF38CB"/>
    <w:rsid w:val="00FF38E6"/>
    <w:rsid w:val="00FF3AE9"/>
    <w:rsid w:val="00FF3C31"/>
    <w:rsid w:val="00FF3C9E"/>
    <w:rsid w:val="00FF3E9D"/>
    <w:rsid w:val="00FF4028"/>
    <w:rsid w:val="00FF422A"/>
    <w:rsid w:val="00FF4665"/>
    <w:rsid w:val="00FF4777"/>
    <w:rsid w:val="00FF4D0D"/>
    <w:rsid w:val="00FF4E29"/>
    <w:rsid w:val="00FF4F82"/>
    <w:rsid w:val="00FF5A7E"/>
    <w:rsid w:val="00FF60A0"/>
    <w:rsid w:val="00FF6A3D"/>
    <w:rsid w:val="00FF6A96"/>
    <w:rsid w:val="00FF6E02"/>
    <w:rsid w:val="00FF758F"/>
    <w:rsid w:val="00FF791D"/>
    <w:rsid w:val="00FF7B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5CC2CC6"/>
  <w15:docId w15:val="{D4B3B5D1-A6EC-428F-83E8-C5377756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09BF"/>
    <w:pPr>
      <w:spacing w:after="200" w:line="276" w:lineRule="auto"/>
    </w:pPr>
    <w:rPr>
      <w:rFonts w:ascii="Tahoma" w:hAnsi="Tahoma"/>
      <w:szCs w:val="22"/>
    </w:rPr>
  </w:style>
  <w:style w:type="paragraph" w:styleId="Titolo1">
    <w:name w:val="heading 1"/>
    <w:basedOn w:val="Normale"/>
    <w:next w:val="Normale"/>
    <w:link w:val="Titolo1Carattere"/>
    <w:qFormat/>
    <w:rsid w:val="00730D73"/>
    <w:pPr>
      <w:keepNext/>
      <w:spacing w:before="240" w:after="960"/>
      <w:outlineLvl w:val="0"/>
    </w:pPr>
    <w:rPr>
      <w:rFonts w:eastAsia="MS Gothic" w:cstheme="majorBidi"/>
      <w:b/>
      <w:bCs/>
      <w:color w:val="000000" w:themeColor="text1"/>
      <w:kern w:val="32"/>
      <w:sz w:val="52"/>
      <w:szCs w:val="32"/>
    </w:rPr>
  </w:style>
  <w:style w:type="paragraph" w:styleId="Titolo2">
    <w:name w:val="heading 2"/>
    <w:basedOn w:val="Normale"/>
    <w:next w:val="Normale"/>
    <w:link w:val="Titolo2Carattere"/>
    <w:uiPriority w:val="9"/>
    <w:unhideWhenUsed/>
    <w:qFormat/>
    <w:locked/>
    <w:rsid w:val="003B7307"/>
    <w:pPr>
      <w:keepNext/>
      <w:spacing w:before="240" w:after="60"/>
      <w:outlineLvl w:val="1"/>
    </w:pPr>
    <w:rPr>
      <w:rFonts w:eastAsiaTheme="majorEastAsia" w:cstheme="majorBidi"/>
      <w:b/>
      <w:bCs/>
      <w:i/>
      <w:iCs/>
      <w:sz w:val="28"/>
      <w:szCs w:val="28"/>
    </w:rPr>
  </w:style>
  <w:style w:type="paragraph" w:styleId="Titolo3">
    <w:name w:val="heading 3"/>
    <w:basedOn w:val="Normale"/>
    <w:next w:val="Normale"/>
    <w:link w:val="Titolo3Carattere"/>
    <w:uiPriority w:val="9"/>
    <w:unhideWhenUsed/>
    <w:qFormat/>
    <w:locked/>
    <w:rsid w:val="00F0499E"/>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semiHidden/>
    <w:unhideWhenUsed/>
    <w:qFormat/>
    <w:locked/>
    <w:rsid w:val="00C353C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8">
    <w:name w:val="heading 8"/>
    <w:basedOn w:val="Normale"/>
    <w:next w:val="Normale"/>
    <w:link w:val="Titolo8Carattere"/>
    <w:uiPriority w:val="9"/>
    <w:semiHidden/>
    <w:unhideWhenUsed/>
    <w:qFormat/>
    <w:locked/>
    <w:rsid w:val="00640143"/>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730D73"/>
    <w:rPr>
      <w:rFonts w:ascii="Tahoma" w:eastAsia="MS Gothic" w:hAnsi="Tahoma" w:cstheme="majorBidi"/>
      <w:b/>
      <w:bCs/>
      <w:color w:val="000000" w:themeColor="text1"/>
      <w:kern w:val="32"/>
      <w:sz w:val="52"/>
      <w:szCs w:val="32"/>
    </w:rPr>
  </w:style>
  <w:style w:type="character" w:customStyle="1" w:styleId="Titolo2Carattere">
    <w:name w:val="Titolo 2 Carattere"/>
    <w:basedOn w:val="Carpredefinitoparagrafo"/>
    <w:link w:val="Titolo2"/>
    <w:uiPriority w:val="9"/>
    <w:rsid w:val="003B7307"/>
    <w:rPr>
      <w:rFonts w:ascii="Tahoma" w:eastAsiaTheme="majorEastAsia" w:hAnsi="Tahoma" w:cstheme="majorBidi"/>
      <w:b/>
      <w:bCs/>
      <w:i/>
      <w:iCs/>
      <w:sz w:val="28"/>
      <w:szCs w:val="28"/>
    </w:rPr>
  </w:style>
  <w:style w:type="character" w:customStyle="1" w:styleId="Titolo3Carattere">
    <w:name w:val="Titolo 3 Carattere"/>
    <w:basedOn w:val="Carpredefinitoparagrafo"/>
    <w:link w:val="Titolo3"/>
    <w:uiPriority w:val="9"/>
    <w:rsid w:val="00F0499E"/>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semiHidden/>
    <w:rsid w:val="00C353C6"/>
    <w:rPr>
      <w:rFonts w:asciiTheme="majorHAnsi" w:eastAsiaTheme="majorEastAsia" w:hAnsiTheme="majorHAnsi" w:cstheme="majorBidi"/>
      <w:i/>
      <w:iCs/>
      <w:color w:val="365F91" w:themeColor="accent1" w:themeShade="BF"/>
      <w:szCs w:val="22"/>
    </w:rPr>
  </w:style>
  <w:style w:type="character" w:customStyle="1" w:styleId="Titolo8Carattere">
    <w:name w:val="Titolo 8 Carattere"/>
    <w:basedOn w:val="Carpredefinitoparagrafo"/>
    <w:link w:val="Titolo8"/>
    <w:uiPriority w:val="9"/>
    <w:semiHidden/>
    <w:rsid w:val="00640143"/>
    <w:rPr>
      <w:rFonts w:asciiTheme="majorHAnsi" w:eastAsiaTheme="majorEastAsia" w:hAnsiTheme="majorHAnsi" w:cstheme="majorBidi"/>
      <w:color w:val="404040" w:themeColor="text1" w:themeTint="BF"/>
    </w:rPr>
  </w:style>
  <w:style w:type="paragraph" w:styleId="Sommario1">
    <w:name w:val="toc 1"/>
    <w:basedOn w:val="Normale"/>
    <w:next w:val="Normale"/>
    <w:autoRedefine/>
    <w:uiPriority w:val="39"/>
    <w:unhideWhenUsed/>
    <w:rsid w:val="006A5C5B"/>
    <w:pPr>
      <w:spacing w:before="360" w:after="0"/>
    </w:pPr>
    <w:rPr>
      <w:rFonts w:asciiTheme="majorHAnsi" w:hAnsiTheme="majorHAnsi"/>
      <w:b/>
      <w:bCs/>
      <w:caps/>
      <w:sz w:val="24"/>
      <w:szCs w:val="24"/>
    </w:rPr>
  </w:style>
  <w:style w:type="paragraph" w:styleId="Sommario2">
    <w:name w:val="toc 2"/>
    <w:basedOn w:val="Normale"/>
    <w:next w:val="Normale"/>
    <w:autoRedefine/>
    <w:uiPriority w:val="39"/>
    <w:unhideWhenUsed/>
    <w:rsid w:val="000D21D9"/>
    <w:pPr>
      <w:tabs>
        <w:tab w:val="right" w:leader="dot" w:pos="9628"/>
      </w:tabs>
      <w:spacing w:before="120" w:after="120" w:line="240" w:lineRule="auto"/>
      <w:ind w:left="426"/>
    </w:pPr>
    <w:rPr>
      <w:rFonts w:asciiTheme="minorHAnsi" w:hAnsiTheme="minorHAnsi" w:cstheme="minorHAnsi"/>
      <w:b/>
      <w:bCs/>
      <w:szCs w:val="20"/>
    </w:rPr>
  </w:style>
  <w:style w:type="paragraph" w:styleId="Sommario3">
    <w:name w:val="toc 3"/>
    <w:basedOn w:val="Normale"/>
    <w:next w:val="Normale"/>
    <w:autoRedefine/>
    <w:uiPriority w:val="39"/>
    <w:unhideWhenUsed/>
    <w:rsid w:val="000D21D9"/>
    <w:pPr>
      <w:tabs>
        <w:tab w:val="right" w:leader="dot" w:pos="9628"/>
      </w:tabs>
      <w:spacing w:before="120" w:after="120" w:line="240" w:lineRule="auto"/>
      <w:ind w:left="709"/>
    </w:pPr>
    <w:rPr>
      <w:rFonts w:asciiTheme="minorHAnsi" w:hAnsiTheme="minorHAnsi" w:cstheme="minorHAnsi"/>
      <w:szCs w:val="20"/>
    </w:rPr>
  </w:style>
  <w:style w:type="paragraph" w:styleId="Paragrafoelenco">
    <w:name w:val="List Paragraph"/>
    <w:basedOn w:val="Normale"/>
    <w:uiPriority w:val="34"/>
    <w:qFormat/>
    <w:rsid w:val="004614F1"/>
    <w:pPr>
      <w:ind w:left="720"/>
      <w:contextualSpacing/>
    </w:pPr>
  </w:style>
  <w:style w:type="paragraph" w:styleId="Titolosommario">
    <w:name w:val="TOC Heading"/>
    <w:basedOn w:val="Titolo1"/>
    <w:next w:val="Normale"/>
    <w:uiPriority w:val="39"/>
    <w:unhideWhenUsed/>
    <w:qFormat/>
    <w:rsid w:val="00F0499E"/>
    <w:pPr>
      <w:outlineLvl w:val="9"/>
    </w:pPr>
    <w:rPr>
      <w:rFonts w:asciiTheme="majorHAnsi" w:eastAsiaTheme="majorEastAsia" w:hAnsiTheme="majorHAnsi"/>
    </w:rPr>
  </w:style>
  <w:style w:type="table" w:customStyle="1" w:styleId="Stile2">
    <w:name w:val="Stile2"/>
    <w:basedOn w:val="Tabellanormale"/>
    <w:rsid w:val="005C2514"/>
    <w:rPr>
      <w:rFonts w:ascii="Times New Roman" w:eastAsia="Times New Roman" w:hAnsi="Times New Roman"/>
      <w:color w:val="FFFFFF" w:themeColor="background1"/>
      <w:lang w:eastAsia="it-IT"/>
    </w:rPr>
    <w:tblPr>
      <w:tblBorders>
        <w:top w:val="single" w:sz="4" w:space="0" w:color="auto"/>
      </w:tblBorders>
    </w:tblPr>
    <w:tcPr>
      <w:shd w:val="clear" w:color="auto" w:fill="FFFFFF" w:themeFill="background1"/>
    </w:tcPr>
  </w:style>
  <w:style w:type="paragraph" w:customStyle="1" w:styleId="Paragrafo">
    <w:name w:val="Paragrafo"/>
    <w:basedOn w:val="Sottotitolo"/>
    <w:autoRedefine/>
    <w:qFormat/>
    <w:rsid w:val="00515872"/>
    <w:rPr>
      <w:rFonts w:eastAsia="Calibri"/>
      <w:color w:val="auto"/>
      <w:spacing w:val="0"/>
      <w:sz w:val="22"/>
      <w:lang w:eastAsia="en-US"/>
    </w:rPr>
  </w:style>
  <w:style w:type="paragraph" w:styleId="Sottotitolo">
    <w:name w:val="Subtitle"/>
    <w:basedOn w:val="Normale"/>
    <w:next w:val="Normale"/>
    <w:link w:val="SottotitoloCarattere"/>
    <w:qFormat/>
    <w:locked/>
    <w:rsid w:val="001672F9"/>
    <w:pPr>
      <w:suppressAutoHyphens/>
      <w:spacing w:line="360" w:lineRule="auto"/>
      <w:jc w:val="both"/>
    </w:pPr>
    <w:rPr>
      <w:rFonts w:eastAsia="Times New Roman" w:cs="Tahoma"/>
      <w:b/>
      <w:iCs/>
      <w:color w:val="404040"/>
      <w:spacing w:val="15"/>
      <w:szCs w:val="24"/>
      <w:u w:val="single"/>
      <w:lang w:eastAsia="ar-SA"/>
    </w:rPr>
  </w:style>
  <w:style w:type="character" w:customStyle="1" w:styleId="SottotitoloCarattere">
    <w:name w:val="Sottotitolo Carattere"/>
    <w:basedOn w:val="Carpredefinitoparagrafo"/>
    <w:link w:val="Sottotitolo"/>
    <w:rsid w:val="001672F9"/>
    <w:rPr>
      <w:rFonts w:ascii="Tahoma" w:eastAsia="Times New Roman" w:hAnsi="Tahoma" w:cs="Tahoma"/>
      <w:b/>
      <w:iCs/>
      <w:color w:val="404040"/>
      <w:spacing w:val="15"/>
      <w:szCs w:val="24"/>
      <w:u w:val="single"/>
      <w:lang w:eastAsia="ar-SA"/>
    </w:rPr>
  </w:style>
  <w:style w:type="paragraph" w:customStyle="1" w:styleId="Titolo10">
    <w:name w:val="Titolo_1"/>
    <w:basedOn w:val="Normale"/>
    <w:qFormat/>
    <w:rsid w:val="004614F1"/>
    <w:pPr>
      <w:autoSpaceDE w:val="0"/>
      <w:autoSpaceDN w:val="0"/>
      <w:adjustRightInd w:val="0"/>
      <w:spacing w:after="0" w:line="240" w:lineRule="auto"/>
      <w:jc w:val="center"/>
    </w:pPr>
    <w:rPr>
      <w:b/>
      <w:bCs/>
      <w:sz w:val="36"/>
      <w:szCs w:val="36"/>
    </w:rPr>
  </w:style>
  <w:style w:type="paragraph" w:customStyle="1" w:styleId="Elencoabcd">
    <w:name w:val="Elenco a b c d"/>
    <w:qFormat/>
    <w:rsid w:val="004614F1"/>
    <w:pPr>
      <w:numPr>
        <w:numId w:val="1"/>
      </w:numPr>
    </w:pPr>
    <w:rPr>
      <w:color w:val="000000"/>
      <w:sz w:val="24"/>
      <w:szCs w:val="24"/>
    </w:rPr>
  </w:style>
  <w:style w:type="paragraph" w:customStyle="1" w:styleId="Sottoparagrafo">
    <w:name w:val="Sottoparagrafo"/>
    <w:basedOn w:val="Normale"/>
    <w:qFormat/>
    <w:rsid w:val="00515872"/>
    <w:pPr>
      <w:autoSpaceDE w:val="0"/>
      <w:autoSpaceDN w:val="0"/>
      <w:adjustRightInd w:val="0"/>
      <w:spacing w:line="240" w:lineRule="auto"/>
      <w:ind w:left="284" w:hanging="284"/>
      <w:jc w:val="both"/>
    </w:pPr>
    <w:rPr>
      <w:b/>
      <w:bCs/>
      <w:i/>
      <w:color w:val="000000"/>
      <w:szCs w:val="24"/>
    </w:rPr>
  </w:style>
  <w:style w:type="paragraph" w:styleId="Titolo">
    <w:name w:val="Title"/>
    <w:basedOn w:val="Normale"/>
    <w:next w:val="Normale"/>
    <w:link w:val="TitoloCarattere"/>
    <w:qFormat/>
    <w:rsid w:val="00515872"/>
    <w:pPr>
      <w:spacing w:before="1440" w:after="1440"/>
      <w:jc w:val="center"/>
      <w:outlineLvl w:val="0"/>
    </w:pPr>
    <w:rPr>
      <w:rFonts w:eastAsia="MS Gothic"/>
      <w:b/>
      <w:bCs/>
      <w:kern w:val="28"/>
      <w:sz w:val="40"/>
      <w:szCs w:val="32"/>
    </w:rPr>
  </w:style>
  <w:style w:type="character" w:customStyle="1" w:styleId="TitoloCarattere">
    <w:name w:val="Titolo Carattere"/>
    <w:link w:val="Titolo"/>
    <w:rsid w:val="00515872"/>
    <w:rPr>
      <w:rFonts w:ascii="Tahoma" w:eastAsia="MS Gothic" w:hAnsi="Tahoma"/>
      <w:b/>
      <w:bCs/>
      <w:kern w:val="28"/>
      <w:sz w:val="40"/>
      <w:szCs w:val="32"/>
    </w:rPr>
  </w:style>
  <w:style w:type="character" w:styleId="Enfasigrassetto">
    <w:name w:val="Strong"/>
    <w:uiPriority w:val="22"/>
    <w:qFormat/>
    <w:rsid w:val="004614F1"/>
    <w:rPr>
      <w:rFonts w:cs="Times New Roman"/>
      <w:b/>
      <w:bCs/>
    </w:rPr>
  </w:style>
  <w:style w:type="character" w:styleId="Enfasicorsivo">
    <w:name w:val="Emphasis"/>
    <w:uiPriority w:val="20"/>
    <w:qFormat/>
    <w:rsid w:val="004614F1"/>
    <w:rPr>
      <w:rFonts w:cs="Times New Roman"/>
      <w:i/>
      <w:iCs/>
    </w:rPr>
  </w:style>
  <w:style w:type="paragraph" w:styleId="Testofumetto">
    <w:name w:val="Balloon Text"/>
    <w:basedOn w:val="Normale"/>
    <w:link w:val="TestofumettoCarattere"/>
    <w:uiPriority w:val="99"/>
    <w:semiHidden/>
    <w:unhideWhenUsed/>
    <w:rsid w:val="00BC7A94"/>
    <w:pPr>
      <w:spacing w:after="0" w:line="240" w:lineRule="auto"/>
    </w:pPr>
    <w:rPr>
      <w:rFonts w:cs="Tahoma"/>
      <w:sz w:val="16"/>
      <w:szCs w:val="16"/>
    </w:rPr>
  </w:style>
  <w:style w:type="character" w:customStyle="1" w:styleId="TestofumettoCarattere">
    <w:name w:val="Testo fumetto Carattere"/>
    <w:basedOn w:val="Carpredefinitoparagrafo"/>
    <w:link w:val="Testofumetto"/>
    <w:uiPriority w:val="99"/>
    <w:semiHidden/>
    <w:rsid w:val="00BC7A94"/>
    <w:rPr>
      <w:rFonts w:ascii="Tahoma" w:hAnsi="Tahoma" w:cs="Tahoma"/>
      <w:sz w:val="16"/>
      <w:szCs w:val="16"/>
    </w:rPr>
  </w:style>
  <w:style w:type="paragraph" w:styleId="NormaleWeb">
    <w:name w:val="Normal (Web)"/>
    <w:basedOn w:val="Normale"/>
    <w:uiPriority w:val="99"/>
    <w:rsid w:val="000668F7"/>
    <w:pPr>
      <w:spacing w:after="0" w:line="336" w:lineRule="auto"/>
    </w:pPr>
    <w:rPr>
      <w:rFonts w:ascii="Verdana" w:eastAsia="Times New Roman" w:hAnsi="Verdana"/>
      <w:sz w:val="17"/>
      <w:szCs w:val="17"/>
      <w:lang w:eastAsia="it-IT"/>
    </w:rPr>
  </w:style>
  <w:style w:type="character" w:styleId="Riferimentointenso">
    <w:name w:val="Intense Reference"/>
    <w:basedOn w:val="Carpredefinitoparagrafo"/>
    <w:uiPriority w:val="32"/>
    <w:qFormat/>
    <w:rsid w:val="003B7307"/>
    <w:rPr>
      <w:rFonts w:ascii="Tahoma" w:hAnsi="Tahoma"/>
      <w:b/>
      <w:bCs/>
      <w:smallCaps/>
      <w:color w:val="C0504D" w:themeColor="accent2"/>
      <w:spacing w:val="5"/>
      <w:sz w:val="28"/>
      <w:u w:val="single"/>
    </w:rPr>
  </w:style>
  <w:style w:type="paragraph" w:styleId="Intestazione">
    <w:name w:val="header"/>
    <w:basedOn w:val="Normale"/>
    <w:link w:val="IntestazioneCarattere"/>
    <w:unhideWhenUsed/>
    <w:rsid w:val="000756E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0756EB"/>
    <w:rPr>
      <w:rFonts w:ascii="Tahoma" w:hAnsi="Tahoma"/>
      <w:szCs w:val="22"/>
    </w:rPr>
  </w:style>
  <w:style w:type="paragraph" w:styleId="Pidipagina">
    <w:name w:val="footer"/>
    <w:basedOn w:val="Normale"/>
    <w:link w:val="PidipaginaCarattere"/>
    <w:uiPriority w:val="99"/>
    <w:unhideWhenUsed/>
    <w:rsid w:val="000756E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756EB"/>
    <w:rPr>
      <w:rFonts w:ascii="Tahoma" w:hAnsi="Tahoma"/>
      <w:szCs w:val="22"/>
    </w:rPr>
  </w:style>
  <w:style w:type="paragraph" w:customStyle="1" w:styleId="4BC8582F925C44688E6963A65CE800A2">
    <w:name w:val="4BC8582F925C44688E6963A65CE800A2"/>
    <w:rsid w:val="000756EB"/>
    <w:pPr>
      <w:spacing w:after="200" w:line="276" w:lineRule="auto"/>
    </w:pPr>
    <w:rPr>
      <w:rFonts w:asciiTheme="minorHAnsi" w:eastAsiaTheme="minorEastAsia" w:hAnsiTheme="minorHAnsi" w:cstheme="minorBidi"/>
      <w:sz w:val="22"/>
      <w:szCs w:val="22"/>
      <w:lang w:eastAsia="it-IT"/>
    </w:rPr>
  </w:style>
  <w:style w:type="paragraph" w:styleId="Nessunaspaziatura">
    <w:name w:val="No Spacing"/>
    <w:link w:val="NessunaspaziaturaCarattere"/>
    <w:uiPriority w:val="1"/>
    <w:qFormat/>
    <w:rsid w:val="00DE77D4"/>
    <w:rPr>
      <w:rFonts w:asciiTheme="minorHAnsi" w:eastAsiaTheme="minorEastAsia" w:hAnsiTheme="minorHAnsi" w:cstheme="minorBidi"/>
      <w:sz w:val="22"/>
      <w:szCs w:val="22"/>
      <w:lang w:eastAsia="it-IT"/>
    </w:rPr>
  </w:style>
  <w:style w:type="character" w:customStyle="1" w:styleId="NessunaspaziaturaCarattere">
    <w:name w:val="Nessuna spaziatura Carattere"/>
    <w:basedOn w:val="Carpredefinitoparagrafo"/>
    <w:link w:val="Nessunaspaziatura"/>
    <w:uiPriority w:val="1"/>
    <w:rsid w:val="00DE77D4"/>
    <w:rPr>
      <w:rFonts w:asciiTheme="minorHAnsi" w:eastAsiaTheme="minorEastAsia" w:hAnsiTheme="minorHAnsi" w:cstheme="minorBidi"/>
      <w:sz w:val="22"/>
      <w:szCs w:val="22"/>
      <w:lang w:eastAsia="it-IT"/>
    </w:rPr>
  </w:style>
  <w:style w:type="character" w:styleId="Collegamentoipertestuale">
    <w:name w:val="Hyperlink"/>
    <w:basedOn w:val="Carpredefinitoparagrafo"/>
    <w:uiPriority w:val="99"/>
    <w:unhideWhenUsed/>
    <w:rsid w:val="00847043"/>
    <w:rPr>
      <w:color w:val="0000FF" w:themeColor="hyperlink"/>
      <w:u w:val="single"/>
    </w:rPr>
  </w:style>
  <w:style w:type="paragraph" w:styleId="Sommario4">
    <w:name w:val="toc 4"/>
    <w:basedOn w:val="Normale"/>
    <w:next w:val="Normale"/>
    <w:autoRedefine/>
    <w:uiPriority w:val="39"/>
    <w:unhideWhenUsed/>
    <w:rsid w:val="00E122C2"/>
    <w:pPr>
      <w:spacing w:after="0"/>
      <w:ind w:left="400"/>
    </w:pPr>
    <w:rPr>
      <w:rFonts w:asciiTheme="minorHAnsi" w:hAnsiTheme="minorHAnsi" w:cstheme="minorHAnsi"/>
      <w:szCs w:val="20"/>
    </w:rPr>
  </w:style>
  <w:style w:type="paragraph" w:styleId="Sommario5">
    <w:name w:val="toc 5"/>
    <w:basedOn w:val="Normale"/>
    <w:next w:val="Normale"/>
    <w:autoRedefine/>
    <w:uiPriority w:val="39"/>
    <w:unhideWhenUsed/>
    <w:rsid w:val="00E122C2"/>
    <w:pPr>
      <w:spacing w:after="0"/>
      <w:ind w:left="600"/>
    </w:pPr>
    <w:rPr>
      <w:rFonts w:asciiTheme="minorHAnsi" w:hAnsiTheme="minorHAnsi" w:cstheme="minorHAnsi"/>
      <w:szCs w:val="20"/>
    </w:rPr>
  </w:style>
  <w:style w:type="paragraph" w:styleId="Sommario6">
    <w:name w:val="toc 6"/>
    <w:basedOn w:val="Normale"/>
    <w:next w:val="Normale"/>
    <w:autoRedefine/>
    <w:uiPriority w:val="39"/>
    <w:unhideWhenUsed/>
    <w:rsid w:val="00E122C2"/>
    <w:pPr>
      <w:spacing w:after="0"/>
      <w:ind w:left="800"/>
    </w:pPr>
    <w:rPr>
      <w:rFonts w:asciiTheme="minorHAnsi" w:hAnsiTheme="minorHAnsi" w:cstheme="minorHAnsi"/>
      <w:szCs w:val="20"/>
    </w:rPr>
  </w:style>
  <w:style w:type="paragraph" w:styleId="Sommario7">
    <w:name w:val="toc 7"/>
    <w:basedOn w:val="Normale"/>
    <w:next w:val="Normale"/>
    <w:autoRedefine/>
    <w:uiPriority w:val="39"/>
    <w:unhideWhenUsed/>
    <w:rsid w:val="00E122C2"/>
    <w:pPr>
      <w:spacing w:after="0"/>
      <w:ind w:left="1000"/>
    </w:pPr>
    <w:rPr>
      <w:rFonts w:asciiTheme="minorHAnsi" w:hAnsiTheme="minorHAnsi" w:cstheme="minorHAnsi"/>
      <w:szCs w:val="20"/>
    </w:rPr>
  </w:style>
  <w:style w:type="paragraph" w:styleId="Sommario8">
    <w:name w:val="toc 8"/>
    <w:basedOn w:val="Normale"/>
    <w:next w:val="Normale"/>
    <w:autoRedefine/>
    <w:uiPriority w:val="39"/>
    <w:unhideWhenUsed/>
    <w:rsid w:val="00E122C2"/>
    <w:pPr>
      <w:spacing w:after="0"/>
      <w:ind w:left="1200"/>
    </w:pPr>
    <w:rPr>
      <w:rFonts w:asciiTheme="minorHAnsi" w:hAnsiTheme="minorHAnsi" w:cstheme="minorHAnsi"/>
      <w:szCs w:val="20"/>
    </w:rPr>
  </w:style>
  <w:style w:type="paragraph" w:styleId="Sommario9">
    <w:name w:val="toc 9"/>
    <w:basedOn w:val="Normale"/>
    <w:next w:val="Normale"/>
    <w:autoRedefine/>
    <w:uiPriority w:val="39"/>
    <w:unhideWhenUsed/>
    <w:rsid w:val="00E122C2"/>
    <w:pPr>
      <w:spacing w:after="0"/>
      <w:ind w:left="1400"/>
    </w:pPr>
    <w:rPr>
      <w:rFonts w:asciiTheme="minorHAnsi" w:hAnsiTheme="minorHAnsi" w:cstheme="minorHAnsi"/>
      <w:szCs w:val="20"/>
    </w:rPr>
  </w:style>
  <w:style w:type="paragraph" w:styleId="Testonotaapidipagina">
    <w:name w:val="footnote text"/>
    <w:basedOn w:val="Normale"/>
    <w:link w:val="TestonotaapidipaginaCarattere"/>
    <w:uiPriority w:val="99"/>
    <w:rsid w:val="00163B57"/>
    <w:pPr>
      <w:spacing w:after="0" w:line="240" w:lineRule="auto"/>
    </w:pPr>
    <w:rPr>
      <w:rFonts w:ascii="Times New Roman" w:eastAsia="Times New Roman" w:hAnsi="Times New Roman"/>
      <w:szCs w:val="20"/>
      <w:lang w:eastAsia="it-IT"/>
    </w:rPr>
  </w:style>
  <w:style w:type="character" w:customStyle="1" w:styleId="TestonotaapidipaginaCarattere">
    <w:name w:val="Testo nota a piè di pagina Carattere"/>
    <w:basedOn w:val="Carpredefinitoparagrafo"/>
    <w:link w:val="Testonotaapidipagina"/>
    <w:uiPriority w:val="99"/>
    <w:rsid w:val="00163B57"/>
    <w:rPr>
      <w:rFonts w:ascii="Times New Roman" w:eastAsia="Times New Roman" w:hAnsi="Times New Roman"/>
      <w:lang w:eastAsia="it-IT"/>
    </w:rPr>
  </w:style>
  <w:style w:type="character" w:styleId="Rimandonotaapidipagina">
    <w:name w:val="footnote reference"/>
    <w:basedOn w:val="Carpredefinitoparagrafo"/>
    <w:uiPriority w:val="99"/>
    <w:rsid w:val="00163B57"/>
    <w:rPr>
      <w:vertAlign w:val="superscript"/>
    </w:rPr>
  </w:style>
  <w:style w:type="paragraph" w:styleId="Rientrocorpodeltesto2">
    <w:name w:val="Body Text Indent 2"/>
    <w:basedOn w:val="Normale"/>
    <w:link w:val="Rientrocorpodeltesto2Carattere"/>
    <w:rsid w:val="00163B57"/>
    <w:pPr>
      <w:spacing w:after="0" w:line="240" w:lineRule="auto"/>
      <w:ind w:firstLine="708"/>
      <w:jc w:val="both"/>
    </w:pPr>
    <w:rPr>
      <w:rFonts w:ascii="Times New Roman" w:eastAsia="Times New Roman" w:hAnsi="Times New Roman"/>
      <w:sz w:val="28"/>
      <w:szCs w:val="20"/>
      <w:lang w:eastAsia="it-IT"/>
    </w:rPr>
  </w:style>
  <w:style w:type="character" w:customStyle="1" w:styleId="Rientrocorpodeltesto2Carattere">
    <w:name w:val="Rientro corpo del testo 2 Carattere"/>
    <w:basedOn w:val="Carpredefinitoparagrafo"/>
    <w:link w:val="Rientrocorpodeltesto2"/>
    <w:rsid w:val="00163B57"/>
    <w:rPr>
      <w:rFonts w:ascii="Times New Roman" w:eastAsia="Times New Roman" w:hAnsi="Times New Roman"/>
      <w:sz w:val="28"/>
      <w:lang w:eastAsia="it-IT"/>
    </w:rPr>
  </w:style>
  <w:style w:type="character" w:customStyle="1" w:styleId="dentro">
    <w:name w:val="dentro"/>
    <w:basedOn w:val="Carpredefinitoparagrafo"/>
    <w:rsid w:val="0003432B"/>
  </w:style>
  <w:style w:type="character" w:customStyle="1" w:styleId="notranslate">
    <w:name w:val="notranslate"/>
    <w:basedOn w:val="Carpredefinitoparagrafo"/>
    <w:rsid w:val="00640143"/>
  </w:style>
  <w:style w:type="paragraph" w:styleId="Corpotesto">
    <w:name w:val="Body Text"/>
    <w:basedOn w:val="Normale"/>
    <w:link w:val="CorpotestoCarattere"/>
    <w:semiHidden/>
    <w:rsid w:val="00640143"/>
    <w:pPr>
      <w:spacing w:after="0" w:line="360" w:lineRule="auto"/>
      <w:jc w:val="both"/>
    </w:pPr>
    <w:rPr>
      <w:rFonts w:ascii="Times New Roman" w:eastAsia="Times New Roman" w:hAnsi="Times New Roman"/>
      <w:sz w:val="24"/>
      <w:szCs w:val="24"/>
      <w:lang w:eastAsia="it-IT"/>
    </w:rPr>
  </w:style>
  <w:style w:type="character" w:customStyle="1" w:styleId="CorpotestoCarattere">
    <w:name w:val="Corpo testo Carattere"/>
    <w:basedOn w:val="Carpredefinitoparagrafo"/>
    <w:link w:val="Corpotesto"/>
    <w:semiHidden/>
    <w:rsid w:val="00640143"/>
    <w:rPr>
      <w:rFonts w:ascii="Times New Roman" w:eastAsia="Times New Roman" w:hAnsi="Times New Roman"/>
      <w:sz w:val="24"/>
      <w:szCs w:val="24"/>
      <w:lang w:eastAsia="it-IT"/>
    </w:rPr>
  </w:style>
  <w:style w:type="character" w:customStyle="1" w:styleId="grame">
    <w:name w:val="grame"/>
    <w:basedOn w:val="Carpredefinitoparagrafo"/>
    <w:rsid w:val="00640143"/>
  </w:style>
  <w:style w:type="paragraph" w:customStyle="1" w:styleId="Default">
    <w:name w:val="Default"/>
    <w:uiPriority w:val="99"/>
    <w:rsid w:val="00640143"/>
    <w:pPr>
      <w:autoSpaceDE w:val="0"/>
      <w:autoSpaceDN w:val="0"/>
      <w:adjustRightInd w:val="0"/>
    </w:pPr>
    <w:rPr>
      <w:rFonts w:ascii="Times New Roman" w:eastAsiaTheme="minorHAnsi" w:hAnsi="Times New Roman"/>
      <w:color w:val="000000"/>
      <w:sz w:val="24"/>
      <w:szCs w:val="24"/>
    </w:rPr>
  </w:style>
  <w:style w:type="paragraph" w:styleId="Elenco">
    <w:name w:val="List"/>
    <w:basedOn w:val="Normale"/>
    <w:rsid w:val="00640143"/>
    <w:pPr>
      <w:spacing w:before="100" w:beforeAutospacing="1" w:after="100" w:afterAutospacing="1" w:line="240" w:lineRule="auto"/>
    </w:pPr>
    <w:rPr>
      <w:rFonts w:ascii="Arial Unicode MS" w:eastAsia="Arial Unicode MS" w:hAnsi="Arial Unicode MS" w:cs="Wingdings"/>
      <w:sz w:val="24"/>
      <w:szCs w:val="24"/>
      <w:lang w:eastAsia="it-IT"/>
    </w:rPr>
  </w:style>
  <w:style w:type="character" w:customStyle="1" w:styleId="Corpodeltesto3Carattere">
    <w:name w:val="Corpo del testo 3 Carattere"/>
    <w:basedOn w:val="Carpredefinitoparagrafo"/>
    <w:link w:val="Corpodeltesto3"/>
    <w:uiPriority w:val="99"/>
    <w:semiHidden/>
    <w:rsid w:val="00640143"/>
    <w:rPr>
      <w:rFonts w:asciiTheme="minorHAnsi" w:eastAsiaTheme="minorHAnsi" w:hAnsiTheme="minorHAnsi" w:cstheme="minorBidi"/>
      <w:sz w:val="16"/>
      <w:szCs w:val="16"/>
    </w:rPr>
  </w:style>
  <w:style w:type="paragraph" w:styleId="Corpodeltesto3">
    <w:name w:val="Body Text 3"/>
    <w:basedOn w:val="Normale"/>
    <w:link w:val="Corpodeltesto3Carattere"/>
    <w:uiPriority w:val="99"/>
    <w:semiHidden/>
    <w:unhideWhenUsed/>
    <w:rsid w:val="00640143"/>
    <w:pPr>
      <w:spacing w:after="120"/>
    </w:pPr>
    <w:rPr>
      <w:rFonts w:asciiTheme="minorHAnsi" w:eastAsiaTheme="minorHAnsi" w:hAnsiTheme="minorHAnsi" w:cstheme="minorBidi"/>
      <w:sz w:val="16"/>
      <w:szCs w:val="16"/>
    </w:rPr>
  </w:style>
  <w:style w:type="character" w:customStyle="1" w:styleId="Corpodeltesto2Carattere">
    <w:name w:val="Corpo del testo 2 Carattere"/>
    <w:basedOn w:val="Carpredefinitoparagrafo"/>
    <w:link w:val="Corpodeltesto2"/>
    <w:uiPriority w:val="99"/>
    <w:semiHidden/>
    <w:rsid w:val="00640143"/>
    <w:rPr>
      <w:rFonts w:asciiTheme="minorHAnsi" w:eastAsiaTheme="minorHAnsi" w:hAnsiTheme="minorHAnsi" w:cstheme="minorBidi"/>
      <w:sz w:val="22"/>
      <w:szCs w:val="22"/>
    </w:rPr>
  </w:style>
  <w:style w:type="paragraph" w:styleId="Corpodeltesto2">
    <w:name w:val="Body Text 2"/>
    <w:basedOn w:val="Normale"/>
    <w:link w:val="Corpodeltesto2Carattere"/>
    <w:uiPriority w:val="99"/>
    <w:semiHidden/>
    <w:unhideWhenUsed/>
    <w:rsid w:val="00640143"/>
    <w:pPr>
      <w:spacing w:after="120" w:line="480" w:lineRule="auto"/>
    </w:pPr>
    <w:rPr>
      <w:rFonts w:asciiTheme="minorHAnsi" w:eastAsiaTheme="minorHAnsi" w:hAnsiTheme="minorHAnsi" w:cstheme="minorBidi"/>
      <w:sz w:val="22"/>
    </w:rPr>
  </w:style>
  <w:style w:type="character" w:customStyle="1" w:styleId="style4">
    <w:name w:val="style4"/>
    <w:basedOn w:val="Carpredefinitoparagrafo"/>
    <w:rsid w:val="00640143"/>
  </w:style>
  <w:style w:type="paragraph" w:customStyle="1" w:styleId="CM1">
    <w:name w:val="CM1"/>
    <w:basedOn w:val="Normale"/>
    <w:next w:val="Normale"/>
    <w:rsid w:val="00640143"/>
    <w:pPr>
      <w:widowControl w:val="0"/>
      <w:autoSpaceDE w:val="0"/>
      <w:autoSpaceDN w:val="0"/>
      <w:adjustRightInd w:val="0"/>
      <w:spacing w:after="0" w:line="298" w:lineRule="atLeast"/>
      <w:jc w:val="both"/>
      <w:textAlignment w:val="baseline"/>
    </w:pPr>
    <w:rPr>
      <w:rFonts w:ascii="Book Antiqua" w:eastAsia="Times New Roman" w:hAnsi="Book Antiqua"/>
      <w:sz w:val="24"/>
      <w:szCs w:val="24"/>
      <w:lang w:eastAsia="it-IT"/>
    </w:rPr>
  </w:style>
  <w:style w:type="paragraph" w:customStyle="1" w:styleId="CM5">
    <w:name w:val="CM5"/>
    <w:basedOn w:val="Default"/>
    <w:next w:val="Default"/>
    <w:rsid w:val="00640143"/>
    <w:pPr>
      <w:widowControl w:val="0"/>
      <w:spacing w:after="298"/>
    </w:pPr>
    <w:rPr>
      <w:rFonts w:ascii="Book Antiqua" w:eastAsia="SimSun" w:hAnsi="Book Antiqua"/>
      <w:color w:val="auto"/>
      <w:lang w:eastAsia="zh-CN"/>
    </w:rPr>
  </w:style>
  <w:style w:type="paragraph" w:customStyle="1" w:styleId="CM6">
    <w:name w:val="CM6"/>
    <w:basedOn w:val="Default"/>
    <w:next w:val="Default"/>
    <w:rsid w:val="00640143"/>
    <w:pPr>
      <w:widowControl w:val="0"/>
      <w:spacing w:after="598"/>
    </w:pPr>
    <w:rPr>
      <w:rFonts w:ascii="Book Antiqua" w:eastAsia="SimSun" w:hAnsi="Book Antiqua"/>
      <w:color w:val="auto"/>
      <w:lang w:eastAsia="zh-CN"/>
    </w:rPr>
  </w:style>
  <w:style w:type="paragraph" w:customStyle="1" w:styleId="CM4">
    <w:name w:val="CM4"/>
    <w:basedOn w:val="Default"/>
    <w:next w:val="Default"/>
    <w:rsid w:val="00640143"/>
    <w:pPr>
      <w:widowControl w:val="0"/>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640143"/>
    <w:pPr>
      <w:spacing w:line="241" w:lineRule="atLeast"/>
    </w:pPr>
    <w:rPr>
      <w:rFonts w:ascii="Amasis MT" w:hAnsi="Amasis MT" w:cstheme="minorBidi"/>
      <w:color w:val="auto"/>
    </w:rPr>
  </w:style>
  <w:style w:type="paragraph" w:customStyle="1" w:styleId="Pa8">
    <w:name w:val="Pa8"/>
    <w:basedOn w:val="Default"/>
    <w:next w:val="Default"/>
    <w:uiPriority w:val="99"/>
    <w:rsid w:val="00640143"/>
    <w:pPr>
      <w:spacing w:line="361" w:lineRule="atLeast"/>
    </w:pPr>
    <w:rPr>
      <w:rFonts w:ascii="GoodPro-WideBlack" w:hAnsi="GoodPro-WideBlack" w:cstheme="minorBidi"/>
      <w:color w:val="auto"/>
    </w:rPr>
  </w:style>
  <w:style w:type="paragraph" w:customStyle="1" w:styleId="Pa1">
    <w:name w:val="Pa1"/>
    <w:basedOn w:val="Default"/>
    <w:next w:val="Default"/>
    <w:uiPriority w:val="99"/>
    <w:rsid w:val="00640143"/>
    <w:pPr>
      <w:spacing w:line="241" w:lineRule="atLeast"/>
    </w:pPr>
    <w:rPr>
      <w:rFonts w:ascii="GoodPro-WideBlack" w:hAnsi="GoodPro-WideBlack" w:cstheme="minorBidi"/>
      <w:color w:val="auto"/>
    </w:rPr>
  </w:style>
  <w:style w:type="character" w:customStyle="1" w:styleId="A2">
    <w:name w:val="A2"/>
    <w:uiPriority w:val="99"/>
    <w:rsid w:val="00640143"/>
    <w:rPr>
      <w:rFonts w:ascii="GoodPro-CondBold" w:hAnsi="GoodPro-CondBold" w:cs="GoodPro-CondBold"/>
      <w:b/>
      <w:bCs/>
      <w:color w:val="000000"/>
    </w:rPr>
  </w:style>
  <w:style w:type="character" w:customStyle="1" w:styleId="A1">
    <w:name w:val="A1"/>
    <w:uiPriority w:val="99"/>
    <w:rsid w:val="00640143"/>
    <w:rPr>
      <w:rFonts w:cs="GoodPro-WideBlack"/>
      <w:b/>
      <w:bCs/>
      <w:color w:val="000000"/>
      <w:sz w:val="28"/>
      <w:szCs w:val="28"/>
    </w:rPr>
  </w:style>
  <w:style w:type="paragraph" w:customStyle="1" w:styleId="Pa9">
    <w:name w:val="Pa9"/>
    <w:basedOn w:val="Default"/>
    <w:next w:val="Default"/>
    <w:uiPriority w:val="99"/>
    <w:rsid w:val="00640143"/>
    <w:pPr>
      <w:spacing w:line="241" w:lineRule="atLeast"/>
    </w:pPr>
    <w:rPr>
      <w:rFonts w:ascii="Amasis MT" w:hAnsi="Amasis MT" w:cstheme="minorBidi"/>
      <w:color w:val="auto"/>
    </w:rPr>
  </w:style>
  <w:style w:type="paragraph" w:customStyle="1" w:styleId="CoverTitle">
    <w:name w:val="CoverTitle"/>
    <w:basedOn w:val="Default"/>
    <w:next w:val="Default"/>
    <w:uiPriority w:val="99"/>
    <w:rsid w:val="00640143"/>
    <w:rPr>
      <w:rFonts w:ascii="Arial" w:hAnsi="Arial" w:cs="Arial"/>
      <w:color w:val="auto"/>
    </w:rPr>
  </w:style>
  <w:style w:type="paragraph" w:styleId="Revisione">
    <w:name w:val="Revision"/>
    <w:hidden/>
    <w:uiPriority w:val="99"/>
    <w:semiHidden/>
    <w:rsid w:val="00731FB6"/>
    <w:rPr>
      <w:rFonts w:ascii="Tahoma" w:hAnsi="Tahoma"/>
      <w:szCs w:val="22"/>
    </w:rPr>
  </w:style>
  <w:style w:type="table" w:styleId="Grigliatabella">
    <w:name w:val="Table Grid"/>
    <w:basedOn w:val="Tabellanormale"/>
    <w:uiPriority w:val="59"/>
    <w:rsid w:val="00C27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Carpredefinitoparagrafo"/>
    <w:rsid w:val="000C4898"/>
  </w:style>
  <w:style w:type="paragraph" w:styleId="Testonotadichiusura">
    <w:name w:val="endnote text"/>
    <w:basedOn w:val="Normale"/>
    <w:link w:val="TestonotadichiusuraCarattere"/>
    <w:uiPriority w:val="99"/>
    <w:semiHidden/>
    <w:unhideWhenUsed/>
    <w:rsid w:val="00A55486"/>
    <w:pPr>
      <w:spacing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A55486"/>
    <w:rPr>
      <w:rFonts w:ascii="Tahoma" w:hAnsi="Tahoma"/>
    </w:rPr>
  </w:style>
  <w:style w:type="character" w:styleId="Rimandonotadichiusura">
    <w:name w:val="endnote reference"/>
    <w:basedOn w:val="Carpredefinitoparagrafo"/>
    <w:uiPriority w:val="99"/>
    <w:semiHidden/>
    <w:unhideWhenUsed/>
    <w:rsid w:val="00A55486"/>
    <w:rPr>
      <w:vertAlign w:val="superscript"/>
    </w:rPr>
  </w:style>
  <w:style w:type="paragraph" w:customStyle="1" w:styleId="Rientrocorpodeltesto1">
    <w:name w:val="Rientro corpo del testo+1"/>
    <w:basedOn w:val="Normale"/>
    <w:next w:val="Normale"/>
    <w:uiPriority w:val="99"/>
    <w:rsid w:val="005C0492"/>
    <w:pPr>
      <w:autoSpaceDE w:val="0"/>
      <w:autoSpaceDN w:val="0"/>
      <w:adjustRightInd w:val="0"/>
      <w:spacing w:after="0" w:line="240" w:lineRule="auto"/>
    </w:pPr>
    <w:rPr>
      <w:rFonts w:ascii="Times New Roman" w:hAnsi="Times New Roman"/>
      <w:sz w:val="24"/>
      <w:szCs w:val="24"/>
    </w:rPr>
  </w:style>
  <w:style w:type="paragraph" w:styleId="Elenco3">
    <w:name w:val="List 3"/>
    <w:basedOn w:val="Normale"/>
    <w:uiPriority w:val="99"/>
    <w:semiHidden/>
    <w:unhideWhenUsed/>
    <w:rsid w:val="005C0492"/>
    <w:pPr>
      <w:ind w:left="849" w:hanging="283"/>
      <w:contextualSpacing/>
    </w:pPr>
  </w:style>
  <w:style w:type="paragraph" w:styleId="PreformattatoHTML">
    <w:name w:val="HTML Preformatted"/>
    <w:basedOn w:val="Normale"/>
    <w:link w:val="PreformattatoHTMLCarattere"/>
    <w:uiPriority w:val="99"/>
    <w:semiHidden/>
    <w:unhideWhenUsed/>
    <w:rsid w:val="0081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it-IT"/>
    </w:rPr>
  </w:style>
  <w:style w:type="character" w:customStyle="1" w:styleId="PreformattatoHTMLCarattere">
    <w:name w:val="Preformattato HTML Carattere"/>
    <w:basedOn w:val="Carpredefinitoparagrafo"/>
    <w:link w:val="PreformattatoHTML"/>
    <w:uiPriority w:val="99"/>
    <w:semiHidden/>
    <w:rsid w:val="00813511"/>
    <w:rPr>
      <w:rFonts w:ascii="Courier New" w:eastAsia="Times New Roman" w:hAnsi="Courier New" w:cs="Courier New"/>
      <w:lang w:eastAsia="it-IT"/>
    </w:rPr>
  </w:style>
  <w:style w:type="table" w:styleId="Grigliamedia3-Colore1">
    <w:name w:val="Medium Grid 3 Accent 1"/>
    <w:basedOn w:val="Tabellanormale"/>
    <w:uiPriority w:val="69"/>
    <w:rsid w:val="00C347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nkneltesto">
    <w:name w:val="link_nel_testo"/>
    <w:basedOn w:val="Carpredefinitoparagrafo"/>
    <w:rsid w:val="00D719C3"/>
  </w:style>
  <w:style w:type="paragraph" w:customStyle="1" w:styleId="provvr0">
    <w:name w:val="provv_r0"/>
    <w:basedOn w:val="Normale"/>
    <w:rsid w:val="004D2C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provvnumcomma">
    <w:name w:val="provv_numcomma"/>
    <w:basedOn w:val="Carpredefinitoparagrafo"/>
    <w:rsid w:val="004D2CED"/>
  </w:style>
  <w:style w:type="character" w:customStyle="1" w:styleId="content">
    <w:name w:val="content"/>
    <w:basedOn w:val="Carpredefinitoparagrafo"/>
    <w:rsid w:val="00500504"/>
  </w:style>
  <w:style w:type="paragraph" w:customStyle="1" w:styleId="rgscorpodeltesto">
    <w:name w:val="rgs_corpodeltesto"/>
    <w:uiPriority w:val="99"/>
    <w:rsid w:val="004445FB"/>
    <w:pPr>
      <w:spacing w:after="120" w:line="360" w:lineRule="auto"/>
      <w:ind w:firstLine="799"/>
      <w:jc w:val="both"/>
    </w:pPr>
    <w:rPr>
      <w:rFonts w:ascii="Times New Roman" w:eastAsia="Times New Roman" w:hAnsi="Times New Roman"/>
      <w:sz w:val="24"/>
      <w:lang w:eastAsia="it-IT" w:bidi="he-IL"/>
    </w:rPr>
  </w:style>
  <w:style w:type="character" w:customStyle="1" w:styleId="fontstyle01">
    <w:name w:val="fontstyle01"/>
    <w:basedOn w:val="Carpredefinitoparagrafo"/>
    <w:rsid w:val="00B103FB"/>
    <w:rPr>
      <w:rFonts w:ascii="CourierNew" w:hAnsi="CourierNew" w:hint="default"/>
      <w:b w:val="0"/>
      <w:bCs w:val="0"/>
      <w:i w:val="0"/>
      <w:iCs w:val="0"/>
      <w:color w:val="000000"/>
      <w:sz w:val="18"/>
      <w:szCs w:val="18"/>
    </w:rPr>
  </w:style>
  <w:style w:type="paragraph" w:customStyle="1" w:styleId="bollo1">
    <w:name w:val="bollo1"/>
    <w:basedOn w:val="Normale"/>
    <w:uiPriority w:val="99"/>
    <w:rsid w:val="002B658F"/>
    <w:pPr>
      <w:overflowPunct w:val="0"/>
      <w:autoSpaceDE w:val="0"/>
      <w:autoSpaceDN w:val="0"/>
      <w:adjustRightInd w:val="0"/>
      <w:spacing w:after="0" w:line="567" w:lineRule="exact"/>
      <w:jc w:val="both"/>
      <w:textAlignment w:val="baseline"/>
    </w:pPr>
    <w:rPr>
      <w:rFonts w:ascii="Arial" w:eastAsia="Times New Roman" w:hAnsi="Arial"/>
      <w:sz w:val="24"/>
      <w:szCs w:val="20"/>
      <w:lang w:eastAsia="it-IT"/>
    </w:rPr>
  </w:style>
  <w:style w:type="character" w:customStyle="1" w:styleId="fontstyle21">
    <w:name w:val="fontstyle21"/>
    <w:basedOn w:val="Carpredefinitoparagrafo"/>
    <w:rsid w:val="00D34E39"/>
    <w:rPr>
      <w:rFonts w:ascii="MicrosoftYaHeiUI" w:hAnsi="MicrosoftYaHeiUI" w:hint="default"/>
      <w:b/>
      <w:bCs/>
      <w:i w:val="0"/>
      <w:iCs w:val="0"/>
      <w:color w:val="FF0000"/>
      <w:sz w:val="24"/>
      <w:szCs w:val="24"/>
    </w:rPr>
  </w:style>
  <w:style w:type="paragraph" w:customStyle="1" w:styleId="provvr1">
    <w:name w:val="provv_r1"/>
    <w:basedOn w:val="Normale"/>
    <w:rsid w:val="005A181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rosso">
    <w:name w:val="rosso"/>
    <w:basedOn w:val="Carpredefinitoparagrafo"/>
    <w:rsid w:val="00695775"/>
  </w:style>
  <w:style w:type="table" w:customStyle="1" w:styleId="Tabellagriglia1chiara-colore21">
    <w:name w:val="Tabella griglia 1 chiara - colore 21"/>
    <w:basedOn w:val="Tabellanormale"/>
    <w:uiPriority w:val="46"/>
    <w:rsid w:val="003D03A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gliatabellachiara1">
    <w:name w:val="Griglia tabella chiara1"/>
    <w:basedOn w:val="Tabellanormale"/>
    <w:uiPriority w:val="40"/>
    <w:rsid w:val="00C353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arkedcontent">
    <w:name w:val="markedcontent"/>
    <w:basedOn w:val="Carpredefinitoparagrafo"/>
    <w:rsid w:val="00F373F9"/>
  </w:style>
  <w:style w:type="character" w:styleId="Testosegnaposto">
    <w:name w:val="Placeholder Text"/>
    <w:basedOn w:val="Carpredefinitoparagrafo"/>
    <w:uiPriority w:val="99"/>
    <w:semiHidden/>
    <w:rsid w:val="00BB6559"/>
    <w:rPr>
      <w:color w:val="808080"/>
    </w:rPr>
  </w:style>
  <w:style w:type="paragraph" w:customStyle="1" w:styleId="Normale2">
    <w:name w:val="Normale+2"/>
    <w:basedOn w:val="Normale"/>
    <w:next w:val="Normale"/>
    <w:uiPriority w:val="99"/>
    <w:rsid w:val="003913C1"/>
    <w:pPr>
      <w:autoSpaceDE w:val="0"/>
      <w:autoSpaceDN w:val="0"/>
      <w:adjustRightInd w:val="0"/>
      <w:spacing w:after="0" w:line="240" w:lineRule="auto"/>
    </w:pPr>
    <w:rPr>
      <w:rFonts w:ascii="Times New Roman" w:hAnsi="Times New Roman"/>
      <w:sz w:val="24"/>
      <w:szCs w:val="24"/>
    </w:rPr>
  </w:style>
  <w:style w:type="paragraph" w:styleId="Iniziomodulo-z">
    <w:name w:val="HTML Top of Form"/>
    <w:basedOn w:val="Normale"/>
    <w:next w:val="Normale"/>
    <w:link w:val="Iniziomodulo-zCarattere"/>
    <w:hidden/>
    <w:uiPriority w:val="99"/>
    <w:semiHidden/>
    <w:unhideWhenUsed/>
    <w:rsid w:val="00E61B6E"/>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E61B6E"/>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E61B6E"/>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E61B6E"/>
    <w:rPr>
      <w:rFonts w:ascii="Arial" w:eastAsia="Times New Roman" w:hAnsi="Arial" w:cs="Arial"/>
      <w:vanish/>
      <w:sz w:val="16"/>
      <w:szCs w:val="16"/>
      <w:lang w:eastAsia="it-IT"/>
    </w:rPr>
  </w:style>
  <w:style w:type="character" w:customStyle="1" w:styleId="wkit-internal-link">
    <w:name w:val="wkit-internal-link"/>
    <w:basedOn w:val="Carpredefinitoparagrafo"/>
    <w:rsid w:val="00E61B6E"/>
  </w:style>
  <w:style w:type="character" w:customStyle="1" w:styleId="wk-tooltip-wrapper">
    <w:name w:val="wk-tooltip-wrapper"/>
    <w:basedOn w:val="Carpredefinitoparagrafo"/>
    <w:rsid w:val="00D67A21"/>
  </w:style>
  <w:style w:type="paragraph" w:customStyle="1" w:styleId="Paragrafoelenco1">
    <w:name w:val="Paragrafo elenco1"/>
    <w:basedOn w:val="Normale"/>
    <w:qFormat/>
    <w:rsid w:val="004E74B0"/>
    <w:pPr>
      <w:ind w:left="720"/>
      <w:contextualSpacing/>
    </w:pPr>
    <w:rPr>
      <w:rFonts w:ascii="Calibri" w:eastAsia="Times New Roman" w:hAnsi="Calibri"/>
      <w:sz w:val="22"/>
      <w:lang w:eastAsia="zh-TW"/>
    </w:rPr>
  </w:style>
  <w:style w:type="character" w:customStyle="1" w:styleId="fontstyle31">
    <w:name w:val="fontstyle31"/>
    <w:basedOn w:val="Carpredefinitoparagrafo"/>
    <w:rsid w:val="00DD7541"/>
    <w:rPr>
      <w:rFonts w:ascii="Raleway-Black" w:hAnsi="Raleway-Black" w:hint="default"/>
      <w:b w:val="0"/>
      <w:bCs w:val="0"/>
      <w:i w:val="0"/>
      <w:iCs w:val="0"/>
      <w:color w:val="043464"/>
      <w:sz w:val="40"/>
      <w:szCs w:val="40"/>
    </w:rPr>
  </w:style>
  <w:style w:type="character" w:customStyle="1" w:styleId="evidenziato">
    <w:name w:val="evidenziato"/>
    <w:basedOn w:val="Carpredefinitoparagrafo"/>
    <w:rsid w:val="00900FFC"/>
  </w:style>
  <w:style w:type="character" w:styleId="Menzionenonrisolta">
    <w:name w:val="Unresolved Mention"/>
    <w:basedOn w:val="Carpredefinitoparagrafo"/>
    <w:uiPriority w:val="99"/>
    <w:semiHidden/>
    <w:unhideWhenUsed/>
    <w:rsid w:val="00EA7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514">
      <w:bodyDiv w:val="1"/>
      <w:marLeft w:val="0"/>
      <w:marRight w:val="0"/>
      <w:marTop w:val="0"/>
      <w:marBottom w:val="0"/>
      <w:divBdr>
        <w:top w:val="none" w:sz="0" w:space="0" w:color="auto"/>
        <w:left w:val="none" w:sz="0" w:space="0" w:color="auto"/>
        <w:bottom w:val="none" w:sz="0" w:space="0" w:color="auto"/>
        <w:right w:val="none" w:sz="0" w:space="0" w:color="auto"/>
      </w:divBdr>
      <w:divsChild>
        <w:div w:id="16932912">
          <w:marLeft w:val="0"/>
          <w:marRight w:val="0"/>
          <w:marTop w:val="0"/>
          <w:marBottom w:val="0"/>
          <w:divBdr>
            <w:top w:val="none" w:sz="0" w:space="0" w:color="auto"/>
            <w:left w:val="none" w:sz="0" w:space="0" w:color="auto"/>
            <w:bottom w:val="none" w:sz="0" w:space="0" w:color="auto"/>
            <w:right w:val="none" w:sz="0" w:space="0" w:color="auto"/>
          </w:divBdr>
        </w:div>
        <w:div w:id="31152802">
          <w:marLeft w:val="0"/>
          <w:marRight w:val="0"/>
          <w:marTop w:val="0"/>
          <w:marBottom w:val="0"/>
          <w:divBdr>
            <w:top w:val="none" w:sz="0" w:space="0" w:color="auto"/>
            <w:left w:val="none" w:sz="0" w:space="0" w:color="auto"/>
            <w:bottom w:val="none" w:sz="0" w:space="0" w:color="auto"/>
            <w:right w:val="none" w:sz="0" w:space="0" w:color="auto"/>
          </w:divBdr>
        </w:div>
        <w:div w:id="119887448">
          <w:marLeft w:val="0"/>
          <w:marRight w:val="0"/>
          <w:marTop w:val="0"/>
          <w:marBottom w:val="0"/>
          <w:divBdr>
            <w:top w:val="none" w:sz="0" w:space="0" w:color="auto"/>
            <w:left w:val="none" w:sz="0" w:space="0" w:color="auto"/>
            <w:bottom w:val="none" w:sz="0" w:space="0" w:color="auto"/>
            <w:right w:val="none" w:sz="0" w:space="0" w:color="auto"/>
          </w:divBdr>
        </w:div>
        <w:div w:id="123616969">
          <w:marLeft w:val="0"/>
          <w:marRight w:val="0"/>
          <w:marTop w:val="0"/>
          <w:marBottom w:val="0"/>
          <w:divBdr>
            <w:top w:val="none" w:sz="0" w:space="0" w:color="auto"/>
            <w:left w:val="none" w:sz="0" w:space="0" w:color="auto"/>
            <w:bottom w:val="none" w:sz="0" w:space="0" w:color="auto"/>
            <w:right w:val="none" w:sz="0" w:space="0" w:color="auto"/>
          </w:divBdr>
        </w:div>
        <w:div w:id="178088063">
          <w:marLeft w:val="0"/>
          <w:marRight w:val="0"/>
          <w:marTop w:val="0"/>
          <w:marBottom w:val="0"/>
          <w:divBdr>
            <w:top w:val="none" w:sz="0" w:space="0" w:color="auto"/>
            <w:left w:val="none" w:sz="0" w:space="0" w:color="auto"/>
            <w:bottom w:val="none" w:sz="0" w:space="0" w:color="auto"/>
            <w:right w:val="none" w:sz="0" w:space="0" w:color="auto"/>
          </w:divBdr>
        </w:div>
        <w:div w:id="265310608">
          <w:marLeft w:val="0"/>
          <w:marRight w:val="0"/>
          <w:marTop w:val="0"/>
          <w:marBottom w:val="0"/>
          <w:divBdr>
            <w:top w:val="none" w:sz="0" w:space="0" w:color="auto"/>
            <w:left w:val="none" w:sz="0" w:space="0" w:color="auto"/>
            <w:bottom w:val="none" w:sz="0" w:space="0" w:color="auto"/>
            <w:right w:val="none" w:sz="0" w:space="0" w:color="auto"/>
          </w:divBdr>
        </w:div>
        <w:div w:id="273943280">
          <w:marLeft w:val="0"/>
          <w:marRight w:val="0"/>
          <w:marTop w:val="0"/>
          <w:marBottom w:val="0"/>
          <w:divBdr>
            <w:top w:val="none" w:sz="0" w:space="0" w:color="auto"/>
            <w:left w:val="none" w:sz="0" w:space="0" w:color="auto"/>
            <w:bottom w:val="none" w:sz="0" w:space="0" w:color="auto"/>
            <w:right w:val="none" w:sz="0" w:space="0" w:color="auto"/>
          </w:divBdr>
        </w:div>
        <w:div w:id="323171505">
          <w:marLeft w:val="0"/>
          <w:marRight w:val="0"/>
          <w:marTop w:val="0"/>
          <w:marBottom w:val="0"/>
          <w:divBdr>
            <w:top w:val="none" w:sz="0" w:space="0" w:color="auto"/>
            <w:left w:val="none" w:sz="0" w:space="0" w:color="auto"/>
            <w:bottom w:val="none" w:sz="0" w:space="0" w:color="auto"/>
            <w:right w:val="none" w:sz="0" w:space="0" w:color="auto"/>
          </w:divBdr>
        </w:div>
        <w:div w:id="340012962">
          <w:marLeft w:val="0"/>
          <w:marRight w:val="0"/>
          <w:marTop w:val="0"/>
          <w:marBottom w:val="0"/>
          <w:divBdr>
            <w:top w:val="none" w:sz="0" w:space="0" w:color="auto"/>
            <w:left w:val="none" w:sz="0" w:space="0" w:color="auto"/>
            <w:bottom w:val="none" w:sz="0" w:space="0" w:color="auto"/>
            <w:right w:val="none" w:sz="0" w:space="0" w:color="auto"/>
          </w:divBdr>
        </w:div>
        <w:div w:id="368844051">
          <w:marLeft w:val="0"/>
          <w:marRight w:val="0"/>
          <w:marTop w:val="0"/>
          <w:marBottom w:val="0"/>
          <w:divBdr>
            <w:top w:val="none" w:sz="0" w:space="0" w:color="auto"/>
            <w:left w:val="none" w:sz="0" w:space="0" w:color="auto"/>
            <w:bottom w:val="none" w:sz="0" w:space="0" w:color="auto"/>
            <w:right w:val="none" w:sz="0" w:space="0" w:color="auto"/>
          </w:divBdr>
        </w:div>
        <w:div w:id="371224364">
          <w:marLeft w:val="0"/>
          <w:marRight w:val="0"/>
          <w:marTop w:val="0"/>
          <w:marBottom w:val="0"/>
          <w:divBdr>
            <w:top w:val="none" w:sz="0" w:space="0" w:color="auto"/>
            <w:left w:val="none" w:sz="0" w:space="0" w:color="auto"/>
            <w:bottom w:val="none" w:sz="0" w:space="0" w:color="auto"/>
            <w:right w:val="none" w:sz="0" w:space="0" w:color="auto"/>
          </w:divBdr>
        </w:div>
        <w:div w:id="399326734">
          <w:marLeft w:val="0"/>
          <w:marRight w:val="0"/>
          <w:marTop w:val="0"/>
          <w:marBottom w:val="0"/>
          <w:divBdr>
            <w:top w:val="none" w:sz="0" w:space="0" w:color="auto"/>
            <w:left w:val="none" w:sz="0" w:space="0" w:color="auto"/>
            <w:bottom w:val="none" w:sz="0" w:space="0" w:color="auto"/>
            <w:right w:val="none" w:sz="0" w:space="0" w:color="auto"/>
          </w:divBdr>
        </w:div>
        <w:div w:id="424571572">
          <w:marLeft w:val="0"/>
          <w:marRight w:val="0"/>
          <w:marTop w:val="0"/>
          <w:marBottom w:val="0"/>
          <w:divBdr>
            <w:top w:val="none" w:sz="0" w:space="0" w:color="auto"/>
            <w:left w:val="none" w:sz="0" w:space="0" w:color="auto"/>
            <w:bottom w:val="none" w:sz="0" w:space="0" w:color="auto"/>
            <w:right w:val="none" w:sz="0" w:space="0" w:color="auto"/>
          </w:divBdr>
        </w:div>
        <w:div w:id="464275914">
          <w:marLeft w:val="0"/>
          <w:marRight w:val="0"/>
          <w:marTop w:val="0"/>
          <w:marBottom w:val="0"/>
          <w:divBdr>
            <w:top w:val="none" w:sz="0" w:space="0" w:color="auto"/>
            <w:left w:val="none" w:sz="0" w:space="0" w:color="auto"/>
            <w:bottom w:val="none" w:sz="0" w:space="0" w:color="auto"/>
            <w:right w:val="none" w:sz="0" w:space="0" w:color="auto"/>
          </w:divBdr>
        </w:div>
        <w:div w:id="495994431">
          <w:marLeft w:val="0"/>
          <w:marRight w:val="0"/>
          <w:marTop w:val="0"/>
          <w:marBottom w:val="0"/>
          <w:divBdr>
            <w:top w:val="none" w:sz="0" w:space="0" w:color="auto"/>
            <w:left w:val="none" w:sz="0" w:space="0" w:color="auto"/>
            <w:bottom w:val="none" w:sz="0" w:space="0" w:color="auto"/>
            <w:right w:val="none" w:sz="0" w:space="0" w:color="auto"/>
          </w:divBdr>
        </w:div>
        <w:div w:id="518004763">
          <w:marLeft w:val="0"/>
          <w:marRight w:val="0"/>
          <w:marTop w:val="0"/>
          <w:marBottom w:val="0"/>
          <w:divBdr>
            <w:top w:val="none" w:sz="0" w:space="0" w:color="auto"/>
            <w:left w:val="none" w:sz="0" w:space="0" w:color="auto"/>
            <w:bottom w:val="none" w:sz="0" w:space="0" w:color="auto"/>
            <w:right w:val="none" w:sz="0" w:space="0" w:color="auto"/>
          </w:divBdr>
        </w:div>
        <w:div w:id="519778887">
          <w:marLeft w:val="0"/>
          <w:marRight w:val="0"/>
          <w:marTop w:val="0"/>
          <w:marBottom w:val="0"/>
          <w:divBdr>
            <w:top w:val="none" w:sz="0" w:space="0" w:color="auto"/>
            <w:left w:val="none" w:sz="0" w:space="0" w:color="auto"/>
            <w:bottom w:val="none" w:sz="0" w:space="0" w:color="auto"/>
            <w:right w:val="none" w:sz="0" w:space="0" w:color="auto"/>
          </w:divBdr>
        </w:div>
        <w:div w:id="541134759">
          <w:marLeft w:val="0"/>
          <w:marRight w:val="0"/>
          <w:marTop w:val="0"/>
          <w:marBottom w:val="0"/>
          <w:divBdr>
            <w:top w:val="none" w:sz="0" w:space="0" w:color="auto"/>
            <w:left w:val="none" w:sz="0" w:space="0" w:color="auto"/>
            <w:bottom w:val="none" w:sz="0" w:space="0" w:color="auto"/>
            <w:right w:val="none" w:sz="0" w:space="0" w:color="auto"/>
          </w:divBdr>
        </w:div>
        <w:div w:id="598023456">
          <w:marLeft w:val="0"/>
          <w:marRight w:val="0"/>
          <w:marTop w:val="0"/>
          <w:marBottom w:val="0"/>
          <w:divBdr>
            <w:top w:val="none" w:sz="0" w:space="0" w:color="auto"/>
            <w:left w:val="none" w:sz="0" w:space="0" w:color="auto"/>
            <w:bottom w:val="none" w:sz="0" w:space="0" w:color="auto"/>
            <w:right w:val="none" w:sz="0" w:space="0" w:color="auto"/>
          </w:divBdr>
        </w:div>
        <w:div w:id="614412448">
          <w:marLeft w:val="0"/>
          <w:marRight w:val="0"/>
          <w:marTop w:val="0"/>
          <w:marBottom w:val="0"/>
          <w:divBdr>
            <w:top w:val="none" w:sz="0" w:space="0" w:color="auto"/>
            <w:left w:val="none" w:sz="0" w:space="0" w:color="auto"/>
            <w:bottom w:val="none" w:sz="0" w:space="0" w:color="auto"/>
            <w:right w:val="none" w:sz="0" w:space="0" w:color="auto"/>
          </w:divBdr>
        </w:div>
        <w:div w:id="616110471">
          <w:marLeft w:val="0"/>
          <w:marRight w:val="0"/>
          <w:marTop w:val="0"/>
          <w:marBottom w:val="0"/>
          <w:divBdr>
            <w:top w:val="none" w:sz="0" w:space="0" w:color="auto"/>
            <w:left w:val="none" w:sz="0" w:space="0" w:color="auto"/>
            <w:bottom w:val="none" w:sz="0" w:space="0" w:color="auto"/>
            <w:right w:val="none" w:sz="0" w:space="0" w:color="auto"/>
          </w:divBdr>
        </w:div>
        <w:div w:id="711611385">
          <w:marLeft w:val="0"/>
          <w:marRight w:val="0"/>
          <w:marTop w:val="0"/>
          <w:marBottom w:val="0"/>
          <w:divBdr>
            <w:top w:val="none" w:sz="0" w:space="0" w:color="auto"/>
            <w:left w:val="none" w:sz="0" w:space="0" w:color="auto"/>
            <w:bottom w:val="none" w:sz="0" w:space="0" w:color="auto"/>
            <w:right w:val="none" w:sz="0" w:space="0" w:color="auto"/>
          </w:divBdr>
        </w:div>
        <w:div w:id="716396584">
          <w:marLeft w:val="0"/>
          <w:marRight w:val="0"/>
          <w:marTop w:val="0"/>
          <w:marBottom w:val="0"/>
          <w:divBdr>
            <w:top w:val="none" w:sz="0" w:space="0" w:color="auto"/>
            <w:left w:val="none" w:sz="0" w:space="0" w:color="auto"/>
            <w:bottom w:val="none" w:sz="0" w:space="0" w:color="auto"/>
            <w:right w:val="none" w:sz="0" w:space="0" w:color="auto"/>
          </w:divBdr>
        </w:div>
        <w:div w:id="719019574">
          <w:marLeft w:val="0"/>
          <w:marRight w:val="0"/>
          <w:marTop w:val="0"/>
          <w:marBottom w:val="0"/>
          <w:divBdr>
            <w:top w:val="none" w:sz="0" w:space="0" w:color="auto"/>
            <w:left w:val="none" w:sz="0" w:space="0" w:color="auto"/>
            <w:bottom w:val="none" w:sz="0" w:space="0" w:color="auto"/>
            <w:right w:val="none" w:sz="0" w:space="0" w:color="auto"/>
          </w:divBdr>
        </w:div>
        <w:div w:id="760563518">
          <w:marLeft w:val="0"/>
          <w:marRight w:val="0"/>
          <w:marTop w:val="0"/>
          <w:marBottom w:val="0"/>
          <w:divBdr>
            <w:top w:val="none" w:sz="0" w:space="0" w:color="auto"/>
            <w:left w:val="none" w:sz="0" w:space="0" w:color="auto"/>
            <w:bottom w:val="none" w:sz="0" w:space="0" w:color="auto"/>
            <w:right w:val="none" w:sz="0" w:space="0" w:color="auto"/>
          </w:divBdr>
        </w:div>
        <w:div w:id="769012712">
          <w:marLeft w:val="0"/>
          <w:marRight w:val="0"/>
          <w:marTop w:val="0"/>
          <w:marBottom w:val="0"/>
          <w:divBdr>
            <w:top w:val="none" w:sz="0" w:space="0" w:color="auto"/>
            <w:left w:val="none" w:sz="0" w:space="0" w:color="auto"/>
            <w:bottom w:val="none" w:sz="0" w:space="0" w:color="auto"/>
            <w:right w:val="none" w:sz="0" w:space="0" w:color="auto"/>
          </w:divBdr>
        </w:div>
        <w:div w:id="806818970">
          <w:marLeft w:val="0"/>
          <w:marRight w:val="0"/>
          <w:marTop w:val="0"/>
          <w:marBottom w:val="0"/>
          <w:divBdr>
            <w:top w:val="none" w:sz="0" w:space="0" w:color="auto"/>
            <w:left w:val="none" w:sz="0" w:space="0" w:color="auto"/>
            <w:bottom w:val="none" w:sz="0" w:space="0" w:color="auto"/>
            <w:right w:val="none" w:sz="0" w:space="0" w:color="auto"/>
          </w:divBdr>
        </w:div>
        <w:div w:id="928927373">
          <w:marLeft w:val="0"/>
          <w:marRight w:val="0"/>
          <w:marTop w:val="0"/>
          <w:marBottom w:val="0"/>
          <w:divBdr>
            <w:top w:val="none" w:sz="0" w:space="0" w:color="auto"/>
            <w:left w:val="none" w:sz="0" w:space="0" w:color="auto"/>
            <w:bottom w:val="none" w:sz="0" w:space="0" w:color="auto"/>
            <w:right w:val="none" w:sz="0" w:space="0" w:color="auto"/>
          </w:divBdr>
        </w:div>
        <w:div w:id="934821189">
          <w:marLeft w:val="0"/>
          <w:marRight w:val="0"/>
          <w:marTop w:val="0"/>
          <w:marBottom w:val="0"/>
          <w:divBdr>
            <w:top w:val="none" w:sz="0" w:space="0" w:color="auto"/>
            <w:left w:val="none" w:sz="0" w:space="0" w:color="auto"/>
            <w:bottom w:val="none" w:sz="0" w:space="0" w:color="auto"/>
            <w:right w:val="none" w:sz="0" w:space="0" w:color="auto"/>
          </w:divBdr>
        </w:div>
        <w:div w:id="948396420">
          <w:marLeft w:val="0"/>
          <w:marRight w:val="0"/>
          <w:marTop w:val="0"/>
          <w:marBottom w:val="0"/>
          <w:divBdr>
            <w:top w:val="none" w:sz="0" w:space="0" w:color="auto"/>
            <w:left w:val="none" w:sz="0" w:space="0" w:color="auto"/>
            <w:bottom w:val="none" w:sz="0" w:space="0" w:color="auto"/>
            <w:right w:val="none" w:sz="0" w:space="0" w:color="auto"/>
          </w:divBdr>
        </w:div>
        <w:div w:id="974289400">
          <w:marLeft w:val="0"/>
          <w:marRight w:val="0"/>
          <w:marTop w:val="0"/>
          <w:marBottom w:val="0"/>
          <w:divBdr>
            <w:top w:val="none" w:sz="0" w:space="0" w:color="auto"/>
            <w:left w:val="none" w:sz="0" w:space="0" w:color="auto"/>
            <w:bottom w:val="none" w:sz="0" w:space="0" w:color="auto"/>
            <w:right w:val="none" w:sz="0" w:space="0" w:color="auto"/>
          </w:divBdr>
        </w:div>
        <w:div w:id="977147466">
          <w:marLeft w:val="0"/>
          <w:marRight w:val="0"/>
          <w:marTop w:val="0"/>
          <w:marBottom w:val="0"/>
          <w:divBdr>
            <w:top w:val="none" w:sz="0" w:space="0" w:color="auto"/>
            <w:left w:val="none" w:sz="0" w:space="0" w:color="auto"/>
            <w:bottom w:val="none" w:sz="0" w:space="0" w:color="auto"/>
            <w:right w:val="none" w:sz="0" w:space="0" w:color="auto"/>
          </w:divBdr>
        </w:div>
        <w:div w:id="1059087644">
          <w:marLeft w:val="0"/>
          <w:marRight w:val="0"/>
          <w:marTop w:val="0"/>
          <w:marBottom w:val="0"/>
          <w:divBdr>
            <w:top w:val="none" w:sz="0" w:space="0" w:color="auto"/>
            <w:left w:val="none" w:sz="0" w:space="0" w:color="auto"/>
            <w:bottom w:val="none" w:sz="0" w:space="0" w:color="auto"/>
            <w:right w:val="none" w:sz="0" w:space="0" w:color="auto"/>
          </w:divBdr>
        </w:div>
        <w:div w:id="1171942549">
          <w:marLeft w:val="0"/>
          <w:marRight w:val="0"/>
          <w:marTop w:val="0"/>
          <w:marBottom w:val="0"/>
          <w:divBdr>
            <w:top w:val="none" w:sz="0" w:space="0" w:color="auto"/>
            <w:left w:val="none" w:sz="0" w:space="0" w:color="auto"/>
            <w:bottom w:val="none" w:sz="0" w:space="0" w:color="auto"/>
            <w:right w:val="none" w:sz="0" w:space="0" w:color="auto"/>
          </w:divBdr>
        </w:div>
        <w:div w:id="1199389275">
          <w:marLeft w:val="0"/>
          <w:marRight w:val="0"/>
          <w:marTop w:val="0"/>
          <w:marBottom w:val="0"/>
          <w:divBdr>
            <w:top w:val="none" w:sz="0" w:space="0" w:color="auto"/>
            <w:left w:val="none" w:sz="0" w:space="0" w:color="auto"/>
            <w:bottom w:val="none" w:sz="0" w:space="0" w:color="auto"/>
            <w:right w:val="none" w:sz="0" w:space="0" w:color="auto"/>
          </w:divBdr>
        </w:div>
        <w:div w:id="1240627861">
          <w:marLeft w:val="0"/>
          <w:marRight w:val="0"/>
          <w:marTop w:val="0"/>
          <w:marBottom w:val="0"/>
          <w:divBdr>
            <w:top w:val="none" w:sz="0" w:space="0" w:color="auto"/>
            <w:left w:val="none" w:sz="0" w:space="0" w:color="auto"/>
            <w:bottom w:val="none" w:sz="0" w:space="0" w:color="auto"/>
            <w:right w:val="none" w:sz="0" w:space="0" w:color="auto"/>
          </w:divBdr>
        </w:div>
        <w:div w:id="1304197947">
          <w:marLeft w:val="0"/>
          <w:marRight w:val="0"/>
          <w:marTop w:val="0"/>
          <w:marBottom w:val="0"/>
          <w:divBdr>
            <w:top w:val="none" w:sz="0" w:space="0" w:color="auto"/>
            <w:left w:val="none" w:sz="0" w:space="0" w:color="auto"/>
            <w:bottom w:val="none" w:sz="0" w:space="0" w:color="auto"/>
            <w:right w:val="none" w:sz="0" w:space="0" w:color="auto"/>
          </w:divBdr>
        </w:div>
        <w:div w:id="1313605833">
          <w:marLeft w:val="0"/>
          <w:marRight w:val="0"/>
          <w:marTop w:val="0"/>
          <w:marBottom w:val="0"/>
          <w:divBdr>
            <w:top w:val="none" w:sz="0" w:space="0" w:color="auto"/>
            <w:left w:val="none" w:sz="0" w:space="0" w:color="auto"/>
            <w:bottom w:val="none" w:sz="0" w:space="0" w:color="auto"/>
            <w:right w:val="none" w:sz="0" w:space="0" w:color="auto"/>
          </w:divBdr>
        </w:div>
        <w:div w:id="1448037012">
          <w:marLeft w:val="0"/>
          <w:marRight w:val="0"/>
          <w:marTop w:val="0"/>
          <w:marBottom w:val="0"/>
          <w:divBdr>
            <w:top w:val="none" w:sz="0" w:space="0" w:color="auto"/>
            <w:left w:val="none" w:sz="0" w:space="0" w:color="auto"/>
            <w:bottom w:val="none" w:sz="0" w:space="0" w:color="auto"/>
            <w:right w:val="none" w:sz="0" w:space="0" w:color="auto"/>
          </w:divBdr>
        </w:div>
        <w:div w:id="1498034047">
          <w:marLeft w:val="0"/>
          <w:marRight w:val="0"/>
          <w:marTop w:val="0"/>
          <w:marBottom w:val="0"/>
          <w:divBdr>
            <w:top w:val="none" w:sz="0" w:space="0" w:color="auto"/>
            <w:left w:val="none" w:sz="0" w:space="0" w:color="auto"/>
            <w:bottom w:val="none" w:sz="0" w:space="0" w:color="auto"/>
            <w:right w:val="none" w:sz="0" w:space="0" w:color="auto"/>
          </w:divBdr>
        </w:div>
        <w:div w:id="1513645482">
          <w:marLeft w:val="0"/>
          <w:marRight w:val="0"/>
          <w:marTop w:val="0"/>
          <w:marBottom w:val="0"/>
          <w:divBdr>
            <w:top w:val="none" w:sz="0" w:space="0" w:color="auto"/>
            <w:left w:val="none" w:sz="0" w:space="0" w:color="auto"/>
            <w:bottom w:val="none" w:sz="0" w:space="0" w:color="auto"/>
            <w:right w:val="none" w:sz="0" w:space="0" w:color="auto"/>
          </w:divBdr>
        </w:div>
        <w:div w:id="1566798223">
          <w:marLeft w:val="0"/>
          <w:marRight w:val="0"/>
          <w:marTop w:val="0"/>
          <w:marBottom w:val="0"/>
          <w:divBdr>
            <w:top w:val="none" w:sz="0" w:space="0" w:color="auto"/>
            <w:left w:val="none" w:sz="0" w:space="0" w:color="auto"/>
            <w:bottom w:val="none" w:sz="0" w:space="0" w:color="auto"/>
            <w:right w:val="none" w:sz="0" w:space="0" w:color="auto"/>
          </w:divBdr>
        </w:div>
        <w:div w:id="1566993713">
          <w:marLeft w:val="0"/>
          <w:marRight w:val="0"/>
          <w:marTop w:val="0"/>
          <w:marBottom w:val="0"/>
          <w:divBdr>
            <w:top w:val="none" w:sz="0" w:space="0" w:color="auto"/>
            <w:left w:val="none" w:sz="0" w:space="0" w:color="auto"/>
            <w:bottom w:val="none" w:sz="0" w:space="0" w:color="auto"/>
            <w:right w:val="none" w:sz="0" w:space="0" w:color="auto"/>
          </w:divBdr>
        </w:div>
        <w:div w:id="1571034307">
          <w:marLeft w:val="0"/>
          <w:marRight w:val="0"/>
          <w:marTop w:val="0"/>
          <w:marBottom w:val="0"/>
          <w:divBdr>
            <w:top w:val="none" w:sz="0" w:space="0" w:color="auto"/>
            <w:left w:val="none" w:sz="0" w:space="0" w:color="auto"/>
            <w:bottom w:val="none" w:sz="0" w:space="0" w:color="auto"/>
            <w:right w:val="none" w:sz="0" w:space="0" w:color="auto"/>
          </w:divBdr>
        </w:div>
        <w:div w:id="1672103024">
          <w:marLeft w:val="0"/>
          <w:marRight w:val="0"/>
          <w:marTop w:val="0"/>
          <w:marBottom w:val="0"/>
          <w:divBdr>
            <w:top w:val="none" w:sz="0" w:space="0" w:color="auto"/>
            <w:left w:val="none" w:sz="0" w:space="0" w:color="auto"/>
            <w:bottom w:val="none" w:sz="0" w:space="0" w:color="auto"/>
            <w:right w:val="none" w:sz="0" w:space="0" w:color="auto"/>
          </w:divBdr>
        </w:div>
        <w:div w:id="1706907703">
          <w:marLeft w:val="0"/>
          <w:marRight w:val="0"/>
          <w:marTop w:val="0"/>
          <w:marBottom w:val="0"/>
          <w:divBdr>
            <w:top w:val="none" w:sz="0" w:space="0" w:color="auto"/>
            <w:left w:val="none" w:sz="0" w:space="0" w:color="auto"/>
            <w:bottom w:val="none" w:sz="0" w:space="0" w:color="auto"/>
            <w:right w:val="none" w:sz="0" w:space="0" w:color="auto"/>
          </w:divBdr>
        </w:div>
        <w:div w:id="1715619693">
          <w:marLeft w:val="0"/>
          <w:marRight w:val="0"/>
          <w:marTop w:val="0"/>
          <w:marBottom w:val="0"/>
          <w:divBdr>
            <w:top w:val="none" w:sz="0" w:space="0" w:color="auto"/>
            <w:left w:val="none" w:sz="0" w:space="0" w:color="auto"/>
            <w:bottom w:val="none" w:sz="0" w:space="0" w:color="auto"/>
            <w:right w:val="none" w:sz="0" w:space="0" w:color="auto"/>
          </w:divBdr>
        </w:div>
        <w:div w:id="1728845218">
          <w:marLeft w:val="0"/>
          <w:marRight w:val="0"/>
          <w:marTop w:val="0"/>
          <w:marBottom w:val="0"/>
          <w:divBdr>
            <w:top w:val="none" w:sz="0" w:space="0" w:color="auto"/>
            <w:left w:val="none" w:sz="0" w:space="0" w:color="auto"/>
            <w:bottom w:val="none" w:sz="0" w:space="0" w:color="auto"/>
            <w:right w:val="none" w:sz="0" w:space="0" w:color="auto"/>
          </w:divBdr>
        </w:div>
        <w:div w:id="1748917904">
          <w:marLeft w:val="0"/>
          <w:marRight w:val="0"/>
          <w:marTop w:val="0"/>
          <w:marBottom w:val="0"/>
          <w:divBdr>
            <w:top w:val="none" w:sz="0" w:space="0" w:color="auto"/>
            <w:left w:val="none" w:sz="0" w:space="0" w:color="auto"/>
            <w:bottom w:val="none" w:sz="0" w:space="0" w:color="auto"/>
            <w:right w:val="none" w:sz="0" w:space="0" w:color="auto"/>
          </w:divBdr>
        </w:div>
        <w:div w:id="1807120635">
          <w:marLeft w:val="0"/>
          <w:marRight w:val="0"/>
          <w:marTop w:val="0"/>
          <w:marBottom w:val="0"/>
          <w:divBdr>
            <w:top w:val="none" w:sz="0" w:space="0" w:color="auto"/>
            <w:left w:val="none" w:sz="0" w:space="0" w:color="auto"/>
            <w:bottom w:val="none" w:sz="0" w:space="0" w:color="auto"/>
            <w:right w:val="none" w:sz="0" w:space="0" w:color="auto"/>
          </w:divBdr>
        </w:div>
        <w:div w:id="1834031336">
          <w:marLeft w:val="0"/>
          <w:marRight w:val="0"/>
          <w:marTop w:val="0"/>
          <w:marBottom w:val="0"/>
          <w:divBdr>
            <w:top w:val="none" w:sz="0" w:space="0" w:color="auto"/>
            <w:left w:val="none" w:sz="0" w:space="0" w:color="auto"/>
            <w:bottom w:val="none" w:sz="0" w:space="0" w:color="auto"/>
            <w:right w:val="none" w:sz="0" w:space="0" w:color="auto"/>
          </w:divBdr>
        </w:div>
        <w:div w:id="1848522136">
          <w:marLeft w:val="0"/>
          <w:marRight w:val="0"/>
          <w:marTop w:val="0"/>
          <w:marBottom w:val="0"/>
          <w:divBdr>
            <w:top w:val="none" w:sz="0" w:space="0" w:color="auto"/>
            <w:left w:val="none" w:sz="0" w:space="0" w:color="auto"/>
            <w:bottom w:val="none" w:sz="0" w:space="0" w:color="auto"/>
            <w:right w:val="none" w:sz="0" w:space="0" w:color="auto"/>
          </w:divBdr>
        </w:div>
        <w:div w:id="1885411774">
          <w:marLeft w:val="0"/>
          <w:marRight w:val="0"/>
          <w:marTop w:val="0"/>
          <w:marBottom w:val="0"/>
          <w:divBdr>
            <w:top w:val="none" w:sz="0" w:space="0" w:color="auto"/>
            <w:left w:val="none" w:sz="0" w:space="0" w:color="auto"/>
            <w:bottom w:val="none" w:sz="0" w:space="0" w:color="auto"/>
            <w:right w:val="none" w:sz="0" w:space="0" w:color="auto"/>
          </w:divBdr>
        </w:div>
        <w:div w:id="1905752414">
          <w:marLeft w:val="0"/>
          <w:marRight w:val="0"/>
          <w:marTop w:val="0"/>
          <w:marBottom w:val="0"/>
          <w:divBdr>
            <w:top w:val="none" w:sz="0" w:space="0" w:color="auto"/>
            <w:left w:val="none" w:sz="0" w:space="0" w:color="auto"/>
            <w:bottom w:val="none" w:sz="0" w:space="0" w:color="auto"/>
            <w:right w:val="none" w:sz="0" w:space="0" w:color="auto"/>
          </w:divBdr>
        </w:div>
        <w:div w:id="1913540239">
          <w:marLeft w:val="0"/>
          <w:marRight w:val="0"/>
          <w:marTop w:val="0"/>
          <w:marBottom w:val="0"/>
          <w:divBdr>
            <w:top w:val="none" w:sz="0" w:space="0" w:color="auto"/>
            <w:left w:val="none" w:sz="0" w:space="0" w:color="auto"/>
            <w:bottom w:val="none" w:sz="0" w:space="0" w:color="auto"/>
            <w:right w:val="none" w:sz="0" w:space="0" w:color="auto"/>
          </w:divBdr>
        </w:div>
        <w:div w:id="1922635791">
          <w:marLeft w:val="0"/>
          <w:marRight w:val="0"/>
          <w:marTop w:val="0"/>
          <w:marBottom w:val="0"/>
          <w:divBdr>
            <w:top w:val="none" w:sz="0" w:space="0" w:color="auto"/>
            <w:left w:val="none" w:sz="0" w:space="0" w:color="auto"/>
            <w:bottom w:val="none" w:sz="0" w:space="0" w:color="auto"/>
            <w:right w:val="none" w:sz="0" w:space="0" w:color="auto"/>
          </w:divBdr>
        </w:div>
        <w:div w:id="1945260121">
          <w:marLeft w:val="0"/>
          <w:marRight w:val="0"/>
          <w:marTop w:val="0"/>
          <w:marBottom w:val="0"/>
          <w:divBdr>
            <w:top w:val="none" w:sz="0" w:space="0" w:color="auto"/>
            <w:left w:val="none" w:sz="0" w:space="0" w:color="auto"/>
            <w:bottom w:val="none" w:sz="0" w:space="0" w:color="auto"/>
            <w:right w:val="none" w:sz="0" w:space="0" w:color="auto"/>
          </w:divBdr>
        </w:div>
        <w:div w:id="2024744920">
          <w:marLeft w:val="0"/>
          <w:marRight w:val="0"/>
          <w:marTop w:val="0"/>
          <w:marBottom w:val="0"/>
          <w:divBdr>
            <w:top w:val="none" w:sz="0" w:space="0" w:color="auto"/>
            <w:left w:val="none" w:sz="0" w:space="0" w:color="auto"/>
            <w:bottom w:val="none" w:sz="0" w:space="0" w:color="auto"/>
            <w:right w:val="none" w:sz="0" w:space="0" w:color="auto"/>
          </w:divBdr>
        </w:div>
        <w:div w:id="2036493747">
          <w:marLeft w:val="0"/>
          <w:marRight w:val="0"/>
          <w:marTop w:val="0"/>
          <w:marBottom w:val="0"/>
          <w:divBdr>
            <w:top w:val="none" w:sz="0" w:space="0" w:color="auto"/>
            <w:left w:val="none" w:sz="0" w:space="0" w:color="auto"/>
            <w:bottom w:val="none" w:sz="0" w:space="0" w:color="auto"/>
            <w:right w:val="none" w:sz="0" w:space="0" w:color="auto"/>
          </w:divBdr>
        </w:div>
        <w:div w:id="2063826116">
          <w:marLeft w:val="0"/>
          <w:marRight w:val="0"/>
          <w:marTop w:val="0"/>
          <w:marBottom w:val="0"/>
          <w:divBdr>
            <w:top w:val="none" w:sz="0" w:space="0" w:color="auto"/>
            <w:left w:val="none" w:sz="0" w:space="0" w:color="auto"/>
            <w:bottom w:val="none" w:sz="0" w:space="0" w:color="auto"/>
            <w:right w:val="none" w:sz="0" w:space="0" w:color="auto"/>
          </w:divBdr>
        </w:div>
        <w:div w:id="2083983107">
          <w:marLeft w:val="0"/>
          <w:marRight w:val="0"/>
          <w:marTop w:val="0"/>
          <w:marBottom w:val="0"/>
          <w:divBdr>
            <w:top w:val="none" w:sz="0" w:space="0" w:color="auto"/>
            <w:left w:val="none" w:sz="0" w:space="0" w:color="auto"/>
            <w:bottom w:val="none" w:sz="0" w:space="0" w:color="auto"/>
            <w:right w:val="none" w:sz="0" w:space="0" w:color="auto"/>
          </w:divBdr>
        </w:div>
        <w:div w:id="2121146754">
          <w:marLeft w:val="0"/>
          <w:marRight w:val="0"/>
          <w:marTop w:val="0"/>
          <w:marBottom w:val="0"/>
          <w:divBdr>
            <w:top w:val="none" w:sz="0" w:space="0" w:color="auto"/>
            <w:left w:val="none" w:sz="0" w:space="0" w:color="auto"/>
            <w:bottom w:val="none" w:sz="0" w:space="0" w:color="auto"/>
            <w:right w:val="none" w:sz="0" w:space="0" w:color="auto"/>
          </w:divBdr>
        </w:div>
        <w:div w:id="2126658979">
          <w:marLeft w:val="0"/>
          <w:marRight w:val="0"/>
          <w:marTop w:val="0"/>
          <w:marBottom w:val="0"/>
          <w:divBdr>
            <w:top w:val="none" w:sz="0" w:space="0" w:color="auto"/>
            <w:left w:val="none" w:sz="0" w:space="0" w:color="auto"/>
            <w:bottom w:val="none" w:sz="0" w:space="0" w:color="auto"/>
            <w:right w:val="none" w:sz="0" w:space="0" w:color="auto"/>
          </w:divBdr>
        </w:div>
        <w:div w:id="2133087024">
          <w:marLeft w:val="0"/>
          <w:marRight w:val="0"/>
          <w:marTop w:val="0"/>
          <w:marBottom w:val="0"/>
          <w:divBdr>
            <w:top w:val="none" w:sz="0" w:space="0" w:color="auto"/>
            <w:left w:val="none" w:sz="0" w:space="0" w:color="auto"/>
            <w:bottom w:val="none" w:sz="0" w:space="0" w:color="auto"/>
            <w:right w:val="none" w:sz="0" w:space="0" w:color="auto"/>
          </w:divBdr>
        </w:div>
      </w:divsChild>
    </w:div>
    <w:div w:id="10381696">
      <w:bodyDiv w:val="1"/>
      <w:marLeft w:val="0"/>
      <w:marRight w:val="0"/>
      <w:marTop w:val="0"/>
      <w:marBottom w:val="0"/>
      <w:divBdr>
        <w:top w:val="none" w:sz="0" w:space="0" w:color="auto"/>
        <w:left w:val="none" w:sz="0" w:space="0" w:color="auto"/>
        <w:bottom w:val="none" w:sz="0" w:space="0" w:color="auto"/>
        <w:right w:val="none" w:sz="0" w:space="0" w:color="auto"/>
      </w:divBdr>
      <w:divsChild>
        <w:div w:id="127742426">
          <w:marLeft w:val="0"/>
          <w:marRight w:val="0"/>
          <w:marTop w:val="0"/>
          <w:marBottom w:val="0"/>
          <w:divBdr>
            <w:top w:val="none" w:sz="0" w:space="0" w:color="auto"/>
            <w:left w:val="none" w:sz="0" w:space="0" w:color="auto"/>
            <w:bottom w:val="none" w:sz="0" w:space="0" w:color="auto"/>
            <w:right w:val="none" w:sz="0" w:space="0" w:color="auto"/>
          </w:divBdr>
        </w:div>
      </w:divsChild>
    </w:div>
    <w:div w:id="13381181">
      <w:bodyDiv w:val="1"/>
      <w:marLeft w:val="0"/>
      <w:marRight w:val="0"/>
      <w:marTop w:val="0"/>
      <w:marBottom w:val="0"/>
      <w:divBdr>
        <w:top w:val="none" w:sz="0" w:space="0" w:color="auto"/>
        <w:left w:val="none" w:sz="0" w:space="0" w:color="auto"/>
        <w:bottom w:val="none" w:sz="0" w:space="0" w:color="auto"/>
        <w:right w:val="none" w:sz="0" w:space="0" w:color="auto"/>
      </w:divBdr>
      <w:divsChild>
        <w:div w:id="32317926">
          <w:marLeft w:val="0"/>
          <w:marRight w:val="0"/>
          <w:marTop w:val="0"/>
          <w:marBottom w:val="0"/>
          <w:divBdr>
            <w:top w:val="none" w:sz="0" w:space="0" w:color="auto"/>
            <w:left w:val="none" w:sz="0" w:space="0" w:color="auto"/>
            <w:bottom w:val="none" w:sz="0" w:space="0" w:color="auto"/>
            <w:right w:val="none" w:sz="0" w:space="0" w:color="auto"/>
          </w:divBdr>
        </w:div>
        <w:div w:id="172494647">
          <w:marLeft w:val="0"/>
          <w:marRight w:val="0"/>
          <w:marTop w:val="0"/>
          <w:marBottom w:val="0"/>
          <w:divBdr>
            <w:top w:val="none" w:sz="0" w:space="0" w:color="auto"/>
            <w:left w:val="none" w:sz="0" w:space="0" w:color="auto"/>
            <w:bottom w:val="none" w:sz="0" w:space="0" w:color="auto"/>
            <w:right w:val="none" w:sz="0" w:space="0" w:color="auto"/>
          </w:divBdr>
        </w:div>
        <w:div w:id="872770325">
          <w:marLeft w:val="0"/>
          <w:marRight w:val="0"/>
          <w:marTop w:val="0"/>
          <w:marBottom w:val="0"/>
          <w:divBdr>
            <w:top w:val="none" w:sz="0" w:space="0" w:color="auto"/>
            <w:left w:val="none" w:sz="0" w:space="0" w:color="auto"/>
            <w:bottom w:val="none" w:sz="0" w:space="0" w:color="auto"/>
            <w:right w:val="none" w:sz="0" w:space="0" w:color="auto"/>
          </w:divBdr>
        </w:div>
        <w:div w:id="976648584">
          <w:marLeft w:val="0"/>
          <w:marRight w:val="0"/>
          <w:marTop w:val="0"/>
          <w:marBottom w:val="0"/>
          <w:divBdr>
            <w:top w:val="none" w:sz="0" w:space="0" w:color="auto"/>
            <w:left w:val="none" w:sz="0" w:space="0" w:color="auto"/>
            <w:bottom w:val="none" w:sz="0" w:space="0" w:color="auto"/>
            <w:right w:val="none" w:sz="0" w:space="0" w:color="auto"/>
          </w:divBdr>
        </w:div>
      </w:divsChild>
    </w:div>
    <w:div w:id="18550825">
      <w:bodyDiv w:val="1"/>
      <w:marLeft w:val="0"/>
      <w:marRight w:val="0"/>
      <w:marTop w:val="0"/>
      <w:marBottom w:val="0"/>
      <w:divBdr>
        <w:top w:val="none" w:sz="0" w:space="0" w:color="auto"/>
        <w:left w:val="none" w:sz="0" w:space="0" w:color="auto"/>
        <w:bottom w:val="none" w:sz="0" w:space="0" w:color="auto"/>
        <w:right w:val="none" w:sz="0" w:space="0" w:color="auto"/>
      </w:divBdr>
      <w:divsChild>
        <w:div w:id="77794836">
          <w:marLeft w:val="0"/>
          <w:marRight w:val="0"/>
          <w:marTop w:val="0"/>
          <w:marBottom w:val="0"/>
          <w:divBdr>
            <w:top w:val="none" w:sz="0" w:space="0" w:color="auto"/>
            <w:left w:val="none" w:sz="0" w:space="0" w:color="auto"/>
            <w:bottom w:val="none" w:sz="0" w:space="0" w:color="auto"/>
            <w:right w:val="none" w:sz="0" w:space="0" w:color="auto"/>
          </w:divBdr>
        </w:div>
        <w:div w:id="88551588">
          <w:marLeft w:val="0"/>
          <w:marRight w:val="0"/>
          <w:marTop w:val="0"/>
          <w:marBottom w:val="0"/>
          <w:divBdr>
            <w:top w:val="none" w:sz="0" w:space="0" w:color="auto"/>
            <w:left w:val="none" w:sz="0" w:space="0" w:color="auto"/>
            <w:bottom w:val="none" w:sz="0" w:space="0" w:color="auto"/>
            <w:right w:val="none" w:sz="0" w:space="0" w:color="auto"/>
          </w:divBdr>
        </w:div>
        <w:div w:id="88819499">
          <w:marLeft w:val="0"/>
          <w:marRight w:val="0"/>
          <w:marTop w:val="0"/>
          <w:marBottom w:val="0"/>
          <w:divBdr>
            <w:top w:val="none" w:sz="0" w:space="0" w:color="auto"/>
            <w:left w:val="none" w:sz="0" w:space="0" w:color="auto"/>
            <w:bottom w:val="none" w:sz="0" w:space="0" w:color="auto"/>
            <w:right w:val="none" w:sz="0" w:space="0" w:color="auto"/>
          </w:divBdr>
        </w:div>
        <w:div w:id="110443190">
          <w:marLeft w:val="0"/>
          <w:marRight w:val="0"/>
          <w:marTop w:val="0"/>
          <w:marBottom w:val="0"/>
          <w:divBdr>
            <w:top w:val="none" w:sz="0" w:space="0" w:color="auto"/>
            <w:left w:val="none" w:sz="0" w:space="0" w:color="auto"/>
            <w:bottom w:val="none" w:sz="0" w:space="0" w:color="auto"/>
            <w:right w:val="none" w:sz="0" w:space="0" w:color="auto"/>
          </w:divBdr>
        </w:div>
        <w:div w:id="132256528">
          <w:marLeft w:val="0"/>
          <w:marRight w:val="0"/>
          <w:marTop w:val="0"/>
          <w:marBottom w:val="0"/>
          <w:divBdr>
            <w:top w:val="none" w:sz="0" w:space="0" w:color="auto"/>
            <w:left w:val="none" w:sz="0" w:space="0" w:color="auto"/>
            <w:bottom w:val="none" w:sz="0" w:space="0" w:color="auto"/>
            <w:right w:val="none" w:sz="0" w:space="0" w:color="auto"/>
          </w:divBdr>
        </w:div>
        <w:div w:id="133983835">
          <w:marLeft w:val="0"/>
          <w:marRight w:val="0"/>
          <w:marTop w:val="0"/>
          <w:marBottom w:val="0"/>
          <w:divBdr>
            <w:top w:val="none" w:sz="0" w:space="0" w:color="auto"/>
            <w:left w:val="none" w:sz="0" w:space="0" w:color="auto"/>
            <w:bottom w:val="none" w:sz="0" w:space="0" w:color="auto"/>
            <w:right w:val="none" w:sz="0" w:space="0" w:color="auto"/>
          </w:divBdr>
        </w:div>
        <w:div w:id="165023712">
          <w:marLeft w:val="0"/>
          <w:marRight w:val="0"/>
          <w:marTop w:val="0"/>
          <w:marBottom w:val="0"/>
          <w:divBdr>
            <w:top w:val="none" w:sz="0" w:space="0" w:color="auto"/>
            <w:left w:val="none" w:sz="0" w:space="0" w:color="auto"/>
            <w:bottom w:val="none" w:sz="0" w:space="0" w:color="auto"/>
            <w:right w:val="none" w:sz="0" w:space="0" w:color="auto"/>
          </w:divBdr>
        </w:div>
        <w:div w:id="207038086">
          <w:marLeft w:val="0"/>
          <w:marRight w:val="0"/>
          <w:marTop w:val="0"/>
          <w:marBottom w:val="0"/>
          <w:divBdr>
            <w:top w:val="none" w:sz="0" w:space="0" w:color="auto"/>
            <w:left w:val="none" w:sz="0" w:space="0" w:color="auto"/>
            <w:bottom w:val="none" w:sz="0" w:space="0" w:color="auto"/>
            <w:right w:val="none" w:sz="0" w:space="0" w:color="auto"/>
          </w:divBdr>
        </w:div>
        <w:div w:id="270477813">
          <w:marLeft w:val="0"/>
          <w:marRight w:val="0"/>
          <w:marTop w:val="0"/>
          <w:marBottom w:val="0"/>
          <w:divBdr>
            <w:top w:val="none" w:sz="0" w:space="0" w:color="auto"/>
            <w:left w:val="none" w:sz="0" w:space="0" w:color="auto"/>
            <w:bottom w:val="none" w:sz="0" w:space="0" w:color="auto"/>
            <w:right w:val="none" w:sz="0" w:space="0" w:color="auto"/>
          </w:divBdr>
        </w:div>
        <w:div w:id="277643068">
          <w:marLeft w:val="0"/>
          <w:marRight w:val="0"/>
          <w:marTop w:val="0"/>
          <w:marBottom w:val="0"/>
          <w:divBdr>
            <w:top w:val="none" w:sz="0" w:space="0" w:color="auto"/>
            <w:left w:val="none" w:sz="0" w:space="0" w:color="auto"/>
            <w:bottom w:val="none" w:sz="0" w:space="0" w:color="auto"/>
            <w:right w:val="none" w:sz="0" w:space="0" w:color="auto"/>
          </w:divBdr>
        </w:div>
        <w:div w:id="286939261">
          <w:marLeft w:val="0"/>
          <w:marRight w:val="0"/>
          <w:marTop w:val="0"/>
          <w:marBottom w:val="0"/>
          <w:divBdr>
            <w:top w:val="none" w:sz="0" w:space="0" w:color="auto"/>
            <w:left w:val="none" w:sz="0" w:space="0" w:color="auto"/>
            <w:bottom w:val="none" w:sz="0" w:space="0" w:color="auto"/>
            <w:right w:val="none" w:sz="0" w:space="0" w:color="auto"/>
          </w:divBdr>
        </w:div>
        <w:div w:id="289282585">
          <w:marLeft w:val="0"/>
          <w:marRight w:val="0"/>
          <w:marTop w:val="0"/>
          <w:marBottom w:val="0"/>
          <w:divBdr>
            <w:top w:val="none" w:sz="0" w:space="0" w:color="auto"/>
            <w:left w:val="none" w:sz="0" w:space="0" w:color="auto"/>
            <w:bottom w:val="none" w:sz="0" w:space="0" w:color="auto"/>
            <w:right w:val="none" w:sz="0" w:space="0" w:color="auto"/>
          </w:divBdr>
        </w:div>
        <w:div w:id="330446933">
          <w:marLeft w:val="0"/>
          <w:marRight w:val="0"/>
          <w:marTop w:val="0"/>
          <w:marBottom w:val="0"/>
          <w:divBdr>
            <w:top w:val="none" w:sz="0" w:space="0" w:color="auto"/>
            <w:left w:val="none" w:sz="0" w:space="0" w:color="auto"/>
            <w:bottom w:val="none" w:sz="0" w:space="0" w:color="auto"/>
            <w:right w:val="none" w:sz="0" w:space="0" w:color="auto"/>
          </w:divBdr>
        </w:div>
        <w:div w:id="350303406">
          <w:marLeft w:val="0"/>
          <w:marRight w:val="0"/>
          <w:marTop w:val="0"/>
          <w:marBottom w:val="0"/>
          <w:divBdr>
            <w:top w:val="none" w:sz="0" w:space="0" w:color="auto"/>
            <w:left w:val="none" w:sz="0" w:space="0" w:color="auto"/>
            <w:bottom w:val="none" w:sz="0" w:space="0" w:color="auto"/>
            <w:right w:val="none" w:sz="0" w:space="0" w:color="auto"/>
          </w:divBdr>
        </w:div>
        <w:div w:id="390466294">
          <w:marLeft w:val="0"/>
          <w:marRight w:val="0"/>
          <w:marTop w:val="0"/>
          <w:marBottom w:val="0"/>
          <w:divBdr>
            <w:top w:val="none" w:sz="0" w:space="0" w:color="auto"/>
            <w:left w:val="none" w:sz="0" w:space="0" w:color="auto"/>
            <w:bottom w:val="none" w:sz="0" w:space="0" w:color="auto"/>
            <w:right w:val="none" w:sz="0" w:space="0" w:color="auto"/>
          </w:divBdr>
        </w:div>
        <w:div w:id="428623952">
          <w:marLeft w:val="0"/>
          <w:marRight w:val="0"/>
          <w:marTop w:val="0"/>
          <w:marBottom w:val="0"/>
          <w:divBdr>
            <w:top w:val="none" w:sz="0" w:space="0" w:color="auto"/>
            <w:left w:val="none" w:sz="0" w:space="0" w:color="auto"/>
            <w:bottom w:val="none" w:sz="0" w:space="0" w:color="auto"/>
            <w:right w:val="none" w:sz="0" w:space="0" w:color="auto"/>
          </w:divBdr>
        </w:div>
        <w:div w:id="515466040">
          <w:marLeft w:val="0"/>
          <w:marRight w:val="0"/>
          <w:marTop w:val="0"/>
          <w:marBottom w:val="0"/>
          <w:divBdr>
            <w:top w:val="none" w:sz="0" w:space="0" w:color="auto"/>
            <w:left w:val="none" w:sz="0" w:space="0" w:color="auto"/>
            <w:bottom w:val="none" w:sz="0" w:space="0" w:color="auto"/>
            <w:right w:val="none" w:sz="0" w:space="0" w:color="auto"/>
          </w:divBdr>
        </w:div>
        <w:div w:id="540678258">
          <w:marLeft w:val="0"/>
          <w:marRight w:val="0"/>
          <w:marTop w:val="0"/>
          <w:marBottom w:val="0"/>
          <w:divBdr>
            <w:top w:val="none" w:sz="0" w:space="0" w:color="auto"/>
            <w:left w:val="none" w:sz="0" w:space="0" w:color="auto"/>
            <w:bottom w:val="none" w:sz="0" w:space="0" w:color="auto"/>
            <w:right w:val="none" w:sz="0" w:space="0" w:color="auto"/>
          </w:divBdr>
        </w:div>
        <w:div w:id="625501754">
          <w:marLeft w:val="0"/>
          <w:marRight w:val="0"/>
          <w:marTop w:val="0"/>
          <w:marBottom w:val="0"/>
          <w:divBdr>
            <w:top w:val="none" w:sz="0" w:space="0" w:color="auto"/>
            <w:left w:val="none" w:sz="0" w:space="0" w:color="auto"/>
            <w:bottom w:val="none" w:sz="0" w:space="0" w:color="auto"/>
            <w:right w:val="none" w:sz="0" w:space="0" w:color="auto"/>
          </w:divBdr>
        </w:div>
        <w:div w:id="625938578">
          <w:marLeft w:val="0"/>
          <w:marRight w:val="0"/>
          <w:marTop w:val="0"/>
          <w:marBottom w:val="0"/>
          <w:divBdr>
            <w:top w:val="none" w:sz="0" w:space="0" w:color="auto"/>
            <w:left w:val="none" w:sz="0" w:space="0" w:color="auto"/>
            <w:bottom w:val="none" w:sz="0" w:space="0" w:color="auto"/>
            <w:right w:val="none" w:sz="0" w:space="0" w:color="auto"/>
          </w:divBdr>
        </w:div>
        <w:div w:id="681325030">
          <w:marLeft w:val="0"/>
          <w:marRight w:val="0"/>
          <w:marTop w:val="0"/>
          <w:marBottom w:val="0"/>
          <w:divBdr>
            <w:top w:val="none" w:sz="0" w:space="0" w:color="auto"/>
            <w:left w:val="none" w:sz="0" w:space="0" w:color="auto"/>
            <w:bottom w:val="none" w:sz="0" w:space="0" w:color="auto"/>
            <w:right w:val="none" w:sz="0" w:space="0" w:color="auto"/>
          </w:divBdr>
        </w:div>
        <w:div w:id="699820417">
          <w:marLeft w:val="0"/>
          <w:marRight w:val="0"/>
          <w:marTop w:val="0"/>
          <w:marBottom w:val="0"/>
          <w:divBdr>
            <w:top w:val="none" w:sz="0" w:space="0" w:color="auto"/>
            <w:left w:val="none" w:sz="0" w:space="0" w:color="auto"/>
            <w:bottom w:val="none" w:sz="0" w:space="0" w:color="auto"/>
            <w:right w:val="none" w:sz="0" w:space="0" w:color="auto"/>
          </w:divBdr>
        </w:div>
        <w:div w:id="717049031">
          <w:marLeft w:val="0"/>
          <w:marRight w:val="0"/>
          <w:marTop w:val="0"/>
          <w:marBottom w:val="0"/>
          <w:divBdr>
            <w:top w:val="none" w:sz="0" w:space="0" w:color="auto"/>
            <w:left w:val="none" w:sz="0" w:space="0" w:color="auto"/>
            <w:bottom w:val="none" w:sz="0" w:space="0" w:color="auto"/>
            <w:right w:val="none" w:sz="0" w:space="0" w:color="auto"/>
          </w:divBdr>
        </w:div>
        <w:div w:id="728842570">
          <w:marLeft w:val="0"/>
          <w:marRight w:val="0"/>
          <w:marTop w:val="0"/>
          <w:marBottom w:val="0"/>
          <w:divBdr>
            <w:top w:val="none" w:sz="0" w:space="0" w:color="auto"/>
            <w:left w:val="none" w:sz="0" w:space="0" w:color="auto"/>
            <w:bottom w:val="none" w:sz="0" w:space="0" w:color="auto"/>
            <w:right w:val="none" w:sz="0" w:space="0" w:color="auto"/>
          </w:divBdr>
        </w:div>
        <w:div w:id="733546283">
          <w:marLeft w:val="0"/>
          <w:marRight w:val="0"/>
          <w:marTop w:val="0"/>
          <w:marBottom w:val="0"/>
          <w:divBdr>
            <w:top w:val="none" w:sz="0" w:space="0" w:color="auto"/>
            <w:left w:val="none" w:sz="0" w:space="0" w:color="auto"/>
            <w:bottom w:val="none" w:sz="0" w:space="0" w:color="auto"/>
            <w:right w:val="none" w:sz="0" w:space="0" w:color="auto"/>
          </w:divBdr>
        </w:div>
        <w:div w:id="784232714">
          <w:marLeft w:val="0"/>
          <w:marRight w:val="0"/>
          <w:marTop w:val="0"/>
          <w:marBottom w:val="0"/>
          <w:divBdr>
            <w:top w:val="none" w:sz="0" w:space="0" w:color="auto"/>
            <w:left w:val="none" w:sz="0" w:space="0" w:color="auto"/>
            <w:bottom w:val="none" w:sz="0" w:space="0" w:color="auto"/>
            <w:right w:val="none" w:sz="0" w:space="0" w:color="auto"/>
          </w:divBdr>
        </w:div>
        <w:div w:id="822544158">
          <w:marLeft w:val="0"/>
          <w:marRight w:val="0"/>
          <w:marTop w:val="0"/>
          <w:marBottom w:val="0"/>
          <w:divBdr>
            <w:top w:val="none" w:sz="0" w:space="0" w:color="auto"/>
            <w:left w:val="none" w:sz="0" w:space="0" w:color="auto"/>
            <w:bottom w:val="none" w:sz="0" w:space="0" w:color="auto"/>
            <w:right w:val="none" w:sz="0" w:space="0" w:color="auto"/>
          </w:divBdr>
        </w:div>
        <w:div w:id="853810975">
          <w:marLeft w:val="0"/>
          <w:marRight w:val="0"/>
          <w:marTop w:val="0"/>
          <w:marBottom w:val="0"/>
          <w:divBdr>
            <w:top w:val="none" w:sz="0" w:space="0" w:color="auto"/>
            <w:left w:val="none" w:sz="0" w:space="0" w:color="auto"/>
            <w:bottom w:val="none" w:sz="0" w:space="0" w:color="auto"/>
            <w:right w:val="none" w:sz="0" w:space="0" w:color="auto"/>
          </w:divBdr>
        </w:div>
        <w:div w:id="932857059">
          <w:marLeft w:val="0"/>
          <w:marRight w:val="0"/>
          <w:marTop w:val="0"/>
          <w:marBottom w:val="0"/>
          <w:divBdr>
            <w:top w:val="none" w:sz="0" w:space="0" w:color="auto"/>
            <w:left w:val="none" w:sz="0" w:space="0" w:color="auto"/>
            <w:bottom w:val="none" w:sz="0" w:space="0" w:color="auto"/>
            <w:right w:val="none" w:sz="0" w:space="0" w:color="auto"/>
          </w:divBdr>
        </w:div>
        <w:div w:id="933628382">
          <w:marLeft w:val="0"/>
          <w:marRight w:val="0"/>
          <w:marTop w:val="0"/>
          <w:marBottom w:val="0"/>
          <w:divBdr>
            <w:top w:val="none" w:sz="0" w:space="0" w:color="auto"/>
            <w:left w:val="none" w:sz="0" w:space="0" w:color="auto"/>
            <w:bottom w:val="none" w:sz="0" w:space="0" w:color="auto"/>
            <w:right w:val="none" w:sz="0" w:space="0" w:color="auto"/>
          </w:divBdr>
        </w:div>
        <w:div w:id="958026142">
          <w:marLeft w:val="0"/>
          <w:marRight w:val="0"/>
          <w:marTop w:val="0"/>
          <w:marBottom w:val="0"/>
          <w:divBdr>
            <w:top w:val="none" w:sz="0" w:space="0" w:color="auto"/>
            <w:left w:val="none" w:sz="0" w:space="0" w:color="auto"/>
            <w:bottom w:val="none" w:sz="0" w:space="0" w:color="auto"/>
            <w:right w:val="none" w:sz="0" w:space="0" w:color="auto"/>
          </w:divBdr>
        </w:div>
        <w:div w:id="1030186470">
          <w:marLeft w:val="0"/>
          <w:marRight w:val="0"/>
          <w:marTop w:val="0"/>
          <w:marBottom w:val="0"/>
          <w:divBdr>
            <w:top w:val="none" w:sz="0" w:space="0" w:color="auto"/>
            <w:left w:val="none" w:sz="0" w:space="0" w:color="auto"/>
            <w:bottom w:val="none" w:sz="0" w:space="0" w:color="auto"/>
            <w:right w:val="none" w:sz="0" w:space="0" w:color="auto"/>
          </w:divBdr>
        </w:div>
        <w:div w:id="1039092455">
          <w:marLeft w:val="0"/>
          <w:marRight w:val="0"/>
          <w:marTop w:val="0"/>
          <w:marBottom w:val="0"/>
          <w:divBdr>
            <w:top w:val="none" w:sz="0" w:space="0" w:color="auto"/>
            <w:left w:val="none" w:sz="0" w:space="0" w:color="auto"/>
            <w:bottom w:val="none" w:sz="0" w:space="0" w:color="auto"/>
            <w:right w:val="none" w:sz="0" w:space="0" w:color="auto"/>
          </w:divBdr>
        </w:div>
        <w:div w:id="1084491595">
          <w:marLeft w:val="0"/>
          <w:marRight w:val="0"/>
          <w:marTop w:val="0"/>
          <w:marBottom w:val="0"/>
          <w:divBdr>
            <w:top w:val="none" w:sz="0" w:space="0" w:color="auto"/>
            <w:left w:val="none" w:sz="0" w:space="0" w:color="auto"/>
            <w:bottom w:val="none" w:sz="0" w:space="0" w:color="auto"/>
            <w:right w:val="none" w:sz="0" w:space="0" w:color="auto"/>
          </w:divBdr>
        </w:div>
        <w:div w:id="1098020466">
          <w:marLeft w:val="0"/>
          <w:marRight w:val="0"/>
          <w:marTop w:val="0"/>
          <w:marBottom w:val="0"/>
          <w:divBdr>
            <w:top w:val="none" w:sz="0" w:space="0" w:color="auto"/>
            <w:left w:val="none" w:sz="0" w:space="0" w:color="auto"/>
            <w:bottom w:val="none" w:sz="0" w:space="0" w:color="auto"/>
            <w:right w:val="none" w:sz="0" w:space="0" w:color="auto"/>
          </w:divBdr>
        </w:div>
        <w:div w:id="1122531610">
          <w:marLeft w:val="0"/>
          <w:marRight w:val="0"/>
          <w:marTop w:val="0"/>
          <w:marBottom w:val="0"/>
          <w:divBdr>
            <w:top w:val="none" w:sz="0" w:space="0" w:color="auto"/>
            <w:left w:val="none" w:sz="0" w:space="0" w:color="auto"/>
            <w:bottom w:val="none" w:sz="0" w:space="0" w:color="auto"/>
            <w:right w:val="none" w:sz="0" w:space="0" w:color="auto"/>
          </w:divBdr>
        </w:div>
        <w:div w:id="1170872667">
          <w:marLeft w:val="0"/>
          <w:marRight w:val="0"/>
          <w:marTop w:val="0"/>
          <w:marBottom w:val="0"/>
          <w:divBdr>
            <w:top w:val="none" w:sz="0" w:space="0" w:color="auto"/>
            <w:left w:val="none" w:sz="0" w:space="0" w:color="auto"/>
            <w:bottom w:val="none" w:sz="0" w:space="0" w:color="auto"/>
            <w:right w:val="none" w:sz="0" w:space="0" w:color="auto"/>
          </w:divBdr>
        </w:div>
        <w:div w:id="1176917518">
          <w:marLeft w:val="0"/>
          <w:marRight w:val="0"/>
          <w:marTop w:val="0"/>
          <w:marBottom w:val="0"/>
          <w:divBdr>
            <w:top w:val="none" w:sz="0" w:space="0" w:color="auto"/>
            <w:left w:val="none" w:sz="0" w:space="0" w:color="auto"/>
            <w:bottom w:val="none" w:sz="0" w:space="0" w:color="auto"/>
            <w:right w:val="none" w:sz="0" w:space="0" w:color="auto"/>
          </w:divBdr>
        </w:div>
        <w:div w:id="1186554237">
          <w:marLeft w:val="0"/>
          <w:marRight w:val="0"/>
          <w:marTop w:val="0"/>
          <w:marBottom w:val="0"/>
          <w:divBdr>
            <w:top w:val="none" w:sz="0" w:space="0" w:color="auto"/>
            <w:left w:val="none" w:sz="0" w:space="0" w:color="auto"/>
            <w:bottom w:val="none" w:sz="0" w:space="0" w:color="auto"/>
            <w:right w:val="none" w:sz="0" w:space="0" w:color="auto"/>
          </w:divBdr>
        </w:div>
        <w:div w:id="1205563611">
          <w:marLeft w:val="0"/>
          <w:marRight w:val="0"/>
          <w:marTop w:val="0"/>
          <w:marBottom w:val="0"/>
          <w:divBdr>
            <w:top w:val="none" w:sz="0" w:space="0" w:color="auto"/>
            <w:left w:val="none" w:sz="0" w:space="0" w:color="auto"/>
            <w:bottom w:val="none" w:sz="0" w:space="0" w:color="auto"/>
            <w:right w:val="none" w:sz="0" w:space="0" w:color="auto"/>
          </w:divBdr>
        </w:div>
        <w:div w:id="1212233261">
          <w:marLeft w:val="0"/>
          <w:marRight w:val="0"/>
          <w:marTop w:val="0"/>
          <w:marBottom w:val="0"/>
          <w:divBdr>
            <w:top w:val="none" w:sz="0" w:space="0" w:color="auto"/>
            <w:left w:val="none" w:sz="0" w:space="0" w:color="auto"/>
            <w:bottom w:val="none" w:sz="0" w:space="0" w:color="auto"/>
            <w:right w:val="none" w:sz="0" w:space="0" w:color="auto"/>
          </w:divBdr>
        </w:div>
        <w:div w:id="1278833082">
          <w:marLeft w:val="0"/>
          <w:marRight w:val="0"/>
          <w:marTop w:val="0"/>
          <w:marBottom w:val="0"/>
          <w:divBdr>
            <w:top w:val="none" w:sz="0" w:space="0" w:color="auto"/>
            <w:left w:val="none" w:sz="0" w:space="0" w:color="auto"/>
            <w:bottom w:val="none" w:sz="0" w:space="0" w:color="auto"/>
            <w:right w:val="none" w:sz="0" w:space="0" w:color="auto"/>
          </w:divBdr>
        </w:div>
        <w:div w:id="1283151798">
          <w:marLeft w:val="0"/>
          <w:marRight w:val="0"/>
          <w:marTop w:val="0"/>
          <w:marBottom w:val="0"/>
          <w:divBdr>
            <w:top w:val="none" w:sz="0" w:space="0" w:color="auto"/>
            <w:left w:val="none" w:sz="0" w:space="0" w:color="auto"/>
            <w:bottom w:val="none" w:sz="0" w:space="0" w:color="auto"/>
            <w:right w:val="none" w:sz="0" w:space="0" w:color="auto"/>
          </w:divBdr>
        </w:div>
        <w:div w:id="1354644957">
          <w:marLeft w:val="0"/>
          <w:marRight w:val="0"/>
          <w:marTop w:val="0"/>
          <w:marBottom w:val="0"/>
          <w:divBdr>
            <w:top w:val="none" w:sz="0" w:space="0" w:color="auto"/>
            <w:left w:val="none" w:sz="0" w:space="0" w:color="auto"/>
            <w:bottom w:val="none" w:sz="0" w:space="0" w:color="auto"/>
            <w:right w:val="none" w:sz="0" w:space="0" w:color="auto"/>
          </w:divBdr>
        </w:div>
        <w:div w:id="1489789453">
          <w:marLeft w:val="0"/>
          <w:marRight w:val="0"/>
          <w:marTop w:val="0"/>
          <w:marBottom w:val="0"/>
          <w:divBdr>
            <w:top w:val="none" w:sz="0" w:space="0" w:color="auto"/>
            <w:left w:val="none" w:sz="0" w:space="0" w:color="auto"/>
            <w:bottom w:val="none" w:sz="0" w:space="0" w:color="auto"/>
            <w:right w:val="none" w:sz="0" w:space="0" w:color="auto"/>
          </w:divBdr>
        </w:div>
        <w:div w:id="1524512074">
          <w:marLeft w:val="0"/>
          <w:marRight w:val="0"/>
          <w:marTop w:val="0"/>
          <w:marBottom w:val="0"/>
          <w:divBdr>
            <w:top w:val="none" w:sz="0" w:space="0" w:color="auto"/>
            <w:left w:val="none" w:sz="0" w:space="0" w:color="auto"/>
            <w:bottom w:val="none" w:sz="0" w:space="0" w:color="auto"/>
            <w:right w:val="none" w:sz="0" w:space="0" w:color="auto"/>
          </w:divBdr>
        </w:div>
        <w:div w:id="1524710484">
          <w:marLeft w:val="0"/>
          <w:marRight w:val="0"/>
          <w:marTop w:val="0"/>
          <w:marBottom w:val="0"/>
          <w:divBdr>
            <w:top w:val="none" w:sz="0" w:space="0" w:color="auto"/>
            <w:left w:val="none" w:sz="0" w:space="0" w:color="auto"/>
            <w:bottom w:val="none" w:sz="0" w:space="0" w:color="auto"/>
            <w:right w:val="none" w:sz="0" w:space="0" w:color="auto"/>
          </w:divBdr>
        </w:div>
        <w:div w:id="1581908571">
          <w:marLeft w:val="0"/>
          <w:marRight w:val="0"/>
          <w:marTop w:val="0"/>
          <w:marBottom w:val="0"/>
          <w:divBdr>
            <w:top w:val="none" w:sz="0" w:space="0" w:color="auto"/>
            <w:left w:val="none" w:sz="0" w:space="0" w:color="auto"/>
            <w:bottom w:val="none" w:sz="0" w:space="0" w:color="auto"/>
            <w:right w:val="none" w:sz="0" w:space="0" w:color="auto"/>
          </w:divBdr>
        </w:div>
        <w:div w:id="1601836655">
          <w:marLeft w:val="0"/>
          <w:marRight w:val="0"/>
          <w:marTop w:val="0"/>
          <w:marBottom w:val="0"/>
          <w:divBdr>
            <w:top w:val="none" w:sz="0" w:space="0" w:color="auto"/>
            <w:left w:val="none" w:sz="0" w:space="0" w:color="auto"/>
            <w:bottom w:val="none" w:sz="0" w:space="0" w:color="auto"/>
            <w:right w:val="none" w:sz="0" w:space="0" w:color="auto"/>
          </w:divBdr>
        </w:div>
        <w:div w:id="1602034322">
          <w:marLeft w:val="0"/>
          <w:marRight w:val="0"/>
          <w:marTop w:val="0"/>
          <w:marBottom w:val="0"/>
          <w:divBdr>
            <w:top w:val="none" w:sz="0" w:space="0" w:color="auto"/>
            <w:left w:val="none" w:sz="0" w:space="0" w:color="auto"/>
            <w:bottom w:val="none" w:sz="0" w:space="0" w:color="auto"/>
            <w:right w:val="none" w:sz="0" w:space="0" w:color="auto"/>
          </w:divBdr>
        </w:div>
        <w:div w:id="1608271241">
          <w:marLeft w:val="0"/>
          <w:marRight w:val="0"/>
          <w:marTop w:val="0"/>
          <w:marBottom w:val="0"/>
          <w:divBdr>
            <w:top w:val="none" w:sz="0" w:space="0" w:color="auto"/>
            <w:left w:val="none" w:sz="0" w:space="0" w:color="auto"/>
            <w:bottom w:val="none" w:sz="0" w:space="0" w:color="auto"/>
            <w:right w:val="none" w:sz="0" w:space="0" w:color="auto"/>
          </w:divBdr>
        </w:div>
        <w:div w:id="1716616104">
          <w:marLeft w:val="0"/>
          <w:marRight w:val="0"/>
          <w:marTop w:val="0"/>
          <w:marBottom w:val="0"/>
          <w:divBdr>
            <w:top w:val="none" w:sz="0" w:space="0" w:color="auto"/>
            <w:left w:val="none" w:sz="0" w:space="0" w:color="auto"/>
            <w:bottom w:val="none" w:sz="0" w:space="0" w:color="auto"/>
            <w:right w:val="none" w:sz="0" w:space="0" w:color="auto"/>
          </w:divBdr>
        </w:div>
        <w:div w:id="1734547247">
          <w:marLeft w:val="0"/>
          <w:marRight w:val="0"/>
          <w:marTop w:val="0"/>
          <w:marBottom w:val="0"/>
          <w:divBdr>
            <w:top w:val="none" w:sz="0" w:space="0" w:color="auto"/>
            <w:left w:val="none" w:sz="0" w:space="0" w:color="auto"/>
            <w:bottom w:val="none" w:sz="0" w:space="0" w:color="auto"/>
            <w:right w:val="none" w:sz="0" w:space="0" w:color="auto"/>
          </w:divBdr>
        </w:div>
        <w:div w:id="1760712611">
          <w:marLeft w:val="0"/>
          <w:marRight w:val="0"/>
          <w:marTop w:val="0"/>
          <w:marBottom w:val="0"/>
          <w:divBdr>
            <w:top w:val="none" w:sz="0" w:space="0" w:color="auto"/>
            <w:left w:val="none" w:sz="0" w:space="0" w:color="auto"/>
            <w:bottom w:val="none" w:sz="0" w:space="0" w:color="auto"/>
            <w:right w:val="none" w:sz="0" w:space="0" w:color="auto"/>
          </w:divBdr>
        </w:div>
        <w:div w:id="1836800456">
          <w:marLeft w:val="0"/>
          <w:marRight w:val="0"/>
          <w:marTop w:val="0"/>
          <w:marBottom w:val="0"/>
          <w:divBdr>
            <w:top w:val="none" w:sz="0" w:space="0" w:color="auto"/>
            <w:left w:val="none" w:sz="0" w:space="0" w:color="auto"/>
            <w:bottom w:val="none" w:sz="0" w:space="0" w:color="auto"/>
            <w:right w:val="none" w:sz="0" w:space="0" w:color="auto"/>
          </w:divBdr>
        </w:div>
        <w:div w:id="1851993443">
          <w:marLeft w:val="0"/>
          <w:marRight w:val="0"/>
          <w:marTop w:val="0"/>
          <w:marBottom w:val="0"/>
          <w:divBdr>
            <w:top w:val="none" w:sz="0" w:space="0" w:color="auto"/>
            <w:left w:val="none" w:sz="0" w:space="0" w:color="auto"/>
            <w:bottom w:val="none" w:sz="0" w:space="0" w:color="auto"/>
            <w:right w:val="none" w:sz="0" w:space="0" w:color="auto"/>
          </w:divBdr>
        </w:div>
        <w:div w:id="1949118873">
          <w:marLeft w:val="0"/>
          <w:marRight w:val="0"/>
          <w:marTop w:val="0"/>
          <w:marBottom w:val="0"/>
          <w:divBdr>
            <w:top w:val="none" w:sz="0" w:space="0" w:color="auto"/>
            <w:left w:val="none" w:sz="0" w:space="0" w:color="auto"/>
            <w:bottom w:val="none" w:sz="0" w:space="0" w:color="auto"/>
            <w:right w:val="none" w:sz="0" w:space="0" w:color="auto"/>
          </w:divBdr>
        </w:div>
        <w:div w:id="1952204752">
          <w:marLeft w:val="0"/>
          <w:marRight w:val="0"/>
          <w:marTop w:val="0"/>
          <w:marBottom w:val="0"/>
          <w:divBdr>
            <w:top w:val="none" w:sz="0" w:space="0" w:color="auto"/>
            <w:left w:val="none" w:sz="0" w:space="0" w:color="auto"/>
            <w:bottom w:val="none" w:sz="0" w:space="0" w:color="auto"/>
            <w:right w:val="none" w:sz="0" w:space="0" w:color="auto"/>
          </w:divBdr>
        </w:div>
        <w:div w:id="1973628622">
          <w:marLeft w:val="0"/>
          <w:marRight w:val="0"/>
          <w:marTop w:val="0"/>
          <w:marBottom w:val="0"/>
          <w:divBdr>
            <w:top w:val="none" w:sz="0" w:space="0" w:color="auto"/>
            <w:left w:val="none" w:sz="0" w:space="0" w:color="auto"/>
            <w:bottom w:val="none" w:sz="0" w:space="0" w:color="auto"/>
            <w:right w:val="none" w:sz="0" w:space="0" w:color="auto"/>
          </w:divBdr>
        </w:div>
        <w:div w:id="1992371163">
          <w:marLeft w:val="0"/>
          <w:marRight w:val="0"/>
          <w:marTop w:val="0"/>
          <w:marBottom w:val="0"/>
          <w:divBdr>
            <w:top w:val="none" w:sz="0" w:space="0" w:color="auto"/>
            <w:left w:val="none" w:sz="0" w:space="0" w:color="auto"/>
            <w:bottom w:val="none" w:sz="0" w:space="0" w:color="auto"/>
            <w:right w:val="none" w:sz="0" w:space="0" w:color="auto"/>
          </w:divBdr>
        </w:div>
        <w:div w:id="2065792593">
          <w:marLeft w:val="0"/>
          <w:marRight w:val="0"/>
          <w:marTop w:val="0"/>
          <w:marBottom w:val="0"/>
          <w:divBdr>
            <w:top w:val="none" w:sz="0" w:space="0" w:color="auto"/>
            <w:left w:val="none" w:sz="0" w:space="0" w:color="auto"/>
            <w:bottom w:val="none" w:sz="0" w:space="0" w:color="auto"/>
            <w:right w:val="none" w:sz="0" w:space="0" w:color="auto"/>
          </w:divBdr>
        </w:div>
        <w:div w:id="2070765951">
          <w:marLeft w:val="0"/>
          <w:marRight w:val="0"/>
          <w:marTop w:val="0"/>
          <w:marBottom w:val="0"/>
          <w:divBdr>
            <w:top w:val="none" w:sz="0" w:space="0" w:color="auto"/>
            <w:left w:val="none" w:sz="0" w:space="0" w:color="auto"/>
            <w:bottom w:val="none" w:sz="0" w:space="0" w:color="auto"/>
            <w:right w:val="none" w:sz="0" w:space="0" w:color="auto"/>
          </w:divBdr>
        </w:div>
        <w:div w:id="2087454250">
          <w:marLeft w:val="0"/>
          <w:marRight w:val="0"/>
          <w:marTop w:val="0"/>
          <w:marBottom w:val="0"/>
          <w:divBdr>
            <w:top w:val="none" w:sz="0" w:space="0" w:color="auto"/>
            <w:left w:val="none" w:sz="0" w:space="0" w:color="auto"/>
            <w:bottom w:val="none" w:sz="0" w:space="0" w:color="auto"/>
            <w:right w:val="none" w:sz="0" w:space="0" w:color="auto"/>
          </w:divBdr>
        </w:div>
        <w:div w:id="2139061462">
          <w:marLeft w:val="0"/>
          <w:marRight w:val="0"/>
          <w:marTop w:val="0"/>
          <w:marBottom w:val="0"/>
          <w:divBdr>
            <w:top w:val="none" w:sz="0" w:space="0" w:color="auto"/>
            <w:left w:val="none" w:sz="0" w:space="0" w:color="auto"/>
            <w:bottom w:val="none" w:sz="0" w:space="0" w:color="auto"/>
            <w:right w:val="none" w:sz="0" w:space="0" w:color="auto"/>
          </w:divBdr>
        </w:div>
        <w:div w:id="2146386201">
          <w:marLeft w:val="0"/>
          <w:marRight w:val="0"/>
          <w:marTop w:val="0"/>
          <w:marBottom w:val="0"/>
          <w:divBdr>
            <w:top w:val="none" w:sz="0" w:space="0" w:color="auto"/>
            <w:left w:val="none" w:sz="0" w:space="0" w:color="auto"/>
            <w:bottom w:val="none" w:sz="0" w:space="0" w:color="auto"/>
            <w:right w:val="none" w:sz="0" w:space="0" w:color="auto"/>
          </w:divBdr>
        </w:div>
      </w:divsChild>
    </w:div>
    <w:div w:id="20057804">
      <w:bodyDiv w:val="1"/>
      <w:marLeft w:val="0"/>
      <w:marRight w:val="0"/>
      <w:marTop w:val="0"/>
      <w:marBottom w:val="0"/>
      <w:divBdr>
        <w:top w:val="none" w:sz="0" w:space="0" w:color="auto"/>
        <w:left w:val="none" w:sz="0" w:space="0" w:color="auto"/>
        <w:bottom w:val="none" w:sz="0" w:space="0" w:color="auto"/>
        <w:right w:val="none" w:sz="0" w:space="0" w:color="auto"/>
      </w:divBdr>
      <w:divsChild>
        <w:div w:id="11152527">
          <w:marLeft w:val="0"/>
          <w:marRight w:val="0"/>
          <w:marTop w:val="0"/>
          <w:marBottom w:val="0"/>
          <w:divBdr>
            <w:top w:val="none" w:sz="0" w:space="0" w:color="auto"/>
            <w:left w:val="none" w:sz="0" w:space="0" w:color="auto"/>
            <w:bottom w:val="none" w:sz="0" w:space="0" w:color="auto"/>
            <w:right w:val="none" w:sz="0" w:space="0" w:color="auto"/>
          </w:divBdr>
        </w:div>
        <w:div w:id="100731243">
          <w:marLeft w:val="0"/>
          <w:marRight w:val="0"/>
          <w:marTop w:val="0"/>
          <w:marBottom w:val="0"/>
          <w:divBdr>
            <w:top w:val="none" w:sz="0" w:space="0" w:color="auto"/>
            <w:left w:val="none" w:sz="0" w:space="0" w:color="auto"/>
            <w:bottom w:val="none" w:sz="0" w:space="0" w:color="auto"/>
            <w:right w:val="none" w:sz="0" w:space="0" w:color="auto"/>
          </w:divBdr>
        </w:div>
        <w:div w:id="534775315">
          <w:marLeft w:val="0"/>
          <w:marRight w:val="0"/>
          <w:marTop w:val="0"/>
          <w:marBottom w:val="0"/>
          <w:divBdr>
            <w:top w:val="none" w:sz="0" w:space="0" w:color="auto"/>
            <w:left w:val="none" w:sz="0" w:space="0" w:color="auto"/>
            <w:bottom w:val="none" w:sz="0" w:space="0" w:color="auto"/>
            <w:right w:val="none" w:sz="0" w:space="0" w:color="auto"/>
          </w:divBdr>
        </w:div>
        <w:div w:id="614949835">
          <w:marLeft w:val="0"/>
          <w:marRight w:val="0"/>
          <w:marTop w:val="0"/>
          <w:marBottom w:val="0"/>
          <w:divBdr>
            <w:top w:val="none" w:sz="0" w:space="0" w:color="auto"/>
            <w:left w:val="none" w:sz="0" w:space="0" w:color="auto"/>
            <w:bottom w:val="none" w:sz="0" w:space="0" w:color="auto"/>
            <w:right w:val="none" w:sz="0" w:space="0" w:color="auto"/>
          </w:divBdr>
        </w:div>
        <w:div w:id="1735198211">
          <w:marLeft w:val="0"/>
          <w:marRight w:val="0"/>
          <w:marTop w:val="0"/>
          <w:marBottom w:val="0"/>
          <w:divBdr>
            <w:top w:val="none" w:sz="0" w:space="0" w:color="auto"/>
            <w:left w:val="none" w:sz="0" w:space="0" w:color="auto"/>
            <w:bottom w:val="none" w:sz="0" w:space="0" w:color="auto"/>
            <w:right w:val="none" w:sz="0" w:space="0" w:color="auto"/>
          </w:divBdr>
        </w:div>
        <w:div w:id="1934509685">
          <w:marLeft w:val="0"/>
          <w:marRight w:val="0"/>
          <w:marTop w:val="0"/>
          <w:marBottom w:val="0"/>
          <w:divBdr>
            <w:top w:val="none" w:sz="0" w:space="0" w:color="auto"/>
            <w:left w:val="none" w:sz="0" w:space="0" w:color="auto"/>
            <w:bottom w:val="none" w:sz="0" w:space="0" w:color="auto"/>
            <w:right w:val="none" w:sz="0" w:space="0" w:color="auto"/>
          </w:divBdr>
        </w:div>
      </w:divsChild>
    </w:div>
    <w:div w:id="23333034">
      <w:bodyDiv w:val="1"/>
      <w:marLeft w:val="0"/>
      <w:marRight w:val="0"/>
      <w:marTop w:val="0"/>
      <w:marBottom w:val="0"/>
      <w:divBdr>
        <w:top w:val="none" w:sz="0" w:space="0" w:color="auto"/>
        <w:left w:val="none" w:sz="0" w:space="0" w:color="auto"/>
        <w:bottom w:val="none" w:sz="0" w:space="0" w:color="auto"/>
        <w:right w:val="none" w:sz="0" w:space="0" w:color="auto"/>
      </w:divBdr>
    </w:div>
    <w:div w:id="23484670">
      <w:bodyDiv w:val="1"/>
      <w:marLeft w:val="0"/>
      <w:marRight w:val="0"/>
      <w:marTop w:val="0"/>
      <w:marBottom w:val="0"/>
      <w:divBdr>
        <w:top w:val="none" w:sz="0" w:space="0" w:color="auto"/>
        <w:left w:val="none" w:sz="0" w:space="0" w:color="auto"/>
        <w:bottom w:val="none" w:sz="0" w:space="0" w:color="auto"/>
        <w:right w:val="none" w:sz="0" w:space="0" w:color="auto"/>
      </w:divBdr>
      <w:divsChild>
        <w:div w:id="202209780">
          <w:marLeft w:val="720"/>
          <w:marRight w:val="0"/>
          <w:marTop w:val="200"/>
          <w:marBottom w:val="0"/>
          <w:divBdr>
            <w:top w:val="none" w:sz="0" w:space="0" w:color="auto"/>
            <w:left w:val="none" w:sz="0" w:space="0" w:color="auto"/>
            <w:bottom w:val="none" w:sz="0" w:space="0" w:color="auto"/>
            <w:right w:val="none" w:sz="0" w:space="0" w:color="auto"/>
          </w:divBdr>
        </w:div>
        <w:div w:id="604847293">
          <w:marLeft w:val="720"/>
          <w:marRight w:val="0"/>
          <w:marTop w:val="200"/>
          <w:marBottom w:val="0"/>
          <w:divBdr>
            <w:top w:val="none" w:sz="0" w:space="0" w:color="auto"/>
            <w:left w:val="none" w:sz="0" w:space="0" w:color="auto"/>
            <w:bottom w:val="none" w:sz="0" w:space="0" w:color="auto"/>
            <w:right w:val="none" w:sz="0" w:space="0" w:color="auto"/>
          </w:divBdr>
        </w:div>
        <w:div w:id="652951838">
          <w:marLeft w:val="547"/>
          <w:marRight w:val="0"/>
          <w:marTop w:val="200"/>
          <w:marBottom w:val="0"/>
          <w:divBdr>
            <w:top w:val="none" w:sz="0" w:space="0" w:color="auto"/>
            <w:left w:val="none" w:sz="0" w:space="0" w:color="auto"/>
            <w:bottom w:val="none" w:sz="0" w:space="0" w:color="auto"/>
            <w:right w:val="none" w:sz="0" w:space="0" w:color="auto"/>
          </w:divBdr>
        </w:div>
        <w:div w:id="1043867330">
          <w:marLeft w:val="547"/>
          <w:marRight w:val="0"/>
          <w:marTop w:val="200"/>
          <w:marBottom w:val="0"/>
          <w:divBdr>
            <w:top w:val="none" w:sz="0" w:space="0" w:color="auto"/>
            <w:left w:val="none" w:sz="0" w:space="0" w:color="auto"/>
            <w:bottom w:val="none" w:sz="0" w:space="0" w:color="auto"/>
            <w:right w:val="none" w:sz="0" w:space="0" w:color="auto"/>
          </w:divBdr>
        </w:div>
        <w:div w:id="1286540939">
          <w:marLeft w:val="547"/>
          <w:marRight w:val="0"/>
          <w:marTop w:val="200"/>
          <w:marBottom w:val="0"/>
          <w:divBdr>
            <w:top w:val="none" w:sz="0" w:space="0" w:color="auto"/>
            <w:left w:val="none" w:sz="0" w:space="0" w:color="auto"/>
            <w:bottom w:val="none" w:sz="0" w:space="0" w:color="auto"/>
            <w:right w:val="none" w:sz="0" w:space="0" w:color="auto"/>
          </w:divBdr>
        </w:div>
        <w:div w:id="2080012786">
          <w:marLeft w:val="720"/>
          <w:marRight w:val="0"/>
          <w:marTop w:val="200"/>
          <w:marBottom w:val="0"/>
          <w:divBdr>
            <w:top w:val="none" w:sz="0" w:space="0" w:color="auto"/>
            <w:left w:val="none" w:sz="0" w:space="0" w:color="auto"/>
            <w:bottom w:val="none" w:sz="0" w:space="0" w:color="auto"/>
            <w:right w:val="none" w:sz="0" w:space="0" w:color="auto"/>
          </w:divBdr>
        </w:div>
      </w:divsChild>
    </w:div>
    <w:div w:id="24793301">
      <w:bodyDiv w:val="1"/>
      <w:marLeft w:val="0"/>
      <w:marRight w:val="0"/>
      <w:marTop w:val="0"/>
      <w:marBottom w:val="0"/>
      <w:divBdr>
        <w:top w:val="none" w:sz="0" w:space="0" w:color="auto"/>
        <w:left w:val="none" w:sz="0" w:space="0" w:color="auto"/>
        <w:bottom w:val="none" w:sz="0" w:space="0" w:color="auto"/>
        <w:right w:val="none" w:sz="0" w:space="0" w:color="auto"/>
      </w:divBdr>
      <w:divsChild>
        <w:div w:id="1352025687">
          <w:marLeft w:val="0"/>
          <w:marRight w:val="0"/>
          <w:marTop w:val="0"/>
          <w:marBottom w:val="0"/>
          <w:divBdr>
            <w:top w:val="none" w:sz="0" w:space="0" w:color="auto"/>
            <w:left w:val="none" w:sz="0" w:space="0" w:color="auto"/>
            <w:bottom w:val="none" w:sz="0" w:space="0" w:color="auto"/>
            <w:right w:val="none" w:sz="0" w:space="0" w:color="auto"/>
          </w:divBdr>
        </w:div>
      </w:divsChild>
    </w:div>
    <w:div w:id="27922788">
      <w:bodyDiv w:val="1"/>
      <w:marLeft w:val="0"/>
      <w:marRight w:val="0"/>
      <w:marTop w:val="0"/>
      <w:marBottom w:val="0"/>
      <w:divBdr>
        <w:top w:val="none" w:sz="0" w:space="0" w:color="auto"/>
        <w:left w:val="none" w:sz="0" w:space="0" w:color="auto"/>
        <w:bottom w:val="none" w:sz="0" w:space="0" w:color="auto"/>
        <w:right w:val="none" w:sz="0" w:space="0" w:color="auto"/>
      </w:divBdr>
      <w:divsChild>
        <w:div w:id="272975920">
          <w:marLeft w:val="0"/>
          <w:marRight w:val="0"/>
          <w:marTop w:val="0"/>
          <w:marBottom w:val="0"/>
          <w:divBdr>
            <w:top w:val="none" w:sz="0" w:space="0" w:color="auto"/>
            <w:left w:val="none" w:sz="0" w:space="0" w:color="auto"/>
            <w:bottom w:val="none" w:sz="0" w:space="0" w:color="auto"/>
            <w:right w:val="none" w:sz="0" w:space="0" w:color="auto"/>
          </w:divBdr>
        </w:div>
        <w:div w:id="277496277">
          <w:marLeft w:val="0"/>
          <w:marRight w:val="0"/>
          <w:marTop w:val="0"/>
          <w:marBottom w:val="0"/>
          <w:divBdr>
            <w:top w:val="none" w:sz="0" w:space="0" w:color="auto"/>
            <w:left w:val="none" w:sz="0" w:space="0" w:color="auto"/>
            <w:bottom w:val="none" w:sz="0" w:space="0" w:color="auto"/>
            <w:right w:val="none" w:sz="0" w:space="0" w:color="auto"/>
          </w:divBdr>
        </w:div>
        <w:div w:id="302782439">
          <w:marLeft w:val="0"/>
          <w:marRight w:val="0"/>
          <w:marTop w:val="0"/>
          <w:marBottom w:val="0"/>
          <w:divBdr>
            <w:top w:val="none" w:sz="0" w:space="0" w:color="auto"/>
            <w:left w:val="none" w:sz="0" w:space="0" w:color="auto"/>
            <w:bottom w:val="none" w:sz="0" w:space="0" w:color="auto"/>
            <w:right w:val="none" w:sz="0" w:space="0" w:color="auto"/>
          </w:divBdr>
        </w:div>
        <w:div w:id="348945017">
          <w:marLeft w:val="0"/>
          <w:marRight w:val="0"/>
          <w:marTop w:val="0"/>
          <w:marBottom w:val="0"/>
          <w:divBdr>
            <w:top w:val="none" w:sz="0" w:space="0" w:color="auto"/>
            <w:left w:val="none" w:sz="0" w:space="0" w:color="auto"/>
            <w:bottom w:val="none" w:sz="0" w:space="0" w:color="auto"/>
            <w:right w:val="none" w:sz="0" w:space="0" w:color="auto"/>
          </w:divBdr>
        </w:div>
        <w:div w:id="446044985">
          <w:marLeft w:val="0"/>
          <w:marRight w:val="0"/>
          <w:marTop w:val="0"/>
          <w:marBottom w:val="0"/>
          <w:divBdr>
            <w:top w:val="none" w:sz="0" w:space="0" w:color="auto"/>
            <w:left w:val="none" w:sz="0" w:space="0" w:color="auto"/>
            <w:bottom w:val="none" w:sz="0" w:space="0" w:color="auto"/>
            <w:right w:val="none" w:sz="0" w:space="0" w:color="auto"/>
          </w:divBdr>
        </w:div>
        <w:div w:id="510030325">
          <w:marLeft w:val="0"/>
          <w:marRight w:val="0"/>
          <w:marTop w:val="0"/>
          <w:marBottom w:val="0"/>
          <w:divBdr>
            <w:top w:val="none" w:sz="0" w:space="0" w:color="auto"/>
            <w:left w:val="none" w:sz="0" w:space="0" w:color="auto"/>
            <w:bottom w:val="none" w:sz="0" w:space="0" w:color="auto"/>
            <w:right w:val="none" w:sz="0" w:space="0" w:color="auto"/>
          </w:divBdr>
        </w:div>
        <w:div w:id="706371203">
          <w:marLeft w:val="0"/>
          <w:marRight w:val="0"/>
          <w:marTop w:val="0"/>
          <w:marBottom w:val="0"/>
          <w:divBdr>
            <w:top w:val="none" w:sz="0" w:space="0" w:color="auto"/>
            <w:left w:val="none" w:sz="0" w:space="0" w:color="auto"/>
            <w:bottom w:val="none" w:sz="0" w:space="0" w:color="auto"/>
            <w:right w:val="none" w:sz="0" w:space="0" w:color="auto"/>
          </w:divBdr>
        </w:div>
        <w:div w:id="809244814">
          <w:marLeft w:val="0"/>
          <w:marRight w:val="0"/>
          <w:marTop w:val="0"/>
          <w:marBottom w:val="0"/>
          <w:divBdr>
            <w:top w:val="none" w:sz="0" w:space="0" w:color="auto"/>
            <w:left w:val="none" w:sz="0" w:space="0" w:color="auto"/>
            <w:bottom w:val="none" w:sz="0" w:space="0" w:color="auto"/>
            <w:right w:val="none" w:sz="0" w:space="0" w:color="auto"/>
          </w:divBdr>
        </w:div>
        <w:div w:id="1116024439">
          <w:marLeft w:val="0"/>
          <w:marRight w:val="0"/>
          <w:marTop w:val="0"/>
          <w:marBottom w:val="0"/>
          <w:divBdr>
            <w:top w:val="none" w:sz="0" w:space="0" w:color="auto"/>
            <w:left w:val="none" w:sz="0" w:space="0" w:color="auto"/>
            <w:bottom w:val="none" w:sz="0" w:space="0" w:color="auto"/>
            <w:right w:val="none" w:sz="0" w:space="0" w:color="auto"/>
          </w:divBdr>
        </w:div>
        <w:div w:id="1582637490">
          <w:marLeft w:val="0"/>
          <w:marRight w:val="0"/>
          <w:marTop w:val="0"/>
          <w:marBottom w:val="0"/>
          <w:divBdr>
            <w:top w:val="none" w:sz="0" w:space="0" w:color="auto"/>
            <w:left w:val="none" w:sz="0" w:space="0" w:color="auto"/>
            <w:bottom w:val="none" w:sz="0" w:space="0" w:color="auto"/>
            <w:right w:val="none" w:sz="0" w:space="0" w:color="auto"/>
          </w:divBdr>
        </w:div>
        <w:div w:id="1849908372">
          <w:marLeft w:val="0"/>
          <w:marRight w:val="0"/>
          <w:marTop w:val="0"/>
          <w:marBottom w:val="0"/>
          <w:divBdr>
            <w:top w:val="none" w:sz="0" w:space="0" w:color="auto"/>
            <w:left w:val="none" w:sz="0" w:space="0" w:color="auto"/>
            <w:bottom w:val="none" w:sz="0" w:space="0" w:color="auto"/>
            <w:right w:val="none" w:sz="0" w:space="0" w:color="auto"/>
          </w:divBdr>
        </w:div>
        <w:div w:id="1972512638">
          <w:marLeft w:val="0"/>
          <w:marRight w:val="0"/>
          <w:marTop w:val="0"/>
          <w:marBottom w:val="0"/>
          <w:divBdr>
            <w:top w:val="none" w:sz="0" w:space="0" w:color="auto"/>
            <w:left w:val="none" w:sz="0" w:space="0" w:color="auto"/>
            <w:bottom w:val="none" w:sz="0" w:space="0" w:color="auto"/>
            <w:right w:val="none" w:sz="0" w:space="0" w:color="auto"/>
          </w:divBdr>
        </w:div>
        <w:div w:id="2042513109">
          <w:marLeft w:val="0"/>
          <w:marRight w:val="0"/>
          <w:marTop w:val="0"/>
          <w:marBottom w:val="0"/>
          <w:divBdr>
            <w:top w:val="none" w:sz="0" w:space="0" w:color="auto"/>
            <w:left w:val="none" w:sz="0" w:space="0" w:color="auto"/>
            <w:bottom w:val="none" w:sz="0" w:space="0" w:color="auto"/>
            <w:right w:val="none" w:sz="0" w:space="0" w:color="auto"/>
          </w:divBdr>
        </w:div>
        <w:div w:id="2145079882">
          <w:marLeft w:val="0"/>
          <w:marRight w:val="0"/>
          <w:marTop w:val="0"/>
          <w:marBottom w:val="0"/>
          <w:divBdr>
            <w:top w:val="none" w:sz="0" w:space="0" w:color="auto"/>
            <w:left w:val="none" w:sz="0" w:space="0" w:color="auto"/>
            <w:bottom w:val="none" w:sz="0" w:space="0" w:color="auto"/>
            <w:right w:val="none" w:sz="0" w:space="0" w:color="auto"/>
          </w:divBdr>
        </w:div>
      </w:divsChild>
    </w:div>
    <w:div w:id="29648917">
      <w:bodyDiv w:val="1"/>
      <w:marLeft w:val="0"/>
      <w:marRight w:val="0"/>
      <w:marTop w:val="0"/>
      <w:marBottom w:val="0"/>
      <w:divBdr>
        <w:top w:val="none" w:sz="0" w:space="0" w:color="auto"/>
        <w:left w:val="none" w:sz="0" w:space="0" w:color="auto"/>
        <w:bottom w:val="none" w:sz="0" w:space="0" w:color="auto"/>
        <w:right w:val="none" w:sz="0" w:space="0" w:color="auto"/>
      </w:divBdr>
    </w:div>
    <w:div w:id="35855802">
      <w:bodyDiv w:val="1"/>
      <w:marLeft w:val="0"/>
      <w:marRight w:val="0"/>
      <w:marTop w:val="0"/>
      <w:marBottom w:val="0"/>
      <w:divBdr>
        <w:top w:val="none" w:sz="0" w:space="0" w:color="auto"/>
        <w:left w:val="none" w:sz="0" w:space="0" w:color="auto"/>
        <w:bottom w:val="none" w:sz="0" w:space="0" w:color="auto"/>
        <w:right w:val="none" w:sz="0" w:space="0" w:color="auto"/>
      </w:divBdr>
    </w:div>
    <w:div w:id="40785206">
      <w:bodyDiv w:val="1"/>
      <w:marLeft w:val="0"/>
      <w:marRight w:val="0"/>
      <w:marTop w:val="0"/>
      <w:marBottom w:val="0"/>
      <w:divBdr>
        <w:top w:val="none" w:sz="0" w:space="0" w:color="auto"/>
        <w:left w:val="none" w:sz="0" w:space="0" w:color="auto"/>
        <w:bottom w:val="none" w:sz="0" w:space="0" w:color="auto"/>
        <w:right w:val="none" w:sz="0" w:space="0" w:color="auto"/>
      </w:divBdr>
    </w:div>
    <w:div w:id="48965846">
      <w:bodyDiv w:val="1"/>
      <w:marLeft w:val="0"/>
      <w:marRight w:val="0"/>
      <w:marTop w:val="0"/>
      <w:marBottom w:val="0"/>
      <w:divBdr>
        <w:top w:val="none" w:sz="0" w:space="0" w:color="auto"/>
        <w:left w:val="none" w:sz="0" w:space="0" w:color="auto"/>
        <w:bottom w:val="none" w:sz="0" w:space="0" w:color="auto"/>
        <w:right w:val="none" w:sz="0" w:space="0" w:color="auto"/>
      </w:divBdr>
      <w:divsChild>
        <w:div w:id="1263419740">
          <w:marLeft w:val="0"/>
          <w:marRight w:val="0"/>
          <w:marTop w:val="0"/>
          <w:marBottom w:val="0"/>
          <w:divBdr>
            <w:top w:val="none" w:sz="0" w:space="0" w:color="auto"/>
            <w:left w:val="none" w:sz="0" w:space="0" w:color="auto"/>
            <w:bottom w:val="none" w:sz="0" w:space="0" w:color="auto"/>
            <w:right w:val="none" w:sz="0" w:space="0" w:color="auto"/>
          </w:divBdr>
        </w:div>
      </w:divsChild>
    </w:div>
    <w:div w:id="50544379">
      <w:bodyDiv w:val="1"/>
      <w:marLeft w:val="0"/>
      <w:marRight w:val="0"/>
      <w:marTop w:val="0"/>
      <w:marBottom w:val="0"/>
      <w:divBdr>
        <w:top w:val="none" w:sz="0" w:space="0" w:color="auto"/>
        <w:left w:val="none" w:sz="0" w:space="0" w:color="auto"/>
        <w:bottom w:val="none" w:sz="0" w:space="0" w:color="auto"/>
        <w:right w:val="none" w:sz="0" w:space="0" w:color="auto"/>
      </w:divBdr>
    </w:div>
    <w:div w:id="57440003">
      <w:bodyDiv w:val="1"/>
      <w:marLeft w:val="0"/>
      <w:marRight w:val="0"/>
      <w:marTop w:val="0"/>
      <w:marBottom w:val="0"/>
      <w:divBdr>
        <w:top w:val="none" w:sz="0" w:space="0" w:color="auto"/>
        <w:left w:val="none" w:sz="0" w:space="0" w:color="auto"/>
        <w:bottom w:val="none" w:sz="0" w:space="0" w:color="auto"/>
        <w:right w:val="none" w:sz="0" w:space="0" w:color="auto"/>
      </w:divBdr>
    </w:div>
    <w:div w:id="58596062">
      <w:bodyDiv w:val="1"/>
      <w:marLeft w:val="0"/>
      <w:marRight w:val="0"/>
      <w:marTop w:val="0"/>
      <w:marBottom w:val="0"/>
      <w:divBdr>
        <w:top w:val="none" w:sz="0" w:space="0" w:color="auto"/>
        <w:left w:val="none" w:sz="0" w:space="0" w:color="auto"/>
        <w:bottom w:val="none" w:sz="0" w:space="0" w:color="auto"/>
        <w:right w:val="none" w:sz="0" w:space="0" w:color="auto"/>
      </w:divBdr>
      <w:divsChild>
        <w:div w:id="1109082624">
          <w:marLeft w:val="0"/>
          <w:marRight w:val="0"/>
          <w:marTop w:val="0"/>
          <w:marBottom w:val="0"/>
          <w:divBdr>
            <w:top w:val="none" w:sz="0" w:space="0" w:color="auto"/>
            <w:left w:val="none" w:sz="0" w:space="0" w:color="auto"/>
            <w:bottom w:val="none" w:sz="0" w:space="0" w:color="auto"/>
            <w:right w:val="none" w:sz="0" w:space="0" w:color="auto"/>
          </w:divBdr>
        </w:div>
      </w:divsChild>
    </w:div>
    <w:div w:id="60753741">
      <w:bodyDiv w:val="1"/>
      <w:marLeft w:val="0"/>
      <w:marRight w:val="0"/>
      <w:marTop w:val="0"/>
      <w:marBottom w:val="0"/>
      <w:divBdr>
        <w:top w:val="none" w:sz="0" w:space="0" w:color="auto"/>
        <w:left w:val="none" w:sz="0" w:space="0" w:color="auto"/>
        <w:bottom w:val="none" w:sz="0" w:space="0" w:color="auto"/>
        <w:right w:val="none" w:sz="0" w:space="0" w:color="auto"/>
      </w:divBdr>
      <w:divsChild>
        <w:div w:id="8876450">
          <w:marLeft w:val="0"/>
          <w:marRight w:val="0"/>
          <w:marTop w:val="0"/>
          <w:marBottom w:val="0"/>
          <w:divBdr>
            <w:top w:val="none" w:sz="0" w:space="0" w:color="auto"/>
            <w:left w:val="none" w:sz="0" w:space="0" w:color="auto"/>
            <w:bottom w:val="none" w:sz="0" w:space="0" w:color="auto"/>
            <w:right w:val="none" w:sz="0" w:space="0" w:color="auto"/>
          </w:divBdr>
        </w:div>
        <w:div w:id="196703227">
          <w:marLeft w:val="0"/>
          <w:marRight w:val="0"/>
          <w:marTop w:val="0"/>
          <w:marBottom w:val="0"/>
          <w:divBdr>
            <w:top w:val="none" w:sz="0" w:space="0" w:color="auto"/>
            <w:left w:val="none" w:sz="0" w:space="0" w:color="auto"/>
            <w:bottom w:val="none" w:sz="0" w:space="0" w:color="auto"/>
            <w:right w:val="none" w:sz="0" w:space="0" w:color="auto"/>
          </w:divBdr>
        </w:div>
        <w:div w:id="359940794">
          <w:marLeft w:val="0"/>
          <w:marRight w:val="0"/>
          <w:marTop w:val="0"/>
          <w:marBottom w:val="0"/>
          <w:divBdr>
            <w:top w:val="none" w:sz="0" w:space="0" w:color="auto"/>
            <w:left w:val="none" w:sz="0" w:space="0" w:color="auto"/>
            <w:bottom w:val="none" w:sz="0" w:space="0" w:color="auto"/>
            <w:right w:val="none" w:sz="0" w:space="0" w:color="auto"/>
          </w:divBdr>
        </w:div>
        <w:div w:id="391663822">
          <w:marLeft w:val="0"/>
          <w:marRight w:val="0"/>
          <w:marTop w:val="0"/>
          <w:marBottom w:val="0"/>
          <w:divBdr>
            <w:top w:val="none" w:sz="0" w:space="0" w:color="auto"/>
            <w:left w:val="none" w:sz="0" w:space="0" w:color="auto"/>
            <w:bottom w:val="none" w:sz="0" w:space="0" w:color="auto"/>
            <w:right w:val="none" w:sz="0" w:space="0" w:color="auto"/>
          </w:divBdr>
        </w:div>
        <w:div w:id="557283501">
          <w:marLeft w:val="0"/>
          <w:marRight w:val="0"/>
          <w:marTop w:val="0"/>
          <w:marBottom w:val="0"/>
          <w:divBdr>
            <w:top w:val="none" w:sz="0" w:space="0" w:color="auto"/>
            <w:left w:val="none" w:sz="0" w:space="0" w:color="auto"/>
            <w:bottom w:val="none" w:sz="0" w:space="0" w:color="auto"/>
            <w:right w:val="none" w:sz="0" w:space="0" w:color="auto"/>
          </w:divBdr>
        </w:div>
        <w:div w:id="570582245">
          <w:marLeft w:val="0"/>
          <w:marRight w:val="0"/>
          <w:marTop w:val="0"/>
          <w:marBottom w:val="0"/>
          <w:divBdr>
            <w:top w:val="none" w:sz="0" w:space="0" w:color="auto"/>
            <w:left w:val="none" w:sz="0" w:space="0" w:color="auto"/>
            <w:bottom w:val="none" w:sz="0" w:space="0" w:color="auto"/>
            <w:right w:val="none" w:sz="0" w:space="0" w:color="auto"/>
          </w:divBdr>
        </w:div>
        <w:div w:id="625430247">
          <w:marLeft w:val="0"/>
          <w:marRight w:val="0"/>
          <w:marTop w:val="0"/>
          <w:marBottom w:val="0"/>
          <w:divBdr>
            <w:top w:val="none" w:sz="0" w:space="0" w:color="auto"/>
            <w:left w:val="none" w:sz="0" w:space="0" w:color="auto"/>
            <w:bottom w:val="none" w:sz="0" w:space="0" w:color="auto"/>
            <w:right w:val="none" w:sz="0" w:space="0" w:color="auto"/>
          </w:divBdr>
        </w:div>
        <w:div w:id="633676973">
          <w:marLeft w:val="0"/>
          <w:marRight w:val="0"/>
          <w:marTop w:val="0"/>
          <w:marBottom w:val="0"/>
          <w:divBdr>
            <w:top w:val="none" w:sz="0" w:space="0" w:color="auto"/>
            <w:left w:val="none" w:sz="0" w:space="0" w:color="auto"/>
            <w:bottom w:val="none" w:sz="0" w:space="0" w:color="auto"/>
            <w:right w:val="none" w:sz="0" w:space="0" w:color="auto"/>
          </w:divBdr>
        </w:div>
        <w:div w:id="994381004">
          <w:marLeft w:val="0"/>
          <w:marRight w:val="0"/>
          <w:marTop w:val="0"/>
          <w:marBottom w:val="0"/>
          <w:divBdr>
            <w:top w:val="none" w:sz="0" w:space="0" w:color="auto"/>
            <w:left w:val="none" w:sz="0" w:space="0" w:color="auto"/>
            <w:bottom w:val="none" w:sz="0" w:space="0" w:color="auto"/>
            <w:right w:val="none" w:sz="0" w:space="0" w:color="auto"/>
          </w:divBdr>
        </w:div>
        <w:div w:id="1010986983">
          <w:marLeft w:val="0"/>
          <w:marRight w:val="0"/>
          <w:marTop w:val="0"/>
          <w:marBottom w:val="0"/>
          <w:divBdr>
            <w:top w:val="none" w:sz="0" w:space="0" w:color="auto"/>
            <w:left w:val="none" w:sz="0" w:space="0" w:color="auto"/>
            <w:bottom w:val="none" w:sz="0" w:space="0" w:color="auto"/>
            <w:right w:val="none" w:sz="0" w:space="0" w:color="auto"/>
          </w:divBdr>
        </w:div>
        <w:div w:id="1134832863">
          <w:marLeft w:val="0"/>
          <w:marRight w:val="0"/>
          <w:marTop w:val="0"/>
          <w:marBottom w:val="0"/>
          <w:divBdr>
            <w:top w:val="none" w:sz="0" w:space="0" w:color="auto"/>
            <w:left w:val="none" w:sz="0" w:space="0" w:color="auto"/>
            <w:bottom w:val="none" w:sz="0" w:space="0" w:color="auto"/>
            <w:right w:val="none" w:sz="0" w:space="0" w:color="auto"/>
          </w:divBdr>
        </w:div>
        <w:div w:id="1198394632">
          <w:marLeft w:val="0"/>
          <w:marRight w:val="0"/>
          <w:marTop w:val="0"/>
          <w:marBottom w:val="0"/>
          <w:divBdr>
            <w:top w:val="none" w:sz="0" w:space="0" w:color="auto"/>
            <w:left w:val="none" w:sz="0" w:space="0" w:color="auto"/>
            <w:bottom w:val="none" w:sz="0" w:space="0" w:color="auto"/>
            <w:right w:val="none" w:sz="0" w:space="0" w:color="auto"/>
          </w:divBdr>
        </w:div>
        <w:div w:id="1600600471">
          <w:marLeft w:val="0"/>
          <w:marRight w:val="0"/>
          <w:marTop w:val="0"/>
          <w:marBottom w:val="0"/>
          <w:divBdr>
            <w:top w:val="none" w:sz="0" w:space="0" w:color="auto"/>
            <w:left w:val="none" w:sz="0" w:space="0" w:color="auto"/>
            <w:bottom w:val="none" w:sz="0" w:space="0" w:color="auto"/>
            <w:right w:val="none" w:sz="0" w:space="0" w:color="auto"/>
          </w:divBdr>
        </w:div>
        <w:div w:id="1612201397">
          <w:marLeft w:val="0"/>
          <w:marRight w:val="0"/>
          <w:marTop w:val="0"/>
          <w:marBottom w:val="0"/>
          <w:divBdr>
            <w:top w:val="none" w:sz="0" w:space="0" w:color="auto"/>
            <w:left w:val="none" w:sz="0" w:space="0" w:color="auto"/>
            <w:bottom w:val="none" w:sz="0" w:space="0" w:color="auto"/>
            <w:right w:val="none" w:sz="0" w:space="0" w:color="auto"/>
          </w:divBdr>
        </w:div>
        <w:div w:id="1620380865">
          <w:marLeft w:val="0"/>
          <w:marRight w:val="0"/>
          <w:marTop w:val="0"/>
          <w:marBottom w:val="0"/>
          <w:divBdr>
            <w:top w:val="none" w:sz="0" w:space="0" w:color="auto"/>
            <w:left w:val="none" w:sz="0" w:space="0" w:color="auto"/>
            <w:bottom w:val="none" w:sz="0" w:space="0" w:color="auto"/>
            <w:right w:val="none" w:sz="0" w:space="0" w:color="auto"/>
          </w:divBdr>
        </w:div>
        <w:div w:id="1938630824">
          <w:marLeft w:val="0"/>
          <w:marRight w:val="0"/>
          <w:marTop w:val="0"/>
          <w:marBottom w:val="0"/>
          <w:divBdr>
            <w:top w:val="none" w:sz="0" w:space="0" w:color="auto"/>
            <w:left w:val="none" w:sz="0" w:space="0" w:color="auto"/>
            <w:bottom w:val="none" w:sz="0" w:space="0" w:color="auto"/>
            <w:right w:val="none" w:sz="0" w:space="0" w:color="auto"/>
          </w:divBdr>
        </w:div>
        <w:div w:id="1951929757">
          <w:marLeft w:val="0"/>
          <w:marRight w:val="0"/>
          <w:marTop w:val="0"/>
          <w:marBottom w:val="0"/>
          <w:divBdr>
            <w:top w:val="none" w:sz="0" w:space="0" w:color="auto"/>
            <w:left w:val="none" w:sz="0" w:space="0" w:color="auto"/>
            <w:bottom w:val="none" w:sz="0" w:space="0" w:color="auto"/>
            <w:right w:val="none" w:sz="0" w:space="0" w:color="auto"/>
          </w:divBdr>
        </w:div>
        <w:div w:id="1956669306">
          <w:marLeft w:val="0"/>
          <w:marRight w:val="0"/>
          <w:marTop w:val="0"/>
          <w:marBottom w:val="0"/>
          <w:divBdr>
            <w:top w:val="none" w:sz="0" w:space="0" w:color="auto"/>
            <w:left w:val="none" w:sz="0" w:space="0" w:color="auto"/>
            <w:bottom w:val="none" w:sz="0" w:space="0" w:color="auto"/>
            <w:right w:val="none" w:sz="0" w:space="0" w:color="auto"/>
          </w:divBdr>
        </w:div>
        <w:div w:id="2133011833">
          <w:marLeft w:val="0"/>
          <w:marRight w:val="0"/>
          <w:marTop w:val="0"/>
          <w:marBottom w:val="0"/>
          <w:divBdr>
            <w:top w:val="none" w:sz="0" w:space="0" w:color="auto"/>
            <w:left w:val="none" w:sz="0" w:space="0" w:color="auto"/>
            <w:bottom w:val="none" w:sz="0" w:space="0" w:color="auto"/>
            <w:right w:val="none" w:sz="0" w:space="0" w:color="auto"/>
          </w:divBdr>
        </w:div>
      </w:divsChild>
    </w:div>
    <w:div w:id="62802776">
      <w:bodyDiv w:val="1"/>
      <w:marLeft w:val="0"/>
      <w:marRight w:val="0"/>
      <w:marTop w:val="0"/>
      <w:marBottom w:val="0"/>
      <w:divBdr>
        <w:top w:val="none" w:sz="0" w:space="0" w:color="auto"/>
        <w:left w:val="none" w:sz="0" w:space="0" w:color="auto"/>
        <w:bottom w:val="none" w:sz="0" w:space="0" w:color="auto"/>
        <w:right w:val="none" w:sz="0" w:space="0" w:color="auto"/>
      </w:divBdr>
      <w:divsChild>
        <w:div w:id="157230193">
          <w:marLeft w:val="0"/>
          <w:marRight w:val="0"/>
          <w:marTop w:val="0"/>
          <w:marBottom w:val="0"/>
          <w:divBdr>
            <w:top w:val="none" w:sz="0" w:space="0" w:color="auto"/>
            <w:left w:val="none" w:sz="0" w:space="0" w:color="auto"/>
            <w:bottom w:val="none" w:sz="0" w:space="0" w:color="auto"/>
            <w:right w:val="none" w:sz="0" w:space="0" w:color="auto"/>
          </w:divBdr>
        </w:div>
      </w:divsChild>
    </w:div>
    <w:div w:id="67772641">
      <w:bodyDiv w:val="1"/>
      <w:marLeft w:val="0"/>
      <w:marRight w:val="0"/>
      <w:marTop w:val="0"/>
      <w:marBottom w:val="0"/>
      <w:divBdr>
        <w:top w:val="none" w:sz="0" w:space="0" w:color="auto"/>
        <w:left w:val="none" w:sz="0" w:space="0" w:color="auto"/>
        <w:bottom w:val="none" w:sz="0" w:space="0" w:color="auto"/>
        <w:right w:val="none" w:sz="0" w:space="0" w:color="auto"/>
      </w:divBdr>
    </w:div>
    <w:div w:id="68887671">
      <w:bodyDiv w:val="1"/>
      <w:marLeft w:val="0"/>
      <w:marRight w:val="0"/>
      <w:marTop w:val="0"/>
      <w:marBottom w:val="0"/>
      <w:divBdr>
        <w:top w:val="none" w:sz="0" w:space="0" w:color="auto"/>
        <w:left w:val="none" w:sz="0" w:space="0" w:color="auto"/>
        <w:bottom w:val="none" w:sz="0" w:space="0" w:color="auto"/>
        <w:right w:val="none" w:sz="0" w:space="0" w:color="auto"/>
      </w:divBdr>
      <w:divsChild>
        <w:div w:id="1805149124">
          <w:marLeft w:val="0"/>
          <w:marRight w:val="0"/>
          <w:marTop w:val="0"/>
          <w:marBottom w:val="0"/>
          <w:divBdr>
            <w:top w:val="none" w:sz="0" w:space="0" w:color="auto"/>
            <w:left w:val="none" w:sz="0" w:space="0" w:color="auto"/>
            <w:bottom w:val="none" w:sz="0" w:space="0" w:color="auto"/>
            <w:right w:val="none" w:sz="0" w:space="0" w:color="auto"/>
          </w:divBdr>
        </w:div>
      </w:divsChild>
    </w:div>
    <w:div w:id="69547480">
      <w:bodyDiv w:val="1"/>
      <w:marLeft w:val="0"/>
      <w:marRight w:val="0"/>
      <w:marTop w:val="0"/>
      <w:marBottom w:val="0"/>
      <w:divBdr>
        <w:top w:val="none" w:sz="0" w:space="0" w:color="auto"/>
        <w:left w:val="none" w:sz="0" w:space="0" w:color="auto"/>
        <w:bottom w:val="none" w:sz="0" w:space="0" w:color="auto"/>
        <w:right w:val="none" w:sz="0" w:space="0" w:color="auto"/>
      </w:divBdr>
      <w:divsChild>
        <w:div w:id="3409683">
          <w:marLeft w:val="0"/>
          <w:marRight w:val="0"/>
          <w:marTop w:val="0"/>
          <w:marBottom w:val="0"/>
          <w:divBdr>
            <w:top w:val="none" w:sz="0" w:space="0" w:color="auto"/>
            <w:left w:val="none" w:sz="0" w:space="0" w:color="auto"/>
            <w:bottom w:val="none" w:sz="0" w:space="0" w:color="auto"/>
            <w:right w:val="none" w:sz="0" w:space="0" w:color="auto"/>
          </w:divBdr>
        </w:div>
        <w:div w:id="71434949">
          <w:marLeft w:val="0"/>
          <w:marRight w:val="0"/>
          <w:marTop w:val="0"/>
          <w:marBottom w:val="0"/>
          <w:divBdr>
            <w:top w:val="none" w:sz="0" w:space="0" w:color="auto"/>
            <w:left w:val="none" w:sz="0" w:space="0" w:color="auto"/>
            <w:bottom w:val="none" w:sz="0" w:space="0" w:color="auto"/>
            <w:right w:val="none" w:sz="0" w:space="0" w:color="auto"/>
          </w:divBdr>
        </w:div>
        <w:div w:id="78603989">
          <w:marLeft w:val="0"/>
          <w:marRight w:val="0"/>
          <w:marTop w:val="0"/>
          <w:marBottom w:val="0"/>
          <w:divBdr>
            <w:top w:val="none" w:sz="0" w:space="0" w:color="auto"/>
            <w:left w:val="none" w:sz="0" w:space="0" w:color="auto"/>
            <w:bottom w:val="none" w:sz="0" w:space="0" w:color="auto"/>
            <w:right w:val="none" w:sz="0" w:space="0" w:color="auto"/>
          </w:divBdr>
        </w:div>
        <w:div w:id="206374115">
          <w:marLeft w:val="0"/>
          <w:marRight w:val="0"/>
          <w:marTop w:val="0"/>
          <w:marBottom w:val="0"/>
          <w:divBdr>
            <w:top w:val="none" w:sz="0" w:space="0" w:color="auto"/>
            <w:left w:val="none" w:sz="0" w:space="0" w:color="auto"/>
            <w:bottom w:val="none" w:sz="0" w:space="0" w:color="auto"/>
            <w:right w:val="none" w:sz="0" w:space="0" w:color="auto"/>
          </w:divBdr>
        </w:div>
        <w:div w:id="333799534">
          <w:marLeft w:val="0"/>
          <w:marRight w:val="0"/>
          <w:marTop w:val="0"/>
          <w:marBottom w:val="0"/>
          <w:divBdr>
            <w:top w:val="none" w:sz="0" w:space="0" w:color="auto"/>
            <w:left w:val="none" w:sz="0" w:space="0" w:color="auto"/>
            <w:bottom w:val="none" w:sz="0" w:space="0" w:color="auto"/>
            <w:right w:val="none" w:sz="0" w:space="0" w:color="auto"/>
          </w:divBdr>
        </w:div>
        <w:div w:id="338431147">
          <w:marLeft w:val="0"/>
          <w:marRight w:val="0"/>
          <w:marTop w:val="0"/>
          <w:marBottom w:val="0"/>
          <w:divBdr>
            <w:top w:val="none" w:sz="0" w:space="0" w:color="auto"/>
            <w:left w:val="none" w:sz="0" w:space="0" w:color="auto"/>
            <w:bottom w:val="none" w:sz="0" w:space="0" w:color="auto"/>
            <w:right w:val="none" w:sz="0" w:space="0" w:color="auto"/>
          </w:divBdr>
        </w:div>
        <w:div w:id="418260884">
          <w:marLeft w:val="0"/>
          <w:marRight w:val="0"/>
          <w:marTop w:val="0"/>
          <w:marBottom w:val="0"/>
          <w:divBdr>
            <w:top w:val="none" w:sz="0" w:space="0" w:color="auto"/>
            <w:left w:val="none" w:sz="0" w:space="0" w:color="auto"/>
            <w:bottom w:val="none" w:sz="0" w:space="0" w:color="auto"/>
            <w:right w:val="none" w:sz="0" w:space="0" w:color="auto"/>
          </w:divBdr>
        </w:div>
        <w:div w:id="473522086">
          <w:marLeft w:val="0"/>
          <w:marRight w:val="0"/>
          <w:marTop w:val="0"/>
          <w:marBottom w:val="0"/>
          <w:divBdr>
            <w:top w:val="none" w:sz="0" w:space="0" w:color="auto"/>
            <w:left w:val="none" w:sz="0" w:space="0" w:color="auto"/>
            <w:bottom w:val="none" w:sz="0" w:space="0" w:color="auto"/>
            <w:right w:val="none" w:sz="0" w:space="0" w:color="auto"/>
          </w:divBdr>
        </w:div>
        <w:div w:id="554588558">
          <w:marLeft w:val="0"/>
          <w:marRight w:val="0"/>
          <w:marTop w:val="0"/>
          <w:marBottom w:val="0"/>
          <w:divBdr>
            <w:top w:val="none" w:sz="0" w:space="0" w:color="auto"/>
            <w:left w:val="none" w:sz="0" w:space="0" w:color="auto"/>
            <w:bottom w:val="none" w:sz="0" w:space="0" w:color="auto"/>
            <w:right w:val="none" w:sz="0" w:space="0" w:color="auto"/>
          </w:divBdr>
        </w:div>
        <w:div w:id="561914606">
          <w:marLeft w:val="0"/>
          <w:marRight w:val="0"/>
          <w:marTop w:val="0"/>
          <w:marBottom w:val="0"/>
          <w:divBdr>
            <w:top w:val="none" w:sz="0" w:space="0" w:color="auto"/>
            <w:left w:val="none" w:sz="0" w:space="0" w:color="auto"/>
            <w:bottom w:val="none" w:sz="0" w:space="0" w:color="auto"/>
            <w:right w:val="none" w:sz="0" w:space="0" w:color="auto"/>
          </w:divBdr>
        </w:div>
        <w:div w:id="644698802">
          <w:marLeft w:val="0"/>
          <w:marRight w:val="0"/>
          <w:marTop w:val="0"/>
          <w:marBottom w:val="0"/>
          <w:divBdr>
            <w:top w:val="none" w:sz="0" w:space="0" w:color="auto"/>
            <w:left w:val="none" w:sz="0" w:space="0" w:color="auto"/>
            <w:bottom w:val="none" w:sz="0" w:space="0" w:color="auto"/>
            <w:right w:val="none" w:sz="0" w:space="0" w:color="auto"/>
          </w:divBdr>
        </w:div>
        <w:div w:id="752774246">
          <w:marLeft w:val="0"/>
          <w:marRight w:val="0"/>
          <w:marTop w:val="0"/>
          <w:marBottom w:val="0"/>
          <w:divBdr>
            <w:top w:val="none" w:sz="0" w:space="0" w:color="auto"/>
            <w:left w:val="none" w:sz="0" w:space="0" w:color="auto"/>
            <w:bottom w:val="none" w:sz="0" w:space="0" w:color="auto"/>
            <w:right w:val="none" w:sz="0" w:space="0" w:color="auto"/>
          </w:divBdr>
        </w:div>
        <w:div w:id="757945361">
          <w:marLeft w:val="0"/>
          <w:marRight w:val="0"/>
          <w:marTop w:val="0"/>
          <w:marBottom w:val="0"/>
          <w:divBdr>
            <w:top w:val="none" w:sz="0" w:space="0" w:color="auto"/>
            <w:left w:val="none" w:sz="0" w:space="0" w:color="auto"/>
            <w:bottom w:val="none" w:sz="0" w:space="0" w:color="auto"/>
            <w:right w:val="none" w:sz="0" w:space="0" w:color="auto"/>
          </w:divBdr>
        </w:div>
        <w:div w:id="839928820">
          <w:marLeft w:val="0"/>
          <w:marRight w:val="0"/>
          <w:marTop w:val="0"/>
          <w:marBottom w:val="0"/>
          <w:divBdr>
            <w:top w:val="none" w:sz="0" w:space="0" w:color="auto"/>
            <w:left w:val="none" w:sz="0" w:space="0" w:color="auto"/>
            <w:bottom w:val="none" w:sz="0" w:space="0" w:color="auto"/>
            <w:right w:val="none" w:sz="0" w:space="0" w:color="auto"/>
          </w:divBdr>
        </w:div>
        <w:div w:id="929392818">
          <w:marLeft w:val="0"/>
          <w:marRight w:val="0"/>
          <w:marTop w:val="0"/>
          <w:marBottom w:val="0"/>
          <w:divBdr>
            <w:top w:val="none" w:sz="0" w:space="0" w:color="auto"/>
            <w:left w:val="none" w:sz="0" w:space="0" w:color="auto"/>
            <w:bottom w:val="none" w:sz="0" w:space="0" w:color="auto"/>
            <w:right w:val="none" w:sz="0" w:space="0" w:color="auto"/>
          </w:divBdr>
        </w:div>
        <w:div w:id="1058699105">
          <w:marLeft w:val="0"/>
          <w:marRight w:val="0"/>
          <w:marTop w:val="0"/>
          <w:marBottom w:val="0"/>
          <w:divBdr>
            <w:top w:val="none" w:sz="0" w:space="0" w:color="auto"/>
            <w:left w:val="none" w:sz="0" w:space="0" w:color="auto"/>
            <w:bottom w:val="none" w:sz="0" w:space="0" w:color="auto"/>
            <w:right w:val="none" w:sz="0" w:space="0" w:color="auto"/>
          </w:divBdr>
        </w:div>
        <w:div w:id="1065370222">
          <w:marLeft w:val="0"/>
          <w:marRight w:val="0"/>
          <w:marTop w:val="0"/>
          <w:marBottom w:val="0"/>
          <w:divBdr>
            <w:top w:val="none" w:sz="0" w:space="0" w:color="auto"/>
            <w:left w:val="none" w:sz="0" w:space="0" w:color="auto"/>
            <w:bottom w:val="none" w:sz="0" w:space="0" w:color="auto"/>
            <w:right w:val="none" w:sz="0" w:space="0" w:color="auto"/>
          </w:divBdr>
        </w:div>
        <w:div w:id="1103381750">
          <w:marLeft w:val="0"/>
          <w:marRight w:val="0"/>
          <w:marTop w:val="0"/>
          <w:marBottom w:val="0"/>
          <w:divBdr>
            <w:top w:val="none" w:sz="0" w:space="0" w:color="auto"/>
            <w:left w:val="none" w:sz="0" w:space="0" w:color="auto"/>
            <w:bottom w:val="none" w:sz="0" w:space="0" w:color="auto"/>
            <w:right w:val="none" w:sz="0" w:space="0" w:color="auto"/>
          </w:divBdr>
        </w:div>
        <w:div w:id="1252203757">
          <w:marLeft w:val="0"/>
          <w:marRight w:val="0"/>
          <w:marTop w:val="0"/>
          <w:marBottom w:val="0"/>
          <w:divBdr>
            <w:top w:val="none" w:sz="0" w:space="0" w:color="auto"/>
            <w:left w:val="none" w:sz="0" w:space="0" w:color="auto"/>
            <w:bottom w:val="none" w:sz="0" w:space="0" w:color="auto"/>
            <w:right w:val="none" w:sz="0" w:space="0" w:color="auto"/>
          </w:divBdr>
        </w:div>
        <w:div w:id="1286354578">
          <w:marLeft w:val="0"/>
          <w:marRight w:val="0"/>
          <w:marTop w:val="0"/>
          <w:marBottom w:val="0"/>
          <w:divBdr>
            <w:top w:val="none" w:sz="0" w:space="0" w:color="auto"/>
            <w:left w:val="none" w:sz="0" w:space="0" w:color="auto"/>
            <w:bottom w:val="none" w:sz="0" w:space="0" w:color="auto"/>
            <w:right w:val="none" w:sz="0" w:space="0" w:color="auto"/>
          </w:divBdr>
        </w:div>
        <w:div w:id="1309750471">
          <w:marLeft w:val="0"/>
          <w:marRight w:val="0"/>
          <w:marTop w:val="0"/>
          <w:marBottom w:val="0"/>
          <w:divBdr>
            <w:top w:val="none" w:sz="0" w:space="0" w:color="auto"/>
            <w:left w:val="none" w:sz="0" w:space="0" w:color="auto"/>
            <w:bottom w:val="none" w:sz="0" w:space="0" w:color="auto"/>
            <w:right w:val="none" w:sz="0" w:space="0" w:color="auto"/>
          </w:divBdr>
        </w:div>
        <w:div w:id="1407070632">
          <w:marLeft w:val="0"/>
          <w:marRight w:val="0"/>
          <w:marTop w:val="0"/>
          <w:marBottom w:val="0"/>
          <w:divBdr>
            <w:top w:val="none" w:sz="0" w:space="0" w:color="auto"/>
            <w:left w:val="none" w:sz="0" w:space="0" w:color="auto"/>
            <w:bottom w:val="none" w:sz="0" w:space="0" w:color="auto"/>
            <w:right w:val="none" w:sz="0" w:space="0" w:color="auto"/>
          </w:divBdr>
        </w:div>
        <w:div w:id="1689680204">
          <w:marLeft w:val="0"/>
          <w:marRight w:val="0"/>
          <w:marTop w:val="0"/>
          <w:marBottom w:val="0"/>
          <w:divBdr>
            <w:top w:val="none" w:sz="0" w:space="0" w:color="auto"/>
            <w:left w:val="none" w:sz="0" w:space="0" w:color="auto"/>
            <w:bottom w:val="none" w:sz="0" w:space="0" w:color="auto"/>
            <w:right w:val="none" w:sz="0" w:space="0" w:color="auto"/>
          </w:divBdr>
        </w:div>
        <w:div w:id="1723290221">
          <w:marLeft w:val="0"/>
          <w:marRight w:val="0"/>
          <w:marTop w:val="0"/>
          <w:marBottom w:val="0"/>
          <w:divBdr>
            <w:top w:val="none" w:sz="0" w:space="0" w:color="auto"/>
            <w:left w:val="none" w:sz="0" w:space="0" w:color="auto"/>
            <w:bottom w:val="none" w:sz="0" w:space="0" w:color="auto"/>
            <w:right w:val="none" w:sz="0" w:space="0" w:color="auto"/>
          </w:divBdr>
        </w:div>
        <w:div w:id="2003585921">
          <w:marLeft w:val="0"/>
          <w:marRight w:val="0"/>
          <w:marTop w:val="0"/>
          <w:marBottom w:val="0"/>
          <w:divBdr>
            <w:top w:val="none" w:sz="0" w:space="0" w:color="auto"/>
            <w:left w:val="none" w:sz="0" w:space="0" w:color="auto"/>
            <w:bottom w:val="none" w:sz="0" w:space="0" w:color="auto"/>
            <w:right w:val="none" w:sz="0" w:space="0" w:color="auto"/>
          </w:divBdr>
        </w:div>
        <w:div w:id="2118256920">
          <w:marLeft w:val="0"/>
          <w:marRight w:val="0"/>
          <w:marTop w:val="0"/>
          <w:marBottom w:val="0"/>
          <w:divBdr>
            <w:top w:val="none" w:sz="0" w:space="0" w:color="auto"/>
            <w:left w:val="none" w:sz="0" w:space="0" w:color="auto"/>
            <w:bottom w:val="none" w:sz="0" w:space="0" w:color="auto"/>
            <w:right w:val="none" w:sz="0" w:space="0" w:color="auto"/>
          </w:divBdr>
        </w:div>
        <w:div w:id="2122529086">
          <w:marLeft w:val="0"/>
          <w:marRight w:val="0"/>
          <w:marTop w:val="0"/>
          <w:marBottom w:val="0"/>
          <w:divBdr>
            <w:top w:val="none" w:sz="0" w:space="0" w:color="auto"/>
            <w:left w:val="none" w:sz="0" w:space="0" w:color="auto"/>
            <w:bottom w:val="none" w:sz="0" w:space="0" w:color="auto"/>
            <w:right w:val="none" w:sz="0" w:space="0" w:color="auto"/>
          </w:divBdr>
        </w:div>
      </w:divsChild>
    </w:div>
    <w:div w:id="70662776">
      <w:bodyDiv w:val="1"/>
      <w:marLeft w:val="0"/>
      <w:marRight w:val="0"/>
      <w:marTop w:val="0"/>
      <w:marBottom w:val="0"/>
      <w:divBdr>
        <w:top w:val="none" w:sz="0" w:space="0" w:color="auto"/>
        <w:left w:val="none" w:sz="0" w:space="0" w:color="auto"/>
        <w:bottom w:val="none" w:sz="0" w:space="0" w:color="auto"/>
        <w:right w:val="none" w:sz="0" w:space="0" w:color="auto"/>
      </w:divBdr>
    </w:div>
    <w:div w:id="72317934">
      <w:bodyDiv w:val="1"/>
      <w:marLeft w:val="0"/>
      <w:marRight w:val="0"/>
      <w:marTop w:val="0"/>
      <w:marBottom w:val="0"/>
      <w:divBdr>
        <w:top w:val="none" w:sz="0" w:space="0" w:color="auto"/>
        <w:left w:val="none" w:sz="0" w:space="0" w:color="auto"/>
        <w:bottom w:val="none" w:sz="0" w:space="0" w:color="auto"/>
        <w:right w:val="none" w:sz="0" w:space="0" w:color="auto"/>
      </w:divBdr>
    </w:div>
    <w:div w:id="83042164">
      <w:bodyDiv w:val="1"/>
      <w:marLeft w:val="0"/>
      <w:marRight w:val="0"/>
      <w:marTop w:val="0"/>
      <w:marBottom w:val="0"/>
      <w:divBdr>
        <w:top w:val="none" w:sz="0" w:space="0" w:color="auto"/>
        <w:left w:val="none" w:sz="0" w:space="0" w:color="auto"/>
        <w:bottom w:val="none" w:sz="0" w:space="0" w:color="auto"/>
        <w:right w:val="none" w:sz="0" w:space="0" w:color="auto"/>
      </w:divBdr>
    </w:div>
    <w:div w:id="83066299">
      <w:bodyDiv w:val="1"/>
      <w:marLeft w:val="0"/>
      <w:marRight w:val="0"/>
      <w:marTop w:val="0"/>
      <w:marBottom w:val="0"/>
      <w:divBdr>
        <w:top w:val="none" w:sz="0" w:space="0" w:color="auto"/>
        <w:left w:val="none" w:sz="0" w:space="0" w:color="auto"/>
        <w:bottom w:val="none" w:sz="0" w:space="0" w:color="auto"/>
        <w:right w:val="none" w:sz="0" w:space="0" w:color="auto"/>
      </w:divBdr>
    </w:div>
    <w:div w:id="83571342">
      <w:bodyDiv w:val="1"/>
      <w:marLeft w:val="0"/>
      <w:marRight w:val="0"/>
      <w:marTop w:val="0"/>
      <w:marBottom w:val="0"/>
      <w:divBdr>
        <w:top w:val="none" w:sz="0" w:space="0" w:color="auto"/>
        <w:left w:val="none" w:sz="0" w:space="0" w:color="auto"/>
        <w:bottom w:val="none" w:sz="0" w:space="0" w:color="auto"/>
        <w:right w:val="none" w:sz="0" w:space="0" w:color="auto"/>
      </w:divBdr>
      <w:divsChild>
        <w:div w:id="127550945">
          <w:marLeft w:val="0"/>
          <w:marRight w:val="0"/>
          <w:marTop w:val="0"/>
          <w:marBottom w:val="0"/>
          <w:divBdr>
            <w:top w:val="none" w:sz="0" w:space="0" w:color="auto"/>
            <w:left w:val="none" w:sz="0" w:space="0" w:color="auto"/>
            <w:bottom w:val="none" w:sz="0" w:space="0" w:color="auto"/>
            <w:right w:val="none" w:sz="0" w:space="0" w:color="auto"/>
          </w:divBdr>
        </w:div>
        <w:div w:id="276370899">
          <w:marLeft w:val="0"/>
          <w:marRight w:val="0"/>
          <w:marTop w:val="0"/>
          <w:marBottom w:val="0"/>
          <w:divBdr>
            <w:top w:val="none" w:sz="0" w:space="0" w:color="auto"/>
            <w:left w:val="none" w:sz="0" w:space="0" w:color="auto"/>
            <w:bottom w:val="none" w:sz="0" w:space="0" w:color="auto"/>
            <w:right w:val="none" w:sz="0" w:space="0" w:color="auto"/>
          </w:divBdr>
        </w:div>
        <w:div w:id="468787147">
          <w:marLeft w:val="0"/>
          <w:marRight w:val="0"/>
          <w:marTop w:val="0"/>
          <w:marBottom w:val="0"/>
          <w:divBdr>
            <w:top w:val="none" w:sz="0" w:space="0" w:color="auto"/>
            <w:left w:val="none" w:sz="0" w:space="0" w:color="auto"/>
            <w:bottom w:val="none" w:sz="0" w:space="0" w:color="auto"/>
            <w:right w:val="none" w:sz="0" w:space="0" w:color="auto"/>
          </w:divBdr>
        </w:div>
        <w:div w:id="502470562">
          <w:marLeft w:val="0"/>
          <w:marRight w:val="0"/>
          <w:marTop w:val="0"/>
          <w:marBottom w:val="0"/>
          <w:divBdr>
            <w:top w:val="none" w:sz="0" w:space="0" w:color="auto"/>
            <w:left w:val="none" w:sz="0" w:space="0" w:color="auto"/>
            <w:bottom w:val="none" w:sz="0" w:space="0" w:color="auto"/>
            <w:right w:val="none" w:sz="0" w:space="0" w:color="auto"/>
          </w:divBdr>
        </w:div>
        <w:div w:id="574705090">
          <w:marLeft w:val="0"/>
          <w:marRight w:val="0"/>
          <w:marTop w:val="0"/>
          <w:marBottom w:val="0"/>
          <w:divBdr>
            <w:top w:val="none" w:sz="0" w:space="0" w:color="auto"/>
            <w:left w:val="none" w:sz="0" w:space="0" w:color="auto"/>
            <w:bottom w:val="none" w:sz="0" w:space="0" w:color="auto"/>
            <w:right w:val="none" w:sz="0" w:space="0" w:color="auto"/>
          </w:divBdr>
        </w:div>
        <w:div w:id="647247255">
          <w:marLeft w:val="0"/>
          <w:marRight w:val="0"/>
          <w:marTop w:val="0"/>
          <w:marBottom w:val="0"/>
          <w:divBdr>
            <w:top w:val="none" w:sz="0" w:space="0" w:color="auto"/>
            <w:left w:val="none" w:sz="0" w:space="0" w:color="auto"/>
            <w:bottom w:val="none" w:sz="0" w:space="0" w:color="auto"/>
            <w:right w:val="none" w:sz="0" w:space="0" w:color="auto"/>
          </w:divBdr>
        </w:div>
        <w:div w:id="659306372">
          <w:marLeft w:val="0"/>
          <w:marRight w:val="0"/>
          <w:marTop w:val="0"/>
          <w:marBottom w:val="0"/>
          <w:divBdr>
            <w:top w:val="none" w:sz="0" w:space="0" w:color="auto"/>
            <w:left w:val="none" w:sz="0" w:space="0" w:color="auto"/>
            <w:bottom w:val="none" w:sz="0" w:space="0" w:color="auto"/>
            <w:right w:val="none" w:sz="0" w:space="0" w:color="auto"/>
          </w:divBdr>
        </w:div>
        <w:div w:id="674382494">
          <w:marLeft w:val="0"/>
          <w:marRight w:val="0"/>
          <w:marTop w:val="0"/>
          <w:marBottom w:val="0"/>
          <w:divBdr>
            <w:top w:val="none" w:sz="0" w:space="0" w:color="auto"/>
            <w:left w:val="none" w:sz="0" w:space="0" w:color="auto"/>
            <w:bottom w:val="none" w:sz="0" w:space="0" w:color="auto"/>
            <w:right w:val="none" w:sz="0" w:space="0" w:color="auto"/>
          </w:divBdr>
        </w:div>
        <w:div w:id="808321055">
          <w:marLeft w:val="0"/>
          <w:marRight w:val="0"/>
          <w:marTop w:val="0"/>
          <w:marBottom w:val="0"/>
          <w:divBdr>
            <w:top w:val="none" w:sz="0" w:space="0" w:color="auto"/>
            <w:left w:val="none" w:sz="0" w:space="0" w:color="auto"/>
            <w:bottom w:val="none" w:sz="0" w:space="0" w:color="auto"/>
            <w:right w:val="none" w:sz="0" w:space="0" w:color="auto"/>
          </w:divBdr>
        </w:div>
        <w:div w:id="863320576">
          <w:marLeft w:val="0"/>
          <w:marRight w:val="0"/>
          <w:marTop w:val="0"/>
          <w:marBottom w:val="0"/>
          <w:divBdr>
            <w:top w:val="none" w:sz="0" w:space="0" w:color="auto"/>
            <w:left w:val="none" w:sz="0" w:space="0" w:color="auto"/>
            <w:bottom w:val="none" w:sz="0" w:space="0" w:color="auto"/>
            <w:right w:val="none" w:sz="0" w:space="0" w:color="auto"/>
          </w:divBdr>
        </w:div>
        <w:div w:id="895626604">
          <w:marLeft w:val="0"/>
          <w:marRight w:val="0"/>
          <w:marTop w:val="0"/>
          <w:marBottom w:val="0"/>
          <w:divBdr>
            <w:top w:val="none" w:sz="0" w:space="0" w:color="auto"/>
            <w:left w:val="none" w:sz="0" w:space="0" w:color="auto"/>
            <w:bottom w:val="none" w:sz="0" w:space="0" w:color="auto"/>
            <w:right w:val="none" w:sz="0" w:space="0" w:color="auto"/>
          </w:divBdr>
        </w:div>
        <w:div w:id="1029185200">
          <w:marLeft w:val="0"/>
          <w:marRight w:val="0"/>
          <w:marTop w:val="0"/>
          <w:marBottom w:val="0"/>
          <w:divBdr>
            <w:top w:val="none" w:sz="0" w:space="0" w:color="auto"/>
            <w:left w:val="none" w:sz="0" w:space="0" w:color="auto"/>
            <w:bottom w:val="none" w:sz="0" w:space="0" w:color="auto"/>
            <w:right w:val="none" w:sz="0" w:space="0" w:color="auto"/>
          </w:divBdr>
        </w:div>
        <w:div w:id="1289975370">
          <w:marLeft w:val="0"/>
          <w:marRight w:val="0"/>
          <w:marTop w:val="0"/>
          <w:marBottom w:val="0"/>
          <w:divBdr>
            <w:top w:val="none" w:sz="0" w:space="0" w:color="auto"/>
            <w:left w:val="none" w:sz="0" w:space="0" w:color="auto"/>
            <w:bottom w:val="none" w:sz="0" w:space="0" w:color="auto"/>
            <w:right w:val="none" w:sz="0" w:space="0" w:color="auto"/>
          </w:divBdr>
        </w:div>
        <w:div w:id="1390032874">
          <w:marLeft w:val="0"/>
          <w:marRight w:val="0"/>
          <w:marTop w:val="0"/>
          <w:marBottom w:val="0"/>
          <w:divBdr>
            <w:top w:val="none" w:sz="0" w:space="0" w:color="auto"/>
            <w:left w:val="none" w:sz="0" w:space="0" w:color="auto"/>
            <w:bottom w:val="none" w:sz="0" w:space="0" w:color="auto"/>
            <w:right w:val="none" w:sz="0" w:space="0" w:color="auto"/>
          </w:divBdr>
        </w:div>
        <w:div w:id="1401319552">
          <w:marLeft w:val="0"/>
          <w:marRight w:val="0"/>
          <w:marTop w:val="0"/>
          <w:marBottom w:val="0"/>
          <w:divBdr>
            <w:top w:val="none" w:sz="0" w:space="0" w:color="auto"/>
            <w:left w:val="none" w:sz="0" w:space="0" w:color="auto"/>
            <w:bottom w:val="none" w:sz="0" w:space="0" w:color="auto"/>
            <w:right w:val="none" w:sz="0" w:space="0" w:color="auto"/>
          </w:divBdr>
        </w:div>
        <w:div w:id="1436827752">
          <w:marLeft w:val="0"/>
          <w:marRight w:val="0"/>
          <w:marTop w:val="0"/>
          <w:marBottom w:val="0"/>
          <w:divBdr>
            <w:top w:val="none" w:sz="0" w:space="0" w:color="auto"/>
            <w:left w:val="none" w:sz="0" w:space="0" w:color="auto"/>
            <w:bottom w:val="none" w:sz="0" w:space="0" w:color="auto"/>
            <w:right w:val="none" w:sz="0" w:space="0" w:color="auto"/>
          </w:divBdr>
        </w:div>
        <w:div w:id="1474635916">
          <w:marLeft w:val="0"/>
          <w:marRight w:val="0"/>
          <w:marTop w:val="0"/>
          <w:marBottom w:val="0"/>
          <w:divBdr>
            <w:top w:val="none" w:sz="0" w:space="0" w:color="auto"/>
            <w:left w:val="none" w:sz="0" w:space="0" w:color="auto"/>
            <w:bottom w:val="none" w:sz="0" w:space="0" w:color="auto"/>
            <w:right w:val="none" w:sz="0" w:space="0" w:color="auto"/>
          </w:divBdr>
        </w:div>
        <w:div w:id="1510363924">
          <w:marLeft w:val="0"/>
          <w:marRight w:val="0"/>
          <w:marTop w:val="0"/>
          <w:marBottom w:val="0"/>
          <w:divBdr>
            <w:top w:val="none" w:sz="0" w:space="0" w:color="auto"/>
            <w:left w:val="none" w:sz="0" w:space="0" w:color="auto"/>
            <w:bottom w:val="none" w:sz="0" w:space="0" w:color="auto"/>
            <w:right w:val="none" w:sz="0" w:space="0" w:color="auto"/>
          </w:divBdr>
        </w:div>
        <w:div w:id="1545406629">
          <w:marLeft w:val="0"/>
          <w:marRight w:val="0"/>
          <w:marTop w:val="0"/>
          <w:marBottom w:val="0"/>
          <w:divBdr>
            <w:top w:val="none" w:sz="0" w:space="0" w:color="auto"/>
            <w:left w:val="none" w:sz="0" w:space="0" w:color="auto"/>
            <w:bottom w:val="none" w:sz="0" w:space="0" w:color="auto"/>
            <w:right w:val="none" w:sz="0" w:space="0" w:color="auto"/>
          </w:divBdr>
        </w:div>
        <w:div w:id="1616864182">
          <w:marLeft w:val="0"/>
          <w:marRight w:val="0"/>
          <w:marTop w:val="0"/>
          <w:marBottom w:val="0"/>
          <w:divBdr>
            <w:top w:val="none" w:sz="0" w:space="0" w:color="auto"/>
            <w:left w:val="none" w:sz="0" w:space="0" w:color="auto"/>
            <w:bottom w:val="none" w:sz="0" w:space="0" w:color="auto"/>
            <w:right w:val="none" w:sz="0" w:space="0" w:color="auto"/>
          </w:divBdr>
        </w:div>
        <w:div w:id="1956249762">
          <w:marLeft w:val="0"/>
          <w:marRight w:val="0"/>
          <w:marTop w:val="0"/>
          <w:marBottom w:val="0"/>
          <w:divBdr>
            <w:top w:val="none" w:sz="0" w:space="0" w:color="auto"/>
            <w:left w:val="none" w:sz="0" w:space="0" w:color="auto"/>
            <w:bottom w:val="none" w:sz="0" w:space="0" w:color="auto"/>
            <w:right w:val="none" w:sz="0" w:space="0" w:color="auto"/>
          </w:divBdr>
        </w:div>
        <w:div w:id="2093503126">
          <w:marLeft w:val="0"/>
          <w:marRight w:val="0"/>
          <w:marTop w:val="0"/>
          <w:marBottom w:val="0"/>
          <w:divBdr>
            <w:top w:val="none" w:sz="0" w:space="0" w:color="auto"/>
            <w:left w:val="none" w:sz="0" w:space="0" w:color="auto"/>
            <w:bottom w:val="none" w:sz="0" w:space="0" w:color="auto"/>
            <w:right w:val="none" w:sz="0" w:space="0" w:color="auto"/>
          </w:divBdr>
        </w:div>
      </w:divsChild>
    </w:div>
    <w:div w:id="86579019">
      <w:bodyDiv w:val="1"/>
      <w:marLeft w:val="0"/>
      <w:marRight w:val="0"/>
      <w:marTop w:val="0"/>
      <w:marBottom w:val="0"/>
      <w:divBdr>
        <w:top w:val="none" w:sz="0" w:space="0" w:color="auto"/>
        <w:left w:val="none" w:sz="0" w:space="0" w:color="auto"/>
        <w:bottom w:val="none" w:sz="0" w:space="0" w:color="auto"/>
        <w:right w:val="none" w:sz="0" w:space="0" w:color="auto"/>
      </w:divBdr>
      <w:divsChild>
        <w:div w:id="89545832">
          <w:marLeft w:val="0"/>
          <w:marRight w:val="0"/>
          <w:marTop w:val="0"/>
          <w:marBottom w:val="0"/>
          <w:divBdr>
            <w:top w:val="none" w:sz="0" w:space="0" w:color="auto"/>
            <w:left w:val="none" w:sz="0" w:space="0" w:color="auto"/>
            <w:bottom w:val="none" w:sz="0" w:space="0" w:color="auto"/>
            <w:right w:val="none" w:sz="0" w:space="0" w:color="auto"/>
          </w:divBdr>
        </w:div>
        <w:div w:id="188030028">
          <w:marLeft w:val="0"/>
          <w:marRight w:val="0"/>
          <w:marTop w:val="0"/>
          <w:marBottom w:val="0"/>
          <w:divBdr>
            <w:top w:val="none" w:sz="0" w:space="0" w:color="auto"/>
            <w:left w:val="none" w:sz="0" w:space="0" w:color="auto"/>
            <w:bottom w:val="none" w:sz="0" w:space="0" w:color="auto"/>
            <w:right w:val="none" w:sz="0" w:space="0" w:color="auto"/>
          </w:divBdr>
        </w:div>
        <w:div w:id="216358319">
          <w:marLeft w:val="0"/>
          <w:marRight w:val="0"/>
          <w:marTop w:val="0"/>
          <w:marBottom w:val="0"/>
          <w:divBdr>
            <w:top w:val="none" w:sz="0" w:space="0" w:color="auto"/>
            <w:left w:val="none" w:sz="0" w:space="0" w:color="auto"/>
            <w:bottom w:val="none" w:sz="0" w:space="0" w:color="auto"/>
            <w:right w:val="none" w:sz="0" w:space="0" w:color="auto"/>
          </w:divBdr>
        </w:div>
        <w:div w:id="363675990">
          <w:marLeft w:val="0"/>
          <w:marRight w:val="0"/>
          <w:marTop w:val="0"/>
          <w:marBottom w:val="0"/>
          <w:divBdr>
            <w:top w:val="none" w:sz="0" w:space="0" w:color="auto"/>
            <w:left w:val="none" w:sz="0" w:space="0" w:color="auto"/>
            <w:bottom w:val="none" w:sz="0" w:space="0" w:color="auto"/>
            <w:right w:val="none" w:sz="0" w:space="0" w:color="auto"/>
          </w:divBdr>
        </w:div>
        <w:div w:id="443575911">
          <w:marLeft w:val="0"/>
          <w:marRight w:val="0"/>
          <w:marTop w:val="0"/>
          <w:marBottom w:val="0"/>
          <w:divBdr>
            <w:top w:val="none" w:sz="0" w:space="0" w:color="auto"/>
            <w:left w:val="none" w:sz="0" w:space="0" w:color="auto"/>
            <w:bottom w:val="none" w:sz="0" w:space="0" w:color="auto"/>
            <w:right w:val="none" w:sz="0" w:space="0" w:color="auto"/>
          </w:divBdr>
        </w:div>
        <w:div w:id="498345650">
          <w:marLeft w:val="0"/>
          <w:marRight w:val="0"/>
          <w:marTop w:val="0"/>
          <w:marBottom w:val="0"/>
          <w:divBdr>
            <w:top w:val="none" w:sz="0" w:space="0" w:color="auto"/>
            <w:left w:val="none" w:sz="0" w:space="0" w:color="auto"/>
            <w:bottom w:val="none" w:sz="0" w:space="0" w:color="auto"/>
            <w:right w:val="none" w:sz="0" w:space="0" w:color="auto"/>
          </w:divBdr>
        </w:div>
        <w:div w:id="561719249">
          <w:marLeft w:val="0"/>
          <w:marRight w:val="0"/>
          <w:marTop w:val="0"/>
          <w:marBottom w:val="0"/>
          <w:divBdr>
            <w:top w:val="none" w:sz="0" w:space="0" w:color="auto"/>
            <w:left w:val="none" w:sz="0" w:space="0" w:color="auto"/>
            <w:bottom w:val="none" w:sz="0" w:space="0" w:color="auto"/>
            <w:right w:val="none" w:sz="0" w:space="0" w:color="auto"/>
          </w:divBdr>
        </w:div>
        <w:div w:id="725877990">
          <w:marLeft w:val="0"/>
          <w:marRight w:val="0"/>
          <w:marTop w:val="0"/>
          <w:marBottom w:val="0"/>
          <w:divBdr>
            <w:top w:val="none" w:sz="0" w:space="0" w:color="auto"/>
            <w:left w:val="none" w:sz="0" w:space="0" w:color="auto"/>
            <w:bottom w:val="none" w:sz="0" w:space="0" w:color="auto"/>
            <w:right w:val="none" w:sz="0" w:space="0" w:color="auto"/>
          </w:divBdr>
        </w:div>
        <w:div w:id="815612371">
          <w:marLeft w:val="0"/>
          <w:marRight w:val="0"/>
          <w:marTop w:val="0"/>
          <w:marBottom w:val="0"/>
          <w:divBdr>
            <w:top w:val="none" w:sz="0" w:space="0" w:color="auto"/>
            <w:left w:val="none" w:sz="0" w:space="0" w:color="auto"/>
            <w:bottom w:val="none" w:sz="0" w:space="0" w:color="auto"/>
            <w:right w:val="none" w:sz="0" w:space="0" w:color="auto"/>
          </w:divBdr>
        </w:div>
        <w:div w:id="919631922">
          <w:marLeft w:val="0"/>
          <w:marRight w:val="0"/>
          <w:marTop w:val="0"/>
          <w:marBottom w:val="0"/>
          <w:divBdr>
            <w:top w:val="none" w:sz="0" w:space="0" w:color="auto"/>
            <w:left w:val="none" w:sz="0" w:space="0" w:color="auto"/>
            <w:bottom w:val="none" w:sz="0" w:space="0" w:color="auto"/>
            <w:right w:val="none" w:sz="0" w:space="0" w:color="auto"/>
          </w:divBdr>
        </w:div>
        <w:div w:id="945817068">
          <w:marLeft w:val="0"/>
          <w:marRight w:val="0"/>
          <w:marTop w:val="0"/>
          <w:marBottom w:val="0"/>
          <w:divBdr>
            <w:top w:val="none" w:sz="0" w:space="0" w:color="auto"/>
            <w:left w:val="none" w:sz="0" w:space="0" w:color="auto"/>
            <w:bottom w:val="none" w:sz="0" w:space="0" w:color="auto"/>
            <w:right w:val="none" w:sz="0" w:space="0" w:color="auto"/>
          </w:divBdr>
        </w:div>
        <w:div w:id="1599630864">
          <w:marLeft w:val="0"/>
          <w:marRight w:val="0"/>
          <w:marTop w:val="0"/>
          <w:marBottom w:val="0"/>
          <w:divBdr>
            <w:top w:val="none" w:sz="0" w:space="0" w:color="auto"/>
            <w:left w:val="none" w:sz="0" w:space="0" w:color="auto"/>
            <w:bottom w:val="none" w:sz="0" w:space="0" w:color="auto"/>
            <w:right w:val="none" w:sz="0" w:space="0" w:color="auto"/>
          </w:divBdr>
        </w:div>
        <w:div w:id="1612129146">
          <w:marLeft w:val="0"/>
          <w:marRight w:val="0"/>
          <w:marTop w:val="0"/>
          <w:marBottom w:val="0"/>
          <w:divBdr>
            <w:top w:val="none" w:sz="0" w:space="0" w:color="auto"/>
            <w:left w:val="none" w:sz="0" w:space="0" w:color="auto"/>
            <w:bottom w:val="none" w:sz="0" w:space="0" w:color="auto"/>
            <w:right w:val="none" w:sz="0" w:space="0" w:color="auto"/>
          </w:divBdr>
        </w:div>
        <w:div w:id="1646860951">
          <w:marLeft w:val="0"/>
          <w:marRight w:val="0"/>
          <w:marTop w:val="0"/>
          <w:marBottom w:val="0"/>
          <w:divBdr>
            <w:top w:val="none" w:sz="0" w:space="0" w:color="auto"/>
            <w:left w:val="none" w:sz="0" w:space="0" w:color="auto"/>
            <w:bottom w:val="none" w:sz="0" w:space="0" w:color="auto"/>
            <w:right w:val="none" w:sz="0" w:space="0" w:color="auto"/>
          </w:divBdr>
        </w:div>
        <w:div w:id="1783960913">
          <w:marLeft w:val="0"/>
          <w:marRight w:val="0"/>
          <w:marTop w:val="0"/>
          <w:marBottom w:val="0"/>
          <w:divBdr>
            <w:top w:val="none" w:sz="0" w:space="0" w:color="auto"/>
            <w:left w:val="none" w:sz="0" w:space="0" w:color="auto"/>
            <w:bottom w:val="none" w:sz="0" w:space="0" w:color="auto"/>
            <w:right w:val="none" w:sz="0" w:space="0" w:color="auto"/>
          </w:divBdr>
        </w:div>
        <w:div w:id="1926300982">
          <w:marLeft w:val="0"/>
          <w:marRight w:val="0"/>
          <w:marTop w:val="0"/>
          <w:marBottom w:val="0"/>
          <w:divBdr>
            <w:top w:val="none" w:sz="0" w:space="0" w:color="auto"/>
            <w:left w:val="none" w:sz="0" w:space="0" w:color="auto"/>
            <w:bottom w:val="none" w:sz="0" w:space="0" w:color="auto"/>
            <w:right w:val="none" w:sz="0" w:space="0" w:color="auto"/>
          </w:divBdr>
        </w:div>
        <w:div w:id="2100830208">
          <w:marLeft w:val="0"/>
          <w:marRight w:val="0"/>
          <w:marTop w:val="0"/>
          <w:marBottom w:val="0"/>
          <w:divBdr>
            <w:top w:val="none" w:sz="0" w:space="0" w:color="auto"/>
            <w:left w:val="none" w:sz="0" w:space="0" w:color="auto"/>
            <w:bottom w:val="none" w:sz="0" w:space="0" w:color="auto"/>
            <w:right w:val="none" w:sz="0" w:space="0" w:color="auto"/>
          </w:divBdr>
        </w:div>
      </w:divsChild>
    </w:div>
    <w:div w:id="91433691">
      <w:bodyDiv w:val="1"/>
      <w:marLeft w:val="0"/>
      <w:marRight w:val="0"/>
      <w:marTop w:val="0"/>
      <w:marBottom w:val="0"/>
      <w:divBdr>
        <w:top w:val="none" w:sz="0" w:space="0" w:color="auto"/>
        <w:left w:val="none" w:sz="0" w:space="0" w:color="auto"/>
        <w:bottom w:val="none" w:sz="0" w:space="0" w:color="auto"/>
        <w:right w:val="none" w:sz="0" w:space="0" w:color="auto"/>
      </w:divBdr>
      <w:divsChild>
        <w:div w:id="19672949">
          <w:marLeft w:val="0"/>
          <w:marRight w:val="0"/>
          <w:marTop w:val="0"/>
          <w:marBottom w:val="0"/>
          <w:divBdr>
            <w:top w:val="none" w:sz="0" w:space="0" w:color="auto"/>
            <w:left w:val="none" w:sz="0" w:space="0" w:color="auto"/>
            <w:bottom w:val="none" w:sz="0" w:space="0" w:color="auto"/>
            <w:right w:val="none" w:sz="0" w:space="0" w:color="auto"/>
          </w:divBdr>
        </w:div>
        <w:div w:id="312027418">
          <w:marLeft w:val="0"/>
          <w:marRight w:val="0"/>
          <w:marTop w:val="0"/>
          <w:marBottom w:val="0"/>
          <w:divBdr>
            <w:top w:val="none" w:sz="0" w:space="0" w:color="auto"/>
            <w:left w:val="none" w:sz="0" w:space="0" w:color="auto"/>
            <w:bottom w:val="none" w:sz="0" w:space="0" w:color="auto"/>
            <w:right w:val="none" w:sz="0" w:space="0" w:color="auto"/>
          </w:divBdr>
        </w:div>
        <w:div w:id="497353921">
          <w:marLeft w:val="0"/>
          <w:marRight w:val="0"/>
          <w:marTop w:val="0"/>
          <w:marBottom w:val="0"/>
          <w:divBdr>
            <w:top w:val="none" w:sz="0" w:space="0" w:color="auto"/>
            <w:left w:val="none" w:sz="0" w:space="0" w:color="auto"/>
            <w:bottom w:val="none" w:sz="0" w:space="0" w:color="auto"/>
            <w:right w:val="none" w:sz="0" w:space="0" w:color="auto"/>
          </w:divBdr>
        </w:div>
        <w:div w:id="673999508">
          <w:marLeft w:val="0"/>
          <w:marRight w:val="0"/>
          <w:marTop w:val="0"/>
          <w:marBottom w:val="0"/>
          <w:divBdr>
            <w:top w:val="none" w:sz="0" w:space="0" w:color="auto"/>
            <w:left w:val="none" w:sz="0" w:space="0" w:color="auto"/>
            <w:bottom w:val="none" w:sz="0" w:space="0" w:color="auto"/>
            <w:right w:val="none" w:sz="0" w:space="0" w:color="auto"/>
          </w:divBdr>
        </w:div>
        <w:div w:id="678198488">
          <w:marLeft w:val="0"/>
          <w:marRight w:val="0"/>
          <w:marTop w:val="0"/>
          <w:marBottom w:val="0"/>
          <w:divBdr>
            <w:top w:val="none" w:sz="0" w:space="0" w:color="auto"/>
            <w:left w:val="none" w:sz="0" w:space="0" w:color="auto"/>
            <w:bottom w:val="none" w:sz="0" w:space="0" w:color="auto"/>
            <w:right w:val="none" w:sz="0" w:space="0" w:color="auto"/>
          </w:divBdr>
        </w:div>
        <w:div w:id="696345665">
          <w:marLeft w:val="0"/>
          <w:marRight w:val="0"/>
          <w:marTop w:val="0"/>
          <w:marBottom w:val="0"/>
          <w:divBdr>
            <w:top w:val="none" w:sz="0" w:space="0" w:color="auto"/>
            <w:left w:val="none" w:sz="0" w:space="0" w:color="auto"/>
            <w:bottom w:val="none" w:sz="0" w:space="0" w:color="auto"/>
            <w:right w:val="none" w:sz="0" w:space="0" w:color="auto"/>
          </w:divBdr>
        </w:div>
        <w:div w:id="729810725">
          <w:marLeft w:val="0"/>
          <w:marRight w:val="0"/>
          <w:marTop w:val="0"/>
          <w:marBottom w:val="0"/>
          <w:divBdr>
            <w:top w:val="none" w:sz="0" w:space="0" w:color="auto"/>
            <w:left w:val="none" w:sz="0" w:space="0" w:color="auto"/>
            <w:bottom w:val="none" w:sz="0" w:space="0" w:color="auto"/>
            <w:right w:val="none" w:sz="0" w:space="0" w:color="auto"/>
          </w:divBdr>
        </w:div>
        <w:div w:id="908350268">
          <w:marLeft w:val="0"/>
          <w:marRight w:val="0"/>
          <w:marTop w:val="0"/>
          <w:marBottom w:val="0"/>
          <w:divBdr>
            <w:top w:val="none" w:sz="0" w:space="0" w:color="auto"/>
            <w:left w:val="none" w:sz="0" w:space="0" w:color="auto"/>
            <w:bottom w:val="none" w:sz="0" w:space="0" w:color="auto"/>
            <w:right w:val="none" w:sz="0" w:space="0" w:color="auto"/>
          </w:divBdr>
        </w:div>
        <w:div w:id="927809975">
          <w:marLeft w:val="0"/>
          <w:marRight w:val="0"/>
          <w:marTop w:val="0"/>
          <w:marBottom w:val="0"/>
          <w:divBdr>
            <w:top w:val="none" w:sz="0" w:space="0" w:color="auto"/>
            <w:left w:val="none" w:sz="0" w:space="0" w:color="auto"/>
            <w:bottom w:val="none" w:sz="0" w:space="0" w:color="auto"/>
            <w:right w:val="none" w:sz="0" w:space="0" w:color="auto"/>
          </w:divBdr>
        </w:div>
        <w:div w:id="938298498">
          <w:marLeft w:val="0"/>
          <w:marRight w:val="0"/>
          <w:marTop w:val="0"/>
          <w:marBottom w:val="0"/>
          <w:divBdr>
            <w:top w:val="none" w:sz="0" w:space="0" w:color="auto"/>
            <w:left w:val="none" w:sz="0" w:space="0" w:color="auto"/>
            <w:bottom w:val="none" w:sz="0" w:space="0" w:color="auto"/>
            <w:right w:val="none" w:sz="0" w:space="0" w:color="auto"/>
          </w:divBdr>
        </w:div>
        <w:div w:id="945039960">
          <w:marLeft w:val="0"/>
          <w:marRight w:val="0"/>
          <w:marTop w:val="0"/>
          <w:marBottom w:val="0"/>
          <w:divBdr>
            <w:top w:val="none" w:sz="0" w:space="0" w:color="auto"/>
            <w:left w:val="none" w:sz="0" w:space="0" w:color="auto"/>
            <w:bottom w:val="none" w:sz="0" w:space="0" w:color="auto"/>
            <w:right w:val="none" w:sz="0" w:space="0" w:color="auto"/>
          </w:divBdr>
        </w:div>
        <w:div w:id="1004432100">
          <w:marLeft w:val="0"/>
          <w:marRight w:val="0"/>
          <w:marTop w:val="0"/>
          <w:marBottom w:val="0"/>
          <w:divBdr>
            <w:top w:val="none" w:sz="0" w:space="0" w:color="auto"/>
            <w:left w:val="none" w:sz="0" w:space="0" w:color="auto"/>
            <w:bottom w:val="none" w:sz="0" w:space="0" w:color="auto"/>
            <w:right w:val="none" w:sz="0" w:space="0" w:color="auto"/>
          </w:divBdr>
        </w:div>
        <w:div w:id="1087658338">
          <w:marLeft w:val="0"/>
          <w:marRight w:val="0"/>
          <w:marTop w:val="0"/>
          <w:marBottom w:val="0"/>
          <w:divBdr>
            <w:top w:val="none" w:sz="0" w:space="0" w:color="auto"/>
            <w:left w:val="none" w:sz="0" w:space="0" w:color="auto"/>
            <w:bottom w:val="none" w:sz="0" w:space="0" w:color="auto"/>
            <w:right w:val="none" w:sz="0" w:space="0" w:color="auto"/>
          </w:divBdr>
        </w:div>
        <w:div w:id="1134056815">
          <w:marLeft w:val="0"/>
          <w:marRight w:val="0"/>
          <w:marTop w:val="0"/>
          <w:marBottom w:val="0"/>
          <w:divBdr>
            <w:top w:val="none" w:sz="0" w:space="0" w:color="auto"/>
            <w:left w:val="none" w:sz="0" w:space="0" w:color="auto"/>
            <w:bottom w:val="none" w:sz="0" w:space="0" w:color="auto"/>
            <w:right w:val="none" w:sz="0" w:space="0" w:color="auto"/>
          </w:divBdr>
        </w:div>
        <w:div w:id="1191380273">
          <w:marLeft w:val="0"/>
          <w:marRight w:val="0"/>
          <w:marTop w:val="0"/>
          <w:marBottom w:val="0"/>
          <w:divBdr>
            <w:top w:val="none" w:sz="0" w:space="0" w:color="auto"/>
            <w:left w:val="none" w:sz="0" w:space="0" w:color="auto"/>
            <w:bottom w:val="none" w:sz="0" w:space="0" w:color="auto"/>
            <w:right w:val="none" w:sz="0" w:space="0" w:color="auto"/>
          </w:divBdr>
        </w:div>
        <w:div w:id="1236665795">
          <w:marLeft w:val="0"/>
          <w:marRight w:val="0"/>
          <w:marTop w:val="0"/>
          <w:marBottom w:val="0"/>
          <w:divBdr>
            <w:top w:val="none" w:sz="0" w:space="0" w:color="auto"/>
            <w:left w:val="none" w:sz="0" w:space="0" w:color="auto"/>
            <w:bottom w:val="none" w:sz="0" w:space="0" w:color="auto"/>
            <w:right w:val="none" w:sz="0" w:space="0" w:color="auto"/>
          </w:divBdr>
        </w:div>
        <w:div w:id="1495800175">
          <w:marLeft w:val="0"/>
          <w:marRight w:val="0"/>
          <w:marTop w:val="0"/>
          <w:marBottom w:val="0"/>
          <w:divBdr>
            <w:top w:val="none" w:sz="0" w:space="0" w:color="auto"/>
            <w:left w:val="none" w:sz="0" w:space="0" w:color="auto"/>
            <w:bottom w:val="none" w:sz="0" w:space="0" w:color="auto"/>
            <w:right w:val="none" w:sz="0" w:space="0" w:color="auto"/>
          </w:divBdr>
        </w:div>
        <w:div w:id="1601642523">
          <w:marLeft w:val="0"/>
          <w:marRight w:val="0"/>
          <w:marTop w:val="0"/>
          <w:marBottom w:val="0"/>
          <w:divBdr>
            <w:top w:val="none" w:sz="0" w:space="0" w:color="auto"/>
            <w:left w:val="none" w:sz="0" w:space="0" w:color="auto"/>
            <w:bottom w:val="none" w:sz="0" w:space="0" w:color="auto"/>
            <w:right w:val="none" w:sz="0" w:space="0" w:color="auto"/>
          </w:divBdr>
        </w:div>
        <w:div w:id="1717466070">
          <w:marLeft w:val="0"/>
          <w:marRight w:val="0"/>
          <w:marTop w:val="0"/>
          <w:marBottom w:val="0"/>
          <w:divBdr>
            <w:top w:val="none" w:sz="0" w:space="0" w:color="auto"/>
            <w:left w:val="none" w:sz="0" w:space="0" w:color="auto"/>
            <w:bottom w:val="none" w:sz="0" w:space="0" w:color="auto"/>
            <w:right w:val="none" w:sz="0" w:space="0" w:color="auto"/>
          </w:divBdr>
        </w:div>
        <w:div w:id="1743332270">
          <w:marLeft w:val="0"/>
          <w:marRight w:val="0"/>
          <w:marTop w:val="0"/>
          <w:marBottom w:val="0"/>
          <w:divBdr>
            <w:top w:val="none" w:sz="0" w:space="0" w:color="auto"/>
            <w:left w:val="none" w:sz="0" w:space="0" w:color="auto"/>
            <w:bottom w:val="none" w:sz="0" w:space="0" w:color="auto"/>
            <w:right w:val="none" w:sz="0" w:space="0" w:color="auto"/>
          </w:divBdr>
        </w:div>
        <w:div w:id="1886673978">
          <w:marLeft w:val="0"/>
          <w:marRight w:val="0"/>
          <w:marTop w:val="0"/>
          <w:marBottom w:val="0"/>
          <w:divBdr>
            <w:top w:val="none" w:sz="0" w:space="0" w:color="auto"/>
            <w:left w:val="none" w:sz="0" w:space="0" w:color="auto"/>
            <w:bottom w:val="none" w:sz="0" w:space="0" w:color="auto"/>
            <w:right w:val="none" w:sz="0" w:space="0" w:color="auto"/>
          </w:divBdr>
        </w:div>
        <w:div w:id="1907034032">
          <w:marLeft w:val="0"/>
          <w:marRight w:val="0"/>
          <w:marTop w:val="0"/>
          <w:marBottom w:val="0"/>
          <w:divBdr>
            <w:top w:val="none" w:sz="0" w:space="0" w:color="auto"/>
            <w:left w:val="none" w:sz="0" w:space="0" w:color="auto"/>
            <w:bottom w:val="none" w:sz="0" w:space="0" w:color="auto"/>
            <w:right w:val="none" w:sz="0" w:space="0" w:color="auto"/>
          </w:divBdr>
        </w:div>
        <w:div w:id="1922251366">
          <w:marLeft w:val="0"/>
          <w:marRight w:val="0"/>
          <w:marTop w:val="0"/>
          <w:marBottom w:val="0"/>
          <w:divBdr>
            <w:top w:val="none" w:sz="0" w:space="0" w:color="auto"/>
            <w:left w:val="none" w:sz="0" w:space="0" w:color="auto"/>
            <w:bottom w:val="none" w:sz="0" w:space="0" w:color="auto"/>
            <w:right w:val="none" w:sz="0" w:space="0" w:color="auto"/>
          </w:divBdr>
        </w:div>
      </w:divsChild>
    </w:div>
    <w:div w:id="92937384">
      <w:bodyDiv w:val="1"/>
      <w:marLeft w:val="0"/>
      <w:marRight w:val="0"/>
      <w:marTop w:val="0"/>
      <w:marBottom w:val="0"/>
      <w:divBdr>
        <w:top w:val="none" w:sz="0" w:space="0" w:color="auto"/>
        <w:left w:val="none" w:sz="0" w:space="0" w:color="auto"/>
        <w:bottom w:val="none" w:sz="0" w:space="0" w:color="auto"/>
        <w:right w:val="none" w:sz="0" w:space="0" w:color="auto"/>
      </w:divBdr>
    </w:div>
    <w:div w:id="94175667">
      <w:bodyDiv w:val="1"/>
      <w:marLeft w:val="0"/>
      <w:marRight w:val="0"/>
      <w:marTop w:val="0"/>
      <w:marBottom w:val="0"/>
      <w:divBdr>
        <w:top w:val="none" w:sz="0" w:space="0" w:color="auto"/>
        <w:left w:val="none" w:sz="0" w:space="0" w:color="auto"/>
        <w:bottom w:val="none" w:sz="0" w:space="0" w:color="auto"/>
        <w:right w:val="none" w:sz="0" w:space="0" w:color="auto"/>
      </w:divBdr>
    </w:div>
    <w:div w:id="97221968">
      <w:bodyDiv w:val="1"/>
      <w:marLeft w:val="0"/>
      <w:marRight w:val="0"/>
      <w:marTop w:val="0"/>
      <w:marBottom w:val="0"/>
      <w:divBdr>
        <w:top w:val="none" w:sz="0" w:space="0" w:color="auto"/>
        <w:left w:val="none" w:sz="0" w:space="0" w:color="auto"/>
        <w:bottom w:val="none" w:sz="0" w:space="0" w:color="auto"/>
        <w:right w:val="none" w:sz="0" w:space="0" w:color="auto"/>
      </w:divBdr>
    </w:div>
    <w:div w:id="106199888">
      <w:bodyDiv w:val="1"/>
      <w:marLeft w:val="0"/>
      <w:marRight w:val="0"/>
      <w:marTop w:val="0"/>
      <w:marBottom w:val="0"/>
      <w:divBdr>
        <w:top w:val="none" w:sz="0" w:space="0" w:color="auto"/>
        <w:left w:val="none" w:sz="0" w:space="0" w:color="auto"/>
        <w:bottom w:val="none" w:sz="0" w:space="0" w:color="auto"/>
        <w:right w:val="none" w:sz="0" w:space="0" w:color="auto"/>
      </w:divBdr>
      <w:divsChild>
        <w:div w:id="136150164">
          <w:marLeft w:val="0"/>
          <w:marRight w:val="0"/>
          <w:marTop w:val="0"/>
          <w:marBottom w:val="0"/>
          <w:divBdr>
            <w:top w:val="none" w:sz="0" w:space="0" w:color="auto"/>
            <w:left w:val="none" w:sz="0" w:space="0" w:color="auto"/>
            <w:bottom w:val="none" w:sz="0" w:space="0" w:color="auto"/>
            <w:right w:val="none" w:sz="0" w:space="0" w:color="auto"/>
          </w:divBdr>
        </w:div>
        <w:div w:id="288047248">
          <w:marLeft w:val="0"/>
          <w:marRight w:val="0"/>
          <w:marTop w:val="0"/>
          <w:marBottom w:val="0"/>
          <w:divBdr>
            <w:top w:val="none" w:sz="0" w:space="0" w:color="auto"/>
            <w:left w:val="none" w:sz="0" w:space="0" w:color="auto"/>
            <w:bottom w:val="none" w:sz="0" w:space="0" w:color="auto"/>
            <w:right w:val="none" w:sz="0" w:space="0" w:color="auto"/>
          </w:divBdr>
        </w:div>
        <w:div w:id="295961896">
          <w:marLeft w:val="0"/>
          <w:marRight w:val="0"/>
          <w:marTop w:val="0"/>
          <w:marBottom w:val="0"/>
          <w:divBdr>
            <w:top w:val="none" w:sz="0" w:space="0" w:color="auto"/>
            <w:left w:val="none" w:sz="0" w:space="0" w:color="auto"/>
            <w:bottom w:val="none" w:sz="0" w:space="0" w:color="auto"/>
            <w:right w:val="none" w:sz="0" w:space="0" w:color="auto"/>
          </w:divBdr>
        </w:div>
        <w:div w:id="328026909">
          <w:marLeft w:val="0"/>
          <w:marRight w:val="0"/>
          <w:marTop w:val="0"/>
          <w:marBottom w:val="0"/>
          <w:divBdr>
            <w:top w:val="none" w:sz="0" w:space="0" w:color="auto"/>
            <w:left w:val="none" w:sz="0" w:space="0" w:color="auto"/>
            <w:bottom w:val="none" w:sz="0" w:space="0" w:color="auto"/>
            <w:right w:val="none" w:sz="0" w:space="0" w:color="auto"/>
          </w:divBdr>
        </w:div>
        <w:div w:id="355541311">
          <w:marLeft w:val="0"/>
          <w:marRight w:val="0"/>
          <w:marTop w:val="0"/>
          <w:marBottom w:val="0"/>
          <w:divBdr>
            <w:top w:val="none" w:sz="0" w:space="0" w:color="auto"/>
            <w:left w:val="none" w:sz="0" w:space="0" w:color="auto"/>
            <w:bottom w:val="none" w:sz="0" w:space="0" w:color="auto"/>
            <w:right w:val="none" w:sz="0" w:space="0" w:color="auto"/>
          </w:divBdr>
        </w:div>
        <w:div w:id="360866539">
          <w:marLeft w:val="0"/>
          <w:marRight w:val="0"/>
          <w:marTop w:val="0"/>
          <w:marBottom w:val="0"/>
          <w:divBdr>
            <w:top w:val="none" w:sz="0" w:space="0" w:color="auto"/>
            <w:left w:val="none" w:sz="0" w:space="0" w:color="auto"/>
            <w:bottom w:val="none" w:sz="0" w:space="0" w:color="auto"/>
            <w:right w:val="none" w:sz="0" w:space="0" w:color="auto"/>
          </w:divBdr>
        </w:div>
        <w:div w:id="389236620">
          <w:marLeft w:val="0"/>
          <w:marRight w:val="0"/>
          <w:marTop w:val="0"/>
          <w:marBottom w:val="0"/>
          <w:divBdr>
            <w:top w:val="none" w:sz="0" w:space="0" w:color="auto"/>
            <w:left w:val="none" w:sz="0" w:space="0" w:color="auto"/>
            <w:bottom w:val="none" w:sz="0" w:space="0" w:color="auto"/>
            <w:right w:val="none" w:sz="0" w:space="0" w:color="auto"/>
          </w:divBdr>
        </w:div>
        <w:div w:id="449203057">
          <w:marLeft w:val="0"/>
          <w:marRight w:val="0"/>
          <w:marTop w:val="0"/>
          <w:marBottom w:val="0"/>
          <w:divBdr>
            <w:top w:val="none" w:sz="0" w:space="0" w:color="auto"/>
            <w:left w:val="none" w:sz="0" w:space="0" w:color="auto"/>
            <w:bottom w:val="none" w:sz="0" w:space="0" w:color="auto"/>
            <w:right w:val="none" w:sz="0" w:space="0" w:color="auto"/>
          </w:divBdr>
        </w:div>
        <w:div w:id="510339645">
          <w:marLeft w:val="0"/>
          <w:marRight w:val="0"/>
          <w:marTop w:val="0"/>
          <w:marBottom w:val="0"/>
          <w:divBdr>
            <w:top w:val="none" w:sz="0" w:space="0" w:color="auto"/>
            <w:left w:val="none" w:sz="0" w:space="0" w:color="auto"/>
            <w:bottom w:val="none" w:sz="0" w:space="0" w:color="auto"/>
            <w:right w:val="none" w:sz="0" w:space="0" w:color="auto"/>
          </w:divBdr>
        </w:div>
        <w:div w:id="541017634">
          <w:marLeft w:val="0"/>
          <w:marRight w:val="0"/>
          <w:marTop w:val="0"/>
          <w:marBottom w:val="0"/>
          <w:divBdr>
            <w:top w:val="none" w:sz="0" w:space="0" w:color="auto"/>
            <w:left w:val="none" w:sz="0" w:space="0" w:color="auto"/>
            <w:bottom w:val="none" w:sz="0" w:space="0" w:color="auto"/>
            <w:right w:val="none" w:sz="0" w:space="0" w:color="auto"/>
          </w:divBdr>
        </w:div>
        <w:div w:id="621889620">
          <w:marLeft w:val="0"/>
          <w:marRight w:val="0"/>
          <w:marTop w:val="0"/>
          <w:marBottom w:val="0"/>
          <w:divBdr>
            <w:top w:val="none" w:sz="0" w:space="0" w:color="auto"/>
            <w:left w:val="none" w:sz="0" w:space="0" w:color="auto"/>
            <w:bottom w:val="none" w:sz="0" w:space="0" w:color="auto"/>
            <w:right w:val="none" w:sz="0" w:space="0" w:color="auto"/>
          </w:divBdr>
        </w:div>
        <w:div w:id="674308429">
          <w:marLeft w:val="0"/>
          <w:marRight w:val="0"/>
          <w:marTop w:val="0"/>
          <w:marBottom w:val="0"/>
          <w:divBdr>
            <w:top w:val="none" w:sz="0" w:space="0" w:color="auto"/>
            <w:left w:val="none" w:sz="0" w:space="0" w:color="auto"/>
            <w:bottom w:val="none" w:sz="0" w:space="0" w:color="auto"/>
            <w:right w:val="none" w:sz="0" w:space="0" w:color="auto"/>
          </w:divBdr>
        </w:div>
        <w:div w:id="689379464">
          <w:marLeft w:val="0"/>
          <w:marRight w:val="0"/>
          <w:marTop w:val="0"/>
          <w:marBottom w:val="0"/>
          <w:divBdr>
            <w:top w:val="none" w:sz="0" w:space="0" w:color="auto"/>
            <w:left w:val="none" w:sz="0" w:space="0" w:color="auto"/>
            <w:bottom w:val="none" w:sz="0" w:space="0" w:color="auto"/>
            <w:right w:val="none" w:sz="0" w:space="0" w:color="auto"/>
          </w:divBdr>
        </w:div>
        <w:div w:id="701322577">
          <w:marLeft w:val="0"/>
          <w:marRight w:val="0"/>
          <w:marTop w:val="0"/>
          <w:marBottom w:val="0"/>
          <w:divBdr>
            <w:top w:val="none" w:sz="0" w:space="0" w:color="auto"/>
            <w:left w:val="none" w:sz="0" w:space="0" w:color="auto"/>
            <w:bottom w:val="none" w:sz="0" w:space="0" w:color="auto"/>
            <w:right w:val="none" w:sz="0" w:space="0" w:color="auto"/>
          </w:divBdr>
        </w:div>
        <w:div w:id="706221068">
          <w:marLeft w:val="0"/>
          <w:marRight w:val="0"/>
          <w:marTop w:val="0"/>
          <w:marBottom w:val="0"/>
          <w:divBdr>
            <w:top w:val="none" w:sz="0" w:space="0" w:color="auto"/>
            <w:left w:val="none" w:sz="0" w:space="0" w:color="auto"/>
            <w:bottom w:val="none" w:sz="0" w:space="0" w:color="auto"/>
            <w:right w:val="none" w:sz="0" w:space="0" w:color="auto"/>
          </w:divBdr>
        </w:div>
        <w:div w:id="830171938">
          <w:marLeft w:val="0"/>
          <w:marRight w:val="0"/>
          <w:marTop w:val="0"/>
          <w:marBottom w:val="0"/>
          <w:divBdr>
            <w:top w:val="none" w:sz="0" w:space="0" w:color="auto"/>
            <w:left w:val="none" w:sz="0" w:space="0" w:color="auto"/>
            <w:bottom w:val="none" w:sz="0" w:space="0" w:color="auto"/>
            <w:right w:val="none" w:sz="0" w:space="0" w:color="auto"/>
          </w:divBdr>
        </w:div>
        <w:div w:id="840314066">
          <w:marLeft w:val="0"/>
          <w:marRight w:val="0"/>
          <w:marTop w:val="0"/>
          <w:marBottom w:val="0"/>
          <w:divBdr>
            <w:top w:val="none" w:sz="0" w:space="0" w:color="auto"/>
            <w:left w:val="none" w:sz="0" w:space="0" w:color="auto"/>
            <w:bottom w:val="none" w:sz="0" w:space="0" w:color="auto"/>
            <w:right w:val="none" w:sz="0" w:space="0" w:color="auto"/>
          </w:divBdr>
        </w:div>
        <w:div w:id="931089618">
          <w:marLeft w:val="0"/>
          <w:marRight w:val="0"/>
          <w:marTop w:val="0"/>
          <w:marBottom w:val="0"/>
          <w:divBdr>
            <w:top w:val="none" w:sz="0" w:space="0" w:color="auto"/>
            <w:left w:val="none" w:sz="0" w:space="0" w:color="auto"/>
            <w:bottom w:val="none" w:sz="0" w:space="0" w:color="auto"/>
            <w:right w:val="none" w:sz="0" w:space="0" w:color="auto"/>
          </w:divBdr>
        </w:div>
        <w:div w:id="944312393">
          <w:marLeft w:val="0"/>
          <w:marRight w:val="0"/>
          <w:marTop w:val="0"/>
          <w:marBottom w:val="0"/>
          <w:divBdr>
            <w:top w:val="none" w:sz="0" w:space="0" w:color="auto"/>
            <w:left w:val="none" w:sz="0" w:space="0" w:color="auto"/>
            <w:bottom w:val="none" w:sz="0" w:space="0" w:color="auto"/>
            <w:right w:val="none" w:sz="0" w:space="0" w:color="auto"/>
          </w:divBdr>
        </w:div>
        <w:div w:id="1046837035">
          <w:marLeft w:val="0"/>
          <w:marRight w:val="0"/>
          <w:marTop w:val="0"/>
          <w:marBottom w:val="0"/>
          <w:divBdr>
            <w:top w:val="none" w:sz="0" w:space="0" w:color="auto"/>
            <w:left w:val="none" w:sz="0" w:space="0" w:color="auto"/>
            <w:bottom w:val="none" w:sz="0" w:space="0" w:color="auto"/>
            <w:right w:val="none" w:sz="0" w:space="0" w:color="auto"/>
          </w:divBdr>
        </w:div>
        <w:div w:id="1121919042">
          <w:marLeft w:val="0"/>
          <w:marRight w:val="0"/>
          <w:marTop w:val="0"/>
          <w:marBottom w:val="0"/>
          <w:divBdr>
            <w:top w:val="none" w:sz="0" w:space="0" w:color="auto"/>
            <w:left w:val="none" w:sz="0" w:space="0" w:color="auto"/>
            <w:bottom w:val="none" w:sz="0" w:space="0" w:color="auto"/>
            <w:right w:val="none" w:sz="0" w:space="0" w:color="auto"/>
          </w:divBdr>
        </w:div>
        <w:div w:id="1312325357">
          <w:marLeft w:val="0"/>
          <w:marRight w:val="0"/>
          <w:marTop w:val="0"/>
          <w:marBottom w:val="0"/>
          <w:divBdr>
            <w:top w:val="none" w:sz="0" w:space="0" w:color="auto"/>
            <w:left w:val="none" w:sz="0" w:space="0" w:color="auto"/>
            <w:bottom w:val="none" w:sz="0" w:space="0" w:color="auto"/>
            <w:right w:val="none" w:sz="0" w:space="0" w:color="auto"/>
          </w:divBdr>
        </w:div>
        <w:div w:id="1388869430">
          <w:marLeft w:val="0"/>
          <w:marRight w:val="0"/>
          <w:marTop w:val="0"/>
          <w:marBottom w:val="0"/>
          <w:divBdr>
            <w:top w:val="none" w:sz="0" w:space="0" w:color="auto"/>
            <w:left w:val="none" w:sz="0" w:space="0" w:color="auto"/>
            <w:bottom w:val="none" w:sz="0" w:space="0" w:color="auto"/>
            <w:right w:val="none" w:sz="0" w:space="0" w:color="auto"/>
          </w:divBdr>
        </w:div>
        <w:div w:id="1393845718">
          <w:marLeft w:val="0"/>
          <w:marRight w:val="0"/>
          <w:marTop w:val="0"/>
          <w:marBottom w:val="0"/>
          <w:divBdr>
            <w:top w:val="none" w:sz="0" w:space="0" w:color="auto"/>
            <w:left w:val="none" w:sz="0" w:space="0" w:color="auto"/>
            <w:bottom w:val="none" w:sz="0" w:space="0" w:color="auto"/>
            <w:right w:val="none" w:sz="0" w:space="0" w:color="auto"/>
          </w:divBdr>
        </w:div>
        <w:div w:id="1401058683">
          <w:marLeft w:val="0"/>
          <w:marRight w:val="0"/>
          <w:marTop w:val="0"/>
          <w:marBottom w:val="0"/>
          <w:divBdr>
            <w:top w:val="none" w:sz="0" w:space="0" w:color="auto"/>
            <w:left w:val="none" w:sz="0" w:space="0" w:color="auto"/>
            <w:bottom w:val="none" w:sz="0" w:space="0" w:color="auto"/>
            <w:right w:val="none" w:sz="0" w:space="0" w:color="auto"/>
          </w:divBdr>
        </w:div>
        <w:div w:id="1568880085">
          <w:marLeft w:val="0"/>
          <w:marRight w:val="0"/>
          <w:marTop w:val="0"/>
          <w:marBottom w:val="0"/>
          <w:divBdr>
            <w:top w:val="none" w:sz="0" w:space="0" w:color="auto"/>
            <w:left w:val="none" w:sz="0" w:space="0" w:color="auto"/>
            <w:bottom w:val="none" w:sz="0" w:space="0" w:color="auto"/>
            <w:right w:val="none" w:sz="0" w:space="0" w:color="auto"/>
          </w:divBdr>
        </w:div>
        <w:div w:id="1678540277">
          <w:marLeft w:val="0"/>
          <w:marRight w:val="0"/>
          <w:marTop w:val="0"/>
          <w:marBottom w:val="0"/>
          <w:divBdr>
            <w:top w:val="none" w:sz="0" w:space="0" w:color="auto"/>
            <w:left w:val="none" w:sz="0" w:space="0" w:color="auto"/>
            <w:bottom w:val="none" w:sz="0" w:space="0" w:color="auto"/>
            <w:right w:val="none" w:sz="0" w:space="0" w:color="auto"/>
          </w:divBdr>
        </w:div>
        <w:div w:id="1686521185">
          <w:marLeft w:val="0"/>
          <w:marRight w:val="0"/>
          <w:marTop w:val="0"/>
          <w:marBottom w:val="0"/>
          <w:divBdr>
            <w:top w:val="none" w:sz="0" w:space="0" w:color="auto"/>
            <w:left w:val="none" w:sz="0" w:space="0" w:color="auto"/>
            <w:bottom w:val="none" w:sz="0" w:space="0" w:color="auto"/>
            <w:right w:val="none" w:sz="0" w:space="0" w:color="auto"/>
          </w:divBdr>
        </w:div>
        <w:div w:id="1714648336">
          <w:marLeft w:val="0"/>
          <w:marRight w:val="0"/>
          <w:marTop w:val="0"/>
          <w:marBottom w:val="0"/>
          <w:divBdr>
            <w:top w:val="none" w:sz="0" w:space="0" w:color="auto"/>
            <w:left w:val="none" w:sz="0" w:space="0" w:color="auto"/>
            <w:bottom w:val="none" w:sz="0" w:space="0" w:color="auto"/>
            <w:right w:val="none" w:sz="0" w:space="0" w:color="auto"/>
          </w:divBdr>
        </w:div>
        <w:div w:id="1742831435">
          <w:marLeft w:val="0"/>
          <w:marRight w:val="0"/>
          <w:marTop w:val="0"/>
          <w:marBottom w:val="0"/>
          <w:divBdr>
            <w:top w:val="none" w:sz="0" w:space="0" w:color="auto"/>
            <w:left w:val="none" w:sz="0" w:space="0" w:color="auto"/>
            <w:bottom w:val="none" w:sz="0" w:space="0" w:color="auto"/>
            <w:right w:val="none" w:sz="0" w:space="0" w:color="auto"/>
          </w:divBdr>
        </w:div>
        <w:div w:id="1838882296">
          <w:marLeft w:val="0"/>
          <w:marRight w:val="0"/>
          <w:marTop w:val="0"/>
          <w:marBottom w:val="0"/>
          <w:divBdr>
            <w:top w:val="none" w:sz="0" w:space="0" w:color="auto"/>
            <w:left w:val="none" w:sz="0" w:space="0" w:color="auto"/>
            <w:bottom w:val="none" w:sz="0" w:space="0" w:color="auto"/>
            <w:right w:val="none" w:sz="0" w:space="0" w:color="auto"/>
          </w:divBdr>
        </w:div>
        <w:div w:id="1952400073">
          <w:marLeft w:val="0"/>
          <w:marRight w:val="0"/>
          <w:marTop w:val="0"/>
          <w:marBottom w:val="0"/>
          <w:divBdr>
            <w:top w:val="none" w:sz="0" w:space="0" w:color="auto"/>
            <w:left w:val="none" w:sz="0" w:space="0" w:color="auto"/>
            <w:bottom w:val="none" w:sz="0" w:space="0" w:color="auto"/>
            <w:right w:val="none" w:sz="0" w:space="0" w:color="auto"/>
          </w:divBdr>
        </w:div>
        <w:div w:id="1971739481">
          <w:marLeft w:val="0"/>
          <w:marRight w:val="0"/>
          <w:marTop w:val="0"/>
          <w:marBottom w:val="0"/>
          <w:divBdr>
            <w:top w:val="none" w:sz="0" w:space="0" w:color="auto"/>
            <w:left w:val="none" w:sz="0" w:space="0" w:color="auto"/>
            <w:bottom w:val="none" w:sz="0" w:space="0" w:color="auto"/>
            <w:right w:val="none" w:sz="0" w:space="0" w:color="auto"/>
          </w:divBdr>
        </w:div>
        <w:div w:id="1973166760">
          <w:marLeft w:val="0"/>
          <w:marRight w:val="0"/>
          <w:marTop w:val="0"/>
          <w:marBottom w:val="0"/>
          <w:divBdr>
            <w:top w:val="none" w:sz="0" w:space="0" w:color="auto"/>
            <w:left w:val="none" w:sz="0" w:space="0" w:color="auto"/>
            <w:bottom w:val="none" w:sz="0" w:space="0" w:color="auto"/>
            <w:right w:val="none" w:sz="0" w:space="0" w:color="auto"/>
          </w:divBdr>
        </w:div>
        <w:div w:id="1995915916">
          <w:marLeft w:val="0"/>
          <w:marRight w:val="0"/>
          <w:marTop w:val="0"/>
          <w:marBottom w:val="0"/>
          <w:divBdr>
            <w:top w:val="none" w:sz="0" w:space="0" w:color="auto"/>
            <w:left w:val="none" w:sz="0" w:space="0" w:color="auto"/>
            <w:bottom w:val="none" w:sz="0" w:space="0" w:color="auto"/>
            <w:right w:val="none" w:sz="0" w:space="0" w:color="auto"/>
          </w:divBdr>
        </w:div>
        <w:div w:id="2004355976">
          <w:marLeft w:val="0"/>
          <w:marRight w:val="0"/>
          <w:marTop w:val="0"/>
          <w:marBottom w:val="0"/>
          <w:divBdr>
            <w:top w:val="none" w:sz="0" w:space="0" w:color="auto"/>
            <w:left w:val="none" w:sz="0" w:space="0" w:color="auto"/>
            <w:bottom w:val="none" w:sz="0" w:space="0" w:color="auto"/>
            <w:right w:val="none" w:sz="0" w:space="0" w:color="auto"/>
          </w:divBdr>
        </w:div>
        <w:div w:id="2113620849">
          <w:marLeft w:val="0"/>
          <w:marRight w:val="0"/>
          <w:marTop w:val="0"/>
          <w:marBottom w:val="0"/>
          <w:divBdr>
            <w:top w:val="none" w:sz="0" w:space="0" w:color="auto"/>
            <w:left w:val="none" w:sz="0" w:space="0" w:color="auto"/>
            <w:bottom w:val="none" w:sz="0" w:space="0" w:color="auto"/>
            <w:right w:val="none" w:sz="0" w:space="0" w:color="auto"/>
          </w:divBdr>
        </w:div>
      </w:divsChild>
    </w:div>
    <w:div w:id="108936378">
      <w:bodyDiv w:val="1"/>
      <w:marLeft w:val="0"/>
      <w:marRight w:val="0"/>
      <w:marTop w:val="0"/>
      <w:marBottom w:val="0"/>
      <w:divBdr>
        <w:top w:val="none" w:sz="0" w:space="0" w:color="auto"/>
        <w:left w:val="none" w:sz="0" w:space="0" w:color="auto"/>
        <w:bottom w:val="none" w:sz="0" w:space="0" w:color="auto"/>
        <w:right w:val="none" w:sz="0" w:space="0" w:color="auto"/>
      </w:divBdr>
    </w:div>
    <w:div w:id="109251420">
      <w:bodyDiv w:val="1"/>
      <w:marLeft w:val="0"/>
      <w:marRight w:val="0"/>
      <w:marTop w:val="0"/>
      <w:marBottom w:val="0"/>
      <w:divBdr>
        <w:top w:val="none" w:sz="0" w:space="0" w:color="auto"/>
        <w:left w:val="none" w:sz="0" w:space="0" w:color="auto"/>
        <w:bottom w:val="none" w:sz="0" w:space="0" w:color="auto"/>
        <w:right w:val="none" w:sz="0" w:space="0" w:color="auto"/>
      </w:divBdr>
      <w:divsChild>
        <w:div w:id="24841198">
          <w:marLeft w:val="0"/>
          <w:marRight w:val="0"/>
          <w:marTop w:val="0"/>
          <w:marBottom w:val="0"/>
          <w:divBdr>
            <w:top w:val="none" w:sz="0" w:space="0" w:color="auto"/>
            <w:left w:val="none" w:sz="0" w:space="0" w:color="auto"/>
            <w:bottom w:val="none" w:sz="0" w:space="0" w:color="auto"/>
            <w:right w:val="none" w:sz="0" w:space="0" w:color="auto"/>
          </w:divBdr>
        </w:div>
        <w:div w:id="1045376743">
          <w:marLeft w:val="0"/>
          <w:marRight w:val="0"/>
          <w:marTop w:val="0"/>
          <w:marBottom w:val="0"/>
          <w:divBdr>
            <w:top w:val="none" w:sz="0" w:space="0" w:color="auto"/>
            <w:left w:val="none" w:sz="0" w:space="0" w:color="auto"/>
            <w:bottom w:val="none" w:sz="0" w:space="0" w:color="auto"/>
            <w:right w:val="none" w:sz="0" w:space="0" w:color="auto"/>
          </w:divBdr>
        </w:div>
        <w:div w:id="1168793517">
          <w:marLeft w:val="0"/>
          <w:marRight w:val="0"/>
          <w:marTop w:val="0"/>
          <w:marBottom w:val="0"/>
          <w:divBdr>
            <w:top w:val="none" w:sz="0" w:space="0" w:color="auto"/>
            <w:left w:val="none" w:sz="0" w:space="0" w:color="auto"/>
            <w:bottom w:val="none" w:sz="0" w:space="0" w:color="auto"/>
            <w:right w:val="none" w:sz="0" w:space="0" w:color="auto"/>
          </w:divBdr>
        </w:div>
        <w:div w:id="1294287910">
          <w:marLeft w:val="0"/>
          <w:marRight w:val="0"/>
          <w:marTop w:val="0"/>
          <w:marBottom w:val="0"/>
          <w:divBdr>
            <w:top w:val="none" w:sz="0" w:space="0" w:color="auto"/>
            <w:left w:val="none" w:sz="0" w:space="0" w:color="auto"/>
            <w:bottom w:val="none" w:sz="0" w:space="0" w:color="auto"/>
            <w:right w:val="none" w:sz="0" w:space="0" w:color="auto"/>
          </w:divBdr>
        </w:div>
        <w:div w:id="1309938828">
          <w:marLeft w:val="0"/>
          <w:marRight w:val="0"/>
          <w:marTop w:val="0"/>
          <w:marBottom w:val="0"/>
          <w:divBdr>
            <w:top w:val="none" w:sz="0" w:space="0" w:color="auto"/>
            <w:left w:val="none" w:sz="0" w:space="0" w:color="auto"/>
            <w:bottom w:val="none" w:sz="0" w:space="0" w:color="auto"/>
            <w:right w:val="none" w:sz="0" w:space="0" w:color="auto"/>
          </w:divBdr>
        </w:div>
        <w:div w:id="1572228630">
          <w:marLeft w:val="0"/>
          <w:marRight w:val="0"/>
          <w:marTop w:val="0"/>
          <w:marBottom w:val="0"/>
          <w:divBdr>
            <w:top w:val="none" w:sz="0" w:space="0" w:color="auto"/>
            <w:left w:val="none" w:sz="0" w:space="0" w:color="auto"/>
            <w:bottom w:val="none" w:sz="0" w:space="0" w:color="auto"/>
            <w:right w:val="none" w:sz="0" w:space="0" w:color="auto"/>
          </w:divBdr>
        </w:div>
      </w:divsChild>
    </w:div>
    <w:div w:id="109670866">
      <w:bodyDiv w:val="1"/>
      <w:marLeft w:val="0"/>
      <w:marRight w:val="0"/>
      <w:marTop w:val="0"/>
      <w:marBottom w:val="0"/>
      <w:divBdr>
        <w:top w:val="none" w:sz="0" w:space="0" w:color="auto"/>
        <w:left w:val="none" w:sz="0" w:space="0" w:color="auto"/>
        <w:bottom w:val="none" w:sz="0" w:space="0" w:color="auto"/>
        <w:right w:val="none" w:sz="0" w:space="0" w:color="auto"/>
      </w:divBdr>
    </w:div>
    <w:div w:id="109714479">
      <w:bodyDiv w:val="1"/>
      <w:marLeft w:val="0"/>
      <w:marRight w:val="0"/>
      <w:marTop w:val="0"/>
      <w:marBottom w:val="0"/>
      <w:divBdr>
        <w:top w:val="none" w:sz="0" w:space="0" w:color="auto"/>
        <w:left w:val="none" w:sz="0" w:space="0" w:color="auto"/>
        <w:bottom w:val="none" w:sz="0" w:space="0" w:color="auto"/>
        <w:right w:val="none" w:sz="0" w:space="0" w:color="auto"/>
      </w:divBdr>
      <w:divsChild>
        <w:div w:id="32123427">
          <w:marLeft w:val="0"/>
          <w:marRight w:val="0"/>
          <w:marTop w:val="0"/>
          <w:marBottom w:val="0"/>
          <w:divBdr>
            <w:top w:val="none" w:sz="0" w:space="0" w:color="auto"/>
            <w:left w:val="none" w:sz="0" w:space="0" w:color="auto"/>
            <w:bottom w:val="none" w:sz="0" w:space="0" w:color="auto"/>
            <w:right w:val="none" w:sz="0" w:space="0" w:color="auto"/>
          </w:divBdr>
        </w:div>
        <w:div w:id="1222253505">
          <w:marLeft w:val="0"/>
          <w:marRight w:val="0"/>
          <w:marTop w:val="0"/>
          <w:marBottom w:val="0"/>
          <w:divBdr>
            <w:top w:val="none" w:sz="0" w:space="0" w:color="auto"/>
            <w:left w:val="none" w:sz="0" w:space="0" w:color="auto"/>
            <w:bottom w:val="none" w:sz="0" w:space="0" w:color="auto"/>
            <w:right w:val="none" w:sz="0" w:space="0" w:color="auto"/>
          </w:divBdr>
        </w:div>
        <w:div w:id="1572809668">
          <w:marLeft w:val="0"/>
          <w:marRight w:val="0"/>
          <w:marTop w:val="0"/>
          <w:marBottom w:val="0"/>
          <w:divBdr>
            <w:top w:val="none" w:sz="0" w:space="0" w:color="auto"/>
            <w:left w:val="none" w:sz="0" w:space="0" w:color="auto"/>
            <w:bottom w:val="none" w:sz="0" w:space="0" w:color="auto"/>
            <w:right w:val="none" w:sz="0" w:space="0" w:color="auto"/>
          </w:divBdr>
        </w:div>
      </w:divsChild>
    </w:div>
    <w:div w:id="114564130">
      <w:bodyDiv w:val="1"/>
      <w:marLeft w:val="0"/>
      <w:marRight w:val="0"/>
      <w:marTop w:val="0"/>
      <w:marBottom w:val="0"/>
      <w:divBdr>
        <w:top w:val="none" w:sz="0" w:space="0" w:color="auto"/>
        <w:left w:val="none" w:sz="0" w:space="0" w:color="auto"/>
        <w:bottom w:val="none" w:sz="0" w:space="0" w:color="auto"/>
        <w:right w:val="none" w:sz="0" w:space="0" w:color="auto"/>
      </w:divBdr>
      <w:divsChild>
        <w:div w:id="128016096">
          <w:marLeft w:val="0"/>
          <w:marRight w:val="0"/>
          <w:marTop w:val="0"/>
          <w:marBottom w:val="0"/>
          <w:divBdr>
            <w:top w:val="none" w:sz="0" w:space="0" w:color="auto"/>
            <w:left w:val="none" w:sz="0" w:space="0" w:color="auto"/>
            <w:bottom w:val="none" w:sz="0" w:space="0" w:color="auto"/>
            <w:right w:val="none" w:sz="0" w:space="0" w:color="auto"/>
          </w:divBdr>
        </w:div>
        <w:div w:id="1428692390">
          <w:marLeft w:val="0"/>
          <w:marRight w:val="0"/>
          <w:marTop w:val="0"/>
          <w:marBottom w:val="0"/>
          <w:divBdr>
            <w:top w:val="none" w:sz="0" w:space="0" w:color="auto"/>
            <w:left w:val="none" w:sz="0" w:space="0" w:color="auto"/>
            <w:bottom w:val="none" w:sz="0" w:space="0" w:color="auto"/>
            <w:right w:val="none" w:sz="0" w:space="0" w:color="auto"/>
          </w:divBdr>
        </w:div>
      </w:divsChild>
    </w:div>
    <w:div w:id="116026222">
      <w:bodyDiv w:val="1"/>
      <w:marLeft w:val="0"/>
      <w:marRight w:val="0"/>
      <w:marTop w:val="0"/>
      <w:marBottom w:val="0"/>
      <w:divBdr>
        <w:top w:val="none" w:sz="0" w:space="0" w:color="auto"/>
        <w:left w:val="none" w:sz="0" w:space="0" w:color="auto"/>
        <w:bottom w:val="none" w:sz="0" w:space="0" w:color="auto"/>
        <w:right w:val="none" w:sz="0" w:space="0" w:color="auto"/>
      </w:divBdr>
      <w:divsChild>
        <w:div w:id="1981425473">
          <w:marLeft w:val="0"/>
          <w:marRight w:val="0"/>
          <w:marTop w:val="0"/>
          <w:marBottom w:val="0"/>
          <w:divBdr>
            <w:top w:val="none" w:sz="0" w:space="0" w:color="auto"/>
            <w:left w:val="none" w:sz="0" w:space="0" w:color="auto"/>
            <w:bottom w:val="none" w:sz="0" w:space="0" w:color="auto"/>
            <w:right w:val="none" w:sz="0" w:space="0" w:color="auto"/>
          </w:divBdr>
        </w:div>
      </w:divsChild>
    </w:div>
    <w:div w:id="116292849">
      <w:bodyDiv w:val="1"/>
      <w:marLeft w:val="0"/>
      <w:marRight w:val="0"/>
      <w:marTop w:val="0"/>
      <w:marBottom w:val="0"/>
      <w:divBdr>
        <w:top w:val="none" w:sz="0" w:space="0" w:color="auto"/>
        <w:left w:val="none" w:sz="0" w:space="0" w:color="auto"/>
        <w:bottom w:val="none" w:sz="0" w:space="0" w:color="auto"/>
        <w:right w:val="none" w:sz="0" w:space="0" w:color="auto"/>
      </w:divBdr>
    </w:div>
    <w:div w:id="125704833">
      <w:bodyDiv w:val="1"/>
      <w:marLeft w:val="0"/>
      <w:marRight w:val="0"/>
      <w:marTop w:val="0"/>
      <w:marBottom w:val="0"/>
      <w:divBdr>
        <w:top w:val="none" w:sz="0" w:space="0" w:color="auto"/>
        <w:left w:val="none" w:sz="0" w:space="0" w:color="auto"/>
        <w:bottom w:val="none" w:sz="0" w:space="0" w:color="auto"/>
        <w:right w:val="none" w:sz="0" w:space="0" w:color="auto"/>
      </w:divBdr>
      <w:divsChild>
        <w:div w:id="1623145062">
          <w:marLeft w:val="0"/>
          <w:marRight w:val="0"/>
          <w:marTop w:val="0"/>
          <w:marBottom w:val="0"/>
          <w:divBdr>
            <w:top w:val="none" w:sz="0" w:space="0" w:color="auto"/>
            <w:left w:val="none" w:sz="0" w:space="0" w:color="auto"/>
            <w:bottom w:val="none" w:sz="0" w:space="0" w:color="auto"/>
            <w:right w:val="none" w:sz="0" w:space="0" w:color="auto"/>
          </w:divBdr>
        </w:div>
      </w:divsChild>
    </w:div>
    <w:div w:id="125783113">
      <w:bodyDiv w:val="1"/>
      <w:marLeft w:val="0"/>
      <w:marRight w:val="0"/>
      <w:marTop w:val="0"/>
      <w:marBottom w:val="0"/>
      <w:divBdr>
        <w:top w:val="none" w:sz="0" w:space="0" w:color="auto"/>
        <w:left w:val="none" w:sz="0" w:space="0" w:color="auto"/>
        <w:bottom w:val="none" w:sz="0" w:space="0" w:color="auto"/>
        <w:right w:val="none" w:sz="0" w:space="0" w:color="auto"/>
      </w:divBdr>
    </w:div>
    <w:div w:id="130636217">
      <w:bodyDiv w:val="1"/>
      <w:marLeft w:val="0"/>
      <w:marRight w:val="0"/>
      <w:marTop w:val="0"/>
      <w:marBottom w:val="0"/>
      <w:divBdr>
        <w:top w:val="none" w:sz="0" w:space="0" w:color="auto"/>
        <w:left w:val="none" w:sz="0" w:space="0" w:color="auto"/>
        <w:bottom w:val="none" w:sz="0" w:space="0" w:color="auto"/>
        <w:right w:val="none" w:sz="0" w:space="0" w:color="auto"/>
      </w:divBdr>
      <w:divsChild>
        <w:div w:id="182133050">
          <w:marLeft w:val="0"/>
          <w:marRight w:val="0"/>
          <w:marTop w:val="0"/>
          <w:marBottom w:val="0"/>
          <w:divBdr>
            <w:top w:val="none" w:sz="0" w:space="0" w:color="auto"/>
            <w:left w:val="none" w:sz="0" w:space="0" w:color="auto"/>
            <w:bottom w:val="none" w:sz="0" w:space="0" w:color="auto"/>
            <w:right w:val="none" w:sz="0" w:space="0" w:color="auto"/>
          </w:divBdr>
        </w:div>
        <w:div w:id="445546463">
          <w:marLeft w:val="0"/>
          <w:marRight w:val="0"/>
          <w:marTop w:val="0"/>
          <w:marBottom w:val="0"/>
          <w:divBdr>
            <w:top w:val="none" w:sz="0" w:space="0" w:color="auto"/>
            <w:left w:val="none" w:sz="0" w:space="0" w:color="auto"/>
            <w:bottom w:val="none" w:sz="0" w:space="0" w:color="auto"/>
            <w:right w:val="none" w:sz="0" w:space="0" w:color="auto"/>
          </w:divBdr>
        </w:div>
        <w:div w:id="459494053">
          <w:marLeft w:val="0"/>
          <w:marRight w:val="0"/>
          <w:marTop w:val="0"/>
          <w:marBottom w:val="0"/>
          <w:divBdr>
            <w:top w:val="none" w:sz="0" w:space="0" w:color="auto"/>
            <w:left w:val="none" w:sz="0" w:space="0" w:color="auto"/>
            <w:bottom w:val="none" w:sz="0" w:space="0" w:color="auto"/>
            <w:right w:val="none" w:sz="0" w:space="0" w:color="auto"/>
          </w:divBdr>
        </w:div>
        <w:div w:id="469398313">
          <w:marLeft w:val="0"/>
          <w:marRight w:val="0"/>
          <w:marTop w:val="0"/>
          <w:marBottom w:val="0"/>
          <w:divBdr>
            <w:top w:val="none" w:sz="0" w:space="0" w:color="auto"/>
            <w:left w:val="none" w:sz="0" w:space="0" w:color="auto"/>
            <w:bottom w:val="none" w:sz="0" w:space="0" w:color="auto"/>
            <w:right w:val="none" w:sz="0" w:space="0" w:color="auto"/>
          </w:divBdr>
        </w:div>
        <w:div w:id="626281995">
          <w:marLeft w:val="0"/>
          <w:marRight w:val="0"/>
          <w:marTop w:val="0"/>
          <w:marBottom w:val="0"/>
          <w:divBdr>
            <w:top w:val="none" w:sz="0" w:space="0" w:color="auto"/>
            <w:left w:val="none" w:sz="0" w:space="0" w:color="auto"/>
            <w:bottom w:val="none" w:sz="0" w:space="0" w:color="auto"/>
            <w:right w:val="none" w:sz="0" w:space="0" w:color="auto"/>
          </w:divBdr>
        </w:div>
        <w:div w:id="684983298">
          <w:marLeft w:val="0"/>
          <w:marRight w:val="0"/>
          <w:marTop w:val="0"/>
          <w:marBottom w:val="0"/>
          <w:divBdr>
            <w:top w:val="none" w:sz="0" w:space="0" w:color="auto"/>
            <w:left w:val="none" w:sz="0" w:space="0" w:color="auto"/>
            <w:bottom w:val="none" w:sz="0" w:space="0" w:color="auto"/>
            <w:right w:val="none" w:sz="0" w:space="0" w:color="auto"/>
          </w:divBdr>
        </w:div>
        <w:div w:id="910626684">
          <w:marLeft w:val="0"/>
          <w:marRight w:val="0"/>
          <w:marTop w:val="0"/>
          <w:marBottom w:val="0"/>
          <w:divBdr>
            <w:top w:val="none" w:sz="0" w:space="0" w:color="auto"/>
            <w:left w:val="none" w:sz="0" w:space="0" w:color="auto"/>
            <w:bottom w:val="none" w:sz="0" w:space="0" w:color="auto"/>
            <w:right w:val="none" w:sz="0" w:space="0" w:color="auto"/>
          </w:divBdr>
        </w:div>
        <w:div w:id="913465221">
          <w:marLeft w:val="0"/>
          <w:marRight w:val="0"/>
          <w:marTop w:val="0"/>
          <w:marBottom w:val="0"/>
          <w:divBdr>
            <w:top w:val="none" w:sz="0" w:space="0" w:color="auto"/>
            <w:left w:val="none" w:sz="0" w:space="0" w:color="auto"/>
            <w:bottom w:val="none" w:sz="0" w:space="0" w:color="auto"/>
            <w:right w:val="none" w:sz="0" w:space="0" w:color="auto"/>
          </w:divBdr>
        </w:div>
        <w:div w:id="1136949248">
          <w:marLeft w:val="0"/>
          <w:marRight w:val="0"/>
          <w:marTop w:val="0"/>
          <w:marBottom w:val="0"/>
          <w:divBdr>
            <w:top w:val="none" w:sz="0" w:space="0" w:color="auto"/>
            <w:left w:val="none" w:sz="0" w:space="0" w:color="auto"/>
            <w:bottom w:val="none" w:sz="0" w:space="0" w:color="auto"/>
            <w:right w:val="none" w:sz="0" w:space="0" w:color="auto"/>
          </w:divBdr>
        </w:div>
        <w:div w:id="1184128518">
          <w:marLeft w:val="0"/>
          <w:marRight w:val="0"/>
          <w:marTop w:val="0"/>
          <w:marBottom w:val="0"/>
          <w:divBdr>
            <w:top w:val="none" w:sz="0" w:space="0" w:color="auto"/>
            <w:left w:val="none" w:sz="0" w:space="0" w:color="auto"/>
            <w:bottom w:val="none" w:sz="0" w:space="0" w:color="auto"/>
            <w:right w:val="none" w:sz="0" w:space="0" w:color="auto"/>
          </w:divBdr>
        </w:div>
        <w:div w:id="1540896865">
          <w:marLeft w:val="0"/>
          <w:marRight w:val="0"/>
          <w:marTop w:val="0"/>
          <w:marBottom w:val="0"/>
          <w:divBdr>
            <w:top w:val="none" w:sz="0" w:space="0" w:color="auto"/>
            <w:left w:val="none" w:sz="0" w:space="0" w:color="auto"/>
            <w:bottom w:val="none" w:sz="0" w:space="0" w:color="auto"/>
            <w:right w:val="none" w:sz="0" w:space="0" w:color="auto"/>
          </w:divBdr>
        </w:div>
        <w:div w:id="2114745823">
          <w:marLeft w:val="0"/>
          <w:marRight w:val="0"/>
          <w:marTop w:val="0"/>
          <w:marBottom w:val="0"/>
          <w:divBdr>
            <w:top w:val="none" w:sz="0" w:space="0" w:color="auto"/>
            <w:left w:val="none" w:sz="0" w:space="0" w:color="auto"/>
            <w:bottom w:val="none" w:sz="0" w:space="0" w:color="auto"/>
            <w:right w:val="none" w:sz="0" w:space="0" w:color="auto"/>
          </w:divBdr>
        </w:div>
      </w:divsChild>
    </w:div>
    <w:div w:id="130753020">
      <w:bodyDiv w:val="1"/>
      <w:marLeft w:val="0"/>
      <w:marRight w:val="0"/>
      <w:marTop w:val="0"/>
      <w:marBottom w:val="0"/>
      <w:divBdr>
        <w:top w:val="none" w:sz="0" w:space="0" w:color="auto"/>
        <w:left w:val="none" w:sz="0" w:space="0" w:color="auto"/>
        <w:bottom w:val="none" w:sz="0" w:space="0" w:color="auto"/>
        <w:right w:val="none" w:sz="0" w:space="0" w:color="auto"/>
      </w:divBdr>
      <w:divsChild>
        <w:div w:id="1230387164">
          <w:marLeft w:val="0"/>
          <w:marRight w:val="0"/>
          <w:marTop w:val="0"/>
          <w:marBottom w:val="0"/>
          <w:divBdr>
            <w:top w:val="none" w:sz="0" w:space="0" w:color="auto"/>
            <w:left w:val="none" w:sz="0" w:space="0" w:color="auto"/>
            <w:bottom w:val="none" w:sz="0" w:space="0" w:color="auto"/>
            <w:right w:val="none" w:sz="0" w:space="0" w:color="auto"/>
          </w:divBdr>
        </w:div>
      </w:divsChild>
    </w:div>
    <w:div w:id="131216012">
      <w:bodyDiv w:val="1"/>
      <w:marLeft w:val="0"/>
      <w:marRight w:val="0"/>
      <w:marTop w:val="0"/>
      <w:marBottom w:val="0"/>
      <w:divBdr>
        <w:top w:val="none" w:sz="0" w:space="0" w:color="auto"/>
        <w:left w:val="none" w:sz="0" w:space="0" w:color="auto"/>
        <w:bottom w:val="none" w:sz="0" w:space="0" w:color="auto"/>
        <w:right w:val="none" w:sz="0" w:space="0" w:color="auto"/>
      </w:divBdr>
    </w:div>
    <w:div w:id="132139454">
      <w:bodyDiv w:val="1"/>
      <w:marLeft w:val="0"/>
      <w:marRight w:val="0"/>
      <w:marTop w:val="0"/>
      <w:marBottom w:val="0"/>
      <w:divBdr>
        <w:top w:val="none" w:sz="0" w:space="0" w:color="auto"/>
        <w:left w:val="none" w:sz="0" w:space="0" w:color="auto"/>
        <w:bottom w:val="none" w:sz="0" w:space="0" w:color="auto"/>
        <w:right w:val="none" w:sz="0" w:space="0" w:color="auto"/>
      </w:divBdr>
      <w:divsChild>
        <w:div w:id="1680619841">
          <w:marLeft w:val="0"/>
          <w:marRight w:val="0"/>
          <w:marTop w:val="0"/>
          <w:marBottom w:val="0"/>
          <w:divBdr>
            <w:top w:val="none" w:sz="0" w:space="0" w:color="auto"/>
            <w:left w:val="none" w:sz="0" w:space="0" w:color="auto"/>
            <w:bottom w:val="none" w:sz="0" w:space="0" w:color="auto"/>
            <w:right w:val="none" w:sz="0" w:space="0" w:color="auto"/>
          </w:divBdr>
          <w:divsChild>
            <w:div w:id="114910784">
              <w:marLeft w:val="0"/>
              <w:marRight w:val="0"/>
              <w:marTop w:val="0"/>
              <w:marBottom w:val="0"/>
              <w:divBdr>
                <w:top w:val="none" w:sz="0" w:space="0" w:color="auto"/>
                <w:left w:val="none" w:sz="0" w:space="0" w:color="auto"/>
                <w:bottom w:val="none" w:sz="0" w:space="0" w:color="auto"/>
                <w:right w:val="none" w:sz="0" w:space="0" w:color="auto"/>
              </w:divBdr>
            </w:div>
            <w:div w:id="336737462">
              <w:marLeft w:val="0"/>
              <w:marRight w:val="0"/>
              <w:marTop w:val="0"/>
              <w:marBottom w:val="0"/>
              <w:divBdr>
                <w:top w:val="none" w:sz="0" w:space="0" w:color="auto"/>
                <w:left w:val="none" w:sz="0" w:space="0" w:color="auto"/>
                <w:bottom w:val="none" w:sz="0" w:space="0" w:color="auto"/>
                <w:right w:val="none" w:sz="0" w:space="0" w:color="auto"/>
              </w:divBdr>
            </w:div>
            <w:div w:id="360545828">
              <w:marLeft w:val="0"/>
              <w:marRight w:val="0"/>
              <w:marTop w:val="0"/>
              <w:marBottom w:val="0"/>
              <w:divBdr>
                <w:top w:val="none" w:sz="0" w:space="0" w:color="auto"/>
                <w:left w:val="none" w:sz="0" w:space="0" w:color="auto"/>
                <w:bottom w:val="none" w:sz="0" w:space="0" w:color="auto"/>
                <w:right w:val="none" w:sz="0" w:space="0" w:color="auto"/>
              </w:divBdr>
            </w:div>
            <w:div w:id="364522087">
              <w:marLeft w:val="0"/>
              <w:marRight w:val="0"/>
              <w:marTop w:val="0"/>
              <w:marBottom w:val="0"/>
              <w:divBdr>
                <w:top w:val="none" w:sz="0" w:space="0" w:color="auto"/>
                <w:left w:val="none" w:sz="0" w:space="0" w:color="auto"/>
                <w:bottom w:val="none" w:sz="0" w:space="0" w:color="auto"/>
                <w:right w:val="none" w:sz="0" w:space="0" w:color="auto"/>
              </w:divBdr>
            </w:div>
            <w:div w:id="387994931">
              <w:marLeft w:val="0"/>
              <w:marRight w:val="0"/>
              <w:marTop w:val="0"/>
              <w:marBottom w:val="0"/>
              <w:divBdr>
                <w:top w:val="none" w:sz="0" w:space="0" w:color="auto"/>
                <w:left w:val="none" w:sz="0" w:space="0" w:color="auto"/>
                <w:bottom w:val="none" w:sz="0" w:space="0" w:color="auto"/>
                <w:right w:val="none" w:sz="0" w:space="0" w:color="auto"/>
              </w:divBdr>
            </w:div>
            <w:div w:id="426390509">
              <w:marLeft w:val="0"/>
              <w:marRight w:val="0"/>
              <w:marTop w:val="0"/>
              <w:marBottom w:val="0"/>
              <w:divBdr>
                <w:top w:val="none" w:sz="0" w:space="0" w:color="auto"/>
                <w:left w:val="none" w:sz="0" w:space="0" w:color="auto"/>
                <w:bottom w:val="none" w:sz="0" w:space="0" w:color="auto"/>
                <w:right w:val="none" w:sz="0" w:space="0" w:color="auto"/>
              </w:divBdr>
            </w:div>
            <w:div w:id="451901231">
              <w:marLeft w:val="0"/>
              <w:marRight w:val="0"/>
              <w:marTop w:val="0"/>
              <w:marBottom w:val="0"/>
              <w:divBdr>
                <w:top w:val="none" w:sz="0" w:space="0" w:color="auto"/>
                <w:left w:val="none" w:sz="0" w:space="0" w:color="auto"/>
                <w:bottom w:val="none" w:sz="0" w:space="0" w:color="auto"/>
                <w:right w:val="none" w:sz="0" w:space="0" w:color="auto"/>
              </w:divBdr>
            </w:div>
            <w:div w:id="479083458">
              <w:marLeft w:val="0"/>
              <w:marRight w:val="0"/>
              <w:marTop w:val="0"/>
              <w:marBottom w:val="0"/>
              <w:divBdr>
                <w:top w:val="none" w:sz="0" w:space="0" w:color="auto"/>
                <w:left w:val="none" w:sz="0" w:space="0" w:color="auto"/>
                <w:bottom w:val="none" w:sz="0" w:space="0" w:color="auto"/>
                <w:right w:val="none" w:sz="0" w:space="0" w:color="auto"/>
              </w:divBdr>
            </w:div>
            <w:div w:id="502860329">
              <w:marLeft w:val="0"/>
              <w:marRight w:val="0"/>
              <w:marTop w:val="0"/>
              <w:marBottom w:val="0"/>
              <w:divBdr>
                <w:top w:val="none" w:sz="0" w:space="0" w:color="auto"/>
                <w:left w:val="none" w:sz="0" w:space="0" w:color="auto"/>
                <w:bottom w:val="none" w:sz="0" w:space="0" w:color="auto"/>
                <w:right w:val="none" w:sz="0" w:space="0" w:color="auto"/>
              </w:divBdr>
            </w:div>
            <w:div w:id="548107730">
              <w:marLeft w:val="0"/>
              <w:marRight w:val="0"/>
              <w:marTop w:val="0"/>
              <w:marBottom w:val="0"/>
              <w:divBdr>
                <w:top w:val="none" w:sz="0" w:space="0" w:color="auto"/>
                <w:left w:val="none" w:sz="0" w:space="0" w:color="auto"/>
                <w:bottom w:val="none" w:sz="0" w:space="0" w:color="auto"/>
                <w:right w:val="none" w:sz="0" w:space="0" w:color="auto"/>
              </w:divBdr>
            </w:div>
            <w:div w:id="564724468">
              <w:marLeft w:val="0"/>
              <w:marRight w:val="0"/>
              <w:marTop w:val="0"/>
              <w:marBottom w:val="0"/>
              <w:divBdr>
                <w:top w:val="none" w:sz="0" w:space="0" w:color="auto"/>
                <w:left w:val="none" w:sz="0" w:space="0" w:color="auto"/>
                <w:bottom w:val="none" w:sz="0" w:space="0" w:color="auto"/>
                <w:right w:val="none" w:sz="0" w:space="0" w:color="auto"/>
              </w:divBdr>
            </w:div>
            <w:div w:id="681274687">
              <w:marLeft w:val="0"/>
              <w:marRight w:val="0"/>
              <w:marTop w:val="0"/>
              <w:marBottom w:val="0"/>
              <w:divBdr>
                <w:top w:val="none" w:sz="0" w:space="0" w:color="auto"/>
                <w:left w:val="none" w:sz="0" w:space="0" w:color="auto"/>
                <w:bottom w:val="none" w:sz="0" w:space="0" w:color="auto"/>
                <w:right w:val="none" w:sz="0" w:space="0" w:color="auto"/>
              </w:divBdr>
            </w:div>
            <w:div w:id="832984967">
              <w:marLeft w:val="0"/>
              <w:marRight w:val="0"/>
              <w:marTop w:val="0"/>
              <w:marBottom w:val="0"/>
              <w:divBdr>
                <w:top w:val="none" w:sz="0" w:space="0" w:color="auto"/>
                <w:left w:val="none" w:sz="0" w:space="0" w:color="auto"/>
                <w:bottom w:val="none" w:sz="0" w:space="0" w:color="auto"/>
                <w:right w:val="none" w:sz="0" w:space="0" w:color="auto"/>
              </w:divBdr>
            </w:div>
            <w:div w:id="874584066">
              <w:marLeft w:val="0"/>
              <w:marRight w:val="0"/>
              <w:marTop w:val="0"/>
              <w:marBottom w:val="0"/>
              <w:divBdr>
                <w:top w:val="none" w:sz="0" w:space="0" w:color="auto"/>
                <w:left w:val="none" w:sz="0" w:space="0" w:color="auto"/>
                <w:bottom w:val="none" w:sz="0" w:space="0" w:color="auto"/>
                <w:right w:val="none" w:sz="0" w:space="0" w:color="auto"/>
              </w:divBdr>
            </w:div>
            <w:div w:id="891498346">
              <w:marLeft w:val="0"/>
              <w:marRight w:val="0"/>
              <w:marTop w:val="0"/>
              <w:marBottom w:val="0"/>
              <w:divBdr>
                <w:top w:val="none" w:sz="0" w:space="0" w:color="auto"/>
                <w:left w:val="none" w:sz="0" w:space="0" w:color="auto"/>
                <w:bottom w:val="none" w:sz="0" w:space="0" w:color="auto"/>
                <w:right w:val="none" w:sz="0" w:space="0" w:color="auto"/>
              </w:divBdr>
            </w:div>
            <w:div w:id="941451376">
              <w:marLeft w:val="0"/>
              <w:marRight w:val="0"/>
              <w:marTop w:val="0"/>
              <w:marBottom w:val="0"/>
              <w:divBdr>
                <w:top w:val="none" w:sz="0" w:space="0" w:color="auto"/>
                <w:left w:val="none" w:sz="0" w:space="0" w:color="auto"/>
                <w:bottom w:val="none" w:sz="0" w:space="0" w:color="auto"/>
                <w:right w:val="none" w:sz="0" w:space="0" w:color="auto"/>
              </w:divBdr>
            </w:div>
            <w:div w:id="1094592695">
              <w:marLeft w:val="0"/>
              <w:marRight w:val="0"/>
              <w:marTop w:val="0"/>
              <w:marBottom w:val="0"/>
              <w:divBdr>
                <w:top w:val="none" w:sz="0" w:space="0" w:color="auto"/>
                <w:left w:val="none" w:sz="0" w:space="0" w:color="auto"/>
                <w:bottom w:val="none" w:sz="0" w:space="0" w:color="auto"/>
                <w:right w:val="none" w:sz="0" w:space="0" w:color="auto"/>
              </w:divBdr>
            </w:div>
            <w:div w:id="1158882391">
              <w:marLeft w:val="0"/>
              <w:marRight w:val="0"/>
              <w:marTop w:val="0"/>
              <w:marBottom w:val="0"/>
              <w:divBdr>
                <w:top w:val="none" w:sz="0" w:space="0" w:color="auto"/>
                <w:left w:val="none" w:sz="0" w:space="0" w:color="auto"/>
                <w:bottom w:val="none" w:sz="0" w:space="0" w:color="auto"/>
                <w:right w:val="none" w:sz="0" w:space="0" w:color="auto"/>
              </w:divBdr>
            </w:div>
            <w:div w:id="1258370320">
              <w:marLeft w:val="0"/>
              <w:marRight w:val="0"/>
              <w:marTop w:val="0"/>
              <w:marBottom w:val="0"/>
              <w:divBdr>
                <w:top w:val="none" w:sz="0" w:space="0" w:color="auto"/>
                <w:left w:val="none" w:sz="0" w:space="0" w:color="auto"/>
                <w:bottom w:val="none" w:sz="0" w:space="0" w:color="auto"/>
                <w:right w:val="none" w:sz="0" w:space="0" w:color="auto"/>
              </w:divBdr>
            </w:div>
            <w:div w:id="1315835175">
              <w:marLeft w:val="0"/>
              <w:marRight w:val="0"/>
              <w:marTop w:val="0"/>
              <w:marBottom w:val="0"/>
              <w:divBdr>
                <w:top w:val="none" w:sz="0" w:space="0" w:color="auto"/>
                <w:left w:val="none" w:sz="0" w:space="0" w:color="auto"/>
                <w:bottom w:val="none" w:sz="0" w:space="0" w:color="auto"/>
                <w:right w:val="none" w:sz="0" w:space="0" w:color="auto"/>
              </w:divBdr>
            </w:div>
            <w:div w:id="1349719923">
              <w:marLeft w:val="0"/>
              <w:marRight w:val="0"/>
              <w:marTop w:val="0"/>
              <w:marBottom w:val="0"/>
              <w:divBdr>
                <w:top w:val="none" w:sz="0" w:space="0" w:color="auto"/>
                <w:left w:val="none" w:sz="0" w:space="0" w:color="auto"/>
                <w:bottom w:val="none" w:sz="0" w:space="0" w:color="auto"/>
                <w:right w:val="none" w:sz="0" w:space="0" w:color="auto"/>
              </w:divBdr>
            </w:div>
            <w:div w:id="1375884245">
              <w:marLeft w:val="0"/>
              <w:marRight w:val="0"/>
              <w:marTop w:val="0"/>
              <w:marBottom w:val="0"/>
              <w:divBdr>
                <w:top w:val="none" w:sz="0" w:space="0" w:color="auto"/>
                <w:left w:val="none" w:sz="0" w:space="0" w:color="auto"/>
                <w:bottom w:val="none" w:sz="0" w:space="0" w:color="auto"/>
                <w:right w:val="none" w:sz="0" w:space="0" w:color="auto"/>
              </w:divBdr>
            </w:div>
            <w:div w:id="1447891857">
              <w:marLeft w:val="0"/>
              <w:marRight w:val="0"/>
              <w:marTop w:val="0"/>
              <w:marBottom w:val="0"/>
              <w:divBdr>
                <w:top w:val="none" w:sz="0" w:space="0" w:color="auto"/>
                <w:left w:val="none" w:sz="0" w:space="0" w:color="auto"/>
                <w:bottom w:val="none" w:sz="0" w:space="0" w:color="auto"/>
                <w:right w:val="none" w:sz="0" w:space="0" w:color="auto"/>
              </w:divBdr>
            </w:div>
            <w:div w:id="1527406711">
              <w:marLeft w:val="0"/>
              <w:marRight w:val="0"/>
              <w:marTop w:val="0"/>
              <w:marBottom w:val="0"/>
              <w:divBdr>
                <w:top w:val="none" w:sz="0" w:space="0" w:color="auto"/>
                <w:left w:val="none" w:sz="0" w:space="0" w:color="auto"/>
                <w:bottom w:val="none" w:sz="0" w:space="0" w:color="auto"/>
                <w:right w:val="none" w:sz="0" w:space="0" w:color="auto"/>
              </w:divBdr>
            </w:div>
            <w:div w:id="1762214006">
              <w:marLeft w:val="0"/>
              <w:marRight w:val="0"/>
              <w:marTop w:val="0"/>
              <w:marBottom w:val="0"/>
              <w:divBdr>
                <w:top w:val="none" w:sz="0" w:space="0" w:color="auto"/>
                <w:left w:val="none" w:sz="0" w:space="0" w:color="auto"/>
                <w:bottom w:val="none" w:sz="0" w:space="0" w:color="auto"/>
                <w:right w:val="none" w:sz="0" w:space="0" w:color="auto"/>
              </w:divBdr>
            </w:div>
            <w:div w:id="1938781148">
              <w:marLeft w:val="0"/>
              <w:marRight w:val="0"/>
              <w:marTop w:val="0"/>
              <w:marBottom w:val="0"/>
              <w:divBdr>
                <w:top w:val="none" w:sz="0" w:space="0" w:color="auto"/>
                <w:left w:val="none" w:sz="0" w:space="0" w:color="auto"/>
                <w:bottom w:val="none" w:sz="0" w:space="0" w:color="auto"/>
                <w:right w:val="none" w:sz="0" w:space="0" w:color="auto"/>
              </w:divBdr>
            </w:div>
            <w:div w:id="21382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271">
      <w:bodyDiv w:val="1"/>
      <w:marLeft w:val="0"/>
      <w:marRight w:val="0"/>
      <w:marTop w:val="0"/>
      <w:marBottom w:val="0"/>
      <w:divBdr>
        <w:top w:val="none" w:sz="0" w:space="0" w:color="auto"/>
        <w:left w:val="none" w:sz="0" w:space="0" w:color="auto"/>
        <w:bottom w:val="none" w:sz="0" w:space="0" w:color="auto"/>
        <w:right w:val="none" w:sz="0" w:space="0" w:color="auto"/>
      </w:divBdr>
      <w:divsChild>
        <w:div w:id="112671251">
          <w:marLeft w:val="0"/>
          <w:marRight w:val="0"/>
          <w:marTop w:val="0"/>
          <w:marBottom w:val="0"/>
          <w:divBdr>
            <w:top w:val="none" w:sz="0" w:space="0" w:color="auto"/>
            <w:left w:val="none" w:sz="0" w:space="0" w:color="auto"/>
            <w:bottom w:val="none" w:sz="0" w:space="0" w:color="auto"/>
            <w:right w:val="none" w:sz="0" w:space="0" w:color="auto"/>
          </w:divBdr>
        </w:div>
        <w:div w:id="126364970">
          <w:marLeft w:val="0"/>
          <w:marRight w:val="0"/>
          <w:marTop w:val="0"/>
          <w:marBottom w:val="0"/>
          <w:divBdr>
            <w:top w:val="none" w:sz="0" w:space="0" w:color="auto"/>
            <w:left w:val="none" w:sz="0" w:space="0" w:color="auto"/>
            <w:bottom w:val="none" w:sz="0" w:space="0" w:color="auto"/>
            <w:right w:val="none" w:sz="0" w:space="0" w:color="auto"/>
          </w:divBdr>
        </w:div>
        <w:div w:id="194077049">
          <w:marLeft w:val="0"/>
          <w:marRight w:val="0"/>
          <w:marTop w:val="0"/>
          <w:marBottom w:val="0"/>
          <w:divBdr>
            <w:top w:val="none" w:sz="0" w:space="0" w:color="auto"/>
            <w:left w:val="none" w:sz="0" w:space="0" w:color="auto"/>
            <w:bottom w:val="none" w:sz="0" w:space="0" w:color="auto"/>
            <w:right w:val="none" w:sz="0" w:space="0" w:color="auto"/>
          </w:divBdr>
        </w:div>
        <w:div w:id="338429445">
          <w:marLeft w:val="0"/>
          <w:marRight w:val="0"/>
          <w:marTop w:val="0"/>
          <w:marBottom w:val="0"/>
          <w:divBdr>
            <w:top w:val="none" w:sz="0" w:space="0" w:color="auto"/>
            <w:left w:val="none" w:sz="0" w:space="0" w:color="auto"/>
            <w:bottom w:val="none" w:sz="0" w:space="0" w:color="auto"/>
            <w:right w:val="none" w:sz="0" w:space="0" w:color="auto"/>
          </w:divBdr>
        </w:div>
        <w:div w:id="366688780">
          <w:marLeft w:val="0"/>
          <w:marRight w:val="0"/>
          <w:marTop w:val="0"/>
          <w:marBottom w:val="0"/>
          <w:divBdr>
            <w:top w:val="none" w:sz="0" w:space="0" w:color="auto"/>
            <w:left w:val="none" w:sz="0" w:space="0" w:color="auto"/>
            <w:bottom w:val="none" w:sz="0" w:space="0" w:color="auto"/>
            <w:right w:val="none" w:sz="0" w:space="0" w:color="auto"/>
          </w:divBdr>
        </w:div>
        <w:div w:id="484669559">
          <w:marLeft w:val="0"/>
          <w:marRight w:val="0"/>
          <w:marTop w:val="0"/>
          <w:marBottom w:val="0"/>
          <w:divBdr>
            <w:top w:val="none" w:sz="0" w:space="0" w:color="auto"/>
            <w:left w:val="none" w:sz="0" w:space="0" w:color="auto"/>
            <w:bottom w:val="none" w:sz="0" w:space="0" w:color="auto"/>
            <w:right w:val="none" w:sz="0" w:space="0" w:color="auto"/>
          </w:divBdr>
        </w:div>
        <w:div w:id="512114161">
          <w:marLeft w:val="0"/>
          <w:marRight w:val="0"/>
          <w:marTop w:val="0"/>
          <w:marBottom w:val="0"/>
          <w:divBdr>
            <w:top w:val="none" w:sz="0" w:space="0" w:color="auto"/>
            <w:left w:val="none" w:sz="0" w:space="0" w:color="auto"/>
            <w:bottom w:val="none" w:sz="0" w:space="0" w:color="auto"/>
            <w:right w:val="none" w:sz="0" w:space="0" w:color="auto"/>
          </w:divBdr>
        </w:div>
        <w:div w:id="542788210">
          <w:marLeft w:val="0"/>
          <w:marRight w:val="0"/>
          <w:marTop w:val="0"/>
          <w:marBottom w:val="0"/>
          <w:divBdr>
            <w:top w:val="none" w:sz="0" w:space="0" w:color="auto"/>
            <w:left w:val="none" w:sz="0" w:space="0" w:color="auto"/>
            <w:bottom w:val="none" w:sz="0" w:space="0" w:color="auto"/>
            <w:right w:val="none" w:sz="0" w:space="0" w:color="auto"/>
          </w:divBdr>
        </w:div>
        <w:div w:id="557740095">
          <w:marLeft w:val="0"/>
          <w:marRight w:val="0"/>
          <w:marTop w:val="0"/>
          <w:marBottom w:val="0"/>
          <w:divBdr>
            <w:top w:val="none" w:sz="0" w:space="0" w:color="auto"/>
            <w:left w:val="none" w:sz="0" w:space="0" w:color="auto"/>
            <w:bottom w:val="none" w:sz="0" w:space="0" w:color="auto"/>
            <w:right w:val="none" w:sz="0" w:space="0" w:color="auto"/>
          </w:divBdr>
        </w:div>
        <w:div w:id="577520212">
          <w:marLeft w:val="0"/>
          <w:marRight w:val="0"/>
          <w:marTop w:val="0"/>
          <w:marBottom w:val="0"/>
          <w:divBdr>
            <w:top w:val="none" w:sz="0" w:space="0" w:color="auto"/>
            <w:left w:val="none" w:sz="0" w:space="0" w:color="auto"/>
            <w:bottom w:val="none" w:sz="0" w:space="0" w:color="auto"/>
            <w:right w:val="none" w:sz="0" w:space="0" w:color="auto"/>
          </w:divBdr>
        </w:div>
        <w:div w:id="647325733">
          <w:marLeft w:val="0"/>
          <w:marRight w:val="0"/>
          <w:marTop w:val="0"/>
          <w:marBottom w:val="0"/>
          <w:divBdr>
            <w:top w:val="none" w:sz="0" w:space="0" w:color="auto"/>
            <w:left w:val="none" w:sz="0" w:space="0" w:color="auto"/>
            <w:bottom w:val="none" w:sz="0" w:space="0" w:color="auto"/>
            <w:right w:val="none" w:sz="0" w:space="0" w:color="auto"/>
          </w:divBdr>
        </w:div>
        <w:div w:id="738598375">
          <w:marLeft w:val="0"/>
          <w:marRight w:val="0"/>
          <w:marTop w:val="0"/>
          <w:marBottom w:val="0"/>
          <w:divBdr>
            <w:top w:val="none" w:sz="0" w:space="0" w:color="auto"/>
            <w:left w:val="none" w:sz="0" w:space="0" w:color="auto"/>
            <w:bottom w:val="none" w:sz="0" w:space="0" w:color="auto"/>
            <w:right w:val="none" w:sz="0" w:space="0" w:color="auto"/>
          </w:divBdr>
        </w:div>
        <w:div w:id="820849759">
          <w:marLeft w:val="0"/>
          <w:marRight w:val="0"/>
          <w:marTop w:val="0"/>
          <w:marBottom w:val="0"/>
          <w:divBdr>
            <w:top w:val="none" w:sz="0" w:space="0" w:color="auto"/>
            <w:left w:val="none" w:sz="0" w:space="0" w:color="auto"/>
            <w:bottom w:val="none" w:sz="0" w:space="0" w:color="auto"/>
            <w:right w:val="none" w:sz="0" w:space="0" w:color="auto"/>
          </w:divBdr>
        </w:div>
        <w:div w:id="841160740">
          <w:marLeft w:val="0"/>
          <w:marRight w:val="0"/>
          <w:marTop w:val="0"/>
          <w:marBottom w:val="0"/>
          <w:divBdr>
            <w:top w:val="none" w:sz="0" w:space="0" w:color="auto"/>
            <w:left w:val="none" w:sz="0" w:space="0" w:color="auto"/>
            <w:bottom w:val="none" w:sz="0" w:space="0" w:color="auto"/>
            <w:right w:val="none" w:sz="0" w:space="0" w:color="auto"/>
          </w:divBdr>
        </w:div>
        <w:div w:id="962346697">
          <w:marLeft w:val="0"/>
          <w:marRight w:val="0"/>
          <w:marTop w:val="0"/>
          <w:marBottom w:val="0"/>
          <w:divBdr>
            <w:top w:val="none" w:sz="0" w:space="0" w:color="auto"/>
            <w:left w:val="none" w:sz="0" w:space="0" w:color="auto"/>
            <w:bottom w:val="none" w:sz="0" w:space="0" w:color="auto"/>
            <w:right w:val="none" w:sz="0" w:space="0" w:color="auto"/>
          </w:divBdr>
        </w:div>
        <w:div w:id="972296796">
          <w:marLeft w:val="0"/>
          <w:marRight w:val="0"/>
          <w:marTop w:val="0"/>
          <w:marBottom w:val="0"/>
          <w:divBdr>
            <w:top w:val="none" w:sz="0" w:space="0" w:color="auto"/>
            <w:left w:val="none" w:sz="0" w:space="0" w:color="auto"/>
            <w:bottom w:val="none" w:sz="0" w:space="0" w:color="auto"/>
            <w:right w:val="none" w:sz="0" w:space="0" w:color="auto"/>
          </w:divBdr>
        </w:div>
        <w:div w:id="994454964">
          <w:marLeft w:val="0"/>
          <w:marRight w:val="0"/>
          <w:marTop w:val="0"/>
          <w:marBottom w:val="0"/>
          <w:divBdr>
            <w:top w:val="none" w:sz="0" w:space="0" w:color="auto"/>
            <w:left w:val="none" w:sz="0" w:space="0" w:color="auto"/>
            <w:bottom w:val="none" w:sz="0" w:space="0" w:color="auto"/>
            <w:right w:val="none" w:sz="0" w:space="0" w:color="auto"/>
          </w:divBdr>
        </w:div>
        <w:div w:id="1082071510">
          <w:marLeft w:val="0"/>
          <w:marRight w:val="0"/>
          <w:marTop w:val="0"/>
          <w:marBottom w:val="0"/>
          <w:divBdr>
            <w:top w:val="none" w:sz="0" w:space="0" w:color="auto"/>
            <w:left w:val="none" w:sz="0" w:space="0" w:color="auto"/>
            <w:bottom w:val="none" w:sz="0" w:space="0" w:color="auto"/>
            <w:right w:val="none" w:sz="0" w:space="0" w:color="auto"/>
          </w:divBdr>
        </w:div>
        <w:div w:id="1095633006">
          <w:marLeft w:val="0"/>
          <w:marRight w:val="0"/>
          <w:marTop w:val="0"/>
          <w:marBottom w:val="0"/>
          <w:divBdr>
            <w:top w:val="none" w:sz="0" w:space="0" w:color="auto"/>
            <w:left w:val="none" w:sz="0" w:space="0" w:color="auto"/>
            <w:bottom w:val="none" w:sz="0" w:space="0" w:color="auto"/>
            <w:right w:val="none" w:sz="0" w:space="0" w:color="auto"/>
          </w:divBdr>
        </w:div>
        <w:div w:id="1103304370">
          <w:marLeft w:val="0"/>
          <w:marRight w:val="0"/>
          <w:marTop w:val="0"/>
          <w:marBottom w:val="0"/>
          <w:divBdr>
            <w:top w:val="none" w:sz="0" w:space="0" w:color="auto"/>
            <w:left w:val="none" w:sz="0" w:space="0" w:color="auto"/>
            <w:bottom w:val="none" w:sz="0" w:space="0" w:color="auto"/>
            <w:right w:val="none" w:sz="0" w:space="0" w:color="auto"/>
          </w:divBdr>
        </w:div>
        <w:div w:id="1219973844">
          <w:marLeft w:val="0"/>
          <w:marRight w:val="0"/>
          <w:marTop w:val="0"/>
          <w:marBottom w:val="0"/>
          <w:divBdr>
            <w:top w:val="none" w:sz="0" w:space="0" w:color="auto"/>
            <w:left w:val="none" w:sz="0" w:space="0" w:color="auto"/>
            <w:bottom w:val="none" w:sz="0" w:space="0" w:color="auto"/>
            <w:right w:val="none" w:sz="0" w:space="0" w:color="auto"/>
          </w:divBdr>
        </w:div>
        <w:div w:id="1387755062">
          <w:marLeft w:val="0"/>
          <w:marRight w:val="0"/>
          <w:marTop w:val="0"/>
          <w:marBottom w:val="0"/>
          <w:divBdr>
            <w:top w:val="none" w:sz="0" w:space="0" w:color="auto"/>
            <w:left w:val="none" w:sz="0" w:space="0" w:color="auto"/>
            <w:bottom w:val="none" w:sz="0" w:space="0" w:color="auto"/>
            <w:right w:val="none" w:sz="0" w:space="0" w:color="auto"/>
          </w:divBdr>
        </w:div>
        <w:div w:id="1459881098">
          <w:marLeft w:val="0"/>
          <w:marRight w:val="0"/>
          <w:marTop w:val="0"/>
          <w:marBottom w:val="0"/>
          <w:divBdr>
            <w:top w:val="none" w:sz="0" w:space="0" w:color="auto"/>
            <w:left w:val="none" w:sz="0" w:space="0" w:color="auto"/>
            <w:bottom w:val="none" w:sz="0" w:space="0" w:color="auto"/>
            <w:right w:val="none" w:sz="0" w:space="0" w:color="auto"/>
          </w:divBdr>
        </w:div>
        <w:div w:id="1540783302">
          <w:marLeft w:val="0"/>
          <w:marRight w:val="0"/>
          <w:marTop w:val="0"/>
          <w:marBottom w:val="0"/>
          <w:divBdr>
            <w:top w:val="none" w:sz="0" w:space="0" w:color="auto"/>
            <w:left w:val="none" w:sz="0" w:space="0" w:color="auto"/>
            <w:bottom w:val="none" w:sz="0" w:space="0" w:color="auto"/>
            <w:right w:val="none" w:sz="0" w:space="0" w:color="auto"/>
          </w:divBdr>
        </w:div>
        <w:div w:id="1594900072">
          <w:marLeft w:val="0"/>
          <w:marRight w:val="0"/>
          <w:marTop w:val="0"/>
          <w:marBottom w:val="0"/>
          <w:divBdr>
            <w:top w:val="none" w:sz="0" w:space="0" w:color="auto"/>
            <w:left w:val="none" w:sz="0" w:space="0" w:color="auto"/>
            <w:bottom w:val="none" w:sz="0" w:space="0" w:color="auto"/>
            <w:right w:val="none" w:sz="0" w:space="0" w:color="auto"/>
          </w:divBdr>
        </w:div>
        <w:div w:id="1609118426">
          <w:marLeft w:val="0"/>
          <w:marRight w:val="0"/>
          <w:marTop w:val="0"/>
          <w:marBottom w:val="0"/>
          <w:divBdr>
            <w:top w:val="none" w:sz="0" w:space="0" w:color="auto"/>
            <w:left w:val="none" w:sz="0" w:space="0" w:color="auto"/>
            <w:bottom w:val="none" w:sz="0" w:space="0" w:color="auto"/>
            <w:right w:val="none" w:sz="0" w:space="0" w:color="auto"/>
          </w:divBdr>
        </w:div>
        <w:div w:id="1635674290">
          <w:marLeft w:val="0"/>
          <w:marRight w:val="0"/>
          <w:marTop w:val="0"/>
          <w:marBottom w:val="0"/>
          <w:divBdr>
            <w:top w:val="none" w:sz="0" w:space="0" w:color="auto"/>
            <w:left w:val="none" w:sz="0" w:space="0" w:color="auto"/>
            <w:bottom w:val="none" w:sz="0" w:space="0" w:color="auto"/>
            <w:right w:val="none" w:sz="0" w:space="0" w:color="auto"/>
          </w:divBdr>
        </w:div>
        <w:div w:id="1658923331">
          <w:marLeft w:val="0"/>
          <w:marRight w:val="0"/>
          <w:marTop w:val="0"/>
          <w:marBottom w:val="0"/>
          <w:divBdr>
            <w:top w:val="none" w:sz="0" w:space="0" w:color="auto"/>
            <w:left w:val="none" w:sz="0" w:space="0" w:color="auto"/>
            <w:bottom w:val="none" w:sz="0" w:space="0" w:color="auto"/>
            <w:right w:val="none" w:sz="0" w:space="0" w:color="auto"/>
          </w:divBdr>
        </w:div>
        <w:div w:id="1710061841">
          <w:marLeft w:val="0"/>
          <w:marRight w:val="0"/>
          <w:marTop w:val="0"/>
          <w:marBottom w:val="0"/>
          <w:divBdr>
            <w:top w:val="none" w:sz="0" w:space="0" w:color="auto"/>
            <w:left w:val="none" w:sz="0" w:space="0" w:color="auto"/>
            <w:bottom w:val="none" w:sz="0" w:space="0" w:color="auto"/>
            <w:right w:val="none" w:sz="0" w:space="0" w:color="auto"/>
          </w:divBdr>
        </w:div>
        <w:div w:id="2074428316">
          <w:marLeft w:val="0"/>
          <w:marRight w:val="0"/>
          <w:marTop w:val="0"/>
          <w:marBottom w:val="0"/>
          <w:divBdr>
            <w:top w:val="none" w:sz="0" w:space="0" w:color="auto"/>
            <w:left w:val="none" w:sz="0" w:space="0" w:color="auto"/>
            <w:bottom w:val="none" w:sz="0" w:space="0" w:color="auto"/>
            <w:right w:val="none" w:sz="0" w:space="0" w:color="auto"/>
          </w:divBdr>
        </w:div>
        <w:div w:id="2079815038">
          <w:marLeft w:val="0"/>
          <w:marRight w:val="0"/>
          <w:marTop w:val="0"/>
          <w:marBottom w:val="0"/>
          <w:divBdr>
            <w:top w:val="none" w:sz="0" w:space="0" w:color="auto"/>
            <w:left w:val="none" w:sz="0" w:space="0" w:color="auto"/>
            <w:bottom w:val="none" w:sz="0" w:space="0" w:color="auto"/>
            <w:right w:val="none" w:sz="0" w:space="0" w:color="auto"/>
          </w:divBdr>
        </w:div>
        <w:div w:id="2097170012">
          <w:marLeft w:val="0"/>
          <w:marRight w:val="0"/>
          <w:marTop w:val="0"/>
          <w:marBottom w:val="0"/>
          <w:divBdr>
            <w:top w:val="none" w:sz="0" w:space="0" w:color="auto"/>
            <w:left w:val="none" w:sz="0" w:space="0" w:color="auto"/>
            <w:bottom w:val="none" w:sz="0" w:space="0" w:color="auto"/>
            <w:right w:val="none" w:sz="0" w:space="0" w:color="auto"/>
          </w:divBdr>
        </w:div>
        <w:div w:id="2138983184">
          <w:marLeft w:val="0"/>
          <w:marRight w:val="0"/>
          <w:marTop w:val="0"/>
          <w:marBottom w:val="0"/>
          <w:divBdr>
            <w:top w:val="none" w:sz="0" w:space="0" w:color="auto"/>
            <w:left w:val="none" w:sz="0" w:space="0" w:color="auto"/>
            <w:bottom w:val="none" w:sz="0" w:space="0" w:color="auto"/>
            <w:right w:val="none" w:sz="0" w:space="0" w:color="auto"/>
          </w:divBdr>
        </w:div>
      </w:divsChild>
    </w:div>
    <w:div w:id="138229266">
      <w:bodyDiv w:val="1"/>
      <w:marLeft w:val="0"/>
      <w:marRight w:val="0"/>
      <w:marTop w:val="0"/>
      <w:marBottom w:val="0"/>
      <w:divBdr>
        <w:top w:val="none" w:sz="0" w:space="0" w:color="auto"/>
        <w:left w:val="none" w:sz="0" w:space="0" w:color="auto"/>
        <w:bottom w:val="none" w:sz="0" w:space="0" w:color="auto"/>
        <w:right w:val="none" w:sz="0" w:space="0" w:color="auto"/>
      </w:divBdr>
      <w:divsChild>
        <w:div w:id="148207136">
          <w:marLeft w:val="0"/>
          <w:marRight w:val="0"/>
          <w:marTop w:val="0"/>
          <w:marBottom w:val="0"/>
          <w:divBdr>
            <w:top w:val="none" w:sz="0" w:space="0" w:color="auto"/>
            <w:left w:val="none" w:sz="0" w:space="0" w:color="auto"/>
            <w:bottom w:val="none" w:sz="0" w:space="0" w:color="auto"/>
            <w:right w:val="none" w:sz="0" w:space="0" w:color="auto"/>
          </w:divBdr>
        </w:div>
        <w:div w:id="1269854733">
          <w:marLeft w:val="0"/>
          <w:marRight w:val="0"/>
          <w:marTop w:val="0"/>
          <w:marBottom w:val="0"/>
          <w:divBdr>
            <w:top w:val="none" w:sz="0" w:space="0" w:color="auto"/>
            <w:left w:val="none" w:sz="0" w:space="0" w:color="auto"/>
            <w:bottom w:val="none" w:sz="0" w:space="0" w:color="auto"/>
            <w:right w:val="none" w:sz="0" w:space="0" w:color="auto"/>
          </w:divBdr>
        </w:div>
        <w:div w:id="1916087493">
          <w:marLeft w:val="0"/>
          <w:marRight w:val="0"/>
          <w:marTop w:val="0"/>
          <w:marBottom w:val="0"/>
          <w:divBdr>
            <w:top w:val="none" w:sz="0" w:space="0" w:color="auto"/>
            <w:left w:val="none" w:sz="0" w:space="0" w:color="auto"/>
            <w:bottom w:val="none" w:sz="0" w:space="0" w:color="auto"/>
            <w:right w:val="none" w:sz="0" w:space="0" w:color="auto"/>
          </w:divBdr>
        </w:div>
      </w:divsChild>
    </w:div>
    <w:div w:id="141504469">
      <w:bodyDiv w:val="1"/>
      <w:marLeft w:val="0"/>
      <w:marRight w:val="0"/>
      <w:marTop w:val="0"/>
      <w:marBottom w:val="0"/>
      <w:divBdr>
        <w:top w:val="none" w:sz="0" w:space="0" w:color="auto"/>
        <w:left w:val="none" w:sz="0" w:space="0" w:color="auto"/>
        <w:bottom w:val="none" w:sz="0" w:space="0" w:color="auto"/>
        <w:right w:val="none" w:sz="0" w:space="0" w:color="auto"/>
      </w:divBdr>
      <w:divsChild>
        <w:div w:id="593369206">
          <w:marLeft w:val="144"/>
          <w:marRight w:val="0"/>
          <w:marTop w:val="240"/>
          <w:marBottom w:val="40"/>
          <w:divBdr>
            <w:top w:val="none" w:sz="0" w:space="0" w:color="auto"/>
            <w:left w:val="none" w:sz="0" w:space="0" w:color="auto"/>
            <w:bottom w:val="none" w:sz="0" w:space="0" w:color="auto"/>
            <w:right w:val="none" w:sz="0" w:space="0" w:color="auto"/>
          </w:divBdr>
        </w:div>
        <w:div w:id="701394436">
          <w:marLeft w:val="144"/>
          <w:marRight w:val="0"/>
          <w:marTop w:val="240"/>
          <w:marBottom w:val="40"/>
          <w:divBdr>
            <w:top w:val="none" w:sz="0" w:space="0" w:color="auto"/>
            <w:left w:val="none" w:sz="0" w:space="0" w:color="auto"/>
            <w:bottom w:val="none" w:sz="0" w:space="0" w:color="auto"/>
            <w:right w:val="none" w:sz="0" w:space="0" w:color="auto"/>
          </w:divBdr>
        </w:div>
      </w:divsChild>
    </w:div>
    <w:div w:id="148131399">
      <w:bodyDiv w:val="1"/>
      <w:marLeft w:val="0"/>
      <w:marRight w:val="0"/>
      <w:marTop w:val="0"/>
      <w:marBottom w:val="0"/>
      <w:divBdr>
        <w:top w:val="none" w:sz="0" w:space="0" w:color="auto"/>
        <w:left w:val="none" w:sz="0" w:space="0" w:color="auto"/>
        <w:bottom w:val="none" w:sz="0" w:space="0" w:color="auto"/>
        <w:right w:val="none" w:sz="0" w:space="0" w:color="auto"/>
      </w:divBdr>
      <w:divsChild>
        <w:div w:id="246429964">
          <w:marLeft w:val="0"/>
          <w:marRight w:val="0"/>
          <w:marTop w:val="0"/>
          <w:marBottom w:val="0"/>
          <w:divBdr>
            <w:top w:val="none" w:sz="0" w:space="0" w:color="auto"/>
            <w:left w:val="none" w:sz="0" w:space="0" w:color="auto"/>
            <w:bottom w:val="none" w:sz="0" w:space="0" w:color="auto"/>
            <w:right w:val="none" w:sz="0" w:space="0" w:color="auto"/>
          </w:divBdr>
        </w:div>
      </w:divsChild>
    </w:div>
    <w:div w:id="152645389">
      <w:bodyDiv w:val="1"/>
      <w:marLeft w:val="0"/>
      <w:marRight w:val="0"/>
      <w:marTop w:val="0"/>
      <w:marBottom w:val="0"/>
      <w:divBdr>
        <w:top w:val="none" w:sz="0" w:space="0" w:color="auto"/>
        <w:left w:val="none" w:sz="0" w:space="0" w:color="auto"/>
        <w:bottom w:val="none" w:sz="0" w:space="0" w:color="auto"/>
        <w:right w:val="none" w:sz="0" w:space="0" w:color="auto"/>
      </w:divBdr>
      <w:divsChild>
        <w:div w:id="1568303168">
          <w:marLeft w:val="0"/>
          <w:marRight w:val="0"/>
          <w:marTop w:val="0"/>
          <w:marBottom w:val="0"/>
          <w:divBdr>
            <w:top w:val="none" w:sz="0" w:space="0" w:color="auto"/>
            <w:left w:val="none" w:sz="0" w:space="0" w:color="auto"/>
            <w:bottom w:val="none" w:sz="0" w:space="0" w:color="auto"/>
            <w:right w:val="none" w:sz="0" w:space="0" w:color="auto"/>
          </w:divBdr>
        </w:div>
      </w:divsChild>
    </w:div>
    <w:div w:id="153644344">
      <w:bodyDiv w:val="1"/>
      <w:marLeft w:val="0"/>
      <w:marRight w:val="0"/>
      <w:marTop w:val="0"/>
      <w:marBottom w:val="0"/>
      <w:divBdr>
        <w:top w:val="none" w:sz="0" w:space="0" w:color="auto"/>
        <w:left w:val="none" w:sz="0" w:space="0" w:color="auto"/>
        <w:bottom w:val="none" w:sz="0" w:space="0" w:color="auto"/>
        <w:right w:val="none" w:sz="0" w:space="0" w:color="auto"/>
      </w:divBdr>
      <w:divsChild>
        <w:div w:id="1042051841">
          <w:marLeft w:val="0"/>
          <w:marRight w:val="0"/>
          <w:marTop w:val="0"/>
          <w:marBottom w:val="0"/>
          <w:divBdr>
            <w:top w:val="none" w:sz="0" w:space="0" w:color="auto"/>
            <w:left w:val="none" w:sz="0" w:space="0" w:color="auto"/>
            <w:bottom w:val="none" w:sz="0" w:space="0" w:color="auto"/>
            <w:right w:val="none" w:sz="0" w:space="0" w:color="auto"/>
          </w:divBdr>
        </w:div>
        <w:div w:id="1842968776">
          <w:marLeft w:val="0"/>
          <w:marRight w:val="0"/>
          <w:marTop w:val="0"/>
          <w:marBottom w:val="0"/>
          <w:divBdr>
            <w:top w:val="none" w:sz="0" w:space="0" w:color="auto"/>
            <w:left w:val="none" w:sz="0" w:space="0" w:color="auto"/>
            <w:bottom w:val="none" w:sz="0" w:space="0" w:color="auto"/>
            <w:right w:val="none" w:sz="0" w:space="0" w:color="auto"/>
          </w:divBdr>
        </w:div>
      </w:divsChild>
    </w:div>
    <w:div w:id="155153523">
      <w:bodyDiv w:val="1"/>
      <w:marLeft w:val="0"/>
      <w:marRight w:val="0"/>
      <w:marTop w:val="0"/>
      <w:marBottom w:val="0"/>
      <w:divBdr>
        <w:top w:val="none" w:sz="0" w:space="0" w:color="auto"/>
        <w:left w:val="none" w:sz="0" w:space="0" w:color="auto"/>
        <w:bottom w:val="none" w:sz="0" w:space="0" w:color="auto"/>
        <w:right w:val="none" w:sz="0" w:space="0" w:color="auto"/>
      </w:divBdr>
      <w:divsChild>
        <w:div w:id="1847868614">
          <w:marLeft w:val="0"/>
          <w:marRight w:val="0"/>
          <w:marTop w:val="0"/>
          <w:marBottom w:val="0"/>
          <w:divBdr>
            <w:top w:val="none" w:sz="0" w:space="0" w:color="auto"/>
            <w:left w:val="none" w:sz="0" w:space="0" w:color="auto"/>
            <w:bottom w:val="none" w:sz="0" w:space="0" w:color="auto"/>
            <w:right w:val="none" w:sz="0" w:space="0" w:color="auto"/>
          </w:divBdr>
        </w:div>
      </w:divsChild>
    </w:div>
    <w:div w:id="156505331">
      <w:bodyDiv w:val="1"/>
      <w:marLeft w:val="0"/>
      <w:marRight w:val="0"/>
      <w:marTop w:val="0"/>
      <w:marBottom w:val="0"/>
      <w:divBdr>
        <w:top w:val="none" w:sz="0" w:space="0" w:color="auto"/>
        <w:left w:val="none" w:sz="0" w:space="0" w:color="auto"/>
        <w:bottom w:val="none" w:sz="0" w:space="0" w:color="auto"/>
        <w:right w:val="none" w:sz="0" w:space="0" w:color="auto"/>
      </w:divBdr>
    </w:div>
    <w:div w:id="162863519">
      <w:bodyDiv w:val="1"/>
      <w:marLeft w:val="0"/>
      <w:marRight w:val="0"/>
      <w:marTop w:val="0"/>
      <w:marBottom w:val="0"/>
      <w:divBdr>
        <w:top w:val="none" w:sz="0" w:space="0" w:color="auto"/>
        <w:left w:val="none" w:sz="0" w:space="0" w:color="auto"/>
        <w:bottom w:val="none" w:sz="0" w:space="0" w:color="auto"/>
        <w:right w:val="none" w:sz="0" w:space="0" w:color="auto"/>
      </w:divBdr>
      <w:divsChild>
        <w:div w:id="47339139">
          <w:marLeft w:val="547"/>
          <w:marRight w:val="0"/>
          <w:marTop w:val="200"/>
          <w:marBottom w:val="0"/>
          <w:divBdr>
            <w:top w:val="none" w:sz="0" w:space="0" w:color="auto"/>
            <w:left w:val="none" w:sz="0" w:space="0" w:color="auto"/>
            <w:bottom w:val="none" w:sz="0" w:space="0" w:color="auto"/>
            <w:right w:val="none" w:sz="0" w:space="0" w:color="auto"/>
          </w:divBdr>
        </w:div>
        <w:div w:id="1393390403">
          <w:marLeft w:val="547"/>
          <w:marRight w:val="0"/>
          <w:marTop w:val="200"/>
          <w:marBottom w:val="0"/>
          <w:divBdr>
            <w:top w:val="none" w:sz="0" w:space="0" w:color="auto"/>
            <w:left w:val="none" w:sz="0" w:space="0" w:color="auto"/>
            <w:bottom w:val="none" w:sz="0" w:space="0" w:color="auto"/>
            <w:right w:val="none" w:sz="0" w:space="0" w:color="auto"/>
          </w:divBdr>
        </w:div>
        <w:div w:id="1841697263">
          <w:marLeft w:val="547"/>
          <w:marRight w:val="0"/>
          <w:marTop w:val="200"/>
          <w:marBottom w:val="0"/>
          <w:divBdr>
            <w:top w:val="none" w:sz="0" w:space="0" w:color="auto"/>
            <w:left w:val="none" w:sz="0" w:space="0" w:color="auto"/>
            <w:bottom w:val="none" w:sz="0" w:space="0" w:color="auto"/>
            <w:right w:val="none" w:sz="0" w:space="0" w:color="auto"/>
          </w:divBdr>
        </w:div>
      </w:divsChild>
    </w:div>
    <w:div w:id="166596856">
      <w:bodyDiv w:val="1"/>
      <w:marLeft w:val="0"/>
      <w:marRight w:val="0"/>
      <w:marTop w:val="0"/>
      <w:marBottom w:val="0"/>
      <w:divBdr>
        <w:top w:val="none" w:sz="0" w:space="0" w:color="auto"/>
        <w:left w:val="none" w:sz="0" w:space="0" w:color="auto"/>
        <w:bottom w:val="none" w:sz="0" w:space="0" w:color="auto"/>
        <w:right w:val="none" w:sz="0" w:space="0" w:color="auto"/>
      </w:divBdr>
      <w:divsChild>
        <w:div w:id="353000034">
          <w:marLeft w:val="0"/>
          <w:marRight w:val="0"/>
          <w:marTop w:val="0"/>
          <w:marBottom w:val="0"/>
          <w:divBdr>
            <w:top w:val="none" w:sz="0" w:space="0" w:color="auto"/>
            <w:left w:val="none" w:sz="0" w:space="0" w:color="auto"/>
            <w:bottom w:val="none" w:sz="0" w:space="0" w:color="auto"/>
            <w:right w:val="none" w:sz="0" w:space="0" w:color="auto"/>
          </w:divBdr>
        </w:div>
      </w:divsChild>
    </w:div>
    <w:div w:id="174616602">
      <w:bodyDiv w:val="1"/>
      <w:marLeft w:val="0"/>
      <w:marRight w:val="0"/>
      <w:marTop w:val="0"/>
      <w:marBottom w:val="0"/>
      <w:divBdr>
        <w:top w:val="none" w:sz="0" w:space="0" w:color="auto"/>
        <w:left w:val="none" w:sz="0" w:space="0" w:color="auto"/>
        <w:bottom w:val="none" w:sz="0" w:space="0" w:color="auto"/>
        <w:right w:val="none" w:sz="0" w:space="0" w:color="auto"/>
      </w:divBdr>
    </w:div>
    <w:div w:id="187262468">
      <w:bodyDiv w:val="1"/>
      <w:marLeft w:val="0"/>
      <w:marRight w:val="0"/>
      <w:marTop w:val="0"/>
      <w:marBottom w:val="0"/>
      <w:divBdr>
        <w:top w:val="none" w:sz="0" w:space="0" w:color="auto"/>
        <w:left w:val="none" w:sz="0" w:space="0" w:color="auto"/>
        <w:bottom w:val="none" w:sz="0" w:space="0" w:color="auto"/>
        <w:right w:val="none" w:sz="0" w:space="0" w:color="auto"/>
      </w:divBdr>
      <w:divsChild>
        <w:div w:id="18120410">
          <w:marLeft w:val="0"/>
          <w:marRight w:val="0"/>
          <w:marTop w:val="0"/>
          <w:marBottom w:val="0"/>
          <w:divBdr>
            <w:top w:val="none" w:sz="0" w:space="0" w:color="auto"/>
            <w:left w:val="none" w:sz="0" w:space="0" w:color="auto"/>
            <w:bottom w:val="none" w:sz="0" w:space="0" w:color="auto"/>
            <w:right w:val="none" w:sz="0" w:space="0" w:color="auto"/>
          </w:divBdr>
        </w:div>
        <w:div w:id="26763451">
          <w:marLeft w:val="0"/>
          <w:marRight w:val="0"/>
          <w:marTop w:val="0"/>
          <w:marBottom w:val="0"/>
          <w:divBdr>
            <w:top w:val="none" w:sz="0" w:space="0" w:color="auto"/>
            <w:left w:val="none" w:sz="0" w:space="0" w:color="auto"/>
            <w:bottom w:val="none" w:sz="0" w:space="0" w:color="auto"/>
            <w:right w:val="none" w:sz="0" w:space="0" w:color="auto"/>
          </w:divBdr>
        </w:div>
        <w:div w:id="50033447">
          <w:marLeft w:val="0"/>
          <w:marRight w:val="0"/>
          <w:marTop w:val="0"/>
          <w:marBottom w:val="0"/>
          <w:divBdr>
            <w:top w:val="none" w:sz="0" w:space="0" w:color="auto"/>
            <w:left w:val="none" w:sz="0" w:space="0" w:color="auto"/>
            <w:bottom w:val="none" w:sz="0" w:space="0" w:color="auto"/>
            <w:right w:val="none" w:sz="0" w:space="0" w:color="auto"/>
          </w:divBdr>
        </w:div>
        <w:div w:id="87582554">
          <w:marLeft w:val="0"/>
          <w:marRight w:val="0"/>
          <w:marTop w:val="0"/>
          <w:marBottom w:val="0"/>
          <w:divBdr>
            <w:top w:val="none" w:sz="0" w:space="0" w:color="auto"/>
            <w:left w:val="none" w:sz="0" w:space="0" w:color="auto"/>
            <w:bottom w:val="none" w:sz="0" w:space="0" w:color="auto"/>
            <w:right w:val="none" w:sz="0" w:space="0" w:color="auto"/>
          </w:divBdr>
        </w:div>
        <w:div w:id="141043874">
          <w:marLeft w:val="0"/>
          <w:marRight w:val="0"/>
          <w:marTop w:val="0"/>
          <w:marBottom w:val="0"/>
          <w:divBdr>
            <w:top w:val="none" w:sz="0" w:space="0" w:color="auto"/>
            <w:left w:val="none" w:sz="0" w:space="0" w:color="auto"/>
            <w:bottom w:val="none" w:sz="0" w:space="0" w:color="auto"/>
            <w:right w:val="none" w:sz="0" w:space="0" w:color="auto"/>
          </w:divBdr>
        </w:div>
        <w:div w:id="165829719">
          <w:marLeft w:val="0"/>
          <w:marRight w:val="0"/>
          <w:marTop w:val="0"/>
          <w:marBottom w:val="0"/>
          <w:divBdr>
            <w:top w:val="none" w:sz="0" w:space="0" w:color="auto"/>
            <w:left w:val="none" w:sz="0" w:space="0" w:color="auto"/>
            <w:bottom w:val="none" w:sz="0" w:space="0" w:color="auto"/>
            <w:right w:val="none" w:sz="0" w:space="0" w:color="auto"/>
          </w:divBdr>
        </w:div>
        <w:div w:id="171142362">
          <w:marLeft w:val="0"/>
          <w:marRight w:val="0"/>
          <w:marTop w:val="0"/>
          <w:marBottom w:val="0"/>
          <w:divBdr>
            <w:top w:val="none" w:sz="0" w:space="0" w:color="auto"/>
            <w:left w:val="none" w:sz="0" w:space="0" w:color="auto"/>
            <w:bottom w:val="none" w:sz="0" w:space="0" w:color="auto"/>
            <w:right w:val="none" w:sz="0" w:space="0" w:color="auto"/>
          </w:divBdr>
        </w:div>
        <w:div w:id="207494667">
          <w:marLeft w:val="0"/>
          <w:marRight w:val="0"/>
          <w:marTop w:val="0"/>
          <w:marBottom w:val="0"/>
          <w:divBdr>
            <w:top w:val="none" w:sz="0" w:space="0" w:color="auto"/>
            <w:left w:val="none" w:sz="0" w:space="0" w:color="auto"/>
            <w:bottom w:val="none" w:sz="0" w:space="0" w:color="auto"/>
            <w:right w:val="none" w:sz="0" w:space="0" w:color="auto"/>
          </w:divBdr>
        </w:div>
        <w:div w:id="214859601">
          <w:marLeft w:val="0"/>
          <w:marRight w:val="0"/>
          <w:marTop w:val="0"/>
          <w:marBottom w:val="0"/>
          <w:divBdr>
            <w:top w:val="none" w:sz="0" w:space="0" w:color="auto"/>
            <w:left w:val="none" w:sz="0" w:space="0" w:color="auto"/>
            <w:bottom w:val="none" w:sz="0" w:space="0" w:color="auto"/>
            <w:right w:val="none" w:sz="0" w:space="0" w:color="auto"/>
          </w:divBdr>
        </w:div>
        <w:div w:id="222451263">
          <w:marLeft w:val="0"/>
          <w:marRight w:val="0"/>
          <w:marTop w:val="0"/>
          <w:marBottom w:val="0"/>
          <w:divBdr>
            <w:top w:val="none" w:sz="0" w:space="0" w:color="auto"/>
            <w:left w:val="none" w:sz="0" w:space="0" w:color="auto"/>
            <w:bottom w:val="none" w:sz="0" w:space="0" w:color="auto"/>
            <w:right w:val="none" w:sz="0" w:space="0" w:color="auto"/>
          </w:divBdr>
        </w:div>
        <w:div w:id="241304454">
          <w:marLeft w:val="0"/>
          <w:marRight w:val="0"/>
          <w:marTop w:val="0"/>
          <w:marBottom w:val="0"/>
          <w:divBdr>
            <w:top w:val="none" w:sz="0" w:space="0" w:color="auto"/>
            <w:left w:val="none" w:sz="0" w:space="0" w:color="auto"/>
            <w:bottom w:val="none" w:sz="0" w:space="0" w:color="auto"/>
            <w:right w:val="none" w:sz="0" w:space="0" w:color="auto"/>
          </w:divBdr>
        </w:div>
        <w:div w:id="353574798">
          <w:marLeft w:val="0"/>
          <w:marRight w:val="0"/>
          <w:marTop w:val="0"/>
          <w:marBottom w:val="0"/>
          <w:divBdr>
            <w:top w:val="none" w:sz="0" w:space="0" w:color="auto"/>
            <w:left w:val="none" w:sz="0" w:space="0" w:color="auto"/>
            <w:bottom w:val="none" w:sz="0" w:space="0" w:color="auto"/>
            <w:right w:val="none" w:sz="0" w:space="0" w:color="auto"/>
          </w:divBdr>
        </w:div>
        <w:div w:id="384841239">
          <w:marLeft w:val="0"/>
          <w:marRight w:val="0"/>
          <w:marTop w:val="0"/>
          <w:marBottom w:val="0"/>
          <w:divBdr>
            <w:top w:val="none" w:sz="0" w:space="0" w:color="auto"/>
            <w:left w:val="none" w:sz="0" w:space="0" w:color="auto"/>
            <w:bottom w:val="none" w:sz="0" w:space="0" w:color="auto"/>
            <w:right w:val="none" w:sz="0" w:space="0" w:color="auto"/>
          </w:divBdr>
        </w:div>
        <w:div w:id="399787253">
          <w:marLeft w:val="0"/>
          <w:marRight w:val="0"/>
          <w:marTop w:val="0"/>
          <w:marBottom w:val="0"/>
          <w:divBdr>
            <w:top w:val="none" w:sz="0" w:space="0" w:color="auto"/>
            <w:left w:val="none" w:sz="0" w:space="0" w:color="auto"/>
            <w:bottom w:val="none" w:sz="0" w:space="0" w:color="auto"/>
            <w:right w:val="none" w:sz="0" w:space="0" w:color="auto"/>
          </w:divBdr>
        </w:div>
        <w:div w:id="411589454">
          <w:marLeft w:val="0"/>
          <w:marRight w:val="0"/>
          <w:marTop w:val="0"/>
          <w:marBottom w:val="0"/>
          <w:divBdr>
            <w:top w:val="none" w:sz="0" w:space="0" w:color="auto"/>
            <w:left w:val="none" w:sz="0" w:space="0" w:color="auto"/>
            <w:bottom w:val="none" w:sz="0" w:space="0" w:color="auto"/>
            <w:right w:val="none" w:sz="0" w:space="0" w:color="auto"/>
          </w:divBdr>
        </w:div>
        <w:div w:id="423039455">
          <w:marLeft w:val="0"/>
          <w:marRight w:val="0"/>
          <w:marTop w:val="0"/>
          <w:marBottom w:val="0"/>
          <w:divBdr>
            <w:top w:val="none" w:sz="0" w:space="0" w:color="auto"/>
            <w:left w:val="none" w:sz="0" w:space="0" w:color="auto"/>
            <w:bottom w:val="none" w:sz="0" w:space="0" w:color="auto"/>
            <w:right w:val="none" w:sz="0" w:space="0" w:color="auto"/>
          </w:divBdr>
        </w:div>
        <w:div w:id="425544266">
          <w:marLeft w:val="0"/>
          <w:marRight w:val="0"/>
          <w:marTop w:val="0"/>
          <w:marBottom w:val="0"/>
          <w:divBdr>
            <w:top w:val="none" w:sz="0" w:space="0" w:color="auto"/>
            <w:left w:val="none" w:sz="0" w:space="0" w:color="auto"/>
            <w:bottom w:val="none" w:sz="0" w:space="0" w:color="auto"/>
            <w:right w:val="none" w:sz="0" w:space="0" w:color="auto"/>
          </w:divBdr>
        </w:div>
        <w:div w:id="450981966">
          <w:marLeft w:val="0"/>
          <w:marRight w:val="0"/>
          <w:marTop w:val="0"/>
          <w:marBottom w:val="0"/>
          <w:divBdr>
            <w:top w:val="none" w:sz="0" w:space="0" w:color="auto"/>
            <w:left w:val="none" w:sz="0" w:space="0" w:color="auto"/>
            <w:bottom w:val="none" w:sz="0" w:space="0" w:color="auto"/>
            <w:right w:val="none" w:sz="0" w:space="0" w:color="auto"/>
          </w:divBdr>
        </w:div>
        <w:div w:id="483739235">
          <w:marLeft w:val="0"/>
          <w:marRight w:val="0"/>
          <w:marTop w:val="0"/>
          <w:marBottom w:val="0"/>
          <w:divBdr>
            <w:top w:val="none" w:sz="0" w:space="0" w:color="auto"/>
            <w:left w:val="none" w:sz="0" w:space="0" w:color="auto"/>
            <w:bottom w:val="none" w:sz="0" w:space="0" w:color="auto"/>
            <w:right w:val="none" w:sz="0" w:space="0" w:color="auto"/>
          </w:divBdr>
        </w:div>
        <w:div w:id="491677366">
          <w:marLeft w:val="0"/>
          <w:marRight w:val="0"/>
          <w:marTop w:val="0"/>
          <w:marBottom w:val="0"/>
          <w:divBdr>
            <w:top w:val="none" w:sz="0" w:space="0" w:color="auto"/>
            <w:left w:val="none" w:sz="0" w:space="0" w:color="auto"/>
            <w:bottom w:val="none" w:sz="0" w:space="0" w:color="auto"/>
            <w:right w:val="none" w:sz="0" w:space="0" w:color="auto"/>
          </w:divBdr>
        </w:div>
        <w:div w:id="555169450">
          <w:marLeft w:val="0"/>
          <w:marRight w:val="0"/>
          <w:marTop w:val="0"/>
          <w:marBottom w:val="0"/>
          <w:divBdr>
            <w:top w:val="none" w:sz="0" w:space="0" w:color="auto"/>
            <w:left w:val="none" w:sz="0" w:space="0" w:color="auto"/>
            <w:bottom w:val="none" w:sz="0" w:space="0" w:color="auto"/>
            <w:right w:val="none" w:sz="0" w:space="0" w:color="auto"/>
          </w:divBdr>
        </w:div>
        <w:div w:id="638728966">
          <w:marLeft w:val="0"/>
          <w:marRight w:val="0"/>
          <w:marTop w:val="0"/>
          <w:marBottom w:val="0"/>
          <w:divBdr>
            <w:top w:val="none" w:sz="0" w:space="0" w:color="auto"/>
            <w:left w:val="none" w:sz="0" w:space="0" w:color="auto"/>
            <w:bottom w:val="none" w:sz="0" w:space="0" w:color="auto"/>
            <w:right w:val="none" w:sz="0" w:space="0" w:color="auto"/>
          </w:divBdr>
        </w:div>
        <w:div w:id="806510198">
          <w:marLeft w:val="0"/>
          <w:marRight w:val="0"/>
          <w:marTop w:val="0"/>
          <w:marBottom w:val="0"/>
          <w:divBdr>
            <w:top w:val="none" w:sz="0" w:space="0" w:color="auto"/>
            <w:left w:val="none" w:sz="0" w:space="0" w:color="auto"/>
            <w:bottom w:val="none" w:sz="0" w:space="0" w:color="auto"/>
            <w:right w:val="none" w:sz="0" w:space="0" w:color="auto"/>
          </w:divBdr>
        </w:div>
        <w:div w:id="841696734">
          <w:marLeft w:val="0"/>
          <w:marRight w:val="0"/>
          <w:marTop w:val="0"/>
          <w:marBottom w:val="0"/>
          <w:divBdr>
            <w:top w:val="none" w:sz="0" w:space="0" w:color="auto"/>
            <w:left w:val="none" w:sz="0" w:space="0" w:color="auto"/>
            <w:bottom w:val="none" w:sz="0" w:space="0" w:color="auto"/>
            <w:right w:val="none" w:sz="0" w:space="0" w:color="auto"/>
          </w:divBdr>
        </w:div>
        <w:div w:id="927814648">
          <w:marLeft w:val="0"/>
          <w:marRight w:val="0"/>
          <w:marTop w:val="0"/>
          <w:marBottom w:val="0"/>
          <w:divBdr>
            <w:top w:val="none" w:sz="0" w:space="0" w:color="auto"/>
            <w:left w:val="none" w:sz="0" w:space="0" w:color="auto"/>
            <w:bottom w:val="none" w:sz="0" w:space="0" w:color="auto"/>
            <w:right w:val="none" w:sz="0" w:space="0" w:color="auto"/>
          </w:divBdr>
        </w:div>
        <w:div w:id="943654806">
          <w:marLeft w:val="0"/>
          <w:marRight w:val="0"/>
          <w:marTop w:val="0"/>
          <w:marBottom w:val="0"/>
          <w:divBdr>
            <w:top w:val="none" w:sz="0" w:space="0" w:color="auto"/>
            <w:left w:val="none" w:sz="0" w:space="0" w:color="auto"/>
            <w:bottom w:val="none" w:sz="0" w:space="0" w:color="auto"/>
            <w:right w:val="none" w:sz="0" w:space="0" w:color="auto"/>
          </w:divBdr>
        </w:div>
        <w:div w:id="1074015673">
          <w:marLeft w:val="0"/>
          <w:marRight w:val="0"/>
          <w:marTop w:val="0"/>
          <w:marBottom w:val="0"/>
          <w:divBdr>
            <w:top w:val="none" w:sz="0" w:space="0" w:color="auto"/>
            <w:left w:val="none" w:sz="0" w:space="0" w:color="auto"/>
            <w:bottom w:val="none" w:sz="0" w:space="0" w:color="auto"/>
            <w:right w:val="none" w:sz="0" w:space="0" w:color="auto"/>
          </w:divBdr>
        </w:div>
        <w:div w:id="1099763411">
          <w:marLeft w:val="0"/>
          <w:marRight w:val="0"/>
          <w:marTop w:val="0"/>
          <w:marBottom w:val="0"/>
          <w:divBdr>
            <w:top w:val="none" w:sz="0" w:space="0" w:color="auto"/>
            <w:left w:val="none" w:sz="0" w:space="0" w:color="auto"/>
            <w:bottom w:val="none" w:sz="0" w:space="0" w:color="auto"/>
            <w:right w:val="none" w:sz="0" w:space="0" w:color="auto"/>
          </w:divBdr>
        </w:div>
        <w:div w:id="1103308743">
          <w:marLeft w:val="0"/>
          <w:marRight w:val="0"/>
          <w:marTop w:val="0"/>
          <w:marBottom w:val="0"/>
          <w:divBdr>
            <w:top w:val="none" w:sz="0" w:space="0" w:color="auto"/>
            <w:left w:val="none" w:sz="0" w:space="0" w:color="auto"/>
            <w:bottom w:val="none" w:sz="0" w:space="0" w:color="auto"/>
            <w:right w:val="none" w:sz="0" w:space="0" w:color="auto"/>
          </w:divBdr>
        </w:div>
        <w:div w:id="1289817976">
          <w:marLeft w:val="0"/>
          <w:marRight w:val="0"/>
          <w:marTop w:val="0"/>
          <w:marBottom w:val="0"/>
          <w:divBdr>
            <w:top w:val="none" w:sz="0" w:space="0" w:color="auto"/>
            <w:left w:val="none" w:sz="0" w:space="0" w:color="auto"/>
            <w:bottom w:val="none" w:sz="0" w:space="0" w:color="auto"/>
            <w:right w:val="none" w:sz="0" w:space="0" w:color="auto"/>
          </w:divBdr>
        </w:div>
        <w:div w:id="1302347619">
          <w:marLeft w:val="0"/>
          <w:marRight w:val="0"/>
          <w:marTop w:val="0"/>
          <w:marBottom w:val="0"/>
          <w:divBdr>
            <w:top w:val="none" w:sz="0" w:space="0" w:color="auto"/>
            <w:left w:val="none" w:sz="0" w:space="0" w:color="auto"/>
            <w:bottom w:val="none" w:sz="0" w:space="0" w:color="auto"/>
            <w:right w:val="none" w:sz="0" w:space="0" w:color="auto"/>
          </w:divBdr>
        </w:div>
        <w:div w:id="1320036954">
          <w:marLeft w:val="0"/>
          <w:marRight w:val="0"/>
          <w:marTop w:val="0"/>
          <w:marBottom w:val="0"/>
          <w:divBdr>
            <w:top w:val="none" w:sz="0" w:space="0" w:color="auto"/>
            <w:left w:val="none" w:sz="0" w:space="0" w:color="auto"/>
            <w:bottom w:val="none" w:sz="0" w:space="0" w:color="auto"/>
            <w:right w:val="none" w:sz="0" w:space="0" w:color="auto"/>
          </w:divBdr>
        </w:div>
        <w:div w:id="1327780429">
          <w:marLeft w:val="0"/>
          <w:marRight w:val="0"/>
          <w:marTop w:val="0"/>
          <w:marBottom w:val="0"/>
          <w:divBdr>
            <w:top w:val="none" w:sz="0" w:space="0" w:color="auto"/>
            <w:left w:val="none" w:sz="0" w:space="0" w:color="auto"/>
            <w:bottom w:val="none" w:sz="0" w:space="0" w:color="auto"/>
            <w:right w:val="none" w:sz="0" w:space="0" w:color="auto"/>
          </w:divBdr>
        </w:div>
        <w:div w:id="1335378915">
          <w:marLeft w:val="0"/>
          <w:marRight w:val="0"/>
          <w:marTop w:val="0"/>
          <w:marBottom w:val="0"/>
          <w:divBdr>
            <w:top w:val="none" w:sz="0" w:space="0" w:color="auto"/>
            <w:left w:val="none" w:sz="0" w:space="0" w:color="auto"/>
            <w:bottom w:val="none" w:sz="0" w:space="0" w:color="auto"/>
            <w:right w:val="none" w:sz="0" w:space="0" w:color="auto"/>
          </w:divBdr>
        </w:div>
        <w:div w:id="1349067296">
          <w:marLeft w:val="0"/>
          <w:marRight w:val="0"/>
          <w:marTop w:val="0"/>
          <w:marBottom w:val="0"/>
          <w:divBdr>
            <w:top w:val="none" w:sz="0" w:space="0" w:color="auto"/>
            <w:left w:val="none" w:sz="0" w:space="0" w:color="auto"/>
            <w:bottom w:val="none" w:sz="0" w:space="0" w:color="auto"/>
            <w:right w:val="none" w:sz="0" w:space="0" w:color="auto"/>
          </w:divBdr>
        </w:div>
        <w:div w:id="1395469579">
          <w:marLeft w:val="0"/>
          <w:marRight w:val="0"/>
          <w:marTop w:val="0"/>
          <w:marBottom w:val="0"/>
          <w:divBdr>
            <w:top w:val="none" w:sz="0" w:space="0" w:color="auto"/>
            <w:left w:val="none" w:sz="0" w:space="0" w:color="auto"/>
            <w:bottom w:val="none" w:sz="0" w:space="0" w:color="auto"/>
            <w:right w:val="none" w:sz="0" w:space="0" w:color="auto"/>
          </w:divBdr>
        </w:div>
        <w:div w:id="1605763365">
          <w:marLeft w:val="0"/>
          <w:marRight w:val="0"/>
          <w:marTop w:val="0"/>
          <w:marBottom w:val="0"/>
          <w:divBdr>
            <w:top w:val="none" w:sz="0" w:space="0" w:color="auto"/>
            <w:left w:val="none" w:sz="0" w:space="0" w:color="auto"/>
            <w:bottom w:val="none" w:sz="0" w:space="0" w:color="auto"/>
            <w:right w:val="none" w:sz="0" w:space="0" w:color="auto"/>
          </w:divBdr>
        </w:div>
        <w:div w:id="1626230393">
          <w:marLeft w:val="0"/>
          <w:marRight w:val="0"/>
          <w:marTop w:val="0"/>
          <w:marBottom w:val="0"/>
          <w:divBdr>
            <w:top w:val="none" w:sz="0" w:space="0" w:color="auto"/>
            <w:left w:val="none" w:sz="0" w:space="0" w:color="auto"/>
            <w:bottom w:val="none" w:sz="0" w:space="0" w:color="auto"/>
            <w:right w:val="none" w:sz="0" w:space="0" w:color="auto"/>
          </w:divBdr>
        </w:div>
        <w:div w:id="1653096955">
          <w:marLeft w:val="0"/>
          <w:marRight w:val="0"/>
          <w:marTop w:val="0"/>
          <w:marBottom w:val="0"/>
          <w:divBdr>
            <w:top w:val="none" w:sz="0" w:space="0" w:color="auto"/>
            <w:left w:val="none" w:sz="0" w:space="0" w:color="auto"/>
            <w:bottom w:val="none" w:sz="0" w:space="0" w:color="auto"/>
            <w:right w:val="none" w:sz="0" w:space="0" w:color="auto"/>
          </w:divBdr>
        </w:div>
        <w:div w:id="1743986472">
          <w:marLeft w:val="0"/>
          <w:marRight w:val="0"/>
          <w:marTop w:val="0"/>
          <w:marBottom w:val="0"/>
          <w:divBdr>
            <w:top w:val="none" w:sz="0" w:space="0" w:color="auto"/>
            <w:left w:val="none" w:sz="0" w:space="0" w:color="auto"/>
            <w:bottom w:val="none" w:sz="0" w:space="0" w:color="auto"/>
            <w:right w:val="none" w:sz="0" w:space="0" w:color="auto"/>
          </w:divBdr>
        </w:div>
        <w:div w:id="1788811527">
          <w:marLeft w:val="0"/>
          <w:marRight w:val="0"/>
          <w:marTop w:val="0"/>
          <w:marBottom w:val="0"/>
          <w:divBdr>
            <w:top w:val="none" w:sz="0" w:space="0" w:color="auto"/>
            <w:left w:val="none" w:sz="0" w:space="0" w:color="auto"/>
            <w:bottom w:val="none" w:sz="0" w:space="0" w:color="auto"/>
            <w:right w:val="none" w:sz="0" w:space="0" w:color="auto"/>
          </w:divBdr>
        </w:div>
        <w:div w:id="1831288997">
          <w:marLeft w:val="0"/>
          <w:marRight w:val="0"/>
          <w:marTop w:val="0"/>
          <w:marBottom w:val="0"/>
          <w:divBdr>
            <w:top w:val="none" w:sz="0" w:space="0" w:color="auto"/>
            <w:left w:val="none" w:sz="0" w:space="0" w:color="auto"/>
            <w:bottom w:val="none" w:sz="0" w:space="0" w:color="auto"/>
            <w:right w:val="none" w:sz="0" w:space="0" w:color="auto"/>
          </w:divBdr>
        </w:div>
        <w:div w:id="1842818001">
          <w:marLeft w:val="0"/>
          <w:marRight w:val="0"/>
          <w:marTop w:val="0"/>
          <w:marBottom w:val="0"/>
          <w:divBdr>
            <w:top w:val="none" w:sz="0" w:space="0" w:color="auto"/>
            <w:left w:val="none" w:sz="0" w:space="0" w:color="auto"/>
            <w:bottom w:val="none" w:sz="0" w:space="0" w:color="auto"/>
            <w:right w:val="none" w:sz="0" w:space="0" w:color="auto"/>
          </w:divBdr>
        </w:div>
        <w:div w:id="2020042119">
          <w:marLeft w:val="0"/>
          <w:marRight w:val="0"/>
          <w:marTop w:val="0"/>
          <w:marBottom w:val="0"/>
          <w:divBdr>
            <w:top w:val="none" w:sz="0" w:space="0" w:color="auto"/>
            <w:left w:val="none" w:sz="0" w:space="0" w:color="auto"/>
            <w:bottom w:val="none" w:sz="0" w:space="0" w:color="auto"/>
            <w:right w:val="none" w:sz="0" w:space="0" w:color="auto"/>
          </w:divBdr>
        </w:div>
        <w:div w:id="2069456198">
          <w:marLeft w:val="0"/>
          <w:marRight w:val="0"/>
          <w:marTop w:val="0"/>
          <w:marBottom w:val="0"/>
          <w:divBdr>
            <w:top w:val="none" w:sz="0" w:space="0" w:color="auto"/>
            <w:left w:val="none" w:sz="0" w:space="0" w:color="auto"/>
            <w:bottom w:val="none" w:sz="0" w:space="0" w:color="auto"/>
            <w:right w:val="none" w:sz="0" w:space="0" w:color="auto"/>
          </w:divBdr>
        </w:div>
        <w:div w:id="2096005003">
          <w:marLeft w:val="0"/>
          <w:marRight w:val="0"/>
          <w:marTop w:val="0"/>
          <w:marBottom w:val="0"/>
          <w:divBdr>
            <w:top w:val="none" w:sz="0" w:space="0" w:color="auto"/>
            <w:left w:val="none" w:sz="0" w:space="0" w:color="auto"/>
            <w:bottom w:val="none" w:sz="0" w:space="0" w:color="auto"/>
            <w:right w:val="none" w:sz="0" w:space="0" w:color="auto"/>
          </w:divBdr>
        </w:div>
      </w:divsChild>
    </w:div>
    <w:div w:id="190146486">
      <w:bodyDiv w:val="1"/>
      <w:marLeft w:val="0"/>
      <w:marRight w:val="0"/>
      <w:marTop w:val="0"/>
      <w:marBottom w:val="0"/>
      <w:divBdr>
        <w:top w:val="none" w:sz="0" w:space="0" w:color="auto"/>
        <w:left w:val="none" w:sz="0" w:space="0" w:color="auto"/>
        <w:bottom w:val="none" w:sz="0" w:space="0" w:color="auto"/>
        <w:right w:val="none" w:sz="0" w:space="0" w:color="auto"/>
      </w:divBdr>
    </w:div>
    <w:div w:id="191653204">
      <w:bodyDiv w:val="1"/>
      <w:marLeft w:val="0"/>
      <w:marRight w:val="0"/>
      <w:marTop w:val="0"/>
      <w:marBottom w:val="0"/>
      <w:divBdr>
        <w:top w:val="none" w:sz="0" w:space="0" w:color="auto"/>
        <w:left w:val="none" w:sz="0" w:space="0" w:color="auto"/>
        <w:bottom w:val="none" w:sz="0" w:space="0" w:color="auto"/>
        <w:right w:val="none" w:sz="0" w:space="0" w:color="auto"/>
      </w:divBdr>
      <w:divsChild>
        <w:div w:id="1784615794">
          <w:marLeft w:val="0"/>
          <w:marRight w:val="0"/>
          <w:marTop w:val="0"/>
          <w:marBottom w:val="0"/>
          <w:divBdr>
            <w:top w:val="none" w:sz="0" w:space="0" w:color="auto"/>
            <w:left w:val="none" w:sz="0" w:space="0" w:color="auto"/>
            <w:bottom w:val="none" w:sz="0" w:space="0" w:color="auto"/>
            <w:right w:val="none" w:sz="0" w:space="0" w:color="auto"/>
          </w:divBdr>
        </w:div>
      </w:divsChild>
    </w:div>
    <w:div w:id="192769746">
      <w:bodyDiv w:val="1"/>
      <w:marLeft w:val="0"/>
      <w:marRight w:val="0"/>
      <w:marTop w:val="0"/>
      <w:marBottom w:val="0"/>
      <w:divBdr>
        <w:top w:val="none" w:sz="0" w:space="0" w:color="auto"/>
        <w:left w:val="none" w:sz="0" w:space="0" w:color="auto"/>
        <w:bottom w:val="none" w:sz="0" w:space="0" w:color="auto"/>
        <w:right w:val="none" w:sz="0" w:space="0" w:color="auto"/>
      </w:divBdr>
      <w:divsChild>
        <w:div w:id="1649942731">
          <w:marLeft w:val="144"/>
          <w:marRight w:val="0"/>
          <w:marTop w:val="240"/>
          <w:marBottom w:val="40"/>
          <w:divBdr>
            <w:top w:val="none" w:sz="0" w:space="0" w:color="auto"/>
            <w:left w:val="none" w:sz="0" w:space="0" w:color="auto"/>
            <w:bottom w:val="none" w:sz="0" w:space="0" w:color="auto"/>
            <w:right w:val="none" w:sz="0" w:space="0" w:color="auto"/>
          </w:divBdr>
        </w:div>
      </w:divsChild>
    </w:div>
    <w:div w:id="200678463">
      <w:bodyDiv w:val="1"/>
      <w:marLeft w:val="0"/>
      <w:marRight w:val="0"/>
      <w:marTop w:val="0"/>
      <w:marBottom w:val="0"/>
      <w:divBdr>
        <w:top w:val="none" w:sz="0" w:space="0" w:color="auto"/>
        <w:left w:val="none" w:sz="0" w:space="0" w:color="auto"/>
        <w:bottom w:val="none" w:sz="0" w:space="0" w:color="auto"/>
        <w:right w:val="none" w:sz="0" w:space="0" w:color="auto"/>
      </w:divBdr>
      <w:divsChild>
        <w:div w:id="21782690">
          <w:marLeft w:val="0"/>
          <w:marRight w:val="0"/>
          <w:marTop w:val="0"/>
          <w:marBottom w:val="0"/>
          <w:divBdr>
            <w:top w:val="none" w:sz="0" w:space="0" w:color="auto"/>
            <w:left w:val="none" w:sz="0" w:space="0" w:color="auto"/>
            <w:bottom w:val="none" w:sz="0" w:space="0" w:color="auto"/>
            <w:right w:val="none" w:sz="0" w:space="0" w:color="auto"/>
          </w:divBdr>
        </w:div>
        <w:div w:id="213785110">
          <w:marLeft w:val="0"/>
          <w:marRight w:val="0"/>
          <w:marTop w:val="0"/>
          <w:marBottom w:val="0"/>
          <w:divBdr>
            <w:top w:val="none" w:sz="0" w:space="0" w:color="auto"/>
            <w:left w:val="none" w:sz="0" w:space="0" w:color="auto"/>
            <w:bottom w:val="none" w:sz="0" w:space="0" w:color="auto"/>
            <w:right w:val="none" w:sz="0" w:space="0" w:color="auto"/>
          </w:divBdr>
        </w:div>
        <w:div w:id="283270480">
          <w:marLeft w:val="0"/>
          <w:marRight w:val="0"/>
          <w:marTop w:val="0"/>
          <w:marBottom w:val="0"/>
          <w:divBdr>
            <w:top w:val="none" w:sz="0" w:space="0" w:color="auto"/>
            <w:left w:val="none" w:sz="0" w:space="0" w:color="auto"/>
            <w:bottom w:val="none" w:sz="0" w:space="0" w:color="auto"/>
            <w:right w:val="none" w:sz="0" w:space="0" w:color="auto"/>
          </w:divBdr>
        </w:div>
        <w:div w:id="380642505">
          <w:marLeft w:val="0"/>
          <w:marRight w:val="0"/>
          <w:marTop w:val="0"/>
          <w:marBottom w:val="0"/>
          <w:divBdr>
            <w:top w:val="none" w:sz="0" w:space="0" w:color="auto"/>
            <w:left w:val="none" w:sz="0" w:space="0" w:color="auto"/>
            <w:bottom w:val="none" w:sz="0" w:space="0" w:color="auto"/>
            <w:right w:val="none" w:sz="0" w:space="0" w:color="auto"/>
          </w:divBdr>
        </w:div>
        <w:div w:id="588392181">
          <w:marLeft w:val="0"/>
          <w:marRight w:val="0"/>
          <w:marTop w:val="0"/>
          <w:marBottom w:val="0"/>
          <w:divBdr>
            <w:top w:val="none" w:sz="0" w:space="0" w:color="auto"/>
            <w:left w:val="none" w:sz="0" w:space="0" w:color="auto"/>
            <w:bottom w:val="none" w:sz="0" w:space="0" w:color="auto"/>
            <w:right w:val="none" w:sz="0" w:space="0" w:color="auto"/>
          </w:divBdr>
        </w:div>
        <w:div w:id="592280077">
          <w:marLeft w:val="0"/>
          <w:marRight w:val="0"/>
          <w:marTop w:val="0"/>
          <w:marBottom w:val="0"/>
          <w:divBdr>
            <w:top w:val="none" w:sz="0" w:space="0" w:color="auto"/>
            <w:left w:val="none" w:sz="0" w:space="0" w:color="auto"/>
            <w:bottom w:val="none" w:sz="0" w:space="0" w:color="auto"/>
            <w:right w:val="none" w:sz="0" w:space="0" w:color="auto"/>
          </w:divBdr>
        </w:div>
        <w:div w:id="638192625">
          <w:marLeft w:val="0"/>
          <w:marRight w:val="0"/>
          <w:marTop w:val="0"/>
          <w:marBottom w:val="0"/>
          <w:divBdr>
            <w:top w:val="none" w:sz="0" w:space="0" w:color="auto"/>
            <w:left w:val="none" w:sz="0" w:space="0" w:color="auto"/>
            <w:bottom w:val="none" w:sz="0" w:space="0" w:color="auto"/>
            <w:right w:val="none" w:sz="0" w:space="0" w:color="auto"/>
          </w:divBdr>
        </w:div>
        <w:div w:id="856501281">
          <w:marLeft w:val="0"/>
          <w:marRight w:val="0"/>
          <w:marTop w:val="0"/>
          <w:marBottom w:val="0"/>
          <w:divBdr>
            <w:top w:val="none" w:sz="0" w:space="0" w:color="auto"/>
            <w:left w:val="none" w:sz="0" w:space="0" w:color="auto"/>
            <w:bottom w:val="none" w:sz="0" w:space="0" w:color="auto"/>
            <w:right w:val="none" w:sz="0" w:space="0" w:color="auto"/>
          </w:divBdr>
        </w:div>
        <w:div w:id="1062367134">
          <w:marLeft w:val="0"/>
          <w:marRight w:val="0"/>
          <w:marTop w:val="0"/>
          <w:marBottom w:val="0"/>
          <w:divBdr>
            <w:top w:val="none" w:sz="0" w:space="0" w:color="auto"/>
            <w:left w:val="none" w:sz="0" w:space="0" w:color="auto"/>
            <w:bottom w:val="none" w:sz="0" w:space="0" w:color="auto"/>
            <w:right w:val="none" w:sz="0" w:space="0" w:color="auto"/>
          </w:divBdr>
        </w:div>
        <w:div w:id="1233195035">
          <w:marLeft w:val="0"/>
          <w:marRight w:val="0"/>
          <w:marTop w:val="0"/>
          <w:marBottom w:val="0"/>
          <w:divBdr>
            <w:top w:val="none" w:sz="0" w:space="0" w:color="auto"/>
            <w:left w:val="none" w:sz="0" w:space="0" w:color="auto"/>
            <w:bottom w:val="none" w:sz="0" w:space="0" w:color="auto"/>
            <w:right w:val="none" w:sz="0" w:space="0" w:color="auto"/>
          </w:divBdr>
        </w:div>
        <w:div w:id="1266957887">
          <w:marLeft w:val="0"/>
          <w:marRight w:val="0"/>
          <w:marTop w:val="0"/>
          <w:marBottom w:val="0"/>
          <w:divBdr>
            <w:top w:val="none" w:sz="0" w:space="0" w:color="auto"/>
            <w:left w:val="none" w:sz="0" w:space="0" w:color="auto"/>
            <w:bottom w:val="none" w:sz="0" w:space="0" w:color="auto"/>
            <w:right w:val="none" w:sz="0" w:space="0" w:color="auto"/>
          </w:divBdr>
        </w:div>
        <w:div w:id="1372415304">
          <w:marLeft w:val="0"/>
          <w:marRight w:val="0"/>
          <w:marTop w:val="0"/>
          <w:marBottom w:val="0"/>
          <w:divBdr>
            <w:top w:val="none" w:sz="0" w:space="0" w:color="auto"/>
            <w:left w:val="none" w:sz="0" w:space="0" w:color="auto"/>
            <w:bottom w:val="none" w:sz="0" w:space="0" w:color="auto"/>
            <w:right w:val="none" w:sz="0" w:space="0" w:color="auto"/>
          </w:divBdr>
        </w:div>
        <w:div w:id="1451436666">
          <w:marLeft w:val="0"/>
          <w:marRight w:val="0"/>
          <w:marTop w:val="0"/>
          <w:marBottom w:val="0"/>
          <w:divBdr>
            <w:top w:val="none" w:sz="0" w:space="0" w:color="auto"/>
            <w:left w:val="none" w:sz="0" w:space="0" w:color="auto"/>
            <w:bottom w:val="none" w:sz="0" w:space="0" w:color="auto"/>
            <w:right w:val="none" w:sz="0" w:space="0" w:color="auto"/>
          </w:divBdr>
        </w:div>
        <w:div w:id="1480489012">
          <w:marLeft w:val="0"/>
          <w:marRight w:val="0"/>
          <w:marTop w:val="0"/>
          <w:marBottom w:val="0"/>
          <w:divBdr>
            <w:top w:val="none" w:sz="0" w:space="0" w:color="auto"/>
            <w:left w:val="none" w:sz="0" w:space="0" w:color="auto"/>
            <w:bottom w:val="none" w:sz="0" w:space="0" w:color="auto"/>
            <w:right w:val="none" w:sz="0" w:space="0" w:color="auto"/>
          </w:divBdr>
        </w:div>
        <w:div w:id="1595895712">
          <w:marLeft w:val="0"/>
          <w:marRight w:val="0"/>
          <w:marTop w:val="0"/>
          <w:marBottom w:val="0"/>
          <w:divBdr>
            <w:top w:val="none" w:sz="0" w:space="0" w:color="auto"/>
            <w:left w:val="none" w:sz="0" w:space="0" w:color="auto"/>
            <w:bottom w:val="none" w:sz="0" w:space="0" w:color="auto"/>
            <w:right w:val="none" w:sz="0" w:space="0" w:color="auto"/>
          </w:divBdr>
        </w:div>
        <w:div w:id="1642078020">
          <w:marLeft w:val="0"/>
          <w:marRight w:val="0"/>
          <w:marTop w:val="0"/>
          <w:marBottom w:val="0"/>
          <w:divBdr>
            <w:top w:val="none" w:sz="0" w:space="0" w:color="auto"/>
            <w:left w:val="none" w:sz="0" w:space="0" w:color="auto"/>
            <w:bottom w:val="none" w:sz="0" w:space="0" w:color="auto"/>
            <w:right w:val="none" w:sz="0" w:space="0" w:color="auto"/>
          </w:divBdr>
        </w:div>
        <w:div w:id="1751928968">
          <w:marLeft w:val="0"/>
          <w:marRight w:val="0"/>
          <w:marTop w:val="0"/>
          <w:marBottom w:val="0"/>
          <w:divBdr>
            <w:top w:val="none" w:sz="0" w:space="0" w:color="auto"/>
            <w:left w:val="none" w:sz="0" w:space="0" w:color="auto"/>
            <w:bottom w:val="none" w:sz="0" w:space="0" w:color="auto"/>
            <w:right w:val="none" w:sz="0" w:space="0" w:color="auto"/>
          </w:divBdr>
        </w:div>
        <w:div w:id="1857577666">
          <w:marLeft w:val="0"/>
          <w:marRight w:val="0"/>
          <w:marTop w:val="0"/>
          <w:marBottom w:val="0"/>
          <w:divBdr>
            <w:top w:val="none" w:sz="0" w:space="0" w:color="auto"/>
            <w:left w:val="none" w:sz="0" w:space="0" w:color="auto"/>
            <w:bottom w:val="none" w:sz="0" w:space="0" w:color="auto"/>
            <w:right w:val="none" w:sz="0" w:space="0" w:color="auto"/>
          </w:divBdr>
        </w:div>
        <w:div w:id="1955554854">
          <w:marLeft w:val="0"/>
          <w:marRight w:val="0"/>
          <w:marTop w:val="0"/>
          <w:marBottom w:val="0"/>
          <w:divBdr>
            <w:top w:val="none" w:sz="0" w:space="0" w:color="auto"/>
            <w:left w:val="none" w:sz="0" w:space="0" w:color="auto"/>
            <w:bottom w:val="none" w:sz="0" w:space="0" w:color="auto"/>
            <w:right w:val="none" w:sz="0" w:space="0" w:color="auto"/>
          </w:divBdr>
        </w:div>
        <w:div w:id="1984656004">
          <w:marLeft w:val="0"/>
          <w:marRight w:val="0"/>
          <w:marTop w:val="0"/>
          <w:marBottom w:val="0"/>
          <w:divBdr>
            <w:top w:val="none" w:sz="0" w:space="0" w:color="auto"/>
            <w:left w:val="none" w:sz="0" w:space="0" w:color="auto"/>
            <w:bottom w:val="none" w:sz="0" w:space="0" w:color="auto"/>
            <w:right w:val="none" w:sz="0" w:space="0" w:color="auto"/>
          </w:divBdr>
        </w:div>
      </w:divsChild>
    </w:div>
    <w:div w:id="205408430">
      <w:bodyDiv w:val="1"/>
      <w:marLeft w:val="0"/>
      <w:marRight w:val="0"/>
      <w:marTop w:val="0"/>
      <w:marBottom w:val="0"/>
      <w:divBdr>
        <w:top w:val="none" w:sz="0" w:space="0" w:color="auto"/>
        <w:left w:val="none" w:sz="0" w:space="0" w:color="auto"/>
        <w:bottom w:val="none" w:sz="0" w:space="0" w:color="auto"/>
        <w:right w:val="none" w:sz="0" w:space="0" w:color="auto"/>
      </w:divBdr>
      <w:divsChild>
        <w:div w:id="93793277">
          <w:marLeft w:val="0"/>
          <w:marRight w:val="0"/>
          <w:marTop w:val="0"/>
          <w:marBottom w:val="0"/>
          <w:divBdr>
            <w:top w:val="none" w:sz="0" w:space="0" w:color="auto"/>
            <w:left w:val="none" w:sz="0" w:space="0" w:color="auto"/>
            <w:bottom w:val="none" w:sz="0" w:space="0" w:color="auto"/>
            <w:right w:val="none" w:sz="0" w:space="0" w:color="auto"/>
          </w:divBdr>
        </w:div>
      </w:divsChild>
    </w:div>
    <w:div w:id="207646071">
      <w:bodyDiv w:val="1"/>
      <w:marLeft w:val="0"/>
      <w:marRight w:val="0"/>
      <w:marTop w:val="0"/>
      <w:marBottom w:val="0"/>
      <w:divBdr>
        <w:top w:val="none" w:sz="0" w:space="0" w:color="auto"/>
        <w:left w:val="none" w:sz="0" w:space="0" w:color="auto"/>
        <w:bottom w:val="none" w:sz="0" w:space="0" w:color="auto"/>
        <w:right w:val="none" w:sz="0" w:space="0" w:color="auto"/>
      </w:divBdr>
      <w:divsChild>
        <w:div w:id="1880699871">
          <w:marLeft w:val="0"/>
          <w:marRight w:val="0"/>
          <w:marTop w:val="0"/>
          <w:marBottom w:val="0"/>
          <w:divBdr>
            <w:top w:val="none" w:sz="0" w:space="0" w:color="auto"/>
            <w:left w:val="none" w:sz="0" w:space="0" w:color="auto"/>
            <w:bottom w:val="none" w:sz="0" w:space="0" w:color="auto"/>
            <w:right w:val="none" w:sz="0" w:space="0" w:color="auto"/>
          </w:divBdr>
        </w:div>
      </w:divsChild>
    </w:div>
    <w:div w:id="208421594">
      <w:bodyDiv w:val="1"/>
      <w:marLeft w:val="0"/>
      <w:marRight w:val="0"/>
      <w:marTop w:val="0"/>
      <w:marBottom w:val="0"/>
      <w:divBdr>
        <w:top w:val="none" w:sz="0" w:space="0" w:color="auto"/>
        <w:left w:val="none" w:sz="0" w:space="0" w:color="auto"/>
        <w:bottom w:val="none" w:sz="0" w:space="0" w:color="auto"/>
        <w:right w:val="none" w:sz="0" w:space="0" w:color="auto"/>
      </w:divBdr>
      <w:divsChild>
        <w:div w:id="68774397">
          <w:marLeft w:val="0"/>
          <w:marRight w:val="0"/>
          <w:marTop w:val="0"/>
          <w:marBottom w:val="0"/>
          <w:divBdr>
            <w:top w:val="none" w:sz="0" w:space="0" w:color="auto"/>
            <w:left w:val="none" w:sz="0" w:space="0" w:color="auto"/>
            <w:bottom w:val="none" w:sz="0" w:space="0" w:color="auto"/>
            <w:right w:val="none" w:sz="0" w:space="0" w:color="auto"/>
          </w:divBdr>
        </w:div>
        <w:div w:id="601062614">
          <w:marLeft w:val="0"/>
          <w:marRight w:val="0"/>
          <w:marTop w:val="0"/>
          <w:marBottom w:val="0"/>
          <w:divBdr>
            <w:top w:val="none" w:sz="0" w:space="0" w:color="auto"/>
            <w:left w:val="none" w:sz="0" w:space="0" w:color="auto"/>
            <w:bottom w:val="none" w:sz="0" w:space="0" w:color="auto"/>
            <w:right w:val="none" w:sz="0" w:space="0" w:color="auto"/>
          </w:divBdr>
        </w:div>
        <w:div w:id="1422920273">
          <w:marLeft w:val="0"/>
          <w:marRight w:val="0"/>
          <w:marTop w:val="0"/>
          <w:marBottom w:val="0"/>
          <w:divBdr>
            <w:top w:val="none" w:sz="0" w:space="0" w:color="auto"/>
            <w:left w:val="none" w:sz="0" w:space="0" w:color="auto"/>
            <w:bottom w:val="none" w:sz="0" w:space="0" w:color="auto"/>
            <w:right w:val="none" w:sz="0" w:space="0" w:color="auto"/>
          </w:divBdr>
        </w:div>
        <w:div w:id="1655523220">
          <w:marLeft w:val="0"/>
          <w:marRight w:val="0"/>
          <w:marTop w:val="0"/>
          <w:marBottom w:val="0"/>
          <w:divBdr>
            <w:top w:val="none" w:sz="0" w:space="0" w:color="auto"/>
            <w:left w:val="none" w:sz="0" w:space="0" w:color="auto"/>
            <w:bottom w:val="none" w:sz="0" w:space="0" w:color="auto"/>
            <w:right w:val="none" w:sz="0" w:space="0" w:color="auto"/>
          </w:divBdr>
        </w:div>
      </w:divsChild>
    </w:div>
    <w:div w:id="209655551">
      <w:bodyDiv w:val="1"/>
      <w:marLeft w:val="0"/>
      <w:marRight w:val="0"/>
      <w:marTop w:val="0"/>
      <w:marBottom w:val="0"/>
      <w:divBdr>
        <w:top w:val="none" w:sz="0" w:space="0" w:color="auto"/>
        <w:left w:val="none" w:sz="0" w:space="0" w:color="auto"/>
        <w:bottom w:val="none" w:sz="0" w:space="0" w:color="auto"/>
        <w:right w:val="none" w:sz="0" w:space="0" w:color="auto"/>
      </w:divBdr>
      <w:divsChild>
        <w:div w:id="568611031">
          <w:marLeft w:val="144"/>
          <w:marRight w:val="0"/>
          <w:marTop w:val="240"/>
          <w:marBottom w:val="40"/>
          <w:divBdr>
            <w:top w:val="none" w:sz="0" w:space="0" w:color="auto"/>
            <w:left w:val="none" w:sz="0" w:space="0" w:color="auto"/>
            <w:bottom w:val="none" w:sz="0" w:space="0" w:color="auto"/>
            <w:right w:val="none" w:sz="0" w:space="0" w:color="auto"/>
          </w:divBdr>
        </w:div>
        <w:div w:id="1247349034">
          <w:marLeft w:val="144"/>
          <w:marRight w:val="0"/>
          <w:marTop w:val="240"/>
          <w:marBottom w:val="40"/>
          <w:divBdr>
            <w:top w:val="none" w:sz="0" w:space="0" w:color="auto"/>
            <w:left w:val="none" w:sz="0" w:space="0" w:color="auto"/>
            <w:bottom w:val="none" w:sz="0" w:space="0" w:color="auto"/>
            <w:right w:val="none" w:sz="0" w:space="0" w:color="auto"/>
          </w:divBdr>
        </w:div>
        <w:div w:id="1345937542">
          <w:marLeft w:val="144"/>
          <w:marRight w:val="0"/>
          <w:marTop w:val="240"/>
          <w:marBottom w:val="40"/>
          <w:divBdr>
            <w:top w:val="none" w:sz="0" w:space="0" w:color="auto"/>
            <w:left w:val="none" w:sz="0" w:space="0" w:color="auto"/>
            <w:bottom w:val="none" w:sz="0" w:space="0" w:color="auto"/>
            <w:right w:val="none" w:sz="0" w:space="0" w:color="auto"/>
          </w:divBdr>
        </w:div>
        <w:div w:id="1786536061">
          <w:marLeft w:val="144"/>
          <w:marRight w:val="0"/>
          <w:marTop w:val="240"/>
          <w:marBottom w:val="40"/>
          <w:divBdr>
            <w:top w:val="none" w:sz="0" w:space="0" w:color="auto"/>
            <w:left w:val="none" w:sz="0" w:space="0" w:color="auto"/>
            <w:bottom w:val="none" w:sz="0" w:space="0" w:color="auto"/>
            <w:right w:val="none" w:sz="0" w:space="0" w:color="auto"/>
          </w:divBdr>
        </w:div>
      </w:divsChild>
    </w:div>
    <w:div w:id="211427447">
      <w:bodyDiv w:val="1"/>
      <w:marLeft w:val="0"/>
      <w:marRight w:val="0"/>
      <w:marTop w:val="0"/>
      <w:marBottom w:val="0"/>
      <w:divBdr>
        <w:top w:val="none" w:sz="0" w:space="0" w:color="auto"/>
        <w:left w:val="none" w:sz="0" w:space="0" w:color="auto"/>
        <w:bottom w:val="none" w:sz="0" w:space="0" w:color="auto"/>
        <w:right w:val="none" w:sz="0" w:space="0" w:color="auto"/>
      </w:divBdr>
    </w:div>
    <w:div w:id="214434788">
      <w:bodyDiv w:val="1"/>
      <w:marLeft w:val="0"/>
      <w:marRight w:val="0"/>
      <w:marTop w:val="0"/>
      <w:marBottom w:val="0"/>
      <w:divBdr>
        <w:top w:val="none" w:sz="0" w:space="0" w:color="auto"/>
        <w:left w:val="none" w:sz="0" w:space="0" w:color="auto"/>
        <w:bottom w:val="none" w:sz="0" w:space="0" w:color="auto"/>
        <w:right w:val="none" w:sz="0" w:space="0" w:color="auto"/>
      </w:divBdr>
      <w:divsChild>
        <w:div w:id="66533364">
          <w:marLeft w:val="0"/>
          <w:marRight w:val="0"/>
          <w:marTop w:val="0"/>
          <w:marBottom w:val="0"/>
          <w:divBdr>
            <w:top w:val="none" w:sz="0" w:space="0" w:color="auto"/>
            <w:left w:val="none" w:sz="0" w:space="0" w:color="auto"/>
            <w:bottom w:val="none" w:sz="0" w:space="0" w:color="auto"/>
            <w:right w:val="none" w:sz="0" w:space="0" w:color="auto"/>
          </w:divBdr>
        </w:div>
        <w:div w:id="256794309">
          <w:marLeft w:val="0"/>
          <w:marRight w:val="0"/>
          <w:marTop w:val="0"/>
          <w:marBottom w:val="0"/>
          <w:divBdr>
            <w:top w:val="none" w:sz="0" w:space="0" w:color="auto"/>
            <w:left w:val="none" w:sz="0" w:space="0" w:color="auto"/>
            <w:bottom w:val="none" w:sz="0" w:space="0" w:color="auto"/>
            <w:right w:val="none" w:sz="0" w:space="0" w:color="auto"/>
          </w:divBdr>
        </w:div>
        <w:div w:id="300578448">
          <w:marLeft w:val="0"/>
          <w:marRight w:val="0"/>
          <w:marTop w:val="0"/>
          <w:marBottom w:val="0"/>
          <w:divBdr>
            <w:top w:val="none" w:sz="0" w:space="0" w:color="auto"/>
            <w:left w:val="none" w:sz="0" w:space="0" w:color="auto"/>
            <w:bottom w:val="none" w:sz="0" w:space="0" w:color="auto"/>
            <w:right w:val="none" w:sz="0" w:space="0" w:color="auto"/>
          </w:divBdr>
        </w:div>
        <w:div w:id="336155744">
          <w:marLeft w:val="0"/>
          <w:marRight w:val="0"/>
          <w:marTop w:val="0"/>
          <w:marBottom w:val="0"/>
          <w:divBdr>
            <w:top w:val="none" w:sz="0" w:space="0" w:color="auto"/>
            <w:left w:val="none" w:sz="0" w:space="0" w:color="auto"/>
            <w:bottom w:val="none" w:sz="0" w:space="0" w:color="auto"/>
            <w:right w:val="none" w:sz="0" w:space="0" w:color="auto"/>
          </w:divBdr>
        </w:div>
        <w:div w:id="392848781">
          <w:marLeft w:val="0"/>
          <w:marRight w:val="0"/>
          <w:marTop w:val="0"/>
          <w:marBottom w:val="0"/>
          <w:divBdr>
            <w:top w:val="none" w:sz="0" w:space="0" w:color="auto"/>
            <w:left w:val="none" w:sz="0" w:space="0" w:color="auto"/>
            <w:bottom w:val="none" w:sz="0" w:space="0" w:color="auto"/>
            <w:right w:val="none" w:sz="0" w:space="0" w:color="auto"/>
          </w:divBdr>
        </w:div>
        <w:div w:id="448009710">
          <w:marLeft w:val="0"/>
          <w:marRight w:val="0"/>
          <w:marTop w:val="0"/>
          <w:marBottom w:val="0"/>
          <w:divBdr>
            <w:top w:val="none" w:sz="0" w:space="0" w:color="auto"/>
            <w:left w:val="none" w:sz="0" w:space="0" w:color="auto"/>
            <w:bottom w:val="none" w:sz="0" w:space="0" w:color="auto"/>
            <w:right w:val="none" w:sz="0" w:space="0" w:color="auto"/>
          </w:divBdr>
        </w:div>
        <w:div w:id="475726465">
          <w:marLeft w:val="0"/>
          <w:marRight w:val="0"/>
          <w:marTop w:val="0"/>
          <w:marBottom w:val="0"/>
          <w:divBdr>
            <w:top w:val="none" w:sz="0" w:space="0" w:color="auto"/>
            <w:left w:val="none" w:sz="0" w:space="0" w:color="auto"/>
            <w:bottom w:val="none" w:sz="0" w:space="0" w:color="auto"/>
            <w:right w:val="none" w:sz="0" w:space="0" w:color="auto"/>
          </w:divBdr>
        </w:div>
        <w:div w:id="601299183">
          <w:marLeft w:val="0"/>
          <w:marRight w:val="0"/>
          <w:marTop w:val="0"/>
          <w:marBottom w:val="0"/>
          <w:divBdr>
            <w:top w:val="none" w:sz="0" w:space="0" w:color="auto"/>
            <w:left w:val="none" w:sz="0" w:space="0" w:color="auto"/>
            <w:bottom w:val="none" w:sz="0" w:space="0" w:color="auto"/>
            <w:right w:val="none" w:sz="0" w:space="0" w:color="auto"/>
          </w:divBdr>
        </w:div>
        <w:div w:id="774062701">
          <w:marLeft w:val="0"/>
          <w:marRight w:val="0"/>
          <w:marTop w:val="0"/>
          <w:marBottom w:val="0"/>
          <w:divBdr>
            <w:top w:val="none" w:sz="0" w:space="0" w:color="auto"/>
            <w:left w:val="none" w:sz="0" w:space="0" w:color="auto"/>
            <w:bottom w:val="none" w:sz="0" w:space="0" w:color="auto"/>
            <w:right w:val="none" w:sz="0" w:space="0" w:color="auto"/>
          </w:divBdr>
        </w:div>
        <w:div w:id="889919935">
          <w:marLeft w:val="0"/>
          <w:marRight w:val="0"/>
          <w:marTop w:val="0"/>
          <w:marBottom w:val="0"/>
          <w:divBdr>
            <w:top w:val="none" w:sz="0" w:space="0" w:color="auto"/>
            <w:left w:val="none" w:sz="0" w:space="0" w:color="auto"/>
            <w:bottom w:val="none" w:sz="0" w:space="0" w:color="auto"/>
            <w:right w:val="none" w:sz="0" w:space="0" w:color="auto"/>
          </w:divBdr>
        </w:div>
        <w:div w:id="1169633806">
          <w:marLeft w:val="0"/>
          <w:marRight w:val="0"/>
          <w:marTop w:val="0"/>
          <w:marBottom w:val="0"/>
          <w:divBdr>
            <w:top w:val="none" w:sz="0" w:space="0" w:color="auto"/>
            <w:left w:val="none" w:sz="0" w:space="0" w:color="auto"/>
            <w:bottom w:val="none" w:sz="0" w:space="0" w:color="auto"/>
            <w:right w:val="none" w:sz="0" w:space="0" w:color="auto"/>
          </w:divBdr>
        </w:div>
        <w:div w:id="1261840576">
          <w:marLeft w:val="0"/>
          <w:marRight w:val="0"/>
          <w:marTop w:val="0"/>
          <w:marBottom w:val="0"/>
          <w:divBdr>
            <w:top w:val="none" w:sz="0" w:space="0" w:color="auto"/>
            <w:left w:val="none" w:sz="0" w:space="0" w:color="auto"/>
            <w:bottom w:val="none" w:sz="0" w:space="0" w:color="auto"/>
            <w:right w:val="none" w:sz="0" w:space="0" w:color="auto"/>
          </w:divBdr>
        </w:div>
        <w:div w:id="1268345600">
          <w:marLeft w:val="0"/>
          <w:marRight w:val="0"/>
          <w:marTop w:val="0"/>
          <w:marBottom w:val="0"/>
          <w:divBdr>
            <w:top w:val="none" w:sz="0" w:space="0" w:color="auto"/>
            <w:left w:val="none" w:sz="0" w:space="0" w:color="auto"/>
            <w:bottom w:val="none" w:sz="0" w:space="0" w:color="auto"/>
            <w:right w:val="none" w:sz="0" w:space="0" w:color="auto"/>
          </w:divBdr>
        </w:div>
        <w:div w:id="1328361007">
          <w:marLeft w:val="0"/>
          <w:marRight w:val="0"/>
          <w:marTop w:val="0"/>
          <w:marBottom w:val="0"/>
          <w:divBdr>
            <w:top w:val="none" w:sz="0" w:space="0" w:color="auto"/>
            <w:left w:val="none" w:sz="0" w:space="0" w:color="auto"/>
            <w:bottom w:val="none" w:sz="0" w:space="0" w:color="auto"/>
            <w:right w:val="none" w:sz="0" w:space="0" w:color="auto"/>
          </w:divBdr>
        </w:div>
        <w:div w:id="1396854500">
          <w:marLeft w:val="0"/>
          <w:marRight w:val="0"/>
          <w:marTop w:val="0"/>
          <w:marBottom w:val="0"/>
          <w:divBdr>
            <w:top w:val="none" w:sz="0" w:space="0" w:color="auto"/>
            <w:left w:val="none" w:sz="0" w:space="0" w:color="auto"/>
            <w:bottom w:val="none" w:sz="0" w:space="0" w:color="auto"/>
            <w:right w:val="none" w:sz="0" w:space="0" w:color="auto"/>
          </w:divBdr>
        </w:div>
        <w:div w:id="1593978139">
          <w:marLeft w:val="0"/>
          <w:marRight w:val="0"/>
          <w:marTop w:val="0"/>
          <w:marBottom w:val="0"/>
          <w:divBdr>
            <w:top w:val="none" w:sz="0" w:space="0" w:color="auto"/>
            <w:left w:val="none" w:sz="0" w:space="0" w:color="auto"/>
            <w:bottom w:val="none" w:sz="0" w:space="0" w:color="auto"/>
            <w:right w:val="none" w:sz="0" w:space="0" w:color="auto"/>
          </w:divBdr>
        </w:div>
        <w:div w:id="1624117082">
          <w:marLeft w:val="0"/>
          <w:marRight w:val="0"/>
          <w:marTop w:val="0"/>
          <w:marBottom w:val="0"/>
          <w:divBdr>
            <w:top w:val="none" w:sz="0" w:space="0" w:color="auto"/>
            <w:left w:val="none" w:sz="0" w:space="0" w:color="auto"/>
            <w:bottom w:val="none" w:sz="0" w:space="0" w:color="auto"/>
            <w:right w:val="none" w:sz="0" w:space="0" w:color="auto"/>
          </w:divBdr>
        </w:div>
        <w:div w:id="1681618729">
          <w:marLeft w:val="0"/>
          <w:marRight w:val="0"/>
          <w:marTop w:val="0"/>
          <w:marBottom w:val="0"/>
          <w:divBdr>
            <w:top w:val="none" w:sz="0" w:space="0" w:color="auto"/>
            <w:left w:val="none" w:sz="0" w:space="0" w:color="auto"/>
            <w:bottom w:val="none" w:sz="0" w:space="0" w:color="auto"/>
            <w:right w:val="none" w:sz="0" w:space="0" w:color="auto"/>
          </w:divBdr>
        </w:div>
        <w:div w:id="1778406657">
          <w:marLeft w:val="0"/>
          <w:marRight w:val="0"/>
          <w:marTop w:val="0"/>
          <w:marBottom w:val="0"/>
          <w:divBdr>
            <w:top w:val="none" w:sz="0" w:space="0" w:color="auto"/>
            <w:left w:val="none" w:sz="0" w:space="0" w:color="auto"/>
            <w:bottom w:val="none" w:sz="0" w:space="0" w:color="auto"/>
            <w:right w:val="none" w:sz="0" w:space="0" w:color="auto"/>
          </w:divBdr>
        </w:div>
        <w:div w:id="2073582160">
          <w:marLeft w:val="0"/>
          <w:marRight w:val="0"/>
          <w:marTop w:val="0"/>
          <w:marBottom w:val="0"/>
          <w:divBdr>
            <w:top w:val="none" w:sz="0" w:space="0" w:color="auto"/>
            <w:left w:val="none" w:sz="0" w:space="0" w:color="auto"/>
            <w:bottom w:val="none" w:sz="0" w:space="0" w:color="auto"/>
            <w:right w:val="none" w:sz="0" w:space="0" w:color="auto"/>
          </w:divBdr>
        </w:div>
        <w:div w:id="2079790419">
          <w:marLeft w:val="0"/>
          <w:marRight w:val="0"/>
          <w:marTop w:val="0"/>
          <w:marBottom w:val="0"/>
          <w:divBdr>
            <w:top w:val="none" w:sz="0" w:space="0" w:color="auto"/>
            <w:left w:val="none" w:sz="0" w:space="0" w:color="auto"/>
            <w:bottom w:val="none" w:sz="0" w:space="0" w:color="auto"/>
            <w:right w:val="none" w:sz="0" w:space="0" w:color="auto"/>
          </w:divBdr>
        </w:div>
        <w:div w:id="2144344777">
          <w:marLeft w:val="0"/>
          <w:marRight w:val="0"/>
          <w:marTop w:val="0"/>
          <w:marBottom w:val="0"/>
          <w:divBdr>
            <w:top w:val="none" w:sz="0" w:space="0" w:color="auto"/>
            <w:left w:val="none" w:sz="0" w:space="0" w:color="auto"/>
            <w:bottom w:val="none" w:sz="0" w:space="0" w:color="auto"/>
            <w:right w:val="none" w:sz="0" w:space="0" w:color="auto"/>
          </w:divBdr>
        </w:div>
      </w:divsChild>
    </w:div>
    <w:div w:id="216090533">
      <w:bodyDiv w:val="1"/>
      <w:marLeft w:val="0"/>
      <w:marRight w:val="0"/>
      <w:marTop w:val="0"/>
      <w:marBottom w:val="0"/>
      <w:divBdr>
        <w:top w:val="none" w:sz="0" w:space="0" w:color="auto"/>
        <w:left w:val="none" w:sz="0" w:space="0" w:color="auto"/>
        <w:bottom w:val="none" w:sz="0" w:space="0" w:color="auto"/>
        <w:right w:val="none" w:sz="0" w:space="0" w:color="auto"/>
      </w:divBdr>
    </w:div>
    <w:div w:id="223876209">
      <w:bodyDiv w:val="1"/>
      <w:marLeft w:val="0"/>
      <w:marRight w:val="0"/>
      <w:marTop w:val="0"/>
      <w:marBottom w:val="0"/>
      <w:divBdr>
        <w:top w:val="none" w:sz="0" w:space="0" w:color="auto"/>
        <w:left w:val="none" w:sz="0" w:space="0" w:color="auto"/>
        <w:bottom w:val="none" w:sz="0" w:space="0" w:color="auto"/>
        <w:right w:val="none" w:sz="0" w:space="0" w:color="auto"/>
      </w:divBdr>
      <w:divsChild>
        <w:div w:id="820924622">
          <w:marLeft w:val="0"/>
          <w:marRight w:val="0"/>
          <w:marTop w:val="0"/>
          <w:marBottom w:val="0"/>
          <w:divBdr>
            <w:top w:val="none" w:sz="0" w:space="0" w:color="auto"/>
            <w:left w:val="none" w:sz="0" w:space="0" w:color="auto"/>
            <w:bottom w:val="none" w:sz="0" w:space="0" w:color="auto"/>
            <w:right w:val="none" w:sz="0" w:space="0" w:color="auto"/>
          </w:divBdr>
        </w:div>
      </w:divsChild>
    </w:div>
    <w:div w:id="225796633">
      <w:bodyDiv w:val="1"/>
      <w:marLeft w:val="0"/>
      <w:marRight w:val="0"/>
      <w:marTop w:val="0"/>
      <w:marBottom w:val="0"/>
      <w:divBdr>
        <w:top w:val="none" w:sz="0" w:space="0" w:color="auto"/>
        <w:left w:val="none" w:sz="0" w:space="0" w:color="auto"/>
        <w:bottom w:val="none" w:sz="0" w:space="0" w:color="auto"/>
        <w:right w:val="none" w:sz="0" w:space="0" w:color="auto"/>
      </w:divBdr>
    </w:div>
    <w:div w:id="226382127">
      <w:bodyDiv w:val="1"/>
      <w:marLeft w:val="0"/>
      <w:marRight w:val="0"/>
      <w:marTop w:val="0"/>
      <w:marBottom w:val="0"/>
      <w:divBdr>
        <w:top w:val="none" w:sz="0" w:space="0" w:color="auto"/>
        <w:left w:val="none" w:sz="0" w:space="0" w:color="auto"/>
        <w:bottom w:val="none" w:sz="0" w:space="0" w:color="auto"/>
        <w:right w:val="none" w:sz="0" w:space="0" w:color="auto"/>
      </w:divBdr>
      <w:divsChild>
        <w:div w:id="211692017">
          <w:marLeft w:val="144"/>
          <w:marRight w:val="0"/>
          <w:marTop w:val="240"/>
          <w:marBottom w:val="40"/>
          <w:divBdr>
            <w:top w:val="none" w:sz="0" w:space="0" w:color="auto"/>
            <w:left w:val="none" w:sz="0" w:space="0" w:color="auto"/>
            <w:bottom w:val="none" w:sz="0" w:space="0" w:color="auto"/>
            <w:right w:val="none" w:sz="0" w:space="0" w:color="auto"/>
          </w:divBdr>
        </w:div>
        <w:div w:id="381828674">
          <w:marLeft w:val="144"/>
          <w:marRight w:val="0"/>
          <w:marTop w:val="240"/>
          <w:marBottom w:val="40"/>
          <w:divBdr>
            <w:top w:val="none" w:sz="0" w:space="0" w:color="auto"/>
            <w:left w:val="none" w:sz="0" w:space="0" w:color="auto"/>
            <w:bottom w:val="none" w:sz="0" w:space="0" w:color="auto"/>
            <w:right w:val="none" w:sz="0" w:space="0" w:color="auto"/>
          </w:divBdr>
        </w:div>
        <w:div w:id="1110902406">
          <w:marLeft w:val="144"/>
          <w:marRight w:val="0"/>
          <w:marTop w:val="240"/>
          <w:marBottom w:val="40"/>
          <w:divBdr>
            <w:top w:val="none" w:sz="0" w:space="0" w:color="auto"/>
            <w:left w:val="none" w:sz="0" w:space="0" w:color="auto"/>
            <w:bottom w:val="none" w:sz="0" w:space="0" w:color="auto"/>
            <w:right w:val="none" w:sz="0" w:space="0" w:color="auto"/>
          </w:divBdr>
        </w:div>
      </w:divsChild>
    </w:div>
    <w:div w:id="226689450">
      <w:bodyDiv w:val="1"/>
      <w:marLeft w:val="0"/>
      <w:marRight w:val="0"/>
      <w:marTop w:val="0"/>
      <w:marBottom w:val="0"/>
      <w:divBdr>
        <w:top w:val="none" w:sz="0" w:space="0" w:color="auto"/>
        <w:left w:val="none" w:sz="0" w:space="0" w:color="auto"/>
        <w:bottom w:val="none" w:sz="0" w:space="0" w:color="auto"/>
        <w:right w:val="none" w:sz="0" w:space="0" w:color="auto"/>
      </w:divBdr>
    </w:div>
    <w:div w:id="229197641">
      <w:bodyDiv w:val="1"/>
      <w:marLeft w:val="0"/>
      <w:marRight w:val="0"/>
      <w:marTop w:val="0"/>
      <w:marBottom w:val="0"/>
      <w:divBdr>
        <w:top w:val="none" w:sz="0" w:space="0" w:color="auto"/>
        <w:left w:val="none" w:sz="0" w:space="0" w:color="auto"/>
        <w:bottom w:val="none" w:sz="0" w:space="0" w:color="auto"/>
        <w:right w:val="none" w:sz="0" w:space="0" w:color="auto"/>
      </w:divBdr>
      <w:divsChild>
        <w:div w:id="1826239252">
          <w:marLeft w:val="0"/>
          <w:marRight w:val="0"/>
          <w:marTop w:val="0"/>
          <w:marBottom w:val="0"/>
          <w:divBdr>
            <w:top w:val="none" w:sz="0" w:space="0" w:color="auto"/>
            <w:left w:val="none" w:sz="0" w:space="0" w:color="auto"/>
            <w:bottom w:val="none" w:sz="0" w:space="0" w:color="auto"/>
            <w:right w:val="none" w:sz="0" w:space="0" w:color="auto"/>
          </w:divBdr>
        </w:div>
      </w:divsChild>
    </w:div>
    <w:div w:id="229385147">
      <w:bodyDiv w:val="1"/>
      <w:marLeft w:val="0"/>
      <w:marRight w:val="0"/>
      <w:marTop w:val="0"/>
      <w:marBottom w:val="0"/>
      <w:divBdr>
        <w:top w:val="none" w:sz="0" w:space="0" w:color="auto"/>
        <w:left w:val="none" w:sz="0" w:space="0" w:color="auto"/>
        <w:bottom w:val="none" w:sz="0" w:space="0" w:color="auto"/>
        <w:right w:val="none" w:sz="0" w:space="0" w:color="auto"/>
      </w:divBdr>
      <w:divsChild>
        <w:div w:id="5183419">
          <w:marLeft w:val="0"/>
          <w:marRight w:val="0"/>
          <w:marTop w:val="0"/>
          <w:marBottom w:val="0"/>
          <w:divBdr>
            <w:top w:val="none" w:sz="0" w:space="0" w:color="auto"/>
            <w:left w:val="none" w:sz="0" w:space="0" w:color="auto"/>
            <w:bottom w:val="none" w:sz="0" w:space="0" w:color="auto"/>
            <w:right w:val="none" w:sz="0" w:space="0" w:color="auto"/>
          </w:divBdr>
        </w:div>
        <w:div w:id="255868859">
          <w:marLeft w:val="0"/>
          <w:marRight w:val="0"/>
          <w:marTop w:val="0"/>
          <w:marBottom w:val="0"/>
          <w:divBdr>
            <w:top w:val="none" w:sz="0" w:space="0" w:color="auto"/>
            <w:left w:val="none" w:sz="0" w:space="0" w:color="auto"/>
            <w:bottom w:val="none" w:sz="0" w:space="0" w:color="auto"/>
            <w:right w:val="none" w:sz="0" w:space="0" w:color="auto"/>
          </w:divBdr>
        </w:div>
        <w:div w:id="340085635">
          <w:marLeft w:val="0"/>
          <w:marRight w:val="0"/>
          <w:marTop w:val="0"/>
          <w:marBottom w:val="0"/>
          <w:divBdr>
            <w:top w:val="none" w:sz="0" w:space="0" w:color="auto"/>
            <w:left w:val="none" w:sz="0" w:space="0" w:color="auto"/>
            <w:bottom w:val="none" w:sz="0" w:space="0" w:color="auto"/>
            <w:right w:val="none" w:sz="0" w:space="0" w:color="auto"/>
          </w:divBdr>
        </w:div>
        <w:div w:id="493181998">
          <w:marLeft w:val="0"/>
          <w:marRight w:val="0"/>
          <w:marTop w:val="0"/>
          <w:marBottom w:val="0"/>
          <w:divBdr>
            <w:top w:val="none" w:sz="0" w:space="0" w:color="auto"/>
            <w:left w:val="none" w:sz="0" w:space="0" w:color="auto"/>
            <w:bottom w:val="none" w:sz="0" w:space="0" w:color="auto"/>
            <w:right w:val="none" w:sz="0" w:space="0" w:color="auto"/>
          </w:divBdr>
        </w:div>
        <w:div w:id="984895489">
          <w:marLeft w:val="0"/>
          <w:marRight w:val="0"/>
          <w:marTop w:val="0"/>
          <w:marBottom w:val="0"/>
          <w:divBdr>
            <w:top w:val="none" w:sz="0" w:space="0" w:color="auto"/>
            <w:left w:val="none" w:sz="0" w:space="0" w:color="auto"/>
            <w:bottom w:val="none" w:sz="0" w:space="0" w:color="auto"/>
            <w:right w:val="none" w:sz="0" w:space="0" w:color="auto"/>
          </w:divBdr>
        </w:div>
        <w:div w:id="1016228253">
          <w:marLeft w:val="0"/>
          <w:marRight w:val="0"/>
          <w:marTop w:val="0"/>
          <w:marBottom w:val="0"/>
          <w:divBdr>
            <w:top w:val="none" w:sz="0" w:space="0" w:color="auto"/>
            <w:left w:val="none" w:sz="0" w:space="0" w:color="auto"/>
            <w:bottom w:val="none" w:sz="0" w:space="0" w:color="auto"/>
            <w:right w:val="none" w:sz="0" w:space="0" w:color="auto"/>
          </w:divBdr>
        </w:div>
        <w:div w:id="1070032974">
          <w:marLeft w:val="0"/>
          <w:marRight w:val="0"/>
          <w:marTop w:val="0"/>
          <w:marBottom w:val="0"/>
          <w:divBdr>
            <w:top w:val="none" w:sz="0" w:space="0" w:color="auto"/>
            <w:left w:val="none" w:sz="0" w:space="0" w:color="auto"/>
            <w:bottom w:val="none" w:sz="0" w:space="0" w:color="auto"/>
            <w:right w:val="none" w:sz="0" w:space="0" w:color="auto"/>
          </w:divBdr>
        </w:div>
        <w:div w:id="1096631431">
          <w:marLeft w:val="0"/>
          <w:marRight w:val="0"/>
          <w:marTop w:val="0"/>
          <w:marBottom w:val="0"/>
          <w:divBdr>
            <w:top w:val="none" w:sz="0" w:space="0" w:color="auto"/>
            <w:left w:val="none" w:sz="0" w:space="0" w:color="auto"/>
            <w:bottom w:val="none" w:sz="0" w:space="0" w:color="auto"/>
            <w:right w:val="none" w:sz="0" w:space="0" w:color="auto"/>
          </w:divBdr>
        </w:div>
        <w:div w:id="1409572761">
          <w:marLeft w:val="0"/>
          <w:marRight w:val="0"/>
          <w:marTop w:val="0"/>
          <w:marBottom w:val="0"/>
          <w:divBdr>
            <w:top w:val="none" w:sz="0" w:space="0" w:color="auto"/>
            <w:left w:val="none" w:sz="0" w:space="0" w:color="auto"/>
            <w:bottom w:val="none" w:sz="0" w:space="0" w:color="auto"/>
            <w:right w:val="none" w:sz="0" w:space="0" w:color="auto"/>
          </w:divBdr>
        </w:div>
        <w:div w:id="1481535708">
          <w:marLeft w:val="0"/>
          <w:marRight w:val="0"/>
          <w:marTop w:val="0"/>
          <w:marBottom w:val="0"/>
          <w:divBdr>
            <w:top w:val="none" w:sz="0" w:space="0" w:color="auto"/>
            <w:left w:val="none" w:sz="0" w:space="0" w:color="auto"/>
            <w:bottom w:val="none" w:sz="0" w:space="0" w:color="auto"/>
            <w:right w:val="none" w:sz="0" w:space="0" w:color="auto"/>
          </w:divBdr>
        </w:div>
        <w:div w:id="1538395965">
          <w:marLeft w:val="0"/>
          <w:marRight w:val="0"/>
          <w:marTop w:val="0"/>
          <w:marBottom w:val="0"/>
          <w:divBdr>
            <w:top w:val="none" w:sz="0" w:space="0" w:color="auto"/>
            <w:left w:val="none" w:sz="0" w:space="0" w:color="auto"/>
            <w:bottom w:val="none" w:sz="0" w:space="0" w:color="auto"/>
            <w:right w:val="none" w:sz="0" w:space="0" w:color="auto"/>
          </w:divBdr>
        </w:div>
        <w:div w:id="1566449698">
          <w:marLeft w:val="0"/>
          <w:marRight w:val="0"/>
          <w:marTop w:val="0"/>
          <w:marBottom w:val="0"/>
          <w:divBdr>
            <w:top w:val="none" w:sz="0" w:space="0" w:color="auto"/>
            <w:left w:val="none" w:sz="0" w:space="0" w:color="auto"/>
            <w:bottom w:val="none" w:sz="0" w:space="0" w:color="auto"/>
            <w:right w:val="none" w:sz="0" w:space="0" w:color="auto"/>
          </w:divBdr>
        </w:div>
        <w:div w:id="1582258348">
          <w:marLeft w:val="0"/>
          <w:marRight w:val="0"/>
          <w:marTop w:val="0"/>
          <w:marBottom w:val="0"/>
          <w:divBdr>
            <w:top w:val="none" w:sz="0" w:space="0" w:color="auto"/>
            <w:left w:val="none" w:sz="0" w:space="0" w:color="auto"/>
            <w:bottom w:val="none" w:sz="0" w:space="0" w:color="auto"/>
            <w:right w:val="none" w:sz="0" w:space="0" w:color="auto"/>
          </w:divBdr>
        </w:div>
        <w:div w:id="1639726972">
          <w:marLeft w:val="0"/>
          <w:marRight w:val="0"/>
          <w:marTop w:val="0"/>
          <w:marBottom w:val="0"/>
          <w:divBdr>
            <w:top w:val="none" w:sz="0" w:space="0" w:color="auto"/>
            <w:left w:val="none" w:sz="0" w:space="0" w:color="auto"/>
            <w:bottom w:val="none" w:sz="0" w:space="0" w:color="auto"/>
            <w:right w:val="none" w:sz="0" w:space="0" w:color="auto"/>
          </w:divBdr>
        </w:div>
        <w:div w:id="1708798024">
          <w:marLeft w:val="0"/>
          <w:marRight w:val="0"/>
          <w:marTop w:val="0"/>
          <w:marBottom w:val="0"/>
          <w:divBdr>
            <w:top w:val="none" w:sz="0" w:space="0" w:color="auto"/>
            <w:left w:val="none" w:sz="0" w:space="0" w:color="auto"/>
            <w:bottom w:val="none" w:sz="0" w:space="0" w:color="auto"/>
            <w:right w:val="none" w:sz="0" w:space="0" w:color="auto"/>
          </w:divBdr>
        </w:div>
        <w:div w:id="1720737264">
          <w:marLeft w:val="0"/>
          <w:marRight w:val="0"/>
          <w:marTop w:val="0"/>
          <w:marBottom w:val="0"/>
          <w:divBdr>
            <w:top w:val="none" w:sz="0" w:space="0" w:color="auto"/>
            <w:left w:val="none" w:sz="0" w:space="0" w:color="auto"/>
            <w:bottom w:val="none" w:sz="0" w:space="0" w:color="auto"/>
            <w:right w:val="none" w:sz="0" w:space="0" w:color="auto"/>
          </w:divBdr>
        </w:div>
        <w:div w:id="1932349208">
          <w:marLeft w:val="0"/>
          <w:marRight w:val="0"/>
          <w:marTop w:val="0"/>
          <w:marBottom w:val="0"/>
          <w:divBdr>
            <w:top w:val="none" w:sz="0" w:space="0" w:color="auto"/>
            <w:left w:val="none" w:sz="0" w:space="0" w:color="auto"/>
            <w:bottom w:val="none" w:sz="0" w:space="0" w:color="auto"/>
            <w:right w:val="none" w:sz="0" w:space="0" w:color="auto"/>
          </w:divBdr>
        </w:div>
        <w:div w:id="2052729531">
          <w:marLeft w:val="0"/>
          <w:marRight w:val="0"/>
          <w:marTop w:val="0"/>
          <w:marBottom w:val="0"/>
          <w:divBdr>
            <w:top w:val="none" w:sz="0" w:space="0" w:color="auto"/>
            <w:left w:val="none" w:sz="0" w:space="0" w:color="auto"/>
            <w:bottom w:val="none" w:sz="0" w:space="0" w:color="auto"/>
            <w:right w:val="none" w:sz="0" w:space="0" w:color="auto"/>
          </w:divBdr>
        </w:div>
        <w:div w:id="2070808018">
          <w:marLeft w:val="0"/>
          <w:marRight w:val="0"/>
          <w:marTop w:val="0"/>
          <w:marBottom w:val="0"/>
          <w:divBdr>
            <w:top w:val="none" w:sz="0" w:space="0" w:color="auto"/>
            <w:left w:val="none" w:sz="0" w:space="0" w:color="auto"/>
            <w:bottom w:val="none" w:sz="0" w:space="0" w:color="auto"/>
            <w:right w:val="none" w:sz="0" w:space="0" w:color="auto"/>
          </w:divBdr>
        </w:div>
      </w:divsChild>
    </w:div>
    <w:div w:id="231085925">
      <w:bodyDiv w:val="1"/>
      <w:marLeft w:val="0"/>
      <w:marRight w:val="0"/>
      <w:marTop w:val="0"/>
      <w:marBottom w:val="0"/>
      <w:divBdr>
        <w:top w:val="none" w:sz="0" w:space="0" w:color="auto"/>
        <w:left w:val="none" w:sz="0" w:space="0" w:color="auto"/>
        <w:bottom w:val="none" w:sz="0" w:space="0" w:color="auto"/>
        <w:right w:val="none" w:sz="0" w:space="0" w:color="auto"/>
      </w:divBdr>
      <w:divsChild>
        <w:div w:id="331033076">
          <w:marLeft w:val="547"/>
          <w:marRight w:val="0"/>
          <w:marTop w:val="200"/>
          <w:marBottom w:val="0"/>
          <w:divBdr>
            <w:top w:val="none" w:sz="0" w:space="0" w:color="auto"/>
            <w:left w:val="none" w:sz="0" w:space="0" w:color="auto"/>
            <w:bottom w:val="none" w:sz="0" w:space="0" w:color="auto"/>
            <w:right w:val="none" w:sz="0" w:space="0" w:color="auto"/>
          </w:divBdr>
        </w:div>
        <w:div w:id="647979819">
          <w:marLeft w:val="547"/>
          <w:marRight w:val="0"/>
          <w:marTop w:val="200"/>
          <w:marBottom w:val="0"/>
          <w:divBdr>
            <w:top w:val="none" w:sz="0" w:space="0" w:color="auto"/>
            <w:left w:val="none" w:sz="0" w:space="0" w:color="auto"/>
            <w:bottom w:val="none" w:sz="0" w:space="0" w:color="auto"/>
            <w:right w:val="none" w:sz="0" w:space="0" w:color="auto"/>
          </w:divBdr>
        </w:div>
        <w:div w:id="711462560">
          <w:marLeft w:val="547"/>
          <w:marRight w:val="0"/>
          <w:marTop w:val="200"/>
          <w:marBottom w:val="0"/>
          <w:divBdr>
            <w:top w:val="none" w:sz="0" w:space="0" w:color="auto"/>
            <w:left w:val="none" w:sz="0" w:space="0" w:color="auto"/>
            <w:bottom w:val="none" w:sz="0" w:space="0" w:color="auto"/>
            <w:right w:val="none" w:sz="0" w:space="0" w:color="auto"/>
          </w:divBdr>
        </w:div>
        <w:div w:id="1301888692">
          <w:marLeft w:val="547"/>
          <w:marRight w:val="0"/>
          <w:marTop w:val="200"/>
          <w:marBottom w:val="0"/>
          <w:divBdr>
            <w:top w:val="none" w:sz="0" w:space="0" w:color="auto"/>
            <w:left w:val="none" w:sz="0" w:space="0" w:color="auto"/>
            <w:bottom w:val="none" w:sz="0" w:space="0" w:color="auto"/>
            <w:right w:val="none" w:sz="0" w:space="0" w:color="auto"/>
          </w:divBdr>
        </w:div>
        <w:div w:id="1456214816">
          <w:marLeft w:val="547"/>
          <w:marRight w:val="0"/>
          <w:marTop w:val="200"/>
          <w:marBottom w:val="0"/>
          <w:divBdr>
            <w:top w:val="none" w:sz="0" w:space="0" w:color="auto"/>
            <w:left w:val="none" w:sz="0" w:space="0" w:color="auto"/>
            <w:bottom w:val="none" w:sz="0" w:space="0" w:color="auto"/>
            <w:right w:val="none" w:sz="0" w:space="0" w:color="auto"/>
          </w:divBdr>
        </w:div>
        <w:div w:id="1801915974">
          <w:marLeft w:val="547"/>
          <w:marRight w:val="0"/>
          <w:marTop w:val="200"/>
          <w:marBottom w:val="0"/>
          <w:divBdr>
            <w:top w:val="none" w:sz="0" w:space="0" w:color="auto"/>
            <w:left w:val="none" w:sz="0" w:space="0" w:color="auto"/>
            <w:bottom w:val="none" w:sz="0" w:space="0" w:color="auto"/>
            <w:right w:val="none" w:sz="0" w:space="0" w:color="auto"/>
          </w:divBdr>
        </w:div>
      </w:divsChild>
    </w:div>
    <w:div w:id="235239282">
      <w:bodyDiv w:val="1"/>
      <w:marLeft w:val="0"/>
      <w:marRight w:val="0"/>
      <w:marTop w:val="0"/>
      <w:marBottom w:val="0"/>
      <w:divBdr>
        <w:top w:val="none" w:sz="0" w:space="0" w:color="auto"/>
        <w:left w:val="none" w:sz="0" w:space="0" w:color="auto"/>
        <w:bottom w:val="none" w:sz="0" w:space="0" w:color="auto"/>
        <w:right w:val="none" w:sz="0" w:space="0" w:color="auto"/>
      </w:divBdr>
      <w:divsChild>
        <w:div w:id="4334691">
          <w:marLeft w:val="0"/>
          <w:marRight w:val="0"/>
          <w:marTop w:val="0"/>
          <w:marBottom w:val="0"/>
          <w:divBdr>
            <w:top w:val="none" w:sz="0" w:space="0" w:color="auto"/>
            <w:left w:val="none" w:sz="0" w:space="0" w:color="auto"/>
            <w:bottom w:val="none" w:sz="0" w:space="0" w:color="auto"/>
            <w:right w:val="none" w:sz="0" w:space="0" w:color="auto"/>
          </w:divBdr>
        </w:div>
        <w:div w:id="60565035">
          <w:marLeft w:val="0"/>
          <w:marRight w:val="0"/>
          <w:marTop w:val="0"/>
          <w:marBottom w:val="0"/>
          <w:divBdr>
            <w:top w:val="none" w:sz="0" w:space="0" w:color="auto"/>
            <w:left w:val="none" w:sz="0" w:space="0" w:color="auto"/>
            <w:bottom w:val="none" w:sz="0" w:space="0" w:color="auto"/>
            <w:right w:val="none" w:sz="0" w:space="0" w:color="auto"/>
          </w:divBdr>
        </w:div>
        <w:div w:id="148519943">
          <w:marLeft w:val="0"/>
          <w:marRight w:val="0"/>
          <w:marTop w:val="0"/>
          <w:marBottom w:val="0"/>
          <w:divBdr>
            <w:top w:val="none" w:sz="0" w:space="0" w:color="auto"/>
            <w:left w:val="none" w:sz="0" w:space="0" w:color="auto"/>
            <w:bottom w:val="none" w:sz="0" w:space="0" w:color="auto"/>
            <w:right w:val="none" w:sz="0" w:space="0" w:color="auto"/>
          </w:divBdr>
        </w:div>
        <w:div w:id="1195582139">
          <w:marLeft w:val="0"/>
          <w:marRight w:val="0"/>
          <w:marTop w:val="0"/>
          <w:marBottom w:val="0"/>
          <w:divBdr>
            <w:top w:val="none" w:sz="0" w:space="0" w:color="auto"/>
            <w:left w:val="none" w:sz="0" w:space="0" w:color="auto"/>
            <w:bottom w:val="none" w:sz="0" w:space="0" w:color="auto"/>
            <w:right w:val="none" w:sz="0" w:space="0" w:color="auto"/>
          </w:divBdr>
        </w:div>
        <w:div w:id="1504592023">
          <w:marLeft w:val="0"/>
          <w:marRight w:val="0"/>
          <w:marTop w:val="0"/>
          <w:marBottom w:val="0"/>
          <w:divBdr>
            <w:top w:val="none" w:sz="0" w:space="0" w:color="auto"/>
            <w:left w:val="none" w:sz="0" w:space="0" w:color="auto"/>
            <w:bottom w:val="none" w:sz="0" w:space="0" w:color="auto"/>
            <w:right w:val="none" w:sz="0" w:space="0" w:color="auto"/>
          </w:divBdr>
        </w:div>
        <w:div w:id="1538858786">
          <w:marLeft w:val="0"/>
          <w:marRight w:val="0"/>
          <w:marTop w:val="0"/>
          <w:marBottom w:val="0"/>
          <w:divBdr>
            <w:top w:val="none" w:sz="0" w:space="0" w:color="auto"/>
            <w:left w:val="none" w:sz="0" w:space="0" w:color="auto"/>
            <w:bottom w:val="none" w:sz="0" w:space="0" w:color="auto"/>
            <w:right w:val="none" w:sz="0" w:space="0" w:color="auto"/>
          </w:divBdr>
        </w:div>
        <w:div w:id="1783571872">
          <w:marLeft w:val="0"/>
          <w:marRight w:val="0"/>
          <w:marTop w:val="0"/>
          <w:marBottom w:val="0"/>
          <w:divBdr>
            <w:top w:val="none" w:sz="0" w:space="0" w:color="auto"/>
            <w:left w:val="none" w:sz="0" w:space="0" w:color="auto"/>
            <w:bottom w:val="none" w:sz="0" w:space="0" w:color="auto"/>
            <w:right w:val="none" w:sz="0" w:space="0" w:color="auto"/>
          </w:divBdr>
        </w:div>
        <w:div w:id="2059040518">
          <w:marLeft w:val="0"/>
          <w:marRight w:val="0"/>
          <w:marTop w:val="0"/>
          <w:marBottom w:val="0"/>
          <w:divBdr>
            <w:top w:val="none" w:sz="0" w:space="0" w:color="auto"/>
            <w:left w:val="none" w:sz="0" w:space="0" w:color="auto"/>
            <w:bottom w:val="none" w:sz="0" w:space="0" w:color="auto"/>
            <w:right w:val="none" w:sz="0" w:space="0" w:color="auto"/>
          </w:divBdr>
        </w:div>
      </w:divsChild>
    </w:div>
    <w:div w:id="263922812">
      <w:bodyDiv w:val="1"/>
      <w:marLeft w:val="0"/>
      <w:marRight w:val="0"/>
      <w:marTop w:val="0"/>
      <w:marBottom w:val="0"/>
      <w:divBdr>
        <w:top w:val="none" w:sz="0" w:space="0" w:color="auto"/>
        <w:left w:val="none" w:sz="0" w:space="0" w:color="auto"/>
        <w:bottom w:val="none" w:sz="0" w:space="0" w:color="auto"/>
        <w:right w:val="none" w:sz="0" w:space="0" w:color="auto"/>
      </w:divBdr>
      <w:divsChild>
        <w:div w:id="895897366">
          <w:marLeft w:val="0"/>
          <w:marRight w:val="0"/>
          <w:marTop w:val="0"/>
          <w:marBottom w:val="0"/>
          <w:divBdr>
            <w:top w:val="none" w:sz="0" w:space="0" w:color="auto"/>
            <w:left w:val="none" w:sz="0" w:space="0" w:color="auto"/>
            <w:bottom w:val="none" w:sz="0" w:space="0" w:color="auto"/>
            <w:right w:val="none" w:sz="0" w:space="0" w:color="auto"/>
          </w:divBdr>
        </w:div>
      </w:divsChild>
    </w:div>
    <w:div w:id="266237985">
      <w:bodyDiv w:val="1"/>
      <w:marLeft w:val="0"/>
      <w:marRight w:val="0"/>
      <w:marTop w:val="0"/>
      <w:marBottom w:val="0"/>
      <w:divBdr>
        <w:top w:val="none" w:sz="0" w:space="0" w:color="auto"/>
        <w:left w:val="none" w:sz="0" w:space="0" w:color="auto"/>
        <w:bottom w:val="none" w:sz="0" w:space="0" w:color="auto"/>
        <w:right w:val="none" w:sz="0" w:space="0" w:color="auto"/>
      </w:divBdr>
    </w:div>
    <w:div w:id="266425482">
      <w:bodyDiv w:val="1"/>
      <w:marLeft w:val="0"/>
      <w:marRight w:val="0"/>
      <w:marTop w:val="0"/>
      <w:marBottom w:val="0"/>
      <w:divBdr>
        <w:top w:val="none" w:sz="0" w:space="0" w:color="auto"/>
        <w:left w:val="none" w:sz="0" w:space="0" w:color="auto"/>
        <w:bottom w:val="none" w:sz="0" w:space="0" w:color="auto"/>
        <w:right w:val="none" w:sz="0" w:space="0" w:color="auto"/>
      </w:divBdr>
      <w:divsChild>
        <w:div w:id="513957664">
          <w:marLeft w:val="0"/>
          <w:marRight w:val="0"/>
          <w:marTop w:val="0"/>
          <w:marBottom w:val="0"/>
          <w:divBdr>
            <w:top w:val="none" w:sz="0" w:space="0" w:color="auto"/>
            <w:left w:val="none" w:sz="0" w:space="0" w:color="auto"/>
            <w:bottom w:val="none" w:sz="0" w:space="0" w:color="auto"/>
            <w:right w:val="none" w:sz="0" w:space="0" w:color="auto"/>
          </w:divBdr>
        </w:div>
        <w:div w:id="741682148">
          <w:marLeft w:val="0"/>
          <w:marRight w:val="0"/>
          <w:marTop w:val="0"/>
          <w:marBottom w:val="0"/>
          <w:divBdr>
            <w:top w:val="none" w:sz="0" w:space="0" w:color="auto"/>
            <w:left w:val="none" w:sz="0" w:space="0" w:color="auto"/>
            <w:bottom w:val="none" w:sz="0" w:space="0" w:color="auto"/>
            <w:right w:val="none" w:sz="0" w:space="0" w:color="auto"/>
          </w:divBdr>
        </w:div>
        <w:div w:id="1141382758">
          <w:marLeft w:val="0"/>
          <w:marRight w:val="0"/>
          <w:marTop w:val="0"/>
          <w:marBottom w:val="0"/>
          <w:divBdr>
            <w:top w:val="none" w:sz="0" w:space="0" w:color="auto"/>
            <w:left w:val="none" w:sz="0" w:space="0" w:color="auto"/>
            <w:bottom w:val="none" w:sz="0" w:space="0" w:color="auto"/>
            <w:right w:val="none" w:sz="0" w:space="0" w:color="auto"/>
          </w:divBdr>
        </w:div>
        <w:div w:id="1175723588">
          <w:marLeft w:val="0"/>
          <w:marRight w:val="0"/>
          <w:marTop w:val="0"/>
          <w:marBottom w:val="0"/>
          <w:divBdr>
            <w:top w:val="none" w:sz="0" w:space="0" w:color="auto"/>
            <w:left w:val="none" w:sz="0" w:space="0" w:color="auto"/>
            <w:bottom w:val="none" w:sz="0" w:space="0" w:color="auto"/>
            <w:right w:val="none" w:sz="0" w:space="0" w:color="auto"/>
          </w:divBdr>
        </w:div>
        <w:div w:id="1788162305">
          <w:marLeft w:val="0"/>
          <w:marRight w:val="0"/>
          <w:marTop w:val="0"/>
          <w:marBottom w:val="0"/>
          <w:divBdr>
            <w:top w:val="none" w:sz="0" w:space="0" w:color="auto"/>
            <w:left w:val="none" w:sz="0" w:space="0" w:color="auto"/>
            <w:bottom w:val="none" w:sz="0" w:space="0" w:color="auto"/>
            <w:right w:val="none" w:sz="0" w:space="0" w:color="auto"/>
          </w:divBdr>
        </w:div>
        <w:div w:id="2056150360">
          <w:marLeft w:val="0"/>
          <w:marRight w:val="0"/>
          <w:marTop w:val="0"/>
          <w:marBottom w:val="0"/>
          <w:divBdr>
            <w:top w:val="none" w:sz="0" w:space="0" w:color="auto"/>
            <w:left w:val="none" w:sz="0" w:space="0" w:color="auto"/>
            <w:bottom w:val="none" w:sz="0" w:space="0" w:color="auto"/>
            <w:right w:val="none" w:sz="0" w:space="0" w:color="auto"/>
          </w:divBdr>
        </w:div>
      </w:divsChild>
    </w:div>
    <w:div w:id="269507792">
      <w:bodyDiv w:val="1"/>
      <w:marLeft w:val="0"/>
      <w:marRight w:val="0"/>
      <w:marTop w:val="0"/>
      <w:marBottom w:val="0"/>
      <w:divBdr>
        <w:top w:val="none" w:sz="0" w:space="0" w:color="auto"/>
        <w:left w:val="none" w:sz="0" w:space="0" w:color="auto"/>
        <w:bottom w:val="none" w:sz="0" w:space="0" w:color="auto"/>
        <w:right w:val="none" w:sz="0" w:space="0" w:color="auto"/>
      </w:divBdr>
      <w:divsChild>
        <w:div w:id="225923245">
          <w:marLeft w:val="0"/>
          <w:marRight w:val="0"/>
          <w:marTop w:val="0"/>
          <w:marBottom w:val="0"/>
          <w:divBdr>
            <w:top w:val="none" w:sz="0" w:space="0" w:color="auto"/>
            <w:left w:val="none" w:sz="0" w:space="0" w:color="auto"/>
            <w:bottom w:val="none" w:sz="0" w:space="0" w:color="auto"/>
            <w:right w:val="none" w:sz="0" w:space="0" w:color="auto"/>
          </w:divBdr>
        </w:div>
        <w:div w:id="232667742">
          <w:marLeft w:val="0"/>
          <w:marRight w:val="0"/>
          <w:marTop w:val="0"/>
          <w:marBottom w:val="0"/>
          <w:divBdr>
            <w:top w:val="none" w:sz="0" w:space="0" w:color="auto"/>
            <w:left w:val="none" w:sz="0" w:space="0" w:color="auto"/>
            <w:bottom w:val="none" w:sz="0" w:space="0" w:color="auto"/>
            <w:right w:val="none" w:sz="0" w:space="0" w:color="auto"/>
          </w:divBdr>
        </w:div>
        <w:div w:id="234821726">
          <w:marLeft w:val="0"/>
          <w:marRight w:val="0"/>
          <w:marTop w:val="0"/>
          <w:marBottom w:val="0"/>
          <w:divBdr>
            <w:top w:val="none" w:sz="0" w:space="0" w:color="auto"/>
            <w:left w:val="none" w:sz="0" w:space="0" w:color="auto"/>
            <w:bottom w:val="none" w:sz="0" w:space="0" w:color="auto"/>
            <w:right w:val="none" w:sz="0" w:space="0" w:color="auto"/>
          </w:divBdr>
        </w:div>
        <w:div w:id="265386372">
          <w:marLeft w:val="0"/>
          <w:marRight w:val="0"/>
          <w:marTop w:val="0"/>
          <w:marBottom w:val="0"/>
          <w:divBdr>
            <w:top w:val="none" w:sz="0" w:space="0" w:color="auto"/>
            <w:left w:val="none" w:sz="0" w:space="0" w:color="auto"/>
            <w:bottom w:val="none" w:sz="0" w:space="0" w:color="auto"/>
            <w:right w:val="none" w:sz="0" w:space="0" w:color="auto"/>
          </w:divBdr>
        </w:div>
        <w:div w:id="414867257">
          <w:marLeft w:val="0"/>
          <w:marRight w:val="0"/>
          <w:marTop w:val="0"/>
          <w:marBottom w:val="0"/>
          <w:divBdr>
            <w:top w:val="none" w:sz="0" w:space="0" w:color="auto"/>
            <w:left w:val="none" w:sz="0" w:space="0" w:color="auto"/>
            <w:bottom w:val="none" w:sz="0" w:space="0" w:color="auto"/>
            <w:right w:val="none" w:sz="0" w:space="0" w:color="auto"/>
          </w:divBdr>
        </w:div>
        <w:div w:id="481654799">
          <w:marLeft w:val="0"/>
          <w:marRight w:val="0"/>
          <w:marTop w:val="0"/>
          <w:marBottom w:val="0"/>
          <w:divBdr>
            <w:top w:val="none" w:sz="0" w:space="0" w:color="auto"/>
            <w:left w:val="none" w:sz="0" w:space="0" w:color="auto"/>
            <w:bottom w:val="none" w:sz="0" w:space="0" w:color="auto"/>
            <w:right w:val="none" w:sz="0" w:space="0" w:color="auto"/>
          </w:divBdr>
        </w:div>
        <w:div w:id="539516766">
          <w:marLeft w:val="0"/>
          <w:marRight w:val="0"/>
          <w:marTop w:val="0"/>
          <w:marBottom w:val="0"/>
          <w:divBdr>
            <w:top w:val="none" w:sz="0" w:space="0" w:color="auto"/>
            <w:left w:val="none" w:sz="0" w:space="0" w:color="auto"/>
            <w:bottom w:val="none" w:sz="0" w:space="0" w:color="auto"/>
            <w:right w:val="none" w:sz="0" w:space="0" w:color="auto"/>
          </w:divBdr>
        </w:div>
        <w:div w:id="543059500">
          <w:marLeft w:val="0"/>
          <w:marRight w:val="0"/>
          <w:marTop w:val="0"/>
          <w:marBottom w:val="0"/>
          <w:divBdr>
            <w:top w:val="none" w:sz="0" w:space="0" w:color="auto"/>
            <w:left w:val="none" w:sz="0" w:space="0" w:color="auto"/>
            <w:bottom w:val="none" w:sz="0" w:space="0" w:color="auto"/>
            <w:right w:val="none" w:sz="0" w:space="0" w:color="auto"/>
          </w:divBdr>
        </w:div>
        <w:div w:id="543905206">
          <w:marLeft w:val="0"/>
          <w:marRight w:val="0"/>
          <w:marTop w:val="0"/>
          <w:marBottom w:val="0"/>
          <w:divBdr>
            <w:top w:val="none" w:sz="0" w:space="0" w:color="auto"/>
            <w:left w:val="none" w:sz="0" w:space="0" w:color="auto"/>
            <w:bottom w:val="none" w:sz="0" w:space="0" w:color="auto"/>
            <w:right w:val="none" w:sz="0" w:space="0" w:color="auto"/>
          </w:divBdr>
        </w:div>
        <w:div w:id="561410649">
          <w:marLeft w:val="0"/>
          <w:marRight w:val="0"/>
          <w:marTop w:val="0"/>
          <w:marBottom w:val="0"/>
          <w:divBdr>
            <w:top w:val="none" w:sz="0" w:space="0" w:color="auto"/>
            <w:left w:val="none" w:sz="0" w:space="0" w:color="auto"/>
            <w:bottom w:val="none" w:sz="0" w:space="0" w:color="auto"/>
            <w:right w:val="none" w:sz="0" w:space="0" w:color="auto"/>
          </w:divBdr>
        </w:div>
        <w:div w:id="687021993">
          <w:marLeft w:val="0"/>
          <w:marRight w:val="0"/>
          <w:marTop w:val="0"/>
          <w:marBottom w:val="0"/>
          <w:divBdr>
            <w:top w:val="none" w:sz="0" w:space="0" w:color="auto"/>
            <w:left w:val="none" w:sz="0" w:space="0" w:color="auto"/>
            <w:bottom w:val="none" w:sz="0" w:space="0" w:color="auto"/>
            <w:right w:val="none" w:sz="0" w:space="0" w:color="auto"/>
          </w:divBdr>
        </w:div>
        <w:div w:id="750006470">
          <w:marLeft w:val="0"/>
          <w:marRight w:val="0"/>
          <w:marTop w:val="0"/>
          <w:marBottom w:val="0"/>
          <w:divBdr>
            <w:top w:val="none" w:sz="0" w:space="0" w:color="auto"/>
            <w:left w:val="none" w:sz="0" w:space="0" w:color="auto"/>
            <w:bottom w:val="none" w:sz="0" w:space="0" w:color="auto"/>
            <w:right w:val="none" w:sz="0" w:space="0" w:color="auto"/>
          </w:divBdr>
        </w:div>
        <w:div w:id="766733663">
          <w:marLeft w:val="0"/>
          <w:marRight w:val="0"/>
          <w:marTop w:val="0"/>
          <w:marBottom w:val="0"/>
          <w:divBdr>
            <w:top w:val="none" w:sz="0" w:space="0" w:color="auto"/>
            <w:left w:val="none" w:sz="0" w:space="0" w:color="auto"/>
            <w:bottom w:val="none" w:sz="0" w:space="0" w:color="auto"/>
            <w:right w:val="none" w:sz="0" w:space="0" w:color="auto"/>
          </w:divBdr>
        </w:div>
        <w:div w:id="799417875">
          <w:marLeft w:val="0"/>
          <w:marRight w:val="0"/>
          <w:marTop w:val="0"/>
          <w:marBottom w:val="0"/>
          <w:divBdr>
            <w:top w:val="none" w:sz="0" w:space="0" w:color="auto"/>
            <w:left w:val="none" w:sz="0" w:space="0" w:color="auto"/>
            <w:bottom w:val="none" w:sz="0" w:space="0" w:color="auto"/>
            <w:right w:val="none" w:sz="0" w:space="0" w:color="auto"/>
          </w:divBdr>
        </w:div>
        <w:div w:id="823277837">
          <w:marLeft w:val="0"/>
          <w:marRight w:val="0"/>
          <w:marTop w:val="0"/>
          <w:marBottom w:val="0"/>
          <w:divBdr>
            <w:top w:val="none" w:sz="0" w:space="0" w:color="auto"/>
            <w:left w:val="none" w:sz="0" w:space="0" w:color="auto"/>
            <w:bottom w:val="none" w:sz="0" w:space="0" w:color="auto"/>
            <w:right w:val="none" w:sz="0" w:space="0" w:color="auto"/>
          </w:divBdr>
        </w:div>
        <w:div w:id="843520313">
          <w:marLeft w:val="0"/>
          <w:marRight w:val="0"/>
          <w:marTop w:val="0"/>
          <w:marBottom w:val="0"/>
          <w:divBdr>
            <w:top w:val="none" w:sz="0" w:space="0" w:color="auto"/>
            <w:left w:val="none" w:sz="0" w:space="0" w:color="auto"/>
            <w:bottom w:val="none" w:sz="0" w:space="0" w:color="auto"/>
            <w:right w:val="none" w:sz="0" w:space="0" w:color="auto"/>
          </w:divBdr>
        </w:div>
        <w:div w:id="848373826">
          <w:marLeft w:val="0"/>
          <w:marRight w:val="0"/>
          <w:marTop w:val="0"/>
          <w:marBottom w:val="0"/>
          <w:divBdr>
            <w:top w:val="none" w:sz="0" w:space="0" w:color="auto"/>
            <w:left w:val="none" w:sz="0" w:space="0" w:color="auto"/>
            <w:bottom w:val="none" w:sz="0" w:space="0" w:color="auto"/>
            <w:right w:val="none" w:sz="0" w:space="0" w:color="auto"/>
          </w:divBdr>
        </w:div>
        <w:div w:id="931470659">
          <w:marLeft w:val="0"/>
          <w:marRight w:val="0"/>
          <w:marTop w:val="0"/>
          <w:marBottom w:val="0"/>
          <w:divBdr>
            <w:top w:val="none" w:sz="0" w:space="0" w:color="auto"/>
            <w:left w:val="none" w:sz="0" w:space="0" w:color="auto"/>
            <w:bottom w:val="none" w:sz="0" w:space="0" w:color="auto"/>
            <w:right w:val="none" w:sz="0" w:space="0" w:color="auto"/>
          </w:divBdr>
        </w:div>
        <w:div w:id="956178372">
          <w:marLeft w:val="0"/>
          <w:marRight w:val="0"/>
          <w:marTop w:val="0"/>
          <w:marBottom w:val="0"/>
          <w:divBdr>
            <w:top w:val="none" w:sz="0" w:space="0" w:color="auto"/>
            <w:left w:val="none" w:sz="0" w:space="0" w:color="auto"/>
            <w:bottom w:val="none" w:sz="0" w:space="0" w:color="auto"/>
            <w:right w:val="none" w:sz="0" w:space="0" w:color="auto"/>
          </w:divBdr>
        </w:div>
        <w:div w:id="966549719">
          <w:marLeft w:val="0"/>
          <w:marRight w:val="0"/>
          <w:marTop w:val="0"/>
          <w:marBottom w:val="0"/>
          <w:divBdr>
            <w:top w:val="none" w:sz="0" w:space="0" w:color="auto"/>
            <w:left w:val="none" w:sz="0" w:space="0" w:color="auto"/>
            <w:bottom w:val="none" w:sz="0" w:space="0" w:color="auto"/>
            <w:right w:val="none" w:sz="0" w:space="0" w:color="auto"/>
          </w:divBdr>
        </w:div>
        <w:div w:id="1002003501">
          <w:marLeft w:val="0"/>
          <w:marRight w:val="0"/>
          <w:marTop w:val="0"/>
          <w:marBottom w:val="0"/>
          <w:divBdr>
            <w:top w:val="none" w:sz="0" w:space="0" w:color="auto"/>
            <w:left w:val="none" w:sz="0" w:space="0" w:color="auto"/>
            <w:bottom w:val="none" w:sz="0" w:space="0" w:color="auto"/>
            <w:right w:val="none" w:sz="0" w:space="0" w:color="auto"/>
          </w:divBdr>
        </w:div>
        <w:div w:id="1050692035">
          <w:marLeft w:val="0"/>
          <w:marRight w:val="0"/>
          <w:marTop w:val="0"/>
          <w:marBottom w:val="0"/>
          <w:divBdr>
            <w:top w:val="none" w:sz="0" w:space="0" w:color="auto"/>
            <w:left w:val="none" w:sz="0" w:space="0" w:color="auto"/>
            <w:bottom w:val="none" w:sz="0" w:space="0" w:color="auto"/>
            <w:right w:val="none" w:sz="0" w:space="0" w:color="auto"/>
          </w:divBdr>
        </w:div>
        <w:div w:id="1087926751">
          <w:marLeft w:val="0"/>
          <w:marRight w:val="0"/>
          <w:marTop w:val="0"/>
          <w:marBottom w:val="0"/>
          <w:divBdr>
            <w:top w:val="none" w:sz="0" w:space="0" w:color="auto"/>
            <w:left w:val="none" w:sz="0" w:space="0" w:color="auto"/>
            <w:bottom w:val="none" w:sz="0" w:space="0" w:color="auto"/>
            <w:right w:val="none" w:sz="0" w:space="0" w:color="auto"/>
          </w:divBdr>
        </w:div>
        <w:div w:id="1130788006">
          <w:marLeft w:val="0"/>
          <w:marRight w:val="0"/>
          <w:marTop w:val="0"/>
          <w:marBottom w:val="0"/>
          <w:divBdr>
            <w:top w:val="none" w:sz="0" w:space="0" w:color="auto"/>
            <w:left w:val="none" w:sz="0" w:space="0" w:color="auto"/>
            <w:bottom w:val="none" w:sz="0" w:space="0" w:color="auto"/>
            <w:right w:val="none" w:sz="0" w:space="0" w:color="auto"/>
          </w:divBdr>
        </w:div>
        <w:div w:id="1215313410">
          <w:marLeft w:val="0"/>
          <w:marRight w:val="0"/>
          <w:marTop w:val="0"/>
          <w:marBottom w:val="0"/>
          <w:divBdr>
            <w:top w:val="none" w:sz="0" w:space="0" w:color="auto"/>
            <w:left w:val="none" w:sz="0" w:space="0" w:color="auto"/>
            <w:bottom w:val="none" w:sz="0" w:space="0" w:color="auto"/>
            <w:right w:val="none" w:sz="0" w:space="0" w:color="auto"/>
          </w:divBdr>
        </w:div>
        <w:div w:id="1239173940">
          <w:marLeft w:val="0"/>
          <w:marRight w:val="0"/>
          <w:marTop w:val="0"/>
          <w:marBottom w:val="0"/>
          <w:divBdr>
            <w:top w:val="none" w:sz="0" w:space="0" w:color="auto"/>
            <w:left w:val="none" w:sz="0" w:space="0" w:color="auto"/>
            <w:bottom w:val="none" w:sz="0" w:space="0" w:color="auto"/>
            <w:right w:val="none" w:sz="0" w:space="0" w:color="auto"/>
          </w:divBdr>
        </w:div>
        <w:div w:id="1281182776">
          <w:marLeft w:val="0"/>
          <w:marRight w:val="0"/>
          <w:marTop w:val="0"/>
          <w:marBottom w:val="0"/>
          <w:divBdr>
            <w:top w:val="none" w:sz="0" w:space="0" w:color="auto"/>
            <w:left w:val="none" w:sz="0" w:space="0" w:color="auto"/>
            <w:bottom w:val="none" w:sz="0" w:space="0" w:color="auto"/>
            <w:right w:val="none" w:sz="0" w:space="0" w:color="auto"/>
          </w:divBdr>
        </w:div>
        <w:div w:id="1391491828">
          <w:marLeft w:val="0"/>
          <w:marRight w:val="0"/>
          <w:marTop w:val="0"/>
          <w:marBottom w:val="0"/>
          <w:divBdr>
            <w:top w:val="none" w:sz="0" w:space="0" w:color="auto"/>
            <w:left w:val="none" w:sz="0" w:space="0" w:color="auto"/>
            <w:bottom w:val="none" w:sz="0" w:space="0" w:color="auto"/>
            <w:right w:val="none" w:sz="0" w:space="0" w:color="auto"/>
          </w:divBdr>
        </w:div>
        <w:div w:id="1451514651">
          <w:marLeft w:val="0"/>
          <w:marRight w:val="0"/>
          <w:marTop w:val="0"/>
          <w:marBottom w:val="0"/>
          <w:divBdr>
            <w:top w:val="none" w:sz="0" w:space="0" w:color="auto"/>
            <w:left w:val="none" w:sz="0" w:space="0" w:color="auto"/>
            <w:bottom w:val="none" w:sz="0" w:space="0" w:color="auto"/>
            <w:right w:val="none" w:sz="0" w:space="0" w:color="auto"/>
          </w:divBdr>
        </w:div>
        <w:div w:id="1504275955">
          <w:marLeft w:val="0"/>
          <w:marRight w:val="0"/>
          <w:marTop w:val="0"/>
          <w:marBottom w:val="0"/>
          <w:divBdr>
            <w:top w:val="none" w:sz="0" w:space="0" w:color="auto"/>
            <w:left w:val="none" w:sz="0" w:space="0" w:color="auto"/>
            <w:bottom w:val="none" w:sz="0" w:space="0" w:color="auto"/>
            <w:right w:val="none" w:sz="0" w:space="0" w:color="auto"/>
          </w:divBdr>
        </w:div>
        <w:div w:id="1625037644">
          <w:marLeft w:val="0"/>
          <w:marRight w:val="0"/>
          <w:marTop w:val="0"/>
          <w:marBottom w:val="0"/>
          <w:divBdr>
            <w:top w:val="none" w:sz="0" w:space="0" w:color="auto"/>
            <w:left w:val="none" w:sz="0" w:space="0" w:color="auto"/>
            <w:bottom w:val="none" w:sz="0" w:space="0" w:color="auto"/>
            <w:right w:val="none" w:sz="0" w:space="0" w:color="auto"/>
          </w:divBdr>
        </w:div>
        <w:div w:id="1629897450">
          <w:marLeft w:val="0"/>
          <w:marRight w:val="0"/>
          <w:marTop w:val="0"/>
          <w:marBottom w:val="0"/>
          <w:divBdr>
            <w:top w:val="none" w:sz="0" w:space="0" w:color="auto"/>
            <w:left w:val="none" w:sz="0" w:space="0" w:color="auto"/>
            <w:bottom w:val="none" w:sz="0" w:space="0" w:color="auto"/>
            <w:right w:val="none" w:sz="0" w:space="0" w:color="auto"/>
          </w:divBdr>
        </w:div>
        <w:div w:id="1759013723">
          <w:marLeft w:val="0"/>
          <w:marRight w:val="0"/>
          <w:marTop w:val="0"/>
          <w:marBottom w:val="0"/>
          <w:divBdr>
            <w:top w:val="none" w:sz="0" w:space="0" w:color="auto"/>
            <w:left w:val="none" w:sz="0" w:space="0" w:color="auto"/>
            <w:bottom w:val="none" w:sz="0" w:space="0" w:color="auto"/>
            <w:right w:val="none" w:sz="0" w:space="0" w:color="auto"/>
          </w:divBdr>
        </w:div>
        <w:div w:id="1978945904">
          <w:marLeft w:val="0"/>
          <w:marRight w:val="0"/>
          <w:marTop w:val="0"/>
          <w:marBottom w:val="0"/>
          <w:divBdr>
            <w:top w:val="none" w:sz="0" w:space="0" w:color="auto"/>
            <w:left w:val="none" w:sz="0" w:space="0" w:color="auto"/>
            <w:bottom w:val="none" w:sz="0" w:space="0" w:color="auto"/>
            <w:right w:val="none" w:sz="0" w:space="0" w:color="auto"/>
          </w:divBdr>
        </w:div>
      </w:divsChild>
    </w:div>
    <w:div w:id="275798450">
      <w:bodyDiv w:val="1"/>
      <w:marLeft w:val="0"/>
      <w:marRight w:val="0"/>
      <w:marTop w:val="0"/>
      <w:marBottom w:val="0"/>
      <w:divBdr>
        <w:top w:val="none" w:sz="0" w:space="0" w:color="auto"/>
        <w:left w:val="none" w:sz="0" w:space="0" w:color="auto"/>
        <w:bottom w:val="none" w:sz="0" w:space="0" w:color="auto"/>
        <w:right w:val="none" w:sz="0" w:space="0" w:color="auto"/>
      </w:divBdr>
    </w:div>
    <w:div w:id="276789416">
      <w:bodyDiv w:val="1"/>
      <w:marLeft w:val="0"/>
      <w:marRight w:val="0"/>
      <w:marTop w:val="0"/>
      <w:marBottom w:val="0"/>
      <w:divBdr>
        <w:top w:val="none" w:sz="0" w:space="0" w:color="auto"/>
        <w:left w:val="none" w:sz="0" w:space="0" w:color="auto"/>
        <w:bottom w:val="none" w:sz="0" w:space="0" w:color="auto"/>
        <w:right w:val="none" w:sz="0" w:space="0" w:color="auto"/>
      </w:divBdr>
      <w:divsChild>
        <w:div w:id="1890606073">
          <w:marLeft w:val="0"/>
          <w:marRight w:val="0"/>
          <w:marTop w:val="0"/>
          <w:marBottom w:val="0"/>
          <w:divBdr>
            <w:top w:val="none" w:sz="0" w:space="0" w:color="auto"/>
            <w:left w:val="none" w:sz="0" w:space="0" w:color="auto"/>
            <w:bottom w:val="none" w:sz="0" w:space="0" w:color="auto"/>
            <w:right w:val="none" w:sz="0" w:space="0" w:color="auto"/>
          </w:divBdr>
        </w:div>
      </w:divsChild>
    </w:div>
    <w:div w:id="280381121">
      <w:bodyDiv w:val="1"/>
      <w:marLeft w:val="0"/>
      <w:marRight w:val="0"/>
      <w:marTop w:val="0"/>
      <w:marBottom w:val="0"/>
      <w:divBdr>
        <w:top w:val="none" w:sz="0" w:space="0" w:color="auto"/>
        <w:left w:val="none" w:sz="0" w:space="0" w:color="auto"/>
        <w:bottom w:val="none" w:sz="0" w:space="0" w:color="auto"/>
        <w:right w:val="none" w:sz="0" w:space="0" w:color="auto"/>
      </w:divBdr>
    </w:div>
    <w:div w:id="282154556">
      <w:bodyDiv w:val="1"/>
      <w:marLeft w:val="0"/>
      <w:marRight w:val="0"/>
      <w:marTop w:val="0"/>
      <w:marBottom w:val="0"/>
      <w:divBdr>
        <w:top w:val="none" w:sz="0" w:space="0" w:color="auto"/>
        <w:left w:val="none" w:sz="0" w:space="0" w:color="auto"/>
        <w:bottom w:val="none" w:sz="0" w:space="0" w:color="auto"/>
        <w:right w:val="none" w:sz="0" w:space="0" w:color="auto"/>
      </w:divBdr>
    </w:div>
    <w:div w:id="290281847">
      <w:bodyDiv w:val="1"/>
      <w:marLeft w:val="0"/>
      <w:marRight w:val="0"/>
      <w:marTop w:val="0"/>
      <w:marBottom w:val="0"/>
      <w:divBdr>
        <w:top w:val="none" w:sz="0" w:space="0" w:color="auto"/>
        <w:left w:val="none" w:sz="0" w:space="0" w:color="auto"/>
        <w:bottom w:val="none" w:sz="0" w:space="0" w:color="auto"/>
        <w:right w:val="none" w:sz="0" w:space="0" w:color="auto"/>
      </w:divBdr>
      <w:divsChild>
        <w:div w:id="644118477">
          <w:marLeft w:val="0"/>
          <w:marRight w:val="0"/>
          <w:marTop w:val="0"/>
          <w:marBottom w:val="0"/>
          <w:divBdr>
            <w:top w:val="none" w:sz="0" w:space="0" w:color="auto"/>
            <w:left w:val="none" w:sz="0" w:space="0" w:color="auto"/>
            <w:bottom w:val="none" w:sz="0" w:space="0" w:color="auto"/>
            <w:right w:val="none" w:sz="0" w:space="0" w:color="auto"/>
          </w:divBdr>
        </w:div>
      </w:divsChild>
    </w:div>
    <w:div w:id="293801281">
      <w:bodyDiv w:val="1"/>
      <w:marLeft w:val="0"/>
      <w:marRight w:val="0"/>
      <w:marTop w:val="0"/>
      <w:marBottom w:val="0"/>
      <w:divBdr>
        <w:top w:val="none" w:sz="0" w:space="0" w:color="auto"/>
        <w:left w:val="none" w:sz="0" w:space="0" w:color="auto"/>
        <w:bottom w:val="none" w:sz="0" w:space="0" w:color="auto"/>
        <w:right w:val="none" w:sz="0" w:space="0" w:color="auto"/>
      </w:divBdr>
    </w:div>
    <w:div w:id="294726228">
      <w:bodyDiv w:val="1"/>
      <w:marLeft w:val="0"/>
      <w:marRight w:val="0"/>
      <w:marTop w:val="0"/>
      <w:marBottom w:val="0"/>
      <w:divBdr>
        <w:top w:val="none" w:sz="0" w:space="0" w:color="auto"/>
        <w:left w:val="none" w:sz="0" w:space="0" w:color="auto"/>
        <w:bottom w:val="none" w:sz="0" w:space="0" w:color="auto"/>
        <w:right w:val="none" w:sz="0" w:space="0" w:color="auto"/>
      </w:divBdr>
      <w:divsChild>
        <w:div w:id="942999092">
          <w:marLeft w:val="691"/>
          <w:marRight w:val="0"/>
          <w:marTop w:val="200"/>
          <w:marBottom w:val="0"/>
          <w:divBdr>
            <w:top w:val="none" w:sz="0" w:space="0" w:color="auto"/>
            <w:left w:val="none" w:sz="0" w:space="0" w:color="auto"/>
            <w:bottom w:val="none" w:sz="0" w:space="0" w:color="auto"/>
            <w:right w:val="none" w:sz="0" w:space="0" w:color="auto"/>
          </w:divBdr>
        </w:div>
      </w:divsChild>
    </w:div>
    <w:div w:id="300155957">
      <w:bodyDiv w:val="1"/>
      <w:marLeft w:val="0"/>
      <w:marRight w:val="0"/>
      <w:marTop w:val="0"/>
      <w:marBottom w:val="0"/>
      <w:divBdr>
        <w:top w:val="none" w:sz="0" w:space="0" w:color="auto"/>
        <w:left w:val="none" w:sz="0" w:space="0" w:color="auto"/>
        <w:bottom w:val="none" w:sz="0" w:space="0" w:color="auto"/>
        <w:right w:val="none" w:sz="0" w:space="0" w:color="auto"/>
      </w:divBdr>
      <w:divsChild>
        <w:div w:id="601449312">
          <w:marLeft w:val="144"/>
          <w:marRight w:val="0"/>
          <w:marTop w:val="240"/>
          <w:marBottom w:val="40"/>
          <w:divBdr>
            <w:top w:val="none" w:sz="0" w:space="0" w:color="auto"/>
            <w:left w:val="none" w:sz="0" w:space="0" w:color="auto"/>
            <w:bottom w:val="none" w:sz="0" w:space="0" w:color="auto"/>
            <w:right w:val="none" w:sz="0" w:space="0" w:color="auto"/>
          </w:divBdr>
        </w:div>
        <w:div w:id="1447460730">
          <w:marLeft w:val="144"/>
          <w:marRight w:val="0"/>
          <w:marTop w:val="240"/>
          <w:marBottom w:val="40"/>
          <w:divBdr>
            <w:top w:val="none" w:sz="0" w:space="0" w:color="auto"/>
            <w:left w:val="none" w:sz="0" w:space="0" w:color="auto"/>
            <w:bottom w:val="none" w:sz="0" w:space="0" w:color="auto"/>
            <w:right w:val="none" w:sz="0" w:space="0" w:color="auto"/>
          </w:divBdr>
        </w:div>
      </w:divsChild>
    </w:div>
    <w:div w:id="302393468">
      <w:bodyDiv w:val="1"/>
      <w:marLeft w:val="0"/>
      <w:marRight w:val="0"/>
      <w:marTop w:val="0"/>
      <w:marBottom w:val="0"/>
      <w:divBdr>
        <w:top w:val="none" w:sz="0" w:space="0" w:color="auto"/>
        <w:left w:val="none" w:sz="0" w:space="0" w:color="auto"/>
        <w:bottom w:val="none" w:sz="0" w:space="0" w:color="auto"/>
        <w:right w:val="none" w:sz="0" w:space="0" w:color="auto"/>
      </w:divBdr>
      <w:divsChild>
        <w:div w:id="30151154">
          <w:marLeft w:val="0"/>
          <w:marRight w:val="0"/>
          <w:marTop w:val="0"/>
          <w:marBottom w:val="0"/>
          <w:divBdr>
            <w:top w:val="none" w:sz="0" w:space="0" w:color="auto"/>
            <w:left w:val="none" w:sz="0" w:space="0" w:color="auto"/>
            <w:bottom w:val="none" w:sz="0" w:space="0" w:color="auto"/>
            <w:right w:val="none" w:sz="0" w:space="0" w:color="auto"/>
          </w:divBdr>
        </w:div>
        <w:div w:id="472135345">
          <w:marLeft w:val="0"/>
          <w:marRight w:val="0"/>
          <w:marTop w:val="0"/>
          <w:marBottom w:val="0"/>
          <w:divBdr>
            <w:top w:val="none" w:sz="0" w:space="0" w:color="auto"/>
            <w:left w:val="none" w:sz="0" w:space="0" w:color="auto"/>
            <w:bottom w:val="none" w:sz="0" w:space="0" w:color="auto"/>
            <w:right w:val="none" w:sz="0" w:space="0" w:color="auto"/>
          </w:divBdr>
        </w:div>
        <w:div w:id="736561343">
          <w:marLeft w:val="0"/>
          <w:marRight w:val="0"/>
          <w:marTop w:val="0"/>
          <w:marBottom w:val="0"/>
          <w:divBdr>
            <w:top w:val="none" w:sz="0" w:space="0" w:color="auto"/>
            <w:left w:val="none" w:sz="0" w:space="0" w:color="auto"/>
            <w:bottom w:val="none" w:sz="0" w:space="0" w:color="auto"/>
            <w:right w:val="none" w:sz="0" w:space="0" w:color="auto"/>
          </w:divBdr>
        </w:div>
        <w:div w:id="1237400874">
          <w:marLeft w:val="0"/>
          <w:marRight w:val="0"/>
          <w:marTop w:val="0"/>
          <w:marBottom w:val="0"/>
          <w:divBdr>
            <w:top w:val="none" w:sz="0" w:space="0" w:color="auto"/>
            <w:left w:val="none" w:sz="0" w:space="0" w:color="auto"/>
            <w:bottom w:val="none" w:sz="0" w:space="0" w:color="auto"/>
            <w:right w:val="none" w:sz="0" w:space="0" w:color="auto"/>
          </w:divBdr>
        </w:div>
        <w:div w:id="1265457046">
          <w:marLeft w:val="0"/>
          <w:marRight w:val="0"/>
          <w:marTop w:val="0"/>
          <w:marBottom w:val="0"/>
          <w:divBdr>
            <w:top w:val="none" w:sz="0" w:space="0" w:color="auto"/>
            <w:left w:val="none" w:sz="0" w:space="0" w:color="auto"/>
            <w:bottom w:val="none" w:sz="0" w:space="0" w:color="auto"/>
            <w:right w:val="none" w:sz="0" w:space="0" w:color="auto"/>
          </w:divBdr>
        </w:div>
        <w:div w:id="1748459954">
          <w:marLeft w:val="0"/>
          <w:marRight w:val="0"/>
          <w:marTop w:val="0"/>
          <w:marBottom w:val="0"/>
          <w:divBdr>
            <w:top w:val="none" w:sz="0" w:space="0" w:color="auto"/>
            <w:left w:val="none" w:sz="0" w:space="0" w:color="auto"/>
            <w:bottom w:val="none" w:sz="0" w:space="0" w:color="auto"/>
            <w:right w:val="none" w:sz="0" w:space="0" w:color="auto"/>
          </w:divBdr>
        </w:div>
        <w:div w:id="1981030688">
          <w:marLeft w:val="0"/>
          <w:marRight w:val="0"/>
          <w:marTop w:val="0"/>
          <w:marBottom w:val="0"/>
          <w:divBdr>
            <w:top w:val="none" w:sz="0" w:space="0" w:color="auto"/>
            <w:left w:val="none" w:sz="0" w:space="0" w:color="auto"/>
            <w:bottom w:val="none" w:sz="0" w:space="0" w:color="auto"/>
            <w:right w:val="none" w:sz="0" w:space="0" w:color="auto"/>
          </w:divBdr>
        </w:div>
      </w:divsChild>
    </w:div>
    <w:div w:id="308171655">
      <w:bodyDiv w:val="1"/>
      <w:marLeft w:val="0"/>
      <w:marRight w:val="0"/>
      <w:marTop w:val="0"/>
      <w:marBottom w:val="0"/>
      <w:divBdr>
        <w:top w:val="none" w:sz="0" w:space="0" w:color="auto"/>
        <w:left w:val="none" w:sz="0" w:space="0" w:color="auto"/>
        <w:bottom w:val="none" w:sz="0" w:space="0" w:color="auto"/>
        <w:right w:val="none" w:sz="0" w:space="0" w:color="auto"/>
      </w:divBdr>
      <w:divsChild>
        <w:div w:id="190262707">
          <w:marLeft w:val="0"/>
          <w:marRight w:val="0"/>
          <w:marTop w:val="0"/>
          <w:marBottom w:val="0"/>
          <w:divBdr>
            <w:top w:val="none" w:sz="0" w:space="0" w:color="auto"/>
            <w:left w:val="none" w:sz="0" w:space="0" w:color="auto"/>
            <w:bottom w:val="none" w:sz="0" w:space="0" w:color="auto"/>
            <w:right w:val="none" w:sz="0" w:space="0" w:color="auto"/>
          </w:divBdr>
        </w:div>
        <w:div w:id="236596576">
          <w:marLeft w:val="0"/>
          <w:marRight w:val="0"/>
          <w:marTop w:val="0"/>
          <w:marBottom w:val="0"/>
          <w:divBdr>
            <w:top w:val="none" w:sz="0" w:space="0" w:color="auto"/>
            <w:left w:val="none" w:sz="0" w:space="0" w:color="auto"/>
            <w:bottom w:val="none" w:sz="0" w:space="0" w:color="auto"/>
            <w:right w:val="none" w:sz="0" w:space="0" w:color="auto"/>
          </w:divBdr>
        </w:div>
        <w:div w:id="375737341">
          <w:marLeft w:val="0"/>
          <w:marRight w:val="0"/>
          <w:marTop w:val="0"/>
          <w:marBottom w:val="0"/>
          <w:divBdr>
            <w:top w:val="none" w:sz="0" w:space="0" w:color="auto"/>
            <w:left w:val="none" w:sz="0" w:space="0" w:color="auto"/>
            <w:bottom w:val="none" w:sz="0" w:space="0" w:color="auto"/>
            <w:right w:val="none" w:sz="0" w:space="0" w:color="auto"/>
          </w:divBdr>
        </w:div>
        <w:div w:id="389498692">
          <w:marLeft w:val="0"/>
          <w:marRight w:val="0"/>
          <w:marTop w:val="0"/>
          <w:marBottom w:val="0"/>
          <w:divBdr>
            <w:top w:val="none" w:sz="0" w:space="0" w:color="auto"/>
            <w:left w:val="none" w:sz="0" w:space="0" w:color="auto"/>
            <w:bottom w:val="none" w:sz="0" w:space="0" w:color="auto"/>
            <w:right w:val="none" w:sz="0" w:space="0" w:color="auto"/>
          </w:divBdr>
        </w:div>
        <w:div w:id="591938450">
          <w:marLeft w:val="0"/>
          <w:marRight w:val="0"/>
          <w:marTop w:val="0"/>
          <w:marBottom w:val="0"/>
          <w:divBdr>
            <w:top w:val="none" w:sz="0" w:space="0" w:color="auto"/>
            <w:left w:val="none" w:sz="0" w:space="0" w:color="auto"/>
            <w:bottom w:val="none" w:sz="0" w:space="0" w:color="auto"/>
            <w:right w:val="none" w:sz="0" w:space="0" w:color="auto"/>
          </w:divBdr>
        </w:div>
        <w:div w:id="679283249">
          <w:marLeft w:val="0"/>
          <w:marRight w:val="0"/>
          <w:marTop w:val="0"/>
          <w:marBottom w:val="0"/>
          <w:divBdr>
            <w:top w:val="none" w:sz="0" w:space="0" w:color="auto"/>
            <w:left w:val="none" w:sz="0" w:space="0" w:color="auto"/>
            <w:bottom w:val="none" w:sz="0" w:space="0" w:color="auto"/>
            <w:right w:val="none" w:sz="0" w:space="0" w:color="auto"/>
          </w:divBdr>
        </w:div>
        <w:div w:id="772439560">
          <w:marLeft w:val="0"/>
          <w:marRight w:val="0"/>
          <w:marTop w:val="0"/>
          <w:marBottom w:val="0"/>
          <w:divBdr>
            <w:top w:val="none" w:sz="0" w:space="0" w:color="auto"/>
            <w:left w:val="none" w:sz="0" w:space="0" w:color="auto"/>
            <w:bottom w:val="none" w:sz="0" w:space="0" w:color="auto"/>
            <w:right w:val="none" w:sz="0" w:space="0" w:color="auto"/>
          </w:divBdr>
        </w:div>
        <w:div w:id="806824638">
          <w:marLeft w:val="0"/>
          <w:marRight w:val="0"/>
          <w:marTop w:val="0"/>
          <w:marBottom w:val="0"/>
          <w:divBdr>
            <w:top w:val="none" w:sz="0" w:space="0" w:color="auto"/>
            <w:left w:val="none" w:sz="0" w:space="0" w:color="auto"/>
            <w:bottom w:val="none" w:sz="0" w:space="0" w:color="auto"/>
            <w:right w:val="none" w:sz="0" w:space="0" w:color="auto"/>
          </w:divBdr>
        </w:div>
        <w:div w:id="1036389201">
          <w:marLeft w:val="0"/>
          <w:marRight w:val="0"/>
          <w:marTop w:val="0"/>
          <w:marBottom w:val="0"/>
          <w:divBdr>
            <w:top w:val="none" w:sz="0" w:space="0" w:color="auto"/>
            <w:left w:val="none" w:sz="0" w:space="0" w:color="auto"/>
            <w:bottom w:val="none" w:sz="0" w:space="0" w:color="auto"/>
            <w:right w:val="none" w:sz="0" w:space="0" w:color="auto"/>
          </w:divBdr>
        </w:div>
        <w:div w:id="1118910085">
          <w:marLeft w:val="0"/>
          <w:marRight w:val="0"/>
          <w:marTop w:val="0"/>
          <w:marBottom w:val="0"/>
          <w:divBdr>
            <w:top w:val="none" w:sz="0" w:space="0" w:color="auto"/>
            <w:left w:val="none" w:sz="0" w:space="0" w:color="auto"/>
            <w:bottom w:val="none" w:sz="0" w:space="0" w:color="auto"/>
            <w:right w:val="none" w:sz="0" w:space="0" w:color="auto"/>
          </w:divBdr>
        </w:div>
        <w:div w:id="1125199497">
          <w:marLeft w:val="0"/>
          <w:marRight w:val="0"/>
          <w:marTop w:val="0"/>
          <w:marBottom w:val="0"/>
          <w:divBdr>
            <w:top w:val="none" w:sz="0" w:space="0" w:color="auto"/>
            <w:left w:val="none" w:sz="0" w:space="0" w:color="auto"/>
            <w:bottom w:val="none" w:sz="0" w:space="0" w:color="auto"/>
            <w:right w:val="none" w:sz="0" w:space="0" w:color="auto"/>
          </w:divBdr>
        </w:div>
        <w:div w:id="1227641613">
          <w:marLeft w:val="0"/>
          <w:marRight w:val="0"/>
          <w:marTop w:val="0"/>
          <w:marBottom w:val="0"/>
          <w:divBdr>
            <w:top w:val="none" w:sz="0" w:space="0" w:color="auto"/>
            <w:left w:val="none" w:sz="0" w:space="0" w:color="auto"/>
            <w:bottom w:val="none" w:sz="0" w:space="0" w:color="auto"/>
            <w:right w:val="none" w:sz="0" w:space="0" w:color="auto"/>
          </w:divBdr>
        </w:div>
        <w:div w:id="1248153737">
          <w:marLeft w:val="0"/>
          <w:marRight w:val="0"/>
          <w:marTop w:val="0"/>
          <w:marBottom w:val="0"/>
          <w:divBdr>
            <w:top w:val="none" w:sz="0" w:space="0" w:color="auto"/>
            <w:left w:val="none" w:sz="0" w:space="0" w:color="auto"/>
            <w:bottom w:val="none" w:sz="0" w:space="0" w:color="auto"/>
            <w:right w:val="none" w:sz="0" w:space="0" w:color="auto"/>
          </w:divBdr>
        </w:div>
        <w:div w:id="1272326079">
          <w:marLeft w:val="0"/>
          <w:marRight w:val="0"/>
          <w:marTop w:val="0"/>
          <w:marBottom w:val="0"/>
          <w:divBdr>
            <w:top w:val="none" w:sz="0" w:space="0" w:color="auto"/>
            <w:left w:val="none" w:sz="0" w:space="0" w:color="auto"/>
            <w:bottom w:val="none" w:sz="0" w:space="0" w:color="auto"/>
            <w:right w:val="none" w:sz="0" w:space="0" w:color="auto"/>
          </w:divBdr>
        </w:div>
        <w:div w:id="1379358923">
          <w:marLeft w:val="0"/>
          <w:marRight w:val="0"/>
          <w:marTop w:val="0"/>
          <w:marBottom w:val="0"/>
          <w:divBdr>
            <w:top w:val="none" w:sz="0" w:space="0" w:color="auto"/>
            <w:left w:val="none" w:sz="0" w:space="0" w:color="auto"/>
            <w:bottom w:val="none" w:sz="0" w:space="0" w:color="auto"/>
            <w:right w:val="none" w:sz="0" w:space="0" w:color="auto"/>
          </w:divBdr>
        </w:div>
        <w:div w:id="1453205350">
          <w:marLeft w:val="0"/>
          <w:marRight w:val="0"/>
          <w:marTop w:val="0"/>
          <w:marBottom w:val="0"/>
          <w:divBdr>
            <w:top w:val="none" w:sz="0" w:space="0" w:color="auto"/>
            <w:left w:val="none" w:sz="0" w:space="0" w:color="auto"/>
            <w:bottom w:val="none" w:sz="0" w:space="0" w:color="auto"/>
            <w:right w:val="none" w:sz="0" w:space="0" w:color="auto"/>
          </w:divBdr>
        </w:div>
        <w:div w:id="1591087132">
          <w:marLeft w:val="0"/>
          <w:marRight w:val="0"/>
          <w:marTop w:val="0"/>
          <w:marBottom w:val="0"/>
          <w:divBdr>
            <w:top w:val="none" w:sz="0" w:space="0" w:color="auto"/>
            <w:left w:val="none" w:sz="0" w:space="0" w:color="auto"/>
            <w:bottom w:val="none" w:sz="0" w:space="0" w:color="auto"/>
            <w:right w:val="none" w:sz="0" w:space="0" w:color="auto"/>
          </w:divBdr>
        </w:div>
        <w:div w:id="2036995886">
          <w:marLeft w:val="0"/>
          <w:marRight w:val="0"/>
          <w:marTop w:val="0"/>
          <w:marBottom w:val="0"/>
          <w:divBdr>
            <w:top w:val="none" w:sz="0" w:space="0" w:color="auto"/>
            <w:left w:val="none" w:sz="0" w:space="0" w:color="auto"/>
            <w:bottom w:val="none" w:sz="0" w:space="0" w:color="auto"/>
            <w:right w:val="none" w:sz="0" w:space="0" w:color="auto"/>
          </w:divBdr>
        </w:div>
        <w:div w:id="2084984131">
          <w:marLeft w:val="0"/>
          <w:marRight w:val="0"/>
          <w:marTop w:val="0"/>
          <w:marBottom w:val="0"/>
          <w:divBdr>
            <w:top w:val="none" w:sz="0" w:space="0" w:color="auto"/>
            <w:left w:val="none" w:sz="0" w:space="0" w:color="auto"/>
            <w:bottom w:val="none" w:sz="0" w:space="0" w:color="auto"/>
            <w:right w:val="none" w:sz="0" w:space="0" w:color="auto"/>
          </w:divBdr>
        </w:div>
        <w:div w:id="2089955810">
          <w:marLeft w:val="0"/>
          <w:marRight w:val="0"/>
          <w:marTop w:val="0"/>
          <w:marBottom w:val="0"/>
          <w:divBdr>
            <w:top w:val="none" w:sz="0" w:space="0" w:color="auto"/>
            <w:left w:val="none" w:sz="0" w:space="0" w:color="auto"/>
            <w:bottom w:val="none" w:sz="0" w:space="0" w:color="auto"/>
            <w:right w:val="none" w:sz="0" w:space="0" w:color="auto"/>
          </w:divBdr>
        </w:div>
      </w:divsChild>
    </w:div>
    <w:div w:id="323583572">
      <w:bodyDiv w:val="1"/>
      <w:marLeft w:val="0"/>
      <w:marRight w:val="0"/>
      <w:marTop w:val="0"/>
      <w:marBottom w:val="0"/>
      <w:divBdr>
        <w:top w:val="none" w:sz="0" w:space="0" w:color="auto"/>
        <w:left w:val="none" w:sz="0" w:space="0" w:color="auto"/>
        <w:bottom w:val="none" w:sz="0" w:space="0" w:color="auto"/>
        <w:right w:val="none" w:sz="0" w:space="0" w:color="auto"/>
      </w:divBdr>
      <w:divsChild>
        <w:div w:id="491679602">
          <w:marLeft w:val="0"/>
          <w:marRight w:val="0"/>
          <w:marTop w:val="0"/>
          <w:marBottom w:val="0"/>
          <w:divBdr>
            <w:top w:val="none" w:sz="0" w:space="0" w:color="auto"/>
            <w:left w:val="none" w:sz="0" w:space="0" w:color="auto"/>
            <w:bottom w:val="none" w:sz="0" w:space="0" w:color="auto"/>
            <w:right w:val="none" w:sz="0" w:space="0" w:color="auto"/>
          </w:divBdr>
        </w:div>
      </w:divsChild>
    </w:div>
    <w:div w:id="323709565">
      <w:bodyDiv w:val="1"/>
      <w:marLeft w:val="0"/>
      <w:marRight w:val="0"/>
      <w:marTop w:val="0"/>
      <w:marBottom w:val="0"/>
      <w:divBdr>
        <w:top w:val="none" w:sz="0" w:space="0" w:color="auto"/>
        <w:left w:val="none" w:sz="0" w:space="0" w:color="auto"/>
        <w:bottom w:val="none" w:sz="0" w:space="0" w:color="auto"/>
        <w:right w:val="none" w:sz="0" w:space="0" w:color="auto"/>
      </w:divBdr>
      <w:divsChild>
        <w:div w:id="1102451874">
          <w:marLeft w:val="547"/>
          <w:marRight w:val="0"/>
          <w:marTop w:val="200"/>
          <w:marBottom w:val="0"/>
          <w:divBdr>
            <w:top w:val="none" w:sz="0" w:space="0" w:color="auto"/>
            <w:left w:val="none" w:sz="0" w:space="0" w:color="auto"/>
            <w:bottom w:val="none" w:sz="0" w:space="0" w:color="auto"/>
            <w:right w:val="none" w:sz="0" w:space="0" w:color="auto"/>
          </w:divBdr>
        </w:div>
        <w:div w:id="1188324538">
          <w:marLeft w:val="547"/>
          <w:marRight w:val="0"/>
          <w:marTop w:val="200"/>
          <w:marBottom w:val="0"/>
          <w:divBdr>
            <w:top w:val="none" w:sz="0" w:space="0" w:color="auto"/>
            <w:left w:val="none" w:sz="0" w:space="0" w:color="auto"/>
            <w:bottom w:val="none" w:sz="0" w:space="0" w:color="auto"/>
            <w:right w:val="none" w:sz="0" w:space="0" w:color="auto"/>
          </w:divBdr>
        </w:div>
        <w:div w:id="1746874052">
          <w:marLeft w:val="547"/>
          <w:marRight w:val="0"/>
          <w:marTop w:val="200"/>
          <w:marBottom w:val="0"/>
          <w:divBdr>
            <w:top w:val="none" w:sz="0" w:space="0" w:color="auto"/>
            <w:left w:val="none" w:sz="0" w:space="0" w:color="auto"/>
            <w:bottom w:val="none" w:sz="0" w:space="0" w:color="auto"/>
            <w:right w:val="none" w:sz="0" w:space="0" w:color="auto"/>
          </w:divBdr>
        </w:div>
        <w:div w:id="1885749445">
          <w:marLeft w:val="547"/>
          <w:marRight w:val="0"/>
          <w:marTop w:val="200"/>
          <w:marBottom w:val="0"/>
          <w:divBdr>
            <w:top w:val="none" w:sz="0" w:space="0" w:color="auto"/>
            <w:left w:val="none" w:sz="0" w:space="0" w:color="auto"/>
            <w:bottom w:val="none" w:sz="0" w:space="0" w:color="auto"/>
            <w:right w:val="none" w:sz="0" w:space="0" w:color="auto"/>
          </w:divBdr>
        </w:div>
      </w:divsChild>
    </w:div>
    <w:div w:id="325011070">
      <w:bodyDiv w:val="1"/>
      <w:marLeft w:val="0"/>
      <w:marRight w:val="0"/>
      <w:marTop w:val="0"/>
      <w:marBottom w:val="0"/>
      <w:divBdr>
        <w:top w:val="none" w:sz="0" w:space="0" w:color="auto"/>
        <w:left w:val="none" w:sz="0" w:space="0" w:color="auto"/>
        <w:bottom w:val="none" w:sz="0" w:space="0" w:color="auto"/>
        <w:right w:val="none" w:sz="0" w:space="0" w:color="auto"/>
      </w:divBdr>
      <w:divsChild>
        <w:div w:id="1319262355">
          <w:marLeft w:val="144"/>
          <w:marRight w:val="0"/>
          <w:marTop w:val="240"/>
          <w:marBottom w:val="40"/>
          <w:divBdr>
            <w:top w:val="none" w:sz="0" w:space="0" w:color="auto"/>
            <w:left w:val="none" w:sz="0" w:space="0" w:color="auto"/>
            <w:bottom w:val="none" w:sz="0" w:space="0" w:color="auto"/>
            <w:right w:val="none" w:sz="0" w:space="0" w:color="auto"/>
          </w:divBdr>
        </w:div>
      </w:divsChild>
    </w:div>
    <w:div w:id="327906642">
      <w:bodyDiv w:val="1"/>
      <w:marLeft w:val="0"/>
      <w:marRight w:val="0"/>
      <w:marTop w:val="0"/>
      <w:marBottom w:val="0"/>
      <w:divBdr>
        <w:top w:val="none" w:sz="0" w:space="0" w:color="auto"/>
        <w:left w:val="none" w:sz="0" w:space="0" w:color="auto"/>
        <w:bottom w:val="none" w:sz="0" w:space="0" w:color="auto"/>
        <w:right w:val="none" w:sz="0" w:space="0" w:color="auto"/>
      </w:divBdr>
      <w:divsChild>
        <w:div w:id="2138789477">
          <w:marLeft w:val="0"/>
          <w:marRight w:val="0"/>
          <w:marTop w:val="0"/>
          <w:marBottom w:val="0"/>
          <w:divBdr>
            <w:top w:val="none" w:sz="0" w:space="0" w:color="auto"/>
            <w:left w:val="none" w:sz="0" w:space="0" w:color="auto"/>
            <w:bottom w:val="none" w:sz="0" w:space="0" w:color="auto"/>
            <w:right w:val="none" w:sz="0" w:space="0" w:color="auto"/>
          </w:divBdr>
        </w:div>
      </w:divsChild>
    </w:div>
    <w:div w:id="329796665">
      <w:bodyDiv w:val="1"/>
      <w:marLeft w:val="0"/>
      <w:marRight w:val="0"/>
      <w:marTop w:val="0"/>
      <w:marBottom w:val="0"/>
      <w:divBdr>
        <w:top w:val="none" w:sz="0" w:space="0" w:color="auto"/>
        <w:left w:val="none" w:sz="0" w:space="0" w:color="auto"/>
        <w:bottom w:val="none" w:sz="0" w:space="0" w:color="auto"/>
        <w:right w:val="none" w:sz="0" w:space="0" w:color="auto"/>
      </w:divBdr>
    </w:div>
    <w:div w:id="330183750">
      <w:bodyDiv w:val="1"/>
      <w:marLeft w:val="0"/>
      <w:marRight w:val="0"/>
      <w:marTop w:val="0"/>
      <w:marBottom w:val="0"/>
      <w:divBdr>
        <w:top w:val="none" w:sz="0" w:space="0" w:color="auto"/>
        <w:left w:val="none" w:sz="0" w:space="0" w:color="auto"/>
        <w:bottom w:val="none" w:sz="0" w:space="0" w:color="auto"/>
        <w:right w:val="none" w:sz="0" w:space="0" w:color="auto"/>
      </w:divBdr>
      <w:divsChild>
        <w:div w:id="22441917">
          <w:marLeft w:val="0"/>
          <w:marRight w:val="0"/>
          <w:marTop w:val="0"/>
          <w:marBottom w:val="0"/>
          <w:divBdr>
            <w:top w:val="none" w:sz="0" w:space="0" w:color="auto"/>
            <w:left w:val="none" w:sz="0" w:space="0" w:color="auto"/>
            <w:bottom w:val="none" w:sz="0" w:space="0" w:color="auto"/>
            <w:right w:val="none" w:sz="0" w:space="0" w:color="auto"/>
          </w:divBdr>
        </w:div>
        <w:div w:id="98991763">
          <w:marLeft w:val="0"/>
          <w:marRight w:val="0"/>
          <w:marTop w:val="0"/>
          <w:marBottom w:val="0"/>
          <w:divBdr>
            <w:top w:val="none" w:sz="0" w:space="0" w:color="auto"/>
            <w:left w:val="none" w:sz="0" w:space="0" w:color="auto"/>
            <w:bottom w:val="none" w:sz="0" w:space="0" w:color="auto"/>
            <w:right w:val="none" w:sz="0" w:space="0" w:color="auto"/>
          </w:divBdr>
        </w:div>
        <w:div w:id="102966465">
          <w:marLeft w:val="0"/>
          <w:marRight w:val="0"/>
          <w:marTop w:val="0"/>
          <w:marBottom w:val="0"/>
          <w:divBdr>
            <w:top w:val="none" w:sz="0" w:space="0" w:color="auto"/>
            <w:left w:val="none" w:sz="0" w:space="0" w:color="auto"/>
            <w:bottom w:val="none" w:sz="0" w:space="0" w:color="auto"/>
            <w:right w:val="none" w:sz="0" w:space="0" w:color="auto"/>
          </w:divBdr>
        </w:div>
        <w:div w:id="356125340">
          <w:marLeft w:val="0"/>
          <w:marRight w:val="0"/>
          <w:marTop w:val="0"/>
          <w:marBottom w:val="0"/>
          <w:divBdr>
            <w:top w:val="none" w:sz="0" w:space="0" w:color="auto"/>
            <w:left w:val="none" w:sz="0" w:space="0" w:color="auto"/>
            <w:bottom w:val="none" w:sz="0" w:space="0" w:color="auto"/>
            <w:right w:val="none" w:sz="0" w:space="0" w:color="auto"/>
          </w:divBdr>
        </w:div>
        <w:div w:id="449782712">
          <w:marLeft w:val="0"/>
          <w:marRight w:val="0"/>
          <w:marTop w:val="0"/>
          <w:marBottom w:val="0"/>
          <w:divBdr>
            <w:top w:val="none" w:sz="0" w:space="0" w:color="auto"/>
            <w:left w:val="none" w:sz="0" w:space="0" w:color="auto"/>
            <w:bottom w:val="none" w:sz="0" w:space="0" w:color="auto"/>
            <w:right w:val="none" w:sz="0" w:space="0" w:color="auto"/>
          </w:divBdr>
        </w:div>
        <w:div w:id="674965569">
          <w:marLeft w:val="0"/>
          <w:marRight w:val="0"/>
          <w:marTop w:val="0"/>
          <w:marBottom w:val="0"/>
          <w:divBdr>
            <w:top w:val="none" w:sz="0" w:space="0" w:color="auto"/>
            <w:left w:val="none" w:sz="0" w:space="0" w:color="auto"/>
            <w:bottom w:val="none" w:sz="0" w:space="0" w:color="auto"/>
            <w:right w:val="none" w:sz="0" w:space="0" w:color="auto"/>
          </w:divBdr>
        </w:div>
        <w:div w:id="907498978">
          <w:marLeft w:val="0"/>
          <w:marRight w:val="0"/>
          <w:marTop w:val="0"/>
          <w:marBottom w:val="0"/>
          <w:divBdr>
            <w:top w:val="none" w:sz="0" w:space="0" w:color="auto"/>
            <w:left w:val="none" w:sz="0" w:space="0" w:color="auto"/>
            <w:bottom w:val="none" w:sz="0" w:space="0" w:color="auto"/>
            <w:right w:val="none" w:sz="0" w:space="0" w:color="auto"/>
          </w:divBdr>
        </w:div>
        <w:div w:id="986475439">
          <w:marLeft w:val="0"/>
          <w:marRight w:val="0"/>
          <w:marTop w:val="0"/>
          <w:marBottom w:val="0"/>
          <w:divBdr>
            <w:top w:val="none" w:sz="0" w:space="0" w:color="auto"/>
            <w:left w:val="none" w:sz="0" w:space="0" w:color="auto"/>
            <w:bottom w:val="none" w:sz="0" w:space="0" w:color="auto"/>
            <w:right w:val="none" w:sz="0" w:space="0" w:color="auto"/>
          </w:divBdr>
        </w:div>
        <w:div w:id="1083140265">
          <w:marLeft w:val="0"/>
          <w:marRight w:val="0"/>
          <w:marTop w:val="0"/>
          <w:marBottom w:val="0"/>
          <w:divBdr>
            <w:top w:val="none" w:sz="0" w:space="0" w:color="auto"/>
            <w:left w:val="none" w:sz="0" w:space="0" w:color="auto"/>
            <w:bottom w:val="none" w:sz="0" w:space="0" w:color="auto"/>
            <w:right w:val="none" w:sz="0" w:space="0" w:color="auto"/>
          </w:divBdr>
        </w:div>
        <w:div w:id="1203440424">
          <w:marLeft w:val="0"/>
          <w:marRight w:val="0"/>
          <w:marTop w:val="0"/>
          <w:marBottom w:val="0"/>
          <w:divBdr>
            <w:top w:val="none" w:sz="0" w:space="0" w:color="auto"/>
            <w:left w:val="none" w:sz="0" w:space="0" w:color="auto"/>
            <w:bottom w:val="none" w:sz="0" w:space="0" w:color="auto"/>
            <w:right w:val="none" w:sz="0" w:space="0" w:color="auto"/>
          </w:divBdr>
        </w:div>
        <w:div w:id="1238635088">
          <w:marLeft w:val="0"/>
          <w:marRight w:val="0"/>
          <w:marTop w:val="0"/>
          <w:marBottom w:val="0"/>
          <w:divBdr>
            <w:top w:val="none" w:sz="0" w:space="0" w:color="auto"/>
            <w:left w:val="none" w:sz="0" w:space="0" w:color="auto"/>
            <w:bottom w:val="none" w:sz="0" w:space="0" w:color="auto"/>
            <w:right w:val="none" w:sz="0" w:space="0" w:color="auto"/>
          </w:divBdr>
        </w:div>
        <w:div w:id="1335038830">
          <w:marLeft w:val="0"/>
          <w:marRight w:val="0"/>
          <w:marTop w:val="0"/>
          <w:marBottom w:val="0"/>
          <w:divBdr>
            <w:top w:val="none" w:sz="0" w:space="0" w:color="auto"/>
            <w:left w:val="none" w:sz="0" w:space="0" w:color="auto"/>
            <w:bottom w:val="none" w:sz="0" w:space="0" w:color="auto"/>
            <w:right w:val="none" w:sz="0" w:space="0" w:color="auto"/>
          </w:divBdr>
        </w:div>
        <w:div w:id="1390692872">
          <w:marLeft w:val="0"/>
          <w:marRight w:val="0"/>
          <w:marTop w:val="0"/>
          <w:marBottom w:val="0"/>
          <w:divBdr>
            <w:top w:val="none" w:sz="0" w:space="0" w:color="auto"/>
            <w:left w:val="none" w:sz="0" w:space="0" w:color="auto"/>
            <w:bottom w:val="none" w:sz="0" w:space="0" w:color="auto"/>
            <w:right w:val="none" w:sz="0" w:space="0" w:color="auto"/>
          </w:divBdr>
        </w:div>
        <w:div w:id="1421759978">
          <w:marLeft w:val="0"/>
          <w:marRight w:val="0"/>
          <w:marTop w:val="0"/>
          <w:marBottom w:val="0"/>
          <w:divBdr>
            <w:top w:val="none" w:sz="0" w:space="0" w:color="auto"/>
            <w:left w:val="none" w:sz="0" w:space="0" w:color="auto"/>
            <w:bottom w:val="none" w:sz="0" w:space="0" w:color="auto"/>
            <w:right w:val="none" w:sz="0" w:space="0" w:color="auto"/>
          </w:divBdr>
        </w:div>
        <w:div w:id="1507403528">
          <w:marLeft w:val="0"/>
          <w:marRight w:val="0"/>
          <w:marTop w:val="0"/>
          <w:marBottom w:val="0"/>
          <w:divBdr>
            <w:top w:val="none" w:sz="0" w:space="0" w:color="auto"/>
            <w:left w:val="none" w:sz="0" w:space="0" w:color="auto"/>
            <w:bottom w:val="none" w:sz="0" w:space="0" w:color="auto"/>
            <w:right w:val="none" w:sz="0" w:space="0" w:color="auto"/>
          </w:divBdr>
        </w:div>
        <w:div w:id="1588418568">
          <w:marLeft w:val="0"/>
          <w:marRight w:val="0"/>
          <w:marTop w:val="0"/>
          <w:marBottom w:val="0"/>
          <w:divBdr>
            <w:top w:val="none" w:sz="0" w:space="0" w:color="auto"/>
            <w:left w:val="none" w:sz="0" w:space="0" w:color="auto"/>
            <w:bottom w:val="none" w:sz="0" w:space="0" w:color="auto"/>
            <w:right w:val="none" w:sz="0" w:space="0" w:color="auto"/>
          </w:divBdr>
        </w:div>
        <w:div w:id="1756785047">
          <w:marLeft w:val="0"/>
          <w:marRight w:val="0"/>
          <w:marTop w:val="0"/>
          <w:marBottom w:val="0"/>
          <w:divBdr>
            <w:top w:val="none" w:sz="0" w:space="0" w:color="auto"/>
            <w:left w:val="none" w:sz="0" w:space="0" w:color="auto"/>
            <w:bottom w:val="none" w:sz="0" w:space="0" w:color="auto"/>
            <w:right w:val="none" w:sz="0" w:space="0" w:color="auto"/>
          </w:divBdr>
        </w:div>
        <w:div w:id="2007857312">
          <w:marLeft w:val="0"/>
          <w:marRight w:val="0"/>
          <w:marTop w:val="0"/>
          <w:marBottom w:val="0"/>
          <w:divBdr>
            <w:top w:val="none" w:sz="0" w:space="0" w:color="auto"/>
            <w:left w:val="none" w:sz="0" w:space="0" w:color="auto"/>
            <w:bottom w:val="none" w:sz="0" w:space="0" w:color="auto"/>
            <w:right w:val="none" w:sz="0" w:space="0" w:color="auto"/>
          </w:divBdr>
        </w:div>
      </w:divsChild>
    </w:div>
    <w:div w:id="332269322">
      <w:bodyDiv w:val="1"/>
      <w:marLeft w:val="0"/>
      <w:marRight w:val="0"/>
      <w:marTop w:val="0"/>
      <w:marBottom w:val="0"/>
      <w:divBdr>
        <w:top w:val="none" w:sz="0" w:space="0" w:color="auto"/>
        <w:left w:val="none" w:sz="0" w:space="0" w:color="auto"/>
        <w:bottom w:val="none" w:sz="0" w:space="0" w:color="auto"/>
        <w:right w:val="none" w:sz="0" w:space="0" w:color="auto"/>
      </w:divBdr>
      <w:divsChild>
        <w:div w:id="2514026">
          <w:marLeft w:val="0"/>
          <w:marRight w:val="0"/>
          <w:marTop w:val="0"/>
          <w:marBottom w:val="0"/>
          <w:divBdr>
            <w:top w:val="none" w:sz="0" w:space="0" w:color="auto"/>
            <w:left w:val="none" w:sz="0" w:space="0" w:color="auto"/>
            <w:bottom w:val="none" w:sz="0" w:space="0" w:color="auto"/>
            <w:right w:val="none" w:sz="0" w:space="0" w:color="auto"/>
          </w:divBdr>
        </w:div>
        <w:div w:id="268048876">
          <w:marLeft w:val="0"/>
          <w:marRight w:val="0"/>
          <w:marTop w:val="0"/>
          <w:marBottom w:val="0"/>
          <w:divBdr>
            <w:top w:val="none" w:sz="0" w:space="0" w:color="auto"/>
            <w:left w:val="none" w:sz="0" w:space="0" w:color="auto"/>
            <w:bottom w:val="none" w:sz="0" w:space="0" w:color="auto"/>
            <w:right w:val="none" w:sz="0" w:space="0" w:color="auto"/>
          </w:divBdr>
        </w:div>
        <w:div w:id="326786472">
          <w:marLeft w:val="0"/>
          <w:marRight w:val="0"/>
          <w:marTop w:val="0"/>
          <w:marBottom w:val="0"/>
          <w:divBdr>
            <w:top w:val="none" w:sz="0" w:space="0" w:color="auto"/>
            <w:left w:val="none" w:sz="0" w:space="0" w:color="auto"/>
            <w:bottom w:val="none" w:sz="0" w:space="0" w:color="auto"/>
            <w:right w:val="none" w:sz="0" w:space="0" w:color="auto"/>
          </w:divBdr>
        </w:div>
        <w:div w:id="709114773">
          <w:marLeft w:val="0"/>
          <w:marRight w:val="0"/>
          <w:marTop w:val="0"/>
          <w:marBottom w:val="0"/>
          <w:divBdr>
            <w:top w:val="none" w:sz="0" w:space="0" w:color="auto"/>
            <w:left w:val="none" w:sz="0" w:space="0" w:color="auto"/>
            <w:bottom w:val="none" w:sz="0" w:space="0" w:color="auto"/>
            <w:right w:val="none" w:sz="0" w:space="0" w:color="auto"/>
          </w:divBdr>
        </w:div>
        <w:div w:id="834344196">
          <w:marLeft w:val="0"/>
          <w:marRight w:val="0"/>
          <w:marTop w:val="0"/>
          <w:marBottom w:val="0"/>
          <w:divBdr>
            <w:top w:val="none" w:sz="0" w:space="0" w:color="auto"/>
            <w:left w:val="none" w:sz="0" w:space="0" w:color="auto"/>
            <w:bottom w:val="none" w:sz="0" w:space="0" w:color="auto"/>
            <w:right w:val="none" w:sz="0" w:space="0" w:color="auto"/>
          </w:divBdr>
        </w:div>
        <w:div w:id="903683769">
          <w:marLeft w:val="0"/>
          <w:marRight w:val="0"/>
          <w:marTop w:val="0"/>
          <w:marBottom w:val="0"/>
          <w:divBdr>
            <w:top w:val="none" w:sz="0" w:space="0" w:color="auto"/>
            <w:left w:val="none" w:sz="0" w:space="0" w:color="auto"/>
            <w:bottom w:val="none" w:sz="0" w:space="0" w:color="auto"/>
            <w:right w:val="none" w:sz="0" w:space="0" w:color="auto"/>
          </w:divBdr>
        </w:div>
        <w:div w:id="960574434">
          <w:marLeft w:val="0"/>
          <w:marRight w:val="0"/>
          <w:marTop w:val="0"/>
          <w:marBottom w:val="0"/>
          <w:divBdr>
            <w:top w:val="none" w:sz="0" w:space="0" w:color="auto"/>
            <w:left w:val="none" w:sz="0" w:space="0" w:color="auto"/>
            <w:bottom w:val="none" w:sz="0" w:space="0" w:color="auto"/>
            <w:right w:val="none" w:sz="0" w:space="0" w:color="auto"/>
          </w:divBdr>
        </w:div>
        <w:div w:id="1003095939">
          <w:marLeft w:val="0"/>
          <w:marRight w:val="0"/>
          <w:marTop w:val="0"/>
          <w:marBottom w:val="0"/>
          <w:divBdr>
            <w:top w:val="none" w:sz="0" w:space="0" w:color="auto"/>
            <w:left w:val="none" w:sz="0" w:space="0" w:color="auto"/>
            <w:bottom w:val="none" w:sz="0" w:space="0" w:color="auto"/>
            <w:right w:val="none" w:sz="0" w:space="0" w:color="auto"/>
          </w:divBdr>
        </w:div>
        <w:div w:id="1087843551">
          <w:marLeft w:val="0"/>
          <w:marRight w:val="0"/>
          <w:marTop w:val="0"/>
          <w:marBottom w:val="0"/>
          <w:divBdr>
            <w:top w:val="none" w:sz="0" w:space="0" w:color="auto"/>
            <w:left w:val="none" w:sz="0" w:space="0" w:color="auto"/>
            <w:bottom w:val="none" w:sz="0" w:space="0" w:color="auto"/>
            <w:right w:val="none" w:sz="0" w:space="0" w:color="auto"/>
          </w:divBdr>
        </w:div>
        <w:div w:id="1184125985">
          <w:marLeft w:val="0"/>
          <w:marRight w:val="0"/>
          <w:marTop w:val="0"/>
          <w:marBottom w:val="0"/>
          <w:divBdr>
            <w:top w:val="none" w:sz="0" w:space="0" w:color="auto"/>
            <w:left w:val="none" w:sz="0" w:space="0" w:color="auto"/>
            <w:bottom w:val="none" w:sz="0" w:space="0" w:color="auto"/>
            <w:right w:val="none" w:sz="0" w:space="0" w:color="auto"/>
          </w:divBdr>
        </w:div>
        <w:div w:id="1366757777">
          <w:marLeft w:val="0"/>
          <w:marRight w:val="0"/>
          <w:marTop w:val="0"/>
          <w:marBottom w:val="0"/>
          <w:divBdr>
            <w:top w:val="none" w:sz="0" w:space="0" w:color="auto"/>
            <w:left w:val="none" w:sz="0" w:space="0" w:color="auto"/>
            <w:bottom w:val="none" w:sz="0" w:space="0" w:color="auto"/>
            <w:right w:val="none" w:sz="0" w:space="0" w:color="auto"/>
          </w:divBdr>
        </w:div>
        <w:div w:id="1403528720">
          <w:marLeft w:val="0"/>
          <w:marRight w:val="0"/>
          <w:marTop w:val="0"/>
          <w:marBottom w:val="0"/>
          <w:divBdr>
            <w:top w:val="none" w:sz="0" w:space="0" w:color="auto"/>
            <w:left w:val="none" w:sz="0" w:space="0" w:color="auto"/>
            <w:bottom w:val="none" w:sz="0" w:space="0" w:color="auto"/>
            <w:right w:val="none" w:sz="0" w:space="0" w:color="auto"/>
          </w:divBdr>
        </w:div>
        <w:div w:id="1785882499">
          <w:marLeft w:val="0"/>
          <w:marRight w:val="0"/>
          <w:marTop w:val="0"/>
          <w:marBottom w:val="0"/>
          <w:divBdr>
            <w:top w:val="none" w:sz="0" w:space="0" w:color="auto"/>
            <w:left w:val="none" w:sz="0" w:space="0" w:color="auto"/>
            <w:bottom w:val="none" w:sz="0" w:space="0" w:color="auto"/>
            <w:right w:val="none" w:sz="0" w:space="0" w:color="auto"/>
          </w:divBdr>
        </w:div>
        <w:div w:id="1791627074">
          <w:marLeft w:val="0"/>
          <w:marRight w:val="0"/>
          <w:marTop w:val="0"/>
          <w:marBottom w:val="0"/>
          <w:divBdr>
            <w:top w:val="none" w:sz="0" w:space="0" w:color="auto"/>
            <w:left w:val="none" w:sz="0" w:space="0" w:color="auto"/>
            <w:bottom w:val="none" w:sz="0" w:space="0" w:color="auto"/>
            <w:right w:val="none" w:sz="0" w:space="0" w:color="auto"/>
          </w:divBdr>
        </w:div>
        <w:div w:id="1974865796">
          <w:marLeft w:val="0"/>
          <w:marRight w:val="0"/>
          <w:marTop w:val="0"/>
          <w:marBottom w:val="0"/>
          <w:divBdr>
            <w:top w:val="none" w:sz="0" w:space="0" w:color="auto"/>
            <w:left w:val="none" w:sz="0" w:space="0" w:color="auto"/>
            <w:bottom w:val="none" w:sz="0" w:space="0" w:color="auto"/>
            <w:right w:val="none" w:sz="0" w:space="0" w:color="auto"/>
          </w:divBdr>
        </w:div>
        <w:div w:id="2026012458">
          <w:marLeft w:val="0"/>
          <w:marRight w:val="0"/>
          <w:marTop w:val="0"/>
          <w:marBottom w:val="0"/>
          <w:divBdr>
            <w:top w:val="none" w:sz="0" w:space="0" w:color="auto"/>
            <w:left w:val="none" w:sz="0" w:space="0" w:color="auto"/>
            <w:bottom w:val="none" w:sz="0" w:space="0" w:color="auto"/>
            <w:right w:val="none" w:sz="0" w:space="0" w:color="auto"/>
          </w:divBdr>
        </w:div>
        <w:div w:id="2039697834">
          <w:marLeft w:val="0"/>
          <w:marRight w:val="0"/>
          <w:marTop w:val="0"/>
          <w:marBottom w:val="0"/>
          <w:divBdr>
            <w:top w:val="none" w:sz="0" w:space="0" w:color="auto"/>
            <w:left w:val="none" w:sz="0" w:space="0" w:color="auto"/>
            <w:bottom w:val="none" w:sz="0" w:space="0" w:color="auto"/>
            <w:right w:val="none" w:sz="0" w:space="0" w:color="auto"/>
          </w:divBdr>
        </w:div>
        <w:div w:id="2067490473">
          <w:marLeft w:val="0"/>
          <w:marRight w:val="0"/>
          <w:marTop w:val="0"/>
          <w:marBottom w:val="0"/>
          <w:divBdr>
            <w:top w:val="none" w:sz="0" w:space="0" w:color="auto"/>
            <w:left w:val="none" w:sz="0" w:space="0" w:color="auto"/>
            <w:bottom w:val="none" w:sz="0" w:space="0" w:color="auto"/>
            <w:right w:val="none" w:sz="0" w:space="0" w:color="auto"/>
          </w:divBdr>
        </w:div>
        <w:div w:id="2139758851">
          <w:marLeft w:val="0"/>
          <w:marRight w:val="0"/>
          <w:marTop w:val="0"/>
          <w:marBottom w:val="0"/>
          <w:divBdr>
            <w:top w:val="none" w:sz="0" w:space="0" w:color="auto"/>
            <w:left w:val="none" w:sz="0" w:space="0" w:color="auto"/>
            <w:bottom w:val="none" w:sz="0" w:space="0" w:color="auto"/>
            <w:right w:val="none" w:sz="0" w:space="0" w:color="auto"/>
          </w:divBdr>
        </w:div>
      </w:divsChild>
    </w:div>
    <w:div w:id="336923981">
      <w:bodyDiv w:val="1"/>
      <w:marLeft w:val="0"/>
      <w:marRight w:val="0"/>
      <w:marTop w:val="0"/>
      <w:marBottom w:val="0"/>
      <w:divBdr>
        <w:top w:val="none" w:sz="0" w:space="0" w:color="auto"/>
        <w:left w:val="none" w:sz="0" w:space="0" w:color="auto"/>
        <w:bottom w:val="none" w:sz="0" w:space="0" w:color="auto"/>
        <w:right w:val="none" w:sz="0" w:space="0" w:color="auto"/>
      </w:divBdr>
    </w:div>
    <w:div w:id="338696948">
      <w:bodyDiv w:val="1"/>
      <w:marLeft w:val="0"/>
      <w:marRight w:val="0"/>
      <w:marTop w:val="0"/>
      <w:marBottom w:val="0"/>
      <w:divBdr>
        <w:top w:val="none" w:sz="0" w:space="0" w:color="auto"/>
        <w:left w:val="none" w:sz="0" w:space="0" w:color="auto"/>
        <w:bottom w:val="none" w:sz="0" w:space="0" w:color="auto"/>
        <w:right w:val="none" w:sz="0" w:space="0" w:color="auto"/>
      </w:divBdr>
      <w:divsChild>
        <w:div w:id="26881295">
          <w:marLeft w:val="0"/>
          <w:marRight w:val="0"/>
          <w:marTop w:val="0"/>
          <w:marBottom w:val="0"/>
          <w:divBdr>
            <w:top w:val="none" w:sz="0" w:space="0" w:color="auto"/>
            <w:left w:val="none" w:sz="0" w:space="0" w:color="auto"/>
            <w:bottom w:val="none" w:sz="0" w:space="0" w:color="auto"/>
            <w:right w:val="none" w:sz="0" w:space="0" w:color="auto"/>
          </w:divBdr>
        </w:div>
        <w:div w:id="209415413">
          <w:marLeft w:val="0"/>
          <w:marRight w:val="0"/>
          <w:marTop w:val="0"/>
          <w:marBottom w:val="0"/>
          <w:divBdr>
            <w:top w:val="none" w:sz="0" w:space="0" w:color="auto"/>
            <w:left w:val="none" w:sz="0" w:space="0" w:color="auto"/>
            <w:bottom w:val="none" w:sz="0" w:space="0" w:color="auto"/>
            <w:right w:val="none" w:sz="0" w:space="0" w:color="auto"/>
          </w:divBdr>
        </w:div>
        <w:div w:id="263609567">
          <w:marLeft w:val="0"/>
          <w:marRight w:val="0"/>
          <w:marTop w:val="0"/>
          <w:marBottom w:val="0"/>
          <w:divBdr>
            <w:top w:val="none" w:sz="0" w:space="0" w:color="auto"/>
            <w:left w:val="none" w:sz="0" w:space="0" w:color="auto"/>
            <w:bottom w:val="none" w:sz="0" w:space="0" w:color="auto"/>
            <w:right w:val="none" w:sz="0" w:space="0" w:color="auto"/>
          </w:divBdr>
        </w:div>
        <w:div w:id="380910837">
          <w:marLeft w:val="0"/>
          <w:marRight w:val="0"/>
          <w:marTop w:val="0"/>
          <w:marBottom w:val="0"/>
          <w:divBdr>
            <w:top w:val="none" w:sz="0" w:space="0" w:color="auto"/>
            <w:left w:val="none" w:sz="0" w:space="0" w:color="auto"/>
            <w:bottom w:val="none" w:sz="0" w:space="0" w:color="auto"/>
            <w:right w:val="none" w:sz="0" w:space="0" w:color="auto"/>
          </w:divBdr>
        </w:div>
        <w:div w:id="385221214">
          <w:marLeft w:val="0"/>
          <w:marRight w:val="0"/>
          <w:marTop w:val="0"/>
          <w:marBottom w:val="0"/>
          <w:divBdr>
            <w:top w:val="none" w:sz="0" w:space="0" w:color="auto"/>
            <w:left w:val="none" w:sz="0" w:space="0" w:color="auto"/>
            <w:bottom w:val="none" w:sz="0" w:space="0" w:color="auto"/>
            <w:right w:val="none" w:sz="0" w:space="0" w:color="auto"/>
          </w:divBdr>
        </w:div>
        <w:div w:id="437070938">
          <w:marLeft w:val="0"/>
          <w:marRight w:val="0"/>
          <w:marTop w:val="0"/>
          <w:marBottom w:val="0"/>
          <w:divBdr>
            <w:top w:val="none" w:sz="0" w:space="0" w:color="auto"/>
            <w:left w:val="none" w:sz="0" w:space="0" w:color="auto"/>
            <w:bottom w:val="none" w:sz="0" w:space="0" w:color="auto"/>
            <w:right w:val="none" w:sz="0" w:space="0" w:color="auto"/>
          </w:divBdr>
        </w:div>
        <w:div w:id="450588121">
          <w:marLeft w:val="0"/>
          <w:marRight w:val="0"/>
          <w:marTop w:val="0"/>
          <w:marBottom w:val="0"/>
          <w:divBdr>
            <w:top w:val="none" w:sz="0" w:space="0" w:color="auto"/>
            <w:left w:val="none" w:sz="0" w:space="0" w:color="auto"/>
            <w:bottom w:val="none" w:sz="0" w:space="0" w:color="auto"/>
            <w:right w:val="none" w:sz="0" w:space="0" w:color="auto"/>
          </w:divBdr>
        </w:div>
        <w:div w:id="547882331">
          <w:marLeft w:val="0"/>
          <w:marRight w:val="0"/>
          <w:marTop w:val="0"/>
          <w:marBottom w:val="0"/>
          <w:divBdr>
            <w:top w:val="none" w:sz="0" w:space="0" w:color="auto"/>
            <w:left w:val="none" w:sz="0" w:space="0" w:color="auto"/>
            <w:bottom w:val="none" w:sz="0" w:space="0" w:color="auto"/>
            <w:right w:val="none" w:sz="0" w:space="0" w:color="auto"/>
          </w:divBdr>
        </w:div>
        <w:div w:id="553657555">
          <w:marLeft w:val="0"/>
          <w:marRight w:val="0"/>
          <w:marTop w:val="0"/>
          <w:marBottom w:val="0"/>
          <w:divBdr>
            <w:top w:val="none" w:sz="0" w:space="0" w:color="auto"/>
            <w:left w:val="none" w:sz="0" w:space="0" w:color="auto"/>
            <w:bottom w:val="none" w:sz="0" w:space="0" w:color="auto"/>
            <w:right w:val="none" w:sz="0" w:space="0" w:color="auto"/>
          </w:divBdr>
        </w:div>
        <w:div w:id="559050930">
          <w:marLeft w:val="0"/>
          <w:marRight w:val="0"/>
          <w:marTop w:val="0"/>
          <w:marBottom w:val="0"/>
          <w:divBdr>
            <w:top w:val="none" w:sz="0" w:space="0" w:color="auto"/>
            <w:left w:val="none" w:sz="0" w:space="0" w:color="auto"/>
            <w:bottom w:val="none" w:sz="0" w:space="0" w:color="auto"/>
            <w:right w:val="none" w:sz="0" w:space="0" w:color="auto"/>
          </w:divBdr>
        </w:div>
        <w:div w:id="646739713">
          <w:marLeft w:val="0"/>
          <w:marRight w:val="0"/>
          <w:marTop w:val="0"/>
          <w:marBottom w:val="0"/>
          <w:divBdr>
            <w:top w:val="none" w:sz="0" w:space="0" w:color="auto"/>
            <w:left w:val="none" w:sz="0" w:space="0" w:color="auto"/>
            <w:bottom w:val="none" w:sz="0" w:space="0" w:color="auto"/>
            <w:right w:val="none" w:sz="0" w:space="0" w:color="auto"/>
          </w:divBdr>
        </w:div>
        <w:div w:id="660935977">
          <w:marLeft w:val="0"/>
          <w:marRight w:val="0"/>
          <w:marTop w:val="0"/>
          <w:marBottom w:val="0"/>
          <w:divBdr>
            <w:top w:val="none" w:sz="0" w:space="0" w:color="auto"/>
            <w:left w:val="none" w:sz="0" w:space="0" w:color="auto"/>
            <w:bottom w:val="none" w:sz="0" w:space="0" w:color="auto"/>
            <w:right w:val="none" w:sz="0" w:space="0" w:color="auto"/>
          </w:divBdr>
        </w:div>
        <w:div w:id="708653487">
          <w:marLeft w:val="0"/>
          <w:marRight w:val="0"/>
          <w:marTop w:val="0"/>
          <w:marBottom w:val="0"/>
          <w:divBdr>
            <w:top w:val="none" w:sz="0" w:space="0" w:color="auto"/>
            <w:left w:val="none" w:sz="0" w:space="0" w:color="auto"/>
            <w:bottom w:val="none" w:sz="0" w:space="0" w:color="auto"/>
            <w:right w:val="none" w:sz="0" w:space="0" w:color="auto"/>
          </w:divBdr>
        </w:div>
        <w:div w:id="1174153187">
          <w:marLeft w:val="0"/>
          <w:marRight w:val="0"/>
          <w:marTop w:val="0"/>
          <w:marBottom w:val="0"/>
          <w:divBdr>
            <w:top w:val="none" w:sz="0" w:space="0" w:color="auto"/>
            <w:left w:val="none" w:sz="0" w:space="0" w:color="auto"/>
            <w:bottom w:val="none" w:sz="0" w:space="0" w:color="auto"/>
            <w:right w:val="none" w:sz="0" w:space="0" w:color="auto"/>
          </w:divBdr>
        </w:div>
        <w:div w:id="1176993527">
          <w:marLeft w:val="0"/>
          <w:marRight w:val="0"/>
          <w:marTop w:val="0"/>
          <w:marBottom w:val="0"/>
          <w:divBdr>
            <w:top w:val="none" w:sz="0" w:space="0" w:color="auto"/>
            <w:left w:val="none" w:sz="0" w:space="0" w:color="auto"/>
            <w:bottom w:val="none" w:sz="0" w:space="0" w:color="auto"/>
            <w:right w:val="none" w:sz="0" w:space="0" w:color="auto"/>
          </w:divBdr>
        </w:div>
        <w:div w:id="1212770380">
          <w:marLeft w:val="0"/>
          <w:marRight w:val="0"/>
          <w:marTop w:val="0"/>
          <w:marBottom w:val="0"/>
          <w:divBdr>
            <w:top w:val="none" w:sz="0" w:space="0" w:color="auto"/>
            <w:left w:val="none" w:sz="0" w:space="0" w:color="auto"/>
            <w:bottom w:val="none" w:sz="0" w:space="0" w:color="auto"/>
            <w:right w:val="none" w:sz="0" w:space="0" w:color="auto"/>
          </w:divBdr>
        </w:div>
        <w:div w:id="1419212255">
          <w:marLeft w:val="0"/>
          <w:marRight w:val="0"/>
          <w:marTop w:val="0"/>
          <w:marBottom w:val="0"/>
          <w:divBdr>
            <w:top w:val="none" w:sz="0" w:space="0" w:color="auto"/>
            <w:left w:val="none" w:sz="0" w:space="0" w:color="auto"/>
            <w:bottom w:val="none" w:sz="0" w:space="0" w:color="auto"/>
            <w:right w:val="none" w:sz="0" w:space="0" w:color="auto"/>
          </w:divBdr>
        </w:div>
        <w:div w:id="1455519750">
          <w:marLeft w:val="0"/>
          <w:marRight w:val="0"/>
          <w:marTop w:val="0"/>
          <w:marBottom w:val="0"/>
          <w:divBdr>
            <w:top w:val="none" w:sz="0" w:space="0" w:color="auto"/>
            <w:left w:val="none" w:sz="0" w:space="0" w:color="auto"/>
            <w:bottom w:val="none" w:sz="0" w:space="0" w:color="auto"/>
            <w:right w:val="none" w:sz="0" w:space="0" w:color="auto"/>
          </w:divBdr>
        </w:div>
        <w:div w:id="1460027394">
          <w:marLeft w:val="0"/>
          <w:marRight w:val="0"/>
          <w:marTop w:val="0"/>
          <w:marBottom w:val="0"/>
          <w:divBdr>
            <w:top w:val="none" w:sz="0" w:space="0" w:color="auto"/>
            <w:left w:val="none" w:sz="0" w:space="0" w:color="auto"/>
            <w:bottom w:val="none" w:sz="0" w:space="0" w:color="auto"/>
            <w:right w:val="none" w:sz="0" w:space="0" w:color="auto"/>
          </w:divBdr>
        </w:div>
        <w:div w:id="1539312648">
          <w:marLeft w:val="0"/>
          <w:marRight w:val="0"/>
          <w:marTop w:val="0"/>
          <w:marBottom w:val="0"/>
          <w:divBdr>
            <w:top w:val="none" w:sz="0" w:space="0" w:color="auto"/>
            <w:left w:val="none" w:sz="0" w:space="0" w:color="auto"/>
            <w:bottom w:val="none" w:sz="0" w:space="0" w:color="auto"/>
            <w:right w:val="none" w:sz="0" w:space="0" w:color="auto"/>
          </w:divBdr>
        </w:div>
        <w:div w:id="1557859718">
          <w:marLeft w:val="0"/>
          <w:marRight w:val="0"/>
          <w:marTop w:val="0"/>
          <w:marBottom w:val="0"/>
          <w:divBdr>
            <w:top w:val="none" w:sz="0" w:space="0" w:color="auto"/>
            <w:left w:val="none" w:sz="0" w:space="0" w:color="auto"/>
            <w:bottom w:val="none" w:sz="0" w:space="0" w:color="auto"/>
            <w:right w:val="none" w:sz="0" w:space="0" w:color="auto"/>
          </w:divBdr>
        </w:div>
        <w:div w:id="1650013025">
          <w:marLeft w:val="0"/>
          <w:marRight w:val="0"/>
          <w:marTop w:val="0"/>
          <w:marBottom w:val="0"/>
          <w:divBdr>
            <w:top w:val="none" w:sz="0" w:space="0" w:color="auto"/>
            <w:left w:val="none" w:sz="0" w:space="0" w:color="auto"/>
            <w:bottom w:val="none" w:sz="0" w:space="0" w:color="auto"/>
            <w:right w:val="none" w:sz="0" w:space="0" w:color="auto"/>
          </w:divBdr>
        </w:div>
        <w:div w:id="1758209576">
          <w:marLeft w:val="0"/>
          <w:marRight w:val="0"/>
          <w:marTop w:val="0"/>
          <w:marBottom w:val="0"/>
          <w:divBdr>
            <w:top w:val="none" w:sz="0" w:space="0" w:color="auto"/>
            <w:left w:val="none" w:sz="0" w:space="0" w:color="auto"/>
            <w:bottom w:val="none" w:sz="0" w:space="0" w:color="auto"/>
            <w:right w:val="none" w:sz="0" w:space="0" w:color="auto"/>
          </w:divBdr>
        </w:div>
        <w:div w:id="2017920738">
          <w:marLeft w:val="0"/>
          <w:marRight w:val="0"/>
          <w:marTop w:val="0"/>
          <w:marBottom w:val="0"/>
          <w:divBdr>
            <w:top w:val="none" w:sz="0" w:space="0" w:color="auto"/>
            <w:left w:val="none" w:sz="0" w:space="0" w:color="auto"/>
            <w:bottom w:val="none" w:sz="0" w:space="0" w:color="auto"/>
            <w:right w:val="none" w:sz="0" w:space="0" w:color="auto"/>
          </w:divBdr>
        </w:div>
        <w:div w:id="2102142117">
          <w:marLeft w:val="0"/>
          <w:marRight w:val="0"/>
          <w:marTop w:val="0"/>
          <w:marBottom w:val="0"/>
          <w:divBdr>
            <w:top w:val="none" w:sz="0" w:space="0" w:color="auto"/>
            <w:left w:val="none" w:sz="0" w:space="0" w:color="auto"/>
            <w:bottom w:val="none" w:sz="0" w:space="0" w:color="auto"/>
            <w:right w:val="none" w:sz="0" w:space="0" w:color="auto"/>
          </w:divBdr>
        </w:div>
        <w:div w:id="2129083340">
          <w:marLeft w:val="0"/>
          <w:marRight w:val="0"/>
          <w:marTop w:val="0"/>
          <w:marBottom w:val="0"/>
          <w:divBdr>
            <w:top w:val="none" w:sz="0" w:space="0" w:color="auto"/>
            <w:left w:val="none" w:sz="0" w:space="0" w:color="auto"/>
            <w:bottom w:val="none" w:sz="0" w:space="0" w:color="auto"/>
            <w:right w:val="none" w:sz="0" w:space="0" w:color="auto"/>
          </w:divBdr>
        </w:div>
      </w:divsChild>
    </w:div>
    <w:div w:id="342974764">
      <w:bodyDiv w:val="1"/>
      <w:marLeft w:val="0"/>
      <w:marRight w:val="0"/>
      <w:marTop w:val="0"/>
      <w:marBottom w:val="0"/>
      <w:divBdr>
        <w:top w:val="none" w:sz="0" w:space="0" w:color="auto"/>
        <w:left w:val="none" w:sz="0" w:space="0" w:color="auto"/>
        <w:bottom w:val="none" w:sz="0" w:space="0" w:color="auto"/>
        <w:right w:val="none" w:sz="0" w:space="0" w:color="auto"/>
      </w:divBdr>
      <w:divsChild>
        <w:div w:id="177350009">
          <w:marLeft w:val="0"/>
          <w:marRight w:val="0"/>
          <w:marTop w:val="0"/>
          <w:marBottom w:val="0"/>
          <w:divBdr>
            <w:top w:val="none" w:sz="0" w:space="0" w:color="auto"/>
            <w:left w:val="none" w:sz="0" w:space="0" w:color="auto"/>
            <w:bottom w:val="none" w:sz="0" w:space="0" w:color="auto"/>
            <w:right w:val="none" w:sz="0" w:space="0" w:color="auto"/>
          </w:divBdr>
        </w:div>
        <w:div w:id="322122153">
          <w:marLeft w:val="0"/>
          <w:marRight w:val="0"/>
          <w:marTop w:val="0"/>
          <w:marBottom w:val="0"/>
          <w:divBdr>
            <w:top w:val="none" w:sz="0" w:space="0" w:color="auto"/>
            <w:left w:val="none" w:sz="0" w:space="0" w:color="auto"/>
            <w:bottom w:val="none" w:sz="0" w:space="0" w:color="auto"/>
            <w:right w:val="none" w:sz="0" w:space="0" w:color="auto"/>
          </w:divBdr>
        </w:div>
        <w:div w:id="344987037">
          <w:marLeft w:val="0"/>
          <w:marRight w:val="0"/>
          <w:marTop w:val="0"/>
          <w:marBottom w:val="0"/>
          <w:divBdr>
            <w:top w:val="none" w:sz="0" w:space="0" w:color="auto"/>
            <w:left w:val="none" w:sz="0" w:space="0" w:color="auto"/>
            <w:bottom w:val="none" w:sz="0" w:space="0" w:color="auto"/>
            <w:right w:val="none" w:sz="0" w:space="0" w:color="auto"/>
          </w:divBdr>
        </w:div>
        <w:div w:id="394933274">
          <w:marLeft w:val="0"/>
          <w:marRight w:val="0"/>
          <w:marTop w:val="0"/>
          <w:marBottom w:val="0"/>
          <w:divBdr>
            <w:top w:val="none" w:sz="0" w:space="0" w:color="auto"/>
            <w:left w:val="none" w:sz="0" w:space="0" w:color="auto"/>
            <w:bottom w:val="none" w:sz="0" w:space="0" w:color="auto"/>
            <w:right w:val="none" w:sz="0" w:space="0" w:color="auto"/>
          </w:divBdr>
        </w:div>
        <w:div w:id="581329085">
          <w:marLeft w:val="0"/>
          <w:marRight w:val="0"/>
          <w:marTop w:val="0"/>
          <w:marBottom w:val="0"/>
          <w:divBdr>
            <w:top w:val="none" w:sz="0" w:space="0" w:color="auto"/>
            <w:left w:val="none" w:sz="0" w:space="0" w:color="auto"/>
            <w:bottom w:val="none" w:sz="0" w:space="0" w:color="auto"/>
            <w:right w:val="none" w:sz="0" w:space="0" w:color="auto"/>
          </w:divBdr>
        </w:div>
        <w:div w:id="583228790">
          <w:marLeft w:val="0"/>
          <w:marRight w:val="0"/>
          <w:marTop w:val="0"/>
          <w:marBottom w:val="0"/>
          <w:divBdr>
            <w:top w:val="none" w:sz="0" w:space="0" w:color="auto"/>
            <w:left w:val="none" w:sz="0" w:space="0" w:color="auto"/>
            <w:bottom w:val="none" w:sz="0" w:space="0" w:color="auto"/>
            <w:right w:val="none" w:sz="0" w:space="0" w:color="auto"/>
          </w:divBdr>
        </w:div>
        <w:div w:id="625351726">
          <w:marLeft w:val="0"/>
          <w:marRight w:val="0"/>
          <w:marTop w:val="0"/>
          <w:marBottom w:val="0"/>
          <w:divBdr>
            <w:top w:val="none" w:sz="0" w:space="0" w:color="auto"/>
            <w:left w:val="none" w:sz="0" w:space="0" w:color="auto"/>
            <w:bottom w:val="none" w:sz="0" w:space="0" w:color="auto"/>
            <w:right w:val="none" w:sz="0" w:space="0" w:color="auto"/>
          </w:divBdr>
        </w:div>
        <w:div w:id="781993389">
          <w:marLeft w:val="0"/>
          <w:marRight w:val="0"/>
          <w:marTop w:val="0"/>
          <w:marBottom w:val="0"/>
          <w:divBdr>
            <w:top w:val="none" w:sz="0" w:space="0" w:color="auto"/>
            <w:left w:val="none" w:sz="0" w:space="0" w:color="auto"/>
            <w:bottom w:val="none" w:sz="0" w:space="0" w:color="auto"/>
            <w:right w:val="none" w:sz="0" w:space="0" w:color="auto"/>
          </w:divBdr>
        </w:div>
        <w:div w:id="884685401">
          <w:marLeft w:val="0"/>
          <w:marRight w:val="0"/>
          <w:marTop w:val="0"/>
          <w:marBottom w:val="0"/>
          <w:divBdr>
            <w:top w:val="none" w:sz="0" w:space="0" w:color="auto"/>
            <w:left w:val="none" w:sz="0" w:space="0" w:color="auto"/>
            <w:bottom w:val="none" w:sz="0" w:space="0" w:color="auto"/>
            <w:right w:val="none" w:sz="0" w:space="0" w:color="auto"/>
          </w:divBdr>
        </w:div>
        <w:div w:id="916940786">
          <w:marLeft w:val="0"/>
          <w:marRight w:val="0"/>
          <w:marTop w:val="0"/>
          <w:marBottom w:val="0"/>
          <w:divBdr>
            <w:top w:val="none" w:sz="0" w:space="0" w:color="auto"/>
            <w:left w:val="none" w:sz="0" w:space="0" w:color="auto"/>
            <w:bottom w:val="none" w:sz="0" w:space="0" w:color="auto"/>
            <w:right w:val="none" w:sz="0" w:space="0" w:color="auto"/>
          </w:divBdr>
        </w:div>
        <w:div w:id="921571775">
          <w:marLeft w:val="0"/>
          <w:marRight w:val="0"/>
          <w:marTop w:val="0"/>
          <w:marBottom w:val="0"/>
          <w:divBdr>
            <w:top w:val="none" w:sz="0" w:space="0" w:color="auto"/>
            <w:left w:val="none" w:sz="0" w:space="0" w:color="auto"/>
            <w:bottom w:val="none" w:sz="0" w:space="0" w:color="auto"/>
            <w:right w:val="none" w:sz="0" w:space="0" w:color="auto"/>
          </w:divBdr>
        </w:div>
        <w:div w:id="1157766496">
          <w:marLeft w:val="0"/>
          <w:marRight w:val="0"/>
          <w:marTop w:val="0"/>
          <w:marBottom w:val="0"/>
          <w:divBdr>
            <w:top w:val="none" w:sz="0" w:space="0" w:color="auto"/>
            <w:left w:val="none" w:sz="0" w:space="0" w:color="auto"/>
            <w:bottom w:val="none" w:sz="0" w:space="0" w:color="auto"/>
            <w:right w:val="none" w:sz="0" w:space="0" w:color="auto"/>
          </w:divBdr>
        </w:div>
        <w:div w:id="1218475326">
          <w:marLeft w:val="0"/>
          <w:marRight w:val="0"/>
          <w:marTop w:val="0"/>
          <w:marBottom w:val="0"/>
          <w:divBdr>
            <w:top w:val="none" w:sz="0" w:space="0" w:color="auto"/>
            <w:left w:val="none" w:sz="0" w:space="0" w:color="auto"/>
            <w:bottom w:val="none" w:sz="0" w:space="0" w:color="auto"/>
            <w:right w:val="none" w:sz="0" w:space="0" w:color="auto"/>
          </w:divBdr>
        </w:div>
        <w:div w:id="1270968741">
          <w:marLeft w:val="0"/>
          <w:marRight w:val="0"/>
          <w:marTop w:val="0"/>
          <w:marBottom w:val="0"/>
          <w:divBdr>
            <w:top w:val="none" w:sz="0" w:space="0" w:color="auto"/>
            <w:left w:val="none" w:sz="0" w:space="0" w:color="auto"/>
            <w:bottom w:val="none" w:sz="0" w:space="0" w:color="auto"/>
            <w:right w:val="none" w:sz="0" w:space="0" w:color="auto"/>
          </w:divBdr>
        </w:div>
        <w:div w:id="1484007001">
          <w:marLeft w:val="0"/>
          <w:marRight w:val="0"/>
          <w:marTop w:val="0"/>
          <w:marBottom w:val="0"/>
          <w:divBdr>
            <w:top w:val="none" w:sz="0" w:space="0" w:color="auto"/>
            <w:left w:val="none" w:sz="0" w:space="0" w:color="auto"/>
            <w:bottom w:val="none" w:sz="0" w:space="0" w:color="auto"/>
            <w:right w:val="none" w:sz="0" w:space="0" w:color="auto"/>
          </w:divBdr>
        </w:div>
        <w:div w:id="1552114011">
          <w:marLeft w:val="0"/>
          <w:marRight w:val="0"/>
          <w:marTop w:val="0"/>
          <w:marBottom w:val="0"/>
          <w:divBdr>
            <w:top w:val="none" w:sz="0" w:space="0" w:color="auto"/>
            <w:left w:val="none" w:sz="0" w:space="0" w:color="auto"/>
            <w:bottom w:val="none" w:sz="0" w:space="0" w:color="auto"/>
            <w:right w:val="none" w:sz="0" w:space="0" w:color="auto"/>
          </w:divBdr>
        </w:div>
        <w:div w:id="1552811235">
          <w:marLeft w:val="0"/>
          <w:marRight w:val="0"/>
          <w:marTop w:val="0"/>
          <w:marBottom w:val="0"/>
          <w:divBdr>
            <w:top w:val="none" w:sz="0" w:space="0" w:color="auto"/>
            <w:left w:val="none" w:sz="0" w:space="0" w:color="auto"/>
            <w:bottom w:val="none" w:sz="0" w:space="0" w:color="auto"/>
            <w:right w:val="none" w:sz="0" w:space="0" w:color="auto"/>
          </w:divBdr>
        </w:div>
        <w:div w:id="1558129579">
          <w:marLeft w:val="0"/>
          <w:marRight w:val="0"/>
          <w:marTop w:val="0"/>
          <w:marBottom w:val="0"/>
          <w:divBdr>
            <w:top w:val="none" w:sz="0" w:space="0" w:color="auto"/>
            <w:left w:val="none" w:sz="0" w:space="0" w:color="auto"/>
            <w:bottom w:val="none" w:sz="0" w:space="0" w:color="auto"/>
            <w:right w:val="none" w:sz="0" w:space="0" w:color="auto"/>
          </w:divBdr>
        </w:div>
        <w:div w:id="1581017286">
          <w:marLeft w:val="0"/>
          <w:marRight w:val="0"/>
          <w:marTop w:val="0"/>
          <w:marBottom w:val="0"/>
          <w:divBdr>
            <w:top w:val="none" w:sz="0" w:space="0" w:color="auto"/>
            <w:left w:val="none" w:sz="0" w:space="0" w:color="auto"/>
            <w:bottom w:val="none" w:sz="0" w:space="0" w:color="auto"/>
            <w:right w:val="none" w:sz="0" w:space="0" w:color="auto"/>
          </w:divBdr>
        </w:div>
        <w:div w:id="1908952103">
          <w:marLeft w:val="0"/>
          <w:marRight w:val="0"/>
          <w:marTop w:val="0"/>
          <w:marBottom w:val="0"/>
          <w:divBdr>
            <w:top w:val="none" w:sz="0" w:space="0" w:color="auto"/>
            <w:left w:val="none" w:sz="0" w:space="0" w:color="auto"/>
            <w:bottom w:val="none" w:sz="0" w:space="0" w:color="auto"/>
            <w:right w:val="none" w:sz="0" w:space="0" w:color="auto"/>
          </w:divBdr>
        </w:div>
        <w:div w:id="1964800333">
          <w:marLeft w:val="0"/>
          <w:marRight w:val="0"/>
          <w:marTop w:val="0"/>
          <w:marBottom w:val="0"/>
          <w:divBdr>
            <w:top w:val="none" w:sz="0" w:space="0" w:color="auto"/>
            <w:left w:val="none" w:sz="0" w:space="0" w:color="auto"/>
            <w:bottom w:val="none" w:sz="0" w:space="0" w:color="auto"/>
            <w:right w:val="none" w:sz="0" w:space="0" w:color="auto"/>
          </w:divBdr>
        </w:div>
        <w:div w:id="2001347979">
          <w:marLeft w:val="0"/>
          <w:marRight w:val="0"/>
          <w:marTop w:val="0"/>
          <w:marBottom w:val="0"/>
          <w:divBdr>
            <w:top w:val="none" w:sz="0" w:space="0" w:color="auto"/>
            <w:left w:val="none" w:sz="0" w:space="0" w:color="auto"/>
            <w:bottom w:val="none" w:sz="0" w:space="0" w:color="auto"/>
            <w:right w:val="none" w:sz="0" w:space="0" w:color="auto"/>
          </w:divBdr>
        </w:div>
        <w:div w:id="2011909675">
          <w:marLeft w:val="0"/>
          <w:marRight w:val="0"/>
          <w:marTop w:val="0"/>
          <w:marBottom w:val="0"/>
          <w:divBdr>
            <w:top w:val="none" w:sz="0" w:space="0" w:color="auto"/>
            <w:left w:val="none" w:sz="0" w:space="0" w:color="auto"/>
            <w:bottom w:val="none" w:sz="0" w:space="0" w:color="auto"/>
            <w:right w:val="none" w:sz="0" w:space="0" w:color="auto"/>
          </w:divBdr>
        </w:div>
      </w:divsChild>
    </w:div>
    <w:div w:id="356934422">
      <w:bodyDiv w:val="1"/>
      <w:marLeft w:val="0"/>
      <w:marRight w:val="0"/>
      <w:marTop w:val="0"/>
      <w:marBottom w:val="0"/>
      <w:divBdr>
        <w:top w:val="none" w:sz="0" w:space="0" w:color="auto"/>
        <w:left w:val="none" w:sz="0" w:space="0" w:color="auto"/>
        <w:bottom w:val="none" w:sz="0" w:space="0" w:color="auto"/>
        <w:right w:val="none" w:sz="0" w:space="0" w:color="auto"/>
      </w:divBdr>
      <w:divsChild>
        <w:div w:id="927346528">
          <w:marLeft w:val="0"/>
          <w:marRight w:val="0"/>
          <w:marTop w:val="0"/>
          <w:marBottom w:val="0"/>
          <w:divBdr>
            <w:top w:val="none" w:sz="0" w:space="0" w:color="auto"/>
            <w:left w:val="none" w:sz="0" w:space="0" w:color="auto"/>
            <w:bottom w:val="none" w:sz="0" w:space="0" w:color="auto"/>
            <w:right w:val="none" w:sz="0" w:space="0" w:color="auto"/>
          </w:divBdr>
        </w:div>
      </w:divsChild>
    </w:div>
    <w:div w:id="358899000">
      <w:bodyDiv w:val="1"/>
      <w:marLeft w:val="0"/>
      <w:marRight w:val="0"/>
      <w:marTop w:val="0"/>
      <w:marBottom w:val="0"/>
      <w:divBdr>
        <w:top w:val="none" w:sz="0" w:space="0" w:color="auto"/>
        <w:left w:val="none" w:sz="0" w:space="0" w:color="auto"/>
        <w:bottom w:val="none" w:sz="0" w:space="0" w:color="auto"/>
        <w:right w:val="none" w:sz="0" w:space="0" w:color="auto"/>
      </w:divBdr>
    </w:div>
    <w:div w:id="364210164">
      <w:bodyDiv w:val="1"/>
      <w:marLeft w:val="0"/>
      <w:marRight w:val="0"/>
      <w:marTop w:val="0"/>
      <w:marBottom w:val="0"/>
      <w:divBdr>
        <w:top w:val="none" w:sz="0" w:space="0" w:color="auto"/>
        <w:left w:val="none" w:sz="0" w:space="0" w:color="auto"/>
        <w:bottom w:val="none" w:sz="0" w:space="0" w:color="auto"/>
        <w:right w:val="none" w:sz="0" w:space="0" w:color="auto"/>
      </w:divBdr>
    </w:div>
    <w:div w:id="366952246">
      <w:bodyDiv w:val="1"/>
      <w:marLeft w:val="0"/>
      <w:marRight w:val="0"/>
      <w:marTop w:val="0"/>
      <w:marBottom w:val="0"/>
      <w:divBdr>
        <w:top w:val="none" w:sz="0" w:space="0" w:color="auto"/>
        <w:left w:val="none" w:sz="0" w:space="0" w:color="auto"/>
        <w:bottom w:val="none" w:sz="0" w:space="0" w:color="auto"/>
        <w:right w:val="none" w:sz="0" w:space="0" w:color="auto"/>
      </w:divBdr>
    </w:div>
    <w:div w:id="370686998">
      <w:bodyDiv w:val="1"/>
      <w:marLeft w:val="0"/>
      <w:marRight w:val="0"/>
      <w:marTop w:val="0"/>
      <w:marBottom w:val="0"/>
      <w:divBdr>
        <w:top w:val="none" w:sz="0" w:space="0" w:color="auto"/>
        <w:left w:val="none" w:sz="0" w:space="0" w:color="auto"/>
        <w:bottom w:val="none" w:sz="0" w:space="0" w:color="auto"/>
        <w:right w:val="none" w:sz="0" w:space="0" w:color="auto"/>
      </w:divBdr>
      <w:divsChild>
        <w:div w:id="18120677">
          <w:marLeft w:val="0"/>
          <w:marRight w:val="0"/>
          <w:marTop w:val="0"/>
          <w:marBottom w:val="0"/>
          <w:divBdr>
            <w:top w:val="none" w:sz="0" w:space="0" w:color="auto"/>
            <w:left w:val="none" w:sz="0" w:space="0" w:color="auto"/>
            <w:bottom w:val="none" w:sz="0" w:space="0" w:color="auto"/>
            <w:right w:val="none" w:sz="0" w:space="0" w:color="auto"/>
          </w:divBdr>
        </w:div>
        <w:div w:id="38746363">
          <w:marLeft w:val="0"/>
          <w:marRight w:val="0"/>
          <w:marTop w:val="0"/>
          <w:marBottom w:val="0"/>
          <w:divBdr>
            <w:top w:val="none" w:sz="0" w:space="0" w:color="auto"/>
            <w:left w:val="none" w:sz="0" w:space="0" w:color="auto"/>
            <w:bottom w:val="none" w:sz="0" w:space="0" w:color="auto"/>
            <w:right w:val="none" w:sz="0" w:space="0" w:color="auto"/>
          </w:divBdr>
        </w:div>
        <w:div w:id="277833602">
          <w:marLeft w:val="0"/>
          <w:marRight w:val="0"/>
          <w:marTop w:val="0"/>
          <w:marBottom w:val="0"/>
          <w:divBdr>
            <w:top w:val="none" w:sz="0" w:space="0" w:color="auto"/>
            <w:left w:val="none" w:sz="0" w:space="0" w:color="auto"/>
            <w:bottom w:val="none" w:sz="0" w:space="0" w:color="auto"/>
            <w:right w:val="none" w:sz="0" w:space="0" w:color="auto"/>
          </w:divBdr>
        </w:div>
        <w:div w:id="498810292">
          <w:marLeft w:val="0"/>
          <w:marRight w:val="0"/>
          <w:marTop w:val="0"/>
          <w:marBottom w:val="0"/>
          <w:divBdr>
            <w:top w:val="none" w:sz="0" w:space="0" w:color="auto"/>
            <w:left w:val="none" w:sz="0" w:space="0" w:color="auto"/>
            <w:bottom w:val="none" w:sz="0" w:space="0" w:color="auto"/>
            <w:right w:val="none" w:sz="0" w:space="0" w:color="auto"/>
          </w:divBdr>
        </w:div>
        <w:div w:id="1150899012">
          <w:marLeft w:val="0"/>
          <w:marRight w:val="0"/>
          <w:marTop w:val="0"/>
          <w:marBottom w:val="0"/>
          <w:divBdr>
            <w:top w:val="none" w:sz="0" w:space="0" w:color="auto"/>
            <w:left w:val="none" w:sz="0" w:space="0" w:color="auto"/>
            <w:bottom w:val="none" w:sz="0" w:space="0" w:color="auto"/>
            <w:right w:val="none" w:sz="0" w:space="0" w:color="auto"/>
          </w:divBdr>
        </w:div>
        <w:div w:id="1257979803">
          <w:marLeft w:val="0"/>
          <w:marRight w:val="0"/>
          <w:marTop w:val="0"/>
          <w:marBottom w:val="0"/>
          <w:divBdr>
            <w:top w:val="none" w:sz="0" w:space="0" w:color="auto"/>
            <w:left w:val="none" w:sz="0" w:space="0" w:color="auto"/>
            <w:bottom w:val="none" w:sz="0" w:space="0" w:color="auto"/>
            <w:right w:val="none" w:sz="0" w:space="0" w:color="auto"/>
          </w:divBdr>
        </w:div>
        <w:div w:id="1430199103">
          <w:marLeft w:val="0"/>
          <w:marRight w:val="0"/>
          <w:marTop w:val="0"/>
          <w:marBottom w:val="0"/>
          <w:divBdr>
            <w:top w:val="none" w:sz="0" w:space="0" w:color="auto"/>
            <w:left w:val="none" w:sz="0" w:space="0" w:color="auto"/>
            <w:bottom w:val="none" w:sz="0" w:space="0" w:color="auto"/>
            <w:right w:val="none" w:sz="0" w:space="0" w:color="auto"/>
          </w:divBdr>
        </w:div>
        <w:div w:id="1553997175">
          <w:marLeft w:val="0"/>
          <w:marRight w:val="0"/>
          <w:marTop w:val="0"/>
          <w:marBottom w:val="0"/>
          <w:divBdr>
            <w:top w:val="none" w:sz="0" w:space="0" w:color="auto"/>
            <w:left w:val="none" w:sz="0" w:space="0" w:color="auto"/>
            <w:bottom w:val="none" w:sz="0" w:space="0" w:color="auto"/>
            <w:right w:val="none" w:sz="0" w:space="0" w:color="auto"/>
          </w:divBdr>
        </w:div>
        <w:div w:id="1749955706">
          <w:marLeft w:val="0"/>
          <w:marRight w:val="0"/>
          <w:marTop w:val="0"/>
          <w:marBottom w:val="0"/>
          <w:divBdr>
            <w:top w:val="none" w:sz="0" w:space="0" w:color="auto"/>
            <w:left w:val="none" w:sz="0" w:space="0" w:color="auto"/>
            <w:bottom w:val="none" w:sz="0" w:space="0" w:color="auto"/>
            <w:right w:val="none" w:sz="0" w:space="0" w:color="auto"/>
          </w:divBdr>
        </w:div>
        <w:div w:id="1848205152">
          <w:marLeft w:val="0"/>
          <w:marRight w:val="0"/>
          <w:marTop w:val="0"/>
          <w:marBottom w:val="0"/>
          <w:divBdr>
            <w:top w:val="none" w:sz="0" w:space="0" w:color="auto"/>
            <w:left w:val="none" w:sz="0" w:space="0" w:color="auto"/>
            <w:bottom w:val="none" w:sz="0" w:space="0" w:color="auto"/>
            <w:right w:val="none" w:sz="0" w:space="0" w:color="auto"/>
          </w:divBdr>
        </w:div>
        <w:div w:id="2119060708">
          <w:marLeft w:val="0"/>
          <w:marRight w:val="0"/>
          <w:marTop w:val="0"/>
          <w:marBottom w:val="0"/>
          <w:divBdr>
            <w:top w:val="none" w:sz="0" w:space="0" w:color="auto"/>
            <w:left w:val="none" w:sz="0" w:space="0" w:color="auto"/>
            <w:bottom w:val="none" w:sz="0" w:space="0" w:color="auto"/>
            <w:right w:val="none" w:sz="0" w:space="0" w:color="auto"/>
          </w:divBdr>
        </w:div>
      </w:divsChild>
    </w:div>
    <w:div w:id="373194082">
      <w:bodyDiv w:val="1"/>
      <w:marLeft w:val="0"/>
      <w:marRight w:val="0"/>
      <w:marTop w:val="0"/>
      <w:marBottom w:val="0"/>
      <w:divBdr>
        <w:top w:val="none" w:sz="0" w:space="0" w:color="auto"/>
        <w:left w:val="none" w:sz="0" w:space="0" w:color="auto"/>
        <w:bottom w:val="none" w:sz="0" w:space="0" w:color="auto"/>
        <w:right w:val="none" w:sz="0" w:space="0" w:color="auto"/>
      </w:divBdr>
      <w:divsChild>
        <w:div w:id="488520709">
          <w:marLeft w:val="0"/>
          <w:marRight w:val="0"/>
          <w:marTop w:val="0"/>
          <w:marBottom w:val="0"/>
          <w:divBdr>
            <w:top w:val="none" w:sz="0" w:space="0" w:color="auto"/>
            <w:left w:val="none" w:sz="0" w:space="0" w:color="auto"/>
            <w:bottom w:val="none" w:sz="0" w:space="0" w:color="auto"/>
            <w:right w:val="none" w:sz="0" w:space="0" w:color="auto"/>
          </w:divBdr>
        </w:div>
      </w:divsChild>
    </w:div>
    <w:div w:id="374546215">
      <w:bodyDiv w:val="1"/>
      <w:marLeft w:val="0"/>
      <w:marRight w:val="0"/>
      <w:marTop w:val="0"/>
      <w:marBottom w:val="0"/>
      <w:divBdr>
        <w:top w:val="none" w:sz="0" w:space="0" w:color="auto"/>
        <w:left w:val="none" w:sz="0" w:space="0" w:color="auto"/>
        <w:bottom w:val="none" w:sz="0" w:space="0" w:color="auto"/>
        <w:right w:val="none" w:sz="0" w:space="0" w:color="auto"/>
      </w:divBdr>
    </w:div>
    <w:div w:id="377239218">
      <w:bodyDiv w:val="1"/>
      <w:marLeft w:val="0"/>
      <w:marRight w:val="0"/>
      <w:marTop w:val="0"/>
      <w:marBottom w:val="0"/>
      <w:divBdr>
        <w:top w:val="none" w:sz="0" w:space="0" w:color="auto"/>
        <w:left w:val="none" w:sz="0" w:space="0" w:color="auto"/>
        <w:bottom w:val="none" w:sz="0" w:space="0" w:color="auto"/>
        <w:right w:val="none" w:sz="0" w:space="0" w:color="auto"/>
      </w:divBdr>
      <w:divsChild>
        <w:div w:id="349525026">
          <w:marLeft w:val="0"/>
          <w:marRight w:val="0"/>
          <w:marTop w:val="0"/>
          <w:marBottom w:val="0"/>
          <w:divBdr>
            <w:top w:val="none" w:sz="0" w:space="0" w:color="auto"/>
            <w:left w:val="none" w:sz="0" w:space="0" w:color="auto"/>
            <w:bottom w:val="none" w:sz="0" w:space="0" w:color="auto"/>
            <w:right w:val="none" w:sz="0" w:space="0" w:color="auto"/>
          </w:divBdr>
        </w:div>
        <w:div w:id="809636949">
          <w:marLeft w:val="0"/>
          <w:marRight w:val="0"/>
          <w:marTop w:val="0"/>
          <w:marBottom w:val="0"/>
          <w:divBdr>
            <w:top w:val="none" w:sz="0" w:space="0" w:color="auto"/>
            <w:left w:val="none" w:sz="0" w:space="0" w:color="auto"/>
            <w:bottom w:val="none" w:sz="0" w:space="0" w:color="auto"/>
            <w:right w:val="none" w:sz="0" w:space="0" w:color="auto"/>
          </w:divBdr>
        </w:div>
        <w:div w:id="993485034">
          <w:marLeft w:val="0"/>
          <w:marRight w:val="0"/>
          <w:marTop w:val="0"/>
          <w:marBottom w:val="0"/>
          <w:divBdr>
            <w:top w:val="none" w:sz="0" w:space="0" w:color="auto"/>
            <w:left w:val="none" w:sz="0" w:space="0" w:color="auto"/>
            <w:bottom w:val="none" w:sz="0" w:space="0" w:color="auto"/>
            <w:right w:val="none" w:sz="0" w:space="0" w:color="auto"/>
          </w:divBdr>
        </w:div>
        <w:div w:id="1148786795">
          <w:marLeft w:val="0"/>
          <w:marRight w:val="0"/>
          <w:marTop w:val="0"/>
          <w:marBottom w:val="0"/>
          <w:divBdr>
            <w:top w:val="none" w:sz="0" w:space="0" w:color="auto"/>
            <w:left w:val="none" w:sz="0" w:space="0" w:color="auto"/>
            <w:bottom w:val="none" w:sz="0" w:space="0" w:color="auto"/>
            <w:right w:val="none" w:sz="0" w:space="0" w:color="auto"/>
          </w:divBdr>
        </w:div>
        <w:div w:id="1644769457">
          <w:marLeft w:val="0"/>
          <w:marRight w:val="0"/>
          <w:marTop w:val="0"/>
          <w:marBottom w:val="0"/>
          <w:divBdr>
            <w:top w:val="none" w:sz="0" w:space="0" w:color="auto"/>
            <w:left w:val="none" w:sz="0" w:space="0" w:color="auto"/>
            <w:bottom w:val="none" w:sz="0" w:space="0" w:color="auto"/>
            <w:right w:val="none" w:sz="0" w:space="0" w:color="auto"/>
          </w:divBdr>
        </w:div>
        <w:div w:id="2090686598">
          <w:marLeft w:val="0"/>
          <w:marRight w:val="0"/>
          <w:marTop w:val="0"/>
          <w:marBottom w:val="0"/>
          <w:divBdr>
            <w:top w:val="none" w:sz="0" w:space="0" w:color="auto"/>
            <w:left w:val="none" w:sz="0" w:space="0" w:color="auto"/>
            <w:bottom w:val="none" w:sz="0" w:space="0" w:color="auto"/>
            <w:right w:val="none" w:sz="0" w:space="0" w:color="auto"/>
          </w:divBdr>
        </w:div>
      </w:divsChild>
    </w:div>
    <w:div w:id="384453250">
      <w:bodyDiv w:val="1"/>
      <w:marLeft w:val="0"/>
      <w:marRight w:val="0"/>
      <w:marTop w:val="0"/>
      <w:marBottom w:val="0"/>
      <w:divBdr>
        <w:top w:val="none" w:sz="0" w:space="0" w:color="auto"/>
        <w:left w:val="none" w:sz="0" w:space="0" w:color="auto"/>
        <w:bottom w:val="none" w:sz="0" w:space="0" w:color="auto"/>
        <w:right w:val="none" w:sz="0" w:space="0" w:color="auto"/>
      </w:divBdr>
      <w:divsChild>
        <w:div w:id="27218073">
          <w:marLeft w:val="0"/>
          <w:marRight w:val="0"/>
          <w:marTop w:val="0"/>
          <w:marBottom w:val="0"/>
          <w:divBdr>
            <w:top w:val="none" w:sz="0" w:space="0" w:color="auto"/>
            <w:left w:val="none" w:sz="0" w:space="0" w:color="auto"/>
            <w:bottom w:val="none" w:sz="0" w:space="0" w:color="auto"/>
            <w:right w:val="none" w:sz="0" w:space="0" w:color="auto"/>
          </w:divBdr>
        </w:div>
        <w:div w:id="174224675">
          <w:marLeft w:val="0"/>
          <w:marRight w:val="0"/>
          <w:marTop w:val="0"/>
          <w:marBottom w:val="0"/>
          <w:divBdr>
            <w:top w:val="none" w:sz="0" w:space="0" w:color="auto"/>
            <w:left w:val="none" w:sz="0" w:space="0" w:color="auto"/>
            <w:bottom w:val="none" w:sz="0" w:space="0" w:color="auto"/>
            <w:right w:val="none" w:sz="0" w:space="0" w:color="auto"/>
          </w:divBdr>
        </w:div>
        <w:div w:id="245500872">
          <w:marLeft w:val="0"/>
          <w:marRight w:val="0"/>
          <w:marTop w:val="0"/>
          <w:marBottom w:val="0"/>
          <w:divBdr>
            <w:top w:val="none" w:sz="0" w:space="0" w:color="auto"/>
            <w:left w:val="none" w:sz="0" w:space="0" w:color="auto"/>
            <w:bottom w:val="none" w:sz="0" w:space="0" w:color="auto"/>
            <w:right w:val="none" w:sz="0" w:space="0" w:color="auto"/>
          </w:divBdr>
        </w:div>
        <w:div w:id="253520418">
          <w:marLeft w:val="0"/>
          <w:marRight w:val="0"/>
          <w:marTop w:val="0"/>
          <w:marBottom w:val="0"/>
          <w:divBdr>
            <w:top w:val="none" w:sz="0" w:space="0" w:color="auto"/>
            <w:left w:val="none" w:sz="0" w:space="0" w:color="auto"/>
            <w:bottom w:val="none" w:sz="0" w:space="0" w:color="auto"/>
            <w:right w:val="none" w:sz="0" w:space="0" w:color="auto"/>
          </w:divBdr>
        </w:div>
        <w:div w:id="316960646">
          <w:marLeft w:val="0"/>
          <w:marRight w:val="0"/>
          <w:marTop w:val="0"/>
          <w:marBottom w:val="0"/>
          <w:divBdr>
            <w:top w:val="none" w:sz="0" w:space="0" w:color="auto"/>
            <w:left w:val="none" w:sz="0" w:space="0" w:color="auto"/>
            <w:bottom w:val="none" w:sz="0" w:space="0" w:color="auto"/>
            <w:right w:val="none" w:sz="0" w:space="0" w:color="auto"/>
          </w:divBdr>
        </w:div>
        <w:div w:id="340857792">
          <w:marLeft w:val="0"/>
          <w:marRight w:val="0"/>
          <w:marTop w:val="0"/>
          <w:marBottom w:val="0"/>
          <w:divBdr>
            <w:top w:val="none" w:sz="0" w:space="0" w:color="auto"/>
            <w:left w:val="none" w:sz="0" w:space="0" w:color="auto"/>
            <w:bottom w:val="none" w:sz="0" w:space="0" w:color="auto"/>
            <w:right w:val="none" w:sz="0" w:space="0" w:color="auto"/>
          </w:divBdr>
        </w:div>
        <w:div w:id="701827335">
          <w:marLeft w:val="0"/>
          <w:marRight w:val="0"/>
          <w:marTop w:val="0"/>
          <w:marBottom w:val="0"/>
          <w:divBdr>
            <w:top w:val="none" w:sz="0" w:space="0" w:color="auto"/>
            <w:left w:val="none" w:sz="0" w:space="0" w:color="auto"/>
            <w:bottom w:val="none" w:sz="0" w:space="0" w:color="auto"/>
            <w:right w:val="none" w:sz="0" w:space="0" w:color="auto"/>
          </w:divBdr>
        </w:div>
        <w:div w:id="941189203">
          <w:marLeft w:val="0"/>
          <w:marRight w:val="0"/>
          <w:marTop w:val="0"/>
          <w:marBottom w:val="0"/>
          <w:divBdr>
            <w:top w:val="none" w:sz="0" w:space="0" w:color="auto"/>
            <w:left w:val="none" w:sz="0" w:space="0" w:color="auto"/>
            <w:bottom w:val="none" w:sz="0" w:space="0" w:color="auto"/>
            <w:right w:val="none" w:sz="0" w:space="0" w:color="auto"/>
          </w:divBdr>
        </w:div>
        <w:div w:id="955991354">
          <w:marLeft w:val="0"/>
          <w:marRight w:val="0"/>
          <w:marTop w:val="0"/>
          <w:marBottom w:val="0"/>
          <w:divBdr>
            <w:top w:val="none" w:sz="0" w:space="0" w:color="auto"/>
            <w:left w:val="none" w:sz="0" w:space="0" w:color="auto"/>
            <w:bottom w:val="none" w:sz="0" w:space="0" w:color="auto"/>
            <w:right w:val="none" w:sz="0" w:space="0" w:color="auto"/>
          </w:divBdr>
        </w:div>
        <w:div w:id="1004668512">
          <w:marLeft w:val="0"/>
          <w:marRight w:val="0"/>
          <w:marTop w:val="0"/>
          <w:marBottom w:val="0"/>
          <w:divBdr>
            <w:top w:val="none" w:sz="0" w:space="0" w:color="auto"/>
            <w:left w:val="none" w:sz="0" w:space="0" w:color="auto"/>
            <w:bottom w:val="none" w:sz="0" w:space="0" w:color="auto"/>
            <w:right w:val="none" w:sz="0" w:space="0" w:color="auto"/>
          </w:divBdr>
        </w:div>
        <w:div w:id="1108350881">
          <w:marLeft w:val="0"/>
          <w:marRight w:val="0"/>
          <w:marTop w:val="0"/>
          <w:marBottom w:val="0"/>
          <w:divBdr>
            <w:top w:val="none" w:sz="0" w:space="0" w:color="auto"/>
            <w:left w:val="none" w:sz="0" w:space="0" w:color="auto"/>
            <w:bottom w:val="none" w:sz="0" w:space="0" w:color="auto"/>
            <w:right w:val="none" w:sz="0" w:space="0" w:color="auto"/>
          </w:divBdr>
        </w:div>
        <w:div w:id="1108501786">
          <w:marLeft w:val="0"/>
          <w:marRight w:val="0"/>
          <w:marTop w:val="0"/>
          <w:marBottom w:val="0"/>
          <w:divBdr>
            <w:top w:val="none" w:sz="0" w:space="0" w:color="auto"/>
            <w:left w:val="none" w:sz="0" w:space="0" w:color="auto"/>
            <w:bottom w:val="none" w:sz="0" w:space="0" w:color="auto"/>
            <w:right w:val="none" w:sz="0" w:space="0" w:color="auto"/>
          </w:divBdr>
        </w:div>
        <w:div w:id="1463646193">
          <w:marLeft w:val="0"/>
          <w:marRight w:val="0"/>
          <w:marTop w:val="0"/>
          <w:marBottom w:val="0"/>
          <w:divBdr>
            <w:top w:val="none" w:sz="0" w:space="0" w:color="auto"/>
            <w:left w:val="none" w:sz="0" w:space="0" w:color="auto"/>
            <w:bottom w:val="none" w:sz="0" w:space="0" w:color="auto"/>
            <w:right w:val="none" w:sz="0" w:space="0" w:color="auto"/>
          </w:divBdr>
        </w:div>
        <w:div w:id="1465195591">
          <w:marLeft w:val="0"/>
          <w:marRight w:val="0"/>
          <w:marTop w:val="0"/>
          <w:marBottom w:val="0"/>
          <w:divBdr>
            <w:top w:val="none" w:sz="0" w:space="0" w:color="auto"/>
            <w:left w:val="none" w:sz="0" w:space="0" w:color="auto"/>
            <w:bottom w:val="none" w:sz="0" w:space="0" w:color="auto"/>
            <w:right w:val="none" w:sz="0" w:space="0" w:color="auto"/>
          </w:divBdr>
        </w:div>
        <w:div w:id="1648705294">
          <w:marLeft w:val="0"/>
          <w:marRight w:val="0"/>
          <w:marTop w:val="0"/>
          <w:marBottom w:val="0"/>
          <w:divBdr>
            <w:top w:val="none" w:sz="0" w:space="0" w:color="auto"/>
            <w:left w:val="none" w:sz="0" w:space="0" w:color="auto"/>
            <w:bottom w:val="none" w:sz="0" w:space="0" w:color="auto"/>
            <w:right w:val="none" w:sz="0" w:space="0" w:color="auto"/>
          </w:divBdr>
        </w:div>
        <w:div w:id="1692801586">
          <w:marLeft w:val="0"/>
          <w:marRight w:val="0"/>
          <w:marTop w:val="0"/>
          <w:marBottom w:val="0"/>
          <w:divBdr>
            <w:top w:val="none" w:sz="0" w:space="0" w:color="auto"/>
            <w:left w:val="none" w:sz="0" w:space="0" w:color="auto"/>
            <w:bottom w:val="none" w:sz="0" w:space="0" w:color="auto"/>
            <w:right w:val="none" w:sz="0" w:space="0" w:color="auto"/>
          </w:divBdr>
        </w:div>
        <w:div w:id="1692802268">
          <w:marLeft w:val="0"/>
          <w:marRight w:val="0"/>
          <w:marTop w:val="0"/>
          <w:marBottom w:val="0"/>
          <w:divBdr>
            <w:top w:val="none" w:sz="0" w:space="0" w:color="auto"/>
            <w:left w:val="none" w:sz="0" w:space="0" w:color="auto"/>
            <w:bottom w:val="none" w:sz="0" w:space="0" w:color="auto"/>
            <w:right w:val="none" w:sz="0" w:space="0" w:color="auto"/>
          </w:divBdr>
        </w:div>
        <w:div w:id="1709909616">
          <w:marLeft w:val="0"/>
          <w:marRight w:val="0"/>
          <w:marTop w:val="0"/>
          <w:marBottom w:val="0"/>
          <w:divBdr>
            <w:top w:val="none" w:sz="0" w:space="0" w:color="auto"/>
            <w:left w:val="none" w:sz="0" w:space="0" w:color="auto"/>
            <w:bottom w:val="none" w:sz="0" w:space="0" w:color="auto"/>
            <w:right w:val="none" w:sz="0" w:space="0" w:color="auto"/>
          </w:divBdr>
        </w:div>
        <w:div w:id="1910729047">
          <w:marLeft w:val="0"/>
          <w:marRight w:val="0"/>
          <w:marTop w:val="0"/>
          <w:marBottom w:val="0"/>
          <w:divBdr>
            <w:top w:val="none" w:sz="0" w:space="0" w:color="auto"/>
            <w:left w:val="none" w:sz="0" w:space="0" w:color="auto"/>
            <w:bottom w:val="none" w:sz="0" w:space="0" w:color="auto"/>
            <w:right w:val="none" w:sz="0" w:space="0" w:color="auto"/>
          </w:divBdr>
        </w:div>
        <w:div w:id="1938905272">
          <w:marLeft w:val="0"/>
          <w:marRight w:val="0"/>
          <w:marTop w:val="0"/>
          <w:marBottom w:val="0"/>
          <w:divBdr>
            <w:top w:val="none" w:sz="0" w:space="0" w:color="auto"/>
            <w:left w:val="none" w:sz="0" w:space="0" w:color="auto"/>
            <w:bottom w:val="none" w:sz="0" w:space="0" w:color="auto"/>
            <w:right w:val="none" w:sz="0" w:space="0" w:color="auto"/>
          </w:divBdr>
        </w:div>
        <w:div w:id="2018145501">
          <w:marLeft w:val="0"/>
          <w:marRight w:val="0"/>
          <w:marTop w:val="0"/>
          <w:marBottom w:val="0"/>
          <w:divBdr>
            <w:top w:val="none" w:sz="0" w:space="0" w:color="auto"/>
            <w:left w:val="none" w:sz="0" w:space="0" w:color="auto"/>
            <w:bottom w:val="none" w:sz="0" w:space="0" w:color="auto"/>
            <w:right w:val="none" w:sz="0" w:space="0" w:color="auto"/>
          </w:divBdr>
        </w:div>
      </w:divsChild>
    </w:div>
    <w:div w:id="402915968">
      <w:bodyDiv w:val="1"/>
      <w:marLeft w:val="0"/>
      <w:marRight w:val="0"/>
      <w:marTop w:val="0"/>
      <w:marBottom w:val="0"/>
      <w:divBdr>
        <w:top w:val="none" w:sz="0" w:space="0" w:color="auto"/>
        <w:left w:val="none" w:sz="0" w:space="0" w:color="auto"/>
        <w:bottom w:val="none" w:sz="0" w:space="0" w:color="auto"/>
        <w:right w:val="none" w:sz="0" w:space="0" w:color="auto"/>
      </w:divBdr>
    </w:div>
    <w:div w:id="407456734">
      <w:bodyDiv w:val="1"/>
      <w:marLeft w:val="0"/>
      <w:marRight w:val="0"/>
      <w:marTop w:val="0"/>
      <w:marBottom w:val="0"/>
      <w:divBdr>
        <w:top w:val="none" w:sz="0" w:space="0" w:color="auto"/>
        <w:left w:val="none" w:sz="0" w:space="0" w:color="auto"/>
        <w:bottom w:val="none" w:sz="0" w:space="0" w:color="auto"/>
        <w:right w:val="none" w:sz="0" w:space="0" w:color="auto"/>
      </w:divBdr>
    </w:div>
    <w:div w:id="409424002">
      <w:bodyDiv w:val="1"/>
      <w:marLeft w:val="0"/>
      <w:marRight w:val="0"/>
      <w:marTop w:val="0"/>
      <w:marBottom w:val="0"/>
      <w:divBdr>
        <w:top w:val="none" w:sz="0" w:space="0" w:color="auto"/>
        <w:left w:val="none" w:sz="0" w:space="0" w:color="auto"/>
        <w:bottom w:val="none" w:sz="0" w:space="0" w:color="auto"/>
        <w:right w:val="none" w:sz="0" w:space="0" w:color="auto"/>
      </w:divBdr>
      <w:divsChild>
        <w:div w:id="316806930">
          <w:marLeft w:val="0"/>
          <w:marRight w:val="0"/>
          <w:marTop w:val="0"/>
          <w:marBottom w:val="0"/>
          <w:divBdr>
            <w:top w:val="none" w:sz="0" w:space="0" w:color="auto"/>
            <w:left w:val="none" w:sz="0" w:space="0" w:color="auto"/>
            <w:bottom w:val="none" w:sz="0" w:space="0" w:color="auto"/>
            <w:right w:val="none" w:sz="0" w:space="0" w:color="auto"/>
          </w:divBdr>
        </w:div>
      </w:divsChild>
    </w:div>
    <w:div w:id="409735899">
      <w:bodyDiv w:val="1"/>
      <w:marLeft w:val="0"/>
      <w:marRight w:val="0"/>
      <w:marTop w:val="0"/>
      <w:marBottom w:val="0"/>
      <w:divBdr>
        <w:top w:val="none" w:sz="0" w:space="0" w:color="auto"/>
        <w:left w:val="none" w:sz="0" w:space="0" w:color="auto"/>
        <w:bottom w:val="none" w:sz="0" w:space="0" w:color="auto"/>
        <w:right w:val="none" w:sz="0" w:space="0" w:color="auto"/>
      </w:divBdr>
    </w:div>
    <w:div w:id="410085286">
      <w:bodyDiv w:val="1"/>
      <w:marLeft w:val="0"/>
      <w:marRight w:val="0"/>
      <w:marTop w:val="0"/>
      <w:marBottom w:val="0"/>
      <w:divBdr>
        <w:top w:val="none" w:sz="0" w:space="0" w:color="auto"/>
        <w:left w:val="none" w:sz="0" w:space="0" w:color="auto"/>
        <w:bottom w:val="none" w:sz="0" w:space="0" w:color="auto"/>
        <w:right w:val="none" w:sz="0" w:space="0" w:color="auto"/>
      </w:divBdr>
      <w:divsChild>
        <w:div w:id="485050884">
          <w:marLeft w:val="0"/>
          <w:marRight w:val="0"/>
          <w:marTop w:val="0"/>
          <w:marBottom w:val="0"/>
          <w:divBdr>
            <w:top w:val="none" w:sz="0" w:space="0" w:color="auto"/>
            <w:left w:val="none" w:sz="0" w:space="0" w:color="auto"/>
            <w:bottom w:val="none" w:sz="0" w:space="0" w:color="auto"/>
            <w:right w:val="none" w:sz="0" w:space="0" w:color="auto"/>
          </w:divBdr>
        </w:div>
        <w:div w:id="754131496">
          <w:marLeft w:val="0"/>
          <w:marRight w:val="0"/>
          <w:marTop w:val="0"/>
          <w:marBottom w:val="0"/>
          <w:divBdr>
            <w:top w:val="none" w:sz="0" w:space="0" w:color="auto"/>
            <w:left w:val="none" w:sz="0" w:space="0" w:color="auto"/>
            <w:bottom w:val="none" w:sz="0" w:space="0" w:color="auto"/>
            <w:right w:val="none" w:sz="0" w:space="0" w:color="auto"/>
          </w:divBdr>
        </w:div>
        <w:div w:id="907416972">
          <w:marLeft w:val="0"/>
          <w:marRight w:val="0"/>
          <w:marTop w:val="0"/>
          <w:marBottom w:val="0"/>
          <w:divBdr>
            <w:top w:val="none" w:sz="0" w:space="0" w:color="auto"/>
            <w:left w:val="none" w:sz="0" w:space="0" w:color="auto"/>
            <w:bottom w:val="none" w:sz="0" w:space="0" w:color="auto"/>
            <w:right w:val="none" w:sz="0" w:space="0" w:color="auto"/>
          </w:divBdr>
        </w:div>
        <w:div w:id="1701318523">
          <w:marLeft w:val="0"/>
          <w:marRight w:val="0"/>
          <w:marTop w:val="0"/>
          <w:marBottom w:val="0"/>
          <w:divBdr>
            <w:top w:val="none" w:sz="0" w:space="0" w:color="auto"/>
            <w:left w:val="none" w:sz="0" w:space="0" w:color="auto"/>
            <w:bottom w:val="none" w:sz="0" w:space="0" w:color="auto"/>
            <w:right w:val="none" w:sz="0" w:space="0" w:color="auto"/>
          </w:divBdr>
        </w:div>
        <w:div w:id="1723627205">
          <w:marLeft w:val="0"/>
          <w:marRight w:val="0"/>
          <w:marTop w:val="0"/>
          <w:marBottom w:val="0"/>
          <w:divBdr>
            <w:top w:val="none" w:sz="0" w:space="0" w:color="auto"/>
            <w:left w:val="none" w:sz="0" w:space="0" w:color="auto"/>
            <w:bottom w:val="none" w:sz="0" w:space="0" w:color="auto"/>
            <w:right w:val="none" w:sz="0" w:space="0" w:color="auto"/>
          </w:divBdr>
        </w:div>
        <w:div w:id="1729264921">
          <w:marLeft w:val="0"/>
          <w:marRight w:val="0"/>
          <w:marTop w:val="0"/>
          <w:marBottom w:val="0"/>
          <w:divBdr>
            <w:top w:val="none" w:sz="0" w:space="0" w:color="auto"/>
            <w:left w:val="none" w:sz="0" w:space="0" w:color="auto"/>
            <w:bottom w:val="none" w:sz="0" w:space="0" w:color="auto"/>
            <w:right w:val="none" w:sz="0" w:space="0" w:color="auto"/>
          </w:divBdr>
        </w:div>
        <w:div w:id="2021661886">
          <w:marLeft w:val="0"/>
          <w:marRight w:val="0"/>
          <w:marTop w:val="0"/>
          <w:marBottom w:val="0"/>
          <w:divBdr>
            <w:top w:val="none" w:sz="0" w:space="0" w:color="auto"/>
            <w:left w:val="none" w:sz="0" w:space="0" w:color="auto"/>
            <w:bottom w:val="none" w:sz="0" w:space="0" w:color="auto"/>
            <w:right w:val="none" w:sz="0" w:space="0" w:color="auto"/>
          </w:divBdr>
        </w:div>
        <w:div w:id="2138644879">
          <w:marLeft w:val="0"/>
          <w:marRight w:val="0"/>
          <w:marTop w:val="0"/>
          <w:marBottom w:val="0"/>
          <w:divBdr>
            <w:top w:val="none" w:sz="0" w:space="0" w:color="auto"/>
            <w:left w:val="none" w:sz="0" w:space="0" w:color="auto"/>
            <w:bottom w:val="none" w:sz="0" w:space="0" w:color="auto"/>
            <w:right w:val="none" w:sz="0" w:space="0" w:color="auto"/>
          </w:divBdr>
        </w:div>
      </w:divsChild>
    </w:div>
    <w:div w:id="410586355">
      <w:bodyDiv w:val="1"/>
      <w:marLeft w:val="0"/>
      <w:marRight w:val="0"/>
      <w:marTop w:val="0"/>
      <w:marBottom w:val="0"/>
      <w:divBdr>
        <w:top w:val="none" w:sz="0" w:space="0" w:color="auto"/>
        <w:left w:val="none" w:sz="0" w:space="0" w:color="auto"/>
        <w:bottom w:val="none" w:sz="0" w:space="0" w:color="auto"/>
        <w:right w:val="none" w:sz="0" w:space="0" w:color="auto"/>
      </w:divBdr>
      <w:divsChild>
        <w:div w:id="1919367896">
          <w:marLeft w:val="0"/>
          <w:marRight w:val="0"/>
          <w:marTop w:val="0"/>
          <w:marBottom w:val="0"/>
          <w:divBdr>
            <w:top w:val="none" w:sz="0" w:space="0" w:color="auto"/>
            <w:left w:val="none" w:sz="0" w:space="0" w:color="auto"/>
            <w:bottom w:val="none" w:sz="0" w:space="0" w:color="auto"/>
            <w:right w:val="none" w:sz="0" w:space="0" w:color="auto"/>
          </w:divBdr>
        </w:div>
      </w:divsChild>
    </w:div>
    <w:div w:id="411707306">
      <w:bodyDiv w:val="1"/>
      <w:marLeft w:val="0"/>
      <w:marRight w:val="0"/>
      <w:marTop w:val="0"/>
      <w:marBottom w:val="0"/>
      <w:divBdr>
        <w:top w:val="none" w:sz="0" w:space="0" w:color="auto"/>
        <w:left w:val="none" w:sz="0" w:space="0" w:color="auto"/>
        <w:bottom w:val="none" w:sz="0" w:space="0" w:color="auto"/>
        <w:right w:val="none" w:sz="0" w:space="0" w:color="auto"/>
      </w:divBdr>
      <w:divsChild>
        <w:div w:id="1957368754">
          <w:marLeft w:val="0"/>
          <w:marRight w:val="0"/>
          <w:marTop w:val="0"/>
          <w:marBottom w:val="0"/>
          <w:divBdr>
            <w:top w:val="none" w:sz="0" w:space="0" w:color="auto"/>
            <w:left w:val="none" w:sz="0" w:space="0" w:color="auto"/>
            <w:bottom w:val="none" w:sz="0" w:space="0" w:color="auto"/>
            <w:right w:val="none" w:sz="0" w:space="0" w:color="auto"/>
          </w:divBdr>
        </w:div>
      </w:divsChild>
    </w:div>
    <w:div w:id="413821651">
      <w:bodyDiv w:val="1"/>
      <w:marLeft w:val="0"/>
      <w:marRight w:val="0"/>
      <w:marTop w:val="0"/>
      <w:marBottom w:val="0"/>
      <w:divBdr>
        <w:top w:val="none" w:sz="0" w:space="0" w:color="auto"/>
        <w:left w:val="none" w:sz="0" w:space="0" w:color="auto"/>
        <w:bottom w:val="none" w:sz="0" w:space="0" w:color="auto"/>
        <w:right w:val="none" w:sz="0" w:space="0" w:color="auto"/>
      </w:divBdr>
      <w:divsChild>
        <w:div w:id="1915429751">
          <w:marLeft w:val="0"/>
          <w:marRight w:val="0"/>
          <w:marTop w:val="0"/>
          <w:marBottom w:val="0"/>
          <w:divBdr>
            <w:top w:val="none" w:sz="0" w:space="0" w:color="auto"/>
            <w:left w:val="none" w:sz="0" w:space="0" w:color="auto"/>
            <w:bottom w:val="none" w:sz="0" w:space="0" w:color="auto"/>
            <w:right w:val="none" w:sz="0" w:space="0" w:color="auto"/>
          </w:divBdr>
          <w:divsChild>
            <w:div w:id="17050559">
              <w:marLeft w:val="0"/>
              <w:marRight w:val="0"/>
              <w:marTop w:val="0"/>
              <w:marBottom w:val="0"/>
              <w:divBdr>
                <w:top w:val="none" w:sz="0" w:space="0" w:color="auto"/>
                <w:left w:val="none" w:sz="0" w:space="0" w:color="auto"/>
                <w:bottom w:val="none" w:sz="0" w:space="0" w:color="auto"/>
                <w:right w:val="none" w:sz="0" w:space="0" w:color="auto"/>
              </w:divBdr>
            </w:div>
            <w:div w:id="85346342">
              <w:marLeft w:val="0"/>
              <w:marRight w:val="0"/>
              <w:marTop w:val="0"/>
              <w:marBottom w:val="0"/>
              <w:divBdr>
                <w:top w:val="none" w:sz="0" w:space="0" w:color="auto"/>
                <w:left w:val="none" w:sz="0" w:space="0" w:color="auto"/>
                <w:bottom w:val="none" w:sz="0" w:space="0" w:color="auto"/>
                <w:right w:val="none" w:sz="0" w:space="0" w:color="auto"/>
              </w:divBdr>
            </w:div>
            <w:div w:id="95365931">
              <w:marLeft w:val="0"/>
              <w:marRight w:val="0"/>
              <w:marTop w:val="0"/>
              <w:marBottom w:val="0"/>
              <w:divBdr>
                <w:top w:val="none" w:sz="0" w:space="0" w:color="auto"/>
                <w:left w:val="none" w:sz="0" w:space="0" w:color="auto"/>
                <w:bottom w:val="none" w:sz="0" w:space="0" w:color="auto"/>
                <w:right w:val="none" w:sz="0" w:space="0" w:color="auto"/>
              </w:divBdr>
            </w:div>
            <w:div w:id="95637510">
              <w:marLeft w:val="0"/>
              <w:marRight w:val="0"/>
              <w:marTop w:val="0"/>
              <w:marBottom w:val="0"/>
              <w:divBdr>
                <w:top w:val="none" w:sz="0" w:space="0" w:color="auto"/>
                <w:left w:val="none" w:sz="0" w:space="0" w:color="auto"/>
                <w:bottom w:val="none" w:sz="0" w:space="0" w:color="auto"/>
                <w:right w:val="none" w:sz="0" w:space="0" w:color="auto"/>
              </w:divBdr>
            </w:div>
            <w:div w:id="116070156">
              <w:marLeft w:val="0"/>
              <w:marRight w:val="0"/>
              <w:marTop w:val="0"/>
              <w:marBottom w:val="0"/>
              <w:divBdr>
                <w:top w:val="none" w:sz="0" w:space="0" w:color="auto"/>
                <w:left w:val="none" w:sz="0" w:space="0" w:color="auto"/>
                <w:bottom w:val="none" w:sz="0" w:space="0" w:color="auto"/>
                <w:right w:val="none" w:sz="0" w:space="0" w:color="auto"/>
              </w:divBdr>
            </w:div>
            <w:div w:id="156117469">
              <w:marLeft w:val="0"/>
              <w:marRight w:val="0"/>
              <w:marTop w:val="0"/>
              <w:marBottom w:val="0"/>
              <w:divBdr>
                <w:top w:val="none" w:sz="0" w:space="0" w:color="auto"/>
                <w:left w:val="none" w:sz="0" w:space="0" w:color="auto"/>
                <w:bottom w:val="none" w:sz="0" w:space="0" w:color="auto"/>
                <w:right w:val="none" w:sz="0" w:space="0" w:color="auto"/>
              </w:divBdr>
            </w:div>
            <w:div w:id="184365303">
              <w:marLeft w:val="0"/>
              <w:marRight w:val="0"/>
              <w:marTop w:val="0"/>
              <w:marBottom w:val="0"/>
              <w:divBdr>
                <w:top w:val="none" w:sz="0" w:space="0" w:color="auto"/>
                <w:left w:val="none" w:sz="0" w:space="0" w:color="auto"/>
                <w:bottom w:val="none" w:sz="0" w:space="0" w:color="auto"/>
                <w:right w:val="none" w:sz="0" w:space="0" w:color="auto"/>
              </w:divBdr>
            </w:div>
            <w:div w:id="199364368">
              <w:marLeft w:val="0"/>
              <w:marRight w:val="0"/>
              <w:marTop w:val="0"/>
              <w:marBottom w:val="0"/>
              <w:divBdr>
                <w:top w:val="none" w:sz="0" w:space="0" w:color="auto"/>
                <w:left w:val="none" w:sz="0" w:space="0" w:color="auto"/>
                <w:bottom w:val="none" w:sz="0" w:space="0" w:color="auto"/>
                <w:right w:val="none" w:sz="0" w:space="0" w:color="auto"/>
              </w:divBdr>
            </w:div>
            <w:div w:id="240142432">
              <w:marLeft w:val="0"/>
              <w:marRight w:val="0"/>
              <w:marTop w:val="0"/>
              <w:marBottom w:val="0"/>
              <w:divBdr>
                <w:top w:val="none" w:sz="0" w:space="0" w:color="auto"/>
                <w:left w:val="none" w:sz="0" w:space="0" w:color="auto"/>
                <w:bottom w:val="none" w:sz="0" w:space="0" w:color="auto"/>
                <w:right w:val="none" w:sz="0" w:space="0" w:color="auto"/>
              </w:divBdr>
            </w:div>
            <w:div w:id="275411483">
              <w:marLeft w:val="0"/>
              <w:marRight w:val="0"/>
              <w:marTop w:val="0"/>
              <w:marBottom w:val="0"/>
              <w:divBdr>
                <w:top w:val="none" w:sz="0" w:space="0" w:color="auto"/>
                <w:left w:val="none" w:sz="0" w:space="0" w:color="auto"/>
                <w:bottom w:val="none" w:sz="0" w:space="0" w:color="auto"/>
                <w:right w:val="none" w:sz="0" w:space="0" w:color="auto"/>
              </w:divBdr>
            </w:div>
            <w:div w:id="275602193">
              <w:marLeft w:val="0"/>
              <w:marRight w:val="0"/>
              <w:marTop w:val="0"/>
              <w:marBottom w:val="0"/>
              <w:divBdr>
                <w:top w:val="none" w:sz="0" w:space="0" w:color="auto"/>
                <w:left w:val="none" w:sz="0" w:space="0" w:color="auto"/>
                <w:bottom w:val="none" w:sz="0" w:space="0" w:color="auto"/>
                <w:right w:val="none" w:sz="0" w:space="0" w:color="auto"/>
              </w:divBdr>
            </w:div>
            <w:div w:id="279844591">
              <w:marLeft w:val="0"/>
              <w:marRight w:val="0"/>
              <w:marTop w:val="0"/>
              <w:marBottom w:val="0"/>
              <w:divBdr>
                <w:top w:val="none" w:sz="0" w:space="0" w:color="auto"/>
                <w:left w:val="none" w:sz="0" w:space="0" w:color="auto"/>
                <w:bottom w:val="none" w:sz="0" w:space="0" w:color="auto"/>
                <w:right w:val="none" w:sz="0" w:space="0" w:color="auto"/>
              </w:divBdr>
            </w:div>
            <w:div w:id="320084062">
              <w:marLeft w:val="0"/>
              <w:marRight w:val="0"/>
              <w:marTop w:val="0"/>
              <w:marBottom w:val="0"/>
              <w:divBdr>
                <w:top w:val="none" w:sz="0" w:space="0" w:color="auto"/>
                <w:left w:val="none" w:sz="0" w:space="0" w:color="auto"/>
                <w:bottom w:val="none" w:sz="0" w:space="0" w:color="auto"/>
                <w:right w:val="none" w:sz="0" w:space="0" w:color="auto"/>
              </w:divBdr>
            </w:div>
            <w:div w:id="345595386">
              <w:marLeft w:val="0"/>
              <w:marRight w:val="0"/>
              <w:marTop w:val="0"/>
              <w:marBottom w:val="0"/>
              <w:divBdr>
                <w:top w:val="none" w:sz="0" w:space="0" w:color="auto"/>
                <w:left w:val="none" w:sz="0" w:space="0" w:color="auto"/>
                <w:bottom w:val="none" w:sz="0" w:space="0" w:color="auto"/>
                <w:right w:val="none" w:sz="0" w:space="0" w:color="auto"/>
              </w:divBdr>
            </w:div>
            <w:div w:id="352003618">
              <w:marLeft w:val="0"/>
              <w:marRight w:val="0"/>
              <w:marTop w:val="0"/>
              <w:marBottom w:val="0"/>
              <w:divBdr>
                <w:top w:val="none" w:sz="0" w:space="0" w:color="auto"/>
                <w:left w:val="none" w:sz="0" w:space="0" w:color="auto"/>
                <w:bottom w:val="none" w:sz="0" w:space="0" w:color="auto"/>
                <w:right w:val="none" w:sz="0" w:space="0" w:color="auto"/>
              </w:divBdr>
            </w:div>
            <w:div w:id="368264288">
              <w:marLeft w:val="0"/>
              <w:marRight w:val="0"/>
              <w:marTop w:val="0"/>
              <w:marBottom w:val="0"/>
              <w:divBdr>
                <w:top w:val="none" w:sz="0" w:space="0" w:color="auto"/>
                <w:left w:val="none" w:sz="0" w:space="0" w:color="auto"/>
                <w:bottom w:val="none" w:sz="0" w:space="0" w:color="auto"/>
                <w:right w:val="none" w:sz="0" w:space="0" w:color="auto"/>
              </w:divBdr>
            </w:div>
            <w:div w:id="377710104">
              <w:marLeft w:val="0"/>
              <w:marRight w:val="0"/>
              <w:marTop w:val="0"/>
              <w:marBottom w:val="0"/>
              <w:divBdr>
                <w:top w:val="none" w:sz="0" w:space="0" w:color="auto"/>
                <w:left w:val="none" w:sz="0" w:space="0" w:color="auto"/>
                <w:bottom w:val="none" w:sz="0" w:space="0" w:color="auto"/>
                <w:right w:val="none" w:sz="0" w:space="0" w:color="auto"/>
              </w:divBdr>
            </w:div>
            <w:div w:id="382677165">
              <w:marLeft w:val="0"/>
              <w:marRight w:val="0"/>
              <w:marTop w:val="0"/>
              <w:marBottom w:val="0"/>
              <w:divBdr>
                <w:top w:val="none" w:sz="0" w:space="0" w:color="auto"/>
                <w:left w:val="none" w:sz="0" w:space="0" w:color="auto"/>
                <w:bottom w:val="none" w:sz="0" w:space="0" w:color="auto"/>
                <w:right w:val="none" w:sz="0" w:space="0" w:color="auto"/>
              </w:divBdr>
            </w:div>
            <w:div w:id="435638301">
              <w:marLeft w:val="0"/>
              <w:marRight w:val="0"/>
              <w:marTop w:val="0"/>
              <w:marBottom w:val="0"/>
              <w:divBdr>
                <w:top w:val="none" w:sz="0" w:space="0" w:color="auto"/>
                <w:left w:val="none" w:sz="0" w:space="0" w:color="auto"/>
                <w:bottom w:val="none" w:sz="0" w:space="0" w:color="auto"/>
                <w:right w:val="none" w:sz="0" w:space="0" w:color="auto"/>
              </w:divBdr>
            </w:div>
            <w:div w:id="445856853">
              <w:marLeft w:val="0"/>
              <w:marRight w:val="0"/>
              <w:marTop w:val="0"/>
              <w:marBottom w:val="0"/>
              <w:divBdr>
                <w:top w:val="none" w:sz="0" w:space="0" w:color="auto"/>
                <w:left w:val="none" w:sz="0" w:space="0" w:color="auto"/>
                <w:bottom w:val="none" w:sz="0" w:space="0" w:color="auto"/>
                <w:right w:val="none" w:sz="0" w:space="0" w:color="auto"/>
              </w:divBdr>
            </w:div>
            <w:div w:id="453447375">
              <w:marLeft w:val="0"/>
              <w:marRight w:val="0"/>
              <w:marTop w:val="0"/>
              <w:marBottom w:val="0"/>
              <w:divBdr>
                <w:top w:val="none" w:sz="0" w:space="0" w:color="auto"/>
                <w:left w:val="none" w:sz="0" w:space="0" w:color="auto"/>
                <w:bottom w:val="none" w:sz="0" w:space="0" w:color="auto"/>
                <w:right w:val="none" w:sz="0" w:space="0" w:color="auto"/>
              </w:divBdr>
            </w:div>
            <w:div w:id="456097464">
              <w:marLeft w:val="0"/>
              <w:marRight w:val="0"/>
              <w:marTop w:val="0"/>
              <w:marBottom w:val="0"/>
              <w:divBdr>
                <w:top w:val="none" w:sz="0" w:space="0" w:color="auto"/>
                <w:left w:val="none" w:sz="0" w:space="0" w:color="auto"/>
                <w:bottom w:val="none" w:sz="0" w:space="0" w:color="auto"/>
                <w:right w:val="none" w:sz="0" w:space="0" w:color="auto"/>
              </w:divBdr>
            </w:div>
            <w:div w:id="470831151">
              <w:marLeft w:val="0"/>
              <w:marRight w:val="0"/>
              <w:marTop w:val="0"/>
              <w:marBottom w:val="0"/>
              <w:divBdr>
                <w:top w:val="none" w:sz="0" w:space="0" w:color="auto"/>
                <w:left w:val="none" w:sz="0" w:space="0" w:color="auto"/>
                <w:bottom w:val="none" w:sz="0" w:space="0" w:color="auto"/>
                <w:right w:val="none" w:sz="0" w:space="0" w:color="auto"/>
              </w:divBdr>
            </w:div>
            <w:div w:id="518005403">
              <w:marLeft w:val="0"/>
              <w:marRight w:val="0"/>
              <w:marTop w:val="0"/>
              <w:marBottom w:val="0"/>
              <w:divBdr>
                <w:top w:val="none" w:sz="0" w:space="0" w:color="auto"/>
                <w:left w:val="none" w:sz="0" w:space="0" w:color="auto"/>
                <w:bottom w:val="none" w:sz="0" w:space="0" w:color="auto"/>
                <w:right w:val="none" w:sz="0" w:space="0" w:color="auto"/>
              </w:divBdr>
            </w:div>
            <w:div w:id="521091057">
              <w:marLeft w:val="0"/>
              <w:marRight w:val="0"/>
              <w:marTop w:val="0"/>
              <w:marBottom w:val="0"/>
              <w:divBdr>
                <w:top w:val="none" w:sz="0" w:space="0" w:color="auto"/>
                <w:left w:val="none" w:sz="0" w:space="0" w:color="auto"/>
                <w:bottom w:val="none" w:sz="0" w:space="0" w:color="auto"/>
                <w:right w:val="none" w:sz="0" w:space="0" w:color="auto"/>
              </w:divBdr>
            </w:div>
            <w:div w:id="533546493">
              <w:marLeft w:val="0"/>
              <w:marRight w:val="0"/>
              <w:marTop w:val="0"/>
              <w:marBottom w:val="0"/>
              <w:divBdr>
                <w:top w:val="none" w:sz="0" w:space="0" w:color="auto"/>
                <w:left w:val="none" w:sz="0" w:space="0" w:color="auto"/>
                <w:bottom w:val="none" w:sz="0" w:space="0" w:color="auto"/>
                <w:right w:val="none" w:sz="0" w:space="0" w:color="auto"/>
              </w:divBdr>
            </w:div>
            <w:div w:id="556942759">
              <w:marLeft w:val="0"/>
              <w:marRight w:val="0"/>
              <w:marTop w:val="0"/>
              <w:marBottom w:val="0"/>
              <w:divBdr>
                <w:top w:val="none" w:sz="0" w:space="0" w:color="auto"/>
                <w:left w:val="none" w:sz="0" w:space="0" w:color="auto"/>
                <w:bottom w:val="none" w:sz="0" w:space="0" w:color="auto"/>
                <w:right w:val="none" w:sz="0" w:space="0" w:color="auto"/>
              </w:divBdr>
            </w:div>
            <w:div w:id="575166469">
              <w:marLeft w:val="0"/>
              <w:marRight w:val="0"/>
              <w:marTop w:val="0"/>
              <w:marBottom w:val="0"/>
              <w:divBdr>
                <w:top w:val="none" w:sz="0" w:space="0" w:color="auto"/>
                <w:left w:val="none" w:sz="0" w:space="0" w:color="auto"/>
                <w:bottom w:val="none" w:sz="0" w:space="0" w:color="auto"/>
                <w:right w:val="none" w:sz="0" w:space="0" w:color="auto"/>
              </w:divBdr>
            </w:div>
            <w:div w:id="612130112">
              <w:marLeft w:val="0"/>
              <w:marRight w:val="0"/>
              <w:marTop w:val="0"/>
              <w:marBottom w:val="0"/>
              <w:divBdr>
                <w:top w:val="none" w:sz="0" w:space="0" w:color="auto"/>
                <w:left w:val="none" w:sz="0" w:space="0" w:color="auto"/>
                <w:bottom w:val="none" w:sz="0" w:space="0" w:color="auto"/>
                <w:right w:val="none" w:sz="0" w:space="0" w:color="auto"/>
              </w:divBdr>
            </w:div>
            <w:div w:id="615916768">
              <w:marLeft w:val="0"/>
              <w:marRight w:val="0"/>
              <w:marTop w:val="0"/>
              <w:marBottom w:val="0"/>
              <w:divBdr>
                <w:top w:val="none" w:sz="0" w:space="0" w:color="auto"/>
                <w:left w:val="none" w:sz="0" w:space="0" w:color="auto"/>
                <w:bottom w:val="none" w:sz="0" w:space="0" w:color="auto"/>
                <w:right w:val="none" w:sz="0" w:space="0" w:color="auto"/>
              </w:divBdr>
            </w:div>
            <w:div w:id="619991358">
              <w:marLeft w:val="0"/>
              <w:marRight w:val="0"/>
              <w:marTop w:val="0"/>
              <w:marBottom w:val="0"/>
              <w:divBdr>
                <w:top w:val="none" w:sz="0" w:space="0" w:color="auto"/>
                <w:left w:val="none" w:sz="0" w:space="0" w:color="auto"/>
                <w:bottom w:val="none" w:sz="0" w:space="0" w:color="auto"/>
                <w:right w:val="none" w:sz="0" w:space="0" w:color="auto"/>
              </w:divBdr>
            </w:div>
            <w:div w:id="620452411">
              <w:marLeft w:val="0"/>
              <w:marRight w:val="0"/>
              <w:marTop w:val="0"/>
              <w:marBottom w:val="0"/>
              <w:divBdr>
                <w:top w:val="none" w:sz="0" w:space="0" w:color="auto"/>
                <w:left w:val="none" w:sz="0" w:space="0" w:color="auto"/>
                <w:bottom w:val="none" w:sz="0" w:space="0" w:color="auto"/>
                <w:right w:val="none" w:sz="0" w:space="0" w:color="auto"/>
              </w:divBdr>
            </w:div>
            <w:div w:id="647321038">
              <w:marLeft w:val="0"/>
              <w:marRight w:val="0"/>
              <w:marTop w:val="0"/>
              <w:marBottom w:val="0"/>
              <w:divBdr>
                <w:top w:val="none" w:sz="0" w:space="0" w:color="auto"/>
                <w:left w:val="none" w:sz="0" w:space="0" w:color="auto"/>
                <w:bottom w:val="none" w:sz="0" w:space="0" w:color="auto"/>
                <w:right w:val="none" w:sz="0" w:space="0" w:color="auto"/>
              </w:divBdr>
            </w:div>
            <w:div w:id="658002001">
              <w:marLeft w:val="0"/>
              <w:marRight w:val="0"/>
              <w:marTop w:val="0"/>
              <w:marBottom w:val="0"/>
              <w:divBdr>
                <w:top w:val="none" w:sz="0" w:space="0" w:color="auto"/>
                <w:left w:val="none" w:sz="0" w:space="0" w:color="auto"/>
                <w:bottom w:val="none" w:sz="0" w:space="0" w:color="auto"/>
                <w:right w:val="none" w:sz="0" w:space="0" w:color="auto"/>
              </w:divBdr>
            </w:div>
            <w:div w:id="664818964">
              <w:marLeft w:val="0"/>
              <w:marRight w:val="0"/>
              <w:marTop w:val="0"/>
              <w:marBottom w:val="0"/>
              <w:divBdr>
                <w:top w:val="none" w:sz="0" w:space="0" w:color="auto"/>
                <w:left w:val="none" w:sz="0" w:space="0" w:color="auto"/>
                <w:bottom w:val="none" w:sz="0" w:space="0" w:color="auto"/>
                <w:right w:val="none" w:sz="0" w:space="0" w:color="auto"/>
              </w:divBdr>
            </w:div>
            <w:div w:id="668555916">
              <w:marLeft w:val="0"/>
              <w:marRight w:val="0"/>
              <w:marTop w:val="0"/>
              <w:marBottom w:val="0"/>
              <w:divBdr>
                <w:top w:val="none" w:sz="0" w:space="0" w:color="auto"/>
                <w:left w:val="none" w:sz="0" w:space="0" w:color="auto"/>
                <w:bottom w:val="none" w:sz="0" w:space="0" w:color="auto"/>
                <w:right w:val="none" w:sz="0" w:space="0" w:color="auto"/>
              </w:divBdr>
            </w:div>
            <w:div w:id="698429025">
              <w:marLeft w:val="0"/>
              <w:marRight w:val="0"/>
              <w:marTop w:val="0"/>
              <w:marBottom w:val="0"/>
              <w:divBdr>
                <w:top w:val="none" w:sz="0" w:space="0" w:color="auto"/>
                <w:left w:val="none" w:sz="0" w:space="0" w:color="auto"/>
                <w:bottom w:val="none" w:sz="0" w:space="0" w:color="auto"/>
                <w:right w:val="none" w:sz="0" w:space="0" w:color="auto"/>
              </w:divBdr>
            </w:div>
            <w:div w:id="736170047">
              <w:marLeft w:val="0"/>
              <w:marRight w:val="0"/>
              <w:marTop w:val="0"/>
              <w:marBottom w:val="0"/>
              <w:divBdr>
                <w:top w:val="none" w:sz="0" w:space="0" w:color="auto"/>
                <w:left w:val="none" w:sz="0" w:space="0" w:color="auto"/>
                <w:bottom w:val="none" w:sz="0" w:space="0" w:color="auto"/>
                <w:right w:val="none" w:sz="0" w:space="0" w:color="auto"/>
              </w:divBdr>
            </w:div>
            <w:div w:id="763305099">
              <w:marLeft w:val="0"/>
              <w:marRight w:val="0"/>
              <w:marTop w:val="0"/>
              <w:marBottom w:val="0"/>
              <w:divBdr>
                <w:top w:val="none" w:sz="0" w:space="0" w:color="auto"/>
                <w:left w:val="none" w:sz="0" w:space="0" w:color="auto"/>
                <w:bottom w:val="none" w:sz="0" w:space="0" w:color="auto"/>
                <w:right w:val="none" w:sz="0" w:space="0" w:color="auto"/>
              </w:divBdr>
            </w:div>
            <w:div w:id="773400907">
              <w:marLeft w:val="0"/>
              <w:marRight w:val="0"/>
              <w:marTop w:val="0"/>
              <w:marBottom w:val="0"/>
              <w:divBdr>
                <w:top w:val="none" w:sz="0" w:space="0" w:color="auto"/>
                <w:left w:val="none" w:sz="0" w:space="0" w:color="auto"/>
                <w:bottom w:val="none" w:sz="0" w:space="0" w:color="auto"/>
                <w:right w:val="none" w:sz="0" w:space="0" w:color="auto"/>
              </w:divBdr>
            </w:div>
            <w:div w:id="774716013">
              <w:marLeft w:val="0"/>
              <w:marRight w:val="0"/>
              <w:marTop w:val="0"/>
              <w:marBottom w:val="0"/>
              <w:divBdr>
                <w:top w:val="none" w:sz="0" w:space="0" w:color="auto"/>
                <w:left w:val="none" w:sz="0" w:space="0" w:color="auto"/>
                <w:bottom w:val="none" w:sz="0" w:space="0" w:color="auto"/>
                <w:right w:val="none" w:sz="0" w:space="0" w:color="auto"/>
              </w:divBdr>
            </w:div>
            <w:div w:id="777407803">
              <w:marLeft w:val="0"/>
              <w:marRight w:val="0"/>
              <w:marTop w:val="0"/>
              <w:marBottom w:val="0"/>
              <w:divBdr>
                <w:top w:val="none" w:sz="0" w:space="0" w:color="auto"/>
                <w:left w:val="none" w:sz="0" w:space="0" w:color="auto"/>
                <w:bottom w:val="none" w:sz="0" w:space="0" w:color="auto"/>
                <w:right w:val="none" w:sz="0" w:space="0" w:color="auto"/>
              </w:divBdr>
            </w:div>
            <w:div w:id="782531146">
              <w:marLeft w:val="0"/>
              <w:marRight w:val="0"/>
              <w:marTop w:val="0"/>
              <w:marBottom w:val="0"/>
              <w:divBdr>
                <w:top w:val="none" w:sz="0" w:space="0" w:color="auto"/>
                <w:left w:val="none" w:sz="0" w:space="0" w:color="auto"/>
                <w:bottom w:val="none" w:sz="0" w:space="0" w:color="auto"/>
                <w:right w:val="none" w:sz="0" w:space="0" w:color="auto"/>
              </w:divBdr>
            </w:div>
            <w:div w:id="801078983">
              <w:marLeft w:val="0"/>
              <w:marRight w:val="0"/>
              <w:marTop w:val="0"/>
              <w:marBottom w:val="0"/>
              <w:divBdr>
                <w:top w:val="none" w:sz="0" w:space="0" w:color="auto"/>
                <w:left w:val="none" w:sz="0" w:space="0" w:color="auto"/>
                <w:bottom w:val="none" w:sz="0" w:space="0" w:color="auto"/>
                <w:right w:val="none" w:sz="0" w:space="0" w:color="auto"/>
              </w:divBdr>
            </w:div>
            <w:div w:id="874734824">
              <w:marLeft w:val="0"/>
              <w:marRight w:val="0"/>
              <w:marTop w:val="0"/>
              <w:marBottom w:val="0"/>
              <w:divBdr>
                <w:top w:val="none" w:sz="0" w:space="0" w:color="auto"/>
                <w:left w:val="none" w:sz="0" w:space="0" w:color="auto"/>
                <w:bottom w:val="none" w:sz="0" w:space="0" w:color="auto"/>
                <w:right w:val="none" w:sz="0" w:space="0" w:color="auto"/>
              </w:divBdr>
            </w:div>
            <w:div w:id="898055568">
              <w:marLeft w:val="0"/>
              <w:marRight w:val="0"/>
              <w:marTop w:val="0"/>
              <w:marBottom w:val="0"/>
              <w:divBdr>
                <w:top w:val="none" w:sz="0" w:space="0" w:color="auto"/>
                <w:left w:val="none" w:sz="0" w:space="0" w:color="auto"/>
                <w:bottom w:val="none" w:sz="0" w:space="0" w:color="auto"/>
                <w:right w:val="none" w:sz="0" w:space="0" w:color="auto"/>
              </w:divBdr>
            </w:div>
            <w:div w:id="902450336">
              <w:marLeft w:val="0"/>
              <w:marRight w:val="0"/>
              <w:marTop w:val="0"/>
              <w:marBottom w:val="0"/>
              <w:divBdr>
                <w:top w:val="none" w:sz="0" w:space="0" w:color="auto"/>
                <w:left w:val="none" w:sz="0" w:space="0" w:color="auto"/>
                <w:bottom w:val="none" w:sz="0" w:space="0" w:color="auto"/>
                <w:right w:val="none" w:sz="0" w:space="0" w:color="auto"/>
              </w:divBdr>
            </w:div>
            <w:div w:id="929044442">
              <w:marLeft w:val="0"/>
              <w:marRight w:val="0"/>
              <w:marTop w:val="0"/>
              <w:marBottom w:val="0"/>
              <w:divBdr>
                <w:top w:val="none" w:sz="0" w:space="0" w:color="auto"/>
                <w:left w:val="none" w:sz="0" w:space="0" w:color="auto"/>
                <w:bottom w:val="none" w:sz="0" w:space="0" w:color="auto"/>
                <w:right w:val="none" w:sz="0" w:space="0" w:color="auto"/>
              </w:divBdr>
            </w:div>
            <w:div w:id="934899567">
              <w:marLeft w:val="0"/>
              <w:marRight w:val="0"/>
              <w:marTop w:val="0"/>
              <w:marBottom w:val="0"/>
              <w:divBdr>
                <w:top w:val="none" w:sz="0" w:space="0" w:color="auto"/>
                <w:left w:val="none" w:sz="0" w:space="0" w:color="auto"/>
                <w:bottom w:val="none" w:sz="0" w:space="0" w:color="auto"/>
                <w:right w:val="none" w:sz="0" w:space="0" w:color="auto"/>
              </w:divBdr>
            </w:div>
            <w:div w:id="939871443">
              <w:marLeft w:val="0"/>
              <w:marRight w:val="0"/>
              <w:marTop w:val="0"/>
              <w:marBottom w:val="0"/>
              <w:divBdr>
                <w:top w:val="none" w:sz="0" w:space="0" w:color="auto"/>
                <w:left w:val="none" w:sz="0" w:space="0" w:color="auto"/>
                <w:bottom w:val="none" w:sz="0" w:space="0" w:color="auto"/>
                <w:right w:val="none" w:sz="0" w:space="0" w:color="auto"/>
              </w:divBdr>
            </w:div>
            <w:div w:id="958685609">
              <w:marLeft w:val="0"/>
              <w:marRight w:val="0"/>
              <w:marTop w:val="0"/>
              <w:marBottom w:val="0"/>
              <w:divBdr>
                <w:top w:val="none" w:sz="0" w:space="0" w:color="auto"/>
                <w:left w:val="none" w:sz="0" w:space="0" w:color="auto"/>
                <w:bottom w:val="none" w:sz="0" w:space="0" w:color="auto"/>
                <w:right w:val="none" w:sz="0" w:space="0" w:color="auto"/>
              </w:divBdr>
            </w:div>
            <w:div w:id="965240422">
              <w:marLeft w:val="0"/>
              <w:marRight w:val="0"/>
              <w:marTop w:val="0"/>
              <w:marBottom w:val="0"/>
              <w:divBdr>
                <w:top w:val="none" w:sz="0" w:space="0" w:color="auto"/>
                <w:left w:val="none" w:sz="0" w:space="0" w:color="auto"/>
                <w:bottom w:val="none" w:sz="0" w:space="0" w:color="auto"/>
                <w:right w:val="none" w:sz="0" w:space="0" w:color="auto"/>
              </w:divBdr>
            </w:div>
            <w:div w:id="968973801">
              <w:marLeft w:val="0"/>
              <w:marRight w:val="0"/>
              <w:marTop w:val="0"/>
              <w:marBottom w:val="0"/>
              <w:divBdr>
                <w:top w:val="none" w:sz="0" w:space="0" w:color="auto"/>
                <w:left w:val="none" w:sz="0" w:space="0" w:color="auto"/>
                <w:bottom w:val="none" w:sz="0" w:space="0" w:color="auto"/>
                <w:right w:val="none" w:sz="0" w:space="0" w:color="auto"/>
              </w:divBdr>
            </w:div>
            <w:div w:id="970942880">
              <w:marLeft w:val="0"/>
              <w:marRight w:val="0"/>
              <w:marTop w:val="0"/>
              <w:marBottom w:val="0"/>
              <w:divBdr>
                <w:top w:val="none" w:sz="0" w:space="0" w:color="auto"/>
                <w:left w:val="none" w:sz="0" w:space="0" w:color="auto"/>
                <w:bottom w:val="none" w:sz="0" w:space="0" w:color="auto"/>
                <w:right w:val="none" w:sz="0" w:space="0" w:color="auto"/>
              </w:divBdr>
            </w:div>
            <w:div w:id="985477239">
              <w:marLeft w:val="0"/>
              <w:marRight w:val="0"/>
              <w:marTop w:val="0"/>
              <w:marBottom w:val="0"/>
              <w:divBdr>
                <w:top w:val="none" w:sz="0" w:space="0" w:color="auto"/>
                <w:left w:val="none" w:sz="0" w:space="0" w:color="auto"/>
                <w:bottom w:val="none" w:sz="0" w:space="0" w:color="auto"/>
                <w:right w:val="none" w:sz="0" w:space="0" w:color="auto"/>
              </w:divBdr>
            </w:div>
            <w:div w:id="1028601108">
              <w:marLeft w:val="0"/>
              <w:marRight w:val="0"/>
              <w:marTop w:val="0"/>
              <w:marBottom w:val="0"/>
              <w:divBdr>
                <w:top w:val="none" w:sz="0" w:space="0" w:color="auto"/>
                <w:left w:val="none" w:sz="0" w:space="0" w:color="auto"/>
                <w:bottom w:val="none" w:sz="0" w:space="0" w:color="auto"/>
                <w:right w:val="none" w:sz="0" w:space="0" w:color="auto"/>
              </w:divBdr>
            </w:div>
            <w:div w:id="1034424081">
              <w:marLeft w:val="0"/>
              <w:marRight w:val="0"/>
              <w:marTop w:val="0"/>
              <w:marBottom w:val="0"/>
              <w:divBdr>
                <w:top w:val="none" w:sz="0" w:space="0" w:color="auto"/>
                <w:left w:val="none" w:sz="0" w:space="0" w:color="auto"/>
                <w:bottom w:val="none" w:sz="0" w:space="0" w:color="auto"/>
                <w:right w:val="none" w:sz="0" w:space="0" w:color="auto"/>
              </w:divBdr>
            </w:div>
            <w:div w:id="1050761067">
              <w:marLeft w:val="0"/>
              <w:marRight w:val="0"/>
              <w:marTop w:val="0"/>
              <w:marBottom w:val="0"/>
              <w:divBdr>
                <w:top w:val="none" w:sz="0" w:space="0" w:color="auto"/>
                <w:left w:val="none" w:sz="0" w:space="0" w:color="auto"/>
                <w:bottom w:val="none" w:sz="0" w:space="0" w:color="auto"/>
                <w:right w:val="none" w:sz="0" w:space="0" w:color="auto"/>
              </w:divBdr>
            </w:div>
            <w:div w:id="1081870364">
              <w:marLeft w:val="0"/>
              <w:marRight w:val="0"/>
              <w:marTop w:val="0"/>
              <w:marBottom w:val="0"/>
              <w:divBdr>
                <w:top w:val="none" w:sz="0" w:space="0" w:color="auto"/>
                <w:left w:val="none" w:sz="0" w:space="0" w:color="auto"/>
                <w:bottom w:val="none" w:sz="0" w:space="0" w:color="auto"/>
                <w:right w:val="none" w:sz="0" w:space="0" w:color="auto"/>
              </w:divBdr>
            </w:div>
            <w:div w:id="1082532897">
              <w:marLeft w:val="0"/>
              <w:marRight w:val="0"/>
              <w:marTop w:val="0"/>
              <w:marBottom w:val="0"/>
              <w:divBdr>
                <w:top w:val="none" w:sz="0" w:space="0" w:color="auto"/>
                <w:left w:val="none" w:sz="0" w:space="0" w:color="auto"/>
                <w:bottom w:val="none" w:sz="0" w:space="0" w:color="auto"/>
                <w:right w:val="none" w:sz="0" w:space="0" w:color="auto"/>
              </w:divBdr>
            </w:div>
            <w:div w:id="1109083952">
              <w:marLeft w:val="0"/>
              <w:marRight w:val="0"/>
              <w:marTop w:val="0"/>
              <w:marBottom w:val="0"/>
              <w:divBdr>
                <w:top w:val="none" w:sz="0" w:space="0" w:color="auto"/>
                <w:left w:val="none" w:sz="0" w:space="0" w:color="auto"/>
                <w:bottom w:val="none" w:sz="0" w:space="0" w:color="auto"/>
                <w:right w:val="none" w:sz="0" w:space="0" w:color="auto"/>
              </w:divBdr>
            </w:div>
            <w:div w:id="1114790684">
              <w:marLeft w:val="0"/>
              <w:marRight w:val="0"/>
              <w:marTop w:val="0"/>
              <w:marBottom w:val="0"/>
              <w:divBdr>
                <w:top w:val="none" w:sz="0" w:space="0" w:color="auto"/>
                <w:left w:val="none" w:sz="0" w:space="0" w:color="auto"/>
                <w:bottom w:val="none" w:sz="0" w:space="0" w:color="auto"/>
                <w:right w:val="none" w:sz="0" w:space="0" w:color="auto"/>
              </w:divBdr>
            </w:div>
            <w:div w:id="1136026023">
              <w:marLeft w:val="0"/>
              <w:marRight w:val="0"/>
              <w:marTop w:val="0"/>
              <w:marBottom w:val="0"/>
              <w:divBdr>
                <w:top w:val="none" w:sz="0" w:space="0" w:color="auto"/>
                <w:left w:val="none" w:sz="0" w:space="0" w:color="auto"/>
                <w:bottom w:val="none" w:sz="0" w:space="0" w:color="auto"/>
                <w:right w:val="none" w:sz="0" w:space="0" w:color="auto"/>
              </w:divBdr>
            </w:div>
            <w:div w:id="1145973219">
              <w:marLeft w:val="0"/>
              <w:marRight w:val="0"/>
              <w:marTop w:val="0"/>
              <w:marBottom w:val="0"/>
              <w:divBdr>
                <w:top w:val="none" w:sz="0" w:space="0" w:color="auto"/>
                <w:left w:val="none" w:sz="0" w:space="0" w:color="auto"/>
                <w:bottom w:val="none" w:sz="0" w:space="0" w:color="auto"/>
                <w:right w:val="none" w:sz="0" w:space="0" w:color="auto"/>
              </w:divBdr>
            </w:div>
            <w:div w:id="1148666305">
              <w:marLeft w:val="0"/>
              <w:marRight w:val="0"/>
              <w:marTop w:val="0"/>
              <w:marBottom w:val="0"/>
              <w:divBdr>
                <w:top w:val="none" w:sz="0" w:space="0" w:color="auto"/>
                <w:left w:val="none" w:sz="0" w:space="0" w:color="auto"/>
                <w:bottom w:val="none" w:sz="0" w:space="0" w:color="auto"/>
                <w:right w:val="none" w:sz="0" w:space="0" w:color="auto"/>
              </w:divBdr>
            </w:div>
            <w:div w:id="1152717237">
              <w:marLeft w:val="0"/>
              <w:marRight w:val="0"/>
              <w:marTop w:val="0"/>
              <w:marBottom w:val="0"/>
              <w:divBdr>
                <w:top w:val="none" w:sz="0" w:space="0" w:color="auto"/>
                <w:left w:val="none" w:sz="0" w:space="0" w:color="auto"/>
                <w:bottom w:val="none" w:sz="0" w:space="0" w:color="auto"/>
                <w:right w:val="none" w:sz="0" w:space="0" w:color="auto"/>
              </w:divBdr>
            </w:div>
            <w:div w:id="1163010684">
              <w:marLeft w:val="0"/>
              <w:marRight w:val="0"/>
              <w:marTop w:val="0"/>
              <w:marBottom w:val="0"/>
              <w:divBdr>
                <w:top w:val="none" w:sz="0" w:space="0" w:color="auto"/>
                <w:left w:val="none" w:sz="0" w:space="0" w:color="auto"/>
                <w:bottom w:val="none" w:sz="0" w:space="0" w:color="auto"/>
                <w:right w:val="none" w:sz="0" w:space="0" w:color="auto"/>
              </w:divBdr>
            </w:div>
            <w:div w:id="1193499602">
              <w:marLeft w:val="0"/>
              <w:marRight w:val="0"/>
              <w:marTop w:val="0"/>
              <w:marBottom w:val="0"/>
              <w:divBdr>
                <w:top w:val="none" w:sz="0" w:space="0" w:color="auto"/>
                <w:left w:val="none" w:sz="0" w:space="0" w:color="auto"/>
                <w:bottom w:val="none" w:sz="0" w:space="0" w:color="auto"/>
                <w:right w:val="none" w:sz="0" w:space="0" w:color="auto"/>
              </w:divBdr>
            </w:div>
            <w:div w:id="1197083507">
              <w:marLeft w:val="0"/>
              <w:marRight w:val="0"/>
              <w:marTop w:val="0"/>
              <w:marBottom w:val="0"/>
              <w:divBdr>
                <w:top w:val="none" w:sz="0" w:space="0" w:color="auto"/>
                <w:left w:val="none" w:sz="0" w:space="0" w:color="auto"/>
                <w:bottom w:val="none" w:sz="0" w:space="0" w:color="auto"/>
                <w:right w:val="none" w:sz="0" w:space="0" w:color="auto"/>
              </w:divBdr>
            </w:div>
            <w:div w:id="1198542386">
              <w:marLeft w:val="0"/>
              <w:marRight w:val="0"/>
              <w:marTop w:val="0"/>
              <w:marBottom w:val="0"/>
              <w:divBdr>
                <w:top w:val="none" w:sz="0" w:space="0" w:color="auto"/>
                <w:left w:val="none" w:sz="0" w:space="0" w:color="auto"/>
                <w:bottom w:val="none" w:sz="0" w:space="0" w:color="auto"/>
                <w:right w:val="none" w:sz="0" w:space="0" w:color="auto"/>
              </w:divBdr>
            </w:div>
            <w:div w:id="1202207040">
              <w:marLeft w:val="0"/>
              <w:marRight w:val="0"/>
              <w:marTop w:val="0"/>
              <w:marBottom w:val="0"/>
              <w:divBdr>
                <w:top w:val="none" w:sz="0" w:space="0" w:color="auto"/>
                <w:left w:val="none" w:sz="0" w:space="0" w:color="auto"/>
                <w:bottom w:val="none" w:sz="0" w:space="0" w:color="auto"/>
                <w:right w:val="none" w:sz="0" w:space="0" w:color="auto"/>
              </w:divBdr>
            </w:div>
            <w:div w:id="1206328747">
              <w:marLeft w:val="0"/>
              <w:marRight w:val="0"/>
              <w:marTop w:val="0"/>
              <w:marBottom w:val="0"/>
              <w:divBdr>
                <w:top w:val="none" w:sz="0" w:space="0" w:color="auto"/>
                <w:left w:val="none" w:sz="0" w:space="0" w:color="auto"/>
                <w:bottom w:val="none" w:sz="0" w:space="0" w:color="auto"/>
                <w:right w:val="none" w:sz="0" w:space="0" w:color="auto"/>
              </w:divBdr>
            </w:div>
            <w:div w:id="1217203040">
              <w:marLeft w:val="0"/>
              <w:marRight w:val="0"/>
              <w:marTop w:val="0"/>
              <w:marBottom w:val="0"/>
              <w:divBdr>
                <w:top w:val="none" w:sz="0" w:space="0" w:color="auto"/>
                <w:left w:val="none" w:sz="0" w:space="0" w:color="auto"/>
                <w:bottom w:val="none" w:sz="0" w:space="0" w:color="auto"/>
                <w:right w:val="none" w:sz="0" w:space="0" w:color="auto"/>
              </w:divBdr>
            </w:div>
            <w:div w:id="1230994451">
              <w:marLeft w:val="0"/>
              <w:marRight w:val="0"/>
              <w:marTop w:val="0"/>
              <w:marBottom w:val="0"/>
              <w:divBdr>
                <w:top w:val="none" w:sz="0" w:space="0" w:color="auto"/>
                <w:left w:val="none" w:sz="0" w:space="0" w:color="auto"/>
                <w:bottom w:val="none" w:sz="0" w:space="0" w:color="auto"/>
                <w:right w:val="none" w:sz="0" w:space="0" w:color="auto"/>
              </w:divBdr>
            </w:div>
            <w:div w:id="1254820690">
              <w:marLeft w:val="0"/>
              <w:marRight w:val="0"/>
              <w:marTop w:val="0"/>
              <w:marBottom w:val="0"/>
              <w:divBdr>
                <w:top w:val="none" w:sz="0" w:space="0" w:color="auto"/>
                <w:left w:val="none" w:sz="0" w:space="0" w:color="auto"/>
                <w:bottom w:val="none" w:sz="0" w:space="0" w:color="auto"/>
                <w:right w:val="none" w:sz="0" w:space="0" w:color="auto"/>
              </w:divBdr>
            </w:div>
            <w:div w:id="1290086112">
              <w:marLeft w:val="0"/>
              <w:marRight w:val="0"/>
              <w:marTop w:val="0"/>
              <w:marBottom w:val="0"/>
              <w:divBdr>
                <w:top w:val="none" w:sz="0" w:space="0" w:color="auto"/>
                <w:left w:val="none" w:sz="0" w:space="0" w:color="auto"/>
                <w:bottom w:val="none" w:sz="0" w:space="0" w:color="auto"/>
                <w:right w:val="none" w:sz="0" w:space="0" w:color="auto"/>
              </w:divBdr>
            </w:div>
            <w:div w:id="1292322335">
              <w:marLeft w:val="0"/>
              <w:marRight w:val="0"/>
              <w:marTop w:val="0"/>
              <w:marBottom w:val="0"/>
              <w:divBdr>
                <w:top w:val="none" w:sz="0" w:space="0" w:color="auto"/>
                <w:left w:val="none" w:sz="0" w:space="0" w:color="auto"/>
                <w:bottom w:val="none" w:sz="0" w:space="0" w:color="auto"/>
                <w:right w:val="none" w:sz="0" w:space="0" w:color="auto"/>
              </w:divBdr>
            </w:div>
            <w:div w:id="1326128521">
              <w:marLeft w:val="0"/>
              <w:marRight w:val="0"/>
              <w:marTop w:val="0"/>
              <w:marBottom w:val="0"/>
              <w:divBdr>
                <w:top w:val="none" w:sz="0" w:space="0" w:color="auto"/>
                <w:left w:val="none" w:sz="0" w:space="0" w:color="auto"/>
                <w:bottom w:val="none" w:sz="0" w:space="0" w:color="auto"/>
                <w:right w:val="none" w:sz="0" w:space="0" w:color="auto"/>
              </w:divBdr>
            </w:div>
            <w:div w:id="1337683280">
              <w:marLeft w:val="0"/>
              <w:marRight w:val="0"/>
              <w:marTop w:val="0"/>
              <w:marBottom w:val="0"/>
              <w:divBdr>
                <w:top w:val="none" w:sz="0" w:space="0" w:color="auto"/>
                <w:left w:val="none" w:sz="0" w:space="0" w:color="auto"/>
                <w:bottom w:val="none" w:sz="0" w:space="0" w:color="auto"/>
                <w:right w:val="none" w:sz="0" w:space="0" w:color="auto"/>
              </w:divBdr>
            </w:div>
            <w:div w:id="1340691925">
              <w:marLeft w:val="0"/>
              <w:marRight w:val="0"/>
              <w:marTop w:val="0"/>
              <w:marBottom w:val="0"/>
              <w:divBdr>
                <w:top w:val="none" w:sz="0" w:space="0" w:color="auto"/>
                <w:left w:val="none" w:sz="0" w:space="0" w:color="auto"/>
                <w:bottom w:val="none" w:sz="0" w:space="0" w:color="auto"/>
                <w:right w:val="none" w:sz="0" w:space="0" w:color="auto"/>
              </w:divBdr>
            </w:div>
            <w:div w:id="1360745020">
              <w:marLeft w:val="0"/>
              <w:marRight w:val="0"/>
              <w:marTop w:val="0"/>
              <w:marBottom w:val="0"/>
              <w:divBdr>
                <w:top w:val="none" w:sz="0" w:space="0" w:color="auto"/>
                <w:left w:val="none" w:sz="0" w:space="0" w:color="auto"/>
                <w:bottom w:val="none" w:sz="0" w:space="0" w:color="auto"/>
                <w:right w:val="none" w:sz="0" w:space="0" w:color="auto"/>
              </w:divBdr>
            </w:div>
            <w:div w:id="1419405791">
              <w:marLeft w:val="0"/>
              <w:marRight w:val="0"/>
              <w:marTop w:val="0"/>
              <w:marBottom w:val="0"/>
              <w:divBdr>
                <w:top w:val="none" w:sz="0" w:space="0" w:color="auto"/>
                <w:left w:val="none" w:sz="0" w:space="0" w:color="auto"/>
                <w:bottom w:val="none" w:sz="0" w:space="0" w:color="auto"/>
                <w:right w:val="none" w:sz="0" w:space="0" w:color="auto"/>
              </w:divBdr>
            </w:div>
            <w:div w:id="1444572161">
              <w:marLeft w:val="0"/>
              <w:marRight w:val="0"/>
              <w:marTop w:val="0"/>
              <w:marBottom w:val="0"/>
              <w:divBdr>
                <w:top w:val="none" w:sz="0" w:space="0" w:color="auto"/>
                <w:left w:val="none" w:sz="0" w:space="0" w:color="auto"/>
                <w:bottom w:val="none" w:sz="0" w:space="0" w:color="auto"/>
                <w:right w:val="none" w:sz="0" w:space="0" w:color="auto"/>
              </w:divBdr>
            </w:div>
            <w:div w:id="1465465225">
              <w:marLeft w:val="0"/>
              <w:marRight w:val="0"/>
              <w:marTop w:val="0"/>
              <w:marBottom w:val="0"/>
              <w:divBdr>
                <w:top w:val="none" w:sz="0" w:space="0" w:color="auto"/>
                <w:left w:val="none" w:sz="0" w:space="0" w:color="auto"/>
                <w:bottom w:val="none" w:sz="0" w:space="0" w:color="auto"/>
                <w:right w:val="none" w:sz="0" w:space="0" w:color="auto"/>
              </w:divBdr>
            </w:div>
            <w:div w:id="1467969436">
              <w:marLeft w:val="0"/>
              <w:marRight w:val="0"/>
              <w:marTop w:val="0"/>
              <w:marBottom w:val="0"/>
              <w:divBdr>
                <w:top w:val="none" w:sz="0" w:space="0" w:color="auto"/>
                <w:left w:val="none" w:sz="0" w:space="0" w:color="auto"/>
                <w:bottom w:val="none" w:sz="0" w:space="0" w:color="auto"/>
                <w:right w:val="none" w:sz="0" w:space="0" w:color="auto"/>
              </w:divBdr>
            </w:div>
            <w:div w:id="1472091719">
              <w:marLeft w:val="0"/>
              <w:marRight w:val="0"/>
              <w:marTop w:val="0"/>
              <w:marBottom w:val="0"/>
              <w:divBdr>
                <w:top w:val="none" w:sz="0" w:space="0" w:color="auto"/>
                <w:left w:val="none" w:sz="0" w:space="0" w:color="auto"/>
                <w:bottom w:val="none" w:sz="0" w:space="0" w:color="auto"/>
                <w:right w:val="none" w:sz="0" w:space="0" w:color="auto"/>
              </w:divBdr>
            </w:div>
            <w:div w:id="1483766318">
              <w:marLeft w:val="0"/>
              <w:marRight w:val="0"/>
              <w:marTop w:val="0"/>
              <w:marBottom w:val="0"/>
              <w:divBdr>
                <w:top w:val="none" w:sz="0" w:space="0" w:color="auto"/>
                <w:left w:val="none" w:sz="0" w:space="0" w:color="auto"/>
                <w:bottom w:val="none" w:sz="0" w:space="0" w:color="auto"/>
                <w:right w:val="none" w:sz="0" w:space="0" w:color="auto"/>
              </w:divBdr>
            </w:div>
            <w:div w:id="1522157670">
              <w:marLeft w:val="0"/>
              <w:marRight w:val="0"/>
              <w:marTop w:val="0"/>
              <w:marBottom w:val="0"/>
              <w:divBdr>
                <w:top w:val="none" w:sz="0" w:space="0" w:color="auto"/>
                <w:left w:val="none" w:sz="0" w:space="0" w:color="auto"/>
                <w:bottom w:val="none" w:sz="0" w:space="0" w:color="auto"/>
                <w:right w:val="none" w:sz="0" w:space="0" w:color="auto"/>
              </w:divBdr>
            </w:div>
            <w:div w:id="1529099556">
              <w:marLeft w:val="0"/>
              <w:marRight w:val="0"/>
              <w:marTop w:val="0"/>
              <w:marBottom w:val="0"/>
              <w:divBdr>
                <w:top w:val="none" w:sz="0" w:space="0" w:color="auto"/>
                <w:left w:val="none" w:sz="0" w:space="0" w:color="auto"/>
                <w:bottom w:val="none" w:sz="0" w:space="0" w:color="auto"/>
                <w:right w:val="none" w:sz="0" w:space="0" w:color="auto"/>
              </w:divBdr>
            </w:div>
            <w:div w:id="1579439988">
              <w:marLeft w:val="0"/>
              <w:marRight w:val="0"/>
              <w:marTop w:val="0"/>
              <w:marBottom w:val="0"/>
              <w:divBdr>
                <w:top w:val="none" w:sz="0" w:space="0" w:color="auto"/>
                <w:left w:val="none" w:sz="0" w:space="0" w:color="auto"/>
                <w:bottom w:val="none" w:sz="0" w:space="0" w:color="auto"/>
                <w:right w:val="none" w:sz="0" w:space="0" w:color="auto"/>
              </w:divBdr>
            </w:div>
            <w:div w:id="1626349035">
              <w:marLeft w:val="0"/>
              <w:marRight w:val="0"/>
              <w:marTop w:val="0"/>
              <w:marBottom w:val="0"/>
              <w:divBdr>
                <w:top w:val="none" w:sz="0" w:space="0" w:color="auto"/>
                <w:left w:val="none" w:sz="0" w:space="0" w:color="auto"/>
                <w:bottom w:val="none" w:sz="0" w:space="0" w:color="auto"/>
                <w:right w:val="none" w:sz="0" w:space="0" w:color="auto"/>
              </w:divBdr>
            </w:div>
            <w:div w:id="1630669016">
              <w:marLeft w:val="0"/>
              <w:marRight w:val="0"/>
              <w:marTop w:val="0"/>
              <w:marBottom w:val="0"/>
              <w:divBdr>
                <w:top w:val="none" w:sz="0" w:space="0" w:color="auto"/>
                <w:left w:val="none" w:sz="0" w:space="0" w:color="auto"/>
                <w:bottom w:val="none" w:sz="0" w:space="0" w:color="auto"/>
                <w:right w:val="none" w:sz="0" w:space="0" w:color="auto"/>
              </w:divBdr>
            </w:div>
            <w:div w:id="1633705489">
              <w:marLeft w:val="0"/>
              <w:marRight w:val="0"/>
              <w:marTop w:val="0"/>
              <w:marBottom w:val="0"/>
              <w:divBdr>
                <w:top w:val="none" w:sz="0" w:space="0" w:color="auto"/>
                <w:left w:val="none" w:sz="0" w:space="0" w:color="auto"/>
                <w:bottom w:val="none" w:sz="0" w:space="0" w:color="auto"/>
                <w:right w:val="none" w:sz="0" w:space="0" w:color="auto"/>
              </w:divBdr>
            </w:div>
            <w:div w:id="1681397194">
              <w:marLeft w:val="0"/>
              <w:marRight w:val="0"/>
              <w:marTop w:val="0"/>
              <w:marBottom w:val="0"/>
              <w:divBdr>
                <w:top w:val="none" w:sz="0" w:space="0" w:color="auto"/>
                <w:left w:val="none" w:sz="0" w:space="0" w:color="auto"/>
                <w:bottom w:val="none" w:sz="0" w:space="0" w:color="auto"/>
                <w:right w:val="none" w:sz="0" w:space="0" w:color="auto"/>
              </w:divBdr>
            </w:div>
            <w:div w:id="1717004998">
              <w:marLeft w:val="0"/>
              <w:marRight w:val="0"/>
              <w:marTop w:val="0"/>
              <w:marBottom w:val="0"/>
              <w:divBdr>
                <w:top w:val="none" w:sz="0" w:space="0" w:color="auto"/>
                <w:left w:val="none" w:sz="0" w:space="0" w:color="auto"/>
                <w:bottom w:val="none" w:sz="0" w:space="0" w:color="auto"/>
                <w:right w:val="none" w:sz="0" w:space="0" w:color="auto"/>
              </w:divBdr>
            </w:div>
            <w:div w:id="1733969445">
              <w:marLeft w:val="0"/>
              <w:marRight w:val="0"/>
              <w:marTop w:val="0"/>
              <w:marBottom w:val="0"/>
              <w:divBdr>
                <w:top w:val="none" w:sz="0" w:space="0" w:color="auto"/>
                <w:left w:val="none" w:sz="0" w:space="0" w:color="auto"/>
                <w:bottom w:val="none" w:sz="0" w:space="0" w:color="auto"/>
                <w:right w:val="none" w:sz="0" w:space="0" w:color="auto"/>
              </w:divBdr>
            </w:div>
            <w:div w:id="1737362482">
              <w:marLeft w:val="0"/>
              <w:marRight w:val="0"/>
              <w:marTop w:val="0"/>
              <w:marBottom w:val="0"/>
              <w:divBdr>
                <w:top w:val="none" w:sz="0" w:space="0" w:color="auto"/>
                <w:left w:val="none" w:sz="0" w:space="0" w:color="auto"/>
                <w:bottom w:val="none" w:sz="0" w:space="0" w:color="auto"/>
                <w:right w:val="none" w:sz="0" w:space="0" w:color="auto"/>
              </w:divBdr>
            </w:div>
            <w:div w:id="1762288040">
              <w:marLeft w:val="0"/>
              <w:marRight w:val="0"/>
              <w:marTop w:val="0"/>
              <w:marBottom w:val="0"/>
              <w:divBdr>
                <w:top w:val="none" w:sz="0" w:space="0" w:color="auto"/>
                <w:left w:val="none" w:sz="0" w:space="0" w:color="auto"/>
                <w:bottom w:val="none" w:sz="0" w:space="0" w:color="auto"/>
                <w:right w:val="none" w:sz="0" w:space="0" w:color="auto"/>
              </w:divBdr>
            </w:div>
            <w:div w:id="1767925585">
              <w:marLeft w:val="0"/>
              <w:marRight w:val="0"/>
              <w:marTop w:val="0"/>
              <w:marBottom w:val="0"/>
              <w:divBdr>
                <w:top w:val="none" w:sz="0" w:space="0" w:color="auto"/>
                <w:left w:val="none" w:sz="0" w:space="0" w:color="auto"/>
                <w:bottom w:val="none" w:sz="0" w:space="0" w:color="auto"/>
                <w:right w:val="none" w:sz="0" w:space="0" w:color="auto"/>
              </w:divBdr>
            </w:div>
            <w:div w:id="1781144855">
              <w:marLeft w:val="0"/>
              <w:marRight w:val="0"/>
              <w:marTop w:val="0"/>
              <w:marBottom w:val="0"/>
              <w:divBdr>
                <w:top w:val="none" w:sz="0" w:space="0" w:color="auto"/>
                <w:left w:val="none" w:sz="0" w:space="0" w:color="auto"/>
                <w:bottom w:val="none" w:sz="0" w:space="0" w:color="auto"/>
                <w:right w:val="none" w:sz="0" w:space="0" w:color="auto"/>
              </w:divBdr>
            </w:div>
            <w:div w:id="1799492054">
              <w:marLeft w:val="0"/>
              <w:marRight w:val="0"/>
              <w:marTop w:val="0"/>
              <w:marBottom w:val="0"/>
              <w:divBdr>
                <w:top w:val="none" w:sz="0" w:space="0" w:color="auto"/>
                <w:left w:val="none" w:sz="0" w:space="0" w:color="auto"/>
                <w:bottom w:val="none" w:sz="0" w:space="0" w:color="auto"/>
                <w:right w:val="none" w:sz="0" w:space="0" w:color="auto"/>
              </w:divBdr>
            </w:div>
            <w:div w:id="1816291984">
              <w:marLeft w:val="0"/>
              <w:marRight w:val="0"/>
              <w:marTop w:val="0"/>
              <w:marBottom w:val="0"/>
              <w:divBdr>
                <w:top w:val="none" w:sz="0" w:space="0" w:color="auto"/>
                <w:left w:val="none" w:sz="0" w:space="0" w:color="auto"/>
                <w:bottom w:val="none" w:sz="0" w:space="0" w:color="auto"/>
                <w:right w:val="none" w:sz="0" w:space="0" w:color="auto"/>
              </w:divBdr>
            </w:div>
            <w:div w:id="1818256125">
              <w:marLeft w:val="0"/>
              <w:marRight w:val="0"/>
              <w:marTop w:val="0"/>
              <w:marBottom w:val="0"/>
              <w:divBdr>
                <w:top w:val="none" w:sz="0" w:space="0" w:color="auto"/>
                <w:left w:val="none" w:sz="0" w:space="0" w:color="auto"/>
                <w:bottom w:val="none" w:sz="0" w:space="0" w:color="auto"/>
                <w:right w:val="none" w:sz="0" w:space="0" w:color="auto"/>
              </w:divBdr>
            </w:div>
            <w:div w:id="1856067414">
              <w:marLeft w:val="0"/>
              <w:marRight w:val="0"/>
              <w:marTop w:val="0"/>
              <w:marBottom w:val="0"/>
              <w:divBdr>
                <w:top w:val="none" w:sz="0" w:space="0" w:color="auto"/>
                <w:left w:val="none" w:sz="0" w:space="0" w:color="auto"/>
                <w:bottom w:val="none" w:sz="0" w:space="0" w:color="auto"/>
                <w:right w:val="none" w:sz="0" w:space="0" w:color="auto"/>
              </w:divBdr>
            </w:div>
            <w:div w:id="1863472380">
              <w:marLeft w:val="0"/>
              <w:marRight w:val="0"/>
              <w:marTop w:val="0"/>
              <w:marBottom w:val="0"/>
              <w:divBdr>
                <w:top w:val="none" w:sz="0" w:space="0" w:color="auto"/>
                <w:left w:val="none" w:sz="0" w:space="0" w:color="auto"/>
                <w:bottom w:val="none" w:sz="0" w:space="0" w:color="auto"/>
                <w:right w:val="none" w:sz="0" w:space="0" w:color="auto"/>
              </w:divBdr>
            </w:div>
            <w:div w:id="1865895944">
              <w:marLeft w:val="0"/>
              <w:marRight w:val="0"/>
              <w:marTop w:val="0"/>
              <w:marBottom w:val="0"/>
              <w:divBdr>
                <w:top w:val="none" w:sz="0" w:space="0" w:color="auto"/>
                <w:left w:val="none" w:sz="0" w:space="0" w:color="auto"/>
                <w:bottom w:val="none" w:sz="0" w:space="0" w:color="auto"/>
                <w:right w:val="none" w:sz="0" w:space="0" w:color="auto"/>
              </w:divBdr>
            </w:div>
            <w:div w:id="1886260933">
              <w:marLeft w:val="0"/>
              <w:marRight w:val="0"/>
              <w:marTop w:val="0"/>
              <w:marBottom w:val="0"/>
              <w:divBdr>
                <w:top w:val="none" w:sz="0" w:space="0" w:color="auto"/>
                <w:left w:val="none" w:sz="0" w:space="0" w:color="auto"/>
                <w:bottom w:val="none" w:sz="0" w:space="0" w:color="auto"/>
                <w:right w:val="none" w:sz="0" w:space="0" w:color="auto"/>
              </w:divBdr>
            </w:div>
            <w:div w:id="1917745792">
              <w:marLeft w:val="0"/>
              <w:marRight w:val="0"/>
              <w:marTop w:val="0"/>
              <w:marBottom w:val="0"/>
              <w:divBdr>
                <w:top w:val="none" w:sz="0" w:space="0" w:color="auto"/>
                <w:left w:val="none" w:sz="0" w:space="0" w:color="auto"/>
                <w:bottom w:val="none" w:sz="0" w:space="0" w:color="auto"/>
                <w:right w:val="none" w:sz="0" w:space="0" w:color="auto"/>
              </w:divBdr>
            </w:div>
            <w:div w:id="1931742645">
              <w:marLeft w:val="0"/>
              <w:marRight w:val="0"/>
              <w:marTop w:val="0"/>
              <w:marBottom w:val="0"/>
              <w:divBdr>
                <w:top w:val="none" w:sz="0" w:space="0" w:color="auto"/>
                <w:left w:val="none" w:sz="0" w:space="0" w:color="auto"/>
                <w:bottom w:val="none" w:sz="0" w:space="0" w:color="auto"/>
                <w:right w:val="none" w:sz="0" w:space="0" w:color="auto"/>
              </w:divBdr>
            </w:div>
            <w:div w:id="1940067878">
              <w:marLeft w:val="0"/>
              <w:marRight w:val="0"/>
              <w:marTop w:val="0"/>
              <w:marBottom w:val="0"/>
              <w:divBdr>
                <w:top w:val="none" w:sz="0" w:space="0" w:color="auto"/>
                <w:left w:val="none" w:sz="0" w:space="0" w:color="auto"/>
                <w:bottom w:val="none" w:sz="0" w:space="0" w:color="auto"/>
                <w:right w:val="none" w:sz="0" w:space="0" w:color="auto"/>
              </w:divBdr>
            </w:div>
            <w:div w:id="1950316706">
              <w:marLeft w:val="0"/>
              <w:marRight w:val="0"/>
              <w:marTop w:val="0"/>
              <w:marBottom w:val="0"/>
              <w:divBdr>
                <w:top w:val="none" w:sz="0" w:space="0" w:color="auto"/>
                <w:left w:val="none" w:sz="0" w:space="0" w:color="auto"/>
                <w:bottom w:val="none" w:sz="0" w:space="0" w:color="auto"/>
                <w:right w:val="none" w:sz="0" w:space="0" w:color="auto"/>
              </w:divBdr>
            </w:div>
            <w:div w:id="1961184593">
              <w:marLeft w:val="0"/>
              <w:marRight w:val="0"/>
              <w:marTop w:val="0"/>
              <w:marBottom w:val="0"/>
              <w:divBdr>
                <w:top w:val="none" w:sz="0" w:space="0" w:color="auto"/>
                <w:left w:val="none" w:sz="0" w:space="0" w:color="auto"/>
                <w:bottom w:val="none" w:sz="0" w:space="0" w:color="auto"/>
                <w:right w:val="none" w:sz="0" w:space="0" w:color="auto"/>
              </w:divBdr>
            </w:div>
            <w:div w:id="1961305130">
              <w:marLeft w:val="0"/>
              <w:marRight w:val="0"/>
              <w:marTop w:val="0"/>
              <w:marBottom w:val="0"/>
              <w:divBdr>
                <w:top w:val="none" w:sz="0" w:space="0" w:color="auto"/>
                <w:left w:val="none" w:sz="0" w:space="0" w:color="auto"/>
                <w:bottom w:val="none" w:sz="0" w:space="0" w:color="auto"/>
                <w:right w:val="none" w:sz="0" w:space="0" w:color="auto"/>
              </w:divBdr>
            </w:div>
            <w:div w:id="1981616559">
              <w:marLeft w:val="0"/>
              <w:marRight w:val="0"/>
              <w:marTop w:val="0"/>
              <w:marBottom w:val="0"/>
              <w:divBdr>
                <w:top w:val="none" w:sz="0" w:space="0" w:color="auto"/>
                <w:left w:val="none" w:sz="0" w:space="0" w:color="auto"/>
                <w:bottom w:val="none" w:sz="0" w:space="0" w:color="auto"/>
                <w:right w:val="none" w:sz="0" w:space="0" w:color="auto"/>
              </w:divBdr>
            </w:div>
            <w:div w:id="2005428719">
              <w:marLeft w:val="0"/>
              <w:marRight w:val="0"/>
              <w:marTop w:val="0"/>
              <w:marBottom w:val="0"/>
              <w:divBdr>
                <w:top w:val="none" w:sz="0" w:space="0" w:color="auto"/>
                <w:left w:val="none" w:sz="0" w:space="0" w:color="auto"/>
                <w:bottom w:val="none" w:sz="0" w:space="0" w:color="auto"/>
                <w:right w:val="none" w:sz="0" w:space="0" w:color="auto"/>
              </w:divBdr>
            </w:div>
            <w:div w:id="2082831217">
              <w:marLeft w:val="0"/>
              <w:marRight w:val="0"/>
              <w:marTop w:val="0"/>
              <w:marBottom w:val="0"/>
              <w:divBdr>
                <w:top w:val="none" w:sz="0" w:space="0" w:color="auto"/>
                <w:left w:val="none" w:sz="0" w:space="0" w:color="auto"/>
                <w:bottom w:val="none" w:sz="0" w:space="0" w:color="auto"/>
                <w:right w:val="none" w:sz="0" w:space="0" w:color="auto"/>
              </w:divBdr>
            </w:div>
            <w:div w:id="2105765007">
              <w:marLeft w:val="0"/>
              <w:marRight w:val="0"/>
              <w:marTop w:val="0"/>
              <w:marBottom w:val="0"/>
              <w:divBdr>
                <w:top w:val="none" w:sz="0" w:space="0" w:color="auto"/>
                <w:left w:val="none" w:sz="0" w:space="0" w:color="auto"/>
                <w:bottom w:val="none" w:sz="0" w:space="0" w:color="auto"/>
                <w:right w:val="none" w:sz="0" w:space="0" w:color="auto"/>
              </w:divBdr>
            </w:div>
            <w:div w:id="21219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1540">
      <w:bodyDiv w:val="1"/>
      <w:marLeft w:val="0"/>
      <w:marRight w:val="0"/>
      <w:marTop w:val="0"/>
      <w:marBottom w:val="0"/>
      <w:divBdr>
        <w:top w:val="none" w:sz="0" w:space="0" w:color="auto"/>
        <w:left w:val="none" w:sz="0" w:space="0" w:color="auto"/>
        <w:bottom w:val="none" w:sz="0" w:space="0" w:color="auto"/>
        <w:right w:val="none" w:sz="0" w:space="0" w:color="auto"/>
      </w:divBdr>
    </w:div>
    <w:div w:id="418333634">
      <w:bodyDiv w:val="1"/>
      <w:marLeft w:val="0"/>
      <w:marRight w:val="0"/>
      <w:marTop w:val="0"/>
      <w:marBottom w:val="0"/>
      <w:divBdr>
        <w:top w:val="none" w:sz="0" w:space="0" w:color="auto"/>
        <w:left w:val="none" w:sz="0" w:space="0" w:color="auto"/>
        <w:bottom w:val="none" w:sz="0" w:space="0" w:color="auto"/>
        <w:right w:val="none" w:sz="0" w:space="0" w:color="auto"/>
      </w:divBdr>
    </w:div>
    <w:div w:id="419067452">
      <w:bodyDiv w:val="1"/>
      <w:marLeft w:val="0"/>
      <w:marRight w:val="0"/>
      <w:marTop w:val="0"/>
      <w:marBottom w:val="0"/>
      <w:divBdr>
        <w:top w:val="none" w:sz="0" w:space="0" w:color="auto"/>
        <w:left w:val="none" w:sz="0" w:space="0" w:color="auto"/>
        <w:bottom w:val="none" w:sz="0" w:space="0" w:color="auto"/>
        <w:right w:val="none" w:sz="0" w:space="0" w:color="auto"/>
      </w:divBdr>
    </w:div>
    <w:div w:id="432020955">
      <w:bodyDiv w:val="1"/>
      <w:marLeft w:val="0"/>
      <w:marRight w:val="0"/>
      <w:marTop w:val="0"/>
      <w:marBottom w:val="0"/>
      <w:divBdr>
        <w:top w:val="none" w:sz="0" w:space="0" w:color="auto"/>
        <w:left w:val="none" w:sz="0" w:space="0" w:color="auto"/>
        <w:bottom w:val="none" w:sz="0" w:space="0" w:color="auto"/>
        <w:right w:val="none" w:sz="0" w:space="0" w:color="auto"/>
      </w:divBdr>
    </w:div>
    <w:div w:id="438183110">
      <w:bodyDiv w:val="1"/>
      <w:marLeft w:val="0"/>
      <w:marRight w:val="0"/>
      <w:marTop w:val="0"/>
      <w:marBottom w:val="0"/>
      <w:divBdr>
        <w:top w:val="none" w:sz="0" w:space="0" w:color="auto"/>
        <w:left w:val="none" w:sz="0" w:space="0" w:color="auto"/>
        <w:bottom w:val="none" w:sz="0" w:space="0" w:color="auto"/>
        <w:right w:val="none" w:sz="0" w:space="0" w:color="auto"/>
      </w:divBdr>
    </w:div>
    <w:div w:id="443109791">
      <w:bodyDiv w:val="1"/>
      <w:marLeft w:val="0"/>
      <w:marRight w:val="0"/>
      <w:marTop w:val="0"/>
      <w:marBottom w:val="0"/>
      <w:divBdr>
        <w:top w:val="none" w:sz="0" w:space="0" w:color="auto"/>
        <w:left w:val="none" w:sz="0" w:space="0" w:color="auto"/>
        <w:bottom w:val="none" w:sz="0" w:space="0" w:color="auto"/>
        <w:right w:val="none" w:sz="0" w:space="0" w:color="auto"/>
      </w:divBdr>
      <w:divsChild>
        <w:div w:id="58943623">
          <w:marLeft w:val="0"/>
          <w:marRight w:val="0"/>
          <w:marTop w:val="0"/>
          <w:marBottom w:val="0"/>
          <w:divBdr>
            <w:top w:val="none" w:sz="0" w:space="0" w:color="auto"/>
            <w:left w:val="none" w:sz="0" w:space="0" w:color="auto"/>
            <w:bottom w:val="none" w:sz="0" w:space="0" w:color="auto"/>
            <w:right w:val="none" w:sz="0" w:space="0" w:color="auto"/>
          </w:divBdr>
        </w:div>
        <w:div w:id="178587028">
          <w:marLeft w:val="0"/>
          <w:marRight w:val="0"/>
          <w:marTop w:val="0"/>
          <w:marBottom w:val="0"/>
          <w:divBdr>
            <w:top w:val="none" w:sz="0" w:space="0" w:color="auto"/>
            <w:left w:val="none" w:sz="0" w:space="0" w:color="auto"/>
            <w:bottom w:val="none" w:sz="0" w:space="0" w:color="auto"/>
            <w:right w:val="none" w:sz="0" w:space="0" w:color="auto"/>
          </w:divBdr>
        </w:div>
        <w:div w:id="504327253">
          <w:marLeft w:val="0"/>
          <w:marRight w:val="0"/>
          <w:marTop w:val="0"/>
          <w:marBottom w:val="0"/>
          <w:divBdr>
            <w:top w:val="none" w:sz="0" w:space="0" w:color="auto"/>
            <w:left w:val="none" w:sz="0" w:space="0" w:color="auto"/>
            <w:bottom w:val="none" w:sz="0" w:space="0" w:color="auto"/>
            <w:right w:val="none" w:sz="0" w:space="0" w:color="auto"/>
          </w:divBdr>
        </w:div>
        <w:div w:id="539514893">
          <w:marLeft w:val="0"/>
          <w:marRight w:val="0"/>
          <w:marTop w:val="0"/>
          <w:marBottom w:val="0"/>
          <w:divBdr>
            <w:top w:val="none" w:sz="0" w:space="0" w:color="auto"/>
            <w:left w:val="none" w:sz="0" w:space="0" w:color="auto"/>
            <w:bottom w:val="none" w:sz="0" w:space="0" w:color="auto"/>
            <w:right w:val="none" w:sz="0" w:space="0" w:color="auto"/>
          </w:divBdr>
        </w:div>
        <w:div w:id="967467223">
          <w:marLeft w:val="0"/>
          <w:marRight w:val="0"/>
          <w:marTop w:val="0"/>
          <w:marBottom w:val="0"/>
          <w:divBdr>
            <w:top w:val="none" w:sz="0" w:space="0" w:color="auto"/>
            <w:left w:val="none" w:sz="0" w:space="0" w:color="auto"/>
            <w:bottom w:val="none" w:sz="0" w:space="0" w:color="auto"/>
            <w:right w:val="none" w:sz="0" w:space="0" w:color="auto"/>
          </w:divBdr>
        </w:div>
        <w:div w:id="1212812875">
          <w:marLeft w:val="0"/>
          <w:marRight w:val="0"/>
          <w:marTop w:val="0"/>
          <w:marBottom w:val="0"/>
          <w:divBdr>
            <w:top w:val="none" w:sz="0" w:space="0" w:color="auto"/>
            <w:left w:val="none" w:sz="0" w:space="0" w:color="auto"/>
            <w:bottom w:val="none" w:sz="0" w:space="0" w:color="auto"/>
            <w:right w:val="none" w:sz="0" w:space="0" w:color="auto"/>
          </w:divBdr>
        </w:div>
        <w:div w:id="1291016895">
          <w:marLeft w:val="0"/>
          <w:marRight w:val="0"/>
          <w:marTop w:val="0"/>
          <w:marBottom w:val="0"/>
          <w:divBdr>
            <w:top w:val="none" w:sz="0" w:space="0" w:color="auto"/>
            <w:left w:val="none" w:sz="0" w:space="0" w:color="auto"/>
            <w:bottom w:val="none" w:sz="0" w:space="0" w:color="auto"/>
            <w:right w:val="none" w:sz="0" w:space="0" w:color="auto"/>
          </w:divBdr>
        </w:div>
        <w:div w:id="1342002091">
          <w:marLeft w:val="0"/>
          <w:marRight w:val="0"/>
          <w:marTop w:val="0"/>
          <w:marBottom w:val="0"/>
          <w:divBdr>
            <w:top w:val="none" w:sz="0" w:space="0" w:color="auto"/>
            <w:left w:val="none" w:sz="0" w:space="0" w:color="auto"/>
            <w:bottom w:val="none" w:sz="0" w:space="0" w:color="auto"/>
            <w:right w:val="none" w:sz="0" w:space="0" w:color="auto"/>
          </w:divBdr>
        </w:div>
        <w:div w:id="1514996095">
          <w:marLeft w:val="0"/>
          <w:marRight w:val="0"/>
          <w:marTop w:val="0"/>
          <w:marBottom w:val="0"/>
          <w:divBdr>
            <w:top w:val="none" w:sz="0" w:space="0" w:color="auto"/>
            <w:left w:val="none" w:sz="0" w:space="0" w:color="auto"/>
            <w:bottom w:val="none" w:sz="0" w:space="0" w:color="auto"/>
            <w:right w:val="none" w:sz="0" w:space="0" w:color="auto"/>
          </w:divBdr>
        </w:div>
        <w:div w:id="1526023547">
          <w:marLeft w:val="0"/>
          <w:marRight w:val="0"/>
          <w:marTop w:val="0"/>
          <w:marBottom w:val="0"/>
          <w:divBdr>
            <w:top w:val="none" w:sz="0" w:space="0" w:color="auto"/>
            <w:left w:val="none" w:sz="0" w:space="0" w:color="auto"/>
            <w:bottom w:val="none" w:sz="0" w:space="0" w:color="auto"/>
            <w:right w:val="none" w:sz="0" w:space="0" w:color="auto"/>
          </w:divBdr>
        </w:div>
        <w:div w:id="1721053851">
          <w:marLeft w:val="0"/>
          <w:marRight w:val="0"/>
          <w:marTop w:val="0"/>
          <w:marBottom w:val="0"/>
          <w:divBdr>
            <w:top w:val="none" w:sz="0" w:space="0" w:color="auto"/>
            <w:left w:val="none" w:sz="0" w:space="0" w:color="auto"/>
            <w:bottom w:val="none" w:sz="0" w:space="0" w:color="auto"/>
            <w:right w:val="none" w:sz="0" w:space="0" w:color="auto"/>
          </w:divBdr>
        </w:div>
        <w:div w:id="1810512238">
          <w:marLeft w:val="0"/>
          <w:marRight w:val="0"/>
          <w:marTop w:val="0"/>
          <w:marBottom w:val="0"/>
          <w:divBdr>
            <w:top w:val="none" w:sz="0" w:space="0" w:color="auto"/>
            <w:left w:val="none" w:sz="0" w:space="0" w:color="auto"/>
            <w:bottom w:val="none" w:sz="0" w:space="0" w:color="auto"/>
            <w:right w:val="none" w:sz="0" w:space="0" w:color="auto"/>
          </w:divBdr>
        </w:div>
        <w:div w:id="1822118056">
          <w:marLeft w:val="0"/>
          <w:marRight w:val="0"/>
          <w:marTop w:val="0"/>
          <w:marBottom w:val="0"/>
          <w:divBdr>
            <w:top w:val="none" w:sz="0" w:space="0" w:color="auto"/>
            <w:left w:val="none" w:sz="0" w:space="0" w:color="auto"/>
            <w:bottom w:val="none" w:sz="0" w:space="0" w:color="auto"/>
            <w:right w:val="none" w:sz="0" w:space="0" w:color="auto"/>
          </w:divBdr>
        </w:div>
        <w:div w:id="1884781516">
          <w:marLeft w:val="0"/>
          <w:marRight w:val="0"/>
          <w:marTop w:val="0"/>
          <w:marBottom w:val="0"/>
          <w:divBdr>
            <w:top w:val="none" w:sz="0" w:space="0" w:color="auto"/>
            <w:left w:val="none" w:sz="0" w:space="0" w:color="auto"/>
            <w:bottom w:val="none" w:sz="0" w:space="0" w:color="auto"/>
            <w:right w:val="none" w:sz="0" w:space="0" w:color="auto"/>
          </w:divBdr>
        </w:div>
      </w:divsChild>
    </w:div>
    <w:div w:id="448817468">
      <w:bodyDiv w:val="1"/>
      <w:marLeft w:val="0"/>
      <w:marRight w:val="0"/>
      <w:marTop w:val="0"/>
      <w:marBottom w:val="0"/>
      <w:divBdr>
        <w:top w:val="none" w:sz="0" w:space="0" w:color="auto"/>
        <w:left w:val="none" w:sz="0" w:space="0" w:color="auto"/>
        <w:bottom w:val="none" w:sz="0" w:space="0" w:color="auto"/>
        <w:right w:val="none" w:sz="0" w:space="0" w:color="auto"/>
      </w:divBdr>
    </w:div>
    <w:div w:id="454956712">
      <w:bodyDiv w:val="1"/>
      <w:marLeft w:val="0"/>
      <w:marRight w:val="0"/>
      <w:marTop w:val="0"/>
      <w:marBottom w:val="0"/>
      <w:divBdr>
        <w:top w:val="none" w:sz="0" w:space="0" w:color="auto"/>
        <w:left w:val="none" w:sz="0" w:space="0" w:color="auto"/>
        <w:bottom w:val="none" w:sz="0" w:space="0" w:color="auto"/>
        <w:right w:val="none" w:sz="0" w:space="0" w:color="auto"/>
      </w:divBdr>
      <w:divsChild>
        <w:div w:id="1642421602">
          <w:marLeft w:val="0"/>
          <w:marRight w:val="0"/>
          <w:marTop w:val="0"/>
          <w:marBottom w:val="0"/>
          <w:divBdr>
            <w:top w:val="none" w:sz="0" w:space="0" w:color="auto"/>
            <w:left w:val="none" w:sz="0" w:space="0" w:color="auto"/>
            <w:bottom w:val="none" w:sz="0" w:space="0" w:color="auto"/>
            <w:right w:val="none" w:sz="0" w:space="0" w:color="auto"/>
          </w:divBdr>
        </w:div>
      </w:divsChild>
    </w:div>
    <w:div w:id="455486592">
      <w:bodyDiv w:val="1"/>
      <w:marLeft w:val="0"/>
      <w:marRight w:val="0"/>
      <w:marTop w:val="0"/>
      <w:marBottom w:val="0"/>
      <w:divBdr>
        <w:top w:val="none" w:sz="0" w:space="0" w:color="auto"/>
        <w:left w:val="none" w:sz="0" w:space="0" w:color="auto"/>
        <w:bottom w:val="none" w:sz="0" w:space="0" w:color="auto"/>
        <w:right w:val="none" w:sz="0" w:space="0" w:color="auto"/>
      </w:divBdr>
    </w:div>
    <w:div w:id="460152652">
      <w:bodyDiv w:val="1"/>
      <w:marLeft w:val="0"/>
      <w:marRight w:val="0"/>
      <w:marTop w:val="0"/>
      <w:marBottom w:val="0"/>
      <w:divBdr>
        <w:top w:val="none" w:sz="0" w:space="0" w:color="auto"/>
        <w:left w:val="none" w:sz="0" w:space="0" w:color="auto"/>
        <w:bottom w:val="none" w:sz="0" w:space="0" w:color="auto"/>
        <w:right w:val="none" w:sz="0" w:space="0" w:color="auto"/>
      </w:divBdr>
      <w:divsChild>
        <w:div w:id="429737592">
          <w:marLeft w:val="0"/>
          <w:marRight w:val="0"/>
          <w:marTop w:val="100"/>
          <w:marBottom w:val="300"/>
          <w:divBdr>
            <w:top w:val="none" w:sz="0" w:space="0" w:color="auto"/>
            <w:left w:val="none" w:sz="0" w:space="0" w:color="auto"/>
            <w:bottom w:val="none" w:sz="0" w:space="0" w:color="auto"/>
            <w:right w:val="none" w:sz="0" w:space="0" w:color="auto"/>
          </w:divBdr>
        </w:div>
        <w:div w:id="627589889">
          <w:marLeft w:val="0"/>
          <w:marRight w:val="0"/>
          <w:marTop w:val="100"/>
          <w:marBottom w:val="300"/>
          <w:divBdr>
            <w:top w:val="none" w:sz="0" w:space="0" w:color="auto"/>
            <w:left w:val="none" w:sz="0" w:space="0" w:color="auto"/>
            <w:bottom w:val="none" w:sz="0" w:space="0" w:color="auto"/>
            <w:right w:val="none" w:sz="0" w:space="0" w:color="auto"/>
          </w:divBdr>
        </w:div>
      </w:divsChild>
    </w:div>
    <w:div w:id="461383671">
      <w:bodyDiv w:val="1"/>
      <w:marLeft w:val="0"/>
      <w:marRight w:val="0"/>
      <w:marTop w:val="0"/>
      <w:marBottom w:val="0"/>
      <w:divBdr>
        <w:top w:val="none" w:sz="0" w:space="0" w:color="auto"/>
        <w:left w:val="none" w:sz="0" w:space="0" w:color="auto"/>
        <w:bottom w:val="none" w:sz="0" w:space="0" w:color="auto"/>
        <w:right w:val="none" w:sz="0" w:space="0" w:color="auto"/>
      </w:divBdr>
    </w:div>
    <w:div w:id="465508442">
      <w:bodyDiv w:val="1"/>
      <w:marLeft w:val="0"/>
      <w:marRight w:val="0"/>
      <w:marTop w:val="0"/>
      <w:marBottom w:val="0"/>
      <w:divBdr>
        <w:top w:val="none" w:sz="0" w:space="0" w:color="auto"/>
        <w:left w:val="none" w:sz="0" w:space="0" w:color="auto"/>
        <w:bottom w:val="none" w:sz="0" w:space="0" w:color="auto"/>
        <w:right w:val="none" w:sz="0" w:space="0" w:color="auto"/>
      </w:divBdr>
      <w:divsChild>
        <w:div w:id="1920478092">
          <w:marLeft w:val="0"/>
          <w:marRight w:val="0"/>
          <w:marTop w:val="0"/>
          <w:marBottom w:val="0"/>
          <w:divBdr>
            <w:top w:val="none" w:sz="0" w:space="0" w:color="auto"/>
            <w:left w:val="none" w:sz="0" w:space="0" w:color="auto"/>
            <w:bottom w:val="none" w:sz="0" w:space="0" w:color="auto"/>
            <w:right w:val="none" w:sz="0" w:space="0" w:color="auto"/>
          </w:divBdr>
        </w:div>
      </w:divsChild>
    </w:div>
    <w:div w:id="465860528">
      <w:bodyDiv w:val="1"/>
      <w:marLeft w:val="0"/>
      <w:marRight w:val="0"/>
      <w:marTop w:val="0"/>
      <w:marBottom w:val="0"/>
      <w:divBdr>
        <w:top w:val="none" w:sz="0" w:space="0" w:color="auto"/>
        <w:left w:val="none" w:sz="0" w:space="0" w:color="auto"/>
        <w:bottom w:val="none" w:sz="0" w:space="0" w:color="auto"/>
        <w:right w:val="none" w:sz="0" w:space="0" w:color="auto"/>
      </w:divBdr>
    </w:div>
    <w:div w:id="467287796">
      <w:bodyDiv w:val="1"/>
      <w:marLeft w:val="0"/>
      <w:marRight w:val="0"/>
      <w:marTop w:val="0"/>
      <w:marBottom w:val="0"/>
      <w:divBdr>
        <w:top w:val="none" w:sz="0" w:space="0" w:color="auto"/>
        <w:left w:val="none" w:sz="0" w:space="0" w:color="auto"/>
        <w:bottom w:val="none" w:sz="0" w:space="0" w:color="auto"/>
        <w:right w:val="none" w:sz="0" w:space="0" w:color="auto"/>
      </w:divBdr>
    </w:div>
    <w:div w:id="469128225">
      <w:bodyDiv w:val="1"/>
      <w:marLeft w:val="0"/>
      <w:marRight w:val="0"/>
      <w:marTop w:val="0"/>
      <w:marBottom w:val="0"/>
      <w:divBdr>
        <w:top w:val="none" w:sz="0" w:space="0" w:color="auto"/>
        <w:left w:val="none" w:sz="0" w:space="0" w:color="auto"/>
        <w:bottom w:val="none" w:sz="0" w:space="0" w:color="auto"/>
        <w:right w:val="none" w:sz="0" w:space="0" w:color="auto"/>
      </w:divBdr>
      <w:divsChild>
        <w:div w:id="628511369">
          <w:marLeft w:val="547"/>
          <w:marRight w:val="0"/>
          <w:marTop w:val="0"/>
          <w:marBottom w:val="0"/>
          <w:divBdr>
            <w:top w:val="none" w:sz="0" w:space="0" w:color="auto"/>
            <w:left w:val="none" w:sz="0" w:space="0" w:color="auto"/>
            <w:bottom w:val="none" w:sz="0" w:space="0" w:color="auto"/>
            <w:right w:val="none" w:sz="0" w:space="0" w:color="auto"/>
          </w:divBdr>
        </w:div>
        <w:div w:id="1135218613">
          <w:marLeft w:val="547"/>
          <w:marRight w:val="0"/>
          <w:marTop w:val="0"/>
          <w:marBottom w:val="0"/>
          <w:divBdr>
            <w:top w:val="none" w:sz="0" w:space="0" w:color="auto"/>
            <w:left w:val="none" w:sz="0" w:space="0" w:color="auto"/>
            <w:bottom w:val="none" w:sz="0" w:space="0" w:color="auto"/>
            <w:right w:val="none" w:sz="0" w:space="0" w:color="auto"/>
          </w:divBdr>
        </w:div>
      </w:divsChild>
    </w:div>
    <w:div w:id="473379079">
      <w:bodyDiv w:val="1"/>
      <w:marLeft w:val="0"/>
      <w:marRight w:val="0"/>
      <w:marTop w:val="0"/>
      <w:marBottom w:val="0"/>
      <w:divBdr>
        <w:top w:val="none" w:sz="0" w:space="0" w:color="auto"/>
        <w:left w:val="none" w:sz="0" w:space="0" w:color="auto"/>
        <w:bottom w:val="none" w:sz="0" w:space="0" w:color="auto"/>
        <w:right w:val="none" w:sz="0" w:space="0" w:color="auto"/>
      </w:divBdr>
    </w:div>
    <w:div w:id="475414780">
      <w:bodyDiv w:val="1"/>
      <w:marLeft w:val="0"/>
      <w:marRight w:val="0"/>
      <w:marTop w:val="0"/>
      <w:marBottom w:val="0"/>
      <w:divBdr>
        <w:top w:val="none" w:sz="0" w:space="0" w:color="auto"/>
        <w:left w:val="none" w:sz="0" w:space="0" w:color="auto"/>
        <w:bottom w:val="none" w:sz="0" w:space="0" w:color="auto"/>
        <w:right w:val="none" w:sz="0" w:space="0" w:color="auto"/>
      </w:divBdr>
      <w:divsChild>
        <w:div w:id="462578712">
          <w:marLeft w:val="0"/>
          <w:marRight w:val="0"/>
          <w:marTop w:val="0"/>
          <w:marBottom w:val="0"/>
          <w:divBdr>
            <w:top w:val="none" w:sz="0" w:space="0" w:color="auto"/>
            <w:left w:val="none" w:sz="0" w:space="0" w:color="auto"/>
            <w:bottom w:val="none" w:sz="0" w:space="0" w:color="auto"/>
            <w:right w:val="none" w:sz="0" w:space="0" w:color="auto"/>
          </w:divBdr>
        </w:div>
        <w:div w:id="641085944">
          <w:marLeft w:val="0"/>
          <w:marRight w:val="0"/>
          <w:marTop w:val="0"/>
          <w:marBottom w:val="0"/>
          <w:divBdr>
            <w:top w:val="none" w:sz="0" w:space="0" w:color="auto"/>
            <w:left w:val="none" w:sz="0" w:space="0" w:color="auto"/>
            <w:bottom w:val="none" w:sz="0" w:space="0" w:color="auto"/>
            <w:right w:val="none" w:sz="0" w:space="0" w:color="auto"/>
          </w:divBdr>
        </w:div>
      </w:divsChild>
    </w:div>
    <w:div w:id="488861652">
      <w:bodyDiv w:val="1"/>
      <w:marLeft w:val="0"/>
      <w:marRight w:val="0"/>
      <w:marTop w:val="0"/>
      <w:marBottom w:val="0"/>
      <w:divBdr>
        <w:top w:val="none" w:sz="0" w:space="0" w:color="auto"/>
        <w:left w:val="none" w:sz="0" w:space="0" w:color="auto"/>
        <w:bottom w:val="none" w:sz="0" w:space="0" w:color="auto"/>
        <w:right w:val="none" w:sz="0" w:space="0" w:color="auto"/>
      </w:divBdr>
    </w:div>
    <w:div w:id="493686756">
      <w:bodyDiv w:val="1"/>
      <w:marLeft w:val="0"/>
      <w:marRight w:val="0"/>
      <w:marTop w:val="0"/>
      <w:marBottom w:val="0"/>
      <w:divBdr>
        <w:top w:val="none" w:sz="0" w:space="0" w:color="auto"/>
        <w:left w:val="none" w:sz="0" w:space="0" w:color="auto"/>
        <w:bottom w:val="none" w:sz="0" w:space="0" w:color="auto"/>
        <w:right w:val="none" w:sz="0" w:space="0" w:color="auto"/>
      </w:divBdr>
      <w:divsChild>
        <w:div w:id="1021080154">
          <w:marLeft w:val="0"/>
          <w:marRight w:val="0"/>
          <w:marTop w:val="0"/>
          <w:marBottom w:val="0"/>
          <w:divBdr>
            <w:top w:val="none" w:sz="0" w:space="0" w:color="auto"/>
            <w:left w:val="none" w:sz="0" w:space="0" w:color="auto"/>
            <w:bottom w:val="none" w:sz="0" w:space="0" w:color="auto"/>
            <w:right w:val="none" w:sz="0" w:space="0" w:color="auto"/>
          </w:divBdr>
        </w:div>
      </w:divsChild>
    </w:div>
    <w:div w:id="495465170">
      <w:bodyDiv w:val="1"/>
      <w:marLeft w:val="0"/>
      <w:marRight w:val="0"/>
      <w:marTop w:val="0"/>
      <w:marBottom w:val="0"/>
      <w:divBdr>
        <w:top w:val="none" w:sz="0" w:space="0" w:color="auto"/>
        <w:left w:val="none" w:sz="0" w:space="0" w:color="auto"/>
        <w:bottom w:val="none" w:sz="0" w:space="0" w:color="auto"/>
        <w:right w:val="none" w:sz="0" w:space="0" w:color="auto"/>
      </w:divBdr>
    </w:div>
    <w:div w:id="503589612">
      <w:bodyDiv w:val="1"/>
      <w:marLeft w:val="0"/>
      <w:marRight w:val="0"/>
      <w:marTop w:val="0"/>
      <w:marBottom w:val="0"/>
      <w:divBdr>
        <w:top w:val="none" w:sz="0" w:space="0" w:color="auto"/>
        <w:left w:val="none" w:sz="0" w:space="0" w:color="auto"/>
        <w:bottom w:val="none" w:sz="0" w:space="0" w:color="auto"/>
        <w:right w:val="none" w:sz="0" w:space="0" w:color="auto"/>
      </w:divBdr>
      <w:divsChild>
        <w:div w:id="281495182">
          <w:marLeft w:val="0"/>
          <w:marRight w:val="0"/>
          <w:marTop w:val="0"/>
          <w:marBottom w:val="0"/>
          <w:divBdr>
            <w:top w:val="none" w:sz="0" w:space="0" w:color="auto"/>
            <w:left w:val="none" w:sz="0" w:space="0" w:color="auto"/>
            <w:bottom w:val="none" w:sz="0" w:space="0" w:color="auto"/>
            <w:right w:val="none" w:sz="0" w:space="0" w:color="auto"/>
          </w:divBdr>
        </w:div>
        <w:div w:id="601109411">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077675459">
          <w:marLeft w:val="0"/>
          <w:marRight w:val="0"/>
          <w:marTop w:val="0"/>
          <w:marBottom w:val="0"/>
          <w:divBdr>
            <w:top w:val="none" w:sz="0" w:space="0" w:color="auto"/>
            <w:left w:val="none" w:sz="0" w:space="0" w:color="auto"/>
            <w:bottom w:val="none" w:sz="0" w:space="0" w:color="auto"/>
            <w:right w:val="none" w:sz="0" w:space="0" w:color="auto"/>
          </w:divBdr>
        </w:div>
        <w:div w:id="1311442303">
          <w:marLeft w:val="0"/>
          <w:marRight w:val="0"/>
          <w:marTop w:val="0"/>
          <w:marBottom w:val="0"/>
          <w:divBdr>
            <w:top w:val="none" w:sz="0" w:space="0" w:color="auto"/>
            <w:left w:val="none" w:sz="0" w:space="0" w:color="auto"/>
            <w:bottom w:val="none" w:sz="0" w:space="0" w:color="auto"/>
            <w:right w:val="none" w:sz="0" w:space="0" w:color="auto"/>
          </w:divBdr>
        </w:div>
        <w:div w:id="1345206867">
          <w:marLeft w:val="0"/>
          <w:marRight w:val="0"/>
          <w:marTop w:val="0"/>
          <w:marBottom w:val="0"/>
          <w:divBdr>
            <w:top w:val="none" w:sz="0" w:space="0" w:color="auto"/>
            <w:left w:val="none" w:sz="0" w:space="0" w:color="auto"/>
            <w:bottom w:val="none" w:sz="0" w:space="0" w:color="auto"/>
            <w:right w:val="none" w:sz="0" w:space="0" w:color="auto"/>
          </w:divBdr>
        </w:div>
        <w:div w:id="1345282240">
          <w:marLeft w:val="0"/>
          <w:marRight w:val="0"/>
          <w:marTop w:val="0"/>
          <w:marBottom w:val="0"/>
          <w:divBdr>
            <w:top w:val="none" w:sz="0" w:space="0" w:color="auto"/>
            <w:left w:val="none" w:sz="0" w:space="0" w:color="auto"/>
            <w:bottom w:val="none" w:sz="0" w:space="0" w:color="auto"/>
            <w:right w:val="none" w:sz="0" w:space="0" w:color="auto"/>
          </w:divBdr>
        </w:div>
        <w:div w:id="1351371536">
          <w:marLeft w:val="0"/>
          <w:marRight w:val="0"/>
          <w:marTop w:val="0"/>
          <w:marBottom w:val="0"/>
          <w:divBdr>
            <w:top w:val="none" w:sz="0" w:space="0" w:color="auto"/>
            <w:left w:val="none" w:sz="0" w:space="0" w:color="auto"/>
            <w:bottom w:val="none" w:sz="0" w:space="0" w:color="auto"/>
            <w:right w:val="none" w:sz="0" w:space="0" w:color="auto"/>
          </w:divBdr>
        </w:div>
        <w:div w:id="1634677431">
          <w:marLeft w:val="0"/>
          <w:marRight w:val="0"/>
          <w:marTop w:val="0"/>
          <w:marBottom w:val="0"/>
          <w:divBdr>
            <w:top w:val="none" w:sz="0" w:space="0" w:color="auto"/>
            <w:left w:val="none" w:sz="0" w:space="0" w:color="auto"/>
            <w:bottom w:val="none" w:sz="0" w:space="0" w:color="auto"/>
            <w:right w:val="none" w:sz="0" w:space="0" w:color="auto"/>
          </w:divBdr>
        </w:div>
      </w:divsChild>
    </w:div>
    <w:div w:id="509877750">
      <w:bodyDiv w:val="1"/>
      <w:marLeft w:val="0"/>
      <w:marRight w:val="0"/>
      <w:marTop w:val="0"/>
      <w:marBottom w:val="0"/>
      <w:divBdr>
        <w:top w:val="none" w:sz="0" w:space="0" w:color="auto"/>
        <w:left w:val="none" w:sz="0" w:space="0" w:color="auto"/>
        <w:bottom w:val="none" w:sz="0" w:space="0" w:color="auto"/>
        <w:right w:val="none" w:sz="0" w:space="0" w:color="auto"/>
      </w:divBdr>
    </w:div>
    <w:div w:id="509948536">
      <w:bodyDiv w:val="1"/>
      <w:marLeft w:val="0"/>
      <w:marRight w:val="0"/>
      <w:marTop w:val="0"/>
      <w:marBottom w:val="0"/>
      <w:divBdr>
        <w:top w:val="none" w:sz="0" w:space="0" w:color="auto"/>
        <w:left w:val="none" w:sz="0" w:space="0" w:color="auto"/>
        <w:bottom w:val="none" w:sz="0" w:space="0" w:color="auto"/>
        <w:right w:val="none" w:sz="0" w:space="0" w:color="auto"/>
      </w:divBdr>
      <w:divsChild>
        <w:div w:id="187716258">
          <w:marLeft w:val="0"/>
          <w:marRight w:val="0"/>
          <w:marTop w:val="0"/>
          <w:marBottom w:val="0"/>
          <w:divBdr>
            <w:top w:val="none" w:sz="0" w:space="0" w:color="auto"/>
            <w:left w:val="none" w:sz="0" w:space="0" w:color="auto"/>
            <w:bottom w:val="none" w:sz="0" w:space="0" w:color="auto"/>
            <w:right w:val="none" w:sz="0" w:space="0" w:color="auto"/>
          </w:divBdr>
        </w:div>
        <w:div w:id="188497066">
          <w:marLeft w:val="0"/>
          <w:marRight w:val="0"/>
          <w:marTop w:val="0"/>
          <w:marBottom w:val="0"/>
          <w:divBdr>
            <w:top w:val="none" w:sz="0" w:space="0" w:color="auto"/>
            <w:left w:val="none" w:sz="0" w:space="0" w:color="auto"/>
            <w:bottom w:val="none" w:sz="0" w:space="0" w:color="auto"/>
            <w:right w:val="none" w:sz="0" w:space="0" w:color="auto"/>
          </w:divBdr>
        </w:div>
        <w:div w:id="760880065">
          <w:marLeft w:val="0"/>
          <w:marRight w:val="0"/>
          <w:marTop w:val="0"/>
          <w:marBottom w:val="0"/>
          <w:divBdr>
            <w:top w:val="none" w:sz="0" w:space="0" w:color="auto"/>
            <w:left w:val="none" w:sz="0" w:space="0" w:color="auto"/>
            <w:bottom w:val="none" w:sz="0" w:space="0" w:color="auto"/>
            <w:right w:val="none" w:sz="0" w:space="0" w:color="auto"/>
          </w:divBdr>
        </w:div>
        <w:div w:id="761417944">
          <w:marLeft w:val="0"/>
          <w:marRight w:val="0"/>
          <w:marTop w:val="0"/>
          <w:marBottom w:val="0"/>
          <w:divBdr>
            <w:top w:val="none" w:sz="0" w:space="0" w:color="auto"/>
            <w:left w:val="none" w:sz="0" w:space="0" w:color="auto"/>
            <w:bottom w:val="none" w:sz="0" w:space="0" w:color="auto"/>
            <w:right w:val="none" w:sz="0" w:space="0" w:color="auto"/>
          </w:divBdr>
        </w:div>
        <w:div w:id="910236619">
          <w:marLeft w:val="0"/>
          <w:marRight w:val="0"/>
          <w:marTop w:val="0"/>
          <w:marBottom w:val="0"/>
          <w:divBdr>
            <w:top w:val="none" w:sz="0" w:space="0" w:color="auto"/>
            <w:left w:val="none" w:sz="0" w:space="0" w:color="auto"/>
            <w:bottom w:val="none" w:sz="0" w:space="0" w:color="auto"/>
            <w:right w:val="none" w:sz="0" w:space="0" w:color="auto"/>
          </w:divBdr>
        </w:div>
        <w:div w:id="996418185">
          <w:marLeft w:val="0"/>
          <w:marRight w:val="0"/>
          <w:marTop w:val="0"/>
          <w:marBottom w:val="0"/>
          <w:divBdr>
            <w:top w:val="none" w:sz="0" w:space="0" w:color="auto"/>
            <w:left w:val="none" w:sz="0" w:space="0" w:color="auto"/>
            <w:bottom w:val="none" w:sz="0" w:space="0" w:color="auto"/>
            <w:right w:val="none" w:sz="0" w:space="0" w:color="auto"/>
          </w:divBdr>
        </w:div>
        <w:div w:id="1046872156">
          <w:marLeft w:val="0"/>
          <w:marRight w:val="0"/>
          <w:marTop w:val="0"/>
          <w:marBottom w:val="0"/>
          <w:divBdr>
            <w:top w:val="none" w:sz="0" w:space="0" w:color="auto"/>
            <w:left w:val="none" w:sz="0" w:space="0" w:color="auto"/>
            <w:bottom w:val="none" w:sz="0" w:space="0" w:color="auto"/>
            <w:right w:val="none" w:sz="0" w:space="0" w:color="auto"/>
          </w:divBdr>
        </w:div>
        <w:div w:id="1147893300">
          <w:marLeft w:val="0"/>
          <w:marRight w:val="0"/>
          <w:marTop w:val="0"/>
          <w:marBottom w:val="0"/>
          <w:divBdr>
            <w:top w:val="none" w:sz="0" w:space="0" w:color="auto"/>
            <w:left w:val="none" w:sz="0" w:space="0" w:color="auto"/>
            <w:bottom w:val="none" w:sz="0" w:space="0" w:color="auto"/>
            <w:right w:val="none" w:sz="0" w:space="0" w:color="auto"/>
          </w:divBdr>
        </w:div>
        <w:div w:id="1238829641">
          <w:marLeft w:val="0"/>
          <w:marRight w:val="0"/>
          <w:marTop w:val="0"/>
          <w:marBottom w:val="0"/>
          <w:divBdr>
            <w:top w:val="none" w:sz="0" w:space="0" w:color="auto"/>
            <w:left w:val="none" w:sz="0" w:space="0" w:color="auto"/>
            <w:bottom w:val="none" w:sz="0" w:space="0" w:color="auto"/>
            <w:right w:val="none" w:sz="0" w:space="0" w:color="auto"/>
          </w:divBdr>
        </w:div>
        <w:div w:id="1330788163">
          <w:marLeft w:val="0"/>
          <w:marRight w:val="0"/>
          <w:marTop w:val="0"/>
          <w:marBottom w:val="0"/>
          <w:divBdr>
            <w:top w:val="none" w:sz="0" w:space="0" w:color="auto"/>
            <w:left w:val="none" w:sz="0" w:space="0" w:color="auto"/>
            <w:bottom w:val="none" w:sz="0" w:space="0" w:color="auto"/>
            <w:right w:val="none" w:sz="0" w:space="0" w:color="auto"/>
          </w:divBdr>
        </w:div>
        <w:div w:id="1354069065">
          <w:marLeft w:val="0"/>
          <w:marRight w:val="0"/>
          <w:marTop w:val="0"/>
          <w:marBottom w:val="0"/>
          <w:divBdr>
            <w:top w:val="none" w:sz="0" w:space="0" w:color="auto"/>
            <w:left w:val="none" w:sz="0" w:space="0" w:color="auto"/>
            <w:bottom w:val="none" w:sz="0" w:space="0" w:color="auto"/>
            <w:right w:val="none" w:sz="0" w:space="0" w:color="auto"/>
          </w:divBdr>
        </w:div>
        <w:div w:id="1816098877">
          <w:marLeft w:val="0"/>
          <w:marRight w:val="0"/>
          <w:marTop w:val="0"/>
          <w:marBottom w:val="0"/>
          <w:divBdr>
            <w:top w:val="none" w:sz="0" w:space="0" w:color="auto"/>
            <w:left w:val="none" w:sz="0" w:space="0" w:color="auto"/>
            <w:bottom w:val="none" w:sz="0" w:space="0" w:color="auto"/>
            <w:right w:val="none" w:sz="0" w:space="0" w:color="auto"/>
          </w:divBdr>
        </w:div>
        <w:div w:id="2002275684">
          <w:marLeft w:val="0"/>
          <w:marRight w:val="0"/>
          <w:marTop w:val="0"/>
          <w:marBottom w:val="0"/>
          <w:divBdr>
            <w:top w:val="none" w:sz="0" w:space="0" w:color="auto"/>
            <w:left w:val="none" w:sz="0" w:space="0" w:color="auto"/>
            <w:bottom w:val="none" w:sz="0" w:space="0" w:color="auto"/>
            <w:right w:val="none" w:sz="0" w:space="0" w:color="auto"/>
          </w:divBdr>
        </w:div>
      </w:divsChild>
    </w:div>
    <w:div w:id="513344301">
      <w:bodyDiv w:val="1"/>
      <w:marLeft w:val="0"/>
      <w:marRight w:val="0"/>
      <w:marTop w:val="0"/>
      <w:marBottom w:val="0"/>
      <w:divBdr>
        <w:top w:val="none" w:sz="0" w:space="0" w:color="auto"/>
        <w:left w:val="none" w:sz="0" w:space="0" w:color="auto"/>
        <w:bottom w:val="none" w:sz="0" w:space="0" w:color="auto"/>
        <w:right w:val="none" w:sz="0" w:space="0" w:color="auto"/>
      </w:divBdr>
      <w:divsChild>
        <w:div w:id="1944918028">
          <w:marLeft w:val="0"/>
          <w:marRight w:val="0"/>
          <w:marTop w:val="0"/>
          <w:marBottom w:val="0"/>
          <w:divBdr>
            <w:top w:val="none" w:sz="0" w:space="0" w:color="auto"/>
            <w:left w:val="none" w:sz="0" w:space="0" w:color="auto"/>
            <w:bottom w:val="none" w:sz="0" w:space="0" w:color="auto"/>
            <w:right w:val="none" w:sz="0" w:space="0" w:color="auto"/>
          </w:divBdr>
        </w:div>
      </w:divsChild>
    </w:div>
    <w:div w:id="513618183">
      <w:bodyDiv w:val="1"/>
      <w:marLeft w:val="0"/>
      <w:marRight w:val="0"/>
      <w:marTop w:val="0"/>
      <w:marBottom w:val="0"/>
      <w:divBdr>
        <w:top w:val="none" w:sz="0" w:space="0" w:color="auto"/>
        <w:left w:val="none" w:sz="0" w:space="0" w:color="auto"/>
        <w:bottom w:val="none" w:sz="0" w:space="0" w:color="auto"/>
        <w:right w:val="none" w:sz="0" w:space="0" w:color="auto"/>
      </w:divBdr>
      <w:divsChild>
        <w:div w:id="682703550">
          <w:marLeft w:val="0"/>
          <w:marRight w:val="0"/>
          <w:marTop w:val="0"/>
          <w:marBottom w:val="0"/>
          <w:divBdr>
            <w:top w:val="none" w:sz="0" w:space="0" w:color="auto"/>
            <w:left w:val="none" w:sz="0" w:space="0" w:color="auto"/>
            <w:bottom w:val="none" w:sz="0" w:space="0" w:color="auto"/>
            <w:right w:val="none" w:sz="0" w:space="0" w:color="auto"/>
          </w:divBdr>
        </w:div>
      </w:divsChild>
    </w:div>
    <w:div w:id="515388121">
      <w:bodyDiv w:val="1"/>
      <w:marLeft w:val="0"/>
      <w:marRight w:val="0"/>
      <w:marTop w:val="0"/>
      <w:marBottom w:val="0"/>
      <w:divBdr>
        <w:top w:val="none" w:sz="0" w:space="0" w:color="auto"/>
        <w:left w:val="none" w:sz="0" w:space="0" w:color="auto"/>
        <w:bottom w:val="none" w:sz="0" w:space="0" w:color="auto"/>
        <w:right w:val="none" w:sz="0" w:space="0" w:color="auto"/>
      </w:divBdr>
      <w:divsChild>
        <w:div w:id="88435076">
          <w:marLeft w:val="0"/>
          <w:marRight w:val="0"/>
          <w:marTop w:val="0"/>
          <w:marBottom w:val="0"/>
          <w:divBdr>
            <w:top w:val="none" w:sz="0" w:space="0" w:color="auto"/>
            <w:left w:val="none" w:sz="0" w:space="0" w:color="auto"/>
            <w:bottom w:val="none" w:sz="0" w:space="0" w:color="auto"/>
            <w:right w:val="none" w:sz="0" w:space="0" w:color="auto"/>
          </w:divBdr>
        </w:div>
      </w:divsChild>
    </w:div>
    <w:div w:id="515465878">
      <w:bodyDiv w:val="1"/>
      <w:marLeft w:val="0"/>
      <w:marRight w:val="0"/>
      <w:marTop w:val="0"/>
      <w:marBottom w:val="0"/>
      <w:divBdr>
        <w:top w:val="none" w:sz="0" w:space="0" w:color="auto"/>
        <w:left w:val="none" w:sz="0" w:space="0" w:color="auto"/>
        <w:bottom w:val="none" w:sz="0" w:space="0" w:color="auto"/>
        <w:right w:val="none" w:sz="0" w:space="0" w:color="auto"/>
      </w:divBdr>
      <w:divsChild>
        <w:div w:id="1091001848">
          <w:marLeft w:val="0"/>
          <w:marRight w:val="0"/>
          <w:marTop w:val="0"/>
          <w:marBottom w:val="0"/>
          <w:divBdr>
            <w:top w:val="none" w:sz="0" w:space="0" w:color="auto"/>
            <w:left w:val="none" w:sz="0" w:space="0" w:color="auto"/>
            <w:bottom w:val="none" w:sz="0" w:space="0" w:color="auto"/>
            <w:right w:val="none" w:sz="0" w:space="0" w:color="auto"/>
          </w:divBdr>
        </w:div>
      </w:divsChild>
    </w:div>
    <w:div w:id="519586297">
      <w:bodyDiv w:val="1"/>
      <w:marLeft w:val="0"/>
      <w:marRight w:val="0"/>
      <w:marTop w:val="0"/>
      <w:marBottom w:val="0"/>
      <w:divBdr>
        <w:top w:val="none" w:sz="0" w:space="0" w:color="auto"/>
        <w:left w:val="none" w:sz="0" w:space="0" w:color="auto"/>
        <w:bottom w:val="none" w:sz="0" w:space="0" w:color="auto"/>
        <w:right w:val="none" w:sz="0" w:space="0" w:color="auto"/>
      </w:divBdr>
    </w:div>
    <w:div w:id="524252160">
      <w:bodyDiv w:val="1"/>
      <w:marLeft w:val="0"/>
      <w:marRight w:val="0"/>
      <w:marTop w:val="0"/>
      <w:marBottom w:val="0"/>
      <w:divBdr>
        <w:top w:val="none" w:sz="0" w:space="0" w:color="auto"/>
        <w:left w:val="none" w:sz="0" w:space="0" w:color="auto"/>
        <w:bottom w:val="none" w:sz="0" w:space="0" w:color="auto"/>
        <w:right w:val="none" w:sz="0" w:space="0" w:color="auto"/>
      </w:divBdr>
      <w:divsChild>
        <w:div w:id="1336104743">
          <w:marLeft w:val="0"/>
          <w:marRight w:val="0"/>
          <w:marTop w:val="0"/>
          <w:marBottom w:val="0"/>
          <w:divBdr>
            <w:top w:val="none" w:sz="0" w:space="0" w:color="auto"/>
            <w:left w:val="none" w:sz="0" w:space="0" w:color="auto"/>
            <w:bottom w:val="none" w:sz="0" w:space="0" w:color="auto"/>
            <w:right w:val="none" w:sz="0" w:space="0" w:color="auto"/>
          </w:divBdr>
        </w:div>
      </w:divsChild>
    </w:div>
    <w:div w:id="529414325">
      <w:bodyDiv w:val="1"/>
      <w:marLeft w:val="0"/>
      <w:marRight w:val="0"/>
      <w:marTop w:val="0"/>
      <w:marBottom w:val="0"/>
      <w:divBdr>
        <w:top w:val="none" w:sz="0" w:space="0" w:color="auto"/>
        <w:left w:val="none" w:sz="0" w:space="0" w:color="auto"/>
        <w:bottom w:val="none" w:sz="0" w:space="0" w:color="auto"/>
        <w:right w:val="none" w:sz="0" w:space="0" w:color="auto"/>
      </w:divBdr>
      <w:divsChild>
        <w:div w:id="132598793">
          <w:marLeft w:val="0"/>
          <w:marRight w:val="0"/>
          <w:marTop w:val="0"/>
          <w:marBottom w:val="0"/>
          <w:divBdr>
            <w:top w:val="none" w:sz="0" w:space="0" w:color="auto"/>
            <w:left w:val="none" w:sz="0" w:space="0" w:color="auto"/>
            <w:bottom w:val="none" w:sz="0" w:space="0" w:color="auto"/>
            <w:right w:val="none" w:sz="0" w:space="0" w:color="auto"/>
          </w:divBdr>
        </w:div>
      </w:divsChild>
    </w:div>
    <w:div w:id="530342314">
      <w:bodyDiv w:val="1"/>
      <w:marLeft w:val="0"/>
      <w:marRight w:val="0"/>
      <w:marTop w:val="0"/>
      <w:marBottom w:val="0"/>
      <w:divBdr>
        <w:top w:val="none" w:sz="0" w:space="0" w:color="auto"/>
        <w:left w:val="none" w:sz="0" w:space="0" w:color="auto"/>
        <w:bottom w:val="none" w:sz="0" w:space="0" w:color="auto"/>
        <w:right w:val="none" w:sz="0" w:space="0" w:color="auto"/>
      </w:divBdr>
    </w:div>
    <w:div w:id="534998416">
      <w:bodyDiv w:val="1"/>
      <w:marLeft w:val="0"/>
      <w:marRight w:val="0"/>
      <w:marTop w:val="0"/>
      <w:marBottom w:val="0"/>
      <w:divBdr>
        <w:top w:val="none" w:sz="0" w:space="0" w:color="auto"/>
        <w:left w:val="none" w:sz="0" w:space="0" w:color="auto"/>
        <w:bottom w:val="none" w:sz="0" w:space="0" w:color="auto"/>
        <w:right w:val="none" w:sz="0" w:space="0" w:color="auto"/>
      </w:divBdr>
      <w:divsChild>
        <w:div w:id="877013987">
          <w:marLeft w:val="0"/>
          <w:marRight w:val="0"/>
          <w:marTop w:val="0"/>
          <w:marBottom w:val="0"/>
          <w:divBdr>
            <w:top w:val="none" w:sz="0" w:space="0" w:color="auto"/>
            <w:left w:val="none" w:sz="0" w:space="0" w:color="auto"/>
            <w:bottom w:val="none" w:sz="0" w:space="0" w:color="auto"/>
            <w:right w:val="none" w:sz="0" w:space="0" w:color="auto"/>
          </w:divBdr>
        </w:div>
        <w:div w:id="936451110">
          <w:marLeft w:val="0"/>
          <w:marRight w:val="0"/>
          <w:marTop w:val="0"/>
          <w:marBottom w:val="0"/>
          <w:divBdr>
            <w:top w:val="none" w:sz="0" w:space="0" w:color="auto"/>
            <w:left w:val="none" w:sz="0" w:space="0" w:color="auto"/>
            <w:bottom w:val="none" w:sz="0" w:space="0" w:color="auto"/>
            <w:right w:val="none" w:sz="0" w:space="0" w:color="auto"/>
          </w:divBdr>
        </w:div>
        <w:div w:id="1768580911">
          <w:marLeft w:val="0"/>
          <w:marRight w:val="0"/>
          <w:marTop w:val="0"/>
          <w:marBottom w:val="0"/>
          <w:divBdr>
            <w:top w:val="none" w:sz="0" w:space="0" w:color="auto"/>
            <w:left w:val="none" w:sz="0" w:space="0" w:color="auto"/>
            <w:bottom w:val="none" w:sz="0" w:space="0" w:color="auto"/>
            <w:right w:val="none" w:sz="0" w:space="0" w:color="auto"/>
          </w:divBdr>
        </w:div>
        <w:div w:id="1953391294">
          <w:marLeft w:val="0"/>
          <w:marRight w:val="0"/>
          <w:marTop w:val="0"/>
          <w:marBottom w:val="0"/>
          <w:divBdr>
            <w:top w:val="none" w:sz="0" w:space="0" w:color="auto"/>
            <w:left w:val="none" w:sz="0" w:space="0" w:color="auto"/>
            <w:bottom w:val="none" w:sz="0" w:space="0" w:color="auto"/>
            <w:right w:val="none" w:sz="0" w:space="0" w:color="auto"/>
          </w:divBdr>
        </w:div>
      </w:divsChild>
    </w:div>
    <w:div w:id="538056331">
      <w:bodyDiv w:val="1"/>
      <w:marLeft w:val="0"/>
      <w:marRight w:val="0"/>
      <w:marTop w:val="0"/>
      <w:marBottom w:val="0"/>
      <w:divBdr>
        <w:top w:val="none" w:sz="0" w:space="0" w:color="auto"/>
        <w:left w:val="none" w:sz="0" w:space="0" w:color="auto"/>
        <w:bottom w:val="none" w:sz="0" w:space="0" w:color="auto"/>
        <w:right w:val="none" w:sz="0" w:space="0" w:color="auto"/>
      </w:divBdr>
    </w:div>
    <w:div w:id="539509606">
      <w:bodyDiv w:val="1"/>
      <w:marLeft w:val="0"/>
      <w:marRight w:val="0"/>
      <w:marTop w:val="0"/>
      <w:marBottom w:val="0"/>
      <w:divBdr>
        <w:top w:val="none" w:sz="0" w:space="0" w:color="auto"/>
        <w:left w:val="none" w:sz="0" w:space="0" w:color="auto"/>
        <w:bottom w:val="none" w:sz="0" w:space="0" w:color="auto"/>
        <w:right w:val="none" w:sz="0" w:space="0" w:color="auto"/>
      </w:divBdr>
    </w:div>
    <w:div w:id="550380659">
      <w:bodyDiv w:val="1"/>
      <w:marLeft w:val="0"/>
      <w:marRight w:val="0"/>
      <w:marTop w:val="0"/>
      <w:marBottom w:val="0"/>
      <w:divBdr>
        <w:top w:val="none" w:sz="0" w:space="0" w:color="auto"/>
        <w:left w:val="none" w:sz="0" w:space="0" w:color="auto"/>
        <w:bottom w:val="none" w:sz="0" w:space="0" w:color="auto"/>
        <w:right w:val="none" w:sz="0" w:space="0" w:color="auto"/>
      </w:divBdr>
    </w:div>
    <w:div w:id="555508738">
      <w:bodyDiv w:val="1"/>
      <w:marLeft w:val="0"/>
      <w:marRight w:val="0"/>
      <w:marTop w:val="0"/>
      <w:marBottom w:val="0"/>
      <w:divBdr>
        <w:top w:val="none" w:sz="0" w:space="0" w:color="auto"/>
        <w:left w:val="none" w:sz="0" w:space="0" w:color="auto"/>
        <w:bottom w:val="none" w:sz="0" w:space="0" w:color="auto"/>
        <w:right w:val="none" w:sz="0" w:space="0" w:color="auto"/>
      </w:divBdr>
      <w:divsChild>
        <w:div w:id="1157266359">
          <w:marLeft w:val="0"/>
          <w:marRight w:val="0"/>
          <w:marTop w:val="0"/>
          <w:marBottom w:val="0"/>
          <w:divBdr>
            <w:top w:val="none" w:sz="0" w:space="0" w:color="auto"/>
            <w:left w:val="none" w:sz="0" w:space="0" w:color="auto"/>
            <w:bottom w:val="none" w:sz="0" w:space="0" w:color="auto"/>
            <w:right w:val="none" w:sz="0" w:space="0" w:color="auto"/>
          </w:divBdr>
        </w:div>
        <w:div w:id="1369839923">
          <w:marLeft w:val="0"/>
          <w:marRight w:val="0"/>
          <w:marTop w:val="0"/>
          <w:marBottom w:val="0"/>
          <w:divBdr>
            <w:top w:val="none" w:sz="0" w:space="0" w:color="auto"/>
            <w:left w:val="none" w:sz="0" w:space="0" w:color="auto"/>
            <w:bottom w:val="none" w:sz="0" w:space="0" w:color="auto"/>
            <w:right w:val="none" w:sz="0" w:space="0" w:color="auto"/>
          </w:divBdr>
        </w:div>
        <w:div w:id="1406220049">
          <w:marLeft w:val="0"/>
          <w:marRight w:val="0"/>
          <w:marTop w:val="0"/>
          <w:marBottom w:val="0"/>
          <w:divBdr>
            <w:top w:val="none" w:sz="0" w:space="0" w:color="auto"/>
            <w:left w:val="none" w:sz="0" w:space="0" w:color="auto"/>
            <w:bottom w:val="none" w:sz="0" w:space="0" w:color="auto"/>
            <w:right w:val="none" w:sz="0" w:space="0" w:color="auto"/>
          </w:divBdr>
        </w:div>
        <w:div w:id="1486094602">
          <w:marLeft w:val="0"/>
          <w:marRight w:val="0"/>
          <w:marTop w:val="0"/>
          <w:marBottom w:val="0"/>
          <w:divBdr>
            <w:top w:val="none" w:sz="0" w:space="0" w:color="auto"/>
            <w:left w:val="none" w:sz="0" w:space="0" w:color="auto"/>
            <w:bottom w:val="none" w:sz="0" w:space="0" w:color="auto"/>
            <w:right w:val="none" w:sz="0" w:space="0" w:color="auto"/>
          </w:divBdr>
        </w:div>
        <w:div w:id="1535727214">
          <w:marLeft w:val="0"/>
          <w:marRight w:val="0"/>
          <w:marTop w:val="0"/>
          <w:marBottom w:val="0"/>
          <w:divBdr>
            <w:top w:val="none" w:sz="0" w:space="0" w:color="auto"/>
            <w:left w:val="none" w:sz="0" w:space="0" w:color="auto"/>
            <w:bottom w:val="none" w:sz="0" w:space="0" w:color="auto"/>
            <w:right w:val="none" w:sz="0" w:space="0" w:color="auto"/>
          </w:divBdr>
        </w:div>
        <w:div w:id="1856528833">
          <w:marLeft w:val="0"/>
          <w:marRight w:val="0"/>
          <w:marTop w:val="0"/>
          <w:marBottom w:val="0"/>
          <w:divBdr>
            <w:top w:val="none" w:sz="0" w:space="0" w:color="auto"/>
            <w:left w:val="none" w:sz="0" w:space="0" w:color="auto"/>
            <w:bottom w:val="none" w:sz="0" w:space="0" w:color="auto"/>
            <w:right w:val="none" w:sz="0" w:space="0" w:color="auto"/>
          </w:divBdr>
        </w:div>
      </w:divsChild>
    </w:div>
    <w:div w:id="556283540">
      <w:bodyDiv w:val="1"/>
      <w:marLeft w:val="0"/>
      <w:marRight w:val="0"/>
      <w:marTop w:val="0"/>
      <w:marBottom w:val="0"/>
      <w:divBdr>
        <w:top w:val="none" w:sz="0" w:space="0" w:color="auto"/>
        <w:left w:val="none" w:sz="0" w:space="0" w:color="auto"/>
        <w:bottom w:val="none" w:sz="0" w:space="0" w:color="auto"/>
        <w:right w:val="none" w:sz="0" w:space="0" w:color="auto"/>
      </w:divBdr>
      <w:divsChild>
        <w:div w:id="268978002">
          <w:marLeft w:val="0"/>
          <w:marRight w:val="0"/>
          <w:marTop w:val="0"/>
          <w:marBottom w:val="0"/>
          <w:divBdr>
            <w:top w:val="none" w:sz="0" w:space="0" w:color="auto"/>
            <w:left w:val="none" w:sz="0" w:space="0" w:color="auto"/>
            <w:bottom w:val="none" w:sz="0" w:space="0" w:color="auto"/>
            <w:right w:val="none" w:sz="0" w:space="0" w:color="auto"/>
          </w:divBdr>
        </w:div>
      </w:divsChild>
    </w:div>
    <w:div w:id="559754555">
      <w:bodyDiv w:val="1"/>
      <w:marLeft w:val="0"/>
      <w:marRight w:val="0"/>
      <w:marTop w:val="0"/>
      <w:marBottom w:val="0"/>
      <w:divBdr>
        <w:top w:val="none" w:sz="0" w:space="0" w:color="auto"/>
        <w:left w:val="none" w:sz="0" w:space="0" w:color="auto"/>
        <w:bottom w:val="none" w:sz="0" w:space="0" w:color="auto"/>
        <w:right w:val="none" w:sz="0" w:space="0" w:color="auto"/>
      </w:divBdr>
      <w:divsChild>
        <w:div w:id="1291669367">
          <w:marLeft w:val="0"/>
          <w:marRight w:val="0"/>
          <w:marTop w:val="240"/>
          <w:marBottom w:val="40"/>
          <w:divBdr>
            <w:top w:val="none" w:sz="0" w:space="0" w:color="auto"/>
            <w:left w:val="none" w:sz="0" w:space="0" w:color="auto"/>
            <w:bottom w:val="none" w:sz="0" w:space="0" w:color="auto"/>
            <w:right w:val="none" w:sz="0" w:space="0" w:color="auto"/>
          </w:divBdr>
        </w:div>
        <w:div w:id="1420298614">
          <w:marLeft w:val="0"/>
          <w:marRight w:val="0"/>
          <w:marTop w:val="240"/>
          <w:marBottom w:val="40"/>
          <w:divBdr>
            <w:top w:val="none" w:sz="0" w:space="0" w:color="auto"/>
            <w:left w:val="none" w:sz="0" w:space="0" w:color="auto"/>
            <w:bottom w:val="none" w:sz="0" w:space="0" w:color="auto"/>
            <w:right w:val="none" w:sz="0" w:space="0" w:color="auto"/>
          </w:divBdr>
        </w:div>
      </w:divsChild>
    </w:div>
    <w:div w:id="564530294">
      <w:bodyDiv w:val="1"/>
      <w:marLeft w:val="0"/>
      <w:marRight w:val="0"/>
      <w:marTop w:val="0"/>
      <w:marBottom w:val="0"/>
      <w:divBdr>
        <w:top w:val="none" w:sz="0" w:space="0" w:color="auto"/>
        <w:left w:val="none" w:sz="0" w:space="0" w:color="auto"/>
        <w:bottom w:val="none" w:sz="0" w:space="0" w:color="auto"/>
        <w:right w:val="none" w:sz="0" w:space="0" w:color="auto"/>
      </w:divBdr>
    </w:div>
    <w:div w:id="576061913">
      <w:bodyDiv w:val="1"/>
      <w:marLeft w:val="0"/>
      <w:marRight w:val="0"/>
      <w:marTop w:val="0"/>
      <w:marBottom w:val="0"/>
      <w:divBdr>
        <w:top w:val="none" w:sz="0" w:space="0" w:color="auto"/>
        <w:left w:val="none" w:sz="0" w:space="0" w:color="auto"/>
        <w:bottom w:val="none" w:sz="0" w:space="0" w:color="auto"/>
        <w:right w:val="none" w:sz="0" w:space="0" w:color="auto"/>
      </w:divBdr>
      <w:divsChild>
        <w:div w:id="81807029">
          <w:marLeft w:val="0"/>
          <w:marRight w:val="0"/>
          <w:marTop w:val="0"/>
          <w:marBottom w:val="0"/>
          <w:divBdr>
            <w:top w:val="none" w:sz="0" w:space="0" w:color="auto"/>
            <w:left w:val="none" w:sz="0" w:space="0" w:color="auto"/>
            <w:bottom w:val="none" w:sz="0" w:space="0" w:color="auto"/>
            <w:right w:val="none" w:sz="0" w:space="0" w:color="auto"/>
          </w:divBdr>
        </w:div>
        <w:div w:id="210121571">
          <w:marLeft w:val="0"/>
          <w:marRight w:val="0"/>
          <w:marTop w:val="0"/>
          <w:marBottom w:val="0"/>
          <w:divBdr>
            <w:top w:val="none" w:sz="0" w:space="0" w:color="auto"/>
            <w:left w:val="none" w:sz="0" w:space="0" w:color="auto"/>
            <w:bottom w:val="none" w:sz="0" w:space="0" w:color="auto"/>
            <w:right w:val="none" w:sz="0" w:space="0" w:color="auto"/>
          </w:divBdr>
        </w:div>
        <w:div w:id="377363102">
          <w:marLeft w:val="0"/>
          <w:marRight w:val="0"/>
          <w:marTop w:val="0"/>
          <w:marBottom w:val="0"/>
          <w:divBdr>
            <w:top w:val="none" w:sz="0" w:space="0" w:color="auto"/>
            <w:left w:val="none" w:sz="0" w:space="0" w:color="auto"/>
            <w:bottom w:val="none" w:sz="0" w:space="0" w:color="auto"/>
            <w:right w:val="none" w:sz="0" w:space="0" w:color="auto"/>
          </w:divBdr>
        </w:div>
        <w:div w:id="552691547">
          <w:marLeft w:val="0"/>
          <w:marRight w:val="0"/>
          <w:marTop w:val="0"/>
          <w:marBottom w:val="0"/>
          <w:divBdr>
            <w:top w:val="none" w:sz="0" w:space="0" w:color="auto"/>
            <w:left w:val="none" w:sz="0" w:space="0" w:color="auto"/>
            <w:bottom w:val="none" w:sz="0" w:space="0" w:color="auto"/>
            <w:right w:val="none" w:sz="0" w:space="0" w:color="auto"/>
          </w:divBdr>
        </w:div>
        <w:div w:id="590282813">
          <w:marLeft w:val="0"/>
          <w:marRight w:val="0"/>
          <w:marTop w:val="0"/>
          <w:marBottom w:val="0"/>
          <w:divBdr>
            <w:top w:val="none" w:sz="0" w:space="0" w:color="auto"/>
            <w:left w:val="none" w:sz="0" w:space="0" w:color="auto"/>
            <w:bottom w:val="none" w:sz="0" w:space="0" w:color="auto"/>
            <w:right w:val="none" w:sz="0" w:space="0" w:color="auto"/>
          </w:divBdr>
        </w:div>
        <w:div w:id="810364225">
          <w:marLeft w:val="0"/>
          <w:marRight w:val="0"/>
          <w:marTop w:val="0"/>
          <w:marBottom w:val="0"/>
          <w:divBdr>
            <w:top w:val="none" w:sz="0" w:space="0" w:color="auto"/>
            <w:left w:val="none" w:sz="0" w:space="0" w:color="auto"/>
            <w:bottom w:val="none" w:sz="0" w:space="0" w:color="auto"/>
            <w:right w:val="none" w:sz="0" w:space="0" w:color="auto"/>
          </w:divBdr>
        </w:div>
        <w:div w:id="981230076">
          <w:marLeft w:val="0"/>
          <w:marRight w:val="0"/>
          <w:marTop w:val="0"/>
          <w:marBottom w:val="0"/>
          <w:divBdr>
            <w:top w:val="none" w:sz="0" w:space="0" w:color="auto"/>
            <w:left w:val="none" w:sz="0" w:space="0" w:color="auto"/>
            <w:bottom w:val="none" w:sz="0" w:space="0" w:color="auto"/>
            <w:right w:val="none" w:sz="0" w:space="0" w:color="auto"/>
          </w:divBdr>
        </w:div>
        <w:div w:id="1010789389">
          <w:marLeft w:val="0"/>
          <w:marRight w:val="0"/>
          <w:marTop w:val="0"/>
          <w:marBottom w:val="0"/>
          <w:divBdr>
            <w:top w:val="none" w:sz="0" w:space="0" w:color="auto"/>
            <w:left w:val="none" w:sz="0" w:space="0" w:color="auto"/>
            <w:bottom w:val="none" w:sz="0" w:space="0" w:color="auto"/>
            <w:right w:val="none" w:sz="0" w:space="0" w:color="auto"/>
          </w:divBdr>
        </w:div>
        <w:div w:id="1029911605">
          <w:marLeft w:val="0"/>
          <w:marRight w:val="0"/>
          <w:marTop w:val="0"/>
          <w:marBottom w:val="0"/>
          <w:divBdr>
            <w:top w:val="none" w:sz="0" w:space="0" w:color="auto"/>
            <w:left w:val="none" w:sz="0" w:space="0" w:color="auto"/>
            <w:bottom w:val="none" w:sz="0" w:space="0" w:color="auto"/>
            <w:right w:val="none" w:sz="0" w:space="0" w:color="auto"/>
          </w:divBdr>
        </w:div>
        <w:div w:id="1256592407">
          <w:marLeft w:val="0"/>
          <w:marRight w:val="0"/>
          <w:marTop w:val="0"/>
          <w:marBottom w:val="0"/>
          <w:divBdr>
            <w:top w:val="none" w:sz="0" w:space="0" w:color="auto"/>
            <w:left w:val="none" w:sz="0" w:space="0" w:color="auto"/>
            <w:bottom w:val="none" w:sz="0" w:space="0" w:color="auto"/>
            <w:right w:val="none" w:sz="0" w:space="0" w:color="auto"/>
          </w:divBdr>
        </w:div>
        <w:div w:id="1259093619">
          <w:marLeft w:val="0"/>
          <w:marRight w:val="0"/>
          <w:marTop w:val="0"/>
          <w:marBottom w:val="0"/>
          <w:divBdr>
            <w:top w:val="none" w:sz="0" w:space="0" w:color="auto"/>
            <w:left w:val="none" w:sz="0" w:space="0" w:color="auto"/>
            <w:bottom w:val="none" w:sz="0" w:space="0" w:color="auto"/>
            <w:right w:val="none" w:sz="0" w:space="0" w:color="auto"/>
          </w:divBdr>
        </w:div>
        <w:div w:id="1310668263">
          <w:marLeft w:val="0"/>
          <w:marRight w:val="0"/>
          <w:marTop w:val="0"/>
          <w:marBottom w:val="0"/>
          <w:divBdr>
            <w:top w:val="none" w:sz="0" w:space="0" w:color="auto"/>
            <w:left w:val="none" w:sz="0" w:space="0" w:color="auto"/>
            <w:bottom w:val="none" w:sz="0" w:space="0" w:color="auto"/>
            <w:right w:val="none" w:sz="0" w:space="0" w:color="auto"/>
          </w:divBdr>
        </w:div>
        <w:div w:id="1397363872">
          <w:marLeft w:val="0"/>
          <w:marRight w:val="0"/>
          <w:marTop w:val="0"/>
          <w:marBottom w:val="0"/>
          <w:divBdr>
            <w:top w:val="none" w:sz="0" w:space="0" w:color="auto"/>
            <w:left w:val="none" w:sz="0" w:space="0" w:color="auto"/>
            <w:bottom w:val="none" w:sz="0" w:space="0" w:color="auto"/>
            <w:right w:val="none" w:sz="0" w:space="0" w:color="auto"/>
          </w:divBdr>
        </w:div>
        <w:div w:id="1588225358">
          <w:marLeft w:val="0"/>
          <w:marRight w:val="0"/>
          <w:marTop w:val="0"/>
          <w:marBottom w:val="0"/>
          <w:divBdr>
            <w:top w:val="none" w:sz="0" w:space="0" w:color="auto"/>
            <w:left w:val="none" w:sz="0" w:space="0" w:color="auto"/>
            <w:bottom w:val="none" w:sz="0" w:space="0" w:color="auto"/>
            <w:right w:val="none" w:sz="0" w:space="0" w:color="auto"/>
          </w:divBdr>
        </w:div>
        <w:div w:id="1767069027">
          <w:marLeft w:val="0"/>
          <w:marRight w:val="0"/>
          <w:marTop w:val="0"/>
          <w:marBottom w:val="0"/>
          <w:divBdr>
            <w:top w:val="none" w:sz="0" w:space="0" w:color="auto"/>
            <w:left w:val="none" w:sz="0" w:space="0" w:color="auto"/>
            <w:bottom w:val="none" w:sz="0" w:space="0" w:color="auto"/>
            <w:right w:val="none" w:sz="0" w:space="0" w:color="auto"/>
          </w:divBdr>
        </w:div>
        <w:div w:id="1767576571">
          <w:marLeft w:val="0"/>
          <w:marRight w:val="0"/>
          <w:marTop w:val="0"/>
          <w:marBottom w:val="0"/>
          <w:divBdr>
            <w:top w:val="none" w:sz="0" w:space="0" w:color="auto"/>
            <w:left w:val="none" w:sz="0" w:space="0" w:color="auto"/>
            <w:bottom w:val="none" w:sz="0" w:space="0" w:color="auto"/>
            <w:right w:val="none" w:sz="0" w:space="0" w:color="auto"/>
          </w:divBdr>
        </w:div>
      </w:divsChild>
    </w:div>
    <w:div w:id="578684683">
      <w:bodyDiv w:val="1"/>
      <w:marLeft w:val="0"/>
      <w:marRight w:val="0"/>
      <w:marTop w:val="0"/>
      <w:marBottom w:val="0"/>
      <w:divBdr>
        <w:top w:val="none" w:sz="0" w:space="0" w:color="auto"/>
        <w:left w:val="none" w:sz="0" w:space="0" w:color="auto"/>
        <w:bottom w:val="none" w:sz="0" w:space="0" w:color="auto"/>
        <w:right w:val="none" w:sz="0" w:space="0" w:color="auto"/>
      </w:divBdr>
      <w:divsChild>
        <w:div w:id="120420436">
          <w:marLeft w:val="0"/>
          <w:marRight w:val="0"/>
          <w:marTop w:val="0"/>
          <w:marBottom w:val="0"/>
          <w:divBdr>
            <w:top w:val="none" w:sz="0" w:space="0" w:color="auto"/>
            <w:left w:val="none" w:sz="0" w:space="0" w:color="auto"/>
            <w:bottom w:val="none" w:sz="0" w:space="0" w:color="auto"/>
            <w:right w:val="none" w:sz="0" w:space="0" w:color="auto"/>
          </w:divBdr>
        </w:div>
        <w:div w:id="376047082">
          <w:marLeft w:val="0"/>
          <w:marRight w:val="0"/>
          <w:marTop w:val="0"/>
          <w:marBottom w:val="0"/>
          <w:divBdr>
            <w:top w:val="none" w:sz="0" w:space="0" w:color="auto"/>
            <w:left w:val="none" w:sz="0" w:space="0" w:color="auto"/>
            <w:bottom w:val="none" w:sz="0" w:space="0" w:color="auto"/>
            <w:right w:val="none" w:sz="0" w:space="0" w:color="auto"/>
          </w:divBdr>
        </w:div>
        <w:div w:id="508763145">
          <w:marLeft w:val="0"/>
          <w:marRight w:val="0"/>
          <w:marTop w:val="0"/>
          <w:marBottom w:val="0"/>
          <w:divBdr>
            <w:top w:val="none" w:sz="0" w:space="0" w:color="auto"/>
            <w:left w:val="none" w:sz="0" w:space="0" w:color="auto"/>
            <w:bottom w:val="none" w:sz="0" w:space="0" w:color="auto"/>
            <w:right w:val="none" w:sz="0" w:space="0" w:color="auto"/>
          </w:divBdr>
        </w:div>
        <w:div w:id="977950182">
          <w:marLeft w:val="0"/>
          <w:marRight w:val="0"/>
          <w:marTop w:val="0"/>
          <w:marBottom w:val="0"/>
          <w:divBdr>
            <w:top w:val="none" w:sz="0" w:space="0" w:color="auto"/>
            <w:left w:val="none" w:sz="0" w:space="0" w:color="auto"/>
            <w:bottom w:val="none" w:sz="0" w:space="0" w:color="auto"/>
            <w:right w:val="none" w:sz="0" w:space="0" w:color="auto"/>
          </w:divBdr>
        </w:div>
        <w:div w:id="1220358739">
          <w:marLeft w:val="0"/>
          <w:marRight w:val="0"/>
          <w:marTop w:val="0"/>
          <w:marBottom w:val="0"/>
          <w:divBdr>
            <w:top w:val="none" w:sz="0" w:space="0" w:color="auto"/>
            <w:left w:val="none" w:sz="0" w:space="0" w:color="auto"/>
            <w:bottom w:val="none" w:sz="0" w:space="0" w:color="auto"/>
            <w:right w:val="none" w:sz="0" w:space="0" w:color="auto"/>
          </w:divBdr>
        </w:div>
        <w:div w:id="1345133504">
          <w:marLeft w:val="0"/>
          <w:marRight w:val="0"/>
          <w:marTop w:val="0"/>
          <w:marBottom w:val="0"/>
          <w:divBdr>
            <w:top w:val="none" w:sz="0" w:space="0" w:color="auto"/>
            <w:left w:val="none" w:sz="0" w:space="0" w:color="auto"/>
            <w:bottom w:val="none" w:sz="0" w:space="0" w:color="auto"/>
            <w:right w:val="none" w:sz="0" w:space="0" w:color="auto"/>
          </w:divBdr>
        </w:div>
        <w:div w:id="1360736373">
          <w:marLeft w:val="0"/>
          <w:marRight w:val="0"/>
          <w:marTop w:val="0"/>
          <w:marBottom w:val="0"/>
          <w:divBdr>
            <w:top w:val="none" w:sz="0" w:space="0" w:color="auto"/>
            <w:left w:val="none" w:sz="0" w:space="0" w:color="auto"/>
            <w:bottom w:val="none" w:sz="0" w:space="0" w:color="auto"/>
            <w:right w:val="none" w:sz="0" w:space="0" w:color="auto"/>
          </w:divBdr>
        </w:div>
        <w:div w:id="1478376774">
          <w:marLeft w:val="0"/>
          <w:marRight w:val="0"/>
          <w:marTop w:val="0"/>
          <w:marBottom w:val="0"/>
          <w:divBdr>
            <w:top w:val="none" w:sz="0" w:space="0" w:color="auto"/>
            <w:left w:val="none" w:sz="0" w:space="0" w:color="auto"/>
            <w:bottom w:val="none" w:sz="0" w:space="0" w:color="auto"/>
            <w:right w:val="none" w:sz="0" w:space="0" w:color="auto"/>
          </w:divBdr>
        </w:div>
        <w:div w:id="1870333778">
          <w:marLeft w:val="0"/>
          <w:marRight w:val="0"/>
          <w:marTop w:val="0"/>
          <w:marBottom w:val="0"/>
          <w:divBdr>
            <w:top w:val="none" w:sz="0" w:space="0" w:color="auto"/>
            <w:left w:val="none" w:sz="0" w:space="0" w:color="auto"/>
            <w:bottom w:val="none" w:sz="0" w:space="0" w:color="auto"/>
            <w:right w:val="none" w:sz="0" w:space="0" w:color="auto"/>
          </w:divBdr>
        </w:div>
        <w:div w:id="2057730850">
          <w:marLeft w:val="0"/>
          <w:marRight w:val="0"/>
          <w:marTop w:val="0"/>
          <w:marBottom w:val="0"/>
          <w:divBdr>
            <w:top w:val="none" w:sz="0" w:space="0" w:color="auto"/>
            <w:left w:val="none" w:sz="0" w:space="0" w:color="auto"/>
            <w:bottom w:val="none" w:sz="0" w:space="0" w:color="auto"/>
            <w:right w:val="none" w:sz="0" w:space="0" w:color="auto"/>
          </w:divBdr>
        </w:div>
      </w:divsChild>
    </w:div>
    <w:div w:id="579754197">
      <w:bodyDiv w:val="1"/>
      <w:marLeft w:val="0"/>
      <w:marRight w:val="0"/>
      <w:marTop w:val="0"/>
      <w:marBottom w:val="0"/>
      <w:divBdr>
        <w:top w:val="none" w:sz="0" w:space="0" w:color="auto"/>
        <w:left w:val="none" w:sz="0" w:space="0" w:color="auto"/>
        <w:bottom w:val="none" w:sz="0" w:space="0" w:color="auto"/>
        <w:right w:val="none" w:sz="0" w:space="0" w:color="auto"/>
      </w:divBdr>
      <w:divsChild>
        <w:div w:id="752169475">
          <w:marLeft w:val="0"/>
          <w:marRight w:val="0"/>
          <w:marTop w:val="0"/>
          <w:marBottom w:val="0"/>
          <w:divBdr>
            <w:top w:val="none" w:sz="0" w:space="0" w:color="auto"/>
            <w:left w:val="none" w:sz="0" w:space="0" w:color="auto"/>
            <w:bottom w:val="none" w:sz="0" w:space="0" w:color="auto"/>
            <w:right w:val="none" w:sz="0" w:space="0" w:color="auto"/>
          </w:divBdr>
        </w:div>
        <w:div w:id="1748963617">
          <w:marLeft w:val="0"/>
          <w:marRight w:val="0"/>
          <w:marTop w:val="0"/>
          <w:marBottom w:val="0"/>
          <w:divBdr>
            <w:top w:val="none" w:sz="0" w:space="0" w:color="auto"/>
            <w:left w:val="none" w:sz="0" w:space="0" w:color="auto"/>
            <w:bottom w:val="none" w:sz="0" w:space="0" w:color="auto"/>
            <w:right w:val="none" w:sz="0" w:space="0" w:color="auto"/>
          </w:divBdr>
        </w:div>
      </w:divsChild>
    </w:div>
    <w:div w:id="583535891">
      <w:bodyDiv w:val="1"/>
      <w:marLeft w:val="0"/>
      <w:marRight w:val="0"/>
      <w:marTop w:val="0"/>
      <w:marBottom w:val="0"/>
      <w:divBdr>
        <w:top w:val="none" w:sz="0" w:space="0" w:color="auto"/>
        <w:left w:val="none" w:sz="0" w:space="0" w:color="auto"/>
        <w:bottom w:val="none" w:sz="0" w:space="0" w:color="auto"/>
        <w:right w:val="none" w:sz="0" w:space="0" w:color="auto"/>
      </w:divBdr>
    </w:div>
    <w:div w:id="586498322">
      <w:bodyDiv w:val="1"/>
      <w:marLeft w:val="0"/>
      <w:marRight w:val="0"/>
      <w:marTop w:val="0"/>
      <w:marBottom w:val="0"/>
      <w:divBdr>
        <w:top w:val="none" w:sz="0" w:space="0" w:color="auto"/>
        <w:left w:val="none" w:sz="0" w:space="0" w:color="auto"/>
        <w:bottom w:val="none" w:sz="0" w:space="0" w:color="auto"/>
        <w:right w:val="none" w:sz="0" w:space="0" w:color="auto"/>
      </w:divBdr>
      <w:divsChild>
        <w:div w:id="768627231">
          <w:marLeft w:val="547"/>
          <w:marRight w:val="0"/>
          <w:marTop w:val="200"/>
          <w:marBottom w:val="0"/>
          <w:divBdr>
            <w:top w:val="none" w:sz="0" w:space="0" w:color="auto"/>
            <w:left w:val="none" w:sz="0" w:space="0" w:color="auto"/>
            <w:bottom w:val="none" w:sz="0" w:space="0" w:color="auto"/>
            <w:right w:val="none" w:sz="0" w:space="0" w:color="auto"/>
          </w:divBdr>
        </w:div>
        <w:div w:id="1189216363">
          <w:marLeft w:val="547"/>
          <w:marRight w:val="0"/>
          <w:marTop w:val="200"/>
          <w:marBottom w:val="0"/>
          <w:divBdr>
            <w:top w:val="none" w:sz="0" w:space="0" w:color="auto"/>
            <w:left w:val="none" w:sz="0" w:space="0" w:color="auto"/>
            <w:bottom w:val="none" w:sz="0" w:space="0" w:color="auto"/>
            <w:right w:val="none" w:sz="0" w:space="0" w:color="auto"/>
          </w:divBdr>
        </w:div>
        <w:div w:id="1878463600">
          <w:marLeft w:val="547"/>
          <w:marRight w:val="0"/>
          <w:marTop w:val="200"/>
          <w:marBottom w:val="0"/>
          <w:divBdr>
            <w:top w:val="none" w:sz="0" w:space="0" w:color="auto"/>
            <w:left w:val="none" w:sz="0" w:space="0" w:color="auto"/>
            <w:bottom w:val="none" w:sz="0" w:space="0" w:color="auto"/>
            <w:right w:val="none" w:sz="0" w:space="0" w:color="auto"/>
          </w:divBdr>
        </w:div>
      </w:divsChild>
    </w:div>
    <w:div w:id="589509284">
      <w:bodyDiv w:val="1"/>
      <w:marLeft w:val="0"/>
      <w:marRight w:val="0"/>
      <w:marTop w:val="0"/>
      <w:marBottom w:val="0"/>
      <w:divBdr>
        <w:top w:val="none" w:sz="0" w:space="0" w:color="auto"/>
        <w:left w:val="none" w:sz="0" w:space="0" w:color="auto"/>
        <w:bottom w:val="none" w:sz="0" w:space="0" w:color="auto"/>
        <w:right w:val="none" w:sz="0" w:space="0" w:color="auto"/>
      </w:divBdr>
      <w:divsChild>
        <w:div w:id="145443528">
          <w:marLeft w:val="0"/>
          <w:marRight w:val="0"/>
          <w:marTop w:val="0"/>
          <w:marBottom w:val="0"/>
          <w:divBdr>
            <w:top w:val="none" w:sz="0" w:space="0" w:color="auto"/>
            <w:left w:val="none" w:sz="0" w:space="0" w:color="auto"/>
            <w:bottom w:val="none" w:sz="0" w:space="0" w:color="auto"/>
            <w:right w:val="none" w:sz="0" w:space="0" w:color="auto"/>
          </w:divBdr>
        </w:div>
        <w:div w:id="175310631">
          <w:marLeft w:val="0"/>
          <w:marRight w:val="0"/>
          <w:marTop w:val="0"/>
          <w:marBottom w:val="0"/>
          <w:divBdr>
            <w:top w:val="none" w:sz="0" w:space="0" w:color="auto"/>
            <w:left w:val="none" w:sz="0" w:space="0" w:color="auto"/>
            <w:bottom w:val="none" w:sz="0" w:space="0" w:color="auto"/>
            <w:right w:val="none" w:sz="0" w:space="0" w:color="auto"/>
          </w:divBdr>
        </w:div>
        <w:div w:id="746876111">
          <w:marLeft w:val="0"/>
          <w:marRight w:val="0"/>
          <w:marTop w:val="0"/>
          <w:marBottom w:val="0"/>
          <w:divBdr>
            <w:top w:val="none" w:sz="0" w:space="0" w:color="auto"/>
            <w:left w:val="none" w:sz="0" w:space="0" w:color="auto"/>
            <w:bottom w:val="none" w:sz="0" w:space="0" w:color="auto"/>
            <w:right w:val="none" w:sz="0" w:space="0" w:color="auto"/>
          </w:divBdr>
        </w:div>
        <w:div w:id="1027487036">
          <w:marLeft w:val="0"/>
          <w:marRight w:val="0"/>
          <w:marTop w:val="0"/>
          <w:marBottom w:val="0"/>
          <w:divBdr>
            <w:top w:val="none" w:sz="0" w:space="0" w:color="auto"/>
            <w:left w:val="none" w:sz="0" w:space="0" w:color="auto"/>
            <w:bottom w:val="none" w:sz="0" w:space="0" w:color="auto"/>
            <w:right w:val="none" w:sz="0" w:space="0" w:color="auto"/>
          </w:divBdr>
        </w:div>
        <w:div w:id="1292245445">
          <w:marLeft w:val="0"/>
          <w:marRight w:val="0"/>
          <w:marTop w:val="0"/>
          <w:marBottom w:val="0"/>
          <w:divBdr>
            <w:top w:val="none" w:sz="0" w:space="0" w:color="auto"/>
            <w:left w:val="none" w:sz="0" w:space="0" w:color="auto"/>
            <w:bottom w:val="none" w:sz="0" w:space="0" w:color="auto"/>
            <w:right w:val="none" w:sz="0" w:space="0" w:color="auto"/>
          </w:divBdr>
        </w:div>
        <w:div w:id="1616404614">
          <w:marLeft w:val="0"/>
          <w:marRight w:val="0"/>
          <w:marTop w:val="0"/>
          <w:marBottom w:val="0"/>
          <w:divBdr>
            <w:top w:val="none" w:sz="0" w:space="0" w:color="auto"/>
            <w:left w:val="none" w:sz="0" w:space="0" w:color="auto"/>
            <w:bottom w:val="none" w:sz="0" w:space="0" w:color="auto"/>
            <w:right w:val="none" w:sz="0" w:space="0" w:color="auto"/>
          </w:divBdr>
        </w:div>
        <w:div w:id="1698387904">
          <w:marLeft w:val="0"/>
          <w:marRight w:val="0"/>
          <w:marTop w:val="0"/>
          <w:marBottom w:val="0"/>
          <w:divBdr>
            <w:top w:val="none" w:sz="0" w:space="0" w:color="auto"/>
            <w:left w:val="none" w:sz="0" w:space="0" w:color="auto"/>
            <w:bottom w:val="none" w:sz="0" w:space="0" w:color="auto"/>
            <w:right w:val="none" w:sz="0" w:space="0" w:color="auto"/>
          </w:divBdr>
        </w:div>
        <w:div w:id="1784495261">
          <w:marLeft w:val="0"/>
          <w:marRight w:val="0"/>
          <w:marTop w:val="0"/>
          <w:marBottom w:val="0"/>
          <w:divBdr>
            <w:top w:val="none" w:sz="0" w:space="0" w:color="auto"/>
            <w:left w:val="none" w:sz="0" w:space="0" w:color="auto"/>
            <w:bottom w:val="none" w:sz="0" w:space="0" w:color="auto"/>
            <w:right w:val="none" w:sz="0" w:space="0" w:color="auto"/>
          </w:divBdr>
        </w:div>
        <w:div w:id="1895383839">
          <w:marLeft w:val="0"/>
          <w:marRight w:val="0"/>
          <w:marTop w:val="0"/>
          <w:marBottom w:val="0"/>
          <w:divBdr>
            <w:top w:val="none" w:sz="0" w:space="0" w:color="auto"/>
            <w:left w:val="none" w:sz="0" w:space="0" w:color="auto"/>
            <w:bottom w:val="none" w:sz="0" w:space="0" w:color="auto"/>
            <w:right w:val="none" w:sz="0" w:space="0" w:color="auto"/>
          </w:divBdr>
        </w:div>
        <w:div w:id="1905798122">
          <w:marLeft w:val="0"/>
          <w:marRight w:val="0"/>
          <w:marTop w:val="0"/>
          <w:marBottom w:val="0"/>
          <w:divBdr>
            <w:top w:val="none" w:sz="0" w:space="0" w:color="auto"/>
            <w:left w:val="none" w:sz="0" w:space="0" w:color="auto"/>
            <w:bottom w:val="none" w:sz="0" w:space="0" w:color="auto"/>
            <w:right w:val="none" w:sz="0" w:space="0" w:color="auto"/>
          </w:divBdr>
        </w:div>
        <w:div w:id="2034958993">
          <w:marLeft w:val="0"/>
          <w:marRight w:val="0"/>
          <w:marTop w:val="0"/>
          <w:marBottom w:val="0"/>
          <w:divBdr>
            <w:top w:val="none" w:sz="0" w:space="0" w:color="auto"/>
            <w:left w:val="none" w:sz="0" w:space="0" w:color="auto"/>
            <w:bottom w:val="none" w:sz="0" w:space="0" w:color="auto"/>
            <w:right w:val="none" w:sz="0" w:space="0" w:color="auto"/>
          </w:divBdr>
        </w:div>
      </w:divsChild>
    </w:div>
    <w:div w:id="591819414">
      <w:bodyDiv w:val="1"/>
      <w:marLeft w:val="0"/>
      <w:marRight w:val="0"/>
      <w:marTop w:val="0"/>
      <w:marBottom w:val="0"/>
      <w:divBdr>
        <w:top w:val="none" w:sz="0" w:space="0" w:color="auto"/>
        <w:left w:val="none" w:sz="0" w:space="0" w:color="auto"/>
        <w:bottom w:val="none" w:sz="0" w:space="0" w:color="auto"/>
        <w:right w:val="none" w:sz="0" w:space="0" w:color="auto"/>
      </w:divBdr>
      <w:divsChild>
        <w:div w:id="188106861">
          <w:marLeft w:val="0"/>
          <w:marRight w:val="0"/>
          <w:marTop w:val="0"/>
          <w:marBottom w:val="0"/>
          <w:divBdr>
            <w:top w:val="none" w:sz="0" w:space="0" w:color="auto"/>
            <w:left w:val="none" w:sz="0" w:space="0" w:color="auto"/>
            <w:bottom w:val="none" w:sz="0" w:space="0" w:color="auto"/>
            <w:right w:val="none" w:sz="0" w:space="0" w:color="auto"/>
          </w:divBdr>
        </w:div>
        <w:div w:id="235018147">
          <w:marLeft w:val="0"/>
          <w:marRight w:val="0"/>
          <w:marTop w:val="0"/>
          <w:marBottom w:val="0"/>
          <w:divBdr>
            <w:top w:val="none" w:sz="0" w:space="0" w:color="auto"/>
            <w:left w:val="none" w:sz="0" w:space="0" w:color="auto"/>
            <w:bottom w:val="none" w:sz="0" w:space="0" w:color="auto"/>
            <w:right w:val="none" w:sz="0" w:space="0" w:color="auto"/>
          </w:divBdr>
        </w:div>
        <w:div w:id="414594466">
          <w:marLeft w:val="0"/>
          <w:marRight w:val="0"/>
          <w:marTop w:val="0"/>
          <w:marBottom w:val="0"/>
          <w:divBdr>
            <w:top w:val="none" w:sz="0" w:space="0" w:color="auto"/>
            <w:left w:val="none" w:sz="0" w:space="0" w:color="auto"/>
            <w:bottom w:val="none" w:sz="0" w:space="0" w:color="auto"/>
            <w:right w:val="none" w:sz="0" w:space="0" w:color="auto"/>
          </w:divBdr>
        </w:div>
        <w:div w:id="666902924">
          <w:marLeft w:val="0"/>
          <w:marRight w:val="0"/>
          <w:marTop w:val="0"/>
          <w:marBottom w:val="0"/>
          <w:divBdr>
            <w:top w:val="none" w:sz="0" w:space="0" w:color="auto"/>
            <w:left w:val="none" w:sz="0" w:space="0" w:color="auto"/>
            <w:bottom w:val="none" w:sz="0" w:space="0" w:color="auto"/>
            <w:right w:val="none" w:sz="0" w:space="0" w:color="auto"/>
          </w:divBdr>
        </w:div>
        <w:div w:id="671378771">
          <w:marLeft w:val="0"/>
          <w:marRight w:val="0"/>
          <w:marTop w:val="0"/>
          <w:marBottom w:val="0"/>
          <w:divBdr>
            <w:top w:val="none" w:sz="0" w:space="0" w:color="auto"/>
            <w:left w:val="none" w:sz="0" w:space="0" w:color="auto"/>
            <w:bottom w:val="none" w:sz="0" w:space="0" w:color="auto"/>
            <w:right w:val="none" w:sz="0" w:space="0" w:color="auto"/>
          </w:divBdr>
        </w:div>
        <w:div w:id="1364749066">
          <w:marLeft w:val="0"/>
          <w:marRight w:val="0"/>
          <w:marTop w:val="0"/>
          <w:marBottom w:val="0"/>
          <w:divBdr>
            <w:top w:val="none" w:sz="0" w:space="0" w:color="auto"/>
            <w:left w:val="none" w:sz="0" w:space="0" w:color="auto"/>
            <w:bottom w:val="none" w:sz="0" w:space="0" w:color="auto"/>
            <w:right w:val="none" w:sz="0" w:space="0" w:color="auto"/>
          </w:divBdr>
        </w:div>
      </w:divsChild>
    </w:div>
    <w:div w:id="602306666">
      <w:bodyDiv w:val="1"/>
      <w:marLeft w:val="0"/>
      <w:marRight w:val="0"/>
      <w:marTop w:val="0"/>
      <w:marBottom w:val="0"/>
      <w:divBdr>
        <w:top w:val="none" w:sz="0" w:space="0" w:color="auto"/>
        <w:left w:val="none" w:sz="0" w:space="0" w:color="auto"/>
        <w:bottom w:val="none" w:sz="0" w:space="0" w:color="auto"/>
        <w:right w:val="none" w:sz="0" w:space="0" w:color="auto"/>
      </w:divBdr>
    </w:div>
    <w:div w:id="605582680">
      <w:bodyDiv w:val="1"/>
      <w:marLeft w:val="0"/>
      <w:marRight w:val="0"/>
      <w:marTop w:val="0"/>
      <w:marBottom w:val="0"/>
      <w:divBdr>
        <w:top w:val="none" w:sz="0" w:space="0" w:color="auto"/>
        <w:left w:val="none" w:sz="0" w:space="0" w:color="auto"/>
        <w:bottom w:val="none" w:sz="0" w:space="0" w:color="auto"/>
        <w:right w:val="none" w:sz="0" w:space="0" w:color="auto"/>
      </w:divBdr>
      <w:divsChild>
        <w:div w:id="1410426631">
          <w:marLeft w:val="0"/>
          <w:marRight w:val="0"/>
          <w:marTop w:val="0"/>
          <w:marBottom w:val="0"/>
          <w:divBdr>
            <w:top w:val="none" w:sz="0" w:space="0" w:color="auto"/>
            <w:left w:val="none" w:sz="0" w:space="0" w:color="auto"/>
            <w:bottom w:val="none" w:sz="0" w:space="0" w:color="auto"/>
            <w:right w:val="none" w:sz="0" w:space="0" w:color="auto"/>
          </w:divBdr>
        </w:div>
      </w:divsChild>
    </w:div>
    <w:div w:id="608128706">
      <w:bodyDiv w:val="1"/>
      <w:marLeft w:val="0"/>
      <w:marRight w:val="0"/>
      <w:marTop w:val="0"/>
      <w:marBottom w:val="0"/>
      <w:divBdr>
        <w:top w:val="none" w:sz="0" w:space="0" w:color="auto"/>
        <w:left w:val="none" w:sz="0" w:space="0" w:color="auto"/>
        <w:bottom w:val="none" w:sz="0" w:space="0" w:color="auto"/>
        <w:right w:val="none" w:sz="0" w:space="0" w:color="auto"/>
      </w:divBdr>
      <w:divsChild>
        <w:div w:id="1612518966">
          <w:marLeft w:val="0"/>
          <w:marRight w:val="0"/>
          <w:marTop w:val="0"/>
          <w:marBottom w:val="0"/>
          <w:divBdr>
            <w:top w:val="none" w:sz="0" w:space="0" w:color="auto"/>
            <w:left w:val="none" w:sz="0" w:space="0" w:color="auto"/>
            <w:bottom w:val="none" w:sz="0" w:space="0" w:color="auto"/>
            <w:right w:val="none" w:sz="0" w:space="0" w:color="auto"/>
          </w:divBdr>
        </w:div>
      </w:divsChild>
    </w:div>
    <w:div w:id="609244666">
      <w:bodyDiv w:val="1"/>
      <w:marLeft w:val="0"/>
      <w:marRight w:val="0"/>
      <w:marTop w:val="0"/>
      <w:marBottom w:val="0"/>
      <w:divBdr>
        <w:top w:val="none" w:sz="0" w:space="0" w:color="auto"/>
        <w:left w:val="none" w:sz="0" w:space="0" w:color="auto"/>
        <w:bottom w:val="none" w:sz="0" w:space="0" w:color="auto"/>
        <w:right w:val="none" w:sz="0" w:space="0" w:color="auto"/>
      </w:divBdr>
      <w:divsChild>
        <w:div w:id="1973249038">
          <w:marLeft w:val="0"/>
          <w:marRight w:val="0"/>
          <w:marTop w:val="120"/>
          <w:marBottom w:val="0"/>
          <w:divBdr>
            <w:top w:val="none" w:sz="0" w:space="0" w:color="auto"/>
            <w:left w:val="none" w:sz="0" w:space="0" w:color="auto"/>
            <w:bottom w:val="none" w:sz="0" w:space="0" w:color="auto"/>
            <w:right w:val="none" w:sz="0" w:space="0" w:color="auto"/>
          </w:divBdr>
        </w:div>
      </w:divsChild>
    </w:div>
    <w:div w:id="609750074">
      <w:bodyDiv w:val="1"/>
      <w:marLeft w:val="0"/>
      <w:marRight w:val="0"/>
      <w:marTop w:val="0"/>
      <w:marBottom w:val="0"/>
      <w:divBdr>
        <w:top w:val="none" w:sz="0" w:space="0" w:color="auto"/>
        <w:left w:val="none" w:sz="0" w:space="0" w:color="auto"/>
        <w:bottom w:val="none" w:sz="0" w:space="0" w:color="auto"/>
        <w:right w:val="none" w:sz="0" w:space="0" w:color="auto"/>
      </w:divBdr>
      <w:divsChild>
        <w:div w:id="1190727435">
          <w:marLeft w:val="0"/>
          <w:marRight w:val="0"/>
          <w:marTop w:val="0"/>
          <w:marBottom w:val="0"/>
          <w:divBdr>
            <w:top w:val="none" w:sz="0" w:space="0" w:color="auto"/>
            <w:left w:val="none" w:sz="0" w:space="0" w:color="auto"/>
            <w:bottom w:val="none" w:sz="0" w:space="0" w:color="auto"/>
            <w:right w:val="none" w:sz="0" w:space="0" w:color="auto"/>
          </w:divBdr>
        </w:div>
      </w:divsChild>
    </w:div>
    <w:div w:id="614871026">
      <w:bodyDiv w:val="1"/>
      <w:marLeft w:val="0"/>
      <w:marRight w:val="0"/>
      <w:marTop w:val="0"/>
      <w:marBottom w:val="0"/>
      <w:divBdr>
        <w:top w:val="none" w:sz="0" w:space="0" w:color="auto"/>
        <w:left w:val="none" w:sz="0" w:space="0" w:color="auto"/>
        <w:bottom w:val="none" w:sz="0" w:space="0" w:color="auto"/>
        <w:right w:val="none" w:sz="0" w:space="0" w:color="auto"/>
      </w:divBdr>
    </w:div>
    <w:div w:id="619459319">
      <w:bodyDiv w:val="1"/>
      <w:marLeft w:val="0"/>
      <w:marRight w:val="0"/>
      <w:marTop w:val="0"/>
      <w:marBottom w:val="0"/>
      <w:divBdr>
        <w:top w:val="none" w:sz="0" w:space="0" w:color="auto"/>
        <w:left w:val="none" w:sz="0" w:space="0" w:color="auto"/>
        <w:bottom w:val="none" w:sz="0" w:space="0" w:color="auto"/>
        <w:right w:val="none" w:sz="0" w:space="0" w:color="auto"/>
      </w:divBdr>
    </w:div>
    <w:div w:id="620037887">
      <w:bodyDiv w:val="1"/>
      <w:marLeft w:val="0"/>
      <w:marRight w:val="0"/>
      <w:marTop w:val="0"/>
      <w:marBottom w:val="0"/>
      <w:divBdr>
        <w:top w:val="none" w:sz="0" w:space="0" w:color="auto"/>
        <w:left w:val="none" w:sz="0" w:space="0" w:color="auto"/>
        <w:bottom w:val="none" w:sz="0" w:space="0" w:color="auto"/>
        <w:right w:val="none" w:sz="0" w:space="0" w:color="auto"/>
      </w:divBdr>
      <w:divsChild>
        <w:div w:id="1028064549">
          <w:marLeft w:val="0"/>
          <w:marRight w:val="0"/>
          <w:marTop w:val="0"/>
          <w:marBottom w:val="0"/>
          <w:divBdr>
            <w:top w:val="none" w:sz="0" w:space="0" w:color="auto"/>
            <w:left w:val="none" w:sz="0" w:space="0" w:color="auto"/>
            <w:bottom w:val="none" w:sz="0" w:space="0" w:color="auto"/>
            <w:right w:val="none" w:sz="0" w:space="0" w:color="auto"/>
          </w:divBdr>
        </w:div>
        <w:div w:id="1382513391">
          <w:marLeft w:val="0"/>
          <w:marRight w:val="0"/>
          <w:marTop w:val="0"/>
          <w:marBottom w:val="0"/>
          <w:divBdr>
            <w:top w:val="none" w:sz="0" w:space="0" w:color="auto"/>
            <w:left w:val="none" w:sz="0" w:space="0" w:color="auto"/>
            <w:bottom w:val="none" w:sz="0" w:space="0" w:color="auto"/>
            <w:right w:val="none" w:sz="0" w:space="0" w:color="auto"/>
          </w:divBdr>
        </w:div>
        <w:div w:id="2003044634">
          <w:marLeft w:val="0"/>
          <w:marRight w:val="0"/>
          <w:marTop w:val="0"/>
          <w:marBottom w:val="0"/>
          <w:divBdr>
            <w:top w:val="none" w:sz="0" w:space="0" w:color="auto"/>
            <w:left w:val="none" w:sz="0" w:space="0" w:color="auto"/>
            <w:bottom w:val="none" w:sz="0" w:space="0" w:color="auto"/>
            <w:right w:val="none" w:sz="0" w:space="0" w:color="auto"/>
          </w:divBdr>
        </w:div>
      </w:divsChild>
    </w:div>
    <w:div w:id="622155767">
      <w:bodyDiv w:val="1"/>
      <w:marLeft w:val="0"/>
      <w:marRight w:val="0"/>
      <w:marTop w:val="0"/>
      <w:marBottom w:val="0"/>
      <w:divBdr>
        <w:top w:val="none" w:sz="0" w:space="0" w:color="auto"/>
        <w:left w:val="none" w:sz="0" w:space="0" w:color="auto"/>
        <w:bottom w:val="none" w:sz="0" w:space="0" w:color="auto"/>
        <w:right w:val="none" w:sz="0" w:space="0" w:color="auto"/>
      </w:divBdr>
    </w:div>
    <w:div w:id="624116736">
      <w:bodyDiv w:val="1"/>
      <w:marLeft w:val="0"/>
      <w:marRight w:val="0"/>
      <w:marTop w:val="0"/>
      <w:marBottom w:val="0"/>
      <w:divBdr>
        <w:top w:val="none" w:sz="0" w:space="0" w:color="auto"/>
        <w:left w:val="none" w:sz="0" w:space="0" w:color="auto"/>
        <w:bottom w:val="none" w:sz="0" w:space="0" w:color="auto"/>
        <w:right w:val="none" w:sz="0" w:space="0" w:color="auto"/>
      </w:divBdr>
    </w:div>
    <w:div w:id="624312778">
      <w:bodyDiv w:val="1"/>
      <w:marLeft w:val="0"/>
      <w:marRight w:val="0"/>
      <w:marTop w:val="0"/>
      <w:marBottom w:val="0"/>
      <w:divBdr>
        <w:top w:val="none" w:sz="0" w:space="0" w:color="auto"/>
        <w:left w:val="none" w:sz="0" w:space="0" w:color="auto"/>
        <w:bottom w:val="none" w:sz="0" w:space="0" w:color="auto"/>
        <w:right w:val="none" w:sz="0" w:space="0" w:color="auto"/>
      </w:divBdr>
      <w:divsChild>
        <w:div w:id="1853489627">
          <w:marLeft w:val="0"/>
          <w:marRight w:val="0"/>
          <w:marTop w:val="0"/>
          <w:marBottom w:val="0"/>
          <w:divBdr>
            <w:top w:val="none" w:sz="0" w:space="0" w:color="auto"/>
            <w:left w:val="none" w:sz="0" w:space="0" w:color="auto"/>
            <w:bottom w:val="none" w:sz="0" w:space="0" w:color="auto"/>
            <w:right w:val="none" w:sz="0" w:space="0" w:color="auto"/>
          </w:divBdr>
        </w:div>
      </w:divsChild>
    </w:div>
    <w:div w:id="631520805">
      <w:bodyDiv w:val="1"/>
      <w:marLeft w:val="0"/>
      <w:marRight w:val="0"/>
      <w:marTop w:val="0"/>
      <w:marBottom w:val="0"/>
      <w:divBdr>
        <w:top w:val="none" w:sz="0" w:space="0" w:color="auto"/>
        <w:left w:val="none" w:sz="0" w:space="0" w:color="auto"/>
        <w:bottom w:val="none" w:sz="0" w:space="0" w:color="auto"/>
        <w:right w:val="none" w:sz="0" w:space="0" w:color="auto"/>
      </w:divBdr>
      <w:divsChild>
        <w:div w:id="747312644">
          <w:marLeft w:val="0"/>
          <w:marRight w:val="0"/>
          <w:marTop w:val="0"/>
          <w:marBottom w:val="0"/>
          <w:divBdr>
            <w:top w:val="none" w:sz="0" w:space="0" w:color="auto"/>
            <w:left w:val="none" w:sz="0" w:space="0" w:color="auto"/>
            <w:bottom w:val="none" w:sz="0" w:space="0" w:color="auto"/>
            <w:right w:val="none" w:sz="0" w:space="0" w:color="auto"/>
          </w:divBdr>
          <w:divsChild>
            <w:div w:id="31226571">
              <w:marLeft w:val="0"/>
              <w:marRight w:val="0"/>
              <w:marTop w:val="0"/>
              <w:marBottom w:val="0"/>
              <w:divBdr>
                <w:top w:val="none" w:sz="0" w:space="0" w:color="auto"/>
                <w:left w:val="none" w:sz="0" w:space="0" w:color="auto"/>
                <w:bottom w:val="none" w:sz="0" w:space="0" w:color="auto"/>
                <w:right w:val="none" w:sz="0" w:space="0" w:color="auto"/>
              </w:divBdr>
            </w:div>
            <w:div w:id="41366127">
              <w:marLeft w:val="0"/>
              <w:marRight w:val="0"/>
              <w:marTop w:val="0"/>
              <w:marBottom w:val="0"/>
              <w:divBdr>
                <w:top w:val="none" w:sz="0" w:space="0" w:color="auto"/>
                <w:left w:val="none" w:sz="0" w:space="0" w:color="auto"/>
                <w:bottom w:val="none" w:sz="0" w:space="0" w:color="auto"/>
                <w:right w:val="none" w:sz="0" w:space="0" w:color="auto"/>
              </w:divBdr>
            </w:div>
            <w:div w:id="84377237">
              <w:marLeft w:val="0"/>
              <w:marRight w:val="0"/>
              <w:marTop w:val="0"/>
              <w:marBottom w:val="0"/>
              <w:divBdr>
                <w:top w:val="none" w:sz="0" w:space="0" w:color="auto"/>
                <w:left w:val="none" w:sz="0" w:space="0" w:color="auto"/>
                <w:bottom w:val="none" w:sz="0" w:space="0" w:color="auto"/>
                <w:right w:val="none" w:sz="0" w:space="0" w:color="auto"/>
              </w:divBdr>
            </w:div>
            <w:div w:id="215632707">
              <w:marLeft w:val="0"/>
              <w:marRight w:val="0"/>
              <w:marTop w:val="0"/>
              <w:marBottom w:val="0"/>
              <w:divBdr>
                <w:top w:val="none" w:sz="0" w:space="0" w:color="auto"/>
                <w:left w:val="none" w:sz="0" w:space="0" w:color="auto"/>
                <w:bottom w:val="none" w:sz="0" w:space="0" w:color="auto"/>
                <w:right w:val="none" w:sz="0" w:space="0" w:color="auto"/>
              </w:divBdr>
            </w:div>
            <w:div w:id="234315056">
              <w:marLeft w:val="0"/>
              <w:marRight w:val="0"/>
              <w:marTop w:val="0"/>
              <w:marBottom w:val="0"/>
              <w:divBdr>
                <w:top w:val="none" w:sz="0" w:space="0" w:color="auto"/>
                <w:left w:val="none" w:sz="0" w:space="0" w:color="auto"/>
                <w:bottom w:val="none" w:sz="0" w:space="0" w:color="auto"/>
                <w:right w:val="none" w:sz="0" w:space="0" w:color="auto"/>
              </w:divBdr>
            </w:div>
            <w:div w:id="255213689">
              <w:marLeft w:val="0"/>
              <w:marRight w:val="0"/>
              <w:marTop w:val="0"/>
              <w:marBottom w:val="0"/>
              <w:divBdr>
                <w:top w:val="none" w:sz="0" w:space="0" w:color="auto"/>
                <w:left w:val="none" w:sz="0" w:space="0" w:color="auto"/>
                <w:bottom w:val="none" w:sz="0" w:space="0" w:color="auto"/>
                <w:right w:val="none" w:sz="0" w:space="0" w:color="auto"/>
              </w:divBdr>
            </w:div>
            <w:div w:id="283318379">
              <w:marLeft w:val="0"/>
              <w:marRight w:val="0"/>
              <w:marTop w:val="0"/>
              <w:marBottom w:val="0"/>
              <w:divBdr>
                <w:top w:val="none" w:sz="0" w:space="0" w:color="auto"/>
                <w:left w:val="none" w:sz="0" w:space="0" w:color="auto"/>
                <w:bottom w:val="none" w:sz="0" w:space="0" w:color="auto"/>
                <w:right w:val="none" w:sz="0" w:space="0" w:color="auto"/>
              </w:divBdr>
            </w:div>
            <w:div w:id="287010790">
              <w:marLeft w:val="0"/>
              <w:marRight w:val="0"/>
              <w:marTop w:val="0"/>
              <w:marBottom w:val="0"/>
              <w:divBdr>
                <w:top w:val="none" w:sz="0" w:space="0" w:color="auto"/>
                <w:left w:val="none" w:sz="0" w:space="0" w:color="auto"/>
                <w:bottom w:val="none" w:sz="0" w:space="0" w:color="auto"/>
                <w:right w:val="none" w:sz="0" w:space="0" w:color="auto"/>
              </w:divBdr>
            </w:div>
            <w:div w:id="287779642">
              <w:marLeft w:val="0"/>
              <w:marRight w:val="0"/>
              <w:marTop w:val="0"/>
              <w:marBottom w:val="0"/>
              <w:divBdr>
                <w:top w:val="none" w:sz="0" w:space="0" w:color="auto"/>
                <w:left w:val="none" w:sz="0" w:space="0" w:color="auto"/>
                <w:bottom w:val="none" w:sz="0" w:space="0" w:color="auto"/>
                <w:right w:val="none" w:sz="0" w:space="0" w:color="auto"/>
              </w:divBdr>
            </w:div>
            <w:div w:id="312100284">
              <w:marLeft w:val="0"/>
              <w:marRight w:val="0"/>
              <w:marTop w:val="0"/>
              <w:marBottom w:val="0"/>
              <w:divBdr>
                <w:top w:val="none" w:sz="0" w:space="0" w:color="auto"/>
                <w:left w:val="none" w:sz="0" w:space="0" w:color="auto"/>
                <w:bottom w:val="none" w:sz="0" w:space="0" w:color="auto"/>
                <w:right w:val="none" w:sz="0" w:space="0" w:color="auto"/>
              </w:divBdr>
            </w:div>
            <w:div w:id="321279701">
              <w:marLeft w:val="0"/>
              <w:marRight w:val="0"/>
              <w:marTop w:val="0"/>
              <w:marBottom w:val="0"/>
              <w:divBdr>
                <w:top w:val="none" w:sz="0" w:space="0" w:color="auto"/>
                <w:left w:val="none" w:sz="0" w:space="0" w:color="auto"/>
                <w:bottom w:val="none" w:sz="0" w:space="0" w:color="auto"/>
                <w:right w:val="none" w:sz="0" w:space="0" w:color="auto"/>
              </w:divBdr>
            </w:div>
            <w:div w:id="413085663">
              <w:marLeft w:val="0"/>
              <w:marRight w:val="0"/>
              <w:marTop w:val="0"/>
              <w:marBottom w:val="0"/>
              <w:divBdr>
                <w:top w:val="none" w:sz="0" w:space="0" w:color="auto"/>
                <w:left w:val="none" w:sz="0" w:space="0" w:color="auto"/>
                <w:bottom w:val="none" w:sz="0" w:space="0" w:color="auto"/>
                <w:right w:val="none" w:sz="0" w:space="0" w:color="auto"/>
              </w:divBdr>
            </w:div>
            <w:div w:id="487794676">
              <w:marLeft w:val="0"/>
              <w:marRight w:val="0"/>
              <w:marTop w:val="0"/>
              <w:marBottom w:val="0"/>
              <w:divBdr>
                <w:top w:val="none" w:sz="0" w:space="0" w:color="auto"/>
                <w:left w:val="none" w:sz="0" w:space="0" w:color="auto"/>
                <w:bottom w:val="none" w:sz="0" w:space="0" w:color="auto"/>
                <w:right w:val="none" w:sz="0" w:space="0" w:color="auto"/>
              </w:divBdr>
            </w:div>
            <w:div w:id="550919497">
              <w:marLeft w:val="0"/>
              <w:marRight w:val="0"/>
              <w:marTop w:val="0"/>
              <w:marBottom w:val="0"/>
              <w:divBdr>
                <w:top w:val="none" w:sz="0" w:space="0" w:color="auto"/>
                <w:left w:val="none" w:sz="0" w:space="0" w:color="auto"/>
                <w:bottom w:val="none" w:sz="0" w:space="0" w:color="auto"/>
                <w:right w:val="none" w:sz="0" w:space="0" w:color="auto"/>
              </w:divBdr>
            </w:div>
            <w:div w:id="553733113">
              <w:marLeft w:val="0"/>
              <w:marRight w:val="0"/>
              <w:marTop w:val="0"/>
              <w:marBottom w:val="0"/>
              <w:divBdr>
                <w:top w:val="none" w:sz="0" w:space="0" w:color="auto"/>
                <w:left w:val="none" w:sz="0" w:space="0" w:color="auto"/>
                <w:bottom w:val="none" w:sz="0" w:space="0" w:color="auto"/>
                <w:right w:val="none" w:sz="0" w:space="0" w:color="auto"/>
              </w:divBdr>
            </w:div>
            <w:div w:id="565842150">
              <w:marLeft w:val="0"/>
              <w:marRight w:val="0"/>
              <w:marTop w:val="0"/>
              <w:marBottom w:val="0"/>
              <w:divBdr>
                <w:top w:val="none" w:sz="0" w:space="0" w:color="auto"/>
                <w:left w:val="none" w:sz="0" w:space="0" w:color="auto"/>
                <w:bottom w:val="none" w:sz="0" w:space="0" w:color="auto"/>
                <w:right w:val="none" w:sz="0" w:space="0" w:color="auto"/>
              </w:divBdr>
            </w:div>
            <w:div w:id="694426365">
              <w:marLeft w:val="0"/>
              <w:marRight w:val="0"/>
              <w:marTop w:val="0"/>
              <w:marBottom w:val="0"/>
              <w:divBdr>
                <w:top w:val="none" w:sz="0" w:space="0" w:color="auto"/>
                <w:left w:val="none" w:sz="0" w:space="0" w:color="auto"/>
                <w:bottom w:val="none" w:sz="0" w:space="0" w:color="auto"/>
                <w:right w:val="none" w:sz="0" w:space="0" w:color="auto"/>
              </w:divBdr>
            </w:div>
            <w:div w:id="753623155">
              <w:marLeft w:val="0"/>
              <w:marRight w:val="0"/>
              <w:marTop w:val="0"/>
              <w:marBottom w:val="0"/>
              <w:divBdr>
                <w:top w:val="none" w:sz="0" w:space="0" w:color="auto"/>
                <w:left w:val="none" w:sz="0" w:space="0" w:color="auto"/>
                <w:bottom w:val="none" w:sz="0" w:space="0" w:color="auto"/>
                <w:right w:val="none" w:sz="0" w:space="0" w:color="auto"/>
              </w:divBdr>
            </w:div>
            <w:div w:id="806161599">
              <w:marLeft w:val="0"/>
              <w:marRight w:val="0"/>
              <w:marTop w:val="0"/>
              <w:marBottom w:val="0"/>
              <w:divBdr>
                <w:top w:val="none" w:sz="0" w:space="0" w:color="auto"/>
                <w:left w:val="none" w:sz="0" w:space="0" w:color="auto"/>
                <w:bottom w:val="none" w:sz="0" w:space="0" w:color="auto"/>
                <w:right w:val="none" w:sz="0" w:space="0" w:color="auto"/>
              </w:divBdr>
            </w:div>
            <w:div w:id="807093352">
              <w:marLeft w:val="0"/>
              <w:marRight w:val="0"/>
              <w:marTop w:val="0"/>
              <w:marBottom w:val="0"/>
              <w:divBdr>
                <w:top w:val="none" w:sz="0" w:space="0" w:color="auto"/>
                <w:left w:val="none" w:sz="0" w:space="0" w:color="auto"/>
                <w:bottom w:val="none" w:sz="0" w:space="0" w:color="auto"/>
                <w:right w:val="none" w:sz="0" w:space="0" w:color="auto"/>
              </w:divBdr>
            </w:div>
            <w:div w:id="824009191">
              <w:marLeft w:val="0"/>
              <w:marRight w:val="0"/>
              <w:marTop w:val="0"/>
              <w:marBottom w:val="0"/>
              <w:divBdr>
                <w:top w:val="none" w:sz="0" w:space="0" w:color="auto"/>
                <w:left w:val="none" w:sz="0" w:space="0" w:color="auto"/>
                <w:bottom w:val="none" w:sz="0" w:space="0" w:color="auto"/>
                <w:right w:val="none" w:sz="0" w:space="0" w:color="auto"/>
              </w:divBdr>
            </w:div>
            <w:div w:id="840586402">
              <w:marLeft w:val="0"/>
              <w:marRight w:val="0"/>
              <w:marTop w:val="0"/>
              <w:marBottom w:val="0"/>
              <w:divBdr>
                <w:top w:val="none" w:sz="0" w:space="0" w:color="auto"/>
                <w:left w:val="none" w:sz="0" w:space="0" w:color="auto"/>
                <w:bottom w:val="none" w:sz="0" w:space="0" w:color="auto"/>
                <w:right w:val="none" w:sz="0" w:space="0" w:color="auto"/>
              </w:divBdr>
            </w:div>
            <w:div w:id="846948031">
              <w:marLeft w:val="0"/>
              <w:marRight w:val="0"/>
              <w:marTop w:val="0"/>
              <w:marBottom w:val="0"/>
              <w:divBdr>
                <w:top w:val="none" w:sz="0" w:space="0" w:color="auto"/>
                <w:left w:val="none" w:sz="0" w:space="0" w:color="auto"/>
                <w:bottom w:val="none" w:sz="0" w:space="0" w:color="auto"/>
                <w:right w:val="none" w:sz="0" w:space="0" w:color="auto"/>
              </w:divBdr>
            </w:div>
            <w:div w:id="865756740">
              <w:marLeft w:val="0"/>
              <w:marRight w:val="0"/>
              <w:marTop w:val="0"/>
              <w:marBottom w:val="0"/>
              <w:divBdr>
                <w:top w:val="none" w:sz="0" w:space="0" w:color="auto"/>
                <w:left w:val="none" w:sz="0" w:space="0" w:color="auto"/>
                <w:bottom w:val="none" w:sz="0" w:space="0" w:color="auto"/>
                <w:right w:val="none" w:sz="0" w:space="0" w:color="auto"/>
              </w:divBdr>
            </w:div>
            <w:div w:id="879706886">
              <w:marLeft w:val="0"/>
              <w:marRight w:val="0"/>
              <w:marTop w:val="0"/>
              <w:marBottom w:val="0"/>
              <w:divBdr>
                <w:top w:val="none" w:sz="0" w:space="0" w:color="auto"/>
                <w:left w:val="none" w:sz="0" w:space="0" w:color="auto"/>
                <w:bottom w:val="none" w:sz="0" w:space="0" w:color="auto"/>
                <w:right w:val="none" w:sz="0" w:space="0" w:color="auto"/>
              </w:divBdr>
            </w:div>
            <w:div w:id="890842821">
              <w:marLeft w:val="0"/>
              <w:marRight w:val="0"/>
              <w:marTop w:val="0"/>
              <w:marBottom w:val="0"/>
              <w:divBdr>
                <w:top w:val="none" w:sz="0" w:space="0" w:color="auto"/>
                <w:left w:val="none" w:sz="0" w:space="0" w:color="auto"/>
                <w:bottom w:val="none" w:sz="0" w:space="0" w:color="auto"/>
                <w:right w:val="none" w:sz="0" w:space="0" w:color="auto"/>
              </w:divBdr>
            </w:div>
            <w:div w:id="909999560">
              <w:marLeft w:val="0"/>
              <w:marRight w:val="0"/>
              <w:marTop w:val="0"/>
              <w:marBottom w:val="0"/>
              <w:divBdr>
                <w:top w:val="none" w:sz="0" w:space="0" w:color="auto"/>
                <w:left w:val="none" w:sz="0" w:space="0" w:color="auto"/>
                <w:bottom w:val="none" w:sz="0" w:space="0" w:color="auto"/>
                <w:right w:val="none" w:sz="0" w:space="0" w:color="auto"/>
              </w:divBdr>
            </w:div>
            <w:div w:id="930234867">
              <w:marLeft w:val="0"/>
              <w:marRight w:val="0"/>
              <w:marTop w:val="0"/>
              <w:marBottom w:val="0"/>
              <w:divBdr>
                <w:top w:val="none" w:sz="0" w:space="0" w:color="auto"/>
                <w:left w:val="none" w:sz="0" w:space="0" w:color="auto"/>
                <w:bottom w:val="none" w:sz="0" w:space="0" w:color="auto"/>
                <w:right w:val="none" w:sz="0" w:space="0" w:color="auto"/>
              </w:divBdr>
            </w:div>
            <w:div w:id="931399710">
              <w:marLeft w:val="0"/>
              <w:marRight w:val="0"/>
              <w:marTop w:val="0"/>
              <w:marBottom w:val="0"/>
              <w:divBdr>
                <w:top w:val="none" w:sz="0" w:space="0" w:color="auto"/>
                <w:left w:val="none" w:sz="0" w:space="0" w:color="auto"/>
                <w:bottom w:val="none" w:sz="0" w:space="0" w:color="auto"/>
                <w:right w:val="none" w:sz="0" w:space="0" w:color="auto"/>
              </w:divBdr>
            </w:div>
            <w:div w:id="1039932259">
              <w:marLeft w:val="0"/>
              <w:marRight w:val="0"/>
              <w:marTop w:val="0"/>
              <w:marBottom w:val="0"/>
              <w:divBdr>
                <w:top w:val="none" w:sz="0" w:space="0" w:color="auto"/>
                <w:left w:val="none" w:sz="0" w:space="0" w:color="auto"/>
                <w:bottom w:val="none" w:sz="0" w:space="0" w:color="auto"/>
                <w:right w:val="none" w:sz="0" w:space="0" w:color="auto"/>
              </w:divBdr>
            </w:div>
            <w:div w:id="1141581358">
              <w:marLeft w:val="0"/>
              <w:marRight w:val="0"/>
              <w:marTop w:val="0"/>
              <w:marBottom w:val="0"/>
              <w:divBdr>
                <w:top w:val="none" w:sz="0" w:space="0" w:color="auto"/>
                <w:left w:val="none" w:sz="0" w:space="0" w:color="auto"/>
                <w:bottom w:val="none" w:sz="0" w:space="0" w:color="auto"/>
                <w:right w:val="none" w:sz="0" w:space="0" w:color="auto"/>
              </w:divBdr>
            </w:div>
            <w:div w:id="1179662734">
              <w:marLeft w:val="0"/>
              <w:marRight w:val="0"/>
              <w:marTop w:val="0"/>
              <w:marBottom w:val="0"/>
              <w:divBdr>
                <w:top w:val="none" w:sz="0" w:space="0" w:color="auto"/>
                <w:left w:val="none" w:sz="0" w:space="0" w:color="auto"/>
                <w:bottom w:val="none" w:sz="0" w:space="0" w:color="auto"/>
                <w:right w:val="none" w:sz="0" w:space="0" w:color="auto"/>
              </w:divBdr>
            </w:div>
            <w:div w:id="1190294991">
              <w:marLeft w:val="0"/>
              <w:marRight w:val="0"/>
              <w:marTop w:val="0"/>
              <w:marBottom w:val="0"/>
              <w:divBdr>
                <w:top w:val="none" w:sz="0" w:space="0" w:color="auto"/>
                <w:left w:val="none" w:sz="0" w:space="0" w:color="auto"/>
                <w:bottom w:val="none" w:sz="0" w:space="0" w:color="auto"/>
                <w:right w:val="none" w:sz="0" w:space="0" w:color="auto"/>
              </w:divBdr>
            </w:div>
            <w:div w:id="1205293735">
              <w:marLeft w:val="0"/>
              <w:marRight w:val="0"/>
              <w:marTop w:val="0"/>
              <w:marBottom w:val="0"/>
              <w:divBdr>
                <w:top w:val="none" w:sz="0" w:space="0" w:color="auto"/>
                <w:left w:val="none" w:sz="0" w:space="0" w:color="auto"/>
                <w:bottom w:val="none" w:sz="0" w:space="0" w:color="auto"/>
                <w:right w:val="none" w:sz="0" w:space="0" w:color="auto"/>
              </w:divBdr>
            </w:div>
            <w:div w:id="1207110236">
              <w:marLeft w:val="0"/>
              <w:marRight w:val="0"/>
              <w:marTop w:val="0"/>
              <w:marBottom w:val="0"/>
              <w:divBdr>
                <w:top w:val="none" w:sz="0" w:space="0" w:color="auto"/>
                <w:left w:val="none" w:sz="0" w:space="0" w:color="auto"/>
                <w:bottom w:val="none" w:sz="0" w:space="0" w:color="auto"/>
                <w:right w:val="none" w:sz="0" w:space="0" w:color="auto"/>
              </w:divBdr>
            </w:div>
            <w:div w:id="1265845445">
              <w:marLeft w:val="0"/>
              <w:marRight w:val="0"/>
              <w:marTop w:val="0"/>
              <w:marBottom w:val="0"/>
              <w:divBdr>
                <w:top w:val="none" w:sz="0" w:space="0" w:color="auto"/>
                <w:left w:val="none" w:sz="0" w:space="0" w:color="auto"/>
                <w:bottom w:val="none" w:sz="0" w:space="0" w:color="auto"/>
                <w:right w:val="none" w:sz="0" w:space="0" w:color="auto"/>
              </w:divBdr>
            </w:div>
            <w:div w:id="1298292213">
              <w:marLeft w:val="0"/>
              <w:marRight w:val="0"/>
              <w:marTop w:val="0"/>
              <w:marBottom w:val="0"/>
              <w:divBdr>
                <w:top w:val="none" w:sz="0" w:space="0" w:color="auto"/>
                <w:left w:val="none" w:sz="0" w:space="0" w:color="auto"/>
                <w:bottom w:val="none" w:sz="0" w:space="0" w:color="auto"/>
                <w:right w:val="none" w:sz="0" w:space="0" w:color="auto"/>
              </w:divBdr>
            </w:div>
            <w:div w:id="1300916244">
              <w:marLeft w:val="0"/>
              <w:marRight w:val="0"/>
              <w:marTop w:val="0"/>
              <w:marBottom w:val="0"/>
              <w:divBdr>
                <w:top w:val="none" w:sz="0" w:space="0" w:color="auto"/>
                <w:left w:val="none" w:sz="0" w:space="0" w:color="auto"/>
                <w:bottom w:val="none" w:sz="0" w:space="0" w:color="auto"/>
                <w:right w:val="none" w:sz="0" w:space="0" w:color="auto"/>
              </w:divBdr>
            </w:div>
            <w:div w:id="1311906397">
              <w:marLeft w:val="0"/>
              <w:marRight w:val="0"/>
              <w:marTop w:val="0"/>
              <w:marBottom w:val="0"/>
              <w:divBdr>
                <w:top w:val="none" w:sz="0" w:space="0" w:color="auto"/>
                <w:left w:val="none" w:sz="0" w:space="0" w:color="auto"/>
                <w:bottom w:val="none" w:sz="0" w:space="0" w:color="auto"/>
                <w:right w:val="none" w:sz="0" w:space="0" w:color="auto"/>
              </w:divBdr>
            </w:div>
            <w:div w:id="1353528169">
              <w:marLeft w:val="0"/>
              <w:marRight w:val="0"/>
              <w:marTop w:val="0"/>
              <w:marBottom w:val="0"/>
              <w:divBdr>
                <w:top w:val="none" w:sz="0" w:space="0" w:color="auto"/>
                <w:left w:val="none" w:sz="0" w:space="0" w:color="auto"/>
                <w:bottom w:val="none" w:sz="0" w:space="0" w:color="auto"/>
                <w:right w:val="none" w:sz="0" w:space="0" w:color="auto"/>
              </w:divBdr>
            </w:div>
            <w:div w:id="1390685614">
              <w:marLeft w:val="0"/>
              <w:marRight w:val="0"/>
              <w:marTop w:val="0"/>
              <w:marBottom w:val="0"/>
              <w:divBdr>
                <w:top w:val="none" w:sz="0" w:space="0" w:color="auto"/>
                <w:left w:val="none" w:sz="0" w:space="0" w:color="auto"/>
                <w:bottom w:val="none" w:sz="0" w:space="0" w:color="auto"/>
                <w:right w:val="none" w:sz="0" w:space="0" w:color="auto"/>
              </w:divBdr>
            </w:div>
            <w:div w:id="1405645536">
              <w:marLeft w:val="0"/>
              <w:marRight w:val="0"/>
              <w:marTop w:val="0"/>
              <w:marBottom w:val="0"/>
              <w:divBdr>
                <w:top w:val="none" w:sz="0" w:space="0" w:color="auto"/>
                <w:left w:val="none" w:sz="0" w:space="0" w:color="auto"/>
                <w:bottom w:val="none" w:sz="0" w:space="0" w:color="auto"/>
                <w:right w:val="none" w:sz="0" w:space="0" w:color="auto"/>
              </w:divBdr>
            </w:div>
            <w:div w:id="1446577539">
              <w:marLeft w:val="0"/>
              <w:marRight w:val="0"/>
              <w:marTop w:val="0"/>
              <w:marBottom w:val="0"/>
              <w:divBdr>
                <w:top w:val="none" w:sz="0" w:space="0" w:color="auto"/>
                <w:left w:val="none" w:sz="0" w:space="0" w:color="auto"/>
                <w:bottom w:val="none" w:sz="0" w:space="0" w:color="auto"/>
                <w:right w:val="none" w:sz="0" w:space="0" w:color="auto"/>
              </w:divBdr>
            </w:div>
            <w:div w:id="1473524964">
              <w:marLeft w:val="0"/>
              <w:marRight w:val="0"/>
              <w:marTop w:val="0"/>
              <w:marBottom w:val="0"/>
              <w:divBdr>
                <w:top w:val="none" w:sz="0" w:space="0" w:color="auto"/>
                <w:left w:val="none" w:sz="0" w:space="0" w:color="auto"/>
                <w:bottom w:val="none" w:sz="0" w:space="0" w:color="auto"/>
                <w:right w:val="none" w:sz="0" w:space="0" w:color="auto"/>
              </w:divBdr>
            </w:div>
            <w:div w:id="1487013001">
              <w:marLeft w:val="0"/>
              <w:marRight w:val="0"/>
              <w:marTop w:val="0"/>
              <w:marBottom w:val="0"/>
              <w:divBdr>
                <w:top w:val="none" w:sz="0" w:space="0" w:color="auto"/>
                <w:left w:val="none" w:sz="0" w:space="0" w:color="auto"/>
                <w:bottom w:val="none" w:sz="0" w:space="0" w:color="auto"/>
                <w:right w:val="none" w:sz="0" w:space="0" w:color="auto"/>
              </w:divBdr>
            </w:div>
            <w:div w:id="1516336637">
              <w:marLeft w:val="0"/>
              <w:marRight w:val="0"/>
              <w:marTop w:val="0"/>
              <w:marBottom w:val="0"/>
              <w:divBdr>
                <w:top w:val="none" w:sz="0" w:space="0" w:color="auto"/>
                <w:left w:val="none" w:sz="0" w:space="0" w:color="auto"/>
                <w:bottom w:val="none" w:sz="0" w:space="0" w:color="auto"/>
                <w:right w:val="none" w:sz="0" w:space="0" w:color="auto"/>
              </w:divBdr>
            </w:div>
            <w:div w:id="1545093202">
              <w:marLeft w:val="0"/>
              <w:marRight w:val="0"/>
              <w:marTop w:val="0"/>
              <w:marBottom w:val="0"/>
              <w:divBdr>
                <w:top w:val="none" w:sz="0" w:space="0" w:color="auto"/>
                <w:left w:val="none" w:sz="0" w:space="0" w:color="auto"/>
                <w:bottom w:val="none" w:sz="0" w:space="0" w:color="auto"/>
                <w:right w:val="none" w:sz="0" w:space="0" w:color="auto"/>
              </w:divBdr>
            </w:div>
            <w:div w:id="1553809805">
              <w:marLeft w:val="0"/>
              <w:marRight w:val="0"/>
              <w:marTop w:val="0"/>
              <w:marBottom w:val="0"/>
              <w:divBdr>
                <w:top w:val="none" w:sz="0" w:space="0" w:color="auto"/>
                <w:left w:val="none" w:sz="0" w:space="0" w:color="auto"/>
                <w:bottom w:val="none" w:sz="0" w:space="0" w:color="auto"/>
                <w:right w:val="none" w:sz="0" w:space="0" w:color="auto"/>
              </w:divBdr>
            </w:div>
            <w:div w:id="1593124515">
              <w:marLeft w:val="0"/>
              <w:marRight w:val="0"/>
              <w:marTop w:val="0"/>
              <w:marBottom w:val="0"/>
              <w:divBdr>
                <w:top w:val="none" w:sz="0" w:space="0" w:color="auto"/>
                <w:left w:val="none" w:sz="0" w:space="0" w:color="auto"/>
                <w:bottom w:val="none" w:sz="0" w:space="0" w:color="auto"/>
                <w:right w:val="none" w:sz="0" w:space="0" w:color="auto"/>
              </w:divBdr>
            </w:div>
            <w:div w:id="1595477542">
              <w:marLeft w:val="0"/>
              <w:marRight w:val="0"/>
              <w:marTop w:val="0"/>
              <w:marBottom w:val="0"/>
              <w:divBdr>
                <w:top w:val="none" w:sz="0" w:space="0" w:color="auto"/>
                <w:left w:val="none" w:sz="0" w:space="0" w:color="auto"/>
                <w:bottom w:val="none" w:sz="0" w:space="0" w:color="auto"/>
                <w:right w:val="none" w:sz="0" w:space="0" w:color="auto"/>
              </w:divBdr>
            </w:div>
            <w:div w:id="1609661593">
              <w:marLeft w:val="0"/>
              <w:marRight w:val="0"/>
              <w:marTop w:val="0"/>
              <w:marBottom w:val="0"/>
              <w:divBdr>
                <w:top w:val="none" w:sz="0" w:space="0" w:color="auto"/>
                <w:left w:val="none" w:sz="0" w:space="0" w:color="auto"/>
                <w:bottom w:val="none" w:sz="0" w:space="0" w:color="auto"/>
                <w:right w:val="none" w:sz="0" w:space="0" w:color="auto"/>
              </w:divBdr>
            </w:div>
            <w:div w:id="1618873217">
              <w:marLeft w:val="0"/>
              <w:marRight w:val="0"/>
              <w:marTop w:val="0"/>
              <w:marBottom w:val="0"/>
              <w:divBdr>
                <w:top w:val="none" w:sz="0" w:space="0" w:color="auto"/>
                <w:left w:val="none" w:sz="0" w:space="0" w:color="auto"/>
                <w:bottom w:val="none" w:sz="0" w:space="0" w:color="auto"/>
                <w:right w:val="none" w:sz="0" w:space="0" w:color="auto"/>
              </w:divBdr>
            </w:div>
            <w:div w:id="1633638066">
              <w:marLeft w:val="0"/>
              <w:marRight w:val="0"/>
              <w:marTop w:val="0"/>
              <w:marBottom w:val="0"/>
              <w:divBdr>
                <w:top w:val="none" w:sz="0" w:space="0" w:color="auto"/>
                <w:left w:val="none" w:sz="0" w:space="0" w:color="auto"/>
                <w:bottom w:val="none" w:sz="0" w:space="0" w:color="auto"/>
                <w:right w:val="none" w:sz="0" w:space="0" w:color="auto"/>
              </w:divBdr>
            </w:div>
            <w:div w:id="1669207163">
              <w:marLeft w:val="0"/>
              <w:marRight w:val="0"/>
              <w:marTop w:val="0"/>
              <w:marBottom w:val="0"/>
              <w:divBdr>
                <w:top w:val="none" w:sz="0" w:space="0" w:color="auto"/>
                <w:left w:val="none" w:sz="0" w:space="0" w:color="auto"/>
                <w:bottom w:val="none" w:sz="0" w:space="0" w:color="auto"/>
                <w:right w:val="none" w:sz="0" w:space="0" w:color="auto"/>
              </w:divBdr>
            </w:div>
            <w:div w:id="1672486536">
              <w:marLeft w:val="0"/>
              <w:marRight w:val="0"/>
              <w:marTop w:val="0"/>
              <w:marBottom w:val="0"/>
              <w:divBdr>
                <w:top w:val="none" w:sz="0" w:space="0" w:color="auto"/>
                <w:left w:val="none" w:sz="0" w:space="0" w:color="auto"/>
                <w:bottom w:val="none" w:sz="0" w:space="0" w:color="auto"/>
                <w:right w:val="none" w:sz="0" w:space="0" w:color="auto"/>
              </w:divBdr>
            </w:div>
            <w:div w:id="1677993933">
              <w:marLeft w:val="0"/>
              <w:marRight w:val="0"/>
              <w:marTop w:val="0"/>
              <w:marBottom w:val="0"/>
              <w:divBdr>
                <w:top w:val="none" w:sz="0" w:space="0" w:color="auto"/>
                <w:left w:val="none" w:sz="0" w:space="0" w:color="auto"/>
                <w:bottom w:val="none" w:sz="0" w:space="0" w:color="auto"/>
                <w:right w:val="none" w:sz="0" w:space="0" w:color="auto"/>
              </w:divBdr>
            </w:div>
            <w:div w:id="1691948564">
              <w:marLeft w:val="0"/>
              <w:marRight w:val="0"/>
              <w:marTop w:val="0"/>
              <w:marBottom w:val="0"/>
              <w:divBdr>
                <w:top w:val="none" w:sz="0" w:space="0" w:color="auto"/>
                <w:left w:val="none" w:sz="0" w:space="0" w:color="auto"/>
                <w:bottom w:val="none" w:sz="0" w:space="0" w:color="auto"/>
                <w:right w:val="none" w:sz="0" w:space="0" w:color="auto"/>
              </w:divBdr>
            </w:div>
            <w:div w:id="1708945859">
              <w:marLeft w:val="0"/>
              <w:marRight w:val="0"/>
              <w:marTop w:val="0"/>
              <w:marBottom w:val="0"/>
              <w:divBdr>
                <w:top w:val="none" w:sz="0" w:space="0" w:color="auto"/>
                <w:left w:val="none" w:sz="0" w:space="0" w:color="auto"/>
                <w:bottom w:val="none" w:sz="0" w:space="0" w:color="auto"/>
                <w:right w:val="none" w:sz="0" w:space="0" w:color="auto"/>
              </w:divBdr>
            </w:div>
            <w:div w:id="1720670031">
              <w:marLeft w:val="0"/>
              <w:marRight w:val="0"/>
              <w:marTop w:val="0"/>
              <w:marBottom w:val="0"/>
              <w:divBdr>
                <w:top w:val="none" w:sz="0" w:space="0" w:color="auto"/>
                <w:left w:val="none" w:sz="0" w:space="0" w:color="auto"/>
                <w:bottom w:val="none" w:sz="0" w:space="0" w:color="auto"/>
                <w:right w:val="none" w:sz="0" w:space="0" w:color="auto"/>
              </w:divBdr>
            </w:div>
            <w:div w:id="1740328502">
              <w:marLeft w:val="0"/>
              <w:marRight w:val="0"/>
              <w:marTop w:val="0"/>
              <w:marBottom w:val="0"/>
              <w:divBdr>
                <w:top w:val="none" w:sz="0" w:space="0" w:color="auto"/>
                <w:left w:val="none" w:sz="0" w:space="0" w:color="auto"/>
                <w:bottom w:val="none" w:sz="0" w:space="0" w:color="auto"/>
                <w:right w:val="none" w:sz="0" w:space="0" w:color="auto"/>
              </w:divBdr>
            </w:div>
            <w:div w:id="1750344365">
              <w:marLeft w:val="0"/>
              <w:marRight w:val="0"/>
              <w:marTop w:val="0"/>
              <w:marBottom w:val="0"/>
              <w:divBdr>
                <w:top w:val="none" w:sz="0" w:space="0" w:color="auto"/>
                <w:left w:val="none" w:sz="0" w:space="0" w:color="auto"/>
                <w:bottom w:val="none" w:sz="0" w:space="0" w:color="auto"/>
                <w:right w:val="none" w:sz="0" w:space="0" w:color="auto"/>
              </w:divBdr>
            </w:div>
            <w:div w:id="1755660093">
              <w:marLeft w:val="0"/>
              <w:marRight w:val="0"/>
              <w:marTop w:val="0"/>
              <w:marBottom w:val="0"/>
              <w:divBdr>
                <w:top w:val="none" w:sz="0" w:space="0" w:color="auto"/>
                <w:left w:val="none" w:sz="0" w:space="0" w:color="auto"/>
                <w:bottom w:val="none" w:sz="0" w:space="0" w:color="auto"/>
                <w:right w:val="none" w:sz="0" w:space="0" w:color="auto"/>
              </w:divBdr>
            </w:div>
            <w:div w:id="1802914980">
              <w:marLeft w:val="0"/>
              <w:marRight w:val="0"/>
              <w:marTop w:val="0"/>
              <w:marBottom w:val="0"/>
              <w:divBdr>
                <w:top w:val="none" w:sz="0" w:space="0" w:color="auto"/>
                <w:left w:val="none" w:sz="0" w:space="0" w:color="auto"/>
                <w:bottom w:val="none" w:sz="0" w:space="0" w:color="auto"/>
                <w:right w:val="none" w:sz="0" w:space="0" w:color="auto"/>
              </w:divBdr>
            </w:div>
            <w:div w:id="1852914271">
              <w:marLeft w:val="0"/>
              <w:marRight w:val="0"/>
              <w:marTop w:val="0"/>
              <w:marBottom w:val="0"/>
              <w:divBdr>
                <w:top w:val="none" w:sz="0" w:space="0" w:color="auto"/>
                <w:left w:val="none" w:sz="0" w:space="0" w:color="auto"/>
                <w:bottom w:val="none" w:sz="0" w:space="0" w:color="auto"/>
                <w:right w:val="none" w:sz="0" w:space="0" w:color="auto"/>
              </w:divBdr>
            </w:div>
            <w:div w:id="1853379440">
              <w:marLeft w:val="0"/>
              <w:marRight w:val="0"/>
              <w:marTop w:val="0"/>
              <w:marBottom w:val="0"/>
              <w:divBdr>
                <w:top w:val="none" w:sz="0" w:space="0" w:color="auto"/>
                <w:left w:val="none" w:sz="0" w:space="0" w:color="auto"/>
                <w:bottom w:val="none" w:sz="0" w:space="0" w:color="auto"/>
                <w:right w:val="none" w:sz="0" w:space="0" w:color="auto"/>
              </w:divBdr>
            </w:div>
            <w:div w:id="1875077457">
              <w:marLeft w:val="0"/>
              <w:marRight w:val="0"/>
              <w:marTop w:val="0"/>
              <w:marBottom w:val="0"/>
              <w:divBdr>
                <w:top w:val="none" w:sz="0" w:space="0" w:color="auto"/>
                <w:left w:val="none" w:sz="0" w:space="0" w:color="auto"/>
                <w:bottom w:val="none" w:sz="0" w:space="0" w:color="auto"/>
                <w:right w:val="none" w:sz="0" w:space="0" w:color="auto"/>
              </w:divBdr>
            </w:div>
            <w:div w:id="1876892451">
              <w:marLeft w:val="0"/>
              <w:marRight w:val="0"/>
              <w:marTop w:val="0"/>
              <w:marBottom w:val="0"/>
              <w:divBdr>
                <w:top w:val="none" w:sz="0" w:space="0" w:color="auto"/>
                <w:left w:val="none" w:sz="0" w:space="0" w:color="auto"/>
                <w:bottom w:val="none" w:sz="0" w:space="0" w:color="auto"/>
                <w:right w:val="none" w:sz="0" w:space="0" w:color="auto"/>
              </w:divBdr>
            </w:div>
            <w:div w:id="1906527630">
              <w:marLeft w:val="0"/>
              <w:marRight w:val="0"/>
              <w:marTop w:val="0"/>
              <w:marBottom w:val="0"/>
              <w:divBdr>
                <w:top w:val="none" w:sz="0" w:space="0" w:color="auto"/>
                <w:left w:val="none" w:sz="0" w:space="0" w:color="auto"/>
                <w:bottom w:val="none" w:sz="0" w:space="0" w:color="auto"/>
                <w:right w:val="none" w:sz="0" w:space="0" w:color="auto"/>
              </w:divBdr>
            </w:div>
            <w:div w:id="1940553408">
              <w:marLeft w:val="0"/>
              <w:marRight w:val="0"/>
              <w:marTop w:val="0"/>
              <w:marBottom w:val="0"/>
              <w:divBdr>
                <w:top w:val="none" w:sz="0" w:space="0" w:color="auto"/>
                <w:left w:val="none" w:sz="0" w:space="0" w:color="auto"/>
                <w:bottom w:val="none" w:sz="0" w:space="0" w:color="auto"/>
                <w:right w:val="none" w:sz="0" w:space="0" w:color="auto"/>
              </w:divBdr>
            </w:div>
            <w:div w:id="1975601468">
              <w:marLeft w:val="0"/>
              <w:marRight w:val="0"/>
              <w:marTop w:val="0"/>
              <w:marBottom w:val="0"/>
              <w:divBdr>
                <w:top w:val="none" w:sz="0" w:space="0" w:color="auto"/>
                <w:left w:val="none" w:sz="0" w:space="0" w:color="auto"/>
                <w:bottom w:val="none" w:sz="0" w:space="0" w:color="auto"/>
                <w:right w:val="none" w:sz="0" w:space="0" w:color="auto"/>
              </w:divBdr>
            </w:div>
            <w:div w:id="1988782118">
              <w:marLeft w:val="0"/>
              <w:marRight w:val="0"/>
              <w:marTop w:val="0"/>
              <w:marBottom w:val="0"/>
              <w:divBdr>
                <w:top w:val="none" w:sz="0" w:space="0" w:color="auto"/>
                <w:left w:val="none" w:sz="0" w:space="0" w:color="auto"/>
                <w:bottom w:val="none" w:sz="0" w:space="0" w:color="auto"/>
                <w:right w:val="none" w:sz="0" w:space="0" w:color="auto"/>
              </w:divBdr>
            </w:div>
            <w:div w:id="1999534919">
              <w:marLeft w:val="0"/>
              <w:marRight w:val="0"/>
              <w:marTop w:val="0"/>
              <w:marBottom w:val="0"/>
              <w:divBdr>
                <w:top w:val="none" w:sz="0" w:space="0" w:color="auto"/>
                <w:left w:val="none" w:sz="0" w:space="0" w:color="auto"/>
                <w:bottom w:val="none" w:sz="0" w:space="0" w:color="auto"/>
                <w:right w:val="none" w:sz="0" w:space="0" w:color="auto"/>
              </w:divBdr>
            </w:div>
            <w:div w:id="2010331314">
              <w:marLeft w:val="0"/>
              <w:marRight w:val="0"/>
              <w:marTop w:val="0"/>
              <w:marBottom w:val="0"/>
              <w:divBdr>
                <w:top w:val="none" w:sz="0" w:space="0" w:color="auto"/>
                <w:left w:val="none" w:sz="0" w:space="0" w:color="auto"/>
                <w:bottom w:val="none" w:sz="0" w:space="0" w:color="auto"/>
                <w:right w:val="none" w:sz="0" w:space="0" w:color="auto"/>
              </w:divBdr>
            </w:div>
            <w:div w:id="2028870313">
              <w:marLeft w:val="0"/>
              <w:marRight w:val="0"/>
              <w:marTop w:val="0"/>
              <w:marBottom w:val="0"/>
              <w:divBdr>
                <w:top w:val="none" w:sz="0" w:space="0" w:color="auto"/>
                <w:left w:val="none" w:sz="0" w:space="0" w:color="auto"/>
                <w:bottom w:val="none" w:sz="0" w:space="0" w:color="auto"/>
                <w:right w:val="none" w:sz="0" w:space="0" w:color="auto"/>
              </w:divBdr>
            </w:div>
            <w:div w:id="2037734705">
              <w:marLeft w:val="0"/>
              <w:marRight w:val="0"/>
              <w:marTop w:val="0"/>
              <w:marBottom w:val="0"/>
              <w:divBdr>
                <w:top w:val="none" w:sz="0" w:space="0" w:color="auto"/>
                <w:left w:val="none" w:sz="0" w:space="0" w:color="auto"/>
                <w:bottom w:val="none" w:sz="0" w:space="0" w:color="auto"/>
                <w:right w:val="none" w:sz="0" w:space="0" w:color="auto"/>
              </w:divBdr>
            </w:div>
            <w:div w:id="2058579936">
              <w:marLeft w:val="0"/>
              <w:marRight w:val="0"/>
              <w:marTop w:val="0"/>
              <w:marBottom w:val="0"/>
              <w:divBdr>
                <w:top w:val="none" w:sz="0" w:space="0" w:color="auto"/>
                <w:left w:val="none" w:sz="0" w:space="0" w:color="auto"/>
                <w:bottom w:val="none" w:sz="0" w:space="0" w:color="auto"/>
                <w:right w:val="none" w:sz="0" w:space="0" w:color="auto"/>
              </w:divBdr>
            </w:div>
            <w:div w:id="2100910755">
              <w:marLeft w:val="0"/>
              <w:marRight w:val="0"/>
              <w:marTop w:val="0"/>
              <w:marBottom w:val="0"/>
              <w:divBdr>
                <w:top w:val="none" w:sz="0" w:space="0" w:color="auto"/>
                <w:left w:val="none" w:sz="0" w:space="0" w:color="auto"/>
                <w:bottom w:val="none" w:sz="0" w:space="0" w:color="auto"/>
                <w:right w:val="none" w:sz="0" w:space="0" w:color="auto"/>
              </w:divBdr>
            </w:div>
            <w:div w:id="2107646951">
              <w:marLeft w:val="0"/>
              <w:marRight w:val="0"/>
              <w:marTop w:val="0"/>
              <w:marBottom w:val="0"/>
              <w:divBdr>
                <w:top w:val="none" w:sz="0" w:space="0" w:color="auto"/>
                <w:left w:val="none" w:sz="0" w:space="0" w:color="auto"/>
                <w:bottom w:val="none" w:sz="0" w:space="0" w:color="auto"/>
                <w:right w:val="none" w:sz="0" w:space="0" w:color="auto"/>
              </w:divBdr>
            </w:div>
            <w:div w:id="21466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60051">
      <w:bodyDiv w:val="1"/>
      <w:marLeft w:val="0"/>
      <w:marRight w:val="0"/>
      <w:marTop w:val="0"/>
      <w:marBottom w:val="0"/>
      <w:divBdr>
        <w:top w:val="none" w:sz="0" w:space="0" w:color="auto"/>
        <w:left w:val="none" w:sz="0" w:space="0" w:color="auto"/>
        <w:bottom w:val="none" w:sz="0" w:space="0" w:color="auto"/>
        <w:right w:val="none" w:sz="0" w:space="0" w:color="auto"/>
      </w:divBdr>
      <w:divsChild>
        <w:div w:id="136608908">
          <w:marLeft w:val="0"/>
          <w:marRight w:val="0"/>
          <w:marTop w:val="0"/>
          <w:marBottom w:val="0"/>
          <w:divBdr>
            <w:top w:val="none" w:sz="0" w:space="0" w:color="auto"/>
            <w:left w:val="none" w:sz="0" w:space="0" w:color="auto"/>
            <w:bottom w:val="none" w:sz="0" w:space="0" w:color="auto"/>
            <w:right w:val="none" w:sz="0" w:space="0" w:color="auto"/>
          </w:divBdr>
        </w:div>
        <w:div w:id="977223458">
          <w:marLeft w:val="0"/>
          <w:marRight w:val="0"/>
          <w:marTop w:val="0"/>
          <w:marBottom w:val="0"/>
          <w:divBdr>
            <w:top w:val="none" w:sz="0" w:space="0" w:color="auto"/>
            <w:left w:val="none" w:sz="0" w:space="0" w:color="auto"/>
            <w:bottom w:val="none" w:sz="0" w:space="0" w:color="auto"/>
            <w:right w:val="none" w:sz="0" w:space="0" w:color="auto"/>
          </w:divBdr>
        </w:div>
        <w:div w:id="1013266729">
          <w:marLeft w:val="0"/>
          <w:marRight w:val="0"/>
          <w:marTop w:val="0"/>
          <w:marBottom w:val="0"/>
          <w:divBdr>
            <w:top w:val="none" w:sz="0" w:space="0" w:color="auto"/>
            <w:left w:val="none" w:sz="0" w:space="0" w:color="auto"/>
            <w:bottom w:val="none" w:sz="0" w:space="0" w:color="auto"/>
            <w:right w:val="none" w:sz="0" w:space="0" w:color="auto"/>
          </w:divBdr>
        </w:div>
        <w:div w:id="1070735132">
          <w:marLeft w:val="0"/>
          <w:marRight w:val="0"/>
          <w:marTop w:val="0"/>
          <w:marBottom w:val="0"/>
          <w:divBdr>
            <w:top w:val="none" w:sz="0" w:space="0" w:color="auto"/>
            <w:left w:val="none" w:sz="0" w:space="0" w:color="auto"/>
            <w:bottom w:val="none" w:sz="0" w:space="0" w:color="auto"/>
            <w:right w:val="none" w:sz="0" w:space="0" w:color="auto"/>
          </w:divBdr>
        </w:div>
        <w:div w:id="1819884695">
          <w:marLeft w:val="0"/>
          <w:marRight w:val="0"/>
          <w:marTop w:val="0"/>
          <w:marBottom w:val="0"/>
          <w:divBdr>
            <w:top w:val="none" w:sz="0" w:space="0" w:color="auto"/>
            <w:left w:val="none" w:sz="0" w:space="0" w:color="auto"/>
            <w:bottom w:val="none" w:sz="0" w:space="0" w:color="auto"/>
            <w:right w:val="none" w:sz="0" w:space="0" w:color="auto"/>
          </w:divBdr>
        </w:div>
        <w:div w:id="1981495885">
          <w:marLeft w:val="0"/>
          <w:marRight w:val="0"/>
          <w:marTop w:val="0"/>
          <w:marBottom w:val="0"/>
          <w:divBdr>
            <w:top w:val="none" w:sz="0" w:space="0" w:color="auto"/>
            <w:left w:val="none" w:sz="0" w:space="0" w:color="auto"/>
            <w:bottom w:val="none" w:sz="0" w:space="0" w:color="auto"/>
            <w:right w:val="none" w:sz="0" w:space="0" w:color="auto"/>
          </w:divBdr>
        </w:div>
        <w:div w:id="1993024719">
          <w:marLeft w:val="0"/>
          <w:marRight w:val="0"/>
          <w:marTop w:val="0"/>
          <w:marBottom w:val="0"/>
          <w:divBdr>
            <w:top w:val="none" w:sz="0" w:space="0" w:color="auto"/>
            <w:left w:val="none" w:sz="0" w:space="0" w:color="auto"/>
            <w:bottom w:val="none" w:sz="0" w:space="0" w:color="auto"/>
            <w:right w:val="none" w:sz="0" w:space="0" w:color="auto"/>
          </w:divBdr>
        </w:div>
      </w:divsChild>
    </w:div>
    <w:div w:id="647708869">
      <w:bodyDiv w:val="1"/>
      <w:marLeft w:val="0"/>
      <w:marRight w:val="0"/>
      <w:marTop w:val="0"/>
      <w:marBottom w:val="0"/>
      <w:divBdr>
        <w:top w:val="none" w:sz="0" w:space="0" w:color="auto"/>
        <w:left w:val="none" w:sz="0" w:space="0" w:color="auto"/>
        <w:bottom w:val="none" w:sz="0" w:space="0" w:color="auto"/>
        <w:right w:val="none" w:sz="0" w:space="0" w:color="auto"/>
      </w:divBdr>
    </w:div>
    <w:div w:id="649216470">
      <w:bodyDiv w:val="1"/>
      <w:marLeft w:val="0"/>
      <w:marRight w:val="0"/>
      <w:marTop w:val="0"/>
      <w:marBottom w:val="0"/>
      <w:divBdr>
        <w:top w:val="none" w:sz="0" w:space="0" w:color="auto"/>
        <w:left w:val="none" w:sz="0" w:space="0" w:color="auto"/>
        <w:bottom w:val="none" w:sz="0" w:space="0" w:color="auto"/>
        <w:right w:val="none" w:sz="0" w:space="0" w:color="auto"/>
      </w:divBdr>
    </w:div>
    <w:div w:id="651178066">
      <w:bodyDiv w:val="1"/>
      <w:marLeft w:val="0"/>
      <w:marRight w:val="0"/>
      <w:marTop w:val="0"/>
      <w:marBottom w:val="0"/>
      <w:divBdr>
        <w:top w:val="none" w:sz="0" w:space="0" w:color="auto"/>
        <w:left w:val="none" w:sz="0" w:space="0" w:color="auto"/>
        <w:bottom w:val="none" w:sz="0" w:space="0" w:color="auto"/>
        <w:right w:val="none" w:sz="0" w:space="0" w:color="auto"/>
      </w:divBdr>
      <w:divsChild>
        <w:div w:id="366108426">
          <w:marLeft w:val="144"/>
          <w:marRight w:val="0"/>
          <w:marTop w:val="240"/>
          <w:marBottom w:val="40"/>
          <w:divBdr>
            <w:top w:val="none" w:sz="0" w:space="0" w:color="auto"/>
            <w:left w:val="none" w:sz="0" w:space="0" w:color="auto"/>
            <w:bottom w:val="none" w:sz="0" w:space="0" w:color="auto"/>
            <w:right w:val="none" w:sz="0" w:space="0" w:color="auto"/>
          </w:divBdr>
        </w:div>
        <w:div w:id="848639308">
          <w:marLeft w:val="144"/>
          <w:marRight w:val="0"/>
          <w:marTop w:val="240"/>
          <w:marBottom w:val="40"/>
          <w:divBdr>
            <w:top w:val="none" w:sz="0" w:space="0" w:color="auto"/>
            <w:left w:val="none" w:sz="0" w:space="0" w:color="auto"/>
            <w:bottom w:val="none" w:sz="0" w:space="0" w:color="auto"/>
            <w:right w:val="none" w:sz="0" w:space="0" w:color="auto"/>
          </w:divBdr>
        </w:div>
      </w:divsChild>
    </w:div>
    <w:div w:id="657030823">
      <w:bodyDiv w:val="1"/>
      <w:marLeft w:val="0"/>
      <w:marRight w:val="0"/>
      <w:marTop w:val="0"/>
      <w:marBottom w:val="0"/>
      <w:divBdr>
        <w:top w:val="none" w:sz="0" w:space="0" w:color="auto"/>
        <w:left w:val="none" w:sz="0" w:space="0" w:color="auto"/>
        <w:bottom w:val="none" w:sz="0" w:space="0" w:color="auto"/>
        <w:right w:val="none" w:sz="0" w:space="0" w:color="auto"/>
      </w:divBdr>
      <w:divsChild>
        <w:div w:id="529219055">
          <w:marLeft w:val="0"/>
          <w:marRight w:val="0"/>
          <w:marTop w:val="0"/>
          <w:marBottom w:val="0"/>
          <w:divBdr>
            <w:top w:val="none" w:sz="0" w:space="0" w:color="auto"/>
            <w:left w:val="none" w:sz="0" w:space="0" w:color="auto"/>
            <w:bottom w:val="none" w:sz="0" w:space="0" w:color="auto"/>
            <w:right w:val="none" w:sz="0" w:space="0" w:color="auto"/>
          </w:divBdr>
        </w:div>
      </w:divsChild>
    </w:div>
    <w:div w:id="657272801">
      <w:bodyDiv w:val="1"/>
      <w:marLeft w:val="0"/>
      <w:marRight w:val="0"/>
      <w:marTop w:val="0"/>
      <w:marBottom w:val="0"/>
      <w:divBdr>
        <w:top w:val="none" w:sz="0" w:space="0" w:color="auto"/>
        <w:left w:val="none" w:sz="0" w:space="0" w:color="auto"/>
        <w:bottom w:val="none" w:sz="0" w:space="0" w:color="auto"/>
        <w:right w:val="none" w:sz="0" w:space="0" w:color="auto"/>
      </w:divBdr>
      <w:divsChild>
        <w:div w:id="426005372">
          <w:marLeft w:val="0"/>
          <w:marRight w:val="0"/>
          <w:marTop w:val="0"/>
          <w:marBottom w:val="0"/>
          <w:divBdr>
            <w:top w:val="none" w:sz="0" w:space="0" w:color="auto"/>
            <w:left w:val="none" w:sz="0" w:space="0" w:color="auto"/>
            <w:bottom w:val="none" w:sz="0" w:space="0" w:color="auto"/>
            <w:right w:val="none" w:sz="0" w:space="0" w:color="auto"/>
          </w:divBdr>
        </w:div>
        <w:div w:id="1278566024">
          <w:marLeft w:val="0"/>
          <w:marRight w:val="0"/>
          <w:marTop w:val="0"/>
          <w:marBottom w:val="0"/>
          <w:divBdr>
            <w:top w:val="none" w:sz="0" w:space="0" w:color="auto"/>
            <w:left w:val="none" w:sz="0" w:space="0" w:color="auto"/>
            <w:bottom w:val="none" w:sz="0" w:space="0" w:color="auto"/>
            <w:right w:val="none" w:sz="0" w:space="0" w:color="auto"/>
          </w:divBdr>
        </w:div>
        <w:div w:id="1290237250">
          <w:marLeft w:val="0"/>
          <w:marRight w:val="0"/>
          <w:marTop w:val="0"/>
          <w:marBottom w:val="0"/>
          <w:divBdr>
            <w:top w:val="none" w:sz="0" w:space="0" w:color="auto"/>
            <w:left w:val="none" w:sz="0" w:space="0" w:color="auto"/>
            <w:bottom w:val="none" w:sz="0" w:space="0" w:color="auto"/>
            <w:right w:val="none" w:sz="0" w:space="0" w:color="auto"/>
          </w:divBdr>
        </w:div>
        <w:div w:id="1959409426">
          <w:marLeft w:val="0"/>
          <w:marRight w:val="0"/>
          <w:marTop w:val="0"/>
          <w:marBottom w:val="0"/>
          <w:divBdr>
            <w:top w:val="none" w:sz="0" w:space="0" w:color="auto"/>
            <w:left w:val="none" w:sz="0" w:space="0" w:color="auto"/>
            <w:bottom w:val="none" w:sz="0" w:space="0" w:color="auto"/>
            <w:right w:val="none" w:sz="0" w:space="0" w:color="auto"/>
          </w:divBdr>
        </w:div>
      </w:divsChild>
    </w:div>
    <w:div w:id="659313059">
      <w:bodyDiv w:val="1"/>
      <w:marLeft w:val="0"/>
      <w:marRight w:val="0"/>
      <w:marTop w:val="0"/>
      <w:marBottom w:val="0"/>
      <w:divBdr>
        <w:top w:val="none" w:sz="0" w:space="0" w:color="auto"/>
        <w:left w:val="none" w:sz="0" w:space="0" w:color="auto"/>
        <w:bottom w:val="none" w:sz="0" w:space="0" w:color="auto"/>
        <w:right w:val="none" w:sz="0" w:space="0" w:color="auto"/>
      </w:divBdr>
      <w:divsChild>
        <w:div w:id="1252812847">
          <w:marLeft w:val="144"/>
          <w:marRight w:val="0"/>
          <w:marTop w:val="240"/>
          <w:marBottom w:val="40"/>
          <w:divBdr>
            <w:top w:val="none" w:sz="0" w:space="0" w:color="auto"/>
            <w:left w:val="none" w:sz="0" w:space="0" w:color="auto"/>
            <w:bottom w:val="none" w:sz="0" w:space="0" w:color="auto"/>
            <w:right w:val="none" w:sz="0" w:space="0" w:color="auto"/>
          </w:divBdr>
        </w:div>
        <w:div w:id="1727483917">
          <w:marLeft w:val="144"/>
          <w:marRight w:val="0"/>
          <w:marTop w:val="240"/>
          <w:marBottom w:val="40"/>
          <w:divBdr>
            <w:top w:val="none" w:sz="0" w:space="0" w:color="auto"/>
            <w:left w:val="none" w:sz="0" w:space="0" w:color="auto"/>
            <w:bottom w:val="none" w:sz="0" w:space="0" w:color="auto"/>
            <w:right w:val="none" w:sz="0" w:space="0" w:color="auto"/>
          </w:divBdr>
        </w:div>
        <w:div w:id="1892840688">
          <w:marLeft w:val="144"/>
          <w:marRight w:val="0"/>
          <w:marTop w:val="240"/>
          <w:marBottom w:val="40"/>
          <w:divBdr>
            <w:top w:val="none" w:sz="0" w:space="0" w:color="auto"/>
            <w:left w:val="none" w:sz="0" w:space="0" w:color="auto"/>
            <w:bottom w:val="none" w:sz="0" w:space="0" w:color="auto"/>
            <w:right w:val="none" w:sz="0" w:space="0" w:color="auto"/>
          </w:divBdr>
        </w:div>
        <w:div w:id="1952281993">
          <w:marLeft w:val="144"/>
          <w:marRight w:val="0"/>
          <w:marTop w:val="240"/>
          <w:marBottom w:val="40"/>
          <w:divBdr>
            <w:top w:val="none" w:sz="0" w:space="0" w:color="auto"/>
            <w:left w:val="none" w:sz="0" w:space="0" w:color="auto"/>
            <w:bottom w:val="none" w:sz="0" w:space="0" w:color="auto"/>
            <w:right w:val="none" w:sz="0" w:space="0" w:color="auto"/>
          </w:divBdr>
        </w:div>
      </w:divsChild>
    </w:div>
    <w:div w:id="661350044">
      <w:bodyDiv w:val="1"/>
      <w:marLeft w:val="0"/>
      <w:marRight w:val="0"/>
      <w:marTop w:val="0"/>
      <w:marBottom w:val="0"/>
      <w:divBdr>
        <w:top w:val="none" w:sz="0" w:space="0" w:color="auto"/>
        <w:left w:val="none" w:sz="0" w:space="0" w:color="auto"/>
        <w:bottom w:val="none" w:sz="0" w:space="0" w:color="auto"/>
        <w:right w:val="none" w:sz="0" w:space="0" w:color="auto"/>
      </w:divBdr>
    </w:div>
    <w:div w:id="665480550">
      <w:bodyDiv w:val="1"/>
      <w:marLeft w:val="0"/>
      <w:marRight w:val="0"/>
      <w:marTop w:val="0"/>
      <w:marBottom w:val="0"/>
      <w:divBdr>
        <w:top w:val="none" w:sz="0" w:space="0" w:color="auto"/>
        <w:left w:val="none" w:sz="0" w:space="0" w:color="auto"/>
        <w:bottom w:val="none" w:sz="0" w:space="0" w:color="auto"/>
        <w:right w:val="none" w:sz="0" w:space="0" w:color="auto"/>
      </w:divBdr>
    </w:div>
    <w:div w:id="668752799">
      <w:bodyDiv w:val="1"/>
      <w:marLeft w:val="0"/>
      <w:marRight w:val="0"/>
      <w:marTop w:val="0"/>
      <w:marBottom w:val="0"/>
      <w:divBdr>
        <w:top w:val="none" w:sz="0" w:space="0" w:color="auto"/>
        <w:left w:val="none" w:sz="0" w:space="0" w:color="auto"/>
        <w:bottom w:val="none" w:sz="0" w:space="0" w:color="auto"/>
        <w:right w:val="none" w:sz="0" w:space="0" w:color="auto"/>
      </w:divBdr>
      <w:divsChild>
        <w:div w:id="338318217">
          <w:marLeft w:val="0"/>
          <w:marRight w:val="0"/>
          <w:marTop w:val="0"/>
          <w:marBottom w:val="0"/>
          <w:divBdr>
            <w:top w:val="none" w:sz="0" w:space="0" w:color="auto"/>
            <w:left w:val="none" w:sz="0" w:space="0" w:color="auto"/>
            <w:bottom w:val="none" w:sz="0" w:space="0" w:color="auto"/>
            <w:right w:val="none" w:sz="0" w:space="0" w:color="auto"/>
          </w:divBdr>
        </w:div>
        <w:div w:id="356934689">
          <w:marLeft w:val="0"/>
          <w:marRight w:val="0"/>
          <w:marTop w:val="0"/>
          <w:marBottom w:val="0"/>
          <w:divBdr>
            <w:top w:val="none" w:sz="0" w:space="0" w:color="auto"/>
            <w:left w:val="none" w:sz="0" w:space="0" w:color="auto"/>
            <w:bottom w:val="none" w:sz="0" w:space="0" w:color="auto"/>
            <w:right w:val="none" w:sz="0" w:space="0" w:color="auto"/>
          </w:divBdr>
        </w:div>
        <w:div w:id="793258595">
          <w:marLeft w:val="0"/>
          <w:marRight w:val="0"/>
          <w:marTop w:val="0"/>
          <w:marBottom w:val="0"/>
          <w:divBdr>
            <w:top w:val="none" w:sz="0" w:space="0" w:color="auto"/>
            <w:left w:val="none" w:sz="0" w:space="0" w:color="auto"/>
            <w:bottom w:val="none" w:sz="0" w:space="0" w:color="auto"/>
            <w:right w:val="none" w:sz="0" w:space="0" w:color="auto"/>
          </w:divBdr>
        </w:div>
        <w:div w:id="949045664">
          <w:marLeft w:val="0"/>
          <w:marRight w:val="0"/>
          <w:marTop w:val="0"/>
          <w:marBottom w:val="0"/>
          <w:divBdr>
            <w:top w:val="none" w:sz="0" w:space="0" w:color="auto"/>
            <w:left w:val="none" w:sz="0" w:space="0" w:color="auto"/>
            <w:bottom w:val="none" w:sz="0" w:space="0" w:color="auto"/>
            <w:right w:val="none" w:sz="0" w:space="0" w:color="auto"/>
          </w:divBdr>
        </w:div>
        <w:div w:id="1039475108">
          <w:marLeft w:val="0"/>
          <w:marRight w:val="0"/>
          <w:marTop w:val="0"/>
          <w:marBottom w:val="0"/>
          <w:divBdr>
            <w:top w:val="none" w:sz="0" w:space="0" w:color="auto"/>
            <w:left w:val="none" w:sz="0" w:space="0" w:color="auto"/>
            <w:bottom w:val="none" w:sz="0" w:space="0" w:color="auto"/>
            <w:right w:val="none" w:sz="0" w:space="0" w:color="auto"/>
          </w:divBdr>
        </w:div>
        <w:div w:id="1082026770">
          <w:marLeft w:val="0"/>
          <w:marRight w:val="0"/>
          <w:marTop w:val="0"/>
          <w:marBottom w:val="0"/>
          <w:divBdr>
            <w:top w:val="none" w:sz="0" w:space="0" w:color="auto"/>
            <w:left w:val="none" w:sz="0" w:space="0" w:color="auto"/>
            <w:bottom w:val="none" w:sz="0" w:space="0" w:color="auto"/>
            <w:right w:val="none" w:sz="0" w:space="0" w:color="auto"/>
          </w:divBdr>
        </w:div>
        <w:div w:id="1169636721">
          <w:marLeft w:val="0"/>
          <w:marRight w:val="0"/>
          <w:marTop w:val="0"/>
          <w:marBottom w:val="0"/>
          <w:divBdr>
            <w:top w:val="none" w:sz="0" w:space="0" w:color="auto"/>
            <w:left w:val="none" w:sz="0" w:space="0" w:color="auto"/>
            <w:bottom w:val="none" w:sz="0" w:space="0" w:color="auto"/>
            <w:right w:val="none" w:sz="0" w:space="0" w:color="auto"/>
          </w:divBdr>
        </w:div>
        <w:div w:id="1199775029">
          <w:marLeft w:val="0"/>
          <w:marRight w:val="0"/>
          <w:marTop w:val="0"/>
          <w:marBottom w:val="0"/>
          <w:divBdr>
            <w:top w:val="none" w:sz="0" w:space="0" w:color="auto"/>
            <w:left w:val="none" w:sz="0" w:space="0" w:color="auto"/>
            <w:bottom w:val="none" w:sz="0" w:space="0" w:color="auto"/>
            <w:right w:val="none" w:sz="0" w:space="0" w:color="auto"/>
          </w:divBdr>
        </w:div>
        <w:div w:id="1991715925">
          <w:marLeft w:val="0"/>
          <w:marRight w:val="0"/>
          <w:marTop w:val="0"/>
          <w:marBottom w:val="0"/>
          <w:divBdr>
            <w:top w:val="none" w:sz="0" w:space="0" w:color="auto"/>
            <w:left w:val="none" w:sz="0" w:space="0" w:color="auto"/>
            <w:bottom w:val="none" w:sz="0" w:space="0" w:color="auto"/>
            <w:right w:val="none" w:sz="0" w:space="0" w:color="auto"/>
          </w:divBdr>
        </w:div>
        <w:div w:id="2074231470">
          <w:marLeft w:val="0"/>
          <w:marRight w:val="0"/>
          <w:marTop w:val="0"/>
          <w:marBottom w:val="0"/>
          <w:divBdr>
            <w:top w:val="none" w:sz="0" w:space="0" w:color="auto"/>
            <w:left w:val="none" w:sz="0" w:space="0" w:color="auto"/>
            <w:bottom w:val="none" w:sz="0" w:space="0" w:color="auto"/>
            <w:right w:val="none" w:sz="0" w:space="0" w:color="auto"/>
          </w:divBdr>
        </w:div>
      </w:divsChild>
    </w:div>
    <w:div w:id="674921979">
      <w:bodyDiv w:val="1"/>
      <w:marLeft w:val="0"/>
      <w:marRight w:val="0"/>
      <w:marTop w:val="0"/>
      <w:marBottom w:val="0"/>
      <w:divBdr>
        <w:top w:val="none" w:sz="0" w:space="0" w:color="auto"/>
        <w:left w:val="none" w:sz="0" w:space="0" w:color="auto"/>
        <w:bottom w:val="none" w:sz="0" w:space="0" w:color="auto"/>
        <w:right w:val="none" w:sz="0" w:space="0" w:color="auto"/>
      </w:divBdr>
      <w:divsChild>
        <w:div w:id="11423106">
          <w:marLeft w:val="0"/>
          <w:marRight w:val="0"/>
          <w:marTop w:val="0"/>
          <w:marBottom w:val="0"/>
          <w:divBdr>
            <w:top w:val="none" w:sz="0" w:space="0" w:color="auto"/>
            <w:left w:val="none" w:sz="0" w:space="0" w:color="auto"/>
            <w:bottom w:val="none" w:sz="0" w:space="0" w:color="auto"/>
            <w:right w:val="none" w:sz="0" w:space="0" w:color="auto"/>
          </w:divBdr>
        </w:div>
        <w:div w:id="307630452">
          <w:marLeft w:val="0"/>
          <w:marRight w:val="0"/>
          <w:marTop w:val="0"/>
          <w:marBottom w:val="0"/>
          <w:divBdr>
            <w:top w:val="none" w:sz="0" w:space="0" w:color="auto"/>
            <w:left w:val="none" w:sz="0" w:space="0" w:color="auto"/>
            <w:bottom w:val="none" w:sz="0" w:space="0" w:color="auto"/>
            <w:right w:val="none" w:sz="0" w:space="0" w:color="auto"/>
          </w:divBdr>
        </w:div>
        <w:div w:id="332149331">
          <w:marLeft w:val="0"/>
          <w:marRight w:val="0"/>
          <w:marTop w:val="0"/>
          <w:marBottom w:val="0"/>
          <w:divBdr>
            <w:top w:val="none" w:sz="0" w:space="0" w:color="auto"/>
            <w:left w:val="none" w:sz="0" w:space="0" w:color="auto"/>
            <w:bottom w:val="none" w:sz="0" w:space="0" w:color="auto"/>
            <w:right w:val="none" w:sz="0" w:space="0" w:color="auto"/>
          </w:divBdr>
        </w:div>
        <w:div w:id="546843817">
          <w:marLeft w:val="0"/>
          <w:marRight w:val="0"/>
          <w:marTop w:val="0"/>
          <w:marBottom w:val="0"/>
          <w:divBdr>
            <w:top w:val="none" w:sz="0" w:space="0" w:color="auto"/>
            <w:left w:val="none" w:sz="0" w:space="0" w:color="auto"/>
            <w:bottom w:val="none" w:sz="0" w:space="0" w:color="auto"/>
            <w:right w:val="none" w:sz="0" w:space="0" w:color="auto"/>
          </w:divBdr>
        </w:div>
        <w:div w:id="631208058">
          <w:marLeft w:val="0"/>
          <w:marRight w:val="0"/>
          <w:marTop w:val="0"/>
          <w:marBottom w:val="0"/>
          <w:divBdr>
            <w:top w:val="none" w:sz="0" w:space="0" w:color="auto"/>
            <w:left w:val="none" w:sz="0" w:space="0" w:color="auto"/>
            <w:bottom w:val="none" w:sz="0" w:space="0" w:color="auto"/>
            <w:right w:val="none" w:sz="0" w:space="0" w:color="auto"/>
          </w:divBdr>
        </w:div>
        <w:div w:id="980690641">
          <w:marLeft w:val="0"/>
          <w:marRight w:val="0"/>
          <w:marTop w:val="0"/>
          <w:marBottom w:val="0"/>
          <w:divBdr>
            <w:top w:val="none" w:sz="0" w:space="0" w:color="auto"/>
            <w:left w:val="none" w:sz="0" w:space="0" w:color="auto"/>
            <w:bottom w:val="none" w:sz="0" w:space="0" w:color="auto"/>
            <w:right w:val="none" w:sz="0" w:space="0" w:color="auto"/>
          </w:divBdr>
        </w:div>
        <w:div w:id="1114591105">
          <w:marLeft w:val="0"/>
          <w:marRight w:val="0"/>
          <w:marTop w:val="0"/>
          <w:marBottom w:val="0"/>
          <w:divBdr>
            <w:top w:val="none" w:sz="0" w:space="0" w:color="auto"/>
            <w:left w:val="none" w:sz="0" w:space="0" w:color="auto"/>
            <w:bottom w:val="none" w:sz="0" w:space="0" w:color="auto"/>
            <w:right w:val="none" w:sz="0" w:space="0" w:color="auto"/>
          </w:divBdr>
        </w:div>
        <w:div w:id="1812138183">
          <w:marLeft w:val="0"/>
          <w:marRight w:val="0"/>
          <w:marTop w:val="0"/>
          <w:marBottom w:val="0"/>
          <w:divBdr>
            <w:top w:val="none" w:sz="0" w:space="0" w:color="auto"/>
            <w:left w:val="none" w:sz="0" w:space="0" w:color="auto"/>
            <w:bottom w:val="none" w:sz="0" w:space="0" w:color="auto"/>
            <w:right w:val="none" w:sz="0" w:space="0" w:color="auto"/>
          </w:divBdr>
        </w:div>
        <w:div w:id="1831368849">
          <w:marLeft w:val="0"/>
          <w:marRight w:val="0"/>
          <w:marTop w:val="0"/>
          <w:marBottom w:val="0"/>
          <w:divBdr>
            <w:top w:val="none" w:sz="0" w:space="0" w:color="auto"/>
            <w:left w:val="none" w:sz="0" w:space="0" w:color="auto"/>
            <w:bottom w:val="none" w:sz="0" w:space="0" w:color="auto"/>
            <w:right w:val="none" w:sz="0" w:space="0" w:color="auto"/>
          </w:divBdr>
        </w:div>
        <w:div w:id="1981643629">
          <w:marLeft w:val="0"/>
          <w:marRight w:val="0"/>
          <w:marTop w:val="0"/>
          <w:marBottom w:val="0"/>
          <w:divBdr>
            <w:top w:val="none" w:sz="0" w:space="0" w:color="auto"/>
            <w:left w:val="none" w:sz="0" w:space="0" w:color="auto"/>
            <w:bottom w:val="none" w:sz="0" w:space="0" w:color="auto"/>
            <w:right w:val="none" w:sz="0" w:space="0" w:color="auto"/>
          </w:divBdr>
        </w:div>
        <w:div w:id="1996911290">
          <w:marLeft w:val="0"/>
          <w:marRight w:val="0"/>
          <w:marTop w:val="0"/>
          <w:marBottom w:val="0"/>
          <w:divBdr>
            <w:top w:val="none" w:sz="0" w:space="0" w:color="auto"/>
            <w:left w:val="none" w:sz="0" w:space="0" w:color="auto"/>
            <w:bottom w:val="none" w:sz="0" w:space="0" w:color="auto"/>
            <w:right w:val="none" w:sz="0" w:space="0" w:color="auto"/>
          </w:divBdr>
        </w:div>
      </w:divsChild>
    </w:div>
    <w:div w:id="676269660">
      <w:bodyDiv w:val="1"/>
      <w:marLeft w:val="0"/>
      <w:marRight w:val="0"/>
      <w:marTop w:val="0"/>
      <w:marBottom w:val="0"/>
      <w:divBdr>
        <w:top w:val="none" w:sz="0" w:space="0" w:color="auto"/>
        <w:left w:val="none" w:sz="0" w:space="0" w:color="auto"/>
        <w:bottom w:val="none" w:sz="0" w:space="0" w:color="auto"/>
        <w:right w:val="none" w:sz="0" w:space="0" w:color="auto"/>
      </w:divBdr>
      <w:divsChild>
        <w:div w:id="79176813">
          <w:marLeft w:val="0"/>
          <w:marRight w:val="0"/>
          <w:marTop w:val="0"/>
          <w:marBottom w:val="0"/>
          <w:divBdr>
            <w:top w:val="none" w:sz="0" w:space="0" w:color="auto"/>
            <w:left w:val="none" w:sz="0" w:space="0" w:color="auto"/>
            <w:bottom w:val="none" w:sz="0" w:space="0" w:color="auto"/>
            <w:right w:val="none" w:sz="0" w:space="0" w:color="auto"/>
          </w:divBdr>
        </w:div>
        <w:div w:id="289940330">
          <w:marLeft w:val="0"/>
          <w:marRight w:val="0"/>
          <w:marTop w:val="0"/>
          <w:marBottom w:val="0"/>
          <w:divBdr>
            <w:top w:val="none" w:sz="0" w:space="0" w:color="auto"/>
            <w:left w:val="none" w:sz="0" w:space="0" w:color="auto"/>
            <w:bottom w:val="none" w:sz="0" w:space="0" w:color="auto"/>
            <w:right w:val="none" w:sz="0" w:space="0" w:color="auto"/>
          </w:divBdr>
        </w:div>
        <w:div w:id="506873511">
          <w:marLeft w:val="0"/>
          <w:marRight w:val="0"/>
          <w:marTop w:val="0"/>
          <w:marBottom w:val="0"/>
          <w:divBdr>
            <w:top w:val="none" w:sz="0" w:space="0" w:color="auto"/>
            <w:left w:val="none" w:sz="0" w:space="0" w:color="auto"/>
            <w:bottom w:val="none" w:sz="0" w:space="0" w:color="auto"/>
            <w:right w:val="none" w:sz="0" w:space="0" w:color="auto"/>
          </w:divBdr>
        </w:div>
        <w:div w:id="1762722553">
          <w:marLeft w:val="0"/>
          <w:marRight w:val="0"/>
          <w:marTop w:val="0"/>
          <w:marBottom w:val="0"/>
          <w:divBdr>
            <w:top w:val="none" w:sz="0" w:space="0" w:color="auto"/>
            <w:left w:val="none" w:sz="0" w:space="0" w:color="auto"/>
            <w:bottom w:val="none" w:sz="0" w:space="0" w:color="auto"/>
            <w:right w:val="none" w:sz="0" w:space="0" w:color="auto"/>
          </w:divBdr>
        </w:div>
        <w:div w:id="1840462315">
          <w:marLeft w:val="0"/>
          <w:marRight w:val="0"/>
          <w:marTop w:val="0"/>
          <w:marBottom w:val="0"/>
          <w:divBdr>
            <w:top w:val="none" w:sz="0" w:space="0" w:color="auto"/>
            <w:left w:val="none" w:sz="0" w:space="0" w:color="auto"/>
            <w:bottom w:val="none" w:sz="0" w:space="0" w:color="auto"/>
            <w:right w:val="none" w:sz="0" w:space="0" w:color="auto"/>
          </w:divBdr>
        </w:div>
        <w:div w:id="2141989678">
          <w:marLeft w:val="0"/>
          <w:marRight w:val="0"/>
          <w:marTop w:val="0"/>
          <w:marBottom w:val="0"/>
          <w:divBdr>
            <w:top w:val="none" w:sz="0" w:space="0" w:color="auto"/>
            <w:left w:val="none" w:sz="0" w:space="0" w:color="auto"/>
            <w:bottom w:val="none" w:sz="0" w:space="0" w:color="auto"/>
            <w:right w:val="none" w:sz="0" w:space="0" w:color="auto"/>
          </w:divBdr>
        </w:div>
      </w:divsChild>
    </w:div>
    <w:div w:id="676880552">
      <w:bodyDiv w:val="1"/>
      <w:marLeft w:val="0"/>
      <w:marRight w:val="0"/>
      <w:marTop w:val="0"/>
      <w:marBottom w:val="0"/>
      <w:divBdr>
        <w:top w:val="none" w:sz="0" w:space="0" w:color="auto"/>
        <w:left w:val="none" w:sz="0" w:space="0" w:color="auto"/>
        <w:bottom w:val="none" w:sz="0" w:space="0" w:color="auto"/>
        <w:right w:val="none" w:sz="0" w:space="0" w:color="auto"/>
      </w:divBdr>
    </w:div>
    <w:div w:id="682633584">
      <w:bodyDiv w:val="1"/>
      <w:marLeft w:val="0"/>
      <w:marRight w:val="0"/>
      <w:marTop w:val="0"/>
      <w:marBottom w:val="0"/>
      <w:divBdr>
        <w:top w:val="none" w:sz="0" w:space="0" w:color="auto"/>
        <w:left w:val="none" w:sz="0" w:space="0" w:color="auto"/>
        <w:bottom w:val="none" w:sz="0" w:space="0" w:color="auto"/>
        <w:right w:val="none" w:sz="0" w:space="0" w:color="auto"/>
      </w:divBdr>
    </w:div>
    <w:div w:id="683438845">
      <w:bodyDiv w:val="1"/>
      <w:marLeft w:val="0"/>
      <w:marRight w:val="0"/>
      <w:marTop w:val="0"/>
      <w:marBottom w:val="0"/>
      <w:divBdr>
        <w:top w:val="none" w:sz="0" w:space="0" w:color="auto"/>
        <w:left w:val="none" w:sz="0" w:space="0" w:color="auto"/>
        <w:bottom w:val="none" w:sz="0" w:space="0" w:color="auto"/>
        <w:right w:val="none" w:sz="0" w:space="0" w:color="auto"/>
      </w:divBdr>
    </w:div>
    <w:div w:id="685524986">
      <w:bodyDiv w:val="1"/>
      <w:marLeft w:val="0"/>
      <w:marRight w:val="0"/>
      <w:marTop w:val="0"/>
      <w:marBottom w:val="0"/>
      <w:divBdr>
        <w:top w:val="none" w:sz="0" w:space="0" w:color="auto"/>
        <w:left w:val="none" w:sz="0" w:space="0" w:color="auto"/>
        <w:bottom w:val="none" w:sz="0" w:space="0" w:color="auto"/>
        <w:right w:val="none" w:sz="0" w:space="0" w:color="auto"/>
      </w:divBdr>
      <w:divsChild>
        <w:div w:id="169949596">
          <w:marLeft w:val="0"/>
          <w:marRight w:val="0"/>
          <w:marTop w:val="0"/>
          <w:marBottom w:val="0"/>
          <w:divBdr>
            <w:top w:val="none" w:sz="0" w:space="0" w:color="auto"/>
            <w:left w:val="none" w:sz="0" w:space="0" w:color="auto"/>
            <w:bottom w:val="none" w:sz="0" w:space="0" w:color="auto"/>
            <w:right w:val="none" w:sz="0" w:space="0" w:color="auto"/>
          </w:divBdr>
        </w:div>
      </w:divsChild>
    </w:div>
    <w:div w:id="687483570">
      <w:bodyDiv w:val="1"/>
      <w:marLeft w:val="0"/>
      <w:marRight w:val="0"/>
      <w:marTop w:val="0"/>
      <w:marBottom w:val="0"/>
      <w:divBdr>
        <w:top w:val="none" w:sz="0" w:space="0" w:color="auto"/>
        <w:left w:val="none" w:sz="0" w:space="0" w:color="auto"/>
        <w:bottom w:val="none" w:sz="0" w:space="0" w:color="auto"/>
        <w:right w:val="none" w:sz="0" w:space="0" w:color="auto"/>
      </w:divBdr>
    </w:div>
    <w:div w:id="689142509">
      <w:bodyDiv w:val="1"/>
      <w:marLeft w:val="0"/>
      <w:marRight w:val="0"/>
      <w:marTop w:val="0"/>
      <w:marBottom w:val="0"/>
      <w:divBdr>
        <w:top w:val="none" w:sz="0" w:space="0" w:color="auto"/>
        <w:left w:val="none" w:sz="0" w:space="0" w:color="auto"/>
        <w:bottom w:val="none" w:sz="0" w:space="0" w:color="auto"/>
        <w:right w:val="none" w:sz="0" w:space="0" w:color="auto"/>
      </w:divBdr>
      <w:divsChild>
        <w:div w:id="16322379">
          <w:marLeft w:val="0"/>
          <w:marRight w:val="0"/>
          <w:marTop w:val="0"/>
          <w:marBottom w:val="0"/>
          <w:divBdr>
            <w:top w:val="none" w:sz="0" w:space="0" w:color="auto"/>
            <w:left w:val="none" w:sz="0" w:space="0" w:color="auto"/>
            <w:bottom w:val="none" w:sz="0" w:space="0" w:color="auto"/>
            <w:right w:val="none" w:sz="0" w:space="0" w:color="auto"/>
          </w:divBdr>
        </w:div>
        <w:div w:id="49305995">
          <w:marLeft w:val="0"/>
          <w:marRight w:val="0"/>
          <w:marTop w:val="0"/>
          <w:marBottom w:val="0"/>
          <w:divBdr>
            <w:top w:val="none" w:sz="0" w:space="0" w:color="auto"/>
            <w:left w:val="none" w:sz="0" w:space="0" w:color="auto"/>
            <w:bottom w:val="none" w:sz="0" w:space="0" w:color="auto"/>
            <w:right w:val="none" w:sz="0" w:space="0" w:color="auto"/>
          </w:divBdr>
        </w:div>
        <w:div w:id="52119266">
          <w:marLeft w:val="0"/>
          <w:marRight w:val="0"/>
          <w:marTop w:val="0"/>
          <w:marBottom w:val="0"/>
          <w:divBdr>
            <w:top w:val="none" w:sz="0" w:space="0" w:color="auto"/>
            <w:left w:val="none" w:sz="0" w:space="0" w:color="auto"/>
            <w:bottom w:val="none" w:sz="0" w:space="0" w:color="auto"/>
            <w:right w:val="none" w:sz="0" w:space="0" w:color="auto"/>
          </w:divBdr>
        </w:div>
        <w:div w:id="89083975">
          <w:marLeft w:val="0"/>
          <w:marRight w:val="0"/>
          <w:marTop w:val="0"/>
          <w:marBottom w:val="0"/>
          <w:divBdr>
            <w:top w:val="none" w:sz="0" w:space="0" w:color="auto"/>
            <w:left w:val="none" w:sz="0" w:space="0" w:color="auto"/>
            <w:bottom w:val="none" w:sz="0" w:space="0" w:color="auto"/>
            <w:right w:val="none" w:sz="0" w:space="0" w:color="auto"/>
          </w:divBdr>
        </w:div>
        <w:div w:id="112940027">
          <w:marLeft w:val="0"/>
          <w:marRight w:val="0"/>
          <w:marTop w:val="0"/>
          <w:marBottom w:val="0"/>
          <w:divBdr>
            <w:top w:val="none" w:sz="0" w:space="0" w:color="auto"/>
            <w:left w:val="none" w:sz="0" w:space="0" w:color="auto"/>
            <w:bottom w:val="none" w:sz="0" w:space="0" w:color="auto"/>
            <w:right w:val="none" w:sz="0" w:space="0" w:color="auto"/>
          </w:divBdr>
        </w:div>
        <w:div w:id="132068549">
          <w:marLeft w:val="0"/>
          <w:marRight w:val="0"/>
          <w:marTop w:val="0"/>
          <w:marBottom w:val="0"/>
          <w:divBdr>
            <w:top w:val="none" w:sz="0" w:space="0" w:color="auto"/>
            <w:left w:val="none" w:sz="0" w:space="0" w:color="auto"/>
            <w:bottom w:val="none" w:sz="0" w:space="0" w:color="auto"/>
            <w:right w:val="none" w:sz="0" w:space="0" w:color="auto"/>
          </w:divBdr>
        </w:div>
        <w:div w:id="133451007">
          <w:marLeft w:val="0"/>
          <w:marRight w:val="0"/>
          <w:marTop w:val="0"/>
          <w:marBottom w:val="0"/>
          <w:divBdr>
            <w:top w:val="none" w:sz="0" w:space="0" w:color="auto"/>
            <w:left w:val="none" w:sz="0" w:space="0" w:color="auto"/>
            <w:bottom w:val="none" w:sz="0" w:space="0" w:color="auto"/>
            <w:right w:val="none" w:sz="0" w:space="0" w:color="auto"/>
          </w:divBdr>
        </w:div>
        <w:div w:id="146559470">
          <w:marLeft w:val="0"/>
          <w:marRight w:val="0"/>
          <w:marTop w:val="0"/>
          <w:marBottom w:val="0"/>
          <w:divBdr>
            <w:top w:val="none" w:sz="0" w:space="0" w:color="auto"/>
            <w:left w:val="none" w:sz="0" w:space="0" w:color="auto"/>
            <w:bottom w:val="none" w:sz="0" w:space="0" w:color="auto"/>
            <w:right w:val="none" w:sz="0" w:space="0" w:color="auto"/>
          </w:divBdr>
        </w:div>
        <w:div w:id="159124952">
          <w:marLeft w:val="0"/>
          <w:marRight w:val="0"/>
          <w:marTop w:val="0"/>
          <w:marBottom w:val="0"/>
          <w:divBdr>
            <w:top w:val="none" w:sz="0" w:space="0" w:color="auto"/>
            <w:left w:val="none" w:sz="0" w:space="0" w:color="auto"/>
            <w:bottom w:val="none" w:sz="0" w:space="0" w:color="auto"/>
            <w:right w:val="none" w:sz="0" w:space="0" w:color="auto"/>
          </w:divBdr>
        </w:div>
        <w:div w:id="160777771">
          <w:marLeft w:val="0"/>
          <w:marRight w:val="0"/>
          <w:marTop w:val="0"/>
          <w:marBottom w:val="0"/>
          <w:divBdr>
            <w:top w:val="none" w:sz="0" w:space="0" w:color="auto"/>
            <w:left w:val="none" w:sz="0" w:space="0" w:color="auto"/>
            <w:bottom w:val="none" w:sz="0" w:space="0" w:color="auto"/>
            <w:right w:val="none" w:sz="0" w:space="0" w:color="auto"/>
          </w:divBdr>
        </w:div>
        <w:div w:id="169567063">
          <w:marLeft w:val="0"/>
          <w:marRight w:val="0"/>
          <w:marTop w:val="0"/>
          <w:marBottom w:val="0"/>
          <w:divBdr>
            <w:top w:val="none" w:sz="0" w:space="0" w:color="auto"/>
            <w:left w:val="none" w:sz="0" w:space="0" w:color="auto"/>
            <w:bottom w:val="none" w:sz="0" w:space="0" w:color="auto"/>
            <w:right w:val="none" w:sz="0" w:space="0" w:color="auto"/>
          </w:divBdr>
        </w:div>
        <w:div w:id="176627472">
          <w:marLeft w:val="0"/>
          <w:marRight w:val="0"/>
          <w:marTop w:val="0"/>
          <w:marBottom w:val="0"/>
          <w:divBdr>
            <w:top w:val="none" w:sz="0" w:space="0" w:color="auto"/>
            <w:left w:val="none" w:sz="0" w:space="0" w:color="auto"/>
            <w:bottom w:val="none" w:sz="0" w:space="0" w:color="auto"/>
            <w:right w:val="none" w:sz="0" w:space="0" w:color="auto"/>
          </w:divBdr>
        </w:div>
        <w:div w:id="188613162">
          <w:marLeft w:val="0"/>
          <w:marRight w:val="0"/>
          <w:marTop w:val="0"/>
          <w:marBottom w:val="0"/>
          <w:divBdr>
            <w:top w:val="none" w:sz="0" w:space="0" w:color="auto"/>
            <w:left w:val="none" w:sz="0" w:space="0" w:color="auto"/>
            <w:bottom w:val="none" w:sz="0" w:space="0" w:color="auto"/>
            <w:right w:val="none" w:sz="0" w:space="0" w:color="auto"/>
          </w:divBdr>
        </w:div>
        <w:div w:id="195044748">
          <w:marLeft w:val="0"/>
          <w:marRight w:val="0"/>
          <w:marTop w:val="0"/>
          <w:marBottom w:val="0"/>
          <w:divBdr>
            <w:top w:val="none" w:sz="0" w:space="0" w:color="auto"/>
            <w:left w:val="none" w:sz="0" w:space="0" w:color="auto"/>
            <w:bottom w:val="none" w:sz="0" w:space="0" w:color="auto"/>
            <w:right w:val="none" w:sz="0" w:space="0" w:color="auto"/>
          </w:divBdr>
        </w:div>
        <w:div w:id="203097981">
          <w:marLeft w:val="0"/>
          <w:marRight w:val="0"/>
          <w:marTop w:val="0"/>
          <w:marBottom w:val="0"/>
          <w:divBdr>
            <w:top w:val="none" w:sz="0" w:space="0" w:color="auto"/>
            <w:left w:val="none" w:sz="0" w:space="0" w:color="auto"/>
            <w:bottom w:val="none" w:sz="0" w:space="0" w:color="auto"/>
            <w:right w:val="none" w:sz="0" w:space="0" w:color="auto"/>
          </w:divBdr>
        </w:div>
        <w:div w:id="204565517">
          <w:marLeft w:val="0"/>
          <w:marRight w:val="0"/>
          <w:marTop w:val="0"/>
          <w:marBottom w:val="0"/>
          <w:divBdr>
            <w:top w:val="none" w:sz="0" w:space="0" w:color="auto"/>
            <w:left w:val="none" w:sz="0" w:space="0" w:color="auto"/>
            <w:bottom w:val="none" w:sz="0" w:space="0" w:color="auto"/>
            <w:right w:val="none" w:sz="0" w:space="0" w:color="auto"/>
          </w:divBdr>
        </w:div>
        <w:div w:id="252469321">
          <w:marLeft w:val="0"/>
          <w:marRight w:val="0"/>
          <w:marTop w:val="0"/>
          <w:marBottom w:val="0"/>
          <w:divBdr>
            <w:top w:val="none" w:sz="0" w:space="0" w:color="auto"/>
            <w:left w:val="none" w:sz="0" w:space="0" w:color="auto"/>
            <w:bottom w:val="none" w:sz="0" w:space="0" w:color="auto"/>
            <w:right w:val="none" w:sz="0" w:space="0" w:color="auto"/>
          </w:divBdr>
        </w:div>
        <w:div w:id="283313263">
          <w:marLeft w:val="0"/>
          <w:marRight w:val="0"/>
          <w:marTop w:val="0"/>
          <w:marBottom w:val="0"/>
          <w:divBdr>
            <w:top w:val="none" w:sz="0" w:space="0" w:color="auto"/>
            <w:left w:val="none" w:sz="0" w:space="0" w:color="auto"/>
            <w:bottom w:val="none" w:sz="0" w:space="0" w:color="auto"/>
            <w:right w:val="none" w:sz="0" w:space="0" w:color="auto"/>
          </w:divBdr>
        </w:div>
        <w:div w:id="296449961">
          <w:marLeft w:val="0"/>
          <w:marRight w:val="0"/>
          <w:marTop w:val="0"/>
          <w:marBottom w:val="0"/>
          <w:divBdr>
            <w:top w:val="none" w:sz="0" w:space="0" w:color="auto"/>
            <w:left w:val="none" w:sz="0" w:space="0" w:color="auto"/>
            <w:bottom w:val="none" w:sz="0" w:space="0" w:color="auto"/>
            <w:right w:val="none" w:sz="0" w:space="0" w:color="auto"/>
          </w:divBdr>
        </w:div>
        <w:div w:id="327174905">
          <w:marLeft w:val="0"/>
          <w:marRight w:val="0"/>
          <w:marTop w:val="0"/>
          <w:marBottom w:val="0"/>
          <w:divBdr>
            <w:top w:val="none" w:sz="0" w:space="0" w:color="auto"/>
            <w:left w:val="none" w:sz="0" w:space="0" w:color="auto"/>
            <w:bottom w:val="none" w:sz="0" w:space="0" w:color="auto"/>
            <w:right w:val="none" w:sz="0" w:space="0" w:color="auto"/>
          </w:divBdr>
        </w:div>
        <w:div w:id="351732419">
          <w:marLeft w:val="0"/>
          <w:marRight w:val="0"/>
          <w:marTop w:val="0"/>
          <w:marBottom w:val="0"/>
          <w:divBdr>
            <w:top w:val="none" w:sz="0" w:space="0" w:color="auto"/>
            <w:left w:val="none" w:sz="0" w:space="0" w:color="auto"/>
            <w:bottom w:val="none" w:sz="0" w:space="0" w:color="auto"/>
            <w:right w:val="none" w:sz="0" w:space="0" w:color="auto"/>
          </w:divBdr>
        </w:div>
        <w:div w:id="370812521">
          <w:marLeft w:val="0"/>
          <w:marRight w:val="0"/>
          <w:marTop w:val="0"/>
          <w:marBottom w:val="0"/>
          <w:divBdr>
            <w:top w:val="none" w:sz="0" w:space="0" w:color="auto"/>
            <w:left w:val="none" w:sz="0" w:space="0" w:color="auto"/>
            <w:bottom w:val="none" w:sz="0" w:space="0" w:color="auto"/>
            <w:right w:val="none" w:sz="0" w:space="0" w:color="auto"/>
          </w:divBdr>
        </w:div>
        <w:div w:id="384259859">
          <w:marLeft w:val="0"/>
          <w:marRight w:val="0"/>
          <w:marTop w:val="0"/>
          <w:marBottom w:val="0"/>
          <w:divBdr>
            <w:top w:val="none" w:sz="0" w:space="0" w:color="auto"/>
            <w:left w:val="none" w:sz="0" w:space="0" w:color="auto"/>
            <w:bottom w:val="none" w:sz="0" w:space="0" w:color="auto"/>
            <w:right w:val="none" w:sz="0" w:space="0" w:color="auto"/>
          </w:divBdr>
        </w:div>
        <w:div w:id="397171619">
          <w:marLeft w:val="0"/>
          <w:marRight w:val="0"/>
          <w:marTop w:val="0"/>
          <w:marBottom w:val="0"/>
          <w:divBdr>
            <w:top w:val="none" w:sz="0" w:space="0" w:color="auto"/>
            <w:left w:val="none" w:sz="0" w:space="0" w:color="auto"/>
            <w:bottom w:val="none" w:sz="0" w:space="0" w:color="auto"/>
            <w:right w:val="none" w:sz="0" w:space="0" w:color="auto"/>
          </w:divBdr>
        </w:div>
        <w:div w:id="407458031">
          <w:marLeft w:val="0"/>
          <w:marRight w:val="0"/>
          <w:marTop w:val="0"/>
          <w:marBottom w:val="0"/>
          <w:divBdr>
            <w:top w:val="none" w:sz="0" w:space="0" w:color="auto"/>
            <w:left w:val="none" w:sz="0" w:space="0" w:color="auto"/>
            <w:bottom w:val="none" w:sz="0" w:space="0" w:color="auto"/>
            <w:right w:val="none" w:sz="0" w:space="0" w:color="auto"/>
          </w:divBdr>
        </w:div>
        <w:div w:id="424426982">
          <w:marLeft w:val="0"/>
          <w:marRight w:val="0"/>
          <w:marTop w:val="0"/>
          <w:marBottom w:val="0"/>
          <w:divBdr>
            <w:top w:val="none" w:sz="0" w:space="0" w:color="auto"/>
            <w:left w:val="none" w:sz="0" w:space="0" w:color="auto"/>
            <w:bottom w:val="none" w:sz="0" w:space="0" w:color="auto"/>
            <w:right w:val="none" w:sz="0" w:space="0" w:color="auto"/>
          </w:divBdr>
        </w:div>
        <w:div w:id="426464112">
          <w:marLeft w:val="0"/>
          <w:marRight w:val="0"/>
          <w:marTop w:val="0"/>
          <w:marBottom w:val="0"/>
          <w:divBdr>
            <w:top w:val="none" w:sz="0" w:space="0" w:color="auto"/>
            <w:left w:val="none" w:sz="0" w:space="0" w:color="auto"/>
            <w:bottom w:val="none" w:sz="0" w:space="0" w:color="auto"/>
            <w:right w:val="none" w:sz="0" w:space="0" w:color="auto"/>
          </w:divBdr>
        </w:div>
        <w:div w:id="441461860">
          <w:marLeft w:val="0"/>
          <w:marRight w:val="0"/>
          <w:marTop w:val="0"/>
          <w:marBottom w:val="0"/>
          <w:divBdr>
            <w:top w:val="none" w:sz="0" w:space="0" w:color="auto"/>
            <w:left w:val="none" w:sz="0" w:space="0" w:color="auto"/>
            <w:bottom w:val="none" w:sz="0" w:space="0" w:color="auto"/>
            <w:right w:val="none" w:sz="0" w:space="0" w:color="auto"/>
          </w:divBdr>
        </w:div>
        <w:div w:id="445545894">
          <w:marLeft w:val="0"/>
          <w:marRight w:val="0"/>
          <w:marTop w:val="0"/>
          <w:marBottom w:val="0"/>
          <w:divBdr>
            <w:top w:val="none" w:sz="0" w:space="0" w:color="auto"/>
            <w:left w:val="none" w:sz="0" w:space="0" w:color="auto"/>
            <w:bottom w:val="none" w:sz="0" w:space="0" w:color="auto"/>
            <w:right w:val="none" w:sz="0" w:space="0" w:color="auto"/>
          </w:divBdr>
        </w:div>
        <w:div w:id="470245340">
          <w:marLeft w:val="0"/>
          <w:marRight w:val="0"/>
          <w:marTop w:val="0"/>
          <w:marBottom w:val="0"/>
          <w:divBdr>
            <w:top w:val="none" w:sz="0" w:space="0" w:color="auto"/>
            <w:left w:val="none" w:sz="0" w:space="0" w:color="auto"/>
            <w:bottom w:val="none" w:sz="0" w:space="0" w:color="auto"/>
            <w:right w:val="none" w:sz="0" w:space="0" w:color="auto"/>
          </w:divBdr>
        </w:div>
        <w:div w:id="488402686">
          <w:marLeft w:val="0"/>
          <w:marRight w:val="0"/>
          <w:marTop w:val="0"/>
          <w:marBottom w:val="0"/>
          <w:divBdr>
            <w:top w:val="none" w:sz="0" w:space="0" w:color="auto"/>
            <w:left w:val="none" w:sz="0" w:space="0" w:color="auto"/>
            <w:bottom w:val="none" w:sz="0" w:space="0" w:color="auto"/>
            <w:right w:val="none" w:sz="0" w:space="0" w:color="auto"/>
          </w:divBdr>
        </w:div>
        <w:div w:id="508834065">
          <w:marLeft w:val="0"/>
          <w:marRight w:val="0"/>
          <w:marTop w:val="0"/>
          <w:marBottom w:val="0"/>
          <w:divBdr>
            <w:top w:val="none" w:sz="0" w:space="0" w:color="auto"/>
            <w:left w:val="none" w:sz="0" w:space="0" w:color="auto"/>
            <w:bottom w:val="none" w:sz="0" w:space="0" w:color="auto"/>
            <w:right w:val="none" w:sz="0" w:space="0" w:color="auto"/>
          </w:divBdr>
        </w:div>
        <w:div w:id="512306706">
          <w:marLeft w:val="0"/>
          <w:marRight w:val="0"/>
          <w:marTop w:val="0"/>
          <w:marBottom w:val="0"/>
          <w:divBdr>
            <w:top w:val="none" w:sz="0" w:space="0" w:color="auto"/>
            <w:left w:val="none" w:sz="0" w:space="0" w:color="auto"/>
            <w:bottom w:val="none" w:sz="0" w:space="0" w:color="auto"/>
            <w:right w:val="none" w:sz="0" w:space="0" w:color="auto"/>
          </w:divBdr>
        </w:div>
        <w:div w:id="527763482">
          <w:marLeft w:val="0"/>
          <w:marRight w:val="0"/>
          <w:marTop w:val="0"/>
          <w:marBottom w:val="0"/>
          <w:divBdr>
            <w:top w:val="none" w:sz="0" w:space="0" w:color="auto"/>
            <w:left w:val="none" w:sz="0" w:space="0" w:color="auto"/>
            <w:bottom w:val="none" w:sz="0" w:space="0" w:color="auto"/>
            <w:right w:val="none" w:sz="0" w:space="0" w:color="auto"/>
          </w:divBdr>
        </w:div>
        <w:div w:id="531382337">
          <w:marLeft w:val="0"/>
          <w:marRight w:val="0"/>
          <w:marTop w:val="0"/>
          <w:marBottom w:val="0"/>
          <w:divBdr>
            <w:top w:val="none" w:sz="0" w:space="0" w:color="auto"/>
            <w:left w:val="none" w:sz="0" w:space="0" w:color="auto"/>
            <w:bottom w:val="none" w:sz="0" w:space="0" w:color="auto"/>
            <w:right w:val="none" w:sz="0" w:space="0" w:color="auto"/>
          </w:divBdr>
        </w:div>
        <w:div w:id="542522614">
          <w:marLeft w:val="0"/>
          <w:marRight w:val="0"/>
          <w:marTop w:val="0"/>
          <w:marBottom w:val="0"/>
          <w:divBdr>
            <w:top w:val="none" w:sz="0" w:space="0" w:color="auto"/>
            <w:left w:val="none" w:sz="0" w:space="0" w:color="auto"/>
            <w:bottom w:val="none" w:sz="0" w:space="0" w:color="auto"/>
            <w:right w:val="none" w:sz="0" w:space="0" w:color="auto"/>
          </w:divBdr>
        </w:div>
        <w:div w:id="543490994">
          <w:marLeft w:val="0"/>
          <w:marRight w:val="0"/>
          <w:marTop w:val="0"/>
          <w:marBottom w:val="0"/>
          <w:divBdr>
            <w:top w:val="none" w:sz="0" w:space="0" w:color="auto"/>
            <w:left w:val="none" w:sz="0" w:space="0" w:color="auto"/>
            <w:bottom w:val="none" w:sz="0" w:space="0" w:color="auto"/>
            <w:right w:val="none" w:sz="0" w:space="0" w:color="auto"/>
          </w:divBdr>
        </w:div>
        <w:div w:id="544368601">
          <w:marLeft w:val="0"/>
          <w:marRight w:val="0"/>
          <w:marTop w:val="0"/>
          <w:marBottom w:val="0"/>
          <w:divBdr>
            <w:top w:val="none" w:sz="0" w:space="0" w:color="auto"/>
            <w:left w:val="none" w:sz="0" w:space="0" w:color="auto"/>
            <w:bottom w:val="none" w:sz="0" w:space="0" w:color="auto"/>
            <w:right w:val="none" w:sz="0" w:space="0" w:color="auto"/>
          </w:divBdr>
        </w:div>
        <w:div w:id="558975021">
          <w:marLeft w:val="0"/>
          <w:marRight w:val="0"/>
          <w:marTop w:val="0"/>
          <w:marBottom w:val="0"/>
          <w:divBdr>
            <w:top w:val="none" w:sz="0" w:space="0" w:color="auto"/>
            <w:left w:val="none" w:sz="0" w:space="0" w:color="auto"/>
            <w:bottom w:val="none" w:sz="0" w:space="0" w:color="auto"/>
            <w:right w:val="none" w:sz="0" w:space="0" w:color="auto"/>
          </w:divBdr>
        </w:div>
        <w:div w:id="570626971">
          <w:marLeft w:val="0"/>
          <w:marRight w:val="0"/>
          <w:marTop w:val="0"/>
          <w:marBottom w:val="0"/>
          <w:divBdr>
            <w:top w:val="none" w:sz="0" w:space="0" w:color="auto"/>
            <w:left w:val="none" w:sz="0" w:space="0" w:color="auto"/>
            <w:bottom w:val="none" w:sz="0" w:space="0" w:color="auto"/>
            <w:right w:val="none" w:sz="0" w:space="0" w:color="auto"/>
          </w:divBdr>
        </w:div>
        <w:div w:id="578904160">
          <w:marLeft w:val="0"/>
          <w:marRight w:val="0"/>
          <w:marTop w:val="0"/>
          <w:marBottom w:val="0"/>
          <w:divBdr>
            <w:top w:val="none" w:sz="0" w:space="0" w:color="auto"/>
            <w:left w:val="none" w:sz="0" w:space="0" w:color="auto"/>
            <w:bottom w:val="none" w:sz="0" w:space="0" w:color="auto"/>
            <w:right w:val="none" w:sz="0" w:space="0" w:color="auto"/>
          </w:divBdr>
        </w:div>
        <w:div w:id="626660975">
          <w:marLeft w:val="0"/>
          <w:marRight w:val="0"/>
          <w:marTop w:val="0"/>
          <w:marBottom w:val="0"/>
          <w:divBdr>
            <w:top w:val="none" w:sz="0" w:space="0" w:color="auto"/>
            <w:left w:val="none" w:sz="0" w:space="0" w:color="auto"/>
            <w:bottom w:val="none" w:sz="0" w:space="0" w:color="auto"/>
            <w:right w:val="none" w:sz="0" w:space="0" w:color="auto"/>
          </w:divBdr>
        </w:div>
        <w:div w:id="627510448">
          <w:marLeft w:val="0"/>
          <w:marRight w:val="0"/>
          <w:marTop w:val="0"/>
          <w:marBottom w:val="0"/>
          <w:divBdr>
            <w:top w:val="none" w:sz="0" w:space="0" w:color="auto"/>
            <w:left w:val="none" w:sz="0" w:space="0" w:color="auto"/>
            <w:bottom w:val="none" w:sz="0" w:space="0" w:color="auto"/>
            <w:right w:val="none" w:sz="0" w:space="0" w:color="auto"/>
          </w:divBdr>
        </w:div>
        <w:div w:id="627711524">
          <w:marLeft w:val="0"/>
          <w:marRight w:val="0"/>
          <w:marTop w:val="0"/>
          <w:marBottom w:val="0"/>
          <w:divBdr>
            <w:top w:val="none" w:sz="0" w:space="0" w:color="auto"/>
            <w:left w:val="none" w:sz="0" w:space="0" w:color="auto"/>
            <w:bottom w:val="none" w:sz="0" w:space="0" w:color="auto"/>
            <w:right w:val="none" w:sz="0" w:space="0" w:color="auto"/>
          </w:divBdr>
        </w:div>
        <w:div w:id="636685305">
          <w:marLeft w:val="0"/>
          <w:marRight w:val="0"/>
          <w:marTop w:val="0"/>
          <w:marBottom w:val="0"/>
          <w:divBdr>
            <w:top w:val="none" w:sz="0" w:space="0" w:color="auto"/>
            <w:left w:val="none" w:sz="0" w:space="0" w:color="auto"/>
            <w:bottom w:val="none" w:sz="0" w:space="0" w:color="auto"/>
            <w:right w:val="none" w:sz="0" w:space="0" w:color="auto"/>
          </w:divBdr>
        </w:div>
        <w:div w:id="643389283">
          <w:marLeft w:val="0"/>
          <w:marRight w:val="0"/>
          <w:marTop w:val="0"/>
          <w:marBottom w:val="0"/>
          <w:divBdr>
            <w:top w:val="none" w:sz="0" w:space="0" w:color="auto"/>
            <w:left w:val="none" w:sz="0" w:space="0" w:color="auto"/>
            <w:bottom w:val="none" w:sz="0" w:space="0" w:color="auto"/>
            <w:right w:val="none" w:sz="0" w:space="0" w:color="auto"/>
          </w:divBdr>
        </w:div>
        <w:div w:id="646906195">
          <w:marLeft w:val="0"/>
          <w:marRight w:val="0"/>
          <w:marTop w:val="0"/>
          <w:marBottom w:val="0"/>
          <w:divBdr>
            <w:top w:val="none" w:sz="0" w:space="0" w:color="auto"/>
            <w:left w:val="none" w:sz="0" w:space="0" w:color="auto"/>
            <w:bottom w:val="none" w:sz="0" w:space="0" w:color="auto"/>
            <w:right w:val="none" w:sz="0" w:space="0" w:color="auto"/>
          </w:divBdr>
        </w:div>
        <w:div w:id="667826914">
          <w:marLeft w:val="0"/>
          <w:marRight w:val="0"/>
          <w:marTop w:val="0"/>
          <w:marBottom w:val="0"/>
          <w:divBdr>
            <w:top w:val="none" w:sz="0" w:space="0" w:color="auto"/>
            <w:left w:val="none" w:sz="0" w:space="0" w:color="auto"/>
            <w:bottom w:val="none" w:sz="0" w:space="0" w:color="auto"/>
            <w:right w:val="none" w:sz="0" w:space="0" w:color="auto"/>
          </w:divBdr>
        </w:div>
        <w:div w:id="671875956">
          <w:marLeft w:val="0"/>
          <w:marRight w:val="0"/>
          <w:marTop w:val="0"/>
          <w:marBottom w:val="0"/>
          <w:divBdr>
            <w:top w:val="none" w:sz="0" w:space="0" w:color="auto"/>
            <w:left w:val="none" w:sz="0" w:space="0" w:color="auto"/>
            <w:bottom w:val="none" w:sz="0" w:space="0" w:color="auto"/>
            <w:right w:val="none" w:sz="0" w:space="0" w:color="auto"/>
          </w:divBdr>
        </w:div>
        <w:div w:id="683097291">
          <w:marLeft w:val="0"/>
          <w:marRight w:val="0"/>
          <w:marTop w:val="0"/>
          <w:marBottom w:val="0"/>
          <w:divBdr>
            <w:top w:val="none" w:sz="0" w:space="0" w:color="auto"/>
            <w:left w:val="none" w:sz="0" w:space="0" w:color="auto"/>
            <w:bottom w:val="none" w:sz="0" w:space="0" w:color="auto"/>
            <w:right w:val="none" w:sz="0" w:space="0" w:color="auto"/>
          </w:divBdr>
        </w:div>
        <w:div w:id="692419367">
          <w:marLeft w:val="0"/>
          <w:marRight w:val="0"/>
          <w:marTop w:val="0"/>
          <w:marBottom w:val="0"/>
          <w:divBdr>
            <w:top w:val="none" w:sz="0" w:space="0" w:color="auto"/>
            <w:left w:val="none" w:sz="0" w:space="0" w:color="auto"/>
            <w:bottom w:val="none" w:sz="0" w:space="0" w:color="auto"/>
            <w:right w:val="none" w:sz="0" w:space="0" w:color="auto"/>
          </w:divBdr>
        </w:div>
        <w:div w:id="693502250">
          <w:marLeft w:val="0"/>
          <w:marRight w:val="0"/>
          <w:marTop w:val="0"/>
          <w:marBottom w:val="0"/>
          <w:divBdr>
            <w:top w:val="none" w:sz="0" w:space="0" w:color="auto"/>
            <w:left w:val="none" w:sz="0" w:space="0" w:color="auto"/>
            <w:bottom w:val="none" w:sz="0" w:space="0" w:color="auto"/>
            <w:right w:val="none" w:sz="0" w:space="0" w:color="auto"/>
          </w:divBdr>
        </w:div>
        <w:div w:id="719205605">
          <w:marLeft w:val="0"/>
          <w:marRight w:val="0"/>
          <w:marTop w:val="0"/>
          <w:marBottom w:val="0"/>
          <w:divBdr>
            <w:top w:val="none" w:sz="0" w:space="0" w:color="auto"/>
            <w:left w:val="none" w:sz="0" w:space="0" w:color="auto"/>
            <w:bottom w:val="none" w:sz="0" w:space="0" w:color="auto"/>
            <w:right w:val="none" w:sz="0" w:space="0" w:color="auto"/>
          </w:divBdr>
        </w:div>
        <w:div w:id="735787542">
          <w:marLeft w:val="0"/>
          <w:marRight w:val="0"/>
          <w:marTop w:val="0"/>
          <w:marBottom w:val="0"/>
          <w:divBdr>
            <w:top w:val="none" w:sz="0" w:space="0" w:color="auto"/>
            <w:left w:val="none" w:sz="0" w:space="0" w:color="auto"/>
            <w:bottom w:val="none" w:sz="0" w:space="0" w:color="auto"/>
            <w:right w:val="none" w:sz="0" w:space="0" w:color="auto"/>
          </w:divBdr>
        </w:div>
        <w:div w:id="766343639">
          <w:marLeft w:val="0"/>
          <w:marRight w:val="0"/>
          <w:marTop w:val="0"/>
          <w:marBottom w:val="0"/>
          <w:divBdr>
            <w:top w:val="none" w:sz="0" w:space="0" w:color="auto"/>
            <w:left w:val="none" w:sz="0" w:space="0" w:color="auto"/>
            <w:bottom w:val="none" w:sz="0" w:space="0" w:color="auto"/>
            <w:right w:val="none" w:sz="0" w:space="0" w:color="auto"/>
          </w:divBdr>
        </w:div>
        <w:div w:id="819426914">
          <w:marLeft w:val="0"/>
          <w:marRight w:val="0"/>
          <w:marTop w:val="0"/>
          <w:marBottom w:val="0"/>
          <w:divBdr>
            <w:top w:val="none" w:sz="0" w:space="0" w:color="auto"/>
            <w:left w:val="none" w:sz="0" w:space="0" w:color="auto"/>
            <w:bottom w:val="none" w:sz="0" w:space="0" w:color="auto"/>
            <w:right w:val="none" w:sz="0" w:space="0" w:color="auto"/>
          </w:divBdr>
        </w:div>
        <w:div w:id="834152312">
          <w:marLeft w:val="0"/>
          <w:marRight w:val="0"/>
          <w:marTop w:val="0"/>
          <w:marBottom w:val="0"/>
          <w:divBdr>
            <w:top w:val="none" w:sz="0" w:space="0" w:color="auto"/>
            <w:left w:val="none" w:sz="0" w:space="0" w:color="auto"/>
            <w:bottom w:val="none" w:sz="0" w:space="0" w:color="auto"/>
            <w:right w:val="none" w:sz="0" w:space="0" w:color="auto"/>
          </w:divBdr>
        </w:div>
        <w:div w:id="855266702">
          <w:marLeft w:val="0"/>
          <w:marRight w:val="0"/>
          <w:marTop w:val="0"/>
          <w:marBottom w:val="0"/>
          <w:divBdr>
            <w:top w:val="none" w:sz="0" w:space="0" w:color="auto"/>
            <w:left w:val="none" w:sz="0" w:space="0" w:color="auto"/>
            <w:bottom w:val="none" w:sz="0" w:space="0" w:color="auto"/>
            <w:right w:val="none" w:sz="0" w:space="0" w:color="auto"/>
          </w:divBdr>
        </w:div>
        <w:div w:id="915437661">
          <w:marLeft w:val="0"/>
          <w:marRight w:val="0"/>
          <w:marTop w:val="0"/>
          <w:marBottom w:val="0"/>
          <w:divBdr>
            <w:top w:val="none" w:sz="0" w:space="0" w:color="auto"/>
            <w:left w:val="none" w:sz="0" w:space="0" w:color="auto"/>
            <w:bottom w:val="none" w:sz="0" w:space="0" w:color="auto"/>
            <w:right w:val="none" w:sz="0" w:space="0" w:color="auto"/>
          </w:divBdr>
        </w:div>
        <w:div w:id="922447991">
          <w:marLeft w:val="0"/>
          <w:marRight w:val="0"/>
          <w:marTop w:val="0"/>
          <w:marBottom w:val="0"/>
          <w:divBdr>
            <w:top w:val="none" w:sz="0" w:space="0" w:color="auto"/>
            <w:left w:val="none" w:sz="0" w:space="0" w:color="auto"/>
            <w:bottom w:val="none" w:sz="0" w:space="0" w:color="auto"/>
            <w:right w:val="none" w:sz="0" w:space="0" w:color="auto"/>
          </w:divBdr>
        </w:div>
        <w:div w:id="998070457">
          <w:marLeft w:val="0"/>
          <w:marRight w:val="0"/>
          <w:marTop w:val="0"/>
          <w:marBottom w:val="0"/>
          <w:divBdr>
            <w:top w:val="none" w:sz="0" w:space="0" w:color="auto"/>
            <w:left w:val="none" w:sz="0" w:space="0" w:color="auto"/>
            <w:bottom w:val="none" w:sz="0" w:space="0" w:color="auto"/>
            <w:right w:val="none" w:sz="0" w:space="0" w:color="auto"/>
          </w:divBdr>
        </w:div>
        <w:div w:id="1011489667">
          <w:marLeft w:val="0"/>
          <w:marRight w:val="0"/>
          <w:marTop w:val="0"/>
          <w:marBottom w:val="0"/>
          <w:divBdr>
            <w:top w:val="none" w:sz="0" w:space="0" w:color="auto"/>
            <w:left w:val="none" w:sz="0" w:space="0" w:color="auto"/>
            <w:bottom w:val="none" w:sz="0" w:space="0" w:color="auto"/>
            <w:right w:val="none" w:sz="0" w:space="0" w:color="auto"/>
          </w:divBdr>
        </w:div>
        <w:div w:id="1045326612">
          <w:marLeft w:val="0"/>
          <w:marRight w:val="0"/>
          <w:marTop w:val="0"/>
          <w:marBottom w:val="0"/>
          <w:divBdr>
            <w:top w:val="none" w:sz="0" w:space="0" w:color="auto"/>
            <w:left w:val="none" w:sz="0" w:space="0" w:color="auto"/>
            <w:bottom w:val="none" w:sz="0" w:space="0" w:color="auto"/>
            <w:right w:val="none" w:sz="0" w:space="0" w:color="auto"/>
          </w:divBdr>
        </w:div>
        <w:div w:id="1052269086">
          <w:marLeft w:val="0"/>
          <w:marRight w:val="0"/>
          <w:marTop w:val="0"/>
          <w:marBottom w:val="0"/>
          <w:divBdr>
            <w:top w:val="none" w:sz="0" w:space="0" w:color="auto"/>
            <w:left w:val="none" w:sz="0" w:space="0" w:color="auto"/>
            <w:bottom w:val="none" w:sz="0" w:space="0" w:color="auto"/>
            <w:right w:val="none" w:sz="0" w:space="0" w:color="auto"/>
          </w:divBdr>
        </w:div>
        <w:div w:id="1062748539">
          <w:marLeft w:val="0"/>
          <w:marRight w:val="0"/>
          <w:marTop w:val="0"/>
          <w:marBottom w:val="0"/>
          <w:divBdr>
            <w:top w:val="none" w:sz="0" w:space="0" w:color="auto"/>
            <w:left w:val="none" w:sz="0" w:space="0" w:color="auto"/>
            <w:bottom w:val="none" w:sz="0" w:space="0" w:color="auto"/>
            <w:right w:val="none" w:sz="0" w:space="0" w:color="auto"/>
          </w:divBdr>
        </w:div>
        <w:div w:id="1076049999">
          <w:marLeft w:val="0"/>
          <w:marRight w:val="0"/>
          <w:marTop w:val="0"/>
          <w:marBottom w:val="0"/>
          <w:divBdr>
            <w:top w:val="none" w:sz="0" w:space="0" w:color="auto"/>
            <w:left w:val="none" w:sz="0" w:space="0" w:color="auto"/>
            <w:bottom w:val="none" w:sz="0" w:space="0" w:color="auto"/>
            <w:right w:val="none" w:sz="0" w:space="0" w:color="auto"/>
          </w:divBdr>
        </w:div>
        <w:div w:id="1126852223">
          <w:marLeft w:val="0"/>
          <w:marRight w:val="0"/>
          <w:marTop w:val="0"/>
          <w:marBottom w:val="0"/>
          <w:divBdr>
            <w:top w:val="none" w:sz="0" w:space="0" w:color="auto"/>
            <w:left w:val="none" w:sz="0" w:space="0" w:color="auto"/>
            <w:bottom w:val="none" w:sz="0" w:space="0" w:color="auto"/>
            <w:right w:val="none" w:sz="0" w:space="0" w:color="auto"/>
          </w:divBdr>
        </w:div>
        <w:div w:id="1131243720">
          <w:marLeft w:val="0"/>
          <w:marRight w:val="0"/>
          <w:marTop w:val="0"/>
          <w:marBottom w:val="0"/>
          <w:divBdr>
            <w:top w:val="none" w:sz="0" w:space="0" w:color="auto"/>
            <w:left w:val="none" w:sz="0" w:space="0" w:color="auto"/>
            <w:bottom w:val="none" w:sz="0" w:space="0" w:color="auto"/>
            <w:right w:val="none" w:sz="0" w:space="0" w:color="auto"/>
          </w:divBdr>
        </w:div>
        <w:div w:id="1205093863">
          <w:marLeft w:val="0"/>
          <w:marRight w:val="0"/>
          <w:marTop w:val="0"/>
          <w:marBottom w:val="0"/>
          <w:divBdr>
            <w:top w:val="none" w:sz="0" w:space="0" w:color="auto"/>
            <w:left w:val="none" w:sz="0" w:space="0" w:color="auto"/>
            <w:bottom w:val="none" w:sz="0" w:space="0" w:color="auto"/>
            <w:right w:val="none" w:sz="0" w:space="0" w:color="auto"/>
          </w:divBdr>
        </w:div>
        <w:div w:id="1212571373">
          <w:marLeft w:val="0"/>
          <w:marRight w:val="0"/>
          <w:marTop w:val="0"/>
          <w:marBottom w:val="0"/>
          <w:divBdr>
            <w:top w:val="none" w:sz="0" w:space="0" w:color="auto"/>
            <w:left w:val="none" w:sz="0" w:space="0" w:color="auto"/>
            <w:bottom w:val="none" w:sz="0" w:space="0" w:color="auto"/>
            <w:right w:val="none" w:sz="0" w:space="0" w:color="auto"/>
          </w:divBdr>
        </w:div>
        <w:div w:id="1222474092">
          <w:marLeft w:val="0"/>
          <w:marRight w:val="0"/>
          <w:marTop w:val="0"/>
          <w:marBottom w:val="0"/>
          <w:divBdr>
            <w:top w:val="none" w:sz="0" w:space="0" w:color="auto"/>
            <w:left w:val="none" w:sz="0" w:space="0" w:color="auto"/>
            <w:bottom w:val="none" w:sz="0" w:space="0" w:color="auto"/>
            <w:right w:val="none" w:sz="0" w:space="0" w:color="auto"/>
          </w:divBdr>
        </w:div>
        <w:div w:id="1234387620">
          <w:marLeft w:val="0"/>
          <w:marRight w:val="0"/>
          <w:marTop w:val="0"/>
          <w:marBottom w:val="0"/>
          <w:divBdr>
            <w:top w:val="none" w:sz="0" w:space="0" w:color="auto"/>
            <w:left w:val="none" w:sz="0" w:space="0" w:color="auto"/>
            <w:bottom w:val="none" w:sz="0" w:space="0" w:color="auto"/>
            <w:right w:val="none" w:sz="0" w:space="0" w:color="auto"/>
          </w:divBdr>
        </w:div>
        <w:div w:id="1267883403">
          <w:marLeft w:val="0"/>
          <w:marRight w:val="0"/>
          <w:marTop w:val="0"/>
          <w:marBottom w:val="0"/>
          <w:divBdr>
            <w:top w:val="none" w:sz="0" w:space="0" w:color="auto"/>
            <w:left w:val="none" w:sz="0" w:space="0" w:color="auto"/>
            <w:bottom w:val="none" w:sz="0" w:space="0" w:color="auto"/>
            <w:right w:val="none" w:sz="0" w:space="0" w:color="auto"/>
          </w:divBdr>
        </w:div>
        <w:div w:id="1302269231">
          <w:marLeft w:val="0"/>
          <w:marRight w:val="0"/>
          <w:marTop w:val="0"/>
          <w:marBottom w:val="0"/>
          <w:divBdr>
            <w:top w:val="none" w:sz="0" w:space="0" w:color="auto"/>
            <w:left w:val="none" w:sz="0" w:space="0" w:color="auto"/>
            <w:bottom w:val="none" w:sz="0" w:space="0" w:color="auto"/>
            <w:right w:val="none" w:sz="0" w:space="0" w:color="auto"/>
          </w:divBdr>
        </w:div>
        <w:div w:id="1303727650">
          <w:marLeft w:val="0"/>
          <w:marRight w:val="0"/>
          <w:marTop w:val="0"/>
          <w:marBottom w:val="0"/>
          <w:divBdr>
            <w:top w:val="none" w:sz="0" w:space="0" w:color="auto"/>
            <w:left w:val="none" w:sz="0" w:space="0" w:color="auto"/>
            <w:bottom w:val="none" w:sz="0" w:space="0" w:color="auto"/>
            <w:right w:val="none" w:sz="0" w:space="0" w:color="auto"/>
          </w:divBdr>
        </w:div>
        <w:div w:id="1310985987">
          <w:marLeft w:val="0"/>
          <w:marRight w:val="0"/>
          <w:marTop w:val="0"/>
          <w:marBottom w:val="0"/>
          <w:divBdr>
            <w:top w:val="none" w:sz="0" w:space="0" w:color="auto"/>
            <w:left w:val="none" w:sz="0" w:space="0" w:color="auto"/>
            <w:bottom w:val="none" w:sz="0" w:space="0" w:color="auto"/>
            <w:right w:val="none" w:sz="0" w:space="0" w:color="auto"/>
          </w:divBdr>
        </w:div>
        <w:div w:id="1313410393">
          <w:marLeft w:val="0"/>
          <w:marRight w:val="0"/>
          <w:marTop w:val="0"/>
          <w:marBottom w:val="0"/>
          <w:divBdr>
            <w:top w:val="none" w:sz="0" w:space="0" w:color="auto"/>
            <w:left w:val="none" w:sz="0" w:space="0" w:color="auto"/>
            <w:bottom w:val="none" w:sz="0" w:space="0" w:color="auto"/>
            <w:right w:val="none" w:sz="0" w:space="0" w:color="auto"/>
          </w:divBdr>
        </w:div>
        <w:div w:id="1324550736">
          <w:marLeft w:val="0"/>
          <w:marRight w:val="0"/>
          <w:marTop w:val="0"/>
          <w:marBottom w:val="0"/>
          <w:divBdr>
            <w:top w:val="none" w:sz="0" w:space="0" w:color="auto"/>
            <w:left w:val="none" w:sz="0" w:space="0" w:color="auto"/>
            <w:bottom w:val="none" w:sz="0" w:space="0" w:color="auto"/>
            <w:right w:val="none" w:sz="0" w:space="0" w:color="auto"/>
          </w:divBdr>
        </w:div>
        <w:div w:id="1344942004">
          <w:marLeft w:val="0"/>
          <w:marRight w:val="0"/>
          <w:marTop w:val="0"/>
          <w:marBottom w:val="0"/>
          <w:divBdr>
            <w:top w:val="none" w:sz="0" w:space="0" w:color="auto"/>
            <w:left w:val="none" w:sz="0" w:space="0" w:color="auto"/>
            <w:bottom w:val="none" w:sz="0" w:space="0" w:color="auto"/>
            <w:right w:val="none" w:sz="0" w:space="0" w:color="auto"/>
          </w:divBdr>
        </w:div>
        <w:div w:id="1353533195">
          <w:marLeft w:val="0"/>
          <w:marRight w:val="0"/>
          <w:marTop w:val="0"/>
          <w:marBottom w:val="0"/>
          <w:divBdr>
            <w:top w:val="none" w:sz="0" w:space="0" w:color="auto"/>
            <w:left w:val="none" w:sz="0" w:space="0" w:color="auto"/>
            <w:bottom w:val="none" w:sz="0" w:space="0" w:color="auto"/>
            <w:right w:val="none" w:sz="0" w:space="0" w:color="auto"/>
          </w:divBdr>
        </w:div>
        <w:div w:id="1355763941">
          <w:marLeft w:val="0"/>
          <w:marRight w:val="0"/>
          <w:marTop w:val="0"/>
          <w:marBottom w:val="0"/>
          <w:divBdr>
            <w:top w:val="none" w:sz="0" w:space="0" w:color="auto"/>
            <w:left w:val="none" w:sz="0" w:space="0" w:color="auto"/>
            <w:bottom w:val="none" w:sz="0" w:space="0" w:color="auto"/>
            <w:right w:val="none" w:sz="0" w:space="0" w:color="auto"/>
          </w:divBdr>
        </w:div>
        <w:div w:id="1362437415">
          <w:marLeft w:val="0"/>
          <w:marRight w:val="0"/>
          <w:marTop w:val="0"/>
          <w:marBottom w:val="0"/>
          <w:divBdr>
            <w:top w:val="none" w:sz="0" w:space="0" w:color="auto"/>
            <w:left w:val="none" w:sz="0" w:space="0" w:color="auto"/>
            <w:bottom w:val="none" w:sz="0" w:space="0" w:color="auto"/>
            <w:right w:val="none" w:sz="0" w:space="0" w:color="auto"/>
          </w:divBdr>
        </w:div>
        <w:div w:id="1365717613">
          <w:marLeft w:val="0"/>
          <w:marRight w:val="0"/>
          <w:marTop w:val="0"/>
          <w:marBottom w:val="0"/>
          <w:divBdr>
            <w:top w:val="none" w:sz="0" w:space="0" w:color="auto"/>
            <w:left w:val="none" w:sz="0" w:space="0" w:color="auto"/>
            <w:bottom w:val="none" w:sz="0" w:space="0" w:color="auto"/>
            <w:right w:val="none" w:sz="0" w:space="0" w:color="auto"/>
          </w:divBdr>
        </w:div>
        <w:div w:id="1367832511">
          <w:marLeft w:val="0"/>
          <w:marRight w:val="0"/>
          <w:marTop w:val="0"/>
          <w:marBottom w:val="0"/>
          <w:divBdr>
            <w:top w:val="none" w:sz="0" w:space="0" w:color="auto"/>
            <w:left w:val="none" w:sz="0" w:space="0" w:color="auto"/>
            <w:bottom w:val="none" w:sz="0" w:space="0" w:color="auto"/>
            <w:right w:val="none" w:sz="0" w:space="0" w:color="auto"/>
          </w:divBdr>
        </w:div>
        <w:div w:id="1385180274">
          <w:marLeft w:val="0"/>
          <w:marRight w:val="0"/>
          <w:marTop w:val="0"/>
          <w:marBottom w:val="0"/>
          <w:divBdr>
            <w:top w:val="none" w:sz="0" w:space="0" w:color="auto"/>
            <w:left w:val="none" w:sz="0" w:space="0" w:color="auto"/>
            <w:bottom w:val="none" w:sz="0" w:space="0" w:color="auto"/>
            <w:right w:val="none" w:sz="0" w:space="0" w:color="auto"/>
          </w:divBdr>
        </w:div>
        <w:div w:id="1415392967">
          <w:marLeft w:val="0"/>
          <w:marRight w:val="0"/>
          <w:marTop w:val="0"/>
          <w:marBottom w:val="0"/>
          <w:divBdr>
            <w:top w:val="none" w:sz="0" w:space="0" w:color="auto"/>
            <w:left w:val="none" w:sz="0" w:space="0" w:color="auto"/>
            <w:bottom w:val="none" w:sz="0" w:space="0" w:color="auto"/>
            <w:right w:val="none" w:sz="0" w:space="0" w:color="auto"/>
          </w:divBdr>
        </w:div>
        <w:div w:id="1416049095">
          <w:marLeft w:val="0"/>
          <w:marRight w:val="0"/>
          <w:marTop w:val="0"/>
          <w:marBottom w:val="0"/>
          <w:divBdr>
            <w:top w:val="none" w:sz="0" w:space="0" w:color="auto"/>
            <w:left w:val="none" w:sz="0" w:space="0" w:color="auto"/>
            <w:bottom w:val="none" w:sz="0" w:space="0" w:color="auto"/>
            <w:right w:val="none" w:sz="0" w:space="0" w:color="auto"/>
          </w:divBdr>
        </w:div>
        <w:div w:id="1416392752">
          <w:marLeft w:val="0"/>
          <w:marRight w:val="0"/>
          <w:marTop w:val="0"/>
          <w:marBottom w:val="0"/>
          <w:divBdr>
            <w:top w:val="none" w:sz="0" w:space="0" w:color="auto"/>
            <w:left w:val="none" w:sz="0" w:space="0" w:color="auto"/>
            <w:bottom w:val="none" w:sz="0" w:space="0" w:color="auto"/>
            <w:right w:val="none" w:sz="0" w:space="0" w:color="auto"/>
          </w:divBdr>
        </w:div>
        <w:div w:id="1445539953">
          <w:marLeft w:val="0"/>
          <w:marRight w:val="0"/>
          <w:marTop w:val="0"/>
          <w:marBottom w:val="0"/>
          <w:divBdr>
            <w:top w:val="none" w:sz="0" w:space="0" w:color="auto"/>
            <w:left w:val="none" w:sz="0" w:space="0" w:color="auto"/>
            <w:bottom w:val="none" w:sz="0" w:space="0" w:color="auto"/>
            <w:right w:val="none" w:sz="0" w:space="0" w:color="auto"/>
          </w:divBdr>
        </w:div>
        <w:div w:id="1451971729">
          <w:marLeft w:val="0"/>
          <w:marRight w:val="0"/>
          <w:marTop w:val="0"/>
          <w:marBottom w:val="0"/>
          <w:divBdr>
            <w:top w:val="none" w:sz="0" w:space="0" w:color="auto"/>
            <w:left w:val="none" w:sz="0" w:space="0" w:color="auto"/>
            <w:bottom w:val="none" w:sz="0" w:space="0" w:color="auto"/>
            <w:right w:val="none" w:sz="0" w:space="0" w:color="auto"/>
          </w:divBdr>
        </w:div>
        <w:div w:id="1473669731">
          <w:marLeft w:val="0"/>
          <w:marRight w:val="0"/>
          <w:marTop w:val="0"/>
          <w:marBottom w:val="0"/>
          <w:divBdr>
            <w:top w:val="none" w:sz="0" w:space="0" w:color="auto"/>
            <w:left w:val="none" w:sz="0" w:space="0" w:color="auto"/>
            <w:bottom w:val="none" w:sz="0" w:space="0" w:color="auto"/>
            <w:right w:val="none" w:sz="0" w:space="0" w:color="auto"/>
          </w:divBdr>
        </w:div>
        <w:div w:id="1484852632">
          <w:marLeft w:val="0"/>
          <w:marRight w:val="0"/>
          <w:marTop w:val="0"/>
          <w:marBottom w:val="0"/>
          <w:divBdr>
            <w:top w:val="none" w:sz="0" w:space="0" w:color="auto"/>
            <w:left w:val="none" w:sz="0" w:space="0" w:color="auto"/>
            <w:bottom w:val="none" w:sz="0" w:space="0" w:color="auto"/>
            <w:right w:val="none" w:sz="0" w:space="0" w:color="auto"/>
          </w:divBdr>
        </w:div>
        <w:div w:id="1498492493">
          <w:marLeft w:val="0"/>
          <w:marRight w:val="0"/>
          <w:marTop w:val="0"/>
          <w:marBottom w:val="0"/>
          <w:divBdr>
            <w:top w:val="none" w:sz="0" w:space="0" w:color="auto"/>
            <w:left w:val="none" w:sz="0" w:space="0" w:color="auto"/>
            <w:bottom w:val="none" w:sz="0" w:space="0" w:color="auto"/>
            <w:right w:val="none" w:sz="0" w:space="0" w:color="auto"/>
          </w:divBdr>
        </w:div>
        <w:div w:id="1506019745">
          <w:marLeft w:val="0"/>
          <w:marRight w:val="0"/>
          <w:marTop w:val="0"/>
          <w:marBottom w:val="0"/>
          <w:divBdr>
            <w:top w:val="none" w:sz="0" w:space="0" w:color="auto"/>
            <w:left w:val="none" w:sz="0" w:space="0" w:color="auto"/>
            <w:bottom w:val="none" w:sz="0" w:space="0" w:color="auto"/>
            <w:right w:val="none" w:sz="0" w:space="0" w:color="auto"/>
          </w:divBdr>
        </w:div>
        <w:div w:id="1546025580">
          <w:marLeft w:val="0"/>
          <w:marRight w:val="0"/>
          <w:marTop w:val="0"/>
          <w:marBottom w:val="0"/>
          <w:divBdr>
            <w:top w:val="none" w:sz="0" w:space="0" w:color="auto"/>
            <w:left w:val="none" w:sz="0" w:space="0" w:color="auto"/>
            <w:bottom w:val="none" w:sz="0" w:space="0" w:color="auto"/>
            <w:right w:val="none" w:sz="0" w:space="0" w:color="auto"/>
          </w:divBdr>
        </w:div>
        <w:div w:id="1604535635">
          <w:marLeft w:val="0"/>
          <w:marRight w:val="0"/>
          <w:marTop w:val="0"/>
          <w:marBottom w:val="0"/>
          <w:divBdr>
            <w:top w:val="none" w:sz="0" w:space="0" w:color="auto"/>
            <w:left w:val="none" w:sz="0" w:space="0" w:color="auto"/>
            <w:bottom w:val="none" w:sz="0" w:space="0" w:color="auto"/>
            <w:right w:val="none" w:sz="0" w:space="0" w:color="auto"/>
          </w:divBdr>
        </w:div>
        <w:div w:id="1606384054">
          <w:marLeft w:val="0"/>
          <w:marRight w:val="0"/>
          <w:marTop w:val="0"/>
          <w:marBottom w:val="0"/>
          <w:divBdr>
            <w:top w:val="none" w:sz="0" w:space="0" w:color="auto"/>
            <w:left w:val="none" w:sz="0" w:space="0" w:color="auto"/>
            <w:bottom w:val="none" w:sz="0" w:space="0" w:color="auto"/>
            <w:right w:val="none" w:sz="0" w:space="0" w:color="auto"/>
          </w:divBdr>
        </w:div>
        <w:div w:id="1608848552">
          <w:marLeft w:val="0"/>
          <w:marRight w:val="0"/>
          <w:marTop w:val="0"/>
          <w:marBottom w:val="0"/>
          <w:divBdr>
            <w:top w:val="none" w:sz="0" w:space="0" w:color="auto"/>
            <w:left w:val="none" w:sz="0" w:space="0" w:color="auto"/>
            <w:bottom w:val="none" w:sz="0" w:space="0" w:color="auto"/>
            <w:right w:val="none" w:sz="0" w:space="0" w:color="auto"/>
          </w:divBdr>
        </w:div>
        <w:div w:id="1638146944">
          <w:marLeft w:val="0"/>
          <w:marRight w:val="0"/>
          <w:marTop w:val="0"/>
          <w:marBottom w:val="0"/>
          <w:divBdr>
            <w:top w:val="none" w:sz="0" w:space="0" w:color="auto"/>
            <w:left w:val="none" w:sz="0" w:space="0" w:color="auto"/>
            <w:bottom w:val="none" w:sz="0" w:space="0" w:color="auto"/>
            <w:right w:val="none" w:sz="0" w:space="0" w:color="auto"/>
          </w:divBdr>
        </w:div>
        <w:div w:id="1656372255">
          <w:marLeft w:val="0"/>
          <w:marRight w:val="0"/>
          <w:marTop w:val="0"/>
          <w:marBottom w:val="0"/>
          <w:divBdr>
            <w:top w:val="none" w:sz="0" w:space="0" w:color="auto"/>
            <w:left w:val="none" w:sz="0" w:space="0" w:color="auto"/>
            <w:bottom w:val="none" w:sz="0" w:space="0" w:color="auto"/>
            <w:right w:val="none" w:sz="0" w:space="0" w:color="auto"/>
          </w:divBdr>
        </w:div>
        <w:div w:id="1689402562">
          <w:marLeft w:val="0"/>
          <w:marRight w:val="0"/>
          <w:marTop w:val="0"/>
          <w:marBottom w:val="0"/>
          <w:divBdr>
            <w:top w:val="none" w:sz="0" w:space="0" w:color="auto"/>
            <w:left w:val="none" w:sz="0" w:space="0" w:color="auto"/>
            <w:bottom w:val="none" w:sz="0" w:space="0" w:color="auto"/>
            <w:right w:val="none" w:sz="0" w:space="0" w:color="auto"/>
          </w:divBdr>
        </w:div>
        <w:div w:id="1712150493">
          <w:marLeft w:val="0"/>
          <w:marRight w:val="0"/>
          <w:marTop w:val="0"/>
          <w:marBottom w:val="0"/>
          <w:divBdr>
            <w:top w:val="none" w:sz="0" w:space="0" w:color="auto"/>
            <w:left w:val="none" w:sz="0" w:space="0" w:color="auto"/>
            <w:bottom w:val="none" w:sz="0" w:space="0" w:color="auto"/>
            <w:right w:val="none" w:sz="0" w:space="0" w:color="auto"/>
          </w:divBdr>
        </w:div>
        <w:div w:id="1734502724">
          <w:marLeft w:val="0"/>
          <w:marRight w:val="0"/>
          <w:marTop w:val="0"/>
          <w:marBottom w:val="0"/>
          <w:divBdr>
            <w:top w:val="none" w:sz="0" w:space="0" w:color="auto"/>
            <w:left w:val="none" w:sz="0" w:space="0" w:color="auto"/>
            <w:bottom w:val="none" w:sz="0" w:space="0" w:color="auto"/>
            <w:right w:val="none" w:sz="0" w:space="0" w:color="auto"/>
          </w:divBdr>
        </w:div>
        <w:div w:id="1761752016">
          <w:marLeft w:val="0"/>
          <w:marRight w:val="0"/>
          <w:marTop w:val="0"/>
          <w:marBottom w:val="0"/>
          <w:divBdr>
            <w:top w:val="none" w:sz="0" w:space="0" w:color="auto"/>
            <w:left w:val="none" w:sz="0" w:space="0" w:color="auto"/>
            <w:bottom w:val="none" w:sz="0" w:space="0" w:color="auto"/>
            <w:right w:val="none" w:sz="0" w:space="0" w:color="auto"/>
          </w:divBdr>
        </w:div>
        <w:div w:id="1763989224">
          <w:marLeft w:val="0"/>
          <w:marRight w:val="0"/>
          <w:marTop w:val="0"/>
          <w:marBottom w:val="0"/>
          <w:divBdr>
            <w:top w:val="none" w:sz="0" w:space="0" w:color="auto"/>
            <w:left w:val="none" w:sz="0" w:space="0" w:color="auto"/>
            <w:bottom w:val="none" w:sz="0" w:space="0" w:color="auto"/>
            <w:right w:val="none" w:sz="0" w:space="0" w:color="auto"/>
          </w:divBdr>
        </w:div>
        <w:div w:id="1764834948">
          <w:marLeft w:val="0"/>
          <w:marRight w:val="0"/>
          <w:marTop w:val="0"/>
          <w:marBottom w:val="0"/>
          <w:divBdr>
            <w:top w:val="none" w:sz="0" w:space="0" w:color="auto"/>
            <w:left w:val="none" w:sz="0" w:space="0" w:color="auto"/>
            <w:bottom w:val="none" w:sz="0" w:space="0" w:color="auto"/>
            <w:right w:val="none" w:sz="0" w:space="0" w:color="auto"/>
          </w:divBdr>
        </w:div>
        <w:div w:id="1836677062">
          <w:marLeft w:val="0"/>
          <w:marRight w:val="0"/>
          <w:marTop w:val="0"/>
          <w:marBottom w:val="0"/>
          <w:divBdr>
            <w:top w:val="none" w:sz="0" w:space="0" w:color="auto"/>
            <w:left w:val="none" w:sz="0" w:space="0" w:color="auto"/>
            <w:bottom w:val="none" w:sz="0" w:space="0" w:color="auto"/>
            <w:right w:val="none" w:sz="0" w:space="0" w:color="auto"/>
          </w:divBdr>
        </w:div>
        <w:div w:id="1841004003">
          <w:marLeft w:val="0"/>
          <w:marRight w:val="0"/>
          <w:marTop w:val="0"/>
          <w:marBottom w:val="0"/>
          <w:divBdr>
            <w:top w:val="none" w:sz="0" w:space="0" w:color="auto"/>
            <w:left w:val="none" w:sz="0" w:space="0" w:color="auto"/>
            <w:bottom w:val="none" w:sz="0" w:space="0" w:color="auto"/>
            <w:right w:val="none" w:sz="0" w:space="0" w:color="auto"/>
          </w:divBdr>
        </w:div>
        <w:div w:id="1871147073">
          <w:marLeft w:val="0"/>
          <w:marRight w:val="0"/>
          <w:marTop w:val="0"/>
          <w:marBottom w:val="0"/>
          <w:divBdr>
            <w:top w:val="none" w:sz="0" w:space="0" w:color="auto"/>
            <w:left w:val="none" w:sz="0" w:space="0" w:color="auto"/>
            <w:bottom w:val="none" w:sz="0" w:space="0" w:color="auto"/>
            <w:right w:val="none" w:sz="0" w:space="0" w:color="auto"/>
          </w:divBdr>
        </w:div>
        <w:div w:id="1915582937">
          <w:marLeft w:val="0"/>
          <w:marRight w:val="0"/>
          <w:marTop w:val="0"/>
          <w:marBottom w:val="0"/>
          <w:divBdr>
            <w:top w:val="none" w:sz="0" w:space="0" w:color="auto"/>
            <w:left w:val="none" w:sz="0" w:space="0" w:color="auto"/>
            <w:bottom w:val="none" w:sz="0" w:space="0" w:color="auto"/>
            <w:right w:val="none" w:sz="0" w:space="0" w:color="auto"/>
          </w:divBdr>
        </w:div>
        <w:div w:id="1922444952">
          <w:marLeft w:val="0"/>
          <w:marRight w:val="0"/>
          <w:marTop w:val="0"/>
          <w:marBottom w:val="0"/>
          <w:divBdr>
            <w:top w:val="none" w:sz="0" w:space="0" w:color="auto"/>
            <w:left w:val="none" w:sz="0" w:space="0" w:color="auto"/>
            <w:bottom w:val="none" w:sz="0" w:space="0" w:color="auto"/>
            <w:right w:val="none" w:sz="0" w:space="0" w:color="auto"/>
          </w:divBdr>
        </w:div>
        <w:div w:id="1947424785">
          <w:marLeft w:val="0"/>
          <w:marRight w:val="0"/>
          <w:marTop w:val="0"/>
          <w:marBottom w:val="0"/>
          <w:divBdr>
            <w:top w:val="none" w:sz="0" w:space="0" w:color="auto"/>
            <w:left w:val="none" w:sz="0" w:space="0" w:color="auto"/>
            <w:bottom w:val="none" w:sz="0" w:space="0" w:color="auto"/>
            <w:right w:val="none" w:sz="0" w:space="0" w:color="auto"/>
          </w:divBdr>
        </w:div>
        <w:div w:id="1955793789">
          <w:marLeft w:val="0"/>
          <w:marRight w:val="0"/>
          <w:marTop w:val="0"/>
          <w:marBottom w:val="0"/>
          <w:divBdr>
            <w:top w:val="none" w:sz="0" w:space="0" w:color="auto"/>
            <w:left w:val="none" w:sz="0" w:space="0" w:color="auto"/>
            <w:bottom w:val="none" w:sz="0" w:space="0" w:color="auto"/>
            <w:right w:val="none" w:sz="0" w:space="0" w:color="auto"/>
          </w:divBdr>
        </w:div>
        <w:div w:id="2002929080">
          <w:marLeft w:val="0"/>
          <w:marRight w:val="0"/>
          <w:marTop w:val="0"/>
          <w:marBottom w:val="0"/>
          <w:divBdr>
            <w:top w:val="none" w:sz="0" w:space="0" w:color="auto"/>
            <w:left w:val="none" w:sz="0" w:space="0" w:color="auto"/>
            <w:bottom w:val="none" w:sz="0" w:space="0" w:color="auto"/>
            <w:right w:val="none" w:sz="0" w:space="0" w:color="auto"/>
          </w:divBdr>
        </w:div>
        <w:div w:id="2003465301">
          <w:marLeft w:val="0"/>
          <w:marRight w:val="0"/>
          <w:marTop w:val="0"/>
          <w:marBottom w:val="0"/>
          <w:divBdr>
            <w:top w:val="none" w:sz="0" w:space="0" w:color="auto"/>
            <w:left w:val="none" w:sz="0" w:space="0" w:color="auto"/>
            <w:bottom w:val="none" w:sz="0" w:space="0" w:color="auto"/>
            <w:right w:val="none" w:sz="0" w:space="0" w:color="auto"/>
          </w:divBdr>
        </w:div>
        <w:div w:id="2018917057">
          <w:marLeft w:val="0"/>
          <w:marRight w:val="0"/>
          <w:marTop w:val="0"/>
          <w:marBottom w:val="0"/>
          <w:divBdr>
            <w:top w:val="none" w:sz="0" w:space="0" w:color="auto"/>
            <w:left w:val="none" w:sz="0" w:space="0" w:color="auto"/>
            <w:bottom w:val="none" w:sz="0" w:space="0" w:color="auto"/>
            <w:right w:val="none" w:sz="0" w:space="0" w:color="auto"/>
          </w:divBdr>
        </w:div>
        <w:div w:id="2022586630">
          <w:marLeft w:val="0"/>
          <w:marRight w:val="0"/>
          <w:marTop w:val="0"/>
          <w:marBottom w:val="0"/>
          <w:divBdr>
            <w:top w:val="none" w:sz="0" w:space="0" w:color="auto"/>
            <w:left w:val="none" w:sz="0" w:space="0" w:color="auto"/>
            <w:bottom w:val="none" w:sz="0" w:space="0" w:color="auto"/>
            <w:right w:val="none" w:sz="0" w:space="0" w:color="auto"/>
          </w:divBdr>
        </w:div>
        <w:div w:id="2028170702">
          <w:marLeft w:val="0"/>
          <w:marRight w:val="0"/>
          <w:marTop w:val="0"/>
          <w:marBottom w:val="0"/>
          <w:divBdr>
            <w:top w:val="none" w:sz="0" w:space="0" w:color="auto"/>
            <w:left w:val="none" w:sz="0" w:space="0" w:color="auto"/>
            <w:bottom w:val="none" w:sz="0" w:space="0" w:color="auto"/>
            <w:right w:val="none" w:sz="0" w:space="0" w:color="auto"/>
          </w:divBdr>
        </w:div>
        <w:div w:id="2043019306">
          <w:marLeft w:val="0"/>
          <w:marRight w:val="0"/>
          <w:marTop w:val="0"/>
          <w:marBottom w:val="0"/>
          <w:divBdr>
            <w:top w:val="none" w:sz="0" w:space="0" w:color="auto"/>
            <w:left w:val="none" w:sz="0" w:space="0" w:color="auto"/>
            <w:bottom w:val="none" w:sz="0" w:space="0" w:color="auto"/>
            <w:right w:val="none" w:sz="0" w:space="0" w:color="auto"/>
          </w:divBdr>
        </w:div>
        <w:div w:id="2043705357">
          <w:marLeft w:val="0"/>
          <w:marRight w:val="0"/>
          <w:marTop w:val="0"/>
          <w:marBottom w:val="0"/>
          <w:divBdr>
            <w:top w:val="none" w:sz="0" w:space="0" w:color="auto"/>
            <w:left w:val="none" w:sz="0" w:space="0" w:color="auto"/>
            <w:bottom w:val="none" w:sz="0" w:space="0" w:color="auto"/>
            <w:right w:val="none" w:sz="0" w:space="0" w:color="auto"/>
          </w:divBdr>
        </w:div>
        <w:div w:id="2060548562">
          <w:marLeft w:val="0"/>
          <w:marRight w:val="0"/>
          <w:marTop w:val="0"/>
          <w:marBottom w:val="0"/>
          <w:divBdr>
            <w:top w:val="none" w:sz="0" w:space="0" w:color="auto"/>
            <w:left w:val="none" w:sz="0" w:space="0" w:color="auto"/>
            <w:bottom w:val="none" w:sz="0" w:space="0" w:color="auto"/>
            <w:right w:val="none" w:sz="0" w:space="0" w:color="auto"/>
          </w:divBdr>
        </w:div>
        <w:div w:id="2076120030">
          <w:marLeft w:val="0"/>
          <w:marRight w:val="0"/>
          <w:marTop w:val="0"/>
          <w:marBottom w:val="0"/>
          <w:divBdr>
            <w:top w:val="none" w:sz="0" w:space="0" w:color="auto"/>
            <w:left w:val="none" w:sz="0" w:space="0" w:color="auto"/>
            <w:bottom w:val="none" w:sz="0" w:space="0" w:color="auto"/>
            <w:right w:val="none" w:sz="0" w:space="0" w:color="auto"/>
          </w:divBdr>
        </w:div>
        <w:div w:id="2086948323">
          <w:marLeft w:val="0"/>
          <w:marRight w:val="0"/>
          <w:marTop w:val="0"/>
          <w:marBottom w:val="0"/>
          <w:divBdr>
            <w:top w:val="none" w:sz="0" w:space="0" w:color="auto"/>
            <w:left w:val="none" w:sz="0" w:space="0" w:color="auto"/>
            <w:bottom w:val="none" w:sz="0" w:space="0" w:color="auto"/>
            <w:right w:val="none" w:sz="0" w:space="0" w:color="auto"/>
          </w:divBdr>
        </w:div>
        <w:div w:id="2137142025">
          <w:marLeft w:val="0"/>
          <w:marRight w:val="0"/>
          <w:marTop w:val="0"/>
          <w:marBottom w:val="0"/>
          <w:divBdr>
            <w:top w:val="none" w:sz="0" w:space="0" w:color="auto"/>
            <w:left w:val="none" w:sz="0" w:space="0" w:color="auto"/>
            <w:bottom w:val="none" w:sz="0" w:space="0" w:color="auto"/>
            <w:right w:val="none" w:sz="0" w:space="0" w:color="auto"/>
          </w:divBdr>
        </w:div>
      </w:divsChild>
    </w:div>
    <w:div w:id="692654448">
      <w:bodyDiv w:val="1"/>
      <w:marLeft w:val="0"/>
      <w:marRight w:val="0"/>
      <w:marTop w:val="0"/>
      <w:marBottom w:val="0"/>
      <w:divBdr>
        <w:top w:val="none" w:sz="0" w:space="0" w:color="auto"/>
        <w:left w:val="none" w:sz="0" w:space="0" w:color="auto"/>
        <w:bottom w:val="none" w:sz="0" w:space="0" w:color="auto"/>
        <w:right w:val="none" w:sz="0" w:space="0" w:color="auto"/>
      </w:divBdr>
      <w:divsChild>
        <w:div w:id="1466196546">
          <w:marLeft w:val="0"/>
          <w:marRight w:val="0"/>
          <w:marTop w:val="0"/>
          <w:marBottom w:val="0"/>
          <w:divBdr>
            <w:top w:val="none" w:sz="0" w:space="0" w:color="auto"/>
            <w:left w:val="none" w:sz="0" w:space="0" w:color="auto"/>
            <w:bottom w:val="none" w:sz="0" w:space="0" w:color="auto"/>
            <w:right w:val="none" w:sz="0" w:space="0" w:color="auto"/>
          </w:divBdr>
        </w:div>
      </w:divsChild>
    </w:div>
    <w:div w:id="696278106">
      <w:bodyDiv w:val="1"/>
      <w:marLeft w:val="0"/>
      <w:marRight w:val="0"/>
      <w:marTop w:val="0"/>
      <w:marBottom w:val="0"/>
      <w:divBdr>
        <w:top w:val="none" w:sz="0" w:space="0" w:color="auto"/>
        <w:left w:val="none" w:sz="0" w:space="0" w:color="auto"/>
        <w:bottom w:val="none" w:sz="0" w:space="0" w:color="auto"/>
        <w:right w:val="none" w:sz="0" w:space="0" w:color="auto"/>
      </w:divBdr>
      <w:divsChild>
        <w:div w:id="455678445">
          <w:marLeft w:val="0"/>
          <w:marRight w:val="0"/>
          <w:marTop w:val="0"/>
          <w:marBottom w:val="0"/>
          <w:divBdr>
            <w:top w:val="none" w:sz="0" w:space="0" w:color="auto"/>
            <w:left w:val="none" w:sz="0" w:space="0" w:color="auto"/>
            <w:bottom w:val="none" w:sz="0" w:space="0" w:color="auto"/>
            <w:right w:val="none" w:sz="0" w:space="0" w:color="auto"/>
          </w:divBdr>
        </w:div>
      </w:divsChild>
    </w:div>
    <w:div w:id="698625695">
      <w:bodyDiv w:val="1"/>
      <w:marLeft w:val="0"/>
      <w:marRight w:val="0"/>
      <w:marTop w:val="0"/>
      <w:marBottom w:val="0"/>
      <w:divBdr>
        <w:top w:val="none" w:sz="0" w:space="0" w:color="auto"/>
        <w:left w:val="none" w:sz="0" w:space="0" w:color="auto"/>
        <w:bottom w:val="none" w:sz="0" w:space="0" w:color="auto"/>
        <w:right w:val="none" w:sz="0" w:space="0" w:color="auto"/>
      </w:divBdr>
    </w:div>
    <w:div w:id="700280703">
      <w:bodyDiv w:val="1"/>
      <w:marLeft w:val="0"/>
      <w:marRight w:val="0"/>
      <w:marTop w:val="0"/>
      <w:marBottom w:val="0"/>
      <w:divBdr>
        <w:top w:val="none" w:sz="0" w:space="0" w:color="auto"/>
        <w:left w:val="none" w:sz="0" w:space="0" w:color="auto"/>
        <w:bottom w:val="none" w:sz="0" w:space="0" w:color="auto"/>
        <w:right w:val="none" w:sz="0" w:space="0" w:color="auto"/>
      </w:divBdr>
      <w:divsChild>
        <w:div w:id="1316884285">
          <w:marLeft w:val="0"/>
          <w:marRight w:val="0"/>
          <w:marTop w:val="0"/>
          <w:marBottom w:val="0"/>
          <w:divBdr>
            <w:top w:val="none" w:sz="0" w:space="0" w:color="auto"/>
            <w:left w:val="none" w:sz="0" w:space="0" w:color="auto"/>
            <w:bottom w:val="none" w:sz="0" w:space="0" w:color="auto"/>
            <w:right w:val="none" w:sz="0" w:space="0" w:color="auto"/>
          </w:divBdr>
          <w:divsChild>
            <w:div w:id="12343171">
              <w:marLeft w:val="0"/>
              <w:marRight w:val="0"/>
              <w:marTop w:val="0"/>
              <w:marBottom w:val="0"/>
              <w:divBdr>
                <w:top w:val="none" w:sz="0" w:space="0" w:color="auto"/>
                <w:left w:val="none" w:sz="0" w:space="0" w:color="auto"/>
                <w:bottom w:val="none" w:sz="0" w:space="0" w:color="auto"/>
                <w:right w:val="none" w:sz="0" w:space="0" w:color="auto"/>
              </w:divBdr>
            </w:div>
            <w:div w:id="46809102">
              <w:marLeft w:val="0"/>
              <w:marRight w:val="0"/>
              <w:marTop w:val="0"/>
              <w:marBottom w:val="0"/>
              <w:divBdr>
                <w:top w:val="none" w:sz="0" w:space="0" w:color="auto"/>
                <w:left w:val="none" w:sz="0" w:space="0" w:color="auto"/>
                <w:bottom w:val="none" w:sz="0" w:space="0" w:color="auto"/>
                <w:right w:val="none" w:sz="0" w:space="0" w:color="auto"/>
              </w:divBdr>
            </w:div>
            <w:div w:id="65038290">
              <w:marLeft w:val="0"/>
              <w:marRight w:val="0"/>
              <w:marTop w:val="0"/>
              <w:marBottom w:val="0"/>
              <w:divBdr>
                <w:top w:val="none" w:sz="0" w:space="0" w:color="auto"/>
                <w:left w:val="none" w:sz="0" w:space="0" w:color="auto"/>
                <w:bottom w:val="none" w:sz="0" w:space="0" w:color="auto"/>
                <w:right w:val="none" w:sz="0" w:space="0" w:color="auto"/>
              </w:divBdr>
            </w:div>
            <w:div w:id="81726826">
              <w:marLeft w:val="0"/>
              <w:marRight w:val="0"/>
              <w:marTop w:val="0"/>
              <w:marBottom w:val="0"/>
              <w:divBdr>
                <w:top w:val="none" w:sz="0" w:space="0" w:color="auto"/>
                <w:left w:val="none" w:sz="0" w:space="0" w:color="auto"/>
                <w:bottom w:val="none" w:sz="0" w:space="0" w:color="auto"/>
                <w:right w:val="none" w:sz="0" w:space="0" w:color="auto"/>
              </w:divBdr>
            </w:div>
            <w:div w:id="112333881">
              <w:marLeft w:val="0"/>
              <w:marRight w:val="0"/>
              <w:marTop w:val="0"/>
              <w:marBottom w:val="0"/>
              <w:divBdr>
                <w:top w:val="none" w:sz="0" w:space="0" w:color="auto"/>
                <w:left w:val="none" w:sz="0" w:space="0" w:color="auto"/>
                <w:bottom w:val="none" w:sz="0" w:space="0" w:color="auto"/>
                <w:right w:val="none" w:sz="0" w:space="0" w:color="auto"/>
              </w:divBdr>
            </w:div>
            <w:div w:id="149373033">
              <w:marLeft w:val="0"/>
              <w:marRight w:val="0"/>
              <w:marTop w:val="0"/>
              <w:marBottom w:val="0"/>
              <w:divBdr>
                <w:top w:val="none" w:sz="0" w:space="0" w:color="auto"/>
                <w:left w:val="none" w:sz="0" w:space="0" w:color="auto"/>
                <w:bottom w:val="none" w:sz="0" w:space="0" w:color="auto"/>
                <w:right w:val="none" w:sz="0" w:space="0" w:color="auto"/>
              </w:divBdr>
            </w:div>
            <w:div w:id="155465054">
              <w:marLeft w:val="0"/>
              <w:marRight w:val="0"/>
              <w:marTop w:val="0"/>
              <w:marBottom w:val="0"/>
              <w:divBdr>
                <w:top w:val="none" w:sz="0" w:space="0" w:color="auto"/>
                <w:left w:val="none" w:sz="0" w:space="0" w:color="auto"/>
                <w:bottom w:val="none" w:sz="0" w:space="0" w:color="auto"/>
                <w:right w:val="none" w:sz="0" w:space="0" w:color="auto"/>
              </w:divBdr>
            </w:div>
            <w:div w:id="177474303">
              <w:marLeft w:val="0"/>
              <w:marRight w:val="0"/>
              <w:marTop w:val="0"/>
              <w:marBottom w:val="0"/>
              <w:divBdr>
                <w:top w:val="none" w:sz="0" w:space="0" w:color="auto"/>
                <w:left w:val="none" w:sz="0" w:space="0" w:color="auto"/>
                <w:bottom w:val="none" w:sz="0" w:space="0" w:color="auto"/>
                <w:right w:val="none" w:sz="0" w:space="0" w:color="auto"/>
              </w:divBdr>
            </w:div>
            <w:div w:id="195000711">
              <w:marLeft w:val="0"/>
              <w:marRight w:val="0"/>
              <w:marTop w:val="0"/>
              <w:marBottom w:val="0"/>
              <w:divBdr>
                <w:top w:val="none" w:sz="0" w:space="0" w:color="auto"/>
                <w:left w:val="none" w:sz="0" w:space="0" w:color="auto"/>
                <w:bottom w:val="none" w:sz="0" w:space="0" w:color="auto"/>
                <w:right w:val="none" w:sz="0" w:space="0" w:color="auto"/>
              </w:divBdr>
            </w:div>
            <w:div w:id="217086921">
              <w:marLeft w:val="0"/>
              <w:marRight w:val="0"/>
              <w:marTop w:val="0"/>
              <w:marBottom w:val="0"/>
              <w:divBdr>
                <w:top w:val="none" w:sz="0" w:space="0" w:color="auto"/>
                <w:left w:val="none" w:sz="0" w:space="0" w:color="auto"/>
                <w:bottom w:val="none" w:sz="0" w:space="0" w:color="auto"/>
                <w:right w:val="none" w:sz="0" w:space="0" w:color="auto"/>
              </w:divBdr>
            </w:div>
            <w:div w:id="217210361">
              <w:marLeft w:val="0"/>
              <w:marRight w:val="0"/>
              <w:marTop w:val="0"/>
              <w:marBottom w:val="0"/>
              <w:divBdr>
                <w:top w:val="none" w:sz="0" w:space="0" w:color="auto"/>
                <w:left w:val="none" w:sz="0" w:space="0" w:color="auto"/>
                <w:bottom w:val="none" w:sz="0" w:space="0" w:color="auto"/>
                <w:right w:val="none" w:sz="0" w:space="0" w:color="auto"/>
              </w:divBdr>
            </w:div>
            <w:div w:id="221866512">
              <w:marLeft w:val="0"/>
              <w:marRight w:val="0"/>
              <w:marTop w:val="0"/>
              <w:marBottom w:val="0"/>
              <w:divBdr>
                <w:top w:val="none" w:sz="0" w:space="0" w:color="auto"/>
                <w:left w:val="none" w:sz="0" w:space="0" w:color="auto"/>
                <w:bottom w:val="none" w:sz="0" w:space="0" w:color="auto"/>
                <w:right w:val="none" w:sz="0" w:space="0" w:color="auto"/>
              </w:divBdr>
            </w:div>
            <w:div w:id="289357604">
              <w:marLeft w:val="0"/>
              <w:marRight w:val="0"/>
              <w:marTop w:val="0"/>
              <w:marBottom w:val="0"/>
              <w:divBdr>
                <w:top w:val="none" w:sz="0" w:space="0" w:color="auto"/>
                <w:left w:val="none" w:sz="0" w:space="0" w:color="auto"/>
                <w:bottom w:val="none" w:sz="0" w:space="0" w:color="auto"/>
                <w:right w:val="none" w:sz="0" w:space="0" w:color="auto"/>
              </w:divBdr>
            </w:div>
            <w:div w:id="300693062">
              <w:marLeft w:val="0"/>
              <w:marRight w:val="0"/>
              <w:marTop w:val="0"/>
              <w:marBottom w:val="0"/>
              <w:divBdr>
                <w:top w:val="none" w:sz="0" w:space="0" w:color="auto"/>
                <w:left w:val="none" w:sz="0" w:space="0" w:color="auto"/>
                <w:bottom w:val="none" w:sz="0" w:space="0" w:color="auto"/>
                <w:right w:val="none" w:sz="0" w:space="0" w:color="auto"/>
              </w:divBdr>
            </w:div>
            <w:div w:id="310713900">
              <w:marLeft w:val="0"/>
              <w:marRight w:val="0"/>
              <w:marTop w:val="0"/>
              <w:marBottom w:val="0"/>
              <w:divBdr>
                <w:top w:val="none" w:sz="0" w:space="0" w:color="auto"/>
                <w:left w:val="none" w:sz="0" w:space="0" w:color="auto"/>
                <w:bottom w:val="none" w:sz="0" w:space="0" w:color="auto"/>
                <w:right w:val="none" w:sz="0" w:space="0" w:color="auto"/>
              </w:divBdr>
            </w:div>
            <w:div w:id="349111624">
              <w:marLeft w:val="0"/>
              <w:marRight w:val="0"/>
              <w:marTop w:val="0"/>
              <w:marBottom w:val="0"/>
              <w:divBdr>
                <w:top w:val="none" w:sz="0" w:space="0" w:color="auto"/>
                <w:left w:val="none" w:sz="0" w:space="0" w:color="auto"/>
                <w:bottom w:val="none" w:sz="0" w:space="0" w:color="auto"/>
                <w:right w:val="none" w:sz="0" w:space="0" w:color="auto"/>
              </w:divBdr>
            </w:div>
            <w:div w:id="359674095">
              <w:marLeft w:val="0"/>
              <w:marRight w:val="0"/>
              <w:marTop w:val="0"/>
              <w:marBottom w:val="0"/>
              <w:divBdr>
                <w:top w:val="none" w:sz="0" w:space="0" w:color="auto"/>
                <w:left w:val="none" w:sz="0" w:space="0" w:color="auto"/>
                <w:bottom w:val="none" w:sz="0" w:space="0" w:color="auto"/>
                <w:right w:val="none" w:sz="0" w:space="0" w:color="auto"/>
              </w:divBdr>
            </w:div>
            <w:div w:id="375548726">
              <w:marLeft w:val="0"/>
              <w:marRight w:val="0"/>
              <w:marTop w:val="0"/>
              <w:marBottom w:val="0"/>
              <w:divBdr>
                <w:top w:val="none" w:sz="0" w:space="0" w:color="auto"/>
                <w:left w:val="none" w:sz="0" w:space="0" w:color="auto"/>
                <w:bottom w:val="none" w:sz="0" w:space="0" w:color="auto"/>
                <w:right w:val="none" w:sz="0" w:space="0" w:color="auto"/>
              </w:divBdr>
            </w:div>
            <w:div w:id="383336656">
              <w:marLeft w:val="0"/>
              <w:marRight w:val="0"/>
              <w:marTop w:val="0"/>
              <w:marBottom w:val="0"/>
              <w:divBdr>
                <w:top w:val="none" w:sz="0" w:space="0" w:color="auto"/>
                <w:left w:val="none" w:sz="0" w:space="0" w:color="auto"/>
                <w:bottom w:val="none" w:sz="0" w:space="0" w:color="auto"/>
                <w:right w:val="none" w:sz="0" w:space="0" w:color="auto"/>
              </w:divBdr>
            </w:div>
            <w:div w:id="403188101">
              <w:marLeft w:val="0"/>
              <w:marRight w:val="0"/>
              <w:marTop w:val="0"/>
              <w:marBottom w:val="0"/>
              <w:divBdr>
                <w:top w:val="none" w:sz="0" w:space="0" w:color="auto"/>
                <w:left w:val="none" w:sz="0" w:space="0" w:color="auto"/>
                <w:bottom w:val="none" w:sz="0" w:space="0" w:color="auto"/>
                <w:right w:val="none" w:sz="0" w:space="0" w:color="auto"/>
              </w:divBdr>
            </w:div>
            <w:div w:id="403335059">
              <w:marLeft w:val="0"/>
              <w:marRight w:val="0"/>
              <w:marTop w:val="0"/>
              <w:marBottom w:val="0"/>
              <w:divBdr>
                <w:top w:val="none" w:sz="0" w:space="0" w:color="auto"/>
                <w:left w:val="none" w:sz="0" w:space="0" w:color="auto"/>
                <w:bottom w:val="none" w:sz="0" w:space="0" w:color="auto"/>
                <w:right w:val="none" w:sz="0" w:space="0" w:color="auto"/>
              </w:divBdr>
            </w:div>
            <w:div w:id="418142292">
              <w:marLeft w:val="0"/>
              <w:marRight w:val="0"/>
              <w:marTop w:val="0"/>
              <w:marBottom w:val="0"/>
              <w:divBdr>
                <w:top w:val="none" w:sz="0" w:space="0" w:color="auto"/>
                <w:left w:val="none" w:sz="0" w:space="0" w:color="auto"/>
                <w:bottom w:val="none" w:sz="0" w:space="0" w:color="auto"/>
                <w:right w:val="none" w:sz="0" w:space="0" w:color="auto"/>
              </w:divBdr>
            </w:div>
            <w:div w:id="420763575">
              <w:marLeft w:val="0"/>
              <w:marRight w:val="0"/>
              <w:marTop w:val="0"/>
              <w:marBottom w:val="0"/>
              <w:divBdr>
                <w:top w:val="none" w:sz="0" w:space="0" w:color="auto"/>
                <w:left w:val="none" w:sz="0" w:space="0" w:color="auto"/>
                <w:bottom w:val="none" w:sz="0" w:space="0" w:color="auto"/>
                <w:right w:val="none" w:sz="0" w:space="0" w:color="auto"/>
              </w:divBdr>
            </w:div>
            <w:div w:id="438110515">
              <w:marLeft w:val="0"/>
              <w:marRight w:val="0"/>
              <w:marTop w:val="0"/>
              <w:marBottom w:val="0"/>
              <w:divBdr>
                <w:top w:val="none" w:sz="0" w:space="0" w:color="auto"/>
                <w:left w:val="none" w:sz="0" w:space="0" w:color="auto"/>
                <w:bottom w:val="none" w:sz="0" w:space="0" w:color="auto"/>
                <w:right w:val="none" w:sz="0" w:space="0" w:color="auto"/>
              </w:divBdr>
            </w:div>
            <w:div w:id="480076860">
              <w:marLeft w:val="0"/>
              <w:marRight w:val="0"/>
              <w:marTop w:val="0"/>
              <w:marBottom w:val="0"/>
              <w:divBdr>
                <w:top w:val="none" w:sz="0" w:space="0" w:color="auto"/>
                <w:left w:val="none" w:sz="0" w:space="0" w:color="auto"/>
                <w:bottom w:val="none" w:sz="0" w:space="0" w:color="auto"/>
                <w:right w:val="none" w:sz="0" w:space="0" w:color="auto"/>
              </w:divBdr>
            </w:div>
            <w:div w:id="491412288">
              <w:marLeft w:val="0"/>
              <w:marRight w:val="0"/>
              <w:marTop w:val="0"/>
              <w:marBottom w:val="0"/>
              <w:divBdr>
                <w:top w:val="none" w:sz="0" w:space="0" w:color="auto"/>
                <w:left w:val="none" w:sz="0" w:space="0" w:color="auto"/>
                <w:bottom w:val="none" w:sz="0" w:space="0" w:color="auto"/>
                <w:right w:val="none" w:sz="0" w:space="0" w:color="auto"/>
              </w:divBdr>
            </w:div>
            <w:div w:id="492987624">
              <w:marLeft w:val="0"/>
              <w:marRight w:val="0"/>
              <w:marTop w:val="0"/>
              <w:marBottom w:val="0"/>
              <w:divBdr>
                <w:top w:val="none" w:sz="0" w:space="0" w:color="auto"/>
                <w:left w:val="none" w:sz="0" w:space="0" w:color="auto"/>
                <w:bottom w:val="none" w:sz="0" w:space="0" w:color="auto"/>
                <w:right w:val="none" w:sz="0" w:space="0" w:color="auto"/>
              </w:divBdr>
            </w:div>
            <w:div w:id="495465268">
              <w:marLeft w:val="0"/>
              <w:marRight w:val="0"/>
              <w:marTop w:val="0"/>
              <w:marBottom w:val="0"/>
              <w:divBdr>
                <w:top w:val="none" w:sz="0" w:space="0" w:color="auto"/>
                <w:left w:val="none" w:sz="0" w:space="0" w:color="auto"/>
                <w:bottom w:val="none" w:sz="0" w:space="0" w:color="auto"/>
                <w:right w:val="none" w:sz="0" w:space="0" w:color="auto"/>
              </w:divBdr>
            </w:div>
            <w:div w:id="516770510">
              <w:marLeft w:val="0"/>
              <w:marRight w:val="0"/>
              <w:marTop w:val="0"/>
              <w:marBottom w:val="0"/>
              <w:divBdr>
                <w:top w:val="none" w:sz="0" w:space="0" w:color="auto"/>
                <w:left w:val="none" w:sz="0" w:space="0" w:color="auto"/>
                <w:bottom w:val="none" w:sz="0" w:space="0" w:color="auto"/>
                <w:right w:val="none" w:sz="0" w:space="0" w:color="auto"/>
              </w:divBdr>
            </w:div>
            <w:div w:id="544681741">
              <w:marLeft w:val="0"/>
              <w:marRight w:val="0"/>
              <w:marTop w:val="0"/>
              <w:marBottom w:val="0"/>
              <w:divBdr>
                <w:top w:val="none" w:sz="0" w:space="0" w:color="auto"/>
                <w:left w:val="none" w:sz="0" w:space="0" w:color="auto"/>
                <w:bottom w:val="none" w:sz="0" w:space="0" w:color="auto"/>
                <w:right w:val="none" w:sz="0" w:space="0" w:color="auto"/>
              </w:divBdr>
            </w:div>
            <w:div w:id="578950316">
              <w:marLeft w:val="0"/>
              <w:marRight w:val="0"/>
              <w:marTop w:val="0"/>
              <w:marBottom w:val="0"/>
              <w:divBdr>
                <w:top w:val="none" w:sz="0" w:space="0" w:color="auto"/>
                <w:left w:val="none" w:sz="0" w:space="0" w:color="auto"/>
                <w:bottom w:val="none" w:sz="0" w:space="0" w:color="auto"/>
                <w:right w:val="none" w:sz="0" w:space="0" w:color="auto"/>
              </w:divBdr>
            </w:div>
            <w:div w:id="615136809">
              <w:marLeft w:val="0"/>
              <w:marRight w:val="0"/>
              <w:marTop w:val="0"/>
              <w:marBottom w:val="0"/>
              <w:divBdr>
                <w:top w:val="none" w:sz="0" w:space="0" w:color="auto"/>
                <w:left w:val="none" w:sz="0" w:space="0" w:color="auto"/>
                <w:bottom w:val="none" w:sz="0" w:space="0" w:color="auto"/>
                <w:right w:val="none" w:sz="0" w:space="0" w:color="auto"/>
              </w:divBdr>
            </w:div>
            <w:div w:id="748309451">
              <w:marLeft w:val="0"/>
              <w:marRight w:val="0"/>
              <w:marTop w:val="0"/>
              <w:marBottom w:val="0"/>
              <w:divBdr>
                <w:top w:val="none" w:sz="0" w:space="0" w:color="auto"/>
                <w:left w:val="none" w:sz="0" w:space="0" w:color="auto"/>
                <w:bottom w:val="none" w:sz="0" w:space="0" w:color="auto"/>
                <w:right w:val="none" w:sz="0" w:space="0" w:color="auto"/>
              </w:divBdr>
            </w:div>
            <w:div w:id="749889909">
              <w:marLeft w:val="0"/>
              <w:marRight w:val="0"/>
              <w:marTop w:val="0"/>
              <w:marBottom w:val="0"/>
              <w:divBdr>
                <w:top w:val="none" w:sz="0" w:space="0" w:color="auto"/>
                <w:left w:val="none" w:sz="0" w:space="0" w:color="auto"/>
                <w:bottom w:val="none" w:sz="0" w:space="0" w:color="auto"/>
                <w:right w:val="none" w:sz="0" w:space="0" w:color="auto"/>
              </w:divBdr>
            </w:div>
            <w:div w:id="771583114">
              <w:marLeft w:val="0"/>
              <w:marRight w:val="0"/>
              <w:marTop w:val="0"/>
              <w:marBottom w:val="0"/>
              <w:divBdr>
                <w:top w:val="none" w:sz="0" w:space="0" w:color="auto"/>
                <w:left w:val="none" w:sz="0" w:space="0" w:color="auto"/>
                <w:bottom w:val="none" w:sz="0" w:space="0" w:color="auto"/>
                <w:right w:val="none" w:sz="0" w:space="0" w:color="auto"/>
              </w:divBdr>
            </w:div>
            <w:div w:id="789933571">
              <w:marLeft w:val="0"/>
              <w:marRight w:val="0"/>
              <w:marTop w:val="0"/>
              <w:marBottom w:val="0"/>
              <w:divBdr>
                <w:top w:val="none" w:sz="0" w:space="0" w:color="auto"/>
                <w:left w:val="none" w:sz="0" w:space="0" w:color="auto"/>
                <w:bottom w:val="none" w:sz="0" w:space="0" w:color="auto"/>
                <w:right w:val="none" w:sz="0" w:space="0" w:color="auto"/>
              </w:divBdr>
            </w:div>
            <w:div w:id="841776866">
              <w:marLeft w:val="0"/>
              <w:marRight w:val="0"/>
              <w:marTop w:val="0"/>
              <w:marBottom w:val="0"/>
              <w:divBdr>
                <w:top w:val="none" w:sz="0" w:space="0" w:color="auto"/>
                <w:left w:val="none" w:sz="0" w:space="0" w:color="auto"/>
                <w:bottom w:val="none" w:sz="0" w:space="0" w:color="auto"/>
                <w:right w:val="none" w:sz="0" w:space="0" w:color="auto"/>
              </w:divBdr>
            </w:div>
            <w:div w:id="861209680">
              <w:marLeft w:val="0"/>
              <w:marRight w:val="0"/>
              <w:marTop w:val="0"/>
              <w:marBottom w:val="0"/>
              <w:divBdr>
                <w:top w:val="none" w:sz="0" w:space="0" w:color="auto"/>
                <w:left w:val="none" w:sz="0" w:space="0" w:color="auto"/>
                <w:bottom w:val="none" w:sz="0" w:space="0" w:color="auto"/>
                <w:right w:val="none" w:sz="0" w:space="0" w:color="auto"/>
              </w:divBdr>
            </w:div>
            <w:div w:id="952131287">
              <w:marLeft w:val="0"/>
              <w:marRight w:val="0"/>
              <w:marTop w:val="0"/>
              <w:marBottom w:val="0"/>
              <w:divBdr>
                <w:top w:val="none" w:sz="0" w:space="0" w:color="auto"/>
                <w:left w:val="none" w:sz="0" w:space="0" w:color="auto"/>
                <w:bottom w:val="none" w:sz="0" w:space="0" w:color="auto"/>
                <w:right w:val="none" w:sz="0" w:space="0" w:color="auto"/>
              </w:divBdr>
            </w:div>
            <w:div w:id="961690751">
              <w:marLeft w:val="0"/>
              <w:marRight w:val="0"/>
              <w:marTop w:val="0"/>
              <w:marBottom w:val="0"/>
              <w:divBdr>
                <w:top w:val="none" w:sz="0" w:space="0" w:color="auto"/>
                <w:left w:val="none" w:sz="0" w:space="0" w:color="auto"/>
                <w:bottom w:val="none" w:sz="0" w:space="0" w:color="auto"/>
                <w:right w:val="none" w:sz="0" w:space="0" w:color="auto"/>
              </w:divBdr>
            </w:div>
            <w:div w:id="986280656">
              <w:marLeft w:val="0"/>
              <w:marRight w:val="0"/>
              <w:marTop w:val="0"/>
              <w:marBottom w:val="0"/>
              <w:divBdr>
                <w:top w:val="none" w:sz="0" w:space="0" w:color="auto"/>
                <w:left w:val="none" w:sz="0" w:space="0" w:color="auto"/>
                <w:bottom w:val="none" w:sz="0" w:space="0" w:color="auto"/>
                <w:right w:val="none" w:sz="0" w:space="0" w:color="auto"/>
              </w:divBdr>
            </w:div>
            <w:div w:id="1014454074">
              <w:marLeft w:val="0"/>
              <w:marRight w:val="0"/>
              <w:marTop w:val="0"/>
              <w:marBottom w:val="0"/>
              <w:divBdr>
                <w:top w:val="none" w:sz="0" w:space="0" w:color="auto"/>
                <w:left w:val="none" w:sz="0" w:space="0" w:color="auto"/>
                <w:bottom w:val="none" w:sz="0" w:space="0" w:color="auto"/>
                <w:right w:val="none" w:sz="0" w:space="0" w:color="auto"/>
              </w:divBdr>
            </w:div>
            <w:div w:id="1032342089">
              <w:marLeft w:val="0"/>
              <w:marRight w:val="0"/>
              <w:marTop w:val="0"/>
              <w:marBottom w:val="0"/>
              <w:divBdr>
                <w:top w:val="none" w:sz="0" w:space="0" w:color="auto"/>
                <w:left w:val="none" w:sz="0" w:space="0" w:color="auto"/>
                <w:bottom w:val="none" w:sz="0" w:space="0" w:color="auto"/>
                <w:right w:val="none" w:sz="0" w:space="0" w:color="auto"/>
              </w:divBdr>
            </w:div>
            <w:div w:id="1074278254">
              <w:marLeft w:val="0"/>
              <w:marRight w:val="0"/>
              <w:marTop w:val="0"/>
              <w:marBottom w:val="0"/>
              <w:divBdr>
                <w:top w:val="none" w:sz="0" w:space="0" w:color="auto"/>
                <w:left w:val="none" w:sz="0" w:space="0" w:color="auto"/>
                <w:bottom w:val="none" w:sz="0" w:space="0" w:color="auto"/>
                <w:right w:val="none" w:sz="0" w:space="0" w:color="auto"/>
              </w:divBdr>
            </w:div>
            <w:div w:id="1159612806">
              <w:marLeft w:val="0"/>
              <w:marRight w:val="0"/>
              <w:marTop w:val="0"/>
              <w:marBottom w:val="0"/>
              <w:divBdr>
                <w:top w:val="none" w:sz="0" w:space="0" w:color="auto"/>
                <w:left w:val="none" w:sz="0" w:space="0" w:color="auto"/>
                <w:bottom w:val="none" w:sz="0" w:space="0" w:color="auto"/>
                <w:right w:val="none" w:sz="0" w:space="0" w:color="auto"/>
              </w:divBdr>
            </w:div>
            <w:div w:id="1211191644">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 w:id="1234512547">
              <w:marLeft w:val="0"/>
              <w:marRight w:val="0"/>
              <w:marTop w:val="0"/>
              <w:marBottom w:val="0"/>
              <w:divBdr>
                <w:top w:val="none" w:sz="0" w:space="0" w:color="auto"/>
                <w:left w:val="none" w:sz="0" w:space="0" w:color="auto"/>
                <w:bottom w:val="none" w:sz="0" w:space="0" w:color="auto"/>
                <w:right w:val="none" w:sz="0" w:space="0" w:color="auto"/>
              </w:divBdr>
            </w:div>
            <w:div w:id="1256597481">
              <w:marLeft w:val="0"/>
              <w:marRight w:val="0"/>
              <w:marTop w:val="0"/>
              <w:marBottom w:val="0"/>
              <w:divBdr>
                <w:top w:val="none" w:sz="0" w:space="0" w:color="auto"/>
                <w:left w:val="none" w:sz="0" w:space="0" w:color="auto"/>
                <w:bottom w:val="none" w:sz="0" w:space="0" w:color="auto"/>
                <w:right w:val="none" w:sz="0" w:space="0" w:color="auto"/>
              </w:divBdr>
            </w:div>
            <w:div w:id="1289160422">
              <w:marLeft w:val="0"/>
              <w:marRight w:val="0"/>
              <w:marTop w:val="0"/>
              <w:marBottom w:val="0"/>
              <w:divBdr>
                <w:top w:val="none" w:sz="0" w:space="0" w:color="auto"/>
                <w:left w:val="none" w:sz="0" w:space="0" w:color="auto"/>
                <w:bottom w:val="none" w:sz="0" w:space="0" w:color="auto"/>
                <w:right w:val="none" w:sz="0" w:space="0" w:color="auto"/>
              </w:divBdr>
            </w:div>
            <w:div w:id="1299261198">
              <w:marLeft w:val="0"/>
              <w:marRight w:val="0"/>
              <w:marTop w:val="0"/>
              <w:marBottom w:val="0"/>
              <w:divBdr>
                <w:top w:val="none" w:sz="0" w:space="0" w:color="auto"/>
                <w:left w:val="none" w:sz="0" w:space="0" w:color="auto"/>
                <w:bottom w:val="none" w:sz="0" w:space="0" w:color="auto"/>
                <w:right w:val="none" w:sz="0" w:space="0" w:color="auto"/>
              </w:divBdr>
            </w:div>
            <w:div w:id="1356544528">
              <w:marLeft w:val="0"/>
              <w:marRight w:val="0"/>
              <w:marTop w:val="0"/>
              <w:marBottom w:val="0"/>
              <w:divBdr>
                <w:top w:val="none" w:sz="0" w:space="0" w:color="auto"/>
                <w:left w:val="none" w:sz="0" w:space="0" w:color="auto"/>
                <w:bottom w:val="none" w:sz="0" w:space="0" w:color="auto"/>
                <w:right w:val="none" w:sz="0" w:space="0" w:color="auto"/>
              </w:divBdr>
            </w:div>
            <w:div w:id="1386638128">
              <w:marLeft w:val="0"/>
              <w:marRight w:val="0"/>
              <w:marTop w:val="0"/>
              <w:marBottom w:val="0"/>
              <w:divBdr>
                <w:top w:val="none" w:sz="0" w:space="0" w:color="auto"/>
                <w:left w:val="none" w:sz="0" w:space="0" w:color="auto"/>
                <w:bottom w:val="none" w:sz="0" w:space="0" w:color="auto"/>
                <w:right w:val="none" w:sz="0" w:space="0" w:color="auto"/>
              </w:divBdr>
            </w:div>
            <w:div w:id="1391537228">
              <w:marLeft w:val="0"/>
              <w:marRight w:val="0"/>
              <w:marTop w:val="0"/>
              <w:marBottom w:val="0"/>
              <w:divBdr>
                <w:top w:val="none" w:sz="0" w:space="0" w:color="auto"/>
                <w:left w:val="none" w:sz="0" w:space="0" w:color="auto"/>
                <w:bottom w:val="none" w:sz="0" w:space="0" w:color="auto"/>
                <w:right w:val="none" w:sz="0" w:space="0" w:color="auto"/>
              </w:divBdr>
            </w:div>
            <w:div w:id="1401058685">
              <w:marLeft w:val="0"/>
              <w:marRight w:val="0"/>
              <w:marTop w:val="0"/>
              <w:marBottom w:val="0"/>
              <w:divBdr>
                <w:top w:val="none" w:sz="0" w:space="0" w:color="auto"/>
                <w:left w:val="none" w:sz="0" w:space="0" w:color="auto"/>
                <w:bottom w:val="none" w:sz="0" w:space="0" w:color="auto"/>
                <w:right w:val="none" w:sz="0" w:space="0" w:color="auto"/>
              </w:divBdr>
            </w:div>
            <w:div w:id="1418944628">
              <w:marLeft w:val="0"/>
              <w:marRight w:val="0"/>
              <w:marTop w:val="0"/>
              <w:marBottom w:val="0"/>
              <w:divBdr>
                <w:top w:val="none" w:sz="0" w:space="0" w:color="auto"/>
                <w:left w:val="none" w:sz="0" w:space="0" w:color="auto"/>
                <w:bottom w:val="none" w:sz="0" w:space="0" w:color="auto"/>
                <w:right w:val="none" w:sz="0" w:space="0" w:color="auto"/>
              </w:divBdr>
            </w:div>
            <w:div w:id="1434738587">
              <w:marLeft w:val="0"/>
              <w:marRight w:val="0"/>
              <w:marTop w:val="0"/>
              <w:marBottom w:val="0"/>
              <w:divBdr>
                <w:top w:val="none" w:sz="0" w:space="0" w:color="auto"/>
                <w:left w:val="none" w:sz="0" w:space="0" w:color="auto"/>
                <w:bottom w:val="none" w:sz="0" w:space="0" w:color="auto"/>
                <w:right w:val="none" w:sz="0" w:space="0" w:color="auto"/>
              </w:divBdr>
            </w:div>
            <w:div w:id="1438526238">
              <w:marLeft w:val="0"/>
              <w:marRight w:val="0"/>
              <w:marTop w:val="0"/>
              <w:marBottom w:val="0"/>
              <w:divBdr>
                <w:top w:val="none" w:sz="0" w:space="0" w:color="auto"/>
                <w:left w:val="none" w:sz="0" w:space="0" w:color="auto"/>
                <w:bottom w:val="none" w:sz="0" w:space="0" w:color="auto"/>
                <w:right w:val="none" w:sz="0" w:space="0" w:color="auto"/>
              </w:divBdr>
            </w:div>
            <w:div w:id="1474518186">
              <w:marLeft w:val="0"/>
              <w:marRight w:val="0"/>
              <w:marTop w:val="0"/>
              <w:marBottom w:val="0"/>
              <w:divBdr>
                <w:top w:val="none" w:sz="0" w:space="0" w:color="auto"/>
                <w:left w:val="none" w:sz="0" w:space="0" w:color="auto"/>
                <w:bottom w:val="none" w:sz="0" w:space="0" w:color="auto"/>
                <w:right w:val="none" w:sz="0" w:space="0" w:color="auto"/>
              </w:divBdr>
            </w:div>
            <w:div w:id="1525941727">
              <w:marLeft w:val="0"/>
              <w:marRight w:val="0"/>
              <w:marTop w:val="0"/>
              <w:marBottom w:val="0"/>
              <w:divBdr>
                <w:top w:val="none" w:sz="0" w:space="0" w:color="auto"/>
                <w:left w:val="none" w:sz="0" w:space="0" w:color="auto"/>
                <w:bottom w:val="none" w:sz="0" w:space="0" w:color="auto"/>
                <w:right w:val="none" w:sz="0" w:space="0" w:color="auto"/>
              </w:divBdr>
            </w:div>
            <w:div w:id="1566794221">
              <w:marLeft w:val="0"/>
              <w:marRight w:val="0"/>
              <w:marTop w:val="0"/>
              <w:marBottom w:val="0"/>
              <w:divBdr>
                <w:top w:val="none" w:sz="0" w:space="0" w:color="auto"/>
                <w:left w:val="none" w:sz="0" w:space="0" w:color="auto"/>
                <w:bottom w:val="none" w:sz="0" w:space="0" w:color="auto"/>
                <w:right w:val="none" w:sz="0" w:space="0" w:color="auto"/>
              </w:divBdr>
            </w:div>
            <w:div w:id="1599369804">
              <w:marLeft w:val="0"/>
              <w:marRight w:val="0"/>
              <w:marTop w:val="0"/>
              <w:marBottom w:val="0"/>
              <w:divBdr>
                <w:top w:val="none" w:sz="0" w:space="0" w:color="auto"/>
                <w:left w:val="none" w:sz="0" w:space="0" w:color="auto"/>
                <w:bottom w:val="none" w:sz="0" w:space="0" w:color="auto"/>
                <w:right w:val="none" w:sz="0" w:space="0" w:color="auto"/>
              </w:divBdr>
            </w:div>
            <w:div w:id="1628244714">
              <w:marLeft w:val="0"/>
              <w:marRight w:val="0"/>
              <w:marTop w:val="0"/>
              <w:marBottom w:val="0"/>
              <w:divBdr>
                <w:top w:val="none" w:sz="0" w:space="0" w:color="auto"/>
                <w:left w:val="none" w:sz="0" w:space="0" w:color="auto"/>
                <w:bottom w:val="none" w:sz="0" w:space="0" w:color="auto"/>
                <w:right w:val="none" w:sz="0" w:space="0" w:color="auto"/>
              </w:divBdr>
            </w:div>
            <w:div w:id="1645619741">
              <w:marLeft w:val="0"/>
              <w:marRight w:val="0"/>
              <w:marTop w:val="0"/>
              <w:marBottom w:val="0"/>
              <w:divBdr>
                <w:top w:val="none" w:sz="0" w:space="0" w:color="auto"/>
                <w:left w:val="none" w:sz="0" w:space="0" w:color="auto"/>
                <w:bottom w:val="none" w:sz="0" w:space="0" w:color="auto"/>
                <w:right w:val="none" w:sz="0" w:space="0" w:color="auto"/>
              </w:divBdr>
            </w:div>
            <w:div w:id="1687753640">
              <w:marLeft w:val="0"/>
              <w:marRight w:val="0"/>
              <w:marTop w:val="0"/>
              <w:marBottom w:val="0"/>
              <w:divBdr>
                <w:top w:val="none" w:sz="0" w:space="0" w:color="auto"/>
                <w:left w:val="none" w:sz="0" w:space="0" w:color="auto"/>
                <w:bottom w:val="none" w:sz="0" w:space="0" w:color="auto"/>
                <w:right w:val="none" w:sz="0" w:space="0" w:color="auto"/>
              </w:divBdr>
            </w:div>
            <w:div w:id="1694576153">
              <w:marLeft w:val="0"/>
              <w:marRight w:val="0"/>
              <w:marTop w:val="0"/>
              <w:marBottom w:val="0"/>
              <w:divBdr>
                <w:top w:val="none" w:sz="0" w:space="0" w:color="auto"/>
                <w:left w:val="none" w:sz="0" w:space="0" w:color="auto"/>
                <w:bottom w:val="none" w:sz="0" w:space="0" w:color="auto"/>
                <w:right w:val="none" w:sz="0" w:space="0" w:color="auto"/>
              </w:divBdr>
            </w:div>
            <w:div w:id="1696689697">
              <w:marLeft w:val="0"/>
              <w:marRight w:val="0"/>
              <w:marTop w:val="0"/>
              <w:marBottom w:val="0"/>
              <w:divBdr>
                <w:top w:val="none" w:sz="0" w:space="0" w:color="auto"/>
                <w:left w:val="none" w:sz="0" w:space="0" w:color="auto"/>
                <w:bottom w:val="none" w:sz="0" w:space="0" w:color="auto"/>
                <w:right w:val="none" w:sz="0" w:space="0" w:color="auto"/>
              </w:divBdr>
            </w:div>
            <w:div w:id="1697461806">
              <w:marLeft w:val="0"/>
              <w:marRight w:val="0"/>
              <w:marTop w:val="0"/>
              <w:marBottom w:val="0"/>
              <w:divBdr>
                <w:top w:val="none" w:sz="0" w:space="0" w:color="auto"/>
                <w:left w:val="none" w:sz="0" w:space="0" w:color="auto"/>
                <w:bottom w:val="none" w:sz="0" w:space="0" w:color="auto"/>
                <w:right w:val="none" w:sz="0" w:space="0" w:color="auto"/>
              </w:divBdr>
            </w:div>
            <w:div w:id="1701928002">
              <w:marLeft w:val="0"/>
              <w:marRight w:val="0"/>
              <w:marTop w:val="0"/>
              <w:marBottom w:val="0"/>
              <w:divBdr>
                <w:top w:val="none" w:sz="0" w:space="0" w:color="auto"/>
                <w:left w:val="none" w:sz="0" w:space="0" w:color="auto"/>
                <w:bottom w:val="none" w:sz="0" w:space="0" w:color="auto"/>
                <w:right w:val="none" w:sz="0" w:space="0" w:color="auto"/>
              </w:divBdr>
            </w:div>
            <w:div w:id="1723819933">
              <w:marLeft w:val="0"/>
              <w:marRight w:val="0"/>
              <w:marTop w:val="0"/>
              <w:marBottom w:val="0"/>
              <w:divBdr>
                <w:top w:val="none" w:sz="0" w:space="0" w:color="auto"/>
                <w:left w:val="none" w:sz="0" w:space="0" w:color="auto"/>
                <w:bottom w:val="none" w:sz="0" w:space="0" w:color="auto"/>
                <w:right w:val="none" w:sz="0" w:space="0" w:color="auto"/>
              </w:divBdr>
            </w:div>
            <w:div w:id="1749763009">
              <w:marLeft w:val="0"/>
              <w:marRight w:val="0"/>
              <w:marTop w:val="0"/>
              <w:marBottom w:val="0"/>
              <w:divBdr>
                <w:top w:val="none" w:sz="0" w:space="0" w:color="auto"/>
                <w:left w:val="none" w:sz="0" w:space="0" w:color="auto"/>
                <w:bottom w:val="none" w:sz="0" w:space="0" w:color="auto"/>
                <w:right w:val="none" w:sz="0" w:space="0" w:color="auto"/>
              </w:divBdr>
            </w:div>
            <w:div w:id="1763332324">
              <w:marLeft w:val="0"/>
              <w:marRight w:val="0"/>
              <w:marTop w:val="0"/>
              <w:marBottom w:val="0"/>
              <w:divBdr>
                <w:top w:val="none" w:sz="0" w:space="0" w:color="auto"/>
                <w:left w:val="none" w:sz="0" w:space="0" w:color="auto"/>
                <w:bottom w:val="none" w:sz="0" w:space="0" w:color="auto"/>
                <w:right w:val="none" w:sz="0" w:space="0" w:color="auto"/>
              </w:divBdr>
            </w:div>
            <w:div w:id="1763377482">
              <w:marLeft w:val="0"/>
              <w:marRight w:val="0"/>
              <w:marTop w:val="0"/>
              <w:marBottom w:val="0"/>
              <w:divBdr>
                <w:top w:val="none" w:sz="0" w:space="0" w:color="auto"/>
                <w:left w:val="none" w:sz="0" w:space="0" w:color="auto"/>
                <w:bottom w:val="none" w:sz="0" w:space="0" w:color="auto"/>
                <w:right w:val="none" w:sz="0" w:space="0" w:color="auto"/>
              </w:divBdr>
            </w:div>
            <w:div w:id="1764183249">
              <w:marLeft w:val="0"/>
              <w:marRight w:val="0"/>
              <w:marTop w:val="0"/>
              <w:marBottom w:val="0"/>
              <w:divBdr>
                <w:top w:val="none" w:sz="0" w:space="0" w:color="auto"/>
                <w:left w:val="none" w:sz="0" w:space="0" w:color="auto"/>
                <w:bottom w:val="none" w:sz="0" w:space="0" w:color="auto"/>
                <w:right w:val="none" w:sz="0" w:space="0" w:color="auto"/>
              </w:divBdr>
            </w:div>
            <w:div w:id="1794979130">
              <w:marLeft w:val="0"/>
              <w:marRight w:val="0"/>
              <w:marTop w:val="0"/>
              <w:marBottom w:val="0"/>
              <w:divBdr>
                <w:top w:val="none" w:sz="0" w:space="0" w:color="auto"/>
                <w:left w:val="none" w:sz="0" w:space="0" w:color="auto"/>
                <w:bottom w:val="none" w:sz="0" w:space="0" w:color="auto"/>
                <w:right w:val="none" w:sz="0" w:space="0" w:color="auto"/>
              </w:divBdr>
            </w:div>
            <w:div w:id="1814833459">
              <w:marLeft w:val="0"/>
              <w:marRight w:val="0"/>
              <w:marTop w:val="0"/>
              <w:marBottom w:val="0"/>
              <w:divBdr>
                <w:top w:val="none" w:sz="0" w:space="0" w:color="auto"/>
                <w:left w:val="none" w:sz="0" w:space="0" w:color="auto"/>
                <w:bottom w:val="none" w:sz="0" w:space="0" w:color="auto"/>
                <w:right w:val="none" w:sz="0" w:space="0" w:color="auto"/>
              </w:divBdr>
            </w:div>
            <w:div w:id="1816675312">
              <w:marLeft w:val="0"/>
              <w:marRight w:val="0"/>
              <w:marTop w:val="0"/>
              <w:marBottom w:val="0"/>
              <w:divBdr>
                <w:top w:val="none" w:sz="0" w:space="0" w:color="auto"/>
                <w:left w:val="none" w:sz="0" w:space="0" w:color="auto"/>
                <w:bottom w:val="none" w:sz="0" w:space="0" w:color="auto"/>
                <w:right w:val="none" w:sz="0" w:space="0" w:color="auto"/>
              </w:divBdr>
            </w:div>
            <w:div w:id="1828284938">
              <w:marLeft w:val="0"/>
              <w:marRight w:val="0"/>
              <w:marTop w:val="0"/>
              <w:marBottom w:val="0"/>
              <w:divBdr>
                <w:top w:val="none" w:sz="0" w:space="0" w:color="auto"/>
                <w:left w:val="none" w:sz="0" w:space="0" w:color="auto"/>
                <w:bottom w:val="none" w:sz="0" w:space="0" w:color="auto"/>
                <w:right w:val="none" w:sz="0" w:space="0" w:color="auto"/>
              </w:divBdr>
            </w:div>
            <w:div w:id="1850830283">
              <w:marLeft w:val="0"/>
              <w:marRight w:val="0"/>
              <w:marTop w:val="0"/>
              <w:marBottom w:val="0"/>
              <w:divBdr>
                <w:top w:val="none" w:sz="0" w:space="0" w:color="auto"/>
                <w:left w:val="none" w:sz="0" w:space="0" w:color="auto"/>
                <w:bottom w:val="none" w:sz="0" w:space="0" w:color="auto"/>
                <w:right w:val="none" w:sz="0" w:space="0" w:color="auto"/>
              </w:divBdr>
            </w:div>
            <w:div w:id="1858619163">
              <w:marLeft w:val="0"/>
              <w:marRight w:val="0"/>
              <w:marTop w:val="0"/>
              <w:marBottom w:val="0"/>
              <w:divBdr>
                <w:top w:val="none" w:sz="0" w:space="0" w:color="auto"/>
                <w:left w:val="none" w:sz="0" w:space="0" w:color="auto"/>
                <w:bottom w:val="none" w:sz="0" w:space="0" w:color="auto"/>
                <w:right w:val="none" w:sz="0" w:space="0" w:color="auto"/>
              </w:divBdr>
            </w:div>
            <w:div w:id="1865091093">
              <w:marLeft w:val="0"/>
              <w:marRight w:val="0"/>
              <w:marTop w:val="0"/>
              <w:marBottom w:val="0"/>
              <w:divBdr>
                <w:top w:val="none" w:sz="0" w:space="0" w:color="auto"/>
                <w:left w:val="none" w:sz="0" w:space="0" w:color="auto"/>
                <w:bottom w:val="none" w:sz="0" w:space="0" w:color="auto"/>
                <w:right w:val="none" w:sz="0" w:space="0" w:color="auto"/>
              </w:divBdr>
            </w:div>
            <w:div w:id="1875343975">
              <w:marLeft w:val="0"/>
              <w:marRight w:val="0"/>
              <w:marTop w:val="0"/>
              <w:marBottom w:val="0"/>
              <w:divBdr>
                <w:top w:val="none" w:sz="0" w:space="0" w:color="auto"/>
                <w:left w:val="none" w:sz="0" w:space="0" w:color="auto"/>
                <w:bottom w:val="none" w:sz="0" w:space="0" w:color="auto"/>
                <w:right w:val="none" w:sz="0" w:space="0" w:color="auto"/>
              </w:divBdr>
            </w:div>
            <w:div w:id="1878271671">
              <w:marLeft w:val="0"/>
              <w:marRight w:val="0"/>
              <w:marTop w:val="0"/>
              <w:marBottom w:val="0"/>
              <w:divBdr>
                <w:top w:val="none" w:sz="0" w:space="0" w:color="auto"/>
                <w:left w:val="none" w:sz="0" w:space="0" w:color="auto"/>
                <w:bottom w:val="none" w:sz="0" w:space="0" w:color="auto"/>
                <w:right w:val="none" w:sz="0" w:space="0" w:color="auto"/>
              </w:divBdr>
            </w:div>
            <w:div w:id="1896696064">
              <w:marLeft w:val="0"/>
              <w:marRight w:val="0"/>
              <w:marTop w:val="0"/>
              <w:marBottom w:val="0"/>
              <w:divBdr>
                <w:top w:val="none" w:sz="0" w:space="0" w:color="auto"/>
                <w:left w:val="none" w:sz="0" w:space="0" w:color="auto"/>
                <w:bottom w:val="none" w:sz="0" w:space="0" w:color="auto"/>
                <w:right w:val="none" w:sz="0" w:space="0" w:color="auto"/>
              </w:divBdr>
            </w:div>
            <w:div w:id="1919704881">
              <w:marLeft w:val="0"/>
              <w:marRight w:val="0"/>
              <w:marTop w:val="0"/>
              <w:marBottom w:val="0"/>
              <w:divBdr>
                <w:top w:val="none" w:sz="0" w:space="0" w:color="auto"/>
                <w:left w:val="none" w:sz="0" w:space="0" w:color="auto"/>
                <w:bottom w:val="none" w:sz="0" w:space="0" w:color="auto"/>
                <w:right w:val="none" w:sz="0" w:space="0" w:color="auto"/>
              </w:divBdr>
            </w:div>
            <w:div w:id="2056076034">
              <w:marLeft w:val="0"/>
              <w:marRight w:val="0"/>
              <w:marTop w:val="0"/>
              <w:marBottom w:val="0"/>
              <w:divBdr>
                <w:top w:val="none" w:sz="0" w:space="0" w:color="auto"/>
                <w:left w:val="none" w:sz="0" w:space="0" w:color="auto"/>
                <w:bottom w:val="none" w:sz="0" w:space="0" w:color="auto"/>
                <w:right w:val="none" w:sz="0" w:space="0" w:color="auto"/>
              </w:divBdr>
            </w:div>
            <w:div w:id="2097819540">
              <w:marLeft w:val="0"/>
              <w:marRight w:val="0"/>
              <w:marTop w:val="0"/>
              <w:marBottom w:val="0"/>
              <w:divBdr>
                <w:top w:val="none" w:sz="0" w:space="0" w:color="auto"/>
                <w:left w:val="none" w:sz="0" w:space="0" w:color="auto"/>
                <w:bottom w:val="none" w:sz="0" w:space="0" w:color="auto"/>
                <w:right w:val="none" w:sz="0" w:space="0" w:color="auto"/>
              </w:divBdr>
            </w:div>
            <w:div w:id="2125221894">
              <w:marLeft w:val="0"/>
              <w:marRight w:val="0"/>
              <w:marTop w:val="0"/>
              <w:marBottom w:val="0"/>
              <w:divBdr>
                <w:top w:val="none" w:sz="0" w:space="0" w:color="auto"/>
                <w:left w:val="none" w:sz="0" w:space="0" w:color="auto"/>
                <w:bottom w:val="none" w:sz="0" w:space="0" w:color="auto"/>
                <w:right w:val="none" w:sz="0" w:space="0" w:color="auto"/>
              </w:divBdr>
            </w:div>
            <w:div w:id="21435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618">
      <w:bodyDiv w:val="1"/>
      <w:marLeft w:val="0"/>
      <w:marRight w:val="0"/>
      <w:marTop w:val="0"/>
      <w:marBottom w:val="0"/>
      <w:divBdr>
        <w:top w:val="none" w:sz="0" w:space="0" w:color="auto"/>
        <w:left w:val="none" w:sz="0" w:space="0" w:color="auto"/>
        <w:bottom w:val="none" w:sz="0" w:space="0" w:color="auto"/>
        <w:right w:val="none" w:sz="0" w:space="0" w:color="auto"/>
      </w:divBdr>
    </w:div>
    <w:div w:id="713697619">
      <w:bodyDiv w:val="1"/>
      <w:marLeft w:val="0"/>
      <w:marRight w:val="0"/>
      <w:marTop w:val="0"/>
      <w:marBottom w:val="0"/>
      <w:divBdr>
        <w:top w:val="none" w:sz="0" w:space="0" w:color="auto"/>
        <w:left w:val="none" w:sz="0" w:space="0" w:color="auto"/>
        <w:bottom w:val="none" w:sz="0" w:space="0" w:color="auto"/>
        <w:right w:val="none" w:sz="0" w:space="0" w:color="auto"/>
      </w:divBdr>
    </w:div>
    <w:div w:id="718094955">
      <w:bodyDiv w:val="1"/>
      <w:marLeft w:val="0"/>
      <w:marRight w:val="0"/>
      <w:marTop w:val="0"/>
      <w:marBottom w:val="0"/>
      <w:divBdr>
        <w:top w:val="none" w:sz="0" w:space="0" w:color="auto"/>
        <w:left w:val="none" w:sz="0" w:space="0" w:color="auto"/>
        <w:bottom w:val="none" w:sz="0" w:space="0" w:color="auto"/>
        <w:right w:val="none" w:sz="0" w:space="0" w:color="auto"/>
      </w:divBdr>
      <w:divsChild>
        <w:div w:id="28378073">
          <w:marLeft w:val="0"/>
          <w:marRight w:val="0"/>
          <w:marTop w:val="0"/>
          <w:marBottom w:val="0"/>
          <w:divBdr>
            <w:top w:val="none" w:sz="0" w:space="0" w:color="auto"/>
            <w:left w:val="none" w:sz="0" w:space="0" w:color="auto"/>
            <w:bottom w:val="none" w:sz="0" w:space="0" w:color="auto"/>
            <w:right w:val="none" w:sz="0" w:space="0" w:color="auto"/>
          </w:divBdr>
        </w:div>
        <w:div w:id="86509231">
          <w:marLeft w:val="0"/>
          <w:marRight w:val="0"/>
          <w:marTop w:val="0"/>
          <w:marBottom w:val="0"/>
          <w:divBdr>
            <w:top w:val="none" w:sz="0" w:space="0" w:color="auto"/>
            <w:left w:val="none" w:sz="0" w:space="0" w:color="auto"/>
            <w:bottom w:val="none" w:sz="0" w:space="0" w:color="auto"/>
            <w:right w:val="none" w:sz="0" w:space="0" w:color="auto"/>
          </w:divBdr>
        </w:div>
        <w:div w:id="119493889">
          <w:marLeft w:val="0"/>
          <w:marRight w:val="0"/>
          <w:marTop w:val="0"/>
          <w:marBottom w:val="0"/>
          <w:divBdr>
            <w:top w:val="none" w:sz="0" w:space="0" w:color="auto"/>
            <w:left w:val="none" w:sz="0" w:space="0" w:color="auto"/>
            <w:bottom w:val="none" w:sz="0" w:space="0" w:color="auto"/>
            <w:right w:val="none" w:sz="0" w:space="0" w:color="auto"/>
          </w:divBdr>
        </w:div>
        <w:div w:id="217715673">
          <w:marLeft w:val="0"/>
          <w:marRight w:val="0"/>
          <w:marTop w:val="0"/>
          <w:marBottom w:val="0"/>
          <w:divBdr>
            <w:top w:val="none" w:sz="0" w:space="0" w:color="auto"/>
            <w:left w:val="none" w:sz="0" w:space="0" w:color="auto"/>
            <w:bottom w:val="none" w:sz="0" w:space="0" w:color="auto"/>
            <w:right w:val="none" w:sz="0" w:space="0" w:color="auto"/>
          </w:divBdr>
        </w:div>
        <w:div w:id="233929377">
          <w:marLeft w:val="0"/>
          <w:marRight w:val="0"/>
          <w:marTop w:val="0"/>
          <w:marBottom w:val="0"/>
          <w:divBdr>
            <w:top w:val="none" w:sz="0" w:space="0" w:color="auto"/>
            <w:left w:val="none" w:sz="0" w:space="0" w:color="auto"/>
            <w:bottom w:val="none" w:sz="0" w:space="0" w:color="auto"/>
            <w:right w:val="none" w:sz="0" w:space="0" w:color="auto"/>
          </w:divBdr>
        </w:div>
        <w:div w:id="237711225">
          <w:marLeft w:val="0"/>
          <w:marRight w:val="0"/>
          <w:marTop w:val="0"/>
          <w:marBottom w:val="0"/>
          <w:divBdr>
            <w:top w:val="none" w:sz="0" w:space="0" w:color="auto"/>
            <w:left w:val="none" w:sz="0" w:space="0" w:color="auto"/>
            <w:bottom w:val="none" w:sz="0" w:space="0" w:color="auto"/>
            <w:right w:val="none" w:sz="0" w:space="0" w:color="auto"/>
          </w:divBdr>
        </w:div>
        <w:div w:id="341274954">
          <w:marLeft w:val="0"/>
          <w:marRight w:val="0"/>
          <w:marTop w:val="0"/>
          <w:marBottom w:val="0"/>
          <w:divBdr>
            <w:top w:val="none" w:sz="0" w:space="0" w:color="auto"/>
            <w:left w:val="none" w:sz="0" w:space="0" w:color="auto"/>
            <w:bottom w:val="none" w:sz="0" w:space="0" w:color="auto"/>
            <w:right w:val="none" w:sz="0" w:space="0" w:color="auto"/>
          </w:divBdr>
        </w:div>
        <w:div w:id="426117629">
          <w:marLeft w:val="0"/>
          <w:marRight w:val="0"/>
          <w:marTop w:val="0"/>
          <w:marBottom w:val="0"/>
          <w:divBdr>
            <w:top w:val="none" w:sz="0" w:space="0" w:color="auto"/>
            <w:left w:val="none" w:sz="0" w:space="0" w:color="auto"/>
            <w:bottom w:val="none" w:sz="0" w:space="0" w:color="auto"/>
            <w:right w:val="none" w:sz="0" w:space="0" w:color="auto"/>
          </w:divBdr>
        </w:div>
        <w:div w:id="447362216">
          <w:marLeft w:val="0"/>
          <w:marRight w:val="0"/>
          <w:marTop w:val="0"/>
          <w:marBottom w:val="0"/>
          <w:divBdr>
            <w:top w:val="none" w:sz="0" w:space="0" w:color="auto"/>
            <w:left w:val="none" w:sz="0" w:space="0" w:color="auto"/>
            <w:bottom w:val="none" w:sz="0" w:space="0" w:color="auto"/>
            <w:right w:val="none" w:sz="0" w:space="0" w:color="auto"/>
          </w:divBdr>
        </w:div>
        <w:div w:id="463737883">
          <w:marLeft w:val="0"/>
          <w:marRight w:val="0"/>
          <w:marTop w:val="0"/>
          <w:marBottom w:val="0"/>
          <w:divBdr>
            <w:top w:val="none" w:sz="0" w:space="0" w:color="auto"/>
            <w:left w:val="none" w:sz="0" w:space="0" w:color="auto"/>
            <w:bottom w:val="none" w:sz="0" w:space="0" w:color="auto"/>
            <w:right w:val="none" w:sz="0" w:space="0" w:color="auto"/>
          </w:divBdr>
        </w:div>
        <w:div w:id="473527960">
          <w:marLeft w:val="0"/>
          <w:marRight w:val="0"/>
          <w:marTop w:val="0"/>
          <w:marBottom w:val="0"/>
          <w:divBdr>
            <w:top w:val="none" w:sz="0" w:space="0" w:color="auto"/>
            <w:left w:val="none" w:sz="0" w:space="0" w:color="auto"/>
            <w:bottom w:val="none" w:sz="0" w:space="0" w:color="auto"/>
            <w:right w:val="none" w:sz="0" w:space="0" w:color="auto"/>
          </w:divBdr>
        </w:div>
        <w:div w:id="494148982">
          <w:marLeft w:val="0"/>
          <w:marRight w:val="0"/>
          <w:marTop w:val="0"/>
          <w:marBottom w:val="0"/>
          <w:divBdr>
            <w:top w:val="none" w:sz="0" w:space="0" w:color="auto"/>
            <w:left w:val="none" w:sz="0" w:space="0" w:color="auto"/>
            <w:bottom w:val="none" w:sz="0" w:space="0" w:color="auto"/>
            <w:right w:val="none" w:sz="0" w:space="0" w:color="auto"/>
          </w:divBdr>
        </w:div>
        <w:div w:id="518930982">
          <w:marLeft w:val="0"/>
          <w:marRight w:val="0"/>
          <w:marTop w:val="0"/>
          <w:marBottom w:val="0"/>
          <w:divBdr>
            <w:top w:val="none" w:sz="0" w:space="0" w:color="auto"/>
            <w:left w:val="none" w:sz="0" w:space="0" w:color="auto"/>
            <w:bottom w:val="none" w:sz="0" w:space="0" w:color="auto"/>
            <w:right w:val="none" w:sz="0" w:space="0" w:color="auto"/>
          </w:divBdr>
        </w:div>
        <w:div w:id="520706940">
          <w:marLeft w:val="0"/>
          <w:marRight w:val="0"/>
          <w:marTop w:val="0"/>
          <w:marBottom w:val="0"/>
          <w:divBdr>
            <w:top w:val="none" w:sz="0" w:space="0" w:color="auto"/>
            <w:left w:val="none" w:sz="0" w:space="0" w:color="auto"/>
            <w:bottom w:val="none" w:sz="0" w:space="0" w:color="auto"/>
            <w:right w:val="none" w:sz="0" w:space="0" w:color="auto"/>
          </w:divBdr>
        </w:div>
        <w:div w:id="564727803">
          <w:marLeft w:val="0"/>
          <w:marRight w:val="0"/>
          <w:marTop w:val="0"/>
          <w:marBottom w:val="0"/>
          <w:divBdr>
            <w:top w:val="none" w:sz="0" w:space="0" w:color="auto"/>
            <w:left w:val="none" w:sz="0" w:space="0" w:color="auto"/>
            <w:bottom w:val="none" w:sz="0" w:space="0" w:color="auto"/>
            <w:right w:val="none" w:sz="0" w:space="0" w:color="auto"/>
          </w:divBdr>
        </w:div>
        <w:div w:id="588274507">
          <w:marLeft w:val="0"/>
          <w:marRight w:val="0"/>
          <w:marTop w:val="0"/>
          <w:marBottom w:val="0"/>
          <w:divBdr>
            <w:top w:val="none" w:sz="0" w:space="0" w:color="auto"/>
            <w:left w:val="none" w:sz="0" w:space="0" w:color="auto"/>
            <w:bottom w:val="none" w:sz="0" w:space="0" w:color="auto"/>
            <w:right w:val="none" w:sz="0" w:space="0" w:color="auto"/>
          </w:divBdr>
        </w:div>
        <w:div w:id="599604045">
          <w:marLeft w:val="0"/>
          <w:marRight w:val="0"/>
          <w:marTop w:val="0"/>
          <w:marBottom w:val="0"/>
          <w:divBdr>
            <w:top w:val="none" w:sz="0" w:space="0" w:color="auto"/>
            <w:left w:val="none" w:sz="0" w:space="0" w:color="auto"/>
            <w:bottom w:val="none" w:sz="0" w:space="0" w:color="auto"/>
            <w:right w:val="none" w:sz="0" w:space="0" w:color="auto"/>
          </w:divBdr>
        </w:div>
        <w:div w:id="672993205">
          <w:marLeft w:val="0"/>
          <w:marRight w:val="0"/>
          <w:marTop w:val="0"/>
          <w:marBottom w:val="0"/>
          <w:divBdr>
            <w:top w:val="none" w:sz="0" w:space="0" w:color="auto"/>
            <w:left w:val="none" w:sz="0" w:space="0" w:color="auto"/>
            <w:bottom w:val="none" w:sz="0" w:space="0" w:color="auto"/>
            <w:right w:val="none" w:sz="0" w:space="0" w:color="auto"/>
          </w:divBdr>
        </w:div>
        <w:div w:id="689262633">
          <w:marLeft w:val="0"/>
          <w:marRight w:val="0"/>
          <w:marTop w:val="0"/>
          <w:marBottom w:val="0"/>
          <w:divBdr>
            <w:top w:val="none" w:sz="0" w:space="0" w:color="auto"/>
            <w:left w:val="none" w:sz="0" w:space="0" w:color="auto"/>
            <w:bottom w:val="none" w:sz="0" w:space="0" w:color="auto"/>
            <w:right w:val="none" w:sz="0" w:space="0" w:color="auto"/>
          </w:divBdr>
        </w:div>
        <w:div w:id="759256217">
          <w:marLeft w:val="0"/>
          <w:marRight w:val="0"/>
          <w:marTop w:val="0"/>
          <w:marBottom w:val="0"/>
          <w:divBdr>
            <w:top w:val="none" w:sz="0" w:space="0" w:color="auto"/>
            <w:left w:val="none" w:sz="0" w:space="0" w:color="auto"/>
            <w:bottom w:val="none" w:sz="0" w:space="0" w:color="auto"/>
            <w:right w:val="none" w:sz="0" w:space="0" w:color="auto"/>
          </w:divBdr>
        </w:div>
        <w:div w:id="782917647">
          <w:marLeft w:val="0"/>
          <w:marRight w:val="0"/>
          <w:marTop w:val="0"/>
          <w:marBottom w:val="0"/>
          <w:divBdr>
            <w:top w:val="none" w:sz="0" w:space="0" w:color="auto"/>
            <w:left w:val="none" w:sz="0" w:space="0" w:color="auto"/>
            <w:bottom w:val="none" w:sz="0" w:space="0" w:color="auto"/>
            <w:right w:val="none" w:sz="0" w:space="0" w:color="auto"/>
          </w:divBdr>
        </w:div>
        <w:div w:id="855077882">
          <w:marLeft w:val="0"/>
          <w:marRight w:val="0"/>
          <w:marTop w:val="0"/>
          <w:marBottom w:val="0"/>
          <w:divBdr>
            <w:top w:val="none" w:sz="0" w:space="0" w:color="auto"/>
            <w:left w:val="none" w:sz="0" w:space="0" w:color="auto"/>
            <w:bottom w:val="none" w:sz="0" w:space="0" w:color="auto"/>
            <w:right w:val="none" w:sz="0" w:space="0" w:color="auto"/>
          </w:divBdr>
        </w:div>
        <w:div w:id="868833536">
          <w:marLeft w:val="0"/>
          <w:marRight w:val="0"/>
          <w:marTop w:val="0"/>
          <w:marBottom w:val="0"/>
          <w:divBdr>
            <w:top w:val="none" w:sz="0" w:space="0" w:color="auto"/>
            <w:left w:val="none" w:sz="0" w:space="0" w:color="auto"/>
            <w:bottom w:val="none" w:sz="0" w:space="0" w:color="auto"/>
            <w:right w:val="none" w:sz="0" w:space="0" w:color="auto"/>
          </w:divBdr>
        </w:div>
        <w:div w:id="918753469">
          <w:marLeft w:val="0"/>
          <w:marRight w:val="0"/>
          <w:marTop w:val="0"/>
          <w:marBottom w:val="0"/>
          <w:divBdr>
            <w:top w:val="none" w:sz="0" w:space="0" w:color="auto"/>
            <w:left w:val="none" w:sz="0" w:space="0" w:color="auto"/>
            <w:bottom w:val="none" w:sz="0" w:space="0" w:color="auto"/>
            <w:right w:val="none" w:sz="0" w:space="0" w:color="auto"/>
          </w:divBdr>
        </w:div>
        <w:div w:id="930702237">
          <w:marLeft w:val="0"/>
          <w:marRight w:val="0"/>
          <w:marTop w:val="0"/>
          <w:marBottom w:val="0"/>
          <w:divBdr>
            <w:top w:val="none" w:sz="0" w:space="0" w:color="auto"/>
            <w:left w:val="none" w:sz="0" w:space="0" w:color="auto"/>
            <w:bottom w:val="none" w:sz="0" w:space="0" w:color="auto"/>
            <w:right w:val="none" w:sz="0" w:space="0" w:color="auto"/>
          </w:divBdr>
        </w:div>
        <w:div w:id="954868206">
          <w:marLeft w:val="0"/>
          <w:marRight w:val="0"/>
          <w:marTop w:val="0"/>
          <w:marBottom w:val="0"/>
          <w:divBdr>
            <w:top w:val="none" w:sz="0" w:space="0" w:color="auto"/>
            <w:left w:val="none" w:sz="0" w:space="0" w:color="auto"/>
            <w:bottom w:val="none" w:sz="0" w:space="0" w:color="auto"/>
            <w:right w:val="none" w:sz="0" w:space="0" w:color="auto"/>
          </w:divBdr>
        </w:div>
        <w:div w:id="1001472213">
          <w:marLeft w:val="0"/>
          <w:marRight w:val="0"/>
          <w:marTop w:val="0"/>
          <w:marBottom w:val="0"/>
          <w:divBdr>
            <w:top w:val="none" w:sz="0" w:space="0" w:color="auto"/>
            <w:left w:val="none" w:sz="0" w:space="0" w:color="auto"/>
            <w:bottom w:val="none" w:sz="0" w:space="0" w:color="auto"/>
            <w:right w:val="none" w:sz="0" w:space="0" w:color="auto"/>
          </w:divBdr>
        </w:div>
        <w:div w:id="1004623890">
          <w:marLeft w:val="0"/>
          <w:marRight w:val="0"/>
          <w:marTop w:val="0"/>
          <w:marBottom w:val="0"/>
          <w:divBdr>
            <w:top w:val="none" w:sz="0" w:space="0" w:color="auto"/>
            <w:left w:val="none" w:sz="0" w:space="0" w:color="auto"/>
            <w:bottom w:val="none" w:sz="0" w:space="0" w:color="auto"/>
            <w:right w:val="none" w:sz="0" w:space="0" w:color="auto"/>
          </w:divBdr>
        </w:div>
        <w:div w:id="1069569801">
          <w:marLeft w:val="0"/>
          <w:marRight w:val="0"/>
          <w:marTop w:val="0"/>
          <w:marBottom w:val="0"/>
          <w:divBdr>
            <w:top w:val="none" w:sz="0" w:space="0" w:color="auto"/>
            <w:left w:val="none" w:sz="0" w:space="0" w:color="auto"/>
            <w:bottom w:val="none" w:sz="0" w:space="0" w:color="auto"/>
            <w:right w:val="none" w:sz="0" w:space="0" w:color="auto"/>
          </w:divBdr>
        </w:div>
        <w:div w:id="1077825580">
          <w:marLeft w:val="0"/>
          <w:marRight w:val="0"/>
          <w:marTop w:val="0"/>
          <w:marBottom w:val="0"/>
          <w:divBdr>
            <w:top w:val="none" w:sz="0" w:space="0" w:color="auto"/>
            <w:left w:val="none" w:sz="0" w:space="0" w:color="auto"/>
            <w:bottom w:val="none" w:sz="0" w:space="0" w:color="auto"/>
            <w:right w:val="none" w:sz="0" w:space="0" w:color="auto"/>
          </w:divBdr>
        </w:div>
        <w:div w:id="1079592872">
          <w:marLeft w:val="0"/>
          <w:marRight w:val="0"/>
          <w:marTop w:val="0"/>
          <w:marBottom w:val="0"/>
          <w:divBdr>
            <w:top w:val="none" w:sz="0" w:space="0" w:color="auto"/>
            <w:left w:val="none" w:sz="0" w:space="0" w:color="auto"/>
            <w:bottom w:val="none" w:sz="0" w:space="0" w:color="auto"/>
            <w:right w:val="none" w:sz="0" w:space="0" w:color="auto"/>
          </w:divBdr>
        </w:div>
        <w:div w:id="1094014598">
          <w:marLeft w:val="0"/>
          <w:marRight w:val="0"/>
          <w:marTop w:val="0"/>
          <w:marBottom w:val="0"/>
          <w:divBdr>
            <w:top w:val="none" w:sz="0" w:space="0" w:color="auto"/>
            <w:left w:val="none" w:sz="0" w:space="0" w:color="auto"/>
            <w:bottom w:val="none" w:sz="0" w:space="0" w:color="auto"/>
            <w:right w:val="none" w:sz="0" w:space="0" w:color="auto"/>
          </w:divBdr>
        </w:div>
        <w:div w:id="1133451575">
          <w:marLeft w:val="0"/>
          <w:marRight w:val="0"/>
          <w:marTop w:val="0"/>
          <w:marBottom w:val="0"/>
          <w:divBdr>
            <w:top w:val="none" w:sz="0" w:space="0" w:color="auto"/>
            <w:left w:val="none" w:sz="0" w:space="0" w:color="auto"/>
            <w:bottom w:val="none" w:sz="0" w:space="0" w:color="auto"/>
            <w:right w:val="none" w:sz="0" w:space="0" w:color="auto"/>
          </w:divBdr>
        </w:div>
        <w:div w:id="1177698780">
          <w:marLeft w:val="0"/>
          <w:marRight w:val="0"/>
          <w:marTop w:val="0"/>
          <w:marBottom w:val="0"/>
          <w:divBdr>
            <w:top w:val="none" w:sz="0" w:space="0" w:color="auto"/>
            <w:left w:val="none" w:sz="0" w:space="0" w:color="auto"/>
            <w:bottom w:val="none" w:sz="0" w:space="0" w:color="auto"/>
            <w:right w:val="none" w:sz="0" w:space="0" w:color="auto"/>
          </w:divBdr>
        </w:div>
        <w:div w:id="1180700101">
          <w:marLeft w:val="0"/>
          <w:marRight w:val="0"/>
          <w:marTop w:val="0"/>
          <w:marBottom w:val="0"/>
          <w:divBdr>
            <w:top w:val="none" w:sz="0" w:space="0" w:color="auto"/>
            <w:left w:val="none" w:sz="0" w:space="0" w:color="auto"/>
            <w:bottom w:val="none" w:sz="0" w:space="0" w:color="auto"/>
            <w:right w:val="none" w:sz="0" w:space="0" w:color="auto"/>
          </w:divBdr>
        </w:div>
        <w:div w:id="1244416764">
          <w:marLeft w:val="0"/>
          <w:marRight w:val="0"/>
          <w:marTop w:val="0"/>
          <w:marBottom w:val="0"/>
          <w:divBdr>
            <w:top w:val="none" w:sz="0" w:space="0" w:color="auto"/>
            <w:left w:val="none" w:sz="0" w:space="0" w:color="auto"/>
            <w:bottom w:val="none" w:sz="0" w:space="0" w:color="auto"/>
            <w:right w:val="none" w:sz="0" w:space="0" w:color="auto"/>
          </w:divBdr>
        </w:div>
        <w:div w:id="1246454872">
          <w:marLeft w:val="0"/>
          <w:marRight w:val="0"/>
          <w:marTop w:val="0"/>
          <w:marBottom w:val="0"/>
          <w:divBdr>
            <w:top w:val="none" w:sz="0" w:space="0" w:color="auto"/>
            <w:left w:val="none" w:sz="0" w:space="0" w:color="auto"/>
            <w:bottom w:val="none" w:sz="0" w:space="0" w:color="auto"/>
            <w:right w:val="none" w:sz="0" w:space="0" w:color="auto"/>
          </w:divBdr>
        </w:div>
        <w:div w:id="1261330546">
          <w:marLeft w:val="0"/>
          <w:marRight w:val="0"/>
          <w:marTop w:val="0"/>
          <w:marBottom w:val="0"/>
          <w:divBdr>
            <w:top w:val="none" w:sz="0" w:space="0" w:color="auto"/>
            <w:left w:val="none" w:sz="0" w:space="0" w:color="auto"/>
            <w:bottom w:val="none" w:sz="0" w:space="0" w:color="auto"/>
            <w:right w:val="none" w:sz="0" w:space="0" w:color="auto"/>
          </w:divBdr>
        </w:div>
        <w:div w:id="1268930154">
          <w:marLeft w:val="0"/>
          <w:marRight w:val="0"/>
          <w:marTop w:val="0"/>
          <w:marBottom w:val="0"/>
          <w:divBdr>
            <w:top w:val="none" w:sz="0" w:space="0" w:color="auto"/>
            <w:left w:val="none" w:sz="0" w:space="0" w:color="auto"/>
            <w:bottom w:val="none" w:sz="0" w:space="0" w:color="auto"/>
            <w:right w:val="none" w:sz="0" w:space="0" w:color="auto"/>
          </w:divBdr>
        </w:div>
        <w:div w:id="1310596915">
          <w:marLeft w:val="0"/>
          <w:marRight w:val="0"/>
          <w:marTop w:val="0"/>
          <w:marBottom w:val="0"/>
          <w:divBdr>
            <w:top w:val="none" w:sz="0" w:space="0" w:color="auto"/>
            <w:left w:val="none" w:sz="0" w:space="0" w:color="auto"/>
            <w:bottom w:val="none" w:sz="0" w:space="0" w:color="auto"/>
            <w:right w:val="none" w:sz="0" w:space="0" w:color="auto"/>
          </w:divBdr>
        </w:div>
        <w:div w:id="1310943709">
          <w:marLeft w:val="0"/>
          <w:marRight w:val="0"/>
          <w:marTop w:val="0"/>
          <w:marBottom w:val="0"/>
          <w:divBdr>
            <w:top w:val="none" w:sz="0" w:space="0" w:color="auto"/>
            <w:left w:val="none" w:sz="0" w:space="0" w:color="auto"/>
            <w:bottom w:val="none" w:sz="0" w:space="0" w:color="auto"/>
            <w:right w:val="none" w:sz="0" w:space="0" w:color="auto"/>
          </w:divBdr>
        </w:div>
        <w:div w:id="1369993082">
          <w:marLeft w:val="0"/>
          <w:marRight w:val="0"/>
          <w:marTop w:val="0"/>
          <w:marBottom w:val="0"/>
          <w:divBdr>
            <w:top w:val="none" w:sz="0" w:space="0" w:color="auto"/>
            <w:left w:val="none" w:sz="0" w:space="0" w:color="auto"/>
            <w:bottom w:val="none" w:sz="0" w:space="0" w:color="auto"/>
            <w:right w:val="none" w:sz="0" w:space="0" w:color="auto"/>
          </w:divBdr>
        </w:div>
        <w:div w:id="1414473123">
          <w:marLeft w:val="0"/>
          <w:marRight w:val="0"/>
          <w:marTop w:val="0"/>
          <w:marBottom w:val="0"/>
          <w:divBdr>
            <w:top w:val="none" w:sz="0" w:space="0" w:color="auto"/>
            <w:left w:val="none" w:sz="0" w:space="0" w:color="auto"/>
            <w:bottom w:val="none" w:sz="0" w:space="0" w:color="auto"/>
            <w:right w:val="none" w:sz="0" w:space="0" w:color="auto"/>
          </w:divBdr>
        </w:div>
        <w:div w:id="1434208330">
          <w:marLeft w:val="0"/>
          <w:marRight w:val="0"/>
          <w:marTop w:val="0"/>
          <w:marBottom w:val="0"/>
          <w:divBdr>
            <w:top w:val="none" w:sz="0" w:space="0" w:color="auto"/>
            <w:left w:val="none" w:sz="0" w:space="0" w:color="auto"/>
            <w:bottom w:val="none" w:sz="0" w:space="0" w:color="auto"/>
            <w:right w:val="none" w:sz="0" w:space="0" w:color="auto"/>
          </w:divBdr>
        </w:div>
        <w:div w:id="1457792821">
          <w:marLeft w:val="0"/>
          <w:marRight w:val="0"/>
          <w:marTop w:val="0"/>
          <w:marBottom w:val="0"/>
          <w:divBdr>
            <w:top w:val="none" w:sz="0" w:space="0" w:color="auto"/>
            <w:left w:val="none" w:sz="0" w:space="0" w:color="auto"/>
            <w:bottom w:val="none" w:sz="0" w:space="0" w:color="auto"/>
            <w:right w:val="none" w:sz="0" w:space="0" w:color="auto"/>
          </w:divBdr>
        </w:div>
        <w:div w:id="1525828978">
          <w:marLeft w:val="0"/>
          <w:marRight w:val="0"/>
          <w:marTop w:val="0"/>
          <w:marBottom w:val="0"/>
          <w:divBdr>
            <w:top w:val="none" w:sz="0" w:space="0" w:color="auto"/>
            <w:left w:val="none" w:sz="0" w:space="0" w:color="auto"/>
            <w:bottom w:val="none" w:sz="0" w:space="0" w:color="auto"/>
            <w:right w:val="none" w:sz="0" w:space="0" w:color="auto"/>
          </w:divBdr>
        </w:div>
        <w:div w:id="1568414698">
          <w:marLeft w:val="0"/>
          <w:marRight w:val="0"/>
          <w:marTop w:val="0"/>
          <w:marBottom w:val="0"/>
          <w:divBdr>
            <w:top w:val="none" w:sz="0" w:space="0" w:color="auto"/>
            <w:left w:val="none" w:sz="0" w:space="0" w:color="auto"/>
            <w:bottom w:val="none" w:sz="0" w:space="0" w:color="auto"/>
            <w:right w:val="none" w:sz="0" w:space="0" w:color="auto"/>
          </w:divBdr>
        </w:div>
        <w:div w:id="1596013579">
          <w:marLeft w:val="0"/>
          <w:marRight w:val="0"/>
          <w:marTop w:val="0"/>
          <w:marBottom w:val="0"/>
          <w:divBdr>
            <w:top w:val="none" w:sz="0" w:space="0" w:color="auto"/>
            <w:left w:val="none" w:sz="0" w:space="0" w:color="auto"/>
            <w:bottom w:val="none" w:sz="0" w:space="0" w:color="auto"/>
            <w:right w:val="none" w:sz="0" w:space="0" w:color="auto"/>
          </w:divBdr>
        </w:div>
        <w:div w:id="1610817627">
          <w:marLeft w:val="0"/>
          <w:marRight w:val="0"/>
          <w:marTop w:val="0"/>
          <w:marBottom w:val="0"/>
          <w:divBdr>
            <w:top w:val="none" w:sz="0" w:space="0" w:color="auto"/>
            <w:left w:val="none" w:sz="0" w:space="0" w:color="auto"/>
            <w:bottom w:val="none" w:sz="0" w:space="0" w:color="auto"/>
            <w:right w:val="none" w:sz="0" w:space="0" w:color="auto"/>
          </w:divBdr>
        </w:div>
        <w:div w:id="1615793116">
          <w:marLeft w:val="0"/>
          <w:marRight w:val="0"/>
          <w:marTop w:val="0"/>
          <w:marBottom w:val="0"/>
          <w:divBdr>
            <w:top w:val="none" w:sz="0" w:space="0" w:color="auto"/>
            <w:left w:val="none" w:sz="0" w:space="0" w:color="auto"/>
            <w:bottom w:val="none" w:sz="0" w:space="0" w:color="auto"/>
            <w:right w:val="none" w:sz="0" w:space="0" w:color="auto"/>
          </w:divBdr>
        </w:div>
        <w:div w:id="1653555464">
          <w:marLeft w:val="0"/>
          <w:marRight w:val="0"/>
          <w:marTop w:val="0"/>
          <w:marBottom w:val="0"/>
          <w:divBdr>
            <w:top w:val="none" w:sz="0" w:space="0" w:color="auto"/>
            <w:left w:val="none" w:sz="0" w:space="0" w:color="auto"/>
            <w:bottom w:val="none" w:sz="0" w:space="0" w:color="auto"/>
            <w:right w:val="none" w:sz="0" w:space="0" w:color="auto"/>
          </w:divBdr>
        </w:div>
        <w:div w:id="1655602338">
          <w:marLeft w:val="0"/>
          <w:marRight w:val="0"/>
          <w:marTop w:val="0"/>
          <w:marBottom w:val="0"/>
          <w:divBdr>
            <w:top w:val="none" w:sz="0" w:space="0" w:color="auto"/>
            <w:left w:val="none" w:sz="0" w:space="0" w:color="auto"/>
            <w:bottom w:val="none" w:sz="0" w:space="0" w:color="auto"/>
            <w:right w:val="none" w:sz="0" w:space="0" w:color="auto"/>
          </w:divBdr>
        </w:div>
        <w:div w:id="1671323393">
          <w:marLeft w:val="0"/>
          <w:marRight w:val="0"/>
          <w:marTop w:val="0"/>
          <w:marBottom w:val="0"/>
          <w:divBdr>
            <w:top w:val="none" w:sz="0" w:space="0" w:color="auto"/>
            <w:left w:val="none" w:sz="0" w:space="0" w:color="auto"/>
            <w:bottom w:val="none" w:sz="0" w:space="0" w:color="auto"/>
            <w:right w:val="none" w:sz="0" w:space="0" w:color="auto"/>
          </w:divBdr>
        </w:div>
        <w:div w:id="1673531031">
          <w:marLeft w:val="0"/>
          <w:marRight w:val="0"/>
          <w:marTop w:val="0"/>
          <w:marBottom w:val="0"/>
          <w:divBdr>
            <w:top w:val="none" w:sz="0" w:space="0" w:color="auto"/>
            <w:left w:val="none" w:sz="0" w:space="0" w:color="auto"/>
            <w:bottom w:val="none" w:sz="0" w:space="0" w:color="auto"/>
            <w:right w:val="none" w:sz="0" w:space="0" w:color="auto"/>
          </w:divBdr>
        </w:div>
        <w:div w:id="1774864009">
          <w:marLeft w:val="0"/>
          <w:marRight w:val="0"/>
          <w:marTop w:val="0"/>
          <w:marBottom w:val="0"/>
          <w:divBdr>
            <w:top w:val="none" w:sz="0" w:space="0" w:color="auto"/>
            <w:left w:val="none" w:sz="0" w:space="0" w:color="auto"/>
            <w:bottom w:val="none" w:sz="0" w:space="0" w:color="auto"/>
            <w:right w:val="none" w:sz="0" w:space="0" w:color="auto"/>
          </w:divBdr>
        </w:div>
        <w:div w:id="1814172514">
          <w:marLeft w:val="0"/>
          <w:marRight w:val="0"/>
          <w:marTop w:val="0"/>
          <w:marBottom w:val="0"/>
          <w:divBdr>
            <w:top w:val="none" w:sz="0" w:space="0" w:color="auto"/>
            <w:left w:val="none" w:sz="0" w:space="0" w:color="auto"/>
            <w:bottom w:val="none" w:sz="0" w:space="0" w:color="auto"/>
            <w:right w:val="none" w:sz="0" w:space="0" w:color="auto"/>
          </w:divBdr>
        </w:div>
        <w:div w:id="1837500199">
          <w:marLeft w:val="0"/>
          <w:marRight w:val="0"/>
          <w:marTop w:val="0"/>
          <w:marBottom w:val="0"/>
          <w:divBdr>
            <w:top w:val="none" w:sz="0" w:space="0" w:color="auto"/>
            <w:left w:val="none" w:sz="0" w:space="0" w:color="auto"/>
            <w:bottom w:val="none" w:sz="0" w:space="0" w:color="auto"/>
            <w:right w:val="none" w:sz="0" w:space="0" w:color="auto"/>
          </w:divBdr>
        </w:div>
        <w:div w:id="1854344172">
          <w:marLeft w:val="0"/>
          <w:marRight w:val="0"/>
          <w:marTop w:val="0"/>
          <w:marBottom w:val="0"/>
          <w:divBdr>
            <w:top w:val="none" w:sz="0" w:space="0" w:color="auto"/>
            <w:left w:val="none" w:sz="0" w:space="0" w:color="auto"/>
            <w:bottom w:val="none" w:sz="0" w:space="0" w:color="auto"/>
            <w:right w:val="none" w:sz="0" w:space="0" w:color="auto"/>
          </w:divBdr>
        </w:div>
        <w:div w:id="1945140380">
          <w:marLeft w:val="0"/>
          <w:marRight w:val="0"/>
          <w:marTop w:val="0"/>
          <w:marBottom w:val="0"/>
          <w:divBdr>
            <w:top w:val="none" w:sz="0" w:space="0" w:color="auto"/>
            <w:left w:val="none" w:sz="0" w:space="0" w:color="auto"/>
            <w:bottom w:val="none" w:sz="0" w:space="0" w:color="auto"/>
            <w:right w:val="none" w:sz="0" w:space="0" w:color="auto"/>
          </w:divBdr>
        </w:div>
        <w:div w:id="2031224598">
          <w:marLeft w:val="0"/>
          <w:marRight w:val="0"/>
          <w:marTop w:val="0"/>
          <w:marBottom w:val="0"/>
          <w:divBdr>
            <w:top w:val="none" w:sz="0" w:space="0" w:color="auto"/>
            <w:left w:val="none" w:sz="0" w:space="0" w:color="auto"/>
            <w:bottom w:val="none" w:sz="0" w:space="0" w:color="auto"/>
            <w:right w:val="none" w:sz="0" w:space="0" w:color="auto"/>
          </w:divBdr>
        </w:div>
      </w:divsChild>
    </w:div>
    <w:div w:id="723875737">
      <w:bodyDiv w:val="1"/>
      <w:marLeft w:val="0"/>
      <w:marRight w:val="0"/>
      <w:marTop w:val="0"/>
      <w:marBottom w:val="0"/>
      <w:divBdr>
        <w:top w:val="none" w:sz="0" w:space="0" w:color="auto"/>
        <w:left w:val="none" w:sz="0" w:space="0" w:color="auto"/>
        <w:bottom w:val="none" w:sz="0" w:space="0" w:color="auto"/>
        <w:right w:val="none" w:sz="0" w:space="0" w:color="auto"/>
      </w:divBdr>
      <w:divsChild>
        <w:div w:id="2022929394">
          <w:marLeft w:val="0"/>
          <w:marRight w:val="0"/>
          <w:marTop w:val="0"/>
          <w:marBottom w:val="0"/>
          <w:divBdr>
            <w:top w:val="none" w:sz="0" w:space="0" w:color="auto"/>
            <w:left w:val="none" w:sz="0" w:space="0" w:color="auto"/>
            <w:bottom w:val="none" w:sz="0" w:space="0" w:color="auto"/>
            <w:right w:val="none" w:sz="0" w:space="0" w:color="auto"/>
          </w:divBdr>
        </w:div>
      </w:divsChild>
    </w:div>
    <w:div w:id="727538223">
      <w:bodyDiv w:val="1"/>
      <w:marLeft w:val="0"/>
      <w:marRight w:val="0"/>
      <w:marTop w:val="0"/>
      <w:marBottom w:val="0"/>
      <w:divBdr>
        <w:top w:val="none" w:sz="0" w:space="0" w:color="auto"/>
        <w:left w:val="none" w:sz="0" w:space="0" w:color="auto"/>
        <w:bottom w:val="none" w:sz="0" w:space="0" w:color="auto"/>
        <w:right w:val="none" w:sz="0" w:space="0" w:color="auto"/>
      </w:divBdr>
    </w:div>
    <w:div w:id="727844944">
      <w:bodyDiv w:val="1"/>
      <w:marLeft w:val="0"/>
      <w:marRight w:val="0"/>
      <w:marTop w:val="0"/>
      <w:marBottom w:val="0"/>
      <w:divBdr>
        <w:top w:val="none" w:sz="0" w:space="0" w:color="auto"/>
        <w:left w:val="none" w:sz="0" w:space="0" w:color="auto"/>
        <w:bottom w:val="none" w:sz="0" w:space="0" w:color="auto"/>
        <w:right w:val="none" w:sz="0" w:space="0" w:color="auto"/>
      </w:divBdr>
    </w:div>
    <w:div w:id="728697261">
      <w:bodyDiv w:val="1"/>
      <w:marLeft w:val="0"/>
      <w:marRight w:val="0"/>
      <w:marTop w:val="0"/>
      <w:marBottom w:val="0"/>
      <w:divBdr>
        <w:top w:val="none" w:sz="0" w:space="0" w:color="auto"/>
        <w:left w:val="none" w:sz="0" w:space="0" w:color="auto"/>
        <w:bottom w:val="none" w:sz="0" w:space="0" w:color="auto"/>
        <w:right w:val="none" w:sz="0" w:space="0" w:color="auto"/>
      </w:divBdr>
      <w:divsChild>
        <w:div w:id="849564078">
          <w:marLeft w:val="0"/>
          <w:marRight w:val="0"/>
          <w:marTop w:val="100"/>
          <w:marBottom w:val="300"/>
          <w:divBdr>
            <w:top w:val="none" w:sz="0" w:space="0" w:color="auto"/>
            <w:left w:val="none" w:sz="0" w:space="0" w:color="auto"/>
            <w:bottom w:val="none" w:sz="0" w:space="0" w:color="auto"/>
            <w:right w:val="none" w:sz="0" w:space="0" w:color="auto"/>
          </w:divBdr>
        </w:div>
        <w:div w:id="854997454">
          <w:marLeft w:val="0"/>
          <w:marRight w:val="0"/>
          <w:marTop w:val="100"/>
          <w:marBottom w:val="300"/>
          <w:divBdr>
            <w:top w:val="none" w:sz="0" w:space="0" w:color="auto"/>
            <w:left w:val="none" w:sz="0" w:space="0" w:color="auto"/>
            <w:bottom w:val="none" w:sz="0" w:space="0" w:color="auto"/>
            <w:right w:val="none" w:sz="0" w:space="0" w:color="auto"/>
          </w:divBdr>
        </w:div>
      </w:divsChild>
    </w:div>
    <w:div w:id="731316423">
      <w:bodyDiv w:val="1"/>
      <w:marLeft w:val="0"/>
      <w:marRight w:val="0"/>
      <w:marTop w:val="0"/>
      <w:marBottom w:val="0"/>
      <w:divBdr>
        <w:top w:val="none" w:sz="0" w:space="0" w:color="auto"/>
        <w:left w:val="none" w:sz="0" w:space="0" w:color="auto"/>
        <w:bottom w:val="none" w:sz="0" w:space="0" w:color="auto"/>
        <w:right w:val="none" w:sz="0" w:space="0" w:color="auto"/>
      </w:divBdr>
    </w:div>
    <w:div w:id="739526769">
      <w:bodyDiv w:val="1"/>
      <w:marLeft w:val="0"/>
      <w:marRight w:val="0"/>
      <w:marTop w:val="0"/>
      <w:marBottom w:val="0"/>
      <w:divBdr>
        <w:top w:val="none" w:sz="0" w:space="0" w:color="auto"/>
        <w:left w:val="none" w:sz="0" w:space="0" w:color="auto"/>
        <w:bottom w:val="none" w:sz="0" w:space="0" w:color="auto"/>
        <w:right w:val="none" w:sz="0" w:space="0" w:color="auto"/>
      </w:divBdr>
    </w:div>
    <w:div w:id="739908310">
      <w:bodyDiv w:val="1"/>
      <w:marLeft w:val="0"/>
      <w:marRight w:val="0"/>
      <w:marTop w:val="0"/>
      <w:marBottom w:val="0"/>
      <w:divBdr>
        <w:top w:val="none" w:sz="0" w:space="0" w:color="auto"/>
        <w:left w:val="none" w:sz="0" w:space="0" w:color="auto"/>
        <w:bottom w:val="none" w:sz="0" w:space="0" w:color="auto"/>
        <w:right w:val="none" w:sz="0" w:space="0" w:color="auto"/>
      </w:divBdr>
      <w:divsChild>
        <w:div w:id="138113956">
          <w:marLeft w:val="547"/>
          <w:marRight w:val="0"/>
          <w:marTop w:val="200"/>
          <w:marBottom w:val="0"/>
          <w:divBdr>
            <w:top w:val="none" w:sz="0" w:space="0" w:color="auto"/>
            <w:left w:val="none" w:sz="0" w:space="0" w:color="auto"/>
            <w:bottom w:val="none" w:sz="0" w:space="0" w:color="auto"/>
            <w:right w:val="none" w:sz="0" w:space="0" w:color="auto"/>
          </w:divBdr>
        </w:div>
        <w:div w:id="372048467">
          <w:marLeft w:val="547"/>
          <w:marRight w:val="0"/>
          <w:marTop w:val="200"/>
          <w:marBottom w:val="0"/>
          <w:divBdr>
            <w:top w:val="none" w:sz="0" w:space="0" w:color="auto"/>
            <w:left w:val="none" w:sz="0" w:space="0" w:color="auto"/>
            <w:bottom w:val="none" w:sz="0" w:space="0" w:color="auto"/>
            <w:right w:val="none" w:sz="0" w:space="0" w:color="auto"/>
          </w:divBdr>
        </w:div>
        <w:div w:id="879126211">
          <w:marLeft w:val="547"/>
          <w:marRight w:val="0"/>
          <w:marTop w:val="200"/>
          <w:marBottom w:val="0"/>
          <w:divBdr>
            <w:top w:val="none" w:sz="0" w:space="0" w:color="auto"/>
            <w:left w:val="none" w:sz="0" w:space="0" w:color="auto"/>
            <w:bottom w:val="none" w:sz="0" w:space="0" w:color="auto"/>
            <w:right w:val="none" w:sz="0" w:space="0" w:color="auto"/>
          </w:divBdr>
        </w:div>
        <w:div w:id="1021475708">
          <w:marLeft w:val="547"/>
          <w:marRight w:val="0"/>
          <w:marTop w:val="200"/>
          <w:marBottom w:val="0"/>
          <w:divBdr>
            <w:top w:val="none" w:sz="0" w:space="0" w:color="auto"/>
            <w:left w:val="none" w:sz="0" w:space="0" w:color="auto"/>
            <w:bottom w:val="none" w:sz="0" w:space="0" w:color="auto"/>
            <w:right w:val="none" w:sz="0" w:space="0" w:color="auto"/>
          </w:divBdr>
        </w:div>
        <w:div w:id="1096943634">
          <w:marLeft w:val="547"/>
          <w:marRight w:val="0"/>
          <w:marTop w:val="200"/>
          <w:marBottom w:val="0"/>
          <w:divBdr>
            <w:top w:val="none" w:sz="0" w:space="0" w:color="auto"/>
            <w:left w:val="none" w:sz="0" w:space="0" w:color="auto"/>
            <w:bottom w:val="none" w:sz="0" w:space="0" w:color="auto"/>
            <w:right w:val="none" w:sz="0" w:space="0" w:color="auto"/>
          </w:divBdr>
        </w:div>
        <w:div w:id="1818060928">
          <w:marLeft w:val="547"/>
          <w:marRight w:val="0"/>
          <w:marTop w:val="200"/>
          <w:marBottom w:val="0"/>
          <w:divBdr>
            <w:top w:val="none" w:sz="0" w:space="0" w:color="auto"/>
            <w:left w:val="none" w:sz="0" w:space="0" w:color="auto"/>
            <w:bottom w:val="none" w:sz="0" w:space="0" w:color="auto"/>
            <w:right w:val="none" w:sz="0" w:space="0" w:color="auto"/>
          </w:divBdr>
        </w:div>
      </w:divsChild>
    </w:div>
    <w:div w:id="747458921">
      <w:bodyDiv w:val="1"/>
      <w:marLeft w:val="0"/>
      <w:marRight w:val="0"/>
      <w:marTop w:val="0"/>
      <w:marBottom w:val="0"/>
      <w:divBdr>
        <w:top w:val="none" w:sz="0" w:space="0" w:color="auto"/>
        <w:left w:val="none" w:sz="0" w:space="0" w:color="auto"/>
        <w:bottom w:val="none" w:sz="0" w:space="0" w:color="auto"/>
        <w:right w:val="none" w:sz="0" w:space="0" w:color="auto"/>
      </w:divBdr>
    </w:div>
    <w:div w:id="751589917">
      <w:bodyDiv w:val="1"/>
      <w:marLeft w:val="0"/>
      <w:marRight w:val="0"/>
      <w:marTop w:val="0"/>
      <w:marBottom w:val="0"/>
      <w:divBdr>
        <w:top w:val="none" w:sz="0" w:space="0" w:color="auto"/>
        <w:left w:val="none" w:sz="0" w:space="0" w:color="auto"/>
        <w:bottom w:val="none" w:sz="0" w:space="0" w:color="auto"/>
        <w:right w:val="none" w:sz="0" w:space="0" w:color="auto"/>
      </w:divBdr>
      <w:divsChild>
        <w:div w:id="17120311">
          <w:marLeft w:val="0"/>
          <w:marRight w:val="0"/>
          <w:marTop w:val="0"/>
          <w:marBottom w:val="0"/>
          <w:divBdr>
            <w:top w:val="none" w:sz="0" w:space="0" w:color="auto"/>
            <w:left w:val="none" w:sz="0" w:space="0" w:color="auto"/>
            <w:bottom w:val="none" w:sz="0" w:space="0" w:color="auto"/>
            <w:right w:val="none" w:sz="0" w:space="0" w:color="auto"/>
          </w:divBdr>
        </w:div>
        <w:div w:id="33429046">
          <w:marLeft w:val="0"/>
          <w:marRight w:val="0"/>
          <w:marTop w:val="0"/>
          <w:marBottom w:val="0"/>
          <w:divBdr>
            <w:top w:val="none" w:sz="0" w:space="0" w:color="auto"/>
            <w:left w:val="none" w:sz="0" w:space="0" w:color="auto"/>
            <w:bottom w:val="none" w:sz="0" w:space="0" w:color="auto"/>
            <w:right w:val="none" w:sz="0" w:space="0" w:color="auto"/>
          </w:divBdr>
        </w:div>
        <w:div w:id="58209865">
          <w:marLeft w:val="0"/>
          <w:marRight w:val="0"/>
          <w:marTop w:val="0"/>
          <w:marBottom w:val="0"/>
          <w:divBdr>
            <w:top w:val="none" w:sz="0" w:space="0" w:color="auto"/>
            <w:left w:val="none" w:sz="0" w:space="0" w:color="auto"/>
            <w:bottom w:val="none" w:sz="0" w:space="0" w:color="auto"/>
            <w:right w:val="none" w:sz="0" w:space="0" w:color="auto"/>
          </w:divBdr>
        </w:div>
        <w:div w:id="96487406">
          <w:marLeft w:val="0"/>
          <w:marRight w:val="0"/>
          <w:marTop w:val="0"/>
          <w:marBottom w:val="0"/>
          <w:divBdr>
            <w:top w:val="none" w:sz="0" w:space="0" w:color="auto"/>
            <w:left w:val="none" w:sz="0" w:space="0" w:color="auto"/>
            <w:bottom w:val="none" w:sz="0" w:space="0" w:color="auto"/>
            <w:right w:val="none" w:sz="0" w:space="0" w:color="auto"/>
          </w:divBdr>
        </w:div>
        <w:div w:id="114257352">
          <w:marLeft w:val="0"/>
          <w:marRight w:val="0"/>
          <w:marTop w:val="0"/>
          <w:marBottom w:val="0"/>
          <w:divBdr>
            <w:top w:val="none" w:sz="0" w:space="0" w:color="auto"/>
            <w:left w:val="none" w:sz="0" w:space="0" w:color="auto"/>
            <w:bottom w:val="none" w:sz="0" w:space="0" w:color="auto"/>
            <w:right w:val="none" w:sz="0" w:space="0" w:color="auto"/>
          </w:divBdr>
        </w:div>
        <w:div w:id="295382447">
          <w:marLeft w:val="0"/>
          <w:marRight w:val="0"/>
          <w:marTop w:val="0"/>
          <w:marBottom w:val="0"/>
          <w:divBdr>
            <w:top w:val="none" w:sz="0" w:space="0" w:color="auto"/>
            <w:left w:val="none" w:sz="0" w:space="0" w:color="auto"/>
            <w:bottom w:val="none" w:sz="0" w:space="0" w:color="auto"/>
            <w:right w:val="none" w:sz="0" w:space="0" w:color="auto"/>
          </w:divBdr>
        </w:div>
        <w:div w:id="353576304">
          <w:marLeft w:val="0"/>
          <w:marRight w:val="0"/>
          <w:marTop w:val="0"/>
          <w:marBottom w:val="0"/>
          <w:divBdr>
            <w:top w:val="none" w:sz="0" w:space="0" w:color="auto"/>
            <w:left w:val="none" w:sz="0" w:space="0" w:color="auto"/>
            <w:bottom w:val="none" w:sz="0" w:space="0" w:color="auto"/>
            <w:right w:val="none" w:sz="0" w:space="0" w:color="auto"/>
          </w:divBdr>
        </w:div>
        <w:div w:id="370347206">
          <w:marLeft w:val="0"/>
          <w:marRight w:val="0"/>
          <w:marTop w:val="0"/>
          <w:marBottom w:val="0"/>
          <w:divBdr>
            <w:top w:val="none" w:sz="0" w:space="0" w:color="auto"/>
            <w:left w:val="none" w:sz="0" w:space="0" w:color="auto"/>
            <w:bottom w:val="none" w:sz="0" w:space="0" w:color="auto"/>
            <w:right w:val="none" w:sz="0" w:space="0" w:color="auto"/>
          </w:divBdr>
        </w:div>
        <w:div w:id="387533560">
          <w:marLeft w:val="0"/>
          <w:marRight w:val="0"/>
          <w:marTop w:val="0"/>
          <w:marBottom w:val="0"/>
          <w:divBdr>
            <w:top w:val="none" w:sz="0" w:space="0" w:color="auto"/>
            <w:left w:val="none" w:sz="0" w:space="0" w:color="auto"/>
            <w:bottom w:val="none" w:sz="0" w:space="0" w:color="auto"/>
            <w:right w:val="none" w:sz="0" w:space="0" w:color="auto"/>
          </w:divBdr>
        </w:div>
        <w:div w:id="444035143">
          <w:marLeft w:val="0"/>
          <w:marRight w:val="0"/>
          <w:marTop w:val="0"/>
          <w:marBottom w:val="0"/>
          <w:divBdr>
            <w:top w:val="none" w:sz="0" w:space="0" w:color="auto"/>
            <w:left w:val="none" w:sz="0" w:space="0" w:color="auto"/>
            <w:bottom w:val="none" w:sz="0" w:space="0" w:color="auto"/>
            <w:right w:val="none" w:sz="0" w:space="0" w:color="auto"/>
          </w:divBdr>
        </w:div>
        <w:div w:id="512652870">
          <w:marLeft w:val="0"/>
          <w:marRight w:val="0"/>
          <w:marTop w:val="0"/>
          <w:marBottom w:val="0"/>
          <w:divBdr>
            <w:top w:val="none" w:sz="0" w:space="0" w:color="auto"/>
            <w:left w:val="none" w:sz="0" w:space="0" w:color="auto"/>
            <w:bottom w:val="none" w:sz="0" w:space="0" w:color="auto"/>
            <w:right w:val="none" w:sz="0" w:space="0" w:color="auto"/>
          </w:divBdr>
        </w:div>
        <w:div w:id="527839352">
          <w:marLeft w:val="0"/>
          <w:marRight w:val="0"/>
          <w:marTop w:val="0"/>
          <w:marBottom w:val="0"/>
          <w:divBdr>
            <w:top w:val="none" w:sz="0" w:space="0" w:color="auto"/>
            <w:left w:val="none" w:sz="0" w:space="0" w:color="auto"/>
            <w:bottom w:val="none" w:sz="0" w:space="0" w:color="auto"/>
            <w:right w:val="none" w:sz="0" w:space="0" w:color="auto"/>
          </w:divBdr>
        </w:div>
        <w:div w:id="642924685">
          <w:marLeft w:val="0"/>
          <w:marRight w:val="0"/>
          <w:marTop w:val="0"/>
          <w:marBottom w:val="0"/>
          <w:divBdr>
            <w:top w:val="none" w:sz="0" w:space="0" w:color="auto"/>
            <w:left w:val="none" w:sz="0" w:space="0" w:color="auto"/>
            <w:bottom w:val="none" w:sz="0" w:space="0" w:color="auto"/>
            <w:right w:val="none" w:sz="0" w:space="0" w:color="auto"/>
          </w:divBdr>
        </w:div>
        <w:div w:id="647979305">
          <w:marLeft w:val="0"/>
          <w:marRight w:val="0"/>
          <w:marTop w:val="0"/>
          <w:marBottom w:val="0"/>
          <w:divBdr>
            <w:top w:val="none" w:sz="0" w:space="0" w:color="auto"/>
            <w:left w:val="none" w:sz="0" w:space="0" w:color="auto"/>
            <w:bottom w:val="none" w:sz="0" w:space="0" w:color="auto"/>
            <w:right w:val="none" w:sz="0" w:space="0" w:color="auto"/>
          </w:divBdr>
        </w:div>
        <w:div w:id="791824614">
          <w:marLeft w:val="0"/>
          <w:marRight w:val="0"/>
          <w:marTop w:val="0"/>
          <w:marBottom w:val="0"/>
          <w:divBdr>
            <w:top w:val="none" w:sz="0" w:space="0" w:color="auto"/>
            <w:left w:val="none" w:sz="0" w:space="0" w:color="auto"/>
            <w:bottom w:val="none" w:sz="0" w:space="0" w:color="auto"/>
            <w:right w:val="none" w:sz="0" w:space="0" w:color="auto"/>
          </w:divBdr>
        </w:div>
        <w:div w:id="820344495">
          <w:marLeft w:val="0"/>
          <w:marRight w:val="0"/>
          <w:marTop w:val="0"/>
          <w:marBottom w:val="0"/>
          <w:divBdr>
            <w:top w:val="none" w:sz="0" w:space="0" w:color="auto"/>
            <w:left w:val="none" w:sz="0" w:space="0" w:color="auto"/>
            <w:bottom w:val="none" w:sz="0" w:space="0" w:color="auto"/>
            <w:right w:val="none" w:sz="0" w:space="0" w:color="auto"/>
          </w:divBdr>
        </w:div>
        <w:div w:id="862285445">
          <w:marLeft w:val="0"/>
          <w:marRight w:val="0"/>
          <w:marTop w:val="0"/>
          <w:marBottom w:val="0"/>
          <w:divBdr>
            <w:top w:val="none" w:sz="0" w:space="0" w:color="auto"/>
            <w:left w:val="none" w:sz="0" w:space="0" w:color="auto"/>
            <w:bottom w:val="none" w:sz="0" w:space="0" w:color="auto"/>
            <w:right w:val="none" w:sz="0" w:space="0" w:color="auto"/>
          </w:divBdr>
        </w:div>
        <w:div w:id="868876610">
          <w:marLeft w:val="0"/>
          <w:marRight w:val="0"/>
          <w:marTop w:val="0"/>
          <w:marBottom w:val="0"/>
          <w:divBdr>
            <w:top w:val="none" w:sz="0" w:space="0" w:color="auto"/>
            <w:left w:val="none" w:sz="0" w:space="0" w:color="auto"/>
            <w:bottom w:val="none" w:sz="0" w:space="0" w:color="auto"/>
            <w:right w:val="none" w:sz="0" w:space="0" w:color="auto"/>
          </w:divBdr>
        </w:div>
        <w:div w:id="932319354">
          <w:marLeft w:val="0"/>
          <w:marRight w:val="0"/>
          <w:marTop w:val="0"/>
          <w:marBottom w:val="0"/>
          <w:divBdr>
            <w:top w:val="none" w:sz="0" w:space="0" w:color="auto"/>
            <w:left w:val="none" w:sz="0" w:space="0" w:color="auto"/>
            <w:bottom w:val="none" w:sz="0" w:space="0" w:color="auto"/>
            <w:right w:val="none" w:sz="0" w:space="0" w:color="auto"/>
          </w:divBdr>
        </w:div>
        <w:div w:id="1014041093">
          <w:marLeft w:val="0"/>
          <w:marRight w:val="0"/>
          <w:marTop w:val="0"/>
          <w:marBottom w:val="0"/>
          <w:divBdr>
            <w:top w:val="none" w:sz="0" w:space="0" w:color="auto"/>
            <w:left w:val="none" w:sz="0" w:space="0" w:color="auto"/>
            <w:bottom w:val="none" w:sz="0" w:space="0" w:color="auto"/>
            <w:right w:val="none" w:sz="0" w:space="0" w:color="auto"/>
          </w:divBdr>
        </w:div>
        <w:div w:id="1028488831">
          <w:marLeft w:val="0"/>
          <w:marRight w:val="0"/>
          <w:marTop w:val="0"/>
          <w:marBottom w:val="0"/>
          <w:divBdr>
            <w:top w:val="none" w:sz="0" w:space="0" w:color="auto"/>
            <w:left w:val="none" w:sz="0" w:space="0" w:color="auto"/>
            <w:bottom w:val="none" w:sz="0" w:space="0" w:color="auto"/>
            <w:right w:val="none" w:sz="0" w:space="0" w:color="auto"/>
          </w:divBdr>
        </w:div>
        <w:div w:id="1032995251">
          <w:marLeft w:val="0"/>
          <w:marRight w:val="0"/>
          <w:marTop w:val="0"/>
          <w:marBottom w:val="0"/>
          <w:divBdr>
            <w:top w:val="none" w:sz="0" w:space="0" w:color="auto"/>
            <w:left w:val="none" w:sz="0" w:space="0" w:color="auto"/>
            <w:bottom w:val="none" w:sz="0" w:space="0" w:color="auto"/>
            <w:right w:val="none" w:sz="0" w:space="0" w:color="auto"/>
          </w:divBdr>
        </w:div>
        <w:div w:id="1044906043">
          <w:marLeft w:val="0"/>
          <w:marRight w:val="0"/>
          <w:marTop w:val="0"/>
          <w:marBottom w:val="0"/>
          <w:divBdr>
            <w:top w:val="none" w:sz="0" w:space="0" w:color="auto"/>
            <w:left w:val="none" w:sz="0" w:space="0" w:color="auto"/>
            <w:bottom w:val="none" w:sz="0" w:space="0" w:color="auto"/>
            <w:right w:val="none" w:sz="0" w:space="0" w:color="auto"/>
          </w:divBdr>
        </w:div>
        <w:div w:id="1074857071">
          <w:marLeft w:val="0"/>
          <w:marRight w:val="0"/>
          <w:marTop w:val="0"/>
          <w:marBottom w:val="0"/>
          <w:divBdr>
            <w:top w:val="none" w:sz="0" w:space="0" w:color="auto"/>
            <w:left w:val="none" w:sz="0" w:space="0" w:color="auto"/>
            <w:bottom w:val="none" w:sz="0" w:space="0" w:color="auto"/>
            <w:right w:val="none" w:sz="0" w:space="0" w:color="auto"/>
          </w:divBdr>
        </w:div>
        <w:div w:id="1157722630">
          <w:marLeft w:val="0"/>
          <w:marRight w:val="0"/>
          <w:marTop w:val="0"/>
          <w:marBottom w:val="0"/>
          <w:divBdr>
            <w:top w:val="none" w:sz="0" w:space="0" w:color="auto"/>
            <w:left w:val="none" w:sz="0" w:space="0" w:color="auto"/>
            <w:bottom w:val="none" w:sz="0" w:space="0" w:color="auto"/>
            <w:right w:val="none" w:sz="0" w:space="0" w:color="auto"/>
          </w:divBdr>
        </w:div>
        <w:div w:id="1282495530">
          <w:marLeft w:val="0"/>
          <w:marRight w:val="0"/>
          <w:marTop w:val="0"/>
          <w:marBottom w:val="0"/>
          <w:divBdr>
            <w:top w:val="none" w:sz="0" w:space="0" w:color="auto"/>
            <w:left w:val="none" w:sz="0" w:space="0" w:color="auto"/>
            <w:bottom w:val="none" w:sz="0" w:space="0" w:color="auto"/>
            <w:right w:val="none" w:sz="0" w:space="0" w:color="auto"/>
          </w:divBdr>
        </w:div>
        <w:div w:id="1289580985">
          <w:marLeft w:val="0"/>
          <w:marRight w:val="0"/>
          <w:marTop w:val="0"/>
          <w:marBottom w:val="0"/>
          <w:divBdr>
            <w:top w:val="none" w:sz="0" w:space="0" w:color="auto"/>
            <w:left w:val="none" w:sz="0" w:space="0" w:color="auto"/>
            <w:bottom w:val="none" w:sz="0" w:space="0" w:color="auto"/>
            <w:right w:val="none" w:sz="0" w:space="0" w:color="auto"/>
          </w:divBdr>
        </w:div>
        <w:div w:id="1382750471">
          <w:marLeft w:val="0"/>
          <w:marRight w:val="0"/>
          <w:marTop w:val="0"/>
          <w:marBottom w:val="0"/>
          <w:divBdr>
            <w:top w:val="none" w:sz="0" w:space="0" w:color="auto"/>
            <w:left w:val="none" w:sz="0" w:space="0" w:color="auto"/>
            <w:bottom w:val="none" w:sz="0" w:space="0" w:color="auto"/>
            <w:right w:val="none" w:sz="0" w:space="0" w:color="auto"/>
          </w:divBdr>
        </w:div>
        <w:div w:id="1463769259">
          <w:marLeft w:val="0"/>
          <w:marRight w:val="0"/>
          <w:marTop w:val="0"/>
          <w:marBottom w:val="0"/>
          <w:divBdr>
            <w:top w:val="none" w:sz="0" w:space="0" w:color="auto"/>
            <w:left w:val="none" w:sz="0" w:space="0" w:color="auto"/>
            <w:bottom w:val="none" w:sz="0" w:space="0" w:color="auto"/>
            <w:right w:val="none" w:sz="0" w:space="0" w:color="auto"/>
          </w:divBdr>
        </w:div>
        <w:div w:id="1484085332">
          <w:marLeft w:val="0"/>
          <w:marRight w:val="0"/>
          <w:marTop w:val="0"/>
          <w:marBottom w:val="0"/>
          <w:divBdr>
            <w:top w:val="none" w:sz="0" w:space="0" w:color="auto"/>
            <w:left w:val="none" w:sz="0" w:space="0" w:color="auto"/>
            <w:bottom w:val="none" w:sz="0" w:space="0" w:color="auto"/>
            <w:right w:val="none" w:sz="0" w:space="0" w:color="auto"/>
          </w:divBdr>
        </w:div>
        <w:div w:id="1732999496">
          <w:marLeft w:val="0"/>
          <w:marRight w:val="0"/>
          <w:marTop w:val="0"/>
          <w:marBottom w:val="0"/>
          <w:divBdr>
            <w:top w:val="none" w:sz="0" w:space="0" w:color="auto"/>
            <w:left w:val="none" w:sz="0" w:space="0" w:color="auto"/>
            <w:bottom w:val="none" w:sz="0" w:space="0" w:color="auto"/>
            <w:right w:val="none" w:sz="0" w:space="0" w:color="auto"/>
          </w:divBdr>
        </w:div>
        <w:div w:id="1794715765">
          <w:marLeft w:val="0"/>
          <w:marRight w:val="0"/>
          <w:marTop w:val="0"/>
          <w:marBottom w:val="0"/>
          <w:divBdr>
            <w:top w:val="none" w:sz="0" w:space="0" w:color="auto"/>
            <w:left w:val="none" w:sz="0" w:space="0" w:color="auto"/>
            <w:bottom w:val="none" w:sz="0" w:space="0" w:color="auto"/>
            <w:right w:val="none" w:sz="0" w:space="0" w:color="auto"/>
          </w:divBdr>
        </w:div>
        <w:div w:id="1808352323">
          <w:marLeft w:val="0"/>
          <w:marRight w:val="0"/>
          <w:marTop w:val="0"/>
          <w:marBottom w:val="0"/>
          <w:divBdr>
            <w:top w:val="none" w:sz="0" w:space="0" w:color="auto"/>
            <w:left w:val="none" w:sz="0" w:space="0" w:color="auto"/>
            <w:bottom w:val="none" w:sz="0" w:space="0" w:color="auto"/>
            <w:right w:val="none" w:sz="0" w:space="0" w:color="auto"/>
          </w:divBdr>
        </w:div>
        <w:div w:id="1814131700">
          <w:marLeft w:val="0"/>
          <w:marRight w:val="0"/>
          <w:marTop w:val="0"/>
          <w:marBottom w:val="0"/>
          <w:divBdr>
            <w:top w:val="none" w:sz="0" w:space="0" w:color="auto"/>
            <w:left w:val="none" w:sz="0" w:space="0" w:color="auto"/>
            <w:bottom w:val="none" w:sz="0" w:space="0" w:color="auto"/>
            <w:right w:val="none" w:sz="0" w:space="0" w:color="auto"/>
          </w:divBdr>
        </w:div>
        <w:div w:id="1910262987">
          <w:marLeft w:val="0"/>
          <w:marRight w:val="0"/>
          <w:marTop w:val="0"/>
          <w:marBottom w:val="0"/>
          <w:divBdr>
            <w:top w:val="none" w:sz="0" w:space="0" w:color="auto"/>
            <w:left w:val="none" w:sz="0" w:space="0" w:color="auto"/>
            <w:bottom w:val="none" w:sz="0" w:space="0" w:color="auto"/>
            <w:right w:val="none" w:sz="0" w:space="0" w:color="auto"/>
          </w:divBdr>
        </w:div>
        <w:div w:id="1923636100">
          <w:marLeft w:val="0"/>
          <w:marRight w:val="0"/>
          <w:marTop w:val="0"/>
          <w:marBottom w:val="0"/>
          <w:divBdr>
            <w:top w:val="none" w:sz="0" w:space="0" w:color="auto"/>
            <w:left w:val="none" w:sz="0" w:space="0" w:color="auto"/>
            <w:bottom w:val="none" w:sz="0" w:space="0" w:color="auto"/>
            <w:right w:val="none" w:sz="0" w:space="0" w:color="auto"/>
          </w:divBdr>
        </w:div>
        <w:div w:id="1933852618">
          <w:marLeft w:val="0"/>
          <w:marRight w:val="0"/>
          <w:marTop w:val="0"/>
          <w:marBottom w:val="0"/>
          <w:divBdr>
            <w:top w:val="none" w:sz="0" w:space="0" w:color="auto"/>
            <w:left w:val="none" w:sz="0" w:space="0" w:color="auto"/>
            <w:bottom w:val="none" w:sz="0" w:space="0" w:color="auto"/>
            <w:right w:val="none" w:sz="0" w:space="0" w:color="auto"/>
          </w:divBdr>
        </w:div>
        <w:div w:id="2059864467">
          <w:marLeft w:val="0"/>
          <w:marRight w:val="0"/>
          <w:marTop w:val="0"/>
          <w:marBottom w:val="0"/>
          <w:divBdr>
            <w:top w:val="none" w:sz="0" w:space="0" w:color="auto"/>
            <w:left w:val="none" w:sz="0" w:space="0" w:color="auto"/>
            <w:bottom w:val="none" w:sz="0" w:space="0" w:color="auto"/>
            <w:right w:val="none" w:sz="0" w:space="0" w:color="auto"/>
          </w:divBdr>
        </w:div>
        <w:div w:id="2103183920">
          <w:marLeft w:val="0"/>
          <w:marRight w:val="0"/>
          <w:marTop w:val="0"/>
          <w:marBottom w:val="0"/>
          <w:divBdr>
            <w:top w:val="none" w:sz="0" w:space="0" w:color="auto"/>
            <w:left w:val="none" w:sz="0" w:space="0" w:color="auto"/>
            <w:bottom w:val="none" w:sz="0" w:space="0" w:color="auto"/>
            <w:right w:val="none" w:sz="0" w:space="0" w:color="auto"/>
          </w:divBdr>
        </w:div>
        <w:div w:id="2106226037">
          <w:marLeft w:val="0"/>
          <w:marRight w:val="0"/>
          <w:marTop w:val="0"/>
          <w:marBottom w:val="0"/>
          <w:divBdr>
            <w:top w:val="none" w:sz="0" w:space="0" w:color="auto"/>
            <w:left w:val="none" w:sz="0" w:space="0" w:color="auto"/>
            <w:bottom w:val="none" w:sz="0" w:space="0" w:color="auto"/>
            <w:right w:val="none" w:sz="0" w:space="0" w:color="auto"/>
          </w:divBdr>
        </w:div>
      </w:divsChild>
    </w:div>
    <w:div w:id="751857085">
      <w:bodyDiv w:val="1"/>
      <w:marLeft w:val="0"/>
      <w:marRight w:val="0"/>
      <w:marTop w:val="0"/>
      <w:marBottom w:val="0"/>
      <w:divBdr>
        <w:top w:val="none" w:sz="0" w:space="0" w:color="auto"/>
        <w:left w:val="none" w:sz="0" w:space="0" w:color="auto"/>
        <w:bottom w:val="none" w:sz="0" w:space="0" w:color="auto"/>
        <w:right w:val="none" w:sz="0" w:space="0" w:color="auto"/>
      </w:divBdr>
      <w:divsChild>
        <w:div w:id="180437898">
          <w:marLeft w:val="0"/>
          <w:marRight w:val="0"/>
          <w:marTop w:val="0"/>
          <w:marBottom w:val="0"/>
          <w:divBdr>
            <w:top w:val="none" w:sz="0" w:space="0" w:color="auto"/>
            <w:left w:val="none" w:sz="0" w:space="0" w:color="auto"/>
            <w:bottom w:val="none" w:sz="0" w:space="0" w:color="auto"/>
            <w:right w:val="none" w:sz="0" w:space="0" w:color="auto"/>
          </w:divBdr>
        </w:div>
      </w:divsChild>
    </w:div>
    <w:div w:id="758912900">
      <w:bodyDiv w:val="1"/>
      <w:marLeft w:val="0"/>
      <w:marRight w:val="0"/>
      <w:marTop w:val="0"/>
      <w:marBottom w:val="0"/>
      <w:divBdr>
        <w:top w:val="none" w:sz="0" w:space="0" w:color="auto"/>
        <w:left w:val="none" w:sz="0" w:space="0" w:color="auto"/>
        <w:bottom w:val="none" w:sz="0" w:space="0" w:color="auto"/>
        <w:right w:val="none" w:sz="0" w:space="0" w:color="auto"/>
      </w:divBdr>
      <w:divsChild>
        <w:div w:id="244416497">
          <w:marLeft w:val="547"/>
          <w:marRight w:val="0"/>
          <w:marTop w:val="240"/>
          <w:marBottom w:val="40"/>
          <w:divBdr>
            <w:top w:val="none" w:sz="0" w:space="0" w:color="auto"/>
            <w:left w:val="none" w:sz="0" w:space="0" w:color="auto"/>
            <w:bottom w:val="none" w:sz="0" w:space="0" w:color="auto"/>
            <w:right w:val="none" w:sz="0" w:space="0" w:color="auto"/>
          </w:divBdr>
        </w:div>
        <w:div w:id="1054349525">
          <w:marLeft w:val="547"/>
          <w:marRight w:val="0"/>
          <w:marTop w:val="240"/>
          <w:marBottom w:val="40"/>
          <w:divBdr>
            <w:top w:val="none" w:sz="0" w:space="0" w:color="auto"/>
            <w:left w:val="none" w:sz="0" w:space="0" w:color="auto"/>
            <w:bottom w:val="none" w:sz="0" w:space="0" w:color="auto"/>
            <w:right w:val="none" w:sz="0" w:space="0" w:color="auto"/>
          </w:divBdr>
        </w:div>
        <w:div w:id="1505363631">
          <w:marLeft w:val="547"/>
          <w:marRight w:val="0"/>
          <w:marTop w:val="240"/>
          <w:marBottom w:val="40"/>
          <w:divBdr>
            <w:top w:val="none" w:sz="0" w:space="0" w:color="auto"/>
            <w:left w:val="none" w:sz="0" w:space="0" w:color="auto"/>
            <w:bottom w:val="none" w:sz="0" w:space="0" w:color="auto"/>
            <w:right w:val="none" w:sz="0" w:space="0" w:color="auto"/>
          </w:divBdr>
        </w:div>
        <w:div w:id="1529371275">
          <w:marLeft w:val="547"/>
          <w:marRight w:val="0"/>
          <w:marTop w:val="240"/>
          <w:marBottom w:val="40"/>
          <w:divBdr>
            <w:top w:val="none" w:sz="0" w:space="0" w:color="auto"/>
            <w:left w:val="none" w:sz="0" w:space="0" w:color="auto"/>
            <w:bottom w:val="none" w:sz="0" w:space="0" w:color="auto"/>
            <w:right w:val="none" w:sz="0" w:space="0" w:color="auto"/>
          </w:divBdr>
        </w:div>
        <w:div w:id="1686981413">
          <w:marLeft w:val="547"/>
          <w:marRight w:val="0"/>
          <w:marTop w:val="240"/>
          <w:marBottom w:val="40"/>
          <w:divBdr>
            <w:top w:val="none" w:sz="0" w:space="0" w:color="auto"/>
            <w:left w:val="none" w:sz="0" w:space="0" w:color="auto"/>
            <w:bottom w:val="none" w:sz="0" w:space="0" w:color="auto"/>
            <w:right w:val="none" w:sz="0" w:space="0" w:color="auto"/>
          </w:divBdr>
        </w:div>
      </w:divsChild>
    </w:div>
    <w:div w:id="760107282">
      <w:bodyDiv w:val="1"/>
      <w:marLeft w:val="0"/>
      <w:marRight w:val="0"/>
      <w:marTop w:val="0"/>
      <w:marBottom w:val="0"/>
      <w:divBdr>
        <w:top w:val="none" w:sz="0" w:space="0" w:color="auto"/>
        <w:left w:val="none" w:sz="0" w:space="0" w:color="auto"/>
        <w:bottom w:val="none" w:sz="0" w:space="0" w:color="auto"/>
        <w:right w:val="none" w:sz="0" w:space="0" w:color="auto"/>
      </w:divBdr>
    </w:div>
    <w:div w:id="761804544">
      <w:bodyDiv w:val="1"/>
      <w:marLeft w:val="0"/>
      <w:marRight w:val="0"/>
      <w:marTop w:val="0"/>
      <w:marBottom w:val="0"/>
      <w:divBdr>
        <w:top w:val="none" w:sz="0" w:space="0" w:color="auto"/>
        <w:left w:val="none" w:sz="0" w:space="0" w:color="auto"/>
        <w:bottom w:val="none" w:sz="0" w:space="0" w:color="auto"/>
        <w:right w:val="none" w:sz="0" w:space="0" w:color="auto"/>
      </w:divBdr>
    </w:div>
    <w:div w:id="761950963">
      <w:bodyDiv w:val="1"/>
      <w:marLeft w:val="0"/>
      <w:marRight w:val="0"/>
      <w:marTop w:val="0"/>
      <w:marBottom w:val="0"/>
      <w:divBdr>
        <w:top w:val="none" w:sz="0" w:space="0" w:color="auto"/>
        <w:left w:val="none" w:sz="0" w:space="0" w:color="auto"/>
        <w:bottom w:val="none" w:sz="0" w:space="0" w:color="auto"/>
        <w:right w:val="none" w:sz="0" w:space="0" w:color="auto"/>
      </w:divBdr>
    </w:div>
    <w:div w:id="762340117">
      <w:bodyDiv w:val="1"/>
      <w:marLeft w:val="0"/>
      <w:marRight w:val="0"/>
      <w:marTop w:val="0"/>
      <w:marBottom w:val="0"/>
      <w:divBdr>
        <w:top w:val="none" w:sz="0" w:space="0" w:color="auto"/>
        <w:left w:val="none" w:sz="0" w:space="0" w:color="auto"/>
        <w:bottom w:val="none" w:sz="0" w:space="0" w:color="auto"/>
        <w:right w:val="none" w:sz="0" w:space="0" w:color="auto"/>
      </w:divBdr>
      <w:divsChild>
        <w:div w:id="1722289060">
          <w:marLeft w:val="0"/>
          <w:marRight w:val="0"/>
          <w:marTop w:val="0"/>
          <w:marBottom w:val="0"/>
          <w:divBdr>
            <w:top w:val="none" w:sz="0" w:space="0" w:color="auto"/>
            <w:left w:val="none" w:sz="0" w:space="0" w:color="auto"/>
            <w:bottom w:val="none" w:sz="0" w:space="0" w:color="auto"/>
            <w:right w:val="none" w:sz="0" w:space="0" w:color="auto"/>
          </w:divBdr>
        </w:div>
        <w:div w:id="2116316771">
          <w:marLeft w:val="0"/>
          <w:marRight w:val="0"/>
          <w:marTop w:val="0"/>
          <w:marBottom w:val="0"/>
          <w:divBdr>
            <w:top w:val="none" w:sz="0" w:space="0" w:color="auto"/>
            <w:left w:val="none" w:sz="0" w:space="0" w:color="auto"/>
            <w:bottom w:val="none" w:sz="0" w:space="0" w:color="auto"/>
            <w:right w:val="none" w:sz="0" w:space="0" w:color="auto"/>
          </w:divBdr>
        </w:div>
      </w:divsChild>
    </w:div>
    <w:div w:id="764305328">
      <w:bodyDiv w:val="1"/>
      <w:marLeft w:val="0"/>
      <w:marRight w:val="0"/>
      <w:marTop w:val="0"/>
      <w:marBottom w:val="0"/>
      <w:divBdr>
        <w:top w:val="none" w:sz="0" w:space="0" w:color="auto"/>
        <w:left w:val="none" w:sz="0" w:space="0" w:color="auto"/>
        <w:bottom w:val="none" w:sz="0" w:space="0" w:color="auto"/>
        <w:right w:val="none" w:sz="0" w:space="0" w:color="auto"/>
      </w:divBdr>
    </w:div>
    <w:div w:id="765425688">
      <w:bodyDiv w:val="1"/>
      <w:marLeft w:val="0"/>
      <w:marRight w:val="0"/>
      <w:marTop w:val="0"/>
      <w:marBottom w:val="0"/>
      <w:divBdr>
        <w:top w:val="none" w:sz="0" w:space="0" w:color="auto"/>
        <w:left w:val="none" w:sz="0" w:space="0" w:color="auto"/>
        <w:bottom w:val="none" w:sz="0" w:space="0" w:color="auto"/>
        <w:right w:val="none" w:sz="0" w:space="0" w:color="auto"/>
      </w:divBdr>
    </w:div>
    <w:div w:id="769158719">
      <w:bodyDiv w:val="1"/>
      <w:marLeft w:val="0"/>
      <w:marRight w:val="0"/>
      <w:marTop w:val="0"/>
      <w:marBottom w:val="0"/>
      <w:divBdr>
        <w:top w:val="none" w:sz="0" w:space="0" w:color="auto"/>
        <w:left w:val="none" w:sz="0" w:space="0" w:color="auto"/>
        <w:bottom w:val="none" w:sz="0" w:space="0" w:color="auto"/>
        <w:right w:val="none" w:sz="0" w:space="0" w:color="auto"/>
      </w:divBdr>
    </w:div>
    <w:div w:id="769665850">
      <w:bodyDiv w:val="1"/>
      <w:marLeft w:val="0"/>
      <w:marRight w:val="0"/>
      <w:marTop w:val="0"/>
      <w:marBottom w:val="0"/>
      <w:divBdr>
        <w:top w:val="none" w:sz="0" w:space="0" w:color="auto"/>
        <w:left w:val="none" w:sz="0" w:space="0" w:color="auto"/>
        <w:bottom w:val="none" w:sz="0" w:space="0" w:color="auto"/>
        <w:right w:val="none" w:sz="0" w:space="0" w:color="auto"/>
      </w:divBdr>
      <w:divsChild>
        <w:div w:id="40912023">
          <w:marLeft w:val="0"/>
          <w:marRight w:val="0"/>
          <w:marTop w:val="0"/>
          <w:marBottom w:val="0"/>
          <w:divBdr>
            <w:top w:val="none" w:sz="0" w:space="0" w:color="auto"/>
            <w:left w:val="none" w:sz="0" w:space="0" w:color="auto"/>
            <w:bottom w:val="none" w:sz="0" w:space="0" w:color="auto"/>
            <w:right w:val="none" w:sz="0" w:space="0" w:color="auto"/>
          </w:divBdr>
        </w:div>
        <w:div w:id="65688715">
          <w:marLeft w:val="0"/>
          <w:marRight w:val="0"/>
          <w:marTop w:val="0"/>
          <w:marBottom w:val="0"/>
          <w:divBdr>
            <w:top w:val="none" w:sz="0" w:space="0" w:color="auto"/>
            <w:left w:val="none" w:sz="0" w:space="0" w:color="auto"/>
            <w:bottom w:val="none" w:sz="0" w:space="0" w:color="auto"/>
            <w:right w:val="none" w:sz="0" w:space="0" w:color="auto"/>
          </w:divBdr>
        </w:div>
        <w:div w:id="513762464">
          <w:marLeft w:val="0"/>
          <w:marRight w:val="0"/>
          <w:marTop w:val="0"/>
          <w:marBottom w:val="0"/>
          <w:divBdr>
            <w:top w:val="none" w:sz="0" w:space="0" w:color="auto"/>
            <w:left w:val="none" w:sz="0" w:space="0" w:color="auto"/>
            <w:bottom w:val="none" w:sz="0" w:space="0" w:color="auto"/>
            <w:right w:val="none" w:sz="0" w:space="0" w:color="auto"/>
          </w:divBdr>
        </w:div>
        <w:div w:id="749814638">
          <w:marLeft w:val="0"/>
          <w:marRight w:val="0"/>
          <w:marTop w:val="0"/>
          <w:marBottom w:val="0"/>
          <w:divBdr>
            <w:top w:val="none" w:sz="0" w:space="0" w:color="auto"/>
            <w:left w:val="none" w:sz="0" w:space="0" w:color="auto"/>
            <w:bottom w:val="none" w:sz="0" w:space="0" w:color="auto"/>
            <w:right w:val="none" w:sz="0" w:space="0" w:color="auto"/>
          </w:divBdr>
        </w:div>
        <w:div w:id="859588213">
          <w:marLeft w:val="0"/>
          <w:marRight w:val="0"/>
          <w:marTop w:val="0"/>
          <w:marBottom w:val="0"/>
          <w:divBdr>
            <w:top w:val="none" w:sz="0" w:space="0" w:color="auto"/>
            <w:left w:val="none" w:sz="0" w:space="0" w:color="auto"/>
            <w:bottom w:val="none" w:sz="0" w:space="0" w:color="auto"/>
            <w:right w:val="none" w:sz="0" w:space="0" w:color="auto"/>
          </w:divBdr>
        </w:div>
        <w:div w:id="1118333995">
          <w:marLeft w:val="0"/>
          <w:marRight w:val="0"/>
          <w:marTop w:val="0"/>
          <w:marBottom w:val="0"/>
          <w:divBdr>
            <w:top w:val="none" w:sz="0" w:space="0" w:color="auto"/>
            <w:left w:val="none" w:sz="0" w:space="0" w:color="auto"/>
            <w:bottom w:val="none" w:sz="0" w:space="0" w:color="auto"/>
            <w:right w:val="none" w:sz="0" w:space="0" w:color="auto"/>
          </w:divBdr>
        </w:div>
        <w:div w:id="1485466960">
          <w:marLeft w:val="0"/>
          <w:marRight w:val="0"/>
          <w:marTop w:val="0"/>
          <w:marBottom w:val="0"/>
          <w:divBdr>
            <w:top w:val="none" w:sz="0" w:space="0" w:color="auto"/>
            <w:left w:val="none" w:sz="0" w:space="0" w:color="auto"/>
            <w:bottom w:val="none" w:sz="0" w:space="0" w:color="auto"/>
            <w:right w:val="none" w:sz="0" w:space="0" w:color="auto"/>
          </w:divBdr>
        </w:div>
        <w:div w:id="1848863663">
          <w:marLeft w:val="0"/>
          <w:marRight w:val="0"/>
          <w:marTop w:val="0"/>
          <w:marBottom w:val="0"/>
          <w:divBdr>
            <w:top w:val="none" w:sz="0" w:space="0" w:color="auto"/>
            <w:left w:val="none" w:sz="0" w:space="0" w:color="auto"/>
            <w:bottom w:val="none" w:sz="0" w:space="0" w:color="auto"/>
            <w:right w:val="none" w:sz="0" w:space="0" w:color="auto"/>
          </w:divBdr>
        </w:div>
        <w:div w:id="1894005842">
          <w:marLeft w:val="0"/>
          <w:marRight w:val="0"/>
          <w:marTop w:val="0"/>
          <w:marBottom w:val="0"/>
          <w:divBdr>
            <w:top w:val="none" w:sz="0" w:space="0" w:color="auto"/>
            <w:left w:val="none" w:sz="0" w:space="0" w:color="auto"/>
            <w:bottom w:val="none" w:sz="0" w:space="0" w:color="auto"/>
            <w:right w:val="none" w:sz="0" w:space="0" w:color="auto"/>
          </w:divBdr>
        </w:div>
        <w:div w:id="1910915967">
          <w:marLeft w:val="0"/>
          <w:marRight w:val="0"/>
          <w:marTop w:val="0"/>
          <w:marBottom w:val="0"/>
          <w:divBdr>
            <w:top w:val="none" w:sz="0" w:space="0" w:color="auto"/>
            <w:left w:val="none" w:sz="0" w:space="0" w:color="auto"/>
            <w:bottom w:val="none" w:sz="0" w:space="0" w:color="auto"/>
            <w:right w:val="none" w:sz="0" w:space="0" w:color="auto"/>
          </w:divBdr>
        </w:div>
        <w:div w:id="1929532445">
          <w:marLeft w:val="0"/>
          <w:marRight w:val="0"/>
          <w:marTop w:val="0"/>
          <w:marBottom w:val="0"/>
          <w:divBdr>
            <w:top w:val="none" w:sz="0" w:space="0" w:color="auto"/>
            <w:left w:val="none" w:sz="0" w:space="0" w:color="auto"/>
            <w:bottom w:val="none" w:sz="0" w:space="0" w:color="auto"/>
            <w:right w:val="none" w:sz="0" w:space="0" w:color="auto"/>
          </w:divBdr>
        </w:div>
        <w:div w:id="1945846732">
          <w:marLeft w:val="0"/>
          <w:marRight w:val="0"/>
          <w:marTop w:val="0"/>
          <w:marBottom w:val="0"/>
          <w:divBdr>
            <w:top w:val="none" w:sz="0" w:space="0" w:color="auto"/>
            <w:left w:val="none" w:sz="0" w:space="0" w:color="auto"/>
            <w:bottom w:val="none" w:sz="0" w:space="0" w:color="auto"/>
            <w:right w:val="none" w:sz="0" w:space="0" w:color="auto"/>
          </w:divBdr>
        </w:div>
        <w:div w:id="1955163734">
          <w:marLeft w:val="0"/>
          <w:marRight w:val="0"/>
          <w:marTop w:val="0"/>
          <w:marBottom w:val="0"/>
          <w:divBdr>
            <w:top w:val="none" w:sz="0" w:space="0" w:color="auto"/>
            <w:left w:val="none" w:sz="0" w:space="0" w:color="auto"/>
            <w:bottom w:val="none" w:sz="0" w:space="0" w:color="auto"/>
            <w:right w:val="none" w:sz="0" w:space="0" w:color="auto"/>
          </w:divBdr>
        </w:div>
        <w:div w:id="2028553100">
          <w:marLeft w:val="0"/>
          <w:marRight w:val="0"/>
          <w:marTop w:val="0"/>
          <w:marBottom w:val="0"/>
          <w:divBdr>
            <w:top w:val="none" w:sz="0" w:space="0" w:color="auto"/>
            <w:left w:val="none" w:sz="0" w:space="0" w:color="auto"/>
            <w:bottom w:val="none" w:sz="0" w:space="0" w:color="auto"/>
            <w:right w:val="none" w:sz="0" w:space="0" w:color="auto"/>
          </w:divBdr>
        </w:div>
        <w:div w:id="2110154127">
          <w:marLeft w:val="0"/>
          <w:marRight w:val="0"/>
          <w:marTop w:val="0"/>
          <w:marBottom w:val="0"/>
          <w:divBdr>
            <w:top w:val="none" w:sz="0" w:space="0" w:color="auto"/>
            <w:left w:val="none" w:sz="0" w:space="0" w:color="auto"/>
            <w:bottom w:val="none" w:sz="0" w:space="0" w:color="auto"/>
            <w:right w:val="none" w:sz="0" w:space="0" w:color="auto"/>
          </w:divBdr>
        </w:div>
        <w:div w:id="2135709652">
          <w:marLeft w:val="0"/>
          <w:marRight w:val="0"/>
          <w:marTop w:val="0"/>
          <w:marBottom w:val="0"/>
          <w:divBdr>
            <w:top w:val="none" w:sz="0" w:space="0" w:color="auto"/>
            <w:left w:val="none" w:sz="0" w:space="0" w:color="auto"/>
            <w:bottom w:val="none" w:sz="0" w:space="0" w:color="auto"/>
            <w:right w:val="none" w:sz="0" w:space="0" w:color="auto"/>
          </w:divBdr>
        </w:div>
      </w:divsChild>
    </w:div>
    <w:div w:id="771586310">
      <w:bodyDiv w:val="1"/>
      <w:marLeft w:val="0"/>
      <w:marRight w:val="0"/>
      <w:marTop w:val="0"/>
      <w:marBottom w:val="0"/>
      <w:divBdr>
        <w:top w:val="none" w:sz="0" w:space="0" w:color="auto"/>
        <w:left w:val="none" w:sz="0" w:space="0" w:color="auto"/>
        <w:bottom w:val="none" w:sz="0" w:space="0" w:color="auto"/>
        <w:right w:val="none" w:sz="0" w:space="0" w:color="auto"/>
      </w:divBdr>
    </w:div>
    <w:div w:id="779689934">
      <w:bodyDiv w:val="1"/>
      <w:marLeft w:val="0"/>
      <w:marRight w:val="0"/>
      <w:marTop w:val="0"/>
      <w:marBottom w:val="0"/>
      <w:divBdr>
        <w:top w:val="none" w:sz="0" w:space="0" w:color="auto"/>
        <w:left w:val="none" w:sz="0" w:space="0" w:color="auto"/>
        <w:bottom w:val="none" w:sz="0" w:space="0" w:color="auto"/>
        <w:right w:val="none" w:sz="0" w:space="0" w:color="auto"/>
      </w:divBdr>
      <w:divsChild>
        <w:div w:id="187109241">
          <w:marLeft w:val="0"/>
          <w:marRight w:val="0"/>
          <w:marTop w:val="0"/>
          <w:marBottom w:val="0"/>
          <w:divBdr>
            <w:top w:val="none" w:sz="0" w:space="0" w:color="auto"/>
            <w:left w:val="none" w:sz="0" w:space="0" w:color="auto"/>
            <w:bottom w:val="none" w:sz="0" w:space="0" w:color="auto"/>
            <w:right w:val="none" w:sz="0" w:space="0" w:color="auto"/>
          </w:divBdr>
        </w:div>
      </w:divsChild>
    </w:div>
    <w:div w:id="781532620">
      <w:bodyDiv w:val="1"/>
      <w:marLeft w:val="0"/>
      <w:marRight w:val="0"/>
      <w:marTop w:val="0"/>
      <w:marBottom w:val="0"/>
      <w:divBdr>
        <w:top w:val="none" w:sz="0" w:space="0" w:color="auto"/>
        <w:left w:val="none" w:sz="0" w:space="0" w:color="auto"/>
        <w:bottom w:val="none" w:sz="0" w:space="0" w:color="auto"/>
        <w:right w:val="none" w:sz="0" w:space="0" w:color="auto"/>
      </w:divBdr>
      <w:divsChild>
        <w:div w:id="461924864">
          <w:marLeft w:val="0"/>
          <w:marRight w:val="0"/>
          <w:marTop w:val="0"/>
          <w:marBottom w:val="0"/>
          <w:divBdr>
            <w:top w:val="none" w:sz="0" w:space="0" w:color="auto"/>
            <w:left w:val="none" w:sz="0" w:space="0" w:color="auto"/>
            <w:bottom w:val="none" w:sz="0" w:space="0" w:color="auto"/>
            <w:right w:val="none" w:sz="0" w:space="0" w:color="auto"/>
          </w:divBdr>
        </w:div>
        <w:div w:id="470944309">
          <w:marLeft w:val="0"/>
          <w:marRight w:val="0"/>
          <w:marTop w:val="0"/>
          <w:marBottom w:val="0"/>
          <w:divBdr>
            <w:top w:val="none" w:sz="0" w:space="0" w:color="auto"/>
            <w:left w:val="none" w:sz="0" w:space="0" w:color="auto"/>
            <w:bottom w:val="none" w:sz="0" w:space="0" w:color="auto"/>
            <w:right w:val="none" w:sz="0" w:space="0" w:color="auto"/>
          </w:divBdr>
        </w:div>
        <w:div w:id="687871687">
          <w:marLeft w:val="0"/>
          <w:marRight w:val="0"/>
          <w:marTop w:val="0"/>
          <w:marBottom w:val="0"/>
          <w:divBdr>
            <w:top w:val="none" w:sz="0" w:space="0" w:color="auto"/>
            <w:left w:val="none" w:sz="0" w:space="0" w:color="auto"/>
            <w:bottom w:val="none" w:sz="0" w:space="0" w:color="auto"/>
            <w:right w:val="none" w:sz="0" w:space="0" w:color="auto"/>
          </w:divBdr>
        </w:div>
        <w:div w:id="1522621042">
          <w:marLeft w:val="0"/>
          <w:marRight w:val="0"/>
          <w:marTop w:val="0"/>
          <w:marBottom w:val="0"/>
          <w:divBdr>
            <w:top w:val="none" w:sz="0" w:space="0" w:color="auto"/>
            <w:left w:val="none" w:sz="0" w:space="0" w:color="auto"/>
            <w:bottom w:val="none" w:sz="0" w:space="0" w:color="auto"/>
            <w:right w:val="none" w:sz="0" w:space="0" w:color="auto"/>
          </w:divBdr>
        </w:div>
        <w:div w:id="1555581559">
          <w:marLeft w:val="0"/>
          <w:marRight w:val="0"/>
          <w:marTop w:val="0"/>
          <w:marBottom w:val="0"/>
          <w:divBdr>
            <w:top w:val="none" w:sz="0" w:space="0" w:color="auto"/>
            <w:left w:val="none" w:sz="0" w:space="0" w:color="auto"/>
            <w:bottom w:val="none" w:sz="0" w:space="0" w:color="auto"/>
            <w:right w:val="none" w:sz="0" w:space="0" w:color="auto"/>
          </w:divBdr>
        </w:div>
        <w:div w:id="1616406426">
          <w:marLeft w:val="0"/>
          <w:marRight w:val="0"/>
          <w:marTop w:val="0"/>
          <w:marBottom w:val="0"/>
          <w:divBdr>
            <w:top w:val="none" w:sz="0" w:space="0" w:color="auto"/>
            <w:left w:val="none" w:sz="0" w:space="0" w:color="auto"/>
            <w:bottom w:val="none" w:sz="0" w:space="0" w:color="auto"/>
            <w:right w:val="none" w:sz="0" w:space="0" w:color="auto"/>
          </w:divBdr>
        </w:div>
        <w:div w:id="1634867039">
          <w:marLeft w:val="0"/>
          <w:marRight w:val="0"/>
          <w:marTop w:val="0"/>
          <w:marBottom w:val="0"/>
          <w:divBdr>
            <w:top w:val="none" w:sz="0" w:space="0" w:color="auto"/>
            <w:left w:val="none" w:sz="0" w:space="0" w:color="auto"/>
            <w:bottom w:val="none" w:sz="0" w:space="0" w:color="auto"/>
            <w:right w:val="none" w:sz="0" w:space="0" w:color="auto"/>
          </w:divBdr>
        </w:div>
      </w:divsChild>
    </w:div>
    <w:div w:id="782042604">
      <w:bodyDiv w:val="1"/>
      <w:marLeft w:val="0"/>
      <w:marRight w:val="0"/>
      <w:marTop w:val="0"/>
      <w:marBottom w:val="0"/>
      <w:divBdr>
        <w:top w:val="none" w:sz="0" w:space="0" w:color="auto"/>
        <w:left w:val="none" w:sz="0" w:space="0" w:color="auto"/>
        <w:bottom w:val="none" w:sz="0" w:space="0" w:color="auto"/>
        <w:right w:val="none" w:sz="0" w:space="0" w:color="auto"/>
      </w:divBdr>
      <w:divsChild>
        <w:div w:id="1288272816">
          <w:marLeft w:val="144"/>
          <w:marRight w:val="0"/>
          <w:marTop w:val="240"/>
          <w:marBottom w:val="40"/>
          <w:divBdr>
            <w:top w:val="none" w:sz="0" w:space="0" w:color="auto"/>
            <w:left w:val="none" w:sz="0" w:space="0" w:color="auto"/>
            <w:bottom w:val="none" w:sz="0" w:space="0" w:color="auto"/>
            <w:right w:val="none" w:sz="0" w:space="0" w:color="auto"/>
          </w:divBdr>
        </w:div>
        <w:div w:id="1329091494">
          <w:marLeft w:val="144"/>
          <w:marRight w:val="0"/>
          <w:marTop w:val="240"/>
          <w:marBottom w:val="40"/>
          <w:divBdr>
            <w:top w:val="none" w:sz="0" w:space="0" w:color="auto"/>
            <w:left w:val="none" w:sz="0" w:space="0" w:color="auto"/>
            <w:bottom w:val="none" w:sz="0" w:space="0" w:color="auto"/>
            <w:right w:val="none" w:sz="0" w:space="0" w:color="auto"/>
          </w:divBdr>
        </w:div>
      </w:divsChild>
    </w:div>
    <w:div w:id="785853473">
      <w:bodyDiv w:val="1"/>
      <w:marLeft w:val="0"/>
      <w:marRight w:val="0"/>
      <w:marTop w:val="0"/>
      <w:marBottom w:val="0"/>
      <w:divBdr>
        <w:top w:val="none" w:sz="0" w:space="0" w:color="auto"/>
        <w:left w:val="none" w:sz="0" w:space="0" w:color="auto"/>
        <w:bottom w:val="none" w:sz="0" w:space="0" w:color="auto"/>
        <w:right w:val="none" w:sz="0" w:space="0" w:color="auto"/>
      </w:divBdr>
    </w:div>
    <w:div w:id="787241745">
      <w:bodyDiv w:val="1"/>
      <w:marLeft w:val="0"/>
      <w:marRight w:val="0"/>
      <w:marTop w:val="0"/>
      <w:marBottom w:val="0"/>
      <w:divBdr>
        <w:top w:val="none" w:sz="0" w:space="0" w:color="auto"/>
        <w:left w:val="none" w:sz="0" w:space="0" w:color="auto"/>
        <w:bottom w:val="none" w:sz="0" w:space="0" w:color="auto"/>
        <w:right w:val="none" w:sz="0" w:space="0" w:color="auto"/>
      </w:divBdr>
      <w:divsChild>
        <w:div w:id="532881900">
          <w:marLeft w:val="144"/>
          <w:marRight w:val="0"/>
          <w:marTop w:val="240"/>
          <w:marBottom w:val="40"/>
          <w:divBdr>
            <w:top w:val="none" w:sz="0" w:space="0" w:color="auto"/>
            <w:left w:val="none" w:sz="0" w:space="0" w:color="auto"/>
            <w:bottom w:val="none" w:sz="0" w:space="0" w:color="auto"/>
            <w:right w:val="none" w:sz="0" w:space="0" w:color="auto"/>
          </w:divBdr>
        </w:div>
        <w:div w:id="868110166">
          <w:marLeft w:val="144"/>
          <w:marRight w:val="0"/>
          <w:marTop w:val="240"/>
          <w:marBottom w:val="40"/>
          <w:divBdr>
            <w:top w:val="none" w:sz="0" w:space="0" w:color="auto"/>
            <w:left w:val="none" w:sz="0" w:space="0" w:color="auto"/>
            <w:bottom w:val="none" w:sz="0" w:space="0" w:color="auto"/>
            <w:right w:val="none" w:sz="0" w:space="0" w:color="auto"/>
          </w:divBdr>
        </w:div>
        <w:div w:id="1308390719">
          <w:marLeft w:val="144"/>
          <w:marRight w:val="0"/>
          <w:marTop w:val="240"/>
          <w:marBottom w:val="40"/>
          <w:divBdr>
            <w:top w:val="none" w:sz="0" w:space="0" w:color="auto"/>
            <w:left w:val="none" w:sz="0" w:space="0" w:color="auto"/>
            <w:bottom w:val="none" w:sz="0" w:space="0" w:color="auto"/>
            <w:right w:val="none" w:sz="0" w:space="0" w:color="auto"/>
          </w:divBdr>
        </w:div>
        <w:div w:id="1913193081">
          <w:marLeft w:val="144"/>
          <w:marRight w:val="0"/>
          <w:marTop w:val="240"/>
          <w:marBottom w:val="40"/>
          <w:divBdr>
            <w:top w:val="none" w:sz="0" w:space="0" w:color="auto"/>
            <w:left w:val="none" w:sz="0" w:space="0" w:color="auto"/>
            <w:bottom w:val="none" w:sz="0" w:space="0" w:color="auto"/>
            <w:right w:val="none" w:sz="0" w:space="0" w:color="auto"/>
          </w:divBdr>
        </w:div>
      </w:divsChild>
    </w:div>
    <w:div w:id="787966353">
      <w:bodyDiv w:val="1"/>
      <w:marLeft w:val="0"/>
      <w:marRight w:val="0"/>
      <w:marTop w:val="0"/>
      <w:marBottom w:val="0"/>
      <w:divBdr>
        <w:top w:val="none" w:sz="0" w:space="0" w:color="auto"/>
        <w:left w:val="none" w:sz="0" w:space="0" w:color="auto"/>
        <w:bottom w:val="none" w:sz="0" w:space="0" w:color="auto"/>
        <w:right w:val="none" w:sz="0" w:space="0" w:color="auto"/>
      </w:divBdr>
      <w:divsChild>
        <w:div w:id="8525829">
          <w:marLeft w:val="0"/>
          <w:marRight w:val="0"/>
          <w:marTop w:val="0"/>
          <w:marBottom w:val="0"/>
          <w:divBdr>
            <w:top w:val="none" w:sz="0" w:space="0" w:color="auto"/>
            <w:left w:val="none" w:sz="0" w:space="0" w:color="auto"/>
            <w:bottom w:val="none" w:sz="0" w:space="0" w:color="auto"/>
            <w:right w:val="none" w:sz="0" w:space="0" w:color="auto"/>
          </w:divBdr>
        </w:div>
        <w:div w:id="48039572">
          <w:marLeft w:val="0"/>
          <w:marRight w:val="0"/>
          <w:marTop w:val="0"/>
          <w:marBottom w:val="0"/>
          <w:divBdr>
            <w:top w:val="none" w:sz="0" w:space="0" w:color="auto"/>
            <w:left w:val="none" w:sz="0" w:space="0" w:color="auto"/>
            <w:bottom w:val="none" w:sz="0" w:space="0" w:color="auto"/>
            <w:right w:val="none" w:sz="0" w:space="0" w:color="auto"/>
          </w:divBdr>
        </w:div>
        <w:div w:id="155072866">
          <w:marLeft w:val="0"/>
          <w:marRight w:val="0"/>
          <w:marTop w:val="0"/>
          <w:marBottom w:val="0"/>
          <w:divBdr>
            <w:top w:val="none" w:sz="0" w:space="0" w:color="auto"/>
            <w:left w:val="none" w:sz="0" w:space="0" w:color="auto"/>
            <w:bottom w:val="none" w:sz="0" w:space="0" w:color="auto"/>
            <w:right w:val="none" w:sz="0" w:space="0" w:color="auto"/>
          </w:divBdr>
        </w:div>
        <w:div w:id="504903296">
          <w:marLeft w:val="0"/>
          <w:marRight w:val="0"/>
          <w:marTop w:val="0"/>
          <w:marBottom w:val="0"/>
          <w:divBdr>
            <w:top w:val="none" w:sz="0" w:space="0" w:color="auto"/>
            <w:left w:val="none" w:sz="0" w:space="0" w:color="auto"/>
            <w:bottom w:val="none" w:sz="0" w:space="0" w:color="auto"/>
            <w:right w:val="none" w:sz="0" w:space="0" w:color="auto"/>
          </w:divBdr>
        </w:div>
        <w:div w:id="587269952">
          <w:marLeft w:val="0"/>
          <w:marRight w:val="0"/>
          <w:marTop w:val="0"/>
          <w:marBottom w:val="0"/>
          <w:divBdr>
            <w:top w:val="none" w:sz="0" w:space="0" w:color="auto"/>
            <w:left w:val="none" w:sz="0" w:space="0" w:color="auto"/>
            <w:bottom w:val="none" w:sz="0" w:space="0" w:color="auto"/>
            <w:right w:val="none" w:sz="0" w:space="0" w:color="auto"/>
          </w:divBdr>
        </w:div>
        <w:div w:id="663243132">
          <w:marLeft w:val="0"/>
          <w:marRight w:val="0"/>
          <w:marTop w:val="0"/>
          <w:marBottom w:val="0"/>
          <w:divBdr>
            <w:top w:val="none" w:sz="0" w:space="0" w:color="auto"/>
            <w:left w:val="none" w:sz="0" w:space="0" w:color="auto"/>
            <w:bottom w:val="none" w:sz="0" w:space="0" w:color="auto"/>
            <w:right w:val="none" w:sz="0" w:space="0" w:color="auto"/>
          </w:divBdr>
        </w:div>
        <w:div w:id="764543592">
          <w:marLeft w:val="0"/>
          <w:marRight w:val="0"/>
          <w:marTop w:val="0"/>
          <w:marBottom w:val="0"/>
          <w:divBdr>
            <w:top w:val="none" w:sz="0" w:space="0" w:color="auto"/>
            <w:left w:val="none" w:sz="0" w:space="0" w:color="auto"/>
            <w:bottom w:val="none" w:sz="0" w:space="0" w:color="auto"/>
            <w:right w:val="none" w:sz="0" w:space="0" w:color="auto"/>
          </w:divBdr>
        </w:div>
        <w:div w:id="889683093">
          <w:marLeft w:val="0"/>
          <w:marRight w:val="0"/>
          <w:marTop w:val="0"/>
          <w:marBottom w:val="0"/>
          <w:divBdr>
            <w:top w:val="none" w:sz="0" w:space="0" w:color="auto"/>
            <w:left w:val="none" w:sz="0" w:space="0" w:color="auto"/>
            <w:bottom w:val="none" w:sz="0" w:space="0" w:color="auto"/>
            <w:right w:val="none" w:sz="0" w:space="0" w:color="auto"/>
          </w:divBdr>
        </w:div>
        <w:div w:id="1085800973">
          <w:marLeft w:val="0"/>
          <w:marRight w:val="0"/>
          <w:marTop w:val="0"/>
          <w:marBottom w:val="0"/>
          <w:divBdr>
            <w:top w:val="none" w:sz="0" w:space="0" w:color="auto"/>
            <w:left w:val="none" w:sz="0" w:space="0" w:color="auto"/>
            <w:bottom w:val="none" w:sz="0" w:space="0" w:color="auto"/>
            <w:right w:val="none" w:sz="0" w:space="0" w:color="auto"/>
          </w:divBdr>
        </w:div>
        <w:div w:id="1089350966">
          <w:marLeft w:val="0"/>
          <w:marRight w:val="0"/>
          <w:marTop w:val="0"/>
          <w:marBottom w:val="0"/>
          <w:divBdr>
            <w:top w:val="none" w:sz="0" w:space="0" w:color="auto"/>
            <w:left w:val="none" w:sz="0" w:space="0" w:color="auto"/>
            <w:bottom w:val="none" w:sz="0" w:space="0" w:color="auto"/>
            <w:right w:val="none" w:sz="0" w:space="0" w:color="auto"/>
          </w:divBdr>
        </w:div>
        <w:div w:id="1191916886">
          <w:marLeft w:val="0"/>
          <w:marRight w:val="0"/>
          <w:marTop w:val="0"/>
          <w:marBottom w:val="0"/>
          <w:divBdr>
            <w:top w:val="none" w:sz="0" w:space="0" w:color="auto"/>
            <w:left w:val="none" w:sz="0" w:space="0" w:color="auto"/>
            <w:bottom w:val="none" w:sz="0" w:space="0" w:color="auto"/>
            <w:right w:val="none" w:sz="0" w:space="0" w:color="auto"/>
          </w:divBdr>
        </w:div>
        <w:div w:id="1339499781">
          <w:marLeft w:val="0"/>
          <w:marRight w:val="0"/>
          <w:marTop w:val="0"/>
          <w:marBottom w:val="0"/>
          <w:divBdr>
            <w:top w:val="none" w:sz="0" w:space="0" w:color="auto"/>
            <w:left w:val="none" w:sz="0" w:space="0" w:color="auto"/>
            <w:bottom w:val="none" w:sz="0" w:space="0" w:color="auto"/>
            <w:right w:val="none" w:sz="0" w:space="0" w:color="auto"/>
          </w:divBdr>
        </w:div>
        <w:div w:id="1505364128">
          <w:marLeft w:val="0"/>
          <w:marRight w:val="0"/>
          <w:marTop w:val="0"/>
          <w:marBottom w:val="0"/>
          <w:divBdr>
            <w:top w:val="none" w:sz="0" w:space="0" w:color="auto"/>
            <w:left w:val="none" w:sz="0" w:space="0" w:color="auto"/>
            <w:bottom w:val="none" w:sz="0" w:space="0" w:color="auto"/>
            <w:right w:val="none" w:sz="0" w:space="0" w:color="auto"/>
          </w:divBdr>
        </w:div>
        <w:div w:id="1787507876">
          <w:marLeft w:val="0"/>
          <w:marRight w:val="0"/>
          <w:marTop w:val="0"/>
          <w:marBottom w:val="0"/>
          <w:divBdr>
            <w:top w:val="none" w:sz="0" w:space="0" w:color="auto"/>
            <w:left w:val="none" w:sz="0" w:space="0" w:color="auto"/>
            <w:bottom w:val="none" w:sz="0" w:space="0" w:color="auto"/>
            <w:right w:val="none" w:sz="0" w:space="0" w:color="auto"/>
          </w:divBdr>
        </w:div>
        <w:div w:id="1790007886">
          <w:marLeft w:val="0"/>
          <w:marRight w:val="0"/>
          <w:marTop w:val="0"/>
          <w:marBottom w:val="0"/>
          <w:divBdr>
            <w:top w:val="none" w:sz="0" w:space="0" w:color="auto"/>
            <w:left w:val="none" w:sz="0" w:space="0" w:color="auto"/>
            <w:bottom w:val="none" w:sz="0" w:space="0" w:color="auto"/>
            <w:right w:val="none" w:sz="0" w:space="0" w:color="auto"/>
          </w:divBdr>
        </w:div>
        <w:div w:id="1797289187">
          <w:marLeft w:val="0"/>
          <w:marRight w:val="0"/>
          <w:marTop w:val="0"/>
          <w:marBottom w:val="0"/>
          <w:divBdr>
            <w:top w:val="none" w:sz="0" w:space="0" w:color="auto"/>
            <w:left w:val="none" w:sz="0" w:space="0" w:color="auto"/>
            <w:bottom w:val="none" w:sz="0" w:space="0" w:color="auto"/>
            <w:right w:val="none" w:sz="0" w:space="0" w:color="auto"/>
          </w:divBdr>
        </w:div>
        <w:div w:id="1817331042">
          <w:marLeft w:val="0"/>
          <w:marRight w:val="0"/>
          <w:marTop w:val="0"/>
          <w:marBottom w:val="0"/>
          <w:divBdr>
            <w:top w:val="none" w:sz="0" w:space="0" w:color="auto"/>
            <w:left w:val="none" w:sz="0" w:space="0" w:color="auto"/>
            <w:bottom w:val="none" w:sz="0" w:space="0" w:color="auto"/>
            <w:right w:val="none" w:sz="0" w:space="0" w:color="auto"/>
          </w:divBdr>
        </w:div>
        <w:div w:id="1905987874">
          <w:marLeft w:val="0"/>
          <w:marRight w:val="0"/>
          <w:marTop w:val="0"/>
          <w:marBottom w:val="0"/>
          <w:divBdr>
            <w:top w:val="none" w:sz="0" w:space="0" w:color="auto"/>
            <w:left w:val="none" w:sz="0" w:space="0" w:color="auto"/>
            <w:bottom w:val="none" w:sz="0" w:space="0" w:color="auto"/>
            <w:right w:val="none" w:sz="0" w:space="0" w:color="auto"/>
          </w:divBdr>
        </w:div>
        <w:div w:id="1954745812">
          <w:marLeft w:val="0"/>
          <w:marRight w:val="0"/>
          <w:marTop w:val="0"/>
          <w:marBottom w:val="0"/>
          <w:divBdr>
            <w:top w:val="none" w:sz="0" w:space="0" w:color="auto"/>
            <w:left w:val="none" w:sz="0" w:space="0" w:color="auto"/>
            <w:bottom w:val="none" w:sz="0" w:space="0" w:color="auto"/>
            <w:right w:val="none" w:sz="0" w:space="0" w:color="auto"/>
          </w:divBdr>
        </w:div>
        <w:div w:id="2110927902">
          <w:marLeft w:val="0"/>
          <w:marRight w:val="0"/>
          <w:marTop w:val="0"/>
          <w:marBottom w:val="0"/>
          <w:divBdr>
            <w:top w:val="none" w:sz="0" w:space="0" w:color="auto"/>
            <w:left w:val="none" w:sz="0" w:space="0" w:color="auto"/>
            <w:bottom w:val="none" w:sz="0" w:space="0" w:color="auto"/>
            <w:right w:val="none" w:sz="0" w:space="0" w:color="auto"/>
          </w:divBdr>
        </w:div>
        <w:div w:id="2115123935">
          <w:marLeft w:val="0"/>
          <w:marRight w:val="0"/>
          <w:marTop w:val="0"/>
          <w:marBottom w:val="0"/>
          <w:divBdr>
            <w:top w:val="none" w:sz="0" w:space="0" w:color="auto"/>
            <w:left w:val="none" w:sz="0" w:space="0" w:color="auto"/>
            <w:bottom w:val="none" w:sz="0" w:space="0" w:color="auto"/>
            <w:right w:val="none" w:sz="0" w:space="0" w:color="auto"/>
          </w:divBdr>
        </w:div>
        <w:div w:id="2119176862">
          <w:marLeft w:val="0"/>
          <w:marRight w:val="0"/>
          <w:marTop w:val="0"/>
          <w:marBottom w:val="0"/>
          <w:divBdr>
            <w:top w:val="none" w:sz="0" w:space="0" w:color="auto"/>
            <w:left w:val="none" w:sz="0" w:space="0" w:color="auto"/>
            <w:bottom w:val="none" w:sz="0" w:space="0" w:color="auto"/>
            <w:right w:val="none" w:sz="0" w:space="0" w:color="auto"/>
          </w:divBdr>
        </w:div>
      </w:divsChild>
    </w:div>
    <w:div w:id="791091558">
      <w:bodyDiv w:val="1"/>
      <w:marLeft w:val="0"/>
      <w:marRight w:val="0"/>
      <w:marTop w:val="0"/>
      <w:marBottom w:val="0"/>
      <w:divBdr>
        <w:top w:val="none" w:sz="0" w:space="0" w:color="auto"/>
        <w:left w:val="none" w:sz="0" w:space="0" w:color="auto"/>
        <w:bottom w:val="none" w:sz="0" w:space="0" w:color="auto"/>
        <w:right w:val="none" w:sz="0" w:space="0" w:color="auto"/>
      </w:divBdr>
      <w:divsChild>
        <w:div w:id="747727141">
          <w:marLeft w:val="0"/>
          <w:marRight w:val="0"/>
          <w:marTop w:val="0"/>
          <w:marBottom w:val="0"/>
          <w:divBdr>
            <w:top w:val="none" w:sz="0" w:space="0" w:color="auto"/>
            <w:left w:val="none" w:sz="0" w:space="0" w:color="auto"/>
            <w:bottom w:val="none" w:sz="0" w:space="0" w:color="auto"/>
            <w:right w:val="none" w:sz="0" w:space="0" w:color="auto"/>
          </w:divBdr>
        </w:div>
        <w:div w:id="764885694">
          <w:marLeft w:val="0"/>
          <w:marRight w:val="0"/>
          <w:marTop w:val="0"/>
          <w:marBottom w:val="0"/>
          <w:divBdr>
            <w:top w:val="none" w:sz="0" w:space="0" w:color="auto"/>
            <w:left w:val="none" w:sz="0" w:space="0" w:color="auto"/>
            <w:bottom w:val="none" w:sz="0" w:space="0" w:color="auto"/>
            <w:right w:val="none" w:sz="0" w:space="0" w:color="auto"/>
          </w:divBdr>
        </w:div>
        <w:div w:id="806355222">
          <w:marLeft w:val="0"/>
          <w:marRight w:val="0"/>
          <w:marTop w:val="0"/>
          <w:marBottom w:val="0"/>
          <w:divBdr>
            <w:top w:val="none" w:sz="0" w:space="0" w:color="auto"/>
            <w:left w:val="none" w:sz="0" w:space="0" w:color="auto"/>
            <w:bottom w:val="none" w:sz="0" w:space="0" w:color="auto"/>
            <w:right w:val="none" w:sz="0" w:space="0" w:color="auto"/>
          </w:divBdr>
        </w:div>
        <w:div w:id="1218080633">
          <w:marLeft w:val="0"/>
          <w:marRight w:val="0"/>
          <w:marTop w:val="0"/>
          <w:marBottom w:val="0"/>
          <w:divBdr>
            <w:top w:val="none" w:sz="0" w:space="0" w:color="auto"/>
            <w:left w:val="none" w:sz="0" w:space="0" w:color="auto"/>
            <w:bottom w:val="none" w:sz="0" w:space="0" w:color="auto"/>
            <w:right w:val="none" w:sz="0" w:space="0" w:color="auto"/>
          </w:divBdr>
          <w:divsChild>
            <w:div w:id="254483877">
              <w:marLeft w:val="0"/>
              <w:marRight w:val="0"/>
              <w:marTop w:val="0"/>
              <w:marBottom w:val="0"/>
              <w:divBdr>
                <w:top w:val="none" w:sz="0" w:space="0" w:color="auto"/>
                <w:left w:val="none" w:sz="0" w:space="0" w:color="auto"/>
                <w:bottom w:val="none" w:sz="0" w:space="0" w:color="auto"/>
                <w:right w:val="none" w:sz="0" w:space="0" w:color="auto"/>
              </w:divBdr>
            </w:div>
            <w:div w:id="475074531">
              <w:marLeft w:val="0"/>
              <w:marRight w:val="0"/>
              <w:marTop w:val="0"/>
              <w:marBottom w:val="0"/>
              <w:divBdr>
                <w:top w:val="none" w:sz="0" w:space="0" w:color="auto"/>
                <w:left w:val="none" w:sz="0" w:space="0" w:color="auto"/>
                <w:bottom w:val="none" w:sz="0" w:space="0" w:color="auto"/>
                <w:right w:val="none" w:sz="0" w:space="0" w:color="auto"/>
              </w:divBdr>
            </w:div>
          </w:divsChild>
        </w:div>
        <w:div w:id="1534269833">
          <w:marLeft w:val="0"/>
          <w:marRight w:val="0"/>
          <w:marTop w:val="0"/>
          <w:marBottom w:val="0"/>
          <w:divBdr>
            <w:top w:val="none" w:sz="0" w:space="0" w:color="auto"/>
            <w:left w:val="none" w:sz="0" w:space="0" w:color="auto"/>
            <w:bottom w:val="none" w:sz="0" w:space="0" w:color="auto"/>
            <w:right w:val="none" w:sz="0" w:space="0" w:color="auto"/>
          </w:divBdr>
        </w:div>
      </w:divsChild>
    </w:div>
    <w:div w:id="797383212">
      <w:bodyDiv w:val="1"/>
      <w:marLeft w:val="0"/>
      <w:marRight w:val="0"/>
      <w:marTop w:val="0"/>
      <w:marBottom w:val="0"/>
      <w:divBdr>
        <w:top w:val="none" w:sz="0" w:space="0" w:color="auto"/>
        <w:left w:val="none" w:sz="0" w:space="0" w:color="auto"/>
        <w:bottom w:val="none" w:sz="0" w:space="0" w:color="auto"/>
        <w:right w:val="none" w:sz="0" w:space="0" w:color="auto"/>
      </w:divBdr>
      <w:divsChild>
        <w:div w:id="1515682839">
          <w:marLeft w:val="0"/>
          <w:marRight w:val="0"/>
          <w:marTop w:val="0"/>
          <w:marBottom w:val="0"/>
          <w:divBdr>
            <w:top w:val="none" w:sz="0" w:space="0" w:color="auto"/>
            <w:left w:val="none" w:sz="0" w:space="0" w:color="auto"/>
            <w:bottom w:val="none" w:sz="0" w:space="0" w:color="auto"/>
            <w:right w:val="none" w:sz="0" w:space="0" w:color="auto"/>
          </w:divBdr>
          <w:divsChild>
            <w:div w:id="22950811">
              <w:marLeft w:val="0"/>
              <w:marRight w:val="0"/>
              <w:marTop w:val="0"/>
              <w:marBottom w:val="0"/>
              <w:divBdr>
                <w:top w:val="none" w:sz="0" w:space="0" w:color="auto"/>
                <w:left w:val="none" w:sz="0" w:space="0" w:color="auto"/>
                <w:bottom w:val="none" w:sz="0" w:space="0" w:color="auto"/>
                <w:right w:val="none" w:sz="0" w:space="0" w:color="auto"/>
              </w:divBdr>
            </w:div>
            <w:div w:id="86276146">
              <w:marLeft w:val="0"/>
              <w:marRight w:val="0"/>
              <w:marTop w:val="0"/>
              <w:marBottom w:val="0"/>
              <w:divBdr>
                <w:top w:val="none" w:sz="0" w:space="0" w:color="auto"/>
                <w:left w:val="none" w:sz="0" w:space="0" w:color="auto"/>
                <w:bottom w:val="none" w:sz="0" w:space="0" w:color="auto"/>
                <w:right w:val="none" w:sz="0" w:space="0" w:color="auto"/>
              </w:divBdr>
            </w:div>
            <w:div w:id="226452439">
              <w:marLeft w:val="0"/>
              <w:marRight w:val="0"/>
              <w:marTop w:val="0"/>
              <w:marBottom w:val="0"/>
              <w:divBdr>
                <w:top w:val="none" w:sz="0" w:space="0" w:color="auto"/>
                <w:left w:val="none" w:sz="0" w:space="0" w:color="auto"/>
                <w:bottom w:val="none" w:sz="0" w:space="0" w:color="auto"/>
                <w:right w:val="none" w:sz="0" w:space="0" w:color="auto"/>
              </w:divBdr>
            </w:div>
            <w:div w:id="645013756">
              <w:marLeft w:val="0"/>
              <w:marRight w:val="0"/>
              <w:marTop w:val="0"/>
              <w:marBottom w:val="0"/>
              <w:divBdr>
                <w:top w:val="none" w:sz="0" w:space="0" w:color="auto"/>
                <w:left w:val="none" w:sz="0" w:space="0" w:color="auto"/>
                <w:bottom w:val="none" w:sz="0" w:space="0" w:color="auto"/>
                <w:right w:val="none" w:sz="0" w:space="0" w:color="auto"/>
              </w:divBdr>
            </w:div>
            <w:div w:id="837234020">
              <w:marLeft w:val="0"/>
              <w:marRight w:val="0"/>
              <w:marTop w:val="0"/>
              <w:marBottom w:val="0"/>
              <w:divBdr>
                <w:top w:val="none" w:sz="0" w:space="0" w:color="auto"/>
                <w:left w:val="none" w:sz="0" w:space="0" w:color="auto"/>
                <w:bottom w:val="none" w:sz="0" w:space="0" w:color="auto"/>
                <w:right w:val="none" w:sz="0" w:space="0" w:color="auto"/>
              </w:divBdr>
            </w:div>
            <w:div w:id="1245644139">
              <w:marLeft w:val="0"/>
              <w:marRight w:val="0"/>
              <w:marTop w:val="0"/>
              <w:marBottom w:val="0"/>
              <w:divBdr>
                <w:top w:val="none" w:sz="0" w:space="0" w:color="auto"/>
                <w:left w:val="none" w:sz="0" w:space="0" w:color="auto"/>
                <w:bottom w:val="none" w:sz="0" w:space="0" w:color="auto"/>
                <w:right w:val="none" w:sz="0" w:space="0" w:color="auto"/>
              </w:divBdr>
            </w:div>
            <w:div w:id="1273855642">
              <w:marLeft w:val="0"/>
              <w:marRight w:val="0"/>
              <w:marTop w:val="0"/>
              <w:marBottom w:val="0"/>
              <w:divBdr>
                <w:top w:val="none" w:sz="0" w:space="0" w:color="auto"/>
                <w:left w:val="none" w:sz="0" w:space="0" w:color="auto"/>
                <w:bottom w:val="none" w:sz="0" w:space="0" w:color="auto"/>
                <w:right w:val="none" w:sz="0" w:space="0" w:color="auto"/>
              </w:divBdr>
            </w:div>
            <w:div w:id="1472867412">
              <w:marLeft w:val="0"/>
              <w:marRight w:val="0"/>
              <w:marTop w:val="0"/>
              <w:marBottom w:val="0"/>
              <w:divBdr>
                <w:top w:val="none" w:sz="0" w:space="0" w:color="auto"/>
                <w:left w:val="none" w:sz="0" w:space="0" w:color="auto"/>
                <w:bottom w:val="none" w:sz="0" w:space="0" w:color="auto"/>
                <w:right w:val="none" w:sz="0" w:space="0" w:color="auto"/>
              </w:divBdr>
            </w:div>
            <w:div w:id="1753426549">
              <w:marLeft w:val="0"/>
              <w:marRight w:val="0"/>
              <w:marTop w:val="0"/>
              <w:marBottom w:val="0"/>
              <w:divBdr>
                <w:top w:val="none" w:sz="0" w:space="0" w:color="auto"/>
                <w:left w:val="none" w:sz="0" w:space="0" w:color="auto"/>
                <w:bottom w:val="none" w:sz="0" w:space="0" w:color="auto"/>
                <w:right w:val="none" w:sz="0" w:space="0" w:color="auto"/>
              </w:divBdr>
            </w:div>
            <w:div w:id="1905796939">
              <w:marLeft w:val="0"/>
              <w:marRight w:val="0"/>
              <w:marTop w:val="0"/>
              <w:marBottom w:val="0"/>
              <w:divBdr>
                <w:top w:val="none" w:sz="0" w:space="0" w:color="auto"/>
                <w:left w:val="none" w:sz="0" w:space="0" w:color="auto"/>
                <w:bottom w:val="none" w:sz="0" w:space="0" w:color="auto"/>
                <w:right w:val="none" w:sz="0" w:space="0" w:color="auto"/>
              </w:divBdr>
            </w:div>
            <w:div w:id="2087678627">
              <w:marLeft w:val="0"/>
              <w:marRight w:val="0"/>
              <w:marTop w:val="0"/>
              <w:marBottom w:val="0"/>
              <w:divBdr>
                <w:top w:val="none" w:sz="0" w:space="0" w:color="auto"/>
                <w:left w:val="none" w:sz="0" w:space="0" w:color="auto"/>
                <w:bottom w:val="none" w:sz="0" w:space="0" w:color="auto"/>
                <w:right w:val="none" w:sz="0" w:space="0" w:color="auto"/>
              </w:divBdr>
            </w:div>
            <w:div w:id="20979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349">
      <w:bodyDiv w:val="1"/>
      <w:marLeft w:val="0"/>
      <w:marRight w:val="0"/>
      <w:marTop w:val="0"/>
      <w:marBottom w:val="0"/>
      <w:divBdr>
        <w:top w:val="none" w:sz="0" w:space="0" w:color="auto"/>
        <w:left w:val="none" w:sz="0" w:space="0" w:color="auto"/>
        <w:bottom w:val="none" w:sz="0" w:space="0" w:color="auto"/>
        <w:right w:val="none" w:sz="0" w:space="0" w:color="auto"/>
      </w:divBdr>
      <w:divsChild>
        <w:div w:id="566498553">
          <w:marLeft w:val="144"/>
          <w:marRight w:val="0"/>
          <w:marTop w:val="240"/>
          <w:marBottom w:val="40"/>
          <w:divBdr>
            <w:top w:val="none" w:sz="0" w:space="0" w:color="auto"/>
            <w:left w:val="none" w:sz="0" w:space="0" w:color="auto"/>
            <w:bottom w:val="none" w:sz="0" w:space="0" w:color="auto"/>
            <w:right w:val="none" w:sz="0" w:space="0" w:color="auto"/>
          </w:divBdr>
        </w:div>
        <w:div w:id="587082190">
          <w:marLeft w:val="144"/>
          <w:marRight w:val="0"/>
          <w:marTop w:val="240"/>
          <w:marBottom w:val="40"/>
          <w:divBdr>
            <w:top w:val="none" w:sz="0" w:space="0" w:color="auto"/>
            <w:left w:val="none" w:sz="0" w:space="0" w:color="auto"/>
            <w:bottom w:val="none" w:sz="0" w:space="0" w:color="auto"/>
            <w:right w:val="none" w:sz="0" w:space="0" w:color="auto"/>
          </w:divBdr>
        </w:div>
        <w:div w:id="1479882490">
          <w:marLeft w:val="144"/>
          <w:marRight w:val="0"/>
          <w:marTop w:val="240"/>
          <w:marBottom w:val="40"/>
          <w:divBdr>
            <w:top w:val="none" w:sz="0" w:space="0" w:color="auto"/>
            <w:left w:val="none" w:sz="0" w:space="0" w:color="auto"/>
            <w:bottom w:val="none" w:sz="0" w:space="0" w:color="auto"/>
            <w:right w:val="none" w:sz="0" w:space="0" w:color="auto"/>
          </w:divBdr>
        </w:div>
        <w:div w:id="1512526177">
          <w:marLeft w:val="144"/>
          <w:marRight w:val="0"/>
          <w:marTop w:val="240"/>
          <w:marBottom w:val="40"/>
          <w:divBdr>
            <w:top w:val="none" w:sz="0" w:space="0" w:color="auto"/>
            <w:left w:val="none" w:sz="0" w:space="0" w:color="auto"/>
            <w:bottom w:val="none" w:sz="0" w:space="0" w:color="auto"/>
            <w:right w:val="none" w:sz="0" w:space="0" w:color="auto"/>
          </w:divBdr>
        </w:div>
      </w:divsChild>
    </w:div>
    <w:div w:id="804540264">
      <w:bodyDiv w:val="1"/>
      <w:marLeft w:val="0"/>
      <w:marRight w:val="0"/>
      <w:marTop w:val="0"/>
      <w:marBottom w:val="0"/>
      <w:divBdr>
        <w:top w:val="none" w:sz="0" w:space="0" w:color="auto"/>
        <w:left w:val="none" w:sz="0" w:space="0" w:color="auto"/>
        <w:bottom w:val="none" w:sz="0" w:space="0" w:color="auto"/>
        <w:right w:val="none" w:sz="0" w:space="0" w:color="auto"/>
      </w:divBdr>
      <w:divsChild>
        <w:div w:id="1524589479">
          <w:marLeft w:val="0"/>
          <w:marRight w:val="0"/>
          <w:marTop w:val="0"/>
          <w:marBottom w:val="0"/>
          <w:divBdr>
            <w:top w:val="none" w:sz="0" w:space="0" w:color="auto"/>
            <w:left w:val="none" w:sz="0" w:space="0" w:color="auto"/>
            <w:bottom w:val="none" w:sz="0" w:space="0" w:color="auto"/>
            <w:right w:val="none" w:sz="0" w:space="0" w:color="auto"/>
          </w:divBdr>
        </w:div>
      </w:divsChild>
    </w:div>
    <w:div w:id="812873670">
      <w:bodyDiv w:val="1"/>
      <w:marLeft w:val="0"/>
      <w:marRight w:val="0"/>
      <w:marTop w:val="0"/>
      <w:marBottom w:val="0"/>
      <w:divBdr>
        <w:top w:val="none" w:sz="0" w:space="0" w:color="auto"/>
        <w:left w:val="none" w:sz="0" w:space="0" w:color="auto"/>
        <w:bottom w:val="none" w:sz="0" w:space="0" w:color="auto"/>
        <w:right w:val="none" w:sz="0" w:space="0" w:color="auto"/>
      </w:divBdr>
      <w:divsChild>
        <w:div w:id="30810974">
          <w:marLeft w:val="0"/>
          <w:marRight w:val="0"/>
          <w:marTop w:val="0"/>
          <w:marBottom w:val="0"/>
          <w:divBdr>
            <w:top w:val="none" w:sz="0" w:space="0" w:color="auto"/>
            <w:left w:val="none" w:sz="0" w:space="0" w:color="auto"/>
            <w:bottom w:val="none" w:sz="0" w:space="0" w:color="auto"/>
            <w:right w:val="none" w:sz="0" w:space="0" w:color="auto"/>
          </w:divBdr>
        </w:div>
        <w:div w:id="116723896">
          <w:marLeft w:val="0"/>
          <w:marRight w:val="0"/>
          <w:marTop w:val="0"/>
          <w:marBottom w:val="0"/>
          <w:divBdr>
            <w:top w:val="none" w:sz="0" w:space="0" w:color="auto"/>
            <w:left w:val="none" w:sz="0" w:space="0" w:color="auto"/>
            <w:bottom w:val="none" w:sz="0" w:space="0" w:color="auto"/>
            <w:right w:val="none" w:sz="0" w:space="0" w:color="auto"/>
          </w:divBdr>
        </w:div>
        <w:div w:id="136145117">
          <w:marLeft w:val="0"/>
          <w:marRight w:val="0"/>
          <w:marTop w:val="0"/>
          <w:marBottom w:val="0"/>
          <w:divBdr>
            <w:top w:val="none" w:sz="0" w:space="0" w:color="auto"/>
            <w:left w:val="none" w:sz="0" w:space="0" w:color="auto"/>
            <w:bottom w:val="none" w:sz="0" w:space="0" w:color="auto"/>
            <w:right w:val="none" w:sz="0" w:space="0" w:color="auto"/>
          </w:divBdr>
        </w:div>
        <w:div w:id="138158233">
          <w:marLeft w:val="0"/>
          <w:marRight w:val="0"/>
          <w:marTop w:val="0"/>
          <w:marBottom w:val="0"/>
          <w:divBdr>
            <w:top w:val="none" w:sz="0" w:space="0" w:color="auto"/>
            <w:left w:val="none" w:sz="0" w:space="0" w:color="auto"/>
            <w:bottom w:val="none" w:sz="0" w:space="0" w:color="auto"/>
            <w:right w:val="none" w:sz="0" w:space="0" w:color="auto"/>
          </w:divBdr>
        </w:div>
        <w:div w:id="224419685">
          <w:marLeft w:val="0"/>
          <w:marRight w:val="0"/>
          <w:marTop w:val="0"/>
          <w:marBottom w:val="0"/>
          <w:divBdr>
            <w:top w:val="none" w:sz="0" w:space="0" w:color="auto"/>
            <w:left w:val="none" w:sz="0" w:space="0" w:color="auto"/>
            <w:bottom w:val="none" w:sz="0" w:space="0" w:color="auto"/>
            <w:right w:val="none" w:sz="0" w:space="0" w:color="auto"/>
          </w:divBdr>
        </w:div>
        <w:div w:id="251858013">
          <w:marLeft w:val="0"/>
          <w:marRight w:val="0"/>
          <w:marTop w:val="0"/>
          <w:marBottom w:val="0"/>
          <w:divBdr>
            <w:top w:val="none" w:sz="0" w:space="0" w:color="auto"/>
            <w:left w:val="none" w:sz="0" w:space="0" w:color="auto"/>
            <w:bottom w:val="none" w:sz="0" w:space="0" w:color="auto"/>
            <w:right w:val="none" w:sz="0" w:space="0" w:color="auto"/>
          </w:divBdr>
        </w:div>
        <w:div w:id="307394070">
          <w:marLeft w:val="0"/>
          <w:marRight w:val="0"/>
          <w:marTop w:val="0"/>
          <w:marBottom w:val="0"/>
          <w:divBdr>
            <w:top w:val="none" w:sz="0" w:space="0" w:color="auto"/>
            <w:left w:val="none" w:sz="0" w:space="0" w:color="auto"/>
            <w:bottom w:val="none" w:sz="0" w:space="0" w:color="auto"/>
            <w:right w:val="none" w:sz="0" w:space="0" w:color="auto"/>
          </w:divBdr>
        </w:div>
        <w:div w:id="349769009">
          <w:marLeft w:val="0"/>
          <w:marRight w:val="0"/>
          <w:marTop w:val="0"/>
          <w:marBottom w:val="0"/>
          <w:divBdr>
            <w:top w:val="none" w:sz="0" w:space="0" w:color="auto"/>
            <w:left w:val="none" w:sz="0" w:space="0" w:color="auto"/>
            <w:bottom w:val="none" w:sz="0" w:space="0" w:color="auto"/>
            <w:right w:val="none" w:sz="0" w:space="0" w:color="auto"/>
          </w:divBdr>
        </w:div>
        <w:div w:id="434977784">
          <w:marLeft w:val="0"/>
          <w:marRight w:val="0"/>
          <w:marTop w:val="0"/>
          <w:marBottom w:val="0"/>
          <w:divBdr>
            <w:top w:val="none" w:sz="0" w:space="0" w:color="auto"/>
            <w:left w:val="none" w:sz="0" w:space="0" w:color="auto"/>
            <w:bottom w:val="none" w:sz="0" w:space="0" w:color="auto"/>
            <w:right w:val="none" w:sz="0" w:space="0" w:color="auto"/>
          </w:divBdr>
        </w:div>
        <w:div w:id="449512654">
          <w:marLeft w:val="0"/>
          <w:marRight w:val="0"/>
          <w:marTop w:val="0"/>
          <w:marBottom w:val="0"/>
          <w:divBdr>
            <w:top w:val="none" w:sz="0" w:space="0" w:color="auto"/>
            <w:left w:val="none" w:sz="0" w:space="0" w:color="auto"/>
            <w:bottom w:val="none" w:sz="0" w:space="0" w:color="auto"/>
            <w:right w:val="none" w:sz="0" w:space="0" w:color="auto"/>
          </w:divBdr>
        </w:div>
        <w:div w:id="523910503">
          <w:marLeft w:val="0"/>
          <w:marRight w:val="0"/>
          <w:marTop w:val="0"/>
          <w:marBottom w:val="0"/>
          <w:divBdr>
            <w:top w:val="none" w:sz="0" w:space="0" w:color="auto"/>
            <w:left w:val="none" w:sz="0" w:space="0" w:color="auto"/>
            <w:bottom w:val="none" w:sz="0" w:space="0" w:color="auto"/>
            <w:right w:val="none" w:sz="0" w:space="0" w:color="auto"/>
          </w:divBdr>
        </w:div>
        <w:div w:id="546189402">
          <w:marLeft w:val="0"/>
          <w:marRight w:val="0"/>
          <w:marTop w:val="0"/>
          <w:marBottom w:val="0"/>
          <w:divBdr>
            <w:top w:val="none" w:sz="0" w:space="0" w:color="auto"/>
            <w:left w:val="none" w:sz="0" w:space="0" w:color="auto"/>
            <w:bottom w:val="none" w:sz="0" w:space="0" w:color="auto"/>
            <w:right w:val="none" w:sz="0" w:space="0" w:color="auto"/>
          </w:divBdr>
        </w:div>
        <w:div w:id="581572142">
          <w:marLeft w:val="0"/>
          <w:marRight w:val="0"/>
          <w:marTop w:val="0"/>
          <w:marBottom w:val="0"/>
          <w:divBdr>
            <w:top w:val="none" w:sz="0" w:space="0" w:color="auto"/>
            <w:left w:val="none" w:sz="0" w:space="0" w:color="auto"/>
            <w:bottom w:val="none" w:sz="0" w:space="0" w:color="auto"/>
            <w:right w:val="none" w:sz="0" w:space="0" w:color="auto"/>
          </w:divBdr>
        </w:div>
        <w:div w:id="601761598">
          <w:marLeft w:val="0"/>
          <w:marRight w:val="0"/>
          <w:marTop w:val="0"/>
          <w:marBottom w:val="0"/>
          <w:divBdr>
            <w:top w:val="none" w:sz="0" w:space="0" w:color="auto"/>
            <w:left w:val="none" w:sz="0" w:space="0" w:color="auto"/>
            <w:bottom w:val="none" w:sz="0" w:space="0" w:color="auto"/>
            <w:right w:val="none" w:sz="0" w:space="0" w:color="auto"/>
          </w:divBdr>
        </w:div>
        <w:div w:id="738358425">
          <w:marLeft w:val="0"/>
          <w:marRight w:val="0"/>
          <w:marTop w:val="0"/>
          <w:marBottom w:val="0"/>
          <w:divBdr>
            <w:top w:val="none" w:sz="0" w:space="0" w:color="auto"/>
            <w:left w:val="none" w:sz="0" w:space="0" w:color="auto"/>
            <w:bottom w:val="none" w:sz="0" w:space="0" w:color="auto"/>
            <w:right w:val="none" w:sz="0" w:space="0" w:color="auto"/>
          </w:divBdr>
        </w:div>
        <w:div w:id="756753053">
          <w:marLeft w:val="0"/>
          <w:marRight w:val="0"/>
          <w:marTop w:val="0"/>
          <w:marBottom w:val="0"/>
          <w:divBdr>
            <w:top w:val="none" w:sz="0" w:space="0" w:color="auto"/>
            <w:left w:val="none" w:sz="0" w:space="0" w:color="auto"/>
            <w:bottom w:val="none" w:sz="0" w:space="0" w:color="auto"/>
            <w:right w:val="none" w:sz="0" w:space="0" w:color="auto"/>
          </w:divBdr>
        </w:div>
        <w:div w:id="764573359">
          <w:marLeft w:val="0"/>
          <w:marRight w:val="0"/>
          <w:marTop w:val="0"/>
          <w:marBottom w:val="0"/>
          <w:divBdr>
            <w:top w:val="none" w:sz="0" w:space="0" w:color="auto"/>
            <w:left w:val="none" w:sz="0" w:space="0" w:color="auto"/>
            <w:bottom w:val="none" w:sz="0" w:space="0" w:color="auto"/>
            <w:right w:val="none" w:sz="0" w:space="0" w:color="auto"/>
          </w:divBdr>
        </w:div>
        <w:div w:id="866066127">
          <w:marLeft w:val="0"/>
          <w:marRight w:val="0"/>
          <w:marTop w:val="0"/>
          <w:marBottom w:val="0"/>
          <w:divBdr>
            <w:top w:val="none" w:sz="0" w:space="0" w:color="auto"/>
            <w:left w:val="none" w:sz="0" w:space="0" w:color="auto"/>
            <w:bottom w:val="none" w:sz="0" w:space="0" w:color="auto"/>
            <w:right w:val="none" w:sz="0" w:space="0" w:color="auto"/>
          </w:divBdr>
        </w:div>
        <w:div w:id="929629346">
          <w:marLeft w:val="0"/>
          <w:marRight w:val="0"/>
          <w:marTop w:val="0"/>
          <w:marBottom w:val="0"/>
          <w:divBdr>
            <w:top w:val="none" w:sz="0" w:space="0" w:color="auto"/>
            <w:left w:val="none" w:sz="0" w:space="0" w:color="auto"/>
            <w:bottom w:val="none" w:sz="0" w:space="0" w:color="auto"/>
            <w:right w:val="none" w:sz="0" w:space="0" w:color="auto"/>
          </w:divBdr>
        </w:div>
        <w:div w:id="957956265">
          <w:marLeft w:val="0"/>
          <w:marRight w:val="0"/>
          <w:marTop w:val="0"/>
          <w:marBottom w:val="0"/>
          <w:divBdr>
            <w:top w:val="none" w:sz="0" w:space="0" w:color="auto"/>
            <w:left w:val="none" w:sz="0" w:space="0" w:color="auto"/>
            <w:bottom w:val="none" w:sz="0" w:space="0" w:color="auto"/>
            <w:right w:val="none" w:sz="0" w:space="0" w:color="auto"/>
          </w:divBdr>
        </w:div>
        <w:div w:id="958342858">
          <w:marLeft w:val="0"/>
          <w:marRight w:val="0"/>
          <w:marTop w:val="0"/>
          <w:marBottom w:val="0"/>
          <w:divBdr>
            <w:top w:val="none" w:sz="0" w:space="0" w:color="auto"/>
            <w:left w:val="none" w:sz="0" w:space="0" w:color="auto"/>
            <w:bottom w:val="none" w:sz="0" w:space="0" w:color="auto"/>
            <w:right w:val="none" w:sz="0" w:space="0" w:color="auto"/>
          </w:divBdr>
        </w:div>
        <w:div w:id="1052122381">
          <w:marLeft w:val="0"/>
          <w:marRight w:val="0"/>
          <w:marTop w:val="0"/>
          <w:marBottom w:val="0"/>
          <w:divBdr>
            <w:top w:val="none" w:sz="0" w:space="0" w:color="auto"/>
            <w:left w:val="none" w:sz="0" w:space="0" w:color="auto"/>
            <w:bottom w:val="none" w:sz="0" w:space="0" w:color="auto"/>
            <w:right w:val="none" w:sz="0" w:space="0" w:color="auto"/>
          </w:divBdr>
        </w:div>
        <w:div w:id="1098602657">
          <w:marLeft w:val="0"/>
          <w:marRight w:val="0"/>
          <w:marTop w:val="0"/>
          <w:marBottom w:val="0"/>
          <w:divBdr>
            <w:top w:val="none" w:sz="0" w:space="0" w:color="auto"/>
            <w:left w:val="none" w:sz="0" w:space="0" w:color="auto"/>
            <w:bottom w:val="none" w:sz="0" w:space="0" w:color="auto"/>
            <w:right w:val="none" w:sz="0" w:space="0" w:color="auto"/>
          </w:divBdr>
        </w:div>
        <w:div w:id="1196692899">
          <w:marLeft w:val="0"/>
          <w:marRight w:val="0"/>
          <w:marTop w:val="0"/>
          <w:marBottom w:val="0"/>
          <w:divBdr>
            <w:top w:val="none" w:sz="0" w:space="0" w:color="auto"/>
            <w:left w:val="none" w:sz="0" w:space="0" w:color="auto"/>
            <w:bottom w:val="none" w:sz="0" w:space="0" w:color="auto"/>
            <w:right w:val="none" w:sz="0" w:space="0" w:color="auto"/>
          </w:divBdr>
        </w:div>
        <w:div w:id="1241404497">
          <w:marLeft w:val="0"/>
          <w:marRight w:val="0"/>
          <w:marTop w:val="0"/>
          <w:marBottom w:val="0"/>
          <w:divBdr>
            <w:top w:val="none" w:sz="0" w:space="0" w:color="auto"/>
            <w:left w:val="none" w:sz="0" w:space="0" w:color="auto"/>
            <w:bottom w:val="none" w:sz="0" w:space="0" w:color="auto"/>
            <w:right w:val="none" w:sz="0" w:space="0" w:color="auto"/>
          </w:divBdr>
        </w:div>
        <w:div w:id="1290622080">
          <w:marLeft w:val="0"/>
          <w:marRight w:val="0"/>
          <w:marTop w:val="0"/>
          <w:marBottom w:val="0"/>
          <w:divBdr>
            <w:top w:val="none" w:sz="0" w:space="0" w:color="auto"/>
            <w:left w:val="none" w:sz="0" w:space="0" w:color="auto"/>
            <w:bottom w:val="none" w:sz="0" w:space="0" w:color="auto"/>
            <w:right w:val="none" w:sz="0" w:space="0" w:color="auto"/>
          </w:divBdr>
        </w:div>
        <w:div w:id="1318529656">
          <w:marLeft w:val="0"/>
          <w:marRight w:val="0"/>
          <w:marTop w:val="0"/>
          <w:marBottom w:val="0"/>
          <w:divBdr>
            <w:top w:val="none" w:sz="0" w:space="0" w:color="auto"/>
            <w:left w:val="none" w:sz="0" w:space="0" w:color="auto"/>
            <w:bottom w:val="none" w:sz="0" w:space="0" w:color="auto"/>
            <w:right w:val="none" w:sz="0" w:space="0" w:color="auto"/>
          </w:divBdr>
        </w:div>
        <w:div w:id="1356734566">
          <w:marLeft w:val="0"/>
          <w:marRight w:val="0"/>
          <w:marTop w:val="0"/>
          <w:marBottom w:val="0"/>
          <w:divBdr>
            <w:top w:val="none" w:sz="0" w:space="0" w:color="auto"/>
            <w:left w:val="none" w:sz="0" w:space="0" w:color="auto"/>
            <w:bottom w:val="none" w:sz="0" w:space="0" w:color="auto"/>
            <w:right w:val="none" w:sz="0" w:space="0" w:color="auto"/>
          </w:divBdr>
        </w:div>
        <w:div w:id="1356997713">
          <w:marLeft w:val="0"/>
          <w:marRight w:val="0"/>
          <w:marTop w:val="0"/>
          <w:marBottom w:val="0"/>
          <w:divBdr>
            <w:top w:val="none" w:sz="0" w:space="0" w:color="auto"/>
            <w:left w:val="none" w:sz="0" w:space="0" w:color="auto"/>
            <w:bottom w:val="none" w:sz="0" w:space="0" w:color="auto"/>
            <w:right w:val="none" w:sz="0" w:space="0" w:color="auto"/>
          </w:divBdr>
        </w:div>
        <w:div w:id="1371150591">
          <w:marLeft w:val="0"/>
          <w:marRight w:val="0"/>
          <w:marTop w:val="0"/>
          <w:marBottom w:val="0"/>
          <w:divBdr>
            <w:top w:val="none" w:sz="0" w:space="0" w:color="auto"/>
            <w:left w:val="none" w:sz="0" w:space="0" w:color="auto"/>
            <w:bottom w:val="none" w:sz="0" w:space="0" w:color="auto"/>
            <w:right w:val="none" w:sz="0" w:space="0" w:color="auto"/>
          </w:divBdr>
        </w:div>
        <w:div w:id="1403602160">
          <w:marLeft w:val="0"/>
          <w:marRight w:val="0"/>
          <w:marTop w:val="0"/>
          <w:marBottom w:val="0"/>
          <w:divBdr>
            <w:top w:val="none" w:sz="0" w:space="0" w:color="auto"/>
            <w:left w:val="none" w:sz="0" w:space="0" w:color="auto"/>
            <w:bottom w:val="none" w:sz="0" w:space="0" w:color="auto"/>
            <w:right w:val="none" w:sz="0" w:space="0" w:color="auto"/>
          </w:divBdr>
        </w:div>
        <w:div w:id="1419404661">
          <w:marLeft w:val="0"/>
          <w:marRight w:val="0"/>
          <w:marTop w:val="0"/>
          <w:marBottom w:val="0"/>
          <w:divBdr>
            <w:top w:val="none" w:sz="0" w:space="0" w:color="auto"/>
            <w:left w:val="none" w:sz="0" w:space="0" w:color="auto"/>
            <w:bottom w:val="none" w:sz="0" w:space="0" w:color="auto"/>
            <w:right w:val="none" w:sz="0" w:space="0" w:color="auto"/>
          </w:divBdr>
        </w:div>
        <w:div w:id="1452434972">
          <w:marLeft w:val="0"/>
          <w:marRight w:val="0"/>
          <w:marTop w:val="0"/>
          <w:marBottom w:val="0"/>
          <w:divBdr>
            <w:top w:val="none" w:sz="0" w:space="0" w:color="auto"/>
            <w:left w:val="none" w:sz="0" w:space="0" w:color="auto"/>
            <w:bottom w:val="none" w:sz="0" w:space="0" w:color="auto"/>
            <w:right w:val="none" w:sz="0" w:space="0" w:color="auto"/>
          </w:divBdr>
        </w:div>
        <w:div w:id="1465583500">
          <w:marLeft w:val="0"/>
          <w:marRight w:val="0"/>
          <w:marTop w:val="0"/>
          <w:marBottom w:val="0"/>
          <w:divBdr>
            <w:top w:val="none" w:sz="0" w:space="0" w:color="auto"/>
            <w:left w:val="none" w:sz="0" w:space="0" w:color="auto"/>
            <w:bottom w:val="none" w:sz="0" w:space="0" w:color="auto"/>
            <w:right w:val="none" w:sz="0" w:space="0" w:color="auto"/>
          </w:divBdr>
        </w:div>
        <w:div w:id="1491364090">
          <w:marLeft w:val="0"/>
          <w:marRight w:val="0"/>
          <w:marTop w:val="0"/>
          <w:marBottom w:val="0"/>
          <w:divBdr>
            <w:top w:val="none" w:sz="0" w:space="0" w:color="auto"/>
            <w:left w:val="none" w:sz="0" w:space="0" w:color="auto"/>
            <w:bottom w:val="none" w:sz="0" w:space="0" w:color="auto"/>
            <w:right w:val="none" w:sz="0" w:space="0" w:color="auto"/>
          </w:divBdr>
        </w:div>
        <w:div w:id="1533037073">
          <w:marLeft w:val="0"/>
          <w:marRight w:val="0"/>
          <w:marTop w:val="0"/>
          <w:marBottom w:val="0"/>
          <w:divBdr>
            <w:top w:val="none" w:sz="0" w:space="0" w:color="auto"/>
            <w:left w:val="none" w:sz="0" w:space="0" w:color="auto"/>
            <w:bottom w:val="none" w:sz="0" w:space="0" w:color="auto"/>
            <w:right w:val="none" w:sz="0" w:space="0" w:color="auto"/>
          </w:divBdr>
        </w:div>
        <w:div w:id="1536037344">
          <w:marLeft w:val="0"/>
          <w:marRight w:val="0"/>
          <w:marTop w:val="0"/>
          <w:marBottom w:val="0"/>
          <w:divBdr>
            <w:top w:val="none" w:sz="0" w:space="0" w:color="auto"/>
            <w:left w:val="none" w:sz="0" w:space="0" w:color="auto"/>
            <w:bottom w:val="none" w:sz="0" w:space="0" w:color="auto"/>
            <w:right w:val="none" w:sz="0" w:space="0" w:color="auto"/>
          </w:divBdr>
        </w:div>
        <w:div w:id="1599097240">
          <w:marLeft w:val="0"/>
          <w:marRight w:val="0"/>
          <w:marTop w:val="0"/>
          <w:marBottom w:val="0"/>
          <w:divBdr>
            <w:top w:val="none" w:sz="0" w:space="0" w:color="auto"/>
            <w:left w:val="none" w:sz="0" w:space="0" w:color="auto"/>
            <w:bottom w:val="none" w:sz="0" w:space="0" w:color="auto"/>
            <w:right w:val="none" w:sz="0" w:space="0" w:color="auto"/>
          </w:divBdr>
        </w:div>
        <w:div w:id="1682657989">
          <w:marLeft w:val="0"/>
          <w:marRight w:val="0"/>
          <w:marTop w:val="0"/>
          <w:marBottom w:val="0"/>
          <w:divBdr>
            <w:top w:val="none" w:sz="0" w:space="0" w:color="auto"/>
            <w:left w:val="none" w:sz="0" w:space="0" w:color="auto"/>
            <w:bottom w:val="none" w:sz="0" w:space="0" w:color="auto"/>
            <w:right w:val="none" w:sz="0" w:space="0" w:color="auto"/>
          </w:divBdr>
        </w:div>
        <w:div w:id="1698310671">
          <w:marLeft w:val="0"/>
          <w:marRight w:val="0"/>
          <w:marTop w:val="0"/>
          <w:marBottom w:val="0"/>
          <w:divBdr>
            <w:top w:val="none" w:sz="0" w:space="0" w:color="auto"/>
            <w:left w:val="none" w:sz="0" w:space="0" w:color="auto"/>
            <w:bottom w:val="none" w:sz="0" w:space="0" w:color="auto"/>
            <w:right w:val="none" w:sz="0" w:space="0" w:color="auto"/>
          </w:divBdr>
        </w:div>
        <w:div w:id="1729258404">
          <w:marLeft w:val="0"/>
          <w:marRight w:val="0"/>
          <w:marTop w:val="0"/>
          <w:marBottom w:val="0"/>
          <w:divBdr>
            <w:top w:val="none" w:sz="0" w:space="0" w:color="auto"/>
            <w:left w:val="none" w:sz="0" w:space="0" w:color="auto"/>
            <w:bottom w:val="none" w:sz="0" w:space="0" w:color="auto"/>
            <w:right w:val="none" w:sz="0" w:space="0" w:color="auto"/>
          </w:divBdr>
        </w:div>
        <w:div w:id="1817260652">
          <w:marLeft w:val="0"/>
          <w:marRight w:val="0"/>
          <w:marTop w:val="0"/>
          <w:marBottom w:val="0"/>
          <w:divBdr>
            <w:top w:val="none" w:sz="0" w:space="0" w:color="auto"/>
            <w:left w:val="none" w:sz="0" w:space="0" w:color="auto"/>
            <w:bottom w:val="none" w:sz="0" w:space="0" w:color="auto"/>
            <w:right w:val="none" w:sz="0" w:space="0" w:color="auto"/>
          </w:divBdr>
        </w:div>
        <w:div w:id="1874073742">
          <w:marLeft w:val="0"/>
          <w:marRight w:val="0"/>
          <w:marTop w:val="0"/>
          <w:marBottom w:val="0"/>
          <w:divBdr>
            <w:top w:val="none" w:sz="0" w:space="0" w:color="auto"/>
            <w:left w:val="none" w:sz="0" w:space="0" w:color="auto"/>
            <w:bottom w:val="none" w:sz="0" w:space="0" w:color="auto"/>
            <w:right w:val="none" w:sz="0" w:space="0" w:color="auto"/>
          </w:divBdr>
        </w:div>
        <w:div w:id="1938556480">
          <w:marLeft w:val="0"/>
          <w:marRight w:val="0"/>
          <w:marTop w:val="0"/>
          <w:marBottom w:val="0"/>
          <w:divBdr>
            <w:top w:val="none" w:sz="0" w:space="0" w:color="auto"/>
            <w:left w:val="none" w:sz="0" w:space="0" w:color="auto"/>
            <w:bottom w:val="none" w:sz="0" w:space="0" w:color="auto"/>
            <w:right w:val="none" w:sz="0" w:space="0" w:color="auto"/>
          </w:divBdr>
        </w:div>
        <w:div w:id="1962152029">
          <w:marLeft w:val="0"/>
          <w:marRight w:val="0"/>
          <w:marTop w:val="0"/>
          <w:marBottom w:val="0"/>
          <w:divBdr>
            <w:top w:val="none" w:sz="0" w:space="0" w:color="auto"/>
            <w:left w:val="none" w:sz="0" w:space="0" w:color="auto"/>
            <w:bottom w:val="none" w:sz="0" w:space="0" w:color="auto"/>
            <w:right w:val="none" w:sz="0" w:space="0" w:color="auto"/>
          </w:divBdr>
        </w:div>
        <w:div w:id="2001343803">
          <w:marLeft w:val="0"/>
          <w:marRight w:val="0"/>
          <w:marTop w:val="0"/>
          <w:marBottom w:val="0"/>
          <w:divBdr>
            <w:top w:val="none" w:sz="0" w:space="0" w:color="auto"/>
            <w:left w:val="none" w:sz="0" w:space="0" w:color="auto"/>
            <w:bottom w:val="none" w:sz="0" w:space="0" w:color="auto"/>
            <w:right w:val="none" w:sz="0" w:space="0" w:color="auto"/>
          </w:divBdr>
        </w:div>
        <w:div w:id="2032607104">
          <w:marLeft w:val="0"/>
          <w:marRight w:val="0"/>
          <w:marTop w:val="0"/>
          <w:marBottom w:val="0"/>
          <w:divBdr>
            <w:top w:val="none" w:sz="0" w:space="0" w:color="auto"/>
            <w:left w:val="none" w:sz="0" w:space="0" w:color="auto"/>
            <w:bottom w:val="none" w:sz="0" w:space="0" w:color="auto"/>
            <w:right w:val="none" w:sz="0" w:space="0" w:color="auto"/>
          </w:divBdr>
        </w:div>
        <w:div w:id="2055693956">
          <w:marLeft w:val="0"/>
          <w:marRight w:val="0"/>
          <w:marTop w:val="0"/>
          <w:marBottom w:val="0"/>
          <w:divBdr>
            <w:top w:val="none" w:sz="0" w:space="0" w:color="auto"/>
            <w:left w:val="none" w:sz="0" w:space="0" w:color="auto"/>
            <w:bottom w:val="none" w:sz="0" w:space="0" w:color="auto"/>
            <w:right w:val="none" w:sz="0" w:space="0" w:color="auto"/>
          </w:divBdr>
        </w:div>
        <w:div w:id="2075741608">
          <w:marLeft w:val="0"/>
          <w:marRight w:val="0"/>
          <w:marTop w:val="0"/>
          <w:marBottom w:val="0"/>
          <w:divBdr>
            <w:top w:val="none" w:sz="0" w:space="0" w:color="auto"/>
            <w:left w:val="none" w:sz="0" w:space="0" w:color="auto"/>
            <w:bottom w:val="none" w:sz="0" w:space="0" w:color="auto"/>
            <w:right w:val="none" w:sz="0" w:space="0" w:color="auto"/>
          </w:divBdr>
        </w:div>
        <w:div w:id="2076660189">
          <w:marLeft w:val="0"/>
          <w:marRight w:val="0"/>
          <w:marTop w:val="0"/>
          <w:marBottom w:val="0"/>
          <w:divBdr>
            <w:top w:val="none" w:sz="0" w:space="0" w:color="auto"/>
            <w:left w:val="none" w:sz="0" w:space="0" w:color="auto"/>
            <w:bottom w:val="none" w:sz="0" w:space="0" w:color="auto"/>
            <w:right w:val="none" w:sz="0" w:space="0" w:color="auto"/>
          </w:divBdr>
        </w:div>
      </w:divsChild>
    </w:div>
    <w:div w:id="819419492">
      <w:bodyDiv w:val="1"/>
      <w:marLeft w:val="0"/>
      <w:marRight w:val="0"/>
      <w:marTop w:val="0"/>
      <w:marBottom w:val="0"/>
      <w:divBdr>
        <w:top w:val="none" w:sz="0" w:space="0" w:color="auto"/>
        <w:left w:val="none" w:sz="0" w:space="0" w:color="auto"/>
        <w:bottom w:val="none" w:sz="0" w:space="0" w:color="auto"/>
        <w:right w:val="none" w:sz="0" w:space="0" w:color="auto"/>
      </w:divBdr>
      <w:divsChild>
        <w:div w:id="152720210">
          <w:marLeft w:val="0"/>
          <w:marRight w:val="0"/>
          <w:marTop w:val="0"/>
          <w:marBottom w:val="0"/>
          <w:divBdr>
            <w:top w:val="none" w:sz="0" w:space="0" w:color="auto"/>
            <w:left w:val="none" w:sz="0" w:space="0" w:color="auto"/>
            <w:bottom w:val="none" w:sz="0" w:space="0" w:color="auto"/>
            <w:right w:val="none" w:sz="0" w:space="0" w:color="auto"/>
          </w:divBdr>
        </w:div>
        <w:div w:id="215362342">
          <w:marLeft w:val="0"/>
          <w:marRight w:val="0"/>
          <w:marTop w:val="0"/>
          <w:marBottom w:val="0"/>
          <w:divBdr>
            <w:top w:val="none" w:sz="0" w:space="0" w:color="auto"/>
            <w:left w:val="none" w:sz="0" w:space="0" w:color="auto"/>
            <w:bottom w:val="none" w:sz="0" w:space="0" w:color="auto"/>
            <w:right w:val="none" w:sz="0" w:space="0" w:color="auto"/>
          </w:divBdr>
        </w:div>
        <w:div w:id="290407722">
          <w:marLeft w:val="0"/>
          <w:marRight w:val="0"/>
          <w:marTop w:val="0"/>
          <w:marBottom w:val="0"/>
          <w:divBdr>
            <w:top w:val="none" w:sz="0" w:space="0" w:color="auto"/>
            <w:left w:val="none" w:sz="0" w:space="0" w:color="auto"/>
            <w:bottom w:val="none" w:sz="0" w:space="0" w:color="auto"/>
            <w:right w:val="none" w:sz="0" w:space="0" w:color="auto"/>
          </w:divBdr>
        </w:div>
        <w:div w:id="859969564">
          <w:marLeft w:val="0"/>
          <w:marRight w:val="0"/>
          <w:marTop w:val="0"/>
          <w:marBottom w:val="0"/>
          <w:divBdr>
            <w:top w:val="none" w:sz="0" w:space="0" w:color="auto"/>
            <w:left w:val="none" w:sz="0" w:space="0" w:color="auto"/>
            <w:bottom w:val="none" w:sz="0" w:space="0" w:color="auto"/>
            <w:right w:val="none" w:sz="0" w:space="0" w:color="auto"/>
          </w:divBdr>
        </w:div>
        <w:div w:id="1608928049">
          <w:marLeft w:val="0"/>
          <w:marRight w:val="0"/>
          <w:marTop w:val="0"/>
          <w:marBottom w:val="0"/>
          <w:divBdr>
            <w:top w:val="none" w:sz="0" w:space="0" w:color="auto"/>
            <w:left w:val="none" w:sz="0" w:space="0" w:color="auto"/>
            <w:bottom w:val="none" w:sz="0" w:space="0" w:color="auto"/>
            <w:right w:val="none" w:sz="0" w:space="0" w:color="auto"/>
          </w:divBdr>
        </w:div>
        <w:div w:id="1795512980">
          <w:marLeft w:val="0"/>
          <w:marRight w:val="0"/>
          <w:marTop w:val="0"/>
          <w:marBottom w:val="0"/>
          <w:divBdr>
            <w:top w:val="none" w:sz="0" w:space="0" w:color="auto"/>
            <w:left w:val="none" w:sz="0" w:space="0" w:color="auto"/>
            <w:bottom w:val="none" w:sz="0" w:space="0" w:color="auto"/>
            <w:right w:val="none" w:sz="0" w:space="0" w:color="auto"/>
          </w:divBdr>
        </w:div>
        <w:div w:id="2111899148">
          <w:marLeft w:val="0"/>
          <w:marRight w:val="0"/>
          <w:marTop w:val="0"/>
          <w:marBottom w:val="0"/>
          <w:divBdr>
            <w:top w:val="none" w:sz="0" w:space="0" w:color="auto"/>
            <w:left w:val="none" w:sz="0" w:space="0" w:color="auto"/>
            <w:bottom w:val="none" w:sz="0" w:space="0" w:color="auto"/>
            <w:right w:val="none" w:sz="0" w:space="0" w:color="auto"/>
          </w:divBdr>
        </w:div>
      </w:divsChild>
    </w:div>
    <w:div w:id="821771067">
      <w:bodyDiv w:val="1"/>
      <w:marLeft w:val="0"/>
      <w:marRight w:val="0"/>
      <w:marTop w:val="0"/>
      <w:marBottom w:val="0"/>
      <w:divBdr>
        <w:top w:val="none" w:sz="0" w:space="0" w:color="auto"/>
        <w:left w:val="none" w:sz="0" w:space="0" w:color="auto"/>
        <w:bottom w:val="none" w:sz="0" w:space="0" w:color="auto"/>
        <w:right w:val="none" w:sz="0" w:space="0" w:color="auto"/>
      </w:divBdr>
    </w:div>
    <w:div w:id="822506863">
      <w:bodyDiv w:val="1"/>
      <w:marLeft w:val="0"/>
      <w:marRight w:val="0"/>
      <w:marTop w:val="0"/>
      <w:marBottom w:val="0"/>
      <w:divBdr>
        <w:top w:val="none" w:sz="0" w:space="0" w:color="auto"/>
        <w:left w:val="none" w:sz="0" w:space="0" w:color="auto"/>
        <w:bottom w:val="none" w:sz="0" w:space="0" w:color="auto"/>
        <w:right w:val="none" w:sz="0" w:space="0" w:color="auto"/>
      </w:divBdr>
      <w:divsChild>
        <w:div w:id="50465578">
          <w:marLeft w:val="0"/>
          <w:marRight w:val="0"/>
          <w:marTop w:val="0"/>
          <w:marBottom w:val="0"/>
          <w:divBdr>
            <w:top w:val="none" w:sz="0" w:space="0" w:color="auto"/>
            <w:left w:val="none" w:sz="0" w:space="0" w:color="auto"/>
            <w:bottom w:val="none" w:sz="0" w:space="0" w:color="auto"/>
            <w:right w:val="none" w:sz="0" w:space="0" w:color="auto"/>
          </w:divBdr>
        </w:div>
        <w:div w:id="80832305">
          <w:marLeft w:val="0"/>
          <w:marRight w:val="0"/>
          <w:marTop w:val="0"/>
          <w:marBottom w:val="0"/>
          <w:divBdr>
            <w:top w:val="none" w:sz="0" w:space="0" w:color="auto"/>
            <w:left w:val="none" w:sz="0" w:space="0" w:color="auto"/>
            <w:bottom w:val="none" w:sz="0" w:space="0" w:color="auto"/>
            <w:right w:val="none" w:sz="0" w:space="0" w:color="auto"/>
          </w:divBdr>
        </w:div>
        <w:div w:id="177887805">
          <w:marLeft w:val="0"/>
          <w:marRight w:val="0"/>
          <w:marTop w:val="0"/>
          <w:marBottom w:val="0"/>
          <w:divBdr>
            <w:top w:val="none" w:sz="0" w:space="0" w:color="auto"/>
            <w:left w:val="none" w:sz="0" w:space="0" w:color="auto"/>
            <w:bottom w:val="none" w:sz="0" w:space="0" w:color="auto"/>
            <w:right w:val="none" w:sz="0" w:space="0" w:color="auto"/>
          </w:divBdr>
        </w:div>
        <w:div w:id="261108071">
          <w:marLeft w:val="0"/>
          <w:marRight w:val="0"/>
          <w:marTop w:val="0"/>
          <w:marBottom w:val="0"/>
          <w:divBdr>
            <w:top w:val="none" w:sz="0" w:space="0" w:color="auto"/>
            <w:left w:val="none" w:sz="0" w:space="0" w:color="auto"/>
            <w:bottom w:val="none" w:sz="0" w:space="0" w:color="auto"/>
            <w:right w:val="none" w:sz="0" w:space="0" w:color="auto"/>
          </w:divBdr>
        </w:div>
        <w:div w:id="512111093">
          <w:marLeft w:val="0"/>
          <w:marRight w:val="0"/>
          <w:marTop w:val="0"/>
          <w:marBottom w:val="0"/>
          <w:divBdr>
            <w:top w:val="none" w:sz="0" w:space="0" w:color="auto"/>
            <w:left w:val="none" w:sz="0" w:space="0" w:color="auto"/>
            <w:bottom w:val="none" w:sz="0" w:space="0" w:color="auto"/>
            <w:right w:val="none" w:sz="0" w:space="0" w:color="auto"/>
          </w:divBdr>
        </w:div>
        <w:div w:id="566960383">
          <w:marLeft w:val="0"/>
          <w:marRight w:val="0"/>
          <w:marTop w:val="0"/>
          <w:marBottom w:val="0"/>
          <w:divBdr>
            <w:top w:val="none" w:sz="0" w:space="0" w:color="auto"/>
            <w:left w:val="none" w:sz="0" w:space="0" w:color="auto"/>
            <w:bottom w:val="none" w:sz="0" w:space="0" w:color="auto"/>
            <w:right w:val="none" w:sz="0" w:space="0" w:color="auto"/>
          </w:divBdr>
        </w:div>
        <w:div w:id="653460108">
          <w:marLeft w:val="0"/>
          <w:marRight w:val="0"/>
          <w:marTop w:val="0"/>
          <w:marBottom w:val="0"/>
          <w:divBdr>
            <w:top w:val="none" w:sz="0" w:space="0" w:color="auto"/>
            <w:left w:val="none" w:sz="0" w:space="0" w:color="auto"/>
            <w:bottom w:val="none" w:sz="0" w:space="0" w:color="auto"/>
            <w:right w:val="none" w:sz="0" w:space="0" w:color="auto"/>
          </w:divBdr>
        </w:div>
        <w:div w:id="755516913">
          <w:marLeft w:val="0"/>
          <w:marRight w:val="0"/>
          <w:marTop w:val="0"/>
          <w:marBottom w:val="0"/>
          <w:divBdr>
            <w:top w:val="none" w:sz="0" w:space="0" w:color="auto"/>
            <w:left w:val="none" w:sz="0" w:space="0" w:color="auto"/>
            <w:bottom w:val="none" w:sz="0" w:space="0" w:color="auto"/>
            <w:right w:val="none" w:sz="0" w:space="0" w:color="auto"/>
          </w:divBdr>
        </w:div>
        <w:div w:id="853567954">
          <w:marLeft w:val="0"/>
          <w:marRight w:val="0"/>
          <w:marTop w:val="0"/>
          <w:marBottom w:val="0"/>
          <w:divBdr>
            <w:top w:val="none" w:sz="0" w:space="0" w:color="auto"/>
            <w:left w:val="none" w:sz="0" w:space="0" w:color="auto"/>
            <w:bottom w:val="none" w:sz="0" w:space="0" w:color="auto"/>
            <w:right w:val="none" w:sz="0" w:space="0" w:color="auto"/>
          </w:divBdr>
        </w:div>
        <w:div w:id="1015108605">
          <w:marLeft w:val="0"/>
          <w:marRight w:val="0"/>
          <w:marTop w:val="0"/>
          <w:marBottom w:val="0"/>
          <w:divBdr>
            <w:top w:val="none" w:sz="0" w:space="0" w:color="auto"/>
            <w:left w:val="none" w:sz="0" w:space="0" w:color="auto"/>
            <w:bottom w:val="none" w:sz="0" w:space="0" w:color="auto"/>
            <w:right w:val="none" w:sz="0" w:space="0" w:color="auto"/>
          </w:divBdr>
        </w:div>
        <w:div w:id="1060860344">
          <w:marLeft w:val="0"/>
          <w:marRight w:val="0"/>
          <w:marTop w:val="0"/>
          <w:marBottom w:val="0"/>
          <w:divBdr>
            <w:top w:val="none" w:sz="0" w:space="0" w:color="auto"/>
            <w:left w:val="none" w:sz="0" w:space="0" w:color="auto"/>
            <w:bottom w:val="none" w:sz="0" w:space="0" w:color="auto"/>
            <w:right w:val="none" w:sz="0" w:space="0" w:color="auto"/>
          </w:divBdr>
        </w:div>
        <w:div w:id="1146584700">
          <w:marLeft w:val="0"/>
          <w:marRight w:val="0"/>
          <w:marTop w:val="0"/>
          <w:marBottom w:val="0"/>
          <w:divBdr>
            <w:top w:val="none" w:sz="0" w:space="0" w:color="auto"/>
            <w:left w:val="none" w:sz="0" w:space="0" w:color="auto"/>
            <w:bottom w:val="none" w:sz="0" w:space="0" w:color="auto"/>
            <w:right w:val="none" w:sz="0" w:space="0" w:color="auto"/>
          </w:divBdr>
        </w:div>
        <w:div w:id="1188718410">
          <w:marLeft w:val="0"/>
          <w:marRight w:val="0"/>
          <w:marTop w:val="0"/>
          <w:marBottom w:val="0"/>
          <w:divBdr>
            <w:top w:val="none" w:sz="0" w:space="0" w:color="auto"/>
            <w:left w:val="none" w:sz="0" w:space="0" w:color="auto"/>
            <w:bottom w:val="none" w:sz="0" w:space="0" w:color="auto"/>
            <w:right w:val="none" w:sz="0" w:space="0" w:color="auto"/>
          </w:divBdr>
        </w:div>
        <w:div w:id="1240290478">
          <w:marLeft w:val="0"/>
          <w:marRight w:val="0"/>
          <w:marTop w:val="0"/>
          <w:marBottom w:val="0"/>
          <w:divBdr>
            <w:top w:val="none" w:sz="0" w:space="0" w:color="auto"/>
            <w:left w:val="none" w:sz="0" w:space="0" w:color="auto"/>
            <w:bottom w:val="none" w:sz="0" w:space="0" w:color="auto"/>
            <w:right w:val="none" w:sz="0" w:space="0" w:color="auto"/>
          </w:divBdr>
        </w:div>
        <w:div w:id="1321889361">
          <w:marLeft w:val="0"/>
          <w:marRight w:val="0"/>
          <w:marTop w:val="0"/>
          <w:marBottom w:val="0"/>
          <w:divBdr>
            <w:top w:val="none" w:sz="0" w:space="0" w:color="auto"/>
            <w:left w:val="none" w:sz="0" w:space="0" w:color="auto"/>
            <w:bottom w:val="none" w:sz="0" w:space="0" w:color="auto"/>
            <w:right w:val="none" w:sz="0" w:space="0" w:color="auto"/>
          </w:divBdr>
        </w:div>
        <w:div w:id="1493258639">
          <w:marLeft w:val="0"/>
          <w:marRight w:val="0"/>
          <w:marTop w:val="0"/>
          <w:marBottom w:val="0"/>
          <w:divBdr>
            <w:top w:val="none" w:sz="0" w:space="0" w:color="auto"/>
            <w:left w:val="none" w:sz="0" w:space="0" w:color="auto"/>
            <w:bottom w:val="none" w:sz="0" w:space="0" w:color="auto"/>
            <w:right w:val="none" w:sz="0" w:space="0" w:color="auto"/>
          </w:divBdr>
        </w:div>
        <w:div w:id="1499538726">
          <w:marLeft w:val="0"/>
          <w:marRight w:val="0"/>
          <w:marTop w:val="0"/>
          <w:marBottom w:val="0"/>
          <w:divBdr>
            <w:top w:val="none" w:sz="0" w:space="0" w:color="auto"/>
            <w:left w:val="none" w:sz="0" w:space="0" w:color="auto"/>
            <w:bottom w:val="none" w:sz="0" w:space="0" w:color="auto"/>
            <w:right w:val="none" w:sz="0" w:space="0" w:color="auto"/>
          </w:divBdr>
        </w:div>
        <w:div w:id="1567570725">
          <w:marLeft w:val="0"/>
          <w:marRight w:val="0"/>
          <w:marTop w:val="0"/>
          <w:marBottom w:val="0"/>
          <w:divBdr>
            <w:top w:val="none" w:sz="0" w:space="0" w:color="auto"/>
            <w:left w:val="none" w:sz="0" w:space="0" w:color="auto"/>
            <w:bottom w:val="none" w:sz="0" w:space="0" w:color="auto"/>
            <w:right w:val="none" w:sz="0" w:space="0" w:color="auto"/>
          </w:divBdr>
        </w:div>
        <w:div w:id="1676178515">
          <w:marLeft w:val="0"/>
          <w:marRight w:val="0"/>
          <w:marTop w:val="0"/>
          <w:marBottom w:val="0"/>
          <w:divBdr>
            <w:top w:val="none" w:sz="0" w:space="0" w:color="auto"/>
            <w:left w:val="none" w:sz="0" w:space="0" w:color="auto"/>
            <w:bottom w:val="none" w:sz="0" w:space="0" w:color="auto"/>
            <w:right w:val="none" w:sz="0" w:space="0" w:color="auto"/>
          </w:divBdr>
        </w:div>
        <w:div w:id="1707827543">
          <w:marLeft w:val="0"/>
          <w:marRight w:val="0"/>
          <w:marTop w:val="0"/>
          <w:marBottom w:val="0"/>
          <w:divBdr>
            <w:top w:val="none" w:sz="0" w:space="0" w:color="auto"/>
            <w:left w:val="none" w:sz="0" w:space="0" w:color="auto"/>
            <w:bottom w:val="none" w:sz="0" w:space="0" w:color="auto"/>
            <w:right w:val="none" w:sz="0" w:space="0" w:color="auto"/>
          </w:divBdr>
        </w:div>
        <w:div w:id="1824352111">
          <w:marLeft w:val="0"/>
          <w:marRight w:val="0"/>
          <w:marTop w:val="0"/>
          <w:marBottom w:val="0"/>
          <w:divBdr>
            <w:top w:val="none" w:sz="0" w:space="0" w:color="auto"/>
            <w:left w:val="none" w:sz="0" w:space="0" w:color="auto"/>
            <w:bottom w:val="none" w:sz="0" w:space="0" w:color="auto"/>
            <w:right w:val="none" w:sz="0" w:space="0" w:color="auto"/>
          </w:divBdr>
        </w:div>
        <w:div w:id="2080397525">
          <w:marLeft w:val="0"/>
          <w:marRight w:val="0"/>
          <w:marTop w:val="0"/>
          <w:marBottom w:val="0"/>
          <w:divBdr>
            <w:top w:val="none" w:sz="0" w:space="0" w:color="auto"/>
            <w:left w:val="none" w:sz="0" w:space="0" w:color="auto"/>
            <w:bottom w:val="none" w:sz="0" w:space="0" w:color="auto"/>
            <w:right w:val="none" w:sz="0" w:space="0" w:color="auto"/>
          </w:divBdr>
        </w:div>
      </w:divsChild>
    </w:div>
    <w:div w:id="824515841">
      <w:bodyDiv w:val="1"/>
      <w:marLeft w:val="0"/>
      <w:marRight w:val="0"/>
      <w:marTop w:val="0"/>
      <w:marBottom w:val="0"/>
      <w:divBdr>
        <w:top w:val="none" w:sz="0" w:space="0" w:color="auto"/>
        <w:left w:val="none" w:sz="0" w:space="0" w:color="auto"/>
        <w:bottom w:val="none" w:sz="0" w:space="0" w:color="auto"/>
        <w:right w:val="none" w:sz="0" w:space="0" w:color="auto"/>
      </w:divBdr>
      <w:divsChild>
        <w:div w:id="347876071">
          <w:marLeft w:val="0"/>
          <w:marRight w:val="0"/>
          <w:marTop w:val="0"/>
          <w:marBottom w:val="0"/>
          <w:divBdr>
            <w:top w:val="none" w:sz="0" w:space="0" w:color="auto"/>
            <w:left w:val="none" w:sz="0" w:space="0" w:color="auto"/>
            <w:bottom w:val="none" w:sz="0" w:space="0" w:color="auto"/>
            <w:right w:val="none" w:sz="0" w:space="0" w:color="auto"/>
          </w:divBdr>
        </w:div>
        <w:div w:id="352537242">
          <w:marLeft w:val="0"/>
          <w:marRight w:val="0"/>
          <w:marTop w:val="0"/>
          <w:marBottom w:val="0"/>
          <w:divBdr>
            <w:top w:val="none" w:sz="0" w:space="0" w:color="auto"/>
            <w:left w:val="none" w:sz="0" w:space="0" w:color="auto"/>
            <w:bottom w:val="none" w:sz="0" w:space="0" w:color="auto"/>
            <w:right w:val="none" w:sz="0" w:space="0" w:color="auto"/>
          </w:divBdr>
        </w:div>
        <w:div w:id="539898395">
          <w:marLeft w:val="0"/>
          <w:marRight w:val="0"/>
          <w:marTop w:val="0"/>
          <w:marBottom w:val="0"/>
          <w:divBdr>
            <w:top w:val="none" w:sz="0" w:space="0" w:color="auto"/>
            <w:left w:val="none" w:sz="0" w:space="0" w:color="auto"/>
            <w:bottom w:val="none" w:sz="0" w:space="0" w:color="auto"/>
            <w:right w:val="none" w:sz="0" w:space="0" w:color="auto"/>
          </w:divBdr>
        </w:div>
        <w:div w:id="746415193">
          <w:marLeft w:val="0"/>
          <w:marRight w:val="0"/>
          <w:marTop w:val="0"/>
          <w:marBottom w:val="0"/>
          <w:divBdr>
            <w:top w:val="none" w:sz="0" w:space="0" w:color="auto"/>
            <w:left w:val="none" w:sz="0" w:space="0" w:color="auto"/>
            <w:bottom w:val="none" w:sz="0" w:space="0" w:color="auto"/>
            <w:right w:val="none" w:sz="0" w:space="0" w:color="auto"/>
          </w:divBdr>
        </w:div>
        <w:div w:id="757366324">
          <w:marLeft w:val="0"/>
          <w:marRight w:val="0"/>
          <w:marTop w:val="0"/>
          <w:marBottom w:val="0"/>
          <w:divBdr>
            <w:top w:val="none" w:sz="0" w:space="0" w:color="auto"/>
            <w:left w:val="none" w:sz="0" w:space="0" w:color="auto"/>
            <w:bottom w:val="none" w:sz="0" w:space="0" w:color="auto"/>
            <w:right w:val="none" w:sz="0" w:space="0" w:color="auto"/>
          </w:divBdr>
        </w:div>
        <w:div w:id="1167868476">
          <w:marLeft w:val="0"/>
          <w:marRight w:val="0"/>
          <w:marTop w:val="0"/>
          <w:marBottom w:val="0"/>
          <w:divBdr>
            <w:top w:val="none" w:sz="0" w:space="0" w:color="auto"/>
            <w:left w:val="none" w:sz="0" w:space="0" w:color="auto"/>
            <w:bottom w:val="none" w:sz="0" w:space="0" w:color="auto"/>
            <w:right w:val="none" w:sz="0" w:space="0" w:color="auto"/>
          </w:divBdr>
        </w:div>
        <w:div w:id="1334410515">
          <w:marLeft w:val="0"/>
          <w:marRight w:val="0"/>
          <w:marTop w:val="0"/>
          <w:marBottom w:val="0"/>
          <w:divBdr>
            <w:top w:val="none" w:sz="0" w:space="0" w:color="auto"/>
            <w:left w:val="none" w:sz="0" w:space="0" w:color="auto"/>
            <w:bottom w:val="none" w:sz="0" w:space="0" w:color="auto"/>
            <w:right w:val="none" w:sz="0" w:space="0" w:color="auto"/>
          </w:divBdr>
        </w:div>
        <w:div w:id="1847865011">
          <w:marLeft w:val="0"/>
          <w:marRight w:val="0"/>
          <w:marTop w:val="0"/>
          <w:marBottom w:val="0"/>
          <w:divBdr>
            <w:top w:val="none" w:sz="0" w:space="0" w:color="auto"/>
            <w:left w:val="none" w:sz="0" w:space="0" w:color="auto"/>
            <w:bottom w:val="none" w:sz="0" w:space="0" w:color="auto"/>
            <w:right w:val="none" w:sz="0" w:space="0" w:color="auto"/>
          </w:divBdr>
        </w:div>
        <w:div w:id="2015836845">
          <w:marLeft w:val="0"/>
          <w:marRight w:val="0"/>
          <w:marTop w:val="0"/>
          <w:marBottom w:val="0"/>
          <w:divBdr>
            <w:top w:val="none" w:sz="0" w:space="0" w:color="auto"/>
            <w:left w:val="none" w:sz="0" w:space="0" w:color="auto"/>
            <w:bottom w:val="none" w:sz="0" w:space="0" w:color="auto"/>
            <w:right w:val="none" w:sz="0" w:space="0" w:color="auto"/>
          </w:divBdr>
        </w:div>
      </w:divsChild>
    </w:div>
    <w:div w:id="835606001">
      <w:bodyDiv w:val="1"/>
      <w:marLeft w:val="0"/>
      <w:marRight w:val="0"/>
      <w:marTop w:val="0"/>
      <w:marBottom w:val="0"/>
      <w:divBdr>
        <w:top w:val="none" w:sz="0" w:space="0" w:color="auto"/>
        <w:left w:val="none" w:sz="0" w:space="0" w:color="auto"/>
        <w:bottom w:val="none" w:sz="0" w:space="0" w:color="auto"/>
        <w:right w:val="none" w:sz="0" w:space="0" w:color="auto"/>
      </w:divBdr>
      <w:divsChild>
        <w:div w:id="1456949398">
          <w:marLeft w:val="0"/>
          <w:marRight w:val="0"/>
          <w:marTop w:val="0"/>
          <w:marBottom w:val="0"/>
          <w:divBdr>
            <w:top w:val="none" w:sz="0" w:space="0" w:color="auto"/>
            <w:left w:val="none" w:sz="0" w:space="0" w:color="auto"/>
            <w:bottom w:val="none" w:sz="0" w:space="0" w:color="auto"/>
            <w:right w:val="none" w:sz="0" w:space="0" w:color="auto"/>
          </w:divBdr>
        </w:div>
      </w:divsChild>
    </w:div>
    <w:div w:id="844053915">
      <w:bodyDiv w:val="1"/>
      <w:marLeft w:val="0"/>
      <w:marRight w:val="0"/>
      <w:marTop w:val="0"/>
      <w:marBottom w:val="0"/>
      <w:divBdr>
        <w:top w:val="none" w:sz="0" w:space="0" w:color="auto"/>
        <w:left w:val="none" w:sz="0" w:space="0" w:color="auto"/>
        <w:bottom w:val="none" w:sz="0" w:space="0" w:color="auto"/>
        <w:right w:val="none" w:sz="0" w:space="0" w:color="auto"/>
      </w:divBdr>
      <w:divsChild>
        <w:div w:id="62411984">
          <w:marLeft w:val="0"/>
          <w:marRight w:val="0"/>
          <w:marTop w:val="0"/>
          <w:marBottom w:val="0"/>
          <w:divBdr>
            <w:top w:val="none" w:sz="0" w:space="0" w:color="auto"/>
            <w:left w:val="none" w:sz="0" w:space="0" w:color="auto"/>
            <w:bottom w:val="none" w:sz="0" w:space="0" w:color="auto"/>
            <w:right w:val="none" w:sz="0" w:space="0" w:color="auto"/>
          </w:divBdr>
        </w:div>
        <w:div w:id="104662842">
          <w:marLeft w:val="0"/>
          <w:marRight w:val="0"/>
          <w:marTop w:val="0"/>
          <w:marBottom w:val="0"/>
          <w:divBdr>
            <w:top w:val="none" w:sz="0" w:space="0" w:color="auto"/>
            <w:left w:val="none" w:sz="0" w:space="0" w:color="auto"/>
            <w:bottom w:val="none" w:sz="0" w:space="0" w:color="auto"/>
            <w:right w:val="none" w:sz="0" w:space="0" w:color="auto"/>
          </w:divBdr>
        </w:div>
        <w:div w:id="293676900">
          <w:marLeft w:val="0"/>
          <w:marRight w:val="0"/>
          <w:marTop w:val="0"/>
          <w:marBottom w:val="0"/>
          <w:divBdr>
            <w:top w:val="none" w:sz="0" w:space="0" w:color="auto"/>
            <w:left w:val="none" w:sz="0" w:space="0" w:color="auto"/>
            <w:bottom w:val="none" w:sz="0" w:space="0" w:color="auto"/>
            <w:right w:val="none" w:sz="0" w:space="0" w:color="auto"/>
          </w:divBdr>
        </w:div>
        <w:div w:id="399862574">
          <w:marLeft w:val="0"/>
          <w:marRight w:val="0"/>
          <w:marTop w:val="0"/>
          <w:marBottom w:val="0"/>
          <w:divBdr>
            <w:top w:val="none" w:sz="0" w:space="0" w:color="auto"/>
            <w:left w:val="none" w:sz="0" w:space="0" w:color="auto"/>
            <w:bottom w:val="none" w:sz="0" w:space="0" w:color="auto"/>
            <w:right w:val="none" w:sz="0" w:space="0" w:color="auto"/>
          </w:divBdr>
        </w:div>
        <w:div w:id="499933391">
          <w:marLeft w:val="0"/>
          <w:marRight w:val="0"/>
          <w:marTop w:val="0"/>
          <w:marBottom w:val="0"/>
          <w:divBdr>
            <w:top w:val="none" w:sz="0" w:space="0" w:color="auto"/>
            <w:left w:val="none" w:sz="0" w:space="0" w:color="auto"/>
            <w:bottom w:val="none" w:sz="0" w:space="0" w:color="auto"/>
            <w:right w:val="none" w:sz="0" w:space="0" w:color="auto"/>
          </w:divBdr>
        </w:div>
        <w:div w:id="920799585">
          <w:marLeft w:val="0"/>
          <w:marRight w:val="0"/>
          <w:marTop w:val="0"/>
          <w:marBottom w:val="0"/>
          <w:divBdr>
            <w:top w:val="none" w:sz="0" w:space="0" w:color="auto"/>
            <w:left w:val="none" w:sz="0" w:space="0" w:color="auto"/>
            <w:bottom w:val="none" w:sz="0" w:space="0" w:color="auto"/>
            <w:right w:val="none" w:sz="0" w:space="0" w:color="auto"/>
          </w:divBdr>
        </w:div>
        <w:div w:id="1009601870">
          <w:marLeft w:val="0"/>
          <w:marRight w:val="0"/>
          <w:marTop w:val="0"/>
          <w:marBottom w:val="0"/>
          <w:divBdr>
            <w:top w:val="none" w:sz="0" w:space="0" w:color="auto"/>
            <w:left w:val="none" w:sz="0" w:space="0" w:color="auto"/>
            <w:bottom w:val="none" w:sz="0" w:space="0" w:color="auto"/>
            <w:right w:val="none" w:sz="0" w:space="0" w:color="auto"/>
          </w:divBdr>
        </w:div>
        <w:div w:id="1034429079">
          <w:marLeft w:val="0"/>
          <w:marRight w:val="0"/>
          <w:marTop w:val="0"/>
          <w:marBottom w:val="0"/>
          <w:divBdr>
            <w:top w:val="none" w:sz="0" w:space="0" w:color="auto"/>
            <w:left w:val="none" w:sz="0" w:space="0" w:color="auto"/>
            <w:bottom w:val="none" w:sz="0" w:space="0" w:color="auto"/>
            <w:right w:val="none" w:sz="0" w:space="0" w:color="auto"/>
          </w:divBdr>
        </w:div>
        <w:div w:id="1066994283">
          <w:marLeft w:val="0"/>
          <w:marRight w:val="0"/>
          <w:marTop w:val="0"/>
          <w:marBottom w:val="0"/>
          <w:divBdr>
            <w:top w:val="none" w:sz="0" w:space="0" w:color="auto"/>
            <w:left w:val="none" w:sz="0" w:space="0" w:color="auto"/>
            <w:bottom w:val="none" w:sz="0" w:space="0" w:color="auto"/>
            <w:right w:val="none" w:sz="0" w:space="0" w:color="auto"/>
          </w:divBdr>
        </w:div>
        <w:div w:id="1070153886">
          <w:marLeft w:val="0"/>
          <w:marRight w:val="0"/>
          <w:marTop w:val="0"/>
          <w:marBottom w:val="0"/>
          <w:divBdr>
            <w:top w:val="none" w:sz="0" w:space="0" w:color="auto"/>
            <w:left w:val="none" w:sz="0" w:space="0" w:color="auto"/>
            <w:bottom w:val="none" w:sz="0" w:space="0" w:color="auto"/>
            <w:right w:val="none" w:sz="0" w:space="0" w:color="auto"/>
          </w:divBdr>
        </w:div>
        <w:div w:id="1135754689">
          <w:marLeft w:val="0"/>
          <w:marRight w:val="0"/>
          <w:marTop w:val="0"/>
          <w:marBottom w:val="0"/>
          <w:divBdr>
            <w:top w:val="none" w:sz="0" w:space="0" w:color="auto"/>
            <w:left w:val="none" w:sz="0" w:space="0" w:color="auto"/>
            <w:bottom w:val="none" w:sz="0" w:space="0" w:color="auto"/>
            <w:right w:val="none" w:sz="0" w:space="0" w:color="auto"/>
          </w:divBdr>
        </w:div>
        <w:div w:id="1149323522">
          <w:marLeft w:val="0"/>
          <w:marRight w:val="0"/>
          <w:marTop w:val="0"/>
          <w:marBottom w:val="0"/>
          <w:divBdr>
            <w:top w:val="none" w:sz="0" w:space="0" w:color="auto"/>
            <w:left w:val="none" w:sz="0" w:space="0" w:color="auto"/>
            <w:bottom w:val="none" w:sz="0" w:space="0" w:color="auto"/>
            <w:right w:val="none" w:sz="0" w:space="0" w:color="auto"/>
          </w:divBdr>
        </w:div>
        <w:div w:id="1183394853">
          <w:marLeft w:val="0"/>
          <w:marRight w:val="0"/>
          <w:marTop w:val="0"/>
          <w:marBottom w:val="0"/>
          <w:divBdr>
            <w:top w:val="none" w:sz="0" w:space="0" w:color="auto"/>
            <w:left w:val="none" w:sz="0" w:space="0" w:color="auto"/>
            <w:bottom w:val="none" w:sz="0" w:space="0" w:color="auto"/>
            <w:right w:val="none" w:sz="0" w:space="0" w:color="auto"/>
          </w:divBdr>
        </w:div>
        <w:div w:id="1490975079">
          <w:marLeft w:val="0"/>
          <w:marRight w:val="0"/>
          <w:marTop w:val="0"/>
          <w:marBottom w:val="0"/>
          <w:divBdr>
            <w:top w:val="none" w:sz="0" w:space="0" w:color="auto"/>
            <w:left w:val="none" w:sz="0" w:space="0" w:color="auto"/>
            <w:bottom w:val="none" w:sz="0" w:space="0" w:color="auto"/>
            <w:right w:val="none" w:sz="0" w:space="0" w:color="auto"/>
          </w:divBdr>
        </w:div>
        <w:div w:id="1520118885">
          <w:marLeft w:val="0"/>
          <w:marRight w:val="0"/>
          <w:marTop w:val="0"/>
          <w:marBottom w:val="0"/>
          <w:divBdr>
            <w:top w:val="none" w:sz="0" w:space="0" w:color="auto"/>
            <w:left w:val="none" w:sz="0" w:space="0" w:color="auto"/>
            <w:bottom w:val="none" w:sz="0" w:space="0" w:color="auto"/>
            <w:right w:val="none" w:sz="0" w:space="0" w:color="auto"/>
          </w:divBdr>
        </w:div>
        <w:div w:id="2115708829">
          <w:marLeft w:val="0"/>
          <w:marRight w:val="0"/>
          <w:marTop w:val="0"/>
          <w:marBottom w:val="0"/>
          <w:divBdr>
            <w:top w:val="none" w:sz="0" w:space="0" w:color="auto"/>
            <w:left w:val="none" w:sz="0" w:space="0" w:color="auto"/>
            <w:bottom w:val="none" w:sz="0" w:space="0" w:color="auto"/>
            <w:right w:val="none" w:sz="0" w:space="0" w:color="auto"/>
          </w:divBdr>
        </w:div>
      </w:divsChild>
    </w:div>
    <w:div w:id="846136036">
      <w:bodyDiv w:val="1"/>
      <w:marLeft w:val="0"/>
      <w:marRight w:val="0"/>
      <w:marTop w:val="0"/>
      <w:marBottom w:val="0"/>
      <w:divBdr>
        <w:top w:val="none" w:sz="0" w:space="0" w:color="auto"/>
        <w:left w:val="none" w:sz="0" w:space="0" w:color="auto"/>
        <w:bottom w:val="none" w:sz="0" w:space="0" w:color="auto"/>
        <w:right w:val="none" w:sz="0" w:space="0" w:color="auto"/>
      </w:divBdr>
      <w:divsChild>
        <w:div w:id="19748997">
          <w:marLeft w:val="0"/>
          <w:marRight w:val="0"/>
          <w:marTop w:val="0"/>
          <w:marBottom w:val="0"/>
          <w:divBdr>
            <w:top w:val="none" w:sz="0" w:space="0" w:color="auto"/>
            <w:left w:val="none" w:sz="0" w:space="0" w:color="auto"/>
            <w:bottom w:val="none" w:sz="0" w:space="0" w:color="auto"/>
            <w:right w:val="none" w:sz="0" w:space="0" w:color="auto"/>
          </w:divBdr>
        </w:div>
        <w:div w:id="31418539">
          <w:marLeft w:val="0"/>
          <w:marRight w:val="0"/>
          <w:marTop w:val="0"/>
          <w:marBottom w:val="0"/>
          <w:divBdr>
            <w:top w:val="none" w:sz="0" w:space="0" w:color="auto"/>
            <w:left w:val="none" w:sz="0" w:space="0" w:color="auto"/>
            <w:bottom w:val="none" w:sz="0" w:space="0" w:color="auto"/>
            <w:right w:val="none" w:sz="0" w:space="0" w:color="auto"/>
          </w:divBdr>
        </w:div>
        <w:div w:id="62413437">
          <w:marLeft w:val="0"/>
          <w:marRight w:val="0"/>
          <w:marTop w:val="0"/>
          <w:marBottom w:val="0"/>
          <w:divBdr>
            <w:top w:val="none" w:sz="0" w:space="0" w:color="auto"/>
            <w:left w:val="none" w:sz="0" w:space="0" w:color="auto"/>
            <w:bottom w:val="none" w:sz="0" w:space="0" w:color="auto"/>
            <w:right w:val="none" w:sz="0" w:space="0" w:color="auto"/>
          </w:divBdr>
        </w:div>
        <w:div w:id="111100474">
          <w:marLeft w:val="0"/>
          <w:marRight w:val="0"/>
          <w:marTop w:val="0"/>
          <w:marBottom w:val="0"/>
          <w:divBdr>
            <w:top w:val="none" w:sz="0" w:space="0" w:color="auto"/>
            <w:left w:val="none" w:sz="0" w:space="0" w:color="auto"/>
            <w:bottom w:val="none" w:sz="0" w:space="0" w:color="auto"/>
            <w:right w:val="none" w:sz="0" w:space="0" w:color="auto"/>
          </w:divBdr>
        </w:div>
        <w:div w:id="185674737">
          <w:marLeft w:val="0"/>
          <w:marRight w:val="0"/>
          <w:marTop w:val="0"/>
          <w:marBottom w:val="0"/>
          <w:divBdr>
            <w:top w:val="none" w:sz="0" w:space="0" w:color="auto"/>
            <w:left w:val="none" w:sz="0" w:space="0" w:color="auto"/>
            <w:bottom w:val="none" w:sz="0" w:space="0" w:color="auto"/>
            <w:right w:val="none" w:sz="0" w:space="0" w:color="auto"/>
          </w:divBdr>
        </w:div>
        <w:div w:id="200946469">
          <w:marLeft w:val="0"/>
          <w:marRight w:val="0"/>
          <w:marTop w:val="0"/>
          <w:marBottom w:val="0"/>
          <w:divBdr>
            <w:top w:val="none" w:sz="0" w:space="0" w:color="auto"/>
            <w:left w:val="none" w:sz="0" w:space="0" w:color="auto"/>
            <w:bottom w:val="none" w:sz="0" w:space="0" w:color="auto"/>
            <w:right w:val="none" w:sz="0" w:space="0" w:color="auto"/>
          </w:divBdr>
        </w:div>
        <w:div w:id="266818870">
          <w:marLeft w:val="0"/>
          <w:marRight w:val="0"/>
          <w:marTop w:val="0"/>
          <w:marBottom w:val="0"/>
          <w:divBdr>
            <w:top w:val="none" w:sz="0" w:space="0" w:color="auto"/>
            <w:left w:val="none" w:sz="0" w:space="0" w:color="auto"/>
            <w:bottom w:val="none" w:sz="0" w:space="0" w:color="auto"/>
            <w:right w:val="none" w:sz="0" w:space="0" w:color="auto"/>
          </w:divBdr>
        </w:div>
        <w:div w:id="315577887">
          <w:marLeft w:val="0"/>
          <w:marRight w:val="0"/>
          <w:marTop w:val="0"/>
          <w:marBottom w:val="0"/>
          <w:divBdr>
            <w:top w:val="none" w:sz="0" w:space="0" w:color="auto"/>
            <w:left w:val="none" w:sz="0" w:space="0" w:color="auto"/>
            <w:bottom w:val="none" w:sz="0" w:space="0" w:color="auto"/>
            <w:right w:val="none" w:sz="0" w:space="0" w:color="auto"/>
          </w:divBdr>
        </w:div>
        <w:div w:id="361906177">
          <w:marLeft w:val="0"/>
          <w:marRight w:val="0"/>
          <w:marTop w:val="0"/>
          <w:marBottom w:val="0"/>
          <w:divBdr>
            <w:top w:val="none" w:sz="0" w:space="0" w:color="auto"/>
            <w:left w:val="none" w:sz="0" w:space="0" w:color="auto"/>
            <w:bottom w:val="none" w:sz="0" w:space="0" w:color="auto"/>
            <w:right w:val="none" w:sz="0" w:space="0" w:color="auto"/>
          </w:divBdr>
        </w:div>
        <w:div w:id="390931016">
          <w:marLeft w:val="0"/>
          <w:marRight w:val="0"/>
          <w:marTop w:val="0"/>
          <w:marBottom w:val="0"/>
          <w:divBdr>
            <w:top w:val="none" w:sz="0" w:space="0" w:color="auto"/>
            <w:left w:val="none" w:sz="0" w:space="0" w:color="auto"/>
            <w:bottom w:val="none" w:sz="0" w:space="0" w:color="auto"/>
            <w:right w:val="none" w:sz="0" w:space="0" w:color="auto"/>
          </w:divBdr>
        </w:div>
        <w:div w:id="403383304">
          <w:marLeft w:val="0"/>
          <w:marRight w:val="0"/>
          <w:marTop w:val="0"/>
          <w:marBottom w:val="0"/>
          <w:divBdr>
            <w:top w:val="none" w:sz="0" w:space="0" w:color="auto"/>
            <w:left w:val="none" w:sz="0" w:space="0" w:color="auto"/>
            <w:bottom w:val="none" w:sz="0" w:space="0" w:color="auto"/>
            <w:right w:val="none" w:sz="0" w:space="0" w:color="auto"/>
          </w:divBdr>
        </w:div>
        <w:div w:id="450710199">
          <w:marLeft w:val="0"/>
          <w:marRight w:val="0"/>
          <w:marTop w:val="0"/>
          <w:marBottom w:val="0"/>
          <w:divBdr>
            <w:top w:val="none" w:sz="0" w:space="0" w:color="auto"/>
            <w:left w:val="none" w:sz="0" w:space="0" w:color="auto"/>
            <w:bottom w:val="none" w:sz="0" w:space="0" w:color="auto"/>
            <w:right w:val="none" w:sz="0" w:space="0" w:color="auto"/>
          </w:divBdr>
        </w:div>
        <w:div w:id="510995239">
          <w:marLeft w:val="0"/>
          <w:marRight w:val="0"/>
          <w:marTop w:val="0"/>
          <w:marBottom w:val="0"/>
          <w:divBdr>
            <w:top w:val="none" w:sz="0" w:space="0" w:color="auto"/>
            <w:left w:val="none" w:sz="0" w:space="0" w:color="auto"/>
            <w:bottom w:val="none" w:sz="0" w:space="0" w:color="auto"/>
            <w:right w:val="none" w:sz="0" w:space="0" w:color="auto"/>
          </w:divBdr>
        </w:div>
        <w:div w:id="519123863">
          <w:marLeft w:val="0"/>
          <w:marRight w:val="0"/>
          <w:marTop w:val="0"/>
          <w:marBottom w:val="0"/>
          <w:divBdr>
            <w:top w:val="none" w:sz="0" w:space="0" w:color="auto"/>
            <w:left w:val="none" w:sz="0" w:space="0" w:color="auto"/>
            <w:bottom w:val="none" w:sz="0" w:space="0" w:color="auto"/>
            <w:right w:val="none" w:sz="0" w:space="0" w:color="auto"/>
          </w:divBdr>
        </w:div>
        <w:div w:id="652488251">
          <w:marLeft w:val="0"/>
          <w:marRight w:val="0"/>
          <w:marTop w:val="0"/>
          <w:marBottom w:val="0"/>
          <w:divBdr>
            <w:top w:val="none" w:sz="0" w:space="0" w:color="auto"/>
            <w:left w:val="none" w:sz="0" w:space="0" w:color="auto"/>
            <w:bottom w:val="none" w:sz="0" w:space="0" w:color="auto"/>
            <w:right w:val="none" w:sz="0" w:space="0" w:color="auto"/>
          </w:divBdr>
        </w:div>
        <w:div w:id="701904813">
          <w:marLeft w:val="0"/>
          <w:marRight w:val="0"/>
          <w:marTop w:val="0"/>
          <w:marBottom w:val="0"/>
          <w:divBdr>
            <w:top w:val="none" w:sz="0" w:space="0" w:color="auto"/>
            <w:left w:val="none" w:sz="0" w:space="0" w:color="auto"/>
            <w:bottom w:val="none" w:sz="0" w:space="0" w:color="auto"/>
            <w:right w:val="none" w:sz="0" w:space="0" w:color="auto"/>
          </w:divBdr>
        </w:div>
        <w:div w:id="837037020">
          <w:marLeft w:val="0"/>
          <w:marRight w:val="0"/>
          <w:marTop w:val="0"/>
          <w:marBottom w:val="0"/>
          <w:divBdr>
            <w:top w:val="none" w:sz="0" w:space="0" w:color="auto"/>
            <w:left w:val="none" w:sz="0" w:space="0" w:color="auto"/>
            <w:bottom w:val="none" w:sz="0" w:space="0" w:color="auto"/>
            <w:right w:val="none" w:sz="0" w:space="0" w:color="auto"/>
          </w:divBdr>
        </w:div>
        <w:div w:id="846481162">
          <w:marLeft w:val="0"/>
          <w:marRight w:val="0"/>
          <w:marTop w:val="0"/>
          <w:marBottom w:val="0"/>
          <w:divBdr>
            <w:top w:val="none" w:sz="0" w:space="0" w:color="auto"/>
            <w:left w:val="none" w:sz="0" w:space="0" w:color="auto"/>
            <w:bottom w:val="none" w:sz="0" w:space="0" w:color="auto"/>
            <w:right w:val="none" w:sz="0" w:space="0" w:color="auto"/>
          </w:divBdr>
        </w:div>
        <w:div w:id="953906053">
          <w:marLeft w:val="0"/>
          <w:marRight w:val="0"/>
          <w:marTop w:val="0"/>
          <w:marBottom w:val="0"/>
          <w:divBdr>
            <w:top w:val="none" w:sz="0" w:space="0" w:color="auto"/>
            <w:left w:val="none" w:sz="0" w:space="0" w:color="auto"/>
            <w:bottom w:val="none" w:sz="0" w:space="0" w:color="auto"/>
            <w:right w:val="none" w:sz="0" w:space="0" w:color="auto"/>
          </w:divBdr>
        </w:div>
        <w:div w:id="976688707">
          <w:marLeft w:val="0"/>
          <w:marRight w:val="0"/>
          <w:marTop w:val="0"/>
          <w:marBottom w:val="0"/>
          <w:divBdr>
            <w:top w:val="none" w:sz="0" w:space="0" w:color="auto"/>
            <w:left w:val="none" w:sz="0" w:space="0" w:color="auto"/>
            <w:bottom w:val="none" w:sz="0" w:space="0" w:color="auto"/>
            <w:right w:val="none" w:sz="0" w:space="0" w:color="auto"/>
          </w:divBdr>
        </w:div>
        <w:div w:id="989866401">
          <w:marLeft w:val="0"/>
          <w:marRight w:val="0"/>
          <w:marTop w:val="0"/>
          <w:marBottom w:val="0"/>
          <w:divBdr>
            <w:top w:val="none" w:sz="0" w:space="0" w:color="auto"/>
            <w:left w:val="none" w:sz="0" w:space="0" w:color="auto"/>
            <w:bottom w:val="none" w:sz="0" w:space="0" w:color="auto"/>
            <w:right w:val="none" w:sz="0" w:space="0" w:color="auto"/>
          </w:divBdr>
        </w:div>
        <w:div w:id="1034034783">
          <w:marLeft w:val="0"/>
          <w:marRight w:val="0"/>
          <w:marTop w:val="0"/>
          <w:marBottom w:val="0"/>
          <w:divBdr>
            <w:top w:val="none" w:sz="0" w:space="0" w:color="auto"/>
            <w:left w:val="none" w:sz="0" w:space="0" w:color="auto"/>
            <w:bottom w:val="none" w:sz="0" w:space="0" w:color="auto"/>
            <w:right w:val="none" w:sz="0" w:space="0" w:color="auto"/>
          </w:divBdr>
        </w:div>
        <w:div w:id="1098672122">
          <w:marLeft w:val="0"/>
          <w:marRight w:val="0"/>
          <w:marTop w:val="0"/>
          <w:marBottom w:val="0"/>
          <w:divBdr>
            <w:top w:val="none" w:sz="0" w:space="0" w:color="auto"/>
            <w:left w:val="none" w:sz="0" w:space="0" w:color="auto"/>
            <w:bottom w:val="none" w:sz="0" w:space="0" w:color="auto"/>
            <w:right w:val="none" w:sz="0" w:space="0" w:color="auto"/>
          </w:divBdr>
        </w:div>
        <w:div w:id="1150362530">
          <w:marLeft w:val="0"/>
          <w:marRight w:val="0"/>
          <w:marTop w:val="0"/>
          <w:marBottom w:val="0"/>
          <w:divBdr>
            <w:top w:val="none" w:sz="0" w:space="0" w:color="auto"/>
            <w:left w:val="none" w:sz="0" w:space="0" w:color="auto"/>
            <w:bottom w:val="none" w:sz="0" w:space="0" w:color="auto"/>
            <w:right w:val="none" w:sz="0" w:space="0" w:color="auto"/>
          </w:divBdr>
        </w:div>
        <w:div w:id="1254243083">
          <w:marLeft w:val="0"/>
          <w:marRight w:val="0"/>
          <w:marTop w:val="0"/>
          <w:marBottom w:val="0"/>
          <w:divBdr>
            <w:top w:val="none" w:sz="0" w:space="0" w:color="auto"/>
            <w:left w:val="none" w:sz="0" w:space="0" w:color="auto"/>
            <w:bottom w:val="none" w:sz="0" w:space="0" w:color="auto"/>
            <w:right w:val="none" w:sz="0" w:space="0" w:color="auto"/>
          </w:divBdr>
        </w:div>
        <w:div w:id="1326934825">
          <w:marLeft w:val="0"/>
          <w:marRight w:val="0"/>
          <w:marTop w:val="0"/>
          <w:marBottom w:val="0"/>
          <w:divBdr>
            <w:top w:val="none" w:sz="0" w:space="0" w:color="auto"/>
            <w:left w:val="none" w:sz="0" w:space="0" w:color="auto"/>
            <w:bottom w:val="none" w:sz="0" w:space="0" w:color="auto"/>
            <w:right w:val="none" w:sz="0" w:space="0" w:color="auto"/>
          </w:divBdr>
        </w:div>
        <w:div w:id="1398556487">
          <w:marLeft w:val="0"/>
          <w:marRight w:val="0"/>
          <w:marTop w:val="0"/>
          <w:marBottom w:val="0"/>
          <w:divBdr>
            <w:top w:val="none" w:sz="0" w:space="0" w:color="auto"/>
            <w:left w:val="none" w:sz="0" w:space="0" w:color="auto"/>
            <w:bottom w:val="none" w:sz="0" w:space="0" w:color="auto"/>
            <w:right w:val="none" w:sz="0" w:space="0" w:color="auto"/>
          </w:divBdr>
        </w:div>
        <w:div w:id="1418746179">
          <w:marLeft w:val="0"/>
          <w:marRight w:val="0"/>
          <w:marTop w:val="0"/>
          <w:marBottom w:val="0"/>
          <w:divBdr>
            <w:top w:val="none" w:sz="0" w:space="0" w:color="auto"/>
            <w:left w:val="none" w:sz="0" w:space="0" w:color="auto"/>
            <w:bottom w:val="none" w:sz="0" w:space="0" w:color="auto"/>
            <w:right w:val="none" w:sz="0" w:space="0" w:color="auto"/>
          </w:divBdr>
        </w:div>
        <w:div w:id="1598829824">
          <w:marLeft w:val="0"/>
          <w:marRight w:val="0"/>
          <w:marTop w:val="0"/>
          <w:marBottom w:val="0"/>
          <w:divBdr>
            <w:top w:val="none" w:sz="0" w:space="0" w:color="auto"/>
            <w:left w:val="none" w:sz="0" w:space="0" w:color="auto"/>
            <w:bottom w:val="none" w:sz="0" w:space="0" w:color="auto"/>
            <w:right w:val="none" w:sz="0" w:space="0" w:color="auto"/>
          </w:divBdr>
        </w:div>
        <w:div w:id="1671986923">
          <w:marLeft w:val="0"/>
          <w:marRight w:val="0"/>
          <w:marTop w:val="0"/>
          <w:marBottom w:val="0"/>
          <w:divBdr>
            <w:top w:val="none" w:sz="0" w:space="0" w:color="auto"/>
            <w:left w:val="none" w:sz="0" w:space="0" w:color="auto"/>
            <w:bottom w:val="none" w:sz="0" w:space="0" w:color="auto"/>
            <w:right w:val="none" w:sz="0" w:space="0" w:color="auto"/>
          </w:divBdr>
        </w:div>
        <w:div w:id="1807620846">
          <w:marLeft w:val="0"/>
          <w:marRight w:val="0"/>
          <w:marTop w:val="0"/>
          <w:marBottom w:val="0"/>
          <w:divBdr>
            <w:top w:val="none" w:sz="0" w:space="0" w:color="auto"/>
            <w:left w:val="none" w:sz="0" w:space="0" w:color="auto"/>
            <w:bottom w:val="none" w:sz="0" w:space="0" w:color="auto"/>
            <w:right w:val="none" w:sz="0" w:space="0" w:color="auto"/>
          </w:divBdr>
        </w:div>
        <w:div w:id="1994287002">
          <w:marLeft w:val="0"/>
          <w:marRight w:val="0"/>
          <w:marTop w:val="0"/>
          <w:marBottom w:val="0"/>
          <w:divBdr>
            <w:top w:val="none" w:sz="0" w:space="0" w:color="auto"/>
            <w:left w:val="none" w:sz="0" w:space="0" w:color="auto"/>
            <w:bottom w:val="none" w:sz="0" w:space="0" w:color="auto"/>
            <w:right w:val="none" w:sz="0" w:space="0" w:color="auto"/>
          </w:divBdr>
        </w:div>
        <w:div w:id="2112192399">
          <w:marLeft w:val="0"/>
          <w:marRight w:val="0"/>
          <w:marTop w:val="0"/>
          <w:marBottom w:val="0"/>
          <w:divBdr>
            <w:top w:val="none" w:sz="0" w:space="0" w:color="auto"/>
            <w:left w:val="none" w:sz="0" w:space="0" w:color="auto"/>
            <w:bottom w:val="none" w:sz="0" w:space="0" w:color="auto"/>
            <w:right w:val="none" w:sz="0" w:space="0" w:color="auto"/>
          </w:divBdr>
        </w:div>
        <w:div w:id="2114932519">
          <w:marLeft w:val="0"/>
          <w:marRight w:val="0"/>
          <w:marTop w:val="0"/>
          <w:marBottom w:val="0"/>
          <w:divBdr>
            <w:top w:val="none" w:sz="0" w:space="0" w:color="auto"/>
            <w:left w:val="none" w:sz="0" w:space="0" w:color="auto"/>
            <w:bottom w:val="none" w:sz="0" w:space="0" w:color="auto"/>
            <w:right w:val="none" w:sz="0" w:space="0" w:color="auto"/>
          </w:divBdr>
        </w:div>
      </w:divsChild>
    </w:div>
    <w:div w:id="849831459">
      <w:bodyDiv w:val="1"/>
      <w:marLeft w:val="0"/>
      <w:marRight w:val="0"/>
      <w:marTop w:val="0"/>
      <w:marBottom w:val="0"/>
      <w:divBdr>
        <w:top w:val="none" w:sz="0" w:space="0" w:color="auto"/>
        <w:left w:val="none" w:sz="0" w:space="0" w:color="auto"/>
        <w:bottom w:val="none" w:sz="0" w:space="0" w:color="auto"/>
        <w:right w:val="none" w:sz="0" w:space="0" w:color="auto"/>
      </w:divBdr>
      <w:divsChild>
        <w:div w:id="1703359843">
          <w:marLeft w:val="0"/>
          <w:marRight w:val="0"/>
          <w:marTop w:val="0"/>
          <w:marBottom w:val="0"/>
          <w:divBdr>
            <w:top w:val="none" w:sz="0" w:space="0" w:color="auto"/>
            <w:left w:val="none" w:sz="0" w:space="0" w:color="auto"/>
            <w:bottom w:val="none" w:sz="0" w:space="0" w:color="auto"/>
            <w:right w:val="none" w:sz="0" w:space="0" w:color="auto"/>
          </w:divBdr>
        </w:div>
      </w:divsChild>
    </w:div>
    <w:div w:id="850989734">
      <w:bodyDiv w:val="1"/>
      <w:marLeft w:val="0"/>
      <w:marRight w:val="0"/>
      <w:marTop w:val="0"/>
      <w:marBottom w:val="0"/>
      <w:divBdr>
        <w:top w:val="none" w:sz="0" w:space="0" w:color="auto"/>
        <w:left w:val="none" w:sz="0" w:space="0" w:color="auto"/>
        <w:bottom w:val="none" w:sz="0" w:space="0" w:color="auto"/>
        <w:right w:val="none" w:sz="0" w:space="0" w:color="auto"/>
      </w:divBdr>
    </w:div>
    <w:div w:id="852381640">
      <w:bodyDiv w:val="1"/>
      <w:marLeft w:val="0"/>
      <w:marRight w:val="0"/>
      <w:marTop w:val="0"/>
      <w:marBottom w:val="0"/>
      <w:divBdr>
        <w:top w:val="none" w:sz="0" w:space="0" w:color="auto"/>
        <w:left w:val="none" w:sz="0" w:space="0" w:color="auto"/>
        <w:bottom w:val="none" w:sz="0" w:space="0" w:color="auto"/>
        <w:right w:val="none" w:sz="0" w:space="0" w:color="auto"/>
      </w:divBdr>
    </w:div>
    <w:div w:id="852501664">
      <w:bodyDiv w:val="1"/>
      <w:marLeft w:val="0"/>
      <w:marRight w:val="0"/>
      <w:marTop w:val="0"/>
      <w:marBottom w:val="0"/>
      <w:divBdr>
        <w:top w:val="none" w:sz="0" w:space="0" w:color="auto"/>
        <w:left w:val="none" w:sz="0" w:space="0" w:color="auto"/>
        <w:bottom w:val="none" w:sz="0" w:space="0" w:color="auto"/>
        <w:right w:val="none" w:sz="0" w:space="0" w:color="auto"/>
      </w:divBdr>
      <w:divsChild>
        <w:div w:id="636375244">
          <w:marLeft w:val="0"/>
          <w:marRight w:val="0"/>
          <w:marTop w:val="0"/>
          <w:marBottom w:val="0"/>
          <w:divBdr>
            <w:top w:val="none" w:sz="0" w:space="0" w:color="auto"/>
            <w:left w:val="none" w:sz="0" w:space="0" w:color="auto"/>
            <w:bottom w:val="none" w:sz="0" w:space="0" w:color="auto"/>
            <w:right w:val="none" w:sz="0" w:space="0" w:color="auto"/>
          </w:divBdr>
          <w:divsChild>
            <w:div w:id="1585528620">
              <w:marLeft w:val="0"/>
              <w:marRight w:val="0"/>
              <w:marTop w:val="0"/>
              <w:marBottom w:val="0"/>
              <w:divBdr>
                <w:top w:val="none" w:sz="0" w:space="0" w:color="auto"/>
                <w:left w:val="none" w:sz="0" w:space="0" w:color="auto"/>
                <w:bottom w:val="none" w:sz="0" w:space="0" w:color="auto"/>
                <w:right w:val="none" w:sz="0" w:space="0" w:color="auto"/>
              </w:divBdr>
              <w:divsChild>
                <w:div w:id="16584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4721">
      <w:bodyDiv w:val="1"/>
      <w:marLeft w:val="0"/>
      <w:marRight w:val="0"/>
      <w:marTop w:val="0"/>
      <w:marBottom w:val="0"/>
      <w:divBdr>
        <w:top w:val="none" w:sz="0" w:space="0" w:color="auto"/>
        <w:left w:val="none" w:sz="0" w:space="0" w:color="auto"/>
        <w:bottom w:val="none" w:sz="0" w:space="0" w:color="auto"/>
        <w:right w:val="none" w:sz="0" w:space="0" w:color="auto"/>
      </w:divBdr>
      <w:divsChild>
        <w:div w:id="15549773">
          <w:marLeft w:val="0"/>
          <w:marRight w:val="0"/>
          <w:marTop w:val="0"/>
          <w:marBottom w:val="0"/>
          <w:divBdr>
            <w:top w:val="none" w:sz="0" w:space="0" w:color="auto"/>
            <w:left w:val="none" w:sz="0" w:space="0" w:color="auto"/>
            <w:bottom w:val="none" w:sz="0" w:space="0" w:color="auto"/>
            <w:right w:val="none" w:sz="0" w:space="0" w:color="auto"/>
          </w:divBdr>
        </w:div>
        <w:div w:id="262692592">
          <w:marLeft w:val="0"/>
          <w:marRight w:val="0"/>
          <w:marTop w:val="0"/>
          <w:marBottom w:val="0"/>
          <w:divBdr>
            <w:top w:val="none" w:sz="0" w:space="0" w:color="auto"/>
            <w:left w:val="none" w:sz="0" w:space="0" w:color="auto"/>
            <w:bottom w:val="none" w:sz="0" w:space="0" w:color="auto"/>
            <w:right w:val="none" w:sz="0" w:space="0" w:color="auto"/>
          </w:divBdr>
        </w:div>
        <w:div w:id="304285367">
          <w:marLeft w:val="0"/>
          <w:marRight w:val="0"/>
          <w:marTop w:val="0"/>
          <w:marBottom w:val="0"/>
          <w:divBdr>
            <w:top w:val="none" w:sz="0" w:space="0" w:color="auto"/>
            <w:left w:val="none" w:sz="0" w:space="0" w:color="auto"/>
            <w:bottom w:val="none" w:sz="0" w:space="0" w:color="auto"/>
            <w:right w:val="none" w:sz="0" w:space="0" w:color="auto"/>
          </w:divBdr>
        </w:div>
        <w:div w:id="740640299">
          <w:marLeft w:val="0"/>
          <w:marRight w:val="0"/>
          <w:marTop w:val="0"/>
          <w:marBottom w:val="0"/>
          <w:divBdr>
            <w:top w:val="none" w:sz="0" w:space="0" w:color="auto"/>
            <w:left w:val="none" w:sz="0" w:space="0" w:color="auto"/>
            <w:bottom w:val="none" w:sz="0" w:space="0" w:color="auto"/>
            <w:right w:val="none" w:sz="0" w:space="0" w:color="auto"/>
          </w:divBdr>
        </w:div>
        <w:div w:id="810291746">
          <w:marLeft w:val="0"/>
          <w:marRight w:val="0"/>
          <w:marTop w:val="0"/>
          <w:marBottom w:val="0"/>
          <w:divBdr>
            <w:top w:val="none" w:sz="0" w:space="0" w:color="auto"/>
            <w:left w:val="none" w:sz="0" w:space="0" w:color="auto"/>
            <w:bottom w:val="none" w:sz="0" w:space="0" w:color="auto"/>
            <w:right w:val="none" w:sz="0" w:space="0" w:color="auto"/>
          </w:divBdr>
        </w:div>
        <w:div w:id="955135854">
          <w:marLeft w:val="0"/>
          <w:marRight w:val="0"/>
          <w:marTop w:val="0"/>
          <w:marBottom w:val="0"/>
          <w:divBdr>
            <w:top w:val="none" w:sz="0" w:space="0" w:color="auto"/>
            <w:left w:val="none" w:sz="0" w:space="0" w:color="auto"/>
            <w:bottom w:val="none" w:sz="0" w:space="0" w:color="auto"/>
            <w:right w:val="none" w:sz="0" w:space="0" w:color="auto"/>
          </w:divBdr>
        </w:div>
        <w:div w:id="1081564817">
          <w:marLeft w:val="0"/>
          <w:marRight w:val="0"/>
          <w:marTop w:val="0"/>
          <w:marBottom w:val="0"/>
          <w:divBdr>
            <w:top w:val="none" w:sz="0" w:space="0" w:color="auto"/>
            <w:left w:val="none" w:sz="0" w:space="0" w:color="auto"/>
            <w:bottom w:val="none" w:sz="0" w:space="0" w:color="auto"/>
            <w:right w:val="none" w:sz="0" w:space="0" w:color="auto"/>
          </w:divBdr>
        </w:div>
        <w:div w:id="1181965052">
          <w:marLeft w:val="0"/>
          <w:marRight w:val="0"/>
          <w:marTop w:val="0"/>
          <w:marBottom w:val="0"/>
          <w:divBdr>
            <w:top w:val="none" w:sz="0" w:space="0" w:color="auto"/>
            <w:left w:val="none" w:sz="0" w:space="0" w:color="auto"/>
            <w:bottom w:val="none" w:sz="0" w:space="0" w:color="auto"/>
            <w:right w:val="none" w:sz="0" w:space="0" w:color="auto"/>
          </w:divBdr>
        </w:div>
        <w:div w:id="1195272429">
          <w:marLeft w:val="0"/>
          <w:marRight w:val="0"/>
          <w:marTop w:val="0"/>
          <w:marBottom w:val="0"/>
          <w:divBdr>
            <w:top w:val="none" w:sz="0" w:space="0" w:color="auto"/>
            <w:left w:val="none" w:sz="0" w:space="0" w:color="auto"/>
            <w:bottom w:val="none" w:sz="0" w:space="0" w:color="auto"/>
            <w:right w:val="none" w:sz="0" w:space="0" w:color="auto"/>
          </w:divBdr>
        </w:div>
        <w:div w:id="2102994110">
          <w:marLeft w:val="0"/>
          <w:marRight w:val="0"/>
          <w:marTop w:val="0"/>
          <w:marBottom w:val="0"/>
          <w:divBdr>
            <w:top w:val="none" w:sz="0" w:space="0" w:color="auto"/>
            <w:left w:val="none" w:sz="0" w:space="0" w:color="auto"/>
            <w:bottom w:val="none" w:sz="0" w:space="0" w:color="auto"/>
            <w:right w:val="none" w:sz="0" w:space="0" w:color="auto"/>
          </w:divBdr>
        </w:div>
        <w:div w:id="2106026256">
          <w:marLeft w:val="0"/>
          <w:marRight w:val="0"/>
          <w:marTop w:val="0"/>
          <w:marBottom w:val="0"/>
          <w:divBdr>
            <w:top w:val="none" w:sz="0" w:space="0" w:color="auto"/>
            <w:left w:val="none" w:sz="0" w:space="0" w:color="auto"/>
            <w:bottom w:val="none" w:sz="0" w:space="0" w:color="auto"/>
            <w:right w:val="none" w:sz="0" w:space="0" w:color="auto"/>
          </w:divBdr>
        </w:div>
      </w:divsChild>
    </w:div>
    <w:div w:id="859389795">
      <w:bodyDiv w:val="1"/>
      <w:marLeft w:val="0"/>
      <w:marRight w:val="0"/>
      <w:marTop w:val="0"/>
      <w:marBottom w:val="0"/>
      <w:divBdr>
        <w:top w:val="none" w:sz="0" w:space="0" w:color="auto"/>
        <w:left w:val="none" w:sz="0" w:space="0" w:color="auto"/>
        <w:bottom w:val="none" w:sz="0" w:space="0" w:color="auto"/>
        <w:right w:val="none" w:sz="0" w:space="0" w:color="auto"/>
      </w:divBdr>
    </w:div>
    <w:div w:id="867328805">
      <w:bodyDiv w:val="1"/>
      <w:marLeft w:val="0"/>
      <w:marRight w:val="0"/>
      <w:marTop w:val="0"/>
      <w:marBottom w:val="0"/>
      <w:divBdr>
        <w:top w:val="none" w:sz="0" w:space="0" w:color="auto"/>
        <w:left w:val="none" w:sz="0" w:space="0" w:color="auto"/>
        <w:bottom w:val="none" w:sz="0" w:space="0" w:color="auto"/>
        <w:right w:val="none" w:sz="0" w:space="0" w:color="auto"/>
      </w:divBdr>
      <w:divsChild>
        <w:div w:id="648827521">
          <w:marLeft w:val="0"/>
          <w:marRight w:val="0"/>
          <w:marTop w:val="0"/>
          <w:marBottom w:val="0"/>
          <w:divBdr>
            <w:top w:val="none" w:sz="0" w:space="0" w:color="auto"/>
            <w:left w:val="none" w:sz="0" w:space="0" w:color="auto"/>
            <w:bottom w:val="none" w:sz="0" w:space="0" w:color="auto"/>
            <w:right w:val="none" w:sz="0" w:space="0" w:color="auto"/>
          </w:divBdr>
        </w:div>
      </w:divsChild>
    </w:div>
    <w:div w:id="868026410">
      <w:bodyDiv w:val="1"/>
      <w:marLeft w:val="0"/>
      <w:marRight w:val="0"/>
      <w:marTop w:val="0"/>
      <w:marBottom w:val="0"/>
      <w:divBdr>
        <w:top w:val="none" w:sz="0" w:space="0" w:color="auto"/>
        <w:left w:val="none" w:sz="0" w:space="0" w:color="auto"/>
        <w:bottom w:val="none" w:sz="0" w:space="0" w:color="auto"/>
        <w:right w:val="none" w:sz="0" w:space="0" w:color="auto"/>
      </w:divBdr>
      <w:divsChild>
        <w:div w:id="934242689">
          <w:marLeft w:val="0"/>
          <w:marRight w:val="0"/>
          <w:marTop w:val="0"/>
          <w:marBottom w:val="0"/>
          <w:divBdr>
            <w:top w:val="none" w:sz="0" w:space="0" w:color="auto"/>
            <w:left w:val="none" w:sz="0" w:space="0" w:color="auto"/>
            <w:bottom w:val="none" w:sz="0" w:space="0" w:color="auto"/>
            <w:right w:val="none" w:sz="0" w:space="0" w:color="auto"/>
          </w:divBdr>
        </w:div>
      </w:divsChild>
    </w:div>
    <w:div w:id="875386836">
      <w:bodyDiv w:val="1"/>
      <w:marLeft w:val="0"/>
      <w:marRight w:val="0"/>
      <w:marTop w:val="0"/>
      <w:marBottom w:val="0"/>
      <w:divBdr>
        <w:top w:val="none" w:sz="0" w:space="0" w:color="auto"/>
        <w:left w:val="none" w:sz="0" w:space="0" w:color="auto"/>
        <w:bottom w:val="none" w:sz="0" w:space="0" w:color="auto"/>
        <w:right w:val="none" w:sz="0" w:space="0" w:color="auto"/>
      </w:divBdr>
    </w:div>
    <w:div w:id="879634971">
      <w:bodyDiv w:val="1"/>
      <w:marLeft w:val="0"/>
      <w:marRight w:val="0"/>
      <w:marTop w:val="0"/>
      <w:marBottom w:val="0"/>
      <w:divBdr>
        <w:top w:val="none" w:sz="0" w:space="0" w:color="auto"/>
        <w:left w:val="none" w:sz="0" w:space="0" w:color="auto"/>
        <w:bottom w:val="none" w:sz="0" w:space="0" w:color="auto"/>
        <w:right w:val="none" w:sz="0" w:space="0" w:color="auto"/>
      </w:divBdr>
      <w:divsChild>
        <w:div w:id="187107899">
          <w:marLeft w:val="0"/>
          <w:marRight w:val="0"/>
          <w:marTop w:val="0"/>
          <w:marBottom w:val="0"/>
          <w:divBdr>
            <w:top w:val="none" w:sz="0" w:space="0" w:color="auto"/>
            <w:left w:val="none" w:sz="0" w:space="0" w:color="auto"/>
            <w:bottom w:val="none" w:sz="0" w:space="0" w:color="auto"/>
            <w:right w:val="none" w:sz="0" w:space="0" w:color="auto"/>
          </w:divBdr>
        </w:div>
        <w:div w:id="264122282">
          <w:marLeft w:val="0"/>
          <w:marRight w:val="0"/>
          <w:marTop w:val="0"/>
          <w:marBottom w:val="0"/>
          <w:divBdr>
            <w:top w:val="none" w:sz="0" w:space="0" w:color="auto"/>
            <w:left w:val="none" w:sz="0" w:space="0" w:color="auto"/>
            <w:bottom w:val="none" w:sz="0" w:space="0" w:color="auto"/>
            <w:right w:val="none" w:sz="0" w:space="0" w:color="auto"/>
          </w:divBdr>
        </w:div>
        <w:div w:id="278882497">
          <w:marLeft w:val="0"/>
          <w:marRight w:val="0"/>
          <w:marTop w:val="0"/>
          <w:marBottom w:val="0"/>
          <w:divBdr>
            <w:top w:val="none" w:sz="0" w:space="0" w:color="auto"/>
            <w:left w:val="none" w:sz="0" w:space="0" w:color="auto"/>
            <w:bottom w:val="none" w:sz="0" w:space="0" w:color="auto"/>
            <w:right w:val="none" w:sz="0" w:space="0" w:color="auto"/>
          </w:divBdr>
        </w:div>
        <w:div w:id="594632977">
          <w:marLeft w:val="0"/>
          <w:marRight w:val="0"/>
          <w:marTop w:val="0"/>
          <w:marBottom w:val="0"/>
          <w:divBdr>
            <w:top w:val="none" w:sz="0" w:space="0" w:color="auto"/>
            <w:left w:val="none" w:sz="0" w:space="0" w:color="auto"/>
            <w:bottom w:val="none" w:sz="0" w:space="0" w:color="auto"/>
            <w:right w:val="none" w:sz="0" w:space="0" w:color="auto"/>
          </w:divBdr>
        </w:div>
        <w:div w:id="988485035">
          <w:marLeft w:val="0"/>
          <w:marRight w:val="0"/>
          <w:marTop w:val="0"/>
          <w:marBottom w:val="0"/>
          <w:divBdr>
            <w:top w:val="none" w:sz="0" w:space="0" w:color="auto"/>
            <w:left w:val="none" w:sz="0" w:space="0" w:color="auto"/>
            <w:bottom w:val="none" w:sz="0" w:space="0" w:color="auto"/>
            <w:right w:val="none" w:sz="0" w:space="0" w:color="auto"/>
          </w:divBdr>
        </w:div>
        <w:div w:id="1232887437">
          <w:marLeft w:val="0"/>
          <w:marRight w:val="0"/>
          <w:marTop w:val="0"/>
          <w:marBottom w:val="0"/>
          <w:divBdr>
            <w:top w:val="none" w:sz="0" w:space="0" w:color="auto"/>
            <w:left w:val="none" w:sz="0" w:space="0" w:color="auto"/>
            <w:bottom w:val="none" w:sz="0" w:space="0" w:color="auto"/>
            <w:right w:val="none" w:sz="0" w:space="0" w:color="auto"/>
          </w:divBdr>
        </w:div>
        <w:div w:id="1510018850">
          <w:marLeft w:val="0"/>
          <w:marRight w:val="0"/>
          <w:marTop w:val="0"/>
          <w:marBottom w:val="0"/>
          <w:divBdr>
            <w:top w:val="none" w:sz="0" w:space="0" w:color="auto"/>
            <w:left w:val="none" w:sz="0" w:space="0" w:color="auto"/>
            <w:bottom w:val="none" w:sz="0" w:space="0" w:color="auto"/>
            <w:right w:val="none" w:sz="0" w:space="0" w:color="auto"/>
          </w:divBdr>
        </w:div>
        <w:div w:id="1559969848">
          <w:marLeft w:val="0"/>
          <w:marRight w:val="0"/>
          <w:marTop w:val="0"/>
          <w:marBottom w:val="0"/>
          <w:divBdr>
            <w:top w:val="none" w:sz="0" w:space="0" w:color="auto"/>
            <w:left w:val="none" w:sz="0" w:space="0" w:color="auto"/>
            <w:bottom w:val="none" w:sz="0" w:space="0" w:color="auto"/>
            <w:right w:val="none" w:sz="0" w:space="0" w:color="auto"/>
          </w:divBdr>
        </w:div>
        <w:div w:id="1587616974">
          <w:marLeft w:val="0"/>
          <w:marRight w:val="0"/>
          <w:marTop w:val="0"/>
          <w:marBottom w:val="0"/>
          <w:divBdr>
            <w:top w:val="none" w:sz="0" w:space="0" w:color="auto"/>
            <w:left w:val="none" w:sz="0" w:space="0" w:color="auto"/>
            <w:bottom w:val="none" w:sz="0" w:space="0" w:color="auto"/>
            <w:right w:val="none" w:sz="0" w:space="0" w:color="auto"/>
          </w:divBdr>
        </w:div>
      </w:divsChild>
    </w:div>
    <w:div w:id="887424459">
      <w:bodyDiv w:val="1"/>
      <w:marLeft w:val="0"/>
      <w:marRight w:val="0"/>
      <w:marTop w:val="0"/>
      <w:marBottom w:val="0"/>
      <w:divBdr>
        <w:top w:val="none" w:sz="0" w:space="0" w:color="auto"/>
        <w:left w:val="none" w:sz="0" w:space="0" w:color="auto"/>
        <w:bottom w:val="none" w:sz="0" w:space="0" w:color="auto"/>
        <w:right w:val="none" w:sz="0" w:space="0" w:color="auto"/>
      </w:divBdr>
    </w:div>
    <w:div w:id="890191533">
      <w:bodyDiv w:val="1"/>
      <w:marLeft w:val="0"/>
      <w:marRight w:val="0"/>
      <w:marTop w:val="0"/>
      <w:marBottom w:val="0"/>
      <w:divBdr>
        <w:top w:val="none" w:sz="0" w:space="0" w:color="auto"/>
        <w:left w:val="none" w:sz="0" w:space="0" w:color="auto"/>
        <w:bottom w:val="none" w:sz="0" w:space="0" w:color="auto"/>
        <w:right w:val="none" w:sz="0" w:space="0" w:color="auto"/>
      </w:divBdr>
    </w:div>
    <w:div w:id="896934523">
      <w:bodyDiv w:val="1"/>
      <w:marLeft w:val="0"/>
      <w:marRight w:val="0"/>
      <w:marTop w:val="0"/>
      <w:marBottom w:val="0"/>
      <w:divBdr>
        <w:top w:val="none" w:sz="0" w:space="0" w:color="auto"/>
        <w:left w:val="none" w:sz="0" w:space="0" w:color="auto"/>
        <w:bottom w:val="none" w:sz="0" w:space="0" w:color="auto"/>
        <w:right w:val="none" w:sz="0" w:space="0" w:color="auto"/>
      </w:divBdr>
      <w:divsChild>
        <w:div w:id="275909404">
          <w:marLeft w:val="0"/>
          <w:marRight w:val="0"/>
          <w:marTop w:val="0"/>
          <w:marBottom w:val="0"/>
          <w:divBdr>
            <w:top w:val="none" w:sz="0" w:space="0" w:color="auto"/>
            <w:left w:val="none" w:sz="0" w:space="0" w:color="auto"/>
            <w:bottom w:val="none" w:sz="0" w:space="0" w:color="auto"/>
            <w:right w:val="none" w:sz="0" w:space="0" w:color="auto"/>
          </w:divBdr>
        </w:div>
        <w:div w:id="386034910">
          <w:marLeft w:val="0"/>
          <w:marRight w:val="0"/>
          <w:marTop w:val="0"/>
          <w:marBottom w:val="0"/>
          <w:divBdr>
            <w:top w:val="none" w:sz="0" w:space="0" w:color="auto"/>
            <w:left w:val="none" w:sz="0" w:space="0" w:color="auto"/>
            <w:bottom w:val="none" w:sz="0" w:space="0" w:color="auto"/>
            <w:right w:val="none" w:sz="0" w:space="0" w:color="auto"/>
          </w:divBdr>
        </w:div>
        <w:div w:id="434519697">
          <w:marLeft w:val="0"/>
          <w:marRight w:val="0"/>
          <w:marTop w:val="0"/>
          <w:marBottom w:val="0"/>
          <w:divBdr>
            <w:top w:val="none" w:sz="0" w:space="0" w:color="auto"/>
            <w:left w:val="none" w:sz="0" w:space="0" w:color="auto"/>
            <w:bottom w:val="none" w:sz="0" w:space="0" w:color="auto"/>
            <w:right w:val="none" w:sz="0" w:space="0" w:color="auto"/>
          </w:divBdr>
        </w:div>
        <w:div w:id="470294593">
          <w:marLeft w:val="0"/>
          <w:marRight w:val="0"/>
          <w:marTop w:val="0"/>
          <w:marBottom w:val="0"/>
          <w:divBdr>
            <w:top w:val="none" w:sz="0" w:space="0" w:color="auto"/>
            <w:left w:val="none" w:sz="0" w:space="0" w:color="auto"/>
            <w:bottom w:val="none" w:sz="0" w:space="0" w:color="auto"/>
            <w:right w:val="none" w:sz="0" w:space="0" w:color="auto"/>
          </w:divBdr>
        </w:div>
        <w:div w:id="804273029">
          <w:marLeft w:val="0"/>
          <w:marRight w:val="0"/>
          <w:marTop w:val="0"/>
          <w:marBottom w:val="0"/>
          <w:divBdr>
            <w:top w:val="none" w:sz="0" w:space="0" w:color="auto"/>
            <w:left w:val="none" w:sz="0" w:space="0" w:color="auto"/>
            <w:bottom w:val="none" w:sz="0" w:space="0" w:color="auto"/>
            <w:right w:val="none" w:sz="0" w:space="0" w:color="auto"/>
          </w:divBdr>
        </w:div>
        <w:div w:id="819424921">
          <w:marLeft w:val="0"/>
          <w:marRight w:val="0"/>
          <w:marTop w:val="0"/>
          <w:marBottom w:val="0"/>
          <w:divBdr>
            <w:top w:val="none" w:sz="0" w:space="0" w:color="auto"/>
            <w:left w:val="none" w:sz="0" w:space="0" w:color="auto"/>
            <w:bottom w:val="none" w:sz="0" w:space="0" w:color="auto"/>
            <w:right w:val="none" w:sz="0" w:space="0" w:color="auto"/>
          </w:divBdr>
        </w:div>
        <w:div w:id="871453686">
          <w:marLeft w:val="0"/>
          <w:marRight w:val="0"/>
          <w:marTop w:val="0"/>
          <w:marBottom w:val="0"/>
          <w:divBdr>
            <w:top w:val="none" w:sz="0" w:space="0" w:color="auto"/>
            <w:left w:val="none" w:sz="0" w:space="0" w:color="auto"/>
            <w:bottom w:val="none" w:sz="0" w:space="0" w:color="auto"/>
            <w:right w:val="none" w:sz="0" w:space="0" w:color="auto"/>
          </w:divBdr>
        </w:div>
        <w:div w:id="1000887391">
          <w:marLeft w:val="0"/>
          <w:marRight w:val="0"/>
          <w:marTop w:val="0"/>
          <w:marBottom w:val="0"/>
          <w:divBdr>
            <w:top w:val="none" w:sz="0" w:space="0" w:color="auto"/>
            <w:left w:val="none" w:sz="0" w:space="0" w:color="auto"/>
            <w:bottom w:val="none" w:sz="0" w:space="0" w:color="auto"/>
            <w:right w:val="none" w:sz="0" w:space="0" w:color="auto"/>
          </w:divBdr>
        </w:div>
        <w:div w:id="1161699024">
          <w:marLeft w:val="0"/>
          <w:marRight w:val="0"/>
          <w:marTop w:val="0"/>
          <w:marBottom w:val="0"/>
          <w:divBdr>
            <w:top w:val="none" w:sz="0" w:space="0" w:color="auto"/>
            <w:left w:val="none" w:sz="0" w:space="0" w:color="auto"/>
            <w:bottom w:val="none" w:sz="0" w:space="0" w:color="auto"/>
            <w:right w:val="none" w:sz="0" w:space="0" w:color="auto"/>
          </w:divBdr>
        </w:div>
        <w:div w:id="1175874382">
          <w:marLeft w:val="0"/>
          <w:marRight w:val="0"/>
          <w:marTop w:val="0"/>
          <w:marBottom w:val="0"/>
          <w:divBdr>
            <w:top w:val="none" w:sz="0" w:space="0" w:color="auto"/>
            <w:left w:val="none" w:sz="0" w:space="0" w:color="auto"/>
            <w:bottom w:val="none" w:sz="0" w:space="0" w:color="auto"/>
            <w:right w:val="none" w:sz="0" w:space="0" w:color="auto"/>
          </w:divBdr>
        </w:div>
        <w:div w:id="1459297197">
          <w:marLeft w:val="0"/>
          <w:marRight w:val="0"/>
          <w:marTop w:val="0"/>
          <w:marBottom w:val="0"/>
          <w:divBdr>
            <w:top w:val="none" w:sz="0" w:space="0" w:color="auto"/>
            <w:left w:val="none" w:sz="0" w:space="0" w:color="auto"/>
            <w:bottom w:val="none" w:sz="0" w:space="0" w:color="auto"/>
            <w:right w:val="none" w:sz="0" w:space="0" w:color="auto"/>
          </w:divBdr>
        </w:div>
        <w:div w:id="1489396964">
          <w:marLeft w:val="0"/>
          <w:marRight w:val="0"/>
          <w:marTop w:val="0"/>
          <w:marBottom w:val="0"/>
          <w:divBdr>
            <w:top w:val="none" w:sz="0" w:space="0" w:color="auto"/>
            <w:left w:val="none" w:sz="0" w:space="0" w:color="auto"/>
            <w:bottom w:val="none" w:sz="0" w:space="0" w:color="auto"/>
            <w:right w:val="none" w:sz="0" w:space="0" w:color="auto"/>
          </w:divBdr>
        </w:div>
        <w:div w:id="1642614414">
          <w:marLeft w:val="0"/>
          <w:marRight w:val="0"/>
          <w:marTop w:val="0"/>
          <w:marBottom w:val="0"/>
          <w:divBdr>
            <w:top w:val="none" w:sz="0" w:space="0" w:color="auto"/>
            <w:left w:val="none" w:sz="0" w:space="0" w:color="auto"/>
            <w:bottom w:val="none" w:sz="0" w:space="0" w:color="auto"/>
            <w:right w:val="none" w:sz="0" w:space="0" w:color="auto"/>
          </w:divBdr>
        </w:div>
        <w:div w:id="1645617147">
          <w:marLeft w:val="0"/>
          <w:marRight w:val="0"/>
          <w:marTop w:val="0"/>
          <w:marBottom w:val="0"/>
          <w:divBdr>
            <w:top w:val="none" w:sz="0" w:space="0" w:color="auto"/>
            <w:left w:val="none" w:sz="0" w:space="0" w:color="auto"/>
            <w:bottom w:val="none" w:sz="0" w:space="0" w:color="auto"/>
            <w:right w:val="none" w:sz="0" w:space="0" w:color="auto"/>
          </w:divBdr>
        </w:div>
        <w:div w:id="1703093642">
          <w:marLeft w:val="0"/>
          <w:marRight w:val="0"/>
          <w:marTop w:val="0"/>
          <w:marBottom w:val="0"/>
          <w:divBdr>
            <w:top w:val="none" w:sz="0" w:space="0" w:color="auto"/>
            <w:left w:val="none" w:sz="0" w:space="0" w:color="auto"/>
            <w:bottom w:val="none" w:sz="0" w:space="0" w:color="auto"/>
            <w:right w:val="none" w:sz="0" w:space="0" w:color="auto"/>
          </w:divBdr>
        </w:div>
        <w:div w:id="1899365461">
          <w:marLeft w:val="0"/>
          <w:marRight w:val="0"/>
          <w:marTop w:val="0"/>
          <w:marBottom w:val="0"/>
          <w:divBdr>
            <w:top w:val="none" w:sz="0" w:space="0" w:color="auto"/>
            <w:left w:val="none" w:sz="0" w:space="0" w:color="auto"/>
            <w:bottom w:val="none" w:sz="0" w:space="0" w:color="auto"/>
            <w:right w:val="none" w:sz="0" w:space="0" w:color="auto"/>
          </w:divBdr>
        </w:div>
        <w:div w:id="1957055602">
          <w:marLeft w:val="0"/>
          <w:marRight w:val="0"/>
          <w:marTop w:val="0"/>
          <w:marBottom w:val="0"/>
          <w:divBdr>
            <w:top w:val="none" w:sz="0" w:space="0" w:color="auto"/>
            <w:left w:val="none" w:sz="0" w:space="0" w:color="auto"/>
            <w:bottom w:val="none" w:sz="0" w:space="0" w:color="auto"/>
            <w:right w:val="none" w:sz="0" w:space="0" w:color="auto"/>
          </w:divBdr>
        </w:div>
        <w:div w:id="2032954147">
          <w:marLeft w:val="0"/>
          <w:marRight w:val="0"/>
          <w:marTop w:val="0"/>
          <w:marBottom w:val="0"/>
          <w:divBdr>
            <w:top w:val="none" w:sz="0" w:space="0" w:color="auto"/>
            <w:left w:val="none" w:sz="0" w:space="0" w:color="auto"/>
            <w:bottom w:val="none" w:sz="0" w:space="0" w:color="auto"/>
            <w:right w:val="none" w:sz="0" w:space="0" w:color="auto"/>
          </w:divBdr>
        </w:div>
      </w:divsChild>
    </w:div>
    <w:div w:id="899286681">
      <w:bodyDiv w:val="1"/>
      <w:marLeft w:val="0"/>
      <w:marRight w:val="0"/>
      <w:marTop w:val="0"/>
      <w:marBottom w:val="0"/>
      <w:divBdr>
        <w:top w:val="none" w:sz="0" w:space="0" w:color="auto"/>
        <w:left w:val="none" w:sz="0" w:space="0" w:color="auto"/>
        <w:bottom w:val="none" w:sz="0" w:space="0" w:color="auto"/>
        <w:right w:val="none" w:sz="0" w:space="0" w:color="auto"/>
      </w:divBdr>
      <w:divsChild>
        <w:div w:id="1003703708">
          <w:marLeft w:val="547"/>
          <w:marRight w:val="0"/>
          <w:marTop w:val="200"/>
          <w:marBottom w:val="0"/>
          <w:divBdr>
            <w:top w:val="none" w:sz="0" w:space="0" w:color="auto"/>
            <w:left w:val="none" w:sz="0" w:space="0" w:color="auto"/>
            <w:bottom w:val="none" w:sz="0" w:space="0" w:color="auto"/>
            <w:right w:val="none" w:sz="0" w:space="0" w:color="auto"/>
          </w:divBdr>
        </w:div>
        <w:div w:id="1013580111">
          <w:marLeft w:val="547"/>
          <w:marRight w:val="0"/>
          <w:marTop w:val="200"/>
          <w:marBottom w:val="0"/>
          <w:divBdr>
            <w:top w:val="none" w:sz="0" w:space="0" w:color="auto"/>
            <w:left w:val="none" w:sz="0" w:space="0" w:color="auto"/>
            <w:bottom w:val="none" w:sz="0" w:space="0" w:color="auto"/>
            <w:right w:val="none" w:sz="0" w:space="0" w:color="auto"/>
          </w:divBdr>
        </w:div>
        <w:div w:id="1469320140">
          <w:marLeft w:val="547"/>
          <w:marRight w:val="0"/>
          <w:marTop w:val="200"/>
          <w:marBottom w:val="0"/>
          <w:divBdr>
            <w:top w:val="none" w:sz="0" w:space="0" w:color="auto"/>
            <w:left w:val="none" w:sz="0" w:space="0" w:color="auto"/>
            <w:bottom w:val="none" w:sz="0" w:space="0" w:color="auto"/>
            <w:right w:val="none" w:sz="0" w:space="0" w:color="auto"/>
          </w:divBdr>
        </w:div>
        <w:div w:id="1516380136">
          <w:marLeft w:val="547"/>
          <w:marRight w:val="0"/>
          <w:marTop w:val="200"/>
          <w:marBottom w:val="0"/>
          <w:divBdr>
            <w:top w:val="none" w:sz="0" w:space="0" w:color="auto"/>
            <w:left w:val="none" w:sz="0" w:space="0" w:color="auto"/>
            <w:bottom w:val="none" w:sz="0" w:space="0" w:color="auto"/>
            <w:right w:val="none" w:sz="0" w:space="0" w:color="auto"/>
          </w:divBdr>
        </w:div>
      </w:divsChild>
    </w:div>
    <w:div w:id="906918639">
      <w:bodyDiv w:val="1"/>
      <w:marLeft w:val="0"/>
      <w:marRight w:val="0"/>
      <w:marTop w:val="0"/>
      <w:marBottom w:val="0"/>
      <w:divBdr>
        <w:top w:val="none" w:sz="0" w:space="0" w:color="auto"/>
        <w:left w:val="none" w:sz="0" w:space="0" w:color="auto"/>
        <w:bottom w:val="none" w:sz="0" w:space="0" w:color="auto"/>
        <w:right w:val="none" w:sz="0" w:space="0" w:color="auto"/>
      </w:divBdr>
    </w:div>
    <w:div w:id="909190158">
      <w:bodyDiv w:val="1"/>
      <w:marLeft w:val="0"/>
      <w:marRight w:val="0"/>
      <w:marTop w:val="0"/>
      <w:marBottom w:val="0"/>
      <w:divBdr>
        <w:top w:val="none" w:sz="0" w:space="0" w:color="auto"/>
        <w:left w:val="none" w:sz="0" w:space="0" w:color="auto"/>
        <w:bottom w:val="none" w:sz="0" w:space="0" w:color="auto"/>
        <w:right w:val="none" w:sz="0" w:space="0" w:color="auto"/>
      </w:divBdr>
      <w:divsChild>
        <w:div w:id="53088105">
          <w:marLeft w:val="0"/>
          <w:marRight w:val="0"/>
          <w:marTop w:val="0"/>
          <w:marBottom w:val="0"/>
          <w:divBdr>
            <w:top w:val="none" w:sz="0" w:space="0" w:color="auto"/>
            <w:left w:val="none" w:sz="0" w:space="0" w:color="auto"/>
            <w:bottom w:val="none" w:sz="0" w:space="0" w:color="auto"/>
            <w:right w:val="none" w:sz="0" w:space="0" w:color="auto"/>
          </w:divBdr>
          <w:divsChild>
            <w:div w:id="405104971">
              <w:marLeft w:val="0"/>
              <w:marRight w:val="0"/>
              <w:marTop w:val="0"/>
              <w:marBottom w:val="0"/>
              <w:divBdr>
                <w:top w:val="none" w:sz="0" w:space="0" w:color="auto"/>
                <w:left w:val="none" w:sz="0" w:space="0" w:color="auto"/>
                <w:bottom w:val="none" w:sz="0" w:space="0" w:color="auto"/>
                <w:right w:val="none" w:sz="0" w:space="0" w:color="auto"/>
              </w:divBdr>
              <w:divsChild>
                <w:div w:id="756052971">
                  <w:marLeft w:val="0"/>
                  <w:marRight w:val="0"/>
                  <w:marTop w:val="0"/>
                  <w:marBottom w:val="0"/>
                  <w:divBdr>
                    <w:top w:val="none" w:sz="0" w:space="0" w:color="auto"/>
                    <w:left w:val="none" w:sz="0" w:space="0" w:color="auto"/>
                    <w:bottom w:val="none" w:sz="0" w:space="0" w:color="auto"/>
                    <w:right w:val="none" w:sz="0" w:space="0" w:color="auto"/>
                  </w:divBdr>
                  <w:divsChild>
                    <w:div w:id="971449271">
                      <w:marLeft w:val="0"/>
                      <w:marRight w:val="0"/>
                      <w:marTop w:val="0"/>
                      <w:marBottom w:val="0"/>
                      <w:divBdr>
                        <w:top w:val="none" w:sz="0" w:space="0" w:color="auto"/>
                        <w:left w:val="none" w:sz="0" w:space="0" w:color="auto"/>
                        <w:bottom w:val="none" w:sz="0" w:space="0" w:color="auto"/>
                        <w:right w:val="none" w:sz="0" w:space="0" w:color="auto"/>
                      </w:divBdr>
                      <w:divsChild>
                        <w:div w:id="998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5300">
      <w:bodyDiv w:val="1"/>
      <w:marLeft w:val="0"/>
      <w:marRight w:val="0"/>
      <w:marTop w:val="0"/>
      <w:marBottom w:val="0"/>
      <w:divBdr>
        <w:top w:val="none" w:sz="0" w:space="0" w:color="auto"/>
        <w:left w:val="none" w:sz="0" w:space="0" w:color="auto"/>
        <w:bottom w:val="none" w:sz="0" w:space="0" w:color="auto"/>
        <w:right w:val="none" w:sz="0" w:space="0" w:color="auto"/>
      </w:divBdr>
      <w:divsChild>
        <w:div w:id="36052980">
          <w:marLeft w:val="0"/>
          <w:marRight w:val="0"/>
          <w:marTop w:val="0"/>
          <w:marBottom w:val="0"/>
          <w:divBdr>
            <w:top w:val="none" w:sz="0" w:space="0" w:color="auto"/>
            <w:left w:val="none" w:sz="0" w:space="0" w:color="auto"/>
            <w:bottom w:val="none" w:sz="0" w:space="0" w:color="auto"/>
            <w:right w:val="none" w:sz="0" w:space="0" w:color="auto"/>
          </w:divBdr>
        </w:div>
        <w:div w:id="1082725367">
          <w:marLeft w:val="0"/>
          <w:marRight w:val="0"/>
          <w:marTop w:val="0"/>
          <w:marBottom w:val="0"/>
          <w:divBdr>
            <w:top w:val="none" w:sz="0" w:space="0" w:color="auto"/>
            <w:left w:val="none" w:sz="0" w:space="0" w:color="auto"/>
            <w:bottom w:val="none" w:sz="0" w:space="0" w:color="auto"/>
            <w:right w:val="none" w:sz="0" w:space="0" w:color="auto"/>
          </w:divBdr>
        </w:div>
        <w:div w:id="1329938967">
          <w:marLeft w:val="0"/>
          <w:marRight w:val="0"/>
          <w:marTop w:val="0"/>
          <w:marBottom w:val="0"/>
          <w:divBdr>
            <w:top w:val="none" w:sz="0" w:space="0" w:color="auto"/>
            <w:left w:val="none" w:sz="0" w:space="0" w:color="auto"/>
            <w:bottom w:val="none" w:sz="0" w:space="0" w:color="auto"/>
            <w:right w:val="none" w:sz="0" w:space="0" w:color="auto"/>
          </w:divBdr>
        </w:div>
        <w:div w:id="1476951811">
          <w:marLeft w:val="0"/>
          <w:marRight w:val="0"/>
          <w:marTop w:val="0"/>
          <w:marBottom w:val="0"/>
          <w:divBdr>
            <w:top w:val="none" w:sz="0" w:space="0" w:color="auto"/>
            <w:left w:val="none" w:sz="0" w:space="0" w:color="auto"/>
            <w:bottom w:val="none" w:sz="0" w:space="0" w:color="auto"/>
            <w:right w:val="none" w:sz="0" w:space="0" w:color="auto"/>
          </w:divBdr>
        </w:div>
        <w:div w:id="1734890677">
          <w:marLeft w:val="0"/>
          <w:marRight w:val="0"/>
          <w:marTop w:val="0"/>
          <w:marBottom w:val="0"/>
          <w:divBdr>
            <w:top w:val="none" w:sz="0" w:space="0" w:color="auto"/>
            <w:left w:val="none" w:sz="0" w:space="0" w:color="auto"/>
            <w:bottom w:val="none" w:sz="0" w:space="0" w:color="auto"/>
            <w:right w:val="none" w:sz="0" w:space="0" w:color="auto"/>
          </w:divBdr>
        </w:div>
        <w:div w:id="2103795597">
          <w:marLeft w:val="0"/>
          <w:marRight w:val="0"/>
          <w:marTop w:val="0"/>
          <w:marBottom w:val="0"/>
          <w:divBdr>
            <w:top w:val="none" w:sz="0" w:space="0" w:color="auto"/>
            <w:left w:val="none" w:sz="0" w:space="0" w:color="auto"/>
            <w:bottom w:val="none" w:sz="0" w:space="0" w:color="auto"/>
            <w:right w:val="none" w:sz="0" w:space="0" w:color="auto"/>
          </w:divBdr>
        </w:div>
      </w:divsChild>
    </w:div>
    <w:div w:id="912277519">
      <w:bodyDiv w:val="1"/>
      <w:marLeft w:val="0"/>
      <w:marRight w:val="0"/>
      <w:marTop w:val="0"/>
      <w:marBottom w:val="0"/>
      <w:divBdr>
        <w:top w:val="none" w:sz="0" w:space="0" w:color="auto"/>
        <w:left w:val="none" w:sz="0" w:space="0" w:color="auto"/>
        <w:bottom w:val="none" w:sz="0" w:space="0" w:color="auto"/>
        <w:right w:val="none" w:sz="0" w:space="0" w:color="auto"/>
      </w:divBdr>
    </w:div>
    <w:div w:id="912394154">
      <w:bodyDiv w:val="1"/>
      <w:marLeft w:val="0"/>
      <w:marRight w:val="0"/>
      <w:marTop w:val="0"/>
      <w:marBottom w:val="0"/>
      <w:divBdr>
        <w:top w:val="none" w:sz="0" w:space="0" w:color="auto"/>
        <w:left w:val="none" w:sz="0" w:space="0" w:color="auto"/>
        <w:bottom w:val="none" w:sz="0" w:space="0" w:color="auto"/>
        <w:right w:val="none" w:sz="0" w:space="0" w:color="auto"/>
      </w:divBdr>
    </w:div>
    <w:div w:id="914585390">
      <w:bodyDiv w:val="1"/>
      <w:marLeft w:val="0"/>
      <w:marRight w:val="0"/>
      <w:marTop w:val="0"/>
      <w:marBottom w:val="0"/>
      <w:divBdr>
        <w:top w:val="none" w:sz="0" w:space="0" w:color="auto"/>
        <w:left w:val="none" w:sz="0" w:space="0" w:color="auto"/>
        <w:bottom w:val="none" w:sz="0" w:space="0" w:color="auto"/>
        <w:right w:val="none" w:sz="0" w:space="0" w:color="auto"/>
      </w:divBdr>
    </w:div>
    <w:div w:id="916860609">
      <w:bodyDiv w:val="1"/>
      <w:marLeft w:val="0"/>
      <w:marRight w:val="0"/>
      <w:marTop w:val="0"/>
      <w:marBottom w:val="0"/>
      <w:divBdr>
        <w:top w:val="none" w:sz="0" w:space="0" w:color="auto"/>
        <w:left w:val="none" w:sz="0" w:space="0" w:color="auto"/>
        <w:bottom w:val="none" w:sz="0" w:space="0" w:color="auto"/>
        <w:right w:val="none" w:sz="0" w:space="0" w:color="auto"/>
      </w:divBdr>
      <w:divsChild>
        <w:div w:id="761219627">
          <w:marLeft w:val="0"/>
          <w:marRight w:val="0"/>
          <w:marTop w:val="0"/>
          <w:marBottom w:val="0"/>
          <w:divBdr>
            <w:top w:val="none" w:sz="0" w:space="0" w:color="auto"/>
            <w:left w:val="none" w:sz="0" w:space="0" w:color="auto"/>
            <w:bottom w:val="none" w:sz="0" w:space="0" w:color="auto"/>
            <w:right w:val="none" w:sz="0" w:space="0" w:color="auto"/>
          </w:divBdr>
        </w:div>
        <w:div w:id="817266292">
          <w:marLeft w:val="0"/>
          <w:marRight w:val="0"/>
          <w:marTop w:val="0"/>
          <w:marBottom w:val="0"/>
          <w:divBdr>
            <w:top w:val="none" w:sz="0" w:space="0" w:color="auto"/>
            <w:left w:val="none" w:sz="0" w:space="0" w:color="auto"/>
            <w:bottom w:val="none" w:sz="0" w:space="0" w:color="auto"/>
            <w:right w:val="none" w:sz="0" w:space="0" w:color="auto"/>
          </w:divBdr>
        </w:div>
        <w:div w:id="904989228">
          <w:marLeft w:val="0"/>
          <w:marRight w:val="0"/>
          <w:marTop w:val="0"/>
          <w:marBottom w:val="0"/>
          <w:divBdr>
            <w:top w:val="none" w:sz="0" w:space="0" w:color="auto"/>
            <w:left w:val="none" w:sz="0" w:space="0" w:color="auto"/>
            <w:bottom w:val="none" w:sz="0" w:space="0" w:color="auto"/>
            <w:right w:val="none" w:sz="0" w:space="0" w:color="auto"/>
          </w:divBdr>
        </w:div>
        <w:div w:id="1019937380">
          <w:marLeft w:val="0"/>
          <w:marRight w:val="0"/>
          <w:marTop w:val="0"/>
          <w:marBottom w:val="0"/>
          <w:divBdr>
            <w:top w:val="none" w:sz="0" w:space="0" w:color="auto"/>
            <w:left w:val="none" w:sz="0" w:space="0" w:color="auto"/>
            <w:bottom w:val="none" w:sz="0" w:space="0" w:color="auto"/>
            <w:right w:val="none" w:sz="0" w:space="0" w:color="auto"/>
          </w:divBdr>
        </w:div>
        <w:div w:id="1657684377">
          <w:marLeft w:val="0"/>
          <w:marRight w:val="0"/>
          <w:marTop w:val="0"/>
          <w:marBottom w:val="0"/>
          <w:divBdr>
            <w:top w:val="none" w:sz="0" w:space="0" w:color="auto"/>
            <w:left w:val="none" w:sz="0" w:space="0" w:color="auto"/>
            <w:bottom w:val="none" w:sz="0" w:space="0" w:color="auto"/>
            <w:right w:val="none" w:sz="0" w:space="0" w:color="auto"/>
          </w:divBdr>
        </w:div>
        <w:div w:id="1785347851">
          <w:marLeft w:val="0"/>
          <w:marRight w:val="0"/>
          <w:marTop w:val="0"/>
          <w:marBottom w:val="0"/>
          <w:divBdr>
            <w:top w:val="none" w:sz="0" w:space="0" w:color="auto"/>
            <w:left w:val="none" w:sz="0" w:space="0" w:color="auto"/>
            <w:bottom w:val="none" w:sz="0" w:space="0" w:color="auto"/>
            <w:right w:val="none" w:sz="0" w:space="0" w:color="auto"/>
          </w:divBdr>
        </w:div>
      </w:divsChild>
    </w:div>
    <w:div w:id="917130111">
      <w:bodyDiv w:val="1"/>
      <w:marLeft w:val="0"/>
      <w:marRight w:val="0"/>
      <w:marTop w:val="0"/>
      <w:marBottom w:val="0"/>
      <w:divBdr>
        <w:top w:val="none" w:sz="0" w:space="0" w:color="auto"/>
        <w:left w:val="none" w:sz="0" w:space="0" w:color="auto"/>
        <w:bottom w:val="none" w:sz="0" w:space="0" w:color="auto"/>
        <w:right w:val="none" w:sz="0" w:space="0" w:color="auto"/>
      </w:divBdr>
      <w:divsChild>
        <w:div w:id="50228198">
          <w:marLeft w:val="0"/>
          <w:marRight w:val="0"/>
          <w:marTop w:val="0"/>
          <w:marBottom w:val="0"/>
          <w:divBdr>
            <w:top w:val="none" w:sz="0" w:space="0" w:color="auto"/>
            <w:left w:val="none" w:sz="0" w:space="0" w:color="auto"/>
            <w:bottom w:val="none" w:sz="0" w:space="0" w:color="auto"/>
            <w:right w:val="none" w:sz="0" w:space="0" w:color="auto"/>
          </w:divBdr>
        </w:div>
        <w:div w:id="305285133">
          <w:marLeft w:val="0"/>
          <w:marRight w:val="0"/>
          <w:marTop w:val="0"/>
          <w:marBottom w:val="0"/>
          <w:divBdr>
            <w:top w:val="none" w:sz="0" w:space="0" w:color="auto"/>
            <w:left w:val="none" w:sz="0" w:space="0" w:color="auto"/>
            <w:bottom w:val="none" w:sz="0" w:space="0" w:color="auto"/>
            <w:right w:val="none" w:sz="0" w:space="0" w:color="auto"/>
          </w:divBdr>
        </w:div>
        <w:div w:id="327514114">
          <w:marLeft w:val="0"/>
          <w:marRight w:val="0"/>
          <w:marTop w:val="0"/>
          <w:marBottom w:val="0"/>
          <w:divBdr>
            <w:top w:val="none" w:sz="0" w:space="0" w:color="auto"/>
            <w:left w:val="none" w:sz="0" w:space="0" w:color="auto"/>
            <w:bottom w:val="none" w:sz="0" w:space="0" w:color="auto"/>
            <w:right w:val="none" w:sz="0" w:space="0" w:color="auto"/>
          </w:divBdr>
        </w:div>
        <w:div w:id="361856783">
          <w:marLeft w:val="0"/>
          <w:marRight w:val="0"/>
          <w:marTop w:val="0"/>
          <w:marBottom w:val="0"/>
          <w:divBdr>
            <w:top w:val="none" w:sz="0" w:space="0" w:color="auto"/>
            <w:left w:val="none" w:sz="0" w:space="0" w:color="auto"/>
            <w:bottom w:val="none" w:sz="0" w:space="0" w:color="auto"/>
            <w:right w:val="none" w:sz="0" w:space="0" w:color="auto"/>
          </w:divBdr>
        </w:div>
        <w:div w:id="466778042">
          <w:marLeft w:val="0"/>
          <w:marRight w:val="0"/>
          <w:marTop w:val="0"/>
          <w:marBottom w:val="0"/>
          <w:divBdr>
            <w:top w:val="none" w:sz="0" w:space="0" w:color="auto"/>
            <w:left w:val="none" w:sz="0" w:space="0" w:color="auto"/>
            <w:bottom w:val="none" w:sz="0" w:space="0" w:color="auto"/>
            <w:right w:val="none" w:sz="0" w:space="0" w:color="auto"/>
          </w:divBdr>
        </w:div>
        <w:div w:id="560560031">
          <w:marLeft w:val="0"/>
          <w:marRight w:val="0"/>
          <w:marTop w:val="0"/>
          <w:marBottom w:val="0"/>
          <w:divBdr>
            <w:top w:val="none" w:sz="0" w:space="0" w:color="auto"/>
            <w:left w:val="none" w:sz="0" w:space="0" w:color="auto"/>
            <w:bottom w:val="none" w:sz="0" w:space="0" w:color="auto"/>
            <w:right w:val="none" w:sz="0" w:space="0" w:color="auto"/>
          </w:divBdr>
        </w:div>
        <w:div w:id="922836158">
          <w:marLeft w:val="0"/>
          <w:marRight w:val="0"/>
          <w:marTop w:val="0"/>
          <w:marBottom w:val="0"/>
          <w:divBdr>
            <w:top w:val="none" w:sz="0" w:space="0" w:color="auto"/>
            <w:left w:val="none" w:sz="0" w:space="0" w:color="auto"/>
            <w:bottom w:val="none" w:sz="0" w:space="0" w:color="auto"/>
            <w:right w:val="none" w:sz="0" w:space="0" w:color="auto"/>
          </w:divBdr>
        </w:div>
        <w:div w:id="1023290653">
          <w:marLeft w:val="0"/>
          <w:marRight w:val="0"/>
          <w:marTop w:val="0"/>
          <w:marBottom w:val="0"/>
          <w:divBdr>
            <w:top w:val="none" w:sz="0" w:space="0" w:color="auto"/>
            <w:left w:val="none" w:sz="0" w:space="0" w:color="auto"/>
            <w:bottom w:val="none" w:sz="0" w:space="0" w:color="auto"/>
            <w:right w:val="none" w:sz="0" w:space="0" w:color="auto"/>
          </w:divBdr>
        </w:div>
        <w:div w:id="1257984499">
          <w:marLeft w:val="0"/>
          <w:marRight w:val="0"/>
          <w:marTop w:val="0"/>
          <w:marBottom w:val="0"/>
          <w:divBdr>
            <w:top w:val="none" w:sz="0" w:space="0" w:color="auto"/>
            <w:left w:val="none" w:sz="0" w:space="0" w:color="auto"/>
            <w:bottom w:val="none" w:sz="0" w:space="0" w:color="auto"/>
            <w:right w:val="none" w:sz="0" w:space="0" w:color="auto"/>
          </w:divBdr>
        </w:div>
        <w:div w:id="1308389173">
          <w:marLeft w:val="0"/>
          <w:marRight w:val="0"/>
          <w:marTop w:val="0"/>
          <w:marBottom w:val="0"/>
          <w:divBdr>
            <w:top w:val="none" w:sz="0" w:space="0" w:color="auto"/>
            <w:left w:val="none" w:sz="0" w:space="0" w:color="auto"/>
            <w:bottom w:val="none" w:sz="0" w:space="0" w:color="auto"/>
            <w:right w:val="none" w:sz="0" w:space="0" w:color="auto"/>
          </w:divBdr>
        </w:div>
        <w:div w:id="1534342127">
          <w:marLeft w:val="0"/>
          <w:marRight w:val="0"/>
          <w:marTop w:val="0"/>
          <w:marBottom w:val="0"/>
          <w:divBdr>
            <w:top w:val="none" w:sz="0" w:space="0" w:color="auto"/>
            <w:left w:val="none" w:sz="0" w:space="0" w:color="auto"/>
            <w:bottom w:val="none" w:sz="0" w:space="0" w:color="auto"/>
            <w:right w:val="none" w:sz="0" w:space="0" w:color="auto"/>
          </w:divBdr>
        </w:div>
        <w:div w:id="1701472939">
          <w:marLeft w:val="0"/>
          <w:marRight w:val="0"/>
          <w:marTop w:val="0"/>
          <w:marBottom w:val="0"/>
          <w:divBdr>
            <w:top w:val="none" w:sz="0" w:space="0" w:color="auto"/>
            <w:left w:val="none" w:sz="0" w:space="0" w:color="auto"/>
            <w:bottom w:val="none" w:sz="0" w:space="0" w:color="auto"/>
            <w:right w:val="none" w:sz="0" w:space="0" w:color="auto"/>
          </w:divBdr>
        </w:div>
        <w:div w:id="1834950191">
          <w:marLeft w:val="0"/>
          <w:marRight w:val="0"/>
          <w:marTop w:val="0"/>
          <w:marBottom w:val="0"/>
          <w:divBdr>
            <w:top w:val="none" w:sz="0" w:space="0" w:color="auto"/>
            <w:left w:val="none" w:sz="0" w:space="0" w:color="auto"/>
            <w:bottom w:val="none" w:sz="0" w:space="0" w:color="auto"/>
            <w:right w:val="none" w:sz="0" w:space="0" w:color="auto"/>
          </w:divBdr>
        </w:div>
        <w:div w:id="1991446766">
          <w:marLeft w:val="0"/>
          <w:marRight w:val="0"/>
          <w:marTop w:val="0"/>
          <w:marBottom w:val="0"/>
          <w:divBdr>
            <w:top w:val="none" w:sz="0" w:space="0" w:color="auto"/>
            <w:left w:val="none" w:sz="0" w:space="0" w:color="auto"/>
            <w:bottom w:val="none" w:sz="0" w:space="0" w:color="auto"/>
            <w:right w:val="none" w:sz="0" w:space="0" w:color="auto"/>
          </w:divBdr>
        </w:div>
        <w:div w:id="2030060249">
          <w:marLeft w:val="0"/>
          <w:marRight w:val="0"/>
          <w:marTop w:val="0"/>
          <w:marBottom w:val="0"/>
          <w:divBdr>
            <w:top w:val="none" w:sz="0" w:space="0" w:color="auto"/>
            <w:left w:val="none" w:sz="0" w:space="0" w:color="auto"/>
            <w:bottom w:val="none" w:sz="0" w:space="0" w:color="auto"/>
            <w:right w:val="none" w:sz="0" w:space="0" w:color="auto"/>
          </w:divBdr>
        </w:div>
        <w:div w:id="2033267086">
          <w:marLeft w:val="0"/>
          <w:marRight w:val="0"/>
          <w:marTop w:val="0"/>
          <w:marBottom w:val="0"/>
          <w:divBdr>
            <w:top w:val="none" w:sz="0" w:space="0" w:color="auto"/>
            <w:left w:val="none" w:sz="0" w:space="0" w:color="auto"/>
            <w:bottom w:val="none" w:sz="0" w:space="0" w:color="auto"/>
            <w:right w:val="none" w:sz="0" w:space="0" w:color="auto"/>
          </w:divBdr>
        </w:div>
      </w:divsChild>
    </w:div>
    <w:div w:id="924875646">
      <w:bodyDiv w:val="1"/>
      <w:marLeft w:val="0"/>
      <w:marRight w:val="0"/>
      <w:marTop w:val="0"/>
      <w:marBottom w:val="0"/>
      <w:divBdr>
        <w:top w:val="none" w:sz="0" w:space="0" w:color="auto"/>
        <w:left w:val="none" w:sz="0" w:space="0" w:color="auto"/>
        <w:bottom w:val="none" w:sz="0" w:space="0" w:color="auto"/>
        <w:right w:val="none" w:sz="0" w:space="0" w:color="auto"/>
      </w:divBdr>
      <w:divsChild>
        <w:div w:id="102653772">
          <w:marLeft w:val="0"/>
          <w:marRight w:val="0"/>
          <w:marTop w:val="0"/>
          <w:marBottom w:val="0"/>
          <w:divBdr>
            <w:top w:val="none" w:sz="0" w:space="0" w:color="auto"/>
            <w:left w:val="none" w:sz="0" w:space="0" w:color="auto"/>
            <w:bottom w:val="none" w:sz="0" w:space="0" w:color="auto"/>
            <w:right w:val="none" w:sz="0" w:space="0" w:color="auto"/>
          </w:divBdr>
        </w:div>
        <w:div w:id="251207426">
          <w:marLeft w:val="0"/>
          <w:marRight w:val="0"/>
          <w:marTop w:val="0"/>
          <w:marBottom w:val="0"/>
          <w:divBdr>
            <w:top w:val="none" w:sz="0" w:space="0" w:color="auto"/>
            <w:left w:val="none" w:sz="0" w:space="0" w:color="auto"/>
            <w:bottom w:val="none" w:sz="0" w:space="0" w:color="auto"/>
            <w:right w:val="none" w:sz="0" w:space="0" w:color="auto"/>
          </w:divBdr>
        </w:div>
        <w:div w:id="338697795">
          <w:marLeft w:val="0"/>
          <w:marRight w:val="0"/>
          <w:marTop w:val="0"/>
          <w:marBottom w:val="0"/>
          <w:divBdr>
            <w:top w:val="none" w:sz="0" w:space="0" w:color="auto"/>
            <w:left w:val="none" w:sz="0" w:space="0" w:color="auto"/>
            <w:bottom w:val="none" w:sz="0" w:space="0" w:color="auto"/>
            <w:right w:val="none" w:sz="0" w:space="0" w:color="auto"/>
          </w:divBdr>
        </w:div>
        <w:div w:id="339089651">
          <w:marLeft w:val="0"/>
          <w:marRight w:val="0"/>
          <w:marTop w:val="0"/>
          <w:marBottom w:val="0"/>
          <w:divBdr>
            <w:top w:val="none" w:sz="0" w:space="0" w:color="auto"/>
            <w:left w:val="none" w:sz="0" w:space="0" w:color="auto"/>
            <w:bottom w:val="none" w:sz="0" w:space="0" w:color="auto"/>
            <w:right w:val="none" w:sz="0" w:space="0" w:color="auto"/>
          </w:divBdr>
        </w:div>
        <w:div w:id="358360693">
          <w:marLeft w:val="0"/>
          <w:marRight w:val="0"/>
          <w:marTop w:val="0"/>
          <w:marBottom w:val="0"/>
          <w:divBdr>
            <w:top w:val="none" w:sz="0" w:space="0" w:color="auto"/>
            <w:left w:val="none" w:sz="0" w:space="0" w:color="auto"/>
            <w:bottom w:val="none" w:sz="0" w:space="0" w:color="auto"/>
            <w:right w:val="none" w:sz="0" w:space="0" w:color="auto"/>
          </w:divBdr>
        </w:div>
        <w:div w:id="448201414">
          <w:marLeft w:val="0"/>
          <w:marRight w:val="0"/>
          <w:marTop w:val="0"/>
          <w:marBottom w:val="0"/>
          <w:divBdr>
            <w:top w:val="none" w:sz="0" w:space="0" w:color="auto"/>
            <w:left w:val="none" w:sz="0" w:space="0" w:color="auto"/>
            <w:bottom w:val="none" w:sz="0" w:space="0" w:color="auto"/>
            <w:right w:val="none" w:sz="0" w:space="0" w:color="auto"/>
          </w:divBdr>
        </w:div>
        <w:div w:id="513225122">
          <w:marLeft w:val="0"/>
          <w:marRight w:val="0"/>
          <w:marTop w:val="0"/>
          <w:marBottom w:val="0"/>
          <w:divBdr>
            <w:top w:val="none" w:sz="0" w:space="0" w:color="auto"/>
            <w:left w:val="none" w:sz="0" w:space="0" w:color="auto"/>
            <w:bottom w:val="none" w:sz="0" w:space="0" w:color="auto"/>
            <w:right w:val="none" w:sz="0" w:space="0" w:color="auto"/>
          </w:divBdr>
        </w:div>
        <w:div w:id="580986030">
          <w:marLeft w:val="0"/>
          <w:marRight w:val="0"/>
          <w:marTop w:val="0"/>
          <w:marBottom w:val="0"/>
          <w:divBdr>
            <w:top w:val="none" w:sz="0" w:space="0" w:color="auto"/>
            <w:left w:val="none" w:sz="0" w:space="0" w:color="auto"/>
            <w:bottom w:val="none" w:sz="0" w:space="0" w:color="auto"/>
            <w:right w:val="none" w:sz="0" w:space="0" w:color="auto"/>
          </w:divBdr>
        </w:div>
        <w:div w:id="669604288">
          <w:marLeft w:val="0"/>
          <w:marRight w:val="0"/>
          <w:marTop w:val="0"/>
          <w:marBottom w:val="0"/>
          <w:divBdr>
            <w:top w:val="none" w:sz="0" w:space="0" w:color="auto"/>
            <w:left w:val="none" w:sz="0" w:space="0" w:color="auto"/>
            <w:bottom w:val="none" w:sz="0" w:space="0" w:color="auto"/>
            <w:right w:val="none" w:sz="0" w:space="0" w:color="auto"/>
          </w:divBdr>
        </w:div>
        <w:div w:id="739518164">
          <w:marLeft w:val="0"/>
          <w:marRight w:val="0"/>
          <w:marTop w:val="0"/>
          <w:marBottom w:val="0"/>
          <w:divBdr>
            <w:top w:val="none" w:sz="0" w:space="0" w:color="auto"/>
            <w:left w:val="none" w:sz="0" w:space="0" w:color="auto"/>
            <w:bottom w:val="none" w:sz="0" w:space="0" w:color="auto"/>
            <w:right w:val="none" w:sz="0" w:space="0" w:color="auto"/>
          </w:divBdr>
        </w:div>
        <w:div w:id="852651692">
          <w:marLeft w:val="0"/>
          <w:marRight w:val="0"/>
          <w:marTop w:val="0"/>
          <w:marBottom w:val="0"/>
          <w:divBdr>
            <w:top w:val="none" w:sz="0" w:space="0" w:color="auto"/>
            <w:left w:val="none" w:sz="0" w:space="0" w:color="auto"/>
            <w:bottom w:val="none" w:sz="0" w:space="0" w:color="auto"/>
            <w:right w:val="none" w:sz="0" w:space="0" w:color="auto"/>
          </w:divBdr>
        </w:div>
        <w:div w:id="878471424">
          <w:marLeft w:val="0"/>
          <w:marRight w:val="0"/>
          <w:marTop w:val="0"/>
          <w:marBottom w:val="0"/>
          <w:divBdr>
            <w:top w:val="none" w:sz="0" w:space="0" w:color="auto"/>
            <w:left w:val="none" w:sz="0" w:space="0" w:color="auto"/>
            <w:bottom w:val="none" w:sz="0" w:space="0" w:color="auto"/>
            <w:right w:val="none" w:sz="0" w:space="0" w:color="auto"/>
          </w:divBdr>
        </w:div>
        <w:div w:id="899750793">
          <w:marLeft w:val="0"/>
          <w:marRight w:val="0"/>
          <w:marTop w:val="0"/>
          <w:marBottom w:val="0"/>
          <w:divBdr>
            <w:top w:val="none" w:sz="0" w:space="0" w:color="auto"/>
            <w:left w:val="none" w:sz="0" w:space="0" w:color="auto"/>
            <w:bottom w:val="none" w:sz="0" w:space="0" w:color="auto"/>
            <w:right w:val="none" w:sz="0" w:space="0" w:color="auto"/>
          </w:divBdr>
        </w:div>
        <w:div w:id="961422636">
          <w:marLeft w:val="0"/>
          <w:marRight w:val="0"/>
          <w:marTop w:val="0"/>
          <w:marBottom w:val="0"/>
          <w:divBdr>
            <w:top w:val="none" w:sz="0" w:space="0" w:color="auto"/>
            <w:left w:val="none" w:sz="0" w:space="0" w:color="auto"/>
            <w:bottom w:val="none" w:sz="0" w:space="0" w:color="auto"/>
            <w:right w:val="none" w:sz="0" w:space="0" w:color="auto"/>
          </w:divBdr>
        </w:div>
        <w:div w:id="1099108564">
          <w:marLeft w:val="0"/>
          <w:marRight w:val="0"/>
          <w:marTop w:val="0"/>
          <w:marBottom w:val="0"/>
          <w:divBdr>
            <w:top w:val="none" w:sz="0" w:space="0" w:color="auto"/>
            <w:left w:val="none" w:sz="0" w:space="0" w:color="auto"/>
            <w:bottom w:val="none" w:sz="0" w:space="0" w:color="auto"/>
            <w:right w:val="none" w:sz="0" w:space="0" w:color="auto"/>
          </w:divBdr>
        </w:div>
        <w:div w:id="1168248101">
          <w:marLeft w:val="0"/>
          <w:marRight w:val="0"/>
          <w:marTop w:val="0"/>
          <w:marBottom w:val="0"/>
          <w:divBdr>
            <w:top w:val="none" w:sz="0" w:space="0" w:color="auto"/>
            <w:left w:val="none" w:sz="0" w:space="0" w:color="auto"/>
            <w:bottom w:val="none" w:sz="0" w:space="0" w:color="auto"/>
            <w:right w:val="none" w:sz="0" w:space="0" w:color="auto"/>
          </w:divBdr>
        </w:div>
        <w:div w:id="1177185508">
          <w:marLeft w:val="0"/>
          <w:marRight w:val="0"/>
          <w:marTop w:val="0"/>
          <w:marBottom w:val="0"/>
          <w:divBdr>
            <w:top w:val="none" w:sz="0" w:space="0" w:color="auto"/>
            <w:left w:val="none" w:sz="0" w:space="0" w:color="auto"/>
            <w:bottom w:val="none" w:sz="0" w:space="0" w:color="auto"/>
            <w:right w:val="none" w:sz="0" w:space="0" w:color="auto"/>
          </w:divBdr>
        </w:div>
        <w:div w:id="1269462145">
          <w:marLeft w:val="0"/>
          <w:marRight w:val="0"/>
          <w:marTop w:val="0"/>
          <w:marBottom w:val="0"/>
          <w:divBdr>
            <w:top w:val="none" w:sz="0" w:space="0" w:color="auto"/>
            <w:left w:val="none" w:sz="0" w:space="0" w:color="auto"/>
            <w:bottom w:val="none" w:sz="0" w:space="0" w:color="auto"/>
            <w:right w:val="none" w:sz="0" w:space="0" w:color="auto"/>
          </w:divBdr>
        </w:div>
        <w:div w:id="1510098087">
          <w:marLeft w:val="0"/>
          <w:marRight w:val="0"/>
          <w:marTop w:val="0"/>
          <w:marBottom w:val="0"/>
          <w:divBdr>
            <w:top w:val="none" w:sz="0" w:space="0" w:color="auto"/>
            <w:left w:val="none" w:sz="0" w:space="0" w:color="auto"/>
            <w:bottom w:val="none" w:sz="0" w:space="0" w:color="auto"/>
            <w:right w:val="none" w:sz="0" w:space="0" w:color="auto"/>
          </w:divBdr>
        </w:div>
        <w:div w:id="1574580318">
          <w:marLeft w:val="0"/>
          <w:marRight w:val="0"/>
          <w:marTop w:val="0"/>
          <w:marBottom w:val="0"/>
          <w:divBdr>
            <w:top w:val="none" w:sz="0" w:space="0" w:color="auto"/>
            <w:left w:val="none" w:sz="0" w:space="0" w:color="auto"/>
            <w:bottom w:val="none" w:sz="0" w:space="0" w:color="auto"/>
            <w:right w:val="none" w:sz="0" w:space="0" w:color="auto"/>
          </w:divBdr>
        </w:div>
        <w:div w:id="1652951875">
          <w:marLeft w:val="0"/>
          <w:marRight w:val="0"/>
          <w:marTop w:val="0"/>
          <w:marBottom w:val="0"/>
          <w:divBdr>
            <w:top w:val="none" w:sz="0" w:space="0" w:color="auto"/>
            <w:left w:val="none" w:sz="0" w:space="0" w:color="auto"/>
            <w:bottom w:val="none" w:sz="0" w:space="0" w:color="auto"/>
            <w:right w:val="none" w:sz="0" w:space="0" w:color="auto"/>
          </w:divBdr>
        </w:div>
        <w:div w:id="1668897074">
          <w:marLeft w:val="0"/>
          <w:marRight w:val="0"/>
          <w:marTop w:val="0"/>
          <w:marBottom w:val="0"/>
          <w:divBdr>
            <w:top w:val="none" w:sz="0" w:space="0" w:color="auto"/>
            <w:left w:val="none" w:sz="0" w:space="0" w:color="auto"/>
            <w:bottom w:val="none" w:sz="0" w:space="0" w:color="auto"/>
            <w:right w:val="none" w:sz="0" w:space="0" w:color="auto"/>
          </w:divBdr>
        </w:div>
        <w:div w:id="1743024387">
          <w:marLeft w:val="0"/>
          <w:marRight w:val="0"/>
          <w:marTop w:val="0"/>
          <w:marBottom w:val="0"/>
          <w:divBdr>
            <w:top w:val="none" w:sz="0" w:space="0" w:color="auto"/>
            <w:left w:val="none" w:sz="0" w:space="0" w:color="auto"/>
            <w:bottom w:val="none" w:sz="0" w:space="0" w:color="auto"/>
            <w:right w:val="none" w:sz="0" w:space="0" w:color="auto"/>
          </w:divBdr>
        </w:div>
        <w:div w:id="1794865067">
          <w:marLeft w:val="0"/>
          <w:marRight w:val="0"/>
          <w:marTop w:val="0"/>
          <w:marBottom w:val="0"/>
          <w:divBdr>
            <w:top w:val="none" w:sz="0" w:space="0" w:color="auto"/>
            <w:left w:val="none" w:sz="0" w:space="0" w:color="auto"/>
            <w:bottom w:val="none" w:sz="0" w:space="0" w:color="auto"/>
            <w:right w:val="none" w:sz="0" w:space="0" w:color="auto"/>
          </w:divBdr>
        </w:div>
        <w:div w:id="1850827665">
          <w:marLeft w:val="0"/>
          <w:marRight w:val="0"/>
          <w:marTop w:val="0"/>
          <w:marBottom w:val="0"/>
          <w:divBdr>
            <w:top w:val="none" w:sz="0" w:space="0" w:color="auto"/>
            <w:left w:val="none" w:sz="0" w:space="0" w:color="auto"/>
            <w:bottom w:val="none" w:sz="0" w:space="0" w:color="auto"/>
            <w:right w:val="none" w:sz="0" w:space="0" w:color="auto"/>
          </w:divBdr>
        </w:div>
        <w:div w:id="1877504070">
          <w:marLeft w:val="0"/>
          <w:marRight w:val="0"/>
          <w:marTop w:val="0"/>
          <w:marBottom w:val="0"/>
          <w:divBdr>
            <w:top w:val="none" w:sz="0" w:space="0" w:color="auto"/>
            <w:left w:val="none" w:sz="0" w:space="0" w:color="auto"/>
            <w:bottom w:val="none" w:sz="0" w:space="0" w:color="auto"/>
            <w:right w:val="none" w:sz="0" w:space="0" w:color="auto"/>
          </w:divBdr>
        </w:div>
        <w:div w:id="1920823944">
          <w:marLeft w:val="0"/>
          <w:marRight w:val="0"/>
          <w:marTop w:val="0"/>
          <w:marBottom w:val="0"/>
          <w:divBdr>
            <w:top w:val="none" w:sz="0" w:space="0" w:color="auto"/>
            <w:left w:val="none" w:sz="0" w:space="0" w:color="auto"/>
            <w:bottom w:val="none" w:sz="0" w:space="0" w:color="auto"/>
            <w:right w:val="none" w:sz="0" w:space="0" w:color="auto"/>
          </w:divBdr>
        </w:div>
        <w:div w:id="1962299185">
          <w:marLeft w:val="0"/>
          <w:marRight w:val="0"/>
          <w:marTop w:val="0"/>
          <w:marBottom w:val="0"/>
          <w:divBdr>
            <w:top w:val="none" w:sz="0" w:space="0" w:color="auto"/>
            <w:left w:val="none" w:sz="0" w:space="0" w:color="auto"/>
            <w:bottom w:val="none" w:sz="0" w:space="0" w:color="auto"/>
            <w:right w:val="none" w:sz="0" w:space="0" w:color="auto"/>
          </w:divBdr>
        </w:div>
        <w:div w:id="1982613679">
          <w:marLeft w:val="0"/>
          <w:marRight w:val="0"/>
          <w:marTop w:val="0"/>
          <w:marBottom w:val="0"/>
          <w:divBdr>
            <w:top w:val="none" w:sz="0" w:space="0" w:color="auto"/>
            <w:left w:val="none" w:sz="0" w:space="0" w:color="auto"/>
            <w:bottom w:val="none" w:sz="0" w:space="0" w:color="auto"/>
            <w:right w:val="none" w:sz="0" w:space="0" w:color="auto"/>
          </w:divBdr>
        </w:div>
        <w:div w:id="2043246663">
          <w:marLeft w:val="0"/>
          <w:marRight w:val="0"/>
          <w:marTop w:val="0"/>
          <w:marBottom w:val="0"/>
          <w:divBdr>
            <w:top w:val="none" w:sz="0" w:space="0" w:color="auto"/>
            <w:left w:val="none" w:sz="0" w:space="0" w:color="auto"/>
            <w:bottom w:val="none" w:sz="0" w:space="0" w:color="auto"/>
            <w:right w:val="none" w:sz="0" w:space="0" w:color="auto"/>
          </w:divBdr>
        </w:div>
        <w:div w:id="2083789705">
          <w:marLeft w:val="0"/>
          <w:marRight w:val="0"/>
          <w:marTop w:val="0"/>
          <w:marBottom w:val="0"/>
          <w:divBdr>
            <w:top w:val="none" w:sz="0" w:space="0" w:color="auto"/>
            <w:left w:val="none" w:sz="0" w:space="0" w:color="auto"/>
            <w:bottom w:val="none" w:sz="0" w:space="0" w:color="auto"/>
            <w:right w:val="none" w:sz="0" w:space="0" w:color="auto"/>
          </w:divBdr>
        </w:div>
        <w:div w:id="2135634999">
          <w:marLeft w:val="0"/>
          <w:marRight w:val="0"/>
          <w:marTop w:val="0"/>
          <w:marBottom w:val="0"/>
          <w:divBdr>
            <w:top w:val="none" w:sz="0" w:space="0" w:color="auto"/>
            <w:left w:val="none" w:sz="0" w:space="0" w:color="auto"/>
            <w:bottom w:val="none" w:sz="0" w:space="0" w:color="auto"/>
            <w:right w:val="none" w:sz="0" w:space="0" w:color="auto"/>
          </w:divBdr>
        </w:div>
      </w:divsChild>
    </w:div>
    <w:div w:id="925190185">
      <w:bodyDiv w:val="1"/>
      <w:marLeft w:val="0"/>
      <w:marRight w:val="0"/>
      <w:marTop w:val="0"/>
      <w:marBottom w:val="0"/>
      <w:divBdr>
        <w:top w:val="none" w:sz="0" w:space="0" w:color="auto"/>
        <w:left w:val="none" w:sz="0" w:space="0" w:color="auto"/>
        <w:bottom w:val="none" w:sz="0" w:space="0" w:color="auto"/>
        <w:right w:val="none" w:sz="0" w:space="0" w:color="auto"/>
      </w:divBdr>
      <w:divsChild>
        <w:div w:id="44260522">
          <w:marLeft w:val="0"/>
          <w:marRight w:val="0"/>
          <w:marTop w:val="0"/>
          <w:marBottom w:val="0"/>
          <w:divBdr>
            <w:top w:val="none" w:sz="0" w:space="0" w:color="auto"/>
            <w:left w:val="none" w:sz="0" w:space="0" w:color="auto"/>
            <w:bottom w:val="none" w:sz="0" w:space="0" w:color="auto"/>
            <w:right w:val="none" w:sz="0" w:space="0" w:color="auto"/>
          </w:divBdr>
        </w:div>
        <w:div w:id="55593436">
          <w:marLeft w:val="0"/>
          <w:marRight w:val="0"/>
          <w:marTop w:val="0"/>
          <w:marBottom w:val="0"/>
          <w:divBdr>
            <w:top w:val="none" w:sz="0" w:space="0" w:color="auto"/>
            <w:left w:val="none" w:sz="0" w:space="0" w:color="auto"/>
            <w:bottom w:val="none" w:sz="0" w:space="0" w:color="auto"/>
            <w:right w:val="none" w:sz="0" w:space="0" w:color="auto"/>
          </w:divBdr>
        </w:div>
        <w:div w:id="105390147">
          <w:marLeft w:val="0"/>
          <w:marRight w:val="0"/>
          <w:marTop w:val="0"/>
          <w:marBottom w:val="0"/>
          <w:divBdr>
            <w:top w:val="none" w:sz="0" w:space="0" w:color="auto"/>
            <w:left w:val="none" w:sz="0" w:space="0" w:color="auto"/>
            <w:bottom w:val="none" w:sz="0" w:space="0" w:color="auto"/>
            <w:right w:val="none" w:sz="0" w:space="0" w:color="auto"/>
          </w:divBdr>
        </w:div>
        <w:div w:id="441149864">
          <w:marLeft w:val="0"/>
          <w:marRight w:val="0"/>
          <w:marTop w:val="0"/>
          <w:marBottom w:val="0"/>
          <w:divBdr>
            <w:top w:val="none" w:sz="0" w:space="0" w:color="auto"/>
            <w:left w:val="none" w:sz="0" w:space="0" w:color="auto"/>
            <w:bottom w:val="none" w:sz="0" w:space="0" w:color="auto"/>
            <w:right w:val="none" w:sz="0" w:space="0" w:color="auto"/>
          </w:divBdr>
        </w:div>
        <w:div w:id="576087791">
          <w:marLeft w:val="0"/>
          <w:marRight w:val="0"/>
          <w:marTop w:val="0"/>
          <w:marBottom w:val="0"/>
          <w:divBdr>
            <w:top w:val="none" w:sz="0" w:space="0" w:color="auto"/>
            <w:left w:val="none" w:sz="0" w:space="0" w:color="auto"/>
            <w:bottom w:val="none" w:sz="0" w:space="0" w:color="auto"/>
            <w:right w:val="none" w:sz="0" w:space="0" w:color="auto"/>
          </w:divBdr>
        </w:div>
        <w:div w:id="667248491">
          <w:marLeft w:val="0"/>
          <w:marRight w:val="0"/>
          <w:marTop w:val="0"/>
          <w:marBottom w:val="0"/>
          <w:divBdr>
            <w:top w:val="none" w:sz="0" w:space="0" w:color="auto"/>
            <w:left w:val="none" w:sz="0" w:space="0" w:color="auto"/>
            <w:bottom w:val="none" w:sz="0" w:space="0" w:color="auto"/>
            <w:right w:val="none" w:sz="0" w:space="0" w:color="auto"/>
          </w:divBdr>
        </w:div>
        <w:div w:id="933168113">
          <w:marLeft w:val="0"/>
          <w:marRight w:val="0"/>
          <w:marTop w:val="0"/>
          <w:marBottom w:val="0"/>
          <w:divBdr>
            <w:top w:val="none" w:sz="0" w:space="0" w:color="auto"/>
            <w:left w:val="none" w:sz="0" w:space="0" w:color="auto"/>
            <w:bottom w:val="none" w:sz="0" w:space="0" w:color="auto"/>
            <w:right w:val="none" w:sz="0" w:space="0" w:color="auto"/>
          </w:divBdr>
        </w:div>
        <w:div w:id="1081102635">
          <w:marLeft w:val="0"/>
          <w:marRight w:val="0"/>
          <w:marTop w:val="0"/>
          <w:marBottom w:val="0"/>
          <w:divBdr>
            <w:top w:val="none" w:sz="0" w:space="0" w:color="auto"/>
            <w:left w:val="none" w:sz="0" w:space="0" w:color="auto"/>
            <w:bottom w:val="none" w:sz="0" w:space="0" w:color="auto"/>
            <w:right w:val="none" w:sz="0" w:space="0" w:color="auto"/>
          </w:divBdr>
        </w:div>
        <w:div w:id="1116557034">
          <w:marLeft w:val="0"/>
          <w:marRight w:val="0"/>
          <w:marTop w:val="0"/>
          <w:marBottom w:val="0"/>
          <w:divBdr>
            <w:top w:val="none" w:sz="0" w:space="0" w:color="auto"/>
            <w:left w:val="none" w:sz="0" w:space="0" w:color="auto"/>
            <w:bottom w:val="none" w:sz="0" w:space="0" w:color="auto"/>
            <w:right w:val="none" w:sz="0" w:space="0" w:color="auto"/>
          </w:divBdr>
        </w:div>
        <w:div w:id="1964656933">
          <w:marLeft w:val="0"/>
          <w:marRight w:val="0"/>
          <w:marTop w:val="0"/>
          <w:marBottom w:val="0"/>
          <w:divBdr>
            <w:top w:val="none" w:sz="0" w:space="0" w:color="auto"/>
            <w:left w:val="none" w:sz="0" w:space="0" w:color="auto"/>
            <w:bottom w:val="none" w:sz="0" w:space="0" w:color="auto"/>
            <w:right w:val="none" w:sz="0" w:space="0" w:color="auto"/>
          </w:divBdr>
        </w:div>
        <w:div w:id="2056199681">
          <w:marLeft w:val="0"/>
          <w:marRight w:val="0"/>
          <w:marTop w:val="0"/>
          <w:marBottom w:val="0"/>
          <w:divBdr>
            <w:top w:val="none" w:sz="0" w:space="0" w:color="auto"/>
            <w:left w:val="none" w:sz="0" w:space="0" w:color="auto"/>
            <w:bottom w:val="none" w:sz="0" w:space="0" w:color="auto"/>
            <w:right w:val="none" w:sz="0" w:space="0" w:color="auto"/>
          </w:divBdr>
        </w:div>
      </w:divsChild>
    </w:div>
    <w:div w:id="943001850">
      <w:bodyDiv w:val="1"/>
      <w:marLeft w:val="0"/>
      <w:marRight w:val="0"/>
      <w:marTop w:val="0"/>
      <w:marBottom w:val="0"/>
      <w:divBdr>
        <w:top w:val="none" w:sz="0" w:space="0" w:color="auto"/>
        <w:left w:val="none" w:sz="0" w:space="0" w:color="auto"/>
        <w:bottom w:val="none" w:sz="0" w:space="0" w:color="auto"/>
        <w:right w:val="none" w:sz="0" w:space="0" w:color="auto"/>
      </w:divBdr>
    </w:div>
    <w:div w:id="944965296">
      <w:bodyDiv w:val="1"/>
      <w:marLeft w:val="0"/>
      <w:marRight w:val="0"/>
      <w:marTop w:val="0"/>
      <w:marBottom w:val="0"/>
      <w:divBdr>
        <w:top w:val="none" w:sz="0" w:space="0" w:color="auto"/>
        <w:left w:val="none" w:sz="0" w:space="0" w:color="auto"/>
        <w:bottom w:val="none" w:sz="0" w:space="0" w:color="auto"/>
        <w:right w:val="none" w:sz="0" w:space="0" w:color="auto"/>
      </w:divBdr>
      <w:divsChild>
        <w:div w:id="51586193">
          <w:marLeft w:val="0"/>
          <w:marRight w:val="0"/>
          <w:marTop w:val="0"/>
          <w:marBottom w:val="0"/>
          <w:divBdr>
            <w:top w:val="none" w:sz="0" w:space="0" w:color="auto"/>
            <w:left w:val="none" w:sz="0" w:space="0" w:color="auto"/>
            <w:bottom w:val="none" w:sz="0" w:space="0" w:color="auto"/>
            <w:right w:val="none" w:sz="0" w:space="0" w:color="auto"/>
          </w:divBdr>
        </w:div>
        <w:div w:id="114301288">
          <w:marLeft w:val="0"/>
          <w:marRight w:val="0"/>
          <w:marTop w:val="0"/>
          <w:marBottom w:val="0"/>
          <w:divBdr>
            <w:top w:val="none" w:sz="0" w:space="0" w:color="auto"/>
            <w:left w:val="none" w:sz="0" w:space="0" w:color="auto"/>
            <w:bottom w:val="none" w:sz="0" w:space="0" w:color="auto"/>
            <w:right w:val="none" w:sz="0" w:space="0" w:color="auto"/>
          </w:divBdr>
        </w:div>
        <w:div w:id="127817515">
          <w:marLeft w:val="0"/>
          <w:marRight w:val="0"/>
          <w:marTop w:val="0"/>
          <w:marBottom w:val="0"/>
          <w:divBdr>
            <w:top w:val="none" w:sz="0" w:space="0" w:color="auto"/>
            <w:left w:val="none" w:sz="0" w:space="0" w:color="auto"/>
            <w:bottom w:val="none" w:sz="0" w:space="0" w:color="auto"/>
            <w:right w:val="none" w:sz="0" w:space="0" w:color="auto"/>
          </w:divBdr>
        </w:div>
        <w:div w:id="132524312">
          <w:marLeft w:val="0"/>
          <w:marRight w:val="0"/>
          <w:marTop w:val="0"/>
          <w:marBottom w:val="0"/>
          <w:divBdr>
            <w:top w:val="none" w:sz="0" w:space="0" w:color="auto"/>
            <w:left w:val="none" w:sz="0" w:space="0" w:color="auto"/>
            <w:bottom w:val="none" w:sz="0" w:space="0" w:color="auto"/>
            <w:right w:val="none" w:sz="0" w:space="0" w:color="auto"/>
          </w:divBdr>
        </w:div>
        <w:div w:id="138039590">
          <w:marLeft w:val="0"/>
          <w:marRight w:val="0"/>
          <w:marTop w:val="0"/>
          <w:marBottom w:val="0"/>
          <w:divBdr>
            <w:top w:val="none" w:sz="0" w:space="0" w:color="auto"/>
            <w:left w:val="none" w:sz="0" w:space="0" w:color="auto"/>
            <w:bottom w:val="none" w:sz="0" w:space="0" w:color="auto"/>
            <w:right w:val="none" w:sz="0" w:space="0" w:color="auto"/>
          </w:divBdr>
        </w:div>
        <w:div w:id="149448533">
          <w:marLeft w:val="0"/>
          <w:marRight w:val="0"/>
          <w:marTop w:val="0"/>
          <w:marBottom w:val="0"/>
          <w:divBdr>
            <w:top w:val="none" w:sz="0" w:space="0" w:color="auto"/>
            <w:left w:val="none" w:sz="0" w:space="0" w:color="auto"/>
            <w:bottom w:val="none" w:sz="0" w:space="0" w:color="auto"/>
            <w:right w:val="none" w:sz="0" w:space="0" w:color="auto"/>
          </w:divBdr>
        </w:div>
        <w:div w:id="158927180">
          <w:marLeft w:val="0"/>
          <w:marRight w:val="0"/>
          <w:marTop w:val="0"/>
          <w:marBottom w:val="0"/>
          <w:divBdr>
            <w:top w:val="none" w:sz="0" w:space="0" w:color="auto"/>
            <w:left w:val="none" w:sz="0" w:space="0" w:color="auto"/>
            <w:bottom w:val="none" w:sz="0" w:space="0" w:color="auto"/>
            <w:right w:val="none" w:sz="0" w:space="0" w:color="auto"/>
          </w:divBdr>
        </w:div>
        <w:div w:id="175193067">
          <w:marLeft w:val="0"/>
          <w:marRight w:val="0"/>
          <w:marTop w:val="0"/>
          <w:marBottom w:val="0"/>
          <w:divBdr>
            <w:top w:val="none" w:sz="0" w:space="0" w:color="auto"/>
            <w:left w:val="none" w:sz="0" w:space="0" w:color="auto"/>
            <w:bottom w:val="none" w:sz="0" w:space="0" w:color="auto"/>
            <w:right w:val="none" w:sz="0" w:space="0" w:color="auto"/>
          </w:divBdr>
        </w:div>
        <w:div w:id="210727699">
          <w:marLeft w:val="0"/>
          <w:marRight w:val="0"/>
          <w:marTop w:val="0"/>
          <w:marBottom w:val="0"/>
          <w:divBdr>
            <w:top w:val="none" w:sz="0" w:space="0" w:color="auto"/>
            <w:left w:val="none" w:sz="0" w:space="0" w:color="auto"/>
            <w:bottom w:val="none" w:sz="0" w:space="0" w:color="auto"/>
            <w:right w:val="none" w:sz="0" w:space="0" w:color="auto"/>
          </w:divBdr>
        </w:div>
        <w:div w:id="212039688">
          <w:marLeft w:val="0"/>
          <w:marRight w:val="0"/>
          <w:marTop w:val="0"/>
          <w:marBottom w:val="0"/>
          <w:divBdr>
            <w:top w:val="none" w:sz="0" w:space="0" w:color="auto"/>
            <w:left w:val="none" w:sz="0" w:space="0" w:color="auto"/>
            <w:bottom w:val="none" w:sz="0" w:space="0" w:color="auto"/>
            <w:right w:val="none" w:sz="0" w:space="0" w:color="auto"/>
          </w:divBdr>
        </w:div>
        <w:div w:id="274137932">
          <w:marLeft w:val="0"/>
          <w:marRight w:val="0"/>
          <w:marTop w:val="0"/>
          <w:marBottom w:val="0"/>
          <w:divBdr>
            <w:top w:val="none" w:sz="0" w:space="0" w:color="auto"/>
            <w:left w:val="none" w:sz="0" w:space="0" w:color="auto"/>
            <w:bottom w:val="none" w:sz="0" w:space="0" w:color="auto"/>
            <w:right w:val="none" w:sz="0" w:space="0" w:color="auto"/>
          </w:divBdr>
        </w:div>
        <w:div w:id="281889010">
          <w:marLeft w:val="0"/>
          <w:marRight w:val="0"/>
          <w:marTop w:val="0"/>
          <w:marBottom w:val="0"/>
          <w:divBdr>
            <w:top w:val="none" w:sz="0" w:space="0" w:color="auto"/>
            <w:left w:val="none" w:sz="0" w:space="0" w:color="auto"/>
            <w:bottom w:val="none" w:sz="0" w:space="0" w:color="auto"/>
            <w:right w:val="none" w:sz="0" w:space="0" w:color="auto"/>
          </w:divBdr>
        </w:div>
        <w:div w:id="283509982">
          <w:marLeft w:val="0"/>
          <w:marRight w:val="0"/>
          <w:marTop w:val="0"/>
          <w:marBottom w:val="0"/>
          <w:divBdr>
            <w:top w:val="none" w:sz="0" w:space="0" w:color="auto"/>
            <w:left w:val="none" w:sz="0" w:space="0" w:color="auto"/>
            <w:bottom w:val="none" w:sz="0" w:space="0" w:color="auto"/>
            <w:right w:val="none" w:sz="0" w:space="0" w:color="auto"/>
          </w:divBdr>
        </w:div>
        <w:div w:id="286549813">
          <w:marLeft w:val="0"/>
          <w:marRight w:val="0"/>
          <w:marTop w:val="0"/>
          <w:marBottom w:val="0"/>
          <w:divBdr>
            <w:top w:val="none" w:sz="0" w:space="0" w:color="auto"/>
            <w:left w:val="none" w:sz="0" w:space="0" w:color="auto"/>
            <w:bottom w:val="none" w:sz="0" w:space="0" w:color="auto"/>
            <w:right w:val="none" w:sz="0" w:space="0" w:color="auto"/>
          </w:divBdr>
        </w:div>
        <w:div w:id="315915528">
          <w:marLeft w:val="0"/>
          <w:marRight w:val="0"/>
          <w:marTop w:val="0"/>
          <w:marBottom w:val="0"/>
          <w:divBdr>
            <w:top w:val="none" w:sz="0" w:space="0" w:color="auto"/>
            <w:left w:val="none" w:sz="0" w:space="0" w:color="auto"/>
            <w:bottom w:val="none" w:sz="0" w:space="0" w:color="auto"/>
            <w:right w:val="none" w:sz="0" w:space="0" w:color="auto"/>
          </w:divBdr>
        </w:div>
        <w:div w:id="348600745">
          <w:marLeft w:val="0"/>
          <w:marRight w:val="0"/>
          <w:marTop w:val="0"/>
          <w:marBottom w:val="0"/>
          <w:divBdr>
            <w:top w:val="none" w:sz="0" w:space="0" w:color="auto"/>
            <w:left w:val="none" w:sz="0" w:space="0" w:color="auto"/>
            <w:bottom w:val="none" w:sz="0" w:space="0" w:color="auto"/>
            <w:right w:val="none" w:sz="0" w:space="0" w:color="auto"/>
          </w:divBdr>
        </w:div>
        <w:div w:id="372196104">
          <w:marLeft w:val="0"/>
          <w:marRight w:val="0"/>
          <w:marTop w:val="0"/>
          <w:marBottom w:val="0"/>
          <w:divBdr>
            <w:top w:val="none" w:sz="0" w:space="0" w:color="auto"/>
            <w:left w:val="none" w:sz="0" w:space="0" w:color="auto"/>
            <w:bottom w:val="none" w:sz="0" w:space="0" w:color="auto"/>
            <w:right w:val="none" w:sz="0" w:space="0" w:color="auto"/>
          </w:divBdr>
        </w:div>
        <w:div w:id="389231683">
          <w:marLeft w:val="0"/>
          <w:marRight w:val="0"/>
          <w:marTop w:val="0"/>
          <w:marBottom w:val="0"/>
          <w:divBdr>
            <w:top w:val="none" w:sz="0" w:space="0" w:color="auto"/>
            <w:left w:val="none" w:sz="0" w:space="0" w:color="auto"/>
            <w:bottom w:val="none" w:sz="0" w:space="0" w:color="auto"/>
            <w:right w:val="none" w:sz="0" w:space="0" w:color="auto"/>
          </w:divBdr>
        </w:div>
        <w:div w:id="423916882">
          <w:marLeft w:val="0"/>
          <w:marRight w:val="0"/>
          <w:marTop w:val="0"/>
          <w:marBottom w:val="0"/>
          <w:divBdr>
            <w:top w:val="none" w:sz="0" w:space="0" w:color="auto"/>
            <w:left w:val="none" w:sz="0" w:space="0" w:color="auto"/>
            <w:bottom w:val="none" w:sz="0" w:space="0" w:color="auto"/>
            <w:right w:val="none" w:sz="0" w:space="0" w:color="auto"/>
          </w:divBdr>
        </w:div>
        <w:div w:id="426577385">
          <w:marLeft w:val="0"/>
          <w:marRight w:val="0"/>
          <w:marTop w:val="0"/>
          <w:marBottom w:val="0"/>
          <w:divBdr>
            <w:top w:val="none" w:sz="0" w:space="0" w:color="auto"/>
            <w:left w:val="none" w:sz="0" w:space="0" w:color="auto"/>
            <w:bottom w:val="none" w:sz="0" w:space="0" w:color="auto"/>
            <w:right w:val="none" w:sz="0" w:space="0" w:color="auto"/>
          </w:divBdr>
        </w:div>
        <w:div w:id="444010357">
          <w:marLeft w:val="0"/>
          <w:marRight w:val="0"/>
          <w:marTop w:val="0"/>
          <w:marBottom w:val="0"/>
          <w:divBdr>
            <w:top w:val="none" w:sz="0" w:space="0" w:color="auto"/>
            <w:left w:val="none" w:sz="0" w:space="0" w:color="auto"/>
            <w:bottom w:val="none" w:sz="0" w:space="0" w:color="auto"/>
            <w:right w:val="none" w:sz="0" w:space="0" w:color="auto"/>
          </w:divBdr>
        </w:div>
        <w:div w:id="459154201">
          <w:marLeft w:val="0"/>
          <w:marRight w:val="0"/>
          <w:marTop w:val="0"/>
          <w:marBottom w:val="0"/>
          <w:divBdr>
            <w:top w:val="none" w:sz="0" w:space="0" w:color="auto"/>
            <w:left w:val="none" w:sz="0" w:space="0" w:color="auto"/>
            <w:bottom w:val="none" w:sz="0" w:space="0" w:color="auto"/>
            <w:right w:val="none" w:sz="0" w:space="0" w:color="auto"/>
          </w:divBdr>
        </w:div>
        <w:div w:id="507644591">
          <w:marLeft w:val="0"/>
          <w:marRight w:val="0"/>
          <w:marTop w:val="0"/>
          <w:marBottom w:val="0"/>
          <w:divBdr>
            <w:top w:val="none" w:sz="0" w:space="0" w:color="auto"/>
            <w:left w:val="none" w:sz="0" w:space="0" w:color="auto"/>
            <w:bottom w:val="none" w:sz="0" w:space="0" w:color="auto"/>
            <w:right w:val="none" w:sz="0" w:space="0" w:color="auto"/>
          </w:divBdr>
        </w:div>
        <w:div w:id="556740366">
          <w:marLeft w:val="0"/>
          <w:marRight w:val="0"/>
          <w:marTop w:val="0"/>
          <w:marBottom w:val="0"/>
          <w:divBdr>
            <w:top w:val="none" w:sz="0" w:space="0" w:color="auto"/>
            <w:left w:val="none" w:sz="0" w:space="0" w:color="auto"/>
            <w:bottom w:val="none" w:sz="0" w:space="0" w:color="auto"/>
            <w:right w:val="none" w:sz="0" w:space="0" w:color="auto"/>
          </w:divBdr>
        </w:div>
        <w:div w:id="569852495">
          <w:marLeft w:val="0"/>
          <w:marRight w:val="0"/>
          <w:marTop w:val="0"/>
          <w:marBottom w:val="0"/>
          <w:divBdr>
            <w:top w:val="none" w:sz="0" w:space="0" w:color="auto"/>
            <w:left w:val="none" w:sz="0" w:space="0" w:color="auto"/>
            <w:bottom w:val="none" w:sz="0" w:space="0" w:color="auto"/>
            <w:right w:val="none" w:sz="0" w:space="0" w:color="auto"/>
          </w:divBdr>
        </w:div>
        <w:div w:id="571306894">
          <w:marLeft w:val="0"/>
          <w:marRight w:val="0"/>
          <w:marTop w:val="0"/>
          <w:marBottom w:val="0"/>
          <w:divBdr>
            <w:top w:val="none" w:sz="0" w:space="0" w:color="auto"/>
            <w:left w:val="none" w:sz="0" w:space="0" w:color="auto"/>
            <w:bottom w:val="none" w:sz="0" w:space="0" w:color="auto"/>
            <w:right w:val="none" w:sz="0" w:space="0" w:color="auto"/>
          </w:divBdr>
        </w:div>
        <w:div w:id="602418589">
          <w:marLeft w:val="0"/>
          <w:marRight w:val="0"/>
          <w:marTop w:val="0"/>
          <w:marBottom w:val="0"/>
          <w:divBdr>
            <w:top w:val="none" w:sz="0" w:space="0" w:color="auto"/>
            <w:left w:val="none" w:sz="0" w:space="0" w:color="auto"/>
            <w:bottom w:val="none" w:sz="0" w:space="0" w:color="auto"/>
            <w:right w:val="none" w:sz="0" w:space="0" w:color="auto"/>
          </w:divBdr>
        </w:div>
        <w:div w:id="606279647">
          <w:marLeft w:val="0"/>
          <w:marRight w:val="0"/>
          <w:marTop w:val="0"/>
          <w:marBottom w:val="0"/>
          <w:divBdr>
            <w:top w:val="none" w:sz="0" w:space="0" w:color="auto"/>
            <w:left w:val="none" w:sz="0" w:space="0" w:color="auto"/>
            <w:bottom w:val="none" w:sz="0" w:space="0" w:color="auto"/>
            <w:right w:val="none" w:sz="0" w:space="0" w:color="auto"/>
          </w:divBdr>
        </w:div>
        <w:div w:id="607154593">
          <w:marLeft w:val="0"/>
          <w:marRight w:val="0"/>
          <w:marTop w:val="0"/>
          <w:marBottom w:val="0"/>
          <w:divBdr>
            <w:top w:val="none" w:sz="0" w:space="0" w:color="auto"/>
            <w:left w:val="none" w:sz="0" w:space="0" w:color="auto"/>
            <w:bottom w:val="none" w:sz="0" w:space="0" w:color="auto"/>
            <w:right w:val="none" w:sz="0" w:space="0" w:color="auto"/>
          </w:divBdr>
        </w:div>
        <w:div w:id="617218899">
          <w:marLeft w:val="0"/>
          <w:marRight w:val="0"/>
          <w:marTop w:val="0"/>
          <w:marBottom w:val="0"/>
          <w:divBdr>
            <w:top w:val="none" w:sz="0" w:space="0" w:color="auto"/>
            <w:left w:val="none" w:sz="0" w:space="0" w:color="auto"/>
            <w:bottom w:val="none" w:sz="0" w:space="0" w:color="auto"/>
            <w:right w:val="none" w:sz="0" w:space="0" w:color="auto"/>
          </w:divBdr>
        </w:div>
        <w:div w:id="630936996">
          <w:marLeft w:val="0"/>
          <w:marRight w:val="0"/>
          <w:marTop w:val="0"/>
          <w:marBottom w:val="0"/>
          <w:divBdr>
            <w:top w:val="none" w:sz="0" w:space="0" w:color="auto"/>
            <w:left w:val="none" w:sz="0" w:space="0" w:color="auto"/>
            <w:bottom w:val="none" w:sz="0" w:space="0" w:color="auto"/>
            <w:right w:val="none" w:sz="0" w:space="0" w:color="auto"/>
          </w:divBdr>
        </w:div>
        <w:div w:id="679700536">
          <w:marLeft w:val="0"/>
          <w:marRight w:val="0"/>
          <w:marTop w:val="0"/>
          <w:marBottom w:val="0"/>
          <w:divBdr>
            <w:top w:val="none" w:sz="0" w:space="0" w:color="auto"/>
            <w:left w:val="none" w:sz="0" w:space="0" w:color="auto"/>
            <w:bottom w:val="none" w:sz="0" w:space="0" w:color="auto"/>
            <w:right w:val="none" w:sz="0" w:space="0" w:color="auto"/>
          </w:divBdr>
        </w:div>
        <w:div w:id="694159623">
          <w:marLeft w:val="0"/>
          <w:marRight w:val="0"/>
          <w:marTop w:val="0"/>
          <w:marBottom w:val="0"/>
          <w:divBdr>
            <w:top w:val="none" w:sz="0" w:space="0" w:color="auto"/>
            <w:left w:val="none" w:sz="0" w:space="0" w:color="auto"/>
            <w:bottom w:val="none" w:sz="0" w:space="0" w:color="auto"/>
            <w:right w:val="none" w:sz="0" w:space="0" w:color="auto"/>
          </w:divBdr>
        </w:div>
        <w:div w:id="703138713">
          <w:marLeft w:val="0"/>
          <w:marRight w:val="0"/>
          <w:marTop w:val="0"/>
          <w:marBottom w:val="0"/>
          <w:divBdr>
            <w:top w:val="none" w:sz="0" w:space="0" w:color="auto"/>
            <w:left w:val="none" w:sz="0" w:space="0" w:color="auto"/>
            <w:bottom w:val="none" w:sz="0" w:space="0" w:color="auto"/>
            <w:right w:val="none" w:sz="0" w:space="0" w:color="auto"/>
          </w:divBdr>
        </w:div>
        <w:div w:id="719935341">
          <w:marLeft w:val="0"/>
          <w:marRight w:val="0"/>
          <w:marTop w:val="0"/>
          <w:marBottom w:val="0"/>
          <w:divBdr>
            <w:top w:val="none" w:sz="0" w:space="0" w:color="auto"/>
            <w:left w:val="none" w:sz="0" w:space="0" w:color="auto"/>
            <w:bottom w:val="none" w:sz="0" w:space="0" w:color="auto"/>
            <w:right w:val="none" w:sz="0" w:space="0" w:color="auto"/>
          </w:divBdr>
        </w:div>
        <w:div w:id="764347059">
          <w:marLeft w:val="0"/>
          <w:marRight w:val="0"/>
          <w:marTop w:val="0"/>
          <w:marBottom w:val="0"/>
          <w:divBdr>
            <w:top w:val="none" w:sz="0" w:space="0" w:color="auto"/>
            <w:left w:val="none" w:sz="0" w:space="0" w:color="auto"/>
            <w:bottom w:val="none" w:sz="0" w:space="0" w:color="auto"/>
            <w:right w:val="none" w:sz="0" w:space="0" w:color="auto"/>
          </w:divBdr>
        </w:div>
        <w:div w:id="782500409">
          <w:marLeft w:val="0"/>
          <w:marRight w:val="0"/>
          <w:marTop w:val="0"/>
          <w:marBottom w:val="0"/>
          <w:divBdr>
            <w:top w:val="none" w:sz="0" w:space="0" w:color="auto"/>
            <w:left w:val="none" w:sz="0" w:space="0" w:color="auto"/>
            <w:bottom w:val="none" w:sz="0" w:space="0" w:color="auto"/>
            <w:right w:val="none" w:sz="0" w:space="0" w:color="auto"/>
          </w:divBdr>
        </w:div>
        <w:div w:id="802816101">
          <w:marLeft w:val="0"/>
          <w:marRight w:val="0"/>
          <w:marTop w:val="0"/>
          <w:marBottom w:val="0"/>
          <w:divBdr>
            <w:top w:val="none" w:sz="0" w:space="0" w:color="auto"/>
            <w:left w:val="none" w:sz="0" w:space="0" w:color="auto"/>
            <w:bottom w:val="none" w:sz="0" w:space="0" w:color="auto"/>
            <w:right w:val="none" w:sz="0" w:space="0" w:color="auto"/>
          </w:divBdr>
        </w:div>
        <w:div w:id="808865731">
          <w:marLeft w:val="0"/>
          <w:marRight w:val="0"/>
          <w:marTop w:val="0"/>
          <w:marBottom w:val="0"/>
          <w:divBdr>
            <w:top w:val="none" w:sz="0" w:space="0" w:color="auto"/>
            <w:left w:val="none" w:sz="0" w:space="0" w:color="auto"/>
            <w:bottom w:val="none" w:sz="0" w:space="0" w:color="auto"/>
            <w:right w:val="none" w:sz="0" w:space="0" w:color="auto"/>
          </w:divBdr>
        </w:div>
        <w:div w:id="902986242">
          <w:marLeft w:val="0"/>
          <w:marRight w:val="0"/>
          <w:marTop w:val="0"/>
          <w:marBottom w:val="0"/>
          <w:divBdr>
            <w:top w:val="none" w:sz="0" w:space="0" w:color="auto"/>
            <w:left w:val="none" w:sz="0" w:space="0" w:color="auto"/>
            <w:bottom w:val="none" w:sz="0" w:space="0" w:color="auto"/>
            <w:right w:val="none" w:sz="0" w:space="0" w:color="auto"/>
          </w:divBdr>
        </w:div>
        <w:div w:id="904602539">
          <w:marLeft w:val="0"/>
          <w:marRight w:val="0"/>
          <w:marTop w:val="0"/>
          <w:marBottom w:val="0"/>
          <w:divBdr>
            <w:top w:val="none" w:sz="0" w:space="0" w:color="auto"/>
            <w:left w:val="none" w:sz="0" w:space="0" w:color="auto"/>
            <w:bottom w:val="none" w:sz="0" w:space="0" w:color="auto"/>
            <w:right w:val="none" w:sz="0" w:space="0" w:color="auto"/>
          </w:divBdr>
        </w:div>
        <w:div w:id="910654274">
          <w:marLeft w:val="0"/>
          <w:marRight w:val="0"/>
          <w:marTop w:val="0"/>
          <w:marBottom w:val="0"/>
          <w:divBdr>
            <w:top w:val="none" w:sz="0" w:space="0" w:color="auto"/>
            <w:left w:val="none" w:sz="0" w:space="0" w:color="auto"/>
            <w:bottom w:val="none" w:sz="0" w:space="0" w:color="auto"/>
            <w:right w:val="none" w:sz="0" w:space="0" w:color="auto"/>
          </w:divBdr>
        </w:div>
        <w:div w:id="918908418">
          <w:marLeft w:val="0"/>
          <w:marRight w:val="0"/>
          <w:marTop w:val="0"/>
          <w:marBottom w:val="0"/>
          <w:divBdr>
            <w:top w:val="none" w:sz="0" w:space="0" w:color="auto"/>
            <w:left w:val="none" w:sz="0" w:space="0" w:color="auto"/>
            <w:bottom w:val="none" w:sz="0" w:space="0" w:color="auto"/>
            <w:right w:val="none" w:sz="0" w:space="0" w:color="auto"/>
          </w:divBdr>
        </w:div>
        <w:div w:id="919290114">
          <w:marLeft w:val="0"/>
          <w:marRight w:val="0"/>
          <w:marTop w:val="0"/>
          <w:marBottom w:val="0"/>
          <w:divBdr>
            <w:top w:val="none" w:sz="0" w:space="0" w:color="auto"/>
            <w:left w:val="none" w:sz="0" w:space="0" w:color="auto"/>
            <w:bottom w:val="none" w:sz="0" w:space="0" w:color="auto"/>
            <w:right w:val="none" w:sz="0" w:space="0" w:color="auto"/>
          </w:divBdr>
        </w:div>
        <w:div w:id="922377213">
          <w:marLeft w:val="0"/>
          <w:marRight w:val="0"/>
          <w:marTop w:val="0"/>
          <w:marBottom w:val="0"/>
          <w:divBdr>
            <w:top w:val="none" w:sz="0" w:space="0" w:color="auto"/>
            <w:left w:val="none" w:sz="0" w:space="0" w:color="auto"/>
            <w:bottom w:val="none" w:sz="0" w:space="0" w:color="auto"/>
            <w:right w:val="none" w:sz="0" w:space="0" w:color="auto"/>
          </w:divBdr>
        </w:div>
        <w:div w:id="946351809">
          <w:marLeft w:val="0"/>
          <w:marRight w:val="0"/>
          <w:marTop w:val="0"/>
          <w:marBottom w:val="0"/>
          <w:divBdr>
            <w:top w:val="none" w:sz="0" w:space="0" w:color="auto"/>
            <w:left w:val="none" w:sz="0" w:space="0" w:color="auto"/>
            <w:bottom w:val="none" w:sz="0" w:space="0" w:color="auto"/>
            <w:right w:val="none" w:sz="0" w:space="0" w:color="auto"/>
          </w:divBdr>
        </w:div>
        <w:div w:id="947353352">
          <w:marLeft w:val="0"/>
          <w:marRight w:val="0"/>
          <w:marTop w:val="0"/>
          <w:marBottom w:val="0"/>
          <w:divBdr>
            <w:top w:val="none" w:sz="0" w:space="0" w:color="auto"/>
            <w:left w:val="none" w:sz="0" w:space="0" w:color="auto"/>
            <w:bottom w:val="none" w:sz="0" w:space="0" w:color="auto"/>
            <w:right w:val="none" w:sz="0" w:space="0" w:color="auto"/>
          </w:divBdr>
        </w:div>
        <w:div w:id="981537770">
          <w:marLeft w:val="0"/>
          <w:marRight w:val="0"/>
          <w:marTop w:val="0"/>
          <w:marBottom w:val="0"/>
          <w:divBdr>
            <w:top w:val="none" w:sz="0" w:space="0" w:color="auto"/>
            <w:left w:val="none" w:sz="0" w:space="0" w:color="auto"/>
            <w:bottom w:val="none" w:sz="0" w:space="0" w:color="auto"/>
            <w:right w:val="none" w:sz="0" w:space="0" w:color="auto"/>
          </w:divBdr>
        </w:div>
        <w:div w:id="981930239">
          <w:marLeft w:val="0"/>
          <w:marRight w:val="0"/>
          <w:marTop w:val="0"/>
          <w:marBottom w:val="0"/>
          <w:divBdr>
            <w:top w:val="none" w:sz="0" w:space="0" w:color="auto"/>
            <w:left w:val="none" w:sz="0" w:space="0" w:color="auto"/>
            <w:bottom w:val="none" w:sz="0" w:space="0" w:color="auto"/>
            <w:right w:val="none" w:sz="0" w:space="0" w:color="auto"/>
          </w:divBdr>
        </w:div>
        <w:div w:id="984120569">
          <w:marLeft w:val="0"/>
          <w:marRight w:val="0"/>
          <w:marTop w:val="0"/>
          <w:marBottom w:val="0"/>
          <w:divBdr>
            <w:top w:val="none" w:sz="0" w:space="0" w:color="auto"/>
            <w:left w:val="none" w:sz="0" w:space="0" w:color="auto"/>
            <w:bottom w:val="none" w:sz="0" w:space="0" w:color="auto"/>
            <w:right w:val="none" w:sz="0" w:space="0" w:color="auto"/>
          </w:divBdr>
        </w:div>
        <w:div w:id="984314629">
          <w:marLeft w:val="0"/>
          <w:marRight w:val="0"/>
          <w:marTop w:val="0"/>
          <w:marBottom w:val="0"/>
          <w:divBdr>
            <w:top w:val="none" w:sz="0" w:space="0" w:color="auto"/>
            <w:left w:val="none" w:sz="0" w:space="0" w:color="auto"/>
            <w:bottom w:val="none" w:sz="0" w:space="0" w:color="auto"/>
            <w:right w:val="none" w:sz="0" w:space="0" w:color="auto"/>
          </w:divBdr>
        </w:div>
        <w:div w:id="1020396808">
          <w:marLeft w:val="0"/>
          <w:marRight w:val="0"/>
          <w:marTop w:val="0"/>
          <w:marBottom w:val="0"/>
          <w:divBdr>
            <w:top w:val="none" w:sz="0" w:space="0" w:color="auto"/>
            <w:left w:val="none" w:sz="0" w:space="0" w:color="auto"/>
            <w:bottom w:val="none" w:sz="0" w:space="0" w:color="auto"/>
            <w:right w:val="none" w:sz="0" w:space="0" w:color="auto"/>
          </w:divBdr>
        </w:div>
        <w:div w:id="1026640002">
          <w:marLeft w:val="0"/>
          <w:marRight w:val="0"/>
          <w:marTop w:val="0"/>
          <w:marBottom w:val="0"/>
          <w:divBdr>
            <w:top w:val="none" w:sz="0" w:space="0" w:color="auto"/>
            <w:left w:val="none" w:sz="0" w:space="0" w:color="auto"/>
            <w:bottom w:val="none" w:sz="0" w:space="0" w:color="auto"/>
            <w:right w:val="none" w:sz="0" w:space="0" w:color="auto"/>
          </w:divBdr>
        </w:div>
        <w:div w:id="1032799642">
          <w:marLeft w:val="0"/>
          <w:marRight w:val="0"/>
          <w:marTop w:val="0"/>
          <w:marBottom w:val="0"/>
          <w:divBdr>
            <w:top w:val="none" w:sz="0" w:space="0" w:color="auto"/>
            <w:left w:val="none" w:sz="0" w:space="0" w:color="auto"/>
            <w:bottom w:val="none" w:sz="0" w:space="0" w:color="auto"/>
            <w:right w:val="none" w:sz="0" w:space="0" w:color="auto"/>
          </w:divBdr>
        </w:div>
        <w:div w:id="1038239907">
          <w:marLeft w:val="0"/>
          <w:marRight w:val="0"/>
          <w:marTop w:val="0"/>
          <w:marBottom w:val="0"/>
          <w:divBdr>
            <w:top w:val="none" w:sz="0" w:space="0" w:color="auto"/>
            <w:left w:val="none" w:sz="0" w:space="0" w:color="auto"/>
            <w:bottom w:val="none" w:sz="0" w:space="0" w:color="auto"/>
            <w:right w:val="none" w:sz="0" w:space="0" w:color="auto"/>
          </w:divBdr>
        </w:div>
        <w:div w:id="1116755159">
          <w:marLeft w:val="0"/>
          <w:marRight w:val="0"/>
          <w:marTop w:val="0"/>
          <w:marBottom w:val="0"/>
          <w:divBdr>
            <w:top w:val="none" w:sz="0" w:space="0" w:color="auto"/>
            <w:left w:val="none" w:sz="0" w:space="0" w:color="auto"/>
            <w:bottom w:val="none" w:sz="0" w:space="0" w:color="auto"/>
            <w:right w:val="none" w:sz="0" w:space="0" w:color="auto"/>
          </w:divBdr>
        </w:div>
        <w:div w:id="1211918389">
          <w:marLeft w:val="0"/>
          <w:marRight w:val="0"/>
          <w:marTop w:val="0"/>
          <w:marBottom w:val="0"/>
          <w:divBdr>
            <w:top w:val="none" w:sz="0" w:space="0" w:color="auto"/>
            <w:left w:val="none" w:sz="0" w:space="0" w:color="auto"/>
            <w:bottom w:val="none" w:sz="0" w:space="0" w:color="auto"/>
            <w:right w:val="none" w:sz="0" w:space="0" w:color="auto"/>
          </w:divBdr>
        </w:div>
        <w:div w:id="1228765816">
          <w:marLeft w:val="0"/>
          <w:marRight w:val="0"/>
          <w:marTop w:val="0"/>
          <w:marBottom w:val="0"/>
          <w:divBdr>
            <w:top w:val="none" w:sz="0" w:space="0" w:color="auto"/>
            <w:left w:val="none" w:sz="0" w:space="0" w:color="auto"/>
            <w:bottom w:val="none" w:sz="0" w:space="0" w:color="auto"/>
            <w:right w:val="none" w:sz="0" w:space="0" w:color="auto"/>
          </w:divBdr>
        </w:div>
        <w:div w:id="1242518839">
          <w:marLeft w:val="0"/>
          <w:marRight w:val="0"/>
          <w:marTop w:val="0"/>
          <w:marBottom w:val="0"/>
          <w:divBdr>
            <w:top w:val="none" w:sz="0" w:space="0" w:color="auto"/>
            <w:left w:val="none" w:sz="0" w:space="0" w:color="auto"/>
            <w:bottom w:val="none" w:sz="0" w:space="0" w:color="auto"/>
            <w:right w:val="none" w:sz="0" w:space="0" w:color="auto"/>
          </w:divBdr>
        </w:div>
        <w:div w:id="1359309816">
          <w:marLeft w:val="0"/>
          <w:marRight w:val="0"/>
          <w:marTop w:val="0"/>
          <w:marBottom w:val="0"/>
          <w:divBdr>
            <w:top w:val="none" w:sz="0" w:space="0" w:color="auto"/>
            <w:left w:val="none" w:sz="0" w:space="0" w:color="auto"/>
            <w:bottom w:val="none" w:sz="0" w:space="0" w:color="auto"/>
            <w:right w:val="none" w:sz="0" w:space="0" w:color="auto"/>
          </w:divBdr>
        </w:div>
        <w:div w:id="1395353840">
          <w:marLeft w:val="0"/>
          <w:marRight w:val="0"/>
          <w:marTop w:val="0"/>
          <w:marBottom w:val="0"/>
          <w:divBdr>
            <w:top w:val="none" w:sz="0" w:space="0" w:color="auto"/>
            <w:left w:val="none" w:sz="0" w:space="0" w:color="auto"/>
            <w:bottom w:val="none" w:sz="0" w:space="0" w:color="auto"/>
            <w:right w:val="none" w:sz="0" w:space="0" w:color="auto"/>
          </w:divBdr>
        </w:div>
        <w:div w:id="1458180015">
          <w:marLeft w:val="0"/>
          <w:marRight w:val="0"/>
          <w:marTop w:val="0"/>
          <w:marBottom w:val="0"/>
          <w:divBdr>
            <w:top w:val="none" w:sz="0" w:space="0" w:color="auto"/>
            <w:left w:val="none" w:sz="0" w:space="0" w:color="auto"/>
            <w:bottom w:val="none" w:sz="0" w:space="0" w:color="auto"/>
            <w:right w:val="none" w:sz="0" w:space="0" w:color="auto"/>
          </w:divBdr>
        </w:div>
        <w:div w:id="1485897917">
          <w:marLeft w:val="0"/>
          <w:marRight w:val="0"/>
          <w:marTop w:val="0"/>
          <w:marBottom w:val="0"/>
          <w:divBdr>
            <w:top w:val="none" w:sz="0" w:space="0" w:color="auto"/>
            <w:left w:val="none" w:sz="0" w:space="0" w:color="auto"/>
            <w:bottom w:val="none" w:sz="0" w:space="0" w:color="auto"/>
            <w:right w:val="none" w:sz="0" w:space="0" w:color="auto"/>
          </w:divBdr>
        </w:div>
        <w:div w:id="1490831915">
          <w:marLeft w:val="0"/>
          <w:marRight w:val="0"/>
          <w:marTop w:val="0"/>
          <w:marBottom w:val="0"/>
          <w:divBdr>
            <w:top w:val="none" w:sz="0" w:space="0" w:color="auto"/>
            <w:left w:val="none" w:sz="0" w:space="0" w:color="auto"/>
            <w:bottom w:val="none" w:sz="0" w:space="0" w:color="auto"/>
            <w:right w:val="none" w:sz="0" w:space="0" w:color="auto"/>
          </w:divBdr>
        </w:div>
        <w:div w:id="1500195844">
          <w:marLeft w:val="0"/>
          <w:marRight w:val="0"/>
          <w:marTop w:val="0"/>
          <w:marBottom w:val="0"/>
          <w:divBdr>
            <w:top w:val="none" w:sz="0" w:space="0" w:color="auto"/>
            <w:left w:val="none" w:sz="0" w:space="0" w:color="auto"/>
            <w:bottom w:val="none" w:sz="0" w:space="0" w:color="auto"/>
            <w:right w:val="none" w:sz="0" w:space="0" w:color="auto"/>
          </w:divBdr>
        </w:div>
        <w:div w:id="1512452571">
          <w:marLeft w:val="0"/>
          <w:marRight w:val="0"/>
          <w:marTop w:val="0"/>
          <w:marBottom w:val="0"/>
          <w:divBdr>
            <w:top w:val="none" w:sz="0" w:space="0" w:color="auto"/>
            <w:left w:val="none" w:sz="0" w:space="0" w:color="auto"/>
            <w:bottom w:val="none" w:sz="0" w:space="0" w:color="auto"/>
            <w:right w:val="none" w:sz="0" w:space="0" w:color="auto"/>
          </w:divBdr>
        </w:div>
        <w:div w:id="1513103231">
          <w:marLeft w:val="0"/>
          <w:marRight w:val="0"/>
          <w:marTop w:val="0"/>
          <w:marBottom w:val="0"/>
          <w:divBdr>
            <w:top w:val="none" w:sz="0" w:space="0" w:color="auto"/>
            <w:left w:val="none" w:sz="0" w:space="0" w:color="auto"/>
            <w:bottom w:val="none" w:sz="0" w:space="0" w:color="auto"/>
            <w:right w:val="none" w:sz="0" w:space="0" w:color="auto"/>
          </w:divBdr>
        </w:div>
        <w:div w:id="1521241287">
          <w:marLeft w:val="0"/>
          <w:marRight w:val="0"/>
          <w:marTop w:val="0"/>
          <w:marBottom w:val="0"/>
          <w:divBdr>
            <w:top w:val="none" w:sz="0" w:space="0" w:color="auto"/>
            <w:left w:val="none" w:sz="0" w:space="0" w:color="auto"/>
            <w:bottom w:val="none" w:sz="0" w:space="0" w:color="auto"/>
            <w:right w:val="none" w:sz="0" w:space="0" w:color="auto"/>
          </w:divBdr>
        </w:div>
        <w:div w:id="1526333887">
          <w:marLeft w:val="0"/>
          <w:marRight w:val="0"/>
          <w:marTop w:val="0"/>
          <w:marBottom w:val="0"/>
          <w:divBdr>
            <w:top w:val="none" w:sz="0" w:space="0" w:color="auto"/>
            <w:left w:val="none" w:sz="0" w:space="0" w:color="auto"/>
            <w:bottom w:val="none" w:sz="0" w:space="0" w:color="auto"/>
            <w:right w:val="none" w:sz="0" w:space="0" w:color="auto"/>
          </w:divBdr>
        </w:div>
        <w:div w:id="1535540253">
          <w:marLeft w:val="0"/>
          <w:marRight w:val="0"/>
          <w:marTop w:val="0"/>
          <w:marBottom w:val="0"/>
          <w:divBdr>
            <w:top w:val="none" w:sz="0" w:space="0" w:color="auto"/>
            <w:left w:val="none" w:sz="0" w:space="0" w:color="auto"/>
            <w:bottom w:val="none" w:sz="0" w:space="0" w:color="auto"/>
            <w:right w:val="none" w:sz="0" w:space="0" w:color="auto"/>
          </w:divBdr>
        </w:div>
        <w:div w:id="1596354770">
          <w:marLeft w:val="0"/>
          <w:marRight w:val="0"/>
          <w:marTop w:val="0"/>
          <w:marBottom w:val="0"/>
          <w:divBdr>
            <w:top w:val="none" w:sz="0" w:space="0" w:color="auto"/>
            <w:left w:val="none" w:sz="0" w:space="0" w:color="auto"/>
            <w:bottom w:val="none" w:sz="0" w:space="0" w:color="auto"/>
            <w:right w:val="none" w:sz="0" w:space="0" w:color="auto"/>
          </w:divBdr>
        </w:div>
        <w:div w:id="1607927948">
          <w:marLeft w:val="0"/>
          <w:marRight w:val="0"/>
          <w:marTop w:val="0"/>
          <w:marBottom w:val="0"/>
          <w:divBdr>
            <w:top w:val="none" w:sz="0" w:space="0" w:color="auto"/>
            <w:left w:val="none" w:sz="0" w:space="0" w:color="auto"/>
            <w:bottom w:val="none" w:sz="0" w:space="0" w:color="auto"/>
            <w:right w:val="none" w:sz="0" w:space="0" w:color="auto"/>
          </w:divBdr>
        </w:div>
        <w:div w:id="1611352049">
          <w:marLeft w:val="0"/>
          <w:marRight w:val="0"/>
          <w:marTop w:val="0"/>
          <w:marBottom w:val="0"/>
          <w:divBdr>
            <w:top w:val="none" w:sz="0" w:space="0" w:color="auto"/>
            <w:left w:val="none" w:sz="0" w:space="0" w:color="auto"/>
            <w:bottom w:val="none" w:sz="0" w:space="0" w:color="auto"/>
            <w:right w:val="none" w:sz="0" w:space="0" w:color="auto"/>
          </w:divBdr>
        </w:div>
        <w:div w:id="1668826122">
          <w:marLeft w:val="0"/>
          <w:marRight w:val="0"/>
          <w:marTop w:val="0"/>
          <w:marBottom w:val="0"/>
          <w:divBdr>
            <w:top w:val="none" w:sz="0" w:space="0" w:color="auto"/>
            <w:left w:val="none" w:sz="0" w:space="0" w:color="auto"/>
            <w:bottom w:val="none" w:sz="0" w:space="0" w:color="auto"/>
            <w:right w:val="none" w:sz="0" w:space="0" w:color="auto"/>
          </w:divBdr>
        </w:div>
        <w:div w:id="1680037334">
          <w:marLeft w:val="0"/>
          <w:marRight w:val="0"/>
          <w:marTop w:val="0"/>
          <w:marBottom w:val="0"/>
          <w:divBdr>
            <w:top w:val="none" w:sz="0" w:space="0" w:color="auto"/>
            <w:left w:val="none" w:sz="0" w:space="0" w:color="auto"/>
            <w:bottom w:val="none" w:sz="0" w:space="0" w:color="auto"/>
            <w:right w:val="none" w:sz="0" w:space="0" w:color="auto"/>
          </w:divBdr>
        </w:div>
        <w:div w:id="1728261060">
          <w:marLeft w:val="0"/>
          <w:marRight w:val="0"/>
          <w:marTop w:val="0"/>
          <w:marBottom w:val="0"/>
          <w:divBdr>
            <w:top w:val="none" w:sz="0" w:space="0" w:color="auto"/>
            <w:left w:val="none" w:sz="0" w:space="0" w:color="auto"/>
            <w:bottom w:val="none" w:sz="0" w:space="0" w:color="auto"/>
            <w:right w:val="none" w:sz="0" w:space="0" w:color="auto"/>
          </w:divBdr>
        </w:div>
        <w:div w:id="1774590562">
          <w:marLeft w:val="0"/>
          <w:marRight w:val="0"/>
          <w:marTop w:val="0"/>
          <w:marBottom w:val="0"/>
          <w:divBdr>
            <w:top w:val="none" w:sz="0" w:space="0" w:color="auto"/>
            <w:left w:val="none" w:sz="0" w:space="0" w:color="auto"/>
            <w:bottom w:val="none" w:sz="0" w:space="0" w:color="auto"/>
            <w:right w:val="none" w:sz="0" w:space="0" w:color="auto"/>
          </w:divBdr>
        </w:div>
        <w:div w:id="1784768117">
          <w:marLeft w:val="0"/>
          <w:marRight w:val="0"/>
          <w:marTop w:val="0"/>
          <w:marBottom w:val="0"/>
          <w:divBdr>
            <w:top w:val="none" w:sz="0" w:space="0" w:color="auto"/>
            <w:left w:val="none" w:sz="0" w:space="0" w:color="auto"/>
            <w:bottom w:val="none" w:sz="0" w:space="0" w:color="auto"/>
            <w:right w:val="none" w:sz="0" w:space="0" w:color="auto"/>
          </w:divBdr>
        </w:div>
        <w:div w:id="1914005036">
          <w:marLeft w:val="0"/>
          <w:marRight w:val="0"/>
          <w:marTop w:val="0"/>
          <w:marBottom w:val="0"/>
          <w:divBdr>
            <w:top w:val="none" w:sz="0" w:space="0" w:color="auto"/>
            <w:left w:val="none" w:sz="0" w:space="0" w:color="auto"/>
            <w:bottom w:val="none" w:sz="0" w:space="0" w:color="auto"/>
            <w:right w:val="none" w:sz="0" w:space="0" w:color="auto"/>
          </w:divBdr>
        </w:div>
        <w:div w:id="1920822931">
          <w:marLeft w:val="0"/>
          <w:marRight w:val="0"/>
          <w:marTop w:val="0"/>
          <w:marBottom w:val="0"/>
          <w:divBdr>
            <w:top w:val="none" w:sz="0" w:space="0" w:color="auto"/>
            <w:left w:val="none" w:sz="0" w:space="0" w:color="auto"/>
            <w:bottom w:val="none" w:sz="0" w:space="0" w:color="auto"/>
            <w:right w:val="none" w:sz="0" w:space="0" w:color="auto"/>
          </w:divBdr>
        </w:div>
        <w:div w:id="1985307961">
          <w:marLeft w:val="0"/>
          <w:marRight w:val="0"/>
          <w:marTop w:val="0"/>
          <w:marBottom w:val="0"/>
          <w:divBdr>
            <w:top w:val="none" w:sz="0" w:space="0" w:color="auto"/>
            <w:left w:val="none" w:sz="0" w:space="0" w:color="auto"/>
            <w:bottom w:val="none" w:sz="0" w:space="0" w:color="auto"/>
            <w:right w:val="none" w:sz="0" w:space="0" w:color="auto"/>
          </w:divBdr>
        </w:div>
        <w:div w:id="1998151050">
          <w:marLeft w:val="0"/>
          <w:marRight w:val="0"/>
          <w:marTop w:val="0"/>
          <w:marBottom w:val="0"/>
          <w:divBdr>
            <w:top w:val="none" w:sz="0" w:space="0" w:color="auto"/>
            <w:left w:val="none" w:sz="0" w:space="0" w:color="auto"/>
            <w:bottom w:val="none" w:sz="0" w:space="0" w:color="auto"/>
            <w:right w:val="none" w:sz="0" w:space="0" w:color="auto"/>
          </w:divBdr>
        </w:div>
        <w:div w:id="2007203256">
          <w:marLeft w:val="0"/>
          <w:marRight w:val="0"/>
          <w:marTop w:val="0"/>
          <w:marBottom w:val="0"/>
          <w:divBdr>
            <w:top w:val="none" w:sz="0" w:space="0" w:color="auto"/>
            <w:left w:val="none" w:sz="0" w:space="0" w:color="auto"/>
            <w:bottom w:val="none" w:sz="0" w:space="0" w:color="auto"/>
            <w:right w:val="none" w:sz="0" w:space="0" w:color="auto"/>
          </w:divBdr>
        </w:div>
        <w:div w:id="2041003102">
          <w:marLeft w:val="0"/>
          <w:marRight w:val="0"/>
          <w:marTop w:val="0"/>
          <w:marBottom w:val="0"/>
          <w:divBdr>
            <w:top w:val="none" w:sz="0" w:space="0" w:color="auto"/>
            <w:left w:val="none" w:sz="0" w:space="0" w:color="auto"/>
            <w:bottom w:val="none" w:sz="0" w:space="0" w:color="auto"/>
            <w:right w:val="none" w:sz="0" w:space="0" w:color="auto"/>
          </w:divBdr>
        </w:div>
        <w:div w:id="2064517556">
          <w:marLeft w:val="0"/>
          <w:marRight w:val="0"/>
          <w:marTop w:val="0"/>
          <w:marBottom w:val="0"/>
          <w:divBdr>
            <w:top w:val="none" w:sz="0" w:space="0" w:color="auto"/>
            <w:left w:val="none" w:sz="0" w:space="0" w:color="auto"/>
            <w:bottom w:val="none" w:sz="0" w:space="0" w:color="auto"/>
            <w:right w:val="none" w:sz="0" w:space="0" w:color="auto"/>
          </w:divBdr>
        </w:div>
        <w:div w:id="2099868284">
          <w:marLeft w:val="0"/>
          <w:marRight w:val="0"/>
          <w:marTop w:val="0"/>
          <w:marBottom w:val="0"/>
          <w:divBdr>
            <w:top w:val="none" w:sz="0" w:space="0" w:color="auto"/>
            <w:left w:val="none" w:sz="0" w:space="0" w:color="auto"/>
            <w:bottom w:val="none" w:sz="0" w:space="0" w:color="auto"/>
            <w:right w:val="none" w:sz="0" w:space="0" w:color="auto"/>
          </w:divBdr>
        </w:div>
        <w:div w:id="2124228121">
          <w:marLeft w:val="0"/>
          <w:marRight w:val="0"/>
          <w:marTop w:val="0"/>
          <w:marBottom w:val="0"/>
          <w:divBdr>
            <w:top w:val="none" w:sz="0" w:space="0" w:color="auto"/>
            <w:left w:val="none" w:sz="0" w:space="0" w:color="auto"/>
            <w:bottom w:val="none" w:sz="0" w:space="0" w:color="auto"/>
            <w:right w:val="none" w:sz="0" w:space="0" w:color="auto"/>
          </w:divBdr>
        </w:div>
      </w:divsChild>
    </w:div>
    <w:div w:id="951939763">
      <w:bodyDiv w:val="1"/>
      <w:marLeft w:val="0"/>
      <w:marRight w:val="0"/>
      <w:marTop w:val="0"/>
      <w:marBottom w:val="0"/>
      <w:divBdr>
        <w:top w:val="none" w:sz="0" w:space="0" w:color="auto"/>
        <w:left w:val="none" w:sz="0" w:space="0" w:color="auto"/>
        <w:bottom w:val="none" w:sz="0" w:space="0" w:color="auto"/>
        <w:right w:val="none" w:sz="0" w:space="0" w:color="auto"/>
      </w:divBdr>
      <w:divsChild>
        <w:div w:id="249504457">
          <w:marLeft w:val="0"/>
          <w:marRight w:val="0"/>
          <w:marTop w:val="0"/>
          <w:marBottom w:val="0"/>
          <w:divBdr>
            <w:top w:val="none" w:sz="0" w:space="0" w:color="auto"/>
            <w:left w:val="none" w:sz="0" w:space="0" w:color="auto"/>
            <w:bottom w:val="none" w:sz="0" w:space="0" w:color="auto"/>
            <w:right w:val="none" w:sz="0" w:space="0" w:color="auto"/>
          </w:divBdr>
        </w:div>
        <w:div w:id="487746038">
          <w:marLeft w:val="0"/>
          <w:marRight w:val="0"/>
          <w:marTop w:val="0"/>
          <w:marBottom w:val="0"/>
          <w:divBdr>
            <w:top w:val="none" w:sz="0" w:space="0" w:color="auto"/>
            <w:left w:val="none" w:sz="0" w:space="0" w:color="auto"/>
            <w:bottom w:val="none" w:sz="0" w:space="0" w:color="auto"/>
            <w:right w:val="none" w:sz="0" w:space="0" w:color="auto"/>
          </w:divBdr>
        </w:div>
        <w:div w:id="534124014">
          <w:marLeft w:val="0"/>
          <w:marRight w:val="0"/>
          <w:marTop w:val="0"/>
          <w:marBottom w:val="0"/>
          <w:divBdr>
            <w:top w:val="none" w:sz="0" w:space="0" w:color="auto"/>
            <w:left w:val="none" w:sz="0" w:space="0" w:color="auto"/>
            <w:bottom w:val="none" w:sz="0" w:space="0" w:color="auto"/>
            <w:right w:val="none" w:sz="0" w:space="0" w:color="auto"/>
          </w:divBdr>
        </w:div>
        <w:div w:id="537399443">
          <w:marLeft w:val="0"/>
          <w:marRight w:val="0"/>
          <w:marTop w:val="0"/>
          <w:marBottom w:val="0"/>
          <w:divBdr>
            <w:top w:val="none" w:sz="0" w:space="0" w:color="auto"/>
            <w:left w:val="none" w:sz="0" w:space="0" w:color="auto"/>
            <w:bottom w:val="none" w:sz="0" w:space="0" w:color="auto"/>
            <w:right w:val="none" w:sz="0" w:space="0" w:color="auto"/>
          </w:divBdr>
        </w:div>
        <w:div w:id="621613144">
          <w:marLeft w:val="0"/>
          <w:marRight w:val="0"/>
          <w:marTop w:val="0"/>
          <w:marBottom w:val="0"/>
          <w:divBdr>
            <w:top w:val="none" w:sz="0" w:space="0" w:color="auto"/>
            <w:left w:val="none" w:sz="0" w:space="0" w:color="auto"/>
            <w:bottom w:val="none" w:sz="0" w:space="0" w:color="auto"/>
            <w:right w:val="none" w:sz="0" w:space="0" w:color="auto"/>
          </w:divBdr>
        </w:div>
        <w:div w:id="1638536164">
          <w:marLeft w:val="0"/>
          <w:marRight w:val="0"/>
          <w:marTop w:val="0"/>
          <w:marBottom w:val="0"/>
          <w:divBdr>
            <w:top w:val="none" w:sz="0" w:space="0" w:color="auto"/>
            <w:left w:val="none" w:sz="0" w:space="0" w:color="auto"/>
            <w:bottom w:val="none" w:sz="0" w:space="0" w:color="auto"/>
            <w:right w:val="none" w:sz="0" w:space="0" w:color="auto"/>
          </w:divBdr>
        </w:div>
        <w:div w:id="1644389320">
          <w:marLeft w:val="0"/>
          <w:marRight w:val="0"/>
          <w:marTop w:val="0"/>
          <w:marBottom w:val="0"/>
          <w:divBdr>
            <w:top w:val="none" w:sz="0" w:space="0" w:color="auto"/>
            <w:left w:val="none" w:sz="0" w:space="0" w:color="auto"/>
            <w:bottom w:val="none" w:sz="0" w:space="0" w:color="auto"/>
            <w:right w:val="none" w:sz="0" w:space="0" w:color="auto"/>
          </w:divBdr>
        </w:div>
        <w:div w:id="1692074473">
          <w:marLeft w:val="0"/>
          <w:marRight w:val="0"/>
          <w:marTop w:val="0"/>
          <w:marBottom w:val="0"/>
          <w:divBdr>
            <w:top w:val="none" w:sz="0" w:space="0" w:color="auto"/>
            <w:left w:val="none" w:sz="0" w:space="0" w:color="auto"/>
            <w:bottom w:val="none" w:sz="0" w:space="0" w:color="auto"/>
            <w:right w:val="none" w:sz="0" w:space="0" w:color="auto"/>
          </w:divBdr>
        </w:div>
        <w:div w:id="1716469070">
          <w:marLeft w:val="0"/>
          <w:marRight w:val="0"/>
          <w:marTop w:val="0"/>
          <w:marBottom w:val="0"/>
          <w:divBdr>
            <w:top w:val="none" w:sz="0" w:space="0" w:color="auto"/>
            <w:left w:val="none" w:sz="0" w:space="0" w:color="auto"/>
            <w:bottom w:val="none" w:sz="0" w:space="0" w:color="auto"/>
            <w:right w:val="none" w:sz="0" w:space="0" w:color="auto"/>
          </w:divBdr>
        </w:div>
        <w:div w:id="2102144421">
          <w:marLeft w:val="0"/>
          <w:marRight w:val="0"/>
          <w:marTop w:val="0"/>
          <w:marBottom w:val="0"/>
          <w:divBdr>
            <w:top w:val="none" w:sz="0" w:space="0" w:color="auto"/>
            <w:left w:val="none" w:sz="0" w:space="0" w:color="auto"/>
            <w:bottom w:val="none" w:sz="0" w:space="0" w:color="auto"/>
            <w:right w:val="none" w:sz="0" w:space="0" w:color="auto"/>
          </w:divBdr>
        </w:div>
      </w:divsChild>
    </w:div>
    <w:div w:id="954143213">
      <w:bodyDiv w:val="1"/>
      <w:marLeft w:val="0"/>
      <w:marRight w:val="0"/>
      <w:marTop w:val="0"/>
      <w:marBottom w:val="0"/>
      <w:divBdr>
        <w:top w:val="none" w:sz="0" w:space="0" w:color="auto"/>
        <w:left w:val="none" w:sz="0" w:space="0" w:color="auto"/>
        <w:bottom w:val="none" w:sz="0" w:space="0" w:color="auto"/>
        <w:right w:val="none" w:sz="0" w:space="0" w:color="auto"/>
      </w:divBdr>
      <w:divsChild>
        <w:div w:id="999818999">
          <w:marLeft w:val="0"/>
          <w:marRight w:val="0"/>
          <w:marTop w:val="0"/>
          <w:marBottom w:val="0"/>
          <w:divBdr>
            <w:top w:val="none" w:sz="0" w:space="0" w:color="auto"/>
            <w:left w:val="none" w:sz="0" w:space="0" w:color="auto"/>
            <w:bottom w:val="none" w:sz="0" w:space="0" w:color="auto"/>
            <w:right w:val="none" w:sz="0" w:space="0" w:color="auto"/>
          </w:divBdr>
        </w:div>
      </w:divsChild>
    </w:div>
    <w:div w:id="955259424">
      <w:bodyDiv w:val="1"/>
      <w:marLeft w:val="0"/>
      <w:marRight w:val="0"/>
      <w:marTop w:val="0"/>
      <w:marBottom w:val="0"/>
      <w:divBdr>
        <w:top w:val="none" w:sz="0" w:space="0" w:color="auto"/>
        <w:left w:val="none" w:sz="0" w:space="0" w:color="auto"/>
        <w:bottom w:val="none" w:sz="0" w:space="0" w:color="auto"/>
        <w:right w:val="none" w:sz="0" w:space="0" w:color="auto"/>
      </w:divBdr>
      <w:divsChild>
        <w:div w:id="37049244">
          <w:marLeft w:val="0"/>
          <w:marRight w:val="0"/>
          <w:marTop w:val="0"/>
          <w:marBottom w:val="0"/>
          <w:divBdr>
            <w:top w:val="none" w:sz="0" w:space="0" w:color="auto"/>
            <w:left w:val="none" w:sz="0" w:space="0" w:color="auto"/>
            <w:bottom w:val="none" w:sz="0" w:space="0" w:color="auto"/>
            <w:right w:val="none" w:sz="0" w:space="0" w:color="auto"/>
          </w:divBdr>
        </w:div>
        <w:div w:id="239486527">
          <w:marLeft w:val="0"/>
          <w:marRight w:val="0"/>
          <w:marTop w:val="0"/>
          <w:marBottom w:val="0"/>
          <w:divBdr>
            <w:top w:val="none" w:sz="0" w:space="0" w:color="auto"/>
            <w:left w:val="none" w:sz="0" w:space="0" w:color="auto"/>
            <w:bottom w:val="none" w:sz="0" w:space="0" w:color="auto"/>
            <w:right w:val="none" w:sz="0" w:space="0" w:color="auto"/>
          </w:divBdr>
        </w:div>
        <w:div w:id="323167811">
          <w:marLeft w:val="0"/>
          <w:marRight w:val="0"/>
          <w:marTop w:val="0"/>
          <w:marBottom w:val="0"/>
          <w:divBdr>
            <w:top w:val="none" w:sz="0" w:space="0" w:color="auto"/>
            <w:left w:val="none" w:sz="0" w:space="0" w:color="auto"/>
            <w:bottom w:val="none" w:sz="0" w:space="0" w:color="auto"/>
            <w:right w:val="none" w:sz="0" w:space="0" w:color="auto"/>
          </w:divBdr>
        </w:div>
        <w:div w:id="382682424">
          <w:marLeft w:val="0"/>
          <w:marRight w:val="0"/>
          <w:marTop w:val="0"/>
          <w:marBottom w:val="0"/>
          <w:divBdr>
            <w:top w:val="none" w:sz="0" w:space="0" w:color="auto"/>
            <w:left w:val="none" w:sz="0" w:space="0" w:color="auto"/>
            <w:bottom w:val="none" w:sz="0" w:space="0" w:color="auto"/>
            <w:right w:val="none" w:sz="0" w:space="0" w:color="auto"/>
          </w:divBdr>
        </w:div>
        <w:div w:id="405684289">
          <w:marLeft w:val="0"/>
          <w:marRight w:val="0"/>
          <w:marTop w:val="0"/>
          <w:marBottom w:val="0"/>
          <w:divBdr>
            <w:top w:val="none" w:sz="0" w:space="0" w:color="auto"/>
            <w:left w:val="none" w:sz="0" w:space="0" w:color="auto"/>
            <w:bottom w:val="none" w:sz="0" w:space="0" w:color="auto"/>
            <w:right w:val="none" w:sz="0" w:space="0" w:color="auto"/>
          </w:divBdr>
        </w:div>
        <w:div w:id="408236532">
          <w:marLeft w:val="0"/>
          <w:marRight w:val="0"/>
          <w:marTop w:val="0"/>
          <w:marBottom w:val="0"/>
          <w:divBdr>
            <w:top w:val="none" w:sz="0" w:space="0" w:color="auto"/>
            <w:left w:val="none" w:sz="0" w:space="0" w:color="auto"/>
            <w:bottom w:val="none" w:sz="0" w:space="0" w:color="auto"/>
            <w:right w:val="none" w:sz="0" w:space="0" w:color="auto"/>
          </w:divBdr>
        </w:div>
        <w:div w:id="493104920">
          <w:marLeft w:val="0"/>
          <w:marRight w:val="0"/>
          <w:marTop w:val="0"/>
          <w:marBottom w:val="0"/>
          <w:divBdr>
            <w:top w:val="none" w:sz="0" w:space="0" w:color="auto"/>
            <w:left w:val="none" w:sz="0" w:space="0" w:color="auto"/>
            <w:bottom w:val="none" w:sz="0" w:space="0" w:color="auto"/>
            <w:right w:val="none" w:sz="0" w:space="0" w:color="auto"/>
          </w:divBdr>
        </w:div>
        <w:div w:id="536085296">
          <w:marLeft w:val="0"/>
          <w:marRight w:val="0"/>
          <w:marTop w:val="0"/>
          <w:marBottom w:val="0"/>
          <w:divBdr>
            <w:top w:val="none" w:sz="0" w:space="0" w:color="auto"/>
            <w:left w:val="none" w:sz="0" w:space="0" w:color="auto"/>
            <w:bottom w:val="none" w:sz="0" w:space="0" w:color="auto"/>
            <w:right w:val="none" w:sz="0" w:space="0" w:color="auto"/>
          </w:divBdr>
        </w:div>
        <w:div w:id="572278976">
          <w:marLeft w:val="0"/>
          <w:marRight w:val="0"/>
          <w:marTop w:val="0"/>
          <w:marBottom w:val="0"/>
          <w:divBdr>
            <w:top w:val="none" w:sz="0" w:space="0" w:color="auto"/>
            <w:left w:val="none" w:sz="0" w:space="0" w:color="auto"/>
            <w:bottom w:val="none" w:sz="0" w:space="0" w:color="auto"/>
            <w:right w:val="none" w:sz="0" w:space="0" w:color="auto"/>
          </w:divBdr>
        </w:div>
        <w:div w:id="634259092">
          <w:marLeft w:val="0"/>
          <w:marRight w:val="0"/>
          <w:marTop w:val="0"/>
          <w:marBottom w:val="0"/>
          <w:divBdr>
            <w:top w:val="none" w:sz="0" w:space="0" w:color="auto"/>
            <w:left w:val="none" w:sz="0" w:space="0" w:color="auto"/>
            <w:bottom w:val="none" w:sz="0" w:space="0" w:color="auto"/>
            <w:right w:val="none" w:sz="0" w:space="0" w:color="auto"/>
          </w:divBdr>
        </w:div>
        <w:div w:id="739988111">
          <w:marLeft w:val="0"/>
          <w:marRight w:val="0"/>
          <w:marTop w:val="0"/>
          <w:marBottom w:val="0"/>
          <w:divBdr>
            <w:top w:val="none" w:sz="0" w:space="0" w:color="auto"/>
            <w:left w:val="none" w:sz="0" w:space="0" w:color="auto"/>
            <w:bottom w:val="none" w:sz="0" w:space="0" w:color="auto"/>
            <w:right w:val="none" w:sz="0" w:space="0" w:color="auto"/>
          </w:divBdr>
        </w:div>
        <w:div w:id="872770718">
          <w:marLeft w:val="0"/>
          <w:marRight w:val="0"/>
          <w:marTop w:val="0"/>
          <w:marBottom w:val="0"/>
          <w:divBdr>
            <w:top w:val="none" w:sz="0" w:space="0" w:color="auto"/>
            <w:left w:val="none" w:sz="0" w:space="0" w:color="auto"/>
            <w:bottom w:val="none" w:sz="0" w:space="0" w:color="auto"/>
            <w:right w:val="none" w:sz="0" w:space="0" w:color="auto"/>
          </w:divBdr>
        </w:div>
        <w:div w:id="948270674">
          <w:marLeft w:val="0"/>
          <w:marRight w:val="0"/>
          <w:marTop w:val="0"/>
          <w:marBottom w:val="0"/>
          <w:divBdr>
            <w:top w:val="none" w:sz="0" w:space="0" w:color="auto"/>
            <w:left w:val="none" w:sz="0" w:space="0" w:color="auto"/>
            <w:bottom w:val="none" w:sz="0" w:space="0" w:color="auto"/>
            <w:right w:val="none" w:sz="0" w:space="0" w:color="auto"/>
          </w:divBdr>
        </w:div>
        <w:div w:id="1083913888">
          <w:marLeft w:val="0"/>
          <w:marRight w:val="0"/>
          <w:marTop w:val="0"/>
          <w:marBottom w:val="0"/>
          <w:divBdr>
            <w:top w:val="none" w:sz="0" w:space="0" w:color="auto"/>
            <w:left w:val="none" w:sz="0" w:space="0" w:color="auto"/>
            <w:bottom w:val="none" w:sz="0" w:space="0" w:color="auto"/>
            <w:right w:val="none" w:sz="0" w:space="0" w:color="auto"/>
          </w:divBdr>
        </w:div>
        <w:div w:id="1088035719">
          <w:marLeft w:val="0"/>
          <w:marRight w:val="0"/>
          <w:marTop w:val="0"/>
          <w:marBottom w:val="0"/>
          <w:divBdr>
            <w:top w:val="none" w:sz="0" w:space="0" w:color="auto"/>
            <w:left w:val="none" w:sz="0" w:space="0" w:color="auto"/>
            <w:bottom w:val="none" w:sz="0" w:space="0" w:color="auto"/>
            <w:right w:val="none" w:sz="0" w:space="0" w:color="auto"/>
          </w:divBdr>
        </w:div>
        <w:div w:id="1630354344">
          <w:marLeft w:val="0"/>
          <w:marRight w:val="0"/>
          <w:marTop w:val="0"/>
          <w:marBottom w:val="0"/>
          <w:divBdr>
            <w:top w:val="none" w:sz="0" w:space="0" w:color="auto"/>
            <w:left w:val="none" w:sz="0" w:space="0" w:color="auto"/>
            <w:bottom w:val="none" w:sz="0" w:space="0" w:color="auto"/>
            <w:right w:val="none" w:sz="0" w:space="0" w:color="auto"/>
          </w:divBdr>
        </w:div>
        <w:div w:id="1635720751">
          <w:marLeft w:val="0"/>
          <w:marRight w:val="0"/>
          <w:marTop w:val="0"/>
          <w:marBottom w:val="0"/>
          <w:divBdr>
            <w:top w:val="none" w:sz="0" w:space="0" w:color="auto"/>
            <w:left w:val="none" w:sz="0" w:space="0" w:color="auto"/>
            <w:bottom w:val="none" w:sz="0" w:space="0" w:color="auto"/>
            <w:right w:val="none" w:sz="0" w:space="0" w:color="auto"/>
          </w:divBdr>
        </w:div>
        <w:div w:id="1654679530">
          <w:marLeft w:val="0"/>
          <w:marRight w:val="0"/>
          <w:marTop w:val="0"/>
          <w:marBottom w:val="0"/>
          <w:divBdr>
            <w:top w:val="none" w:sz="0" w:space="0" w:color="auto"/>
            <w:left w:val="none" w:sz="0" w:space="0" w:color="auto"/>
            <w:bottom w:val="none" w:sz="0" w:space="0" w:color="auto"/>
            <w:right w:val="none" w:sz="0" w:space="0" w:color="auto"/>
          </w:divBdr>
        </w:div>
        <w:div w:id="1683898258">
          <w:marLeft w:val="0"/>
          <w:marRight w:val="0"/>
          <w:marTop w:val="0"/>
          <w:marBottom w:val="0"/>
          <w:divBdr>
            <w:top w:val="none" w:sz="0" w:space="0" w:color="auto"/>
            <w:left w:val="none" w:sz="0" w:space="0" w:color="auto"/>
            <w:bottom w:val="none" w:sz="0" w:space="0" w:color="auto"/>
            <w:right w:val="none" w:sz="0" w:space="0" w:color="auto"/>
          </w:divBdr>
        </w:div>
        <w:div w:id="1689911906">
          <w:marLeft w:val="0"/>
          <w:marRight w:val="0"/>
          <w:marTop w:val="0"/>
          <w:marBottom w:val="0"/>
          <w:divBdr>
            <w:top w:val="none" w:sz="0" w:space="0" w:color="auto"/>
            <w:left w:val="none" w:sz="0" w:space="0" w:color="auto"/>
            <w:bottom w:val="none" w:sz="0" w:space="0" w:color="auto"/>
            <w:right w:val="none" w:sz="0" w:space="0" w:color="auto"/>
          </w:divBdr>
        </w:div>
        <w:div w:id="1779255409">
          <w:marLeft w:val="0"/>
          <w:marRight w:val="0"/>
          <w:marTop w:val="0"/>
          <w:marBottom w:val="0"/>
          <w:divBdr>
            <w:top w:val="none" w:sz="0" w:space="0" w:color="auto"/>
            <w:left w:val="none" w:sz="0" w:space="0" w:color="auto"/>
            <w:bottom w:val="none" w:sz="0" w:space="0" w:color="auto"/>
            <w:right w:val="none" w:sz="0" w:space="0" w:color="auto"/>
          </w:divBdr>
        </w:div>
        <w:div w:id="1781686487">
          <w:marLeft w:val="0"/>
          <w:marRight w:val="0"/>
          <w:marTop w:val="0"/>
          <w:marBottom w:val="0"/>
          <w:divBdr>
            <w:top w:val="none" w:sz="0" w:space="0" w:color="auto"/>
            <w:left w:val="none" w:sz="0" w:space="0" w:color="auto"/>
            <w:bottom w:val="none" w:sz="0" w:space="0" w:color="auto"/>
            <w:right w:val="none" w:sz="0" w:space="0" w:color="auto"/>
          </w:divBdr>
        </w:div>
        <w:div w:id="1839539947">
          <w:marLeft w:val="0"/>
          <w:marRight w:val="0"/>
          <w:marTop w:val="0"/>
          <w:marBottom w:val="0"/>
          <w:divBdr>
            <w:top w:val="none" w:sz="0" w:space="0" w:color="auto"/>
            <w:left w:val="none" w:sz="0" w:space="0" w:color="auto"/>
            <w:bottom w:val="none" w:sz="0" w:space="0" w:color="auto"/>
            <w:right w:val="none" w:sz="0" w:space="0" w:color="auto"/>
          </w:divBdr>
        </w:div>
        <w:div w:id="1882398309">
          <w:marLeft w:val="0"/>
          <w:marRight w:val="0"/>
          <w:marTop w:val="0"/>
          <w:marBottom w:val="0"/>
          <w:divBdr>
            <w:top w:val="none" w:sz="0" w:space="0" w:color="auto"/>
            <w:left w:val="none" w:sz="0" w:space="0" w:color="auto"/>
            <w:bottom w:val="none" w:sz="0" w:space="0" w:color="auto"/>
            <w:right w:val="none" w:sz="0" w:space="0" w:color="auto"/>
          </w:divBdr>
        </w:div>
      </w:divsChild>
    </w:div>
    <w:div w:id="955598583">
      <w:bodyDiv w:val="1"/>
      <w:marLeft w:val="0"/>
      <w:marRight w:val="0"/>
      <w:marTop w:val="0"/>
      <w:marBottom w:val="0"/>
      <w:divBdr>
        <w:top w:val="none" w:sz="0" w:space="0" w:color="auto"/>
        <w:left w:val="none" w:sz="0" w:space="0" w:color="auto"/>
        <w:bottom w:val="none" w:sz="0" w:space="0" w:color="auto"/>
        <w:right w:val="none" w:sz="0" w:space="0" w:color="auto"/>
      </w:divBdr>
      <w:divsChild>
        <w:div w:id="1101799604">
          <w:marLeft w:val="0"/>
          <w:marRight w:val="0"/>
          <w:marTop w:val="0"/>
          <w:marBottom w:val="0"/>
          <w:divBdr>
            <w:top w:val="none" w:sz="0" w:space="0" w:color="auto"/>
            <w:left w:val="none" w:sz="0" w:space="0" w:color="auto"/>
            <w:bottom w:val="none" w:sz="0" w:space="0" w:color="auto"/>
            <w:right w:val="none" w:sz="0" w:space="0" w:color="auto"/>
          </w:divBdr>
        </w:div>
      </w:divsChild>
    </w:div>
    <w:div w:id="958026063">
      <w:bodyDiv w:val="1"/>
      <w:marLeft w:val="0"/>
      <w:marRight w:val="0"/>
      <w:marTop w:val="0"/>
      <w:marBottom w:val="0"/>
      <w:divBdr>
        <w:top w:val="none" w:sz="0" w:space="0" w:color="auto"/>
        <w:left w:val="none" w:sz="0" w:space="0" w:color="auto"/>
        <w:bottom w:val="none" w:sz="0" w:space="0" w:color="auto"/>
        <w:right w:val="none" w:sz="0" w:space="0" w:color="auto"/>
      </w:divBdr>
    </w:div>
    <w:div w:id="970748656">
      <w:bodyDiv w:val="1"/>
      <w:marLeft w:val="0"/>
      <w:marRight w:val="0"/>
      <w:marTop w:val="0"/>
      <w:marBottom w:val="0"/>
      <w:divBdr>
        <w:top w:val="none" w:sz="0" w:space="0" w:color="auto"/>
        <w:left w:val="none" w:sz="0" w:space="0" w:color="auto"/>
        <w:bottom w:val="none" w:sz="0" w:space="0" w:color="auto"/>
        <w:right w:val="none" w:sz="0" w:space="0" w:color="auto"/>
      </w:divBdr>
    </w:div>
    <w:div w:id="975142237">
      <w:bodyDiv w:val="1"/>
      <w:marLeft w:val="0"/>
      <w:marRight w:val="0"/>
      <w:marTop w:val="0"/>
      <w:marBottom w:val="0"/>
      <w:divBdr>
        <w:top w:val="none" w:sz="0" w:space="0" w:color="auto"/>
        <w:left w:val="none" w:sz="0" w:space="0" w:color="auto"/>
        <w:bottom w:val="none" w:sz="0" w:space="0" w:color="auto"/>
        <w:right w:val="none" w:sz="0" w:space="0" w:color="auto"/>
      </w:divBdr>
      <w:divsChild>
        <w:div w:id="110978024">
          <w:marLeft w:val="0"/>
          <w:marRight w:val="0"/>
          <w:marTop w:val="0"/>
          <w:marBottom w:val="0"/>
          <w:divBdr>
            <w:top w:val="none" w:sz="0" w:space="0" w:color="auto"/>
            <w:left w:val="none" w:sz="0" w:space="0" w:color="auto"/>
            <w:bottom w:val="none" w:sz="0" w:space="0" w:color="auto"/>
            <w:right w:val="none" w:sz="0" w:space="0" w:color="auto"/>
          </w:divBdr>
        </w:div>
        <w:div w:id="147208534">
          <w:marLeft w:val="0"/>
          <w:marRight w:val="0"/>
          <w:marTop w:val="0"/>
          <w:marBottom w:val="0"/>
          <w:divBdr>
            <w:top w:val="none" w:sz="0" w:space="0" w:color="auto"/>
            <w:left w:val="none" w:sz="0" w:space="0" w:color="auto"/>
            <w:bottom w:val="none" w:sz="0" w:space="0" w:color="auto"/>
            <w:right w:val="none" w:sz="0" w:space="0" w:color="auto"/>
          </w:divBdr>
        </w:div>
        <w:div w:id="269509546">
          <w:marLeft w:val="0"/>
          <w:marRight w:val="0"/>
          <w:marTop w:val="0"/>
          <w:marBottom w:val="0"/>
          <w:divBdr>
            <w:top w:val="none" w:sz="0" w:space="0" w:color="auto"/>
            <w:left w:val="none" w:sz="0" w:space="0" w:color="auto"/>
            <w:bottom w:val="none" w:sz="0" w:space="0" w:color="auto"/>
            <w:right w:val="none" w:sz="0" w:space="0" w:color="auto"/>
          </w:divBdr>
        </w:div>
        <w:div w:id="291134642">
          <w:marLeft w:val="0"/>
          <w:marRight w:val="0"/>
          <w:marTop w:val="0"/>
          <w:marBottom w:val="0"/>
          <w:divBdr>
            <w:top w:val="none" w:sz="0" w:space="0" w:color="auto"/>
            <w:left w:val="none" w:sz="0" w:space="0" w:color="auto"/>
            <w:bottom w:val="none" w:sz="0" w:space="0" w:color="auto"/>
            <w:right w:val="none" w:sz="0" w:space="0" w:color="auto"/>
          </w:divBdr>
        </w:div>
        <w:div w:id="320039463">
          <w:marLeft w:val="0"/>
          <w:marRight w:val="0"/>
          <w:marTop w:val="0"/>
          <w:marBottom w:val="0"/>
          <w:divBdr>
            <w:top w:val="none" w:sz="0" w:space="0" w:color="auto"/>
            <w:left w:val="none" w:sz="0" w:space="0" w:color="auto"/>
            <w:bottom w:val="none" w:sz="0" w:space="0" w:color="auto"/>
            <w:right w:val="none" w:sz="0" w:space="0" w:color="auto"/>
          </w:divBdr>
        </w:div>
        <w:div w:id="334308832">
          <w:marLeft w:val="0"/>
          <w:marRight w:val="0"/>
          <w:marTop w:val="0"/>
          <w:marBottom w:val="0"/>
          <w:divBdr>
            <w:top w:val="none" w:sz="0" w:space="0" w:color="auto"/>
            <w:left w:val="none" w:sz="0" w:space="0" w:color="auto"/>
            <w:bottom w:val="none" w:sz="0" w:space="0" w:color="auto"/>
            <w:right w:val="none" w:sz="0" w:space="0" w:color="auto"/>
          </w:divBdr>
        </w:div>
        <w:div w:id="439180031">
          <w:marLeft w:val="0"/>
          <w:marRight w:val="0"/>
          <w:marTop w:val="0"/>
          <w:marBottom w:val="0"/>
          <w:divBdr>
            <w:top w:val="none" w:sz="0" w:space="0" w:color="auto"/>
            <w:left w:val="none" w:sz="0" w:space="0" w:color="auto"/>
            <w:bottom w:val="none" w:sz="0" w:space="0" w:color="auto"/>
            <w:right w:val="none" w:sz="0" w:space="0" w:color="auto"/>
          </w:divBdr>
        </w:div>
        <w:div w:id="508447571">
          <w:marLeft w:val="0"/>
          <w:marRight w:val="0"/>
          <w:marTop w:val="0"/>
          <w:marBottom w:val="0"/>
          <w:divBdr>
            <w:top w:val="none" w:sz="0" w:space="0" w:color="auto"/>
            <w:left w:val="none" w:sz="0" w:space="0" w:color="auto"/>
            <w:bottom w:val="none" w:sz="0" w:space="0" w:color="auto"/>
            <w:right w:val="none" w:sz="0" w:space="0" w:color="auto"/>
          </w:divBdr>
        </w:div>
        <w:div w:id="657462483">
          <w:marLeft w:val="0"/>
          <w:marRight w:val="0"/>
          <w:marTop w:val="0"/>
          <w:marBottom w:val="0"/>
          <w:divBdr>
            <w:top w:val="none" w:sz="0" w:space="0" w:color="auto"/>
            <w:left w:val="none" w:sz="0" w:space="0" w:color="auto"/>
            <w:bottom w:val="none" w:sz="0" w:space="0" w:color="auto"/>
            <w:right w:val="none" w:sz="0" w:space="0" w:color="auto"/>
          </w:divBdr>
        </w:div>
        <w:div w:id="688914709">
          <w:marLeft w:val="0"/>
          <w:marRight w:val="0"/>
          <w:marTop w:val="0"/>
          <w:marBottom w:val="0"/>
          <w:divBdr>
            <w:top w:val="none" w:sz="0" w:space="0" w:color="auto"/>
            <w:left w:val="none" w:sz="0" w:space="0" w:color="auto"/>
            <w:bottom w:val="none" w:sz="0" w:space="0" w:color="auto"/>
            <w:right w:val="none" w:sz="0" w:space="0" w:color="auto"/>
          </w:divBdr>
        </w:div>
        <w:div w:id="1095590388">
          <w:marLeft w:val="0"/>
          <w:marRight w:val="0"/>
          <w:marTop w:val="0"/>
          <w:marBottom w:val="0"/>
          <w:divBdr>
            <w:top w:val="none" w:sz="0" w:space="0" w:color="auto"/>
            <w:left w:val="none" w:sz="0" w:space="0" w:color="auto"/>
            <w:bottom w:val="none" w:sz="0" w:space="0" w:color="auto"/>
            <w:right w:val="none" w:sz="0" w:space="0" w:color="auto"/>
          </w:divBdr>
        </w:div>
        <w:div w:id="1319066919">
          <w:marLeft w:val="0"/>
          <w:marRight w:val="0"/>
          <w:marTop w:val="0"/>
          <w:marBottom w:val="0"/>
          <w:divBdr>
            <w:top w:val="none" w:sz="0" w:space="0" w:color="auto"/>
            <w:left w:val="none" w:sz="0" w:space="0" w:color="auto"/>
            <w:bottom w:val="none" w:sz="0" w:space="0" w:color="auto"/>
            <w:right w:val="none" w:sz="0" w:space="0" w:color="auto"/>
          </w:divBdr>
        </w:div>
        <w:div w:id="1605527783">
          <w:marLeft w:val="0"/>
          <w:marRight w:val="0"/>
          <w:marTop w:val="0"/>
          <w:marBottom w:val="0"/>
          <w:divBdr>
            <w:top w:val="none" w:sz="0" w:space="0" w:color="auto"/>
            <w:left w:val="none" w:sz="0" w:space="0" w:color="auto"/>
            <w:bottom w:val="none" w:sz="0" w:space="0" w:color="auto"/>
            <w:right w:val="none" w:sz="0" w:space="0" w:color="auto"/>
          </w:divBdr>
        </w:div>
        <w:div w:id="1646010607">
          <w:marLeft w:val="0"/>
          <w:marRight w:val="0"/>
          <w:marTop w:val="0"/>
          <w:marBottom w:val="0"/>
          <w:divBdr>
            <w:top w:val="none" w:sz="0" w:space="0" w:color="auto"/>
            <w:left w:val="none" w:sz="0" w:space="0" w:color="auto"/>
            <w:bottom w:val="none" w:sz="0" w:space="0" w:color="auto"/>
            <w:right w:val="none" w:sz="0" w:space="0" w:color="auto"/>
          </w:divBdr>
        </w:div>
        <w:div w:id="1696153458">
          <w:marLeft w:val="0"/>
          <w:marRight w:val="0"/>
          <w:marTop w:val="0"/>
          <w:marBottom w:val="0"/>
          <w:divBdr>
            <w:top w:val="none" w:sz="0" w:space="0" w:color="auto"/>
            <w:left w:val="none" w:sz="0" w:space="0" w:color="auto"/>
            <w:bottom w:val="none" w:sz="0" w:space="0" w:color="auto"/>
            <w:right w:val="none" w:sz="0" w:space="0" w:color="auto"/>
          </w:divBdr>
        </w:div>
        <w:div w:id="1746489333">
          <w:marLeft w:val="0"/>
          <w:marRight w:val="0"/>
          <w:marTop w:val="0"/>
          <w:marBottom w:val="0"/>
          <w:divBdr>
            <w:top w:val="none" w:sz="0" w:space="0" w:color="auto"/>
            <w:left w:val="none" w:sz="0" w:space="0" w:color="auto"/>
            <w:bottom w:val="none" w:sz="0" w:space="0" w:color="auto"/>
            <w:right w:val="none" w:sz="0" w:space="0" w:color="auto"/>
          </w:divBdr>
          <w:divsChild>
            <w:div w:id="632564775">
              <w:marLeft w:val="0"/>
              <w:marRight w:val="0"/>
              <w:marTop w:val="0"/>
              <w:marBottom w:val="0"/>
              <w:divBdr>
                <w:top w:val="none" w:sz="0" w:space="0" w:color="auto"/>
                <w:left w:val="none" w:sz="0" w:space="0" w:color="auto"/>
                <w:bottom w:val="none" w:sz="0" w:space="0" w:color="auto"/>
                <w:right w:val="none" w:sz="0" w:space="0" w:color="auto"/>
              </w:divBdr>
            </w:div>
            <w:div w:id="1361592876">
              <w:marLeft w:val="0"/>
              <w:marRight w:val="0"/>
              <w:marTop w:val="0"/>
              <w:marBottom w:val="0"/>
              <w:divBdr>
                <w:top w:val="none" w:sz="0" w:space="0" w:color="auto"/>
                <w:left w:val="none" w:sz="0" w:space="0" w:color="auto"/>
                <w:bottom w:val="none" w:sz="0" w:space="0" w:color="auto"/>
                <w:right w:val="none" w:sz="0" w:space="0" w:color="auto"/>
              </w:divBdr>
            </w:div>
            <w:div w:id="1947082159">
              <w:marLeft w:val="0"/>
              <w:marRight w:val="0"/>
              <w:marTop w:val="0"/>
              <w:marBottom w:val="0"/>
              <w:divBdr>
                <w:top w:val="none" w:sz="0" w:space="0" w:color="auto"/>
                <w:left w:val="none" w:sz="0" w:space="0" w:color="auto"/>
                <w:bottom w:val="none" w:sz="0" w:space="0" w:color="auto"/>
                <w:right w:val="none" w:sz="0" w:space="0" w:color="auto"/>
              </w:divBdr>
            </w:div>
            <w:div w:id="1991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9582">
      <w:bodyDiv w:val="1"/>
      <w:marLeft w:val="0"/>
      <w:marRight w:val="0"/>
      <w:marTop w:val="0"/>
      <w:marBottom w:val="0"/>
      <w:divBdr>
        <w:top w:val="none" w:sz="0" w:space="0" w:color="auto"/>
        <w:left w:val="none" w:sz="0" w:space="0" w:color="auto"/>
        <w:bottom w:val="none" w:sz="0" w:space="0" w:color="auto"/>
        <w:right w:val="none" w:sz="0" w:space="0" w:color="auto"/>
      </w:divBdr>
      <w:divsChild>
        <w:div w:id="1874808409">
          <w:marLeft w:val="0"/>
          <w:marRight w:val="0"/>
          <w:marTop w:val="0"/>
          <w:marBottom w:val="0"/>
          <w:divBdr>
            <w:top w:val="none" w:sz="0" w:space="0" w:color="auto"/>
            <w:left w:val="none" w:sz="0" w:space="0" w:color="auto"/>
            <w:bottom w:val="none" w:sz="0" w:space="0" w:color="auto"/>
            <w:right w:val="none" w:sz="0" w:space="0" w:color="auto"/>
          </w:divBdr>
        </w:div>
      </w:divsChild>
    </w:div>
    <w:div w:id="977149247">
      <w:bodyDiv w:val="1"/>
      <w:marLeft w:val="0"/>
      <w:marRight w:val="0"/>
      <w:marTop w:val="0"/>
      <w:marBottom w:val="0"/>
      <w:divBdr>
        <w:top w:val="none" w:sz="0" w:space="0" w:color="auto"/>
        <w:left w:val="none" w:sz="0" w:space="0" w:color="auto"/>
        <w:bottom w:val="none" w:sz="0" w:space="0" w:color="auto"/>
        <w:right w:val="none" w:sz="0" w:space="0" w:color="auto"/>
      </w:divBdr>
    </w:div>
    <w:div w:id="977807526">
      <w:bodyDiv w:val="1"/>
      <w:marLeft w:val="0"/>
      <w:marRight w:val="0"/>
      <w:marTop w:val="0"/>
      <w:marBottom w:val="0"/>
      <w:divBdr>
        <w:top w:val="none" w:sz="0" w:space="0" w:color="auto"/>
        <w:left w:val="none" w:sz="0" w:space="0" w:color="auto"/>
        <w:bottom w:val="none" w:sz="0" w:space="0" w:color="auto"/>
        <w:right w:val="none" w:sz="0" w:space="0" w:color="auto"/>
      </w:divBdr>
    </w:div>
    <w:div w:id="978341069">
      <w:bodyDiv w:val="1"/>
      <w:marLeft w:val="0"/>
      <w:marRight w:val="0"/>
      <w:marTop w:val="0"/>
      <w:marBottom w:val="0"/>
      <w:divBdr>
        <w:top w:val="none" w:sz="0" w:space="0" w:color="auto"/>
        <w:left w:val="none" w:sz="0" w:space="0" w:color="auto"/>
        <w:bottom w:val="none" w:sz="0" w:space="0" w:color="auto"/>
        <w:right w:val="none" w:sz="0" w:space="0" w:color="auto"/>
      </w:divBdr>
      <w:divsChild>
        <w:div w:id="6368905">
          <w:marLeft w:val="0"/>
          <w:marRight w:val="0"/>
          <w:marTop w:val="0"/>
          <w:marBottom w:val="0"/>
          <w:divBdr>
            <w:top w:val="none" w:sz="0" w:space="0" w:color="auto"/>
            <w:left w:val="none" w:sz="0" w:space="0" w:color="auto"/>
            <w:bottom w:val="none" w:sz="0" w:space="0" w:color="auto"/>
            <w:right w:val="none" w:sz="0" w:space="0" w:color="auto"/>
          </w:divBdr>
        </w:div>
        <w:div w:id="42145255">
          <w:marLeft w:val="0"/>
          <w:marRight w:val="0"/>
          <w:marTop w:val="0"/>
          <w:marBottom w:val="0"/>
          <w:divBdr>
            <w:top w:val="none" w:sz="0" w:space="0" w:color="auto"/>
            <w:left w:val="none" w:sz="0" w:space="0" w:color="auto"/>
            <w:bottom w:val="none" w:sz="0" w:space="0" w:color="auto"/>
            <w:right w:val="none" w:sz="0" w:space="0" w:color="auto"/>
          </w:divBdr>
        </w:div>
        <w:div w:id="52237328">
          <w:marLeft w:val="0"/>
          <w:marRight w:val="0"/>
          <w:marTop w:val="0"/>
          <w:marBottom w:val="0"/>
          <w:divBdr>
            <w:top w:val="none" w:sz="0" w:space="0" w:color="auto"/>
            <w:left w:val="none" w:sz="0" w:space="0" w:color="auto"/>
            <w:bottom w:val="none" w:sz="0" w:space="0" w:color="auto"/>
            <w:right w:val="none" w:sz="0" w:space="0" w:color="auto"/>
          </w:divBdr>
        </w:div>
        <w:div w:id="105929117">
          <w:marLeft w:val="0"/>
          <w:marRight w:val="0"/>
          <w:marTop w:val="0"/>
          <w:marBottom w:val="0"/>
          <w:divBdr>
            <w:top w:val="none" w:sz="0" w:space="0" w:color="auto"/>
            <w:left w:val="none" w:sz="0" w:space="0" w:color="auto"/>
            <w:bottom w:val="none" w:sz="0" w:space="0" w:color="auto"/>
            <w:right w:val="none" w:sz="0" w:space="0" w:color="auto"/>
          </w:divBdr>
        </w:div>
        <w:div w:id="166404337">
          <w:marLeft w:val="0"/>
          <w:marRight w:val="0"/>
          <w:marTop w:val="0"/>
          <w:marBottom w:val="0"/>
          <w:divBdr>
            <w:top w:val="none" w:sz="0" w:space="0" w:color="auto"/>
            <w:left w:val="none" w:sz="0" w:space="0" w:color="auto"/>
            <w:bottom w:val="none" w:sz="0" w:space="0" w:color="auto"/>
            <w:right w:val="none" w:sz="0" w:space="0" w:color="auto"/>
          </w:divBdr>
        </w:div>
        <w:div w:id="172957880">
          <w:marLeft w:val="0"/>
          <w:marRight w:val="0"/>
          <w:marTop w:val="0"/>
          <w:marBottom w:val="0"/>
          <w:divBdr>
            <w:top w:val="none" w:sz="0" w:space="0" w:color="auto"/>
            <w:left w:val="none" w:sz="0" w:space="0" w:color="auto"/>
            <w:bottom w:val="none" w:sz="0" w:space="0" w:color="auto"/>
            <w:right w:val="none" w:sz="0" w:space="0" w:color="auto"/>
          </w:divBdr>
        </w:div>
        <w:div w:id="187568796">
          <w:marLeft w:val="0"/>
          <w:marRight w:val="0"/>
          <w:marTop w:val="0"/>
          <w:marBottom w:val="0"/>
          <w:divBdr>
            <w:top w:val="none" w:sz="0" w:space="0" w:color="auto"/>
            <w:left w:val="none" w:sz="0" w:space="0" w:color="auto"/>
            <w:bottom w:val="none" w:sz="0" w:space="0" w:color="auto"/>
            <w:right w:val="none" w:sz="0" w:space="0" w:color="auto"/>
          </w:divBdr>
        </w:div>
        <w:div w:id="205336067">
          <w:marLeft w:val="0"/>
          <w:marRight w:val="0"/>
          <w:marTop w:val="0"/>
          <w:marBottom w:val="0"/>
          <w:divBdr>
            <w:top w:val="none" w:sz="0" w:space="0" w:color="auto"/>
            <w:left w:val="none" w:sz="0" w:space="0" w:color="auto"/>
            <w:bottom w:val="none" w:sz="0" w:space="0" w:color="auto"/>
            <w:right w:val="none" w:sz="0" w:space="0" w:color="auto"/>
          </w:divBdr>
        </w:div>
        <w:div w:id="364598280">
          <w:marLeft w:val="0"/>
          <w:marRight w:val="0"/>
          <w:marTop w:val="0"/>
          <w:marBottom w:val="0"/>
          <w:divBdr>
            <w:top w:val="none" w:sz="0" w:space="0" w:color="auto"/>
            <w:left w:val="none" w:sz="0" w:space="0" w:color="auto"/>
            <w:bottom w:val="none" w:sz="0" w:space="0" w:color="auto"/>
            <w:right w:val="none" w:sz="0" w:space="0" w:color="auto"/>
          </w:divBdr>
        </w:div>
        <w:div w:id="401146723">
          <w:marLeft w:val="0"/>
          <w:marRight w:val="0"/>
          <w:marTop w:val="0"/>
          <w:marBottom w:val="0"/>
          <w:divBdr>
            <w:top w:val="none" w:sz="0" w:space="0" w:color="auto"/>
            <w:left w:val="none" w:sz="0" w:space="0" w:color="auto"/>
            <w:bottom w:val="none" w:sz="0" w:space="0" w:color="auto"/>
            <w:right w:val="none" w:sz="0" w:space="0" w:color="auto"/>
          </w:divBdr>
        </w:div>
        <w:div w:id="425031884">
          <w:marLeft w:val="0"/>
          <w:marRight w:val="0"/>
          <w:marTop w:val="0"/>
          <w:marBottom w:val="0"/>
          <w:divBdr>
            <w:top w:val="none" w:sz="0" w:space="0" w:color="auto"/>
            <w:left w:val="none" w:sz="0" w:space="0" w:color="auto"/>
            <w:bottom w:val="none" w:sz="0" w:space="0" w:color="auto"/>
            <w:right w:val="none" w:sz="0" w:space="0" w:color="auto"/>
          </w:divBdr>
        </w:div>
        <w:div w:id="447821440">
          <w:marLeft w:val="0"/>
          <w:marRight w:val="0"/>
          <w:marTop w:val="0"/>
          <w:marBottom w:val="0"/>
          <w:divBdr>
            <w:top w:val="none" w:sz="0" w:space="0" w:color="auto"/>
            <w:left w:val="none" w:sz="0" w:space="0" w:color="auto"/>
            <w:bottom w:val="none" w:sz="0" w:space="0" w:color="auto"/>
            <w:right w:val="none" w:sz="0" w:space="0" w:color="auto"/>
          </w:divBdr>
        </w:div>
        <w:div w:id="459110953">
          <w:marLeft w:val="0"/>
          <w:marRight w:val="0"/>
          <w:marTop w:val="0"/>
          <w:marBottom w:val="0"/>
          <w:divBdr>
            <w:top w:val="none" w:sz="0" w:space="0" w:color="auto"/>
            <w:left w:val="none" w:sz="0" w:space="0" w:color="auto"/>
            <w:bottom w:val="none" w:sz="0" w:space="0" w:color="auto"/>
            <w:right w:val="none" w:sz="0" w:space="0" w:color="auto"/>
          </w:divBdr>
        </w:div>
        <w:div w:id="525756007">
          <w:marLeft w:val="0"/>
          <w:marRight w:val="0"/>
          <w:marTop w:val="0"/>
          <w:marBottom w:val="0"/>
          <w:divBdr>
            <w:top w:val="none" w:sz="0" w:space="0" w:color="auto"/>
            <w:left w:val="none" w:sz="0" w:space="0" w:color="auto"/>
            <w:bottom w:val="none" w:sz="0" w:space="0" w:color="auto"/>
            <w:right w:val="none" w:sz="0" w:space="0" w:color="auto"/>
          </w:divBdr>
        </w:div>
        <w:div w:id="537742021">
          <w:marLeft w:val="0"/>
          <w:marRight w:val="0"/>
          <w:marTop w:val="0"/>
          <w:marBottom w:val="0"/>
          <w:divBdr>
            <w:top w:val="none" w:sz="0" w:space="0" w:color="auto"/>
            <w:left w:val="none" w:sz="0" w:space="0" w:color="auto"/>
            <w:bottom w:val="none" w:sz="0" w:space="0" w:color="auto"/>
            <w:right w:val="none" w:sz="0" w:space="0" w:color="auto"/>
          </w:divBdr>
        </w:div>
        <w:div w:id="555510183">
          <w:marLeft w:val="0"/>
          <w:marRight w:val="0"/>
          <w:marTop w:val="0"/>
          <w:marBottom w:val="0"/>
          <w:divBdr>
            <w:top w:val="none" w:sz="0" w:space="0" w:color="auto"/>
            <w:left w:val="none" w:sz="0" w:space="0" w:color="auto"/>
            <w:bottom w:val="none" w:sz="0" w:space="0" w:color="auto"/>
            <w:right w:val="none" w:sz="0" w:space="0" w:color="auto"/>
          </w:divBdr>
        </w:div>
        <w:div w:id="601647598">
          <w:marLeft w:val="0"/>
          <w:marRight w:val="0"/>
          <w:marTop w:val="0"/>
          <w:marBottom w:val="0"/>
          <w:divBdr>
            <w:top w:val="none" w:sz="0" w:space="0" w:color="auto"/>
            <w:left w:val="none" w:sz="0" w:space="0" w:color="auto"/>
            <w:bottom w:val="none" w:sz="0" w:space="0" w:color="auto"/>
            <w:right w:val="none" w:sz="0" w:space="0" w:color="auto"/>
          </w:divBdr>
        </w:div>
        <w:div w:id="617950410">
          <w:marLeft w:val="0"/>
          <w:marRight w:val="0"/>
          <w:marTop w:val="0"/>
          <w:marBottom w:val="0"/>
          <w:divBdr>
            <w:top w:val="none" w:sz="0" w:space="0" w:color="auto"/>
            <w:left w:val="none" w:sz="0" w:space="0" w:color="auto"/>
            <w:bottom w:val="none" w:sz="0" w:space="0" w:color="auto"/>
            <w:right w:val="none" w:sz="0" w:space="0" w:color="auto"/>
          </w:divBdr>
        </w:div>
        <w:div w:id="651061568">
          <w:marLeft w:val="0"/>
          <w:marRight w:val="0"/>
          <w:marTop w:val="0"/>
          <w:marBottom w:val="0"/>
          <w:divBdr>
            <w:top w:val="none" w:sz="0" w:space="0" w:color="auto"/>
            <w:left w:val="none" w:sz="0" w:space="0" w:color="auto"/>
            <w:bottom w:val="none" w:sz="0" w:space="0" w:color="auto"/>
            <w:right w:val="none" w:sz="0" w:space="0" w:color="auto"/>
          </w:divBdr>
        </w:div>
        <w:div w:id="710300641">
          <w:marLeft w:val="0"/>
          <w:marRight w:val="0"/>
          <w:marTop w:val="0"/>
          <w:marBottom w:val="0"/>
          <w:divBdr>
            <w:top w:val="none" w:sz="0" w:space="0" w:color="auto"/>
            <w:left w:val="none" w:sz="0" w:space="0" w:color="auto"/>
            <w:bottom w:val="none" w:sz="0" w:space="0" w:color="auto"/>
            <w:right w:val="none" w:sz="0" w:space="0" w:color="auto"/>
          </w:divBdr>
        </w:div>
        <w:div w:id="768694046">
          <w:marLeft w:val="0"/>
          <w:marRight w:val="0"/>
          <w:marTop w:val="0"/>
          <w:marBottom w:val="0"/>
          <w:divBdr>
            <w:top w:val="none" w:sz="0" w:space="0" w:color="auto"/>
            <w:left w:val="none" w:sz="0" w:space="0" w:color="auto"/>
            <w:bottom w:val="none" w:sz="0" w:space="0" w:color="auto"/>
            <w:right w:val="none" w:sz="0" w:space="0" w:color="auto"/>
          </w:divBdr>
        </w:div>
        <w:div w:id="805003717">
          <w:marLeft w:val="0"/>
          <w:marRight w:val="0"/>
          <w:marTop w:val="0"/>
          <w:marBottom w:val="0"/>
          <w:divBdr>
            <w:top w:val="none" w:sz="0" w:space="0" w:color="auto"/>
            <w:left w:val="none" w:sz="0" w:space="0" w:color="auto"/>
            <w:bottom w:val="none" w:sz="0" w:space="0" w:color="auto"/>
            <w:right w:val="none" w:sz="0" w:space="0" w:color="auto"/>
          </w:divBdr>
        </w:div>
        <w:div w:id="853953749">
          <w:marLeft w:val="0"/>
          <w:marRight w:val="0"/>
          <w:marTop w:val="0"/>
          <w:marBottom w:val="0"/>
          <w:divBdr>
            <w:top w:val="none" w:sz="0" w:space="0" w:color="auto"/>
            <w:left w:val="none" w:sz="0" w:space="0" w:color="auto"/>
            <w:bottom w:val="none" w:sz="0" w:space="0" w:color="auto"/>
            <w:right w:val="none" w:sz="0" w:space="0" w:color="auto"/>
          </w:divBdr>
        </w:div>
        <w:div w:id="898831138">
          <w:marLeft w:val="0"/>
          <w:marRight w:val="0"/>
          <w:marTop w:val="0"/>
          <w:marBottom w:val="0"/>
          <w:divBdr>
            <w:top w:val="none" w:sz="0" w:space="0" w:color="auto"/>
            <w:left w:val="none" w:sz="0" w:space="0" w:color="auto"/>
            <w:bottom w:val="none" w:sz="0" w:space="0" w:color="auto"/>
            <w:right w:val="none" w:sz="0" w:space="0" w:color="auto"/>
          </w:divBdr>
        </w:div>
        <w:div w:id="917520417">
          <w:marLeft w:val="0"/>
          <w:marRight w:val="0"/>
          <w:marTop w:val="0"/>
          <w:marBottom w:val="0"/>
          <w:divBdr>
            <w:top w:val="none" w:sz="0" w:space="0" w:color="auto"/>
            <w:left w:val="none" w:sz="0" w:space="0" w:color="auto"/>
            <w:bottom w:val="none" w:sz="0" w:space="0" w:color="auto"/>
            <w:right w:val="none" w:sz="0" w:space="0" w:color="auto"/>
          </w:divBdr>
        </w:div>
        <w:div w:id="996421767">
          <w:marLeft w:val="0"/>
          <w:marRight w:val="0"/>
          <w:marTop w:val="0"/>
          <w:marBottom w:val="0"/>
          <w:divBdr>
            <w:top w:val="none" w:sz="0" w:space="0" w:color="auto"/>
            <w:left w:val="none" w:sz="0" w:space="0" w:color="auto"/>
            <w:bottom w:val="none" w:sz="0" w:space="0" w:color="auto"/>
            <w:right w:val="none" w:sz="0" w:space="0" w:color="auto"/>
          </w:divBdr>
        </w:div>
        <w:div w:id="1012220173">
          <w:marLeft w:val="0"/>
          <w:marRight w:val="0"/>
          <w:marTop w:val="0"/>
          <w:marBottom w:val="0"/>
          <w:divBdr>
            <w:top w:val="none" w:sz="0" w:space="0" w:color="auto"/>
            <w:left w:val="none" w:sz="0" w:space="0" w:color="auto"/>
            <w:bottom w:val="none" w:sz="0" w:space="0" w:color="auto"/>
            <w:right w:val="none" w:sz="0" w:space="0" w:color="auto"/>
          </w:divBdr>
        </w:div>
        <w:div w:id="1062754488">
          <w:marLeft w:val="0"/>
          <w:marRight w:val="0"/>
          <w:marTop w:val="0"/>
          <w:marBottom w:val="0"/>
          <w:divBdr>
            <w:top w:val="none" w:sz="0" w:space="0" w:color="auto"/>
            <w:left w:val="none" w:sz="0" w:space="0" w:color="auto"/>
            <w:bottom w:val="none" w:sz="0" w:space="0" w:color="auto"/>
            <w:right w:val="none" w:sz="0" w:space="0" w:color="auto"/>
          </w:divBdr>
        </w:div>
        <w:div w:id="1079252155">
          <w:marLeft w:val="0"/>
          <w:marRight w:val="0"/>
          <w:marTop w:val="0"/>
          <w:marBottom w:val="0"/>
          <w:divBdr>
            <w:top w:val="none" w:sz="0" w:space="0" w:color="auto"/>
            <w:left w:val="none" w:sz="0" w:space="0" w:color="auto"/>
            <w:bottom w:val="none" w:sz="0" w:space="0" w:color="auto"/>
            <w:right w:val="none" w:sz="0" w:space="0" w:color="auto"/>
          </w:divBdr>
        </w:div>
        <w:div w:id="1108692973">
          <w:marLeft w:val="0"/>
          <w:marRight w:val="0"/>
          <w:marTop w:val="0"/>
          <w:marBottom w:val="0"/>
          <w:divBdr>
            <w:top w:val="none" w:sz="0" w:space="0" w:color="auto"/>
            <w:left w:val="none" w:sz="0" w:space="0" w:color="auto"/>
            <w:bottom w:val="none" w:sz="0" w:space="0" w:color="auto"/>
            <w:right w:val="none" w:sz="0" w:space="0" w:color="auto"/>
          </w:divBdr>
        </w:div>
        <w:div w:id="1150826327">
          <w:marLeft w:val="0"/>
          <w:marRight w:val="0"/>
          <w:marTop w:val="0"/>
          <w:marBottom w:val="0"/>
          <w:divBdr>
            <w:top w:val="none" w:sz="0" w:space="0" w:color="auto"/>
            <w:left w:val="none" w:sz="0" w:space="0" w:color="auto"/>
            <w:bottom w:val="none" w:sz="0" w:space="0" w:color="auto"/>
            <w:right w:val="none" w:sz="0" w:space="0" w:color="auto"/>
          </w:divBdr>
        </w:div>
        <w:div w:id="1193228989">
          <w:marLeft w:val="0"/>
          <w:marRight w:val="0"/>
          <w:marTop w:val="0"/>
          <w:marBottom w:val="0"/>
          <w:divBdr>
            <w:top w:val="none" w:sz="0" w:space="0" w:color="auto"/>
            <w:left w:val="none" w:sz="0" w:space="0" w:color="auto"/>
            <w:bottom w:val="none" w:sz="0" w:space="0" w:color="auto"/>
            <w:right w:val="none" w:sz="0" w:space="0" w:color="auto"/>
          </w:divBdr>
        </w:div>
        <w:div w:id="1204060023">
          <w:marLeft w:val="0"/>
          <w:marRight w:val="0"/>
          <w:marTop w:val="0"/>
          <w:marBottom w:val="0"/>
          <w:divBdr>
            <w:top w:val="none" w:sz="0" w:space="0" w:color="auto"/>
            <w:left w:val="none" w:sz="0" w:space="0" w:color="auto"/>
            <w:bottom w:val="none" w:sz="0" w:space="0" w:color="auto"/>
            <w:right w:val="none" w:sz="0" w:space="0" w:color="auto"/>
          </w:divBdr>
        </w:div>
        <w:div w:id="1213538119">
          <w:marLeft w:val="0"/>
          <w:marRight w:val="0"/>
          <w:marTop w:val="0"/>
          <w:marBottom w:val="0"/>
          <w:divBdr>
            <w:top w:val="none" w:sz="0" w:space="0" w:color="auto"/>
            <w:left w:val="none" w:sz="0" w:space="0" w:color="auto"/>
            <w:bottom w:val="none" w:sz="0" w:space="0" w:color="auto"/>
            <w:right w:val="none" w:sz="0" w:space="0" w:color="auto"/>
          </w:divBdr>
        </w:div>
        <w:div w:id="1238594756">
          <w:marLeft w:val="0"/>
          <w:marRight w:val="0"/>
          <w:marTop w:val="0"/>
          <w:marBottom w:val="0"/>
          <w:divBdr>
            <w:top w:val="none" w:sz="0" w:space="0" w:color="auto"/>
            <w:left w:val="none" w:sz="0" w:space="0" w:color="auto"/>
            <w:bottom w:val="none" w:sz="0" w:space="0" w:color="auto"/>
            <w:right w:val="none" w:sz="0" w:space="0" w:color="auto"/>
          </w:divBdr>
        </w:div>
        <w:div w:id="1249539999">
          <w:marLeft w:val="0"/>
          <w:marRight w:val="0"/>
          <w:marTop w:val="0"/>
          <w:marBottom w:val="0"/>
          <w:divBdr>
            <w:top w:val="none" w:sz="0" w:space="0" w:color="auto"/>
            <w:left w:val="none" w:sz="0" w:space="0" w:color="auto"/>
            <w:bottom w:val="none" w:sz="0" w:space="0" w:color="auto"/>
            <w:right w:val="none" w:sz="0" w:space="0" w:color="auto"/>
          </w:divBdr>
        </w:div>
        <w:div w:id="1261790750">
          <w:marLeft w:val="0"/>
          <w:marRight w:val="0"/>
          <w:marTop w:val="0"/>
          <w:marBottom w:val="0"/>
          <w:divBdr>
            <w:top w:val="none" w:sz="0" w:space="0" w:color="auto"/>
            <w:left w:val="none" w:sz="0" w:space="0" w:color="auto"/>
            <w:bottom w:val="none" w:sz="0" w:space="0" w:color="auto"/>
            <w:right w:val="none" w:sz="0" w:space="0" w:color="auto"/>
          </w:divBdr>
        </w:div>
        <w:div w:id="1308052073">
          <w:marLeft w:val="0"/>
          <w:marRight w:val="0"/>
          <w:marTop w:val="0"/>
          <w:marBottom w:val="0"/>
          <w:divBdr>
            <w:top w:val="none" w:sz="0" w:space="0" w:color="auto"/>
            <w:left w:val="none" w:sz="0" w:space="0" w:color="auto"/>
            <w:bottom w:val="none" w:sz="0" w:space="0" w:color="auto"/>
            <w:right w:val="none" w:sz="0" w:space="0" w:color="auto"/>
          </w:divBdr>
        </w:div>
        <w:div w:id="1360084141">
          <w:marLeft w:val="0"/>
          <w:marRight w:val="0"/>
          <w:marTop w:val="0"/>
          <w:marBottom w:val="0"/>
          <w:divBdr>
            <w:top w:val="none" w:sz="0" w:space="0" w:color="auto"/>
            <w:left w:val="none" w:sz="0" w:space="0" w:color="auto"/>
            <w:bottom w:val="none" w:sz="0" w:space="0" w:color="auto"/>
            <w:right w:val="none" w:sz="0" w:space="0" w:color="auto"/>
          </w:divBdr>
        </w:div>
        <w:div w:id="1461335656">
          <w:marLeft w:val="0"/>
          <w:marRight w:val="0"/>
          <w:marTop w:val="0"/>
          <w:marBottom w:val="0"/>
          <w:divBdr>
            <w:top w:val="none" w:sz="0" w:space="0" w:color="auto"/>
            <w:left w:val="none" w:sz="0" w:space="0" w:color="auto"/>
            <w:bottom w:val="none" w:sz="0" w:space="0" w:color="auto"/>
            <w:right w:val="none" w:sz="0" w:space="0" w:color="auto"/>
          </w:divBdr>
        </w:div>
        <w:div w:id="1470975436">
          <w:marLeft w:val="0"/>
          <w:marRight w:val="0"/>
          <w:marTop w:val="0"/>
          <w:marBottom w:val="0"/>
          <w:divBdr>
            <w:top w:val="none" w:sz="0" w:space="0" w:color="auto"/>
            <w:left w:val="none" w:sz="0" w:space="0" w:color="auto"/>
            <w:bottom w:val="none" w:sz="0" w:space="0" w:color="auto"/>
            <w:right w:val="none" w:sz="0" w:space="0" w:color="auto"/>
          </w:divBdr>
        </w:div>
        <w:div w:id="1693844133">
          <w:marLeft w:val="0"/>
          <w:marRight w:val="0"/>
          <w:marTop w:val="0"/>
          <w:marBottom w:val="0"/>
          <w:divBdr>
            <w:top w:val="none" w:sz="0" w:space="0" w:color="auto"/>
            <w:left w:val="none" w:sz="0" w:space="0" w:color="auto"/>
            <w:bottom w:val="none" w:sz="0" w:space="0" w:color="auto"/>
            <w:right w:val="none" w:sz="0" w:space="0" w:color="auto"/>
          </w:divBdr>
        </w:div>
        <w:div w:id="1707824872">
          <w:marLeft w:val="0"/>
          <w:marRight w:val="0"/>
          <w:marTop w:val="0"/>
          <w:marBottom w:val="0"/>
          <w:divBdr>
            <w:top w:val="none" w:sz="0" w:space="0" w:color="auto"/>
            <w:left w:val="none" w:sz="0" w:space="0" w:color="auto"/>
            <w:bottom w:val="none" w:sz="0" w:space="0" w:color="auto"/>
            <w:right w:val="none" w:sz="0" w:space="0" w:color="auto"/>
          </w:divBdr>
        </w:div>
        <w:div w:id="1721783400">
          <w:marLeft w:val="0"/>
          <w:marRight w:val="0"/>
          <w:marTop w:val="0"/>
          <w:marBottom w:val="0"/>
          <w:divBdr>
            <w:top w:val="none" w:sz="0" w:space="0" w:color="auto"/>
            <w:left w:val="none" w:sz="0" w:space="0" w:color="auto"/>
            <w:bottom w:val="none" w:sz="0" w:space="0" w:color="auto"/>
            <w:right w:val="none" w:sz="0" w:space="0" w:color="auto"/>
          </w:divBdr>
        </w:div>
        <w:div w:id="1765571459">
          <w:marLeft w:val="0"/>
          <w:marRight w:val="0"/>
          <w:marTop w:val="0"/>
          <w:marBottom w:val="0"/>
          <w:divBdr>
            <w:top w:val="none" w:sz="0" w:space="0" w:color="auto"/>
            <w:left w:val="none" w:sz="0" w:space="0" w:color="auto"/>
            <w:bottom w:val="none" w:sz="0" w:space="0" w:color="auto"/>
            <w:right w:val="none" w:sz="0" w:space="0" w:color="auto"/>
          </w:divBdr>
        </w:div>
        <w:div w:id="1771505161">
          <w:marLeft w:val="0"/>
          <w:marRight w:val="0"/>
          <w:marTop w:val="0"/>
          <w:marBottom w:val="0"/>
          <w:divBdr>
            <w:top w:val="none" w:sz="0" w:space="0" w:color="auto"/>
            <w:left w:val="none" w:sz="0" w:space="0" w:color="auto"/>
            <w:bottom w:val="none" w:sz="0" w:space="0" w:color="auto"/>
            <w:right w:val="none" w:sz="0" w:space="0" w:color="auto"/>
          </w:divBdr>
        </w:div>
        <w:div w:id="1845901967">
          <w:marLeft w:val="0"/>
          <w:marRight w:val="0"/>
          <w:marTop w:val="0"/>
          <w:marBottom w:val="0"/>
          <w:divBdr>
            <w:top w:val="none" w:sz="0" w:space="0" w:color="auto"/>
            <w:left w:val="none" w:sz="0" w:space="0" w:color="auto"/>
            <w:bottom w:val="none" w:sz="0" w:space="0" w:color="auto"/>
            <w:right w:val="none" w:sz="0" w:space="0" w:color="auto"/>
          </w:divBdr>
        </w:div>
        <w:div w:id="1849253530">
          <w:marLeft w:val="0"/>
          <w:marRight w:val="0"/>
          <w:marTop w:val="0"/>
          <w:marBottom w:val="0"/>
          <w:divBdr>
            <w:top w:val="none" w:sz="0" w:space="0" w:color="auto"/>
            <w:left w:val="none" w:sz="0" w:space="0" w:color="auto"/>
            <w:bottom w:val="none" w:sz="0" w:space="0" w:color="auto"/>
            <w:right w:val="none" w:sz="0" w:space="0" w:color="auto"/>
          </w:divBdr>
        </w:div>
        <w:div w:id="1872455502">
          <w:marLeft w:val="0"/>
          <w:marRight w:val="0"/>
          <w:marTop w:val="0"/>
          <w:marBottom w:val="0"/>
          <w:divBdr>
            <w:top w:val="none" w:sz="0" w:space="0" w:color="auto"/>
            <w:left w:val="none" w:sz="0" w:space="0" w:color="auto"/>
            <w:bottom w:val="none" w:sz="0" w:space="0" w:color="auto"/>
            <w:right w:val="none" w:sz="0" w:space="0" w:color="auto"/>
          </w:divBdr>
        </w:div>
        <w:div w:id="1917282565">
          <w:marLeft w:val="0"/>
          <w:marRight w:val="0"/>
          <w:marTop w:val="0"/>
          <w:marBottom w:val="0"/>
          <w:divBdr>
            <w:top w:val="none" w:sz="0" w:space="0" w:color="auto"/>
            <w:left w:val="none" w:sz="0" w:space="0" w:color="auto"/>
            <w:bottom w:val="none" w:sz="0" w:space="0" w:color="auto"/>
            <w:right w:val="none" w:sz="0" w:space="0" w:color="auto"/>
          </w:divBdr>
        </w:div>
        <w:div w:id="1956477868">
          <w:marLeft w:val="0"/>
          <w:marRight w:val="0"/>
          <w:marTop w:val="0"/>
          <w:marBottom w:val="0"/>
          <w:divBdr>
            <w:top w:val="none" w:sz="0" w:space="0" w:color="auto"/>
            <w:left w:val="none" w:sz="0" w:space="0" w:color="auto"/>
            <w:bottom w:val="none" w:sz="0" w:space="0" w:color="auto"/>
            <w:right w:val="none" w:sz="0" w:space="0" w:color="auto"/>
          </w:divBdr>
        </w:div>
        <w:div w:id="2041198639">
          <w:marLeft w:val="0"/>
          <w:marRight w:val="0"/>
          <w:marTop w:val="0"/>
          <w:marBottom w:val="0"/>
          <w:divBdr>
            <w:top w:val="none" w:sz="0" w:space="0" w:color="auto"/>
            <w:left w:val="none" w:sz="0" w:space="0" w:color="auto"/>
            <w:bottom w:val="none" w:sz="0" w:space="0" w:color="auto"/>
            <w:right w:val="none" w:sz="0" w:space="0" w:color="auto"/>
          </w:divBdr>
        </w:div>
        <w:div w:id="2122652544">
          <w:marLeft w:val="0"/>
          <w:marRight w:val="0"/>
          <w:marTop w:val="0"/>
          <w:marBottom w:val="0"/>
          <w:divBdr>
            <w:top w:val="none" w:sz="0" w:space="0" w:color="auto"/>
            <w:left w:val="none" w:sz="0" w:space="0" w:color="auto"/>
            <w:bottom w:val="none" w:sz="0" w:space="0" w:color="auto"/>
            <w:right w:val="none" w:sz="0" w:space="0" w:color="auto"/>
          </w:divBdr>
        </w:div>
      </w:divsChild>
    </w:div>
    <w:div w:id="980382879">
      <w:bodyDiv w:val="1"/>
      <w:marLeft w:val="0"/>
      <w:marRight w:val="0"/>
      <w:marTop w:val="0"/>
      <w:marBottom w:val="0"/>
      <w:divBdr>
        <w:top w:val="none" w:sz="0" w:space="0" w:color="auto"/>
        <w:left w:val="none" w:sz="0" w:space="0" w:color="auto"/>
        <w:bottom w:val="none" w:sz="0" w:space="0" w:color="auto"/>
        <w:right w:val="none" w:sz="0" w:space="0" w:color="auto"/>
      </w:divBdr>
      <w:divsChild>
        <w:div w:id="144248628">
          <w:marLeft w:val="0"/>
          <w:marRight w:val="0"/>
          <w:marTop w:val="0"/>
          <w:marBottom w:val="0"/>
          <w:divBdr>
            <w:top w:val="none" w:sz="0" w:space="0" w:color="auto"/>
            <w:left w:val="none" w:sz="0" w:space="0" w:color="auto"/>
            <w:bottom w:val="none" w:sz="0" w:space="0" w:color="auto"/>
            <w:right w:val="none" w:sz="0" w:space="0" w:color="auto"/>
          </w:divBdr>
        </w:div>
      </w:divsChild>
    </w:div>
    <w:div w:id="980426310">
      <w:bodyDiv w:val="1"/>
      <w:marLeft w:val="0"/>
      <w:marRight w:val="0"/>
      <w:marTop w:val="0"/>
      <w:marBottom w:val="0"/>
      <w:divBdr>
        <w:top w:val="none" w:sz="0" w:space="0" w:color="auto"/>
        <w:left w:val="none" w:sz="0" w:space="0" w:color="auto"/>
        <w:bottom w:val="none" w:sz="0" w:space="0" w:color="auto"/>
        <w:right w:val="none" w:sz="0" w:space="0" w:color="auto"/>
      </w:divBdr>
      <w:divsChild>
        <w:div w:id="33433838">
          <w:marLeft w:val="0"/>
          <w:marRight w:val="0"/>
          <w:marTop w:val="0"/>
          <w:marBottom w:val="0"/>
          <w:divBdr>
            <w:top w:val="none" w:sz="0" w:space="0" w:color="auto"/>
            <w:left w:val="none" w:sz="0" w:space="0" w:color="auto"/>
            <w:bottom w:val="none" w:sz="0" w:space="0" w:color="auto"/>
            <w:right w:val="none" w:sz="0" w:space="0" w:color="auto"/>
          </w:divBdr>
        </w:div>
        <w:div w:id="184103338">
          <w:marLeft w:val="0"/>
          <w:marRight w:val="0"/>
          <w:marTop w:val="0"/>
          <w:marBottom w:val="0"/>
          <w:divBdr>
            <w:top w:val="none" w:sz="0" w:space="0" w:color="auto"/>
            <w:left w:val="none" w:sz="0" w:space="0" w:color="auto"/>
            <w:bottom w:val="none" w:sz="0" w:space="0" w:color="auto"/>
            <w:right w:val="none" w:sz="0" w:space="0" w:color="auto"/>
          </w:divBdr>
        </w:div>
        <w:div w:id="216556602">
          <w:marLeft w:val="0"/>
          <w:marRight w:val="0"/>
          <w:marTop w:val="0"/>
          <w:marBottom w:val="0"/>
          <w:divBdr>
            <w:top w:val="none" w:sz="0" w:space="0" w:color="auto"/>
            <w:left w:val="none" w:sz="0" w:space="0" w:color="auto"/>
            <w:bottom w:val="none" w:sz="0" w:space="0" w:color="auto"/>
            <w:right w:val="none" w:sz="0" w:space="0" w:color="auto"/>
          </w:divBdr>
        </w:div>
        <w:div w:id="267130351">
          <w:marLeft w:val="0"/>
          <w:marRight w:val="0"/>
          <w:marTop w:val="0"/>
          <w:marBottom w:val="0"/>
          <w:divBdr>
            <w:top w:val="none" w:sz="0" w:space="0" w:color="auto"/>
            <w:left w:val="none" w:sz="0" w:space="0" w:color="auto"/>
            <w:bottom w:val="none" w:sz="0" w:space="0" w:color="auto"/>
            <w:right w:val="none" w:sz="0" w:space="0" w:color="auto"/>
          </w:divBdr>
        </w:div>
        <w:div w:id="279999563">
          <w:marLeft w:val="0"/>
          <w:marRight w:val="0"/>
          <w:marTop w:val="0"/>
          <w:marBottom w:val="0"/>
          <w:divBdr>
            <w:top w:val="none" w:sz="0" w:space="0" w:color="auto"/>
            <w:left w:val="none" w:sz="0" w:space="0" w:color="auto"/>
            <w:bottom w:val="none" w:sz="0" w:space="0" w:color="auto"/>
            <w:right w:val="none" w:sz="0" w:space="0" w:color="auto"/>
          </w:divBdr>
        </w:div>
        <w:div w:id="298144518">
          <w:marLeft w:val="0"/>
          <w:marRight w:val="0"/>
          <w:marTop w:val="0"/>
          <w:marBottom w:val="0"/>
          <w:divBdr>
            <w:top w:val="none" w:sz="0" w:space="0" w:color="auto"/>
            <w:left w:val="none" w:sz="0" w:space="0" w:color="auto"/>
            <w:bottom w:val="none" w:sz="0" w:space="0" w:color="auto"/>
            <w:right w:val="none" w:sz="0" w:space="0" w:color="auto"/>
          </w:divBdr>
        </w:div>
        <w:div w:id="337197263">
          <w:marLeft w:val="0"/>
          <w:marRight w:val="0"/>
          <w:marTop w:val="0"/>
          <w:marBottom w:val="0"/>
          <w:divBdr>
            <w:top w:val="none" w:sz="0" w:space="0" w:color="auto"/>
            <w:left w:val="none" w:sz="0" w:space="0" w:color="auto"/>
            <w:bottom w:val="none" w:sz="0" w:space="0" w:color="auto"/>
            <w:right w:val="none" w:sz="0" w:space="0" w:color="auto"/>
          </w:divBdr>
        </w:div>
        <w:div w:id="436682171">
          <w:marLeft w:val="0"/>
          <w:marRight w:val="0"/>
          <w:marTop w:val="0"/>
          <w:marBottom w:val="0"/>
          <w:divBdr>
            <w:top w:val="none" w:sz="0" w:space="0" w:color="auto"/>
            <w:left w:val="none" w:sz="0" w:space="0" w:color="auto"/>
            <w:bottom w:val="none" w:sz="0" w:space="0" w:color="auto"/>
            <w:right w:val="none" w:sz="0" w:space="0" w:color="auto"/>
          </w:divBdr>
        </w:div>
        <w:div w:id="505904196">
          <w:marLeft w:val="0"/>
          <w:marRight w:val="0"/>
          <w:marTop w:val="0"/>
          <w:marBottom w:val="0"/>
          <w:divBdr>
            <w:top w:val="none" w:sz="0" w:space="0" w:color="auto"/>
            <w:left w:val="none" w:sz="0" w:space="0" w:color="auto"/>
            <w:bottom w:val="none" w:sz="0" w:space="0" w:color="auto"/>
            <w:right w:val="none" w:sz="0" w:space="0" w:color="auto"/>
          </w:divBdr>
        </w:div>
        <w:div w:id="528446941">
          <w:marLeft w:val="0"/>
          <w:marRight w:val="0"/>
          <w:marTop w:val="0"/>
          <w:marBottom w:val="0"/>
          <w:divBdr>
            <w:top w:val="none" w:sz="0" w:space="0" w:color="auto"/>
            <w:left w:val="none" w:sz="0" w:space="0" w:color="auto"/>
            <w:bottom w:val="none" w:sz="0" w:space="0" w:color="auto"/>
            <w:right w:val="none" w:sz="0" w:space="0" w:color="auto"/>
          </w:divBdr>
        </w:div>
        <w:div w:id="598178659">
          <w:marLeft w:val="0"/>
          <w:marRight w:val="0"/>
          <w:marTop w:val="0"/>
          <w:marBottom w:val="0"/>
          <w:divBdr>
            <w:top w:val="none" w:sz="0" w:space="0" w:color="auto"/>
            <w:left w:val="none" w:sz="0" w:space="0" w:color="auto"/>
            <w:bottom w:val="none" w:sz="0" w:space="0" w:color="auto"/>
            <w:right w:val="none" w:sz="0" w:space="0" w:color="auto"/>
          </w:divBdr>
        </w:div>
        <w:div w:id="647978418">
          <w:marLeft w:val="0"/>
          <w:marRight w:val="0"/>
          <w:marTop w:val="0"/>
          <w:marBottom w:val="0"/>
          <w:divBdr>
            <w:top w:val="none" w:sz="0" w:space="0" w:color="auto"/>
            <w:left w:val="none" w:sz="0" w:space="0" w:color="auto"/>
            <w:bottom w:val="none" w:sz="0" w:space="0" w:color="auto"/>
            <w:right w:val="none" w:sz="0" w:space="0" w:color="auto"/>
          </w:divBdr>
        </w:div>
        <w:div w:id="766385686">
          <w:marLeft w:val="0"/>
          <w:marRight w:val="0"/>
          <w:marTop w:val="0"/>
          <w:marBottom w:val="0"/>
          <w:divBdr>
            <w:top w:val="none" w:sz="0" w:space="0" w:color="auto"/>
            <w:left w:val="none" w:sz="0" w:space="0" w:color="auto"/>
            <w:bottom w:val="none" w:sz="0" w:space="0" w:color="auto"/>
            <w:right w:val="none" w:sz="0" w:space="0" w:color="auto"/>
          </w:divBdr>
        </w:div>
        <w:div w:id="787820254">
          <w:marLeft w:val="0"/>
          <w:marRight w:val="0"/>
          <w:marTop w:val="0"/>
          <w:marBottom w:val="0"/>
          <w:divBdr>
            <w:top w:val="none" w:sz="0" w:space="0" w:color="auto"/>
            <w:left w:val="none" w:sz="0" w:space="0" w:color="auto"/>
            <w:bottom w:val="none" w:sz="0" w:space="0" w:color="auto"/>
            <w:right w:val="none" w:sz="0" w:space="0" w:color="auto"/>
          </w:divBdr>
        </w:div>
        <w:div w:id="824901653">
          <w:marLeft w:val="0"/>
          <w:marRight w:val="0"/>
          <w:marTop w:val="0"/>
          <w:marBottom w:val="0"/>
          <w:divBdr>
            <w:top w:val="none" w:sz="0" w:space="0" w:color="auto"/>
            <w:left w:val="none" w:sz="0" w:space="0" w:color="auto"/>
            <w:bottom w:val="none" w:sz="0" w:space="0" w:color="auto"/>
            <w:right w:val="none" w:sz="0" w:space="0" w:color="auto"/>
          </w:divBdr>
        </w:div>
        <w:div w:id="830827378">
          <w:marLeft w:val="0"/>
          <w:marRight w:val="0"/>
          <w:marTop w:val="0"/>
          <w:marBottom w:val="0"/>
          <w:divBdr>
            <w:top w:val="none" w:sz="0" w:space="0" w:color="auto"/>
            <w:left w:val="none" w:sz="0" w:space="0" w:color="auto"/>
            <w:bottom w:val="none" w:sz="0" w:space="0" w:color="auto"/>
            <w:right w:val="none" w:sz="0" w:space="0" w:color="auto"/>
          </w:divBdr>
        </w:div>
        <w:div w:id="839078749">
          <w:marLeft w:val="0"/>
          <w:marRight w:val="0"/>
          <w:marTop w:val="0"/>
          <w:marBottom w:val="0"/>
          <w:divBdr>
            <w:top w:val="none" w:sz="0" w:space="0" w:color="auto"/>
            <w:left w:val="none" w:sz="0" w:space="0" w:color="auto"/>
            <w:bottom w:val="none" w:sz="0" w:space="0" w:color="auto"/>
            <w:right w:val="none" w:sz="0" w:space="0" w:color="auto"/>
          </w:divBdr>
        </w:div>
        <w:div w:id="840508128">
          <w:marLeft w:val="0"/>
          <w:marRight w:val="0"/>
          <w:marTop w:val="0"/>
          <w:marBottom w:val="0"/>
          <w:divBdr>
            <w:top w:val="none" w:sz="0" w:space="0" w:color="auto"/>
            <w:left w:val="none" w:sz="0" w:space="0" w:color="auto"/>
            <w:bottom w:val="none" w:sz="0" w:space="0" w:color="auto"/>
            <w:right w:val="none" w:sz="0" w:space="0" w:color="auto"/>
          </w:divBdr>
        </w:div>
        <w:div w:id="869875675">
          <w:marLeft w:val="0"/>
          <w:marRight w:val="0"/>
          <w:marTop w:val="0"/>
          <w:marBottom w:val="0"/>
          <w:divBdr>
            <w:top w:val="none" w:sz="0" w:space="0" w:color="auto"/>
            <w:left w:val="none" w:sz="0" w:space="0" w:color="auto"/>
            <w:bottom w:val="none" w:sz="0" w:space="0" w:color="auto"/>
            <w:right w:val="none" w:sz="0" w:space="0" w:color="auto"/>
          </w:divBdr>
        </w:div>
        <w:div w:id="908224109">
          <w:marLeft w:val="0"/>
          <w:marRight w:val="0"/>
          <w:marTop w:val="0"/>
          <w:marBottom w:val="0"/>
          <w:divBdr>
            <w:top w:val="none" w:sz="0" w:space="0" w:color="auto"/>
            <w:left w:val="none" w:sz="0" w:space="0" w:color="auto"/>
            <w:bottom w:val="none" w:sz="0" w:space="0" w:color="auto"/>
            <w:right w:val="none" w:sz="0" w:space="0" w:color="auto"/>
          </w:divBdr>
        </w:div>
        <w:div w:id="1017925516">
          <w:marLeft w:val="0"/>
          <w:marRight w:val="0"/>
          <w:marTop w:val="0"/>
          <w:marBottom w:val="0"/>
          <w:divBdr>
            <w:top w:val="none" w:sz="0" w:space="0" w:color="auto"/>
            <w:left w:val="none" w:sz="0" w:space="0" w:color="auto"/>
            <w:bottom w:val="none" w:sz="0" w:space="0" w:color="auto"/>
            <w:right w:val="none" w:sz="0" w:space="0" w:color="auto"/>
          </w:divBdr>
        </w:div>
        <w:div w:id="1025448346">
          <w:marLeft w:val="0"/>
          <w:marRight w:val="0"/>
          <w:marTop w:val="0"/>
          <w:marBottom w:val="0"/>
          <w:divBdr>
            <w:top w:val="none" w:sz="0" w:space="0" w:color="auto"/>
            <w:left w:val="none" w:sz="0" w:space="0" w:color="auto"/>
            <w:bottom w:val="none" w:sz="0" w:space="0" w:color="auto"/>
            <w:right w:val="none" w:sz="0" w:space="0" w:color="auto"/>
          </w:divBdr>
        </w:div>
        <w:div w:id="1072893929">
          <w:marLeft w:val="0"/>
          <w:marRight w:val="0"/>
          <w:marTop w:val="0"/>
          <w:marBottom w:val="0"/>
          <w:divBdr>
            <w:top w:val="none" w:sz="0" w:space="0" w:color="auto"/>
            <w:left w:val="none" w:sz="0" w:space="0" w:color="auto"/>
            <w:bottom w:val="none" w:sz="0" w:space="0" w:color="auto"/>
            <w:right w:val="none" w:sz="0" w:space="0" w:color="auto"/>
          </w:divBdr>
        </w:div>
        <w:div w:id="1152254470">
          <w:marLeft w:val="0"/>
          <w:marRight w:val="0"/>
          <w:marTop w:val="0"/>
          <w:marBottom w:val="0"/>
          <w:divBdr>
            <w:top w:val="none" w:sz="0" w:space="0" w:color="auto"/>
            <w:left w:val="none" w:sz="0" w:space="0" w:color="auto"/>
            <w:bottom w:val="none" w:sz="0" w:space="0" w:color="auto"/>
            <w:right w:val="none" w:sz="0" w:space="0" w:color="auto"/>
          </w:divBdr>
        </w:div>
        <w:div w:id="1198549094">
          <w:marLeft w:val="0"/>
          <w:marRight w:val="0"/>
          <w:marTop w:val="0"/>
          <w:marBottom w:val="0"/>
          <w:divBdr>
            <w:top w:val="none" w:sz="0" w:space="0" w:color="auto"/>
            <w:left w:val="none" w:sz="0" w:space="0" w:color="auto"/>
            <w:bottom w:val="none" w:sz="0" w:space="0" w:color="auto"/>
            <w:right w:val="none" w:sz="0" w:space="0" w:color="auto"/>
          </w:divBdr>
        </w:div>
        <w:div w:id="1233198871">
          <w:marLeft w:val="0"/>
          <w:marRight w:val="0"/>
          <w:marTop w:val="0"/>
          <w:marBottom w:val="0"/>
          <w:divBdr>
            <w:top w:val="none" w:sz="0" w:space="0" w:color="auto"/>
            <w:left w:val="none" w:sz="0" w:space="0" w:color="auto"/>
            <w:bottom w:val="none" w:sz="0" w:space="0" w:color="auto"/>
            <w:right w:val="none" w:sz="0" w:space="0" w:color="auto"/>
          </w:divBdr>
        </w:div>
        <w:div w:id="1313173755">
          <w:marLeft w:val="0"/>
          <w:marRight w:val="0"/>
          <w:marTop w:val="0"/>
          <w:marBottom w:val="0"/>
          <w:divBdr>
            <w:top w:val="none" w:sz="0" w:space="0" w:color="auto"/>
            <w:left w:val="none" w:sz="0" w:space="0" w:color="auto"/>
            <w:bottom w:val="none" w:sz="0" w:space="0" w:color="auto"/>
            <w:right w:val="none" w:sz="0" w:space="0" w:color="auto"/>
          </w:divBdr>
        </w:div>
        <w:div w:id="1418790246">
          <w:marLeft w:val="0"/>
          <w:marRight w:val="0"/>
          <w:marTop w:val="0"/>
          <w:marBottom w:val="0"/>
          <w:divBdr>
            <w:top w:val="none" w:sz="0" w:space="0" w:color="auto"/>
            <w:left w:val="none" w:sz="0" w:space="0" w:color="auto"/>
            <w:bottom w:val="none" w:sz="0" w:space="0" w:color="auto"/>
            <w:right w:val="none" w:sz="0" w:space="0" w:color="auto"/>
          </w:divBdr>
        </w:div>
        <w:div w:id="1484351164">
          <w:marLeft w:val="0"/>
          <w:marRight w:val="0"/>
          <w:marTop w:val="0"/>
          <w:marBottom w:val="0"/>
          <w:divBdr>
            <w:top w:val="none" w:sz="0" w:space="0" w:color="auto"/>
            <w:left w:val="none" w:sz="0" w:space="0" w:color="auto"/>
            <w:bottom w:val="none" w:sz="0" w:space="0" w:color="auto"/>
            <w:right w:val="none" w:sz="0" w:space="0" w:color="auto"/>
          </w:divBdr>
        </w:div>
        <w:div w:id="1590697269">
          <w:marLeft w:val="0"/>
          <w:marRight w:val="0"/>
          <w:marTop w:val="0"/>
          <w:marBottom w:val="0"/>
          <w:divBdr>
            <w:top w:val="none" w:sz="0" w:space="0" w:color="auto"/>
            <w:left w:val="none" w:sz="0" w:space="0" w:color="auto"/>
            <w:bottom w:val="none" w:sz="0" w:space="0" w:color="auto"/>
            <w:right w:val="none" w:sz="0" w:space="0" w:color="auto"/>
          </w:divBdr>
        </w:div>
        <w:div w:id="1764452054">
          <w:marLeft w:val="0"/>
          <w:marRight w:val="0"/>
          <w:marTop w:val="0"/>
          <w:marBottom w:val="0"/>
          <w:divBdr>
            <w:top w:val="none" w:sz="0" w:space="0" w:color="auto"/>
            <w:left w:val="none" w:sz="0" w:space="0" w:color="auto"/>
            <w:bottom w:val="none" w:sz="0" w:space="0" w:color="auto"/>
            <w:right w:val="none" w:sz="0" w:space="0" w:color="auto"/>
          </w:divBdr>
        </w:div>
        <w:div w:id="1849562306">
          <w:marLeft w:val="0"/>
          <w:marRight w:val="0"/>
          <w:marTop w:val="0"/>
          <w:marBottom w:val="0"/>
          <w:divBdr>
            <w:top w:val="none" w:sz="0" w:space="0" w:color="auto"/>
            <w:left w:val="none" w:sz="0" w:space="0" w:color="auto"/>
            <w:bottom w:val="none" w:sz="0" w:space="0" w:color="auto"/>
            <w:right w:val="none" w:sz="0" w:space="0" w:color="auto"/>
          </w:divBdr>
        </w:div>
        <w:div w:id="1884946620">
          <w:marLeft w:val="0"/>
          <w:marRight w:val="0"/>
          <w:marTop w:val="0"/>
          <w:marBottom w:val="0"/>
          <w:divBdr>
            <w:top w:val="none" w:sz="0" w:space="0" w:color="auto"/>
            <w:left w:val="none" w:sz="0" w:space="0" w:color="auto"/>
            <w:bottom w:val="none" w:sz="0" w:space="0" w:color="auto"/>
            <w:right w:val="none" w:sz="0" w:space="0" w:color="auto"/>
          </w:divBdr>
        </w:div>
        <w:div w:id="1921064259">
          <w:marLeft w:val="0"/>
          <w:marRight w:val="0"/>
          <w:marTop w:val="0"/>
          <w:marBottom w:val="0"/>
          <w:divBdr>
            <w:top w:val="none" w:sz="0" w:space="0" w:color="auto"/>
            <w:left w:val="none" w:sz="0" w:space="0" w:color="auto"/>
            <w:bottom w:val="none" w:sz="0" w:space="0" w:color="auto"/>
            <w:right w:val="none" w:sz="0" w:space="0" w:color="auto"/>
          </w:divBdr>
        </w:div>
        <w:div w:id="1950969501">
          <w:marLeft w:val="0"/>
          <w:marRight w:val="0"/>
          <w:marTop w:val="0"/>
          <w:marBottom w:val="0"/>
          <w:divBdr>
            <w:top w:val="none" w:sz="0" w:space="0" w:color="auto"/>
            <w:left w:val="none" w:sz="0" w:space="0" w:color="auto"/>
            <w:bottom w:val="none" w:sz="0" w:space="0" w:color="auto"/>
            <w:right w:val="none" w:sz="0" w:space="0" w:color="auto"/>
          </w:divBdr>
        </w:div>
        <w:div w:id="1967542322">
          <w:marLeft w:val="0"/>
          <w:marRight w:val="0"/>
          <w:marTop w:val="0"/>
          <w:marBottom w:val="0"/>
          <w:divBdr>
            <w:top w:val="none" w:sz="0" w:space="0" w:color="auto"/>
            <w:left w:val="none" w:sz="0" w:space="0" w:color="auto"/>
            <w:bottom w:val="none" w:sz="0" w:space="0" w:color="auto"/>
            <w:right w:val="none" w:sz="0" w:space="0" w:color="auto"/>
          </w:divBdr>
        </w:div>
        <w:div w:id="2010323611">
          <w:marLeft w:val="0"/>
          <w:marRight w:val="0"/>
          <w:marTop w:val="0"/>
          <w:marBottom w:val="0"/>
          <w:divBdr>
            <w:top w:val="none" w:sz="0" w:space="0" w:color="auto"/>
            <w:left w:val="none" w:sz="0" w:space="0" w:color="auto"/>
            <w:bottom w:val="none" w:sz="0" w:space="0" w:color="auto"/>
            <w:right w:val="none" w:sz="0" w:space="0" w:color="auto"/>
          </w:divBdr>
        </w:div>
        <w:div w:id="2021740594">
          <w:marLeft w:val="0"/>
          <w:marRight w:val="0"/>
          <w:marTop w:val="0"/>
          <w:marBottom w:val="0"/>
          <w:divBdr>
            <w:top w:val="none" w:sz="0" w:space="0" w:color="auto"/>
            <w:left w:val="none" w:sz="0" w:space="0" w:color="auto"/>
            <w:bottom w:val="none" w:sz="0" w:space="0" w:color="auto"/>
            <w:right w:val="none" w:sz="0" w:space="0" w:color="auto"/>
          </w:divBdr>
        </w:div>
        <w:div w:id="2127192001">
          <w:marLeft w:val="0"/>
          <w:marRight w:val="0"/>
          <w:marTop w:val="0"/>
          <w:marBottom w:val="0"/>
          <w:divBdr>
            <w:top w:val="none" w:sz="0" w:space="0" w:color="auto"/>
            <w:left w:val="none" w:sz="0" w:space="0" w:color="auto"/>
            <w:bottom w:val="none" w:sz="0" w:space="0" w:color="auto"/>
            <w:right w:val="none" w:sz="0" w:space="0" w:color="auto"/>
          </w:divBdr>
        </w:div>
        <w:div w:id="2143382399">
          <w:marLeft w:val="0"/>
          <w:marRight w:val="0"/>
          <w:marTop w:val="0"/>
          <w:marBottom w:val="0"/>
          <w:divBdr>
            <w:top w:val="none" w:sz="0" w:space="0" w:color="auto"/>
            <w:left w:val="none" w:sz="0" w:space="0" w:color="auto"/>
            <w:bottom w:val="none" w:sz="0" w:space="0" w:color="auto"/>
            <w:right w:val="none" w:sz="0" w:space="0" w:color="auto"/>
          </w:divBdr>
        </w:div>
      </w:divsChild>
    </w:div>
    <w:div w:id="991060695">
      <w:bodyDiv w:val="1"/>
      <w:marLeft w:val="0"/>
      <w:marRight w:val="0"/>
      <w:marTop w:val="0"/>
      <w:marBottom w:val="0"/>
      <w:divBdr>
        <w:top w:val="none" w:sz="0" w:space="0" w:color="auto"/>
        <w:left w:val="none" w:sz="0" w:space="0" w:color="auto"/>
        <w:bottom w:val="none" w:sz="0" w:space="0" w:color="auto"/>
        <w:right w:val="none" w:sz="0" w:space="0" w:color="auto"/>
      </w:divBdr>
      <w:divsChild>
        <w:div w:id="1063715972">
          <w:marLeft w:val="0"/>
          <w:marRight w:val="0"/>
          <w:marTop w:val="0"/>
          <w:marBottom w:val="0"/>
          <w:divBdr>
            <w:top w:val="none" w:sz="0" w:space="0" w:color="auto"/>
            <w:left w:val="none" w:sz="0" w:space="0" w:color="auto"/>
            <w:bottom w:val="none" w:sz="0" w:space="0" w:color="auto"/>
            <w:right w:val="none" w:sz="0" w:space="0" w:color="auto"/>
          </w:divBdr>
        </w:div>
        <w:div w:id="1383553836">
          <w:marLeft w:val="0"/>
          <w:marRight w:val="0"/>
          <w:marTop w:val="0"/>
          <w:marBottom w:val="0"/>
          <w:divBdr>
            <w:top w:val="none" w:sz="0" w:space="0" w:color="auto"/>
            <w:left w:val="none" w:sz="0" w:space="0" w:color="auto"/>
            <w:bottom w:val="none" w:sz="0" w:space="0" w:color="auto"/>
            <w:right w:val="none" w:sz="0" w:space="0" w:color="auto"/>
          </w:divBdr>
        </w:div>
        <w:div w:id="1504315381">
          <w:marLeft w:val="0"/>
          <w:marRight w:val="0"/>
          <w:marTop w:val="0"/>
          <w:marBottom w:val="0"/>
          <w:divBdr>
            <w:top w:val="none" w:sz="0" w:space="0" w:color="auto"/>
            <w:left w:val="none" w:sz="0" w:space="0" w:color="auto"/>
            <w:bottom w:val="none" w:sz="0" w:space="0" w:color="auto"/>
            <w:right w:val="none" w:sz="0" w:space="0" w:color="auto"/>
          </w:divBdr>
        </w:div>
      </w:divsChild>
    </w:div>
    <w:div w:id="997417342">
      <w:bodyDiv w:val="1"/>
      <w:marLeft w:val="0"/>
      <w:marRight w:val="0"/>
      <w:marTop w:val="0"/>
      <w:marBottom w:val="0"/>
      <w:divBdr>
        <w:top w:val="none" w:sz="0" w:space="0" w:color="auto"/>
        <w:left w:val="none" w:sz="0" w:space="0" w:color="auto"/>
        <w:bottom w:val="none" w:sz="0" w:space="0" w:color="auto"/>
        <w:right w:val="none" w:sz="0" w:space="0" w:color="auto"/>
      </w:divBdr>
    </w:div>
    <w:div w:id="1000932075">
      <w:bodyDiv w:val="1"/>
      <w:marLeft w:val="0"/>
      <w:marRight w:val="0"/>
      <w:marTop w:val="0"/>
      <w:marBottom w:val="0"/>
      <w:divBdr>
        <w:top w:val="none" w:sz="0" w:space="0" w:color="auto"/>
        <w:left w:val="none" w:sz="0" w:space="0" w:color="auto"/>
        <w:bottom w:val="none" w:sz="0" w:space="0" w:color="auto"/>
        <w:right w:val="none" w:sz="0" w:space="0" w:color="auto"/>
      </w:divBdr>
    </w:div>
    <w:div w:id="1002901162">
      <w:bodyDiv w:val="1"/>
      <w:marLeft w:val="0"/>
      <w:marRight w:val="0"/>
      <w:marTop w:val="0"/>
      <w:marBottom w:val="0"/>
      <w:divBdr>
        <w:top w:val="none" w:sz="0" w:space="0" w:color="auto"/>
        <w:left w:val="none" w:sz="0" w:space="0" w:color="auto"/>
        <w:bottom w:val="none" w:sz="0" w:space="0" w:color="auto"/>
        <w:right w:val="none" w:sz="0" w:space="0" w:color="auto"/>
      </w:divBdr>
    </w:div>
    <w:div w:id="1004043607">
      <w:bodyDiv w:val="1"/>
      <w:marLeft w:val="0"/>
      <w:marRight w:val="0"/>
      <w:marTop w:val="0"/>
      <w:marBottom w:val="0"/>
      <w:divBdr>
        <w:top w:val="none" w:sz="0" w:space="0" w:color="auto"/>
        <w:left w:val="none" w:sz="0" w:space="0" w:color="auto"/>
        <w:bottom w:val="none" w:sz="0" w:space="0" w:color="auto"/>
        <w:right w:val="none" w:sz="0" w:space="0" w:color="auto"/>
      </w:divBdr>
      <w:divsChild>
        <w:div w:id="1975523301">
          <w:marLeft w:val="0"/>
          <w:marRight w:val="0"/>
          <w:marTop w:val="0"/>
          <w:marBottom w:val="0"/>
          <w:divBdr>
            <w:top w:val="none" w:sz="0" w:space="0" w:color="auto"/>
            <w:left w:val="none" w:sz="0" w:space="0" w:color="auto"/>
            <w:bottom w:val="none" w:sz="0" w:space="0" w:color="auto"/>
            <w:right w:val="none" w:sz="0" w:space="0" w:color="auto"/>
          </w:divBdr>
        </w:div>
      </w:divsChild>
    </w:div>
    <w:div w:id="1008754271">
      <w:bodyDiv w:val="1"/>
      <w:marLeft w:val="0"/>
      <w:marRight w:val="0"/>
      <w:marTop w:val="0"/>
      <w:marBottom w:val="0"/>
      <w:divBdr>
        <w:top w:val="none" w:sz="0" w:space="0" w:color="auto"/>
        <w:left w:val="none" w:sz="0" w:space="0" w:color="auto"/>
        <w:bottom w:val="none" w:sz="0" w:space="0" w:color="auto"/>
        <w:right w:val="none" w:sz="0" w:space="0" w:color="auto"/>
      </w:divBdr>
      <w:divsChild>
        <w:div w:id="304704593">
          <w:marLeft w:val="0"/>
          <w:marRight w:val="0"/>
          <w:marTop w:val="0"/>
          <w:marBottom w:val="0"/>
          <w:divBdr>
            <w:top w:val="none" w:sz="0" w:space="0" w:color="auto"/>
            <w:left w:val="none" w:sz="0" w:space="0" w:color="auto"/>
            <w:bottom w:val="none" w:sz="0" w:space="0" w:color="auto"/>
            <w:right w:val="none" w:sz="0" w:space="0" w:color="auto"/>
          </w:divBdr>
        </w:div>
        <w:div w:id="434985996">
          <w:marLeft w:val="0"/>
          <w:marRight w:val="0"/>
          <w:marTop w:val="0"/>
          <w:marBottom w:val="0"/>
          <w:divBdr>
            <w:top w:val="none" w:sz="0" w:space="0" w:color="auto"/>
            <w:left w:val="none" w:sz="0" w:space="0" w:color="auto"/>
            <w:bottom w:val="none" w:sz="0" w:space="0" w:color="auto"/>
            <w:right w:val="none" w:sz="0" w:space="0" w:color="auto"/>
          </w:divBdr>
        </w:div>
        <w:div w:id="470946559">
          <w:marLeft w:val="0"/>
          <w:marRight w:val="0"/>
          <w:marTop w:val="0"/>
          <w:marBottom w:val="0"/>
          <w:divBdr>
            <w:top w:val="none" w:sz="0" w:space="0" w:color="auto"/>
            <w:left w:val="none" w:sz="0" w:space="0" w:color="auto"/>
            <w:bottom w:val="none" w:sz="0" w:space="0" w:color="auto"/>
            <w:right w:val="none" w:sz="0" w:space="0" w:color="auto"/>
          </w:divBdr>
        </w:div>
        <w:div w:id="1289820319">
          <w:marLeft w:val="0"/>
          <w:marRight w:val="0"/>
          <w:marTop w:val="0"/>
          <w:marBottom w:val="0"/>
          <w:divBdr>
            <w:top w:val="none" w:sz="0" w:space="0" w:color="auto"/>
            <w:left w:val="none" w:sz="0" w:space="0" w:color="auto"/>
            <w:bottom w:val="none" w:sz="0" w:space="0" w:color="auto"/>
            <w:right w:val="none" w:sz="0" w:space="0" w:color="auto"/>
          </w:divBdr>
        </w:div>
        <w:div w:id="1430079411">
          <w:marLeft w:val="0"/>
          <w:marRight w:val="0"/>
          <w:marTop w:val="0"/>
          <w:marBottom w:val="0"/>
          <w:divBdr>
            <w:top w:val="none" w:sz="0" w:space="0" w:color="auto"/>
            <w:left w:val="none" w:sz="0" w:space="0" w:color="auto"/>
            <w:bottom w:val="none" w:sz="0" w:space="0" w:color="auto"/>
            <w:right w:val="none" w:sz="0" w:space="0" w:color="auto"/>
          </w:divBdr>
        </w:div>
      </w:divsChild>
    </w:div>
    <w:div w:id="1009135256">
      <w:bodyDiv w:val="1"/>
      <w:marLeft w:val="0"/>
      <w:marRight w:val="0"/>
      <w:marTop w:val="0"/>
      <w:marBottom w:val="0"/>
      <w:divBdr>
        <w:top w:val="none" w:sz="0" w:space="0" w:color="auto"/>
        <w:left w:val="none" w:sz="0" w:space="0" w:color="auto"/>
        <w:bottom w:val="none" w:sz="0" w:space="0" w:color="auto"/>
        <w:right w:val="none" w:sz="0" w:space="0" w:color="auto"/>
      </w:divBdr>
      <w:divsChild>
        <w:div w:id="987978179">
          <w:marLeft w:val="0"/>
          <w:marRight w:val="0"/>
          <w:marTop w:val="0"/>
          <w:marBottom w:val="0"/>
          <w:divBdr>
            <w:top w:val="none" w:sz="0" w:space="0" w:color="auto"/>
            <w:left w:val="none" w:sz="0" w:space="0" w:color="auto"/>
            <w:bottom w:val="none" w:sz="0" w:space="0" w:color="auto"/>
            <w:right w:val="none" w:sz="0" w:space="0" w:color="auto"/>
          </w:divBdr>
        </w:div>
      </w:divsChild>
    </w:div>
    <w:div w:id="1015960550">
      <w:bodyDiv w:val="1"/>
      <w:marLeft w:val="0"/>
      <w:marRight w:val="0"/>
      <w:marTop w:val="0"/>
      <w:marBottom w:val="0"/>
      <w:divBdr>
        <w:top w:val="none" w:sz="0" w:space="0" w:color="auto"/>
        <w:left w:val="none" w:sz="0" w:space="0" w:color="auto"/>
        <w:bottom w:val="none" w:sz="0" w:space="0" w:color="auto"/>
        <w:right w:val="none" w:sz="0" w:space="0" w:color="auto"/>
      </w:divBdr>
    </w:div>
    <w:div w:id="1019241270">
      <w:bodyDiv w:val="1"/>
      <w:marLeft w:val="0"/>
      <w:marRight w:val="0"/>
      <w:marTop w:val="0"/>
      <w:marBottom w:val="0"/>
      <w:divBdr>
        <w:top w:val="none" w:sz="0" w:space="0" w:color="auto"/>
        <w:left w:val="none" w:sz="0" w:space="0" w:color="auto"/>
        <w:bottom w:val="none" w:sz="0" w:space="0" w:color="auto"/>
        <w:right w:val="none" w:sz="0" w:space="0" w:color="auto"/>
      </w:divBdr>
      <w:divsChild>
        <w:div w:id="1182663388">
          <w:marLeft w:val="0"/>
          <w:marRight w:val="0"/>
          <w:marTop w:val="0"/>
          <w:marBottom w:val="0"/>
          <w:divBdr>
            <w:top w:val="none" w:sz="0" w:space="0" w:color="auto"/>
            <w:left w:val="none" w:sz="0" w:space="0" w:color="auto"/>
            <w:bottom w:val="none" w:sz="0" w:space="0" w:color="auto"/>
            <w:right w:val="none" w:sz="0" w:space="0" w:color="auto"/>
          </w:divBdr>
        </w:div>
      </w:divsChild>
    </w:div>
    <w:div w:id="1021468926">
      <w:bodyDiv w:val="1"/>
      <w:marLeft w:val="0"/>
      <w:marRight w:val="0"/>
      <w:marTop w:val="0"/>
      <w:marBottom w:val="0"/>
      <w:divBdr>
        <w:top w:val="none" w:sz="0" w:space="0" w:color="auto"/>
        <w:left w:val="none" w:sz="0" w:space="0" w:color="auto"/>
        <w:bottom w:val="none" w:sz="0" w:space="0" w:color="auto"/>
        <w:right w:val="none" w:sz="0" w:space="0" w:color="auto"/>
      </w:divBdr>
      <w:divsChild>
        <w:div w:id="990447379">
          <w:marLeft w:val="0"/>
          <w:marRight w:val="0"/>
          <w:marTop w:val="0"/>
          <w:marBottom w:val="0"/>
          <w:divBdr>
            <w:top w:val="none" w:sz="0" w:space="0" w:color="auto"/>
            <w:left w:val="none" w:sz="0" w:space="0" w:color="auto"/>
            <w:bottom w:val="none" w:sz="0" w:space="0" w:color="auto"/>
            <w:right w:val="none" w:sz="0" w:space="0" w:color="auto"/>
          </w:divBdr>
        </w:div>
        <w:div w:id="1175193589">
          <w:marLeft w:val="0"/>
          <w:marRight w:val="0"/>
          <w:marTop w:val="0"/>
          <w:marBottom w:val="0"/>
          <w:divBdr>
            <w:top w:val="none" w:sz="0" w:space="0" w:color="auto"/>
            <w:left w:val="none" w:sz="0" w:space="0" w:color="auto"/>
            <w:bottom w:val="none" w:sz="0" w:space="0" w:color="auto"/>
            <w:right w:val="none" w:sz="0" w:space="0" w:color="auto"/>
          </w:divBdr>
        </w:div>
        <w:div w:id="1437020268">
          <w:marLeft w:val="0"/>
          <w:marRight w:val="0"/>
          <w:marTop w:val="0"/>
          <w:marBottom w:val="0"/>
          <w:divBdr>
            <w:top w:val="none" w:sz="0" w:space="0" w:color="auto"/>
            <w:left w:val="none" w:sz="0" w:space="0" w:color="auto"/>
            <w:bottom w:val="none" w:sz="0" w:space="0" w:color="auto"/>
            <w:right w:val="none" w:sz="0" w:space="0" w:color="auto"/>
          </w:divBdr>
        </w:div>
        <w:div w:id="1715347480">
          <w:marLeft w:val="0"/>
          <w:marRight w:val="0"/>
          <w:marTop w:val="0"/>
          <w:marBottom w:val="0"/>
          <w:divBdr>
            <w:top w:val="none" w:sz="0" w:space="0" w:color="auto"/>
            <w:left w:val="none" w:sz="0" w:space="0" w:color="auto"/>
            <w:bottom w:val="none" w:sz="0" w:space="0" w:color="auto"/>
            <w:right w:val="none" w:sz="0" w:space="0" w:color="auto"/>
          </w:divBdr>
        </w:div>
        <w:div w:id="1808813156">
          <w:marLeft w:val="0"/>
          <w:marRight w:val="0"/>
          <w:marTop w:val="0"/>
          <w:marBottom w:val="0"/>
          <w:divBdr>
            <w:top w:val="none" w:sz="0" w:space="0" w:color="auto"/>
            <w:left w:val="none" w:sz="0" w:space="0" w:color="auto"/>
            <w:bottom w:val="none" w:sz="0" w:space="0" w:color="auto"/>
            <w:right w:val="none" w:sz="0" w:space="0" w:color="auto"/>
          </w:divBdr>
        </w:div>
        <w:div w:id="1812363482">
          <w:marLeft w:val="0"/>
          <w:marRight w:val="0"/>
          <w:marTop w:val="0"/>
          <w:marBottom w:val="0"/>
          <w:divBdr>
            <w:top w:val="none" w:sz="0" w:space="0" w:color="auto"/>
            <w:left w:val="none" w:sz="0" w:space="0" w:color="auto"/>
            <w:bottom w:val="none" w:sz="0" w:space="0" w:color="auto"/>
            <w:right w:val="none" w:sz="0" w:space="0" w:color="auto"/>
          </w:divBdr>
        </w:div>
      </w:divsChild>
    </w:div>
    <w:div w:id="1027802131">
      <w:bodyDiv w:val="1"/>
      <w:marLeft w:val="0"/>
      <w:marRight w:val="0"/>
      <w:marTop w:val="0"/>
      <w:marBottom w:val="0"/>
      <w:divBdr>
        <w:top w:val="none" w:sz="0" w:space="0" w:color="auto"/>
        <w:left w:val="none" w:sz="0" w:space="0" w:color="auto"/>
        <w:bottom w:val="none" w:sz="0" w:space="0" w:color="auto"/>
        <w:right w:val="none" w:sz="0" w:space="0" w:color="auto"/>
      </w:divBdr>
    </w:div>
    <w:div w:id="1029451181">
      <w:bodyDiv w:val="1"/>
      <w:marLeft w:val="0"/>
      <w:marRight w:val="0"/>
      <w:marTop w:val="0"/>
      <w:marBottom w:val="0"/>
      <w:divBdr>
        <w:top w:val="none" w:sz="0" w:space="0" w:color="auto"/>
        <w:left w:val="none" w:sz="0" w:space="0" w:color="auto"/>
        <w:bottom w:val="none" w:sz="0" w:space="0" w:color="auto"/>
        <w:right w:val="none" w:sz="0" w:space="0" w:color="auto"/>
      </w:divBdr>
      <w:divsChild>
        <w:div w:id="1724063024">
          <w:marLeft w:val="0"/>
          <w:marRight w:val="0"/>
          <w:marTop w:val="0"/>
          <w:marBottom w:val="0"/>
          <w:divBdr>
            <w:top w:val="none" w:sz="0" w:space="0" w:color="auto"/>
            <w:left w:val="none" w:sz="0" w:space="0" w:color="auto"/>
            <w:bottom w:val="none" w:sz="0" w:space="0" w:color="auto"/>
            <w:right w:val="none" w:sz="0" w:space="0" w:color="auto"/>
          </w:divBdr>
        </w:div>
      </w:divsChild>
    </w:div>
    <w:div w:id="1032606650">
      <w:bodyDiv w:val="1"/>
      <w:marLeft w:val="0"/>
      <w:marRight w:val="0"/>
      <w:marTop w:val="0"/>
      <w:marBottom w:val="0"/>
      <w:divBdr>
        <w:top w:val="none" w:sz="0" w:space="0" w:color="auto"/>
        <w:left w:val="none" w:sz="0" w:space="0" w:color="auto"/>
        <w:bottom w:val="none" w:sz="0" w:space="0" w:color="auto"/>
        <w:right w:val="none" w:sz="0" w:space="0" w:color="auto"/>
      </w:divBdr>
      <w:divsChild>
        <w:div w:id="58485145">
          <w:marLeft w:val="0"/>
          <w:marRight w:val="0"/>
          <w:marTop w:val="0"/>
          <w:marBottom w:val="0"/>
          <w:divBdr>
            <w:top w:val="none" w:sz="0" w:space="0" w:color="auto"/>
            <w:left w:val="none" w:sz="0" w:space="0" w:color="auto"/>
            <w:bottom w:val="none" w:sz="0" w:space="0" w:color="auto"/>
            <w:right w:val="none" w:sz="0" w:space="0" w:color="auto"/>
          </w:divBdr>
        </w:div>
        <w:div w:id="117114005">
          <w:marLeft w:val="0"/>
          <w:marRight w:val="0"/>
          <w:marTop w:val="0"/>
          <w:marBottom w:val="0"/>
          <w:divBdr>
            <w:top w:val="none" w:sz="0" w:space="0" w:color="auto"/>
            <w:left w:val="none" w:sz="0" w:space="0" w:color="auto"/>
            <w:bottom w:val="none" w:sz="0" w:space="0" w:color="auto"/>
            <w:right w:val="none" w:sz="0" w:space="0" w:color="auto"/>
          </w:divBdr>
        </w:div>
        <w:div w:id="185945613">
          <w:marLeft w:val="0"/>
          <w:marRight w:val="0"/>
          <w:marTop w:val="0"/>
          <w:marBottom w:val="0"/>
          <w:divBdr>
            <w:top w:val="none" w:sz="0" w:space="0" w:color="auto"/>
            <w:left w:val="none" w:sz="0" w:space="0" w:color="auto"/>
            <w:bottom w:val="none" w:sz="0" w:space="0" w:color="auto"/>
            <w:right w:val="none" w:sz="0" w:space="0" w:color="auto"/>
          </w:divBdr>
        </w:div>
        <w:div w:id="307245772">
          <w:marLeft w:val="0"/>
          <w:marRight w:val="0"/>
          <w:marTop w:val="0"/>
          <w:marBottom w:val="0"/>
          <w:divBdr>
            <w:top w:val="none" w:sz="0" w:space="0" w:color="auto"/>
            <w:left w:val="none" w:sz="0" w:space="0" w:color="auto"/>
            <w:bottom w:val="none" w:sz="0" w:space="0" w:color="auto"/>
            <w:right w:val="none" w:sz="0" w:space="0" w:color="auto"/>
          </w:divBdr>
        </w:div>
        <w:div w:id="312755244">
          <w:marLeft w:val="0"/>
          <w:marRight w:val="0"/>
          <w:marTop w:val="0"/>
          <w:marBottom w:val="0"/>
          <w:divBdr>
            <w:top w:val="none" w:sz="0" w:space="0" w:color="auto"/>
            <w:left w:val="none" w:sz="0" w:space="0" w:color="auto"/>
            <w:bottom w:val="none" w:sz="0" w:space="0" w:color="auto"/>
            <w:right w:val="none" w:sz="0" w:space="0" w:color="auto"/>
          </w:divBdr>
        </w:div>
        <w:div w:id="313028075">
          <w:marLeft w:val="0"/>
          <w:marRight w:val="0"/>
          <w:marTop w:val="0"/>
          <w:marBottom w:val="0"/>
          <w:divBdr>
            <w:top w:val="none" w:sz="0" w:space="0" w:color="auto"/>
            <w:left w:val="none" w:sz="0" w:space="0" w:color="auto"/>
            <w:bottom w:val="none" w:sz="0" w:space="0" w:color="auto"/>
            <w:right w:val="none" w:sz="0" w:space="0" w:color="auto"/>
          </w:divBdr>
        </w:div>
        <w:div w:id="502815925">
          <w:marLeft w:val="0"/>
          <w:marRight w:val="0"/>
          <w:marTop w:val="0"/>
          <w:marBottom w:val="0"/>
          <w:divBdr>
            <w:top w:val="none" w:sz="0" w:space="0" w:color="auto"/>
            <w:left w:val="none" w:sz="0" w:space="0" w:color="auto"/>
            <w:bottom w:val="none" w:sz="0" w:space="0" w:color="auto"/>
            <w:right w:val="none" w:sz="0" w:space="0" w:color="auto"/>
          </w:divBdr>
        </w:div>
        <w:div w:id="557669612">
          <w:marLeft w:val="0"/>
          <w:marRight w:val="0"/>
          <w:marTop w:val="0"/>
          <w:marBottom w:val="0"/>
          <w:divBdr>
            <w:top w:val="none" w:sz="0" w:space="0" w:color="auto"/>
            <w:left w:val="none" w:sz="0" w:space="0" w:color="auto"/>
            <w:bottom w:val="none" w:sz="0" w:space="0" w:color="auto"/>
            <w:right w:val="none" w:sz="0" w:space="0" w:color="auto"/>
          </w:divBdr>
        </w:div>
        <w:div w:id="579292854">
          <w:marLeft w:val="0"/>
          <w:marRight w:val="0"/>
          <w:marTop w:val="0"/>
          <w:marBottom w:val="0"/>
          <w:divBdr>
            <w:top w:val="none" w:sz="0" w:space="0" w:color="auto"/>
            <w:left w:val="none" w:sz="0" w:space="0" w:color="auto"/>
            <w:bottom w:val="none" w:sz="0" w:space="0" w:color="auto"/>
            <w:right w:val="none" w:sz="0" w:space="0" w:color="auto"/>
          </w:divBdr>
        </w:div>
        <w:div w:id="713313769">
          <w:marLeft w:val="0"/>
          <w:marRight w:val="0"/>
          <w:marTop w:val="0"/>
          <w:marBottom w:val="0"/>
          <w:divBdr>
            <w:top w:val="none" w:sz="0" w:space="0" w:color="auto"/>
            <w:left w:val="none" w:sz="0" w:space="0" w:color="auto"/>
            <w:bottom w:val="none" w:sz="0" w:space="0" w:color="auto"/>
            <w:right w:val="none" w:sz="0" w:space="0" w:color="auto"/>
          </w:divBdr>
        </w:div>
        <w:div w:id="817038706">
          <w:marLeft w:val="0"/>
          <w:marRight w:val="0"/>
          <w:marTop w:val="0"/>
          <w:marBottom w:val="0"/>
          <w:divBdr>
            <w:top w:val="none" w:sz="0" w:space="0" w:color="auto"/>
            <w:left w:val="none" w:sz="0" w:space="0" w:color="auto"/>
            <w:bottom w:val="none" w:sz="0" w:space="0" w:color="auto"/>
            <w:right w:val="none" w:sz="0" w:space="0" w:color="auto"/>
          </w:divBdr>
        </w:div>
        <w:div w:id="860819690">
          <w:marLeft w:val="0"/>
          <w:marRight w:val="0"/>
          <w:marTop w:val="0"/>
          <w:marBottom w:val="0"/>
          <w:divBdr>
            <w:top w:val="none" w:sz="0" w:space="0" w:color="auto"/>
            <w:left w:val="none" w:sz="0" w:space="0" w:color="auto"/>
            <w:bottom w:val="none" w:sz="0" w:space="0" w:color="auto"/>
            <w:right w:val="none" w:sz="0" w:space="0" w:color="auto"/>
          </w:divBdr>
        </w:div>
        <w:div w:id="920260037">
          <w:marLeft w:val="0"/>
          <w:marRight w:val="0"/>
          <w:marTop w:val="0"/>
          <w:marBottom w:val="0"/>
          <w:divBdr>
            <w:top w:val="none" w:sz="0" w:space="0" w:color="auto"/>
            <w:left w:val="none" w:sz="0" w:space="0" w:color="auto"/>
            <w:bottom w:val="none" w:sz="0" w:space="0" w:color="auto"/>
            <w:right w:val="none" w:sz="0" w:space="0" w:color="auto"/>
          </w:divBdr>
        </w:div>
        <w:div w:id="1109394164">
          <w:marLeft w:val="0"/>
          <w:marRight w:val="0"/>
          <w:marTop w:val="0"/>
          <w:marBottom w:val="0"/>
          <w:divBdr>
            <w:top w:val="none" w:sz="0" w:space="0" w:color="auto"/>
            <w:left w:val="none" w:sz="0" w:space="0" w:color="auto"/>
            <w:bottom w:val="none" w:sz="0" w:space="0" w:color="auto"/>
            <w:right w:val="none" w:sz="0" w:space="0" w:color="auto"/>
          </w:divBdr>
        </w:div>
        <w:div w:id="1114636851">
          <w:marLeft w:val="0"/>
          <w:marRight w:val="0"/>
          <w:marTop w:val="0"/>
          <w:marBottom w:val="0"/>
          <w:divBdr>
            <w:top w:val="none" w:sz="0" w:space="0" w:color="auto"/>
            <w:left w:val="none" w:sz="0" w:space="0" w:color="auto"/>
            <w:bottom w:val="none" w:sz="0" w:space="0" w:color="auto"/>
            <w:right w:val="none" w:sz="0" w:space="0" w:color="auto"/>
          </w:divBdr>
        </w:div>
        <w:div w:id="1171792981">
          <w:marLeft w:val="0"/>
          <w:marRight w:val="0"/>
          <w:marTop w:val="0"/>
          <w:marBottom w:val="0"/>
          <w:divBdr>
            <w:top w:val="none" w:sz="0" w:space="0" w:color="auto"/>
            <w:left w:val="none" w:sz="0" w:space="0" w:color="auto"/>
            <w:bottom w:val="none" w:sz="0" w:space="0" w:color="auto"/>
            <w:right w:val="none" w:sz="0" w:space="0" w:color="auto"/>
          </w:divBdr>
        </w:div>
        <w:div w:id="1208682508">
          <w:marLeft w:val="0"/>
          <w:marRight w:val="0"/>
          <w:marTop w:val="0"/>
          <w:marBottom w:val="0"/>
          <w:divBdr>
            <w:top w:val="none" w:sz="0" w:space="0" w:color="auto"/>
            <w:left w:val="none" w:sz="0" w:space="0" w:color="auto"/>
            <w:bottom w:val="none" w:sz="0" w:space="0" w:color="auto"/>
            <w:right w:val="none" w:sz="0" w:space="0" w:color="auto"/>
          </w:divBdr>
        </w:div>
        <w:div w:id="1242645249">
          <w:marLeft w:val="0"/>
          <w:marRight w:val="0"/>
          <w:marTop w:val="0"/>
          <w:marBottom w:val="0"/>
          <w:divBdr>
            <w:top w:val="none" w:sz="0" w:space="0" w:color="auto"/>
            <w:left w:val="none" w:sz="0" w:space="0" w:color="auto"/>
            <w:bottom w:val="none" w:sz="0" w:space="0" w:color="auto"/>
            <w:right w:val="none" w:sz="0" w:space="0" w:color="auto"/>
          </w:divBdr>
        </w:div>
        <w:div w:id="1252008139">
          <w:marLeft w:val="0"/>
          <w:marRight w:val="0"/>
          <w:marTop w:val="0"/>
          <w:marBottom w:val="0"/>
          <w:divBdr>
            <w:top w:val="none" w:sz="0" w:space="0" w:color="auto"/>
            <w:left w:val="none" w:sz="0" w:space="0" w:color="auto"/>
            <w:bottom w:val="none" w:sz="0" w:space="0" w:color="auto"/>
            <w:right w:val="none" w:sz="0" w:space="0" w:color="auto"/>
          </w:divBdr>
        </w:div>
        <w:div w:id="1298293724">
          <w:marLeft w:val="0"/>
          <w:marRight w:val="0"/>
          <w:marTop w:val="0"/>
          <w:marBottom w:val="0"/>
          <w:divBdr>
            <w:top w:val="none" w:sz="0" w:space="0" w:color="auto"/>
            <w:left w:val="none" w:sz="0" w:space="0" w:color="auto"/>
            <w:bottom w:val="none" w:sz="0" w:space="0" w:color="auto"/>
            <w:right w:val="none" w:sz="0" w:space="0" w:color="auto"/>
          </w:divBdr>
        </w:div>
        <w:div w:id="1313212752">
          <w:marLeft w:val="0"/>
          <w:marRight w:val="0"/>
          <w:marTop w:val="0"/>
          <w:marBottom w:val="0"/>
          <w:divBdr>
            <w:top w:val="none" w:sz="0" w:space="0" w:color="auto"/>
            <w:left w:val="none" w:sz="0" w:space="0" w:color="auto"/>
            <w:bottom w:val="none" w:sz="0" w:space="0" w:color="auto"/>
            <w:right w:val="none" w:sz="0" w:space="0" w:color="auto"/>
          </w:divBdr>
        </w:div>
        <w:div w:id="1396078825">
          <w:marLeft w:val="0"/>
          <w:marRight w:val="0"/>
          <w:marTop w:val="0"/>
          <w:marBottom w:val="0"/>
          <w:divBdr>
            <w:top w:val="none" w:sz="0" w:space="0" w:color="auto"/>
            <w:left w:val="none" w:sz="0" w:space="0" w:color="auto"/>
            <w:bottom w:val="none" w:sz="0" w:space="0" w:color="auto"/>
            <w:right w:val="none" w:sz="0" w:space="0" w:color="auto"/>
          </w:divBdr>
        </w:div>
        <w:div w:id="1568229245">
          <w:marLeft w:val="0"/>
          <w:marRight w:val="0"/>
          <w:marTop w:val="0"/>
          <w:marBottom w:val="0"/>
          <w:divBdr>
            <w:top w:val="none" w:sz="0" w:space="0" w:color="auto"/>
            <w:left w:val="none" w:sz="0" w:space="0" w:color="auto"/>
            <w:bottom w:val="none" w:sz="0" w:space="0" w:color="auto"/>
            <w:right w:val="none" w:sz="0" w:space="0" w:color="auto"/>
          </w:divBdr>
        </w:div>
        <w:div w:id="1641493219">
          <w:marLeft w:val="0"/>
          <w:marRight w:val="0"/>
          <w:marTop w:val="0"/>
          <w:marBottom w:val="0"/>
          <w:divBdr>
            <w:top w:val="none" w:sz="0" w:space="0" w:color="auto"/>
            <w:left w:val="none" w:sz="0" w:space="0" w:color="auto"/>
            <w:bottom w:val="none" w:sz="0" w:space="0" w:color="auto"/>
            <w:right w:val="none" w:sz="0" w:space="0" w:color="auto"/>
          </w:divBdr>
        </w:div>
        <w:div w:id="1643928556">
          <w:marLeft w:val="0"/>
          <w:marRight w:val="0"/>
          <w:marTop w:val="0"/>
          <w:marBottom w:val="0"/>
          <w:divBdr>
            <w:top w:val="none" w:sz="0" w:space="0" w:color="auto"/>
            <w:left w:val="none" w:sz="0" w:space="0" w:color="auto"/>
            <w:bottom w:val="none" w:sz="0" w:space="0" w:color="auto"/>
            <w:right w:val="none" w:sz="0" w:space="0" w:color="auto"/>
          </w:divBdr>
        </w:div>
        <w:div w:id="1644191011">
          <w:marLeft w:val="0"/>
          <w:marRight w:val="0"/>
          <w:marTop w:val="0"/>
          <w:marBottom w:val="0"/>
          <w:divBdr>
            <w:top w:val="none" w:sz="0" w:space="0" w:color="auto"/>
            <w:left w:val="none" w:sz="0" w:space="0" w:color="auto"/>
            <w:bottom w:val="none" w:sz="0" w:space="0" w:color="auto"/>
            <w:right w:val="none" w:sz="0" w:space="0" w:color="auto"/>
          </w:divBdr>
        </w:div>
        <w:div w:id="1755279681">
          <w:marLeft w:val="0"/>
          <w:marRight w:val="0"/>
          <w:marTop w:val="0"/>
          <w:marBottom w:val="0"/>
          <w:divBdr>
            <w:top w:val="none" w:sz="0" w:space="0" w:color="auto"/>
            <w:left w:val="none" w:sz="0" w:space="0" w:color="auto"/>
            <w:bottom w:val="none" w:sz="0" w:space="0" w:color="auto"/>
            <w:right w:val="none" w:sz="0" w:space="0" w:color="auto"/>
          </w:divBdr>
        </w:div>
        <w:div w:id="1819489731">
          <w:marLeft w:val="0"/>
          <w:marRight w:val="0"/>
          <w:marTop w:val="0"/>
          <w:marBottom w:val="0"/>
          <w:divBdr>
            <w:top w:val="none" w:sz="0" w:space="0" w:color="auto"/>
            <w:left w:val="none" w:sz="0" w:space="0" w:color="auto"/>
            <w:bottom w:val="none" w:sz="0" w:space="0" w:color="auto"/>
            <w:right w:val="none" w:sz="0" w:space="0" w:color="auto"/>
          </w:divBdr>
        </w:div>
        <w:div w:id="1882546204">
          <w:marLeft w:val="0"/>
          <w:marRight w:val="0"/>
          <w:marTop w:val="0"/>
          <w:marBottom w:val="0"/>
          <w:divBdr>
            <w:top w:val="none" w:sz="0" w:space="0" w:color="auto"/>
            <w:left w:val="none" w:sz="0" w:space="0" w:color="auto"/>
            <w:bottom w:val="none" w:sz="0" w:space="0" w:color="auto"/>
            <w:right w:val="none" w:sz="0" w:space="0" w:color="auto"/>
          </w:divBdr>
        </w:div>
        <w:div w:id="1897273268">
          <w:marLeft w:val="0"/>
          <w:marRight w:val="0"/>
          <w:marTop w:val="0"/>
          <w:marBottom w:val="0"/>
          <w:divBdr>
            <w:top w:val="none" w:sz="0" w:space="0" w:color="auto"/>
            <w:left w:val="none" w:sz="0" w:space="0" w:color="auto"/>
            <w:bottom w:val="none" w:sz="0" w:space="0" w:color="auto"/>
            <w:right w:val="none" w:sz="0" w:space="0" w:color="auto"/>
          </w:divBdr>
        </w:div>
        <w:div w:id="1900626535">
          <w:marLeft w:val="0"/>
          <w:marRight w:val="0"/>
          <w:marTop w:val="0"/>
          <w:marBottom w:val="0"/>
          <w:divBdr>
            <w:top w:val="none" w:sz="0" w:space="0" w:color="auto"/>
            <w:left w:val="none" w:sz="0" w:space="0" w:color="auto"/>
            <w:bottom w:val="none" w:sz="0" w:space="0" w:color="auto"/>
            <w:right w:val="none" w:sz="0" w:space="0" w:color="auto"/>
          </w:divBdr>
        </w:div>
        <w:div w:id="1912353105">
          <w:marLeft w:val="0"/>
          <w:marRight w:val="0"/>
          <w:marTop w:val="0"/>
          <w:marBottom w:val="0"/>
          <w:divBdr>
            <w:top w:val="none" w:sz="0" w:space="0" w:color="auto"/>
            <w:left w:val="none" w:sz="0" w:space="0" w:color="auto"/>
            <w:bottom w:val="none" w:sz="0" w:space="0" w:color="auto"/>
            <w:right w:val="none" w:sz="0" w:space="0" w:color="auto"/>
          </w:divBdr>
        </w:div>
        <w:div w:id="1943029603">
          <w:marLeft w:val="0"/>
          <w:marRight w:val="0"/>
          <w:marTop w:val="0"/>
          <w:marBottom w:val="0"/>
          <w:divBdr>
            <w:top w:val="none" w:sz="0" w:space="0" w:color="auto"/>
            <w:left w:val="none" w:sz="0" w:space="0" w:color="auto"/>
            <w:bottom w:val="none" w:sz="0" w:space="0" w:color="auto"/>
            <w:right w:val="none" w:sz="0" w:space="0" w:color="auto"/>
          </w:divBdr>
        </w:div>
        <w:div w:id="1997758496">
          <w:marLeft w:val="0"/>
          <w:marRight w:val="0"/>
          <w:marTop w:val="0"/>
          <w:marBottom w:val="0"/>
          <w:divBdr>
            <w:top w:val="none" w:sz="0" w:space="0" w:color="auto"/>
            <w:left w:val="none" w:sz="0" w:space="0" w:color="auto"/>
            <w:bottom w:val="none" w:sz="0" w:space="0" w:color="auto"/>
            <w:right w:val="none" w:sz="0" w:space="0" w:color="auto"/>
          </w:divBdr>
        </w:div>
        <w:div w:id="2111776580">
          <w:marLeft w:val="0"/>
          <w:marRight w:val="0"/>
          <w:marTop w:val="0"/>
          <w:marBottom w:val="0"/>
          <w:divBdr>
            <w:top w:val="none" w:sz="0" w:space="0" w:color="auto"/>
            <w:left w:val="none" w:sz="0" w:space="0" w:color="auto"/>
            <w:bottom w:val="none" w:sz="0" w:space="0" w:color="auto"/>
            <w:right w:val="none" w:sz="0" w:space="0" w:color="auto"/>
          </w:divBdr>
        </w:div>
      </w:divsChild>
    </w:div>
    <w:div w:id="1032613109">
      <w:bodyDiv w:val="1"/>
      <w:marLeft w:val="0"/>
      <w:marRight w:val="0"/>
      <w:marTop w:val="0"/>
      <w:marBottom w:val="0"/>
      <w:divBdr>
        <w:top w:val="none" w:sz="0" w:space="0" w:color="auto"/>
        <w:left w:val="none" w:sz="0" w:space="0" w:color="auto"/>
        <w:bottom w:val="none" w:sz="0" w:space="0" w:color="auto"/>
        <w:right w:val="none" w:sz="0" w:space="0" w:color="auto"/>
      </w:divBdr>
      <w:divsChild>
        <w:div w:id="14770626">
          <w:marLeft w:val="0"/>
          <w:marRight w:val="0"/>
          <w:marTop w:val="0"/>
          <w:marBottom w:val="0"/>
          <w:divBdr>
            <w:top w:val="none" w:sz="0" w:space="0" w:color="auto"/>
            <w:left w:val="none" w:sz="0" w:space="0" w:color="auto"/>
            <w:bottom w:val="none" w:sz="0" w:space="0" w:color="auto"/>
            <w:right w:val="none" w:sz="0" w:space="0" w:color="auto"/>
          </w:divBdr>
        </w:div>
        <w:div w:id="340162291">
          <w:marLeft w:val="0"/>
          <w:marRight w:val="0"/>
          <w:marTop w:val="0"/>
          <w:marBottom w:val="0"/>
          <w:divBdr>
            <w:top w:val="none" w:sz="0" w:space="0" w:color="auto"/>
            <w:left w:val="none" w:sz="0" w:space="0" w:color="auto"/>
            <w:bottom w:val="none" w:sz="0" w:space="0" w:color="auto"/>
            <w:right w:val="none" w:sz="0" w:space="0" w:color="auto"/>
          </w:divBdr>
        </w:div>
        <w:div w:id="356928431">
          <w:marLeft w:val="0"/>
          <w:marRight w:val="0"/>
          <w:marTop w:val="0"/>
          <w:marBottom w:val="0"/>
          <w:divBdr>
            <w:top w:val="none" w:sz="0" w:space="0" w:color="auto"/>
            <w:left w:val="none" w:sz="0" w:space="0" w:color="auto"/>
            <w:bottom w:val="none" w:sz="0" w:space="0" w:color="auto"/>
            <w:right w:val="none" w:sz="0" w:space="0" w:color="auto"/>
          </w:divBdr>
        </w:div>
        <w:div w:id="476151434">
          <w:marLeft w:val="0"/>
          <w:marRight w:val="0"/>
          <w:marTop w:val="0"/>
          <w:marBottom w:val="0"/>
          <w:divBdr>
            <w:top w:val="none" w:sz="0" w:space="0" w:color="auto"/>
            <w:left w:val="none" w:sz="0" w:space="0" w:color="auto"/>
            <w:bottom w:val="none" w:sz="0" w:space="0" w:color="auto"/>
            <w:right w:val="none" w:sz="0" w:space="0" w:color="auto"/>
          </w:divBdr>
        </w:div>
        <w:div w:id="519051374">
          <w:marLeft w:val="0"/>
          <w:marRight w:val="0"/>
          <w:marTop w:val="0"/>
          <w:marBottom w:val="0"/>
          <w:divBdr>
            <w:top w:val="none" w:sz="0" w:space="0" w:color="auto"/>
            <w:left w:val="none" w:sz="0" w:space="0" w:color="auto"/>
            <w:bottom w:val="none" w:sz="0" w:space="0" w:color="auto"/>
            <w:right w:val="none" w:sz="0" w:space="0" w:color="auto"/>
          </w:divBdr>
        </w:div>
        <w:div w:id="589386700">
          <w:marLeft w:val="0"/>
          <w:marRight w:val="0"/>
          <w:marTop w:val="0"/>
          <w:marBottom w:val="0"/>
          <w:divBdr>
            <w:top w:val="none" w:sz="0" w:space="0" w:color="auto"/>
            <w:left w:val="none" w:sz="0" w:space="0" w:color="auto"/>
            <w:bottom w:val="none" w:sz="0" w:space="0" w:color="auto"/>
            <w:right w:val="none" w:sz="0" w:space="0" w:color="auto"/>
          </w:divBdr>
        </w:div>
        <w:div w:id="639648615">
          <w:marLeft w:val="0"/>
          <w:marRight w:val="0"/>
          <w:marTop w:val="0"/>
          <w:marBottom w:val="0"/>
          <w:divBdr>
            <w:top w:val="none" w:sz="0" w:space="0" w:color="auto"/>
            <w:left w:val="none" w:sz="0" w:space="0" w:color="auto"/>
            <w:bottom w:val="none" w:sz="0" w:space="0" w:color="auto"/>
            <w:right w:val="none" w:sz="0" w:space="0" w:color="auto"/>
          </w:divBdr>
        </w:div>
        <w:div w:id="786587684">
          <w:marLeft w:val="0"/>
          <w:marRight w:val="0"/>
          <w:marTop w:val="0"/>
          <w:marBottom w:val="0"/>
          <w:divBdr>
            <w:top w:val="none" w:sz="0" w:space="0" w:color="auto"/>
            <w:left w:val="none" w:sz="0" w:space="0" w:color="auto"/>
            <w:bottom w:val="none" w:sz="0" w:space="0" w:color="auto"/>
            <w:right w:val="none" w:sz="0" w:space="0" w:color="auto"/>
          </w:divBdr>
        </w:div>
        <w:div w:id="806969652">
          <w:marLeft w:val="0"/>
          <w:marRight w:val="0"/>
          <w:marTop w:val="0"/>
          <w:marBottom w:val="0"/>
          <w:divBdr>
            <w:top w:val="none" w:sz="0" w:space="0" w:color="auto"/>
            <w:left w:val="none" w:sz="0" w:space="0" w:color="auto"/>
            <w:bottom w:val="none" w:sz="0" w:space="0" w:color="auto"/>
            <w:right w:val="none" w:sz="0" w:space="0" w:color="auto"/>
          </w:divBdr>
        </w:div>
        <w:div w:id="869488647">
          <w:marLeft w:val="0"/>
          <w:marRight w:val="0"/>
          <w:marTop w:val="0"/>
          <w:marBottom w:val="0"/>
          <w:divBdr>
            <w:top w:val="none" w:sz="0" w:space="0" w:color="auto"/>
            <w:left w:val="none" w:sz="0" w:space="0" w:color="auto"/>
            <w:bottom w:val="none" w:sz="0" w:space="0" w:color="auto"/>
            <w:right w:val="none" w:sz="0" w:space="0" w:color="auto"/>
          </w:divBdr>
        </w:div>
        <w:div w:id="910964009">
          <w:marLeft w:val="0"/>
          <w:marRight w:val="0"/>
          <w:marTop w:val="0"/>
          <w:marBottom w:val="0"/>
          <w:divBdr>
            <w:top w:val="none" w:sz="0" w:space="0" w:color="auto"/>
            <w:left w:val="none" w:sz="0" w:space="0" w:color="auto"/>
            <w:bottom w:val="none" w:sz="0" w:space="0" w:color="auto"/>
            <w:right w:val="none" w:sz="0" w:space="0" w:color="auto"/>
          </w:divBdr>
        </w:div>
        <w:div w:id="924342041">
          <w:marLeft w:val="0"/>
          <w:marRight w:val="0"/>
          <w:marTop w:val="0"/>
          <w:marBottom w:val="0"/>
          <w:divBdr>
            <w:top w:val="none" w:sz="0" w:space="0" w:color="auto"/>
            <w:left w:val="none" w:sz="0" w:space="0" w:color="auto"/>
            <w:bottom w:val="none" w:sz="0" w:space="0" w:color="auto"/>
            <w:right w:val="none" w:sz="0" w:space="0" w:color="auto"/>
          </w:divBdr>
        </w:div>
        <w:div w:id="936641231">
          <w:marLeft w:val="0"/>
          <w:marRight w:val="0"/>
          <w:marTop w:val="0"/>
          <w:marBottom w:val="0"/>
          <w:divBdr>
            <w:top w:val="none" w:sz="0" w:space="0" w:color="auto"/>
            <w:left w:val="none" w:sz="0" w:space="0" w:color="auto"/>
            <w:bottom w:val="none" w:sz="0" w:space="0" w:color="auto"/>
            <w:right w:val="none" w:sz="0" w:space="0" w:color="auto"/>
          </w:divBdr>
        </w:div>
        <w:div w:id="1159466993">
          <w:marLeft w:val="0"/>
          <w:marRight w:val="0"/>
          <w:marTop w:val="0"/>
          <w:marBottom w:val="0"/>
          <w:divBdr>
            <w:top w:val="none" w:sz="0" w:space="0" w:color="auto"/>
            <w:left w:val="none" w:sz="0" w:space="0" w:color="auto"/>
            <w:bottom w:val="none" w:sz="0" w:space="0" w:color="auto"/>
            <w:right w:val="none" w:sz="0" w:space="0" w:color="auto"/>
          </w:divBdr>
        </w:div>
        <w:div w:id="1333526820">
          <w:marLeft w:val="0"/>
          <w:marRight w:val="0"/>
          <w:marTop w:val="0"/>
          <w:marBottom w:val="0"/>
          <w:divBdr>
            <w:top w:val="none" w:sz="0" w:space="0" w:color="auto"/>
            <w:left w:val="none" w:sz="0" w:space="0" w:color="auto"/>
            <w:bottom w:val="none" w:sz="0" w:space="0" w:color="auto"/>
            <w:right w:val="none" w:sz="0" w:space="0" w:color="auto"/>
          </w:divBdr>
        </w:div>
        <w:div w:id="1384332405">
          <w:marLeft w:val="0"/>
          <w:marRight w:val="0"/>
          <w:marTop w:val="0"/>
          <w:marBottom w:val="0"/>
          <w:divBdr>
            <w:top w:val="none" w:sz="0" w:space="0" w:color="auto"/>
            <w:left w:val="none" w:sz="0" w:space="0" w:color="auto"/>
            <w:bottom w:val="none" w:sz="0" w:space="0" w:color="auto"/>
            <w:right w:val="none" w:sz="0" w:space="0" w:color="auto"/>
          </w:divBdr>
        </w:div>
        <w:div w:id="1420247757">
          <w:marLeft w:val="0"/>
          <w:marRight w:val="0"/>
          <w:marTop w:val="0"/>
          <w:marBottom w:val="0"/>
          <w:divBdr>
            <w:top w:val="none" w:sz="0" w:space="0" w:color="auto"/>
            <w:left w:val="none" w:sz="0" w:space="0" w:color="auto"/>
            <w:bottom w:val="none" w:sz="0" w:space="0" w:color="auto"/>
            <w:right w:val="none" w:sz="0" w:space="0" w:color="auto"/>
          </w:divBdr>
        </w:div>
        <w:div w:id="1487553621">
          <w:marLeft w:val="0"/>
          <w:marRight w:val="0"/>
          <w:marTop w:val="0"/>
          <w:marBottom w:val="0"/>
          <w:divBdr>
            <w:top w:val="none" w:sz="0" w:space="0" w:color="auto"/>
            <w:left w:val="none" w:sz="0" w:space="0" w:color="auto"/>
            <w:bottom w:val="none" w:sz="0" w:space="0" w:color="auto"/>
            <w:right w:val="none" w:sz="0" w:space="0" w:color="auto"/>
          </w:divBdr>
        </w:div>
        <w:div w:id="1511334016">
          <w:marLeft w:val="0"/>
          <w:marRight w:val="0"/>
          <w:marTop w:val="0"/>
          <w:marBottom w:val="0"/>
          <w:divBdr>
            <w:top w:val="none" w:sz="0" w:space="0" w:color="auto"/>
            <w:left w:val="none" w:sz="0" w:space="0" w:color="auto"/>
            <w:bottom w:val="none" w:sz="0" w:space="0" w:color="auto"/>
            <w:right w:val="none" w:sz="0" w:space="0" w:color="auto"/>
          </w:divBdr>
        </w:div>
        <w:div w:id="1574268985">
          <w:marLeft w:val="0"/>
          <w:marRight w:val="0"/>
          <w:marTop w:val="0"/>
          <w:marBottom w:val="0"/>
          <w:divBdr>
            <w:top w:val="none" w:sz="0" w:space="0" w:color="auto"/>
            <w:left w:val="none" w:sz="0" w:space="0" w:color="auto"/>
            <w:bottom w:val="none" w:sz="0" w:space="0" w:color="auto"/>
            <w:right w:val="none" w:sz="0" w:space="0" w:color="auto"/>
          </w:divBdr>
        </w:div>
        <w:div w:id="1585145982">
          <w:marLeft w:val="0"/>
          <w:marRight w:val="0"/>
          <w:marTop w:val="0"/>
          <w:marBottom w:val="0"/>
          <w:divBdr>
            <w:top w:val="none" w:sz="0" w:space="0" w:color="auto"/>
            <w:left w:val="none" w:sz="0" w:space="0" w:color="auto"/>
            <w:bottom w:val="none" w:sz="0" w:space="0" w:color="auto"/>
            <w:right w:val="none" w:sz="0" w:space="0" w:color="auto"/>
          </w:divBdr>
        </w:div>
        <w:div w:id="1613047038">
          <w:marLeft w:val="0"/>
          <w:marRight w:val="0"/>
          <w:marTop w:val="0"/>
          <w:marBottom w:val="0"/>
          <w:divBdr>
            <w:top w:val="none" w:sz="0" w:space="0" w:color="auto"/>
            <w:left w:val="none" w:sz="0" w:space="0" w:color="auto"/>
            <w:bottom w:val="none" w:sz="0" w:space="0" w:color="auto"/>
            <w:right w:val="none" w:sz="0" w:space="0" w:color="auto"/>
          </w:divBdr>
        </w:div>
        <w:div w:id="1678314047">
          <w:marLeft w:val="0"/>
          <w:marRight w:val="0"/>
          <w:marTop w:val="0"/>
          <w:marBottom w:val="0"/>
          <w:divBdr>
            <w:top w:val="none" w:sz="0" w:space="0" w:color="auto"/>
            <w:left w:val="none" w:sz="0" w:space="0" w:color="auto"/>
            <w:bottom w:val="none" w:sz="0" w:space="0" w:color="auto"/>
            <w:right w:val="none" w:sz="0" w:space="0" w:color="auto"/>
          </w:divBdr>
        </w:div>
        <w:div w:id="1712075919">
          <w:marLeft w:val="0"/>
          <w:marRight w:val="0"/>
          <w:marTop w:val="0"/>
          <w:marBottom w:val="0"/>
          <w:divBdr>
            <w:top w:val="none" w:sz="0" w:space="0" w:color="auto"/>
            <w:left w:val="none" w:sz="0" w:space="0" w:color="auto"/>
            <w:bottom w:val="none" w:sz="0" w:space="0" w:color="auto"/>
            <w:right w:val="none" w:sz="0" w:space="0" w:color="auto"/>
          </w:divBdr>
        </w:div>
        <w:div w:id="1942445933">
          <w:marLeft w:val="0"/>
          <w:marRight w:val="0"/>
          <w:marTop w:val="0"/>
          <w:marBottom w:val="0"/>
          <w:divBdr>
            <w:top w:val="none" w:sz="0" w:space="0" w:color="auto"/>
            <w:left w:val="none" w:sz="0" w:space="0" w:color="auto"/>
            <w:bottom w:val="none" w:sz="0" w:space="0" w:color="auto"/>
            <w:right w:val="none" w:sz="0" w:space="0" w:color="auto"/>
          </w:divBdr>
        </w:div>
        <w:div w:id="1955015157">
          <w:marLeft w:val="0"/>
          <w:marRight w:val="0"/>
          <w:marTop w:val="0"/>
          <w:marBottom w:val="0"/>
          <w:divBdr>
            <w:top w:val="none" w:sz="0" w:space="0" w:color="auto"/>
            <w:left w:val="none" w:sz="0" w:space="0" w:color="auto"/>
            <w:bottom w:val="none" w:sz="0" w:space="0" w:color="auto"/>
            <w:right w:val="none" w:sz="0" w:space="0" w:color="auto"/>
          </w:divBdr>
        </w:div>
        <w:div w:id="1982686647">
          <w:marLeft w:val="0"/>
          <w:marRight w:val="0"/>
          <w:marTop w:val="0"/>
          <w:marBottom w:val="0"/>
          <w:divBdr>
            <w:top w:val="none" w:sz="0" w:space="0" w:color="auto"/>
            <w:left w:val="none" w:sz="0" w:space="0" w:color="auto"/>
            <w:bottom w:val="none" w:sz="0" w:space="0" w:color="auto"/>
            <w:right w:val="none" w:sz="0" w:space="0" w:color="auto"/>
          </w:divBdr>
        </w:div>
        <w:div w:id="2059546581">
          <w:marLeft w:val="0"/>
          <w:marRight w:val="0"/>
          <w:marTop w:val="0"/>
          <w:marBottom w:val="0"/>
          <w:divBdr>
            <w:top w:val="none" w:sz="0" w:space="0" w:color="auto"/>
            <w:left w:val="none" w:sz="0" w:space="0" w:color="auto"/>
            <w:bottom w:val="none" w:sz="0" w:space="0" w:color="auto"/>
            <w:right w:val="none" w:sz="0" w:space="0" w:color="auto"/>
          </w:divBdr>
        </w:div>
        <w:div w:id="2104572656">
          <w:marLeft w:val="0"/>
          <w:marRight w:val="0"/>
          <w:marTop w:val="0"/>
          <w:marBottom w:val="0"/>
          <w:divBdr>
            <w:top w:val="none" w:sz="0" w:space="0" w:color="auto"/>
            <w:left w:val="none" w:sz="0" w:space="0" w:color="auto"/>
            <w:bottom w:val="none" w:sz="0" w:space="0" w:color="auto"/>
            <w:right w:val="none" w:sz="0" w:space="0" w:color="auto"/>
          </w:divBdr>
        </w:div>
        <w:div w:id="2133552642">
          <w:marLeft w:val="0"/>
          <w:marRight w:val="0"/>
          <w:marTop w:val="0"/>
          <w:marBottom w:val="0"/>
          <w:divBdr>
            <w:top w:val="none" w:sz="0" w:space="0" w:color="auto"/>
            <w:left w:val="none" w:sz="0" w:space="0" w:color="auto"/>
            <w:bottom w:val="none" w:sz="0" w:space="0" w:color="auto"/>
            <w:right w:val="none" w:sz="0" w:space="0" w:color="auto"/>
          </w:divBdr>
        </w:div>
      </w:divsChild>
    </w:div>
    <w:div w:id="1033576742">
      <w:bodyDiv w:val="1"/>
      <w:marLeft w:val="0"/>
      <w:marRight w:val="0"/>
      <w:marTop w:val="0"/>
      <w:marBottom w:val="0"/>
      <w:divBdr>
        <w:top w:val="none" w:sz="0" w:space="0" w:color="auto"/>
        <w:left w:val="none" w:sz="0" w:space="0" w:color="auto"/>
        <w:bottom w:val="none" w:sz="0" w:space="0" w:color="auto"/>
        <w:right w:val="none" w:sz="0" w:space="0" w:color="auto"/>
      </w:divBdr>
    </w:div>
    <w:div w:id="1050345495">
      <w:bodyDiv w:val="1"/>
      <w:marLeft w:val="0"/>
      <w:marRight w:val="0"/>
      <w:marTop w:val="0"/>
      <w:marBottom w:val="0"/>
      <w:divBdr>
        <w:top w:val="none" w:sz="0" w:space="0" w:color="auto"/>
        <w:left w:val="none" w:sz="0" w:space="0" w:color="auto"/>
        <w:bottom w:val="none" w:sz="0" w:space="0" w:color="auto"/>
        <w:right w:val="none" w:sz="0" w:space="0" w:color="auto"/>
      </w:divBdr>
      <w:divsChild>
        <w:div w:id="47918434">
          <w:marLeft w:val="0"/>
          <w:marRight w:val="0"/>
          <w:marTop w:val="0"/>
          <w:marBottom w:val="0"/>
          <w:divBdr>
            <w:top w:val="none" w:sz="0" w:space="0" w:color="auto"/>
            <w:left w:val="none" w:sz="0" w:space="0" w:color="auto"/>
            <w:bottom w:val="none" w:sz="0" w:space="0" w:color="auto"/>
            <w:right w:val="none" w:sz="0" w:space="0" w:color="auto"/>
          </w:divBdr>
        </w:div>
        <w:div w:id="372000717">
          <w:marLeft w:val="0"/>
          <w:marRight w:val="0"/>
          <w:marTop w:val="0"/>
          <w:marBottom w:val="0"/>
          <w:divBdr>
            <w:top w:val="none" w:sz="0" w:space="0" w:color="auto"/>
            <w:left w:val="none" w:sz="0" w:space="0" w:color="auto"/>
            <w:bottom w:val="none" w:sz="0" w:space="0" w:color="auto"/>
            <w:right w:val="none" w:sz="0" w:space="0" w:color="auto"/>
          </w:divBdr>
        </w:div>
        <w:div w:id="488450724">
          <w:marLeft w:val="0"/>
          <w:marRight w:val="0"/>
          <w:marTop w:val="0"/>
          <w:marBottom w:val="0"/>
          <w:divBdr>
            <w:top w:val="none" w:sz="0" w:space="0" w:color="auto"/>
            <w:left w:val="none" w:sz="0" w:space="0" w:color="auto"/>
            <w:bottom w:val="none" w:sz="0" w:space="0" w:color="auto"/>
            <w:right w:val="none" w:sz="0" w:space="0" w:color="auto"/>
          </w:divBdr>
        </w:div>
        <w:div w:id="727924001">
          <w:marLeft w:val="0"/>
          <w:marRight w:val="0"/>
          <w:marTop w:val="0"/>
          <w:marBottom w:val="0"/>
          <w:divBdr>
            <w:top w:val="none" w:sz="0" w:space="0" w:color="auto"/>
            <w:left w:val="none" w:sz="0" w:space="0" w:color="auto"/>
            <w:bottom w:val="none" w:sz="0" w:space="0" w:color="auto"/>
            <w:right w:val="none" w:sz="0" w:space="0" w:color="auto"/>
          </w:divBdr>
        </w:div>
        <w:div w:id="971210108">
          <w:marLeft w:val="0"/>
          <w:marRight w:val="0"/>
          <w:marTop w:val="0"/>
          <w:marBottom w:val="0"/>
          <w:divBdr>
            <w:top w:val="none" w:sz="0" w:space="0" w:color="auto"/>
            <w:left w:val="none" w:sz="0" w:space="0" w:color="auto"/>
            <w:bottom w:val="none" w:sz="0" w:space="0" w:color="auto"/>
            <w:right w:val="none" w:sz="0" w:space="0" w:color="auto"/>
          </w:divBdr>
        </w:div>
        <w:div w:id="1487436991">
          <w:marLeft w:val="0"/>
          <w:marRight w:val="0"/>
          <w:marTop w:val="0"/>
          <w:marBottom w:val="0"/>
          <w:divBdr>
            <w:top w:val="none" w:sz="0" w:space="0" w:color="auto"/>
            <w:left w:val="none" w:sz="0" w:space="0" w:color="auto"/>
            <w:bottom w:val="none" w:sz="0" w:space="0" w:color="auto"/>
            <w:right w:val="none" w:sz="0" w:space="0" w:color="auto"/>
          </w:divBdr>
        </w:div>
        <w:div w:id="1707295508">
          <w:marLeft w:val="0"/>
          <w:marRight w:val="0"/>
          <w:marTop w:val="0"/>
          <w:marBottom w:val="0"/>
          <w:divBdr>
            <w:top w:val="none" w:sz="0" w:space="0" w:color="auto"/>
            <w:left w:val="none" w:sz="0" w:space="0" w:color="auto"/>
            <w:bottom w:val="none" w:sz="0" w:space="0" w:color="auto"/>
            <w:right w:val="none" w:sz="0" w:space="0" w:color="auto"/>
          </w:divBdr>
        </w:div>
        <w:div w:id="2099859126">
          <w:marLeft w:val="0"/>
          <w:marRight w:val="0"/>
          <w:marTop w:val="0"/>
          <w:marBottom w:val="0"/>
          <w:divBdr>
            <w:top w:val="none" w:sz="0" w:space="0" w:color="auto"/>
            <w:left w:val="none" w:sz="0" w:space="0" w:color="auto"/>
            <w:bottom w:val="none" w:sz="0" w:space="0" w:color="auto"/>
            <w:right w:val="none" w:sz="0" w:space="0" w:color="auto"/>
          </w:divBdr>
        </w:div>
      </w:divsChild>
    </w:div>
    <w:div w:id="1050760586">
      <w:bodyDiv w:val="1"/>
      <w:marLeft w:val="0"/>
      <w:marRight w:val="0"/>
      <w:marTop w:val="0"/>
      <w:marBottom w:val="0"/>
      <w:divBdr>
        <w:top w:val="none" w:sz="0" w:space="0" w:color="auto"/>
        <w:left w:val="none" w:sz="0" w:space="0" w:color="auto"/>
        <w:bottom w:val="none" w:sz="0" w:space="0" w:color="auto"/>
        <w:right w:val="none" w:sz="0" w:space="0" w:color="auto"/>
      </w:divBdr>
      <w:divsChild>
        <w:div w:id="204997480">
          <w:marLeft w:val="0"/>
          <w:marRight w:val="0"/>
          <w:marTop w:val="0"/>
          <w:marBottom w:val="0"/>
          <w:divBdr>
            <w:top w:val="none" w:sz="0" w:space="0" w:color="auto"/>
            <w:left w:val="none" w:sz="0" w:space="0" w:color="auto"/>
            <w:bottom w:val="none" w:sz="0" w:space="0" w:color="auto"/>
            <w:right w:val="none" w:sz="0" w:space="0" w:color="auto"/>
          </w:divBdr>
        </w:div>
        <w:div w:id="247928812">
          <w:marLeft w:val="0"/>
          <w:marRight w:val="0"/>
          <w:marTop w:val="0"/>
          <w:marBottom w:val="0"/>
          <w:divBdr>
            <w:top w:val="none" w:sz="0" w:space="0" w:color="auto"/>
            <w:left w:val="none" w:sz="0" w:space="0" w:color="auto"/>
            <w:bottom w:val="none" w:sz="0" w:space="0" w:color="auto"/>
            <w:right w:val="none" w:sz="0" w:space="0" w:color="auto"/>
          </w:divBdr>
        </w:div>
        <w:div w:id="773591699">
          <w:marLeft w:val="0"/>
          <w:marRight w:val="0"/>
          <w:marTop w:val="0"/>
          <w:marBottom w:val="0"/>
          <w:divBdr>
            <w:top w:val="none" w:sz="0" w:space="0" w:color="auto"/>
            <w:left w:val="none" w:sz="0" w:space="0" w:color="auto"/>
            <w:bottom w:val="none" w:sz="0" w:space="0" w:color="auto"/>
            <w:right w:val="none" w:sz="0" w:space="0" w:color="auto"/>
          </w:divBdr>
        </w:div>
        <w:div w:id="2131390926">
          <w:marLeft w:val="0"/>
          <w:marRight w:val="0"/>
          <w:marTop w:val="0"/>
          <w:marBottom w:val="0"/>
          <w:divBdr>
            <w:top w:val="none" w:sz="0" w:space="0" w:color="auto"/>
            <w:left w:val="none" w:sz="0" w:space="0" w:color="auto"/>
            <w:bottom w:val="none" w:sz="0" w:space="0" w:color="auto"/>
            <w:right w:val="none" w:sz="0" w:space="0" w:color="auto"/>
          </w:divBdr>
        </w:div>
      </w:divsChild>
    </w:div>
    <w:div w:id="1056902031">
      <w:bodyDiv w:val="1"/>
      <w:marLeft w:val="0"/>
      <w:marRight w:val="0"/>
      <w:marTop w:val="0"/>
      <w:marBottom w:val="0"/>
      <w:divBdr>
        <w:top w:val="none" w:sz="0" w:space="0" w:color="auto"/>
        <w:left w:val="none" w:sz="0" w:space="0" w:color="auto"/>
        <w:bottom w:val="none" w:sz="0" w:space="0" w:color="auto"/>
        <w:right w:val="none" w:sz="0" w:space="0" w:color="auto"/>
      </w:divBdr>
    </w:div>
    <w:div w:id="1058480199">
      <w:bodyDiv w:val="1"/>
      <w:marLeft w:val="0"/>
      <w:marRight w:val="0"/>
      <w:marTop w:val="0"/>
      <w:marBottom w:val="0"/>
      <w:divBdr>
        <w:top w:val="none" w:sz="0" w:space="0" w:color="auto"/>
        <w:left w:val="none" w:sz="0" w:space="0" w:color="auto"/>
        <w:bottom w:val="none" w:sz="0" w:space="0" w:color="auto"/>
        <w:right w:val="none" w:sz="0" w:space="0" w:color="auto"/>
      </w:divBdr>
      <w:divsChild>
        <w:div w:id="93980899">
          <w:marLeft w:val="0"/>
          <w:marRight w:val="0"/>
          <w:marTop w:val="0"/>
          <w:marBottom w:val="0"/>
          <w:divBdr>
            <w:top w:val="none" w:sz="0" w:space="0" w:color="auto"/>
            <w:left w:val="none" w:sz="0" w:space="0" w:color="auto"/>
            <w:bottom w:val="none" w:sz="0" w:space="0" w:color="auto"/>
            <w:right w:val="none" w:sz="0" w:space="0" w:color="auto"/>
          </w:divBdr>
        </w:div>
        <w:div w:id="126897674">
          <w:marLeft w:val="0"/>
          <w:marRight w:val="0"/>
          <w:marTop w:val="0"/>
          <w:marBottom w:val="0"/>
          <w:divBdr>
            <w:top w:val="none" w:sz="0" w:space="0" w:color="auto"/>
            <w:left w:val="none" w:sz="0" w:space="0" w:color="auto"/>
            <w:bottom w:val="none" w:sz="0" w:space="0" w:color="auto"/>
            <w:right w:val="none" w:sz="0" w:space="0" w:color="auto"/>
          </w:divBdr>
        </w:div>
        <w:div w:id="228199776">
          <w:marLeft w:val="0"/>
          <w:marRight w:val="0"/>
          <w:marTop w:val="0"/>
          <w:marBottom w:val="0"/>
          <w:divBdr>
            <w:top w:val="none" w:sz="0" w:space="0" w:color="auto"/>
            <w:left w:val="none" w:sz="0" w:space="0" w:color="auto"/>
            <w:bottom w:val="none" w:sz="0" w:space="0" w:color="auto"/>
            <w:right w:val="none" w:sz="0" w:space="0" w:color="auto"/>
          </w:divBdr>
        </w:div>
        <w:div w:id="238908168">
          <w:marLeft w:val="0"/>
          <w:marRight w:val="0"/>
          <w:marTop w:val="0"/>
          <w:marBottom w:val="0"/>
          <w:divBdr>
            <w:top w:val="none" w:sz="0" w:space="0" w:color="auto"/>
            <w:left w:val="none" w:sz="0" w:space="0" w:color="auto"/>
            <w:bottom w:val="none" w:sz="0" w:space="0" w:color="auto"/>
            <w:right w:val="none" w:sz="0" w:space="0" w:color="auto"/>
          </w:divBdr>
        </w:div>
        <w:div w:id="273833495">
          <w:marLeft w:val="0"/>
          <w:marRight w:val="0"/>
          <w:marTop w:val="0"/>
          <w:marBottom w:val="0"/>
          <w:divBdr>
            <w:top w:val="none" w:sz="0" w:space="0" w:color="auto"/>
            <w:left w:val="none" w:sz="0" w:space="0" w:color="auto"/>
            <w:bottom w:val="none" w:sz="0" w:space="0" w:color="auto"/>
            <w:right w:val="none" w:sz="0" w:space="0" w:color="auto"/>
          </w:divBdr>
        </w:div>
        <w:div w:id="320038610">
          <w:marLeft w:val="0"/>
          <w:marRight w:val="0"/>
          <w:marTop w:val="0"/>
          <w:marBottom w:val="0"/>
          <w:divBdr>
            <w:top w:val="none" w:sz="0" w:space="0" w:color="auto"/>
            <w:left w:val="none" w:sz="0" w:space="0" w:color="auto"/>
            <w:bottom w:val="none" w:sz="0" w:space="0" w:color="auto"/>
            <w:right w:val="none" w:sz="0" w:space="0" w:color="auto"/>
          </w:divBdr>
        </w:div>
        <w:div w:id="322196636">
          <w:marLeft w:val="0"/>
          <w:marRight w:val="0"/>
          <w:marTop w:val="0"/>
          <w:marBottom w:val="0"/>
          <w:divBdr>
            <w:top w:val="none" w:sz="0" w:space="0" w:color="auto"/>
            <w:left w:val="none" w:sz="0" w:space="0" w:color="auto"/>
            <w:bottom w:val="none" w:sz="0" w:space="0" w:color="auto"/>
            <w:right w:val="none" w:sz="0" w:space="0" w:color="auto"/>
          </w:divBdr>
        </w:div>
        <w:div w:id="329909208">
          <w:marLeft w:val="0"/>
          <w:marRight w:val="0"/>
          <w:marTop w:val="0"/>
          <w:marBottom w:val="0"/>
          <w:divBdr>
            <w:top w:val="none" w:sz="0" w:space="0" w:color="auto"/>
            <w:left w:val="none" w:sz="0" w:space="0" w:color="auto"/>
            <w:bottom w:val="none" w:sz="0" w:space="0" w:color="auto"/>
            <w:right w:val="none" w:sz="0" w:space="0" w:color="auto"/>
          </w:divBdr>
        </w:div>
        <w:div w:id="332995885">
          <w:marLeft w:val="0"/>
          <w:marRight w:val="0"/>
          <w:marTop w:val="0"/>
          <w:marBottom w:val="0"/>
          <w:divBdr>
            <w:top w:val="none" w:sz="0" w:space="0" w:color="auto"/>
            <w:left w:val="none" w:sz="0" w:space="0" w:color="auto"/>
            <w:bottom w:val="none" w:sz="0" w:space="0" w:color="auto"/>
            <w:right w:val="none" w:sz="0" w:space="0" w:color="auto"/>
          </w:divBdr>
        </w:div>
        <w:div w:id="350305755">
          <w:marLeft w:val="0"/>
          <w:marRight w:val="0"/>
          <w:marTop w:val="0"/>
          <w:marBottom w:val="0"/>
          <w:divBdr>
            <w:top w:val="none" w:sz="0" w:space="0" w:color="auto"/>
            <w:left w:val="none" w:sz="0" w:space="0" w:color="auto"/>
            <w:bottom w:val="none" w:sz="0" w:space="0" w:color="auto"/>
            <w:right w:val="none" w:sz="0" w:space="0" w:color="auto"/>
          </w:divBdr>
        </w:div>
        <w:div w:id="355927112">
          <w:marLeft w:val="0"/>
          <w:marRight w:val="0"/>
          <w:marTop w:val="0"/>
          <w:marBottom w:val="0"/>
          <w:divBdr>
            <w:top w:val="none" w:sz="0" w:space="0" w:color="auto"/>
            <w:left w:val="none" w:sz="0" w:space="0" w:color="auto"/>
            <w:bottom w:val="none" w:sz="0" w:space="0" w:color="auto"/>
            <w:right w:val="none" w:sz="0" w:space="0" w:color="auto"/>
          </w:divBdr>
        </w:div>
        <w:div w:id="378627941">
          <w:marLeft w:val="0"/>
          <w:marRight w:val="0"/>
          <w:marTop w:val="0"/>
          <w:marBottom w:val="0"/>
          <w:divBdr>
            <w:top w:val="none" w:sz="0" w:space="0" w:color="auto"/>
            <w:left w:val="none" w:sz="0" w:space="0" w:color="auto"/>
            <w:bottom w:val="none" w:sz="0" w:space="0" w:color="auto"/>
            <w:right w:val="none" w:sz="0" w:space="0" w:color="auto"/>
          </w:divBdr>
        </w:div>
        <w:div w:id="380596456">
          <w:marLeft w:val="0"/>
          <w:marRight w:val="0"/>
          <w:marTop w:val="0"/>
          <w:marBottom w:val="0"/>
          <w:divBdr>
            <w:top w:val="none" w:sz="0" w:space="0" w:color="auto"/>
            <w:left w:val="none" w:sz="0" w:space="0" w:color="auto"/>
            <w:bottom w:val="none" w:sz="0" w:space="0" w:color="auto"/>
            <w:right w:val="none" w:sz="0" w:space="0" w:color="auto"/>
          </w:divBdr>
        </w:div>
        <w:div w:id="439447747">
          <w:marLeft w:val="0"/>
          <w:marRight w:val="0"/>
          <w:marTop w:val="0"/>
          <w:marBottom w:val="0"/>
          <w:divBdr>
            <w:top w:val="none" w:sz="0" w:space="0" w:color="auto"/>
            <w:left w:val="none" w:sz="0" w:space="0" w:color="auto"/>
            <w:bottom w:val="none" w:sz="0" w:space="0" w:color="auto"/>
            <w:right w:val="none" w:sz="0" w:space="0" w:color="auto"/>
          </w:divBdr>
        </w:div>
        <w:div w:id="548803456">
          <w:marLeft w:val="0"/>
          <w:marRight w:val="0"/>
          <w:marTop w:val="0"/>
          <w:marBottom w:val="0"/>
          <w:divBdr>
            <w:top w:val="none" w:sz="0" w:space="0" w:color="auto"/>
            <w:left w:val="none" w:sz="0" w:space="0" w:color="auto"/>
            <w:bottom w:val="none" w:sz="0" w:space="0" w:color="auto"/>
            <w:right w:val="none" w:sz="0" w:space="0" w:color="auto"/>
          </w:divBdr>
        </w:div>
        <w:div w:id="618417730">
          <w:marLeft w:val="0"/>
          <w:marRight w:val="0"/>
          <w:marTop w:val="0"/>
          <w:marBottom w:val="0"/>
          <w:divBdr>
            <w:top w:val="none" w:sz="0" w:space="0" w:color="auto"/>
            <w:left w:val="none" w:sz="0" w:space="0" w:color="auto"/>
            <w:bottom w:val="none" w:sz="0" w:space="0" w:color="auto"/>
            <w:right w:val="none" w:sz="0" w:space="0" w:color="auto"/>
          </w:divBdr>
        </w:div>
        <w:div w:id="623197251">
          <w:marLeft w:val="0"/>
          <w:marRight w:val="0"/>
          <w:marTop w:val="0"/>
          <w:marBottom w:val="0"/>
          <w:divBdr>
            <w:top w:val="none" w:sz="0" w:space="0" w:color="auto"/>
            <w:left w:val="none" w:sz="0" w:space="0" w:color="auto"/>
            <w:bottom w:val="none" w:sz="0" w:space="0" w:color="auto"/>
            <w:right w:val="none" w:sz="0" w:space="0" w:color="auto"/>
          </w:divBdr>
        </w:div>
        <w:div w:id="647831907">
          <w:marLeft w:val="0"/>
          <w:marRight w:val="0"/>
          <w:marTop w:val="0"/>
          <w:marBottom w:val="0"/>
          <w:divBdr>
            <w:top w:val="none" w:sz="0" w:space="0" w:color="auto"/>
            <w:left w:val="none" w:sz="0" w:space="0" w:color="auto"/>
            <w:bottom w:val="none" w:sz="0" w:space="0" w:color="auto"/>
            <w:right w:val="none" w:sz="0" w:space="0" w:color="auto"/>
          </w:divBdr>
        </w:div>
        <w:div w:id="662929341">
          <w:marLeft w:val="0"/>
          <w:marRight w:val="0"/>
          <w:marTop w:val="0"/>
          <w:marBottom w:val="0"/>
          <w:divBdr>
            <w:top w:val="none" w:sz="0" w:space="0" w:color="auto"/>
            <w:left w:val="none" w:sz="0" w:space="0" w:color="auto"/>
            <w:bottom w:val="none" w:sz="0" w:space="0" w:color="auto"/>
            <w:right w:val="none" w:sz="0" w:space="0" w:color="auto"/>
          </w:divBdr>
        </w:div>
        <w:div w:id="687218401">
          <w:marLeft w:val="0"/>
          <w:marRight w:val="0"/>
          <w:marTop w:val="0"/>
          <w:marBottom w:val="0"/>
          <w:divBdr>
            <w:top w:val="none" w:sz="0" w:space="0" w:color="auto"/>
            <w:left w:val="none" w:sz="0" w:space="0" w:color="auto"/>
            <w:bottom w:val="none" w:sz="0" w:space="0" w:color="auto"/>
            <w:right w:val="none" w:sz="0" w:space="0" w:color="auto"/>
          </w:divBdr>
        </w:div>
        <w:div w:id="770399050">
          <w:marLeft w:val="0"/>
          <w:marRight w:val="0"/>
          <w:marTop w:val="0"/>
          <w:marBottom w:val="0"/>
          <w:divBdr>
            <w:top w:val="none" w:sz="0" w:space="0" w:color="auto"/>
            <w:left w:val="none" w:sz="0" w:space="0" w:color="auto"/>
            <w:bottom w:val="none" w:sz="0" w:space="0" w:color="auto"/>
            <w:right w:val="none" w:sz="0" w:space="0" w:color="auto"/>
          </w:divBdr>
        </w:div>
        <w:div w:id="786197358">
          <w:marLeft w:val="0"/>
          <w:marRight w:val="0"/>
          <w:marTop w:val="0"/>
          <w:marBottom w:val="0"/>
          <w:divBdr>
            <w:top w:val="none" w:sz="0" w:space="0" w:color="auto"/>
            <w:left w:val="none" w:sz="0" w:space="0" w:color="auto"/>
            <w:bottom w:val="none" w:sz="0" w:space="0" w:color="auto"/>
            <w:right w:val="none" w:sz="0" w:space="0" w:color="auto"/>
          </w:divBdr>
        </w:div>
        <w:div w:id="805701112">
          <w:marLeft w:val="0"/>
          <w:marRight w:val="0"/>
          <w:marTop w:val="0"/>
          <w:marBottom w:val="0"/>
          <w:divBdr>
            <w:top w:val="none" w:sz="0" w:space="0" w:color="auto"/>
            <w:left w:val="none" w:sz="0" w:space="0" w:color="auto"/>
            <w:bottom w:val="none" w:sz="0" w:space="0" w:color="auto"/>
            <w:right w:val="none" w:sz="0" w:space="0" w:color="auto"/>
          </w:divBdr>
        </w:div>
        <w:div w:id="839659096">
          <w:marLeft w:val="0"/>
          <w:marRight w:val="0"/>
          <w:marTop w:val="0"/>
          <w:marBottom w:val="0"/>
          <w:divBdr>
            <w:top w:val="none" w:sz="0" w:space="0" w:color="auto"/>
            <w:left w:val="none" w:sz="0" w:space="0" w:color="auto"/>
            <w:bottom w:val="none" w:sz="0" w:space="0" w:color="auto"/>
            <w:right w:val="none" w:sz="0" w:space="0" w:color="auto"/>
          </w:divBdr>
        </w:div>
        <w:div w:id="864052541">
          <w:marLeft w:val="0"/>
          <w:marRight w:val="0"/>
          <w:marTop w:val="0"/>
          <w:marBottom w:val="0"/>
          <w:divBdr>
            <w:top w:val="none" w:sz="0" w:space="0" w:color="auto"/>
            <w:left w:val="none" w:sz="0" w:space="0" w:color="auto"/>
            <w:bottom w:val="none" w:sz="0" w:space="0" w:color="auto"/>
            <w:right w:val="none" w:sz="0" w:space="0" w:color="auto"/>
          </w:divBdr>
        </w:div>
        <w:div w:id="892690817">
          <w:marLeft w:val="0"/>
          <w:marRight w:val="0"/>
          <w:marTop w:val="0"/>
          <w:marBottom w:val="0"/>
          <w:divBdr>
            <w:top w:val="none" w:sz="0" w:space="0" w:color="auto"/>
            <w:left w:val="none" w:sz="0" w:space="0" w:color="auto"/>
            <w:bottom w:val="none" w:sz="0" w:space="0" w:color="auto"/>
            <w:right w:val="none" w:sz="0" w:space="0" w:color="auto"/>
          </w:divBdr>
        </w:div>
        <w:div w:id="913053428">
          <w:marLeft w:val="0"/>
          <w:marRight w:val="0"/>
          <w:marTop w:val="0"/>
          <w:marBottom w:val="0"/>
          <w:divBdr>
            <w:top w:val="none" w:sz="0" w:space="0" w:color="auto"/>
            <w:left w:val="none" w:sz="0" w:space="0" w:color="auto"/>
            <w:bottom w:val="none" w:sz="0" w:space="0" w:color="auto"/>
            <w:right w:val="none" w:sz="0" w:space="0" w:color="auto"/>
          </w:divBdr>
        </w:div>
        <w:div w:id="917785474">
          <w:marLeft w:val="0"/>
          <w:marRight w:val="0"/>
          <w:marTop w:val="0"/>
          <w:marBottom w:val="0"/>
          <w:divBdr>
            <w:top w:val="none" w:sz="0" w:space="0" w:color="auto"/>
            <w:left w:val="none" w:sz="0" w:space="0" w:color="auto"/>
            <w:bottom w:val="none" w:sz="0" w:space="0" w:color="auto"/>
            <w:right w:val="none" w:sz="0" w:space="0" w:color="auto"/>
          </w:divBdr>
        </w:div>
        <w:div w:id="921642055">
          <w:marLeft w:val="0"/>
          <w:marRight w:val="0"/>
          <w:marTop w:val="0"/>
          <w:marBottom w:val="0"/>
          <w:divBdr>
            <w:top w:val="none" w:sz="0" w:space="0" w:color="auto"/>
            <w:left w:val="none" w:sz="0" w:space="0" w:color="auto"/>
            <w:bottom w:val="none" w:sz="0" w:space="0" w:color="auto"/>
            <w:right w:val="none" w:sz="0" w:space="0" w:color="auto"/>
          </w:divBdr>
        </w:div>
        <w:div w:id="960379518">
          <w:marLeft w:val="0"/>
          <w:marRight w:val="0"/>
          <w:marTop w:val="0"/>
          <w:marBottom w:val="0"/>
          <w:divBdr>
            <w:top w:val="none" w:sz="0" w:space="0" w:color="auto"/>
            <w:left w:val="none" w:sz="0" w:space="0" w:color="auto"/>
            <w:bottom w:val="none" w:sz="0" w:space="0" w:color="auto"/>
            <w:right w:val="none" w:sz="0" w:space="0" w:color="auto"/>
          </w:divBdr>
        </w:div>
        <w:div w:id="992685152">
          <w:marLeft w:val="0"/>
          <w:marRight w:val="0"/>
          <w:marTop w:val="0"/>
          <w:marBottom w:val="0"/>
          <w:divBdr>
            <w:top w:val="none" w:sz="0" w:space="0" w:color="auto"/>
            <w:left w:val="none" w:sz="0" w:space="0" w:color="auto"/>
            <w:bottom w:val="none" w:sz="0" w:space="0" w:color="auto"/>
            <w:right w:val="none" w:sz="0" w:space="0" w:color="auto"/>
          </w:divBdr>
        </w:div>
        <w:div w:id="1026062532">
          <w:marLeft w:val="0"/>
          <w:marRight w:val="0"/>
          <w:marTop w:val="0"/>
          <w:marBottom w:val="0"/>
          <w:divBdr>
            <w:top w:val="none" w:sz="0" w:space="0" w:color="auto"/>
            <w:left w:val="none" w:sz="0" w:space="0" w:color="auto"/>
            <w:bottom w:val="none" w:sz="0" w:space="0" w:color="auto"/>
            <w:right w:val="none" w:sz="0" w:space="0" w:color="auto"/>
          </w:divBdr>
        </w:div>
        <w:div w:id="1132594761">
          <w:marLeft w:val="0"/>
          <w:marRight w:val="0"/>
          <w:marTop w:val="0"/>
          <w:marBottom w:val="0"/>
          <w:divBdr>
            <w:top w:val="none" w:sz="0" w:space="0" w:color="auto"/>
            <w:left w:val="none" w:sz="0" w:space="0" w:color="auto"/>
            <w:bottom w:val="none" w:sz="0" w:space="0" w:color="auto"/>
            <w:right w:val="none" w:sz="0" w:space="0" w:color="auto"/>
          </w:divBdr>
        </w:div>
        <w:div w:id="1152911108">
          <w:marLeft w:val="0"/>
          <w:marRight w:val="0"/>
          <w:marTop w:val="0"/>
          <w:marBottom w:val="0"/>
          <w:divBdr>
            <w:top w:val="none" w:sz="0" w:space="0" w:color="auto"/>
            <w:left w:val="none" w:sz="0" w:space="0" w:color="auto"/>
            <w:bottom w:val="none" w:sz="0" w:space="0" w:color="auto"/>
            <w:right w:val="none" w:sz="0" w:space="0" w:color="auto"/>
          </w:divBdr>
        </w:div>
        <w:div w:id="1191528956">
          <w:marLeft w:val="0"/>
          <w:marRight w:val="0"/>
          <w:marTop w:val="0"/>
          <w:marBottom w:val="0"/>
          <w:divBdr>
            <w:top w:val="none" w:sz="0" w:space="0" w:color="auto"/>
            <w:left w:val="none" w:sz="0" w:space="0" w:color="auto"/>
            <w:bottom w:val="none" w:sz="0" w:space="0" w:color="auto"/>
            <w:right w:val="none" w:sz="0" w:space="0" w:color="auto"/>
          </w:divBdr>
        </w:div>
        <w:div w:id="1225146935">
          <w:marLeft w:val="0"/>
          <w:marRight w:val="0"/>
          <w:marTop w:val="0"/>
          <w:marBottom w:val="0"/>
          <w:divBdr>
            <w:top w:val="none" w:sz="0" w:space="0" w:color="auto"/>
            <w:left w:val="none" w:sz="0" w:space="0" w:color="auto"/>
            <w:bottom w:val="none" w:sz="0" w:space="0" w:color="auto"/>
            <w:right w:val="none" w:sz="0" w:space="0" w:color="auto"/>
          </w:divBdr>
        </w:div>
        <w:div w:id="1264731357">
          <w:marLeft w:val="0"/>
          <w:marRight w:val="0"/>
          <w:marTop w:val="0"/>
          <w:marBottom w:val="0"/>
          <w:divBdr>
            <w:top w:val="none" w:sz="0" w:space="0" w:color="auto"/>
            <w:left w:val="none" w:sz="0" w:space="0" w:color="auto"/>
            <w:bottom w:val="none" w:sz="0" w:space="0" w:color="auto"/>
            <w:right w:val="none" w:sz="0" w:space="0" w:color="auto"/>
          </w:divBdr>
        </w:div>
        <w:div w:id="1271667957">
          <w:marLeft w:val="0"/>
          <w:marRight w:val="0"/>
          <w:marTop w:val="0"/>
          <w:marBottom w:val="0"/>
          <w:divBdr>
            <w:top w:val="none" w:sz="0" w:space="0" w:color="auto"/>
            <w:left w:val="none" w:sz="0" w:space="0" w:color="auto"/>
            <w:bottom w:val="none" w:sz="0" w:space="0" w:color="auto"/>
            <w:right w:val="none" w:sz="0" w:space="0" w:color="auto"/>
          </w:divBdr>
        </w:div>
        <w:div w:id="1309827229">
          <w:marLeft w:val="0"/>
          <w:marRight w:val="0"/>
          <w:marTop w:val="0"/>
          <w:marBottom w:val="0"/>
          <w:divBdr>
            <w:top w:val="none" w:sz="0" w:space="0" w:color="auto"/>
            <w:left w:val="none" w:sz="0" w:space="0" w:color="auto"/>
            <w:bottom w:val="none" w:sz="0" w:space="0" w:color="auto"/>
            <w:right w:val="none" w:sz="0" w:space="0" w:color="auto"/>
          </w:divBdr>
        </w:div>
        <w:div w:id="1354921339">
          <w:marLeft w:val="0"/>
          <w:marRight w:val="0"/>
          <w:marTop w:val="0"/>
          <w:marBottom w:val="0"/>
          <w:divBdr>
            <w:top w:val="none" w:sz="0" w:space="0" w:color="auto"/>
            <w:left w:val="none" w:sz="0" w:space="0" w:color="auto"/>
            <w:bottom w:val="none" w:sz="0" w:space="0" w:color="auto"/>
            <w:right w:val="none" w:sz="0" w:space="0" w:color="auto"/>
          </w:divBdr>
        </w:div>
        <w:div w:id="1390573135">
          <w:marLeft w:val="0"/>
          <w:marRight w:val="0"/>
          <w:marTop w:val="0"/>
          <w:marBottom w:val="0"/>
          <w:divBdr>
            <w:top w:val="none" w:sz="0" w:space="0" w:color="auto"/>
            <w:left w:val="none" w:sz="0" w:space="0" w:color="auto"/>
            <w:bottom w:val="none" w:sz="0" w:space="0" w:color="auto"/>
            <w:right w:val="none" w:sz="0" w:space="0" w:color="auto"/>
          </w:divBdr>
        </w:div>
        <w:div w:id="1415974258">
          <w:marLeft w:val="0"/>
          <w:marRight w:val="0"/>
          <w:marTop w:val="0"/>
          <w:marBottom w:val="0"/>
          <w:divBdr>
            <w:top w:val="none" w:sz="0" w:space="0" w:color="auto"/>
            <w:left w:val="none" w:sz="0" w:space="0" w:color="auto"/>
            <w:bottom w:val="none" w:sz="0" w:space="0" w:color="auto"/>
            <w:right w:val="none" w:sz="0" w:space="0" w:color="auto"/>
          </w:divBdr>
        </w:div>
        <w:div w:id="1424032151">
          <w:marLeft w:val="0"/>
          <w:marRight w:val="0"/>
          <w:marTop w:val="0"/>
          <w:marBottom w:val="0"/>
          <w:divBdr>
            <w:top w:val="none" w:sz="0" w:space="0" w:color="auto"/>
            <w:left w:val="none" w:sz="0" w:space="0" w:color="auto"/>
            <w:bottom w:val="none" w:sz="0" w:space="0" w:color="auto"/>
            <w:right w:val="none" w:sz="0" w:space="0" w:color="auto"/>
          </w:divBdr>
        </w:div>
        <w:div w:id="1452162560">
          <w:marLeft w:val="0"/>
          <w:marRight w:val="0"/>
          <w:marTop w:val="0"/>
          <w:marBottom w:val="0"/>
          <w:divBdr>
            <w:top w:val="none" w:sz="0" w:space="0" w:color="auto"/>
            <w:left w:val="none" w:sz="0" w:space="0" w:color="auto"/>
            <w:bottom w:val="none" w:sz="0" w:space="0" w:color="auto"/>
            <w:right w:val="none" w:sz="0" w:space="0" w:color="auto"/>
          </w:divBdr>
        </w:div>
        <w:div w:id="1456286865">
          <w:marLeft w:val="0"/>
          <w:marRight w:val="0"/>
          <w:marTop w:val="0"/>
          <w:marBottom w:val="0"/>
          <w:divBdr>
            <w:top w:val="none" w:sz="0" w:space="0" w:color="auto"/>
            <w:left w:val="none" w:sz="0" w:space="0" w:color="auto"/>
            <w:bottom w:val="none" w:sz="0" w:space="0" w:color="auto"/>
            <w:right w:val="none" w:sz="0" w:space="0" w:color="auto"/>
          </w:divBdr>
        </w:div>
        <w:div w:id="1463187136">
          <w:marLeft w:val="0"/>
          <w:marRight w:val="0"/>
          <w:marTop w:val="0"/>
          <w:marBottom w:val="0"/>
          <w:divBdr>
            <w:top w:val="none" w:sz="0" w:space="0" w:color="auto"/>
            <w:left w:val="none" w:sz="0" w:space="0" w:color="auto"/>
            <w:bottom w:val="none" w:sz="0" w:space="0" w:color="auto"/>
            <w:right w:val="none" w:sz="0" w:space="0" w:color="auto"/>
          </w:divBdr>
        </w:div>
        <w:div w:id="1509906479">
          <w:marLeft w:val="0"/>
          <w:marRight w:val="0"/>
          <w:marTop w:val="0"/>
          <w:marBottom w:val="0"/>
          <w:divBdr>
            <w:top w:val="none" w:sz="0" w:space="0" w:color="auto"/>
            <w:left w:val="none" w:sz="0" w:space="0" w:color="auto"/>
            <w:bottom w:val="none" w:sz="0" w:space="0" w:color="auto"/>
            <w:right w:val="none" w:sz="0" w:space="0" w:color="auto"/>
          </w:divBdr>
        </w:div>
        <w:div w:id="1533376247">
          <w:marLeft w:val="0"/>
          <w:marRight w:val="0"/>
          <w:marTop w:val="0"/>
          <w:marBottom w:val="0"/>
          <w:divBdr>
            <w:top w:val="none" w:sz="0" w:space="0" w:color="auto"/>
            <w:left w:val="none" w:sz="0" w:space="0" w:color="auto"/>
            <w:bottom w:val="none" w:sz="0" w:space="0" w:color="auto"/>
            <w:right w:val="none" w:sz="0" w:space="0" w:color="auto"/>
          </w:divBdr>
        </w:div>
        <w:div w:id="1547378306">
          <w:marLeft w:val="0"/>
          <w:marRight w:val="0"/>
          <w:marTop w:val="0"/>
          <w:marBottom w:val="0"/>
          <w:divBdr>
            <w:top w:val="none" w:sz="0" w:space="0" w:color="auto"/>
            <w:left w:val="none" w:sz="0" w:space="0" w:color="auto"/>
            <w:bottom w:val="none" w:sz="0" w:space="0" w:color="auto"/>
            <w:right w:val="none" w:sz="0" w:space="0" w:color="auto"/>
          </w:divBdr>
        </w:div>
        <w:div w:id="1571423051">
          <w:marLeft w:val="0"/>
          <w:marRight w:val="0"/>
          <w:marTop w:val="0"/>
          <w:marBottom w:val="0"/>
          <w:divBdr>
            <w:top w:val="none" w:sz="0" w:space="0" w:color="auto"/>
            <w:left w:val="none" w:sz="0" w:space="0" w:color="auto"/>
            <w:bottom w:val="none" w:sz="0" w:space="0" w:color="auto"/>
            <w:right w:val="none" w:sz="0" w:space="0" w:color="auto"/>
          </w:divBdr>
        </w:div>
        <w:div w:id="1608926418">
          <w:marLeft w:val="0"/>
          <w:marRight w:val="0"/>
          <w:marTop w:val="0"/>
          <w:marBottom w:val="0"/>
          <w:divBdr>
            <w:top w:val="none" w:sz="0" w:space="0" w:color="auto"/>
            <w:left w:val="none" w:sz="0" w:space="0" w:color="auto"/>
            <w:bottom w:val="none" w:sz="0" w:space="0" w:color="auto"/>
            <w:right w:val="none" w:sz="0" w:space="0" w:color="auto"/>
          </w:divBdr>
        </w:div>
        <w:div w:id="1613785452">
          <w:marLeft w:val="0"/>
          <w:marRight w:val="0"/>
          <w:marTop w:val="0"/>
          <w:marBottom w:val="0"/>
          <w:divBdr>
            <w:top w:val="none" w:sz="0" w:space="0" w:color="auto"/>
            <w:left w:val="none" w:sz="0" w:space="0" w:color="auto"/>
            <w:bottom w:val="none" w:sz="0" w:space="0" w:color="auto"/>
            <w:right w:val="none" w:sz="0" w:space="0" w:color="auto"/>
          </w:divBdr>
        </w:div>
        <w:div w:id="1621372172">
          <w:marLeft w:val="0"/>
          <w:marRight w:val="0"/>
          <w:marTop w:val="0"/>
          <w:marBottom w:val="0"/>
          <w:divBdr>
            <w:top w:val="none" w:sz="0" w:space="0" w:color="auto"/>
            <w:left w:val="none" w:sz="0" w:space="0" w:color="auto"/>
            <w:bottom w:val="none" w:sz="0" w:space="0" w:color="auto"/>
            <w:right w:val="none" w:sz="0" w:space="0" w:color="auto"/>
          </w:divBdr>
        </w:div>
        <w:div w:id="1640920005">
          <w:marLeft w:val="0"/>
          <w:marRight w:val="0"/>
          <w:marTop w:val="0"/>
          <w:marBottom w:val="0"/>
          <w:divBdr>
            <w:top w:val="none" w:sz="0" w:space="0" w:color="auto"/>
            <w:left w:val="none" w:sz="0" w:space="0" w:color="auto"/>
            <w:bottom w:val="none" w:sz="0" w:space="0" w:color="auto"/>
            <w:right w:val="none" w:sz="0" w:space="0" w:color="auto"/>
          </w:divBdr>
        </w:div>
        <w:div w:id="1662126124">
          <w:marLeft w:val="0"/>
          <w:marRight w:val="0"/>
          <w:marTop w:val="0"/>
          <w:marBottom w:val="0"/>
          <w:divBdr>
            <w:top w:val="none" w:sz="0" w:space="0" w:color="auto"/>
            <w:left w:val="none" w:sz="0" w:space="0" w:color="auto"/>
            <w:bottom w:val="none" w:sz="0" w:space="0" w:color="auto"/>
            <w:right w:val="none" w:sz="0" w:space="0" w:color="auto"/>
          </w:divBdr>
        </w:div>
        <w:div w:id="1670063835">
          <w:marLeft w:val="0"/>
          <w:marRight w:val="0"/>
          <w:marTop w:val="0"/>
          <w:marBottom w:val="0"/>
          <w:divBdr>
            <w:top w:val="none" w:sz="0" w:space="0" w:color="auto"/>
            <w:left w:val="none" w:sz="0" w:space="0" w:color="auto"/>
            <w:bottom w:val="none" w:sz="0" w:space="0" w:color="auto"/>
            <w:right w:val="none" w:sz="0" w:space="0" w:color="auto"/>
          </w:divBdr>
        </w:div>
        <w:div w:id="1748071783">
          <w:marLeft w:val="0"/>
          <w:marRight w:val="0"/>
          <w:marTop w:val="0"/>
          <w:marBottom w:val="0"/>
          <w:divBdr>
            <w:top w:val="none" w:sz="0" w:space="0" w:color="auto"/>
            <w:left w:val="none" w:sz="0" w:space="0" w:color="auto"/>
            <w:bottom w:val="none" w:sz="0" w:space="0" w:color="auto"/>
            <w:right w:val="none" w:sz="0" w:space="0" w:color="auto"/>
          </w:divBdr>
        </w:div>
        <w:div w:id="1836263486">
          <w:marLeft w:val="0"/>
          <w:marRight w:val="0"/>
          <w:marTop w:val="0"/>
          <w:marBottom w:val="0"/>
          <w:divBdr>
            <w:top w:val="none" w:sz="0" w:space="0" w:color="auto"/>
            <w:left w:val="none" w:sz="0" w:space="0" w:color="auto"/>
            <w:bottom w:val="none" w:sz="0" w:space="0" w:color="auto"/>
            <w:right w:val="none" w:sz="0" w:space="0" w:color="auto"/>
          </w:divBdr>
        </w:div>
        <w:div w:id="1862932988">
          <w:marLeft w:val="0"/>
          <w:marRight w:val="0"/>
          <w:marTop w:val="0"/>
          <w:marBottom w:val="0"/>
          <w:divBdr>
            <w:top w:val="none" w:sz="0" w:space="0" w:color="auto"/>
            <w:left w:val="none" w:sz="0" w:space="0" w:color="auto"/>
            <w:bottom w:val="none" w:sz="0" w:space="0" w:color="auto"/>
            <w:right w:val="none" w:sz="0" w:space="0" w:color="auto"/>
          </w:divBdr>
        </w:div>
        <w:div w:id="1880970701">
          <w:marLeft w:val="0"/>
          <w:marRight w:val="0"/>
          <w:marTop w:val="0"/>
          <w:marBottom w:val="0"/>
          <w:divBdr>
            <w:top w:val="none" w:sz="0" w:space="0" w:color="auto"/>
            <w:left w:val="none" w:sz="0" w:space="0" w:color="auto"/>
            <w:bottom w:val="none" w:sz="0" w:space="0" w:color="auto"/>
            <w:right w:val="none" w:sz="0" w:space="0" w:color="auto"/>
          </w:divBdr>
        </w:div>
        <w:div w:id="1886214618">
          <w:marLeft w:val="0"/>
          <w:marRight w:val="0"/>
          <w:marTop w:val="0"/>
          <w:marBottom w:val="0"/>
          <w:divBdr>
            <w:top w:val="none" w:sz="0" w:space="0" w:color="auto"/>
            <w:left w:val="none" w:sz="0" w:space="0" w:color="auto"/>
            <w:bottom w:val="none" w:sz="0" w:space="0" w:color="auto"/>
            <w:right w:val="none" w:sz="0" w:space="0" w:color="auto"/>
          </w:divBdr>
        </w:div>
        <w:div w:id="1912692987">
          <w:marLeft w:val="0"/>
          <w:marRight w:val="0"/>
          <w:marTop w:val="0"/>
          <w:marBottom w:val="0"/>
          <w:divBdr>
            <w:top w:val="none" w:sz="0" w:space="0" w:color="auto"/>
            <w:left w:val="none" w:sz="0" w:space="0" w:color="auto"/>
            <w:bottom w:val="none" w:sz="0" w:space="0" w:color="auto"/>
            <w:right w:val="none" w:sz="0" w:space="0" w:color="auto"/>
          </w:divBdr>
        </w:div>
        <w:div w:id="1917737442">
          <w:marLeft w:val="0"/>
          <w:marRight w:val="0"/>
          <w:marTop w:val="0"/>
          <w:marBottom w:val="0"/>
          <w:divBdr>
            <w:top w:val="none" w:sz="0" w:space="0" w:color="auto"/>
            <w:left w:val="none" w:sz="0" w:space="0" w:color="auto"/>
            <w:bottom w:val="none" w:sz="0" w:space="0" w:color="auto"/>
            <w:right w:val="none" w:sz="0" w:space="0" w:color="auto"/>
          </w:divBdr>
        </w:div>
        <w:div w:id="1920551312">
          <w:marLeft w:val="0"/>
          <w:marRight w:val="0"/>
          <w:marTop w:val="0"/>
          <w:marBottom w:val="0"/>
          <w:divBdr>
            <w:top w:val="none" w:sz="0" w:space="0" w:color="auto"/>
            <w:left w:val="none" w:sz="0" w:space="0" w:color="auto"/>
            <w:bottom w:val="none" w:sz="0" w:space="0" w:color="auto"/>
            <w:right w:val="none" w:sz="0" w:space="0" w:color="auto"/>
          </w:divBdr>
        </w:div>
        <w:div w:id="1932161501">
          <w:marLeft w:val="0"/>
          <w:marRight w:val="0"/>
          <w:marTop w:val="0"/>
          <w:marBottom w:val="0"/>
          <w:divBdr>
            <w:top w:val="none" w:sz="0" w:space="0" w:color="auto"/>
            <w:left w:val="none" w:sz="0" w:space="0" w:color="auto"/>
            <w:bottom w:val="none" w:sz="0" w:space="0" w:color="auto"/>
            <w:right w:val="none" w:sz="0" w:space="0" w:color="auto"/>
          </w:divBdr>
        </w:div>
        <w:div w:id="1948388336">
          <w:marLeft w:val="0"/>
          <w:marRight w:val="0"/>
          <w:marTop w:val="0"/>
          <w:marBottom w:val="0"/>
          <w:divBdr>
            <w:top w:val="none" w:sz="0" w:space="0" w:color="auto"/>
            <w:left w:val="none" w:sz="0" w:space="0" w:color="auto"/>
            <w:bottom w:val="none" w:sz="0" w:space="0" w:color="auto"/>
            <w:right w:val="none" w:sz="0" w:space="0" w:color="auto"/>
          </w:divBdr>
        </w:div>
        <w:div w:id="1973366573">
          <w:marLeft w:val="0"/>
          <w:marRight w:val="0"/>
          <w:marTop w:val="0"/>
          <w:marBottom w:val="0"/>
          <w:divBdr>
            <w:top w:val="none" w:sz="0" w:space="0" w:color="auto"/>
            <w:left w:val="none" w:sz="0" w:space="0" w:color="auto"/>
            <w:bottom w:val="none" w:sz="0" w:space="0" w:color="auto"/>
            <w:right w:val="none" w:sz="0" w:space="0" w:color="auto"/>
          </w:divBdr>
        </w:div>
        <w:div w:id="2047900177">
          <w:marLeft w:val="0"/>
          <w:marRight w:val="0"/>
          <w:marTop w:val="0"/>
          <w:marBottom w:val="0"/>
          <w:divBdr>
            <w:top w:val="none" w:sz="0" w:space="0" w:color="auto"/>
            <w:left w:val="none" w:sz="0" w:space="0" w:color="auto"/>
            <w:bottom w:val="none" w:sz="0" w:space="0" w:color="auto"/>
            <w:right w:val="none" w:sz="0" w:space="0" w:color="auto"/>
          </w:divBdr>
        </w:div>
        <w:div w:id="2048333268">
          <w:marLeft w:val="0"/>
          <w:marRight w:val="0"/>
          <w:marTop w:val="0"/>
          <w:marBottom w:val="0"/>
          <w:divBdr>
            <w:top w:val="none" w:sz="0" w:space="0" w:color="auto"/>
            <w:left w:val="none" w:sz="0" w:space="0" w:color="auto"/>
            <w:bottom w:val="none" w:sz="0" w:space="0" w:color="auto"/>
            <w:right w:val="none" w:sz="0" w:space="0" w:color="auto"/>
          </w:divBdr>
        </w:div>
        <w:div w:id="2075541305">
          <w:marLeft w:val="0"/>
          <w:marRight w:val="0"/>
          <w:marTop w:val="0"/>
          <w:marBottom w:val="0"/>
          <w:divBdr>
            <w:top w:val="none" w:sz="0" w:space="0" w:color="auto"/>
            <w:left w:val="none" w:sz="0" w:space="0" w:color="auto"/>
            <w:bottom w:val="none" w:sz="0" w:space="0" w:color="auto"/>
            <w:right w:val="none" w:sz="0" w:space="0" w:color="auto"/>
          </w:divBdr>
        </w:div>
        <w:div w:id="2077625154">
          <w:marLeft w:val="0"/>
          <w:marRight w:val="0"/>
          <w:marTop w:val="0"/>
          <w:marBottom w:val="0"/>
          <w:divBdr>
            <w:top w:val="none" w:sz="0" w:space="0" w:color="auto"/>
            <w:left w:val="none" w:sz="0" w:space="0" w:color="auto"/>
            <w:bottom w:val="none" w:sz="0" w:space="0" w:color="auto"/>
            <w:right w:val="none" w:sz="0" w:space="0" w:color="auto"/>
          </w:divBdr>
        </w:div>
        <w:div w:id="2078631591">
          <w:marLeft w:val="0"/>
          <w:marRight w:val="0"/>
          <w:marTop w:val="0"/>
          <w:marBottom w:val="0"/>
          <w:divBdr>
            <w:top w:val="none" w:sz="0" w:space="0" w:color="auto"/>
            <w:left w:val="none" w:sz="0" w:space="0" w:color="auto"/>
            <w:bottom w:val="none" w:sz="0" w:space="0" w:color="auto"/>
            <w:right w:val="none" w:sz="0" w:space="0" w:color="auto"/>
          </w:divBdr>
        </w:div>
        <w:div w:id="2116560818">
          <w:marLeft w:val="0"/>
          <w:marRight w:val="0"/>
          <w:marTop w:val="0"/>
          <w:marBottom w:val="0"/>
          <w:divBdr>
            <w:top w:val="none" w:sz="0" w:space="0" w:color="auto"/>
            <w:left w:val="none" w:sz="0" w:space="0" w:color="auto"/>
            <w:bottom w:val="none" w:sz="0" w:space="0" w:color="auto"/>
            <w:right w:val="none" w:sz="0" w:space="0" w:color="auto"/>
          </w:divBdr>
        </w:div>
        <w:div w:id="2119324723">
          <w:marLeft w:val="0"/>
          <w:marRight w:val="0"/>
          <w:marTop w:val="0"/>
          <w:marBottom w:val="0"/>
          <w:divBdr>
            <w:top w:val="none" w:sz="0" w:space="0" w:color="auto"/>
            <w:left w:val="none" w:sz="0" w:space="0" w:color="auto"/>
            <w:bottom w:val="none" w:sz="0" w:space="0" w:color="auto"/>
            <w:right w:val="none" w:sz="0" w:space="0" w:color="auto"/>
          </w:divBdr>
        </w:div>
        <w:div w:id="2123260880">
          <w:marLeft w:val="0"/>
          <w:marRight w:val="0"/>
          <w:marTop w:val="0"/>
          <w:marBottom w:val="0"/>
          <w:divBdr>
            <w:top w:val="none" w:sz="0" w:space="0" w:color="auto"/>
            <w:left w:val="none" w:sz="0" w:space="0" w:color="auto"/>
            <w:bottom w:val="none" w:sz="0" w:space="0" w:color="auto"/>
            <w:right w:val="none" w:sz="0" w:space="0" w:color="auto"/>
          </w:divBdr>
        </w:div>
      </w:divsChild>
    </w:div>
    <w:div w:id="1058699042">
      <w:bodyDiv w:val="1"/>
      <w:marLeft w:val="0"/>
      <w:marRight w:val="0"/>
      <w:marTop w:val="0"/>
      <w:marBottom w:val="0"/>
      <w:divBdr>
        <w:top w:val="none" w:sz="0" w:space="0" w:color="auto"/>
        <w:left w:val="none" w:sz="0" w:space="0" w:color="auto"/>
        <w:bottom w:val="none" w:sz="0" w:space="0" w:color="auto"/>
        <w:right w:val="none" w:sz="0" w:space="0" w:color="auto"/>
      </w:divBdr>
    </w:div>
    <w:div w:id="1058893238">
      <w:bodyDiv w:val="1"/>
      <w:marLeft w:val="0"/>
      <w:marRight w:val="0"/>
      <w:marTop w:val="0"/>
      <w:marBottom w:val="0"/>
      <w:divBdr>
        <w:top w:val="none" w:sz="0" w:space="0" w:color="auto"/>
        <w:left w:val="none" w:sz="0" w:space="0" w:color="auto"/>
        <w:bottom w:val="none" w:sz="0" w:space="0" w:color="auto"/>
        <w:right w:val="none" w:sz="0" w:space="0" w:color="auto"/>
      </w:divBdr>
      <w:divsChild>
        <w:div w:id="1809976089">
          <w:marLeft w:val="0"/>
          <w:marRight w:val="0"/>
          <w:marTop w:val="0"/>
          <w:marBottom w:val="0"/>
          <w:divBdr>
            <w:top w:val="none" w:sz="0" w:space="0" w:color="auto"/>
            <w:left w:val="none" w:sz="0" w:space="0" w:color="auto"/>
            <w:bottom w:val="none" w:sz="0" w:space="0" w:color="auto"/>
            <w:right w:val="none" w:sz="0" w:space="0" w:color="auto"/>
          </w:divBdr>
        </w:div>
      </w:divsChild>
    </w:div>
    <w:div w:id="1063911602">
      <w:bodyDiv w:val="1"/>
      <w:marLeft w:val="0"/>
      <w:marRight w:val="0"/>
      <w:marTop w:val="0"/>
      <w:marBottom w:val="0"/>
      <w:divBdr>
        <w:top w:val="none" w:sz="0" w:space="0" w:color="auto"/>
        <w:left w:val="none" w:sz="0" w:space="0" w:color="auto"/>
        <w:bottom w:val="none" w:sz="0" w:space="0" w:color="auto"/>
        <w:right w:val="none" w:sz="0" w:space="0" w:color="auto"/>
      </w:divBdr>
    </w:div>
    <w:div w:id="1066026923">
      <w:bodyDiv w:val="1"/>
      <w:marLeft w:val="0"/>
      <w:marRight w:val="0"/>
      <w:marTop w:val="0"/>
      <w:marBottom w:val="0"/>
      <w:divBdr>
        <w:top w:val="none" w:sz="0" w:space="0" w:color="auto"/>
        <w:left w:val="none" w:sz="0" w:space="0" w:color="auto"/>
        <w:bottom w:val="none" w:sz="0" w:space="0" w:color="auto"/>
        <w:right w:val="none" w:sz="0" w:space="0" w:color="auto"/>
      </w:divBdr>
      <w:divsChild>
        <w:div w:id="214859520">
          <w:marLeft w:val="0"/>
          <w:marRight w:val="0"/>
          <w:marTop w:val="0"/>
          <w:marBottom w:val="0"/>
          <w:divBdr>
            <w:top w:val="none" w:sz="0" w:space="0" w:color="auto"/>
            <w:left w:val="none" w:sz="0" w:space="0" w:color="auto"/>
            <w:bottom w:val="none" w:sz="0" w:space="0" w:color="auto"/>
            <w:right w:val="none" w:sz="0" w:space="0" w:color="auto"/>
          </w:divBdr>
        </w:div>
        <w:div w:id="468547649">
          <w:marLeft w:val="0"/>
          <w:marRight w:val="0"/>
          <w:marTop w:val="0"/>
          <w:marBottom w:val="0"/>
          <w:divBdr>
            <w:top w:val="none" w:sz="0" w:space="0" w:color="auto"/>
            <w:left w:val="none" w:sz="0" w:space="0" w:color="auto"/>
            <w:bottom w:val="none" w:sz="0" w:space="0" w:color="auto"/>
            <w:right w:val="none" w:sz="0" w:space="0" w:color="auto"/>
          </w:divBdr>
        </w:div>
        <w:div w:id="547454056">
          <w:marLeft w:val="0"/>
          <w:marRight w:val="0"/>
          <w:marTop w:val="0"/>
          <w:marBottom w:val="0"/>
          <w:divBdr>
            <w:top w:val="none" w:sz="0" w:space="0" w:color="auto"/>
            <w:left w:val="none" w:sz="0" w:space="0" w:color="auto"/>
            <w:bottom w:val="none" w:sz="0" w:space="0" w:color="auto"/>
            <w:right w:val="none" w:sz="0" w:space="0" w:color="auto"/>
          </w:divBdr>
        </w:div>
        <w:div w:id="1487085457">
          <w:marLeft w:val="0"/>
          <w:marRight w:val="0"/>
          <w:marTop w:val="0"/>
          <w:marBottom w:val="0"/>
          <w:divBdr>
            <w:top w:val="none" w:sz="0" w:space="0" w:color="auto"/>
            <w:left w:val="none" w:sz="0" w:space="0" w:color="auto"/>
            <w:bottom w:val="none" w:sz="0" w:space="0" w:color="auto"/>
            <w:right w:val="none" w:sz="0" w:space="0" w:color="auto"/>
          </w:divBdr>
        </w:div>
      </w:divsChild>
    </w:div>
    <w:div w:id="1070075313">
      <w:bodyDiv w:val="1"/>
      <w:marLeft w:val="0"/>
      <w:marRight w:val="0"/>
      <w:marTop w:val="0"/>
      <w:marBottom w:val="0"/>
      <w:divBdr>
        <w:top w:val="none" w:sz="0" w:space="0" w:color="auto"/>
        <w:left w:val="none" w:sz="0" w:space="0" w:color="auto"/>
        <w:bottom w:val="none" w:sz="0" w:space="0" w:color="auto"/>
        <w:right w:val="none" w:sz="0" w:space="0" w:color="auto"/>
      </w:divBdr>
      <w:divsChild>
        <w:div w:id="1858620560">
          <w:marLeft w:val="0"/>
          <w:marRight w:val="0"/>
          <w:marTop w:val="0"/>
          <w:marBottom w:val="0"/>
          <w:divBdr>
            <w:top w:val="none" w:sz="0" w:space="0" w:color="auto"/>
            <w:left w:val="none" w:sz="0" w:space="0" w:color="auto"/>
            <w:bottom w:val="none" w:sz="0" w:space="0" w:color="auto"/>
            <w:right w:val="none" w:sz="0" w:space="0" w:color="auto"/>
          </w:divBdr>
        </w:div>
      </w:divsChild>
    </w:div>
    <w:div w:id="1070931776">
      <w:bodyDiv w:val="1"/>
      <w:marLeft w:val="0"/>
      <w:marRight w:val="0"/>
      <w:marTop w:val="0"/>
      <w:marBottom w:val="0"/>
      <w:divBdr>
        <w:top w:val="none" w:sz="0" w:space="0" w:color="auto"/>
        <w:left w:val="none" w:sz="0" w:space="0" w:color="auto"/>
        <w:bottom w:val="none" w:sz="0" w:space="0" w:color="auto"/>
        <w:right w:val="none" w:sz="0" w:space="0" w:color="auto"/>
      </w:divBdr>
      <w:divsChild>
        <w:div w:id="51080967">
          <w:marLeft w:val="720"/>
          <w:marRight w:val="0"/>
          <w:marTop w:val="240"/>
          <w:marBottom w:val="40"/>
          <w:divBdr>
            <w:top w:val="none" w:sz="0" w:space="0" w:color="auto"/>
            <w:left w:val="none" w:sz="0" w:space="0" w:color="auto"/>
            <w:bottom w:val="none" w:sz="0" w:space="0" w:color="auto"/>
            <w:right w:val="none" w:sz="0" w:space="0" w:color="auto"/>
          </w:divBdr>
        </w:div>
        <w:div w:id="548999975">
          <w:marLeft w:val="720"/>
          <w:marRight w:val="0"/>
          <w:marTop w:val="240"/>
          <w:marBottom w:val="40"/>
          <w:divBdr>
            <w:top w:val="none" w:sz="0" w:space="0" w:color="auto"/>
            <w:left w:val="none" w:sz="0" w:space="0" w:color="auto"/>
            <w:bottom w:val="none" w:sz="0" w:space="0" w:color="auto"/>
            <w:right w:val="none" w:sz="0" w:space="0" w:color="auto"/>
          </w:divBdr>
        </w:div>
        <w:div w:id="816728430">
          <w:marLeft w:val="720"/>
          <w:marRight w:val="0"/>
          <w:marTop w:val="240"/>
          <w:marBottom w:val="40"/>
          <w:divBdr>
            <w:top w:val="none" w:sz="0" w:space="0" w:color="auto"/>
            <w:left w:val="none" w:sz="0" w:space="0" w:color="auto"/>
            <w:bottom w:val="none" w:sz="0" w:space="0" w:color="auto"/>
            <w:right w:val="none" w:sz="0" w:space="0" w:color="auto"/>
          </w:divBdr>
        </w:div>
        <w:div w:id="1328360886">
          <w:marLeft w:val="720"/>
          <w:marRight w:val="0"/>
          <w:marTop w:val="240"/>
          <w:marBottom w:val="40"/>
          <w:divBdr>
            <w:top w:val="none" w:sz="0" w:space="0" w:color="auto"/>
            <w:left w:val="none" w:sz="0" w:space="0" w:color="auto"/>
            <w:bottom w:val="none" w:sz="0" w:space="0" w:color="auto"/>
            <w:right w:val="none" w:sz="0" w:space="0" w:color="auto"/>
          </w:divBdr>
        </w:div>
        <w:div w:id="2062943360">
          <w:marLeft w:val="720"/>
          <w:marRight w:val="0"/>
          <w:marTop w:val="240"/>
          <w:marBottom w:val="40"/>
          <w:divBdr>
            <w:top w:val="none" w:sz="0" w:space="0" w:color="auto"/>
            <w:left w:val="none" w:sz="0" w:space="0" w:color="auto"/>
            <w:bottom w:val="none" w:sz="0" w:space="0" w:color="auto"/>
            <w:right w:val="none" w:sz="0" w:space="0" w:color="auto"/>
          </w:divBdr>
        </w:div>
      </w:divsChild>
    </w:div>
    <w:div w:id="1073090285">
      <w:bodyDiv w:val="1"/>
      <w:marLeft w:val="0"/>
      <w:marRight w:val="0"/>
      <w:marTop w:val="0"/>
      <w:marBottom w:val="0"/>
      <w:divBdr>
        <w:top w:val="none" w:sz="0" w:space="0" w:color="auto"/>
        <w:left w:val="none" w:sz="0" w:space="0" w:color="auto"/>
        <w:bottom w:val="none" w:sz="0" w:space="0" w:color="auto"/>
        <w:right w:val="none" w:sz="0" w:space="0" w:color="auto"/>
      </w:divBdr>
      <w:divsChild>
        <w:div w:id="842671745">
          <w:marLeft w:val="0"/>
          <w:marRight w:val="0"/>
          <w:marTop w:val="0"/>
          <w:marBottom w:val="0"/>
          <w:divBdr>
            <w:top w:val="none" w:sz="0" w:space="0" w:color="auto"/>
            <w:left w:val="none" w:sz="0" w:space="0" w:color="auto"/>
            <w:bottom w:val="none" w:sz="0" w:space="0" w:color="auto"/>
            <w:right w:val="none" w:sz="0" w:space="0" w:color="auto"/>
          </w:divBdr>
        </w:div>
      </w:divsChild>
    </w:div>
    <w:div w:id="1074164323">
      <w:bodyDiv w:val="1"/>
      <w:marLeft w:val="0"/>
      <w:marRight w:val="0"/>
      <w:marTop w:val="0"/>
      <w:marBottom w:val="0"/>
      <w:divBdr>
        <w:top w:val="none" w:sz="0" w:space="0" w:color="auto"/>
        <w:left w:val="none" w:sz="0" w:space="0" w:color="auto"/>
        <w:bottom w:val="none" w:sz="0" w:space="0" w:color="auto"/>
        <w:right w:val="none" w:sz="0" w:space="0" w:color="auto"/>
      </w:divBdr>
      <w:divsChild>
        <w:div w:id="320163568">
          <w:marLeft w:val="0"/>
          <w:marRight w:val="0"/>
          <w:marTop w:val="0"/>
          <w:marBottom w:val="0"/>
          <w:divBdr>
            <w:top w:val="none" w:sz="0" w:space="0" w:color="auto"/>
            <w:left w:val="none" w:sz="0" w:space="0" w:color="auto"/>
            <w:bottom w:val="none" w:sz="0" w:space="0" w:color="auto"/>
            <w:right w:val="none" w:sz="0" w:space="0" w:color="auto"/>
          </w:divBdr>
        </w:div>
        <w:div w:id="583535982">
          <w:marLeft w:val="0"/>
          <w:marRight w:val="0"/>
          <w:marTop w:val="0"/>
          <w:marBottom w:val="0"/>
          <w:divBdr>
            <w:top w:val="none" w:sz="0" w:space="0" w:color="auto"/>
            <w:left w:val="none" w:sz="0" w:space="0" w:color="auto"/>
            <w:bottom w:val="none" w:sz="0" w:space="0" w:color="auto"/>
            <w:right w:val="none" w:sz="0" w:space="0" w:color="auto"/>
          </w:divBdr>
        </w:div>
        <w:div w:id="667709800">
          <w:marLeft w:val="0"/>
          <w:marRight w:val="0"/>
          <w:marTop w:val="0"/>
          <w:marBottom w:val="0"/>
          <w:divBdr>
            <w:top w:val="none" w:sz="0" w:space="0" w:color="auto"/>
            <w:left w:val="none" w:sz="0" w:space="0" w:color="auto"/>
            <w:bottom w:val="none" w:sz="0" w:space="0" w:color="auto"/>
            <w:right w:val="none" w:sz="0" w:space="0" w:color="auto"/>
          </w:divBdr>
        </w:div>
        <w:div w:id="893853882">
          <w:marLeft w:val="0"/>
          <w:marRight w:val="0"/>
          <w:marTop w:val="0"/>
          <w:marBottom w:val="0"/>
          <w:divBdr>
            <w:top w:val="none" w:sz="0" w:space="0" w:color="auto"/>
            <w:left w:val="none" w:sz="0" w:space="0" w:color="auto"/>
            <w:bottom w:val="none" w:sz="0" w:space="0" w:color="auto"/>
            <w:right w:val="none" w:sz="0" w:space="0" w:color="auto"/>
          </w:divBdr>
        </w:div>
        <w:div w:id="1102409165">
          <w:marLeft w:val="0"/>
          <w:marRight w:val="0"/>
          <w:marTop w:val="0"/>
          <w:marBottom w:val="0"/>
          <w:divBdr>
            <w:top w:val="none" w:sz="0" w:space="0" w:color="auto"/>
            <w:left w:val="none" w:sz="0" w:space="0" w:color="auto"/>
            <w:bottom w:val="none" w:sz="0" w:space="0" w:color="auto"/>
            <w:right w:val="none" w:sz="0" w:space="0" w:color="auto"/>
          </w:divBdr>
        </w:div>
        <w:div w:id="1223249650">
          <w:marLeft w:val="0"/>
          <w:marRight w:val="0"/>
          <w:marTop w:val="0"/>
          <w:marBottom w:val="0"/>
          <w:divBdr>
            <w:top w:val="none" w:sz="0" w:space="0" w:color="auto"/>
            <w:left w:val="none" w:sz="0" w:space="0" w:color="auto"/>
            <w:bottom w:val="none" w:sz="0" w:space="0" w:color="auto"/>
            <w:right w:val="none" w:sz="0" w:space="0" w:color="auto"/>
          </w:divBdr>
        </w:div>
        <w:div w:id="1830093669">
          <w:marLeft w:val="0"/>
          <w:marRight w:val="0"/>
          <w:marTop w:val="0"/>
          <w:marBottom w:val="0"/>
          <w:divBdr>
            <w:top w:val="none" w:sz="0" w:space="0" w:color="auto"/>
            <w:left w:val="none" w:sz="0" w:space="0" w:color="auto"/>
            <w:bottom w:val="none" w:sz="0" w:space="0" w:color="auto"/>
            <w:right w:val="none" w:sz="0" w:space="0" w:color="auto"/>
          </w:divBdr>
        </w:div>
        <w:div w:id="1840538051">
          <w:marLeft w:val="0"/>
          <w:marRight w:val="0"/>
          <w:marTop w:val="0"/>
          <w:marBottom w:val="0"/>
          <w:divBdr>
            <w:top w:val="none" w:sz="0" w:space="0" w:color="auto"/>
            <w:left w:val="none" w:sz="0" w:space="0" w:color="auto"/>
            <w:bottom w:val="none" w:sz="0" w:space="0" w:color="auto"/>
            <w:right w:val="none" w:sz="0" w:space="0" w:color="auto"/>
          </w:divBdr>
        </w:div>
        <w:div w:id="2001300682">
          <w:marLeft w:val="0"/>
          <w:marRight w:val="0"/>
          <w:marTop w:val="0"/>
          <w:marBottom w:val="0"/>
          <w:divBdr>
            <w:top w:val="none" w:sz="0" w:space="0" w:color="auto"/>
            <w:left w:val="none" w:sz="0" w:space="0" w:color="auto"/>
            <w:bottom w:val="none" w:sz="0" w:space="0" w:color="auto"/>
            <w:right w:val="none" w:sz="0" w:space="0" w:color="auto"/>
          </w:divBdr>
        </w:div>
        <w:div w:id="2121875560">
          <w:marLeft w:val="0"/>
          <w:marRight w:val="0"/>
          <w:marTop w:val="0"/>
          <w:marBottom w:val="0"/>
          <w:divBdr>
            <w:top w:val="none" w:sz="0" w:space="0" w:color="auto"/>
            <w:left w:val="none" w:sz="0" w:space="0" w:color="auto"/>
            <w:bottom w:val="none" w:sz="0" w:space="0" w:color="auto"/>
            <w:right w:val="none" w:sz="0" w:space="0" w:color="auto"/>
          </w:divBdr>
        </w:div>
      </w:divsChild>
    </w:div>
    <w:div w:id="1075590093">
      <w:bodyDiv w:val="1"/>
      <w:marLeft w:val="0"/>
      <w:marRight w:val="0"/>
      <w:marTop w:val="0"/>
      <w:marBottom w:val="0"/>
      <w:divBdr>
        <w:top w:val="none" w:sz="0" w:space="0" w:color="auto"/>
        <w:left w:val="none" w:sz="0" w:space="0" w:color="auto"/>
        <w:bottom w:val="none" w:sz="0" w:space="0" w:color="auto"/>
        <w:right w:val="none" w:sz="0" w:space="0" w:color="auto"/>
      </w:divBdr>
    </w:div>
    <w:div w:id="1080828759">
      <w:bodyDiv w:val="1"/>
      <w:marLeft w:val="0"/>
      <w:marRight w:val="0"/>
      <w:marTop w:val="0"/>
      <w:marBottom w:val="0"/>
      <w:divBdr>
        <w:top w:val="none" w:sz="0" w:space="0" w:color="auto"/>
        <w:left w:val="none" w:sz="0" w:space="0" w:color="auto"/>
        <w:bottom w:val="none" w:sz="0" w:space="0" w:color="auto"/>
        <w:right w:val="none" w:sz="0" w:space="0" w:color="auto"/>
      </w:divBdr>
      <w:divsChild>
        <w:div w:id="1437826142">
          <w:marLeft w:val="144"/>
          <w:marRight w:val="0"/>
          <w:marTop w:val="240"/>
          <w:marBottom w:val="40"/>
          <w:divBdr>
            <w:top w:val="none" w:sz="0" w:space="0" w:color="auto"/>
            <w:left w:val="none" w:sz="0" w:space="0" w:color="auto"/>
            <w:bottom w:val="none" w:sz="0" w:space="0" w:color="auto"/>
            <w:right w:val="none" w:sz="0" w:space="0" w:color="auto"/>
          </w:divBdr>
        </w:div>
      </w:divsChild>
    </w:div>
    <w:div w:id="1081222110">
      <w:bodyDiv w:val="1"/>
      <w:marLeft w:val="0"/>
      <w:marRight w:val="0"/>
      <w:marTop w:val="0"/>
      <w:marBottom w:val="0"/>
      <w:divBdr>
        <w:top w:val="none" w:sz="0" w:space="0" w:color="auto"/>
        <w:left w:val="none" w:sz="0" w:space="0" w:color="auto"/>
        <w:bottom w:val="none" w:sz="0" w:space="0" w:color="auto"/>
        <w:right w:val="none" w:sz="0" w:space="0" w:color="auto"/>
      </w:divBdr>
      <w:divsChild>
        <w:div w:id="11997546">
          <w:marLeft w:val="0"/>
          <w:marRight w:val="0"/>
          <w:marTop w:val="0"/>
          <w:marBottom w:val="0"/>
          <w:divBdr>
            <w:top w:val="none" w:sz="0" w:space="0" w:color="auto"/>
            <w:left w:val="none" w:sz="0" w:space="0" w:color="auto"/>
            <w:bottom w:val="none" w:sz="0" w:space="0" w:color="auto"/>
            <w:right w:val="none" w:sz="0" w:space="0" w:color="auto"/>
          </w:divBdr>
        </w:div>
        <w:div w:id="328486736">
          <w:marLeft w:val="0"/>
          <w:marRight w:val="0"/>
          <w:marTop w:val="0"/>
          <w:marBottom w:val="0"/>
          <w:divBdr>
            <w:top w:val="none" w:sz="0" w:space="0" w:color="auto"/>
            <w:left w:val="none" w:sz="0" w:space="0" w:color="auto"/>
            <w:bottom w:val="none" w:sz="0" w:space="0" w:color="auto"/>
            <w:right w:val="none" w:sz="0" w:space="0" w:color="auto"/>
          </w:divBdr>
        </w:div>
        <w:div w:id="473373856">
          <w:marLeft w:val="0"/>
          <w:marRight w:val="0"/>
          <w:marTop w:val="0"/>
          <w:marBottom w:val="0"/>
          <w:divBdr>
            <w:top w:val="none" w:sz="0" w:space="0" w:color="auto"/>
            <w:left w:val="none" w:sz="0" w:space="0" w:color="auto"/>
            <w:bottom w:val="none" w:sz="0" w:space="0" w:color="auto"/>
            <w:right w:val="none" w:sz="0" w:space="0" w:color="auto"/>
          </w:divBdr>
        </w:div>
        <w:div w:id="642731839">
          <w:marLeft w:val="0"/>
          <w:marRight w:val="0"/>
          <w:marTop w:val="0"/>
          <w:marBottom w:val="0"/>
          <w:divBdr>
            <w:top w:val="none" w:sz="0" w:space="0" w:color="auto"/>
            <w:left w:val="none" w:sz="0" w:space="0" w:color="auto"/>
            <w:bottom w:val="none" w:sz="0" w:space="0" w:color="auto"/>
            <w:right w:val="none" w:sz="0" w:space="0" w:color="auto"/>
          </w:divBdr>
        </w:div>
        <w:div w:id="704671730">
          <w:marLeft w:val="0"/>
          <w:marRight w:val="0"/>
          <w:marTop w:val="0"/>
          <w:marBottom w:val="0"/>
          <w:divBdr>
            <w:top w:val="none" w:sz="0" w:space="0" w:color="auto"/>
            <w:left w:val="none" w:sz="0" w:space="0" w:color="auto"/>
            <w:bottom w:val="none" w:sz="0" w:space="0" w:color="auto"/>
            <w:right w:val="none" w:sz="0" w:space="0" w:color="auto"/>
          </w:divBdr>
        </w:div>
        <w:div w:id="901066201">
          <w:marLeft w:val="0"/>
          <w:marRight w:val="0"/>
          <w:marTop w:val="0"/>
          <w:marBottom w:val="0"/>
          <w:divBdr>
            <w:top w:val="none" w:sz="0" w:space="0" w:color="auto"/>
            <w:left w:val="none" w:sz="0" w:space="0" w:color="auto"/>
            <w:bottom w:val="none" w:sz="0" w:space="0" w:color="auto"/>
            <w:right w:val="none" w:sz="0" w:space="0" w:color="auto"/>
          </w:divBdr>
        </w:div>
        <w:div w:id="1207058777">
          <w:marLeft w:val="0"/>
          <w:marRight w:val="0"/>
          <w:marTop w:val="0"/>
          <w:marBottom w:val="0"/>
          <w:divBdr>
            <w:top w:val="none" w:sz="0" w:space="0" w:color="auto"/>
            <w:left w:val="none" w:sz="0" w:space="0" w:color="auto"/>
            <w:bottom w:val="none" w:sz="0" w:space="0" w:color="auto"/>
            <w:right w:val="none" w:sz="0" w:space="0" w:color="auto"/>
          </w:divBdr>
        </w:div>
        <w:div w:id="1223173303">
          <w:marLeft w:val="0"/>
          <w:marRight w:val="0"/>
          <w:marTop w:val="0"/>
          <w:marBottom w:val="0"/>
          <w:divBdr>
            <w:top w:val="none" w:sz="0" w:space="0" w:color="auto"/>
            <w:left w:val="none" w:sz="0" w:space="0" w:color="auto"/>
            <w:bottom w:val="none" w:sz="0" w:space="0" w:color="auto"/>
            <w:right w:val="none" w:sz="0" w:space="0" w:color="auto"/>
          </w:divBdr>
        </w:div>
        <w:div w:id="1580017630">
          <w:marLeft w:val="0"/>
          <w:marRight w:val="0"/>
          <w:marTop w:val="0"/>
          <w:marBottom w:val="0"/>
          <w:divBdr>
            <w:top w:val="none" w:sz="0" w:space="0" w:color="auto"/>
            <w:left w:val="none" w:sz="0" w:space="0" w:color="auto"/>
            <w:bottom w:val="none" w:sz="0" w:space="0" w:color="auto"/>
            <w:right w:val="none" w:sz="0" w:space="0" w:color="auto"/>
          </w:divBdr>
        </w:div>
        <w:div w:id="1666012778">
          <w:marLeft w:val="0"/>
          <w:marRight w:val="0"/>
          <w:marTop w:val="0"/>
          <w:marBottom w:val="0"/>
          <w:divBdr>
            <w:top w:val="none" w:sz="0" w:space="0" w:color="auto"/>
            <w:left w:val="none" w:sz="0" w:space="0" w:color="auto"/>
            <w:bottom w:val="none" w:sz="0" w:space="0" w:color="auto"/>
            <w:right w:val="none" w:sz="0" w:space="0" w:color="auto"/>
          </w:divBdr>
        </w:div>
        <w:div w:id="1993366267">
          <w:marLeft w:val="0"/>
          <w:marRight w:val="0"/>
          <w:marTop w:val="0"/>
          <w:marBottom w:val="0"/>
          <w:divBdr>
            <w:top w:val="none" w:sz="0" w:space="0" w:color="auto"/>
            <w:left w:val="none" w:sz="0" w:space="0" w:color="auto"/>
            <w:bottom w:val="none" w:sz="0" w:space="0" w:color="auto"/>
            <w:right w:val="none" w:sz="0" w:space="0" w:color="auto"/>
          </w:divBdr>
        </w:div>
        <w:div w:id="2043750257">
          <w:marLeft w:val="0"/>
          <w:marRight w:val="0"/>
          <w:marTop w:val="0"/>
          <w:marBottom w:val="0"/>
          <w:divBdr>
            <w:top w:val="none" w:sz="0" w:space="0" w:color="auto"/>
            <w:left w:val="none" w:sz="0" w:space="0" w:color="auto"/>
            <w:bottom w:val="none" w:sz="0" w:space="0" w:color="auto"/>
            <w:right w:val="none" w:sz="0" w:space="0" w:color="auto"/>
          </w:divBdr>
        </w:div>
      </w:divsChild>
    </w:div>
    <w:div w:id="1084496918">
      <w:bodyDiv w:val="1"/>
      <w:marLeft w:val="0"/>
      <w:marRight w:val="0"/>
      <w:marTop w:val="0"/>
      <w:marBottom w:val="0"/>
      <w:divBdr>
        <w:top w:val="none" w:sz="0" w:space="0" w:color="auto"/>
        <w:left w:val="none" w:sz="0" w:space="0" w:color="auto"/>
        <w:bottom w:val="none" w:sz="0" w:space="0" w:color="auto"/>
        <w:right w:val="none" w:sz="0" w:space="0" w:color="auto"/>
      </w:divBdr>
      <w:divsChild>
        <w:div w:id="157159617">
          <w:marLeft w:val="0"/>
          <w:marRight w:val="0"/>
          <w:marTop w:val="0"/>
          <w:marBottom w:val="0"/>
          <w:divBdr>
            <w:top w:val="none" w:sz="0" w:space="0" w:color="auto"/>
            <w:left w:val="none" w:sz="0" w:space="0" w:color="auto"/>
            <w:bottom w:val="none" w:sz="0" w:space="0" w:color="auto"/>
            <w:right w:val="none" w:sz="0" w:space="0" w:color="auto"/>
          </w:divBdr>
          <w:divsChild>
            <w:div w:id="36702256">
              <w:marLeft w:val="0"/>
              <w:marRight w:val="0"/>
              <w:marTop w:val="0"/>
              <w:marBottom w:val="0"/>
              <w:divBdr>
                <w:top w:val="none" w:sz="0" w:space="0" w:color="auto"/>
                <w:left w:val="none" w:sz="0" w:space="0" w:color="auto"/>
                <w:bottom w:val="none" w:sz="0" w:space="0" w:color="auto"/>
                <w:right w:val="none" w:sz="0" w:space="0" w:color="auto"/>
              </w:divBdr>
            </w:div>
            <w:div w:id="165556522">
              <w:marLeft w:val="0"/>
              <w:marRight w:val="0"/>
              <w:marTop w:val="0"/>
              <w:marBottom w:val="0"/>
              <w:divBdr>
                <w:top w:val="none" w:sz="0" w:space="0" w:color="auto"/>
                <w:left w:val="none" w:sz="0" w:space="0" w:color="auto"/>
                <w:bottom w:val="none" w:sz="0" w:space="0" w:color="auto"/>
                <w:right w:val="none" w:sz="0" w:space="0" w:color="auto"/>
              </w:divBdr>
            </w:div>
            <w:div w:id="200291010">
              <w:marLeft w:val="0"/>
              <w:marRight w:val="0"/>
              <w:marTop w:val="0"/>
              <w:marBottom w:val="0"/>
              <w:divBdr>
                <w:top w:val="none" w:sz="0" w:space="0" w:color="auto"/>
                <w:left w:val="none" w:sz="0" w:space="0" w:color="auto"/>
                <w:bottom w:val="none" w:sz="0" w:space="0" w:color="auto"/>
                <w:right w:val="none" w:sz="0" w:space="0" w:color="auto"/>
              </w:divBdr>
            </w:div>
            <w:div w:id="214390140">
              <w:marLeft w:val="0"/>
              <w:marRight w:val="0"/>
              <w:marTop w:val="0"/>
              <w:marBottom w:val="0"/>
              <w:divBdr>
                <w:top w:val="none" w:sz="0" w:space="0" w:color="auto"/>
                <w:left w:val="none" w:sz="0" w:space="0" w:color="auto"/>
                <w:bottom w:val="none" w:sz="0" w:space="0" w:color="auto"/>
                <w:right w:val="none" w:sz="0" w:space="0" w:color="auto"/>
              </w:divBdr>
            </w:div>
            <w:div w:id="221454999">
              <w:marLeft w:val="0"/>
              <w:marRight w:val="0"/>
              <w:marTop w:val="0"/>
              <w:marBottom w:val="0"/>
              <w:divBdr>
                <w:top w:val="none" w:sz="0" w:space="0" w:color="auto"/>
                <w:left w:val="none" w:sz="0" w:space="0" w:color="auto"/>
                <w:bottom w:val="none" w:sz="0" w:space="0" w:color="auto"/>
                <w:right w:val="none" w:sz="0" w:space="0" w:color="auto"/>
              </w:divBdr>
            </w:div>
            <w:div w:id="290206179">
              <w:marLeft w:val="0"/>
              <w:marRight w:val="0"/>
              <w:marTop w:val="0"/>
              <w:marBottom w:val="0"/>
              <w:divBdr>
                <w:top w:val="none" w:sz="0" w:space="0" w:color="auto"/>
                <w:left w:val="none" w:sz="0" w:space="0" w:color="auto"/>
                <w:bottom w:val="none" w:sz="0" w:space="0" w:color="auto"/>
                <w:right w:val="none" w:sz="0" w:space="0" w:color="auto"/>
              </w:divBdr>
            </w:div>
            <w:div w:id="311980589">
              <w:marLeft w:val="0"/>
              <w:marRight w:val="0"/>
              <w:marTop w:val="0"/>
              <w:marBottom w:val="0"/>
              <w:divBdr>
                <w:top w:val="none" w:sz="0" w:space="0" w:color="auto"/>
                <w:left w:val="none" w:sz="0" w:space="0" w:color="auto"/>
                <w:bottom w:val="none" w:sz="0" w:space="0" w:color="auto"/>
                <w:right w:val="none" w:sz="0" w:space="0" w:color="auto"/>
              </w:divBdr>
            </w:div>
            <w:div w:id="378676673">
              <w:marLeft w:val="0"/>
              <w:marRight w:val="0"/>
              <w:marTop w:val="0"/>
              <w:marBottom w:val="0"/>
              <w:divBdr>
                <w:top w:val="none" w:sz="0" w:space="0" w:color="auto"/>
                <w:left w:val="none" w:sz="0" w:space="0" w:color="auto"/>
                <w:bottom w:val="none" w:sz="0" w:space="0" w:color="auto"/>
                <w:right w:val="none" w:sz="0" w:space="0" w:color="auto"/>
              </w:divBdr>
            </w:div>
            <w:div w:id="497961177">
              <w:marLeft w:val="0"/>
              <w:marRight w:val="0"/>
              <w:marTop w:val="0"/>
              <w:marBottom w:val="0"/>
              <w:divBdr>
                <w:top w:val="none" w:sz="0" w:space="0" w:color="auto"/>
                <w:left w:val="none" w:sz="0" w:space="0" w:color="auto"/>
                <w:bottom w:val="none" w:sz="0" w:space="0" w:color="auto"/>
                <w:right w:val="none" w:sz="0" w:space="0" w:color="auto"/>
              </w:divBdr>
            </w:div>
            <w:div w:id="503401143">
              <w:marLeft w:val="0"/>
              <w:marRight w:val="0"/>
              <w:marTop w:val="0"/>
              <w:marBottom w:val="0"/>
              <w:divBdr>
                <w:top w:val="none" w:sz="0" w:space="0" w:color="auto"/>
                <w:left w:val="none" w:sz="0" w:space="0" w:color="auto"/>
                <w:bottom w:val="none" w:sz="0" w:space="0" w:color="auto"/>
                <w:right w:val="none" w:sz="0" w:space="0" w:color="auto"/>
              </w:divBdr>
            </w:div>
            <w:div w:id="529296915">
              <w:marLeft w:val="0"/>
              <w:marRight w:val="0"/>
              <w:marTop w:val="0"/>
              <w:marBottom w:val="0"/>
              <w:divBdr>
                <w:top w:val="none" w:sz="0" w:space="0" w:color="auto"/>
                <w:left w:val="none" w:sz="0" w:space="0" w:color="auto"/>
                <w:bottom w:val="none" w:sz="0" w:space="0" w:color="auto"/>
                <w:right w:val="none" w:sz="0" w:space="0" w:color="auto"/>
              </w:divBdr>
            </w:div>
            <w:div w:id="536240128">
              <w:marLeft w:val="0"/>
              <w:marRight w:val="0"/>
              <w:marTop w:val="0"/>
              <w:marBottom w:val="0"/>
              <w:divBdr>
                <w:top w:val="none" w:sz="0" w:space="0" w:color="auto"/>
                <w:left w:val="none" w:sz="0" w:space="0" w:color="auto"/>
                <w:bottom w:val="none" w:sz="0" w:space="0" w:color="auto"/>
                <w:right w:val="none" w:sz="0" w:space="0" w:color="auto"/>
              </w:divBdr>
            </w:div>
            <w:div w:id="550848377">
              <w:marLeft w:val="0"/>
              <w:marRight w:val="0"/>
              <w:marTop w:val="0"/>
              <w:marBottom w:val="0"/>
              <w:divBdr>
                <w:top w:val="none" w:sz="0" w:space="0" w:color="auto"/>
                <w:left w:val="none" w:sz="0" w:space="0" w:color="auto"/>
                <w:bottom w:val="none" w:sz="0" w:space="0" w:color="auto"/>
                <w:right w:val="none" w:sz="0" w:space="0" w:color="auto"/>
              </w:divBdr>
            </w:div>
            <w:div w:id="630356462">
              <w:marLeft w:val="0"/>
              <w:marRight w:val="0"/>
              <w:marTop w:val="0"/>
              <w:marBottom w:val="0"/>
              <w:divBdr>
                <w:top w:val="none" w:sz="0" w:space="0" w:color="auto"/>
                <w:left w:val="none" w:sz="0" w:space="0" w:color="auto"/>
                <w:bottom w:val="none" w:sz="0" w:space="0" w:color="auto"/>
                <w:right w:val="none" w:sz="0" w:space="0" w:color="auto"/>
              </w:divBdr>
            </w:div>
            <w:div w:id="637034197">
              <w:marLeft w:val="0"/>
              <w:marRight w:val="0"/>
              <w:marTop w:val="0"/>
              <w:marBottom w:val="0"/>
              <w:divBdr>
                <w:top w:val="none" w:sz="0" w:space="0" w:color="auto"/>
                <w:left w:val="none" w:sz="0" w:space="0" w:color="auto"/>
                <w:bottom w:val="none" w:sz="0" w:space="0" w:color="auto"/>
                <w:right w:val="none" w:sz="0" w:space="0" w:color="auto"/>
              </w:divBdr>
            </w:div>
            <w:div w:id="646278115">
              <w:marLeft w:val="0"/>
              <w:marRight w:val="0"/>
              <w:marTop w:val="0"/>
              <w:marBottom w:val="0"/>
              <w:divBdr>
                <w:top w:val="none" w:sz="0" w:space="0" w:color="auto"/>
                <w:left w:val="none" w:sz="0" w:space="0" w:color="auto"/>
                <w:bottom w:val="none" w:sz="0" w:space="0" w:color="auto"/>
                <w:right w:val="none" w:sz="0" w:space="0" w:color="auto"/>
              </w:divBdr>
            </w:div>
            <w:div w:id="668412624">
              <w:marLeft w:val="0"/>
              <w:marRight w:val="0"/>
              <w:marTop w:val="0"/>
              <w:marBottom w:val="0"/>
              <w:divBdr>
                <w:top w:val="none" w:sz="0" w:space="0" w:color="auto"/>
                <w:left w:val="none" w:sz="0" w:space="0" w:color="auto"/>
                <w:bottom w:val="none" w:sz="0" w:space="0" w:color="auto"/>
                <w:right w:val="none" w:sz="0" w:space="0" w:color="auto"/>
              </w:divBdr>
            </w:div>
            <w:div w:id="700058526">
              <w:marLeft w:val="0"/>
              <w:marRight w:val="0"/>
              <w:marTop w:val="0"/>
              <w:marBottom w:val="0"/>
              <w:divBdr>
                <w:top w:val="none" w:sz="0" w:space="0" w:color="auto"/>
                <w:left w:val="none" w:sz="0" w:space="0" w:color="auto"/>
                <w:bottom w:val="none" w:sz="0" w:space="0" w:color="auto"/>
                <w:right w:val="none" w:sz="0" w:space="0" w:color="auto"/>
              </w:divBdr>
            </w:div>
            <w:div w:id="750465487">
              <w:marLeft w:val="0"/>
              <w:marRight w:val="0"/>
              <w:marTop w:val="0"/>
              <w:marBottom w:val="0"/>
              <w:divBdr>
                <w:top w:val="none" w:sz="0" w:space="0" w:color="auto"/>
                <w:left w:val="none" w:sz="0" w:space="0" w:color="auto"/>
                <w:bottom w:val="none" w:sz="0" w:space="0" w:color="auto"/>
                <w:right w:val="none" w:sz="0" w:space="0" w:color="auto"/>
              </w:divBdr>
            </w:div>
            <w:div w:id="821851877">
              <w:marLeft w:val="0"/>
              <w:marRight w:val="0"/>
              <w:marTop w:val="0"/>
              <w:marBottom w:val="0"/>
              <w:divBdr>
                <w:top w:val="none" w:sz="0" w:space="0" w:color="auto"/>
                <w:left w:val="none" w:sz="0" w:space="0" w:color="auto"/>
                <w:bottom w:val="none" w:sz="0" w:space="0" w:color="auto"/>
                <w:right w:val="none" w:sz="0" w:space="0" w:color="auto"/>
              </w:divBdr>
            </w:div>
            <w:div w:id="846215252">
              <w:marLeft w:val="0"/>
              <w:marRight w:val="0"/>
              <w:marTop w:val="0"/>
              <w:marBottom w:val="0"/>
              <w:divBdr>
                <w:top w:val="none" w:sz="0" w:space="0" w:color="auto"/>
                <w:left w:val="none" w:sz="0" w:space="0" w:color="auto"/>
                <w:bottom w:val="none" w:sz="0" w:space="0" w:color="auto"/>
                <w:right w:val="none" w:sz="0" w:space="0" w:color="auto"/>
              </w:divBdr>
            </w:div>
            <w:div w:id="857894389">
              <w:marLeft w:val="0"/>
              <w:marRight w:val="0"/>
              <w:marTop w:val="0"/>
              <w:marBottom w:val="0"/>
              <w:divBdr>
                <w:top w:val="none" w:sz="0" w:space="0" w:color="auto"/>
                <w:left w:val="none" w:sz="0" w:space="0" w:color="auto"/>
                <w:bottom w:val="none" w:sz="0" w:space="0" w:color="auto"/>
                <w:right w:val="none" w:sz="0" w:space="0" w:color="auto"/>
              </w:divBdr>
            </w:div>
            <w:div w:id="865022075">
              <w:marLeft w:val="0"/>
              <w:marRight w:val="0"/>
              <w:marTop w:val="0"/>
              <w:marBottom w:val="0"/>
              <w:divBdr>
                <w:top w:val="none" w:sz="0" w:space="0" w:color="auto"/>
                <w:left w:val="none" w:sz="0" w:space="0" w:color="auto"/>
                <w:bottom w:val="none" w:sz="0" w:space="0" w:color="auto"/>
                <w:right w:val="none" w:sz="0" w:space="0" w:color="auto"/>
              </w:divBdr>
            </w:div>
            <w:div w:id="882592419">
              <w:marLeft w:val="0"/>
              <w:marRight w:val="0"/>
              <w:marTop w:val="0"/>
              <w:marBottom w:val="0"/>
              <w:divBdr>
                <w:top w:val="none" w:sz="0" w:space="0" w:color="auto"/>
                <w:left w:val="none" w:sz="0" w:space="0" w:color="auto"/>
                <w:bottom w:val="none" w:sz="0" w:space="0" w:color="auto"/>
                <w:right w:val="none" w:sz="0" w:space="0" w:color="auto"/>
              </w:divBdr>
            </w:div>
            <w:div w:id="964431180">
              <w:marLeft w:val="0"/>
              <w:marRight w:val="0"/>
              <w:marTop w:val="0"/>
              <w:marBottom w:val="0"/>
              <w:divBdr>
                <w:top w:val="none" w:sz="0" w:space="0" w:color="auto"/>
                <w:left w:val="none" w:sz="0" w:space="0" w:color="auto"/>
                <w:bottom w:val="none" w:sz="0" w:space="0" w:color="auto"/>
                <w:right w:val="none" w:sz="0" w:space="0" w:color="auto"/>
              </w:divBdr>
            </w:div>
            <w:div w:id="1017462053">
              <w:marLeft w:val="0"/>
              <w:marRight w:val="0"/>
              <w:marTop w:val="0"/>
              <w:marBottom w:val="0"/>
              <w:divBdr>
                <w:top w:val="none" w:sz="0" w:space="0" w:color="auto"/>
                <w:left w:val="none" w:sz="0" w:space="0" w:color="auto"/>
                <w:bottom w:val="none" w:sz="0" w:space="0" w:color="auto"/>
                <w:right w:val="none" w:sz="0" w:space="0" w:color="auto"/>
              </w:divBdr>
            </w:div>
            <w:div w:id="1060326497">
              <w:marLeft w:val="0"/>
              <w:marRight w:val="0"/>
              <w:marTop w:val="0"/>
              <w:marBottom w:val="0"/>
              <w:divBdr>
                <w:top w:val="none" w:sz="0" w:space="0" w:color="auto"/>
                <w:left w:val="none" w:sz="0" w:space="0" w:color="auto"/>
                <w:bottom w:val="none" w:sz="0" w:space="0" w:color="auto"/>
                <w:right w:val="none" w:sz="0" w:space="0" w:color="auto"/>
              </w:divBdr>
            </w:div>
            <w:div w:id="1093010787">
              <w:marLeft w:val="0"/>
              <w:marRight w:val="0"/>
              <w:marTop w:val="0"/>
              <w:marBottom w:val="0"/>
              <w:divBdr>
                <w:top w:val="none" w:sz="0" w:space="0" w:color="auto"/>
                <w:left w:val="none" w:sz="0" w:space="0" w:color="auto"/>
                <w:bottom w:val="none" w:sz="0" w:space="0" w:color="auto"/>
                <w:right w:val="none" w:sz="0" w:space="0" w:color="auto"/>
              </w:divBdr>
            </w:div>
            <w:div w:id="1157841922">
              <w:marLeft w:val="0"/>
              <w:marRight w:val="0"/>
              <w:marTop w:val="0"/>
              <w:marBottom w:val="0"/>
              <w:divBdr>
                <w:top w:val="none" w:sz="0" w:space="0" w:color="auto"/>
                <w:left w:val="none" w:sz="0" w:space="0" w:color="auto"/>
                <w:bottom w:val="none" w:sz="0" w:space="0" w:color="auto"/>
                <w:right w:val="none" w:sz="0" w:space="0" w:color="auto"/>
              </w:divBdr>
            </w:div>
            <w:div w:id="1241058208">
              <w:marLeft w:val="0"/>
              <w:marRight w:val="0"/>
              <w:marTop w:val="0"/>
              <w:marBottom w:val="0"/>
              <w:divBdr>
                <w:top w:val="none" w:sz="0" w:space="0" w:color="auto"/>
                <w:left w:val="none" w:sz="0" w:space="0" w:color="auto"/>
                <w:bottom w:val="none" w:sz="0" w:space="0" w:color="auto"/>
                <w:right w:val="none" w:sz="0" w:space="0" w:color="auto"/>
              </w:divBdr>
            </w:div>
            <w:div w:id="1245257621">
              <w:marLeft w:val="0"/>
              <w:marRight w:val="0"/>
              <w:marTop w:val="0"/>
              <w:marBottom w:val="0"/>
              <w:divBdr>
                <w:top w:val="none" w:sz="0" w:space="0" w:color="auto"/>
                <w:left w:val="none" w:sz="0" w:space="0" w:color="auto"/>
                <w:bottom w:val="none" w:sz="0" w:space="0" w:color="auto"/>
                <w:right w:val="none" w:sz="0" w:space="0" w:color="auto"/>
              </w:divBdr>
            </w:div>
            <w:div w:id="1263411728">
              <w:marLeft w:val="0"/>
              <w:marRight w:val="0"/>
              <w:marTop w:val="0"/>
              <w:marBottom w:val="0"/>
              <w:divBdr>
                <w:top w:val="none" w:sz="0" w:space="0" w:color="auto"/>
                <w:left w:val="none" w:sz="0" w:space="0" w:color="auto"/>
                <w:bottom w:val="none" w:sz="0" w:space="0" w:color="auto"/>
                <w:right w:val="none" w:sz="0" w:space="0" w:color="auto"/>
              </w:divBdr>
            </w:div>
            <w:div w:id="1281305149">
              <w:marLeft w:val="0"/>
              <w:marRight w:val="0"/>
              <w:marTop w:val="0"/>
              <w:marBottom w:val="0"/>
              <w:divBdr>
                <w:top w:val="none" w:sz="0" w:space="0" w:color="auto"/>
                <w:left w:val="none" w:sz="0" w:space="0" w:color="auto"/>
                <w:bottom w:val="none" w:sz="0" w:space="0" w:color="auto"/>
                <w:right w:val="none" w:sz="0" w:space="0" w:color="auto"/>
              </w:divBdr>
            </w:div>
            <w:div w:id="1338657930">
              <w:marLeft w:val="0"/>
              <w:marRight w:val="0"/>
              <w:marTop w:val="0"/>
              <w:marBottom w:val="0"/>
              <w:divBdr>
                <w:top w:val="none" w:sz="0" w:space="0" w:color="auto"/>
                <w:left w:val="none" w:sz="0" w:space="0" w:color="auto"/>
                <w:bottom w:val="none" w:sz="0" w:space="0" w:color="auto"/>
                <w:right w:val="none" w:sz="0" w:space="0" w:color="auto"/>
              </w:divBdr>
            </w:div>
            <w:div w:id="1341204856">
              <w:marLeft w:val="0"/>
              <w:marRight w:val="0"/>
              <w:marTop w:val="0"/>
              <w:marBottom w:val="0"/>
              <w:divBdr>
                <w:top w:val="none" w:sz="0" w:space="0" w:color="auto"/>
                <w:left w:val="none" w:sz="0" w:space="0" w:color="auto"/>
                <w:bottom w:val="none" w:sz="0" w:space="0" w:color="auto"/>
                <w:right w:val="none" w:sz="0" w:space="0" w:color="auto"/>
              </w:divBdr>
            </w:div>
            <w:div w:id="1352024093">
              <w:marLeft w:val="0"/>
              <w:marRight w:val="0"/>
              <w:marTop w:val="0"/>
              <w:marBottom w:val="0"/>
              <w:divBdr>
                <w:top w:val="none" w:sz="0" w:space="0" w:color="auto"/>
                <w:left w:val="none" w:sz="0" w:space="0" w:color="auto"/>
                <w:bottom w:val="none" w:sz="0" w:space="0" w:color="auto"/>
                <w:right w:val="none" w:sz="0" w:space="0" w:color="auto"/>
              </w:divBdr>
            </w:div>
            <w:div w:id="1353874161">
              <w:marLeft w:val="0"/>
              <w:marRight w:val="0"/>
              <w:marTop w:val="0"/>
              <w:marBottom w:val="0"/>
              <w:divBdr>
                <w:top w:val="none" w:sz="0" w:space="0" w:color="auto"/>
                <w:left w:val="none" w:sz="0" w:space="0" w:color="auto"/>
                <w:bottom w:val="none" w:sz="0" w:space="0" w:color="auto"/>
                <w:right w:val="none" w:sz="0" w:space="0" w:color="auto"/>
              </w:divBdr>
            </w:div>
            <w:div w:id="1374502944">
              <w:marLeft w:val="0"/>
              <w:marRight w:val="0"/>
              <w:marTop w:val="0"/>
              <w:marBottom w:val="0"/>
              <w:divBdr>
                <w:top w:val="none" w:sz="0" w:space="0" w:color="auto"/>
                <w:left w:val="none" w:sz="0" w:space="0" w:color="auto"/>
                <w:bottom w:val="none" w:sz="0" w:space="0" w:color="auto"/>
                <w:right w:val="none" w:sz="0" w:space="0" w:color="auto"/>
              </w:divBdr>
            </w:div>
            <w:div w:id="1501041546">
              <w:marLeft w:val="0"/>
              <w:marRight w:val="0"/>
              <w:marTop w:val="0"/>
              <w:marBottom w:val="0"/>
              <w:divBdr>
                <w:top w:val="none" w:sz="0" w:space="0" w:color="auto"/>
                <w:left w:val="none" w:sz="0" w:space="0" w:color="auto"/>
                <w:bottom w:val="none" w:sz="0" w:space="0" w:color="auto"/>
                <w:right w:val="none" w:sz="0" w:space="0" w:color="auto"/>
              </w:divBdr>
            </w:div>
            <w:div w:id="1649283808">
              <w:marLeft w:val="0"/>
              <w:marRight w:val="0"/>
              <w:marTop w:val="0"/>
              <w:marBottom w:val="0"/>
              <w:divBdr>
                <w:top w:val="none" w:sz="0" w:space="0" w:color="auto"/>
                <w:left w:val="none" w:sz="0" w:space="0" w:color="auto"/>
                <w:bottom w:val="none" w:sz="0" w:space="0" w:color="auto"/>
                <w:right w:val="none" w:sz="0" w:space="0" w:color="auto"/>
              </w:divBdr>
            </w:div>
            <w:div w:id="1657881111">
              <w:marLeft w:val="0"/>
              <w:marRight w:val="0"/>
              <w:marTop w:val="0"/>
              <w:marBottom w:val="0"/>
              <w:divBdr>
                <w:top w:val="none" w:sz="0" w:space="0" w:color="auto"/>
                <w:left w:val="none" w:sz="0" w:space="0" w:color="auto"/>
                <w:bottom w:val="none" w:sz="0" w:space="0" w:color="auto"/>
                <w:right w:val="none" w:sz="0" w:space="0" w:color="auto"/>
              </w:divBdr>
            </w:div>
            <w:div w:id="1668359963">
              <w:marLeft w:val="0"/>
              <w:marRight w:val="0"/>
              <w:marTop w:val="0"/>
              <w:marBottom w:val="0"/>
              <w:divBdr>
                <w:top w:val="none" w:sz="0" w:space="0" w:color="auto"/>
                <w:left w:val="none" w:sz="0" w:space="0" w:color="auto"/>
                <w:bottom w:val="none" w:sz="0" w:space="0" w:color="auto"/>
                <w:right w:val="none" w:sz="0" w:space="0" w:color="auto"/>
              </w:divBdr>
            </w:div>
            <w:div w:id="1711030653">
              <w:marLeft w:val="0"/>
              <w:marRight w:val="0"/>
              <w:marTop w:val="0"/>
              <w:marBottom w:val="0"/>
              <w:divBdr>
                <w:top w:val="none" w:sz="0" w:space="0" w:color="auto"/>
                <w:left w:val="none" w:sz="0" w:space="0" w:color="auto"/>
                <w:bottom w:val="none" w:sz="0" w:space="0" w:color="auto"/>
                <w:right w:val="none" w:sz="0" w:space="0" w:color="auto"/>
              </w:divBdr>
            </w:div>
            <w:div w:id="1750157023">
              <w:marLeft w:val="0"/>
              <w:marRight w:val="0"/>
              <w:marTop w:val="0"/>
              <w:marBottom w:val="0"/>
              <w:divBdr>
                <w:top w:val="none" w:sz="0" w:space="0" w:color="auto"/>
                <w:left w:val="none" w:sz="0" w:space="0" w:color="auto"/>
                <w:bottom w:val="none" w:sz="0" w:space="0" w:color="auto"/>
                <w:right w:val="none" w:sz="0" w:space="0" w:color="auto"/>
              </w:divBdr>
            </w:div>
            <w:div w:id="1782915497">
              <w:marLeft w:val="0"/>
              <w:marRight w:val="0"/>
              <w:marTop w:val="0"/>
              <w:marBottom w:val="0"/>
              <w:divBdr>
                <w:top w:val="none" w:sz="0" w:space="0" w:color="auto"/>
                <w:left w:val="none" w:sz="0" w:space="0" w:color="auto"/>
                <w:bottom w:val="none" w:sz="0" w:space="0" w:color="auto"/>
                <w:right w:val="none" w:sz="0" w:space="0" w:color="auto"/>
              </w:divBdr>
            </w:div>
            <w:div w:id="1806579543">
              <w:marLeft w:val="0"/>
              <w:marRight w:val="0"/>
              <w:marTop w:val="0"/>
              <w:marBottom w:val="0"/>
              <w:divBdr>
                <w:top w:val="none" w:sz="0" w:space="0" w:color="auto"/>
                <w:left w:val="none" w:sz="0" w:space="0" w:color="auto"/>
                <w:bottom w:val="none" w:sz="0" w:space="0" w:color="auto"/>
                <w:right w:val="none" w:sz="0" w:space="0" w:color="auto"/>
              </w:divBdr>
            </w:div>
            <w:div w:id="1819152247">
              <w:marLeft w:val="0"/>
              <w:marRight w:val="0"/>
              <w:marTop w:val="0"/>
              <w:marBottom w:val="0"/>
              <w:divBdr>
                <w:top w:val="none" w:sz="0" w:space="0" w:color="auto"/>
                <w:left w:val="none" w:sz="0" w:space="0" w:color="auto"/>
                <w:bottom w:val="none" w:sz="0" w:space="0" w:color="auto"/>
                <w:right w:val="none" w:sz="0" w:space="0" w:color="auto"/>
              </w:divBdr>
            </w:div>
            <w:div w:id="1819565304">
              <w:marLeft w:val="0"/>
              <w:marRight w:val="0"/>
              <w:marTop w:val="0"/>
              <w:marBottom w:val="0"/>
              <w:divBdr>
                <w:top w:val="none" w:sz="0" w:space="0" w:color="auto"/>
                <w:left w:val="none" w:sz="0" w:space="0" w:color="auto"/>
                <w:bottom w:val="none" w:sz="0" w:space="0" w:color="auto"/>
                <w:right w:val="none" w:sz="0" w:space="0" w:color="auto"/>
              </w:divBdr>
            </w:div>
            <w:div w:id="1867061141">
              <w:marLeft w:val="0"/>
              <w:marRight w:val="0"/>
              <w:marTop w:val="0"/>
              <w:marBottom w:val="0"/>
              <w:divBdr>
                <w:top w:val="none" w:sz="0" w:space="0" w:color="auto"/>
                <w:left w:val="none" w:sz="0" w:space="0" w:color="auto"/>
                <w:bottom w:val="none" w:sz="0" w:space="0" w:color="auto"/>
                <w:right w:val="none" w:sz="0" w:space="0" w:color="auto"/>
              </w:divBdr>
            </w:div>
            <w:div w:id="1881360474">
              <w:marLeft w:val="0"/>
              <w:marRight w:val="0"/>
              <w:marTop w:val="0"/>
              <w:marBottom w:val="0"/>
              <w:divBdr>
                <w:top w:val="none" w:sz="0" w:space="0" w:color="auto"/>
                <w:left w:val="none" w:sz="0" w:space="0" w:color="auto"/>
                <w:bottom w:val="none" w:sz="0" w:space="0" w:color="auto"/>
                <w:right w:val="none" w:sz="0" w:space="0" w:color="auto"/>
              </w:divBdr>
            </w:div>
            <w:div w:id="1917277425">
              <w:marLeft w:val="0"/>
              <w:marRight w:val="0"/>
              <w:marTop w:val="0"/>
              <w:marBottom w:val="0"/>
              <w:divBdr>
                <w:top w:val="none" w:sz="0" w:space="0" w:color="auto"/>
                <w:left w:val="none" w:sz="0" w:space="0" w:color="auto"/>
                <w:bottom w:val="none" w:sz="0" w:space="0" w:color="auto"/>
                <w:right w:val="none" w:sz="0" w:space="0" w:color="auto"/>
              </w:divBdr>
            </w:div>
            <w:div w:id="1917863715">
              <w:marLeft w:val="0"/>
              <w:marRight w:val="0"/>
              <w:marTop w:val="0"/>
              <w:marBottom w:val="0"/>
              <w:divBdr>
                <w:top w:val="none" w:sz="0" w:space="0" w:color="auto"/>
                <w:left w:val="none" w:sz="0" w:space="0" w:color="auto"/>
                <w:bottom w:val="none" w:sz="0" w:space="0" w:color="auto"/>
                <w:right w:val="none" w:sz="0" w:space="0" w:color="auto"/>
              </w:divBdr>
            </w:div>
            <w:div w:id="1918785810">
              <w:marLeft w:val="0"/>
              <w:marRight w:val="0"/>
              <w:marTop w:val="0"/>
              <w:marBottom w:val="0"/>
              <w:divBdr>
                <w:top w:val="none" w:sz="0" w:space="0" w:color="auto"/>
                <w:left w:val="none" w:sz="0" w:space="0" w:color="auto"/>
                <w:bottom w:val="none" w:sz="0" w:space="0" w:color="auto"/>
                <w:right w:val="none" w:sz="0" w:space="0" w:color="auto"/>
              </w:divBdr>
            </w:div>
            <w:div w:id="1923837073">
              <w:marLeft w:val="0"/>
              <w:marRight w:val="0"/>
              <w:marTop w:val="0"/>
              <w:marBottom w:val="0"/>
              <w:divBdr>
                <w:top w:val="none" w:sz="0" w:space="0" w:color="auto"/>
                <w:left w:val="none" w:sz="0" w:space="0" w:color="auto"/>
                <w:bottom w:val="none" w:sz="0" w:space="0" w:color="auto"/>
                <w:right w:val="none" w:sz="0" w:space="0" w:color="auto"/>
              </w:divBdr>
            </w:div>
            <w:div w:id="1943301802">
              <w:marLeft w:val="0"/>
              <w:marRight w:val="0"/>
              <w:marTop w:val="0"/>
              <w:marBottom w:val="0"/>
              <w:divBdr>
                <w:top w:val="none" w:sz="0" w:space="0" w:color="auto"/>
                <w:left w:val="none" w:sz="0" w:space="0" w:color="auto"/>
                <w:bottom w:val="none" w:sz="0" w:space="0" w:color="auto"/>
                <w:right w:val="none" w:sz="0" w:space="0" w:color="auto"/>
              </w:divBdr>
            </w:div>
            <w:div w:id="1974561454">
              <w:marLeft w:val="0"/>
              <w:marRight w:val="0"/>
              <w:marTop w:val="0"/>
              <w:marBottom w:val="0"/>
              <w:divBdr>
                <w:top w:val="none" w:sz="0" w:space="0" w:color="auto"/>
                <w:left w:val="none" w:sz="0" w:space="0" w:color="auto"/>
                <w:bottom w:val="none" w:sz="0" w:space="0" w:color="auto"/>
                <w:right w:val="none" w:sz="0" w:space="0" w:color="auto"/>
              </w:divBdr>
            </w:div>
            <w:div w:id="2033264325">
              <w:marLeft w:val="0"/>
              <w:marRight w:val="0"/>
              <w:marTop w:val="0"/>
              <w:marBottom w:val="0"/>
              <w:divBdr>
                <w:top w:val="none" w:sz="0" w:space="0" w:color="auto"/>
                <w:left w:val="none" w:sz="0" w:space="0" w:color="auto"/>
                <w:bottom w:val="none" w:sz="0" w:space="0" w:color="auto"/>
                <w:right w:val="none" w:sz="0" w:space="0" w:color="auto"/>
              </w:divBdr>
            </w:div>
            <w:div w:id="21458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320">
      <w:bodyDiv w:val="1"/>
      <w:marLeft w:val="0"/>
      <w:marRight w:val="0"/>
      <w:marTop w:val="0"/>
      <w:marBottom w:val="0"/>
      <w:divBdr>
        <w:top w:val="none" w:sz="0" w:space="0" w:color="auto"/>
        <w:left w:val="none" w:sz="0" w:space="0" w:color="auto"/>
        <w:bottom w:val="none" w:sz="0" w:space="0" w:color="auto"/>
        <w:right w:val="none" w:sz="0" w:space="0" w:color="auto"/>
      </w:divBdr>
    </w:div>
    <w:div w:id="1088649297">
      <w:bodyDiv w:val="1"/>
      <w:marLeft w:val="0"/>
      <w:marRight w:val="0"/>
      <w:marTop w:val="0"/>
      <w:marBottom w:val="0"/>
      <w:divBdr>
        <w:top w:val="none" w:sz="0" w:space="0" w:color="auto"/>
        <w:left w:val="none" w:sz="0" w:space="0" w:color="auto"/>
        <w:bottom w:val="none" w:sz="0" w:space="0" w:color="auto"/>
        <w:right w:val="none" w:sz="0" w:space="0" w:color="auto"/>
      </w:divBdr>
      <w:divsChild>
        <w:div w:id="1332024079">
          <w:marLeft w:val="0"/>
          <w:marRight w:val="0"/>
          <w:marTop w:val="0"/>
          <w:marBottom w:val="0"/>
          <w:divBdr>
            <w:top w:val="none" w:sz="0" w:space="0" w:color="auto"/>
            <w:left w:val="none" w:sz="0" w:space="0" w:color="auto"/>
            <w:bottom w:val="none" w:sz="0" w:space="0" w:color="auto"/>
            <w:right w:val="none" w:sz="0" w:space="0" w:color="auto"/>
          </w:divBdr>
        </w:div>
      </w:divsChild>
    </w:div>
    <w:div w:id="1098796824">
      <w:bodyDiv w:val="1"/>
      <w:marLeft w:val="0"/>
      <w:marRight w:val="0"/>
      <w:marTop w:val="0"/>
      <w:marBottom w:val="0"/>
      <w:divBdr>
        <w:top w:val="none" w:sz="0" w:space="0" w:color="auto"/>
        <w:left w:val="none" w:sz="0" w:space="0" w:color="auto"/>
        <w:bottom w:val="none" w:sz="0" w:space="0" w:color="auto"/>
        <w:right w:val="none" w:sz="0" w:space="0" w:color="auto"/>
      </w:divBdr>
      <w:divsChild>
        <w:div w:id="323095694">
          <w:marLeft w:val="0"/>
          <w:marRight w:val="0"/>
          <w:marTop w:val="0"/>
          <w:marBottom w:val="0"/>
          <w:divBdr>
            <w:top w:val="none" w:sz="0" w:space="0" w:color="auto"/>
            <w:left w:val="none" w:sz="0" w:space="0" w:color="auto"/>
            <w:bottom w:val="none" w:sz="0" w:space="0" w:color="auto"/>
            <w:right w:val="none" w:sz="0" w:space="0" w:color="auto"/>
          </w:divBdr>
        </w:div>
        <w:div w:id="353924476">
          <w:marLeft w:val="0"/>
          <w:marRight w:val="0"/>
          <w:marTop w:val="0"/>
          <w:marBottom w:val="0"/>
          <w:divBdr>
            <w:top w:val="none" w:sz="0" w:space="0" w:color="auto"/>
            <w:left w:val="none" w:sz="0" w:space="0" w:color="auto"/>
            <w:bottom w:val="none" w:sz="0" w:space="0" w:color="auto"/>
            <w:right w:val="none" w:sz="0" w:space="0" w:color="auto"/>
          </w:divBdr>
        </w:div>
        <w:div w:id="543252328">
          <w:marLeft w:val="0"/>
          <w:marRight w:val="0"/>
          <w:marTop w:val="0"/>
          <w:marBottom w:val="0"/>
          <w:divBdr>
            <w:top w:val="none" w:sz="0" w:space="0" w:color="auto"/>
            <w:left w:val="none" w:sz="0" w:space="0" w:color="auto"/>
            <w:bottom w:val="none" w:sz="0" w:space="0" w:color="auto"/>
            <w:right w:val="none" w:sz="0" w:space="0" w:color="auto"/>
          </w:divBdr>
        </w:div>
        <w:div w:id="709379428">
          <w:marLeft w:val="0"/>
          <w:marRight w:val="0"/>
          <w:marTop w:val="0"/>
          <w:marBottom w:val="0"/>
          <w:divBdr>
            <w:top w:val="none" w:sz="0" w:space="0" w:color="auto"/>
            <w:left w:val="none" w:sz="0" w:space="0" w:color="auto"/>
            <w:bottom w:val="none" w:sz="0" w:space="0" w:color="auto"/>
            <w:right w:val="none" w:sz="0" w:space="0" w:color="auto"/>
          </w:divBdr>
        </w:div>
        <w:div w:id="970943208">
          <w:marLeft w:val="0"/>
          <w:marRight w:val="0"/>
          <w:marTop w:val="0"/>
          <w:marBottom w:val="0"/>
          <w:divBdr>
            <w:top w:val="none" w:sz="0" w:space="0" w:color="auto"/>
            <w:left w:val="none" w:sz="0" w:space="0" w:color="auto"/>
            <w:bottom w:val="none" w:sz="0" w:space="0" w:color="auto"/>
            <w:right w:val="none" w:sz="0" w:space="0" w:color="auto"/>
          </w:divBdr>
        </w:div>
        <w:div w:id="1350909768">
          <w:marLeft w:val="0"/>
          <w:marRight w:val="0"/>
          <w:marTop w:val="0"/>
          <w:marBottom w:val="0"/>
          <w:divBdr>
            <w:top w:val="none" w:sz="0" w:space="0" w:color="auto"/>
            <w:left w:val="none" w:sz="0" w:space="0" w:color="auto"/>
            <w:bottom w:val="none" w:sz="0" w:space="0" w:color="auto"/>
            <w:right w:val="none" w:sz="0" w:space="0" w:color="auto"/>
          </w:divBdr>
        </w:div>
        <w:div w:id="1625304748">
          <w:marLeft w:val="0"/>
          <w:marRight w:val="0"/>
          <w:marTop w:val="0"/>
          <w:marBottom w:val="0"/>
          <w:divBdr>
            <w:top w:val="none" w:sz="0" w:space="0" w:color="auto"/>
            <w:left w:val="none" w:sz="0" w:space="0" w:color="auto"/>
            <w:bottom w:val="none" w:sz="0" w:space="0" w:color="auto"/>
            <w:right w:val="none" w:sz="0" w:space="0" w:color="auto"/>
          </w:divBdr>
        </w:div>
      </w:divsChild>
    </w:div>
    <w:div w:id="1100376837">
      <w:bodyDiv w:val="1"/>
      <w:marLeft w:val="0"/>
      <w:marRight w:val="0"/>
      <w:marTop w:val="0"/>
      <w:marBottom w:val="0"/>
      <w:divBdr>
        <w:top w:val="none" w:sz="0" w:space="0" w:color="auto"/>
        <w:left w:val="none" w:sz="0" w:space="0" w:color="auto"/>
        <w:bottom w:val="none" w:sz="0" w:space="0" w:color="auto"/>
        <w:right w:val="none" w:sz="0" w:space="0" w:color="auto"/>
      </w:divBdr>
      <w:divsChild>
        <w:div w:id="68313875">
          <w:marLeft w:val="0"/>
          <w:marRight w:val="0"/>
          <w:marTop w:val="0"/>
          <w:marBottom w:val="0"/>
          <w:divBdr>
            <w:top w:val="none" w:sz="0" w:space="0" w:color="auto"/>
            <w:left w:val="none" w:sz="0" w:space="0" w:color="auto"/>
            <w:bottom w:val="none" w:sz="0" w:space="0" w:color="auto"/>
            <w:right w:val="none" w:sz="0" w:space="0" w:color="auto"/>
          </w:divBdr>
        </w:div>
        <w:div w:id="148450250">
          <w:marLeft w:val="0"/>
          <w:marRight w:val="0"/>
          <w:marTop w:val="0"/>
          <w:marBottom w:val="0"/>
          <w:divBdr>
            <w:top w:val="none" w:sz="0" w:space="0" w:color="auto"/>
            <w:left w:val="none" w:sz="0" w:space="0" w:color="auto"/>
            <w:bottom w:val="none" w:sz="0" w:space="0" w:color="auto"/>
            <w:right w:val="none" w:sz="0" w:space="0" w:color="auto"/>
          </w:divBdr>
        </w:div>
        <w:div w:id="180752252">
          <w:marLeft w:val="0"/>
          <w:marRight w:val="0"/>
          <w:marTop w:val="0"/>
          <w:marBottom w:val="0"/>
          <w:divBdr>
            <w:top w:val="none" w:sz="0" w:space="0" w:color="auto"/>
            <w:left w:val="none" w:sz="0" w:space="0" w:color="auto"/>
            <w:bottom w:val="none" w:sz="0" w:space="0" w:color="auto"/>
            <w:right w:val="none" w:sz="0" w:space="0" w:color="auto"/>
          </w:divBdr>
        </w:div>
        <w:div w:id="206532791">
          <w:marLeft w:val="0"/>
          <w:marRight w:val="0"/>
          <w:marTop w:val="0"/>
          <w:marBottom w:val="0"/>
          <w:divBdr>
            <w:top w:val="none" w:sz="0" w:space="0" w:color="auto"/>
            <w:left w:val="none" w:sz="0" w:space="0" w:color="auto"/>
            <w:bottom w:val="none" w:sz="0" w:space="0" w:color="auto"/>
            <w:right w:val="none" w:sz="0" w:space="0" w:color="auto"/>
          </w:divBdr>
        </w:div>
        <w:div w:id="380902669">
          <w:marLeft w:val="0"/>
          <w:marRight w:val="0"/>
          <w:marTop w:val="0"/>
          <w:marBottom w:val="0"/>
          <w:divBdr>
            <w:top w:val="none" w:sz="0" w:space="0" w:color="auto"/>
            <w:left w:val="none" w:sz="0" w:space="0" w:color="auto"/>
            <w:bottom w:val="none" w:sz="0" w:space="0" w:color="auto"/>
            <w:right w:val="none" w:sz="0" w:space="0" w:color="auto"/>
          </w:divBdr>
        </w:div>
        <w:div w:id="445932517">
          <w:marLeft w:val="0"/>
          <w:marRight w:val="0"/>
          <w:marTop w:val="0"/>
          <w:marBottom w:val="0"/>
          <w:divBdr>
            <w:top w:val="none" w:sz="0" w:space="0" w:color="auto"/>
            <w:left w:val="none" w:sz="0" w:space="0" w:color="auto"/>
            <w:bottom w:val="none" w:sz="0" w:space="0" w:color="auto"/>
            <w:right w:val="none" w:sz="0" w:space="0" w:color="auto"/>
          </w:divBdr>
        </w:div>
        <w:div w:id="1128821716">
          <w:marLeft w:val="0"/>
          <w:marRight w:val="0"/>
          <w:marTop w:val="0"/>
          <w:marBottom w:val="0"/>
          <w:divBdr>
            <w:top w:val="none" w:sz="0" w:space="0" w:color="auto"/>
            <w:left w:val="none" w:sz="0" w:space="0" w:color="auto"/>
            <w:bottom w:val="none" w:sz="0" w:space="0" w:color="auto"/>
            <w:right w:val="none" w:sz="0" w:space="0" w:color="auto"/>
          </w:divBdr>
        </w:div>
        <w:div w:id="1694498883">
          <w:marLeft w:val="0"/>
          <w:marRight w:val="0"/>
          <w:marTop w:val="0"/>
          <w:marBottom w:val="0"/>
          <w:divBdr>
            <w:top w:val="none" w:sz="0" w:space="0" w:color="auto"/>
            <w:left w:val="none" w:sz="0" w:space="0" w:color="auto"/>
            <w:bottom w:val="none" w:sz="0" w:space="0" w:color="auto"/>
            <w:right w:val="none" w:sz="0" w:space="0" w:color="auto"/>
          </w:divBdr>
        </w:div>
        <w:div w:id="1709838621">
          <w:marLeft w:val="0"/>
          <w:marRight w:val="0"/>
          <w:marTop w:val="0"/>
          <w:marBottom w:val="0"/>
          <w:divBdr>
            <w:top w:val="none" w:sz="0" w:space="0" w:color="auto"/>
            <w:left w:val="none" w:sz="0" w:space="0" w:color="auto"/>
            <w:bottom w:val="none" w:sz="0" w:space="0" w:color="auto"/>
            <w:right w:val="none" w:sz="0" w:space="0" w:color="auto"/>
          </w:divBdr>
        </w:div>
        <w:div w:id="1995183071">
          <w:marLeft w:val="0"/>
          <w:marRight w:val="0"/>
          <w:marTop w:val="0"/>
          <w:marBottom w:val="0"/>
          <w:divBdr>
            <w:top w:val="none" w:sz="0" w:space="0" w:color="auto"/>
            <w:left w:val="none" w:sz="0" w:space="0" w:color="auto"/>
            <w:bottom w:val="none" w:sz="0" w:space="0" w:color="auto"/>
            <w:right w:val="none" w:sz="0" w:space="0" w:color="auto"/>
          </w:divBdr>
        </w:div>
      </w:divsChild>
    </w:div>
    <w:div w:id="1107508568">
      <w:bodyDiv w:val="1"/>
      <w:marLeft w:val="0"/>
      <w:marRight w:val="0"/>
      <w:marTop w:val="0"/>
      <w:marBottom w:val="0"/>
      <w:divBdr>
        <w:top w:val="none" w:sz="0" w:space="0" w:color="auto"/>
        <w:left w:val="none" w:sz="0" w:space="0" w:color="auto"/>
        <w:bottom w:val="none" w:sz="0" w:space="0" w:color="auto"/>
        <w:right w:val="none" w:sz="0" w:space="0" w:color="auto"/>
      </w:divBdr>
    </w:div>
    <w:div w:id="1109350014">
      <w:bodyDiv w:val="1"/>
      <w:marLeft w:val="0"/>
      <w:marRight w:val="0"/>
      <w:marTop w:val="0"/>
      <w:marBottom w:val="0"/>
      <w:divBdr>
        <w:top w:val="none" w:sz="0" w:space="0" w:color="auto"/>
        <w:left w:val="none" w:sz="0" w:space="0" w:color="auto"/>
        <w:bottom w:val="none" w:sz="0" w:space="0" w:color="auto"/>
        <w:right w:val="none" w:sz="0" w:space="0" w:color="auto"/>
      </w:divBdr>
    </w:div>
    <w:div w:id="1110004056">
      <w:bodyDiv w:val="1"/>
      <w:marLeft w:val="0"/>
      <w:marRight w:val="0"/>
      <w:marTop w:val="0"/>
      <w:marBottom w:val="0"/>
      <w:divBdr>
        <w:top w:val="none" w:sz="0" w:space="0" w:color="auto"/>
        <w:left w:val="none" w:sz="0" w:space="0" w:color="auto"/>
        <w:bottom w:val="none" w:sz="0" w:space="0" w:color="auto"/>
        <w:right w:val="none" w:sz="0" w:space="0" w:color="auto"/>
      </w:divBdr>
      <w:divsChild>
        <w:div w:id="101608988">
          <w:marLeft w:val="0"/>
          <w:marRight w:val="0"/>
          <w:marTop w:val="0"/>
          <w:marBottom w:val="0"/>
          <w:divBdr>
            <w:top w:val="none" w:sz="0" w:space="0" w:color="auto"/>
            <w:left w:val="none" w:sz="0" w:space="0" w:color="auto"/>
            <w:bottom w:val="none" w:sz="0" w:space="0" w:color="auto"/>
            <w:right w:val="none" w:sz="0" w:space="0" w:color="auto"/>
          </w:divBdr>
        </w:div>
        <w:div w:id="371346501">
          <w:marLeft w:val="0"/>
          <w:marRight w:val="0"/>
          <w:marTop w:val="0"/>
          <w:marBottom w:val="0"/>
          <w:divBdr>
            <w:top w:val="none" w:sz="0" w:space="0" w:color="auto"/>
            <w:left w:val="none" w:sz="0" w:space="0" w:color="auto"/>
            <w:bottom w:val="none" w:sz="0" w:space="0" w:color="auto"/>
            <w:right w:val="none" w:sz="0" w:space="0" w:color="auto"/>
          </w:divBdr>
        </w:div>
        <w:div w:id="430201250">
          <w:marLeft w:val="0"/>
          <w:marRight w:val="0"/>
          <w:marTop w:val="0"/>
          <w:marBottom w:val="0"/>
          <w:divBdr>
            <w:top w:val="none" w:sz="0" w:space="0" w:color="auto"/>
            <w:left w:val="none" w:sz="0" w:space="0" w:color="auto"/>
            <w:bottom w:val="none" w:sz="0" w:space="0" w:color="auto"/>
            <w:right w:val="none" w:sz="0" w:space="0" w:color="auto"/>
          </w:divBdr>
        </w:div>
        <w:div w:id="880361547">
          <w:marLeft w:val="0"/>
          <w:marRight w:val="0"/>
          <w:marTop w:val="0"/>
          <w:marBottom w:val="0"/>
          <w:divBdr>
            <w:top w:val="none" w:sz="0" w:space="0" w:color="auto"/>
            <w:left w:val="none" w:sz="0" w:space="0" w:color="auto"/>
            <w:bottom w:val="none" w:sz="0" w:space="0" w:color="auto"/>
            <w:right w:val="none" w:sz="0" w:space="0" w:color="auto"/>
          </w:divBdr>
        </w:div>
      </w:divsChild>
    </w:div>
    <w:div w:id="1111708129">
      <w:bodyDiv w:val="1"/>
      <w:marLeft w:val="0"/>
      <w:marRight w:val="0"/>
      <w:marTop w:val="0"/>
      <w:marBottom w:val="0"/>
      <w:divBdr>
        <w:top w:val="none" w:sz="0" w:space="0" w:color="auto"/>
        <w:left w:val="none" w:sz="0" w:space="0" w:color="auto"/>
        <w:bottom w:val="none" w:sz="0" w:space="0" w:color="auto"/>
        <w:right w:val="none" w:sz="0" w:space="0" w:color="auto"/>
      </w:divBdr>
      <w:divsChild>
        <w:div w:id="286160466">
          <w:marLeft w:val="0"/>
          <w:marRight w:val="0"/>
          <w:marTop w:val="0"/>
          <w:marBottom w:val="0"/>
          <w:divBdr>
            <w:top w:val="none" w:sz="0" w:space="0" w:color="auto"/>
            <w:left w:val="none" w:sz="0" w:space="0" w:color="auto"/>
            <w:bottom w:val="none" w:sz="0" w:space="0" w:color="auto"/>
            <w:right w:val="none" w:sz="0" w:space="0" w:color="auto"/>
          </w:divBdr>
        </w:div>
      </w:divsChild>
    </w:div>
    <w:div w:id="1114447904">
      <w:bodyDiv w:val="1"/>
      <w:marLeft w:val="0"/>
      <w:marRight w:val="0"/>
      <w:marTop w:val="0"/>
      <w:marBottom w:val="0"/>
      <w:divBdr>
        <w:top w:val="none" w:sz="0" w:space="0" w:color="auto"/>
        <w:left w:val="none" w:sz="0" w:space="0" w:color="auto"/>
        <w:bottom w:val="none" w:sz="0" w:space="0" w:color="auto"/>
        <w:right w:val="none" w:sz="0" w:space="0" w:color="auto"/>
      </w:divBdr>
      <w:divsChild>
        <w:div w:id="381759131">
          <w:marLeft w:val="0"/>
          <w:marRight w:val="0"/>
          <w:marTop w:val="100"/>
          <w:marBottom w:val="260"/>
          <w:divBdr>
            <w:top w:val="none" w:sz="0" w:space="0" w:color="auto"/>
            <w:left w:val="none" w:sz="0" w:space="0" w:color="auto"/>
            <w:bottom w:val="none" w:sz="0" w:space="0" w:color="auto"/>
            <w:right w:val="none" w:sz="0" w:space="0" w:color="auto"/>
          </w:divBdr>
        </w:div>
        <w:div w:id="1508867135">
          <w:marLeft w:val="0"/>
          <w:marRight w:val="0"/>
          <w:marTop w:val="100"/>
          <w:marBottom w:val="260"/>
          <w:divBdr>
            <w:top w:val="none" w:sz="0" w:space="0" w:color="auto"/>
            <w:left w:val="none" w:sz="0" w:space="0" w:color="auto"/>
            <w:bottom w:val="none" w:sz="0" w:space="0" w:color="auto"/>
            <w:right w:val="none" w:sz="0" w:space="0" w:color="auto"/>
          </w:divBdr>
        </w:div>
        <w:div w:id="1522892123">
          <w:marLeft w:val="0"/>
          <w:marRight w:val="0"/>
          <w:marTop w:val="100"/>
          <w:marBottom w:val="320"/>
          <w:divBdr>
            <w:top w:val="none" w:sz="0" w:space="0" w:color="auto"/>
            <w:left w:val="none" w:sz="0" w:space="0" w:color="auto"/>
            <w:bottom w:val="none" w:sz="0" w:space="0" w:color="auto"/>
            <w:right w:val="none" w:sz="0" w:space="0" w:color="auto"/>
          </w:divBdr>
        </w:div>
      </w:divsChild>
    </w:div>
    <w:div w:id="1118064749">
      <w:bodyDiv w:val="1"/>
      <w:marLeft w:val="0"/>
      <w:marRight w:val="0"/>
      <w:marTop w:val="0"/>
      <w:marBottom w:val="0"/>
      <w:divBdr>
        <w:top w:val="none" w:sz="0" w:space="0" w:color="auto"/>
        <w:left w:val="none" w:sz="0" w:space="0" w:color="auto"/>
        <w:bottom w:val="none" w:sz="0" w:space="0" w:color="auto"/>
        <w:right w:val="none" w:sz="0" w:space="0" w:color="auto"/>
      </w:divBdr>
      <w:divsChild>
        <w:div w:id="2712836">
          <w:marLeft w:val="0"/>
          <w:marRight w:val="0"/>
          <w:marTop w:val="0"/>
          <w:marBottom w:val="0"/>
          <w:divBdr>
            <w:top w:val="none" w:sz="0" w:space="0" w:color="auto"/>
            <w:left w:val="none" w:sz="0" w:space="0" w:color="auto"/>
            <w:bottom w:val="none" w:sz="0" w:space="0" w:color="auto"/>
            <w:right w:val="none" w:sz="0" w:space="0" w:color="auto"/>
          </w:divBdr>
        </w:div>
        <w:div w:id="74472060">
          <w:marLeft w:val="0"/>
          <w:marRight w:val="0"/>
          <w:marTop w:val="0"/>
          <w:marBottom w:val="0"/>
          <w:divBdr>
            <w:top w:val="none" w:sz="0" w:space="0" w:color="auto"/>
            <w:left w:val="none" w:sz="0" w:space="0" w:color="auto"/>
            <w:bottom w:val="none" w:sz="0" w:space="0" w:color="auto"/>
            <w:right w:val="none" w:sz="0" w:space="0" w:color="auto"/>
          </w:divBdr>
        </w:div>
        <w:div w:id="81419016">
          <w:marLeft w:val="0"/>
          <w:marRight w:val="0"/>
          <w:marTop w:val="0"/>
          <w:marBottom w:val="0"/>
          <w:divBdr>
            <w:top w:val="none" w:sz="0" w:space="0" w:color="auto"/>
            <w:left w:val="none" w:sz="0" w:space="0" w:color="auto"/>
            <w:bottom w:val="none" w:sz="0" w:space="0" w:color="auto"/>
            <w:right w:val="none" w:sz="0" w:space="0" w:color="auto"/>
          </w:divBdr>
        </w:div>
        <w:div w:id="113210474">
          <w:marLeft w:val="0"/>
          <w:marRight w:val="0"/>
          <w:marTop w:val="0"/>
          <w:marBottom w:val="0"/>
          <w:divBdr>
            <w:top w:val="none" w:sz="0" w:space="0" w:color="auto"/>
            <w:left w:val="none" w:sz="0" w:space="0" w:color="auto"/>
            <w:bottom w:val="none" w:sz="0" w:space="0" w:color="auto"/>
            <w:right w:val="none" w:sz="0" w:space="0" w:color="auto"/>
          </w:divBdr>
        </w:div>
        <w:div w:id="145708014">
          <w:marLeft w:val="0"/>
          <w:marRight w:val="0"/>
          <w:marTop w:val="0"/>
          <w:marBottom w:val="0"/>
          <w:divBdr>
            <w:top w:val="none" w:sz="0" w:space="0" w:color="auto"/>
            <w:left w:val="none" w:sz="0" w:space="0" w:color="auto"/>
            <w:bottom w:val="none" w:sz="0" w:space="0" w:color="auto"/>
            <w:right w:val="none" w:sz="0" w:space="0" w:color="auto"/>
          </w:divBdr>
        </w:div>
        <w:div w:id="199053872">
          <w:marLeft w:val="0"/>
          <w:marRight w:val="0"/>
          <w:marTop w:val="0"/>
          <w:marBottom w:val="0"/>
          <w:divBdr>
            <w:top w:val="none" w:sz="0" w:space="0" w:color="auto"/>
            <w:left w:val="none" w:sz="0" w:space="0" w:color="auto"/>
            <w:bottom w:val="none" w:sz="0" w:space="0" w:color="auto"/>
            <w:right w:val="none" w:sz="0" w:space="0" w:color="auto"/>
          </w:divBdr>
        </w:div>
        <w:div w:id="227541084">
          <w:marLeft w:val="0"/>
          <w:marRight w:val="0"/>
          <w:marTop w:val="0"/>
          <w:marBottom w:val="0"/>
          <w:divBdr>
            <w:top w:val="none" w:sz="0" w:space="0" w:color="auto"/>
            <w:left w:val="none" w:sz="0" w:space="0" w:color="auto"/>
            <w:bottom w:val="none" w:sz="0" w:space="0" w:color="auto"/>
            <w:right w:val="none" w:sz="0" w:space="0" w:color="auto"/>
          </w:divBdr>
        </w:div>
        <w:div w:id="263732068">
          <w:marLeft w:val="0"/>
          <w:marRight w:val="0"/>
          <w:marTop w:val="0"/>
          <w:marBottom w:val="0"/>
          <w:divBdr>
            <w:top w:val="none" w:sz="0" w:space="0" w:color="auto"/>
            <w:left w:val="none" w:sz="0" w:space="0" w:color="auto"/>
            <w:bottom w:val="none" w:sz="0" w:space="0" w:color="auto"/>
            <w:right w:val="none" w:sz="0" w:space="0" w:color="auto"/>
          </w:divBdr>
        </w:div>
        <w:div w:id="303462469">
          <w:marLeft w:val="0"/>
          <w:marRight w:val="0"/>
          <w:marTop w:val="0"/>
          <w:marBottom w:val="0"/>
          <w:divBdr>
            <w:top w:val="none" w:sz="0" w:space="0" w:color="auto"/>
            <w:left w:val="none" w:sz="0" w:space="0" w:color="auto"/>
            <w:bottom w:val="none" w:sz="0" w:space="0" w:color="auto"/>
            <w:right w:val="none" w:sz="0" w:space="0" w:color="auto"/>
          </w:divBdr>
        </w:div>
        <w:div w:id="304940413">
          <w:marLeft w:val="0"/>
          <w:marRight w:val="0"/>
          <w:marTop w:val="0"/>
          <w:marBottom w:val="0"/>
          <w:divBdr>
            <w:top w:val="none" w:sz="0" w:space="0" w:color="auto"/>
            <w:left w:val="none" w:sz="0" w:space="0" w:color="auto"/>
            <w:bottom w:val="none" w:sz="0" w:space="0" w:color="auto"/>
            <w:right w:val="none" w:sz="0" w:space="0" w:color="auto"/>
          </w:divBdr>
        </w:div>
        <w:div w:id="449056431">
          <w:marLeft w:val="0"/>
          <w:marRight w:val="0"/>
          <w:marTop w:val="0"/>
          <w:marBottom w:val="0"/>
          <w:divBdr>
            <w:top w:val="none" w:sz="0" w:space="0" w:color="auto"/>
            <w:left w:val="none" w:sz="0" w:space="0" w:color="auto"/>
            <w:bottom w:val="none" w:sz="0" w:space="0" w:color="auto"/>
            <w:right w:val="none" w:sz="0" w:space="0" w:color="auto"/>
          </w:divBdr>
        </w:div>
        <w:div w:id="524560068">
          <w:marLeft w:val="0"/>
          <w:marRight w:val="0"/>
          <w:marTop w:val="0"/>
          <w:marBottom w:val="0"/>
          <w:divBdr>
            <w:top w:val="none" w:sz="0" w:space="0" w:color="auto"/>
            <w:left w:val="none" w:sz="0" w:space="0" w:color="auto"/>
            <w:bottom w:val="none" w:sz="0" w:space="0" w:color="auto"/>
            <w:right w:val="none" w:sz="0" w:space="0" w:color="auto"/>
          </w:divBdr>
        </w:div>
        <w:div w:id="566304703">
          <w:marLeft w:val="0"/>
          <w:marRight w:val="0"/>
          <w:marTop w:val="0"/>
          <w:marBottom w:val="0"/>
          <w:divBdr>
            <w:top w:val="none" w:sz="0" w:space="0" w:color="auto"/>
            <w:left w:val="none" w:sz="0" w:space="0" w:color="auto"/>
            <w:bottom w:val="none" w:sz="0" w:space="0" w:color="auto"/>
            <w:right w:val="none" w:sz="0" w:space="0" w:color="auto"/>
          </w:divBdr>
        </w:div>
        <w:div w:id="581260483">
          <w:marLeft w:val="0"/>
          <w:marRight w:val="0"/>
          <w:marTop w:val="0"/>
          <w:marBottom w:val="0"/>
          <w:divBdr>
            <w:top w:val="none" w:sz="0" w:space="0" w:color="auto"/>
            <w:left w:val="none" w:sz="0" w:space="0" w:color="auto"/>
            <w:bottom w:val="none" w:sz="0" w:space="0" w:color="auto"/>
            <w:right w:val="none" w:sz="0" w:space="0" w:color="auto"/>
          </w:divBdr>
        </w:div>
        <w:div w:id="620234755">
          <w:marLeft w:val="0"/>
          <w:marRight w:val="0"/>
          <w:marTop w:val="0"/>
          <w:marBottom w:val="0"/>
          <w:divBdr>
            <w:top w:val="none" w:sz="0" w:space="0" w:color="auto"/>
            <w:left w:val="none" w:sz="0" w:space="0" w:color="auto"/>
            <w:bottom w:val="none" w:sz="0" w:space="0" w:color="auto"/>
            <w:right w:val="none" w:sz="0" w:space="0" w:color="auto"/>
          </w:divBdr>
        </w:div>
        <w:div w:id="638727402">
          <w:marLeft w:val="0"/>
          <w:marRight w:val="0"/>
          <w:marTop w:val="0"/>
          <w:marBottom w:val="0"/>
          <w:divBdr>
            <w:top w:val="none" w:sz="0" w:space="0" w:color="auto"/>
            <w:left w:val="none" w:sz="0" w:space="0" w:color="auto"/>
            <w:bottom w:val="none" w:sz="0" w:space="0" w:color="auto"/>
            <w:right w:val="none" w:sz="0" w:space="0" w:color="auto"/>
          </w:divBdr>
        </w:div>
        <w:div w:id="642001324">
          <w:marLeft w:val="0"/>
          <w:marRight w:val="0"/>
          <w:marTop w:val="0"/>
          <w:marBottom w:val="0"/>
          <w:divBdr>
            <w:top w:val="none" w:sz="0" w:space="0" w:color="auto"/>
            <w:left w:val="none" w:sz="0" w:space="0" w:color="auto"/>
            <w:bottom w:val="none" w:sz="0" w:space="0" w:color="auto"/>
            <w:right w:val="none" w:sz="0" w:space="0" w:color="auto"/>
          </w:divBdr>
        </w:div>
        <w:div w:id="821316877">
          <w:marLeft w:val="0"/>
          <w:marRight w:val="0"/>
          <w:marTop w:val="0"/>
          <w:marBottom w:val="0"/>
          <w:divBdr>
            <w:top w:val="none" w:sz="0" w:space="0" w:color="auto"/>
            <w:left w:val="none" w:sz="0" w:space="0" w:color="auto"/>
            <w:bottom w:val="none" w:sz="0" w:space="0" w:color="auto"/>
            <w:right w:val="none" w:sz="0" w:space="0" w:color="auto"/>
          </w:divBdr>
        </w:div>
        <w:div w:id="831990239">
          <w:marLeft w:val="0"/>
          <w:marRight w:val="0"/>
          <w:marTop w:val="0"/>
          <w:marBottom w:val="0"/>
          <w:divBdr>
            <w:top w:val="none" w:sz="0" w:space="0" w:color="auto"/>
            <w:left w:val="none" w:sz="0" w:space="0" w:color="auto"/>
            <w:bottom w:val="none" w:sz="0" w:space="0" w:color="auto"/>
            <w:right w:val="none" w:sz="0" w:space="0" w:color="auto"/>
          </w:divBdr>
        </w:div>
        <w:div w:id="833839591">
          <w:marLeft w:val="0"/>
          <w:marRight w:val="0"/>
          <w:marTop w:val="0"/>
          <w:marBottom w:val="0"/>
          <w:divBdr>
            <w:top w:val="none" w:sz="0" w:space="0" w:color="auto"/>
            <w:left w:val="none" w:sz="0" w:space="0" w:color="auto"/>
            <w:bottom w:val="none" w:sz="0" w:space="0" w:color="auto"/>
            <w:right w:val="none" w:sz="0" w:space="0" w:color="auto"/>
          </w:divBdr>
        </w:div>
        <w:div w:id="836575899">
          <w:marLeft w:val="0"/>
          <w:marRight w:val="0"/>
          <w:marTop w:val="0"/>
          <w:marBottom w:val="0"/>
          <w:divBdr>
            <w:top w:val="none" w:sz="0" w:space="0" w:color="auto"/>
            <w:left w:val="none" w:sz="0" w:space="0" w:color="auto"/>
            <w:bottom w:val="none" w:sz="0" w:space="0" w:color="auto"/>
            <w:right w:val="none" w:sz="0" w:space="0" w:color="auto"/>
          </w:divBdr>
        </w:div>
        <w:div w:id="934557395">
          <w:marLeft w:val="0"/>
          <w:marRight w:val="0"/>
          <w:marTop w:val="0"/>
          <w:marBottom w:val="0"/>
          <w:divBdr>
            <w:top w:val="none" w:sz="0" w:space="0" w:color="auto"/>
            <w:left w:val="none" w:sz="0" w:space="0" w:color="auto"/>
            <w:bottom w:val="none" w:sz="0" w:space="0" w:color="auto"/>
            <w:right w:val="none" w:sz="0" w:space="0" w:color="auto"/>
          </w:divBdr>
        </w:div>
        <w:div w:id="985160424">
          <w:marLeft w:val="0"/>
          <w:marRight w:val="0"/>
          <w:marTop w:val="0"/>
          <w:marBottom w:val="0"/>
          <w:divBdr>
            <w:top w:val="none" w:sz="0" w:space="0" w:color="auto"/>
            <w:left w:val="none" w:sz="0" w:space="0" w:color="auto"/>
            <w:bottom w:val="none" w:sz="0" w:space="0" w:color="auto"/>
            <w:right w:val="none" w:sz="0" w:space="0" w:color="auto"/>
          </w:divBdr>
        </w:div>
        <w:div w:id="1078283494">
          <w:marLeft w:val="0"/>
          <w:marRight w:val="0"/>
          <w:marTop w:val="0"/>
          <w:marBottom w:val="0"/>
          <w:divBdr>
            <w:top w:val="none" w:sz="0" w:space="0" w:color="auto"/>
            <w:left w:val="none" w:sz="0" w:space="0" w:color="auto"/>
            <w:bottom w:val="none" w:sz="0" w:space="0" w:color="auto"/>
            <w:right w:val="none" w:sz="0" w:space="0" w:color="auto"/>
          </w:divBdr>
        </w:div>
        <w:div w:id="1148283345">
          <w:marLeft w:val="0"/>
          <w:marRight w:val="0"/>
          <w:marTop w:val="0"/>
          <w:marBottom w:val="0"/>
          <w:divBdr>
            <w:top w:val="none" w:sz="0" w:space="0" w:color="auto"/>
            <w:left w:val="none" w:sz="0" w:space="0" w:color="auto"/>
            <w:bottom w:val="none" w:sz="0" w:space="0" w:color="auto"/>
            <w:right w:val="none" w:sz="0" w:space="0" w:color="auto"/>
          </w:divBdr>
        </w:div>
        <w:div w:id="1223905784">
          <w:marLeft w:val="0"/>
          <w:marRight w:val="0"/>
          <w:marTop w:val="0"/>
          <w:marBottom w:val="0"/>
          <w:divBdr>
            <w:top w:val="none" w:sz="0" w:space="0" w:color="auto"/>
            <w:left w:val="none" w:sz="0" w:space="0" w:color="auto"/>
            <w:bottom w:val="none" w:sz="0" w:space="0" w:color="auto"/>
            <w:right w:val="none" w:sz="0" w:space="0" w:color="auto"/>
          </w:divBdr>
        </w:div>
        <w:div w:id="1228803109">
          <w:marLeft w:val="0"/>
          <w:marRight w:val="0"/>
          <w:marTop w:val="0"/>
          <w:marBottom w:val="0"/>
          <w:divBdr>
            <w:top w:val="none" w:sz="0" w:space="0" w:color="auto"/>
            <w:left w:val="none" w:sz="0" w:space="0" w:color="auto"/>
            <w:bottom w:val="none" w:sz="0" w:space="0" w:color="auto"/>
            <w:right w:val="none" w:sz="0" w:space="0" w:color="auto"/>
          </w:divBdr>
        </w:div>
        <w:div w:id="1390693643">
          <w:marLeft w:val="0"/>
          <w:marRight w:val="0"/>
          <w:marTop w:val="0"/>
          <w:marBottom w:val="0"/>
          <w:divBdr>
            <w:top w:val="none" w:sz="0" w:space="0" w:color="auto"/>
            <w:left w:val="none" w:sz="0" w:space="0" w:color="auto"/>
            <w:bottom w:val="none" w:sz="0" w:space="0" w:color="auto"/>
            <w:right w:val="none" w:sz="0" w:space="0" w:color="auto"/>
          </w:divBdr>
        </w:div>
        <w:div w:id="1429618443">
          <w:marLeft w:val="0"/>
          <w:marRight w:val="0"/>
          <w:marTop w:val="0"/>
          <w:marBottom w:val="0"/>
          <w:divBdr>
            <w:top w:val="none" w:sz="0" w:space="0" w:color="auto"/>
            <w:left w:val="none" w:sz="0" w:space="0" w:color="auto"/>
            <w:bottom w:val="none" w:sz="0" w:space="0" w:color="auto"/>
            <w:right w:val="none" w:sz="0" w:space="0" w:color="auto"/>
          </w:divBdr>
        </w:div>
        <w:div w:id="1532105623">
          <w:marLeft w:val="0"/>
          <w:marRight w:val="0"/>
          <w:marTop w:val="0"/>
          <w:marBottom w:val="0"/>
          <w:divBdr>
            <w:top w:val="none" w:sz="0" w:space="0" w:color="auto"/>
            <w:left w:val="none" w:sz="0" w:space="0" w:color="auto"/>
            <w:bottom w:val="none" w:sz="0" w:space="0" w:color="auto"/>
            <w:right w:val="none" w:sz="0" w:space="0" w:color="auto"/>
          </w:divBdr>
        </w:div>
        <w:div w:id="1609314866">
          <w:marLeft w:val="0"/>
          <w:marRight w:val="0"/>
          <w:marTop w:val="0"/>
          <w:marBottom w:val="0"/>
          <w:divBdr>
            <w:top w:val="none" w:sz="0" w:space="0" w:color="auto"/>
            <w:left w:val="none" w:sz="0" w:space="0" w:color="auto"/>
            <w:bottom w:val="none" w:sz="0" w:space="0" w:color="auto"/>
            <w:right w:val="none" w:sz="0" w:space="0" w:color="auto"/>
          </w:divBdr>
        </w:div>
        <w:div w:id="1695304706">
          <w:marLeft w:val="0"/>
          <w:marRight w:val="0"/>
          <w:marTop w:val="0"/>
          <w:marBottom w:val="0"/>
          <w:divBdr>
            <w:top w:val="none" w:sz="0" w:space="0" w:color="auto"/>
            <w:left w:val="none" w:sz="0" w:space="0" w:color="auto"/>
            <w:bottom w:val="none" w:sz="0" w:space="0" w:color="auto"/>
            <w:right w:val="none" w:sz="0" w:space="0" w:color="auto"/>
          </w:divBdr>
        </w:div>
        <w:div w:id="1749381033">
          <w:marLeft w:val="0"/>
          <w:marRight w:val="0"/>
          <w:marTop w:val="0"/>
          <w:marBottom w:val="0"/>
          <w:divBdr>
            <w:top w:val="none" w:sz="0" w:space="0" w:color="auto"/>
            <w:left w:val="none" w:sz="0" w:space="0" w:color="auto"/>
            <w:bottom w:val="none" w:sz="0" w:space="0" w:color="auto"/>
            <w:right w:val="none" w:sz="0" w:space="0" w:color="auto"/>
          </w:divBdr>
        </w:div>
        <w:div w:id="1751387711">
          <w:marLeft w:val="0"/>
          <w:marRight w:val="0"/>
          <w:marTop w:val="0"/>
          <w:marBottom w:val="0"/>
          <w:divBdr>
            <w:top w:val="none" w:sz="0" w:space="0" w:color="auto"/>
            <w:left w:val="none" w:sz="0" w:space="0" w:color="auto"/>
            <w:bottom w:val="none" w:sz="0" w:space="0" w:color="auto"/>
            <w:right w:val="none" w:sz="0" w:space="0" w:color="auto"/>
          </w:divBdr>
        </w:div>
        <w:div w:id="1767533879">
          <w:marLeft w:val="0"/>
          <w:marRight w:val="0"/>
          <w:marTop w:val="0"/>
          <w:marBottom w:val="0"/>
          <w:divBdr>
            <w:top w:val="none" w:sz="0" w:space="0" w:color="auto"/>
            <w:left w:val="none" w:sz="0" w:space="0" w:color="auto"/>
            <w:bottom w:val="none" w:sz="0" w:space="0" w:color="auto"/>
            <w:right w:val="none" w:sz="0" w:space="0" w:color="auto"/>
          </w:divBdr>
        </w:div>
        <w:div w:id="1850827280">
          <w:marLeft w:val="0"/>
          <w:marRight w:val="0"/>
          <w:marTop w:val="0"/>
          <w:marBottom w:val="0"/>
          <w:divBdr>
            <w:top w:val="none" w:sz="0" w:space="0" w:color="auto"/>
            <w:left w:val="none" w:sz="0" w:space="0" w:color="auto"/>
            <w:bottom w:val="none" w:sz="0" w:space="0" w:color="auto"/>
            <w:right w:val="none" w:sz="0" w:space="0" w:color="auto"/>
          </w:divBdr>
        </w:div>
        <w:div w:id="1851791104">
          <w:marLeft w:val="0"/>
          <w:marRight w:val="0"/>
          <w:marTop w:val="0"/>
          <w:marBottom w:val="0"/>
          <w:divBdr>
            <w:top w:val="none" w:sz="0" w:space="0" w:color="auto"/>
            <w:left w:val="none" w:sz="0" w:space="0" w:color="auto"/>
            <w:bottom w:val="none" w:sz="0" w:space="0" w:color="auto"/>
            <w:right w:val="none" w:sz="0" w:space="0" w:color="auto"/>
          </w:divBdr>
        </w:div>
        <w:div w:id="1885285350">
          <w:marLeft w:val="0"/>
          <w:marRight w:val="0"/>
          <w:marTop w:val="0"/>
          <w:marBottom w:val="0"/>
          <w:divBdr>
            <w:top w:val="none" w:sz="0" w:space="0" w:color="auto"/>
            <w:left w:val="none" w:sz="0" w:space="0" w:color="auto"/>
            <w:bottom w:val="none" w:sz="0" w:space="0" w:color="auto"/>
            <w:right w:val="none" w:sz="0" w:space="0" w:color="auto"/>
          </w:divBdr>
        </w:div>
        <w:div w:id="1993630800">
          <w:marLeft w:val="0"/>
          <w:marRight w:val="0"/>
          <w:marTop w:val="0"/>
          <w:marBottom w:val="0"/>
          <w:divBdr>
            <w:top w:val="none" w:sz="0" w:space="0" w:color="auto"/>
            <w:left w:val="none" w:sz="0" w:space="0" w:color="auto"/>
            <w:bottom w:val="none" w:sz="0" w:space="0" w:color="auto"/>
            <w:right w:val="none" w:sz="0" w:space="0" w:color="auto"/>
          </w:divBdr>
        </w:div>
      </w:divsChild>
    </w:div>
    <w:div w:id="1118139826">
      <w:bodyDiv w:val="1"/>
      <w:marLeft w:val="0"/>
      <w:marRight w:val="0"/>
      <w:marTop w:val="0"/>
      <w:marBottom w:val="0"/>
      <w:divBdr>
        <w:top w:val="none" w:sz="0" w:space="0" w:color="auto"/>
        <w:left w:val="none" w:sz="0" w:space="0" w:color="auto"/>
        <w:bottom w:val="none" w:sz="0" w:space="0" w:color="auto"/>
        <w:right w:val="none" w:sz="0" w:space="0" w:color="auto"/>
      </w:divBdr>
    </w:div>
    <w:div w:id="1136528632">
      <w:bodyDiv w:val="1"/>
      <w:marLeft w:val="0"/>
      <w:marRight w:val="0"/>
      <w:marTop w:val="0"/>
      <w:marBottom w:val="0"/>
      <w:divBdr>
        <w:top w:val="none" w:sz="0" w:space="0" w:color="auto"/>
        <w:left w:val="none" w:sz="0" w:space="0" w:color="auto"/>
        <w:bottom w:val="none" w:sz="0" w:space="0" w:color="auto"/>
        <w:right w:val="none" w:sz="0" w:space="0" w:color="auto"/>
      </w:divBdr>
      <w:divsChild>
        <w:div w:id="57672563">
          <w:marLeft w:val="0"/>
          <w:marRight w:val="0"/>
          <w:marTop w:val="0"/>
          <w:marBottom w:val="0"/>
          <w:divBdr>
            <w:top w:val="none" w:sz="0" w:space="0" w:color="auto"/>
            <w:left w:val="none" w:sz="0" w:space="0" w:color="auto"/>
            <w:bottom w:val="none" w:sz="0" w:space="0" w:color="auto"/>
            <w:right w:val="none" w:sz="0" w:space="0" w:color="auto"/>
          </w:divBdr>
        </w:div>
        <w:div w:id="175003087">
          <w:marLeft w:val="0"/>
          <w:marRight w:val="0"/>
          <w:marTop w:val="0"/>
          <w:marBottom w:val="0"/>
          <w:divBdr>
            <w:top w:val="none" w:sz="0" w:space="0" w:color="auto"/>
            <w:left w:val="none" w:sz="0" w:space="0" w:color="auto"/>
            <w:bottom w:val="none" w:sz="0" w:space="0" w:color="auto"/>
            <w:right w:val="none" w:sz="0" w:space="0" w:color="auto"/>
          </w:divBdr>
        </w:div>
        <w:div w:id="366761212">
          <w:marLeft w:val="0"/>
          <w:marRight w:val="0"/>
          <w:marTop w:val="0"/>
          <w:marBottom w:val="0"/>
          <w:divBdr>
            <w:top w:val="none" w:sz="0" w:space="0" w:color="auto"/>
            <w:left w:val="none" w:sz="0" w:space="0" w:color="auto"/>
            <w:bottom w:val="none" w:sz="0" w:space="0" w:color="auto"/>
            <w:right w:val="none" w:sz="0" w:space="0" w:color="auto"/>
          </w:divBdr>
        </w:div>
        <w:div w:id="383723701">
          <w:marLeft w:val="0"/>
          <w:marRight w:val="0"/>
          <w:marTop w:val="0"/>
          <w:marBottom w:val="0"/>
          <w:divBdr>
            <w:top w:val="none" w:sz="0" w:space="0" w:color="auto"/>
            <w:left w:val="none" w:sz="0" w:space="0" w:color="auto"/>
            <w:bottom w:val="none" w:sz="0" w:space="0" w:color="auto"/>
            <w:right w:val="none" w:sz="0" w:space="0" w:color="auto"/>
          </w:divBdr>
        </w:div>
        <w:div w:id="474643906">
          <w:marLeft w:val="0"/>
          <w:marRight w:val="0"/>
          <w:marTop w:val="0"/>
          <w:marBottom w:val="0"/>
          <w:divBdr>
            <w:top w:val="none" w:sz="0" w:space="0" w:color="auto"/>
            <w:left w:val="none" w:sz="0" w:space="0" w:color="auto"/>
            <w:bottom w:val="none" w:sz="0" w:space="0" w:color="auto"/>
            <w:right w:val="none" w:sz="0" w:space="0" w:color="auto"/>
          </w:divBdr>
        </w:div>
        <w:div w:id="646058673">
          <w:marLeft w:val="0"/>
          <w:marRight w:val="0"/>
          <w:marTop w:val="0"/>
          <w:marBottom w:val="0"/>
          <w:divBdr>
            <w:top w:val="none" w:sz="0" w:space="0" w:color="auto"/>
            <w:left w:val="none" w:sz="0" w:space="0" w:color="auto"/>
            <w:bottom w:val="none" w:sz="0" w:space="0" w:color="auto"/>
            <w:right w:val="none" w:sz="0" w:space="0" w:color="auto"/>
          </w:divBdr>
        </w:div>
        <w:div w:id="793864888">
          <w:marLeft w:val="0"/>
          <w:marRight w:val="0"/>
          <w:marTop w:val="0"/>
          <w:marBottom w:val="0"/>
          <w:divBdr>
            <w:top w:val="none" w:sz="0" w:space="0" w:color="auto"/>
            <w:left w:val="none" w:sz="0" w:space="0" w:color="auto"/>
            <w:bottom w:val="none" w:sz="0" w:space="0" w:color="auto"/>
            <w:right w:val="none" w:sz="0" w:space="0" w:color="auto"/>
          </w:divBdr>
        </w:div>
        <w:div w:id="804200064">
          <w:marLeft w:val="0"/>
          <w:marRight w:val="0"/>
          <w:marTop w:val="0"/>
          <w:marBottom w:val="0"/>
          <w:divBdr>
            <w:top w:val="none" w:sz="0" w:space="0" w:color="auto"/>
            <w:left w:val="none" w:sz="0" w:space="0" w:color="auto"/>
            <w:bottom w:val="none" w:sz="0" w:space="0" w:color="auto"/>
            <w:right w:val="none" w:sz="0" w:space="0" w:color="auto"/>
          </w:divBdr>
        </w:div>
        <w:div w:id="973560883">
          <w:marLeft w:val="0"/>
          <w:marRight w:val="0"/>
          <w:marTop w:val="0"/>
          <w:marBottom w:val="0"/>
          <w:divBdr>
            <w:top w:val="none" w:sz="0" w:space="0" w:color="auto"/>
            <w:left w:val="none" w:sz="0" w:space="0" w:color="auto"/>
            <w:bottom w:val="none" w:sz="0" w:space="0" w:color="auto"/>
            <w:right w:val="none" w:sz="0" w:space="0" w:color="auto"/>
          </w:divBdr>
        </w:div>
        <w:div w:id="1206067420">
          <w:marLeft w:val="0"/>
          <w:marRight w:val="0"/>
          <w:marTop w:val="0"/>
          <w:marBottom w:val="0"/>
          <w:divBdr>
            <w:top w:val="none" w:sz="0" w:space="0" w:color="auto"/>
            <w:left w:val="none" w:sz="0" w:space="0" w:color="auto"/>
            <w:bottom w:val="none" w:sz="0" w:space="0" w:color="auto"/>
            <w:right w:val="none" w:sz="0" w:space="0" w:color="auto"/>
          </w:divBdr>
        </w:div>
        <w:div w:id="1223904284">
          <w:marLeft w:val="0"/>
          <w:marRight w:val="0"/>
          <w:marTop w:val="0"/>
          <w:marBottom w:val="0"/>
          <w:divBdr>
            <w:top w:val="none" w:sz="0" w:space="0" w:color="auto"/>
            <w:left w:val="none" w:sz="0" w:space="0" w:color="auto"/>
            <w:bottom w:val="none" w:sz="0" w:space="0" w:color="auto"/>
            <w:right w:val="none" w:sz="0" w:space="0" w:color="auto"/>
          </w:divBdr>
        </w:div>
        <w:div w:id="1264846362">
          <w:marLeft w:val="0"/>
          <w:marRight w:val="0"/>
          <w:marTop w:val="0"/>
          <w:marBottom w:val="0"/>
          <w:divBdr>
            <w:top w:val="none" w:sz="0" w:space="0" w:color="auto"/>
            <w:left w:val="none" w:sz="0" w:space="0" w:color="auto"/>
            <w:bottom w:val="none" w:sz="0" w:space="0" w:color="auto"/>
            <w:right w:val="none" w:sz="0" w:space="0" w:color="auto"/>
          </w:divBdr>
        </w:div>
        <w:div w:id="1628857763">
          <w:marLeft w:val="0"/>
          <w:marRight w:val="0"/>
          <w:marTop w:val="0"/>
          <w:marBottom w:val="0"/>
          <w:divBdr>
            <w:top w:val="none" w:sz="0" w:space="0" w:color="auto"/>
            <w:left w:val="none" w:sz="0" w:space="0" w:color="auto"/>
            <w:bottom w:val="none" w:sz="0" w:space="0" w:color="auto"/>
            <w:right w:val="none" w:sz="0" w:space="0" w:color="auto"/>
          </w:divBdr>
        </w:div>
        <w:div w:id="1894729051">
          <w:marLeft w:val="0"/>
          <w:marRight w:val="0"/>
          <w:marTop w:val="0"/>
          <w:marBottom w:val="0"/>
          <w:divBdr>
            <w:top w:val="none" w:sz="0" w:space="0" w:color="auto"/>
            <w:left w:val="none" w:sz="0" w:space="0" w:color="auto"/>
            <w:bottom w:val="none" w:sz="0" w:space="0" w:color="auto"/>
            <w:right w:val="none" w:sz="0" w:space="0" w:color="auto"/>
          </w:divBdr>
        </w:div>
        <w:div w:id="2070836240">
          <w:marLeft w:val="0"/>
          <w:marRight w:val="0"/>
          <w:marTop w:val="0"/>
          <w:marBottom w:val="0"/>
          <w:divBdr>
            <w:top w:val="none" w:sz="0" w:space="0" w:color="auto"/>
            <w:left w:val="none" w:sz="0" w:space="0" w:color="auto"/>
            <w:bottom w:val="none" w:sz="0" w:space="0" w:color="auto"/>
            <w:right w:val="none" w:sz="0" w:space="0" w:color="auto"/>
          </w:divBdr>
        </w:div>
      </w:divsChild>
    </w:div>
    <w:div w:id="1148479787">
      <w:bodyDiv w:val="1"/>
      <w:marLeft w:val="0"/>
      <w:marRight w:val="0"/>
      <w:marTop w:val="0"/>
      <w:marBottom w:val="0"/>
      <w:divBdr>
        <w:top w:val="none" w:sz="0" w:space="0" w:color="auto"/>
        <w:left w:val="none" w:sz="0" w:space="0" w:color="auto"/>
        <w:bottom w:val="none" w:sz="0" w:space="0" w:color="auto"/>
        <w:right w:val="none" w:sz="0" w:space="0" w:color="auto"/>
      </w:divBdr>
    </w:div>
    <w:div w:id="1157065375">
      <w:bodyDiv w:val="1"/>
      <w:marLeft w:val="0"/>
      <w:marRight w:val="0"/>
      <w:marTop w:val="0"/>
      <w:marBottom w:val="0"/>
      <w:divBdr>
        <w:top w:val="none" w:sz="0" w:space="0" w:color="auto"/>
        <w:left w:val="none" w:sz="0" w:space="0" w:color="auto"/>
        <w:bottom w:val="none" w:sz="0" w:space="0" w:color="auto"/>
        <w:right w:val="none" w:sz="0" w:space="0" w:color="auto"/>
      </w:divBdr>
      <w:divsChild>
        <w:div w:id="267351141">
          <w:marLeft w:val="0"/>
          <w:marRight w:val="0"/>
          <w:marTop w:val="0"/>
          <w:marBottom w:val="0"/>
          <w:divBdr>
            <w:top w:val="none" w:sz="0" w:space="0" w:color="auto"/>
            <w:left w:val="none" w:sz="0" w:space="0" w:color="auto"/>
            <w:bottom w:val="none" w:sz="0" w:space="0" w:color="auto"/>
            <w:right w:val="none" w:sz="0" w:space="0" w:color="auto"/>
          </w:divBdr>
          <w:divsChild>
            <w:div w:id="1208688285">
              <w:marLeft w:val="0"/>
              <w:marRight w:val="0"/>
              <w:marTop w:val="0"/>
              <w:marBottom w:val="0"/>
              <w:divBdr>
                <w:top w:val="none" w:sz="0" w:space="0" w:color="auto"/>
                <w:left w:val="none" w:sz="0" w:space="0" w:color="auto"/>
                <w:bottom w:val="none" w:sz="0" w:space="0" w:color="auto"/>
                <w:right w:val="none" w:sz="0" w:space="0" w:color="auto"/>
              </w:divBdr>
              <w:divsChild>
                <w:div w:id="18588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0191">
          <w:marLeft w:val="0"/>
          <w:marRight w:val="0"/>
          <w:marTop w:val="0"/>
          <w:marBottom w:val="0"/>
          <w:divBdr>
            <w:top w:val="none" w:sz="0" w:space="0" w:color="auto"/>
            <w:left w:val="none" w:sz="0" w:space="0" w:color="auto"/>
            <w:bottom w:val="none" w:sz="0" w:space="0" w:color="auto"/>
            <w:right w:val="none" w:sz="0" w:space="0" w:color="auto"/>
          </w:divBdr>
        </w:div>
        <w:div w:id="1717048173">
          <w:marLeft w:val="0"/>
          <w:marRight w:val="0"/>
          <w:marTop w:val="0"/>
          <w:marBottom w:val="0"/>
          <w:divBdr>
            <w:top w:val="none" w:sz="0" w:space="0" w:color="auto"/>
            <w:left w:val="none" w:sz="0" w:space="0" w:color="auto"/>
            <w:bottom w:val="none" w:sz="0" w:space="0" w:color="auto"/>
            <w:right w:val="none" w:sz="0" w:space="0" w:color="auto"/>
          </w:divBdr>
        </w:div>
      </w:divsChild>
    </w:div>
    <w:div w:id="1159884073">
      <w:bodyDiv w:val="1"/>
      <w:marLeft w:val="0"/>
      <w:marRight w:val="0"/>
      <w:marTop w:val="0"/>
      <w:marBottom w:val="0"/>
      <w:divBdr>
        <w:top w:val="none" w:sz="0" w:space="0" w:color="auto"/>
        <w:left w:val="none" w:sz="0" w:space="0" w:color="auto"/>
        <w:bottom w:val="none" w:sz="0" w:space="0" w:color="auto"/>
        <w:right w:val="none" w:sz="0" w:space="0" w:color="auto"/>
      </w:divBdr>
      <w:divsChild>
        <w:div w:id="1410424463">
          <w:marLeft w:val="0"/>
          <w:marRight w:val="0"/>
          <w:marTop w:val="0"/>
          <w:marBottom w:val="0"/>
          <w:divBdr>
            <w:top w:val="none" w:sz="0" w:space="0" w:color="auto"/>
            <w:left w:val="none" w:sz="0" w:space="0" w:color="auto"/>
            <w:bottom w:val="none" w:sz="0" w:space="0" w:color="auto"/>
            <w:right w:val="none" w:sz="0" w:space="0" w:color="auto"/>
          </w:divBdr>
        </w:div>
      </w:divsChild>
    </w:div>
    <w:div w:id="1160578707">
      <w:bodyDiv w:val="1"/>
      <w:marLeft w:val="0"/>
      <w:marRight w:val="0"/>
      <w:marTop w:val="0"/>
      <w:marBottom w:val="0"/>
      <w:divBdr>
        <w:top w:val="none" w:sz="0" w:space="0" w:color="auto"/>
        <w:left w:val="none" w:sz="0" w:space="0" w:color="auto"/>
        <w:bottom w:val="none" w:sz="0" w:space="0" w:color="auto"/>
        <w:right w:val="none" w:sz="0" w:space="0" w:color="auto"/>
      </w:divBdr>
      <w:divsChild>
        <w:div w:id="2069110401">
          <w:marLeft w:val="0"/>
          <w:marRight w:val="0"/>
          <w:marTop w:val="0"/>
          <w:marBottom w:val="0"/>
          <w:divBdr>
            <w:top w:val="none" w:sz="0" w:space="0" w:color="auto"/>
            <w:left w:val="none" w:sz="0" w:space="0" w:color="auto"/>
            <w:bottom w:val="none" w:sz="0" w:space="0" w:color="auto"/>
            <w:right w:val="none" w:sz="0" w:space="0" w:color="auto"/>
          </w:divBdr>
          <w:divsChild>
            <w:div w:id="6253576">
              <w:marLeft w:val="0"/>
              <w:marRight w:val="0"/>
              <w:marTop w:val="0"/>
              <w:marBottom w:val="0"/>
              <w:divBdr>
                <w:top w:val="none" w:sz="0" w:space="0" w:color="auto"/>
                <w:left w:val="none" w:sz="0" w:space="0" w:color="auto"/>
                <w:bottom w:val="none" w:sz="0" w:space="0" w:color="auto"/>
                <w:right w:val="none" w:sz="0" w:space="0" w:color="auto"/>
              </w:divBdr>
            </w:div>
            <w:div w:id="72512932">
              <w:marLeft w:val="0"/>
              <w:marRight w:val="0"/>
              <w:marTop w:val="0"/>
              <w:marBottom w:val="0"/>
              <w:divBdr>
                <w:top w:val="none" w:sz="0" w:space="0" w:color="auto"/>
                <w:left w:val="none" w:sz="0" w:space="0" w:color="auto"/>
                <w:bottom w:val="none" w:sz="0" w:space="0" w:color="auto"/>
                <w:right w:val="none" w:sz="0" w:space="0" w:color="auto"/>
              </w:divBdr>
            </w:div>
            <w:div w:id="86578506">
              <w:marLeft w:val="0"/>
              <w:marRight w:val="0"/>
              <w:marTop w:val="0"/>
              <w:marBottom w:val="0"/>
              <w:divBdr>
                <w:top w:val="none" w:sz="0" w:space="0" w:color="auto"/>
                <w:left w:val="none" w:sz="0" w:space="0" w:color="auto"/>
                <w:bottom w:val="none" w:sz="0" w:space="0" w:color="auto"/>
                <w:right w:val="none" w:sz="0" w:space="0" w:color="auto"/>
              </w:divBdr>
            </w:div>
            <w:div w:id="131143578">
              <w:marLeft w:val="0"/>
              <w:marRight w:val="0"/>
              <w:marTop w:val="0"/>
              <w:marBottom w:val="0"/>
              <w:divBdr>
                <w:top w:val="none" w:sz="0" w:space="0" w:color="auto"/>
                <w:left w:val="none" w:sz="0" w:space="0" w:color="auto"/>
                <w:bottom w:val="none" w:sz="0" w:space="0" w:color="auto"/>
                <w:right w:val="none" w:sz="0" w:space="0" w:color="auto"/>
              </w:divBdr>
            </w:div>
            <w:div w:id="201408507">
              <w:marLeft w:val="0"/>
              <w:marRight w:val="0"/>
              <w:marTop w:val="0"/>
              <w:marBottom w:val="0"/>
              <w:divBdr>
                <w:top w:val="none" w:sz="0" w:space="0" w:color="auto"/>
                <w:left w:val="none" w:sz="0" w:space="0" w:color="auto"/>
                <w:bottom w:val="none" w:sz="0" w:space="0" w:color="auto"/>
                <w:right w:val="none" w:sz="0" w:space="0" w:color="auto"/>
              </w:divBdr>
            </w:div>
            <w:div w:id="309096718">
              <w:marLeft w:val="0"/>
              <w:marRight w:val="0"/>
              <w:marTop w:val="0"/>
              <w:marBottom w:val="0"/>
              <w:divBdr>
                <w:top w:val="none" w:sz="0" w:space="0" w:color="auto"/>
                <w:left w:val="none" w:sz="0" w:space="0" w:color="auto"/>
                <w:bottom w:val="none" w:sz="0" w:space="0" w:color="auto"/>
                <w:right w:val="none" w:sz="0" w:space="0" w:color="auto"/>
              </w:divBdr>
            </w:div>
            <w:div w:id="346904912">
              <w:marLeft w:val="0"/>
              <w:marRight w:val="0"/>
              <w:marTop w:val="0"/>
              <w:marBottom w:val="0"/>
              <w:divBdr>
                <w:top w:val="none" w:sz="0" w:space="0" w:color="auto"/>
                <w:left w:val="none" w:sz="0" w:space="0" w:color="auto"/>
                <w:bottom w:val="none" w:sz="0" w:space="0" w:color="auto"/>
                <w:right w:val="none" w:sz="0" w:space="0" w:color="auto"/>
              </w:divBdr>
            </w:div>
            <w:div w:id="350381469">
              <w:marLeft w:val="0"/>
              <w:marRight w:val="0"/>
              <w:marTop w:val="0"/>
              <w:marBottom w:val="0"/>
              <w:divBdr>
                <w:top w:val="none" w:sz="0" w:space="0" w:color="auto"/>
                <w:left w:val="none" w:sz="0" w:space="0" w:color="auto"/>
                <w:bottom w:val="none" w:sz="0" w:space="0" w:color="auto"/>
                <w:right w:val="none" w:sz="0" w:space="0" w:color="auto"/>
              </w:divBdr>
            </w:div>
            <w:div w:id="364599527">
              <w:marLeft w:val="0"/>
              <w:marRight w:val="0"/>
              <w:marTop w:val="0"/>
              <w:marBottom w:val="0"/>
              <w:divBdr>
                <w:top w:val="none" w:sz="0" w:space="0" w:color="auto"/>
                <w:left w:val="none" w:sz="0" w:space="0" w:color="auto"/>
                <w:bottom w:val="none" w:sz="0" w:space="0" w:color="auto"/>
                <w:right w:val="none" w:sz="0" w:space="0" w:color="auto"/>
              </w:divBdr>
            </w:div>
            <w:div w:id="383869656">
              <w:marLeft w:val="0"/>
              <w:marRight w:val="0"/>
              <w:marTop w:val="0"/>
              <w:marBottom w:val="0"/>
              <w:divBdr>
                <w:top w:val="none" w:sz="0" w:space="0" w:color="auto"/>
                <w:left w:val="none" w:sz="0" w:space="0" w:color="auto"/>
                <w:bottom w:val="none" w:sz="0" w:space="0" w:color="auto"/>
                <w:right w:val="none" w:sz="0" w:space="0" w:color="auto"/>
              </w:divBdr>
            </w:div>
            <w:div w:id="389614760">
              <w:marLeft w:val="0"/>
              <w:marRight w:val="0"/>
              <w:marTop w:val="0"/>
              <w:marBottom w:val="0"/>
              <w:divBdr>
                <w:top w:val="none" w:sz="0" w:space="0" w:color="auto"/>
                <w:left w:val="none" w:sz="0" w:space="0" w:color="auto"/>
                <w:bottom w:val="none" w:sz="0" w:space="0" w:color="auto"/>
                <w:right w:val="none" w:sz="0" w:space="0" w:color="auto"/>
              </w:divBdr>
            </w:div>
            <w:div w:id="504396491">
              <w:marLeft w:val="0"/>
              <w:marRight w:val="0"/>
              <w:marTop w:val="0"/>
              <w:marBottom w:val="0"/>
              <w:divBdr>
                <w:top w:val="none" w:sz="0" w:space="0" w:color="auto"/>
                <w:left w:val="none" w:sz="0" w:space="0" w:color="auto"/>
                <w:bottom w:val="none" w:sz="0" w:space="0" w:color="auto"/>
                <w:right w:val="none" w:sz="0" w:space="0" w:color="auto"/>
              </w:divBdr>
            </w:div>
            <w:div w:id="513543170">
              <w:marLeft w:val="0"/>
              <w:marRight w:val="0"/>
              <w:marTop w:val="0"/>
              <w:marBottom w:val="0"/>
              <w:divBdr>
                <w:top w:val="none" w:sz="0" w:space="0" w:color="auto"/>
                <w:left w:val="none" w:sz="0" w:space="0" w:color="auto"/>
                <w:bottom w:val="none" w:sz="0" w:space="0" w:color="auto"/>
                <w:right w:val="none" w:sz="0" w:space="0" w:color="auto"/>
              </w:divBdr>
            </w:div>
            <w:div w:id="517280984">
              <w:marLeft w:val="0"/>
              <w:marRight w:val="0"/>
              <w:marTop w:val="0"/>
              <w:marBottom w:val="0"/>
              <w:divBdr>
                <w:top w:val="none" w:sz="0" w:space="0" w:color="auto"/>
                <w:left w:val="none" w:sz="0" w:space="0" w:color="auto"/>
                <w:bottom w:val="none" w:sz="0" w:space="0" w:color="auto"/>
                <w:right w:val="none" w:sz="0" w:space="0" w:color="auto"/>
              </w:divBdr>
            </w:div>
            <w:div w:id="553659869">
              <w:marLeft w:val="0"/>
              <w:marRight w:val="0"/>
              <w:marTop w:val="0"/>
              <w:marBottom w:val="0"/>
              <w:divBdr>
                <w:top w:val="none" w:sz="0" w:space="0" w:color="auto"/>
                <w:left w:val="none" w:sz="0" w:space="0" w:color="auto"/>
                <w:bottom w:val="none" w:sz="0" w:space="0" w:color="auto"/>
                <w:right w:val="none" w:sz="0" w:space="0" w:color="auto"/>
              </w:divBdr>
            </w:div>
            <w:div w:id="592134118">
              <w:marLeft w:val="0"/>
              <w:marRight w:val="0"/>
              <w:marTop w:val="0"/>
              <w:marBottom w:val="0"/>
              <w:divBdr>
                <w:top w:val="none" w:sz="0" w:space="0" w:color="auto"/>
                <w:left w:val="none" w:sz="0" w:space="0" w:color="auto"/>
                <w:bottom w:val="none" w:sz="0" w:space="0" w:color="auto"/>
                <w:right w:val="none" w:sz="0" w:space="0" w:color="auto"/>
              </w:divBdr>
            </w:div>
            <w:div w:id="593712572">
              <w:marLeft w:val="0"/>
              <w:marRight w:val="0"/>
              <w:marTop w:val="0"/>
              <w:marBottom w:val="0"/>
              <w:divBdr>
                <w:top w:val="none" w:sz="0" w:space="0" w:color="auto"/>
                <w:left w:val="none" w:sz="0" w:space="0" w:color="auto"/>
                <w:bottom w:val="none" w:sz="0" w:space="0" w:color="auto"/>
                <w:right w:val="none" w:sz="0" w:space="0" w:color="auto"/>
              </w:divBdr>
            </w:div>
            <w:div w:id="667708284">
              <w:marLeft w:val="0"/>
              <w:marRight w:val="0"/>
              <w:marTop w:val="0"/>
              <w:marBottom w:val="0"/>
              <w:divBdr>
                <w:top w:val="none" w:sz="0" w:space="0" w:color="auto"/>
                <w:left w:val="none" w:sz="0" w:space="0" w:color="auto"/>
                <w:bottom w:val="none" w:sz="0" w:space="0" w:color="auto"/>
                <w:right w:val="none" w:sz="0" w:space="0" w:color="auto"/>
              </w:divBdr>
            </w:div>
            <w:div w:id="669911770">
              <w:marLeft w:val="0"/>
              <w:marRight w:val="0"/>
              <w:marTop w:val="0"/>
              <w:marBottom w:val="0"/>
              <w:divBdr>
                <w:top w:val="none" w:sz="0" w:space="0" w:color="auto"/>
                <w:left w:val="none" w:sz="0" w:space="0" w:color="auto"/>
                <w:bottom w:val="none" w:sz="0" w:space="0" w:color="auto"/>
                <w:right w:val="none" w:sz="0" w:space="0" w:color="auto"/>
              </w:divBdr>
            </w:div>
            <w:div w:id="700085343">
              <w:marLeft w:val="0"/>
              <w:marRight w:val="0"/>
              <w:marTop w:val="0"/>
              <w:marBottom w:val="0"/>
              <w:divBdr>
                <w:top w:val="none" w:sz="0" w:space="0" w:color="auto"/>
                <w:left w:val="none" w:sz="0" w:space="0" w:color="auto"/>
                <w:bottom w:val="none" w:sz="0" w:space="0" w:color="auto"/>
                <w:right w:val="none" w:sz="0" w:space="0" w:color="auto"/>
              </w:divBdr>
            </w:div>
            <w:div w:id="730428305">
              <w:marLeft w:val="0"/>
              <w:marRight w:val="0"/>
              <w:marTop w:val="0"/>
              <w:marBottom w:val="0"/>
              <w:divBdr>
                <w:top w:val="none" w:sz="0" w:space="0" w:color="auto"/>
                <w:left w:val="none" w:sz="0" w:space="0" w:color="auto"/>
                <w:bottom w:val="none" w:sz="0" w:space="0" w:color="auto"/>
                <w:right w:val="none" w:sz="0" w:space="0" w:color="auto"/>
              </w:divBdr>
            </w:div>
            <w:div w:id="767316965">
              <w:marLeft w:val="0"/>
              <w:marRight w:val="0"/>
              <w:marTop w:val="0"/>
              <w:marBottom w:val="0"/>
              <w:divBdr>
                <w:top w:val="none" w:sz="0" w:space="0" w:color="auto"/>
                <w:left w:val="none" w:sz="0" w:space="0" w:color="auto"/>
                <w:bottom w:val="none" w:sz="0" w:space="0" w:color="auto"/>
                <w:right w:val="none" w:sz="0" w:space="0" w:color="auto"/>
              </w:divBdr>
            </w:div>
            <w:div w:id="769813527">
              <w:marLeft w:val="0"/>
              <w:marRight w:val="0"/>
              <w:marTop w:val="0"/>
              <w:marBottom w:val="0"/>
              <w:divBdr>
                <w:top w:val="none" w:sz="0" w:space="0" w:color="auto"/>
                <w:left w:val="none" w:sz="0" w:space="0" w:color="auto"/>
                <w:bottom w:val="none" w:sz="0" w:space="0" w:color="auto"/>
                <w:right w:val="none" w:sz="0" w:space="0" w:color="auto"/>
              </w:divBdr>
            </w:div>
            <w:div w:id="800657847">
              <w:marLeft w:val="0"/>
              <w:marRight w:val="0"/>
              <w:marTop w:val="0"/>
              <w:marBottom w:val="0"/>
              <w:divBdr>
                <w:top w:val="none" w:sz="0" w:space="0" w:color="auto"/>
                <w:left w:val="none" w:sz="0" w:space="0" w:color="auto"/>
                <w:bottom w:val="none" w:sz="0" w:space="0" w:color="auto"/>
                <w:right w:val="none" w:sz="0" w:space="0" w:color="auto"/>
              </w:divBdr>
            </w:div>
            <w:div w:id="833761723">
              <w:marLeft w:val="0"/>
              <w:marRight w:val="0"/>
              <w:marTop w:val="0"/>
              <w:marBottom w:val="0"/>
              <w:divBdr>
                <w:top w:val="none" w:sz="0" w:space="0" w:color="auto"/>
                <w:left w:val="none" w:sz="0" w:space="0" w:color="auto"/>
                <w:bottom w:val="none" w:sz="0" w:space="0" w:color="auto"/>
                <w:right w:val="none" w:sz="0" w:space="0" w:color="auto"/>
              </w:divBdr>
            </w:div>
            <w:div w:id="866718889">
              <w:marLeft w:val="0"/>
              <w:marRight w:val="0"/>
              <w:marTop w:val="0"/>
              <w:marBottom w:val="0"/>
              <w:divBdr>
                <w:top w:val="none" w:sz="0" w:space="0" w:color="auto"/>
                <w:left w:val="none" w:sz="0" w:space="0" w:color="auto"/>
                <w:bottom w:val="none" w:sz="0" w:space="0" w:color="auto"/>
                <w:right w:val="none" w:sz="0" w:space="0" w:color="auto"/>
              </w:divBdr>
            </w:div>
            <w:div w:id="896404470">
              <w:marLeft w:val="0"/>
              <w:marRight w:val="0"/>
              <w:marTop w:val="0"/>
              <w:marBottom w:val="0"/>
              <w:divBdr>
                <w:top w:val="none" w:sz="0" w:space="0" w:color="auto"/>
                <w:left w:val="none" w:sz="0" w:space="0" w:color="auto"/>
                <w:bottom w:val="none" w:sz="0" w:space="0" w:color="auto"/>
                <w:right w:val="none" w:sz="0" w:space="0" w:color="auto"/>
              </w:divBdr>
            </w:div>
            <w:div w:id="1022978297">
              <w:marLeft w:val="0"/>
              <w:marRight w:val="0"/>
              <w:marTop w:val="0"/>
              <w:marBottom w:val="0"/>
              <w:divBdr>
                <w:top w:val="none" w:sz="0" w:space="0" w:color="auto"/>
                <w:left w:val="none" w:sz="0" w:space="0" w:color="auto"/>
                <w:bottom w:val="none" w:sz="0" w:space="0" w:color="auto"/>
                <w:right w:val="none" w:sz="0" w:space="0" w:color="auto"/>
              </w:divBdr>
            </w:div>
            <w:div w:id="1035078791">
              <w:marLeft w:val="0"/>
              <w:marRight w:val="0"/>
              <w:marTop w:val="0"/>
              <w:marBottom w:val="0"/>
              <w:divBdr>
                <w:top w:val="none" w:sz="0" w:space="0" w:color="auto"/>
                <w:left w:val="none" w:sz="0" w:space="0" w:color="auto"/>
                <w:bottom w:val="none" w:sz="0" w:space="0" w:color="auto"/>
                <w:right w:val="none" w:sz="0" w:space="0" w:color="auto"/>
              </w:divBdr>
            </w:div>
            <w:div w:id="1057506984">
              <w:marLeft w:val="0"/>
              <w:marRight w:val="0"/>
              <w:marTop w:val="0"/>
              <w:marBottom w:val="0"/>
              <w:divBdr>
                <w:top w:val="none" w:sz="0" w:space="0" w:color="auto"/>
                <w:left w:val="none" w:sz="0" w:space="0" w:color="auto"/>
                <w:bottom w:val="none" w:sz="0" w:space="0" w:color="auto"/>
                <w:right w:val="none" w:sz="0" w:space="0" w:color="auto"/>
              </w:divBdr>
            </w:div>
            <w:div w:id="1116750386">
              <w:marLeft w:val="0"/>
              <w:marRight w:val="0"/>
              <w:marTop w:val="0"/>
              <w:marBottom w:val="0"/>
              <w:divBdr>
                <w:top w:val="none" w:sz="0" w:space="0" w:color="auto"/>
                <w:left w:val="none" w:sz="0" w:space="0" w:color="auto"/>
                <w:bottom w:val="none" w:sz="0" w:space="0" w:color="auto"/>
                <w:right w:val="none" w:sz="0" w:space="0" w:color="auto"/>
              </w:divBdr>
            </w:div>
            <w:div w:id="1271741158">
              <w:marLeft w:val="0"/>
              <w:marRight w:val="0"/>
              <w:marTop w:val="0"/>
              <w:marBottom w:val="0"/>
              <w:divBdr>
                <w:top w:val="none" w:sz="0" w:space="0" w:color="auto"/>
                <w:left w:val="none" w:sz="0" w:space="0" w:color="auto"/>
                <w:bottom w:val="none" w:sz="0" w:space="0" w:color="auto"/>
                <w:right w:val="none" w:sz="0" w:space="0" w:color="auto"/>
              </w:divBdr>
            </w:div>
            <w:div w:id="1434977357">
              <w:marLeft w:val="0"/>
              <w:marRight w:val="0"/>
              <w:marTop w:val="0"/>
              <w:marBottom w:val="0"/>
              <w:divBdr>
                <w:top w:val="none" w:sz="0" w:space="0" w:color="auto"/>
                <w:left w:val="none" w:sz="0" w:space="0" w:color="auto"/>
                <w:bottom w:val="none" w:sz="0" w:space="0" w:color="auto"/>
                <w:right w:val="none" w:sz="0" w:space="0" w:color="auto"/>
              </w:divBdr>
            </w:div>
            <w:div w:id="1469129835">
              <w:marLeft w:val="0"/>
              <w:marRight w:val="0"/>
              <w:marTop w:val="0"/>
              <w:marBottom w:val="0"/>
              <w:divBdr>
                <w:top w:val="none" w:sz="0" w:space="0" w:color="auto"/>
                <w:left w:val="none" w:sz="0" w:space="0" w:color="auto"/>
                <w:bottom w:val="none" w:sz="0" w:space="0" w:color="auto"/>
                <w:right w:val="none" w:sz="0" w:space="0" w:color="auto"/>
              </w:divBdr>
            </w:div>
            <w:div w:id="1487475029">
              <w:marLeft w:val="0"/>
              <w:marRight w:val="0"/>
              <w:marTop w:val="0"/>
              <w:marBottom w:val="0"/>
              <w:divBdr>
                <w:top w:val="none" w:sz="0" w:space="0" w:color="auto"/>
                <w:left w:val="none" w:sz="0" w:space="0" w:color="auto"/>
                <w:bottom w:val="none" w:sz="0" w:space="0" w:color="auto"/>
                <w:right w:val="none" w:sz="0" w:space="0" w:color="auto"/>
              </w:divBdr>
            </w:div>
            <w:div w:id="1542939035">
              <w:marLeft w:val="0"/>
              <w:marRight w:val="0"/>
              <w:marTop w:val="0"/>
              <w:marBottom w:val="0"/>
              <w:divBdr>
                <w:top w:val="none" w:sz="0" w:space="0" w:color="auto"/>
                <w:left w:val="none" w:sz="0" w:space="0" w:color="auto"/>
                <w:bottom w:val="none" w:sz="0" w:space="0" w:color="auto"/>
                <w:right w:val="none" w:sz="0" w:space="0" w:color="auto"/>
              </w:divBdr>
            </w:div>
            <w:div w:id="1554459978">
              <w:marLeft w:val="0"/>
              <w:marRight w:val="0"/>
              <w:marTop w:val="0"/>
              <w:marBottom w:val="0"/>
              <w:divBdr>
                <w:top w:val="none" w:sz="0" w:space="0" w:color="auto"/>
                <w:left w:val="none" w:sz="0" w:space="0" w:color="auto"/>
                <w:bottom w:val="none" w:sz="0" w:space="0" w:color="auto"/>
                <w:right w:val="none" w:sz="0" w:space="0" w:color="auto"/>
              </w:divBdr>
            </w:div>
            <w:div w:id="1654868067">
              <w:marLeft w:val="0"/>
              <w:marRight w:val="0"/>
              <w:marTop w:val="0"/>
              <w:marBottom w:val="0"/>
              <w:divBdr>
                <w:top w:val="none" w:sz="0" w:space="0" w:color="auto"/>
                <w:left w:val="none" w:sz="0" w:space="0" w:color="auto"/>
                <w:bottom w:val="none" w:sz="0" w:space="0" w:color="auto"/>
                <w:right w:val="none" w:sz="0" w:space="0" w:color="auto"/>
              </w:divBdr>
            </w:div>
            <w:div w:id="1670985395">
              <w:marLeft w:val="0"/>
              <w:marRight w:val="0"/>
              <w:marTop w:val="0"/>
              <w:marBottom w:val="0"/>
              <w:divBdr>
                <w:top w:val="none" w:sz="0" w:space="0" w:color="auto"/>
                <w:left w:val="none" w:sz="0" w:space="0" w:color="auto"/>
                <w:bottom w:val="none" w:sz="0" w:space="0" w:color="auto"/>
                <w:right w:val="none" w:sz="0" w:space="0" w:color="auto"/>
              </w:divBdr>
            </w:div>
            <w:div w:id="1768890543">
              <w:marLeft w:val="0"/>
              <w:marRight w:val="0"/>
              <w:marTop w:val="0"/>
              <w:marBottom w:val="0"/>
              <w:divBdr>
                <w:top w:val="none" w:sz="0" w:space="0" w:color="auto"/>
                <w:left w:val="none" w:sz="0" w:space="0" w:color="auto"/>
                <w:bottom w:val="none" w:sz="0" w:space="0" w:color="auto"/>
                <w:right w:val="none" w:sz="0" w:space="0" w:color="auto"/>
              </w:divBdr>
            </w:div>
            <w:div w:id="1775856410">
              <w:marLeft w:val="0"/>
              <w:marRight w:val="0"/>
              <w:marTop w:val="0"/>
              <w:marBottom w:val="0"/>
              <w:divBdr>
                <w:top w:val="none" w:sz="0" w:space="0" w:color="auto"/>
                <w:left w:val="none" w:sz="0" w:space="0" w:color="auto"/>
                <w:bottom w:val="none" w:sz="0" w:space="0" w:color="auto"/>
                <w:right w:val="none" w:sz="0" w:space="0" w:color="auto"/>
              </w:divBdr>
            </w:div>
            <w:div w:id="1779182678">
              <w:marLeft w:val="0"/>
              <w:marRight w:val="0"/>
              <w:marTop w:val="0"/>
              <w:marBottom w:val="0"/>
              <w:divBdr>
                <w:top w:val="none" w:sz="0" w:space="0" w:color="auto"/>
                <w:left w:val="none" w:sz="0" w:space="0" w:color="auto"/>
                <w:bottom w:val="none" w:sz="0" w:space="0" w:color="auto"/>
                <w:right w:val="none" w:sz="0" w:space="0" w:color="auto"/>
              </w:divBdr>
            </w:div>
            <w:div w:id="1827472841">
              <w:marLeft w:val="0"/>
              <w:marRight w:val="0"/>
              <w:marTop w:val="0"/>
              <w:marBottom w:val="0"/>
              <w:divBdr>
                <w:top w:val="none" w:sz="0" w:space="0" w:color="auto"/>
                <w:left w:val="none" w:sz="0" w:space="0" w:color="auto"/>
                <w:bottom w:val="none" w:sz="0" w:space="0" w:color="auto"/>
                <w:right w:val="none" w:sz="0" w:space="0" w:color="auto"/>
              </w:divBdr>
            </w:div>
            <w:div w:id="1915776854">
              <w:marLeft w:val="0"/>
              <w:marRight w:val="0"/>
              <w:marTop w:val="0"/>
              <w:marBottom w:val="0"/>
              <w:divBdr>
                <w:top w:val="none" w:sz="0" w:space="0" w:color="auto"/>
                <w:left w:val="none" w:sz="0" w:space="0" w:color="auto"/>
                <w:bottom w:val="none" w:sz="0" w:space="0" w:color="auto"/>
                <w:right w:val="none" w:sz="0" w:space="0" w:color="auto"/>
              </w:divBdr>
            </w:div>
            <w:div w:id="2033460137">
              <w:marLeft w:val="0"/>
              <w:marRight w:val="0"/>
              <w:marTop w:val="0"/>
              <w:marBottom w:val="0"/>
              <w:divBdr>
                <w:top w:val="none" w:sz="0" w:space="0" w:color="auto"/>
                <w:left w:val="none" w:sz="0" w:space="0" w:color="auto"/>
                <w:bottom w:val="none" w:sz="0" w:space="0" w:color="auto"/>
                <w:right w:val="none" w:sz="0" w:space="0" w:color="auto"/>
              </w:divBdr>
            </w:div>
            <w:div w:id="2043938300">
              <w:marLeft w:val="0"/>
              <w:marRight w:val="0"/>
              <w:marTop w:val="0"/>
              <w:marBottom w:val="0"/>
              <w:divBdr>
                <w:top w:val="none" w:sz="0" w:space="0" w:color="auto"/>
                <w:left w:val="none" w:sz="0" w:space="0" w:color="auto"/>
                <w:bottom w:val="none" w:sz="0" w:space="0" w:color="auto"/>
                <w:right w:val="none" w:sz="0" w:space="0" w:color="auto"/>
              </w:divBdr>
            </w:div>
            <w:div w:id="2058161195">
              <w:marLeft w:val="0"/>
              <w:marRight w:val="0"/>
              <w:marTop w:val="0"/>
              <w:marBottom w:val="0"/>
              <w:divBdr>
                <w:top w:val="none" w:sz="0" w:space="0" w:color="auto"/>
                <w:left w:val="none" w:sz="0" w:space="0" w:color="auto"/>
                <w:bottom w:val="none" w:sz="0" w:space="0" w:color="auto"/>
                <w:right w:val="none" w:sz="0" w:space="0" w:color="auto"/>
              </w:divBdr>
            </w:div>
            <w:div w:id="2071923780">
              <w:marLeft w:val="0"/>
              <w:marRight w:val="0"/>
              <w:marTop w:val="0"/>
              <w:marBottom w:val="0"/>
              <w:divBdr>
                <w:top w:val="none" w:sz="0" w:space="0" w:color="auto"/>
                <w:left w:val="none" w:sz="0" w:space="0" w:color="auto"/>
                <w:bottom w:val="none" w:sz="0" w:space="0" w:color="auto"/>
                <w:right w:val="none" w:sz="0" w:space="0" w:color="auto"/>
              </w:divBdr>
            </w:div>
            <w:div w:id="21101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0063">
      <w:bodyDiv w:val="1"/>
      <w:marLeft w:val="0"/>
      <w:marRight w:val="0"/>
      <w:marTop w:val="0"/>
      <w:marBottom w:val="0"/>
      <w:divBdr>
        <w:top w:val="none" w:sz="0" w:space="0" w:color="auto"/>
        <w:left w:val="none" w:sz="0" w:space="0" w:color="auto"/>
        <w:bottom w:val="none" w:sz="0" w:space="0" w:color="auto"/>
        <w:right w:val="none" w:sz="0" w:space="0" w:color="auto"/>
      </w:divBdr>
    </w:div>
    <w:div w:id="1161892931">
      <w:bodyDiv w:val="1"/>
      <w:marLeft w:val="0"/>
      <w:marRight w:val="0"/>
      <w:marTop w:val="0"/>
      <w:marBottom w:val="0"/>
      <w:divBdr>
        <w:top w:val="none" w:sz="0" w:space="0" w:color="auto"/>
        <w:left w:val="none" w:sz="0" w:space="0" w:color="auto"/>
        <w:bottom w:val="none" w:sz="0" w:space="0" w:color="auto"/>
        <w:right w:val="none" w:sz="0" w:space="0" w:color="auto"/>
      </w:divBdr>
      <w:divsChild>
        <w:div w:id="200943032">
          <w:marLeft w:val="0"/>
          <w:marRight w:val="0"/>
          <w:marTop w:val="0"/>
          <w:marBottom w:val="0"/>
          <w:divBdr>
            <w:top w:val="none" w:sz="0" w:space="0" w:color="auto"/>
            <w:left w:val="none" w:sz="0" w:space="0" w:color="auto"/>
            <w:bottom w:val="none" w:sz="0" w:space="0" w:color="auto"/>
            <w:right w:val="none" w:sz="0" w:space="0" w:color="auto"/>
          </w:divBdr>
        </w:div>
        <w:div w:id="282351053">
          <w:marLeft w:val="0"/>
          <w:marRight w:val="0"/>
          <w:marTop w:val="0"/>
          <w:marBottom w:val="0"/>
          <w:divBdr>
            <w:top w:val="none" w:sz="0" w:space="0" w:color="auto"/>
            <w:left w:val="none" w:sz="0" w:space="0" w:color="auto"/>
            <w:bottom w:val="none" w:sz="0" w:space="0" w:color="auto"/>
            <w:right w:val="none" w:sz="0" w:space="0" w:color="auto"/>
          </w:divBdr>
        </w:div>
        <w:div w:id="703753759">
          <w:marLeft w:val="0"/>
          <w:marRight w:val="0"/>
          <w:marTop w:val="0"/>
          <w:marBottom w:val="0"/>
          <w:divBdr>
            <w:top w:val="none" w:sz="0" w:space="0" w:color="auto"/>
            <w:left w:val="none" w:sz="0" w:space="0" w:color="auto"/>
            <w:bottom w:val="none" w:sz="0" w:space="0" w:color="auto"/>
            <w:right w:val="none" w:sz="0" w:space="0" w:color="auto"/>
          </w:divBdr>
        </w:div>
        <w:div w:id="743574327">
          <w:marLeft w:val="0"/>
          <w:marRight w:val="0"/>
          <w:marTop w:val="0"/>
          <w:marBottom w:val="0"/>
          <w:divBdr>
            <w:top w:val="none" w:sz="0" w:space="0" w:color="auto"/>
            <w:left w:val="none" w:sz="0" w:space="0" w:color="auto"/>
            <w:bottom w:val="none" w:sz="0" w:space="0" w:color="auto"/>
            <w:right w:val="none" w:sz="0" w:space="0" w:color="auto"/>
          </w:divBdr>
        </w:div>
        <w:div w:id="841165208">
          <w:marLeft w:val="0"/>
          <w:marRight w:val="0"/>
          <w:marTop w:val="0"/>
          <w:marBottom w:val="0"/>
          <w:divBdr>
            <w:top w:val="none" w:sz="0" w:space="0" w:color="auto"/>
            <w:left w:val="none" w:sz="0" w:space="0" w:color="auto"/>
            <w:bottom w:val="none" w:sz="0" w:space="0" w:color="auto"/>
            <w:right w:val="none" w:sz="0" w:space="0" w:color="auto"/>
          </w:divBdr>
        </w:div>
        <w:div w:id="886450253">
          <w:marLeft w:val="0"/>
          <w:marRight w:val="0"/>
          <w:marTop w:val="0"/>
          <w:marBottom w:val="0"/>
          <w:divBdr>
            <w:top w:val="none" w:sz="0" w:space="0" w:color="auto"/>
            <w:left w:val="none" w:sz="0" w:space="0" w:color="auto"/>
            <w:bottom w:val="none" w:sz="0" w:space="0" w:color="auto"/>
            <w:right w:val="none" w:sz="0" w:space="0" w:color="auto"/>
          </w:divBdr>
        </w:div>
        <w:div w:id="1059092771">
          <w:marLeft w:val="0"/>
          <w:marRight w:val="0"/>
          <w:marTop w:val="0"/>
          <w:marBottom w:val="0"/>
          <w:divBdr>
            <w:top w:val="none" w:sz="0" w:space="0" w:color="auto"/>
            <w:left w:val="none" w:sz="0" w:space="0" w:color="auto"/>
            <w:bottom w:val="none" w:sz="0" w:space="0" w:color="auto"/>
            <w:right w:val="none" w:sz="0" w:space="0" w:color="auto"/>
          </w:divBdr>
        </w:div>
        <w:div w:id="1109157825">
          <w:marLeft w:val="0"/>
          <w:marRight w:val="0"/>
          <w:marTop w:val="0"/>
          <w:marBottom w:val="0"/>
          <w:divBdr>
            <w:top w:val="none" w:sz="0" w:space="0" w:color="auto"/>
            <w:left w:val="none" w:sz="0" w:space="0" w:color="auto"/>
            <w:bottom w:val="none" w:sz="0" w:space="0" w:color="auto"/>
            <w:right w:val="none" w:sz="0" w:space="0" w:color="auto"/>
          </w:divBdr>
        </w:div>
        <w:div w:id="1124352733">
          <w:marLeft w:val="0"/>
          <w:marRight w:val="0"/>
          <w:marTop w:val="0"/>
          <w:marBottom w:val="0"/>
          <w:divBdr>
            <w:top w:val="none" w:sz="0" w:space="0" w:color="auto"/>
            <w:left w:val="none" w:sz="0" w:space="0" w:color="auto"/>
            <w:bottom w:val="none" w:sz="0" w:space="0" w:color="auto"/>
            <w:right w:val="none" w:sz="0" w:space="0" w:color="auto"/>
          </w:divBdr>
        </w:div>
        <w:div w:id="1151405449">
          <w:marLeft w:val="0"/>
          <w:marRight w:val="0"/>
          <w:marTop w:val="0"/>
          <w:marBottom w:val="0"/>
          <w:divBdr>
            <w:top w:val="none" w:sz="0" w:space="0" w:color="auto"/>
            <w:left w:val="none" w:sz="0" w:space="0" w:color="auto"/>
            <w:bottom w:val="none" w:sz="0" w:space="0" w:color="auto"/>
            <w:right w:val="none" w:sz="0" w:space="0" w:color="auto"/>
          </w:divBdr>
        </w:div>
        <w:div w:id="1222401187">
          <w:marLeft w:val="0"/>
          <w:marRight w:val="0"/>
          <w:marTop w:val="0"/>
          <w:marBottom w:val="0"/>
          <w:divBdr>
            <w:top w:val="none" w:sz="0" w:space="0" w:color="auto"/>
            <w:left w:val="none" w:sz="0" w:space="0" w:color="auto"/>
            <w:bottom w:val="none" w:sz="0" w:space="0" w:color="auto"/>
            <w:right w:val="none" w:sz="0" w:space="0" w:color="auto"/>
          </w:divBdr>
        </w:div>
        <w:div w:id="1230653667">
          <w:marLeft w:val="0"/>
          <w:marRight w:val="0"/>
          <w:marTop w:val="0"/>
          <w:marBottom w:val="0"/>
          <w:divBdr>
            <w:top w:val="none" w:sz="0" w:space="0" w:color="auto"/>
            <w:left w:val="none" w:sz="0" w:space="0" w:color="auto"/>
            <w:bottom w:val="none" w:sz="0" w:space="0" w:color="auto"/>
            <w:right w:val="none" w:sz="0" w:space="0" w:color="auto"/>
          </w:divBdr>
        </w:div>
        <w:div w:id="1315791550">
          <w:marLeft w:val="0"/>
          <w:marRight w:val="0"/>
          <w:marTop w:val="0"/>
          <w:marBottom w:val="0"/>
          <w:divBdr>
            <w:top w:val="none" w:sz="0" w:space="0" w:color="auto"/>
            <w:left w:val="none" w:sz="0" w:space="0" w:color="auto"/>
            <w:bottom w:val="none" w:sz="0" w:space="0" w:color="auto"/>
            <w:right w:val="none" w:sz="0" w:space="0" w:color="auto"/>
          </w:divBdr>
        </w:div>
        <w:div w:id="1889611397">
          <w:marLeft w:val="0"/>
          <w:marRight w:val="0"/>
          <w:marTop w:val="0"/>
          <w:marBottom w:val="0"/>
          <w:divBdr>
            <w:top w:val="none" w:sz="0" w:space="0" w:color="auto"/>
            <w:left w:val="none" w:sz="0" w:space="0" w:color="auto"/>
            <w:bottom w:val="none" w:sz="0" w:space="0" w:color="auto"/>
            <w:right w:val="none" w:sz="0" w:space="0" w:color="auto"/>
          </w:divBdr>
        </w:div>
        <w:div w:id="1915627771">
          <w:marLeft w:val="0"/>
          <w:marRight w:val="0"/>
          <w:marTop w:val="0"/>
          <w:marBottom w:val="0"/>
          <w:divBdr>
            <w:top w:val="none" w:sz="0" w:space="0" w:color="auto"/>
            <w:left w:val="none" w:sz="0" w:space="0" w:color="auto"/>
            <w:bottom w:val="none" w:sz="0" w:space="0" w:color="auto"/>
            <w:right w:val="none" w:sz="0" w:space="0" w:color="auto"/>
          </w:divBdr>
        </w:div>
      </w:divsChild>
    </w:div>
    <w:div w:id="1173684304">
      <w:bodyDiv w:val="1"/>
      <w:marLeft w:val="0"/>
      <w:marRight w:val="0"/>
      <w:marTop w:val="0"/>
      <w:marBottom w:val="0"/>
      <w:divBdr>
        <w:top w:val="none" w:sz="0" w:space="0" w:color="auto"/>
        <w:left w:val="none" w:sz="0" w:space="0" w:color="auto"/>
        <w:bottom w:val="none" w:sz="0" w:space="0" w:color="auto"/>
        <w:right w:val="none" w:sz="0" w:space="0" w:color="auto"/>
      </w:divBdr>
      <w:divsChild>
        <w:div w:id="831062338">
          <w:marLeft w:val="0"/>
          <w:marRight w:val="0"/>
          <w:marTop w:val="0"/>
          <w:marBottom w:val="0"/>
          <w:divBdr>
            <w:top w:val="none" w:sz="0" w:space="0" w:color="auto"/>
            <w:left w:val="none" w:sz="0" w:space="0" w:color="auto"/>
            <w:bottom w:val="none" w:sz="0" w:space="0" w:color="auto"/>
            <w:right w:val="none" w:sz="0" w:space="0" w:color="auto"/>
          </w:divBdr>
        </w:div>
      </w:divsChild>
    </w:div>
    <w:div w:id="1185947245">
      <w:bodyDiv w:val="1"/>
      <w:marLeft w:val="0"/>
      <w:marRight w:val="0"/>
      <w:marTop w:val="0"/>
      <w:marBottom w:val="0"/>
      <w:divBdr>
        <w:top w:val="none" w:sz="0" w:space="0" w:color="auto"/>
        <w:left w:val="none" w:sz="0" w:space="0" w:color="auto"/>
        <w:bottom w:val="none" w:sz="0" w:space="0" w:color="auto"/>
        <w:right w:val="none" w:sz="0" w:space="0" w:color="auto"/>
      </w:divBdr>
      <w:divsChild>
        <w:div w:id="88738011">
          <w:marLeft w:val="0"/>
          <w:marRight w:val="0"/>
          <w:marTop w:val="0"/>
          <w:marBottom w:val="0"/>
          <w:divBdr>
            <w:top w:val="none" w:sz="0" w:space="0" w:color="auto"/>
            <w:left w:val="none" w:sz="0" w:space="0" w:color="auto"/>
            <w:bottom w:val="none" w:sz="0" w:space="0" w:color="auto"/>
            <w:right w:val="none" w:sz="0" w:space="0" w:color="auto"/>
          </w:divBdr>
        </w:div>
        <w:div w:id="166486595">
          <w:marLeft w:val="0"/>
          <w:marRight w:val="0"/>
          <w:marTop w:val="0"/>
          <w:marBottom w:val="0"/>
          <w:divBdr>
            <w:top w:val="none" w:sz="0" w:space="0" w:color="auto"/>
            <w:left w:val="none" w:sz="0" w:space="0" w:color="auto"/>
            <w:bottom w:val="none" w:sz="0" w:space="0" w:color="auto"/>
            <w:right w:val="none" w:sz="0" w:space="0" w:color="auto"/>
          </w:divBdr>
        </w:div>
        <w:div w:id="259684656">
          <w:marLeft w:val="0"/>
          <w:marRight w:val="0"/>
          <w:marTop w:val="0"/>
          <w:marBottom w:val="0"/>
          <w:divBdr>
            <w:top w:val="none" w:sz="0" w:space="0" w:color="auto"/>
            <w:left w:val="none" w:sz="0" w:space="0" w:color="auto"/>
            <w:bottom w:val="none" w:sz="0" w:space="0" w:color="auto"/>
            <w:right w:val="none" w:sz="0" w:space="0" w:color="auto"/>
          </w:divBdr>
        </w:div>
        <w:div w:id="361367921">
          <w:marLeft w:val="0"/>
          <w:marRight w:val="0"/>
          <w:marTop w:val="0"/>
          <w:marBottom w:val="0"/>
          <w:divBdr>
            <w:top w:val="none" w:sz="0" w:space="0" w:color="auto"/>
            <w:left w:val="none" w:sz="0" w:space="0" w:color="auto"/>
            <w:bottom w:val="none" w:sz="0" w:space="0" w:color="auto"/>
            <w:right w:val="none" w:sz="0" w:space="0" w:color="auto"/>
          </w:divBdr>
        </w:div>
        <w:div w:id="480970219">
          <w:marLeft w:val="0"/>
          <w:marRight w:val="0"/>
          <w:marTop w:val="0"/>
          <w:marBottom w:val="0"/>
          <w:divBdr>
            <w:top w:val="none" w:sz="0" w:space="0" w:color="auto"/>
            <w:left w:val="none" w:sz="0" w:space="0" w:color="auto"/>
            <w:bottom w:val="none" w:sz="0" w:space="0" w:color="auto"/>
            <w:right w:val="none" w:sz="0" w:space="0" w:color="auto"/>
          </w:divBdr>
        </w:div>
        <w:div w:id="594631645">
          <w:marLeft w:val="0"/>
          <w:marRight w:val="0"/>
          <w:marTop w:val="0"/>
          <w:marBottom w:val="0"/>
          <w:divBdr>
            <w:top w:val="none" w:sz="0" w:space="0" w:color="auto"/>
            <w:left w:val="none" w:sz="0" w:space="0" w:color="auto"/>
            <w:bottom w:val="none" w:sz="0" w:space="0" w:color="auto"/>
            <w:right w:val="none" w:sz="0" w:space="0" w:color="auto"/>
          </w:divBdr>
        </w:div>
        <w:div w:id="772944134">
          <w:marLeft w:val="0"/>
          <w:marRight w:val="0"/>
          <w:marTop w:val="0"/>
          <w:marBottom w:val="0"/>
          <w:divBdr>
            <w:top w:val="none" w:sz="0" w:space="0" w:color="auto"/>
            <w:left w:val="none" w:sz="0" w:space="0" w:color="auto"/>
            <w:bottom w:val="none" w:sz="0" w:space="0" w:color="auto"/>
            <w:right w:val="none" w:sz="0" w:space="0" w:color="auto"/>
          </w:divBdr>
        </w:div>
        <w:div w:id="975336170">
          <w:marLeft w:val="0"/>
          <w:marRight w:val="0"/>
          <w:marTop w:val="0"/>
          <w:marBottom w:val="0"/>
          <w:divBdr>
            <w:top w:val="none" w:sz="0" w:space="0" w:color="auto"/>
            <w:left w:val="none" w:sz="0" w:space="0" w:color="auto"/>
            <w:bottom w:val="none" w:sz="0" w:space="0" w:color="auto"/>
            <w:right w:val="none" w:sz="0" w:space="0" w:color="auto"/>
          </w:divBdr>
        </w:div>
        <w:div w:id="1125930633">
          <w:marLeft w:val="0"/>
          <w:marRight w:val="0"/>
          <w:marTop w:val="0"/>
          <w:marBottom w:val="0"/>
          <w:divBdr>
            <w:top w:val="none" w:sz="0" w:space="0" w:color="auto"/>
            <w:left w:val="none" w:sz="0" w:space="0" w:color="auto"/>
            <w:bottom w:val="none" w:sz="0" w:space="0" w:color="auto"/>
            <w:right w:val="none" w:sz="0" w:space="0" w:color="auto"/>
          </w:divBdr>
        </w:div>
        <w:div w:id="1263536613">
          <w:marLeft w:val="0"/>
          <w:marRight w:val="0"/>
          <w:marTop w:val="0"/>
          <w:marBottom w:val="0"/>
          <w:divBdr>
            <w:top w:val="none" w:sz="0" w:space="0" w:color="auto"/>
            <w:left w:val="none" w:sz="0" w:space="0" w:color="auto"/>
            <w:bottom w:val="none" w:sz="0" w:space="0" w:color="auto"/>
            <w:right w:val="none" w:sz="0" w:space="0" w:color="auto"/>
          </w:divBdr>
        </w:div>
        <w:div w:id="1317145713">
          <w:marLeft w:val="0"/>
          <w:marRight w:val="0"/>
          <w:marTop w:val="0"/>
          <w:marBottom w:val="0"/>
          <w:divBdr>
            <w:top w:val="none" w:sz="0" w:space="0" w:color="auto"/>
            <w:left w:val="none" w:sz="0" w:space="0" w:color="auto"/>
            <w:bottom w:val="none" w:sz="0" w:space="0" w:color="auto"/>
            <w:right w:val="none" w:sz="0" w:space="0" w:color="auto"/>
          </w:divBdr>
        </w:div>
        <w:div w:id="1351906570">
          <w:marLeft w:val="0"/>
          <w:marRight w:val="0"/>
          <w:marTop w:val="0"/>
          <w:marBottom w:val="0"/>
          <w:divBdr>
            <w:top w:val="none" w:sz="0" w:space="0" w:color="auto"/>
            <w:left w:val="none" w:sz="0" w:space="0" w:color="auto"/>
            <w:bottom w:val="none" w:sz="0" w:space="0" w:color="auto"/>
            <w:right w:val="none" w:sz="0" w:space="0" w:color="auto"/>
          </w:divBdr>
        </w:div>
        <w:div w:id="1364329170">
          <w:marLeft w:val="0"/>
          <w:marRight w:val="0"/>
          <w:marTop w:val="0"/>
          <w:marBottom w:val="0"/>
          <w:divBdr>
            <w:top w:val="none" w:sz="0" w:space="0" w:color="auto"/>
            <w:left w:val="none" w:sz="0" w:space="0" w:color="auto"/>
            <w:bottom w:val="none" w:sz="0" w:space="0" w:color="auto"/>
            <w:right w:val="none" w:sz="0" w:space="0" w:color="auto"/>
          </w:divBdr>
        </w:div>
        <w:div w:id="1693847147">
          <w:marLeft w:val="0"/>
          <w:marRight w:val="0"/>
          <w:marTop w:val="0"/>
          <w:marBottom w:val="0"/>
          <w:divBdr>
            <w:top w:val="none" w:sz="0" w:space="0" w:color="auto"/>
            <w:left w:val="none" w:sz="0" w:space="0" w:color="auto"/>
            <w:bottom w:val="none" w:sz="0" w:space="0" w:color="auto"/>
            <w:right w:val="none" w:sz="0" w:space="0" w:color="auto"/>
          </w:divBdr>
        </w:div>
        <w:div w:id="1709840653">
          <w:marLeft w:val="0"/>
          <w:marRight w:val="0"/>
          <w:marTop w:val="0"/>
          <w:marBottom w:val="0"/>
          <w:divBdr>
            <w:top w:val="none" w:sz="0" w:space="0" w:color="auto"/>
            <w:left w:val="none" w:sz="0" w:space="0" w:color="auto"/>
            <w:bottom w:val="none" w:sz="0" w:space="0" w:color="auto"/>
            <w:right w:val="none" w:sz="0" w:space="0" w:color="auto"/>
          </w:divBdr>
        </w:div>
      </w:divsChild>
    </w:div>
    <w:div w:id="1191727613">
      <w:bodyDiv w:val="1"/>
      <w:marLeft w:val="0"/>
      <w:marRight w:val="0"/>
      <w:marTop w:val="0"/>
      <w:marBottom w:val="0"/>
      <w:divBdr>
        <w:top w:val="none" w:sz="0" w:space="0" w:color="auto"/>
        <w:left w:val="none" w:sz="0" w:space="0" w:color="auto"/>
        <w:bottom w:val="none" w:sz="0" w:space="0" w:color="auto"/>
        <w:right w:val="none" w:sz="0" w:space="0" w:color="auto"/>
      </w:divBdr>
      <w:divsChild>
        <w:div w:id="39598861">
          <w:marLeft w:val="0"/>
          <w:marRight w:val="0"/>
          <w:marTop w:val="0"/>
          <w:marBottom w:val="0"/>
          <w:divBdr>
            <w:top w:val="none" w:sz="0" w:space="0" w:color="auto"/>
            <w:left w:val="none" w:sz="0" w:space="0" w:color="auto"/>
            <w:bottom w:val="none" w:sz="0" w:space="0" w:color="auto"/>
            <w:right w:val="none" w:sz="0" w:space="0" w:color="auto"/>
          </w:divBdr>
        </w:div>
        <w:div w:id="143355825">
          <w:marLeft w:val="0"/>
          <w:marRight w:val="0"/>
          <w:marTop w:val="0"/>
          <w:marBottom w:val="0"/>
          <w:divBdr>
            <w:top w:val="none" w:sz="0" w:space="0" w:color="auto"/>
            <w:left w:val="none" w:sz="0" w:space="0" w:color="auto"/>
            <w:bottom w:val="none" w:sz="0" w:space="0" w:color="auto"/>
            <w:right w:val="none" w:sz="0" w:space="0" w:color="auto"/>
          </w:divBdr>
        </w:div>
        <w:div w:id="178276419">
          <w:marLeft w:val="0"/>
          <w:marRight w:val="0"/>
          <w:marTop w:val="0"/>
          <w:marBottom w:val="0"/>
          <w:divBdr>
            <w:top w:val="none" w:sz="0" w:space="0" w:color="auto"/>
            <w:left w:val="none" w:sz="0" w:space="0" w:color="auto"/>
            <w:bottom w:val="none" w:sz="0" w:space="0" w:color="auto"/>
            <w:right w:val="none" w:sz="0" w:space="0" w:color="auto"/>
          </w:divBdr>
        </w:div>
        <w:div w:id="205221472">
          <w:marLeft w:val="0"/>
          <w:marRight w:val="0"/>
          <w:marTop w:val="0"/>
          <w:marBottom w:val="0"/>
          <w:divBdr>
            <w:top w:val="none" w:sz="0" w:space="0" w:color="auto"/>
            <w:left w:val="none" w:sz="0" w:space="0" w:color="auto"/>
            <w:bottom w:val="none" w:sz="0" w:space="0" w:color="auto"/>
            <w:right w:val="none" w:sz="0" w:space="0" w:color="auto"/>
          </w:divBdr>
        </w:div>
        <w:div w:id="257832547">
          <w:marLeft w:val="0"/>
          <w:marRight w:val="0"/>
          <w:marTop w:val="0"/>
          <w:marBottom w:val="0"/>
          <w:divBdr>
            <w:top w:val="none" w:sz="0" w:space="0" w:color="auto"/>
            <w:left w:val="none" w:sz="0" w:space="0" w:color="auto"/>
            <w:bottom w:val="none" w:sz="0" w:space="0" w:color="auto"/>
            <w:right w:val="none" w:sz="0" w:space="0" w:color="auto"/>
          </w:divBdr>
        </w:div>
        <w:div w:id="269896821">
          <w:marLeft w:val="0"/>
          <w:marRight w:val="0"/>
          <w:marTop w:val="0"/>
          <w:marBottom w:val="0"/>
          <w:divBdr>
            <w:top w:val="none" w:sz="0" w:space="0" w:color="auto"/>
            <w:left w:val="none" w:sz="0" w:space="0" w:color="auto"/>
            <w:bottom w:val="none" w:sz="0" w:space="0" w:color="auto"/>
            <w:right w:val="none" w:sz="0" w:space="0" w:color="auto"/>
          </w:divBdr>
        </w:div>
        <w:div w:id="290020135">
          <w:marLeft w:val="0"/>
          <w:marRight w:val="0"/>
          <w:marTop w:val="0"/>
          <w:marBottom w:val="0"/>
          <w:divBdr>
            <w:top w:val="none" w:sz="0" w:space="0" w:color="auto"/>
            <w:left w:val="none" w:sz="0" w:space="0" w:color="auto"/>
            <w:bottom w:val="none" w:sz="0" w:space="0" w:color="auto"/>
            <w:right w:val="none" w:sz="0" w:space="0" w:color="auto"/>
          </w:divBdr>
        </w:div>
        <w:div w:id="335961166">
          <w:marLeft w:val="0"/>
          <w:marRight w:val="0"/>
          <w:marTop w:val="0"/>
          <w:marBottom w:val="0"/>
          <w:divBdr>
            <w:top w:val="none" w:sz="0" w:space="0" w:color="auto"/>
            <w:left w:val="none" w:sz="0" w:space="0" w:color="auto"/>
            <w:bottom w:val="none" w:sz="0" w:space="0" w:color="auto"/>
            <w:right w:val="none" w:sz="0" w:space="0" w:color="auto"/>
          </w:divBdr>
        </w:div>
        <w:div w:id="410086716">
          <w:marLeft w:val="0"/>
          <w:marRight w:val="0"/>
          <w:marTop w:val="0"/>
          <w:marBottom w:val="0"/>
          <w:divBdr>
            <w:top w:val="none" w:sz="0" w:space="0" w:color="auto"/>
            <w:left w:val="none" w:sz="0" w:space="0" w:color="auto"/>
            <w:bottom w:val="none" w:sz="0" w:space="0" w:color="auto"/>
            <w:right w:val="none" w:sz="0" w:space="0" w:color="auto"/>
          </w:divBdr>
        </w:div>
        <w:div w:id="436949694">
          <w:marLeft w:val="0"/>
          <w:marRight w:val="0"/>
          <w:marTop w:val="0"/>
          <w:marBottom w:val="0"/>
          <w:divBdr>
            <w:top w:val="none" w:sz="0" w:space="0" w:color="auto"/>
            <w:left w:val="none" w:sz="0" w:space="0" w:color="auto"/>
            <w:bottom w:val="none" w:sz="0" w:space="0" w:color="auto"/>
            <w:right w:val="none" w:sz="0" w:space="0" w:color="auto"/>
          </w:divBdr>
        </w:div>
        <w:div w:id="475684446">
          <w:marLeft w:val="0"/>
          <w:marRight w:val="0"/>
          <w:marTop w:val="0"/>
          <w:marBottom w:val="0"/>
          <w:divBdr>
            <w:top w:val="none" w:sz="0" w:space="0" w:color="auto"/>
            <w:left w:val="none" w:sz="0" w:space="0" w:color="auto"/>
            <w:bottom w:val="none" w:sz="0" w:space="0" w:color="auto"/>
            <w:right w:val="none" w:sz="0" w:space="0" w:color="auto"/>
          </w:divBdr>
        </w:div>
        <w:div w:id="477959059">
          <w:marLeft w:val="0"/>
          <w:marRight w:val="0"/>
          <w:marTop w:val="0"/>
          <w:marBottom w:val="0"/>
          <w:divBdr>
            <w:top w:val="none" w:sz="0" w:space="0" w:color="auto"/>
            <w:left w:val="none" w:sz="0" w:space="0" w:color="auto"/>
            <w:bottom w:val="none" w:sz="0" w:space="0" w:color="auto"/>
            <w:right w:val="none" w:sz="0" w:space="0" w:color="auto"/>
          </w:divBdr>
        </w:div>
        <w:div w:id="489293801">
          <w:marLeft w:val="0"/>
          <w:marRight w:val="0"/>
          <w:marTop w:val="0"/>
          <w:marBottom w:val="0"/>
          <w:divBdr>
            <w:top w:val="none" w:sz="0" w:space="0" w:color="auto"/>
            <w:left w:val="none" w:sz="0" w:space="0" w:color="auto"/>
            <w:bottom w:val="none" w:sz="0" w:space="0" w:color="auto"/>
            <w:right w:val="none" w:sz="0" w:space="0" w:color="auto"/>
          </w:divBdr>
        </w:div>
        <w:div w:id="520316591">
          <w:marLeft w:val="0"/>
          <w:marRight w:val="0"/>
          <w:marTop w:val="0"/>
          <w:marBottom w:val="0"/>
          <w:divBdr>
            <w:top w:val="none" w:sz="0" w:space="0" w:color="auto"/>
            <w:left w:val="none" w:sz="0" w:space="0" w:color="auto"/>
            <w:bottom w:val="none" w:sz="0" w:space="0" w:color="auto"/>
            <w:right w:val="none" w:sz="0" w:space="0" w:color="auto"/>
          </w:divBdr>
        </w:div>
        <w:div w:id="569076356">
          <w:marLeft w:val="0"/>
          <w:marRight w:val="0"/>
          <w:marTop w:val="0"/>
          <w:marBottom w:val="0"/>
          <w:divBdr>
            <w:top w:val="none" w:sz="0" w:space="0" w:color="auto"/>
            <w:left w:val="none" w:sz="0" w:space="0" w:color="auto"/>
            <w:bottom w:val="none" w:sz="0" w:space="0" w:color="auto"/>
            <w:right w:val="none" w:sz="0" w:space="0" w:color="auto"/>
          </w:divBdr>
        </w:div>
        <w:div w:id="587927034">
          <w:marLeft w:val="0"/>
          <w:marRight w:val="0"/>
          <w:marTop w:val="0"/>
          <w:marBottom w:val="0"/>
          <w:divBdr>
            <w:top w:val="none" w:sz="0" w:space="0" w:color="auto"/>
            <w:left w:val="none" w:sz="0" w:space="0" w:color="auto"/>
            <w:bottom w:val="none" w:sz="0" w:space="0" w:color="auto"/>
            <w:right w:val="none" w:sz="0" w:space="0" w:color="auto"/>
          </w:divBdr>
        </w:div>
        <w:div w:id="708648996">
          <w:marLeft w:val="0"/>
          <w:marRight w:val="0"/>
          <w:marTop w:val="0"/>
          <w:marBottom w:val="0"/>
          <w:divBdr>
            <w:top w:val="none" w:sz="0" w:space="0" w:color="auto"/>
            <w:left w:val="none" w:sz="0" w:space="0" w:color="auto"/>
            <w:bottom w:val="none" w:sz="0" w:space="0" w:color="auto"/>
            <w:right w:val="none" w:sz="0" w:space="0" w:color="auto"/>
          </w:divBdr>
        </w:div>
        <w:div w:id="720178191">
          <w:marLeft w:val="0"/>
          <w:marRight w:val="0"/>
          <w:marTop w:val="0"/>
          <w:marBottom w:val="0"/>
          <w:divBdr>
            <w:top w:val="none" w:sz="0" w:space="0" w:color="auto"/>
            <w:left w:val="none" w:sz="0" w:space="0" w:color="auto"/>
            <w:bottom w:val="none" w:sz="0" w:space="0" w:color="auto"/>
            <w:right w:val="none" w:sz="0" w:space="0" w:color="auto"/>
          </w:divBdr>
        </w:div>
        <w:div w:id="750546717">
          <w:marLeft w:val="0"/>
          <w:marRight w:val="0"/>
          <w:marTop w:val="0"/>
          <w:marBottom w:val="0"/>
          <w:divBdr>
            <w:top w:val="none" w:sz="0" w:space="0" w:color="auto"/>
            <w:left w:val="none" w:sz="0" w:space="0" w:color="auto"/>
            <w:bottom w:val="none" w:sz="0" w:space="0" w:color="auto"/>
            <w:right w:val="none" w:sz="0" w:space="0" w:color="auto"/>
          </w:divBdr>
        </w:div>
        <w:div w:id="768812888">
          <w:marLeft w:val="0"/>
          <w:marRight w:val="0"/>
          <w:marTop w:val="0"/>
          <w:marBottom w:val="0"/>
          <w:divBdr>
            <w:top w:val="none" w:sz="0" w:space="0" w:color="auto"/>
            <w:left w:val="none" w:sz="0" w:space="0" w:color="auto"/>
            <w:bottom w:val="none" w:sz="0" w:space="0" w:color="auto"/>
            <w:right w:val="none" w:sz="0" w:space="0" w:color="auto"/>
          </w:divBdr>
        </w:div>
        <w:div w:id="787820999">
          <w:marLeft w:val="0"/>
          <w:marRight w:val="0"/>
          <w:marTop w:val="0"/>
          <w:marBottom w:val="0"/>
          <w:divBdr>
            <w:top w:val="none" w:sz="0" w:space="0" w:color="auto"/>
            <w:left w:val="none" w:sz="0" w:space="0" w:color="auto"/>
            <w:bottom w:val="none" w:sz="0" w:space="0" w:color="auto"/>
            <w:right w:val="none" w:sz="0" w:space="0" w:color="auto"/>
          </w:divBdr>
        </w:div>
        <w:div w:id="840700951">
          <w:marLeft w:val="0"/>
          <w:marRight w:val="0"/>
          <w:marTop w:val="0"/>
          <w:marBottom w:val="0"/>
          <w:divBdr>
            <w:top w:val="none" w:sz="0" w:space="0" w:color="auto"/>
            <w:left w:val="none" w:sz="0" w:space="0" w:color="auto"/>
            <w:bottom w:val="none" w:sz="0" w:space="0" w:color="auto"/>
            <w:right w:val="none" w:sz="0" w:space="0" w:color="auto"/>
          </w:divBdr>
        </w:div>
        <w:div w:id="909578645">
          <w:marLeft w:val="0"/>
          <w:marRight w:val="0"/>
          <w:marTop w:val="0"/>
          <w:marBottom w:val="0"/>
          <w:divBdr>
            <w:top w:val="none" w:sz="0" w:space="0" w:color="auto"/>
            <w:left w:val="none" w:sz="0" w:space="0" w:color="auto"/>
            <w:bottom w:val="none" w:sz="0" w:space="0" w:color="auto"/>
            <w:right w:val="none" w:sz="0" w:space="0" w:color="auto"/>
          </w:divBdr>
        </w:div>
        <w:div w:id="966668184">
          <w:marLeft w:val="0"/>
          <w:marRight w:val="0"/>
          <w:marTop w:val="0"/>
          <w:marBottom w:val="0"/>
          <w:divBdr>
            <w:top w:val="none" w:sz="0" w:space="0" w:color="auto"/>
            <w:left w:val="none" w:sz="0" w:space="0" w:color="auto"/>
            <w:bottom w:val="none" w:sz="0" w:space="0" w:color="auto"/>
            <w:right w:val="none" w:sz="0" w:space="0" w:color="auto"/>
          </w:divBdr>
        </w:div>
        <w:div w:id="969172665">
          <w:marLeft w:val="0"/>
          <w:marRight w:val="0"/>
          <w:marTop w:val="0"/>
          <w:marBottom w:val="0"/>
          <w:divBdr>
            <w:top w:val="none" w:sz="0" w:space="0" w:color="auto"/>
            <w:left w:val="none" w:sz="0" w:space="0" w:color="auto"/>
            <w:bottom w:val="none" w:sz="0" w:space="0" w:color="auto"/>
            <w:right w:val="none" w:sz="0" w:space="0" w:color="auto"/>
          </w:divBdr>
        </w:div>
        <w:div w:id="985670635">
          <w:marLeft w:val="0"/>
          <w:marRight w:val="0"/>
          <w:marTop w:val="0"/>
          <w:marBottom w:val="0"/>
          <w:divBdr>
            <w:top w:val="none" w:sz="0" w:space="0" w:color="auto"/>
            <w:left w:val="none" w:sz="0" w:space="0" w:color="auto"/>
            <w:bottom w:val="none" w:sz="0" w:space="0" w:color="auto"/>
            <w:right w:val="none" w:sz="0" w:space="0" w:color="auto"/>
          </w:divBdr>
        </w:div>
        <w:div w:id="1037974672">
          <w:marLeft w:val="0"/>
          <w:marRight w:val="0"/>
          <w:marTop w:val="0"/>
          <w:marBottom w:val="0"/>
          <w:divBdr>
            <w:top w:val="none" w:sz="0" w:space="0" w:color="auto"/>
            <w:left w:val="none" w:sz="0" w:space="0" w:color="auto"/>
            <w:bottom w:val="none" w:sz="0" w:space="0" w:color="auto"/>
            <w:right w:val="none" w:sz="0" w:space="0" w:color="auto"/>
          </w:divBdr>
        </w:div>
        <w:div w:id="1077939803">
          <w:marLeft w:val="0"/>
          <w:marRight w:val="0"/>
          <w:marTop w:val="0"/>
          <w:marBottom w:val="0"/>
          <w:divBdr>
            <w:top w:val="none" w:sz="0" w:space="0" w:color="auto"/>
            <w:left w:val="none" w:sz="0" w:space="0" w:color="auto"/>
            <w:bottom w:val="none" w:sz="0" w:space="0" w:color="auto"/>
            <w:right w:val="none" w:sz="0" w:space="0" w:color="auto"/>
          </w:divBdr>
        </w:div>
        <w:div w:id="1089618398">
          <w:marLeft w:val="0"/>
          <w:marRight w:val="0"/>
          <w:marTop w:val="0"/>
          <w:marBottom w:val="0"/>
          <w:divBdr>
            <w:top w:val="none" w:sz="0" w:space="0" w:color="auto"/>
            <w:left w:val="none" w:sz="0" w:space="0" w:color="auto"/>
            <w:bottom w:val="none" w:sz="0" w:space="0" w:color="auto"/>
            <w:right w:val="none" w:sz="0" w:space="0" w:color="auto"/>
          </w:divBdr>
        </w:div>
        <w:div w:id="1093355457">
          <w:marLeft w:val="0"/>
          <w:marRight w:val="0"/>
          <w:marTop w:val="0"/>
          <w:marBottom w:val="0"/>
          <w:divBdr>
            <w:top w:val="none" w:sz="0" w:space="0" w:color="auto"/>
            <w:left w:val="none" w:sz="0" w:space="0" w:color="auto"/>
            <w:bottom w:val="none" w:sz="0" w:space="0" w:color="auto"/>
            <w:right w:val="none" w:sz="0" w:space="0" w:color="auto"/>
          </w:divBdr>
        </w:div>
        <w:div w:id="1194920510">
          <w:marLeft w:val="0"/>
          <w:marRight w:val="0"/>
          <w:marTop w:val="0"/>
          <w:marBottom w:val="0"/>
          <w:divBdr>
            <w:top w:val="none" w:sz="0" w:space="0" w:color="auto"/>
            <w:left w:val="none" w:sz="0" w:space="0" w:color="auto"/>
            <w:bottom w:val="none" w:sz="0" w:space="0" w:color="auto"/>
            <w:right w:val="none" w:sz="0" w:space="0" w:color="auto"/>
          </w:divBdr>
        </w:div>
        <w:div w:id="1208642139">
          <w:marLeft w:val="0"/>
          <w:marRight w:val="0"/>
          <w:marTop w:val="0"/>
          <w:marBottom w:val="0"/>
          <w:divBdr>
            <w:top w:val="none" w:sz="0" w:space="0" w:color="auto"/>
            <w:left w:val="none" w:sz="0" w:space="0" w:color="auto"/>
            <w:bottom w:val="none" w:sz="0" w:space="0" w:color="auto"/>
            <w:right w:val="none" w:sz="0" w:space="0" w:color="auto"/>
          </w:divBdr>
        </w:div>
        <w:div w:id="1217546786">
          <w:marLeft w:val="0"/>
          <w:marRight w:val="0"/>
          <w:marTop w:val="0"/>
          <w:marBottom w:val="0"/>
          <w:divBdr>
            <w:top w:val="none" w:sz="0" w:space="0" w:color="auto"/>
            <w:left w:val="none" w:sz="0" w:space="0" w:color="auto"/>
            <w:bottom w:val="none" w:sz="0" w:space="0" w:color="auto"/>
            <w:right w:val="none" w:sz="0" w:space="0" w:color="auto"/>
          </w:divBdr>
        </w:div>
        <w:div w:id="1237857625">
          <w:marLeft w:val="0"/>
          <w:marRight w:val="0"/>
          <w:marTop w:val="0"/>
          <w:marBottom w:val="0"/>
          <w:divBdr>
            <w:top w:val="none" w:sz="0" w:space="0" w:color="auto"/>
            <w:left w:val="none" w:sz="0" w:space="0" w:color="auto"/>
            <w:bottom w:val="none" w:sz="0" w:space="0" w:color="auto"/>
            <w:right w:val="none" w:sz="0" w:space="0" w:color="auto"/>
          </w:divBdr>
        </w:div>
        <w:div w:id="1269658228">
          <w:marLeft w:val="0"/>
          <w:marRight w:val="0"/>
          <w:marTop w:val="0"/>
          <w:marBottom w:val="0"/>
          <w:divBdr>
            <w:top w:val="none" w:sz="0" w:space="0" w:color="auto"/>
            <w:left w:val="none" w:sz="0" w:space="0" w:color="auto"/>
            <w:bottom w:val="none" w:sz="0" w:space="0" w:color="auto"/>
            <w:right w:val="none" w:sz="0" w:space="0" w:color="auto"/>
          </w:divBdr>
        </w:div>
        <w:div w:id="1275282762">
          <w:marLeft w:val="0"/>
          <w:marRight w:val="0"/>
          <w:marTop w:val="0"/>
          <w:marBottom w:val="0"/>
          <w:divBdr>
            <w:top w:val="none" w:sz="0" w:space="0" w:color="auto"/>
            <w:left w:val="none" w:sz="0" w:space="0" w:color="auto"/>
            <w:bottom w:val="none" w:sz="0" w:space="0" w:color="auto"/>
            <w:right w:val="none" w:sz="0" w:space="0" w:color="auto"/>
          </w:divBdr>
        </w:div>
        <w:div w:id="1340893249">
          <w:marLeft w:val="0"/>
          <w:marRight w:val="0"/>
          <w:marTop w:val="0"/>
          <w:marBottom w:val="0"/>
          <w:divBdr>
            <w:top w:val="none" w:sz="0" w:space="0" w:color="auto"/>
            <w:left w:val="none" w:sz="0" w:space="0" w:color="auto"/>
            <w:bottom w:val="none" w:sz="0" w:space="0" w:color="auto"/>
            <w:right w:val="none" w:sz="0" w:space="0" w:color="auto"/>
          </w:divBdr>
        </w:div>
        <w:div w:id="1357927445">
          <w:marLeft w:val="0"/>
          <w:marRight w:val="0"/>
          <w:marTop w:val="0"/>
          <w:marBottom w:val="0"/>
          <w:divBdr>
            <w:top w:val="none" w:sz="0" w:space="0" w:color="auto"/>
            <w:left w:val="none" w:sz="0" w:space="0" w:color="auto"/>
            <w:bottom w:val="none" w:sz="0" w:space="0" w:color="auto"/>
            <w:right w:val="none" w:sz="0" w:space="0" w:color="auto"/>
          </w:divBdr>
        </w:div>
        <w:div w:id="1363096239">
          <w:marLeft w:val="0"/>
          <w:marRight w:val="0"/>
          <w:marTop w:val="0"/>
          <w:marBottom w:val="0"/>
          <w:divBdr>
            <w:top w:val="none" w:sz="0" w:space="0" w:color="auto"/>
            <w:left w:val="none" w:sz="0" w:space="0" w:color="auto"/>
            <w:bottom w:val="none" w:sz="0" w:space="0" w:color="auto"/>
            <w:right w:val="none" w:sz="0" w:space="0" w:color="auto"/>
          </w:divBdr>
        </w:div>
        <w:div w:id="1391880917">
          <w:marLeft w:val="0"/>
          <w:marRight w:val="0"/>
          <w:marTop w:val="0"/>
          <w:marBottom w:val="0"/>
          <w:divBdr>
            <w:top w:val="none" w:sz="0" w:space="0" w:color="auto"/>
            <w:left w:val="none" w:sz="0" w:space="0" w:color="auto"/>
            <w:bottom w:val="none" w:sz="0" w:space="0" w:color="auto"/>
            <w:right w:val="none" w:sz="0" w:space="0" w:color="auto"/>
          </w:divBdr>
        </w:div>
        <w:div w:id="1437406356">
          <w:marLeft w:val="0"/>
          <w:marRight w:val="0"/>
          <w:marTop w:val="0"/>
          <w:marBottom w:val="0"/>
          <w:divBdr>
            <w:top w:val="none" w:sz="0" w:space="0" w:color="auto"/>
            <w:left w:val="none" w:sz="0" w:space="0" w:color="auto"/>
            <w:bottom w:val="none" w:sz="0" w:space="0" w:color="auto"/>
            <w:right w:val="none" w:sz="0" w:space="0" w:color="auto"/>
          </w:divBdr>
        </w:div>
        <w:div w:id="1474178598">
          <w:marLeft w:val="0"/>
          <w:marRight w:val="0"/>
          <w:marTop w:val="0"/>
          <w:marBottom w:val="0"/>
          <w:divBdr>
            <w:top w:val="none" w:sz="0" w:space="0" w:color="auto"/>
            <w:left w:val="none" w:sz="0" w:space="0" w:color="auto"/>
            <w:bottom w:val="none" w:sz="0" w:space="0" w:color="auto"/>
            <w:right w:val="none" w:sz="0" w:space="0" w:color="auto"/>
          </w:divBdr>
        </w:div>
        <w:div w:id="1484614298">
          <w:marLeft w:val="0"/>
          <w:marRight w:val="0"/>
          <w:marTop w:val="0"/>
          <w:marBottom w:val="0"/>
          <w:divBdr>
            <w:top w:val="none" w:sz="0" w:space="0" w:color="auto"/>
            <w:left w:val="none" w:sz="0" w:space="0" w:color="auto"/>
            <w:bottom w:val="none" w:sz="0" w:space="0" w:color="auto"/>
            <w:right w:val="none" w:sz="0" w:space="0" w:color="auto"/>
          </w:divBdr>
        </w:div>
        <w:div w:id="1496218222">
          <w:marLeft w:val="0"/>
          <w:marRight w:val="0"/>
          <w:marTop w:val="0"/>
          <w:marBottom w:val="0"/>
          <w:divBdr>
            <w:top w:val="none" w:sz="0" w:space="0" w:color="auto"/>
            <w:left w:val="none" w:sz="0" w:space="0" w:color="auto"/>
            <w:bottom w:val="none" w:sz="0" w:space="0" w:color="auto"/>
            <w:right w:val="none" w:sz="0" w:space="0" w:color="auto"/>
          </w:divBdr>
        </w:div>
        <w:div w:id="1500198876">
          <w:marLeft w:val="0"/>
          <w:marRight w:val="0"/>
          <w:marTop w:val="0"/>
          <w:marBottom w:val="0"/>
          <w:divBdr>
            <w:top w:val="none" w:sz="0" w:space="0" w:color="auto"/>
            <w:left w:val="none" w:sz="0" w:space="0" w:color="auto"/>
            <w:bottom w:val="none" w:sz="0" w:space="0" w:color="auto"/>
            <w:right w:val="none" w:sz="0" w:space="0" w:color="auto"/>
          </w:divBdr>
        </w:div>
        <w:div w:id="1520393292">
          <w:marLeft w:val="0"/>
          <w:marRight w:val="0"/>
          <w:marTop w:val="0"/>
          <w:marBottom w:val="0"/>
          <w:divBdr>
            <w:top w:val="none" w:sz="0" w:space="0" w:color="auto"/>
            <w:left w:val="none" w:sz="0" w:space="0" w:color="auto"/>
            <w:bottom w:val="none" w:sz="0" w:space="0" w:color="auto"/>
            <w:right w:val="none" w:sz="0" w:space="0" w:color="auto"/>
          </w:divBdr>
        </w:div>
        <w:div w:id="1546064926">
          <w:marLeft w:val="0"/>
          <w:marRight w:val="0"/>
          <w:marTop w:val="0"/>
          <w:marBottom w:val="0"/>
          <w:divBdr>
            <w:top w:val="none" w:sz="0" w:space="0" w:color="auto"/>
            <w:left w:val="none" w:sz="0" w:space="0" w:color="auto"/>
            <w:bottom w:val="none" w:sz="0" w:space="0" w:color="auto"/>
            <w:right w:val="none" w:sz="0" w:space="0" w:color="auto"/>
          </w:divBdr>
        </w:div>
        <w:div w:id="1548488066">
          <w:marLeft w:val="0"/>
          <w:marRight w:val="0"/>
          <w:marTop w:val="0"/>
          <w:marBottom w:val="0"/>
          <w:divBdr>
            <w:top w:val="none" w:sz="0" w:space="0" w:color="auto"/>
            <w:left w:val="none" w:sz="0" w:space="0" w:color="auto"/>
            <w:bottom w:val="none" w:sz="0" w:space="0" w:color="auto"/>
            <w:right w:val="none" w:sz="0" w:space="0" w:color="auto"/>
          </w:divBdr>
        </w:div>
        <w:div w:id="1564100529">
          <w:marLeft w:val="0"/>
          <w:marRight w:val="0"/>
          <w:marTop w:val="0"/>
          <w:marBottom w:val="0"/>
          <w:divBdr>
            <w:top w:val="none" w:sz="0" w:space="0" w:color="auto"/>
            <w:left w:val="none" w:sz="0" w:space="0" w:color="auto"/>
            <w:bottom w:val="none" w:sz="0" w:space="0" w:color="auto"/>
            <w:right w:val="none" w:sz="0" w:space="0" w:color="auto"/>
          </w:divBdr>
        </w:div>
        <w:div w:id="1573195384">
          <w:marLeft w:val="0"/>
          <w:marRight w:val="0"/>
          <w:marTop w:val="0"/>
          <w:marBottom w:val="0"/>
          <w:divBdr>
            <w:top w:val="none" w:sz="0" w:space="0" w:color="auto"/>
            <w:left w:val="none" w:sz="0" w:space="0" w:color="auto"/>
            <w:bottom w:val="none" w:sz="0" w:space="0" w:color="auto"/>
            <w:right w:val="none" w:sz="0" w:space="0" w:color="auto"/>
          </w:divBdr>
        </w:div>
        <w:div w:id="1646735746">
          <w:marLeft w:val="0"/>
          <w:marRight w:val="0"/>
          <w:marTop w:val="0"/>
          <w:marBottom w:val="0"/>
          <w:divBdr>
            <w:top w:val="none" w:sz="0" w:space="0" w:color="auto"/>
            <w:left w:val="none" w:sz="0" w:space="0" w:color="auto"/>
            <w:bottom w:val="none" w:sz="0" w:space="0" w:color="auto"/>
            <w:right w:val="none" w:sz="0" w:space="0" w:color="auto"/>
          </w:divBdr>
        </w:div>
        <w:div w:id="1670063579">
          <w:marLeft w:val="0"/>
          <w:marRight w:val="0"/>
          <w:marTop w:val="0"/>
          <w:marBottom w:val="0"/>
          <w:divBdr>
            <w:top w:val="none" w:sz="0" w:space="0" w:color="auto"/>
            <w:left w:val="none" w:sz="0" w:space="0" w:color="auto"/>
            <w:bottom w:val="none" w:sz="0" w:space="0" w:color="auto"/>
            <w:right w:val="none" w:sz="0" w:space="0" w:color="auto"/>
          </w:divBdr>
        </w:div>
        <w:div w:id="1695425907">
          <w:marLeft w:val="0"/>
          <w:marRight w:val="0"/>
          <w:marTop w:val="0"/>
          <w:marBottom w:val="0"/>
          <w:divBdr>
            <w:top w:val="none" w:sz="0" w:space="0" w:color="auto"/>
            <w:left w:val="none" w:sz="0" w:space="0" w:color="auto"/>
            <w:bottom w:val="none" w:sz="0" w:space="0" w:color="auto"/>
            <w:right w:val="none" w:sz="0" w:space="0" w:color="auto"/>
          </w:divBdr>
        </w:div>
        <w:div w:id="1719478435">
          <w:marLeft w:val="0"/>
          <w:marRight w:val="0"/>
          <w:marTop w:val="0"/>
          <w:marBottom w:val="0"/>
          <w:divBdr>
            <w:top w:val="none" w:sz="0" w:space="0" w:color="auto"/>
            <w:left w:val="none" w:sz="0" w:space="0" w:color="auto"/>
            <w:bottom w:val="none" w:sz="0" w:space="0" w:color="auto"/>
            <w:right w:val="none" w:sz="0" w:space="0" w:color="auto"/>
          </w:divBdr>
        </w:div>
        <w:div w:id="1725253930">
          <w:marLeft w:val="0"/>
          <w:marRight w:val="0"/>
          <w:marTop w:val="0"/>
          <w:marBottom w:val="0"/>
          <w:divBdr>
            <w:top w:val="none" w:sz="0" w:space="0" w:color="auto"/>
            <w:left w:val="none" w:sz="0" w:space="0" w:color="auto"/>
            <w:bottom w:val="none" w:sz="0" w:space="0" w:color="auto"/>
            <w:right w:val="none" w:sz="0" w:space="0" w:color="auto"/>
          </w:divBdr>
        </w:div>
        <w:div w:id="1750157415">
          <w:marLeft w:val="0"/>
          <w:marRight w:val="0"/>
          <w:marTop w:val="0"/>
          <w:marBottom w:val="0"/>
          <w:divBdr>
            <w:top w:val="none" w:sz="0" w:space="0" w:color="auto"/>
            <w:left w:val="none" w:sz="0" w:space="0" w:color="auto"/>
            <w:bottom w:val="none" w:sz="0" w:space="0" w:color="auto"/>
            <w:right w:val="none" w:sz="0" w:space="0" w:color="auto"/>
          </w:divBdr>
        </w:div>
        <w:div w:id="1806660113">
          <w:marLeft w:val="0"/>
          <w:marRight w:val="0"/>
          <w:marTop w:val="0"/>
          <w:marBottom w:val="0"/>
          <w:divBdr>
            <w:top w:val="none" w:sz="0" w:space="0" w:color="auto"/>
            <w:left w:val="none" w:sz="0" w:space="0" w:color="auto"/>
            <w:bottom w:val="none" w:sz="0" w:space="0" w:color="auto"/>
            <w:right w:val="none" w:sz="0" w:space="0" w:color="auto"/>
          </w:divBdr>
        </w:div>
        <w:div w:id="1818064139">
          <w:marLeft w:val="0"/>
          <w:marRight w:val="0"/>
          <w:marTop w:val="0"/>
          <w:marBottom w:val="0"/>
          <w:divBdr>
            <w:top w:val="none" w:sz="0" w:space="0" w:color="auto"/>
            <w:left w:val="none" w:sz="0" w:space="0" w:color="auto"/>
            <w:bottom w:val="none" w:sz="0" w:space="0" w:color="auto"/>
            <w:right w:val="none" w:sz="0" w:space="0" w:color="auto"/>
          </w:divBdr>
        </w:div>
        <w:div w:id="1821388999">
          <w:marLeft w:val="0"/>
          <w:marRight w:val="0"/>
          <w:marTop w:val="0"/>
          <w:marBottom w:val="0"/>
          <w:divBdr>
            <w:top w:val="none" w:sz="0" w:space="0" w:color="auto"/>
            <w:left w:val="none" w:sz="0" w:space="0" w:color="auto"/>
            <w:bottom w:val="none" w:sz="0" w:space="0" w:color="auto"/>
            <w:right w:val="none" w:sz="0" w:space="0" w:color="auto"/>
          </w:divBdr>
        </w:div>
        <w:div w:id="1854759360">
          <w:marLeft w:val="0"/>
          <w:marRight w:val="0"/>
          <w:marTop w:val="0"/>
          <w:marBottom w:val="0"/>
          <w:divBdr>
            <w:top w:val="none" w:sz="0" w:space="0" w:color="auto"/>
            <w:left w:val="none" w:sz="0" w:space="0" w:color="auto"/>
            <w:bottom w:val="none" w:sz="0" w:space="0" w:color="auto"/>
            <w:right w:val="none" w:sz="0" w:space="0" w:color="auto"/>
          </w:divBdr>
        </w:div>
        <w:div w:id="1864440267">
          <w:marLeft w:val="0"/>
          <w:marRight w:val="0"/>
          <w:marTop w:val="0"/>
          <w:marBottom w:val="0"/>
          <w:divBdr>
            <w:top w:val="none" w:sz="0" w:space="0" w:color="auto"/>
            <w:left w:val="none" w:sz="0" w:space="0" w:color="auto"/>
            <w:bottom w:val="none" w:sz="0" w:space="0" w:color="auto"/>
            <w:right w:val="none" w:sz="0" w:space="0" w:color="auto"/>
          </w:divBdr>
        </w:div>
        <w:div w:id="1864443177">
          <w:marLeft w:val="0"/>
          <w:marRight w:val="0"/>
          <w:marTop w:val="0"/>
          <w:marBottom w:val="0"/>
          <w:divBdr>
            <w:top w:val="none" w:sz="0" w:space="0" w:color="auto"/>
            <w:left w:val="none" w:sz="0" w:space="0" w:color="auto"/>
            <w:bottom w:val="none" w:sz="0" w:space="0" w:color="auto"/>
            <w:right w:val="none" w:sz="0" w:space="0" w:color="auto"/>
          </w:divBdr>
        </w:div>
        <w:div w:id="1894651805">
          <w:marLeft w:val="0"/>
          <w:marRight w:val="0"/>
          <w:marTop w:val="0"/>
          <w:marBottom w:val="0"/>
          <w:divBdr>
            <w:top w:val="none" w:sz="0" w:space="0" w:color="auto"/>
            <w:left w:val="none" w:sz="0" w:space="0" w:color="auto"/>
            <w:bottom w:val="none" w:sz="0" w:space="0" w:color="auto"/>
            <w:right w:val="none" w:sz="0" w:space="0" w:color="auto"/>
          </w:divBdr>
        </w:div>
        <w:div w:id="1910269172">
          <w:marLeft w:val="0"/>
          <w:marRight w:val="0"/>
          <w:marTop w:val="0"/>
          <w:marBottom w:val="0"/>
          <w:divBdr>
            <w:top w:val="none" w:sz="0" w:space="0" w:color="auto"/>
            <w:left w:val="none" w:sz="0" w:space="0" w:color="auto"/>
            <w:bottom w:val="none" w:sz="0" w:space="0" w:color="auto"/>
            <w:right w:val="none" w:sz="0" w:space="0" w:color="auto"/>
          </w:divBdr>
        </w:div>
        <w:div w:id="1911041499">
          <w:marLeft w:val="0"/>
          <w:marRight w:val="0"/>
          <w:marTop w:val="0"/>
          <w:marBottom w:val="0"/>
          <w:divBdr>
            <w:top w:val="none" w:sz="0" w:space="0" w:color="auto"/>
            <w:left w:val="none" w:sz="0" w:space="0" w:color="auto"/>
            <w:bottom w:val="none" w:sz="0" w:space="0" w:color="auto"/>
            <w:right w:val="none" w:sz="0" w:space="0" w:color="auto"/>
          </w:divBdr>
        </w:div>
        <w:div w:id="1957134145">
          <w:marLeft w:val="0"/>
          <w:marRight w:val="0"/>
          <w:marTop w:val="0"/>
          <w:marBottom w:val="0"/>
          <w:divBdr>
            <w:top w:val="none" w:sz="0" w:space="0" w:color="auto"/>
            <w:left w:val="none" w:sz="0" w:space="0" w:color="auto"/>
            <w:bottom w:val="none" w:sz="0" w:space="0" w:color="auto"/>
            <w:right w:val="none" w:sz="0" w:space="0" w:color="auto"/>
          </w:divBdr>
        </w:div>
        <w:div w:id="2008047368">
          <w:marLeft w:val="0"/>
          <w:marRight w:val="0"/>
          <w:marTop w:val="0"/>
          <w:marBottom w:val="0"/>
          <w:divBdr>
            <w:top w:val="none" w:sz="0" w:space="0" w:color="auto"/>
            <w:left w:val="none" w:sz="0" w:space="0" w:color="auto"/>
            <w:bottom w:val="none" w:sz="0" w:space="0" w:color="auto"/>
            <w:right w:val="none" w:sz="0" w:space="0" w:color="auto"/>
          </w:divBdr>
        </w:div>
        <w:div w:id="2051605750">
          <w:marLeft w:val="0"/>
          <w:marRight w:val="0"/>
          <w:marTop w:val="0"/>
          <w:marBottom w:val="0"/>
          <w:divBdr>
            <w:top w:val="none" w:sz="0" w:space="0" w:color="auto"/>
            <w:left w:val="none" w:sz="0" w:space="0" w:color="auto"/>
            <w:bottom w:val="none" w:sz="0" w:space="0" w:color="auto"/>
            <w:right w:val="none" w:sz="0" w:space="0" w:color="auto"/>
          </w:divBdr>
        </w:div>
        <w:div w:id="2071224559">
          <w:marLeft w:val="0"/>
          <w:marRight w:val="0"/>
          <w:marTop w:val="0"/>
          <w:marBottom w:val="0"/>
          <w:divBdr>
            <w:top w:val="none" w:sz="0" w:space="0" w:color="auto"/>
            <w:left w:val="none" w:sz="0" w:space="0" w:color="auto"/>
            <w:bottom w:val="none" w:sz="0" w:space="0" w:color="auto"/>
            <w:right w:val="none" w:sz="0" w:space="0" w:color="auto"/>
          </w:divBdr>
        </w:div>
        <w:div w:id="2093895733">
          <w:marLeft w:val="0"/>
          <w:marRight w:val="0"/>
          <w:marTop w:val="0"/>
          <w:marBottom w:val="0"/>
          <w:divBdr>
            <w:top w:val="none" w:sz="0" w:space="0" w:color="auto"/>
            <w:left w:val="none" w:sz="0" w:space="0" w:color="auto"/>
            <w:bottom w:val="none" w:sz="0" w:space="0" w:color="auto"/>
            <w:right w:val="none" w:sz="0" w:space="0" w:color="auto"/>
          </w:divBdr>
        </w:div>
        <w:div w:id="2096708199">
          <w:marLeft w:val="0"/>
          <w:marRight w:val="0"/>
          <w:marTop w:val="0"/>
          <w:marBottom w:val="0"/>
          <w:divBdr>
            <w:top w:val="none" w:sz="0" w:space="0" w:color="auto"/>
            <w:left w:val="none" w:sz="0" w:space="0" w:color="auto"/>
            <w:bottom w:val="none" w:sz="0" w:space="0" w:color="auto"/>
            <w:right w:val="none" w:sz="0" w:space="0" w:color="auto"/>
          </w:divBdr>
        </w:div>
        <w:div w:id="2097165458">
          <w:marLeft w:val="0"/>
          <w:marRight w:val="0"/>
          <w:marTop w:val="0"/>
          <w:marBottom w:val="0"/>
          <w:divBdr>
            <w:top w:val="none" w:sz="0" w:space="0" w:color="auto"/>
            <w:left w:val="none" w:sz="0" w:space="0" w:color="auto"/>
            <w:bottom w:val="none" w:sz="0" w:space="0" w:color="auto"/>
            <w:right w:val="none" w:sz="0" w:space="0" w:color="auto"/>
          </w:divBdr>
        </w:div>
        <w:div w:id="2117944917">
          <w:marLeft w:val="0"/>
          <w:marRight w:val="0"/>
          <w:marTop w:val="0"/>
          <w:marBottom w:val="0"/>
          <w:divBdr>
            <w:top w:val="none" w:sz="0" w:space="0" w:color="auto"/>
            <w:left w:val="none" w:sz="0" w:space="0" w:color="auto"/>
            <w:bottom w:val="none" w:sz="0" w:space="0" w:color="auto"/>
            <w:right w:val="none" w:sz="0" w:space="0" w:color="auto"/>
          </w:divBdr>
        </w:div>
        <w:div w:id="2131820928">
          <w:marLeft w:val="0"/>
          <w:marRight w:val="0"/>
          <w:marTop w:val="0"/>
          <w:marBottom w:val="0"/>
          <w:divBdr>
            <w:top w:val="none" w:sz="0" w:space="0" w:color="auto"/>
            <w:left w:val="none" w:sz="0" w:space="0" w:color="auto"/>
            <w:bottom w:val="none" w:sz="0" w:space="0" w:color="auto"/>
            <w:right w:val="none" w:sz="0" w:space="0" w:color="auto"/>
          </w:divBdr>
        </w:div>
        <w:div w:id="2133473822">
          <w:marLeft w:val="0"/>
          <w:marRight w:val="0"/>
          <w:marTop w:val="0"/>
          <w:marBottom w:val="0"/>
          <w:divBdr>
            <w:top w:val="none" w:sz="0" w:space="0" w:color="auto"/>
            <w:left w:val="none" w:sz="0" w:space="0" w:color="auto"/>
            <w:bottom w:val="none" w:sz="0" w:space="0" w:color="auto"/>
            <w:right w:val="none" w:sz="0" w:space="0" w:color="auto"/>
          </w:divBdr>
        </w:div>
        <w:div w:id="2141607384">
          <w:marLeft w:val="0"/>
          <w:marRight w:val="0"/>
          <w:marTop w:val="0"/>
          <w:marBottom w:val="0"/>
          <w:divBdr>
            <w:top w:val="none" w:sz="0" w:space="0" w:color="auto"/>
            <w:left w:val="none" w:sz="0" w:space="0" w:color="auto"/>
            <w:bottom w:val="none" w:sz="0" w:space="0" w:color="auto"/>
            <w:right w:val="none" w:sz="0" w:space="0" w:color="auto"/>
          </w:divBdr>
        </w:div>
      </w:divsChild>
    </w:div>
    <w:div w:id="1196044503">
      <w:bodyDiv w:val="1"/>
      <w:marLeft w:val="0"/>
      <w:marRight w:val="0"/>
      <w:marTop w:val="0"/>
      <w:marBottom w:val="0"/>
      <w:divBdr>
        <w:top w:val="none" w:sz="0" w:space="0" w:color="auto"/>
        <w:left w:val="none" w:sz="0" w:space="0" w:color="auto"/>
        <w:bottom w:val="none" w:sz="0" w:space="0" w:color="auto"/>
        <w:right w:val="none" w:sz="0" w:space="0" w:color="auto"/>
      </w:divBdr>
      <w:divsChild>
        <w:div w:id="328950888">
          <w:marLeft w:val="547"/>
          <w:marRight w:val="0"/>
          <w:marTop w:val="0"/>
          <w:marBottom w:val="0"/>
          <w:divBdr>
            <w:top w:val="none" w:sz="0" w:space="0" w:color="auto"/>
            <w:left w:val="none" w:sz="0" w:space="0" w:color="auto"/>
            <w:bottom w:val="none" w:sz="0" w:space="0" w:color="auto"/>
            <w:right w:val="none" w:sz="0" w:space="0" w:color="auto"/>
          </w:divBdr>
        </w:div>
        <w:div w:id="1020474627">
          <w:marLeft w:val="547"/>
          <w:marRight w:val="0"/>
          <w:marTop w:val="0"/>
          <w:marBottom w:val="0"/>
          <w:divBdr>
            <w:top w:val="none" w:sz="0" w:space="0" w:color="auto"/>
            <w:left w:val="none" w:sz="0" w:space="0" w:color="auto"/>
            <w:bottom w:val="none" w:sz="0" w:space="0" w:color="auto"/>
            <w:right w:val="none" w:sz="0" w:space="0" w:color="auto"/>
          </w:divBdr>
        </w:div>
        <w:div w:id="1582105455">
          <w:marLeft w:val="547"/>
          <w:marRight w:val="0"/>
          <w:marTop w:val="0"/>
          <w:marBottom w:val="0"/>
          <w:divBdr>
            <w:top w:val="none" w:sz="0" w:space="0" w:color="auto"/>
            <w:left w:val="none" w:sz="0" w:space="0" w:color="auto"/>
            <w:bottom w:val="none" w:sz="0" w:space="0" w:color="auto"/>
            <w:right w:val="none" w:sz="0" w:space="0" w:color="auto"/>
          </w:divBdr>
        </w:div>
        <w:div w:id="1615558802">
          <w:marLeft w:val="547"/>
          <w:marRight w:val="0"/>
          <w:marTop w:val="0"/>
          <w:marBottom w:val="0"/>
          <w:divBdr>
            <w:top w:val="none" w:sz="0" w:space="0" w:color="auto"/>
            <w:left w:val="none" w:sz="0" w:space="0" w:color="auto"/>
            <w:bottom w:val="none" w:sz="0" w:space="0" w:color="auto"/>
            <w:right w:val="none" w:sz="0" w:space="0" w:color="auto"/>
          </w:divBdr>
        </w:div>
        <w:div w:id="2023579218">
          <w:marLeft w:val="547"/>
          <w:marRight w:val="0"/>
          <w:marTop w:val="0"/>
          <w:marBottom w:val="0"/>
          <w:divBdr>
            <w:top w:val="none" w:sz="0" w:space="0" w:color="auto"/>
            <w:left w:val="none" w:sz="0" w:space="0" w:color="auto"/>
            <w:bottom w:val="none" w:sz="0" w:space="0" w:color="auto"/>
            <w:right w:val="none" w:sz="0" w:space="0" w:color="auto"/>
          </w:divBdr>
        </w:div>
      </w:divsChild>
    </w:div>
    <w:div w:id="1204056325">
      <w:bodyDiv w:val="1"/>
      <w:marLeft w:val="0"/>
      <w:marRight w:val="0"/>
      <w:marTop w:val="0"/>
      <w:marBottom w:val="0"/>
      <w:divBdr>
        <w:top w:val="none" w:sz="0" w:space="0" w:color="auto"/>
        <w:left w:val="none" w:sz="0" w:space="0" w:color="auto"/>
        <w:bottom w:val="none" w:sz="0" w:space="0" w:color="auto"/>
        <w:right w:val="none" w:sz="0" w:space="0" w:color="auto"/>
      </w:divBdr>
      <w:divsChild>
        <w:div w:id="364643686">
          <w:marLeft w:val="0"/>
          <w:marRight w:val="0"/>
          <w:marTop w:val="0"/>
          <w:marBottom w:val="0"/>
          <w:divBdr>
            <w:top w:val="none" w:sz="0" w:space="0" w:color="auto"/>
            <w:left w:val="none" w:sz="0" w:space="0" w:color="auto"/>
            <w:bottom w:val="none" w:sz="0" w:space="0" w:color="auto"/>
            <w:right w:val="none" w:sz="0" w:space="0" w:color="auto"/>
          </w:divBdr>
        </w:div>
        <w:div w:id="474378174">
          <w:marLeft w:val="0"/>
          <w:marRight w:val="0"/>
          <w:marTop w:val="0"/>
          <w:marBottom w:val="0"/>
          <w:divBdr>
            <w:top w:val="none" w:sz="0" w:space="0" w:color="auto"/>
            <w:left w:val="none" w:sz="0" w:space="0" w:color="auto"/>
            <w:bottom w:val="none" w:sz="0" w:space="0" w:color="auto"/>
            <w:right w:val="none" w:sz="0" w:space="0" w:color="auto"/>
          </w:divBdr>
        </w:div>
        <w:div w:id="559823591">
          <w:marLeft w:val="0"/>
          <w:marRight w:val="0"/>
          <w:marTop w:val="0"/>
          <w:marBottom w:val="0"/>
          <w:divBdr>
            <w:top w:val="none" w:sz="0" w:space="0" w:color="auto"/>
            <w:left w:val="none" w:sz="0" w:space="0" w:color="auto"/>
            <w:bottom w:val="none" w:sz="0" w:space="0" w:color="auto"/>
            <w:right w:val="none" w:sz="0" w:space="0" w:color="auto"/>
          </w:divBdr>
        </w:div>
        <w:div w:id="925307647">
          <w:marLeft w:val="0"/>
          <w:marRight w:val="0"/>
          <w:marTop w:val="0"/>
          <w:marBottom w:val="0"/>
          <w:divBdr>
            <w:top w:val="none" w:sz="0" w:space="0" w:color="auto"/>
            <w:left w:val="none" w:sz="0" w:space="0" w:color="auto"/>
            <w:bottom w:val="none" w:sz="0" w:space="0" w:color="auto"/>
            <w:right w:val="none" w:sz="0" w:space="0" w:color="auto"/>
          </w:divBdr>
        </w:div>
        <w:div w:id="941910871">
          <w:marLeft w:val="0"/>
          <w:marRight w:val="0"/>
          <w:marTop w:val="0"/>
          <w:marBottom w:val="0"/>
          <w:divBdr>
            <w:top w:val="none" w:sz="0" w:space="0" w:color="auto"/>
            <w:left w:val="none" w:sz="0" w:space="0" w:color="auto"/>
            <w:bottom w:val="none" w:sz="0" w:space="0" w:color="auto"/>
            <w:right w:val="none" w:sz="0" w:space="0" w:color="auto"/>
          </w:divBdr>
        </w:div>
        <w:div w:id="1145664203">
          <w:marLeft w:val="0"/>
          <w:marRight w:val="0"/>
          <w:marTop w:val="0"/>
          <w:marBottom w:val="0"/>
          <w:divBdr>
            <w:top w:val="none" w:sz="0" w:space="0" w:color="auto"/>
            <w:left w:val="none" w:sz="0" w:space="0" w:color="auto"/>
            <w:bottom w:val="none" w:sz="0" w:space="0" w:color="auto"/>
            <w:right w:val="none" w:sz="0" w:space="0" w:color="auto"/>
          </w:divBdr>
        </w:div>
        <w:div w:id="1416396355">
          <w:marLeft w:val="0"/>
          <w:marRight w:val="0"/>
          <w:marTop w:val="0"/>
          <w:marBottom w:val="0"/>
          <w:divBdr>
            <w:top w:val="none" w:sz="0" w:space="0" w:color="auto"/>
            <w:left w:val="none" w:sz="0" w:space="0" w:color="auto"/>
            <w:bottom w:val="none" w:sz="0" w:space="0" w:color="auto"/>
            <w:right w:val="none" w:sz="0" w:space="0" w:color="auto"/>
          </w:divBdr>
        </w:div>
        <w:div w:id="1498693394">
          <w:marLeft w:val="0"/>
          <w:marRight w:val="0"/>
          <w:marTop w:val="0"/>
          <w:marBottom w:val="0"/>
          <w:divBdr>
            <w:top w:val="none" w:sz="0" w:space="0" w:color="auto"/>
            <w:left w:val="none" w:sz="0" w:space="0" w:color="auto"/>
            <w:bottom w:val="none" w:sz="0" w:space="0" w:color="auto"/>
            <w:right w:val="none" w:sz="0" w:space="0" w:color="auto"/>
          </w:divBdr>
        </w:div>
        <w:div w:id="1769232202">
          <w:marLeft w:val="0"/>
          <w:marRight w:val="0"/>
          <w:marTop w:val="0"/>
          <w:marBottom w:val="0"/>
          <w:divBdr>
            <w:top w:val="none" w:sz="0" w:space="0" w:color="auto"/>
            <w:left w:val="none" w:sz="0" w:space="0" w:color="auto"/>
            <w:bottom w:val="none" w:sz="0" w:space="0" w:color="auto"/>
            <w:right w:val="none" w:sz="0" w:space="0" w:color="auto"/>
          </w:divBdr>
        </w:div>
        <w:div w:id="1911500377">
          <w:marLeft w:val="0"/>
          <w:marRight w:val="0"/>
          <w:marTop w:val="0"/>
          <w:marBottom w:val="0"/>
          <w:divBdr>
            <w:top w:val="none" w:sz="0" w:space="0" w:color="auto"/>
            <w:left w:val="none" w:sz="0" w:space="0" w:color="auto"/>
            <w:bottom w:val="none" w:sz="0" w:space="0" w:color="auto"/>
            <w:right w:val="none" w:sz="0" w:space="0" w:color="auto"/>
          </w:divBdr>
        </w:div>
        <w:div w:id="1975481972">
          <w:marLeft w:val="0"/>
          <w:marRight w:val="0"/>
          <w:marTop w:val="0"/>
          <w:marBottom w:val="0"/>
          <w:divBdr>
            <w:top w:val="none" w:sz="0" w:space="0" w:color="auto"/>
            <w:left w:val="none" w:sz="0" w:space="0" w:color="auto"/>
            <w:bottom w:val="none" w:sz="0" w:space="0" w:color="auto"/>
            <w:right w:val="none" w:sz="0" w:space="0" w:color="auto"/>
          </w:divBdr>
        </w:div>
        <w:div w:id="2095203034">
          <w:marLeft w:val="0"/>
          <w:marRight w:val="0"/>
          <w:marTop w:val="0"/>
          <w:marBottom w:val="0"/>
          <w:divBdr>
            <w:top w:val="none" w:sz="0" w:space="0" w:color="auto"/>
            <w:left w:val="none" w:sz="0" w:space="0" w:color="auto"/>
            <w:bottom w:val="none" w:sz="0" w:space="0" w:color="auto"/>
            <w:right w:val="none" w:sz="0" w:space="0" w:color="auto"/>
          </w:divBdr>
        </w:div>
      </w:divsChild>
    </w:div>
    <w:div w:id="1208687101">
      <w:bodyDiv w:val="1"/>
      <w:marLeft w:val="0"/>
      <w:marRight w:val="0"/>
      <w:marTop w:val="0"/>
      <w:marBottom w:val="0"/>
      <w:divBdr>
        <w:top w:val="none" w:sz="0" w:space="0" w:color="auto"/>
        <w:left w:val="none" w:sz="0" w:space="0" w:color="auto"/>
        <w:bottom w:val="none" w:sz="0" w:space="0" w:color="auto"/>
        <w:right w:val="none" w:sz="0" w:space="0" w:color="auto"/>
      </w:divBdr>
      <w:divsChild>
        <w:div w:id="465395047">
          <w:marLeft w:val="0"/>
          <w:marRight w:val="0"/>
          <w:marTop w:val="0"/>
          <w:marBottom w:val="0"/>
          <w:divBdr>
            <w:top w:val="none" w:sz="0" w:space="0" w:color="auto"/>
            <w:left w:val="none" w:sz="0" w:space="0" w:color="auto"/>
            <w:bottom w:val="none" w:sz="0" w:space="0" w:color="auto"/>
            <w:right w:val="none" w:sz="0" w:space="0" w:color="auto"/>
          </w:divBdr>
        </w:div>
        <w:div w:id="1371690429">
          <w:marLeft w:val="0"/>
          <w:marRight w:val="0"/>
          <w:marTop w:val="0"/>
          <w:marBottom w:val="0"/>
          <w:divBdr>
            <w:top w:val="none" w:sz="0" w:space="0" w:color="auto"/>
            <w:left w:val="none" w:sz="0" w:space="0" w:color="auto"/>
            <w:bottom w:val="none" w:sz="0" w:space="0" w:color="auto"/>
            <w:right w:val="none" w:sz="0" w:space="0" w:color="auto"/>
          </w:divBdr>
        </w:div>
        <w:div w:id="1495412728">
          <w:marLeft w:val="0"/>
          <w:marRight w:val="0"/>
          <w:marTop w:val="0"/>
          <w:marBottom w:val="0"/>
          <w:divBdr>
            <w:top w:val="none" w:sz="0" w:space="0" w:color="auto"/>
            <w:left w:val="none" w:sz="0" w:space="0" w:color="auto"/>
            <w:bottom w:val="none" w:sz="0" w:space="0" w:color="auto"/>
            <w:right w:val="none" w:sz="0" w:space="0" w:color="auto"/>
          </w:divBdr>
        </w:div>
        <w:div w:id="1560705121">
          <w:marLeft w:val="0"/>
          <w:marRight w:val="0"/>
          <w:marTop w:val="0"/>
          <w:marBottom w:val="0"/>
          <w:divBdr>
            <w:top w:val="none" w:sz="0" w:space="0" w:color="auto"/>
            <w:left w:val="none" w:sz="0" w:space="0" w:color="auto"/>
            <w:bottom w:val="none" w:sz="0" w:space="0" w:color="auto"/>
            <w:right w:val="none" w:sz="0" w:space="0" w:color="auto"/>
          </w:divBdr>
        </w:div>
        <w:div w:id="2117364104">
          <w:marLeft w:val="0"/>
          <w:marRight w:val="0"/>
          <w:marTop w:val="0"/>
          <w:marBottom w:val="0"/>
          <w:divBdr>
            <w:top w:val="none" w:sz="0" w:space="0" w:color="auto"/>
            <w:left w:val="none" w:sz="0" w:space="0" w:color="auto"/>
            <w:bottom w:val="none" w:sz="0" w:space="0" w:color="auto"/>
            <w:right w:val="none" w:sz="0" w:space="0" w:color="auto"/>
          </w:divBdr>
        </w:div>
      </w:divsChild>
    </w:div>
    <w:div w:id="1209299441">
      <w:bodyDiv w:val="1"/>
      <w:marLeft w:val="0"/>
      <w:marRight w:val="0"/>
      <w:marTop w:val="0"/>
      <w:marBottom w:val="0"/>
      <w:divBdr>
        <w:top w:val="none" w:sz="0" w:space="0" w:color="auto"/>
        <w:left w:val="none" w:sz="0" w:space="0" w:color="auto"/>
        <w:bottom w:val="none" w:sz="0" w:space="0" w:color="auto"/>
        <w:right w:val="none" w:sz="0" w:space="0" w:color="auto"/>
      </w:divBdr>
      <w:divsChild>
        <w:div w:id="774440779">
          <w:marLeft w:val="0"/>
          <w:marRight w:val="0"/>
          <w:marTop w:val="0"/>
          <w:marBottom w:val="0"/>
          <w:divBdr>
            <w:top w:val="none" w:sz="0" w:space="0" w:color="auto"/>
            <w:left w:val="none" w:sz="0" w:space="0" w:color="auto"/>
            <w:bottom w:val="none" w:sz="0" w:space="0" w:color="auto"/>
            <w:right w:val="none" w:sz="0" w:space="0" w:color="auto"/>
          </w:divBdr>
        </w:div>
        <w:div w:id="1145659230">
          <w:marLeft w:val="0"/>
          <w:marRight w:val="0"/>
          <w:marTop w:val="0"/>
          <w:marBottom w:val="0"/>
          <w:divBdr>
            <w:top w:val="none" w:sz="0" w:space="0" w:color="auto"/>
            <w:left w:val="none" w:sz="0" w:space="0" w:color="auto"/>
            <w:bottom w:val="none" w:sz="0" w:space="0" w:color="auto"/>
            <w:right w:val="none" w:sz="0" w:space="0" w:color="auto"/>
          </w:divBdr>
        </w:div>
        <w:div w:id="1324430665">
          <w:marLeft w:val="0"/>
          <w:marRight w:val="0"/>
          <w:marTop w:val="0"/>
          <w:marBottom w:val="0"/>
          <w:divBdr>
            <w:top w:val="none" w:sz="0" w:space="0" w:color="auto"/>
            <w:left w:val="none" w:sz="0" w:space="0" w:color="auto"/>
            <w:bottom w:val="none" w:sz="0" w:space="0" w:color="auto"/>
            <w:right w:val="none" w:sz="0" w:space="0" w:color="auto"/>
          </w:divBdr>
        </w:div>
        <w:div w:id="1987665229">
          <w:marLeft w:val="0"/>
          <w:marRight w:val="0"/>
          <w:marTop w:val="0"/>
          <w:marBottom w:val="0"/>
          <w:divBdr>
            <w:top w:val="none" w:sz="0" w:space="0" w:color="auto"/>
            <w:left w:val="none" w:sz="0" w:space="0" w:color="auto"/>
            <w:bottom w:val="none" w:sz="0" w:space="0" w:color="auto"/>
            <w:right w:val="none" w:sz="0" w:space="0" w:color="auto"/>
          </w:divBdr>
        </w:div>
        <w:div w:id="2030832739">
          <w:marLeft w:val="0"/>
          <w:marRight w:val="0"/>
          <w:marTop w:val="0"/>
          <w:marBottom w:val="0"/>
          <w:divBdr>
            <w:top w:val="none" w:sz="0" w:space="0" w:color="auto"/>
            <w:left w:val="none" w:sz="0" w:space="0" w:color="auto"/>
            <w:bottom w:val="none" w:sz="0" w:space="0" w:color="auto"/>
            <w:right w:val="none" w:sz="0" w:space="0" w:color="auto"/>
          </w:divBdr>
        </w:div>
      </w:divsChild>
    </w:div>
    <w:div w:id="1210726520">
      <w:bodyDiv w:val="1"/>
      <w:marLeft w:val="0"/>
      <w:marRight w:val="0"/>
      <w:marTop w:val="0"/>
      <w:marBottom w:val="0"/>
      <w:divBdr>
        <w:top w:val="none" w:sz="0" w:space="0" w:color="auto"/>
        <w:left w:val="none" w:sz="0" w:space="0" w:color="auto"/>
        <w:bottom w:val="none" w:sz="0" w:space="0" w:color="auto"/>
        <w:right w:val="none" w:sz="0" w:space="0" w:color="auto"/>
      </w:divBdr>
    </w:div>
    <w:div w:id="1215777108">
      <w:bodyDiv w:val="1"/>
      <w:marLeft w:val="0"/>
      <w:marRight w:val="0"/>
      <w:marTop w:val="0"/>
      <w:marBottom w:val="0"/>
      <w:divBdr>
        <w:top w:val="none" w:sz="0" w:space="0" w:color="auto"/>
        <w:left w:val="none" w:sz="0" w:space="0" w:color="auto"/>
        <w:bottom w:val="none" w:sz="0" w:space="0" w:color="auto"/>
        <w:right w:val="none" w:sz="0" w:space="0" w:color="auto"/>
      </w:divBdr>
      <w:divsChild>
        <w:div w:id="446706009">
          <w:marLeft w:val="0"/>
          <w:marRight w:val="0"/>
          <w:marTop w:val="0"/>
          <w:marBottom w:val="0"/>
          <w:divBdr>
            <w:top w:val="none" w:sz="0" w:space="0" w:color="auto"/>
            <w:left w:val="none" w:sz="0" w:space="0" w:color="auto"/>
            <w:bottom w:val="none" w:sz="0" w:space="0" w:color="auto"/>
            <w:right w:val="none" w:sz="0" w:space="0" w:color="auto"/>
          </w:divBdr>
        </w:div>
      </w:divsChild>
    </w:div>
    <w:div w:id="1216551810">
      <w:bodyDiv w:val="1"/>
      <w:marLeft w:val="0"/>
      <w:marRight w:val="0"/>
      <w:marTop w:val="0"/>
      <w:marBottom w:val="0"/>
      <w:divBdr>
        <w:top w:val="none" w:sz="0" w:space="0" w:color="auto"/>
        <w:left w:val="none" w:sz="0" w:space="0" w:color="auto"/>
        <w:bottom w:val="none" w:sz="0" w:space="0" w:color="auto"/>
        <w:right w:val="none" w:sz="0" w:space="0" w:color="auto"/>
      </w:divBdr>
    </w:div>
    <w:div w:id="1219826096">
      <w:bodyDiv w:val="1"/>
      <w:marLeft w:val="0"/>
      <w:marRight w:val="0"/>
      <w:marTop w:val="0"/>
      <w:marBottom w:val="0"/>
      <w:divBdr>
        <w:top w:val="none" w:sz="0" w:space="0" w:color="auto"/>
        <w:left w:val="none" w:sz="0" w:space="0" w:color="auto"/>
        <w:bottom w:val="none" w:sz="0" w:space="0" w:color="auto"/>
        <w:right w:val="none" w:sz="0" w:space="0" w:color="auto"/>
      </w:divBdr>
      <w:divsChild>
        <w:div w:id="1647514057">
          <w:marLeft w:val="0"/>
          <w:marRight w:val="0"/>
          <w:marTop w:val="0"/>
          <w:marBottom w:val="0"/>
          <w:divBdr>
            <w:top w:val="none" w:sz="0" w:space="0" w:color="auto"/>
            <w:left w:val="none" w:sz="0" w:space="0" w:color="auto"/>
            <w:bottom w:val="none" w:sz="0" w:space="0" w:color="auto"/>
            <w:right w:val="none" w:sz="0" w:space="0" w:color="auto"/>
          </w:divBdr>
        </w:div>
      </w:divsChild>
    </w:div>
    <w:div w:id="1223520551">
      <w:bodyDiv w:val="1"/>
      <w:marLeft w:val="0"/>
      <w:marRight w:val="0"/>
      <w:marTop w:val="0"/>
      <w:marBottom w:val="0"/>
      <w:divBdr>
        <w:top w:val="none" w:sz="0" w:space="0" w:color="auto"/>
        <w:left w:val="none" w:sz="0" w:space="0" w:color="auto"/>
        <w:bottom w:val="none" w:sz="0" w:space="0" w:color="auto"/>
        <w:right w:val="none" w:sz="0" w:space="0" w:color="auto"/>
      </w:divBdr>
      <w:divsChild>
        <w:div w:id="2130466854">
          <w:marLeft w:val="0"/>
          <w:marRight w:val="0"/>
          <w:marTop w:val="0"/>
          <w:marBottom w:val="0"/>
          <w:divBdr>
            <w:top w:val="none" w:sz="0" w:space="0" w:color="auto"/>
            <w:left w:val="none" w:sz="0" w:space="0" w:color="auto"/>
            <w:bottom w:val="none" w:sz="0" w:space="0" w:color="auto"/>
            <w:right w:val="none" w:sz="0" w:space="0" w:color="auto"/>
          </w:divBdr>
        </w:div>
      </w:divsChild>
    </w:div>
    <w:div w:id="1224098058">
      <w:bodyDiv w:val="1"/>
      <w:marLeft w:val="0"/>
      <w:marRight w:val="0"/>
      <w:marTop w:val="0"/>
      <w:marBottom w:val="0"/>
      <w:divBdr>
        <w:top w:val="none" w:sz="0" w:space="0" w:color="auto"/>
        <w:left w:val="none" w:sz="0" w:space="0" w:color="auto"/>
        <w:bottom w:val="none" w:sz="0" w:space="0" w:color="auto"/>
        <w:right w:val="none" w:sz="0" w:space="0" w:color="auto"/>
      </w:divBdr>
      <w:divsChild>
        <w:div w:id="186257378">
          <w:marLeft w:val="0"/>
          <w:marRight w:val="0"/>
          <w:marTop w:val="0"/>
          <w:marBottom w:val="0"/>
          <w:divBdr>
            <w:top w:val="none" w:sz="0" w:space="0" w:color="auto"/>
            <w:left w:val="none" w:sz="0" w:space="0" w:color="auto"/>
            <w:bottom w:val="none" w:sz="0" w:space="0" w:color="auto"/>
            <w:right w:val="none" w:sz="0" w:space="0" w:color="auto"/>
          </w:divBdr>
        </w:div>
        <w:div w:id="421024856">
          <w:marLeft w:val="0"/>
          <w:marRight w:val="0"/>
          <w:marTop w:val="0"/>
          <w:marBottom w:val="0"/>
          <w:divBdr>
            <w:top w:val="none" w:sz="0" w:space="0" w:color="auto"/>
            <w:left w:val="none" w:sz="0" w:space="0" w:color="auto"/>
            <w:bottom w:val="none" w:sz="0" w:space="0" w:color="auto"/>
            <w:right w:val="none" w:sz="0" w:space="0" w:color="auto"/>
          </w:divBdr>
        </w:div>
        <w:div w:id="780345470">
          <w:marLeft w:val="0"/>
          <w:marRight w:val="0"/>
          <w:marTop w:val="0"/>
          <w:marBottom w:val="0"/>
          <w:divBdr>
            <w:top w:val="none" w:sz="0" w:space="0" w:color="auto"/>
            <w:left w:val="none" w:sz="0" w:space="0" w:color="auto"/>
            <w:bottom w:val="none" w:sz="0" w:space="0" w:color="auto"/>
            <w:right w:val="none" w:sz="0" w:space="0" w:color="auto"/>
          </w:divBdr>
        </w:div>
        <w:div w:id="910383907">
          <w:marLeft w:val="0"/>
          <w:marRight w:val="0"/>
          <w:marTop w:val="0"/>
          <w:marBottom w:val="0"/>
          <w:divBdr>
            <w:top w:val="none" w:sz="0" w:space="0" w:color="auto"/>
            <w:left w:val="none" w:sz="0" w:space="0" w:color="auto"/>
            <w:bottom w:val="none" w:sz="0" w:space="0" w:color="auto"/>
            <w:right w:val="none" w:sz="0" w:space="0" w:color="auto"/>
          </w:divBdr>
        </w:div>
        <w:div w:id="1564103435">
          <w:marLeft w:val="0"/>
          <w:marRight w:val="0"/>
          <w:marTop w:val="0"/>
          <w:marBottom w:val="0"/>
          <w:divBdr>
            <w:top w:val="none" w:sz="0" w:space="0" w:color="auto"/>
            <w:left w:val="none" w:sz="0" w:space="0" w:color="auto"/>
            <w:bottom w:val="none" w:sz="0" w:space="0" w:color="auto"/>
            <w:right w:val="none" w:sz="0" w:space="0" w:color="auto"/>
          </w:divBdr>
        </w:div>
        <w:div w:id="1689405283">
          <w:marLeft w:val="0"/>
          <w:marRight w:val="0"/>
          <w:marTop w:val="0"/>
          <w:marBottom w:val="0"/>
          <w:divBdr>
            <w:top w:val="none" w:sz="0" w:space="0" w:color="auto"/>
            <w:left w:val="none" w:sz="0" w:space="0" w:color="auto"/>
            <w:bottom w:val="none" w:sz="0" w:space="0" w:color="auto"/>
            <w:right w:val="none" w:sz="0" w:space="0" w:color="auto"/>
          </w:divBdr>
        </w:div>
        <w:div w:id="1873226397">
          <w:marLeft w:val="0"/>
          <w:marRight w:val="0"/>
          <w:marTop w:val="0"/>
          <w:marBottom w:val="0"/>
          <w:divBdr>
            <w:top w:val="none" w:sz="0" w:space="0" w:color="auto"/>
            <w:left w:val="none" w:sz="0" w:space="0" w:color="auto"/>
            <w:bottom w:val="none" w:sz="0" w:space="0" w:color="auto"/>
            <w:right w:val="none" w:sz="0" w:space="0" w:color="auto"/>
          </w:divBdr>
        </w:div>
        <w:div w:id="2018849819">
          <w:marLeft w:val="0"/>
          <w:marRight w:val="0"/>
          <w:marTop w:val="0"/>
          <w:marBottom w:val="0"/>
          <w:divBdr>
            <w:top w:val="none" w:sz="0" w:space="0" w:color="auto"/>
            <w:left w:val="none" w:sz="0" w:space="0" w:color="auto"/>
            <w:bottom w:val="none" w:sz="0" w:space="0" w:color="auto"/>
            <w:right w:val="none" w:sz="0" w:space="0" w:color="auto"/>
          </w:divBdr>
        </w:div>
        <w:div w:id="2037926746">
          <w:marLeft w:val="0"/>
          <w:marRight w:val="0"/>
          <w:marTop w:val="0"/>
          <w:marBottom w:val="0"/>
          <w:divBdr>
            <w:top w:val="none" w:sz="0" w:space="0" w:color="auto"/>
            <w:left w:val="none" w:sz="0" w:space="0" w:color="auto"/>
            <w:bottom w:val="none" w:sz="0" w:space="0" w:color="auto"/>
            <w:right w:val="none" w:sz="0" w:space="0" w:color="auto"/>
          </w:divBdr>
        </w:div>
      </w:divsChild>
    </w:div>
    <w:div w:id="1224675895">
      <w:bodyDiv w:val="1"/>
      <w:marLeft w:val="0"/>
      <w:marRight w:val="0"/>
      <w:marTop w:val="0"/>
      <w:marBottom w:val="0"/>
      <w:divBdr>
        <w:top w:val="none" w:sz="0" w:space="0" w:color="auto"/>
        <w:left w:val="none" w:sz="0" w:space="0" w:color="auto"/>
        <w:bottom w:val="none" w:sz="0" w:space="0" w:color="auto"/>
        <w:right w:val="none" w:sz="0" w:space="0" w:color="auto"/>
      </w:divBdr>
    </w:div>
    <w:div w:id="1242368943">
      <w:bodyDiv w:val="1"/>
      <w:marLeft w:val="0"/>
      <w:marRight w:val="0"/>
      <w:marTop w:val="0"/>
      <w:marBottom w:val="0"/>
      <w:divBdr>
        <w:top w:val="none" w:sz="0" w:space="0" w:color="auto"/>
        <w:left w:val="none" w:sz="0" w:space="0" w:color="auto"/>
        <w:bottom w:val="none" w:sz="0" w:space="0" w:color="auto"/>
        <w:right w:val="none" w:sz="0" w:space="0" w:color="auto"/>
      </w:divBdr>
    </w:div>
    <w:div w:id="1243951801">
      <w:bodyDiv w:val="1"/>
      <w:marLeft w:val="0"/>
      <w:marRight w:val="0"/>
      <w:marTop w:val="0"/>
      <w:marBottom w:val="0"/>
      <w:divBdr>
        <w:top w:val="none" w:sz="0" w:space="0" w:color="auto"/>
        <w:left w:val="none" w:sz="0" w:space="0" w:color="auto"/>
        <w:bottom w:val="none" w:sz="0" w:space="0" w:color="auto"/>
        <w:right w:val="none" w:sz="0" w:space="0" w:color="auto"/>
      </w:divBdr>
    </w:div>
    <w:div w:id="1246841981">
      <w:bodyDiv w:val="1"/>
      <w:marLeft w:val="0"/>
      <w:marRight w:val="0"/>
      <w:marTop w:val="0"/>
      <w:marBottom w:val="0"/>
      <w:divBdr>
        <w:top w:val="none" w:sz="0" w:space="0" w:color="auto"/>
        <w:left w:val="none" w:sz="0" w:space="0" w:color="auto"/>
        <w:bottom w:val="none" w:sz="0" w:space="0" w:color="auto"/>
        <w:right w:val="none" w:sz="0" w:space="0" w:color="auto"/>
      </w:divBdr>
    </w:div>
    <w:div w:id="1249582941">
      <w:bodyDiv w:val="1"/>
      <w:marLeft w:val="0"/>
      <w:marRight w:val="0"/>
      <w:marTop w:val="0"/>
      <w:marBottom w:val="0"/>
      <w:divBdr>
        <w:top w:val="none" w:sz="0" w:space="0" w:color="auto"/>
        <w:left w:val="none" w:sz="0" w:space="0" w:color="auto"/>
        <w:bottom w:val="none" w:sz="0" w:space="0" w:color="auto"/>
        <w:right w:val="none" w:sz="0" w:space="0" w:color="auto"/>
      </w:divBdr>
    </w:div>
    <w:div w:id="1256864089">
      <w:bodyDiv w:val="1"/>
      <w:marLeft w:val="0"/>
      <w:marRight w:val="0"/>
      <w:marTop w:val="0"/>
      <w:marBottom w:val="0"/>
      <w:divBdr>
        <w:top w:val="none" w:sz="0" w:space="0" w:color="auto"/>
        <w:left w:val="none" w:sz="0" w:space="0" w:color="auto"/>
        <w:bottom w:val="none" w:sz="0" w:space="0" w:color="auto"/>
        <w:right w:val="none" w:sz="0" w:space="0" w:color="auto"/>
      </w:divBdr>
      <w:divsChild>
        <w:div w:id="2045861550">
          <w:marLeft w:val="0"/>
          <w:marRight w:val="0"/>
          <w:marTop w:val="0"/>
          <w:marBottom w:val="0"/>
          <w:divBdr>
            <w:top w:val="none" w:sz="0" w:space="0" w:color="auto"/>
            <w:left w:val="none" w:sz="0" w:space="0" w:color="auto"/>
            <w:bottom w:val="none" w:sz="0" w:space="0" w:color="auto"/>
            <w:right w:val="none" w:sz="0" w:space="0" w:color="auto"/>
          </w:divBdr>
        </w:div>
      </w:divsChild>
    </w:div>
    <w:div w:id="1259866724">
      <w:bodyDiv w:val="1"/>
      <w:marLeft w:val="0"/>
      <w:marRight w:val="0"/>
      <w:marTop w:val="0"/>
      <w:marBottom w:val="0"/>
      <w:divBdr>
        <w:top w:val="none" w:sz="0" w:space="0" w:color="auto"/>
        <w:left w:val="none" w:sz="0" w:space="0" w:color="auto"/>
        <w:bottom w:val="none" w:sz="0" w:space="0" w:color="auto"/>
        <w:right w:val="none" w:sz="0" w:space="0" w:color="auto"/>
      </w:divBdr>
      <w:divsChild>
        <w:div w:id="999582507">
          <w:marLeft w:val="0"/>
          <w:marRight w:val="0"/>
          <w:marTop w:val="0"/>
          <w:marBottom w:val="0"/>
          <w:divBdr>
            <w:top w:val="none" w:sz="0" w:space="0" w:color="auto"/>
            <w:left w:val="none" w:sz="0" w:space="0" w:color="auto"/>
            <w:bottom w:val="none" w:sz="0" w:space="0" w:color="auto"/>
            <w:right w:val="none" w:sz="0" w:space="0" w:color="auto"/>
          </w:divBdr>
        </w:div>
        <w:div w:id="1023284598">
          <w:marLeft w:val="0"/>
          <w:marRight w:val="0"/>
          <w:marTop w:val="0"/>
          <w:marBottom w:val="0"/>
          <w:divBdr>
            <w:top w:val="none" w:sz="0" w:space="0" w:color="auto"/>
            <w:left w:val="none" w:sz="0" w:space="0" w:color="auto"/>
            <w:bottom w:val="none" w:sz="0" w:space="0" w:color="auto"/>
            <w:right w:val="none" w:sz="0" w:space="0" w:color="auto"/>
          </w:divBdr>
          <w:divsChild>
            <w:div w:id="200219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7435">
      <w:bodyDiv w:val="1"/>
      <w:marLeft w:val="0"/>
      <w:marRight w:val="0"/>
      <w:marTop w:val="0"/>
      <w:marBottom w:val="0"/>
      <w:divBdr>
        <w:top w:val="none" w:sz="0" w:space="0" w:color="auto"/>
        <w:left w:val="none" w:sz="0" w:space="0" w:color="auto"/>
        <w:bottom w:val="none" w:sz="0" w:space="0" w:color="auto"/>
        <w:right w:val="none" w:sz="0" w:space="0" w:color="auto"/>
      </w:divBdr>
      <w:divsChild>
        <w:div w:id="1669097668">
          <w:marLeft w:val="0"/>
          <w:marRight w:val="0"/>
          <w:marTop w:val="0"/>
          <w:marBottom w:val="0"/>
          <w:divBdr>
            <w:top w:val="none" w:sz="0" w:space="0" w:color="auto"/>
            <w:left w:val="none" w:sz="0" w:space="0" w:color="auto"/>
            <w:bottom w:val="none" w:sz="0" w:space="0" w:color="auto"/>
            <w:right w:val="none" w:sz="0" w:space="0" w:color="auto"/>
          </w:divBdr>
          <w:divsChild>
            <w:div w:id="105934225">
              <w:marLeft w:val="0"/>
              <w:marRight w:val="0"/>
              <w:marTop w:val="0"/>
              <w:marBottom w:val="0"/>
              <w:divBdr>
                <w:top w:val="none" w:sz="0" w:space="0" w:color="auto"/>
                <w:left w:val="none" w:sz="0" w:space="0" w:color="auto"/>
                <w:bottom w:val="none" w:sz="0" w:space="0" w:color="auto"/>
                <w:right w:val="none" w:sz="0" w:space="0" w:color="auto"/>
              </w:divBdr>
              <w:divsChild>
                <w:div w:id="2065332326">
                  <w:marLeft w:val="0"/>
                  <w:marRight w:val="0"/>
                  <w:marTop w:val="0"/>
                  <w:marBottom w:val="0"/>
                  <w:divBdr>
                    <w:top w:val="none" w:sz="0" w:space="0" w:color="auto"/>
                    <w:left w:val="none" w:sz="0" w:space="0" w:color="auto"/>
                    <w:bottom w:val="none" w:sz="0" w:space="0" w:color="auto"/>
                    <w:right w:val="none" w:sz="0" w:space="0" w:color="auto"/>
                  </w:divBdr>
                </w:div>
              </w:divsChild>
            </w:div>
            <w:div w:id="1529638729">
              <w:marLeft w:val="0"/>
              <w:marRight w:val="0"/>
              <w:marTop w:val="0"/>
              <w:marBottom w:val="0"/>
              <w:divBdr>
                <w:top w:val="none" w:sz="0" w:space="0" w:color="auto"/>
                <w:left w:val="none" w:sz="0" w:space="0" w:color="auto"/>
                <w:bottom w:val="none" w:sz="0" w:space="0" w:color="auto"/>
                <w:right w:val="none" w:sz="0" w:space="0" w:color="auto"/>
              </w:divBdr>
              <w:divsChild>
                <w:div w:id="473643785">
                  <w:marLeft w:val="0"/>
                  <w:marRight w:val="0"/>
                  <w:marTop w:val="0"/>
                  <w:marBottom w:val="0"/>
                  <w:divBdr>
                    <w:top w:val="none" w:sz="0" w:space="0" w:color="auto"/>
                    <w:left w:val="none" w:sz="0" w:space="0" w:color="auto"/>
                    <w:bottom w:val="none" w:sz="0" w:space="0" w:color="auto"/>
                    <w:right w:val="none" w:sz="0" w:space="0" w:color="auto"/>
                  </w:divBdr>
                </w:div>
                <w:div w:id="1128087360">
                  <w:marLeft w:val="0"/>
                  <w:marRight w:val="0"/>
                  <w:marTop w:val="0"/>
                  <w:marBottom w:val="0"/>
                  <w:divBdr>
                    <w:top w:val="none" w:sz="0" w:space="0" w:color="auto"/>
                    <w:left w:val="none" w:sz="0" w:space="0" w:color="auto"/>
                    <w:bottom w:val="none" w:sz="0" w:space="0" w:color="auto"/>
                    <w:right w:val="none" w:sz="0" w:space="0" w:color="auto"/>
                  </w:divBdr>
                  <w:divsChild>
                    <w:div w:id="2330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00341">
      <w:bodyDiv w:val="1"/>
      <w:marLeft w:val="0"/>
      <w:marRight w:val="0"/>
      <w:marTop w:val="0"/>
      <w:marBottom w:val="0"/>
      <w:divBdr>
        <w:top w:val="none" w:sz="0" w:space="0" w:color="auto"/>
        <w:left w:val="none" w:sz="0" w:space="0" w:color="auto"/>
        <w:bottom w:val="none" w:sz="0" w:space="0" w:color="auto"/>
        <w:right w:val="none" w:sz="0" w:space="0" w:color="auto"/>
      </w:divBdr>
      <w:divsChild>
        <w:div w:id="516190757">
          <w:marLeft w:val="144"/>
          <w:marRight w:val="0"/>
          <w:marTop w:val="240"/>
          <w:marBottom w:val="40"/>
          <w:divBdr>
            <w:top w:val="none" w:sz="0" w:space="0" w:color="auto"/>
            <w:left w:val="none" w:sz="0" w:space="0" w:color="auto"/>
            <w:bottom w:val="none" w:sz="0" w:space="0" w:color="auto"/>
            <w:right w:val="none" w:sz="0" w:space="0" w:color="auto"/>
          </w:divBdr>
        </w:div>
        <w:div w:id="702361940">
          <w:marLeft w:val="144"/>
          <w:marRight w:val="0"/>
          <w:marTop w:val="240"/>
          <w:marBottom w:val="40"/>
          <w:divBdr>
            <w:top w:val="none" w:sz="0" w:space="0" w:color="auto"/>
            <w:left w:val="none" w:sz="0" w:space="0" w:color="auto"/>
            <w:bottom w:val="none" w:sz="0" w:space="0" w:color="auto"/>
            <w:right w:val="none" w:sz="0" w:space="0" w:color="auto"/>
          </w:divBdr>
        </w:div>
        <w:div w:id="1323973374">
          <w:marLeft w:val="144"/>
          <w:marRight w:val="0"/>
          <w:marTop w:val="240"/>
          <w:marBottom w:val="40"/>
          <w:divBdr>
            <w:top w:val="none" w:sz="0" w:space="0" w:color="auto"/>
            <w:left w:val="none" w:sz="0" w:space="0" w:color="auto"/>
            <w:bottom w:val="none" w:sz="0" w:space="0" w:color="auto"/>
            <w:right w:val="none" w:sz="0" w:space="0" w:color="auto"/>
          </w:divBdr>
        </w:div>
        <w:div w:id="1449856989">
          <w:marLeft w:val="144"/>
          <w:marRight w:val="0"/>
          <w:marTop w:val="240"/>
          <w:marBottom w:val="40"/>
          <w:divBdr>
            <w:top w:val="none" w:sz="0" w:space="0" w:color="auto"/>
            <w:left w:val="none" w:sz="0" w:space="0" w:color="auto"/>
            <w:bottom w:val="none" w:sz="0" w:space="0" w:color="auto"/>
            <w:right w:val="none" w:sz="0" w:space="0" w:color="auto"/>
          </w:divBdr>
        </w:div>
        <w:div w:id="1579829510">
          <w:marLeft w:val="144"/>
          <w:marRight w:val="0"/>
          <w:marTop w:val="240"/>
          <w:marBottom w:val="40"/>
          <w:divBdr>
            <w:top w:val="none" w:sz="0" w:space="0" w:color="auto"/>
            <w:left w:val="none" w:sz="0" w:space="0" w:color="auto"/>
            <w:bottom w:val="none" w:sz="0" w:space="0" w:color="auto"/>
            <w:right w:val="none" w:sz="0" w:space="0" w:color="auto"/>
          </w:divBdr>
        </w:div>
        <w:div w:id="1942252417">
          <w:marLeft w:val="144"/>
          <w:marRight w:val="0"/>
          <w:marTop w:val="240"/>
          <w:marBottom w:val="40"/>
          <w:divBdr>
            <w:top w:val="none" w:sz="0" w:space="0" w:color="auto"/>
            <w:left w:val="none" w:sz="0" w:space="0" w:color="auto"/>
            <w:bottom w:val="none" w:sz="0" w:space="0" w:color="auto"/>
            <w:right w:val="none" w:sz="0" w:space="0" w:color="auto"/>
          </w:divBdr>
        </w:div>
        <w:div w:id="2040008119">
          <w:marLeft w:val="144"/>
          <w:marRight w:val="0"/>
          <w:marTop w:val="240"/>
          <w:marBottom w:val="40"/>
          <w:divBdr>
            <w:top w:val="none" w:sz="0" w:space="0" w:color="auto"/>
            <w:left w:val="none" w:sz="0" w:space="0" w:color="auto"/>
            <w:bottom w:val="none" w:sz="0" w:space="0" w:color="auto"/>
            <w:right w:val="none" w:sz="0" w:space="0" w:color="auto"/>
          </w:divBdr>
        </w:div>
      </w:divsChild>
    </w:div>
    <w:div w:id="1276210880">
      <w:bodyDiv w:val="1"/>
      <w:marLeft w:val="0"/>
      <w:marRight w:val="0"/>
      <w:marTop w:val="0"/>
      <w:marBottom w:val="0"/>
      <w:divBdr>
        <w:top w:val="none" w:sz="0" w:space="0" w:color="auto"/>
        <w:left w:val="none" w:sz="0" w:space="0" w:color="auto"/>
        <w:bottom w:val="none" w:sz="0" w:space="0" w:color="auto"/>
        <w:right w:val="none" w:sz="0" w:space="0" w:color="auto"/>
      </w:divBdr>
      <w:divsChild>
        <w:div w:id="85810355">
          <w:marLeft w:val="0"/>
          <w:marRight w:val="0"/>
          <w:marTop w:val="100"/>
          <w:marBottom w:val="260"/>
          <w:divBdr>
            <w:top w:val="none" w:sz="0" w:space="0" w:color="auto"/>
            <w:left w:val="none" w:sz="0" w:space="0" w:color="auto"/>
            <w:bottom w:val="none" w:sz="0" w:space="0" w:color="auto"/>
            <w:right w:val="none" w:sz="0" w:space="0" w:color="auto"/>
          </w:divBdr>
        </w:div>
        <w:div w:id="747119524">
          <w:marLeft w:val="0"/>
          <w:marRight w:val="0"/>
          <w:marTop w:val="100"/>
          <w:marBottom w:val="260"/>
          <w:divBdr>
            <w:top w:val="none" w:sz="0" w:space="0" w:color="auto"/>
            <w:left w:val="none" w:sz="0" w:space="0" w:color="auto"/>
            <w:bottom w:val="none" w:sz="0" w:space="0" w:color="auto"/>
            <w:right w:val="none" w:sz="0" w:space="0" w:color="auto"/>
          </w:divBdr>
        </w:div>
        <w:div w:id="1294870491">
          <w:marLeft w:val="0"/>
          <w:marRight w:val="0"/>
          <w:marTop w:val="100"/>
          <w:marBottom w:val="260"/>
          <w:divBdr>
            <w:top w:val="none" w:sz="0" w:space="0" w:color="auto"/>
            <w:left w:val="none" w:sz="0" w:space="0" w:color="auto"/>
            <w:bottom w:val="none" w:sz="0" w:space="0" w:color="auto"/>
            <w:right w:val="none" w:sz="0" w:space="0" w:color="auto"/>
          </w:divBdr>
        </w:div>
        <w:div w:id="1454328479">
          <w:marLeft w:val="0"/>
          <w:marRight w:val="0"/>
          <w:marTop w:val="100"/>
          <w:marBottom w:val="260"/>
          <w:divBdr>
            <w:top w:val="none" w:sz="0" w:space="0" w:color="auto"/>
            <w:left w:val="none" w:sz="0" w:space="0" w:color="auto"/>
            <w:bottom w:val="none" w:sz="0" w:space="0" w:color="auto"/>
            <w:right w:val="none" w:sz="0" w:space="0" w:color="auto"/>
          </w:divBdr>
        </w:div>
      </w:divsChild>
    </w:div>
    <w:div w:id="1278442173">
      <w:bodyDiv w:val="1"/>
      <w:marLeft w:val="0"/>
      <w:marRight w:val="0"/>
      <w:marTop w:val="0"/>
      <w:marBottom w:val="0"/>
      <w:divBdr>
        <w:top w:val="none" w:sz="0" w:space="0" w:color="auto"/>
        <w:left w:val="none" w:sz="0" w:space="0" w:color="auto"/>
        <w:bottom w:val="none" w:sz="0" w:space="0" w:color="auto"/>
        <w:right w:val="none" w:sz="0" w:space="0" w:color="auto"/>
      </w:divBdr>
      <w:divsChild>
        <w:div w:id="34627649">
          <w:marLeft w:val="0"/>
          <w:marRight w:val="0"/>
          <w:marTop w:val="0"/>
          <w:marBottom w:val="0"/>
          <w:divBdr>
            <w:top w:val="none" w:sz="0" w:space="0" w:color="auto"/>
            <w:left w:val="none" w:sz="0" w:space="0" w:color="auto"/>
            <w:bottom w:val="none" w:sz="0" w:space="0" w:color="auto"/>
            <w:right w:val="none" w:sz="0" w:space="0" w:color="auto"/>
          </w:divBdr>
        </w:div>
        <w:div w:id="82993911">
          <w:marLeft w:val="0"/>
          <w:marRight w:val="0"/>
          <w:marTop w:val="0"/>
          <w:marBottom w:val="0"/>
          <w:divBdr>
            <w:top w:val="none" w:sz="0" w:space="0" w:color="auto"/>
            <w:left w:val="none" w:sz="0" w:space="0" w:color="auto"/>
            <w:bottom w:val="none" w:sz="0" w:space="0" w:color="auto"/>
            <w:right w:val="none" w:sz="0" w:space="0" w:color="auto"/>
          </w:divBdr>
        </w:div>
        <w:div w:id="96559682">
          <w:marLeft w:val="0"/>
          <w:marRight w:val="0"/>
          <w:marTop w:val="0"/>
          <w:marBottom w:val="0"/>
          <w:divBdr>
            <w:top w:val="none" w:sz="0" w:space="0" w:color="auto"/>
            <w:left w:val="none" w:sz="0" w:space="0" w:color="auto"/>
            <w:bottom w:val="none" w:sz="0" w:space="0" w:color="auto"/>
            <w:right w:val="none" w:sz="0" w:space="0" w:color="auto"/>
          </w:divBdr>
        </w:div>
        <w:div w:id="289283499">
          <w:marLeft w:val="0"/>
          <w:marRight w:val="0"/>
          <w:marTop w:val="0"/>
          <w:marBottom w:val="0"/>
          <w:divBdr>
            <w:top w:val="none" w:sz="0" w:space="0" w:color="auto"/>
            <w:left w:val="none" w:sz="0" w:space="0" w:color="auto"/>
            <w:bottom w:val="none" w:sz="0" w:space="0" w:color="auto"/>
            <w:right w:val="none" w:sz="0" w:space="0" w:color="auto"/>
          </w:divBdr>
        </w:div>
        <w:div w:id="370158323">
          <w:marLeft w:val="0"/>
          <w:marRight w:val="0"/>
          <w:marTop w:val="0"/>
          <w:marBottom w:val="0"/>
          <w:divBdr>
            <w:top w:val="none" w:sz="0" w:space="0" w:color="auto"/>
            <w:left w:val="none" w:sz="0" w:space="0" w:color="auto"/>
            <w:bottom w:val="none" w:sz="0" w:space="0" w:color="auto"/>
            <w:right w:val="none" w:sz="0" w:space="0" w:color="auto"/>
          </w:divBdr>
        </w:div>
        <w:div w:id="386685539">
          <w:marLeft w:val="0"/>
          <w:marRight w:val="0"/>
          <w:marTop w:val="0"/>
          <w:marBottom w:val="0"/>
          <w:divBdr>
            <w:top w:val="none" w:sz="0" w:space="0" w:color="auto"/>
            <w:left w:val="none" w:sz="0" w:space="0" w:color="auto"/>
            <w:bottom w:val="none" w:sz="0" w:space="0" w:color="auto"/>
            <w:right w:val="none" w:sz="0" w:space="0" w:color="auto"/>
          </w:divBdr>
        </w:div>
        <w:div w:id="711343602">
          <w:marLeft w:val="0"/>
          <w:marRight w:val="0"/>
          <w:marTop w:val="0"/>
          <w:marBottom w:val="0"/>
          <w:divBdr>
            <w:top w:val="none" w:sz="0" w:space="0" w:color="auto"/>
            <w:left w:val="none" w:sz="0" w:space="0" w:color="auto"/>
            <w:bottom w:val="none" w:sz="0" w:space="0" w:color="auto"/>
            <w:right w:val="none" w:sz="0" w:space="0" w:color="auto"/>
          </w:divBdr>
        </w:div>
        <w:div w:id="1061290975">
          <w:marLeft w:val="0"/>
          <w:marRight w:val="0"/>
          <w:marTop w:val="0"/>
          <w:marBottom w:val="0"/>
          <w:divBdr>
            <w:top w:val="none" w:sz="0" w:space="0" w:color="auto"/>
            <w:left w:val="none" w:sz="0" w:space="0" w:color="auto"/>
            <w:bottom w:val="none" w:sz="0" w:space="0" w:color="auto"/>
            <w:right w:val="none" w:sz="0" w:space="0" w:color="auto"/>
          </w:divBdr>
        </w:div>
        <w:div w:id="1299529285">
          <w:marLeft w:val="0"/>
          <w:marRight w:val="0"/>
          <w:marTop w:val="0"/>
          <w:marBottom w:val="0"/>
          <w:divBdr>
            <w:top w:val="none" w:sz="0" w:space="0" w:color="auto"/>
            <w:left w:val="none" w:sz="0" w:space="0" w:color="auto"/>
            <w:bottom w:val="none" w:sz="0" w:space="0" w:color="auto"/>
            <w:right w:val="none" w:sz="0" w:space="0" w:color="auto"/>
          </w:divBdr>
        </w:div>
        <w:div w:id="1302345505">
          <w:marLeft w:val="0"/>
          <w:marRight w:val="0"/>
          <w:marTop w:val="0"/>
          <w:marBottom w:val="0"/>
          <w:divBdr>
            <w:top w:val="none" w:sz="0" w:space="0" w:color="auto"/>
            <w:left w:val="none" w:sz="0" w:space="0" w:color="auto"/>
            <w:bottom w:val="none" w:sz="0" w:space="0" w:color="auto"/>
            <w:right w:val="none" w:sz="0" w:space="0" w:color="auto"/>
          </w:divBdr>
        </w:div>
        <w:div w:id="1764840237">
          <w:marLeft w:val="0"/>
          <w:marRight w:val="0"/>
          <w:marTop w:val="0"/>
          <w:marBottom w:val="0"/>
          <w:divBdr>
            <w:top w:val="none" w:sz="0" w:space="0" w:color="auto"/>
            <w:left w:val="none" w:sz="0" w:space="0" w:color="auto"/>
            <w:bottom w:val="none" w:sz="0" w:space="0" w:color="auto"/>
            <w:right w:val="none" w:sz="0" w:space="0" w:color="auto"/>
          </w:divBdr>
        </w:div>
        <w:div w:id="1981232374">
          <w:marLeft w:val="0"/>
          <w:marRight w:val="0"/>
          <w:marTop w:val="0"/>
          <w:marBottom w:val="0"/>
          <w:divBdr>
            <w:top w:val="none" w:sz="0" w:space="0" w:color="auto"/>
            <w:left w:val="none" w:sz="0" w:space="0" w:color="auto"/>
            <w:bottom w:val="none" w:sz="0" w:space="0" w:color="auto"/>
            <w:right w:val="none" w:sz="0" w:space="0" w:color="auto"/>
          </w:divBdr>
        </w:div>
      </w:divsChild>
    </w:div>
    <w:div w:id="1278564072">
      <w:bodyDiv w:val="1"/>
      <w:marLeft w:val="0"/>
      <w:marRight w:val="0"/>
      <w:marTop w:val="0"/>
      <w:marBottom w:val="0"/>
      <w:divBdr>
        <w:top w:val="none" w:sz="0" w:space="0" w:color="auto"/>
        <w:left w:val="none" w:sz="0" w:space="0" w:color="auto"/>
        <w:bottom w:val="none" w:sz="0" w:space="0" w:color="auto"/>
        <w:right w:val="none" w:sz="0" w:space="0" w:color="auto"/>
      </w:divBdr>
      <w:divsChild>
        <w:div w:id="2754501">
          <w:marLeft w:val="0"/>
          <w:marRight w:val="0"/>
          <w:marTop w:val="0"/>
          <w:marBottom w:val="0"/>
          <w:divBdr>
            <w:top w:val="none" w:sz="0" w:space="0" w:color="auto"/>
            <w:left w:val="none" w:sz="0" w:space="0" w:color="auto"/>
            <w:bottom w:val="none" w:sz="0" w:space="0" w:color="auto"/>
            <w:right w:val="none" w:sz="0" w:space="0" w:color="auto"/>
          </w:divBdr>
        </w:div>
        <w:div w:id="140661860">
          <w:marLeft w:val="0"/>
          <w:marRight w:val="0"/>
          <w:marTop w:val="0"/>
          <w:marBottom w:val="0"/>
          <w:divBdr>
            <w:top w:val="none" w:sz="0" w:space="0" w:color="auto"/>
            <w:left w:val="none" w:sz="0" w:space="0" w:color="auto"/>
            <w:bottom w:val="none" w:sz="0" w:space="0" w:color="auto"/>
            <w:right w:val="none" w:sz="0" w:space="0" w:color="auto"/>
          </w:divBdr>
        </w:div>
        <w:div w:id="328870006">
          <w:marLeft w:val="0"/>
          <w:marRight w:val="0"/>
          <w:marTop w:val="0"/>
          <w:marBottom w:val="0"/>
          <w:divBdr>
            <w:top w:val="none" w:sz="0" w:space="0" w:color="auto"/>
            <w:left w:val="none" w:sz="0" w:space="0" w:color="auto"/>
            <w:bottom w:val="none" w:sz="0" w:space="0" w:color="auto"/>
            <w:right w:val="none" w:sz="0" w:space="0" w:color="auto"/>
          </w:divBdr>
        </w:div>
        <w:div w:id="352607859">
          <w:marLeft w:val="0"/>
          <w:marRight w:val="0"/>
          <w:marTop w:val="0"/>
          <w:marBottom w:val="0"/>
          <w:divBdr>
            <w:top w:val="none" w:sz="0" w:space="0" w:color="auto"/>
            <w:left w:val="none" w:sz="0" w:space="0" w:color="auto"/>
            <w:bottom w:val="none" w:sz="0" w:space="0" w:color="auto"/>
            <w:right w:val="none" w:sz="0" w:space="0" w:color="auto"/>
          </w:divBdr>
        </w:div>
        <w:div w:id="473527400">
          <w:marLeft w:val="0"/>
          <w:marRight w:val="0"/>
          <w:marTop w:val="0"/>
          <w:marBottom w:val="0"/>
          <w:divBdr>
            <w:top w:val="none" w:sz="0" w:space="0" w:color="auto"/>
            <w:left w:val="none" w:sz="0" w:space="0" w:color="auto"/>
            <w:bottom w:val="none" w:sz="0" w:space="0" w:color="auto"/>
            <w:right w:val="none" w:sz="0" w:space="0" w:color="auto"/>
          </w:divBdr>
        </w:div>
        <w:div w:id="737626897">
          <w:marLeft w:val="0"/>
          <w:marRight w:val="0"/>
          <w:marTop w:val="0"/>
          <w:marBottom w:val="0"/>
          <w:divBdr>
            <w:top w:val="none" w:sz="0" w:space="0" w:color="auto"/>
            <w:left w:val="none" w:sz="0" w:space="0" w:color="auto"/>
            <w:bottom w:val="none" w:sz="0" w:space="0" w:color="auto"/>
            <w:right w:val="none" w:sz="0" w:space="0" w:color="auto"/>
          </w:divBdr>
        </w:div>
        <w:div w:id="749739384">
          <w:marLeft w:val="0"/>
          <w:marRight w:val="0"/>
          <w:marTop w:val="0"/>
          <w:marBottom w:val="0"/>
          <w:divBdr>
            <w:top w:val="none" w:sz="0" w:space="0" w:color="auto"/>
            <w:left w:val="none" w:sz="0" w:space="0" w:color="auto"/>
            <w:bottom w:val="none" w:sz="0" w:space="0" w:color="auto"/>
            <w:right w:val="none" w:sz="0" w:space="0" w:color="auto"/>
          </w:divBdr>
        </w:div>
        <w:div w:id="787116308">
          <w:marLeft w:val="0"/>
          <w:marRight w:val="0"/>
          <w:marTop w:val="0"/>
          <w:marBottom w:val="0"/>
          <w:divBdr>
            <w:top w:val="none" w:sz="0" w:space="0" w:color="auto"/>
            <w:left w:val="none" w:sz="0" w:space="0" w:color="auto"/>
            <w:bottom w:val="none" w:sz="0" w:space="0" w:color="auto"/>
            <w:right w:val="none" w:sz="0" w:space="0" w:color="auto"/>
          </w:divBdr>
        </w:div>
        <w:div w:id="831608202">
          <w:marLeft w:val="0"/>
          <w:marRight w:val="0"/>
          <w:marTop w:val="0"/>
          <w:marBottom w:val="0"/>
          <w:divBdr>
            <w:top w:val="none" w:sz="0" w:space="0" w:color="auto"/>
            <w:left w:val="none" w:sz="0" w:space="0" w:color="auto"/>
            <w:bottom w:val="none" w:sz="0" w:space="0" w:color="auto"/>
            <w:right w:val="none" w:sz="0" w:space="0" w:color="auto"/>
          </w:divBdr>
        </w:div>
        <w:div w:id="905535825">
          <w:marLeft w:val="0"/>
          <w:marRight w:val="0"/>
          <w:marTop w:val="0"/>
          <w:marBottom w:val="0"/>
          <w:divBdr>
            <w:top w:val="none" w:sz="0" w:space="0" w:color="auto"/>
            <w:left w:val="none" w:sz="0" w:space="0" w:color="auto"/>
            <w:bottom w:val="none" w:sz="0" w:space="0" w:color="auto"/>
            <w:right w:val="none" w:sz="0" w:space="0" w:color="auto"/>
          </w:divBdr>
        </w:div>
        <w:div w:id="1818302686">
          <w:marLeft w:val="0"/>
          <w:marRight w:val="0"/>
          <w:marTop w:val="0"/>
          <w:marBottom w:val="0"/>
          <w:divBdr>
            <w:top w:val="none" w:sz="0" w:space="0" w:color="auto"/>
            <w:left w:val="none" w:sz="0" w:space="0" w:color="auto"/>
            <w:bottom w:val="none" w:sz="0" w:space="0" w:color="auto"/>
            <w:right w:val="none" w:sz="0" w:space="0" w:color="auto"/>
          </w:divBdr>
        </w:div>
        <w:div w:id="1834026321">
          <w:marLeft w:val="0"/>
          <w:marRight w:val="0"/>
          <w:marTop w:val="0"/>
          <w:marBottom w:val="0"/>
          <w:divBdr>
            <w:top w:val="none" w:sz="0" w:space="0" w:color="auto"/>
            <w:left w:val="none" w:sz="0" w:space="0" w:color="auto"/>
            <w:bottom w:val="none" w:sz="0" w:space="0" w:color="auto"/>
            <w:right w:val="none" w:sz="0" w:space="0" w:color="auto"/>
          </w:divBdr>
        </w:div>
        <w:div w:id="1848710490">
          <w:marLeft w:val="0"/>
          <w:marRight w:val="0"/>
          <w:marTop w:val="0"/>
          <w:marBottom w:val="0"/>
          <w:divBdr>
            <w:top w:val="none" w:sz="0" w:space="0" w:color="auto"/>
            <w:left w:val="none" w:sz="0" w:space="0" w:color="auto"/>
            <w:bottom w:val="none" w:sz="0" w:space="0" w:color="auto"/>
            <w:right w:val="none" w:sz="0" w:space="0" w:color="auto"/>
          </w:divBdr>
        </w:div>
        <w:div w:id="1951356827">
          <w:marLeft w:val="0"/>
          <w:marRight w:val="0"/>
          <w:marTop w:val="0"/>
          <w:marBottom w:val="0"/>
          <w:divBdr>
            <w:top w:val="none" w:sz="0" w:space="0" w:color="auto"/>
            <w:left w:val="none" w:sz="0" w:space="0" w:color="auto"/>
            <w:bottom w:val="none" w:sz="0" w:space="0" w:color="auto"/>
            <w:right w:val="none" w:sz="0" w:space="0" w:color="auto"/>
          </w:divBdr>
        </w:div>
      </w:divsChild>
    </w:div>
    <w:div w:id="1279945856">
      <w:bodyDiv w:val="1"/>
      <w:marLeft w:val="0"/>
      <w:marRight w:val="0"/>
      <w:marTop w:val="0"/>
      <w:marBottom w:val="0"/>
      <w:divBdr>
        <w:top w:val="none" w:sz="0" w:space="0" w:color="auto"/>
        <w:left w:val="none" w:sz="0" w:space="0" w:color="auto"/>
        <w:bottom w:val="none" w:sz="0" w:space="0" w:color="auto"/>
        <w:right w:val="none" w:sz="0" w:space="0" w:color="auto"/>
      </w:divBdr>
    </w:div>
    <w:div w:id="1280458063">
      <w:bodyDiv w:val="1"/>
      <w:marLeft w:val="0"/>
      <w:marRight w:val="0"/>
      <w:marTop w:val="0"/>
      <w:marBottom w:val="0"/>
      <w:divBdr>
        <w:top w:val="none" w:sz="0" w:space="0" w:color="auto"/>
        <w:left w:val="none" w:sz="0" w:space="0" w:color="auto"/>
        <w:bottom w:val="none" w:sz="0" w:space="0" w:color="auto"/>
        <w:right w:val="none" w:sz="0" w:space="0" w:color="auto"/>
      </w:divBdr>
    </w:div>
    <w:div w:id="1281961866">
      <w:bodyDiv w:val="1"/>
      <w:marLeft w:val="0"/>
      <w:marRight w:val="0"/>
      <w:marTop w:val="0"/>
      <w:marBottom w:val="0"/>
      <w:divBdr>
        <w:top w:val="none" w:sz="0" w:space="0" w:color="auto"/>
        <w:left w:val="none" w:sz="0" w:space="0" w:color="auto"/>
        <w:bottom w:val="none" w:sz="0" w:space="0" w:color="auto"/>
        <w:right w:val="none" w:sz="0" w:space="0" w:color="auto"/>
      </w:divBdr>
    </w:div>
    <w:div w:id="1282491907">
      <w:bodyDiv w:val="1"/>
      <w:marLeft w:val="0"/>
      <w:marRight w:val="0"/>
      <w:marTop w:val="0"/>
      <w:marBottom w:val="0"/>
      <w:divBdr>
        <w:top w:val="none" w:sz="0" w:space="0" w:color="auto"/>
        <w:left w:val="none" w:sz="0" w:space="0" w:color="auto"/>
        <w:bottom w:val="none" w:sz="0" w:space="0" w:color="auto"/>
        <w:right w:val="none" w:sz="0" w:space="0" w:color="auto"/>
      </w:divBdr>
      <w:divsChild>
        <w:div w:id="1857384331">
          <w:marLeft w:val="0"/>
          <w:marRight w:val="0"/>
          <w:marTop w:val="0"/>
          <w:marBottom w:val="0"/>
          <w:divBdr>
            <w:top w:val="none" w:sz="0" w:space="0" w:color="auto"/>
            <w:left w:val="none" w:sz="0" w:space="0" w:color="auto"/>
            <w:bottom w:val="none" w:sz="0" w:space="0" w:color="auto"/>
            <w:right w:val="none" w:sz="0" w:space="0" w:color="auto"/>
          </w:divBdr>
        </w:div>
      </w:divsChild>
    </w:div>
    <w:div w:id="1283343873">
      <w:bodyDiv w:val="1"/>
      <w:marLeft w:val="0"/>
      <w:marRight w:val="0"/>
      <w:marTop w:val="0"/>
      <w:marBottom w:val="0"/>
      <w:divBdr>
        <w:top w:val="none" w:sz="0" w:space="0" w:color="auto"/>
        <w:left w:val="none" w:sz="0" w:space="0" w:color="auto"/>
        <w:bottom w:val="none" w:sz="0" w:space="0" w:color="auto"/>
        <w:right w:val="none" w:sz="0" w:space="0" w:color="auto"/>
      </w:divBdr>
    </w:div>
    <w:div w:id="1288314743">
      <w:bodyDiv w:val="1"/>
      <w:marLeft w:val="0"/>
      <w:marRight w:val="0"/>
      <w:marTop w:val="0"/>
      <w:marBottom w:val="0"/>
      <w:divBdr>
        <w:top w:val="none" w:sz="0" w:space="0" w:color="auto"/>
        <w:left w:val="none" w:sz="0" w:space="0" w:color="auto"/>
        <w:bottom w:val="none" w:sz="0" w:space="0" w:color="auto"/>
        <w:right w:val="none" w:sz="0" w:space="0" w:color="auto"/>
      </w:divBdr>
      <w:divsChild>
        <w:div w:id="1800225229">
          <w:marLeft w:val="0"/>
          <w:marRight w:val="0"/>
          <w:marTop w:val="0"/>
          <w:marBottom w:val="0"/>
          <w:divBdr>
            <w:top w:val="none" w:sz="0" w:space="0" w:color="auto"/>
            <w:left w:val="none" w:sz="0" w:space="0" w:color="auto"/>
            <w:bottom w:val="none" w:sz="0" w:space="0" w:color="auto"/>
            <w:right w:val="none" w:sz="0" w:space="0" w:color="auto"/>
          </w:divBdr>
        </w:div>
        <w:div w:id="1961835747">
          <w:marLeft w:val="0"/>
          <w:marRight w:val="0"/>
          <w:marTop w:val="0"/>
          <w:marBottom w:val="0"/>
          <w:divBdr>
            <w:top w:val="none" w:sz="0" w:space="0" w:color="auto"/>
            <w:left w:val="none" w:sz="0" w:space="0" w:color="auto"/>
            <w:bottom w:val="none" w:sz="0" w:space="0" w:color="auto"/>
            <w:right w:val="none" w:sz="0" w:space="0" w:color="auto"/>
          </w:divBdr>
        </w:div>
        <w:div w:id="2086295303">
          <w:marLeft w:val="0"/>
          <w:marRight w:val="0"/>
          <w:marTop w:val="0"/>
          <w:marBottom w:val="0"/>
          <w:divBdr>
            <w:top w:val="none" w:sz="0" w:space="0" w:color="auto"/>
            <w:left w:val="none" w:sz="0" w:space="0" w:color="auto"/>
            <w:bottom w:val="none" w:sz="0" w:space="0" w:color="auto"/>
            <w:right w:val="none" w:sz="0" w:space="0" w:color="auto"/>
          </w:divBdr>
        </w:div>
      </w:divsChild>
    </w:div>
    <w:div w:id="1288315783">
      <w:bodyDiv w:val="1"/>
      <w:marLeft w:val="0"/>
      <w:marRight w:val="0"/>
      <w:marTop w:val="0"/>
      <w:marBottom w:val="0"/>
      <w:divBdr>
        <w:top w:val="none" w:sz="0" w:space="0" w:color="auto"/>
        <w:left w:val="none" w:sz="0" w:space="0" w:color="auto"/>
        <w:bottom w:val="none" w:sz="0" w:space="0" w:color="auto"/>
        <w:right w:val="none" w:sz="0" w:space="0" w:color="auto"/>
      </w:divBdr>
    </w:div>
    <w:div w:id="1288706907">
      <w:bodyDiv w:val="1"/>
      <w:marLeft w:val="0"/>
      <w:marRight w:val="0"/>
      <w:marTop w:val="0"/>
      <w:marBottom w:val="0"/>
      <w:divBdr>
        <w:top w:val="none" w:sz="0" w:space="0" w:color="auto"/>
        <w:left w:val="none" w:sz="0" w:space="0" w:color="auto"/>
        <w:bottom w:val="none" w:sz="0" w:space="0" w:color="auto"/>
        <w:right w:val="none" w:sz="0" w:space="0" w:color="auto"/>
      </w:divBdr>
    </w:div>
    <w:div w:id="1290210598">
      <w:bodyDiv w:val="1"/>
      <w:marLeft w:val="0"/>
      <w:marRight w:val="0"/>
      <w:marTop w:val="0"/>
      <w:marBottom w:val="0"/>
      <w:divBdr>
        <w:top w:val="none" w:sz="0" w:space="0" w:color="auto"/>
        <w:left w:val="none" w:sz="0" w:space="0" w:color="auto"/>
        <w:bottom w:val="none" w:sz="0" w:space="0" w:color="auto"/>
        <w:right w:val="none" w:sz="0" w:space="0" w:color="auto"/>
      </w:divBdr>
    </w:div>
    <w:div w:id="1290936692">
      <w:bodyDiv w:val="1"/>
      <w:marLeft w:val="0"/>
      <w:marRight w:val="0"/>
      <w:marTop w:val="0"/>
      <w:marBottom w:val="0"/>
      <w:divBdr>
        <w:top w:val="none" w:sz="0" w:space="0" w:color="auto"/>
        <w:left w:val="none" w:sz="0" w:space="0" w:color="auto"/>
        <w:bottom w:val="none" w:sz="0" w:space="0" w:color="auto"/>
        <w:right w:val="none" w:sz="0" w:space="0" w:color="auto"/>
      </w:divBdr>
      <w:divsChild>
        <w:div w:id="68307061">
          <w:marLeft w:val="0"/>
          <w:marRight w:val="0"/>
          <w:marTop w:val="0"/>
          <w:marBottom w:val="0"/>
          <w:divBdr>
            <w:top w:val="none" w:sz="0" w:space="0" w:color="auto"/>
            <w:left w:val="none" w:sz="0" w:space="0" w:color="auto"/>
            <w:bottom w:val="none" w:sz="0" w:space="0" w:color="auto"/>
            <w:right w:val="none" w:sz="0" w:space="0" w:color="auto"/>
          </w:divBdr>
        </w:div>
        <w:div w:id="716589200">
          <w:marLeft w:val="0"/>
          <w:marRight w:val="0"/>
          <w:marTop w:val="0"/>
          <w:marBottom w:val="0"/>
          <w:divBdr>
            <w:top w:val="none" w:sz="0" w:space="0" w:color="auto"/>
            <w:left w:val="none" w:sz="0" w:space="0" w:color="auto"/>
            <w:bottom w:val="none" w:sz="0" w:space="0" w:color="auto"/>
            <w:right w:val="none" w:sz="0" w:space="0" w:color="auto"/>
          </w:divBdr>
        </w:div>
        <w:div w:id="1135220506">
          <w:marLeft w:val="0"/>
          <w:marRight w:val="0"/>
          <w:marTop w:val="0"/>
          <w:marBottom w:val="0"/>
          <w:divBdr>
            <w:top w:val="none" w:sz="0" w:space="0" w:color="auto"/>
            <w:left w:val="none" w:sz="0" w:space="0" w:color="auto"/>
            <w:bottom w:val="none" w:sz="0" w:space="0" w:color="auto"/>
            <w:right w:val="none" w:sz="0" w:space="0" w:color="auto"/>
          </w:divBdr>
        </w:div>
        <w:div w:id="1229807058">
          <w:marLeft w:val="0"/>
          <w:marRight w:val="0"/>
          <w:marTop w:val="0"/>
          <w:marBottom w:val="0"/>
          <w:divBdr>
            <w:top w:val="none" w:sz="0" w:space="0" w:color="auto"/>
            <w:left w:val="none" w:sz="0" w:space="0" w:color="auto"/>
            <w:bottom w:val="none" w:sz="0" w:space="0" w:color="auto"/>
            <w:right w:val="none" w:sz="0" w:space="0" w:color="auto"/>
          </w:divBdr>
        </w:div>
        <w:div w:id="1305240330">
          <w:marLeft w:val="0"/>
          <w:marRight w:val="0"/>
          <w:marTop w:val="0"/>
          <w:marBottom w:val="0"/>
          <w:divBdr>
            <w:top w:val="none" w:sz="0" w:space="0" w:color="auto"/>
            <w:left w:val="none" w:sz="0" w:space="0" w:color="auto"/>
            <w:bottom w:val="none" w:sz="0" w:space="0" w:color="auto"/>
            <w:right w:val="none" w:sz="0" w:space="0" w:color="auto"/>
          </w:divBdr>
        </w:div>
        <w:div w:id="1689869939">
          <w:marLeft w:val="0"/>
          <w:marRight w:val="0"/>
          <w:marTop w:val="0"/>
          <w:marBottom w:val="0"/>
          <w:divBdr>
            <w:top w:val="none" w:sz="0" w:space="0" w:color="auto"/>
            <w:left w:val="none" w:sz="0" w:space="0" w:color="auto"/>
            <w:bottom w:val="none" w:sz="0" w:space="0" w:color="auto"/>
            <w:right w:val="none" w:sz="0" w:space="0" w:color="auto"/>
          </w:divBdr>
        </w:div>
      </w:divsChild>
    </w:div>
    <w:div w:id="1297490526">
      <w:bodyDiv w:val="1"/>
      <w:marLeft w:val="0"/>
      <w:marRight w:val="0"/>
      <w:marTop w:val="0"/>
      <w:marBottom w:val="0"/>
      <w:divBdr>
        <w:top w:val="none" w:sz="0" w:space="0" w:color="auto"/>
        <w:left w:val="none" w:sz="0" w:space="0" w:color="auto"/>
        <w:bottom w:val="none" w:sz="0" w:space="0" w:color="auto"/>
        <w:right w:val="none" w:sz="0" w:space="0" w:color="auto"/>
      </w:divBdr>
    </w:div>
    <w:div w:id="1297758039">
      <w:bodyDiv w:val="1"/>
      <w:marLeft w:val="0"/>
      <w:marRight w:val="0"/>
      <w:marTop w:val="0"/>
      <w:marBottom w:val="0"/>
      <w:divBdr>
        <w:top w:val="none" w:sz="0" w:space="0" w:color="auto"/>
        <w:left w:val="none" w:sz="0" w:space="0" w:color="auto"/>
        <w:bottom w:val="none" w:sz="0" w:space="0" w:color="auto"/>
        <w:right w:val="none" w:sz="0" w:space="0" w:color="auto"/>
      </w:divBdr>
      <w:divsChild>
        <w:div w:id="73597784">
          <w:marLeft w:val="720"/>
          <w:marRight w:val="0"/>
          <w:marTop w:val="240"/>
          <w:marBottom w:val="40"/>
          <w:divBdr>
            <w:top w:val="none" w:sz="0" w:space="0" w:color="auto"/>
            <w:left w:val="none" w:sz="0" w:space="0" w:color="auto"/>
            <w:bottom w:val="none" w:sz="0" w:space="0" w:color="auto"/>
            <w:right w:val="none" w:sz="0" w:space="0" w:color="auto"/>
          </w:divBdr>
        </w:div>
        <w:div w:id="174810568">
          <w:marLeft w:val="720"/>
          <w:marRight w:val="0"/>
          <w:marTop w:val="240"/>
          <w:marBottom w:val="40"/>
          <w:divBdr>
            <w:top w:val="none" w:sz="0" w:space="0" w:color="auto"/>
            <w:left w:val="none" w:sz="0" w:space="0" w:color="auto"/>
            <w:bottom w:val="none" w:sz="0" w:space="0" w:color="auto"/>
            <w:right w:val="none" w:sz="0" w:space="0" w:color="auto"/>
          </w:divBdr>
        </w:div>
      </w:divsChild>
    </w:div>
    <w:div w:id="1299071314">
      <w:bodyDiv w:val="1"/>
      <w:marLeft w:val="0"/>
      <w:marRight w:val="0"/>
      <w:marTop w:val="0"/>
      <w:marBottom w:val="0"/>
      <w:divBdr>
        <w:top w:val="none" w:sz="0" w:space="0" w:color="auto"/>
        <w:left w:val="none" w:sz="0" w:space="0" w:color="auto"/>
        <w:bottom w:val="none" w:sz="0" w:space="0" w:color="auto"/>
        <w:right w:val="none" w:sz="0" w:space="0" w:color="auto"/>
      </w:divBdr>
    </w:div>
    <w:div w:id="1304892621">
      <w:bodyDiv w:val="1"/>
      <w:marLeft w:val="0"/>
      <w:marRight w:val="0"/>
      <w:marTop w:val="0"/>
      <w:marBottom w:val="0"/>
      <w:divBdr>
        <w:top w:val="none" w:sz="0" w:space="0" w:color="auto"/>
        <w:left w:val="none" w:sz="0" w:space="0" w:color="auto"/>
        <w:bottom w:val="none" w:sz="0" w:space="0" w:color="auto"/>
        <w:right w:val="none" w:sz="0" w:space="0" w:color="auto"/>
      </w:divBdr>
      <w:divsChild>
        <w:div w:id="33964261">
          <w:marLeft w:val="0"/>
          <w:marRight w:val="0"/>
          <w:marTop w:val="0"/>
          <w:marBottom w:val="0"/>
          <w:divBdr>
            <w:top w:val="none" w:sz="0" w:space="0" w:color="auto"/>
            <w:left w:val="none" w:sz="0" w:space="0" w:color="auto"/>
            <w:bottom w:val="none" w:sz="0" w:space="0" w:color="auto"/>
            <w:right w:val="none" w:sz="0" w:space="0" w:color="auto"/>
          </w:divBdr>
        </w:div>
        <w:div w:id="71436011">
          <w:marLeft w:val="0"/>
          <w:marRight w:val="0"/>
          <w:marTop w:val="0"/>
          <w:marBottom w:val="0"/>
          <w:divBdr>
            <w:top w:val="none" w:sz="0" w:space="0" w:color="auto"/>
            <w:left w:val="none" w:sz="0" w:space="0" w:color="auto"/>
            <w:bottom w:val="none" w:sz="0" w:space="0" w:color="auto"/>
            <w:right w:val="none" w:sz="0" w:space="0" w:color="auto"/>
          </w:divBdr>
        </w:div>
        <w:div w:id="870918025">
          <w:marLeft w:val="0"/>
          <w:marRight w:val="0"/>
          <w:marTop w:val="0"/>
          <w:marBottom w:val="0"/>
          <w:divBdr>
            <w:top w:val="none" w:sz="0" w:space="0" w:color="auto"/>
            <w:left w:val="none" w:sz="0" w:space="0" w:color="auto"/>
            <w:bottom w:val="none" w:sz="0" w:space="0" w:color="auto"/>
            <w:right w:val="none" w:sz="0" w:space="0" w:color="auto"/>
          </w:divBdr>
        </w:div>
        <w:div w:id="1058675596">
          <w:marLeft w:val="0"/>
          <w:marRight w:val="0"/>
          <w:marTop w:val="0"/>
          <w:marBottom w:val="0"/>
          <w:divBdr>
            <w:top w:val="none" w:sz="0" w:space="0" w:color="auto"/>
            <w:left w:val="none" w:sz="0" w:space="0" w:color="auto"/>
            <w:bottom w:val="none" w:sz="0" w:space="0" w:color="auto"/>
            <w:right w:val="none" w:sz="0" w:space="0" w:color="auto"/>
          </w:divBdr>
        </w:div>
        <w:div w:id="1542666527">
          <w:marLeft w:val="0"/>
          <w:marRight w:val="0"/>
          <w:marTop w:val="0"/>
          <w:marBottom w:val="0"/>
          <w:divBdr>
            <w:top w:val="none" w:sz="0" w:space="0" w:color="auto"/>
            <w:left w:val="none" w:sz="0" w:space="0" w:color="auto"/>
            <w:bottom w:val="none" w:sz="0" w:space="0" w:color="auto"/>
            <w:right w:val="none" w:sz="0" w:space="0" w:color="auto"/>
          </w:divBdr>
        </w:div>
        <w:div w:id="2139175281">
          <w:marLeft w:val="0"/>
          <w:marRight w:val="0"/>
          <w:marTop w:val="0"/>
          <w:marBottom w:val="0"/>
          <w:divBdr>
            <w:top w:val="none" w:sz="0" w:space="0" w:color="auto"/>
            <w:left w:val="none" w:sz="0" w:space="0" w:color="auto"/>
            <w:bottom w:val="none" w:sz="0" w:space="0" w:color="auto"/>
            <w:right w:val="none" w:sz="0" w:space="0" w:color="auto"/>
          </w:divBdr>
        </w:div>
      </w:divsChild>
    </w:div>
    <w:div w:id="1316179319">
      <w:bodyDiv w:val="1"/>
      <w:marLeft w:val="0"/>
      <w:marRight w:val="0"/>
      <w:marTop w:val="0"/>
      <w:marBottom w:val="0"/>
      <w:divBdr>
        <w:top w:val="none" w:sz="0" w:space="0" w:color="auto"/>
        <w:left w:val="none" w:sz="0" w:space="0" w:color="auto"/>
        <w:bottom w:val="none" w:sz="0" w:space="0" w:color="auto"/>
        <w:right w:val="none" w:sz="0" w:space="0" w:color="auto"/>
      </w:divBdr>
      <w:divsChild>
        <w:div w:id="1686394307">
          <w:marLeft w:val="0"/>
          <w:marRight w:val="0"/>
          <w:marTop w:val="0"/>
          <w:marBottom w:val="0"/>
          <w:divBdr>
            <w:top w:val="none" w:sz="0" w:space="0" w:color="auto"/>
            <w:left w:val="none" w:sz="0" w:space="0" w:color="auto"/>
            <w:bottom w:val="none" w:sz="0" w:space="0" w:color="auto"/>
            <w:right w:val="none" w:sz="0" w:space="0" w:color="auto"/>
          </w:divBdr>
        </w:div>
      </w:divsChild>
    </w:div>
    <w:div w:id="1322000073">
      <w:bodyDiv w:val="1"/>
      <w:marLeft w:val="0"/>
      <w:marRight w:val="0"/>
      <w:marTop w:val="0"/>
      <w:marBottom w:val="0"/>
      <w:divBdr>
        <w:top w:val="none" w:sz="0" w:space="0" w:color="auto"/>
        <w:left w:val="none" w:sz="0" w:space="0" w:color="auto"/>
        <w:bottom w:val="none" w:sz="0" w:space="0" w:color="auto"/>
        <w:right w:val="none" w:sz="0" w:space="0" w:color="auto"/>
      </w:divBdr>
      <w:divsChild>
        <w:div w:id="1723601309">
          <w:marLeft w:val="0"/>
          <w:marRight w:val="0"/>
          <w:marTop w:val="0"/>
          <w:marBottom w:val="0"/>
          <w:divBdr>
            <w:top w:val="none" w:sz="0" w:space="0" w:color="auto"/>
            <w:left w:val="none" w:sz="0" w:space="0" w:color="auto"/>
            <w:bottom w:val="none" w:sz="0" w:space="0" w:color="auto"/>
            <w:right w:val="none" w:sz="0" w:space="0" w:color="auto"/>
          </w:divBdr>
        </w:div>
      </w:divsChild>
    </w:div>
    <w:div w:id="1323386055">
      <w:bodyDiv w:val="1"/>
      <w:marLeft w:val="0"/>
      <w:marRight w:val="0"/>
      <w:marTop w:val="0"/>
      <w:marBottom w:val="0"/>
      <w:divBdr>
        <w:top w:val="none" w:sz="0" w:space="0" w:color="auto"/>
        <w:left w:val="none" w:sz="0" w:space="0" w:color="auto"/>
        <w:bottom w:val="none" w:sz="0" w:space="0" w:color="auto"/>
        <w:right w:val="none" w:sz="0" w:space="0" w:color="auto"/>
      </w:divBdr>
      <w:divsChild>
        <w:div w:id="1729063308">
          <w:marLeft w:val="0"/>
          <w:marRight w:val="0"/>
          <w:marTop w:val="0"/>
          <w:marBottom w:val="0"/>
          <w:divBdr>
            <w:top w:val="none" w:sz="0" w:space="0" w:color="auto"/>
            <w:left w:val="none" w:sz="0" w:space="0" w:color="auto"/>
            <w:bottom w:val="none" w:sz="0" w:space="0" w:color="auto"/>
            <w:right w:val="none" w:sz="0" w:space="0" w:color="auto"/>
          </w:divBdr>
        </w:div>
      </w:divsChild>
    </w:div>
    <w:div w:id="1326203419">
      <w:bodyDiv w:val="1"/>
      <w:marLeft w:val="0"/>
      <w:marRight w:val="0"/>
      <w:marTop w:val="0"/>
      <w:marBottom w:val="0"/>
      <w:divBdr>
        <w:top w:val="none" w:sz="0" w:space="0" w:color="auto"/>
        <w:left w:val="none" w:sz="0" w:space="0" w:color="auto"/>
        <w:bottom w:val="none" w:sz="0" w:space="0" w:color="auto"/>
        <w:right w:val="none" w:sz="0" w:space="0" w:color="auto"/>
      </w:divBdr>
    </w:div>
    <w:div w:id="1328552850">
      <w:bodyDiv w:val="1"/>
      <w:marLeft w:val="0"/>
      <w:marRight w:val="0"/>
      <w:marTop w:val="0"/>
      <w:marBottom w:val="0"/>
      <w:divBdr>
        <w:top w:val="none" w:sz="0" w:space="0" w:color="auto"/>
        <w:left w:val="none" w:sz="0" w:space="0" w:color="auto"/>
        <w:bottom w:val="none" w:sz="0" w:space="0" w:color="auto"/>
        <w:right w:val="none" w:sz="0" w:space="0" w:color="auto"/>
      </w:divBdr>
      <w:divsChild>
        <w:div w:id="1560359117">
          <w:marLeft w:val="0"/>
          <w:marRight w:val="0"/>
          <w:marTop w:val="0"/>
          <w:marBottom w:val="0"/>
          <w:divBdr>
            <w:top w:val="none" w:sz="0" w:space="0" w:color="auto"/>
            <w:left w:val="none" w:sz="0" w:space="0" w:color="auto"/>
            <w:bottom w:val="none" w:sz="0" w:space="0" w:color="auto"/>
            <w:right w:val="none" w:sz="0" w:space="0" w:color="auto"/>
          </w:divBdr>
          <w:divsChild>
            <w:div w:id="60100420">
              <w:marLeft w:val="0"/>
              <w:marRight w:val="0"/>
              <w:marTop w:val="0"/>
              <w:marBottom w:val="0"/>
              <w:divBdr>
                <w:top w:val="none" w:sz="0" w:space="0" w:color="auto"/>
                <w:left w:val="none" w:sz="0" w:space="0" w:color="auto"/>
                <w:bottom w:val="none" w:sz="0" w:space="0" w:color="auto"/>
                <w:right w:val="none" w:sz="0" w:space="0" w:color="auto"/>
              </w:divBdr>
            </w:div>
            <w:div w:id="163058100">
              <w:marLeft w:val="0"/>
              <w:marRight w:val="0"/>
              <w:marTop w:val="0"/>
              <w:marBottom w:val="0"/>
              <w:divBdr>
                <w:top w:val="none" w:sz="0" w:space="0" w:color="auto"/>
                <w:left w:val="none" w:sz="0" w:space="0" w:color="auto"/>
                <w:bottom w:val="none" w:sz="0" w:space="0" w:color="auto"/>
                <w:right w:val="none" w:sz="0" w:space="0" w:color="auto"/>
              </w:divBdr>
            </w:div>
            <w:div w:id="203101079">
              <w:marLeft w:val="0"/>
              <w:marRight w:val="0"/>
              <w:marTop w:val="0"/>
              <w:marBottom w:val="0"/>
              <w:divBdr>
                <w:top w:val="none" w:sz="0" w:space="0" w:color="auto"/>
                <w:left w:val="none" w:sz="0" w:space="0" w:color="auto"/>
                <w:bottom w:val="none" w:sz="0" w:space="0" w:color="auto"/>
                <w:right w:val="none" w:sz="0" w:space="0" w:color="auto"/>
              </w:divBdr>
            </w:div>
            <w:div w:id="283391744">
              <w:marLeft w:val="0"/>
              <w:marRight w:val="0"/>
              <w:marTop w:val="0"/>
              <w:marBottom w:val="0"/>
              <w:divBdr>
                <w:top w:val="none" w:sz="0" w:space="0" w:color="auto"/>
                <w:left w:val="none" w:sz="0" w:space="0" w:color="auto"/>
                <w:bottom w:val="none" w:sz="0" w:space="0" w:color="auto"/>
                <w:right w:val="none" w:sz="0" w:space="0" w:color="auto"/>
              </w:divBdr>
            </w:div>
            <w:div w:id="302543411">
              <w:marLeft w:val="0"/>
              <w:marRight w:val="0"/>
              <w:marTop w:val="0"/>
              <w:marBottom w:val="0"/>
              <w:divBdr>
                <w:top w:val="none" w:sz="0" w:space="0" w:color="auto"/>
                <w:left w:val="none" w:sz="0" w:space="0" w:color="auto"/>
                <w:bottom w:val="none" w:sz="0" w:space="0" w:color="auto"/>
                <w:right w:val="none" w:sz="0" w:space="0" w:color="auto"/>
              </w:divBdr>
            </w:div>
            <w:div w:id="398138454">
              <w:marLeft w:val="0"/>
              <w:marRight w:val="0"/>
              <w:marTop w:val="0"/>
              <w:marBottom w:val="0"/>
              <w:divBdr>
                <w:top w:val="none" w:sz="0" w:space="0" w:color="auto"/>
                <w:left w:val="none" w:sz="0" w:space="0" w:color="auto"/>
                <w:bottom w:val="none" w:sz="0" w:space="0" w:color="auto"/>
                <w:right w:val="none" w:sz="0" w:space="0" w:color="auto"/>
              </w:divBdr>
            </w:div>
            <w:div w:id="495922240">
              <w:marLeft w:val="0"/>
              <w:marRight w:val="0"/>
              <w:marTop w:val="0"/>
              <w:marBottom w:val="0"/>
              <w:divBdr>
                <w:top w:val="none" w:sz="0" w:space="0" w:color="auto"/>
                <w:left w:val="none" w:sz="0" w:space="0" w:color="auto"/>
                <w:bottom w:val="none" w:sz="0" w:space="0" w:color="auto"/>
                <w:right w:val="none" w:sz="0" w:space="0" w:color="auto"/>
              </w:divBdr>
            </w:div>
            <w:div w:id="505023394">
              <w:marLeft w:val="0"/>
              <w:marRight w:val="0"/>
              <w:marTop w:val="0"/>
              <w:marBottom w:val="0"/>
              <w:divBdr>
                <w:top w:val="none" w:sz="0" w:space="0" w:color="auto"/>
                <w:left w:val="none" w:sz="0" w:space="0" w:color="auto"/>
                <w:bottom w:val="none" w:sz="0" w:space="0" w:color="auto"/>
                <w:right w:val="none" w:sz="0" w:space="0" w:color="auto"/>
              </w:divBdr>
            </w:div>
            <w:div w:id="537469124">
              <w:marLeft w:val="0"/>
              <w:marRight w:val="0"/>
              <w:marTop w:val="0"/>
              <w:marBottom w:val="0"/>
              <w:divBdr>
                <w:top w:val="none" w:sz="0" w:space="0" w:color="auto"/>
                <w:left w:val="none" w:sz="0" w:space="0" w:color="auto"/>
                <w:bottom w:val="none" w:sz="0" w:space="0" w:color="auto"/>
                <w:right w:val="none" w:sz="0" w:space="0" w:color="auto"/>
              </w:divBdr>
            </w:div>
            <w:div w:id="693074296">
              <w:marLeft w:val="0"/>
              <w:marRight w:val="0"/>
              <w:marTop w:val="0"/>
              <w:marBottom w:val="0"/>
              <w:divBdr>
                <w:top w:val="none" w:sz="0" w:space="0" w:color="auto"/>
                <w:left w:val="none" w:sz="0" w:space="0" w:color="auto"/>
                <w:bottom w:val="none" w:sz="0" w:space="0" w:color="auto"/>
                <w:right w:val="none" w:sz="0" w:space="0" w:color="auto"/>
              </w:divBdr>
            </w:div>
            <w:div w:id="700933538">
              <w:marLeft w:val="0"/>
              <w:marRight w:val="0"/>
              <w:marTop w:val="0"/>
              <w:marBottom w:val="0"/>
              <w:divBdr>
                <w:top w:val="none" w:sz="0" w:space="0" w:color="auto"/>
                <w:left w:val="none" w:sz="0" w:space="0" w:color="auto"/>
                <w:bottom w:val="none" w:sz="0" w:space="0" w:color="auto"/>
                <w:right w:val="none" w:sz="0" w:space="0" w:color="auto"/>
              </w:divBdr>
            </w:div>
            <w:div w:id="766386636">
              <w:marLeft w:val="0"/>
              <w:marRight w:val="0"/>
              <w:marTop w:val="0"/>
              <w:marBottom w:val="0"/>
              <w:divBdr>
                <w:top w:val="none" w:sz="0" w:space="0" w:color="auto"/>
                <w:left w:val="none" w:sz="0" w:space="0" w:color="auto"/>
                <w:bottom w:val="none" w:sz="0" w:space="0" w:color="auto"/>
                <w:right w:val="none" w:sz="0" w:space="0" w:color="auto"/>
              </w:divBdr>
            </w:div>
            <w:div w:id="787358378">
              <w:marLeft w:val="0"/>
              <w:marRight w:val="0"/>
              <w:marTop w:val="0"/>
              <w:marBottom w:val="0"/>
              <w:divBdr>
                <w:top w:val="none" w:sz="0" w:space="0" w:color="auto"/>
                <w:left w:val="none" w:sz="0" w:space="0" w:color="auto"/>
                <w:bottom w:val="none" w:sz="0" w:space="0" w:color="auto"/>
                <w:right w:val="none" w:sz="0" w:space="0" w:color="auto"/>
              </w:divBdr>
            </w:div>
            <w:div w:id="815298326">
              <w:marLeft w:val="0"/>
              <w:marRight w:val="0"/>
              <w:marTop w:val="0"/>
              <w:marBottom w:val="0"/>
              <w:divBdr>
                <w:top w:val="none" w:sz="0" w:space="0" w:color="auto"/>
                <w:left w:val="none" w:sz="0" w:space="0" w:color="auto"/>
                <w:bottom w:val="none" w:sz="0" w:space="0" w:color="auto"/>
                <w:right w:val="none" w:sz="0" w:space="0" w:color="auto"/>
              </w:divBdr>
            </w:div>
            <w:div w:id="867908356">
              <w:marLeft w:val="0"/>
              <w:marRight w:val="0"/>
              <w:marTop w:val="0"/>
              <w:marBottom w:val="0"/>
              <w:divBdr>
                <w:top w:val="none" w:sz="0" w:space="0" w:color="auto"/>
                <w:left w:val="none" w:sz="0" w:space="0" w:color="auto"/>
                <w:bottom w:val="none" w:sz="0" w:space="0" w:color="auto"/>
                <w:right w:val="none" w:sz="0" w:space="0" w:color="auto"/>
              </w:divBdr>
            </w:div>
            <w:div w:id="1098136431">
              <w:marLeft w:val="0"/>
              <w:marRight w:val="0"/>
              <w:marTop w:val="0"/>
              <w:marBottom w:val="0"/>
              <w:divBdr>
                <w:top w:val="none" w:sz="0" w:space="0" w:color="auto"/>
                <w:left w:val="none" w:sz="0" w:space="0" w:color="auto"/>
                <w:bottom w:val="none" w:sz="0" w:space="0" w:color="auto"/>
                <w:right w:val="none" w:sz="0" w:space="0" w:color="auto"/>
              </w:divBdr>
            </w:div>
            <w:div w:id="1263227845">
              <w:marLeft w:val="0"/>
              <w:marRight w:val="0"/>
              <w:marTop w:val="0"/>
              <w:marBottom w:val="0"/>
              <w:divBdr>
                <w:top w:val="none" w:sz="0" w:space="0" w:color="auto"/>
                <w:left w:val="none" w:sz="0" w:space="0" w:color="auto"/>
                <w:bottom w:val="none" w:sz="0" w:space="0" w:color="auto"/>
                <w:right w:val="none" w:sz="0" w:space="0" w:color="auto"/>
              </w:divBdr>
            </w:div>
            <w:div w:id="1455365087">
              <w:marLeft w:val="0"/>
              <w:marRight w:val="0"/>
              <w:marTop w:val="0"/>
              <w:marBottom w:val="0"/>
              <w:divBdr>
                <w:top w:val="none" w:sz="0" w:space="0" w:color="auto"/>
                <w:left w:val="none" w:sz="0" w:space="0" w:color="auto"/>
                <w:bottom w:val="none" w:sz="0" w:space="0" w:color="auto"/>
                <w:right w:val="none" w:sz="0" w:space="0" w:color="auto"/>
              </w:divBdr>
            </w:div>
            <w:div w:id="15167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142">
      <w:bodyDiv w:val="1"/>
      <w:marLeft w:val="0"/>
      <w:marRight w:val="0"/>
      <w:marTop w:val="0"/>
      <w:marBottom w:val="0"/>
      <w:divBdr>
        <w:top w:val="none" w:sz="0" w:space="0" w:color="auto"/>
        <w:left w:val="none" w:sz="0" w:space="0" w:color="auto"/>
        <w:bottom w:val="none" w:sz="0" w:space="0" w:color="auto"/>
        <w:right w:val="none" w:sz="0" w:space="0" w:color="auto"/>
      </w:divBdr>
      <w:divsChild>
        <w:div w:id="1324983">
          <w:marLeft w:val="0"/>
          <w:marRight w:val="0"/>
          <w:marTop w:val="0"/>
          <w:marBottom w:val="0"/>
          <w:divBdr>
            <w:top w:val="none" w:sz="0" w:space="0" w:color="auto"/>
            <w:left w:val="none" w:sz="0" w:space="0" w:color="auto"/>
            <w:bottom w:val="none" w:sz="0" w:space="0" w:color="auto"/>
            <w:right w:val="none" w:sz="0" w:space="0" w:color="auto"/>
          </w:divBdr>
        </w:div>
        <w:div w:id="6563572">
          <w:marLeft w:val="0"/>
          <w:marRight w:val="0"/>
          <w:marTop w:val="0"/>
          <w:marBottom w:val="0"/>
          <w:divBdr>
            <w:top w:val="none" w:sz="0" w:space="0" w:color="auto"/>
            <w:left w:val="none" w:sz="0" w:space="0" w:color="auto"/>
            <w:bottom w:val="none" w:sz="0" w:space="0" w:color="auto"/>
            <w:right w:val="none" w:sz="0" w:space="0" w:color="auto"/>
          </w:divBdr>
        </w:div>
        <w:div w:id="35618198">
          <w:marLeft w:val="0"/>
          <w:marRight w:val="0"/>
          <w:marTop w:val="0"/>
          <w:marBottom w:val="0"/>
          <w:divBdr>
            <w:top w:val="none" w:sz="0" w:space="0" w:color="auto"/>
            <w:left w:val="none" w:sz="0" w:space="0" w:color="auto"/>
            <w:bottom w:val="none" w:sz="0" w:space="0" w:color="auto"/>
            <w:right w:val="none" w:sz="0" w:space="0" w:color="auto"/>
          </w:divBdr>
        </w:div>
        <w:div w:id="41561895">
          <w:marLeft w:val="0"/>
          <w:marRight w:val="0"/>
          <w:marTop w:val="0"/>
          <w:marBottom w:val="0"/>
          <w:divBdr>
            <w:top w:val="none" w:sz="0" w:space="0" w:color="auto"/>
            <w:left w:val="none" w:sz="0" w:space="0" w:color="auto"/>
            <w:bottom w:val="none" w:sz="0" w:space="0" w:color="auto"/>
            <w:right w:val="none" w:sz="0" w:space="0" w:color="auto"/>
          </w:divBdr>
        </w:div>
        <w:div w:id="99758823">
          <w:marLeft w:val="0"/>
          <w:marRight w:val="0"/>
          <w:marTop w:val="0"/>
          <w:marBottom w:val="0"/>
          <w:divBdr>
            <w:top w:val="none" w:sz="0" w:space="0" w:color="auto"/>
            <w:left w:val="none" w:sz="0" w:space="0" w:color="auto"/>
            <w:bottom w:val="none" w:sz="0" w:space="0" w:color="auto"/>
            <w:right w:val="none" w:sz="0" w:space="0" w:color="auto"/>
          </w:divBdr>
        </w:div>
        <w:div w:id="161359633">
          <w:marLeft w:val="0"/>
          <w:marRight w:val="0"/>
          <w:marTop w:val="0"/>
          <w:marBottom w:val="0"/>
          <w:divBdr>
            <w:top w:val="none" w:sz="0" w:space="0" w:color="auto"/>
            <w:left w:val="none" w:sz="0" w:space="0" w:color="auto"/>
            <w:bottom w:val="none" w:sz="0" w:space="0" w:color="auto"/>
            <w:right w:val="none" w:sz="0" w:space="0" w:color="auto"/>
          </w:divBdr>
        </w:div>
        <w:div w:id="173959506">
          <w:marLeft w:val="0"/>
          <w:marRight w:val="0"/>
          <w:marTop w:val="0"/>
          <w:marBottom w:val="0"/>
          <w:divBdr>
            <w:top w:val="none" w:sz="0" w:space="0" w:color="auto"/>
            <w:left w:val="none" w:sz="0" w:space="0" w:color="auto"/>
            <w:bottom w:val="none" w:sz="0" w:space="0" w:color="auto"/>
            <w:right w:val="none" w:sz="0" w:space="0" w:color="auto"/>
          </w:divBdr>
        </w:div>
        <w:div w:id="176046315">
          <w:marLeft w:val="0"/>
          <w:marRight w:val="0"/>
          <w:marTop w:val="0"/>
          <w:marBottom w:val="0"/>
          <w:divBdr>
            <w:top w:val="none" w:sz="0" w:space="0" w:color="auto"/>
            <w:left w:val="none" w:sz="0" w:space="0" w:color="auto"/>
            <w:bottom w:val="none" w:sz="0" w:space="0" w:color="auto"/>
            <w:right w:val="none" w:sz="0" w:space="0" w:color="auto"/>
          </w:divBdr>
        </w:div>
        <w:div w:id="187106884">
          <w:marLeft w:val="0"/>
          <w:marRight w:val="0"/>
          <w:marTop w:val="0"/>
          <w:marBottom w:val="0"/>
          <w:divBdr>
            <w:top w:val="none" w:sz="0" w:space="0" w:color="auto"/>
            <w:left w:val="none" w:sz="0" w:space="0" w:color="auto"/>
            <w:bottom w:val="none" w:sz="0" w:space="0" w:color="auto"/>
            <w:right w:val="none" w:sz="0" w:space="0" w:color="auto"/>
          </w:divBdr>
        </w:div>
        <w:div w:id="232548159">
          <w:marLeft w:val="0"/>
          <w:marRight w:val="0"/>
          <w:marTop w:val="0"/>
          <w:marBottom w:val="0"/>
          <w:divBdr>
            <w:top w:val="none" w:sz="0" w:space="0" w:color="auto"/>
            <w:left w:val="none" w:sz="0" w:space="0" w:color="auto"/>
            <w:bottom w:val="none" w:sz="0" w:space="0" w:color="auto"/>
            <w:right w:val="none" w:sz="0" w:space="0" w:color="auto"/>
          </w:divBdr>
        </w:div>
        <w:div w:id="239675628">
          <w:marLeft w:val="0"/>
          <w:marRight w:val="0"/>
          <w:marTop w:val="0"/>
          <w:marBottom w:val="0"/>
          <w:divBdr>
            <w:top w:val="none" w:sz="0" w:space="0" w:color="auto"/>
            <w:left w:val="none" w:sz="0" w:space="0" w:color="auto"/>
            <w:bottom w:val="none" w:sz="0" w:space="0" w:color="auto"/>
            <w:right w:val="none" w:sz="0" w:space="0" w:color="auto"/>
          </w:divBdr>
        </w:div>
        <w:div w:id="278218091">
          <w:marLeft w:val="0"/>
          <w:marRight w:val="0"/>
          <w:marTop w:val="0"/>
          <w:marBottom w:val="0"/>
          <w:divBdr>
            <w:top w:val="none" w:sz="0" w:space="0" w:color="auto"/>
            <w:left w:val="none" w:sz="0" w:space="0" w:color="auto"/>
            <w:bottom w:val="none" w:sz="0" w:space="0" w:color="auto"/>
            <w:right w:val="none" w:sz="0" w:space="0" w:color="auto"/>
          </w:divBdr>
        </w:div>
        <w:div w:id="306395465">
          <w:marLeft w:val="0"/>
          <w:marRight w:val="0"/>
          <w:marTop w:val="0"/>
          <w:marBottom w:val="0"/>
          <w:divBdr>
            <w:top w:val="none" w:sz="0" w:space="0" w:color="auto"/>
            <w:left w:val="none" w:sz="0" w:space="0" w:color="auto"/>
            <w:bottom w:val="none" w:sz="0" w:space="0" w:color="auto"/>
            <w:right w:val="none" w:sz="0" w:space="0" w:color="auto"/>
          </w:divBdr>
        </w:div>
        <w:div w:id="317922099">
          <w:marLeft w:val="0"/>
          <w:marRight w:val="0"/>
          <w:marTop w:val="0"/>
          <w:marBottom w:val="0"/>
          <w:divBdr>
            <w:top w:val="none" w:sz="0" w:space="0" w:color="auto"/>
            <w:left w:val="none" w:sz="0" w:space="0" w:color="auto"/>
            <w:bottom w:val="none" w:sz="0" w:space="0" w:color="auto"/>
            <w:right w:val="none" w:sz="0" w:space="0" w:color="auto"/>
          </w:divBdr>
        </w:div>
        <w:div w:id="452099462">
          <w:marLeft w:val="0"/>
          <w:marRight w:val="0"/>
          <w:marTop w:val="0"/>
          <w:marBottom w:val="0"/>
          <w:divBdr>
            <w:top w:val="none" w:sz="0" w:space="0" w:color="auto"/>
            <w:left w:val="none" w:sz="0" w:space="0" w:color="auto"/>
            <w:bottom w:val="none" w:sz="0" w:space="0" w:color="auto"/>
            <w:right w:val="none" w:sz="0" w:space="0" w:color="auto"/>
          </w:divBdr>
        </w:div>
        <w:div w:id="455493600">
          <w:marLeft w:val="0"/>
          <w:marRight w:val="0"/>
          <w:marTop w:val="0"/>
          <w:marBottom w:val="0"/>
          <w:divBdr>
            <w:top w:val="none" w:sz="0" w:space="0" w:color="auto"/>
            <w:left w:val="none" w:sz="0" w:space="0" w:color="auto"/>
            <w:bottom w:val="none" w:sz="0" w:space="0" w:color="auto"/>
            <w:right w:val="none" w:sz="0" w:space="0" w:color="auto"/>
          </w:divBdr>
        </w:div>
        <w:div w:id="515458131">
          <w:marLeft w:val="0"/>
          <w:marRight w:val="0"/>
          <w:marTop w:val="0"/>
          <w:marBottom w:val="0"/>
          <w:divBdr>
            <w:top w:val="none" w:sz="0" w:space="0" w:color="auto"/>
            <w:left w:val="none" w:sz="0" w:space="0" w:color="auto"/>
            <w:bottom w:val="none" w:sz="0" w:space="0" w:color="auto"/>
            <w:right w:val="none" w:sz="0" w:space="0" w:color="auto"/>
          </w:divBdr>
        </w:div>
        <w:div w:id="581069590">
          <w:marLeft w:val="0"/>
          <w:marRight w:val="0"/>
          <w:marTop w:val="0"/>
          <w:marBottom w:val="0"/>
          <w:divBdr>
            <w:top w:val="none" w:sz="0" w:space="0" w:color="auto"/>
            <w:left w:val="none" w:sz="0" w:space="0" w:color="auto"/>
            <w:bottom w:val="none" w:sz="0" w:space="0" w:color="auto"/>
            <w:right w:val="none" w:sz="0" w:space="0" w:color="auto"/>
          </w:divBdr>
        </w:div>
        <w:div w:id="599601120">
          <w:marLeft w:val="0"/>
          <w:marRight w:val="0"/>
          <w:marTop w:val="0"/>
          <w:marBottom w:val="0"/>
          <w:divBdr>
            <w:top w:val="none" w:sz="0" w:space="0" w:color="auto"/>
            <w:left w:val="none" w:sz="0" w:space="0" w:color="auto"/>
            <w:bottom w:val="none" w:sz="0" w:space="0" w:color="auto"/>
            <w:right w:val="none" w:sz="0" w:space="0" w:color="auto"/>
          </w:divBdr>
        </w:div>
        <w:div w:id="744229067">
          <w:marLeft w:val="0"/>
          <w:marRight w:val="0"/>
          <w:marTop w:val="0"/>
          <w:marBottom w:val="0"/>
          <w:divBdr>
            <w:top w:val="none" w:sz="0" w:space="0" w:color="auto"/>
            <w:left w:val="none" w:sz="0" w:space="0" w:color="auto"/>
            <w:bottom w:val="none" w:sz="0" w:space="0" w:color="auto"/>
            <w:right w:val="none" w:sz="0" w:space="0" w:color="auto"/>
          </w:divBdr>
        </w:div>
        <w:div w:id="754742574">
          <w:marLeft w:val="0"/>
          <w:marRight w:val="0"/>
          <w:marTop w:val="0"/>
          <w:marBottom w:val="0"/>
          <w:divBdr>
            <w:top w:val="none" w:sz="0" w:space="0" w:color="auto"/>
            <w:left w:val="none" w:sz="0" w:space="0" w:color="auto"/>
            <w:bottom w:val="none" w:sz="0" w:space="0" w:color="auto"/>
            <w:right w:val="none" w:sz="0" w:space="0" w:color="auto"/>
          </w:divBdr>
        </w:div>
        <w:div w:id="864830418">
          <w:marLeft w:val="0"/>
          <w:marRight w:val="0"/>
          <w:marTop w:val="0"/>
          <w:marBottom w:val="0"/>
          <w:divBdr>
            <w:top w:val="none" w:sz="0" w:space="0" w:color="auto"/>
            <w:left w:val="none" w:sz="0" w:space="0" w:color="auto"/>
            <w:bottom w:val="none" w:sz="0" w:space="0" w:color="auto"/>
            <w:right w:val="none" w:sz="0" w:space="0" w:color="auto"/>
          </w:divBdr>
        </w:div>
        <w:div w:id="961155551">
          <w:marLeft w:val="0"/>
          <w:marRight w:val="0"/>
          <w:marTop w:val="0"/>
          <w:marBottom w:val="0"/>
          <w:divBdr>
            <w:top w:val="none" w:sz="0" w:space="0" w:color="auto"/>
            <w:left w:val="none" w:sz="0" w:space="0" w:color="auto"/>
            <w:bottom w:val="none" w:sz="0" w:space="0" w:color="auto"/>
            <w:right w:val="none" w:sz="0" w:space="0" w:color="auto"/>
          </w:divBdr>
        </w:div>
        <w:div w:id="984357057">
          <w:marLeft w:val="0"/>
          <w:marRight w:val="0"/>
          <w:marTop w:val="0"/>
          <w:marBottom w:val="0"/>
          <w:divBdr>
            <w:top w:val="none" w:sz="0" w:space="0" w:color="auto"/>
            <w:left w:val="none" w:sz="0" w:space="0" w:color="auto"/>
            <w:bottom w:val="none" w:sz="0" w:space="0" w:color="auto"/>
            <w:right w:val="none" w:sz="0" w:space="0" w:color="auto"/>
          </w:divBdr>
        </w:div>
        <w:div w:id="1084490766">
          <w:marLeft w:val="0"/>
          <w:marRight w:val="0"/>
          <w:marTop w:val="0"/>
          <w:marBottom w:val="0"/>
          <w:divBdr>
            <w:top w:val="none" w:sz="0" w:space="0" w:color="auto"/>
            <w:left w:val="none" w:sz="0" w:space="0" w:color="auto"/>
            <w:bottom w:val="none" w:sz="0" w:space="0" w:color="auto"/>
            <w:right w:val="none" w:sz="0" w:space="0" w:color="auto"/>
          </w:divBdr>
        </w:div>
        <w:div w:id="1170948255">
          <w:marLeft w:val="0"/>
          <w:marRight w:val="0"/>
          <w:marTop w:val="0"/>
          <w:marBottom w:val="0"/>
          <w:divBdr>
            <w:top w:val="none" w:sz="0" w:space="0" w:color="auto"/>
            <w:left w:val="none" w:sz="0" w:space="0" w:color="auto"/>
            <w:bottom w:val="none" w:sz="0" w:space="0" w:color="auto"/>
            <w:right w:val="none" w:sz="0" w:space="0" w:color="auto"/>
          </w:divBdr>
        </w:div>
        <w:div w:id="1182013032">
          <w:marLeft w:val="0"/>
          <w:marRight w:val="0"/>
          <w:marTop w:val="0"/>
          <w:marBottom w:val="0"/>
          <w:divBdr>
            <w:top w:val="none" w:sz="0" w:space="0" w:color="auto"/>
            <w:left w:val="none" w:sz="0" w:space="0" w:color="auto"/>
            <w:bottom w:val="none" w:sz="0" w:space="0" w:color="auto"/>
            <w:right w:val="none" w:sz="0" w:space="0" w:color="auto"/>
          </w:divBdr>
        </w:div>
        <w:div w:id="1201360731">
          <w:marLeft w:val="0"/>
          <w:marRight w:val="0"/>
          <w:marTop w:val="0"/>
          <w:marBottom w:val="0"/>
          <w:divBdr>
            <w:top w:val="none" w:sz="0" w:space="0" w:color="auto"/>
            <w:left w:val="none" w:sz="0" w:space="0" w:color="auto"/>
            <w:bottom w:val="none" w:sz="0" w:space="0" w:color="auto"/>
            <w:right w:val="none" w:sz="0" w:space="0" w:color="auto"/>
          </w:divBdr>
        </w:div>
        <w:div w:id="1281760616">
          <w:marLeft w:val="0"/>
          <w:marRight w:val="0"/>
          <w:marTop w:val="0"/>
          <w:marBottom w:val="0"/>
          <w:divBdr>
            <w:top w:val="none" w:sz="0" w:space="0" w:color="auto"/>
            <w:left w:val="none" w:sz="0" w:space="0" w:color="auto"/>
            <w:bottom w:val="none" w:sz="0" w:space="0" w:color="auto"/>
            <w:right w:val="none" w:sz="0" w:space="0" w:color="auto"/>
          </w:divBdr>
        </w:div>
        <w:div w:id="1293824149">
          <w:marLeft w:val="0"/>
          <w:marRight w:val="0"/>
          <w:marTop w:val="0"/>
          <w:marBottom w:val="0"/>
          <w:divBdr>
            <w:top w:val="none" w:sz="0" w:space="0" w:color="auto"/>
            <w:left w:val="none" w:sz="0" w:space="0" w:color="auto"/>
            <w:bottom w:val="none" w:sz="0" w:space="0" w:color="auto"/>
            <w:right w:val="none" w:sz="0" w:space="0" w:color="auto"/>
          </w:divBdr>
        </w:div>
        <w:div w:id="1310210956">
          <w:marLeft w:val="0"/>
          <w:marRight w:val="0"/>
          <w:marTop w:val="0"/>
          <w:marBottom w:val="0"/>
          <w:divBdr>
            <w:top w:val="none" w:sz="0" w:space="0" w:color="auto"/>
            <w:left w:val="none" w:sz="0" w:space="0" w:color="auto"/>
            <w:bottom w:val="none" w:sz="0" w:space="0" w:color="auto"/>
            <w:right w:val="none" w:sz="0" w:space="0" w:color="auto"/>
          </w:divBdr>
        </w:div>
        <w:div w:id="1434284517">
          <w:marLeft w:val="0"/>
          <w:marRight w:val="0"/>
          <w:marTop w:val="0"/>
          <w:marBottom w:val="0"/>
          <w:divBdr>
            <w:top w:val="none" w:sz="0" w:space="0" w:color="auto"/>
            <w:left w:val="none" w:sz="0" w:space="0" w:color="auto"/>
            <w:bottom w:val="none" w:sz="0" w:space="0" w:color="auto"/>
            <w:right w:val="none" w:sz="0" w:space="0" w:color="auto"/>
          </w:divBdr>
        </w:div>
        <w:div w:id="1450977984">
          <w:marLeft w:val="0"/>
          <w:marRight w:val="0"/>
          <w:marTop w:val="0"/>
          <w:marBottom w:val="0"/>
          <w:divBdr>
            <w:top w:val="none" w:sz="0" w:space="0" w:color="auto"/>
            <w:left w:val="none" w:sz="0" w:space="0" w:color="auto"/>
            <w:bottom w:val="none" w:sz="0" w:space="0" w:color="auto"/>
            <w:right w:val="none" w:sz="0" w:space="0" w:color="auto"/>
          </w:divBdr>
        </w:div>
        <w:div w:id="1647928749">
          <w:marLeft w:val="0"/>
          <w:marRight w:val="0"/>
          <w:marTop w:val="0"/>
          <w:marBottom w:val="0"/>
          <w:divBdr>
            <w:top w:val="none" w:sz="0" w:space="0" w:color="auto"/>
            <w:left w:val="none" w:sz="0" w:space="0" w:color="auto"/>
            <w:bottom w:val="none" w:sz="0" w:space="0" w:color="auto"/>
            <w:right w:val="none" w:sz="0" w:space="0" w:color="auto"/>
          </w:divBdr>
        </w:div>
        <w:div w:id="1854027984">
          <w:marLeft w:val="0"/>
          <w:marRight w:val="0"/>
          <w:marTop w:val="0"/>
          <w:marBottom w:val="0"/>
          <w:divBdr>
            <w:top w:val="none" w:sz="0" w:space="0" w:color="auto"/>
            <w:left w:val="none" w:sz="0" w:space="0" w:color="auto"/>
            <w:bottom w:val="none" w:sz="0" w:space="0" w:color="auto"/>
            <w:right w:val="none" w:sz="0" w:space="0" w:color="auto"/>
          </w:divBdr>
        </w:div>
        <w:div w:id="1885293933">
          <w:marLeft w:val="0"/>
          <w:marRight w:val="0"/>
          <w:marTop w:val="0"/>
          <w:marBottom w:val="0"/>
          <w:divBdr>
            <w:top w:val="none" w:sz="0" w:space="0" w:color="auto"/>
            <w:left w:val="none" w:sz="0" w:space="0" w:color="auto"/>
            <w:bottom w:val="none" w:sz="0" w:space="0" w:color="auto"/>
            <w:right w:val="none" w:sz="0" w:space="0" w:color="auto"/>
          </w:divBdr>
        </w:div>
        <w:div w:id="1889295841">
          <w:marLeft w:val="0"/>
          <w:marRight w:val="0"/>
          <w:marTop w:val="0"/>
          <w:marBottom w:val="0"/>
          <w:divBdr>
            <w:top w:val="none" w:sz="0" w:space="0" w:color="auto"/>
            <w:left w:val="none" w:sz="0" w:space="0" w:color="auto"/>
            <w:bottom w:val="none" w:sz="0" w:space="0" w:color="auto"/>
            <w:right w:val="none" w:sz="0" w:space="0" w:color="auto"/>
          </w:divBdr>
        </w:div>
        <w:div w:id="1899440927">
          <w:marLeft w:val="0"/>
          <w:marRight w:val="0"/>
          <w:marTop w:val="0"/>
          <w:marBottom w:val="0"/>
          <w:divBdr>
            <w:top w:val="none" w:sz="0" w:space="0" w:color="auto"/>
            <w:left w:val="none" w:sz="0" w:space="0" w:color="auto"/>
            <w:bottom w:val="none" w:sz="0" w:space="0" w:color="auto"/>
            <w:right w:val="none" w:sz="0" w:space="0" w:color="auto"/>
          </w:divBdr>
        </w:div>
        <w:div w:id="2010867451">
          <w:marLeft w:val="0"/>
          <w:marRight w:val="0"/>
          <w:marTop w:val="0"/>
          <w:marBottom w:val="0"/>
          <w:divBdr>
            <w:top w:val="none" w:sz="0" w:space="0" w:color="auto"/>
            <w:left w:val="none" w:sz="0" w:space="0" w:color="auto"/>
            <w:bottom w:val="none" w:sz="0" w:space="0" w:color="auto"/>
            <w:right w:val="none" w:sz="0" w:space="0" w:color="auto"/>
          </w:divBdr>
        </w:div>
        <w:div w:id="2050915633">
          <w:marLeft w:val="0"/>
          <w:marRight w:val="0"/>
          <w:marTop w:val="0"/>
          <w:marBottom w:val="0"/>
          <w:divBdr>
            <w:top w:val="none" w:sz="0" w:space="0" w:color="auto"/>
            <w:left w:val="none" w:sz="0" w:space="0" w:color="auto"/>
            <w:bottom w:val="none" w:sz="0" w:space="0" w:color="auto"/>
            <w:right w:val="none" w:sz="0" w:space="0" w:color="auto"/>
          </w:divBdr>
        </w:div>
      </w:divsChild>
    </w:div>
    <w:div w:id="1339506260">
      <w:bodyDiv w:val="1"/>
      <w:marLeft w:val="0"/>
      <w:marRight w:val="0"/>
      <w:marTop w:val="0"/>
      <w:marBottom w:val="0"/>
      <w:divBdr>
        <w:top w:val="none" w:sz="0" w:space="0" w:color="auto"/>
        <w:left w:val="none" w:sz="0" w:space="0" w:color="auto"/>
        <w:bottom w:val="none" w:sz="0" w:space="0" w:color="auto"/>
        <w:right w:val="none" w:sz="0" w:space="0" w:color="auto"/>
      </w:divBdr>
      <w:divsChild>
        <w:div w:id="851335002">
          <w:marLeft w:val="0"/>
          <w:marRight w:val="0"/>
          <w:marTop w:val="0"/>
          <w:marBottom w:val="0"/>
          <w:divBdr>
            <w:top w:val="none" w:sz="0" w:space="0" w:color="auto"/>
            <w:left w:val="none" w:sz="0" w:space="0" w:color="auto"/>
            <w:bottom w:val="none" w:sz="0" w:space="0" w:color="auto"/>
            <w:right w:val="none" w:sz="0" w:space="0" w:color="auto"/>
          </w:divBdr>
        </w:div>
        <w:div w:id="907809855">
          <w:marLeft w:val="0"/>
          <w:marRight w:val="0"/>
          <w:marTop w:val="0"/>
          <w:marBottom w:val="0"/>
          <w:divBdr>
            <w:top w:val="none" w:sz="0" w:space="0" w:color="auto"/>
            <w:left w:val="none" w:sz="0" w:space="0" w:color="auto"/>
            <w:bottom w:val="none" w:sz="0" w:space="0" w:color="auto"/>
            <w:right w:val="none" w:sz="0" w:space="0" w:color="auto"/>
          </w:divBdr>
        </w:div>
        <w:div w:id="1105883109">
          <w:marLeft w:val="0"/>
          <w:marRight w:val="0"/>
          <w:marTop w:val="0"/>
          <w:marBottom w:val="0"/>
          <w:divBdr>
            <w:top w:val="none" w:sz="0" w:space="0" w:color="auto"/>
            <w:left w:val="none" w:sz="0" w:space="0" w:color="auto"/>
            <w:bottom w:val="none" w:sz="0" w:space="0" w:color="auto"/>
            <w:right w:val="none" w:sz="0" w:space="0" w:color="auto"/>
          </w:divBdr>
        </w:div>
        <w:div w:id="1198856854">
          <w:marLeft w:val="0"/>
          <w:marRight w:val="0"/>
          <w:marTop w:val="0"/>
          <w:marBottom w:val="0"/>
          <w:divBdr>
            <w:top w:val="none" w:sz="0" w:space="0" w:color="auto"/>
            <w:left w:val="none" w:sz="0" w:space="0" w:color="auto"/>
            <w:bottom w:val="none" w:sz="0" w:space="0" w:color="auto"/>
            <w:right w:val="none" w:sz="0" w:space="0" w:color="auto"/>
          </w:divBdr>
        </w:div>
        <w:div w:id="1283422772">
          <w:marLeft w:val="0"/>
          <w:marRight w:val="0"/>
          <w:marTop w:val="0"/>
          <w:marBottom w:val="0"/>
          <w:divBdr>
            <w:top w:val="none" w:sz="0" w:space="0" w:color="auto"/>
            <w:left w:val="none" w:sz="0" w:space="0" w:color="auto"/>
            <w:bottom w:val="none" w:sz="0" w:space="0" w:color="auto"/>
            <w:right w:val="none" w:sz="0" w:space="0" w:color="auto"/>
          </w:divBdr>
        </w:div>
        <w:div w:id="1440182135">
          <w:marLeft w:val="0"/>
          <w:marRight w:val="0"/>
          <w:marTop w:val="0"/>
          <w:marBottom w:val="0"/>
          <w:divBdr>
            <w:top w:val="none" w:sz="0" w:space="0" w:color="auto"/>
            <w:left w:val="none" w:sz="0" w:space="0" w:color="auto"/>
            <w:bottom w:val="none" w:sz="0" w:space="0" w:color="auto"/>
            <w:right w:val="none" w:sz="0" w:space="0" w:color="auto"/>
          </w:divBdr>
        </w:div>
        <w:div w:id="1467166594">
          <w:marLeft w:val="0"/>
          <w:marRight w:val="0"/>
          <w:marTop w:val="0"/>
          <w:marBottom w:val="0"/>
          <w:divBdr>
            <w:top w:val="none" w:sz="0" w:space="0" w:color="auto"/>
            <w:left w:val="none" w:sz="0" w:space="0" w:color="auto"/>
            <w:bottom w:val="none" w:sz="0" w:space="0" w:color="auto"/>
            <w:right w:val="none" w:sz="0" w:space="0" w:color="auto"/>
          </w:divBdr>
        </w:div>
        <w:div w:id="1784106317">
          <w:marLeft w:val="0"/>
          <w:marRight w:val="0"/>
          <w:marTop w:val="0"/>
          <w:marBottom w:val="0"/>
          <w:divBdr>
            <w:top w:val="none" w:sz="0" w:space="0" w:color="auto"/>
            <w:left w:val="none" w:sz="0" w:space="0" w:color="auto"/>
            <w:bottom w:val="none" w:sz="0" w:space="0" w:color="auto"/>
            <w:right w:val="none" w:sz="0" w:space="0" w:color="auto"/>
          </w:divBdr>
        </w:div>
      </w:divsChild>
    </w:div>
    <w:div w:id="1343969026">
      <w:bodyDiv w:val="1"/>
      <w:marLeft w:val="0"/>
      <w:marRight w:val="0"/>
      <w:marTop w:val="0"/>
      <w:marBottom w:val="0"/>
      <w:divBdr>
        <w:top w:val="none" w:sz="0" w:space="0" w:color="auto"/>
        <w:left w:val="none" w:sz="0" w:space="0" w:color="auto"/>
        <w:bottom w:val="none" w:sz="0" w:space="0" w:color="auto"/>
        <w:right w:val="none" w:sz="0" w:space="0" w:color="auto"/>
      </w:divBdr>
      <w:divsChild>
        <w:div w:id="43063675">
          <w:marLeft w:val="0"/>
          <w:marRight w:val="0"/>
          <w:marTop w:val="0"/>
          <w:marBottom w:val="0"/>
          <w:divBdr>
            <w:top w:val="none" w:sz="0" w:space="0" w:color="auto"/>
            <w:left w:val="none" w:sz="0" w:space="0" w:color="auto"/>
            <w:bottom w:val="none" w:sz="0" w:space="0" w:color="auto"/>
            <w:right w:val="none" w:sz="0" w:space="0" w:color="auto"/>
          </w:divBdr>
        </w:div>
        <w:div w:id="53282352">
          <w:marLeft w:val="0"/>
          <w:marRight w:val="0"/>
          <w:marTop w:val="0"/>
          <w:marBottom w:val="0"/>
          <w:divBdr>
            <w:top w:val="none" w:sz="0" w:space="0" w:color="auto"/>
            <w:left w:val="none" w:sz="0" w:space="0" w:color="auto"/>
            <w:bottom w:val="none" w:sz="0" w:space="0" w:color="auto"/>
            <w:right w:val="none" w:sz="0" w:space="0" w:color="auto"/>
          </w:divBdr>
        </w:div>
        <w:div w:id="145509803">
          <w:marLeft w:val="0"/>
          <w:marRight w:val="0"/>
          <w:marTop w:val="0"/>
          <w:marBottom w:val="0"/>
          <w:divBdr>
            <w:top w:val="none" w:sz="0" w:space="0" w:color="auto"/>
            <w:left w:val="none" w:sz="0" w:space="0" w:color="auto"/>
            <w:bottom w:val="none" w:sz="0" w:space="0" w:color="auto"/>
            <w:right w:val="none" w:sz="0" w:space="0" w:color="auto"/>
          </w:divBdr>
        </w:div>
        <w:div w:id="281301667">
          <w:marLeft w:val="0"/>
          <w:marRight w:val="0"/>
          <w:marTop w:val="0"/>
          <w:marBottom w:val="0"/>
          <w:divBdr>
            <w:top w:val="none" w:sz="0" w:space="0" w:color="auto"/>
            <w:left w:val="none" w:sz="0" w:space="0" w:color="auto"/>
            <w:bottom w:val="none" w:sz="0" w:space="0" w:color="auto"/>
            <w:right w:val="none" w:sz="0" w:space="0" w:color="auto"/>
          </w:divBdr>
        </w:div>
        <w:div w:id="306669150">
          <w:marLeft w:val="0"/>
          <w:marRight w:val="0"/>
          <w:marTop w:val="0"/>
          <w:marBottom w:val="0"/>
          <w:divBdr>
            <w:top w:val="none" w:sz="0" w:space="0" w:color="auto"/>
            <w:left w:val="none" w:sz="0" w:space="0" w:color="auto"/>
            <w:bottom w:val="none" w:sz="0" w:space="0" w:color="auto"/>
            <w:right w:val="none" w:sz="0" w:space="0" w:color="auto"/>
          </w:divBdr>
        </w:div>
        <w:div w:id="461195715">
          <w:marLeft w:val="0"/>
          <w:marRight w:val="0"/>
          <w:marTop w:val="0"/>
          <w:marBottom w:val="0"/>
          <w:divBdr>
            <w:top w:val="none" w:sz="0" w:space="0" w:color="auto"/>
            <w:left w:val="none" w:sz="0" w:space="0" w:color="auto"/>
            <w:bottom w:val="none" w:sz="0" w:space="0" w:color="auto"/>
            <w:right w:val="none" w:sz="0" w:space="0" w:color="auto"/>
          </w:divBdr>
        </w:div>
        <w:div w:id="462650652">
          <w:marLeft w:val="0"/>
          <w:marRight w:val="0"/>
          <w:marTop w:val="0"/>
          <w:marBottom w:val="0"/>
          <w:divBdr>
            <w:top w:val="none" w:sz="0" w:space="0" w:color="auto"/>
            <w:left w:val="none" w:sz="0" w:space="0" w:color="auto"/>
            <w:bottom w:val="none" w:sz="0" w:space="0" w:color="auto"/>
            <w:right w:val="none" w:sz="0" w:space="0" w:color="auto"/>
          </w:divBdr>
        </w:div>
        <w:div w:id="490484950">
          <w:marLeft w:val="0"/>
          <w:marRight w:val="0"/>
          <w:marTop w:val="0"/>
          <w:marBottom w:val="0"/>
          <w:divBdr>
            <w:top w:val="none" w:sz="0" w:space="0" w:color="auto"/>
            <w:left w:val="none" w:sz="0" w:space="0" w:color="auto"/>
            <w:bottom w:val="none" w:sz="0" w:space="0" w:color="auto"/>
            <w:right w:val="none" w:sz="0" w:space="0" w:color="auto"/>
          </w:divBdr>
        </w:div>
        <w:div w:id="491027814">
          <w:marLeft w:val="0"/>
          <w:marRight w:val="0"/>
          <w:marTop w:val="0"/>
          <w:marBottom w:val="0"/>
          <w:divBdr>
            <w:top w:val="none" w:sz="0" w:space="0" w:color="auto"/>
            <w:left w:val="none" w:sz="0" w:space="0" w:color="auto"/>
            <w:bottom w:val="none" w:sz="0" w:space="0" w:color="auto"/>
            <w:right w:val="none" w:sz="0" w:space="0" w:color="auto"/>
          </w:divBdr>
        </w:div>
        <w:div w:id="500897231">
          <w:marLeft w:val="0"/>
          <w:marRight w:val="0"/>
          <w:marTop w:val="0"/>
          <w:marBottom w:val="0"/>
          <w:divBdr>
            <w:top w:val="none" w:sz="0" w:space="0" w:color="auto"/>
            <w:left w:val="none" w:sz="0" w:space="0" w:color="auto"/>
            <w:bottom w:val="none" w:sz="0" w:space="0" w:color="auto"/>
            <w:right w:val="none" w:sz="0" w:space="0" w:color="auto"/>
          </w:divBdr>
        </w:div>
        <w:div w:id="526679200">
          <w:marLeft w:val="0"/>
          <w:marRight w:val="0"/>
          <w:marTop w:val="0"/>
          <w:marBottom w:val="0"/>
          <w:divBdr>
            <w:top w:val="none" w:sz="0" w:space="0" w:color="auto"/>
            <w:left w:val="none" w:sz="0" w:space="0" w:color="auto"/>
            <w:bottom w:val="none" w:sz="0" w:space="0" w:color="auto"/>
            <w:right w:val="none" w:sz="0" w:space="0" w:color="auto"/>
          </w:divBdr>
        </w:div>
        <w:div w:id="528228526">
          <w:marLeft w:val="0"/>
          <w:marRight w:val="0"/>
          <w:marTop w:val="0"/>
          <w:marBottom w:val="0"/>
          <w:divBdr>
            <w:top w:val="none" w:sz="0" w:space="0" w:color="auto"/>
            <w:left w:val="none" w:sz="0" w:space="0" w:color="auto"/>
            <w:bottom w:val="none" w:sz="0" w:space="0" w:color="auto"/>
            <w:right w:val="none" w:sz="0" w:space="0" w:color="auto"/>
          </w:divBdr>
        </w:div>
        <w:div w:id="598216956">
          <w:marLeft w:val="0"/>
          <w:marRight w:val="0"/>
          <w:marTop w:val="0"/>
          <w:marBottom w:val="0"/>
          <w:divBdr>
            <w:top w:val="none" w:sz="0" w:space="0" w:color="auto"/>
            <w:left w:val="none" w:sz="0" w:space="0" w:color="auto"/>
            <w:bottom w:val="none" w:sz="0" w:space="0" w:color="auto"/>
            <w:right w:val="none" w:sz="0" w:space="0" w:color="auto"/>
          </w:divBdr>
        </w:div>
        <w:div w:id="647633912">
          <w:marLeft w:val="0"/>
          <w:marRight w:val="0"/>
          <w:marTop w:val="0"/>
          <w:marBottom w:val="0"/>
          <w:divBdr>
            <w:top w:val="none" w:sz="0" w:space="0" w:color="auto"/>
            <w:left w:val="none" w:sz="0" w:space="0" w:color="auto"/>
            <w:bottom w:val="none" w:sz="0" w:space="0" w:color="auto"/>
            <w:right w:val="none" w:sz="0" w:space="0" w:color="auto"/>
          </w:divBdr>
        </w:div>
        <w:div w:id="718674135">
          <w:marLeft w:val="0"/>
          <w:marRight w:val="0"/>
          <w:marTop w:val="0"/>
          <w:marBottom w:val="0"/>
          <w:divBdr>
            <w:top w:val="none" w:sz="0" w:space="0" w:color="auto"/>
            <w:left w:val="none" w:sz="0" w:space="0" w:color="auto"/>
            <w:bottom w:val="none" w:sz="0" w:space="0" w:color="auto"/>
            <w:right w:val="none" w:sz="0" w:space="0" w:color="auto"/>
          </w:divBdr>
        </w:div>
        <w:div w:id="811754071">
          <w:marLeft w:val="0"/>
          <w:marRight w:val="0"/>
          <w:marTop w:val="0"/>
          <w:marBottom w:val="0"/>
          <w:divBdr>
            <w:top w:val="none" w:sz="0" w:space="0" w:color="auto"/>
            <w:left w:val="none" w:sz="0" w:space="0" w:color="auto"/>
            <w:bottom w:val="none" w:sz="0" w:space="0" w:color="auto"/>
            <w:right w:val="none" w:sz="0" w:space="0" w:color="auto"/>
          </w:divBdr>
        </w:div>
        <w:div w:id="905148635">
          <w:marLeft w:val="0"/>
          <w:marRight w:val="0"/>
          <w:marTop w:val="0"/>
          <w:marBottom w:val="0"/>
          <w:divBdr>
            <w:top w:val="none" w:sz="0" w:space="0" w:color="auto"/>
            <w:left w:val="none" w:sz="0" w:space="0" w:color="auto"/>
            <w:bottom w:val="none" w:sz="0" w:space="0" w:color="auto"/>
            <w:right w:val="none" w:sz="0" w:space="0" w:color="auto"/>
          </w:divBdr>
        </w:div>
        <w:div w:id="956331076">
          <w:marLeft w:val="0"/>
          <w:marRight w:val="0"/>
          <w:marTop w:val="0"/>
          <w:marBottom w:val="0"/>
          <w:divBdr>
            <w:top w:val="none" w:sz="0" w:space="0" w:color="auto"/>
            <w:left w:val="none" w:sz="0" w:space="0" w:color="auto"/>
            <w:bottom w:val="none" w:sz="0" w:space="0" w:color="auto"/>
            <w:right w:val="none" w:sz="0" w:space="0" w:color="auto"/>
          </w:divBdr>
        </w:div>
        <w:div w:id="961614860">
          <w:marLeft w:val="0"/>
          <w:marRight w:val="0"/>
          <w:marTop w:val="0"/>
          <w:marBottom w:val="0"/>
          <w:divBdr>
            <w:top w:val="none" w:sz="0" w:space="0" w:color="auto"/>
            <w:left w:val="none" w:sz="0" w:space="0" w:color="auto"/>
            <w:bottom w:val="none" w:sz="0" w:space="0" w:color="auto"/>
            <w:right w:val="none" w:sz="0" w:space="0" w:color="auto"/>
          </w:divBdr>
        </w:div>
        <w:div w:id="976498437">
          <w:marLeft w:val="0"/>
          <w:marRight w:val="0"/>
          <w:marTop w:val="0"/>
          <w:marBottom w:val="0"/>
          <w:divBdr>
            <w:top w:val="none" w:sz="0" w:space="0" w:color="auto"/>
            <w:left w:val="none" w:sz="0" w:space="0" w:color="auto"/>
            <w:bottom w:val="none" w:sz="0" w:space="0" w:color="auto"/>
            <w:right w:val="none" w:sz="0" w:space="0" w:color="auto"/>
          </w:divBdr>
        </w:div>
        <w:div w:id="1108622944">
          <w:marLeft w:val="0"/>
          <w:marRight w:val="0"/>
          <w:marTop w:val="0"/>
          <w:marBottom w:val="0"/>
          <w:divBdr>
            <w:top w:val="none" w:sz="0" w:space="0" w:color="auto"/>
            <w:left w:val="none" w:sz="0" w:space="0" w:color="auto"/>
            <w:bottom w:val="none" w:sz="0" w:space="0" w:color="auto"/>
            <w:right w:val="none" w:sz="0" w:space="0" w:color="auto"/>
          </w:divBdr>
        </w:div>
        <w:div w:id="1122071269">
          <w:marLeft w:val="0"/>
          <w:marRight w:val="0"/>
          <w:marTop w:val="0"/>
          <w:marBottom w:val="0"/>
          <w:divBdr>
            <w:top w:val="none" w:sz="0" w:space="0" w:color="auto"/>
            <w:left w:val="none" w:sz="0" w:space="0" w:color="auto"/>
            <w:bottom w:val="none" w:sz="0" w:space="0" w:color="auto"/>
            <w:right w:val="none" w:sz="0" w:space="0" w:color="auto"/>
          </w:divBdr>
        </w:div>
        <w:div w:id="1176189290">
          <w:marLeft w:val="0"/>
          <w:marRight w:val="0"/>
          <w:marTop w:val="0"/>
          <w:marBottom w:val="0"/>
          <w:divBdr>
            <w:top w:val="none" w:sz="0" w:space="0" w:color="auto"/>
            <w:left w:val="none" w:sz="0" w:space="0" w:color="auto"/>
            <w:bottom w:val="none" w:sz="0" w:space="0" w:color="auto"/>
            <w:right w:val="none" w:sz="0" w:space="0" w:color="auto"/>
          </w:divBdr>
        </w:div>
        <w:div w:id="1243029287">
          <w:marLeft w:val="0"/>
          <w:marRight w:val="0"/>
          <w:marTop w:val="0"/>
          <w:marBottom w:val="0"/>
          <w:divBdr>
            <w:top w:val="none" w:sz="0" w:space="0" w:color="auto"/>
            <w:left w:val="none" w:sz="0" w:space="0" w:color="auto"/>
            <w:bottom w:val="none" w:sz="0" w:space="0" w:color="auto"/>
            <w:right w:val="none" w:sz="0" w:space="0" w:color="auto"/>
          </w:divBdr>
        </w:div>
        <w:div w:id="1287928083">
          <w:marLeft w:val="0"/>
          <w:marRight w:val="0"/>
          <w:marTop w:val="0"/>
          <w:marBottom w:val="0"/>
          <w:divBdr>
            <w:top w:val="none" w:sz="0" w:space="0" w:color="auto"/>
            <w:left w:val="none" w:sz="0" w:space="0" w:color="auto"/>
            <w:bottom w:val="none" w:sz="0" w:space="0" w:color="auto"/>
            <w:right w:val="none" w:sz="0" w:space="0" w:color="auto"/>
          </w:divBdr>
        </w:div>
        <w:div w:id="1328509158">
          <w:marLeft w:val="0"/>
          <w:marRight w:val="0"/>
          <w:marTop w:val="0"/>
          <w:marBottom w:val="0"/>
          <w:divBdr>
            <w:top w:val="none" w:sz="0" w:space="0" w:color="auto"/>
            <w:left w:val="none" w:sz="0" w:space="0" w:color="auto"/>
            <w:bottom w:val="none" w:sz="0" w:space="0" w:color="auto"/>
            <w:right w:val="none" w:sz="0" w:space="0" w:color="auto"/>
          </w:divBdr>
        </w:div>
        <w:div w:id="1461999043">
          <w:marLeft w:val="0"/>
          <w:marRight w:val="0"/>
          <w:marTop w:val="0"/>
          <w:marBottom w:val="0"/>
          <w:divBdr>
            <w:top w:val="none" w:sz="0" w:space="0" w:color="auto"/>
            <w:left w:val="none" w:sz="0" w:space="0" w:color="auto"/>
            <w:bottom w:val="none" w:sz="0" w:space="0" w:color="auto"/>
            <w:right w:val="none" w:sz="0" w:space="0" w:color="auto"/>
          </w:divBdr>
        </w:div>
        <w:div w:id="1476991983">
          <w:marLeft w:val="0"/>
          <w:marRight w:val="0"/>
          <w:marTop w:val="0"/>
          <w:marBottom w:val="0"/>
          <w:divBdr>
            <w:top w:val="none" w:sz="0" w:space="0" w:color="auto"/>
            <w:left w:val="none" w:sz="0" w:space="0" w:color="auto"/>
            <w:bottom w:val="none" w:sz="0" w:space="0" w:color="auto"/>
            <w:right w:val="none" w:sz="0" w:space="0" w:color="auto"/>
          </w:divBdr>
        </w:div>
        <w:div w:id="1696690728">
          <w:marLeft w:val="0"/>
          <w:marRight w:val="0"/>
          <w:marTop w:val="0"/>
          <w:marBottom w:val="0"/>
          <w:divBdr>
            <w:top w:val="none" w:sz="0" w:space="0" w:color="auto"/>
            <w:left w:val="none" w:sz="0" w:space="0" w:color="auto"/>
            <w:bottom w:val="none" w:sz="0" w:space="0" w:color="auto"/>
            <w:right w:val="none" w:sz="0" w:space="0" w:color="auto"/>
          </w:divBdr>
        </w:div>
        <w:div w:id="1723287559">
          <w:marLeft w:val="0"/>
          <w:marRight w:val="0"/>
          <w:marTop w:val="0"/>
          <w:marBottom w:val="0"/>
          <w:divBdr>
            <w:top w:val="none" w:sz="0" w:space="0" w:color="auto"/>
            <w:left w:val="none" w:sz="0" w:space="0" w:color="auto"/>
            <w:bottom w:val="none" w:sz="0" w:space="0" w:color="auto"/>
            <w:right w:val="none" w:sz="0" w:space="0" w:color="auto"/>
          </w:divBdr>
        </w:div>
        <w:div w:id="1749233506">
          <w:marLeft w:val="0"/>
          <w:marRight w:val="0"/>
          <w:marTop w:val="0"/>
          <w:marBottom w:val="0"/>
          <w:divBdr>
            <w:top w:val="none" w:sz="0" w:space="0" w:color="auto"/>
            <w:left w:val="none" w:sz="0" w:space="0" w:color="auto"/>
            <w:bottom w:val="none" w:sz="0" w:space="0" w:color="auto"/>
            <w:right w:val="none" w:sz="0" w:space="0" w:color="auto"/>
          </w:divBdr>
        </w:div>
        <w:div w:id="1818762178">
          <w:marLeft w:val="0"/>
          <w:marRight w:val="0"/>
          <w:marTop w:val="0"/>
          <w:marBottom w:val="0"/>
          <w:divBdr>
            <w:top w:val="none" w:sz="0" w:space="0" w:color="auto"/>
            <w:left w:val="none" w:sz="0" w:space="0" w:color="auto"/>
            <w:bottom w:val="none" w:sz="0" w:space="0" w:color="auto"/>
            <w:right w:val="none" w:sz="0" w:space="0" w:color="auto"/>
          </w:divBdr>
        </w:div>
        <w:div w:id="1880435052">
          <w:marLeft w:val="0"/>
          <w:marRight w:val="0"/>
          <w:marTop w:val="0"/>
          <w:marBottom w:val="0"/>
          <w:divBdr>
            <w:top w:val="none" w:sz="0" w:space="0" w:color="auto"/>
            <w:left w:val="none" w:sz="0" w:space="0" w:color="auto"/>
            <w:bottom w:val="none" w:sz="0" w:space="0" w:color="auto"/>
            <w:right w:val="none" w:sz="0" w:space="0" w:color="auto"/>
          </w:divBdr>
        </w:div>
        <w:div w:id="1881817221">
          <w:marLeft w:val="0"/>
          <w:marRight w:val="0"/>
          <w:marTop w:val="0"/>
          <w:marBottom w:val="0"/>
          <w:divBdr>
            <w:top w:val="none" w:sz="0" w:space="0" w:color="auto"/>
            <w:left w:val="none" w:sz="0" w:space="0" w:color="auto"/>
            <w:bottom w:val="none" w:sz="0" w:space="0" w:color="auto"/>
            <w:right w:val="none" w:sz="0" w:space="0" w:color="auto"/>
          </w:divBdr>
        </w:div>
        <w:div w:id="1913346354">
          <w:marLeft w:val="0"/>
          <w:marRight w:val="0"/>
          <w:marTop w:val="0"/>
          <w:marBottom w:val="0"/>
          <w:divBdr>
            <w:top w:val="none" w:sz="0" w:space="0" w:color="auto"/>
            <w:left w:val="none" w:sz="0" w:space="0" w:color="auto"/>
            <w:bottom w:val="none" w:sz="0" w:space="0" w:color="auto"/>
            <w:right w:val="none" w:sz="0" w:space="0" w:color="auto"/>
          </w:divBdr>
        </w:div>
        <w:div w:id="1918587896">
          <w:marLeft w:val="0"/>
          <w:marRight w:val="0"/>
          <w:marTop w:val="0"/>
          <w:marBottom w:val="0"/>
          <w:divBdr>
            <w:top w:val="none" w:sz="0" w:space="0" w:color="auto"/>
            <w:left w:val="none" w:sz="0" w:space="0" w:color="auto"/>
            <w:bottom w:val="none" w:sz="0" w:space="0" w:color="auto"/>
            <w:right w:val="none" w:sz="0" w:space="0" w:color="auto"/>
          </w:divBdr>
        </w:div>
        <w:div w:id="2001889446">
          <w:marLeft w:val="0"/>
          <w:marRight w:val="0"/>
          <w:marTop w:val="0"/>
          <w:marBottom w:val="0"/>
          <w:divBdr>
            <w:top w:val="none" w:sz="0" w:space="0" w:color="auto"/>
            <w:left w:val="none" w:sz="0" w:space="0" w:color="auto"/>
            <w:bottom w:val="none" w:sz="0" w:space="0" w:color="auto"/>
            <w:right w:val="none" w:sz="0" w:space="0" w:color="auto"/>
          </w:divBdr>
        </w:div>
        <w:div w:id="2102215341">
          <w:marLeft w:val="0"/>
          <w:marRight w:val="0"/>
          <w:marTop w:val="0"/>
          <w:marBottom w:val="0"/>
          <w:divBdr>
            <w:top w:val="none" w:sz="0" w:space="0" w:color="auto"/>
            <w:left w:val="none" w:sz="0" w:space="0" w:color="auto"/>
            <w:bottom w:val="none" w:sz="0" w:space="0" w:color="auto"/>
            <w:right w:val="none" w:sz="0" w:space="0" w:color="auto"/>
          </w:divBdr>
        </w:div>
        <w:div w:id="2124642575">
          <w:marLeft w:val="0"/>
          <w:marRight w:val="0"/>
          <w:marTop w:val="0"/>
          <w:marBottom w:val="0"/>
          <w:divBdr>
            <w:top w:val="none" w:sz="0" w:space="0" w:color="auto"/>
            <w:left w:val="none" w:sz="0" w:space="0" w:color="auto"/>
            <w:bottom w:val="none" w:sz="0" w:space="0" w:color="auto"/>
            <w:right w:val="none" w:sz="0" w:space="0" w:color="auto"/>
          </w:divBdr>
        </w:div>
        <w:div w:id="2137523183">
          <w:marLeft w:val="0"/>
          <w:marRight w:val="0"/>
          <w:marTop w:val="0"/>
          <w:marBottom w:val="0"/>
          <w:divBdr>
            <w:top w:val="none" w:sz="0" w:space="0" w:color="auto"/>
            <w:left w:val="none" w:sz="0" w:space="0" w:color="auto"/>
            <w:bottom w:val="none" w:sz="0" w:space="0" w:color="auto"/>
            <w:right w:val="none" w:sz="0" w:space="0" w:color="auto"/>
          </w:divBdr>
        </w:div>
      </w:divsChild>
    </w:div>
    <w:div w:id="1348210890">
      <w:bodyDiv w:val="1"/>
      <w:marLeft w:val="0"/>
      <w:marRight w:val="0"/>
      <w:marTop w:val="0"/>
      <w:marBottom w:val="0"/>
      <w:divBdr>
        <w:top w:val="none" w:sz="0" w:space="0" w:color="auto"/>
        <w:left w:val="none" w:sz="0" w:space="0" w:color="auto"/>
        <w:bottom w:val="none" w:sz="0" w:space="0" w:color="auto"/>
        <w:right w:val="none" w:sz="0" w:space="0" w:color="auto"/>
      </w:divBdr>
      <w:divsChild>
        <w:div w:id="165556987">
          <w:marLeft w:val="0"/>
          <w:marRight w:val="0"/>
          <w:marTop w:val="0"/>
          <w:marBottom w:val="0"/>
          <w:divBdr>
            <w:top w:val="none" w:sz="0" w:space="0" w:color="auto"/>
            <w:left w:val="none" w:sz="0" w:space="0" w:color="auto"/>
            <w:bottom w:val="none" w:sz="0" w:space="0" w:color="auto"/>
            <w:right w:val="none" w:sz="0" w:space="0" w:color="auto"/>
          </w:divBdr>
        </w:div>
        <w:div w:id="188883263">
          <w:marLeft w:val="0"/>
          <w:marRight w:val="0"/>
          <w:marTop w:val="0"/>
          <w:marBottom w:val="0"/>
          <w:divBdr>
            <w:top w:val="none" w:sz="0" w:space="0" w:color="auto"/>
            <w:left w:val="none" w:sz="0" w:space="0" w:color="auto"/>
            <w:bottom w:val="none" w:sz="0" w:space="0" w:color="auto"/>
            <w:right w:val="none" w:sz="0" w:space="0" w:color="auto"/>
          </w:divBdr>
        </w:div>
        <w:div w:id="1036003830">
          <w:marLeft w:val="0"/>
          <w:marRight w:val="0"/>
          <w:marTop w:val="0"/>
          <w:marBottom w:val="0"/>
          <w:divBdr>
            <w:top w:val="none" w:sz="0" w:space="0" w:color="auto"/>
            <w:left w:val="none" w:sz="0" w:space="0" w:color="auto"/>
            <w:bottom w:val="none" w:sz="0" w:space="0" w:color="auto"/>
            <w:right w:val="none" w:sz="0" w:space="0" w:color="auto"/>
          </w:divBdr>
        </w:div>
        <w:div w:id="1080835886">
          <w:marLeft w:val="0"/>
          <w:marRight w:val="0"/>
          <w:marTop w:val="0"/>
          <w:marBottom w:val="0"/>
          <w:divBdr>
            <w:top w:val="none" w:sz="0" w:space="0" w:color="auto"/>
            <w:left w:val="none" w:sz="0" w:space="0" w:color="auto"/>
            <w:bottom w:val="none" w:sz="0" w:space="0" w:color="auto"/>
            <w:right w:val="none" w:sz="0" w:space="0" w:color="auto"/>
          </w:divBdr>
        </w:div>
        <w:div w:id="1357736655">
          <w:marLeft w:val="0"/>
          <w:marRight w:val="0"/>
          <w:marTop w:val="0"/>
          <w:marBottom w:val="0"/>
          <w:divBdr>
            <w:top w:val="none" w:sz="0" w:space="0" w:color="auto"/>
            <w:left w:val="none" w:sz="0" w:space="0" w:color="auto"/>
            <w:bottom w:val="none" w:sz="0" w:space="0" w:color="auto"/>
            <w:right w:val="none" w:sz="0" w:space="0" w:color="auto"/>
          </w:divBdr>
        </w:div>
        <w:div w:id="1432316292">
          <w:marLeft w:val="0"/>
          <w:marRight w:val="0"/>
          <w:marTop w:val="0"/>
          <w:marBottom w:val="0"/>
          <w:divBdr>
            <w:top w:val="none" w:sz="0" w:space="0" w:color="auto"/>
            <w:left w:val="none" w:sz="0" w:space="0" w:color="auto"/>
            <w:bottom w:val="none" w:sz="0" w:space="0" w:color="auto"/>
            <w:right w:val="none" w:sz="0" w:space="0" w:color="auto"/>
          </w:divBdr>
        </w:div>
        <w:div w:id="1444377473">
          <w:marLeft w:val="0"/>
          <w:marRight w:val="0"/>
          <w:marTop w:val="0"/>
          <w:marBottom w:val="0"/>
          <w:divBdr>
            <w:top w:val="none" w:sz="0" w:space="0" w:color="auto"/>
            <w:left w:val="none" w:sz="0" w:space="0" w:color="auto"/>
            <w:bottom w:val="none" w:sz="0" w:space="0" w:color="auto"/>
            <w:right w:val="none" w:sz="0" w:space="0" w:color="auto"/>
          </w:divBdr>
        </w:div>
      </w:divsChild>
    </w:div>
    <w:div w:id="1349327474">
      <w:bodyDiv w:val="1"/>
      <w:marLeft w:val="0"/>
      <w:marRight w:val="0"/>
      <w:marTop w:val="0"/>
      <w:marBottom w:val="0"/>
      <w:divBdr>
        <w:top w:val="none" w:sz="0" w:space="0" w:color="auto"/>
        <w:left w:val="none" w:sz="0" w:space="0" w:color="auto"/>
        <w:bottom w:val="none" w:sz="0" w:space="0" w:color="auto"/>
        <w:right w:val="none" w:sz="0" w:space="0" w:color="auto"/>
      </w:divBdr>
      <w:divsChild>
        <w:div w:id="131336154">
          <w:marLeft w:val="0"/>
          <w:marRight w:val="0"/>
          <w:marTop w:val="0"/>
          <w:marBottom w:val="0"/>
          <w:divBdr>
            <w:top w:val="none" w:sz="0" w:space="0" w:color="auto"/>
            <w:left w:val="none" w:sz="0" w:space="0" w:color="auto"/>
            <w:bottom w:val="none" w:sz="0" w:space="0" w:color="auto"/>
            <w:right w:val="none" w:sz="0" w:space="0" w:color="auto"/>
          </w:divBdr>
        </w:div>
        <w:div w:id="215355343">
          <w:marLeft w:val="0"/>
          <w:marRight w:val="0"/>
          <w:marTop w:val="0"/>
          <w:marBottom w:val="0"/>
          <w:divBdr>
            <w:top w:val="none" w:sz="0" w:space="0" w:color="auto"/>
            <w:left w:val="none" w:sz="0" w:space="0" w:color="auto"/>
            <w:bottom w:val="none" w:sz="0" w:space="0" w:color="auto"/>
            <w:right w:val="none" w:sz="0" w:space="0" w:color="auto"/>
          </w:divBdr>
        </w:div>
        <w:div w:id="231084563">
          <w:marLeft w:val="0"/>
          <w:marRight w:val="0"/>
          <w:marTop w:val="0"/>
          <w:marBottom w:val="0"/>
          <w:divBdr>
            <w:top w:val="none" w:sz="0" w:space="0" w:color="auto"/>
            <w:left w:val="none" w:sz="0" w:space="0" w:color="auto"/>
            <w:bottom w:val="none" w:sz="0" w:space="0" w:color="auto"/>
            <w:right w:val="none" w:sz="0" w:space="0" w:color="auto"/>
          </w:divBdr>
        </w:div>
        <w:div w:id="237330652">
          <w:marLeft w:val="0"/>
          <w:marRight w:val="0"/>
          <w:marTop w:val="0"/>
          <w:marBottom w:val="0"/>
          <w:divBdr>
            <w:top w:val="none" w:sz="0" w:space="0" w:color="auto"/>
            <w:left w:val="none" w:sz="0" w:space="0" w:color="auto"/>
            <w:bottom w:val="none" w:sz="0" w:space="0" w:color="auto"/>
            <w:right w:val="none" w:sz="0" w:space="0" w:color="auto"/>
          </w:divBdr>
        </w:div>
        <w:div w:id="280308633">
          <w:marLeft w:val="0"/>
          <w:marRight w:val="0"/>
          <w:marTop w:val="0"/>
          <w:marBottom w:val="0"/>
          <w:divBdr>
            <w:top w:val="none" w:sz="0" w:space="0" w:color="auto"/>
            <w:left w:val="none" w:sz="0" w:space="0" w:color="auto"/>
            <w:bottom w:val="none" w:sz="0" w:space="0" w:color="auto"/>
            <w:right w:val="none" w:sz="0" w:space="0" w:color="auto"/>
          </w:divBdr>
        </w:div>
        <w:div w:id="410278484">
          <w:marLeft w:val="0"/>
          <w:marRight w:val="0"/>
          <w:marTop w:val="0"/>
          <w:marBottom w:val="0"/>
          <w:divBdr>
            <w:top w:val="none" w:sz="0" w:space="0" w:color="auto"/>
            <w:left w:val="none" w:sz="0" w:space="0" w:color="auto"/>
            <w:bottom w:val="none" w:sz="0" w:space="0" w:color="auto"/>
            <w:right w:val="none" w:sz="0" w:space="0" w:color="auto"/>
          </w:divBdr>
        </w:div>
        <w:div w:id="642735077">
          <w:marLeft w:val="0"/>
          <w:marRight w:val="0"/>
          <w:marTop w:val="0"/>
          <w:marBottom w:val="0"/>
          <w:divBdr>
            <w:top w:val="none" w:sz="0" w:space="0" w:color="auto"/>
            <w:left w:val="none" w:sz="0" w:space="0" w:color="auto"/>
            <w:bottom w:val="none" w:sz="0" w:space="0" w:color="auto"/>
            <w:right w:val="none" w:sz="0" w:space="0" w:color="auto"/>
          </w:divBdr>
        </w:div>
        <w:div w:id="689720504">
          <w:marLeft w:val="0"/>
          <w:marRight w:val="0"/>
          <w:marTop w:val="0"/>
          <w:marBottom w:val="0"/>
          <w:divBdr>
            <w:top w:val="none" w:sz="0" w:space="0" w:color="auto"/>
            <w:left w:val="none" w:sz="0" w:space="0" w:color="auto"/>
            <w:bottom w:val="none" w:sz="0" w:space="0" w:color="auto"/>
            <w:right w:val="none" w:sz="0" w:space="0" w:color="auto"/>
          </w:divBdr>
        </w:div>
        <w:div w:id="704017837">
          <w:marLeft w:val="0"/>
          <w:marRight w:val="0"/>
          <w:marTop w:val="0"/>
          <w:marBottom w:val="0"/>
          <w:divBdr>
            <w:top w:val="none" w:sz="0" w:space="0" w:color="auto"/>
            <w:left w:val="none" w:sz="0" w:space="0" w:color="auto"/>
            <w:bottom w:val="none" w:sz="0" w:space="0" w:color="auto"/>
            <w:right w:val="none" w:sz="0" w:space="0" w:color="auto"/>
          </w:divBdr>
        </w:div>
        <w:div w:id="807093866">
          <w:marLeft w:val="0"/>
          <w:marRight w:val="0"/>
          <w:marTop w:val="0"/>
          <w:marBottom w:val="0"/>
          <w:divBdr>
            <w:top w:val="none" w:sz="0" w:space="0" w:color="auto"/>
            <w:left w:val="none" w:sz="0" w:space="0" w:color="auto"/>
            <w:bottom w:val="none" w:sz="0" w:space="0" w:color="auto"/>
            <w:right w:val="none" w:sz="0" w:space="0" w:color="auto"/>
          </w:divBdr>
        </w:div>
        <w:div w:id="903493287">
          <w:marLeft w:val="0"/>
          <w:marRight w:val="0"/>
          <w:marTop w:val="0"/>
          <w:marBottom w:val="0"/>
          <w:divBdr>
            <w:top w:val="none" w:sz="0" w:space="0" w:color="auto"/>
            <w:left w:val="none" w:sz="0" w:space="0" w:color="auto"/>
            <w:bottom w:val="none" w:sz="0" w:space="0" w:color="auto"/>
            <w:right w:val="none" w:sz="0" w:space="0" w:color="auto"/>
          </w:divBdr>
        </w:div>
        <w:div w:id="914633907">
          <w:marLeft w:val="0"/>
          <w:marRight w:val="0"/>
          <w:marTop w:val="0"/>
          <w:marBottom w:val="0"/>
          <w:divBdr>
            <w:top w:val="none" w:sz="0" w:space="0" w:color="auto"/>
            <w:left w:val="none" w:sz="0" w:space="0" w:color="auto"/>
            <w:bottom w:val="none" w:sz="0" w:space="0" w:color="auto"/>
            <w:right w:val="none" w:sz="0" w:space="0" w:color="auto"/>
          </w:divBdr>
        </w:div>
        <w:div w:id="940066031">
          <w:marLeft w:val="0"/>
          <w:marRight w:val="0"/>
          <w:marTop w:val="0"/>
          <w:marBottom w:val="0"/>
          <w:divBdr>
            <w:top w:val="none" w:sz="0" w:space="0" w:color="auto"/>
            <w:left w:val="none" w:sz="0" w:space="0" w:color="auto"/>
            <w:bottom w:val="none" w:sz="0" w:space="0" w:color="auto"/>
            <w:right w:val="none" w:sz="0" w:space="0" w:color="auto"/>
          </w:divBdr>
        </w:div>
        <w:div w:id="990674407">
          <w:marLeft w:val="0"/>
          <w:marRight w:val="0"/>
          <w:marTop w:val="0"/>
          <w:marBottom w:val="0"/>
          <w:divBdr>
            <w:top w:val="none" w:sz="0" w:space="0" w:color="auto"/>
            <w:left w:val="none" w:sz="0" w:space="0" w:color="auto"/>
            <w:bottom w:val="none" w:sz="0" w:space="0" w:color="auto"/>
            <w:right w:val="none" w:sz="0" w:space="0" w:color="auto"/>
          </w:divBdr>
        </w:div>
        <w:div w:id="1236236575">
          <w:marLeft w:val="0"/>
          <w:marRight w:val="0"/>
          <w:marTop w:val="0"/>
          <w:marBottom w:val="0"/>
          <w:divBdr>
            <w:top w:val="none" w:sz="0" w:space="0" w:color="auto"/>
            <w:left w:val="none" w:sz="0" w:space="0" w:color="auto"/>
            <w:bottom w:val="none" w:sz="0" w:space="0" w:color="auto"/>
            <w:right w:val="none" w:sz="0" w:space="0" w:color="auto"/>
          </w:divBdr>
        </w:div>
        <w:div w:id="1606764312">
          <w:marLeft w:val="0"/>
          <w:marRight w:val="0"/>
          <w:marTop w:val="0"/>
          <w:marBottom w:val="0"/>
          <w:divBdr>
            <w:top w:val="none" w:sz="0" w:space="0" w:color="auto"/>
            <w:left w:val="none" w:sz="0" w:space="0" w:color="auto"/>
            <w:bottom w:val="none" w:sz="0" w:space="0" w:color="auto"/>
            <w:right w:val="none" w:sz="0" w:space="0" w:color="auto"/>
          </w:divBdr>
        </w:div>
        <w:div w:id="1666737790">
          <w:marLeft w:val="0"/>
          <w:marRight w:val="0"/>
          <w:marTop w:val="0"/>
          <w:marBottom w:val="0"/>
          <w:divBdr>
            <w:top w:val="none" w:sz="0" w:space="0" w:color="auto"/>
            <w:left w:val="none" w:sz="0" w:space="0" w:color="auto"/>
            <w:bottom w:val="none" w:sz="0" w:space="0" w:color="auto"/>
            <w:right w:val="none" w:sz="0" w:space="0" w:color="auto"/>
          </w:divBdr>
        </w:div>
        <w:div w:id="1675573086">
          <w:marLeft w:val="0"/>
          <w:marRight w:val="0"/>
          <w:marTop w:val="0"/>
          <w:marBottom w:val="0"/>
          <w:divBdr>
            <w:top w:val="none" w:sz="0" w:space="0" w:color="auto"/>
            <w:left w:val="none" w:sz="0" w:space="0" w:color="auto"/>
            <w:bottom w:val="none" w:sz="0" w:space="0" w:color="auto"/>
            <w:right w:val="none" w:sz="0" w:space="0" w:color="auto"/>
          </w:divBdr>
        </w:div>
        <w:div w:id="1775324469">
          <w:marLeft w:val="0"/>
          <w:marRight w:val="0"/>
          <w:marTop w:val="0"/>
          <w:marBottom w:val="0"/>
          <w:divBdr>
            <w:top w:val="none" w:sz="0" w:space="0" w:color="auto"/>
            <w:left w:val="none" w:sz="0" w:space="0" w:color="auto"/>
            <w:bottom w:val="none" w:sz="0" w:space="0" w:color="auto"/>
            <w:right w:val="none" w:sz="0" w:space="0" w:color="auto"/>
          </w:divBdr>
        </w:div>
        <w:div w:id="1860970034">
          <w:marLeft w:val="0"/>
          <w:marRight w:val="0"/>
          <w:marTop w:val="0"/>
          <w:marBottom w:val="0"/>
          <w:divBdr>
            <w:top w:val="none" w:sz="0" w:space="0" w:color="auto"/>
            <w:left w:val="none" w:sz="0" w:space="0" w:color="auto"/>
            <w:bottom w:val="none" w:sz="0" w:space="0" w:color="auto"/>
            <w:right w:val="none" w:sz="0" w:space="0" w:color="auto"/>
          </w:divBdr>
        </w:div>
        <w:div w:id="1964577482">
          <w:marLeft w:val="0"/>
          <w:marRight w:val="0"/>
          <w:marTop w:val="0"/>
          <w:marBottom w:val="0"/>
          <w:divBdr>
            <w:top w:val="none" w:sz="0" w:space="0" w:color="auto"/>
            <w:left w:val="none" w:sz="0" w:space="0" w:color="auto"/>
            <w:bottom w:val="none" w:sz="0" w:space="0" w:color="auto"/>
            <w:right w:val="none" w:sz="0" w:space="0" w:color="auto"/>
          </w:divBdr>
        </w:div>
        <w:div w:id="1984037793">
          <w:marLeft w:val="0"/>
          <w:marRight w:val="0"/>
          <w:marTop w:val="0"/>
          <w:marBottom w:val="0"/>
          <w:divBdr>
            <w:top w:val="none" w:sz="0" w:space="0" w:color="auto"/>
            <w:left w:val="none" w:sz="0" w:space="0" w:color="auto"/>
            <w:bottom w:val="none" w:sz="0" w:space="0" w:color="auto"/>
            <w:right w:val="none" w:sz="0" w:space="0" w:color="auto"/>
          </w:divBdr>
        </w:div>
      </w:divsChild>
    </w:div>
    <w:div w:id="1350909731">
      <w:bodyDiv w:val="1"/>
      <w:marLeft w:val="0"/>
      <w:marRight w:val="0"/>
      <w:marTop w:val="0"/>
      <w:marBottom w:val="0"/>
      <w:divBdr>
        <w:top w:val="none" w:sz="0" w:space="0" w:color="auto"/>
        <w:left w:val="none" w:sz="0" w:space="0" w:color="auto"/>
        <w:bottom w:val="none" w:sz="0" w:space="0" w:color="auto"/>
        <w:right w:val="none" w:sz="0" w:space="0" w:color="auto"/>
      </w:divBdr>
      <w:divsChild>
        <w:div w:id="3167257">
          <w:marLeft w:val="0"/>
          <w:marRight w:val="0"/>
          <w:marTop w:val="0"/>
          <w:marBottom w:val="0"/>
          <w:divBdr>
            <w:top w:val="none" w:sz="0" w:space="0" w:color="auto"/>
            <w:left w:val="none" w:sz="0" w:space="0" w:color="auto"/>
            <w:bottom w:val="none" w:sz="0" w:space="0" w:color="auto"/>
            <w:right w:val="none" w:sz="0" w:space="0" w:color="auto"/>
          </w:divBdr>
        </w:div>
        <w:div w:id="967783194">
          <w:marLeft w:val="0"/>
          <w:marRight w:val="0"/>
          <w:marTop w:val="0"/>
          <w:marBottom w:val="0"/>
          <w:divBdr>
            <w:top w:val="none" w:sz="0" w:space="0" w:color="auto"/>
            <w:left w:val="none" w:sz="0" w:space="0" w:color="auto"/>
            <w:bottom w:val="none" w:sz="0" w:space="0" w:color="auto"/>
            <w:right w:val="none" w:sz="0" w:space="0" w:color="auto"/>
          </w:divBdr>
        </w:div>
        <w:div w:id="1678771448">
          <w:marLeft w:val="0"/>
          <w:marRight w:val="0"/>
          <w:marTop w:val="0"/>
          <w:marBottom w:val="0"/>
          <w:divBdr>
            <w:top w:val="none" w:sz="0" w:space="0" w:color="auto"/>
            <w:left w:val="none" w:sz="0" w:space="0" w:color="auto"/>
            <w:bottom w:val="none" w:sz="0" w:space="0" w:color="auto"/>
            <w:right w:val="none" w:sz="0" w:space="0" w:color="auto"/>
          </w:divBdr>
        </w:div>
        <w:div w:id="1822308955">
          <w:marLeft w:val="0"/>
          <w:marRight w:val="0"/>
          <w:marTop w:val="0"/>
          <w:marBottom w:val="0"/>
          <w:divBdr>
            <w:top w:val="none" w:sz="0" w:space="0" w:color="auto"/>
            <w:left w:val="none" w:sz="0" w:space="0" w:color="auto"/>
            <w:bottom w:val="none" w:sz="0" w:space="0" w:color="auto"/>
            <w:right w:val="none" w:sz="0" w:space="0" w:color="auto"/>
          </w:divBdr>
        </w:div>
        <w:div w:id="1849177601">
          <w:marLeft w:val="0"/>
          <w:marRight w:val="0"/>
          <w:marTop w:val="0"/>
          <w:marBottom w:val="0"/>
          <w:divBdr>
            <w:top w:val="none" w:sz="0" w:space="0" w:color="auto"/>
            <w:left w:val="none" w:sz="0" w:space="0" w:color="auto"/>
            <w:bottom w:val="none" w:sz="0" w:space="0" w:color="auto"/>
            <w:right w:val="none" w:sz="0" w:space="0" w:color="auto"/>
          </w:divBdr>
        </w:div>
        <w:div w:id="1970352014">
          <w:marLeft w:val="0"/>
          <w:marRight w:val="0"/>
          <w:marTop w:val="0"/>
          <w:marBottom w:val="0"/>
          <w:divBdr>
            <w:top w:val="none" w:sz="0" w:space="0" w:color="auto"/>
            <w:left w:val="none" w:sz="0" w:space="0" w:color="auto"/>
            <w:bottom w:val="none" w:sz="0" w:space="0" w:color="auto"/>
            <w:right w:val="none" w:sz="0" w:space="0" w:color="auto"/>
          </w:divBdr>
        </w:div>
      </w:divsChild>
    </w:div>
    <w:div w:id="1363092079">
      <w:bodyDiv w:val="1"/>
      <w:marLeft w:val="0"/>
      <w:marRight w:val="0"/>
      <w:marTop w:val="0"/>
      <w:marBottom w:val="0"/>
      <w:divBdr>
        <w:top w:val="none" w:sz="0" w:space="0" w:color="auto"/>
        <w:left w:val="none" w:sz="0" w:space="0" w:color="auto"/>
        <w:bottom w:val="none" w:sz="0" w:space="0" w:color="auto"/>
        <w:right w:val="none" w:sz="0" w:space="0" w:color="auto"/>
      </w:divBdr>
      <w:divsChild>
        <w:div w:id="7413072">
          <w:marLeft w:val="0"/>
          <w:marRight w:val="0"/>
          <w:marTop w:val="0"/>
          <w:marBottom w:val="0"/>
          <w:divBdr>
            <w:top w:val="none" w:sz="0" w:space="0" w:color="auto"/>
            <w:left w:val="none" w:sz="0" w:space="0" w:color="auto"/>
            <w:bottom w:val="none" w:sz="0" w:space="0" w:color="auto"/>
            <w:right w:val="none" w:sz="0" w:space="0" w:color="auto"/>
          </w:divBdr>
        </w:div>
        <w:div w:id="220947268">
          <w:marLeft w:val="0"/>
          <w:marRight w:val="0"/>
          <w:marTop w:val="0"/>
          <w:marBottom w:val="0"/>
          <w:divBdr>
            <w:top w:val="none" w:sz="0" w:space="0" w:color="auto"/>
            <w:left w:val="none" w:sz="0" w:space="0" w:color="auto"/>
            <w:bottom w:val="none" w:sz="0" w:space="0" w:color="auto"/>
            <w:right w:val="none" w:sz="0" w:space="0" w:color="auto"/>
          </w:divBdr>
        </w:div>
        <w:div w:id="225605252">
          <w:marLeft w:val="0"/>
          <w:marRight w:val="0"/>
          <w:marTop w:val="0"/>
          <w:marBottom w:val="0"/>
          <w:divBdr>
            <w:top w:val="none" w:sz="0" w:space="0" w:color="auto"/>
            <w:left w:val="none" w:sz="0" w:space="0" w:color="auto"/>
            <w:bottom w:val="none" w:sz="0" w:space="0" w:color="auto"/>
            <w:right w:val="none" w:sz="0" w:space="0" w:color="auto"/>
          </w:divBdr>
        </w:div>
        <w:div w:id="324942548">
          <w:marLeft w:val="0"/>
          <w:marRight w:val="0"/>
          <w:marTop w:val="0"/>
          <w:marBottom w:val="0"/>
          <w:divBdr>
            <w:top w:val="none" w:sz="0" w:space="0" w:color="auto"/>
            <w:left w:val="none" w:sz="0" w:space="0" w:color="auto"/>
            <w:bottom w:val="none" w:sz="0" w:space="0" w:color="auto"/>
            <w:right w:val="none" w:sz="0" w:space="0" w:color="auto"/>
          </w:divBdr>
        </w:div>
        <w:div w:id="345254843">
          <w:marLeft w:val="0"/>
          <w:marRight w:val="0"/>
          <w:marTop w:val="0"/>
          <w:marBottom w:val="0"/>
          <w:divBdr>
            <w:top w:val="none" w:sz="0" w:space="0" w:color="auto"/>
            <w:left w:val="none" w:sz="0" w:space="0" w:color="auto"/>
            <w:bottom w:val="none" w:sz="0" w:space="0" w:color="auto"/>
            <w:right w:val="none" w:sz="0" w:space="0" w:color="auto"/>
          </w:divBdr>
        </w:div>
        <w:div w:id="383065010">
          <w:marLeft w:val="0"/>
          <w:marRight w:val="0"/>
          <w:marTop w:val="0"/>
          <w:marBottom w:val="0"/>
          <w:divBdr>
            <w:top w:val="none" w:sz="0" w:space="0" w:color="auto"/>
            <w:left w:val="none" w:sz="0" w:space="0" w:color="auto"/>
            <w:bottom w:val="none" w:sz="0" w:space="0" w:color="auto"/>
            <w:right w:val="none" w:sz="0" w:space="0" w:color="auto"/>
          </w:divBdr>
        </w:div>
        <w:div w:id="434404478">
          <w:marLeft w:val="0"/>
          <w:marRight w:val="0"/>
          <w:marTop w:val="0"/>
          <w:marBottom w:val="0"/>
          <w:divBdr>
            <w:top w:val="none" w:sz="0" w:space="0" w:color="auto"/>
            <w:left w:val="none" w:sz="0" w:space="0" w:color="auto"/>
            <w:bottom w:val="none" w:sz="0" w:space="0" w:color="auto"/>
            <w:right w:val="none" w:sz="0" w:space="0" w:color="auto"/>
          </w:divBdr>
        </w:div>
        <w:div w:id="547645712">
          <w:marLeft w:val="0"/>
          <w:marRight w:val="0"/>
          <w:marTop w:val="0"/>
          <w:marBottom w:val="0"/>
          <w:divBdr>
            <w:top w:val="none" w:sz="0" w:space="0" w:color="auto"/>
            <w:left w:val="none" w:sz="0" w:space="0" w:color="auto"/>
            <w:bottom w:val="none" w:sz="0" w:space="0" w:color="auto"/>
            <w:right w:val="none" w:sz="0" w:space="0" w:color="auto"/>
          </w:divBdr>
        </w:div>
        <w:div w:id="810557865">
          <w:marLeft w:val="0"/>
          <w:marRight w:val="0"/>
          <w:marTop w:val="0"/>
          <w:marBottom w:val="0"/>
          <w:divBdr>
            <w:top w:val="none" w:sz="0" w:space="0" w:color="auto"/>
            <w:left w:val="none" w:sz="0" w:space="0" w:color="auto"/>
            <w:bottom w:val="none" w:sz="0" w:space="0" w:color="auto"/>
            <w:right w:val="none" w:sz="0" w:space="0" w:color="auto"/>
          </w:divBdr>
        </w:div>
        <w:div w:id="917709667">
          <w:marLeft w:val="0"/>
          <w:marRight w:val="0"/>
          <w:marTop w:val="0"/>
          <w:marBottom w:val="0"/>
          <w:divBdr>
            <w:top w:val="none" w:sz="0" w:space="0" w:color="auto"/>
            <w:left w:val="none" w:sz="0" w:space="0" w:color="auto"/>
            <w:bottom w:val="none" w:sz="0" w:space="0" w:color="auto"/>
            <w:right w:val="none" w:sz="0" w:space="0" w:color="auto"/>
          </w:divBdr>
        </w:div>
        <w:div w:id="1000696589">
          <w:marLeft w:val="0"/>
          <w:marRight w:val="0"/>
          <w:marTop w:val="0"/>
          <w:marBottom w:val="0"/>
          <w:divBdr>
            <w:top w:val="none" w:sz="0" w:space="0" w:color="auto"/>
            <w:left w:val="none" w:sz="0" w:space="0" w:color="auto"/>
            <w:bottom w:val="none" w:sz="0" w:space="0" w:color="auto"/>
            <w:right w:val="none" w:sz="0" w:space="0" w:color="auto"/>
          </w:divBdr>
        </w:div>
        <w:div w:id="1284582515">
          <w:marLeft w:val="0"/>
          <w:marRight w:val="0"/>
          <w:marTop w:val="0"/>
          <w:marBottom w:val="0"/>
          <w:divBdr>
            <w:top w:val="none" w:sz="0" w:space="0" w:color="auto"/>
            <w:left w:val="none" w:sz="0" w:space="0" w:color="auto"/>
            <w:bottom w:val="none" w:sz="0" w:space="0" w:color="auto"/>
            <w:right w:val="none" w:sz="0" w:space="0" w:color="auto"/>
          </w:divBdr>
        </w:div>
        <w:div w:id="1294946410">
          <w:marLeft w:val="0"/>
          <w:marRight w:val="0"/>
          <w:marTop w:val="0"/>
          <w:marBottom w:val="0"/>
          <w:divBdr>
            <w:top w:val="none" w:sz="0" w:space="0" w:color="auto"/>
            <w:left w:val="none" w:sz="0" w:space="0" w:color="auto"/>
            <w:bottom w:val="none" w:sz="0" w:space="0" w:color="auto"/>
            <w:right w:val="none" w:sz="0" w:space="0" w:color="auto"/>
          </w:divBdr>
        </w:div>
        <w:div w:id="1606814593">
          <w:marLeft w:val="0"/>
          <w:marRight w:val="0"/>
          <w:marTop w:val="0"/>
          <w:marBottom w:val="0"/>
          <w:divBdr>
            <w:top w:val="none" w:sz="0" w:space="0" w:color="auto"/>
            <w:left w:val="none" w:sz="0" w:space="0" w:color="auto"/>
            <w:bottom w:val="none" w:sz="0" w:space="0" w:color="auto"/>
            <w:right w:val="none" w:sz="0" w:space="0" w:color="auto"/>
          </w:divBdr>
        </w:div>
        <w:div w:id="1859349664">
          <w:marLeft w:val="0"/>
          <w:marRight w:val="0"/>
          <w:marTop w:val="0"/>
          <w:marBottom w:val="0"/>
          <w:divBdr>
            <w:top w:val="none" w:sz="0" w:space="0" w:color="auto"/>
            <w:left w:val="none" w:sz="0" w:space="0" w:color="auto"/>
            <w:bottom w:val="none" w:sz="0" w:space="0" w:color="auto"/>
            <w:right w:val="none" w:sz="0" w:space="0" w:color="auto"/>
          </w:divBdr>
        </w:div>
        <w:div w:id="1864248903">
          <w:marLeft w:val="0"/>
          <w:marRight w:val="0"/>
          <w:marTop w:val="0"/>
          <w:marBottom w:val="0"/>
          <w:divBdr>
            <w:top w:val="none" w:sz="0" w:space="0" w:color="auto"/>
            <w:left w:val="none" w:sz="0" w:space="0" w:color="auto"/>
            <w:bottom w:val="none" w:sz="0" w:space="0" w:color="auto"/>
            <w:right w:val="none" w:sz="0" w:space="0" w:color="auto"/>
          </w:divBdr>
        </w:div>
        <w:div w:id="1883592924">
          <w:marLeft w:val="0"/>
          <w:marRight w:val="0"/>
          <w:marTop w:val="0"/>
          <w:marBottom w:val="0"/>
          <w:divBdr>
            <w:top w:val="none" w:sz="0" w:space="0" w:color="auto"/>
            <w:left w:val="none" w:sz="0" w:space="0" w:color="auto"/>
            <w:bottom w:val="none" w:sz="0" w:space="0" w:color="auto"/>
            <w:right w:val="none" w:sz="0" w:space="0" w:color="auto"/>
          </w:divBdr>
        </w:div>
        <w:div w:id="1903439602">
          <w:marLeft w:val="0"/>
          <w:marRight w:val="0"/>
          <w:marTop w:val="0"/>
          <w:marBottom w:val="0"/>
          <w:divBdr>
            <w:top w:val="none" w:sz="0" w:space="0" w:color="auto"/>
            <w:left w:val="none" w:sz="0" w:space="0" w:color="auto"/>
            <w:bottom w:val="none" w:sz="0" w:space="0" w:color="auto"/>
            <w:right w:val="none" w:sz="0" w:space="0" w:color="auto"/>
          </w:divBdr>
        </w:div>
        <w:div w:id="2020544262">
          <w:marLeft w:val="0"/>
          <w:marRight w:val="0"/>
          <w:marTop w:val="0"/>
          <w:marBottom w:val="0"/>
          <w:divBdr>
            <w:top w:val="none" w:sz="0" w:space="0" w:color="auto"/>
            <w:left w:val="none" w:sz="0" w:space="0" w:color="auto"/>
            <w:bottom w:val="none" w:sz="0" w:space="0" w:color="auto"/>
            <w:right w:val="none" w:sz="0" w:space="0" w:color="auto"/>
          </w:divBdr>
        </w:div>
      </w:divsChild>
    </w:div>
    <w:div w:id="1363556393">
      <w:bodyDiv w:val="1"/>
      <w:marLeft w:val="0"/>
      <w:marRight w:val="0"/>
      <w:marTop w:val="0"/>
      <w:marBottom w:val="0"/>
      <w:divBdr>
        <w:top w:val="none" w:sz="0" w:space="0" w:color="auto"/>
        <w:left w:val="none" w:sz="0" w:space="0" w:color="auto"/>
        <w:bottom w:val="none" w:sz="0" w:space="0" w:color="auto"/>
        <w:right w:val="none" w:sz="0" w:space="0" w:color="auto"/>
      </w:divBdr>
      <w:divsChild>
        <w:div w:id="11300558">
          <w:marLeft w:val="0"/>
          <w:marRight w:val="0"/>
          <w:marTop w:val="0"/>
          <w:marBottom w:val="0"/>
          <w:divBdr>
            <w:top w:val="none" w:sz="0" w:space="0" w:color="auto"/>
            <w:left w:val="none" w:sz="0" w:space="0" w:color="auto"/>
            <w:bottom w:val="none" w:sz="0" w:space="0" w:color="auto"/>
            <w:right w:val="none" w:sz="0" w:space="0" w:color="auto"/>
          </w:divBdr>
        </w:div>
        <w:div w:id="67963155">
          <w:marLeft w:val="0"/>
          <w:marRight w:val="0"/>
          <w:marTop w:val="0"/>
          <w:marBottom w:val="0"/>
          <w:divBdr>
            <w:top w:val="none" w:sz="0" w:space="0" w:color="auto"/>
            <w:left w:val="none" w:sz="0" w:space="0" w:color="auto"/>
            <w:bottom w:val="none" w:sz="0" w:space="0" w:color="auto"/>
            <w:right w:val="none" w:sz="0" w:space="0" w:color="auto"/>
          </w:divBdr>
        </w:div>
        <w:div w:id="173542676">
          <w:marLeft w:val="0"/>
          <w:marRight w:val="0"/>
          <w:marTop w:val="0"/>
          <w:marBottom w:val="0"/>
          <w:divBdr>
            <w:top w:val="none" w:sz="0" w:space="0" w:color="auto"/>
            <w:left w:val="none" w:sz="0" w:space="0" w:color="auto"/>
            <w:bottom w:val="none" w:sz="0" w:space="0" w:color="auto"/>
            <w:right w:val="none" w:sz="0" w:space="0" w:color="auto"/>
          </w:divBdr>
        </w:div>
        <w:div w:id="216011781">
          <w:marLeft w:val="0"/>
          <w:marRight w:val="0"/>
          <w:marTop w:val="0"/>
          <w:marBottom w:val="0"/>
          <w:divBdr>
            <w:top w:val="none" w:sz="0" w:space="0" w:color="auto"/>
            <w:left w:val="none" w:sz="0" w:space="0" w:color="auto"/>
            <w:bottom w:val="none" w:sz="0" w:space="0" w:color="auto"/>
            <w:right w:val="none" w:sz="0" w:space="0" w:color="auto"/>
          </w:divBdr>
        </w:div>
        <w:div w:id="313606494">
          <w:marLeft w:val="0"/>
          <w:marRight w:val="0"/>
          <w:marTop w:val="0"/>
          <w:marBottom w:val="0"/>
          <w:divBdr>
            <w:top w:val="none" w:sz="0" w:space="0" w:color="auto"/>
            <w:left w:val="none" w:sz="0" w:space="0" w:color="auto"/>
            <w:bottom w:val="none" w:sz="0" w:space="0" w:color="auto"/>
            <w:right w:val="none" w:sz="0" w:space="0" w:color="auto"/>
          </w:divBdr>
        </w:div>
        <w:div w:id="628778685">
          <w:marLeft w:val="0"/>
          <w:marRight w:val="0"/>
          <w:marTop w:val="0"/>
          <w:marBottom w:val="0"/>
          <w:divBdr>
            <w:top w:val="none" w:sz="0" w:space="0" w:color="auto"/>
            <w:left w:val="none" w:sz="0" w:space="0" w:color="auto"/>
            <w:bottom w:val="none" w:sz="0" w:space="0" w:color="auto"/>
            <w:right w:val="none" w:sz="0" w:space="0" w:color="auto"/>
          </w:divBdr>
        </w:div>
        <w:div w:id="1429472920">
          <w:marLeft w:val="0"/>
          <w:marRight w:val="0"/>
          <w:marTop w:val="0"/>
          <w:marBottom w:val="0"/>
          <w:divBdr>
            <w:top w:val="none" w:sz="0" w:space="0" w:color="auto"/>
            <w:left w:val="none" w:sz="0" w:space="0" w:color="auto"/>
            <w:bottom w:val="none" w:sz="0" w:space="0" w:color="auto"/>
            <w:right w:val="none" w:sz="0" w:space="0" w:color="auto"/>
          </w:divBdr>
        </w:div>
        <w:div w:id="1531920772">
          <w:marLeft w:val="0"/>
          <w:marRight w:val="0"/>
          <w:marTop w:val="0"/>
          <w:marBottom w:val="0"/>
          <w:divBdr>
            <w:top w:val="none" w:sz="0" w:space="0" w:color="auto"/>
            <w:left w:val="none" w:sz="0" w:space="0" w:color="auto"/>
            <w:bottom w:val="none" w:sz="0" w:space="0" w:color="auto"/>
            <w:right w:val="none" w:sz="0" w:space="0" w:color="auto"/>
          </w:divBdr>
        </w:div>
        <w:div w:id="1538930542">
          <w:marLeft w:val="0"/>
          <w:marRight w:val="0"/>
          <w:marTop w:val="0"/>
          <w:marBottom w:val="0"/>
          <w:divBdr>
            <w:top w:val="none" w:sz="0" w:space="0" w:color="auto"/>
            <w:left w:val="none" w:sz="0" w:space="0" w:color="auto"/>
            <w:bottom w:val="none" w:sz="0" w:space="0" w:color="auto"/>
            <w:right w:val="none" w:sz="0" w:space="0" w:color="auto"/>
          </w:divBdr>
        </w:div>
        <w:div w:id="1540581804">
          <w:marLeft w:val="0"/>
          <w:marRight w:val="0"/>
          <w:marTop w:val="0"/>
          <w:marBottom w:val="0"/>
          <w:divBdr>
            <w:top w:val="none" w:sz="0" w:space="0" w:color="auto"/>
            <w:left w:val="none" w:sz="0" w:space="0" w:color="auto"/>
            <w:bottom w:val="none" w:sz="0" w:space="0" w:color="auto"/>
            <w:right w:val="none" w:sz="0" w:space="0" w:color="auto"/>
          </w:divBdr>
        </w:div>
        <w:div w:id="1983382435">
          <w:marLeft w:val="0"/>
          <w:marRight w:val="0"/>
          <w:marTop w:val="0"/>
          <w:marBottom w:val="0"/>
          <w:divBdr>
            <w:top w:val="none" w:sz="0" w:space="0" w:color="auto"/>
            <w:left w:val="none" w:sz="0" w:space="0" w:color="auto"/>
            <w:bottom w:val="none" w:sz="0" w:space="0" w:color="auto"/>
            <w:right w:val="none" w:sz="0" w:space="0" w:color="auto"/>
          </w:divBdr>
        </w:div>
        <w:div w:id="1992246432">
          <w:marLeft w:val="0"/>
          <w:marRight w:val="0"/>
          <w:marTop w:val="0"/>
          <w:marBottom w:val="0"/>
          <w:divBdr>
            <w:top w:val="none" w:sz="0" w:space="0" w:color="auto"/>
            <w:left w:val="none" w:sz="0" w:space="0" w:color="auto"/>
            <w:bottom w:val="none" w:sz="0" w:space="0" w:color="auto"/>
            <w:right w:val="none" w:sz="0" w:space="0" w:color="auto"/>
          </w:divBdr>
        </w:div>
        <w:div w:id="2092316404">
          <w:marLeft w:val="0"/>
          <w:marRight w:val="0"/>
          <w:marTop w:val="0"/>
          <w:marBottom w:val="0"/>
          <w:divBdr>
            <w:top w:val="none" w:sz="0" w:space="0" w:color="auto"/>
            <w:left w:val="none" w:sz="0" w:space="0" w:color="auto"/>
            <w:bottom w:val="none" w:sz="0" w:space="0" w:color="auto"/>
            <w:right w:val="none" w:sz="0" w:space="0" w:color="auto"/>
          </w:divBdr>
        </w:div>
      </w:divsChild>
    </w:div>
    <w:div w:id="1367146810">
      <w:bodyDiv w:val="1"/>
      <w:marLeft w:val="0"/>
      <w:marRight w:val="0"/>
      <w:marTop w:val="0"/>
      <w:marBottom w:val="0"/>
      <w:divBdr>
        <w:top w:val="none" w:sz="0" w:space="0" w:color="auto"/>
        <w:left w:val="none" w:sz="0" w:space="0" w:color="auto"/>
        <w:bottom w:val="none" w:sz="0" w:space="0" w:color="auto"/>
        <w:right w:val="none" w:sz="0" w:space="0" w:color="auto"/>
      </w:divBdr>
      <w:divsChild>
        <w:div w:id="1720321610">
          <w:marLeft w:val="0"/>
          <w:marRight w:val="0"/>
          <w:marTop w:val="0"/>
          <w:marBottom w:val="0"/>
          <w:divBdr>
            <w:top w:val="none" w:sz="0" w:space="0" w:color="auto"/>
            <w:left w:val="none" w:sz="0" w:space="0" w:color="auto"/>
            <w:bottom w:val="none" w:sz="0" w:space="0" w:color="auto"/>
            <w:right w:val="none" w:sz="0" w:space="0" w:color="auto"/>
          </w:divBdr>
        </w:div>
      </w:divsChild>
    </w:div>
    <w:div w:id="1369601604">
      <w:bodyDiv w:val="1"/>
      <w:marLeft w:val="0"/>
      <w:marRight w:val="0"/>
      <w:marTop w:val="0"/>
      <w:marBottom w:val="0"/>
      <w:divBdr>
        <w:top w:val="none" w:sz="0" w:space="0" w:color="auto"/>
        <w:left w:val="none" w:sz="0" w:space="0" w:color="auto"/>
        <w:bottom w:val="none" w:sz="0" w:space="0" w:color="auto"/>
        <w:right w:val="none" w:sz="0" w:space="0" w:color="auto"/>
      </w:divBdr>
      <w:divsChild>
        <w:div w:id="106631935">
          <w:marLeft w:val="0"/>
          <w:marRight w:val="0"/>
          <w:marTop w:val="0"/>
          <w:marBottom w:val="0"/>
          <w:divBdr>
            <w:top w:val="none" w:sz="0" w:space="0" w:color="auto"/>
            <w:left w:val="none" w:sz="0" w:space="0" w:color="auto"/>
            <w:bottom w:val="none" w:sz="0" w:space="0" w:color="auto"/>
            <w:right w:val="none" w:sz="0" w:space="0" w:color="auto"/>
          </w:divBdr>
        </w:div>
        <w:div w:id="190724876">
          <w:marLeft w:val="0"/>
          <w:marRight w:val="0"/>
          <w:marTop w:val="0"/>
          <w:marBottom w:val="0"/>
          <w:divBdr>
            <w:top w:val="none" w:sz="0" w:space="0" w:color="auto"/>
            <w:left w:val="none" w:sz="0" w:space="0" w:color="auto"/>
            <w:bottom w:val="none" w:sz="0" w:space="0" w:color="auto"/>
            <w:right w:val="none" w:sz="0" w:space="0" w:color="auto"/>
          </w:divBdr>
        </w:div>
        <w:div w:id="294144636">
          <w:marLeft w:val="0"/>
          <w:marRight w:val="0"/>
          <w:marTop w:val="0"/>
          <w:marBottom w:val="0"/>
          <w:divBdr>
            <w:top w:val="none" w:sz="0" w:space="0" w:color="auto"/>
            <w:left w:val="none" w:sz="0" w:space="0" w:color="auto"/>
            <w:bottom w:val="none" w:sz="0" w:space="0" w:color="auto"/>
            <w:right w:val="none" w:sz="0" w:space="0" w:color="auto"/>
          </w:divBdr>
        </w:div>
        <w:div w:id="301083591">
          <w:marLeft w:val="0"/>
          <w:marRight w:val="0"/>
          <w:marTop w:val="0"/>
          <w:marBottom w:val="0"/>
          <w:divBdr>
            <w:top w:val="none" w:sz="0" w:space="0" w:color="auto"/>
            <w:left w:val="none" w:sz="0" w:space="0" w:color="auto"/>
            <w:bottom w:val="none" w:sz="0" w:space="0" w:color="auto"/>
            <w:right w:val="none" w:sz="0" w:space="0" w:color="auto"/>
          </w:divBdr>
        </w:div>
        <w:div w:id="330371618">
          <w:marLeft w:val="0"/>
          <w:marRight w:val="0"/>
          <w:marTop w:val="0"/>
          <w:marBottom w:val="0"/>
          <w:divBdr>
            <w:top w:val="none" w:sz="0" w:space="0" w:color="auto"/>
            <w:left w:val="none" w:sz="0" w:space="0" w:color="auto"/>
            <w:bottom w:val="none" w:sz="0" w:space="0" w:color="auto"/>
            <w:right w:val="none" w:sz="0" w:space="0" w:color="auto"/>
          </w:divBdr>
        </w:div>
        <w:div w:id="362943491">
          <w:marLeft w:val="0"/>
          <w:marRight w:val="0"/>
          <w:marTop w:val="0"/>
          <w:marBottom w:val="0"/>
          <w:divBdr>
            <w:top w:val="none" w:sz="0" w:space="0" w:color="auto"/>
            <w:left w:val="none" w:sz="0" w:space="0" w:color="auto"/>
            <w:bottom w:val="none" w:sz="0" w:space="0" w:color="auto"/>
            <w:right w:val="none" w:sz="0" w:space="0" w:color="auto"/>
          </w:divBdr>
        </w:div>
        <w:div w:id="418868323">
          <w:marLeft w:val="0"/>
          <w:marRight w:val="0"/>
          <w:marTop w:val="0"/>
          <w:marBottom w:val="0"/>
          <w:divBdr>
            <w:top w:val="none" w:sz="0" w:space="0" w:color="auto"/>
            <w:left w:val="none" w:sz="0" w:space="0" w:color="auto"/>
            <w:bottom w:val="none" w:sz="0" w:space="0" w:color="auto"/>
            <w:right w:val="none" w:sz="0" w:space="0" w:color="auto"/>
          </w:divBdr>
        </w:div>
        <w:div w:id="427432347">
          <w:marLeft w:val="0"/>
          <w:marRight w:val="0"/>
          <w:marTop w:val="0"/>
          <w:marBottom w:val="0"/>
          <w:divBdr>
            <w:top w:val="none" w:sz="0" w:space="0" w:color="auto"/>
            <w:left w:val="none" w:sz="0" w:space="0" w:color="auto"/>
            <w:bottom w:val="none" w:sz="0" w:space="0" w:color="auto"/>
            <w:right w:val="none" w:sz="0" w:space="0" w:color="auto"/>
          </w:divBdr>
        </w:div>
        <w:div w:id="431122975">
          <w:marLeft w:val="0"/>
          <w:marRight w:val="0"/>
          <w:marTop w:val="0"/>
          <w:marBottom w:val="0"/>
          <w:divBdr>
            <w:top w:val="none" w:sz="0" w:space="0" w:color="auto"/>
            <w:left w:val="none" w:sz="0" w:space="0" w:color="auto"/>
            <w:bottom w:val="none" w:sz="0" w:space="0" w:color="auto"/>
            <w:right w:val="none" w:sz="0" w:space="0" w:color="auto"/>
          </w:divBdr>
        </w:div>
        <w:div w:id="492065283">
          <w:marLeft w:val="0"/>
          <w:marRight w:val="0"/>
          <w:marTop w:val="0"/>
          <w:marBottom w:val="0"/>
          <w:divBdr>
            <w:top w:val="none" w:sz="0" w:space="0" w:color="auto"/>
            <w:left w:val="none" w:sz="0" w:space="0" w:color="auto"/>
            <w:bottom w:val="none" w:sz="0" w:space="0" w:color="auto"/>
            <w:right w:val="none" w:sz="0" w:space="0" w:color="auto"/>
          </w:divBdr>
        </w:div>
        <w:div w:id="528762150">
          <w:marLeft w:val="0"/>
          <w:marRight w:val="0"/>
          <w:marTop w:val="0"/>
          <w:marBottom w:val="0"/>
          <w:divBdr>
            <w:top w:val="none" w:sz="0" w:space="0" w:color="auto"/>
            <w:left w:val="none" w:sz="0" w:space="0" w:color="auto"/>
            <w:bottom w:val="none" w:sz="0" w:space="0" w:color="auto"/>
            <w:right w:val="none" w:sz="0" w:space="0" w:color="auto"/>
          </w:divBdr>
        </w:div>
        <w:div w:id="546258146">
          <w:marLeft w:val="0"/>
          <w:marRight w:val="0"/>
          <w:marTop w:val="0"/>
          <w:marBottom w:val="0"/>
          <w:divBdr>
            <w:top w:val="none" w:sz="0" w:space="0" w:color="auto"/>
            <w:left w:val="none" w:sz="0" w:space="0" w:color="auto"/>
            <w:bottom w:val="none" w:sz="0" w:space="0" w:color="auto"/>
            <w:right w:val="none" w:sz="0" w:space="0" w:color="auto"/>
          </w:divBdr>
        </w:div>
        <w:div w:id="559637243">
          <w:marLeft w:val="0"/>
          <w:marRight w:val="0"/>
          <w:marTop w:val="0"/>
          <w:marBottom w:val="0"/>
          <w:divBdr>
            <w:top w:val="none" w:sz="0" w:space="0" w:color="auto"/>
            <w:left w:val="none" w:sz="0" w:space="0" w:color="auto"/>
            <w:bottom w:val="none" w:sz="0" w:space="0" w:color="auto"/>
            <w:right w:val="none" w:sz="0" w:space="0" w:color="auto"/>
          </w:divBdr>
        </w:div>
        <w:div w:id="595669404">
          <w:marLeft w:val="0"/>
          <w:marRight w:val="0"/>
          <w:marTop w:val="0"/>
          <w:marBottom w:val="0"/>
          <w:divBdr>
            <w:top w:val="none" w:sz="0" w:space="0" w:color="auto"/>
            <w:left w:val="none" w:sz="0" w:space="0" w:color="auto"/>
            <w:bottom w:val="none" w:sz="0" w:space="0" w:color="auto"/>
            <w:right w:val="none" w:sz="0" w:space="0" w:color="auto"/>
          </w:divBdr>
        </w:div>
        <w:div w:id="643316951">
          <w:marLeft w:val="0"/>
          <w:marRight w:val="0"/>
          <w:marTop w:val="0"/>
          <w:marBottom w:val="0"/>
          <w:divBdr>
            <w:top w:val="none" w:sz="0" w:space="0" w:color="auto"/>
            <w:left w:val="none" w:sz="0" w:space="0" w:color="auto"/>
            <w:bottom w:val="none" w:sz="0" w:space="0" w:color="auto"/>
            <w:right w:val="none" w:sz="0" w:space="0" w:color="auto"/>
          </w:divBdr>
        </w:div>
        <w:div w:id="832449032">
          <w:marLeft w:val="0"/>
          <w:marRight w:val="0"/>
          <w:marTop w:val="0"/>
          <w:marBottom w:val="0"/>
          <w:divBdr>
            <w:top w:val="none" w:sz="0" w:space="0" w:color="auto"/>
            <w:left w:val="none" w:sz="0" w:space="0" w:color="auto"/>
            <w:bottom w:val="none" w:sz="0" w:space="0" w:color="auto"/>
            <w:right w:val="none" w:sz="0" w:space="0" w:color="auto"/>
          </w:divBdr>
        </w:div>
        <w:div w:id="898057991">
          <w:marLeft w:val="0"/>
          <w:marRight w:val="0"/>
          <w:marTop w:val="0"/>
          <w:marBottom w:val="0"/>
          <w:divBdr>
            <w:top w:val="none" w:sz="0" w:space="0" w:color="auto"/>
            <w:left w:val="none" w:sz="0" w:space="0" w:color="auto"/>
            <w:bottom w:val="none" w:sz="0" w:space="0" w:color="auto"/>
            <w:right w:val="none" w:sz="0" w:space="0" w:color="auto"/>
          </w:divBdr>
        </w:div>
        <w:div w:id="913245429">
          <w:marLeft w:val="0"/>
          <w:marRight w:val="0"/>
          <w:marTop w:val="0"/>
          <w:marBottom w:val="0"/>
          <w:divBdr>
            <w:top w:val="none" w:sz="0" w:space="0" w:color="auto"/>
            <w:left w:val="none" w:sz="0" w:space="0" w:color="auto"/>
            <w:bottom w:val="none" w:sz="0" w:space="0" w:color="auto"/>
            <w:right w:val="none" w:sz="0" w:space="0" w:color="auto"/>
          </w:divBdr>
        </w:div>
        <w:div w:id="1025247704">
          <w:marLeft w:val="0"/>
          <w:marRight w:val="0"/>
          <w:marTop w:val="0"/>
          <w:marBottom w:val="0"/>
          <w:divBdr>
            <w:top w:val="none" w:sz="0" w:space="0" w:color="auto"/>
            <w:left w:val="none" w:sz="0" w:space="0" w:color="auto"/>
            <w:bottom w:val="none" w:sz="0" w:space="0" w:color="auto"/>
            <w:right w:val="none" w:sz="0" w:space="0" w:color="auto"/>
          </w:divBdr>
        </w:div>
        <w:div w:id="1090152883">
          <w:marLeft w:val="0"/>
          <w:marRight w:val="0"/>
          <w:marTop w:val="0"/>
          <w:marBottom w:val="0"/>
          <w:divBdr>
            <w:top w:val="none" w:sz="0" w:space="0" w:color="auto"/>
            <w:left w:val="none" w:sz="0" w:space="0" w:color="auto"/>
            <w:bottom w:val="none" w:sz="0" w:space="0" w:color="auto"/>
            <w:right w:val="none" w:sz="0" w:space="0" w:color="auto"/>
          </w:divBdr>
        </w:div>
        <w:div w:id="1191989812">
          <w:marLeft w:val="0"/>
          <w:marRight w:val="0"/>
          <w:marTop w:val="0"/>
          <w:marBottom w:val="0"/>
          <w:divBdr>
            <w:top w:val="none" w:sz="0" w:space="0" w:color="auto"/>
            <w:left w:val="none" w:sz="0" w:space="0" w:color="auto"/>
            <w:bottom w:val="none" w:sz="0" w:space="0" w:color="auto"/>
            <w:right w:val="none" w:sz="0" w:space="0" w:color="auto"/>
          </w:divBdr>
        </w:div>
        <w:div w:id="1211772095">
          <w:marLeft w:val="0"/>
          <w:marRight w:val="0"/>
          <w:marTop w:val="0"/>
          <w:marBottom w:val="0"/>
          <w:divBdr>
            <w:top w:val="none" w:sz="0" w:space="0" w:color="auto"/>
            <w:left w:val="none" w:sz="0" w:space="0" w:color="auto"/>
            <w:bottom w:val="none" w:sz="0" w:space="0" w:color="auto"/>
            <w:right w:val="none" w:sz="0" w:space="0" w:color="auto"/>
          </w:divBdr>
        </w:div>
        <w:div w:id="1223178042">
          <w:marLeft w:val="0"/>
          <w:marRight w:val="0"/>
          <w:marTop w:val="0"/>
          <w:marBottom w:val="0"/>
          <w:divBdr>
            <w:top w:val="none" w:sz="0" w:space="0" w:color="auto"/>
            <w:left w:val="none" w:sz="0" w:space="0" w:color="auto"/>
            <w:bottom w:val="none" w:sz="0" w:space="0" w:color="auto"/>
            <w:right w:val="none" w:sz="0" w:space="0" w:color="auto"/>
          </w:divBdr>
        </w:div>
        <w:div w:id="1246261730">
          <w:marLeft w:val="0"/>
          <w:marRight w:val="0"/>
          <w:marTop w:val="0"/>
          <w:marBottom w:val="0"/>
          <w:divBdr>
            <w:top w:val="none" w:sz="0" w:space="0" w:color="auto"/>
            <w:left w:val="none" w:sz="0" w:space="0" w:color="auto"/>
            <w:bottom w:val="none" w:sz="0" w:space="0" w:color="auto"/>
            <w:right w:val="none" w:sz="0" w:space="0" w:color="auto"/>
          </w:divBdr>
        </w:div>
        <w:div w:id="1259604807">
          <w:marLeft w:val="0"/>
          <w:marRight w:val="0"/>
          <w:marTop w:val="0"/>
          <w:marBottom w:val="0"/>
          <w:divBdr>
            <w:top w:val="none" w:sz="0" w:space="0" w:color="auto"/>
            <w:left w:val="none" w:sz="0" w:space="0" w:color="auto"/>
            <w:bottom w:val="none" w:sz="0" w:space="0" w:color="auto"/>
            <w:right w:val="none" w:sz="0" w:space="0" w:color="auto"/>
          </w:divBdr>
        </w:div>
        <w:div w:id="1279069704">
          <w:marLeft w:val="0"/>
          <w:marRight w:val="0"/>
          <w:marTop w:val="0"/>
          <w:marBottom w:val="0"/>
          <w:divBdr>
            <w:top w:val="none" w:sz="0" w:space="0" w:color="auto"/>
            <w:left w:val="none" w:sz="0" w:space="0" w:color="auto"/>
            <w:bottom w:val="none" w:sz="0" w:space="0" w:color="auto"/>
            <w:right w:val="none" w:sz="0" w:space="0" w:color="auto"/>
          </w:divBdr>
        </w:div>
        <w:div w:id="1295480933">
          <w:marLeft w:val="0"/>
          <w:marRight w:val="0"/>
          <w:marTop w:val="0"/>
          <w:marBottom w:val="0"/>
          <w:divBdr>
            <w:top w:val="none" w:sz="0" w:space="0" w:color="auto"/>
            <w:left w:val="none" w:sz="0" w:space="0" w:color="auto"/>
            <w:bottom w:val="none" w:sz="0" w:space="0" w:color="auto"/>
            <w:right w:val="none" w:sz="0" w:space="0" w:color="auto"/>
          </w:divBdr>
        </w:div>
        <w:div w:id="1332488041">
          <w:marLeft w:val="0"/>
          <w:marRight w:val="0"/>
          <w:marTop w:val="0"/>
          <w:marBottom w:val="0"/>
          <w:divBdr>
            <w:top w:val="none" w:sz="0" w:space="0" w:color="auto"/>
            <w:left w:val="none" w:sz="0" w:space="0" w:color="auto"/>
            <w:bottom w:val="none" w:sz="0" w:space="0" w:color="auto"/>
            <w:right w:val="none" w:sz="0" w:space="0" w:color="auto"/>
          </w:divBdr>
        </w:div>
        <w:div w:id="1409616383">
          <w:marLeft w:val="0"/>
          <w:marRight w:val="0"/>
          <w:marTop w:val="0"/>
          <w:marBottom w:val="0"/>
          <w:divBdr>
            <w:top w:val="none" w:sz="0" w:space="0" w:color="auto"/>
            <w:left w:val="none" w:sz="0" w:space="0" w:color="auto"/>
            <w:bottom w:val="none" w:sz="0" w:space="0" w:color="auto"/>
            <w:right w:val="none" w:sz="0" w:space="0" w:color="auto"/>
          </w:divBdr>
        </w:div>
        <w:div w:id="1422724840">
          <w:marLeft w:val="0"/>
          <w:marRight w:val="0"/>
          <w:marTop w:val="0"/>
          <w:marBottom w:val="0"/>
          <w:divBdr>
            <w:top w:val="none" w:sz="0" w:space="0" w:color="auto"/>
            <w:left w:val="none" w:sz="0" w:space="0" w:color="auto"/>
            <w:bottom w:val="none" w:sz="0" w:space="0" w:color="auto"/>
            <w:right w:val="none" w:sz="0" w:space="0" w:color="auto"/>
          </w:divBdr>
        </w:div>
        <w:div w:id="1455097986">
          <w:marLeft w:val="0"/>
          <w:marRight w:val="0"/>
          <w:marTop w:val="0"/>
          <w:marBottom w:val="0"/>
          <w:divBdr>
            <w:top w:val="none" w:sz="0" w:space="0" w:color="auto"/>
            <w:left w:val="none" w:sz="0" w:space="0" w:color="auto"/>
            <w:bottom w:val="none" w:sz="0" w:space="0" w:color="auto"/>
            <w:right w:val="none" w:sz="0" w:space="0" w:color="auto"/>
          </w:divBdr>
        </w:div>
        <w:div w:id="1500845505">
          <w:marLeft w:val="0"/>
          <w:marRight w:val="0"/>
          <w:marTop w:val="0"/>
          <w:marBottom w:val="0"/>
          <w:divBdr>
            <w:top w:val="none" w:sz="0" w:space="0" w:color="auto"/>
            <w:left w:val="none" w:sz="0" w:space="0" w:color="auto"/>
            <w:bottom w:val="none" w:sz="0" w:space="0" w:color="auto"/>
            <w:right w:val="none" w:sz="0" w:space="0" w:color="auto"/>
          </w:divBdr>
        </w:div>
        <w:div w:id="1524518412">
          <w:marLeft w:val="0"/>
          <w:marRight w:val="0"/>
          <w:marTop w:val="0"/>
          <w:marBottom w:val="0"/>
          <w:divBdr>
            <w:top w:val="none" w:sz="0" w:space="0" w:color="auto"/>
            <w:left w:val="none" w:sz="0" w:space="0" w:color="auto"/>
            <w:bottom w:val="none" w:sz="0" w:space="0" w:color="auto"/>
            <w:right w:val="none" w:sz="0" w:space="0" w:color="auto"/>
          </w:divBdr>
        </w:div>
        <w:div w:id="1525244685">
          <w:marLeft w:val="0"/>
          <w:marRight w:val="0"/>
          <w:marTop w:val="0"/>
          <w:marBottom w:val="0"/>
          <w:divBdr>
            <w:top w:val="none" w:sz="0" w:space="0" w:color="auto"/>
            <w:left w:val="none" w:sz="0" w:space="0" w:color="auto"/>
            <w:bottom w:val="none" w:sz="0" w:space="0" w:color="auto"/>
            <w:right w:val="none" w:sz="0" w:space="0" w:color="auto"/>
          </w:divBdr>
        </w:div>
        <w:div w:id="1542326028">
          <w:marLeft w:val="0"/>
          <w:marRight w:val="0"/>
          <w:marTop w:val="0"/>
          <w:marBottom w:val="0"/>
          <w:divBdr>
            <w:top w:val="none" w:sz="0" w:space="0" w:color="auto"/>
            <w:left w:val="none" w:sz="0" w:space="0" w:color="auto"/>
            <w:bottom w:val="none" w:sz="0" w:space="0" w:color="auto"/>
            <w:right w:val="none" w:sz="0" w:space="0" w:color="auto"/>
          </w:divBdr>
        </w:div>
        <w:div w:id="1565408254">
          <w:marLeft w:val="0"/>
          <w:marRight w:val="0"/>
          <w:marTop w:val="0"/>
          <w:marBottom w:val="0"/>
          <w:divBdr>
            <w:top w:val="none" w:sz="0" w:space="0" w:color="auto"/>
            <w:left w:val="none" w:sz="0" w:space="0" w:color="auto"/>
            <w:bottom w:val="none" w:sz="0" w:space="0" w:color="auto"/>
            <w:right w:val="none" w:sz="0" w:space="0" w:color="auto"/>
          </w:divBdr>
        </w:div>
        <w:div w:id="1684473749">
          <w:marLeft w:val="0"/>
          <w:marRight w:val="0"/>
          <w:marTop w:val="0"/>
          <w:marBottom w:val="0"/>
          <w:divBdr>
            <w:top w:val="none" w:sz="0" w:space="0" w:color="auto"/>
            <w:left w:val="none" w:sz="0" w:space="0" w:color="auto"/>
            <w:bottom w:val="none" w:sz="0" w:space="0" w:color="auto"/>
            <w:right w:val="none" w:sz="0" w:space="0" w:color="auto"/>
          </w:divBdr>
        </w:div>
        <w:div w:id="1723865931">
          <w:marLeft w:val="0"/>
          <w:marRight w:val="0"/>
          <w:marTop w:val="0"/>
          <w:marBottom w:val="0"/>
          <w:divBdr>
            <w:top w:val="none" w:sz="0" w:space="0" w:color="auto"/>
            <w:left w:val="none" w:sz="0" w:space="0" w:color="auto"/>
            <w:bottom w:val="none" w:sz="0" w:space="0" w:color="auto"/>
            <w:right w:val="none" w:sz="0" w:space="0" w:color="auto"/>
          </w:divBdr>
        </w:div>
        <w:div w:id="1731928119">
          <w:marLeft w:val="0"/>
          <w:marRight w:val="0"/>
          <w:marTop w:val="0"/>
          <w:marBottom w:val="0"/>
          <w:divBdr>
            <w:top w:val="none" w:sz="0" w:space="0" w:color="auto"/>
            <w:left w:val="none" w:sz="0" w:space="0" w:color="auto"/>
            <w:bottom w:val="none" w:sz="0" w:space="0" w:color="auto"/>
            <w:right w:val="none" w:sz="0" w:space="0" w:color="auto"/>
          </w:divBdr>
        </w:div>
        <w:div w:id="1766076124">
          <w:marLeft w:val="0"/>
          <w:marRight w:val="0"/>
          <w:marTop w:val="0"/>
          <w:marBottom w:val="0"/>
          <w:divBdr>
            <w:top w:val="none" w:sz="0" w:space="0" w:color="auto"/>
            <w:left w:val="none" w:sz="0" w:space="0" w:color="auto"/>
            <w:bottom w:val="none" w:sz="0" w:space="0" w:color="auto"/>
            <w:right w:val="none" w:sz="0" w:space="0" w:color="auto"/>
          </w:divBdr>
        </w:div>
        <w:div w:id="1777479044">
          <w:marLeft w:val="0"/>
          <w:marRight w:val="0"/>
          <w:marTop w:val="0"/>
          <w:marBottom w:val="0"/>
          <w:divBdr>
            <w:top w:val="none" w:sz="0" w:space="0" w:color="auto"/>
            <w:left w:val="none" w:sz="0" w:space="0" w:color="auto"/>
            <w:bottom w:val="none" w:sz="0" w:space="0" w:color="auto"/>
            <w:right w:val="none" w:sz="0" w:space="0" w:color="auto"/>
          </w:divBdr>
        </w:div>
        <w:div w:id="1867213724">
          <w:marLeft w:val="0"/>
          <w:marRight w:val="0"/>
          <w:marTop w:val="0"/>
          <w:marBottom w:val="0"/>
          <w:divBdr>
            <w:top w:val="none" w:sz="0" w:space="0" w:color="auto"/>
            <w:left w:val="none" w:sz="0" w:space="0" w:color="auto"/>
            <w:bottom w:val="none" w:sz="0" w:space="0" w:color="auto"/>
            <w:right w:val="none" w:sz="0" w:space="0" w:color="auto"/>
          </w:divBdr>
        </w:div>
        <w:div w:id="1926452585">
          <w:marLeft w:val="0"/>
          <w:marRight w:val="0"/>
          <w:marTop w:val="0"/>
          <w:marBottom w:val="0"/>
          <w:divBdr>
            <w:top w:val="none" w:sz="0" w:space="0" w:color="auto"/>
            <w:left w:val="none" w:sz="0" w:space="0" w:color="auto"/>
            <w:bottom w:val="none" w:sz="0" w:space="0" w:color="auto"/>
            <w:right w:val="none" w:sz="0" w:space="0" w:color="auto"/>
          </w:divBdr>
        </w:div>
        <w:div w:id="1975064269">
          <w:marLeft w:val="0"/>
          <w:marRight w:val="0"/>
          <w:marTop w:val="0"/>
          <w:marBottom w:val="0"/>
          <w:divBdr>
            <w:top w:val="none" w:sz="0" w:space="0" w:color="auto"/>
            <w:left w:val="none" w:sz="0" w:space="0" w:color="auto"/>
            <w:bottom w:val="none" w:sz="0" w:space="0" w:color="auto"/>
            <w:right w:val="none" w:sz="0" w:space="0" w:color="auto"/>
          </w:divBdr>
        </w:div>
        <w:div w:id="2110268296">
          <w:marLeft w:val="0"/>
          <w:marRight w:val="0"/>
          <w:marTop w:val="0"/>
          <w:marBottom w:val="0"/>
          <w:divBdr>
            <w:top w:val="none" w:sz="0" w:space="0" w:color="auto"/>
            <w:left w:val="none" w:sz="0" w:space="0" w:color="auto"/>
            <w:bottom w:val="none" w:sz="0" w:space="0" w:color="auto"/>
            <w:right w:val="none" w:sz="0" w:space="0" w:color="auto"/>
          </w:divBdr>
        </w:div>
        <w:div w:id="2123645938">
          <w:marLeft w:val="0"/>
          <w:marRight w:val="0"/>
          <w:marTop w:val="0"/>
          <w:marBottom w:val="0"/>
          <w:divBdr>
            <w:top w:val="none" w:sz="0" w:space="0" w:color="auto"/>
            <w:left w:val="none" w:sz="0" w:space="0" w:color="auto"/>
            <w:bottom w:val="none" w:sz="0" w:space="0" w:color="auto"/>
            <w:right w:val="none" w:sz="0" w:space="0" w:color="auto"/>
          </w:divBdr>
        </w:div>
      </w:divsChild>
    </w:div>
    <w:div w:id="1372267474">
      <w:bodyDiv w:val="1"/>
      <w:marLeft w:val="0"/>
      <w:marRight w:val="0"/>
      <w:marTop w:val="0"/>
      <w:marBottom w:val="0"/>
      <w:divBdr>
        <w:top w:val="none" w:sz="0" w:space="0" w:color="auto"/>
        <w:left w:val="none" w:sz="0" w:space="0" w:color="auto"/>
        <w:bottom w:val="none" w:sz="0" w:space="0" w:color="auto"/>
        <w:right w:val="none" w:sz="0" w:space="0" w:color="auto"/>
      </w:divBdr>
    </w:div>
    <w:div w:id="1375929764">
      <w:bodyDiv w:val="1"/>
      <w:marLeft w:val="0"/>
      <w:marRight w:val="0"/>
      <w:marTop w:val="0"/>
      <w:marBottom w:val="0"/>
      <w:divBdr>
        <w:top w:val="none" w:sz="0" w:space="0" w:color="auto"/>
        <w:left w:val="none" w:sz="0" w:space="0" w:color="auto"/>
        <w:bottom w:val="none" w:sz="0" w:space="0" w:color="auto"/>
        <w:right w:val="none" w:sz="0" w:space="0" w:color="auto"/>
      </w:divBdr>
    </w:div>
    <w:div w:id="1379277398">
      <w:bodyDiv w:val="1"/>
      <w:marLeft w:val="0"/>
      <w:marRight w:val="0"/>
      <w:marTop w:val="0"/>
      <w:marBottom w:val="0"/>
      <w:divBdr>
        <w:top w:val="none" w:sz="0" w:space="0" w:color="auto"/>
        <w:left w:val="none" w:sz="0" w:space="0" w:color="auto"/>
        <w:bottom w:val="none" w:sz="0" w:space="0" w:color="auto"/>
        <w:right w:val="none" w:sz="0" w:space="0" w:color="auto"/>
      </w:divBdr>
    </w:div>
    <w:div w:id="1385832407">
      <w:bodyDiv w:val="1"/>
      <w:marLeft w:val="0"/>
      <w:marRight w:val="0"/>
      <w:marTop w:val="0"/>
      <w:marBottom w:val="0"/>
      <w:divBdr>
        <w:top w:val="none" w:sz="0" w:space="0" w:color="auto"/>
        <w:left w:val="none" w:sz="0" w:space="0" w:color="auto"/>
        <w:bottom w:val="none" w:sz="0" w:space="0" w:color="auto"/>
        <w:right w:val="none" w:sz="0" w:space="0" w:color="auto"/>
      </w:divBdr>
    </w:div>
    <w:div w:id="1390570725">
      <w:bodyDiv w:val="1"/>
      <w:marLeft w:val="0"/>
      <w:marRight w:val="0"/>
      <w:marTop w:val="0"/>
      <w:marBottom w:val="0"/>
      <w:divBdr>
        <w:top w:val="none" w:sz="0" w:space="0" w:color="auto"/>
        <w:left w:val="none" w:sz="0" w:space="0" w:color="auto"/>
        <w:bottom w:val="none" w:sz="0" w:space="0" w:color="auto"/>
        <w:right w:val="none" w:sz="0" w:space="0" w:color="auto"/>
      </w:divBdr>
      <w:divsChild>
        <w:div w:id="264775146">
          <w:marLeft w:val="0"/>
          <w:marRight w:val="0"/>
          <w:marTop w:val="0"/>
          <w:marBottom w:val="0"/>
          <w:divBdr>
            <w:top w:val="none" w:sz="0" w:space="0" w:color="auto"/>
            <w:left w:val="none" w:sz="0" w:space="0" w:color="auto"/>
            <w:bottom w:val="none" w:sz="0" w:space="0" w:color="auto"/>
            <w:right w:val="none" w:sz="0" w:space="0" w:color="auto"/>
          </w:divBdr>
        </w:div>
        <w:div w:id="377820898">
          <w:marLeft w:val="0"/>
          <w:marRight w:val="0"/>
          <w:marTop w:val="0"/>
          <w:marBottom w:val="0"/>
          <w:divBdr>
            <w:top w:val="none" w:sz="0" w:space="0" w:color="auto"/>
            <w:left w:val="none" w:sz="0" w:space="0" w:color="auto"/>
            <w:bottom w:val="none" w:sz="0" w:space="0" w:color="auto"/>
            <w:right w:val="none" w:sz="0" w:space="0" w:color="auto"/>
          </w:divBdr>
        </w:div>
        <w:div w:id="387148835">
          <w:marLeft w:val="0"/>
          <w:marRight w:val="0"/>
          <w:marTop w:val="0"/>
          <w:marBottom w:val="0"/>
          <w:divBdr>
            <w:top w:val="none" w:sz="0" w:space="0" w:color="auto"/>
            <w:left w:val="none" w:sz="0" w:space="0" w:color="auto"/>
            <w:bottom w:val="none" w:sz="0" w:space="0" w:color="auto"/>
            <w:right w:val="none" w:sz="0" w:space="0" w:color="auto"/>
          </w:divBdr>
        </w:div>
        <w:div w:id="476266540">
          <w:marLeft w:val="0"/>
          <w:marRight w:val="0"/>
          <w:marTop w:val="0"/>
          <w:marBottom w:val="0"/>
          <w:divBdr>
            <w:top w:val="none" w:sz="0" w:space="0" w:color="auto"/>
            <w:left w:val="none" w:sz="0" w:space="0" w:color="auto"/>
            <w:bottom w:val="none" w:sz="0" w:space="0" w:color="auto"/>
            <w:right w:val="none" w:sz="0" w:space="0" w:color="auto"/>
          </w:divBdr>
        </w:div>
        <w:div w:id="788549059">
          <w:marLeft w:val="0"/>
          <w:marRight w:val="0"/>
          <w:marTop w:val="0"/>
          <w:marBottom w:val="0"/>
          <w:divBdr>
            <w:top w:val="none" w:sz="0" w:space="0" w:color="auto"/>
            <w:left w:val="none" w:sz="0" w:space="0" w:color="auto"/>
            <w:bottom w:val="none" w:sz="0" w:space="0" w:color="auto"/>
            <w:right w:val="none" w:sz="0" w:space="0" w:color="auto"/>
          </w:divBdr>
        </w:div>
        <w:div w:id="879711816">
          <w:marLeft w:val="0"/>
          <w:marRight w:val="0"/>
          <w:marTop w:val="0"/>
          <w:marBottom w:val="0"/>
          <w:divBdr>
            <w:top w:val="none" w:sz="0" w:space="0" w:color="auto"/>
            <w:left w:val="none" w:sz="0" w:space="0" w:color="auto"/>
            <w:bottom w:val="none" w:sz="0" w:space="0" w:color="auto"/>
            <w:right w:val="none" w:sz="0" w:space="0" w:color="auto"/>
          </w:divBdr>
        </w:div>
        <w:div w:id="894580895">
          <w:marLeft w:val="0"/>
          <w:marRight w:val="0"/>
          <w:marTop w:val="0"/>
          <w:marBottom w:val="0"/>
          <w:divBdr>
            <w:top w:val="none" w:sz="0" w:space="0" w:color="auto"/>
            <w:left w:val="none" w:sz="0" w:space="0" w:color="auto"/>
            <w:bottom w:val="none" w:sz="0" w:space="0" w:color="auto"/>
            <w:right w:val="none" w:sz="0" w:space="0" w:color="auto"/>
          </w:divBdr>
        </w:div>
        <w:div w:id="901525306">
          <w:marLeft w:val="0"/>
          <w:marRight w:val="0"/>
          <w:marTop w:val="0"/>
          <w:marBottom w:val="0"/>
          <w:divBdr>
            <w:top w:val="none" w:sz="0" w:space="0" w:color="auto"/>
            <w:left w:val="none" w:sz="0" w:space="0" w:color="auto"/>
            <w:bottom w:val="none" w:sz="0" w:space="0" w:color="auto"/>
            <w:right w:val="none" w:sz="0" w:space="0" w:color="auto"/>
          </w:divBdr>
        </w:div>
        <w:div w:id="941038307">
          <w:marLeft w:val="0"/>
          <w:marRight w:val="0"/>
          <w:marTop w:val="0"/>
          <w:marBottom w:val="0"/>
          <w:divBdr>
            <w:top w:val="none" w:sz="0" w:space="0" w:color="auto"/>
            <w:left w:val="none" w:sz="0" w:space="0" w:color="auto"/>
            <w:bottom w:val="none" w:sz="0" w:space="0" w:color="auto"/>
            <w:right w:val="none" w:sz="0" w:space="0" w:color="auto"/>
          </w:divBdr>
        </w:div>
        <w:div w:id="1104111520">
          <w:marLeft w:val="0"/>
          <w:marRight w:val="0"/>
          <w:marTop w:val="0"/>
          <w:marBottom w:val="0"/>
          <w:divBdr>
            <w:top w:val="none" w:sz="0" w:space="0" w:color="auto"/>
            <w:left w:val="none" w:sz="0" w:space="0" w:color="auto"/>
            <w:bottom w:val="none" w:sz="0" w:space="0" w:color="auto"/>
            <w:right w:val="none" w:sz="0" w:space="0" w:color="auto"/>
          </w:divBdr>
        </w:div>
        <w:div w:id="1112942760">
          <w:marLeft w:val="0"/>
          <w:marRight w:val="0"/>
          <w:marTop w:val="0"/>
          <w:marBottom w:val="0"/>
          <w:divBdr>
            <w:top w:val="none" w:sz="0" w:space="0" w:color="auto"/>
            <w:left w:val="none" w:sz="0" w:space="0" w:color="auto"/>
            <w:bottom w:val="none" w:sz="0" w:space="0" w:color="auto"/>
            <w:right w:val="none" w:sz="0" w:space="0" w:color="auto"/>
          </w:divBdr>
        </w:div>
        <w:div w:id="1336490390">
          <w:marLeft w:val="0"/>
          <w:marRight w:val="0"/>
          <w:marTop w:val="0"/>
          <w:marBottom w:val="0"/>
          <w:divBdr>
            <w:top w:val="none" w:sz="0" w:space="0" w:color="auto"/>
            <w:left w:val="none" w:sz="0" w:space="0" w:color="auto"/>
            <w:bottom w:val="none" w:sz="0" w:space="0" w:color="auto"/>
            <w:right w:val="none" w:sz="0" w:space="0" w:color="auto"/>
          </w:divBdr>
        </w:div>
        <w:div w:id="1398280485">
          <w:marLeft w:val="0"/>
          <w:marRight w:val="0"/>
          <w:marTop w:val="0"/>
          <w:marBottom w:val="0"/>
          <w:divBdr>
            <w:top w:val="none" w:sz="0" w:space="0" w:color="auto"/>
            <w:left w:val="none" w:sz="0" w:space="0" w:color="auto"/>
            <w:bottom w:val="none" w:sz="0" w:space="0" w:color="auto"/>
            <w:right w:val="none" w:sz="0" w:space="0" w:color="auto"/>
          </w:divBdr>
        </w:div>
        <w:div w:id="1520505759">
          <w:marLeft w:val="0"/>
          <w:marRight w:val="0"/>
          <w:marTop w:val="0"/>
          <w:marBottom w:val="0"/>
          <w:divBdr>
            <w:top w:val="none" w:sz="0" w:space="0" w:color="auto"/>
            <w:left w:val="none" w:sz="0" w:space="0" w:color="auto"/>
            <w:bottom w:val="none" w:sz="0" w:space="0" w:color="auto"/>
            <w:right w:val="none" w:sz="0" w:space="0" w:color="auto"/>
          </w:divBdr>
        </w:div>
        <w:div w:id="1786652337">
          <w:marLeft w:val="0"/>
          <w:marRight w:val="0"/>
          <w:marTop w:val="0"/>
          <w:marBottom w:val="0"/>
          <w:divBdr>
            <w:top w:val="none" w:sz="0" w:space="0" w:color="auto"/>
            <w:left w:val="none" w:sz="0" w:space="0" w:color="auto"/>
            <w:bottom w:val="none" w:sz="0" w:space="0" w:color="auto"/>
            <w:right w:val="none" w:sz="0" w:space="0" w:color="auto"/>
          </w:divBdr>
        </w:div>
        <w:div w:id="1994215811">
          <w:marLeft w:val="0"/>
          <w:marRight w:val="0"/>
          <w:marTop w:val="0"/>
          <w:marBottom w:val="0"/>
          <w:divBdr>
            <w:top w:val="none" w:sz="0" w:space="0" w:color="auto"/>
            <w:left w:val="none" w:sz="0" w:space="0" w:color="auto"/>
            <w:bottom w:val="none" w:sz="0" w:space="0" w:color="auto"/>
            <w:right w:val="none" w:sz="0" w:space="0" w:color="auto"/>
          </w:divBdr>
        </w:div>
      </w:divsChild>
    </w:div>
    <w:div w:id="1391155480">
      <w:bodyDiv w:val="1"/>
      <w:marLeft w:val="0"/>
      <w:marRight w:val="0"/>
      <w:marTop w:val="0"/>
      <w:marBottom w:val="0"/>
      <w:divBdr>
        <w:top w:val="none" w:sz="0" w:space="0" w:color="auto"/>
        <w:left w:val="none" w:sz="0" w:space="0" w:color="auto"/>
        <w:bottom w:val="none" w:sz="0" w:space="0" w:color="auto"/>
        <w:right w:val="none" w:sz="0" w:space="0" w:color="auto"/>
      </w:divBdr>
      <w:divsChild>
        <w:div w:id="875393027">
          <w:marLeft w:val="0"/>
          <w:marRight w:val="0"/>
          <w:marTop w:val="0"/>
          <w:marBottom w:val="0"/>
          <w:divBdr>
            <w:top w:val="none" w:sz="0" w:space="0" w:color="auto"/>
            <w:left w:val="none" w:sz="0" w:space="0" w:color="auto"/>
            <w:bottom w:val="none" w:sz="0" w:space="0" w:color="auto"/>
            <w:right w:val="none" w:sz="0" w:space="0" w:color="auto"/>
          </w:divBdr>
        </w:div>
      </w:divsChild>
    </w:div>
    <w:div w:id="1392994269">
      <w:bodyDiv w:val="1"/>
      <w:marLeft w:val="0"/>
      <w:marRight w:val="0"/>
      <w:marTop w:val="0"/>
      <w:marBottom w:val="0"/>
      <w:divBdr>
        <w:top w:val="none" w:sz="0" w:space="0" w:color="auto"/>
        <w:left w:val="none" w:sz="0" w:space="0" w:color="auto"/>
        <w:bottom w:val="none" w:sz="0" w:space="0" w:color="auto"/>
        <w:right w:val="none" w:sz="0" w:space="0" w:color="auto"/>
      </w:divBdr>
      <w:divsChild>
        <w:div w:id="848132597">
          <w:marLeft w:val="0"/>
          <w:marRight w:val="0"/>
          <w:marTop w:val="0"/>
          <w:marBottom w:val="0"/>
          <w:divBdr>
            <w:top w:val="none" w:sz="0" w:space="0" w:color="auto"/>
            <w:left w:val="none" w:sz="0" w:space="0" w:color="auto"/>
            <w:bottom w:val="none" w:sz="0" w:space="0" w:color="auto"/>
            <w:right w:val="none" w:sz="0" w:space="0" w:color="auto"/>
          </w:divBdr>
        </w:div>
      </w:divsChild>
    </w:div>
    <w:div w:id="1394307546">
      <w:bodyDiv w:val="1"/>
      <w:marLeft w:val="0"/>
      <w:marRight w:val="0"/>
      <w:marTop w:val="0"/>
      <w:marBottom w:val="0"/>
      <w:divBdr>
        <w:top w:val="none" w:sz="0" w:space="0" w:color="auto"/>
        <w:left w:val="none" w:sz="0" w:space="0" w:color="auto"/>
        <w:bottom w:val="none" w:sz="0" w:space="0" w:color="auto"/>
        <w:right w:val="none" w:sz="0" w:space="0" w:color="auto"/>
      </w:divBdr>
      <w:divsChild>
        <w:div w:id="1226254748">
          <w:marLeft w:val="0"/>
          <w:marRight w:val="0"/>
          <w:marTop w:val="0"/>
          <w:marBottom w:val="0"/>
          <w:divBdr>
            <w:top w:val="none" w:sz="0" w:space="0" w:color="auto"/>
            <w:left w:val="none" w:sz="0" w:space="0" w:color="auto"/>
            <w:bottom w:val="none" w:sz="0" w:space="0" w:color="auto"/>
            <w:right w:val="none" w:sz="0" w:space="0" w:color="auto"/>
          </w:divBdr>
        </w:div>
      </w:divsChild>
    </w:div>
    <w:div w:id="1394696275">
      <w:bodyDiv w:val="1"/>
      <w:marLeft w:val="0"/>
      <w:marRight w:val="0"/>
      <w:marTop w:val="0"/>
      <w:marBottom w:val="0"/>
      <w:divBdr>
        <w:top w:val="none" w:sz="0" w:space="0" w:color="auto"/>
        <w:left w:val="none" w:sz="0" w:space="0" w:color="auto"/>
        <w:bottom w:val="none" w:sz="0" w:space="0" w:color="auto"/>
        <w:right w:val="none" w:sz="0" w:space="0" w:color="auto"/>
      </w:divBdr>
    </w:div>
    <w:div w:id="1399863420">
      <w:bodyDiv w:val="1"/>
      <w:marLeft w:val="0"/>
      <w:marRight w:val="0"/>
      <w:marTop w:val="0"/>
      <w:marBottom w:val="0"/>
      <w:divBdr>
        <w:top w:val="none" w:sz="0" w:space="0" w:color="auto"/>
        <w:left w:val="none" w:sz="0" w:space="0" w:color="auto"/>
        <w:bottom w:val="none" w:sz="0" w:space="0" w:color="auto"/>
        <w:right w:val="none" w:sz="0" w:space="0" w:color="auto"/>
      </w:divBdr>
      <w:divsChild>
        <w:div w:id="1093622018">
          <w:marLeft w:val="0"/>
          <w:marRight w:val="0"/>
          <w:marTop w:val="0"/>
          <w:marBottom w:val="0"/>
          <w:divBdr>
            <w:top w:val="none" w:sz="0" w:space="0" w:color="auto"/>
            <w:left w:val="none" w:sz="0" w:space="0" w:color="auto"/>
            <w:bottom w:val="none" w:sz="0" w:space="0" w:color="auto"/>
            <w:right w:val="none" w:sz="0" w:space="0" w:color="auto"/>
          </w:divBdr>
        </w:div>
      </w:divsChild>
    </w:div>
    <w:div w:id="1401907385">
      <w:bodyDiv w:val="1"/>
      <w:marLeft w:val="0"/>
      <w:marRight w:val="0"/>
      <w:marTop w:val="0"/>
      <w:marBottom w:val="0"/>
      <w:divBdr>
        <w:top w:val="none" w:sz="0" w:space="0" w:color="auto"/>
        <w:left w:val="none" w:sz="0" w:space="0" w:color="auto"/>
        <w:bottom w:val="none" w:sz="0" w:space="0" w:color="auto"/>
        <w:right w:val="none" w:sz="0" w:space="0" w:color="auto"/>
      </w:divBdr>
      <w:divsChild>
        <w:div w:id="731847834">
          <w:marLeft w:val="0"/>
          <w:marRight w:val="0"/>
          <w:marTop w:val="0"/>
          <w:marBottom w:val="0"/>
          <w:divBdr>
            <w:top w:val="none" w:sz="0" w:space="0" w:color="auto"/>
            <w:left w:val="none" w:sz="0" w:space="0" w:color="auto"/>
            <w:bottom w:val="none" w:sz="0" w:space="0" w:color="auto"/>
            <w:right w:val="none" w:sz="0" w:space="0" w:color="auto"/>
          </w:divBdr>
        </w:div>
        <w:div w:id="861431776">
          <w:marLeft w:val="0"/>
          <w:marRight w:val="0"/>
          <w:marTop w:val="0"/>
          <w:marBottom w:val="0"/>
          <w:divBdr>
            <w:top w:val="none" w:sz="0" w:space="0" w:color="auto"/>
            <w:left w:val="none" w:sz="0" w:space="0" w:color="auto"/>
            <w:bottom w:val="none" w:sz="0" w:space="0" w:color="auto"/>
            <w:right w:val="none" w:sz="0" w:space="0" w:color="auto"/>
          </w:divBdr>
        </w:div>
        <w:div w:id="1077282999">
          <w:marLeft w:val="0"/>
          <w:marRight w:val="0"/>
          <w:marTop w:val="0"/>
          <w:marBottom w:val="0"/>
          <w:divBdr>
            <w:top w:val="none" w:sz="0" w:space="0" w:color="auto"/>
            <w:left w:val="none" w:sz="0" w:space="0" w:color="auto"/>
            <w:bottom w:val="none" w:sz="0" w:space="0" w:color="auto"/>
            <w:right w:val="none" w:sz="0" w:space="0" w:color="auto"/>
          </w:divBdr>
        </w:div>
      </w:divsChild>
    </w:div>
    <w:div w:id="1411805347">
      <w:bodyDiv w:val="1"/>
      <w:marLeft w:val="0"/>
      <w:marRight w:val="0"/>
      <w:marTop w:val="0"/>
      <w:marBottom w:val="0"/>
      <w:divBdr>
        <w:top w:val="none" w:sz="0" w:space="0" w:color="auto"/>
        <w:left w:val="none" w:sz="0" w:space="0" w:color="auto"/>
        <w:bottom w:val="none" w:sz="0" w:space="0" w:color="auto"/>
        <w:right w:val="none" w:sz="0" w:space="0" w:color="auto"/>
      </w:divBdr>
      <w:divsChild>
        <w:div w:id="35400012">
          <w:marLeft w:val="547"/>
          <w:marRight w:val="0"/>
          <w:marTop w:val="200"/>
          <w:marBottom w:val="0"/>
          <w:divBdr>
            <w:top w:val="none" w:sz="0" w:space="0" w:color="auto"/>
            <w:left w:val="none" w:sz="0" w:space="0" w:color="auto"/>
            <w:bottom w:val="none" w:sz="0" w:space="0" w:color="auto"/>
            <w:right w:val="none" w:sz="0" w:space="0" w:color="auto"/>
          </w:divBdr>
        </w:div>
        <w:div w:id="1889872430">
          <w:marLeft w:val="547"/>
          <w:marRight w:val="0"/>
          <w:marTop w:val="200"/>
          <w:marBottom w:val="0"/>
          <w:divBdr>
            <w:top w:val="none" w:sz="0" w:space="0" w:color="auto"/>
            <w:left w:val="none" w:sz="0" w:space="0" w:color="auto"/>
            <w:bottom w:val="none" w:sz="0" w:space="0" w:color="auto"/>
            <w:right w:val="none" w:sz="0" w:space="0" w:color="auto"/>
          </w:divBdr>
        </w:div>
      </w:divsChild>
    </w:div>
    <w:div w:id="1417050097">
      <w:bodyDiv w:val="1"/>
      <w:marLeft w:val="0"/>
      <w:marRight w:val="0"/>
      <w:marTop w:val="0"/>
      <w:marBottom w:val="0"/>
      <w:divBdr>
        <w:top w:val="none" w:sz="0" w:space="0" w:color="auto"/>
        <w:left w:val="none" w:sz="0" w:space="0" w:color="auto"/>
        <w:bottom w:val="none" w:sz="0" w:space="0" w:color="auto"/>
        <w:right w:val="none" w:sz="0" w:space="0" w:color="auto"/>
      </w:divBdr>
      <w:divsChild>
        <w:div w:id="1050350048">
          <w:marLeft w:val="0"/>
          <w:marRight w:val="0"/>
          <w:marTop w:val="0"/>
          <w:marBottom w:val="0"/>
          <w:divBdr>
            <w:top w:val="none" w:sz="0" w:space="0" w:color="auto"/>
            <w:left w:val="none" w:sz="0" w:space="0" w:color="auto"/>
            <w:bottom w:val="none" w:sz="0" w:space="0" w:color="auto"/>
            <w:right w:val="none" w:sz="0" w:space="0" w:color="auto"/>
          </w:divBdr>
        </w:div>
      </w:divsChild>
    </w:div>
    <w:div w:id="1419714854">
      <w:bodyDiv w:val="1"/>
      <w:marLeft w:val="0"/>
      <w:marRight w:val="0"/>
      <w:marTop w:val="0"/>
      <w:marBottom w:val="0"/>
      <w:divBdr>
        <w:top w:val="none" w:sz="0" w:space="0" w:color="auto"/>
        <w:left w:val="none" w:sz="0" w:space="0" w:color="auto"/>
        <w:bottom w:val="none" w:sz="0" w:space="0" w:color="auto"/>
        <w:right w:val="none" w:sz="0" w:space="0" w:color="auto"/>
      </w:divBdr>
    </w:div>
    <w:div w:id="1424061645">
      <w:bodyDiv w:val="1"/>
      <w:marLeft w:val="0"/>
      <w:marRight w:val="0"/>
      <w:marTop w:val="0"/>
      <w:marBottom w:val="0"/>
      <w:divBdr>
        <w:top w:val="none" w:sz="0" w:space="0" w:color="auto"/>
        <w:left w:val="none" w:sz="0" w:space="0" w:color="auto"/>
        <w:bottom w:val="none" w:sz="0" w:space="0" w:color="auto"/>
        <w:right w:val="none" w:sz="0" w:space="0" w:color="auto"/>
      </w:divBdr>
      <w:divsChild>
        <w:div w:id="1228110885">
          <w:marLeft w:val="0"/>
          <w:marRight w:val="0"/>
          <w:marTop w:val="0"/>
          <w:marBottom w:val="0"/>
          <w:divBdr>
            <w:top w:val="none" w:sz="0" w:space="0" w:color="auto"/>
            <w:left w:val="none" w:sz="0" w:space="0" w:color="auto"/>
            <w:bottom w:val="none" w:sz="0" w:space="0" w:color="auto"/>
            <w:right w:val="none" w:sz="0" w:space="0" w:color="auto"/>
          </w:divBdr>
        </w:div>
      </w:divsChild>
    </w:div>
    <w:div w:id="1424761797">
      <w:bodyDiv w:val="1"/>
      <w:marLeft w:val="0"/>
      <w:marRight w:val="0"/>
      <w:marTop w:val="0"/>
      <w:marBottom w:val="0"/>
      <w:divBdr>
        <w:top w:val="none" w:sz="0" w:space="0" w:color="auto"/>
        <w:left w:val="none" w:sz="0" w:space="0" w:color="auto"/>
        <w:bottom w:val="none" w:sz="0" w:space="0" w:color="auto"/>
        <w:right w:val="none" w:sz="0" w:space="0" w:color="auto"/>
      </w:divBdr>
    </w:div>
    <w:div w:id="1425107161">
      <w:bodyDiv w:val="1"/>
      <w:marLeft w:val="0"/>
      <w:marRight w:val="0"/>
      <w:marTop w:val="0"/>
      <w:marBottom w:val="0"/>
      <w:divBdr>
        <w:top w:val="none" w:sz="0" w:space="0" w:color="auto"/>
        <w:left w:val="none" w:sz="0" w:space="0" w:color="auto"/>
        <w:bottom w:val="none" w:sz="0" w:space="0" w:color="auto"/>
        <w:right w:val="none" w:sz="0" w:space="0" w:color="auto"/>
      </w:divBdr>
      <w:divsChild>
        <w:div w:id="994916501">
          <w:marLeft w:val="0"/>
          <w:marRight w:val="0"/>
          <w:marTop w:val="0"/>
          <w:marBottom w:val="0"/>
          <w:divBdr>
            <w:top w:val="none" w:sz="0" w:space="0" w:color="auto"/>
            <w:left w:val="none" w:sz="0" w:space="0" w:color="auto"/>
            <w:bottom w:val="none" w:sz="0" w:space="0" w:color="auto"/>
            <w:right w:val="none" w:sz="0" w:space="0" w:color="auto"/>
          </w:divBdr>
        </w:div>
      </w:divsChild>
    </w:div>
    <w:div w:id="1430853342">
      <w:bodyDiv w:val="1"/>
      <w:marLeft w:val="0"/>
      <w:marRight w:val="0"/>
      <w:marTop w:val="0"/>
      <w:marBottom w:val="0"/>
      <w:divBdr>
        <w:top w:val="none" w:sz="0" w:space="0" w:color="auto"/>
        <w:left w:val="none" w:sz="0" w:space="0" w:color="auto"/>
        <w:bottom w:val="none" w:sz="0" w:space="0" w:color="auto"/>
        <w:right w:val="none" w:sz="0" w:space="0" w:color="auto"/>
      </w:divBdr>
      <w:divsChild>
        <w:div w:id="22482604">
          <w:marLeft w:val="0"/>
          <w:marRight w:val="0"/>
          <w:marTop w:val="0"/>
          <w:marBottom w:val="0"/>
          <w:divBdr>
            <w:top w:val="none" w:sz="0" w:space="0" w:color="auto"/>
            <w:left w:val="none" w:sz="0" w:space="0" w:color="auto"/>
            <w:bottom w:val="none" w:sz="0" w:space="0" w:color="auto"/>
            <w:right w:val="none" w:sz="0" w:space="0" w:color="auto"/>
          </w:divBdr>
        </w:div>
        <w:div w:id="145559733">
          <w:marLeft w:val="0"/>
          <w:marRight w:val="0"/>
          <w:marTop w:val="0"/>
          <w:marBottom w:val="0"/>
          <w:divBdr>
            <w:top w:val="none" w:sz="0" w:space="0" w:color="auto"/>
            <w:left w:val="none" w:sz="0" w:space="0" w:color="auto"/>
            <w:bottom w:val="none" w:sz="0" w:space="0" w:color="auto"/>
            <w:right w:val="none" w:sz="0" w:space="0" w:color="auto"/>
          </w:divBdr>
        </w:div>
        <w:div w:id="282345689">
          <w:marLeft w:val="0"/>
          <w:marRight w:val="0"/>
          <w:marTop w:val="0"/>
          <w:marBottom w:val="0"/>
          <w:divBdr>
            <w:top w:val="none" w:sz="0" w:space="0" w:color="auto"/>
            <w:left w:val="none" w:sz="0" w:space="0" w:color="auto"/>
            <w:bottom w:val="none" w:sz="0" w:space="0" w:color="auto"/>
            <w:right w:val="none" w:sz="0" w:space="0" w:color="auto"/>
          </w:divBdr>
        </w:div>
        <w:div w:id="497504367">
          <w:marLeft w:val="0"/>
          <w:marRight w:val="0"/>
          <w:marTop w:val="0"/>
          <w:marBottom w:val="0"/>
          <w:divBdr>
            <w:top w:val="none" w:sz="0" w:space="0" w:color="auto"/>
            <w:left w:val="none" w:sz="0" w:space="0" w:color="auto"/>
            <w:bottom w:val="none" w:sz="0" w:space="0" w:color="auto"/>
            <w:right w:val="none" w:sz="0" w:space="0" w:color="auto"/>
          </w:divBdr>
        </w:div>
        <w:div w:id="508257432">
          <w:marLeft w:val="0"/>
          <w:marRight w:val="0"/>
          <w:marTop w:val="0"/>
          <w:marBottom w:val="0"/>
          <w:divBdr>
            <w:top w:val="none" w:sz="0" w:space="0" w:color="auto"/>
            <w:left w:val="none" w:sz="0" w:space="0" w:color="auto"/>
            <w:bottom w:val="none" w:sz="0" w:space="0" w:color="auto"/>
            <w:right w:val="none" w:sz="0" w:space="0" w:color="auto"/>
          </w:divBdr>
        </w:div>
        <w:div w:id="543450288">
          <w:marLeft w:val="0"/>
          <w:marRight w:val="0"/>
          <w:marTop w:val="0"/>
          <w:marBottom w:val="0"/>
          <w:divBdr>
            <w:top w:val="none" w:sz="0" w:space="0" w:color="auto"/>
            <w:left w:val="none" w:sz="0" w:space="0" w:color="auto"/>
            <w:bottom w:val="none" w:sz="0" w:space="0" w:color="auto"/>
            <w:right w:val="none" w:sz="0" w:space="0" w:color="auto"/>
          </w:divBdr>
        </w:div>
        <w:div w:id="558127629">
          <w:marLeft w:val="0"/>
          <w:marRight w:val="0"/>
          <w:marTop w:val="0"/>
          <w:marBottom w:val="0"/>
          <w:divBdr>
            <w:top w:val="none" w:sz="0" w:space="0" w:color="auto"/>
            <w:left w:val="none" w:sz="0" w:space="0" w:color="auto"/>
            <w:bottom w:val="none" w:sz="0" w:space="0" w:color="auto"/>
            <w:right w:val="none" w:sz="0" w:space="0" w:color="auto"/>
          </w:divBdr>
        </w:div>
        <w:div w:id="829248343">
          <w:marLeft w:val="0"/>
          <w:marRight w:val="0"/>
          <w:marTop w:val="0"/>
          <w:marBottom w:val="0"/>
          <w:divBdr>
            <w:top w:val="none" w:sz="0" w:space="0" w:color="auto"/>
            <w:left w:val="none" w:sz="0" w:space="0" w:color="auto"/>
            <w:bottom w:val="none" w:sz="0" w:space="0" w:color="auto"/>
            <w:right w:val="none" w:sz="0" w:space="0" w:color="auto"/>
          </w:divBdr>
        </w:div>
        <w:div w:id="1052581518">
          <w:marLeft w:val="0"/>
          <w:marRight w:val="0"/>
          <w:marTop w:val="0"/>
          <w:marBottom w:val="0"/>
          <w:divBdr>
            <w:top w:val="none" w:sz="0" w:space="0" w:color="auto"/>
            <w:left w:val="none" w:sz="0" w:space="0" w:color="auto"/>
            <w:bottom w:val="none" w:sz="0" w:space="0" w:color="auto"/>
            <w:right w:val="none" w:sz="0" w:space="0" w:color="auto"/>
          </w:divBdr>
        </w:div>
        <w:div w:id="1156651019">
          <w:marLeft w:val="0"/>
          <w:marRight w:val="0"/>
          <w:marTop w:val="0"/>
          <w:marBottom w:val="0"/>
          <w:divBdr>
            <w:top w:val="none" w:sz="0" w:space="0" w:color="auto"/>
            <w:left w:val="none" w:sz="0" w:space="0" w:color="auto"/>
            <w:bottom w:val="none" w:sz="0" w:space="0" w:color="auto"/>
            <w:right w:val="none" w:sz="0" w:space="0" w:color="auto"/>
          </w:divBdr>
        </w:div>
        <w:div w:id="1318415901">
          <w:marLeft w:val="0"/>
          <w:marRight w:val="0"/>
          <w:marTop w:val="0"/>
          <w:marBottom w:val="0"/>
          <w:divBdr>
            <w:top w:val="none" w:sz="0" w:space="0" w:color="auto"/>
            <w:left w:val="none" w:sz="0" w:space="0" w:color="auto"/>
            <w:bottom w:val="none" w:sz="0" w:space="0" w:color="auto"/>
            <w:right w:val="none" w:sz="0" w:space="0" w:color="auto"/>
          </w:divBdr>
        </w:div>
        <w:div w:id="1351955642">
          <w:marLeft w:val="0"/>
          <w:marRight w:val="0"/>
          <w:marTop w:val="0"/>
          <w:marBottom w:val="0"/>
          <w:divBdr>
            <w:top w:val="none" w:sz="0" w:space="0" w:color="auto"/>
            <w:left w:val="none" w:sz="0" w:space="0" w:color="auto"/>
            <w:bottom w:val="none" w:sz="0" w:space="0" w:color="auto"/>
            <w:right w:val="none" w:sz="0" w:space="0" w:color="auto"/>
          </w:divBdr>
        </w:div>
        <w:div w:id="1361777301">
          <w:marLeft w:val="0"/>
          <w:marRight w:val="0"/>
          <w:marTop w:val="0"/>
          <w:marBottom w:val="0"/>
          <w:divBdr>
            <w:top w:val="none" w:sz="0" w:space="0" w:color="auto"/>
            <w:left w:val="none" w:sz="0" w:space="0" w:color="auto"/>
            <w:bottom w:val="none" w:sz="0" w:space="0" w:color="auto"/>
            <w:right w:val="none" w:sz="0" w:space="0" w:color="auto"/>
          </w:divBdr>
        </w:div>
        <w:div w:id="1456099121">
          <w:marLeft w:val="0"/>
          <w:marRight w:val="0"/>
          <w:marTop w:val="0"/>
          <w:marBottom w:val="0"/>
          <w:divBdr>
            <w:top w:val="none" w:sz="0" w:space="0" w:color="auto"/>
            <w:left w:val="none" w:sz="0" w:space="0" w:color="auto"/>
            <w:bottom w:val="none" w:sz="0" w:space="0" w:color="auto"/>
            <w:right w:val="none" w:sz="0" w:space="0" w:color="auto"/>
          </w:divBdr>
        </w:div>
        <w:div w:id="1490947447">
          <w:marLeft w:val="0"/>
          <w:marRight w:val="0"/>
          <w:marTop w:val="0"/>
          <w:marBottom w:val="0"/>
          <w:divBdr>
            <w:top w:val="none" w:sz="0" w:space="0" w:color="auto"/>
            <w:left w:val="none" w:sz="0" w:space="0" w:color="auto"/>
            <w:bottom w:val="none" w:sz="0" w:space="0" w:color="auto"/>
            <w:right w:val="none" w:sz="0" w:space="0" w:color="auto"/>
          </w:divBdr>
        </w:div>
        <w:div w:id="1595434575">
          <w:marLeft w:val="0"/>
          <w:marRight w:val="0"/>
          <w:marTop w:val="0"/>
          <w:marBottom w:val="0"/>
          <w:divBdr>
            <w:top w:val="none" w:sz="0" w:space="0" w:color="auto"/>
            <w:left w:val="none" w:sz="0" w:space="0" w:color="auto"/>
            <w:bottom w:val="none" w:sz="0" w:space="0" w:color="auto"/>
            <w:right w:val="none" w:sz="0" w:space="0" w:color="auto"/>
          </w:divBdr>
        </w:div>
        <w:div w:id="1603419987">
          <w:marLeft w:val="0"/>
          <w:marRight w:val="0"/>
          <w:marTop w:val="0"/>
          <w:marBottom w:val="0"/>
          <w:divBdr>
            <w:top w:val="none" w:sz="0" w:space="0" w:color="auto"/>
            <w:left w:val="none" w:sz="0" w:space="0" w:color="auto"/>
            <w:bottom w:val="none" w:sz="0" w:space="0" w:color="auto"/>
            <w:right w:val="none" w:sz="0" w:space="0" w:color="auto"/>
          </w:divBdr>
        </w:div>
        <w:div w:id="1608344575">
          <w:marLeft w:val="0"/>
          <w:marRight w:val="0"/>
          <w:marTop w:val="0"/>
          <w:marBottom w:val="0"/>
          <w:divBdr>
            <w:top w:val="none" w:sz="0" w:space="0" w:color="auto"/>
            <w:left w:val="none" w:sz="0" w:space="0" w:color="auto"/>
            <w:bottom w:val="none" w:sz="0" w:space="0" w:color="auto"/>
            <w:right w:val="none" w:sz="0" w:space="0" w:color="auto"/>
          </w:divBdr>
        </w:div>
        <w:div w:id="1922834081">
          <w:marLeft w:val="0"/>
          <w:marRight w:val="0"/>
          <w:marTop w:val="0"/>
          <w:marBottom w:val="0"/>
          <w:divBdr>
            <w:top w:val="none" w:sz="0" w:space="0" w:color="auto"/>
            <w:left w:val="none" w:sz="0" w:space="0" w:color="auto"/>
            <w:bottom w:val="none" w:sz="0" w:space="0" w:color="auto"/>
            <w:right w:val="none" w:sz="0" w:space="0" w:color="auto"/>
          </w:divBdr>
        </w:div>
        <w:div w:id="1940143606">
          <w:marLeft w:val="0"/>
          <w:marRight w:val="0"/>
          <w:marTop w:val="0"/>
          <w:marBottom w:val="0"/>
          <w:divBdr>
            <w:top w:val="none" w:sz="0" w:space="0" w:color="auto"/>
            <w:left w:val="none" w:sz="0" w:space="0" w:color="auto"/>
            <w:bottom w:val="none" w:sz="0" w:space="0" w:color="auto"/>
            <w:right w:val="none" w:sz="0" w:space="0" w:color="auto"/>
          </w:divBdr>
        </w:div>
        <w:div w:id="2019581964">
          <w:marLeft w:val="0"/>
          <w:marRight w:val="0"/>
          <w:marTop w:val="0"/>
          <w:marBottom w:val="0"/>
          <w:divBdr>
            <w:top w:val="none" w:sz="0" w:space="0" w:color="auto"/>
            <w:left w:val="none" w:sz="0" w:space="0" w:color="auto"/>
            <w:bottom w:val="none" w:sz="0" w:space="0" w:color="auto"/>
            <w:right w:val="none" w:sz="0" w:space="0" w:color="auto"/>
          </w:divBdr>
        </w:div>
        <w:div w:id="2089575818">
          <w:marLeft w:val="0"/>
          <w:marRight w:val="0"/>
          <w:marTop w:val="0"/>
          <w:marBottom w:val="0"/>
          <w:divBdr>
            <w:top w:val="none" w:sz="0" w:space="0" w:color="auto"/>
            <w:left w:val="none" w:sz="0" w:space="0" w:color="auto"/>
            <w:bottom w:val="none" w:sz="0" w:space="0" w:color="auto"/>
            <w:right w:val="none" w:sz="0" w:space="0" w:color="auto"/>
          </w:divBdr>
        </w:div>
        <w:div w:id="2092267316">
          <w:marLeft w:val="0"/>
          <w:marRight w:val="0"/>
          <w:marTop w:val="0"/>
          <w:marBottom w:val="0"/>
          <w:divBdr>
            <w:top w:val="none" w:sz="0" w:space="0" w:color="auto"/>
            <w:left w:val="none" w:sz="0" w:space="0" w:color="auto"/>
            <w:bottom w:val="none" w:sz="0" w:space="0" w:color="auto"/>
            <w:right w:val="none" w:sz="0" w:space="0" w:color="auto"/>
          </w:divBdr>
        </w:div>
      </w:divsChild>
    </w:div>
    <w:div w:id="1448113941">
      <w:bodyDiv w:val="1"/>
      <w:marLeft w:val="0"/>
      <w:marRight w:val="0"/>
      <w:marTop w:val="0"/>
      <w:marBottom w:val="0"/>
      <w:divBdr>
        <w:top w:val="none" w:sz="0" w:space="0" w:color="auto"/>
        <w:left w:val="none" w:sz="0" w:space="0" w:color="auto"/>
        <w:bottom w:val="none" w:sz="0" w:space="0" w:color="auto"/>
        <w:right w:val="none" w:sz="0" w:space="0" w:color="auto"/>
      </w:divBdr>
    </w:div>
    <w:div w:id="1451128943">
      <w:bodyDiv w:val="1"/>
      <w:marLeft w:val="0"/>
      <w:marRight w:val="0"/>
      <w:marTop w:val="0"/>
      <w:marBottom w:val="0"/>
      <w:divBdr>
        <w:top w:val="none" w:sz="0" w:space="0" w:color="auto"/>
        <w:left w:val="none" w:sz="0" w:space="0" w:color="auto"/>
        <w:bottom w:val="none" w:sz="0" w:space="0" w:color="auto"/>
        <w:right w:val="none" w:sz="0" w:space="0" w:color="auto"/>
      </w:divBdr>
    </w:div>
    <w:div w:id="1451706362">
      <w:bodyDiv w:val="1"/>
      <w:marLeft w:val="0"/>
      <w:marRight w:val="0"/>
      <w:marTop w:val="0"/>
      <w:marBottom w:val="0"/>
      <w:divBdr>
        <w:top w:val="none" w:sz="0" w:space="0" w:color="auto"/>
        <w:left w:val="none" w:sz="0" w:space="0" w:color="auto"/>
        <w:bottom w:val="none" w:sz="0" w:space="0" w:color="auto"/>
        <w:right w:val="none" w:sz="0" w:space="0" w:color="auto"/>
      </w:divBdr>
      <w:divsChild>
        <w:div w:id="198855089">
          <w:marLeft w:val="0"/>
          <w:marRight w:val="0"/>
          <w:marTop w:val="0"/>
          <w:marBottom w:val="0"/>
          <w:divBdr>
            <w:top w:val="none" w:sz="0" w:space="0" w:color="auto"/>
            <w:left w:val="none" w:sz="0" w:space="0" w:color="auto"/>
            <w:bottom w:val="none" w:sz="0" w:space="0" w:color="auto"/>
            <w:right w:val="none" w:sz="0" w:space="0" w:color="auto"/>
          </w:divBdr>
        </w:div>
        <w:div w:id="470094205">
          <w:marLeft w:val="0"/>
          <w:marRight w:val="0"/>
          <w:marTop w:val="0"/>
          <w:marBottom w:val="0"/>
          <w:divBdr>
            <w:top w:val="none" w:sz="0" w:space="0" w:color="auto"/>
            <w:left w:val="none" w:sz="0" w:space="0" w:color="auto"/>
            <w:bottom w:val="none" w:sz="0" w:space="0" w:color="auto"/>
            <w:right w:val="none" w:sz="0" w:space="0" w:color="auto"/>
          </w:divBdr>
        </w:div>
        <w:div w:id="473911413">
          <w:marLeft w:val="0"/>
          <w:marRight w:val="0"/>
          <w:marTop w:val="0"/>
          <w:marBottom w:val="0"/>
          <w:divBdr>
            <w:top w:val="none" w:sz="0" w:space="0" w:color="auto"/>
            <w:left w:val="none" w:sz="0" w:space="0" w:color="auto"/>
            <w:bottom w:val="none" w:sz="0" w:space="0" w:color="auto"/>
            <w:right w:val="none" w:sz="0" w:space="0" w:color="auto"/>
          </w:divBdr>
        </w:div>
        <w:div w:id="617882458">
          <w:marLeft w:val="0"/>
          <w:marRight w:val="0"/>
          <w:marTop w:val="0"/>
          <w:marBottom w:val="0"/>
          <w:divBdr>
            <w:top w:val="none" w:sz="0" w:space="0" w:color="auto"/>
            <w:left w:val="none" w:sz="0" w:space="0" w:color="auto"/>
            <w:bottom w:val="none" w:sz="0" w:space="0" w:color="auto"/>
            <w:right w:val="none" w:sz="0" w:space="0" w:color="auto"/>
          </w:divBdr>
        </w:div>
        <w:div w:id="703361344">
          <w:marLeft w:val="0"/>
          <w:marRight w:val="0"/>
          <w:marTop w:val="0"/>
          <w:marBottom w:val="0"/>
          <w:divBdr>
            <w:top w:val="none" w:sz="0" w:space="0" w:color="auto"/>
            <w:left w:val="none" w:sz="0" w:space="0" w:color="auto"/>
            <w:bottom w:val="none" w:sz="0" w:space="0" w:color="auto"/>
            <w:right w:val="none" w:sz="0" w:space="0" w:color="auto"/>
          </w:divBdr>
        </w:div>
        <w:div w:id="837426408">
          <w:marLeft w:val="0"/>
          <w:marRight w:val="0"/>
          <w:marTop w:val="0"/>
          <w:marBottom w:val="0"/>
          <w:divBdr>
            <w:top w:val="none" w:sz="0" w:space="0" w:color="auto"/>
            <w:left w:val="none" w:sz="0" w:space="0" w:color="auto"/>
            <w:bottom w:val="none" w:sz="0" w:space="0" w:color="auto"/>
            <w:right w:val="none" w:sz="0" w:space="0" w:color="auto"/>
          </w:divBdr>
        </w:div>
        <w:div w:id="846333451">
          <w:marLeft w:val="0"/>
          <w:marRight w:val="0"/>
          <w:marTop w:val="0"/>
          <w:marBottom w:val="0"/>
          <w:divBdr>
            <w:top w:val="none" w:sz="0" w:space="0" w:color="auto"/>
            <w:left w:val="none" w:sz="0" w:space="0" w:color="auto"/>
            <w:bottom w:val="none" w:sz="0" w:space="0" w:color="auto"/>
            <w:right w:val="none" w:sz="0" w:space="0" w:color="auto"/>
          </w:divBdr>
        </w:div>
        <w:div w:id="939293673">
          <w:marLeft w:val="0"/>
          <w:marRight w:val="0"/>
          <w:marTop w:val="0"/>
          <w:marBottom w:val="0"/>
          <w:divBdr>
            <w:top w:val="none" w:sz="0" w:space="0" w:color="auto"/>
            <w:left w:val="none" w:sz="0" w:space="0" w:color="auto"/>
            <w:bottom w:val="none" w:sz="0" w:space="0" w:color="auto"/>
            <w:right w:val="none" w:sz="0" w:space="0" w:color="auto"/>
          </w:divBdr>
        </w:div>
        <w:div w:id="1072511759">
          <w:marLeft w:val="0"/>
          <w:marRight w:val="0"/>
          <w:marTop w:val="0"/>
          <w:marBottom w:val="0"/>
          <w:divBdr>
            <w:top w:val="none" w:sz="0" w:space="0" w:color="auto"/>
            <w:left w:val="none" w:sz="0" w:space="0" w:color="auto"/>
            <w:bottom w:val="none" w:sz="0" w:space="0" w:color="auto"/>
            <w:right w:val="none" w:sz="0" w:space="0" w:color="auto"/>
          </w:divBdr>
        </w:div>
        <w:div w:id="1078401798">
          <w:marLeft w:val="0"/>
          <w:marRight w:val="0"/>
          <w:marTop w:val="0"/>
          <w:marBottom w:val="0"/>
          <w:divBdr>
            <w:top w:val="none" w:sz="0" w:space="0" w:color="auto"/>
            <w:left w:val="none" w:sz="0" w:space="0" w:color="auto"/>
            <w:bottom w:val="none" w:sz="0" w:space="0" w:color="auto"/>
            <w:right w:val="none" w:sz="0" w:space="0" w:color="auto"/>
          </w:divBdr>
        </w:div>
        <w:div w:id="1083454375">
          <w:marLeft w:val="0"/>
          <w:marRight w:val="0"/>
          <w:marTop w:val="0"/>
          <w:marBottom w:val="0"/>
          <w:divBdr>
            <w:top w:val="none" w:sz="0" w:space="0" w:color="auto"/>
            <w:left w:val="none" w:sz="0" w:space="0" w:color="auto"/>
            <w:bottom w:val="none" w:sz="0" w:space="0" w:color="auto"/>
            <w:right w:val="none" w:sz="0" w:space="0" w:color="auto"/>
          </w:divBdr>
        </w:div>
        <w:div w:id="1126661839">
          <w:marLeft w:val="0"/>
          <w:marRight w:val="0"/>
          <w:marTop w:val="0"/>
          <w:marBottom w:val="0"/>
          <w:divBdr>
            <w:top w:val="none" w:sz="0" w:space="0" w:color="auto"/>
            <w:left w:val="none" w:sz="0" w:space="0" w:color="auto"/>
            <w:bottom w:val="none" w:sz="0" w:space="0" w:color="auto"/>
            <w:right w:val="none" w:sz="0" w:space="0" w:color="auto"/>
          </w:divBdr>
        </w:div>
        <w:div w:id="1201089104">
          <w:marLeft w:val="0"/>
          <w:marRight w:val="0"/>
          <w:marTop w:val="0"/>
          <w:marBottom w:val="0"/>
          <w:divBdr>
            <w:top w:val="none" w:sz="0" w:space="0" w:color="auto"/>
            <w:left w:val="none" w:sz="0" w:space="0" w:color="auto"/>
            <w:bottom w:val="none" w:sz="0" w:space="0" w:color="auto"/>
            <w:right w:val="none" w:sz="0" w:space="0" w:color="auto"/>
          </w:divBdr>
        </w:div>
        <w:div w:id="1311909730">
          <w:marLeft w:val="0"/>
          <w:marRight w:val="0"/>
          <w:marTop w:val="0"/>
          <w:marBottom w:val="0"/>
          <w:divBdr>
            <w:top w:val="none" w:sz="0" w:space="0" w:color="auto"/>
            <w:left w:val="none" w:sz="0" w:space="0" w:color="auto"/>
            <w:bottom w:val="none" w:sz="0" w:space="0" w:color="auto"/>
            <w:right w:val="none" w:sz="0" w:space="0" w:color="auto"/>
          </w:divBdr>
        </w:div>
        <w:div w:id="1361591756">
          <w:marLeft w:val="0"/>
          <w:marRight w:val="0"/>
          <w:marTop w:val="0"/>
          <w:marBottom w:val="0"/>
          <w:divBdr>
            <w:top w:val="none" w:sz="0" w:space="0" w:color="auto"/>
            <w:left w:val="none" w:sz="0" w:space="0" w:color="auto"/>
            <w:bottom w:val="none" w:sz="0" w:space="0" w:color="auto"/>
            <w:right w:val="none" w:sz="0" w:space="0" w:color="auto"/>
          </w:divBdr>
        </w:div>
        <w:div w:id="1403522623">
          <w:marLeft w:val="0"/>
          <w:marRight w:val="0"/>
          <w:marTop w:val="0"/>
          <w:marBottom w:val="0"/>
          <w:divBdr>
            <w:top w:val="none" w:sz="0" w:space="0" w:color="auto"/>
            <w:left w:val="none" w:sz="0" w:space="0" w:color="auto"/>
            <w:bottom w:val="none" w:sz="0" w:space="0" w:color="auto"/>
            <w:right w:val="none" w:sz="0" w:space="0" w:color="auto"/>
          </w:divBdr>
        </w:div>
        <w:div w:id="1450470656">
          <w:marLeft w:val="0"/>
          <w:marRight w:val="0"/>
          <w:marTop w:val="0"/>
          <w:marBottom w:val="0"/>
          <w:divBdr>
            <w:top w:val="none" w:sz="0" w:space="0" w:color="auto"/>
            <w:left w:val="none" w:sz="0" w:space="0" w:color="auto"/>
            <w:bottom w:val="none" w:sz="0" w:space="0" w:color="auto"/>
            <w:right w:val="none" w:sz="0" w:space="0" w:color="auto"/>
          </w:divBdr>
        </w:div>
        <w:div w:id="1704088196">
          <w:marLeft w:val="0"/>
          <w:marRight w:val="0"/>
          <w:marTop w:val="0"/>
          <w:marBottom w:val="0"/>
          <w:divBdr>
            <w:top w:val="none" w:sz="0" w:space="0" w:color="auto"/>
            <w:left w:val="none" w:sz="0" w:space="0" w:color="auto"/>
            <w:bottom w:val="none" w:sz="0" w:space="0" w:color="auto"/>
            <w:right w:val="none" w:sz="0" w:space="0" w:color="auto"/>
          </w:divBdr>
        </w:div>
        <w:div w:id="1718049993">
          <w:marLeft w:val="0"/>
          <w:marRight w:val="0"/>
          <w:marTop w:val="0"/>
          <w:marBottom w:val="0"/>
          <w:divBdr>
            <w:top w:val="none" w:sz="0" w:space="0" w:color="auto"/>
            <w:left w:val="none" w:sz="0" w:space="0" w:color="auto"/>
            <w:bottom w:val="none" w:sz="0" w:space="0" w:color="auto"/>
            <w:right w:val="none" w:sz="0" w:space="0" w:color="auto"/>
          </w:divBdr>
        </w:div>
        <w:div w:id="1763724274">
          <w:marLeft w:val="0"/>
          <w:marRight w:val="0"/>
          <w:marTop w:val="0"/>
          <w:marBottom w:val="0"/>
          <w:divBdr>
            <w:top w:val="none" w:sz="0" w:space="0" w:color="auto"/>
            <w:left w:val="none" w:sz="0" w:space="0" w:color="auto"/>
            <w:bottom w:val="none" w:sz="0" w:space="0" w:color="auto"/>
            <w:right w:val="none" w:sz="0" w:space="0" w:color="auto"/>
          </w:divBdr>
        </w:div>
        <w:div w:id="1807119103">
          <w:marLeft w:val="0"/>
          <w:marRight w:val="0"/>
          <w:marTop w:val="0"/>
          <w:marBottom w:val="0"/>
          <w:divBdr>
            <w:top w:val="none" w:sz="0" w:space="0" w:color="auto"/>
            <w:left w:val="none" w:sz="0" w:space="0" w:color="auto"/>
            <w:bottom w:val="none" w:sz="0" w:space="0" w:color="auto"/>
            <w:right w:val="none" w:sz="0" w:space="0" w:color="auto"/>
          </w:divBdr>
        </w:div>
        <w:div w:id="1826899061">
          <w:marLeft w:val="0"/>
          <w:marRight w:val="0"/>
          <w:marTop w:val="0"/>
          <w:marBottom w:val="0"/>
          <w:divBdr>
            <w:top w:val="none" w:sz="0" w:space="0" w:color="auto"/>
            <w:left w:val="none" w:sz="0" w:space="0" w:color="auto"/>
            <w:bottom w:val="none" w:sz="0" w:space="0" w:color="auto"/>
            <w:right w:val="none" w:sz="0" w:space="0" w:color="auto"/>
          </w:divBdr>
        </w:div>
        <w:div w:id="2022850562">
          <w:marLeft w:val="0"/>
          <w:marRight w:val="0"/>
          <w:marTop w:val="0"/>
          <w:marBottom w:val="0"/>
          <w:divBdr>
            <w:top w:val="none" w:sz="0" w:space="0" w:color="auto"/>
            <w:left w:val="none" w:sz="0" w:space="0" w:color="auto"/>
            <w:bottom w:val="none" w:sz="0" w:space="0" w:color="auto"/>
            <w:right w:val="none" w:sz="0" w:space="0" w:color="auto"/>
          </w:divBdr>
        </w:div>
        <w:div w:id="2100788496">
          <w:marLeft w:val="0"/>
          <w:marRight w:val="0"/>
          <w:marTop w:val="0"/>
          <w:marBottom w:val="0"/>
          <w:divBdr>
            <w:top w:val="none" w:sz="0" w:space="0" w:color="auto"/>
            <w:left w:val="none" w:sz="0" w:space="0" w:color="auto"/>
            <w:bottom w:val="none" w:sz="0" w:space="0" w:color="auto"/>
            <w:right w:val="none" w:sz="0" w:space="0" w:color="auto"/>
          </w:divBdr>
        </w:div>
      </w:divsChild>
    </w:div>
    <w:div w:id="1452942505">
      <w:bodyDiv w:val="1"/>
      <w:marLeft w:val="0"/>
      <w:marRight w:val="0"/>
      <w:marTop w:val="0"/>
      <w:marBottom w:val="0"/>
      <w:divBdr>
        <w:top w:val="none" w:sz="0" w:space="0" w:color="auto"/>
        <w:left w:val="none" w:sz="0" w:space="0" w:color="auto"/>
        <w:bottom w:val="none" w:sz="0" w:space="0" w:color="auto"/>
        <w:right w:val="none" w:sz="0" w:space="0" w:color="auto"/>
      </w:divBdr>
      <w:divsChild>
        <w:div w:id="747845511">
          <w:marLeft w:val="0"/>
          <w:marRight w:val="0"/>
          <w:marTop w:val="0"/>
          <w:marBottom w:val="0"/>
          <w:divBdr>
            <w:top w:val="none" w:sz="0" w:space="0" w:color="auto"/>
            <w:left w:val="none" w:sz="0" w:space="0" w:color="auto"/>
            <w:bottom w:val="none" w:sz="0" w:space="0" w:color="auto"/>
            <w:right w:val="none" w:sz="0" w:space="0" w:color="auto"/>
          </w:divBdr>
        </w:div>
      </w:divsChild>
    </w:div>
    <w:div w:id="1455052017">
      <w:bodyDiv w:val="1"/>
      <w:marLeft w:val="0"/>
      <w:marRight w:val="0"/>
      <w:marTop w:val="0"/>
      <w:marBottom w:val="0"/>
      <w:divBdr>
        <w:top w:val="none" w:sz="0" w:space="0" w:color="auto"/>
        <w:left w:val="none" w:sz="0" w:space="0" w:color="auto"/>
        <w:bottom w:val="none" w:sz="0" w:space="0" w:color="auto"/>
        <w:right w:val="none" w:sz="0" w:space="0" w:color="auto"/>
      </w:divBdr>
    </w:div>
    <w:div w:id="1458794583">
      <w:bodyDiv w:val="1"/>
      <w:marLeft w:val="0"/>
      <w:marRight w:val="0"/>
      <w:marTop w:val="0"/>
      <w:marBottom w:val="0"/>
      <w:divBdr>
        <w:top w:val="none" w:sz="0" w:space="0" w:color="auto"/>
        <w:left w:val="none" w:sz="0" w:space="0" w:color="auto"/>
        <w:bottom w:val="none" w:sz="0" w:space="0" w:color="auto"/>
        <w:right w:val="none" w:sz="0" w:space="0" w:color="auto"/>
      </w:divBdr>
      <w:divsChild>
        <w:div w:id="1537740229">
          <w:marLeft w:val="0"/>
          <w:marRight w:val="0"/>
          <w:marTop w:val="0"/>
          <w:marBottom w:val="0"/>
          <w:divBdr>
            <w:top w:val="none" w:sz="0" w:space="0" w:color="auto"/>
            <w:left w:val="none" w:sz="0" w:space="0" w:color="auto"/>
            <w:bottom w:val="none" w:sz="0" w:space="0" w:color="auto"/>
            <w:right w:val="none" w:sz="0" w:space="0" w:color="auto"/>
          </w:divBdr>
        </w:div>
      </w:divsChild>
    </w:div>
    <w:div w:id="1463037396">
      <w:bodyDiv w:val="1"/>
      <w:marLeft w:val="0"/>
      <w:marRight w:val="0"/>
      <w:marTop w:val="0"/>
      <w:marBottom w:val="0"/>
      <w:divBdr>
        <w:top w:val="none" w:sz="0" w:space="0" w:color="auto"/>
        <w:left w:val="none" w:sz="0" w:space="0" w:color="auto"/>
        <w:bottom w:val="none" w:sz="0" w:space="0" w:color="auto"/>
        <w:right w:val="none" w:sz="0" w:space="0" w:color="auto"/>
      </w:divBdr>
      <w:divsChild>
        <w:div w:id="290209764">
          <w:marLeft w:val="720"/>
          <w:marRight w:val="0"/>
          <w:marTop w:val="0"/>
          <w:marBottom w:val="0"/>
          <w:divBdr>
            <w:top w:val="none" w:sz="0" w:space="0" w:color="auto"/>
            <w:left w:val="none" w:sz="0" w:space="0" w:color="auto"/>
            <w:bottom w:val="none" w:sz="0" w:space="0" w:color="auto"/>
            <w:right w:val="none" w:sz="0" w:space="0" w:color="auto"/>
          </w:divBdr>
        </w:div>
        <w:div w:id="530536852">
          <w:marLeft w:val="720"/>
          <w:marRight w:val="0"/>
          <w:marTop w:val="0"/>
          <w:marBottom w:val="0"/>
          <w:divBdr>
            <w:top w:val="none" w:sz="0" w:space="0" w:color="auto"/>
            <w:left w:val="none" w:sz="0" w:space="0" w:color="auto"/>
            <w:bottom w:val="none" w:sz="0" w:space="0" w:color="auto"/>
            <w:right w:val="none" w:sz="0" w:space="0" w:color="auto"/>
          </w:divBdr>
        </w:div>
        <w:div w:id="1391222100">
          <w:marLeft w:val="720"/>
          <w:marRight w:val="0"/>
          <w:marTop w:val="0"/>
          <w:marBottom w:val="0"/>
          <w:divBdr>
            <w:top w:val="none" w:sz="0" w:space="0" w:color="auto"/>
            <w:left w:val="none" w:sz="0" w:space="0" w:color="auto"/>
            <w:bottom w:val="none" w:sz="0" w:space="0" w:color="auto"/>
            <w:right w:val="none" w:sz="0" w:space="0" w:color="auto"/>
          </w:divBdr>
        </w:div>
        <w:div w:id="1797143278">
          <w:marLeft w:val="720"/>
          <w:marRight w:val="0"/>
          <w:marTop w:val="0"/>
          <w:marBottom w:val="0"/>
          <w:divBdr>
            <w:top w:val="none" w:sz="0" w:space="0" w:color="auto"/>
            <w:left w:val="none" w:sz="0" w:space="0" w:color="auto"/>
            <w:bottom w:val="none" w:sz="0" w:space="0" w:color="auto"/>
            <w:right w:val="none" w:sz="0" w:space="0" w:color="auto"/>
          </w:divBdr>
        </w:div>
        <w:div w:id="2102724147">
          <w:marLeft w:val="720"/>
          <w:marRight w:val="0"/>
          <w:marTop w:val="0"/>
          <w:marBottom w:val="0"/>
          <w:divBdr>
            <w:top w:val="none" w:sz="0" w:space="0" w:color="auto"/>
            <w:left w:val="none" w:sz="0" w:space="0" w:color="auto"/>
            <w:bottom w:val="none" w:sz="0" w:space="0" w:color="auto"/>
            <w:right w:val="none" w:sz="0" w:space="0" w:color="auto"/>
          </w:divBdr>
        </w:div>
      </w:divsChild>
    </w:div>
    <w:div w:id="1463765145">
      <w:bodyDiv w:val="1"/>
      <w:marLeft w:val="0"/>
      <w:marRight w:val="0"/>
      <w:marTop w:val="0"/>
      <w:marBottom w:val="0"/>
      <w:divBdr>
        <w:top w:val="none" w:sz="0" w:space="0" w:color="auto"/>
        <w:left w:val="none" w:sz="0" w:space="0" w:color="auto"/>
        <w:bottom w:val="none" w:sz="0" w:space="0" w:color="auto"/>
        <w:right w:val="none" w:sz="0" w:space="0" w:color="auto"/>
      </w:divBdr>
    </w:div>
    <w:div w:id="1473521688">
      <w:bodyDiv w:val="1"/>
      <w:marLeft w:val="0"/>
      <w:marRight w:val="0"/>
      <w:marTop w:val="0"/>
      <w:marBottom w:val="0"/>
      <w:divBdr>
        <w:top w:val="none" w:sz="0" w:space="0" w:color="auto"/>
        <w:left w:val="none" w:sz="0" w:space="0" w:color="auto"/>
        <w:bottom w:val="none" w:sz="0" w:space="0" w:color="auto"/>
        <w:right w:val="none" w:sz="0" w:space="0" w:color="auto"/>
      </w:divBdr>
    </w:div>
    <w:div w:id="1477985913">
      <w:bodyDiv w:val="1"/>
      <w:marLeft w:val="0"/>
      <w:marRight w:val="0"/>
      <w:marTop w:val="0"/>
      <w:marBottom w:val="0"/>
      <w:divBdr>
        <w:top w:val="none" w:sz="0" w:space="0" w:color="auto"/>
        <w:left w:val="none" w:sz="0" w:space="0" w:color="auto"/>
        <w:bottom w:val="none" w:sz="0" w:space="0" w:color="auto"/>
        <w:right w:val="none" w:sz="0" w:space="0" w:color="auto"/>
      </w:divBdr>
      <w:divsChild>
        <w:div w:id="1823236352">
          <w:marLeft w:val="0"/>
          <w:marRight w:val="0"/>
          <w:marTop w:val="0"/>
          <w:marBottom w:val="0"/>
          <w:divBdr>
            <w:top w:val="none" w:sz="0" w:space="0" w:color="auto"/>
            <w:left w:val="none" w:sz="0" w:space="0" w:color="auto"/>
            <w:bottom w:val="none" w:sz="0" w:space="0" w:color="auto"/>
            <w:right w:val="none" w:sz="0" w:space="0" w:color="auto"/>
          </w:divBdr>
        </w:div>
      </w:divsChild>
    </w:div>
    <w:div w:id="1478187110">
      <w:bodyDiv w:val="1"/>
      <w:marLeft w:val="0"/>
      <w:marRight w:val="0"/>
      <w:marTop w:val="0"/>
      <w:marBottom w:val="0"/>
      <w:divBdr>
        <w:top w:val="none" w:sz="0" w:space="0" w:color="auto"/>
        <w:left w:val="none" w:sz="0" w:space="0" w:color="auto"/>
        <w:bottom w:val="none" w:sz="0" w:space="0" w:color="auto"/>
        <w:right w:val="none" w:sz="0" w:space="0" w:color="auto"/>
      </w:divBdr>
      <w:divsChild>
        <w:div w:id="1228035524">
          <w:marLeft w:val="0"/>
          <w:marRight w:val="0"/>
          <w:marTop w:val="0"/>
          <w:marBottom w:val="0"/>
          <w:divBdr>
            <w:top w:val="none" w:sz="0" w:space="0" w:color="auto"/>
            <w:left w:val="none" w:sz="0" w:space="0" w:color="auto"/>
            <w:bottom w:val="none" w:sz="0" w:space="0" w:color="auto"/>
            <w:right w:val="none" w:sz="0" w:space="0" w:color="auto"/>
          </w:divBdr>
        </w:div>
      </w:divsChild>
    </w:div>
    <w:div w:id="1478720147">
      <w:bodyDiv w:val="1"/>
      <w:marLeft w:val="0"/>
      <w:marRight w:val="0"/>
      <w:marTop w:val="0"/>
      <w:marBottom w:val="0"/>
      <w:divBdr>
        <w:top w:val="none" w:sz="0" w:space="0" w:color="auto"/>
        <w:left w:val="none" w:sz="0" w:space="0" w:color="auto"/>
        <w:bottom w:val="none" w:sz="0" w:space="0" w:color="auto"/>
        <w:right w:val="none" w:sz="0" w:space="0" w:color="auto"/>
      </w:divBdr>
      <w:divsChild>
        <w:div w:id="188879506">
          <w:marLeft w:val="0"/>
          <w:marRight w:val="0"/>
          <w:marTop w:val="0"/>
          <w:marBottom w:val="0"/>
          <w:divBdr>
            <w:top w:val="none" w:sz="0" w:space="0" w:color="auto"/>
            <w:left w:val="none" w:sz="0" w:space="0" w:color="auto"/>
            <w:bottom w:val="none" w:sz="0" w:space="0" w:color="auto"/>
            <w:right w:val="none" w:sz="0" w:space="0" w:color="auto"/>
          </w:divBdr>
        </w:div>
        <w:div w:id="239678086">
          <w:marLeft w:val="0"/>
          <w:marRight w:val="0"/>
          <w:marTop w:val="0"/>
          <w:marBottom w:val="0"/>
          <w:divBdr>
            <w:top w:val="none" w:sz="0" w:space="0" w:color="auto"/>
            <w:left w:val="none" w:sz="0" w:space="0" w:color="auto"/>
            <w:bottom w:val="none" w:sz="0" w:space="0" w:color="auto"/>
            <w:right w:val="none" w:sz="0" w:space="0" w:color="auto"/>
          </w:divBdr>
        </w:div>
        <w:div w:id="267932752">
          <w:marLeft w:val="0"/>
          <w:marRight w:val="0"/>
          <w:marTop w:val="0"/>
          <w:marBottom w:val="0"/>
          <w:divBdr>
            <w:top w:val="none" w:sz="0" w:space="0" w:color="auto"/>
            <w:left w:val="none" w:sz="0" w:space="0" w:color="auto"/>
            <w:bottom w:val="none" w:sz="0" w:space="0" w:color="auto"/>
            <w:right w:val="none" w:sz="0" w:space="0" w:color="auto"/>
          </w:divBdr>
        </w:div>
        <w:div w:id="294024913">
          <w:marLeft w:val="0"/>
          <w:marRight w:val="0"/>
          <w:marTop w:val="0"/>
          <w:marBottom w:val="0"/>
          <w:divBdr>
            <w:top w:val="none" w:sz="0" w:space="0" w:color="auto"/>
            <w:left w:val="none" w:sz="0" w:space="0" w:color="auto"/>
            <w:bottom w:val="none" w:sz="0" w:space="0" w:color="auto"/>
            <w:right w:val="none" w:sz="0" w:space="0" w:color="auto"/>
          </w:divBdr>
        </w:div>
        <w:div w:id="489685608">
          <w:marLeft w:val="0"/>
          <w:marRight w:val="0"/>
          <w:marTop w:val="0"/>
          <w:marBottom w:val="0"/>
          <w:divBdr>
            <w:top w:val="none" w:sz="0" w:space="0" w:color="auto"/>
            <w:left w:val="none" w:sz="0" w:space="0" w:color="auto"/>
            <w:bottom w:val="none" w:sz="0" w:space="0" w:color="auto"/>
            <w:right w:val="none" w:sz="0" w:space="0" w:color="auto"/>
          </w:divBdr>
        </w:div>
        <w:div w:id="493643855">
          <w:marLeft w:val="0"/>
          <w:marRight w:val="0"/>
          <w:marTop w:val="0"/>
          <w:marBottom w:val="0"/>
          <w:divBdr>
            <w:top w:val="none" w:sz="0" w:space="0" w:color="auto"/>
            <w:left w:val="none" w:sz="0" w:space="0" w:color="auto"/>
            <w:bottom w:val="none" w:sz="0" w:space="0" w:color="auto"/>
            <w:right w:val="none" w:sz="0" w:space="0" w:color="auto"/>
          </w:divBdr>
        </w:div>
        <w:div w:id="537281568">
          <w:marLeft w:val="0"/>
          <w:marRight w:val="0"/>
          <w:marTop w:val="0"/>
          <w:marBottom w:val="0"/>
          <w:divBdr>
            <w:top w:val="none" w:sz="0" w:space="0" w:color="auto"/>
            <w:left w:val="none" w:sz="0" w:space="0" w:color="auto"/>
            <w:bottom w:val="none" w:sz="0" w:space="0" w:color="auto"/>
            <w:right w:val="none" w:sz="0" w:space="0" w:color="auto"/>
          </w:divBdr>
        </w:div>
        <w:div w:id="1110130567">
          <w:marLeft w:val="0"/>
          <w:marRight w:val="0"/>
          <w:marTop w:val="0"/>
          <w:marBottom w:val="0"/>
          <w:divBdr>
            <w:top w:val="none" w:sz="0" w:space="0" w:color="auto"/>
            <w:left w:val="none" w:sz="0" w:space="0" w:color="auto"/>
            <w:bottom w:val="none" w:sz="0" w:space="0" w:color="auto"/>
            <w:right w:val="none" w:sz="0" w:space="0" w:color="auto"/>
          </w:divBdr>
        </w:div>
        <w:div w:id="1138914456">
          <w:marLeft w:val="0"/>
          <w:marRight w:val="0"/>
          <w:marTop w:val="0"/>
          <w:marBottom w:val="0"/>
          <w:divBdr>
            <w:top w:val="none" w:sz="0" w:space="0" w:color="auto"/>
            <w:left w:val="none" w:sz="0" w:space="0" w:color="auto"/>
            <w:bottom w:val="none" w:sz="0" w:space="0" w:color="auto"/>
            <w:right w:val="none" w:sz="0" w:space="0" w:color="auto"/>
          </w:divBdr>
        </w:div>
        <w:div w:id="1169901406">
          <w:marLeft w:val="0"/>
          <w:marRight w:val="0"/>
          <w:marTop w:val="0"/>
          <w:marBottom w:val="0"/>
          <w:divBdr>
            <w:top w:val="none" w:sz="0" w:space="0" w:color="auto"/>
            <w:left w:val="none" w:sz="0" w:space="0" w:color="auto"/>
            <w:bottom w:val="none" w:sz="0" w:space="0" w:color="auto"/>
            <w:right w:val="none" w:sz="0" w:space="0" w:color="auto"/>
          </w:divBdr>
        </w:div>
        <w:div w:id="1247688836">
          <w:marLeft w:val="0"/>
          <w:marRight w:val="0"/>
          <w:marTop w:val="0"/>
          <w:marBottom w:val="0"/>
          <w:divBdr>
            <w:top w:val="none" w:sz="0" w:space="0" w:color="auto"/>
            <w:left w:val="none" w:sz="0" w:space="0" w:color="auto"/>
            <w:bottom w:val="none" w:sz="0" w:space="0" w:color="auto"/>
            <w:right w:val="none" w:sz="0" w:space="0" w:color="auto"/>
          </w:divBdr>
        </w:div>
        <w:div w:id="1333795188">
          <w:marLeft w:val="0"/>
          <w:marRight w:val="0"/>
          <w:marTop w:val="0"/>
          <w:marBottom w:val="0"/>
          <w:divBdr>
            <w:top w:val="none" w:sz="0" w:space="0" w:color="auto"/>
            <w:left w:val="none" w:sz="0" w:space="0" w:color="auto"/>
            <w:bottom w:val="none" w:sz="0" w:space="0" w:color="auto"/>
            <w:right w:val="none" w:sz="0" w:space="0" w:color="auto"/>
          </w:divBdr>
        </w:div>
        <w:div w:id="1509176953">
          <w:marLeft w:val="0"/>
          <w:marRight w:val="0"/>
          <w:marTop w:val="0"/>
          <w:marBottom w:val="0"/>
          <w:divBdr>
            <w:top w:val="none" w:sz="0" w:space="0" w:color="auto"/>
            <w:left w:val="none" w:sz="0" w:space="0" w:color="auto"/>
            <w:bottom w:val="none" w:sz="0" w:space="0" w:color="auto"/>
            <w:right w:val="none" w:sz="0" w:space="0" w:color="auto"/>
          </w:divBdr>
        </w:div>
        <w:div w:id="1567260319">
          <w:marLeft w:val="0"/>
          <w:marRight w:val="0"/>
          <w:marTop w:val="0"/>
          <w:marBottom w:val="0"/>
          <w:divBdr>
            <w:top w:val="none" w:sz="0" w:space="0" w:color="auto"/>
            <w:left w:val="none" w:sz="0" w:space="0" w:color="auto"/>
            <w:bottom w:val="none" w:sz="0" w:space="0" w:color="auto"/>
            <w:right w:val="none" w:sz="0" w:space="0" w:color="auto"/>
          </w:divBdr>
        </w:div>
        <w:div w:id="1587300738">
          <w:marLeft w:val="0"/>
          <w:marRight w:val="0"/>
          <w:marTop w:val="0"/>
          <w:marBottom w:val="0"/>
          <w:divBdr>
            <w:top w:val="none" w:sz="0" w:space="0" w:color="auto"/>
            <w:left w:val="none" w:sz="0" w:space="0" w:color="auto"/>
            <w:bottom w:val="none" w:sz="0" w:space="0" w:color="auto"/>
            <w:right w:val="none" w:sz="0" w:space="0" w:color="auto"/>
          </w:divBdr>
        </w:div>
        <w:div w:id="1729184787">
          <w:marLeft w:val="0"/>
          <w:marRight w:val="0"/>
          <w:marTop w:val="0"/>
          <w:marBottom w:val="0"/>
          <w:divBdr>
            <w:top w:val="none" w:sz="0" w:space="0" w:color="auto"/>
            <w:left w:val="none" w:sz="0" w:space="0" w:color="auto"/>
            <w:bottom w:val="none" w:sz="0" w:space="0" w:color="auto"/>
            <w:right w:val="none" w:sz="0" w:space="0" w:color="auto"/>
          </w:divBdr>
        </w:div>
        <w:div w:id="1738237378">
          <w:marLeft w:val="0"/>
          <w:marRight w:val="0"/>
          <w:marTop w:val="0"/>
          <w:marBottom w:val="0"/>
          <w:divBdr>
            <w:top w:val="none" w:sz="0" w:space="0" w:color="auto"/>
            <w:left w:val="none" w:sz="0" w:space="0" w:color="auto"/>
            <w:bottom w:val="none" w:sz="0" w:space="0" w:color="auto"/>
            <w:right w:val="none" w:sz="0" w:space="0" w:color="auto"/>
          </w:divBdr>
        </w:div>
      </w:divsChild>
    </w:div>
    <w:div w:id="1485317699">
      <w:bodyDiv w:val="1"/>
      <w:marLeft w:val="0"/>
      <w:marRight w:val="0"/>
      <w:marTop w:val="0"/>
      <w:marBottom w:val="0"/>
      <w:divBdr>
        <w:top w:val="none" w:sz="0" w:space="0" w:color="auto"/>
        <w:left w:val="none" w:sz="0" w:space="0" w:color="auto"/>
        <w:bottom w:val="none" w:sz="0" w:space="0" w:color="auto"/>
        <w:right w:val="none" w:sz="0" w:space="0" w:color="auto"/>
      </w:divBdr>
    </w:div>
    <w:div w:id="1489437480">
      <w:bodyDiv w:val="1"/>
      <w:marLeft w:val="0"/>
      <w:marRight w:val="0"/>
      <w:marTop w:val="0"/>
      <w:marBottom w:val="0"/>
      <w:divBdr>
        <w:top w:val="none" w:sz="0" w:space="0" w:color="auto"/>
        <w:left w:val="none" w:sz="0" w:space="0" w:color="auto"/>
        <w:bottom w:val="none" w:sz="0" w:space="0" w:color="auto"/>
        <w:right w:val="none" w:sz="0" w:space="0" w:color="auto"/>
      </w:divBdr>
      <w:divsChild>
        <w:div w:id="8341127">
          <w:marLeft w:val="0"/>
          <w:marRight w:val="0"/>
          <w:marTop w:val="0"/>
          <w:marBottom w:val="0"/>
          <w:divBdr>
            <w:top w:val="none" w:sz="0" w:space="0" w:color="auto"/>
            <w:left w:val="none" w:sz="0" w:space="0" w:color="auto"/>
            <w:bottom w:val="none" w:sz="0" w:space="0" w:color="auto"/>
            <w:right w:val="none" w:sz="0" w:space="0" w:color="auto"/>
          </w:divBdr>
        </w:div>
        <w:div w:id="28266442">
          <w:marLeft w:val="0"/>
          <w:marRight w:val="0"/>
          <w:marTop w:val="0"/>
          <w:marBottom w:val="0"/>
          <w:divBdr>
            <w:top w:val="none" w:sz="0" w:space="0" w:color="auto"/>
            <w:left w:val="none" w:sz="0" w:space="0" w:color="auto"/>
            <w:bottom w:val="none" w:sz="0" w:space="0" w:color="auto"/>
            <w:right w:val="none" w:sz="0" w:space="0" w:color="auto"/>
          </w:divBdr>
        </w:div>
        <w:div w:id="46339995">
          <w:marLeft w:val="0"/>
          <w:marRight w:val="0"/>
          <w:marTop w:val="0"/>
          <w:marBottom w:val="0"/>
          <w:divBdr>
            <w:top w:val="none" w:sz="0" w:space="0" w:color="auto"/>
            <w:left w:val="none" w:sz="0" w:space="0" w:color="auto"/>
            <w:bottom w:val="none" w:sz="0" w:space="0" w:color="auto"/>
            <w:right w:val="none" w:sz="0" w:space="0" w:color="auto"/>
          </w:divBdr>
        </w:div>
        <w:div w:id="108472123">
          <w:marLeft w:val="0"/>
          <w:marRight w:val="0"/>
          <w:marTop w:val="0"/>
          <w:marBottom w:val="0"/>
          <w:divBdr>
            <w:top w:val="none" w:sz="0" w:space="0" w:color="auto"/>
            <w:left w:val="none" w:sz="0" w:space="0" w:color="auto"/>
            <w:bottom w:val="none" w:sz="0" w:space="0" w:color="auto"/>
            <w:right w:val="none" w:sz="0" w:space="0" w:color="auto"/>
          </w:divBdr>
        </w:div>
        <w:div w:id="165826272">
          <w:marLeft w:val="0"/>
          <w:marRight w:val="0"/>
          <w:marTop w:val="0"/>
          <w:marBottom w:val="0"/>
          <w:divBdr>
            <w:top w:val="none" w:sz="0" w:space="0" w:color="auto"/>
            <w:left w:val="none" w:sz="0" w:space="0" w:color="auto"/>
            <w:bottom w:val="none" w:sz="0" w:space="0" w:color="auto"/>
            <w:right w:val="none" w:sz="0" w:space="0" w:color="auto"/>
          </w:divBdr>
        </w:div>
        <w:div w:id="171457538">
          <w:marLeft w:val="0"/>
          <w:marRight w:val="0"/>
          <w:marTop w:val="0"/>
          <w:marBottom w:val="0"/>
          <w:divBdr>
            <w:top w:val="none" w:sz="0" w:space="0" w:color="auto"/>
            <w:left w:val="none" w:sz="0" w:space="0" w:color="auto"/>
            <w:bottom w:val="none" w:sz="0" w:space="0" w:color="auto"/>
            <w:right w:val="none" w:sz="0" w:space="0" w:color="auto"/>
          </w:divBdr>
        </w:div>
        <w:div w:id="241108454">
          <w:marLeft w:val="0"/>
          <w:marRight w:val="0"/>
          <w:marTop w:val="0"/>
          <w:marBottom w:val="0"/>
          <w:divBdr>
            <w:top w:val="none" w:sz="0" w:space="0" w:color="auto"/>
            <w:left w:val="none" w:sz="0" w:space="0" w:color="auto"/>
            <w:bottom w:val="none" w:sz="0" w:space="0" w:color="auto"/>
            <w:right w:val="none" w:sz="0" w:space="0" w:color="auto"/>
          </w:divBdr>
        </w:div>
        <w:div w:id="258953875">
          <w:marLeft w:val="0"/>
          <w:marRight w:val="0"/>
          <w:marTop w:val="0"/>
          <w:marBottom w:val="0"/>
          <w:divBdr>
            <w:top w:val="none" w:sz="0" w:space="0" w:color="auto"/>
            <w:left w:val="none" w:sz="0" w:space="0" w:color="auto"/>
            <w:bottom w:val="none" w:sz="0" w:space="0" w:color="auto"/>
            <w:right w:val="none" w:sz="0" w:space="0" w:color="auto"/>
          </w:divBdr>
        </w:div>
        <w:div w:id="354380360">
          <w:marLeft w:val="0"/>
          <w:marRight w:val="0"/>
          <w:marTop w:val="0"/>
          <w:marBottom w:val="0"/>
          <w:divBdr>
            <w:top w:val="none" w:sz="0" w:space="0" w:color="auto"/>
            <w:left w:val="none" w:sz="0" w:space="0" w:color="auto"/>
            <w:bottom w:val="none" w:sz="0" w:space="0" w:color="auto"/>
            <w:right w:val="none" w:sz="0" w:space="0" w:color="auto"/>
          </w:divBdr>
        </w:div>
        <w:div w:id="364258695">
          <w:marLeft w:val="0"/>
          <w:marRight w:val="0"/>
          <w:marTop w:val="0"/>
          <w:marBottom w:val="0"/>
          <w:divBdr>
            <w:top w:val="none" w:sz="0" w:space="0" w:color="auto"/>
            <w:left w:val="none" w:sz="0" w:space="0" w:color="auto"/>
            <w:bottom w:val="none" w:sz="0" w:space="0" w:color="auto"/>
            <w:right w:val="none" w:sz="0" w:space="0" w:color="auto"/>
          </w:divBdr>
        </w:div>
        <w:div w:id="371882290">
          <w:marLeft w:val="0"/>
          <w:marRight w:val="0"/>
          <w:marTop w:val="0"/>
          <w:marBottom w:val="0"/>
          <w:divBdr>
            <w:top w:val="none" w:sz="0" w:space="0" w:color="auto"/>
            <w:left w:val="none" w:sz="0" w:space="0" w:color="auto"/>
            <w:bottom w:val="none" w:sz="0" w:space="0" w:color="auto"/>
            <w:right w:val="none" w:sz="0" w:space="0" w:color="auto"/>
          </w:divBdr>
        </w:div>
        <w:div w:id="408310702">
          <w:marLeft w:val="0"/>
          <w:marRight w:val="0"/>
          <w:marTop w:val="0"/>
          <w:marBottom w:val="0"/>
          <w:divBdr>
            <w:top w:val="none" w:sz="0" w:space="0" w:color="auto"/>
            <w:left w:val="none" w:sz="0" w:space="0" w:color="auto"/>
            <w:bottom w:val="none" w:sz="0" w:space="0" w:color="auto"/>
            <w:right w:val="none" w:sz="0" w:space="0" w:color="auto"/>
          </w:divBdr>
        </w:div>
        <w:div w:id="471218174">
          <w:marLeft w:val="0"/>
          <w:marRight w:val="0"/>
          <w:marTop w:val="0"/>
          <w:marBottom w:val="0"/>
          <w:divBdr>
            <w:top w:val="none" w:sz="0" w:space="0" w:color="auto"/>
            <w:left w:val="none" w:sz="0" w:space="0" w:color="auto"/>
            <w:bottom w:val="none" w:sz="0" w:space="0" w:color="auto"/>
            <w:right w:val="none" w:sz="0" w:space="0" w:color="auto"/>
          </w:divBdr>
        </w:div>
        <w:div w:id="523132755">
          <w:marLeft w:val="0"/>
          <w:marRight w:val="0"/>
          <w:marTop w:val="0"/>
          <w:marBottom w:val="0"/>
          <w:divBdr>
            <w:top w:val="none" w:sz="0" w:space="0" w:color="auto"/>
            <w:left w:val="none" w:sz="0" w:space="0" w:color="auto"/>
            <w:bottom w:val="none" w:sz="0" w:space="0" w:color="auto"/>
            <w:right w:val="none" w:sz="0" w:space="0" w:color="auto"/>
          </w:divBdr>
        </w:div>
        <w:div w:id="530611428">
          <w:marLeft w:val="0"/>
          <w:marRight w:val="0"/>
          <w:marTop w:val="0"/>
          <w:marBottom w:val="0"/>
          <w:divBdr>
            <w:top w:val="none" w:sz="0" w:space="0" w:color="auto"/>
            <w:left w:val="none" w:sz="0" w:space="0" w:color="auto"/>
            <w:bottom w:val="none" w:sz="0" w:space="0" w:color="auto"/>
            <w:right w:val="none" w:sz="0" w:space="0" w:color="auto"/>
          </w:divBdr>
        </w:div>
        <w:div w:id="541288424">
          <w:marLeft w:val="0"/>
          <w:marRight w:val="0"/>
          <w:marTop w:val="0"/>
          <w:marBottom w:val="0"/>
          <w:divBdr>
            <w:top w:val="none" w:sz="0" w:space="0" w:color="auto"/>
            <w:left w:val="none" w:sz="0" w:space="0" w:color="auto"/>
            <w:bottom w:val="none" w:sz="0" w:space="0" w:color="auto"/>
            <w:right w:val="none" w:sz="0" w:space="0" w:color="auto"/>
          </w:divBdr>
        </w:div>
        <w:div w:id="551813567">
          <w:marLeft w:val="0"/>
          <w:marRight w:val="0"/>
          <w:marTop w:val="0"/>
          <w:marBottom w:val="0"/>
          <w:divBdr>
            <w:top w:val="none" w:sz="0" w:space="0" w:color="auto"/>
            <w:left w:val="none" w:sz="0" w:space="0" w:color="auto"/>
            <w:bottom w:val="none" w:sz="0" w:space="0" w:color="auto"/>
            <w:right w:val="none" w:sz="0" w:space="0" w:color="auto"/>
          </w:divBdr>
        </w:div>
        <w:div w:id="610358586">
          <w:marLeft w:val="0"/>
          <w:marRight w:val="0"/>
          <w:marTop w:val="0"/>
          <w:marBottom w:val="0"/>
          <w:divBdr>
            <w:top w:val="none" w:sz="0" w:space="0" w:color="auto"/>
            <w:left w:val="none" w:sz="0" w:space="0" w:color="auto"/>
            <w:bottom w:val="none" w:sz="0" w:space="0" w:color="auto"/>
            <w:right w:val="none" w:sz="0" w:space="0" w:color="auto"/>
          </w:divBdr>
        </w:div>
        <w:div w:id="623076270">
          <w:marLeft w:val="0"/>
          <w:marRight w:val="0"/>
          <w:marTop w:val="0"/>
          <w:marBottom w:val="0"/>
          <w:divBdr>
            <w:top w:val="none" w:sz="0" w:space="0" w:color="auto"/>
            <w:left w:val="none" w:sz="0" w:space="0" w:color="auto"/>
            <w:bottom w:val="none" w:sz="0" w:space="0" w:color="auto"/>
            <w:right w:val="none" w:sz="0" w:space="0" w:color="auto"/>
          </w:divBdr>
        </w:div>
        <w:div w:id="635453517">
          <w:marLeft w:val="0"/>
          <w:marRight w:val="0"/>
          <w:marTop w:val="0"/>
          <w:marBottom w:val="0"/>
          <w:divBdr>
            <w:top w:val="none" w:sz="0" w:space="0" w:color="auto"/>
            <w:left w:val="none" w:sz="0" w:space="0" w:color="auto"/>
            <w:bottom w:val="none" w:sz="0" w:space="0" w:color="auto"/>
            <w:right w:val="none" w:sz="0" w:space="0" w:color="auto"/>
          </w:divBdr>
        </w:div>
        <w:div w:id="816413850">
          <w:marLeft w:val="0"/>
          <w:marRight w:val="0"/>
          <w:marTop w:val="0"/>
          <w:marBottom w:val="0"/>
          <w:divBdr>
            <w:top w:val="none" w:sz="0" w:space="0" w:color="auto"/>
            <w:left w:val="none" w:sz="0" w:space="0" w:color="auto"/>
            <w:bottom w:val="none" w:sz="0" w:space="0" w:color="auto"/>
            <w:right w:val="none" w:sz="0" w:space="0" w:color="auto"/>
          </w:divBdr>
        </w:div>
        <w:div w:id="827785617">
          <w:marLeft w:val="0"/>
          <w:marRight w:val="0"/>
          <w:marTop w:val="0"/>
          <w:marBottom w:val="0"/>
          <w:divBdr>
            <w:top w:val="none" w:sz="0" w:space="0" w:color="auto"/>
            <w:left w:val="none" w:sz="0" w:space="0" w:color="auto"/>
            <w:bottom w:val="none" w:sz="0" w:space="0" w:color="auto"/>
            <w:right w:val="none" w:sz="0" w:space="0" w:color="auto"/>
          </w:divBdr>
        </w:div>
        <w:div w:id="829442888">
          <w:marLeft w:val="0"/>
          <w:marRight w:val="0"/>
          <w:marTop w:val="0"/>
          <w:marBottom w:val="0"/>
          <w:divBdr>
            <w:top w:val="none" w:sz="0" w:space="0" w:color="auto"/>
            <w:left w:val="none" w:sz="0" w:space="0" w:color="auto"/>
            <w:bottom w:val="none" w:sz="0" w:space="0" w:color="auto"/>
            <w:right w:val="none" w:sz="0" w:space="0" w:color="auto"/>
          </w:divBdr>
        </w:div>
        <w:div w:id="855340742">
          <w:marLeft w:val="0"/>
          <w:marRight w:val="0"/>
          <w:marTop w:val="0"/>
          <w:marBottom w:val="0"/>
          <w:divBdr>
            <w:top w:val="none" w:sz="0" w:space="0" w:color="auto"/>
            <w:left w:val="none" w:sz="0" w:space="0" w:color="auto"/>
            <w:bottom w:val="none" w:sz="0" w:space="0" w:color="auto"/>
            <w:right w:val="none" w:sz="0" w:space="0" w:color="auto"/>
          </w:divBdr>
        </w:div>
        <w:div w:id="894238901">
          <w:marLeft w:val="0"/>
          <w:marRight w:val="0"/>
          <w:marTop w:val="0"/>
          <w:marBottom w:val="0"/>
          <w:divBdr>
            <w:top w:val="none" w:sz="0" w:space="0" w:color="auto"/>
            <w:left w:val="none" w:sz="0" w:space="0" w:color="auto"/>
            <w:bottom w:val="none" w:sz="0" w:space="0" w:color="auto"/>
            <w:right w:val="none" w:sz="0" w:space="0" w:color="auto"/>
          </w:divBdr>
        </w:div>
        <w:div w:id="933244676">
          <w:marLeft w:val="0"/>
          <w:marRight w:val="0"/>
          <w:marTop w:val="0"/>
          <w:marBottom w:val="0"/>
          <w:divBdr>
            <w:top w:val="none" w:sz="0" w:space="0" w:color="auto"/>
            <w:left w:val="none" w:sz="0" w:space="0" w:color="auto"/>
            <w:bottom w:val="none" w:sz="0" w:space="0" w:color="auto"/>
            <w:right w:val="none" w:sz="0" w:space="0" w:color="auto"/>
          </w:divBdr>
        </w:div>
        <w:div w:id="938414727">
          <w:marLeft w:val="0"/>
          <w:marRight w:val="0"/>
          <w:marTop w:val="0"/>
          <w:marBottom w:val="0"/>
          <w:divBdr>
            <w:top w:val="none" w:sz="0" w:space="0" w:color="auto"/>
            <w:left w:val="none" w:sz="0" w:space="0" w:color="auto"/>
            <w:bottom w:val="none" w:sz="0" w:space="0" w:color="auto"/>
            <w:right w:val="none" w:sz="0" w:space="0" w:color="auto"/>
          </w:divBdr>
        </w:div>
        <w:div w:id="985738620">
          <w:marLeft w:val="0"/>
          <w:marRight w:val="0"/>
          <w:marTop w:val="0"/>
          <w:marBottom w:val="0"/>
          <w:divBdr>
            <w:top w:val="none" w:sz="0" w:space="0" w:color="auto"/>
            <w:left w:val="none" w:sz="0" w:space="0" w:color="auto"/>
            <w:bottom w:val="none" w:sz="0" w:space="0" w:color="auto"/>
            <w:right w:val="none" w:sz="0" w:space="0" w:color="auto"/>
          </w:divBdr>
        </w:div>
        <w:div w:id="987056960">
          <w:marLeft w:val="0"/>
          <w:marRight w:val="0"/>
          <w:marTop w:val="0"/>
          <w:marBottom w:val="0"/>
          <w:divBdr>
            <w:top w:val="none" w:sz="0" w:space="0" w:color="auto"/>
            <w:left w:val="none" w:sz="0" w:space="0" w:color="auto"/>
            <w:bottom w:val="none" w:sz="0" w:space="0" w:color="auto"/>
            <w:right w:val="none" w:sz="0" w:space="0" w:color="auto"/>
          </w:divBdr>
        </w:div>
        <w:div w:id="1017778163">
          <w:marLeft w:val="0"/>
          <w:marRight w:val="0"/>
          <w:marTop w:val="0"/>
          <w:marBottom w:val="0"/>
          <w:divBdr>
            <w:top w:val="none" w:sz="0" w:space="0" w:color="auto"/>
            <w:left w:val="none" w:sz="0" w:space="0" w:color="auto"/>
            <w:bottom w:val="none" w:sz="0" w:space="0" w:color="auto"/>
            <w:right w:val="none" w:sz="0" w:space="0" w:color="auto"/>
          </w:divBdr>
        </w:div>
        <w:div w:id="1059784857">
          <w:marLeft w:val="0"/>
          <w:marRight w:val="0"/>
          <w:marTop w:val="0"/>
          <w:marBottom w:val="0"/>
          <w:divBdr>
            <w:top w:val="none" w:sz="0" w:space="0" w:color="auto"/>
            <w:left w:val="none" w:sz="0" w:space="0" w:color="auto"/>
            <w:bottom w:val="none" w:sz="0" w:space="0" w:color="auto"/>
            <w:right w:val="none" w:sz="0" w:space="0" w:color="auto"/>
          </w:divBdr>
        </w:div>
        <w:div w:id="1085761158">
          <w:marLeft w:val="0"/>
          <w:marRight w:val="0"/>
          <w:marTop w:val="0"/>
          <w:marBottom w:val="0"/>
          <w:divBdr>
            <w:top w:val="none" w:sz="0" w:space="0" w:color="auto"/>
            <w:left w:val="none" w:sz="0" w:space="0" w:color="auto"/>
            <w:bottom w:val="none" w:sz="0" w:space="0" w:color="auto"/>
            <w:right w:val="none" w:sz="0" w:space="0" w:color="auto"/>
          </w:divBdr>
        </w:div>
        <w:div w:id="1092512017">
          <w:marLeft w:val="0"/>
          <w:marRight w:val="0"/>
          <w:marTop w:val="0"/>
          <w:marBottom w:val="0"/>
          <w:divBdr>
            <w:top w:val="none" w:sz="0" w:space="0" w:color="auto"/>
            <w:left w:val="none" w:sz="0" w:space="0" w:color="auto"/>
            <w:bottom w:val="none" w:sz="0" w:space="0" w:color="auto"/>
            <w:right w:val="none" w:sz="0" w:space="0" w:color="auto"/>
          </w:divBdr>
        </w:div>
        <w:div w:id="1114177721">
          <w:marLeft w:val="0"/>
          <w:marRight w:val="0"/>
          <w:marTop w:val="0"/>
          <w:marBottom w:val="0"/>
          <w:divBdr>
            <w:top w:val="none" w:sz="0" w:space="0" w:color="auto"/>
            <w:left w:val="none" w:sz="0" w:space="0" w:color="auto"/>
            <w:bottom w:val="none" w:sz="0" w:space="0" w:color="auto"/>
            <w:right w:val="none" w:sz="0" w:space="0" w:color="auto"/>
          </w:divBdr>
        </w:div>
        <w:div w:id="1130171067">
          <w:marLeft w:val="0"/>
          <w:marRight w:val="0"/>
          <w:marTop w:val="0"/>
          <w:marBottom w:val="0"/>
          <w:divBdr>
            <w:top w:val="none" w:sz="0" w:space="0" w:color="auto"/>
            <w:left w:val="none" w:sz="0" w:space="0" w:color="auto"/>
            <w:bottom w:val="none" w:sz="0" w:space="0" w:color="auto"/>
            <w:right w:val="none" w:sz="0" w:space="0" w:color="auto"/>
          </w:divBdr>
        </w:div>
        <w:div w:id="1130782066">
          <w:marLeft w:val="0"/>
          <w:marRight w:val="0"/>
          <w:marTop w:val="0"/>
          <w:marBottom w:val="0"/>
          <w:divBdr>
            <w:top w:val="none" w:sz="0" w:space="0" w:color="auto"/>
            <w:left w:val="none" w:sz="0" w:space="0" w:color="auto"/>
            <w:bottom w:val="none" w:sz="0" w:space="0" w:color="auto"/>
            <w:right w:val="none" w:sz="0" w:space="0" w:color="auto"/>
          </w:divBdr>
        </w:div>
        <w:div w:id="1171985572">
          <w:marLeft w:val="0"/>
          <w:marRight w:val="0"/>
          <w:marTop w:val="0"/>
          <w:marBottom w:val="0"/>
          <w:divBdr>
            <w:top w:val="none" w:sz="0" w:space="0" w:color="auto"/>
            <w:left w:val="none" w:sz="0" w:space="0" w:color="auto"/>
            <w:bottom w:val="none" w:sz="0" w:space="0" w:color="auto"/>
            <w:right w:val="none" w:sz="0" w:space="0" w:color="auto"/>
          </w:divBdr>
        </w:div>
        <w:div w:id="1173227369">
          <w:marLeft w:val="0"/>
          <w:marRight w:val="0"/>
          <w:marTop w:val="0"/>
          <w:marBottom w:val="0"/>
          <w:divBdr>
            <w:top w:val="none" w:sz="0" w:space="0" w:color="auto"/>
            <w:left w:val="none" w:sz="0" w:space="0" w:color="auto"/>
            <w:bottom w:val="none" w:sz="0" w:space="0" w:color="auto"/>
            <w:right w:val="none" w:sz="0" w:space="0" w:color="auto"/>
          </w:divBdr>
        </w:div>
        <w:div w:id="1233464931">
          <w:marLeft w:val="0"/>
          <w:marRight w:val="0"/>
          <w:marTop w:val="0"/>
          <w:marBottom w:val="0"/>
          <w:divBdr>
            <w:top w:val="none" w:sz="0" w:space="0" w:color="auto"/>
            <w:left w:val="none" w:sz="0" w:space="0" w:color="auto"/>
            <w:bottom w:val="none" w:sz="0" w:space="0" w:color="auto"/>
            <w:right w:val="none" w:sz="0" w:space="0" w:color="auto"/>
          </w:divBdr>
        </w:div>
        <w:div w:id="1235824392">
          <w:marLeft w:val="0"/>
          <w:marRight w:val="0"/>
          <w:marTop w:val="0"/>
          <w:marBottom w:val="0"/>
          <w:divBdr>
            <w:top w:val="none" w:sz="0" w:space="0" w:color="auto"/>
            <w:left w:val="none" w:sz="0" w:space="0" w:color="auto"/>
            <w:bottom w:val="none" w:sz="0" w:space="0" w:color="auto"/>
            <w:right w:val="none" w:sz="0" w:space="0" w:color="auto"/>
          </w:divBdr>
        </w:div>
        <w:div w:id="1301695226">
          <w:marLeft w:val="0"/>
          <w:marRight w:val="0"/>
          <w:marTop w:val="0"/>
          <w:marBottom w:val="0"/>
          <w:divBdr>
            <w:top w:val="none" w:sz="0" w:space="0" w:color="auto"/>
            <w:left w:val="none" w:sz="0" w:space="0" w:color="auto"/>
            <w:bottom w:val="none" w:sz="0" w:space="0" w:color="auto"/>
            <w:right w:val="none" w:sz="0" w:space="0" w:color="auto"/>
          </w:divBdr>
        </w:div>
        <w:div w:id="1307003314">
          <w:marLeft w:val="0"/>
          <w:marRight w:val="0"/>
          <w:marTop w:val="0"/>
          <w:marBottom w:val="0"/>
          <w:divBdr>
            <w:top w:val="none" w:sz="0" w:space="0" w:color="auto"/>
            <w:left w:val="none" w:sz="0" w:space="0" w:color="auto"/>
            <w:bottom w:val="none" w:sz="0" w:space="0" w:color="auto"/>
            <w:right w:val="none" w:sz="0" w:space="0" w:color="auto"/>
          </w:divBdr>
        </w:div>
        <w:div w:id="1358039520">
          <w:marLeft w:val="0"/>
          <w:marRight w:val="0"/>
          <w:marTop w:val="0"/>
          <w:marBottom w:val="0"/>
          <w:divBdr>
            <w:top w:val="none" w:sz="0" w:space="0" w:color="auto"/>
            <w:left w:val="none" w:sz="0" w:space="0" w:color="auto"/>
            <w:bottom w:val="none" w:sz="0" w:space="0" w:color="auto"/>
            <w:right w:val="none" w:sz="0" w:space="0" w:color="auto"/>
          </w:divBdr>
        </w:div>
        <w:div w:id="1371568739">
          <w:marLeft w:val="0"/>
          <w:marRight w:val="0"/>
          <w:marTop w:val="0"/>
          <w:marBottom w:val="0"/>
          <w:divBdr>
            <w:top w:val="none" w:sz="0" w:space="0" w:color="auto"/>
            <w:left w:val="none" w:sz="0" w:space="0" w:color="auto"/>
            <w:bottom w:val="none" w:sz="0" w:space="0" w:color="auto"/>
            <w:right w:val="none" w:sz="0" w:space="0" w:color="auto"/>
          </w:divBdr>
        </w:div>
        <w:div w:id="1398935314">
          <w:marLeft w:val="0"/>
          <w:marRight w:val="0"/>
          <w:marTop w:val="0"/>
          <w:marBottom w:val="0"/>
          <w:divBdr>
            <w:top w:val="none" w:sz="0" w:space="0" w:color="auto"/>
            <w:left w:val="none" w:sz="0" w:space="0" w:color="auto"/>
            <w:bottom w:val="none" w:sz="0" w:space="0" w:color="auto"/>
            <w:right w:val="none" w:sz="0" w:space="0" w:color="auto"/>
          </w:divBdr>
        </w:div>
        <w:div w:id="1413353281">
          <w:marLeft w:val="0"/>
          <w:marRight w:val="0"/>
          <w:marTop w:val="0"/>
          <w:marBottom w:val="0"/>
          <w:divBdr>
            <w:top w:val="none" w:sz="0" w:space="0" w:color="auto"/>
            <w:left w:val="none" w:sz="0" w:space="0" w:color="auto"/>
            <w:bottom w:val="none" w:sz="0" w:space="0" w:color="auto"/>
            <w:right w:val="none" w:sz="0" w:space="0" w:color="auto"/>
          </w:divBdr>
        </w:div>
        <w:div w:id="1456947731">
          <w:marLeft w:val="0"/>
          <w:marRight w:val="0"/>
          <w:marTop w:val="0"/>
          <w:marBottom w:val="0"/>
          <w:divBdr>
            <w:top w:val="none" w:sz="0" w:space="0" w:color="auto"/>
            <w:left w:val="none" w:sz="0" w:space="0" w:color="auto"/>
            <w:bottom w:val="none" w:sz="0" w:space="0" w:color="auto"/>
            <w:right w:val="none" w:sz="0" w:space="0" w:color="auto"/>
          </w:divBdr>
        </w:div>
        <w:div w:id="1467160071">
          <w:marLeft w:val="0"/>
          <w:marRight w:val="0"/>
          <w:marTop w:val="0"/>
          <w:marBottom w:val="0"/>
          <w:divBdr>
            <w:top w:val="none" w:sz="0" w:space="0" w:color="auto"/>
            <w:left w:val="none" w:sz="0" w:space="0" w:color="auto"/>
            <w:bottom w:val="none" w:sz="0" w:space="0" w:color="auto"/>
            <w:right w:val="none" w:sz="0" w:space="0" w:color="auto"/>
          </w:divBdr>
        </w:div>
        <w:div w:id="1589728415">
          <w:marLeft w:val="0"/>
          <w:marRight w:val="0"/>
          <w:marTop w:val="0"/>
          <w:marBottom w:val="0"/>
          <w:divBdr>
            <w:top w:val="none" w:sz="0" w:space="0" w:color="auto"/>
            <w:left w:val="none" w:sz="0" w:space="0" w:color="auto"/>
            <w:bottom w:val="none" w:sz="0" w:space="0" w:color="auto"/>
            <w:right w:val="none" w:sz="0" w:space="0" w:color="auto"/>
          </w:divBdr>
        </w:div>
        <w:div w:id="1629892643">
          <w:marLeft w:val="0"/>
          <w:marRight w:val="0"/>
          <w:marTop w:val="0"/>
          <w:marBottom w:val="0"/>
          <w:divBdr>
            <w:top w:val="none" w:sz="0" w:space="0" w:color="auto"/>
            <w:left w:val="none" w:sz="0" w:space="0" w:color="auto"/>
            <w:bottom w:val="none" w:sz="0" w:space="0" w:color="auto"/>
            <w:right w:val="none" w:sz="0" w:space="0" w:color="auto"/>
          </w:divBdr>
        </w:div>
        <w:div w:id="1637176409">
          <w:marLeft w:val="0"/>
          <w:marRight w:val="0"/>
          <w:marTop w:val="0"/>
          <w:marBottom w:val="0"/>
          <w:divBdr>
            <w:top w:val="none" w:sz="0" w:space="0" w:color="auto"/>
            <w:left w:val="none" w:sz="0" w:space="0" w:color="auto"/>
            <w:bottom w:val="none" w:sz="0" w:space="0" w:color="auto"/>
            <w:right w:val="none" w:sz="0" w:space="0" w:color="auto"/>
          </w:divBdr>
        </w:div>
        <w:div w:id="1709062669">
          <w:marLeft w:val="0"/>
          <w:marRight w:val="0"/>
          <w:marTop w:val="0"/>
          <w:marBottom w:val="0"/>
          <w:divBdr>
            <w:top w:val="none" w:sz="0" w:space="0" w:color="auto"/>
            <w:left w:val="none" w:sz="0" w:space="0" w:color="auto"/>
            <w:bottom w:val="none" w:sz="0" w:space="0" w:color="auto"/>
            <w:right w:val="none" w:sz="0" w:space="0" w:color="auto"/>
          </w:divBdr>
        </w:div>
        <w:div w:id="1730156027">
          <w:marLeft w:val="0"/>
          <w:marRight w:val="0"/>
          <w:marTop w:val="0"/>
          <w:marBottom w:val="0"/>
          <w:divBdr>
            <w:top w:val="none" w:sz="0" w:space="0" w:color="auto"/>
            <w:left w:val="none" w:sz="0" w:space="0" w:color="auto"/>
            <w:bottom w:val="none" w:sz="0" w:space="0" w:color="auto"/>
            <w:right w:val="none" w:sz="0" w:space="0" w:color="auto"/>
          </w:divBdr>
        </w:div>
        <w:div w:id="1737894483">
          <w:marLeft w:val="0"/>
          <w:marRight w:val="0"/>
          <w:marTop w:val="0"/>
          <w:marBottom w:val="0"/>
          <w:divBdr>
            <w:top w:val="none" w:sz="0" w:space="0" w:color="auto"/>
            <w:left w:val="none" w:sz="0" w:space="0" w:color="auto"/>
            <w:bottom w:val="none" w:sz="0" w:space="0" w:color="auto"/>
            <w:right w:val="none" w:sz="0" w:space="0" w:color="auto"/>
          </w:divBdr>
        </w:div>
        <w:div w:id="1810394493">
          <w:marLeft w:val="0"/>
          <w:marRight w:val="0"/>
          <w:marTop w:val="0"/>
          <w:marBottom w:val="0"/>
          <w:divBdr>
            <w:top w:val="none" w:sz="0" w:space="0" w:color="auto"/>
            <w:left w:val="none" w:sz="0" w:space="0" w:color="auto"/>
            <w:bottom w:val="none" w:sz="0" w:space="0" w:color="auto"/>
            <w:right w:val="none" w:sz="0" w:space="0" w:color="auto"/>
          </w:divBdr>
        </w:div>
        <w:div w:id="1826819651">
          <w:marLeft w:val="0"/>
          <w:marRight w:val="0"/>
          <w:marTop w:val="0"/>
          <w:marBottom w:val="0"/>
          <w:divBdr>
            <w:top w:val="none" w:sz="0" w:space="0" w:color="auto"/>
            <w:left w:val="none" w:sz="0" w:space="0" w:color="auto"/>
            <w:bottom w:val="none" w:sz="0" w:space="0" w:color="auto"/>
            <w:right w:val="none" w:sz="0" w:space="0" w:color="auto"/>
          </w:divBdr>
        </w:div>
        <w:div w:id="1907034345">
          <w:marLeft w:val="0"/>
          <w:marRight w:val="0"/>
          <w:marTop w:val="0"/>
          <w:marBottom w:val="0"/>
          <w:divBdr>
            <w:top w:val="none" w:sz="0" w:space="0" w:color="auto"/>
            <w:left w:val="none" w:sz="0" w:space="0" w:color="auto"/>
            <w:bottom w:val="none" w:sz="0" w:space="0" w:color="auto"/>
            <w:right w:val="none" w:sz="0" w:space="0" w:color="auto"/>
          </w:divBdr>
        </w:div>
        <w:div w:id="1918899770">
          <w:marLeft w:val="0"/>
          <w:marRight w:val="0"/>
          <w:marTop w:val="0"/>
          <w:marBottom w:val="0"/>
          <w:divBdr>
            <w:top w:val="none" w:sz="0" w:space="0" w:color="auto"/>
            <w:left w:val="none" w:sz="0" w:space="0" w:color="auto"/>
            <w:bottom w:val="none" w:sz="0" w:space="0" w:color="auto"/>
            <w:right w:val="none" w:sz="0" w:space="0" w:color="auto"/>
          </w:divBdr>
        </w:div>
        <w:div w:id="1931162348">
          <w:marLeft w:val="0"/>
          <w:marRight w:val="0"/>
          <w:marTop w:val="0"/>
          <w:marBottom w:val="0"/>
          <w:divBdr>
            <w:top w:val="none" w:sz="0" w:space="0" w:color="auto"/>
            <w:left w:val="none" w:sz="0" w:space="0" w:color="auto"/>
            <w:bottom w:val="none" w:sz="0" w:space="0" w:color="auto"/>
            <w:right w:val="none" w:sz="0" w:space="0" w:color="auto"/>
          </w:divBdr>
        </w:div>
        <w:div w:id="2013753863">
          <w:marLeft w:val="0"/>
          <w:marRight w:val="0"/>
          <w:marTop w:val="0"/>
          <w:marBottom w:val="0"/>
          <w:divBdr>
            <w:top w:val="none" w:sz="0" w:space="0" w:color="auto"/>
            <w:left w:val="none" w:sz="0" w:space="0" w:color="auto"/>
            <w:bottom w:val="none" w:sz="0" w:space="0" w:color="auto"/>
            <w:right w:val="none" w:sz="0" w:space="0" w:color="auto"/>
          </w:divBdr>
        </w:div>
        <w:div w:id="2033414402">
          <w:marLeft w:val="0"/>
          <w:marRight w:val="0"/>
          <w:marTop w:val="0"/>
          <w:marBottom w:val="0"/>
          <w:divBdr>
            <w:top w:val="none" w:sz="0" w:space="0" w:color="auto"/>
            <w:left w:val="none" w:sz="0" w:space="0" w:color="auto"/>
            <w:bottom w:val="none" w:sz="0" w:space="0" w:color="auto"/>
            <w:right w:val="none" w:sz="0" w:space="0" w:color="auto"/>
          </w:divBdr>
        </w:div>
        <w:div w:id="2065567860">
          <w:marLeft w:val="0"/>
          <w:marRight w:val="0"/>
          <w:marTop w:val="0"/>
          <w:marBottom w:val="0"/>
          <w:divBdr>
            <w:top w:val="none" w:sz="0" w:space="0" w:color="auto"/>
            <w:left w:val="none" w:sz="0" w:space="0" w:color="auto"/>
            <w:bottom w:val="none" w:sz="0" w:space="0" w:color="auto"/>
            <w:right w:val="none" w:sz="0" w:space="0" w:color="auto"/>
          </w:divBdr>
        </w:div>
        <w:div w:id="2086174194">
          <w:marLeft w:val="0"/>
          <w:marRight w:val="0"/>
          <w:marTop w:val="0"/>
          <w:marBottom w:val="0"/>
          <w:divBdr>
            <w:top w:val="none" w:sz="0" w:space="0" w:color="auto"/>
            <w:left w:val="none" w:sz="0" w:space="0" w:color="auto"/>
            <w:bottom w:val="none" w:sz="0" w:space="0" w:color="auto"/>
            <w:right w:val="none" w:sz="0" w:space="0" w:color="auto"/>
          </w:divBdr>
        </w:div>
        <w:div w:id="2086369776">
          <w:marLeft w:val="0"/>
          <w:marRight w:val="0"/>
          <w:marTop w:val="0"/>
          <w:marBottom w:val="0"/>
          <w:divBdr>
            <w:top w:val="none" w:sz="0" w:space="0" w:color="auto"/>
            <w:left w:val="none" w:sz="0" w:space="0" w:color="auto"/>
            <w:bottom w:val="none" w:sz="0" w:space="0" w:color="auto"/>
            <w:right w:val="none" w:sz="0" w:space="0" w:color="auto"/>
          </w:divBdr>
        </w:div>
      </w:divsChild>
    </w:div>
    <w:div w:id="1491096180">
      <w:bodyDiv w:val="1"/>
      <w:marLeft w:val="0"/>
      <w:marRight w:val="0"/>
      <w:marTop w:val="0"/>
      <w:marBottom w:val="0"/>
      <w:divBdr>
        <w:top w:val="none" w:sz="0" w:space="0" w:color="auto"/>
        <w:left w:val="none" w:sz="0" w:space="0" w:color="auto"/>
        <w:bottom w:val="none" w:sz="0" w:space="0" w:color="auto"/>
        <w:right w:val="none" w:sz="0" w:space="0" w:color="auto"/>
      </w:divBdr>
      <w:divsChild>
        <w:div w:id="103774490">
          <w:marLeft w:val="720"/>
          <w:marRight w:val="0"/>
          <w:marTop w:val="240"/>
          <w:marBottom w:val="40"/>
          <w:divBdr>
            <w:top w:val="none" w:sz="0" w:space="0" w:color="auto"/>
            <w:left w:val="none" w:sz="0" w:space="0" w:color="auto"/>
            <w:bottom w:val="none" w:sz="0" w:space="0" w:color="auto"/>
            <w:right w:val="none" w:sz="0" w:space="0" w:color="auto"/>
          </w:divBdr>
        </w:div>
        <w:div w:id="1243641536">
          <w:marLeft w:val="720"/>
          <w:marRight w:val="0"/>
          <w:marTop w:val="240"/>
          <w:marBottom w:val="40"/>
          <w:divBdr>
            <w:top w:val="none" w:sz="0" w:space="0" w:color="auto"/>
            <w:left w:val="none" w:sz="0" w:space="0" w:color="auto"/>
            <w:bottom w:val="none" w:sz="0" w:space="0" w:color="auto"/>
            <w:right w:val="none" w:sz="0" w:space="0" w:color="auto"/>
          </w:divBdr>
        </w:div>
      </w:divsChild>
    </w:div>
    <w:div w:id="1493255795">
      <w:bodyDiv w:val="1"/>
      <w:marLeft w:val="0"/>
      <w:marRight w:val="0"/>
      <w:marTop w:val="0"/>
      <w:marBottom w:val="0"/>
      <w:divBdr>
        <w:top w:val="none" w:sz="0" w:space="0" w:color="auto"/>
        <w:left w:val="none" w:sz="0" w:space="0" w:color="auto"/>
        <w:bottom w:val="none" w:sz="0" w:space="0" w:color="auto"/>
        <w:right w:val="none" w:sz="0" w:space="0" w:color="auto"/>
      </w:divBdr>
    </w:div>
    <w:div w:id="1495022839">
      <w:bodyDiv w:val="1"/>
      <w:marLeft w:val="0"/>
      <w:marRight w:val="0"/>
      <w:marTop w:val="0"/>
      <w:marBottom w:val="0"/>
      <w:divBdr>
        <w:top w:val="none" w:sz="0" w:space="0" w:color="auto"/>
        <w:left w:val="none" w:sz="0" w:space="0" w:color="auto"/>
        <w:bottom w:val="none" w:sz="0" w:space="0" w:color="auto"/>
        <w:right w:val="none" w:sz="0" w:space="0" w:color="auto"/>
      </w:divBdr>
      <w:divsChild>
        <w:div w:id="1264459043">
          <w:marLeft w:val="0"/>
          <w:marRight w:val="0"/>
          <w:marTop w:val="0"/>
          <w:marBottom w:val="0"/>
          <w:divBdr>
            <w:top w:val="none" w:sz="0" w:space="0" w:color="auto"/>
            <w:left w:val="none" w:sz="0" w:space="0" w:color="auto"/>
            <w:bottom w:val="none" w:sz="0" w:space="0" w:color="auto"/>
            <w:right w:val="none" w:sz="0" w:space="0" w:color="auto"/>
          </w:divBdr>
        </w:div>
      </w:divsChild>
    </w:div>
    <w:div w:id="1517039894">
      <w:bodyDiv w:val="1"/>
      <w:marLeft w:val="0"/>
      <w:marRight w:val="0"/>
      <w:marTop w:val="0"/>
      <w:marBottom w:val="0"/>
      <w:divBdr>
        <w:top w:val="none" w:sz="0" w:space="0" w:color="auto"/>
        <w:left w:val="none" w:sz="0" w:space="0" w:color="auto"/>
        <w:bottom w:val="none" w:sz="0" w:space="0" w:color="auto"/>
        <w:right w:val="none" w:sz="0" w:space="0" w:color="auto"/>
      </w:divBdr>
      <w:divsChild>
        <w:div w:id="235751114">
          <w:marLeft w:val="0"/>
          <w:marRight w:val="0"/>
          <w:marTop w:val="0"/>
          <w:marBottom w:val="0"/>
          <w:divBdr>
            <w:top w:val="none" w:sz="0" w:space="0" w:color="auto"/>
            <w:left w:val="none" w:sz="0" w:space="0" w:color="auto"/>
            <w:bottom w:val="none" w:sz="0" w:space="0" w:color="auto"/>
            <w:right w:val="none" w:sz="0" w:space="0" w:color="auto"/>
          </w:divBdr>
        </w:div>
      </w:divsChild>
    </w:div>
    <w:div w:id="1519808515">
      <w:bodyDiv w:val="1"/>
      <w:marLeft w:val="0"/>
      <w:marRight w:val="0"/>
      <w:marTop w:val="0"/>
      <w:marBottom w:val="0"/>
      <w:divBdr>
        <w:top w:val="none" w:sz="0" w:space="0" w:color="auto"/>
        <w:left w:val="none" w:sz="0" w:space="0" w:color="auto"/>
        <w:bottom w:val="none" w:sz="0" w:space="0" w:color="auto"/>
        <w:right w:val="none" w:sz="0" w:space="0" w:color="auto"/>
      </w:divBdr>
      <w:divsChild>
        <w:div w:id="1151555779">
          <w:marLeft w:val="0"/>
          <w:marRight w:val="0"/>
          <w:marTop w:val="0"/>
          <w:marBottom w:val="0"/>
          <w:divBdr>
            <w:top w:val="none" w:sz="0" w:space="0" w:color="auto"/>
            <w:left w:val="none" w:sz="0" w:space="0" w:color="auto"/>
            <w:bottom w:val="none" w:sz="0" w:space="0" w:color="auto"/>
            <w:right w:val="none" w:sz="0" w:space="0" w:color="auto"/>
          </w:divBdr>
        </w:div>
        <w:div w:id="1652246333">
          <w:marLeft w:val="0"/>
          <w:marRight w:val="0"/>
          <w:marTop w:val="0"/>
          <w:marBottom w:val="0"/>
          <w:divBdr>
            <w:top w:val="none" w:sz="0" w:space="0" w:color="auto"/>
            <w:left w:val="none" w:sz="0" w:space="0" w:color="auto"/>
            <w:bottom w:val="none" w:sz="0" w:space="0" w:color="auto"/>
            <w:right w:val="none" w:sz="0" w:space="0" w:color="auto"/>
          </w:divBdr>
        </w:div>
        <w:div w:id="1892614593">
          <w:marLeft w:val="0"/>
          <w:marRight w:val="0"/>
          <w:marTop w:val="0"/>
          <w:marBottom w:val="0"/>
          <w:divBdr>
            <w:top w:val="none" w:sz="0" w:space="0" w:color="auto"/>
            <w:left w:val="none" w:sz="0" w:space="0" w:color="auto"/>
            <w:bottom w:val="none" w:sz="0" w:space="0" w:color="auto"/>
            <w:right w:val="none" w:sz="0" w:space="0" w:color="auto"/>
          </w:divBdr>
        </w:div>
        <w:div w:id="2131824383">
          <w:marLeft w:val="0"/>
          <w:marRight w:val="0"/>
          <w:marTop w:val="0"/>
          <w:marBottom w:val="0"/>
          <w:divBdr>
            <w:top w:val="none" w:sz="0" w:space="0" w:color="auto"/>
            <w:left w:val="none" w:sz="0" w:space="0" w:color="auto"/>
            <w:bottom w:val="none" w:sz="0" w:space="0" w:color="auto"/>
            <w:right w:val="none" w:sz="0" w:space="0" w:color="auto"/>
          </w:divBdr>
        </w:div>
      </w:divsChild>
    </w:div>
    <w:div w:id="1521318573">
      <w:bodyDiv w:val="1"/>
      <w:marLeft w:val="0"/>
      <w:marRight w:val="0"/>
      <w:marTop w:val="0"/>
      <w:marBottom w:val="0"/>
      <w:divBdr>
        <w:top w:val="none" w:sz="0" w:space="0" w:color="auto"/>
        <w:left w:val="none" w:sz="0" w:space="0" w:color="auto"/>
        <w:bottom w:val="none" w:sz="0" w:space="0" w:color="auto"/>
        <w:right w:val="none" w:sz="0" w:space="0" w:color="auto"/>
      </w:divBdr>
      <w:divsChild>
        <w:div w:id="1074425559">
          <w:marLeft w:val="0"/>
          <w:marRight w:val="0"/>
          <w:marTop w:val="0"/>
          <w:marBottom w:val="0"/>
          <w:divBdr>
            <w:top w:val="none" w:sz="0" w:space="0" w:color="auto"/>
            <w:left w:val="none" w:sz="0" w:space="0" w:color="auto"/>
            <w:bottom w:val="none" w:sz="0" w:space="0" w:color="auto"/>
            <w:right w:val="none" w:sz="0" w:space="0" w:color="auto"/>
          </w:divBdr>
        </w:div>
      </w:divsChild>
    </w:div>
    <w:div w:id="1524634938">
      <w:bodyDiv w:val="1"/>
      <w:marLeft w:val="0"/>
      <w:marRight w:val="0"/>
      <w:marTop w:val="0"/>
      <w:marBottom w:val="0"/>
      <w:divBdr>
        <w:top w:val="none" w:sz="0" w:space="0" w:color="auto"/>
        <w:left w:val="none" w:sz="0" w:space="0" w:color="auto"/>
        <w:bottom w:val="none" w:sz="0" w:space="0" w:color="auto"/>
        <w:right w:val="none" w:sz="0" w:space="0" w:color="auto"/>
      </w:divBdr>
      <w:divsChild>
        <w:div w:id="901403576">
          <w:marLeft w:val="547"/>
          <w:marRight w:val="0"/>
          <w:marTop w:val="200"/>
          <w:marBottom w:val="0"/>
          <w:divBdr>
            <w:top w:val="none" w:sz="0" w:space="0" w:color="auto"/>
            <w:left w:val="none" w:sz="0" w:space="0" w:color="auto"/>
            <w:bottom w:val="none" w:sz="0" w:space="0" w:color="auto"/>
            <w:right w:val="none" w:sz="0" w:space="0" w:color="auto"/>
          </w:divBdr>
        </w:div>
        <w:div w:id="1431469855">
          <w:marLeft w:val="547"/>
          <w:marRight w:val="0"/>
          <w:marTop w:val="200"/>
          <w:marBottom w:val="0"/>
          <w:divBdr>
            <w:top w:val="none" w:sz="0" w:space="0" w:color="auto"/>
            <w:left w:val="none" w:sz="0" w:space="0" w:color="auto"/>
            <w:bottom w:val="none" w:sz="0" w:space="0" w:color="auto"/>
            <w:right w:val="none" w:sz="0" w:space="0" w:color="auto"/>
          </w:divBdr>
        </w:div>
        <w:div w:id="1865702528">
          <w:marLeft w:val="547"/>
          <w:marRight w:val="0"/>
          <w:marTop w:val="200"/>
          <w:marBottom w:val="0"/>
          <w:divBdr>
            <w:top w:val="none" w:sz="0" w:space="0" w:color="auto"/>
            <w:left w:val="none" w:sz="0" w:space="0" w:color="auto"/>
            <w:bottom w:val="none" w:sz="0" w:space="0" w:color="auto"/>
            <w:right w:val="none" w:sz="0" w:space="0" w:color="auto"/>
          </w:divBdr>
        </w:div>
      </w:divsChild>
    </w:div>
    <w:div w:id="1526821437">
      <w:bodyDiv w:val="1"/>
      <w:marLeft w:val="0"/>
      <w:marRight w:val="0"/>
      <w:marTop w:val="0"/>
      <w:marBottom w:val="0"/>
      <w:divBdr>
        <w:top w:val="none" w:sz="0" w:space="0" w:color="auto"/>
        <w:left w:val="none" w:sz="0" w:space="0" w:color="auto"/>
        <w:bottom w:val="none" w:sz="0" w:space="0" w:color="auto"/>
        <w:right w:val="none" w:sz="0" w:space="0" w:color="auto"/>
      </w:divBdr>
    </w:div>
    <w:div w:id="1528832330">
      <w:bodyDiv w:val="1"/>
      <w:marLeft w:val="0"/>
      <w:marRight w:val="0"/>
      <w:marTop w:val="0"/>
      <w:marBottom w:val="0"/>
      <w:divBdr>
        <w:top w:val="none" w:sz="0" w:space="0" w:color="auto"/>
        <w:left w:val="none" w:sz="0" w:space="0" w:color="auto"/>
        <w:bottom w:val="none" w:sz="0" w:space="0" w:color="auto"/>
        <w:right w:val="none" w:sz="0" w:space="0" w:color="auto"/>
      </w:divBdr>
      <w:divsChild>
        <w:div w:id="1414427255">
          <w:marLeft w:val="0"/>
          <w:marRight w:val="0"/>
          <w:marTop w:val="0"/>
          <w:marBottom w:val="0"/>
          <w:divBdr>
            <w:top w:val="none" w:sz="0" w:space="0" w:color="auto"/>
            <w:left w:val="none" w:sz="0" w:space="0" w:color="auto"/>
            <w:bottom w:val="none" w:sz="0" w:space="0" w:color="auto"/>
            <w:right w:val="none" w:sz="0" w:space="0" w:color="auto"/>
          </w:divBdr>
        </w:div>
      </w:divsChild>
    </w:div>
    <w:div w:id="1531800669">
      <w:bodyDiv w:val="1"/>
      <w:marLeft w:val="0"/>
      <w:marRight w:val="0"/>
      <w:marTop w:val="0"/>
      <w:marBottom w:val="0"/>
      <w:divBdr>
        <w:top w:val="none" w:sz="0" w:space="0" w:color="auto"/>
        <w:left w:val="none" w:sz="0" w:space="0" w:color="auto"/>
        <w:bottom w:val="none" w:sz="0" w:space="0" w:color="auto"/>
        <w:right w:val="none" w:sz="0" w:space="0" w:color="auto"/>
      </w:divBdr>
    </w:div>
    <w:div w:id="1535577113">
      <w:bodyDiv w:val="1"/>
      <w:marLeft w:val="0"/>
      <w:marRight w:val="0"/>
      <w:marTop w:val="0"/>
      <w:marBottom w:val="0"/>
      <w:divBdr>
        <w:top w:val="none" w:sz="0" w:space="0" w:color="auto"/>
        <w:left w:val="none" w:sz="0" w:space="0" w:color="auto"/>
        <w:bottom w:val="none" w:sz="0" w:space="0" w:color="auto"/>
        <w:right w:val="none" w:sz="0" w:space="0" w:color="auto"/>
      </w:divBdr>
      <w:divsChild>
        <w:div w:id="2368507">
          <w:marLeft w:val="0"/>
          <w:marRight w:val="0"/>
          <w:marTop w:val="0"/>
          <w:marBottom w:val="0"/>
          <w:divBdr>
            <w:top w:val="none" w:sz="0" w:space="0" w:color="auto"/>
            <w:left w:val="none" w:sz="0" w:space="0" w:color="auto"/>
            <w:bottom w:val="none" w:sz="0" w:space="0" w:color="auto"/>
            <w:right w:val="none" w:sz="0" w:space="0" w:color="auto"/>
          </w:divBdr>
        </w:div>
        <w:div w:id="66735745">
          <w:marLeft w:val="0"/>
          <w:marRight w:val="0"/>
          <w:marTop w:val="0"/>
          <w:marBottom w:val="0"/>
          <w:divBdr>
            <w:top w:val="none" w:sz="0" w:space="0" w:color="auto"/>
            <w:left w:val="none" w:sz="0" w:space="0" w:color="auto"/>
            <w:bottom w:val="none" w:sz="0" w:space="0" w:color="auto"/>
            <w:right w:val="none" w:sz="0" w:space="0" w:color="auto"/>
          </w:divBdr>
        </w:div>
        <w:div w:id="86462705">
          <w:marLeft w:val="0"/>
          <w:marRight w:val="0"/>
          <w:marTop w:val="0"/>
          <w:marBottom w:val="0"/>
          <w:divBdr>
            <w:top w:val="none" w:sz="0" w:space="0" w:color="auto"/>
            <w:left w:val="none" w:sz="0" w:space="0" w:color="auto"/>
            <w:bottom w:val="none" w:sz="0" w:space="0" w:color="auto"/>
            <w:right w:val="none" w:sz="0" w:space="0" w:color="auto"/>
          </w:divBdr>
        </w:div>
        <w:div w:id="152071539">
          <w:marLeft w:val="0"/>
          <w:marRight w:val="0"/>
          <w:marTop w:val="0"/>
          <w:marBottom w:val="0"/>
          <w:divBdr>
            <w:top w:val="none" w:sz="0" w:space="0" w:color="auto"/>
            <w:left w:val="none" w:sz="0" w:space="0" w:color="auto"/>
            <w:bottom w:val="none" w:sz="0" w:space="0" w:color="auto"/>
            <w:right w:val="none" w:sz="0" w:space="0" w:color="auto"/>
          </w:divBdr>
        </w:div>
        <w:div w:id="166794331">
          <w:marLeft w:val="0"/>
          <w:marRight w:val="0"/>
          <w:marTop w:val="0"/>
          <w:marBottom w:val="0"/>
          <w:divBdr>
            <w:top w:val="none" w:sz="0" w:space="0" w:color="auto"/>
            <w:left w:val="none" w:sz="0" w:space="0" w:color="auto"/>
            <w:bottom w:val="none" w:sz="0" w:space="0" w:color="auto"/>
            <w:right w:val="none" w:sz="0" w:space="0" w:color="auto"/>
          </w:divBdr>
        </w:div>
        <w:div w:id="171074579">
          <w:marLeft w:val="0"/>
          <w:marRight w:val="0"/>
          <w:marTop w:val="0"/>
          <w:marBottom w:val="0"/>
          <w:divBdr>
            <w:top w:val="none" w:sz="0" w:space="0" w:color="auto"/>
            <w:left w:val="none" w:sz="0" w:space="0" w:color="auto"/>
            <w:bottom w:val="none" w:sz="0" w:space="0" w:color="auto"/>
            <w:right w:val="none" w:sz="0" w:space="0" w:color="auto"/>
          </w:divBdr>
        </w:div>
        <w:div w:id="190460324">
          <w:marLeft w:val="0"/>
          <w:marRight w:val="0"/>
          <w:marTop w:val="0"/>
          <w:marBottom w:val="0"/>
          <w:divBdr>
            <w:top w:val="none" w:sz="0" w:space="0" w:color="auto"/>
            <w:left w:val="none" w:sz="0" w:space="0" w:color="auto"/>
            <w:bottom w:val="none" w:sz="0" w:space="0" w:color="auto"/>
            <w:right w:val="none" w:sz="0" w:space="0" w:color="auto"/>
          </w:divBdr>
        </w:div>
        <w:div w:id="221909055">
          <w:marLeft w:val="0"/>
          <w:marRight w:val="0"/>
          <w:marTop w:val="0"/>
          <w:marBottom w:val="0"/>
          <w:divBdr>
            <w:top w:val="none" w:sz="0" w:space="0" w:color="auto"/>
            <w:left w:val="none" w:sz="0" w:space="0" w:color="auto"/>
            <w:bottom w:val="none" w:sz="0" w:space="0" w:color="auto"/>
            <w:right w:val="none" w:sz="0" w:space="0" w:color="auto"/>
          </w:divBdr>
        </w:div>
        <w:div w:id="324628694">
          <w:marLeft w:val="0"/>
          <w:marRight w:val="0"/>
          <w:marTop w:val="0"/>
          <w:marBottom w:val="0"/>
          <w:divBdr>
            <w:top w:val="none" w:sz="0" w:space="0" w:color="auto"/>
            <w:left w:val="none" w:sz="0" w:space="0" w:color="auto"/>
            <w:bottom w:val="none" w:sz="0" w:space="0" w:color="auto"/>
            <w:right w:val="none" w:sz="0" w:space="0" w:color="auto"/>
          </w:divBdr>
        </w:div>
        <w:div w:id="375590064">
          <w:marLeft w:val="0"/>
          <w:marRight w:val="0"/>
          <w:marTop w:val="0"/>
          <w:marBottom w:val="0"/>
          <w:divBdr>
            <w:top w:val="none" w:sz="0" w:space="0" w:color="auto"/>
            <w:left w:val="none" w:sz="0" w:space="0" w:color="auto"/>
            <w:bottom w:val="none" w:sz="0" w:space="0" w:color="auto"/>
            <w:right w:val="none" w:sz="0" w:space="0" w:color="auto"/>
          </w:divBdr>
        </w:div>
        <w:div w:id="378825930">
          <w:marLeft w:val="0"/>
          <w:marRight w:val="0"/>
          <w:marTop w:val="0"/>
          <w:marBottom w:val="0"/>
          <w:divBdr>
            <w:top w:val="none" w:sz="0" w:space="0" w:color="auto"/>
            <w:left w:val="none" w:sz="0" w:space="0" w:color="auto"/>
            <w:bottom w:val="none" w:sz="0" w:space="0" w:color="auto"/>
            <w:right w:val="none" w:sz="0" w:space="0" w:color="auto"/>
          </w:divBdr>
        </w:div>
        <w:div w:id="425733543">
          <w:marLeft w:val="0"/>
          <w:marRight w:val="0"/>
          <w:marTop w:val="0"/>
          <w:marBottom w:val="0"/>
          <w:divBdr>
            <w:top w:val="none" w:sz="0" w:space="0" w:color="auto"/>
            <w:left w:val="none" w:sz="0" w:space="0" w:color="auto"/>
            <w:bottom w:val="none" w:sz="0" w:space="0" w:color="auto"/>
            <w:right w:val="none" w:sz="0" w:space="0" w:color="auto"/>
          </w:divBdr>
        </w:div>
        <w:div w:id="427893914">
          <w:marLeft w:val="0"/>
          <w:marRight w:val="0"/>
          <w:marTop w:val="0"/>
          <w:marBottom w:val="0"/>
          <w:divBdr>
            <w:top w:val="none" w:sz="0" w:space="0" w:color="auto"/>
            <w:left w:val="none" w:sz="0" w:space="0" w:color="auto"/>
            <w:bottom w:val="none" w:sz="0" w:space="0" w:color="auto"/>
            <w:right w:val="none" w:sz="0" w:space="0" w:color="auto"/>
          </w:divBdr>
        </w:div>
        <w:div w:id="435054898">
          <w:marLeft w:val="0"/>
          <w:marRight w:val="0"/>
          <w:marTop w:val="0"/>
          <w:marBottom w:val="0"/>
          <w:divBdr>
            <w:top w:val="none" w:sz="0" w:space="0" w:color="auto"/>
            <w:left w:val="none" w:sz="0" w:space="0" w:color="auto"/>
            <w:bottom w:val="none" w:sz="0" w:space="0" w:color="auto"/>
            <w:right w:val="none" w:sz="0" w:space="0" w:color="auto"/>
          </w:divBdr>
        </w:div>
        <w:div w:id="476847833">
          <w:marLeft w:val="0"/>
          <w:marRight w:val="0"/>
          <w:marTop w:val="0"/>
          <w:marBottom w:val="0"/>
          <w:divBdr>
            <w:top w:val="none" w:sz="0" w:space="0" w:color="auto"/>
            <w:left w:val="none" w:sz="0" w:space="0" w:color="auto"/>
            <w:bottom w:val="none" w:sz="0" w:space="0" w:color="auto"/>
            <w:right w:val="none" w:sz="0" w:space="0" w:color="auto"/>
          </w:divBdr>
        </w:div>
        <w:div w:id="497767798">
          <w:marLeft w:val="0"/>
          <w:marRight w:val="0"/>
          <w:marTop w:val="0"/>
          <w:marBottom w:val="0"/>
          <w:divBdr>
            <w:top w:val="none" w:sz="0" w:space="0" w:color="auto"/>
            <w:left w:val="none" w:sz="0" w:space="0" w:color="auto"/>
            <w:bottom w:val="none" w:sz="0" w:space="0" w:color="auto"/>
            <w:right w:val="none" w:sz="0" w:space="0" w:color="auto"/>
          </w:divBdr>
        </w:div>
        <w:div w:id="514610997">
          <w:marLeft w:val="0"/>
          <w:marRight w:val="0"/>
          <w:marTop w:val="0"/>
          <w:marBottom w:val="0"/>
          <w:divBdr>
            <w:top w:val="none" w:sz="0" w:space="0" w:color="auto"/>
            <w:left w:val="none" w:sz="0" w:space="0" w:color="auto"/>
            <w:bottom w:val="none" w:sz="0" w:space="0" w:color="auto"/>
            <w:right w:val="none" w:sz="0" w:space="0" w:color="auto"/>
          </w:divBdr>
        </w:div>
        <w:div w:id="555749626">
          <w:marLeft w:val="0"/>
          <w:marRight w:val="0"/>
          <w:marTop w:val="0"/>
          <w:marBottom w:val="0"/>
          <w:divBdr>
            <w:top w:val="none" w:sz="0" w:space="0" w:color="auto"/>
            <w:left w:val="none" w:sz="0" w:space="0" w:color="auto"/>
            <w:bottom w:val="none" w:sz="0" w:space="0" w:color="auto"/>
            <w:right w:val="none" w:sz="0" w:space="0" w:color="auto"/>
          </w:divBdr>
        </w:div>
        <w:div w:id="594359429">
          <w:marLeft w:val="0"/>
          <w:marRight w:val="0"/>
          <w:marTop w:val="0"/>
          <w:marBottom w:val="0"/>
          <w:divBdr>
            <w:top w:val="none" w:sz="0" w:space="0" w:color="auto"/>
            <w:left w:val="none" w:sz="0" w:space="0" w:color="auto"/>
            <w:bottom w:val="none" w:sz="0" w:space="0" w:color="auto"/>
            <w:right w:val="none" w:sz="0" w:space="0" w:color="auto"/>
          </w:divBdr>
        </w:div>
        <w:div w:id="608245893">
          <w:marLeft w:val="0"/>
          <w:marRight w:val="0"/>
          <w:marTop w:val="0"/>
          <w:marBottom w:val="0"/>
          <w:divBdr>
            <w:top w:val="none" w:sz="0" w:space="0" w:color="auto"/>
            <w:left w:val="none" w:sz="0" w:space="0" w:color="auto"/>
            <w:bottom w:val="none" w:sz="0" w:space="0" w:color="auto"/>
            <w:right w:val="none" w:sz="0" w:space="0" w:color="auto"/>
          </w:divBdr>
        </w:div>
        <w:div w:id="637076658">
          <w:marLeft w:val="0"/>
          <w:marRight w:val="0"/>
          <w:marTop w:val="0"/>
          <w:marBottom w:val="0"/>
          <w:divBdr>
            <w:top w:val="none" w:sz="0" w:space="0" w:color="auto"/>
            <w:left w:val="none" w:sz="0" w:space="0" w:color="auto"/>
            <w:bottom w:val="none" w:sz="0" w:space="0" w:color="auto"/>
            <w:right w:val="none" w:sz="0" w:space="0" w:color="auto"/>
          </w:divBdr>
        </w:div>
        <w:div w:id="677467981">
          <w:marLeft w:val="0"/>
          <w:marRight w:val="0"/>
          <w:marTop w:val="0"/>
          <w:marBottom w:val="0"/>
          <w:divBdr>
            <w:top w:val="none" w:sz="0" w:space="0" w:color="auto"/>
            <w:left w:val="none" w:sz="0" w:space="0" w:color="auto"/>
            <w:bottom w:val="none" w:sz="0" w:space="0" w:color="auto"/>
            <w:right w:val="none" w:sz="0" w:space="0" w:color="auto"/>
          </w:divBdr>
        </w:div>
        <w:div w:id="725105705">
          <w:marLeft w:val="0"/>
          <w:marRight w:val="0"/>
          <w:marTop w:val="0"/>
          <w:marBottom w:val="0"/>
          <w:divBdr>
            <w:top w:val="none" w:sz="0" w:space="0" w:color="auto"/>
            <w:left w:val="none" w:sz="0" w:space="0" w:color="auto"/>
            <w:bottom w:val="none" w:sz="0" w:space="0" w:color="auto"/>
            <w:right w:val="none" w:sz="0" w:space="0" w:color="auto"/>
          </w:divBdr>
        </w:div>
        <w:div w:id="767389061">
          <w:marLeft w:val="0"/>
          <w:marRight w:val="0"/>
          <w:marTop w:val="0"/>
          <w:marBottom w:val="0"/>
          <w:divBdr>
            <w:top w:val="none" w:sz="0" w:space="0" w:color="auto"/>
            <w:left w:val="none" w:sz="0" w:space="0" w:color="auto"/>
            <w:bottom w:val="none" w:sz="0" w:space="0" w:color="auto"/>
            <w:right w:val="none" w:sz="0" w:space="0" w:color="auto"/>
          </w:divBdr>
        </w:div>
        <w:div w:id="807891515">
          <w:marLeft w:val="0"/>
          <w:marRight w:val="0"/>
          <w:marTop w:val="0"/>
          <w:marBottom w:val="0"/>
          <w:divBdr>
            <w:top w:val="none" w:sz="0" w:space="0" w:color="auto"/>
            <w:left w:val="none" w:sz="0" w:space="0" w:color="auto"/>
            <w:bottom w:val="none" w:sz="0" w:space="0" w:color="auto"/>
            <w:right w:val="none" w:sz="0" w:space="0" w:color="auto"/>
          </w:divBdr>
        </w:div>
        <w:div w:id="812987989">
          <w:marLeft w:val="0"/>
          <w:marRight w:val="0"/>
          <w:marTop w:val="0"/>
          <w:marBottom w:val="0"/>
          <w:divBdr>
            <w:top w:val="none" w:sz="0" w:space="0" w:color="auto"/>
            <w:left w:val="none" w:sz="0" w:space="0" w:color="auto"/>
            <w:bottom w:val="none" w:sz="0" w:space="0" w:color="auto"/>
            <w:right w:val="none" w:sz="0" w:space="0" w:color="auto"/>
          </w:divBdr>
        </w:div>
        <w:div w:id="839272276">
          <w:marLeft w:val="0"/>
          <w:marRight w:val="0"/>
          <w:marTop w:val="0"/>
          <w:marBottom w:val="0"/>
          <w:divBdr>
            <w:top w:val="none" w:sz="0" w:space="0" w:color="auto"/>
            <w:left w:val="none" w:sz="0" w:space="0" w:color="auto"/>
            <w:bottom w:val="none" w:sz="0" w:space="0" w:color="auto"/>
            <w:right w:val="none" w:sz="0" w:space="0" w:color="auto"/>
          </w:divBdr>
        </w:div>
        <w:div w:id="841548147">
          <w:marLeft w:val="0"/>
          <w:marRight w:val="0"/>
          <w:marTop w:val="0"/>
          <w:marBottom w:val="0"/>
          <w:divBdr>
            <w:top w:val="none" w:sz="0" w:space="0" w:color="auto"/>
            <w:left w:val="none" w:sz="0" w:space="0" w:color="auto"/>
            <w:bottom w:val="none" w:sz="0" w:space="0" w:color="auto"/>
            <w:right w:val="none" w:sz="0" w:space="0" w:color="auto"/>
          </w:divBdr>
        </w:div>
        <w:div w:id="847642711">
          <w:marLeft w:val="0"/>
          <w:marRight w:val="0"/>
          <w:marTop w:val="0"/>
          <w:marBottom w:val="0"/>
          <w:divBdr>
            <w:top w:val="none" w:sz="0" w:space="0" w:color="auto"/>
            <w:left w:val="none" w:sz="0" w:space="0" w:color="auto"/>
            <w:bottom w:val="none" w:sz="0" w:space="0" w:color="auto"/>
            <w:right w:val="none" w:sz="0" w:space="0" w:color="auto"/>
          </w:divBdr>
        </w:div>
        <w:div w:id="880824423">
          <w:marLeft w:val="0"/>
          <w:marRight w:val="0"/>
          <w:marTop w:val="0"/>
          <w:marBottom w:val="0"/>
          <w:divBdr>
            <w:top w:val="none" w:sz="0" w:space="0" w:color="auto"/>
            <w:left w:val="none" w:sz="0" w:space="0" w:color="auto"/>
            <w:bottom w:val="none" w:sz="0" w:space="0" w:color="auto"/>
            <w:right w:val="none" w:sz="0" w:space="0" w:color="auto"/>
          </w:divBdr>
        </w:div>
        <w:div w:id="887842126">
          <w:marLeft w:val="0"/>
          <w:marRight w:val="0"/>
          <w:marTop w:val="0"/>
          <w:marBottom w:val="0"/>
          <w:divBdr>
            <w:top w:val="none" w:sz="0" w:space="0" w:color="auto"/>
            <w:left w:val="none" w:sz="0" w:space="0" w:color="auto"/>
            <w:bottom w:val="none" w:sz="0" w:space="0" w:color="auto"/>
            <w:right w:val="none" w:sz="0" w:space="0" w:color="auto"/>
          </w:divBdr>
        </w:div>
        <w:div w:id="900023773">
          <w:marLeft w:val="0"/>
          <w:marRight w:val="0"/>
          <w:marTop w:val="0"/>
          <w:marBottom w:val="0"/>
          <w:divBdr>
            <w:top w:val="none" w:sz="0" w:space="0" w:color="auto"/>
            <w:left w:val="none" w:sz="0" w:space="0" w:color="auto"/>
            <w:bottom w:val="none" w:sz="0" w:space="0" w:color="auto"/>
            <w:right w:val="none" w:sz="0" w:space="0" w:color="auto"/>
          </w:divBdr>
        </w:div>
        <w:div w:id="955137389">
          <w:marLeft w:val="0"/>
          <w:marRight w:val="0"/>
          <w:marTop w:val="0"/>
          <w:marBottom w:val="0"/>
          <w:divBdr>
            <w:top w:val="none" w:sz="0" w:space="0" w:color="auto"/>
            <w:left w:val="none" w:sz="0" w:space="0" w:color="auto"/>
            <w:bottom w:val="none" w:sz="0" w:space="0" w:color="auto"/>
            <w:right w:val="none" w:sz="0" w:space="0" w:color="auto"/>
          </w:divBdr>
        </w:div>
        <w:div w:id="1012338954">
          <w:marLeft w:val="0"/>
          <w:marRight w:val="0"/>
          <w:marTop w:val="0"/>
          <w:marBottom w:val="0"/>
          <w:divBdr>
            <w:top w:val="none" w:sz="0" w:space="0" w:color="auto"/>
            <w:left w:val="none" w:sz="0" w:space="0" w:color="auto"/>
            <w:bottom w:val="none" w:sz="0" w:space="0" w:color="auto"/>
            <w:right w:val="none" w:sz="0" w:space="0" w:color="auto"/>
          </w:divBdr>
        </w:div>
        <w:div w:id="1014382646">
          <w:marLeft w:val="0"/>
          <w:marRight w:val="0"/>
          <w:marTop w:val="0"/>
          <w:marBottom w:val="0"/>
          <w:divBdr>
            <w:top w:val="none" w:sz="0" w:space="0" w:color="auto"/>
            <w:left w:val="none" w:sz="0" w:space="0" w:color="auto"/>
            <w:bottom w:val="none" w:sz="0" w:space="0" w:color="auto"/>
            <w:right w:val="none" w:sz="0" w:space="0" w:color="auto"/>
          </w:divBdr>
        </w:div>
        <w:div w:id="1015421416">
          <w:marLeft w:val="0"/>
          <w:marRight w:val="0"/>
          <w:marTop w:val="0"/>
          <w:marBottom w:val="0"/>
          <w:divBdr>
            <w:top w:val="none" w:sz="0" w:space="0" w:color="auto"/>
            <w:left w:val="none" w:sz="0" w:space="0" w:color="auto"/>
            <w:bottom w:val="none" w:sz="0" w:space="0" w:color="auto"/>
            <w:right w:val="none" w:sz="0" w:space="0" w:color="auto"/>
          </w:divBdr>
        </w:div>
        <w:div w:id="1078670279">
          <w:marLeft w:val="0"/>
          <w:marRight w:val="0"/>
          <w:marTop w:val="0"/>
          <w:marBottom w:val="0"/>
          <w:divBdr>
            <w:top w:val="none" w:sz="0" w:space="0" w:color="auto"/>
            <w:left w:val="none" w:sz="0" w:space="0" w:color="auto"/>
            <w:bottom w:val="none" w:sz="0" w:space="0" w:color="auto"/>
            <w:right w:val="none" w:sz="0" w:space="0" w:color="auto"/>
          </w:divBdr>
        </w:div>
        <w:div w:id="1098253157">
          <w:marLeft w:val="0"/>
          <w:marRight w:val="0"/>
          <w:marTop w:val="0"/>
          <w:marBottom w:val="0"/>
          <w:divBdr>
            <w:top w:val="none" w:sz="0" w:space="0" w:color="auto"/>
            <w:left w:val="none" w:sz="0" w:space="0" w:color="auto"/>
            <w:bottom w:val="none" w:sz="0" w:space="0" w:color="auto"/>
            <w:right w:val="none" w:sz="0" w:space="0" w:color="auto"/>
          </w:divBdr>
        </w:div>
        <w:div w:id="1106921788">
          <w:marLeft w:val="0"/>
          <w:marRight w:val="0"/>
          <w:marTop w:val="0"/>
          <w:marBottom w:val="0"/>
          <w:divBdr>
            <w:top w:val="none" w:sz="0" w:space="0" w:color="auto"/>
            <w:left w:val="none" w:sz="0" w:space="0" w:color="auto"/>
            <w:bottom w:val="none" w:sz="0" w:space="0" w:color="auto"/>
            <w:right w:val="none" w:sz="0" w:space="0" w:color="auto"/>
          </w:divBdr>
        </w:div>
        <w:div w:id="1139809758">
          <w:marLeft w:val="0"/>
          <w:marRight w:val="0"/>
          <w:marTop w:val="0"/>
          <w:marBottom w:val="0"/>
          <w:divBdr>
            <w:top w:val="none" w:sz="0" w:space="0" w:color="auto"/>
            <w:left w:val="none" w:sz="0" w:space="0" w:color="auto"/>
            <w:bottom w:val="none" w:sz="0" w:space="0" w:color="auto"/>
            <w:right w:val="none" w:sz="0" w:space="0" w:color="auto"/>
          </w:divBdr>
        </w:div>
        <w:div w:id="1295983473">
          <w:marLeft w:val="0"/>
          <w:marRight w:val="0"/>
          <w:marTop w:val="0"/>
          <w:marBottom w:val="0"/>
          <w:divBdr>
            <w:top w:val="none" w:sz="0" w:space="0" w:color="auto"/>
            <w:left w:val="none" w:sz="0" w:space="0" w:color="auto"/>
            <w:bottom w:val="none" w:sz="0" w:space="0" w:color="auto"/>
            <w:right w:val="none" w:sz="0" w:space="0" w:color="auto"/>
          </w:divBdr>
        </w:div>
        <w:div w:id="1315718456">
          <w:marLeft w:val="0"/>
          <w:marRight w:val="0"/>
          <w:marTop w:val="0"/>
          <w:marBottom w:val="0"/>
          <w:divBdr>
            <w:top w:val="none" w:sz="0" w:space="0" w:color="auto"/>
            <w:left w:val="none" w:sz="0" w:space="0" w:color="auto"/>
            <w:bottom w:val="none" w:sz="0" w:space="0" w:color="auto"/>
            <w:right w:val="none" w:sz="0" w:space="0" w:color="auto"/>
          </w:divBdr>
        </w:div>
        <w:div w:id="1390228950">
          <w:marLeft w:val="0"/>
          <w:marRight w:val="0"/>
          <w:marTop w:val="0"/>
          <w:marBottom w:val="0"/>
          <w:divBdr>
            <w:top w:val="none" w:sz="0" w:space="0" w:color="auto"/>
            <w:left w:val="none" w:sz="0" w:space="0" w:color="auto"/>
            <w:bottom w:val="none" w:sz="0" w:space="0" w:color="auto"/>
            <w:right w:val="none" w:sz="0" w:space="0" w:color="auto"/>
          </w:divBdr>
        </w:div>
        <w:div w:id="1423332733">
          <w:marLeft w:val="0"/>
          <w:marRight w:val="0"/>
          <w:marTop w:val="0"/>
          <w:marBottom w:val="0"/>
          <w:divBdr>
            <w:top w:val="none" w:sz="0" w:space="0" w:color="auto"/>
            <w:left w:val="none" w:sz="0" w:space="0" w:color="auto"/>
            <w:bottom w:val="none" w:sz="0" w:space="0" w:color="auto"/>
            <w:right w:val="none" w:sz="0" w:space="0" w:color="auto"/>
          </w:divBdr>
        </w:div>
        <w:div w:id="1426457000">
          <w:marLeft w:val="0"/>
          <w:marRight w:val="0"/>
          <w:marTop w:val="0"/>
          <w:marBottom w:val="0"/>
          <w:divBdr>
            <w:top w:val="none" w:sz="0" w:space="0" w:color="auto"/>
            <w:left w:val="none" w:sz="0" w:space="0" w:color="auto"/>
            <w:bottom w:val="none" w:sz="0" w:space="0" w:color="auto"/>
            <w:right w:val="none" w:sz="0" w:space="0" w:color="auto"/>
          </w:divBdr>
        </w:div>
        <w:div w:id="1479614574">
          <w:marLeft w:val="0"/>
          <w:marRight w:val="0"/>
          <w:marTop w:val="0"/>
          <w:marBottom w:val="0"/>
          <w:divBdr>
            <w:top w:val="none" w:sz="0" w:space="0" w:color="auto"/>
            <w:left w:val="none" w:sz="0" w:space="0" w:color="auto"/>
            <w:bottom w:val="none" w:sz="0" w:space="0" w:color="auto"/>
            <w:right w:val="none" w:sz="0" w:space="0" w:color="auto"/>
          </w:divBdr>
        </w:div>
        <w:div w:id="1512987518">
          <w:marLeft w:val="0"/>
          <w:marRight w:val="0"/>
          <w:marTop w:val="0"/>
          <w:marBottom w:val="0"/>
          <w:divBdr>
            <w:top w:val="none" w:sz="0" w:space="0" w:color="auto"/>
            <w:left w:val="none" w:sz="0" w:space="0" w:color="auto"/>
            <w:bottom w:val="none" w:sz="0" w:space="0" w:color="auto"/>
            <w:right w:val="none" w:sz="0" w:space="0" w:color="auto"/>
          </w:divBdr>
        </w:div>
        <w:div w:id="1564676170">
          <w:marLeft w:val="0"/>
          <w:marRight w:val="0"/>
          <w:marTop w:val="0"/>
          <w:marBottom w:val="0"/>
          <w:divBdr>
            <w:top w:val="none" w:sz="0" w:space="0" w:color="auto"/>
            <w:left w:val="none" w:sz="0" w:space="0" w:color="auto"/>
            <w:bottom w:val="none" w:sz="0" w:space="0" w:color="auto"/>
            <w:right w:val="none" w:sz="0" w:space="0" w:color="auto"/>
          </w:divBdr>
        </w:div>
        <w:div w:id="1688798319">
          <w:marLeft w:val="0"/>
          <w:marRight w:val="0"/>
          <w:marTop w:val="0"/>
          <w:marBottom w:val="0"/>
          <w:divBdr>
            <w:top w:val="none" w:sz="0" w:space="0" w:color="auto"/>
            <w:left w:val="none" w:sz="0" w:space="0" w:color="auto"/>
            <w:bottom w:val="none" w:sz="0" w:space="0" w:color="auto"/>
            <w:right w:val="none" w:sz="0" w:space="0" w:color="auto"/>
          </w:divBdr>
        </w:div>
        <w:div w:id="1709794244">
          <w:marLeft w:val="0"/>
          <w:marRight w:val="0"/>
          <w:marTop w:val="0"/>
          <w:marBottom w:val="0"/>
          <w:divBdr>
            <w:top w:val="none" w:sz="0" w:space="0" w:color="auto"/>
            <w:left w:val="none" w:sz="0" w:space="0" w:color="auto"/>
            <w:bottom w:val="none" w:sz="0" w:space="0" w:color="auto"/>
            <w:right w:val="none" w:sz="0" w:space="0" w:color="auto"/>
          </w:divBdr>
        </w:div>
        <w:div w:id="1771923861">
          <w:marLeft w:val="0"/>
          <w:marRight w:val="0"/>
          <w:marTop w:val="0"/>
          <w:marBottom w:val="0"/>
          <w:divBdr>
            <w:top w:val="none" w:sz="0" w:space="0" w:color="auto"/>
            <w:left w:val="none" w:sz="0" w:space="0" w:color="auto"/>
            <w:bottom w:val="none" w:sz="0" w:space="0" w:color="auto"/>
            <w:right w:val="none" w:sz="0" w:space="0" w:color="auto"/>
          </w:divBdr>
        </w:div>
        <w:div w:id="1825197196">
          <w:marLeft w:val="0"/>
          <w:marRight w:val="0"/>
          <w:marTop w:val="0"/>
          <w:marBottom w:val="0"/>
          <w:divBdr>
            <w:top w:val="none" w:sz="0" w:space="0" w:color="auto"/>
            <w:left w:val="none" w:sz="0" w:space="0" w:color="auto"/>
            <w:bottom w:val="none" w:sz="0" w:space="0" w:color="auto"/>
            <w:right w:val="none" w:sz="0" w:space="0" w:color="auto"/>
          </w:divBdr>
        </w:div>
        <w:div w:id="1838956521">
          <w:marLeft w:val="0"/>
          <w:marRight w:val="0"/>
          <w:marTop w:val="0"/>
          <w:marBottom w:val="0"/>
          <w:divBdr>
            <w:top w:val="none" w:sz="0" w:space="0" w:color="auto"/>
            <w:left w:val="none" w:sz="0" w:space="0" w:color="auto"/>
            <w:bottom w:val="none" w:sz="0" w:space="0" w:color="auto"/>
            <w:right w:val="none" w:sz="0" w:space="0" w:color="auto"/>
          </w:divBdr>
        </w:div>
        <w:div w:id="1852793324">
          <w:marLeft w:val="0"/>
          <w:marRight w:val="0"/>
          <w:marTop w:val="0"/>
          <w:marBottom w:val="0"/>
          <w:divBdr>
            <w:top w:val="none" w:sz="0" w:space="0" w:color="auto"/>
            <w:left w:val="none" w:sz="0" w:space="0" w:color="auto"/>
            <w:bottom w:val="none" w:sz="0" w:space="0" w:color="auto"/>
            <w:right w:val="none" w:sz="0" w:space="0" w:color="auto"/>
          </w:divBdr>
        </w:div>
        <w:div w:id="1854611806">
          <w:marLeft w:val="0"/>
          <w:marRight w:val="0"/>
          <w:marTop w:val="0"/>
          <w:marBottom w:val="0"/>
          <w:divBdr>
            <w:top w:val="none" w:sz="0" w:space="0" w:color="auto"/>
            <w:left w:val="none" w:sz="0" w:space="0" w:color="auto"/>
            <w:bottom w:val="none" w:sz="0" w:space="0" w:color="auto"/>
            <w:right w:val="none" w:sz="0" w:space="0" w:color="auto"/>
          </w:divBdr>
        </w:div>
        <w:div w:id="1859195806">
          <w:marLeft w:val="0"/>
          <w:marRight w:val="0"/>
          <w:marTop w:val="0"/>
          <w:marBottom w:val="0"/>
          <w:divBdr>
            <w:top w:val="none" w:sz="0" w:space="0" w:color="auto"/>
            <w:left w:val="none" w:sz="0" w:space="0" w:color="auto"/>
            <w:bottom w:val="none" w:sz="0" w:space="0" w:color="auto"/>
            <w:right w:val="none" w:sz="0" w:space="0" w:color="auto"/>
          </w:divBdr>
        </w:div>
        <w:div w:id="1879512049">
          <w:marLeft w:val="0"/>
          <w:marRight w:val="0"/>
          <w:marTop w:val="0"/>
          <w:marBottom w:val="0"/>
          <w:divBdr>
            <w:top w:val="none" w:sz="0" w:space="0" w:color="auto"/>
            <w:left w:val="none" w:sz="0" w:space="0" w:color="auto"/>
            <w:bottom w:val="none" w:sz="0" w:space="0" w:color="auto"/>
            <w:right w:val="none" w:sz="0" w:space="0" w:color="auto"/>
          </w:divBdr>
        </w:div>
        <w:div w:id="1884440666">
          <w:marLeft w:val="0"/>
          <w:marRight w:val="0"/>
          <w:marTop w:val="0"/>
          <w:marBottom w:val="0"/>
          <w:divBdr>
            <w:top w:val="none" w:sz="0" w:space="0" w:color="auto"/>
            <w:left w:val="none" w:sz="0" w:space="0" w:color="auto"/>
            <w:bottom w:val="none" w:sz="0" w:space="0" w:color="auto"/>
            <w:right w:val="none" w:sz="0" w:space="0" w:color="auto"/>
          </w:divBdr>
        </w:div>
        <w:div w:id="1892229634">
          <w:marLeft w:val="0"/>
          <w:marRight w:val="0"/>
          <w:marTop w:val="0"/>
          <w:marBottom w:val="0"/>
          <w:divBdr>
            <w:top w:val="none" w:sz="0" w:space="0" w:color="auto"/>
            <w:left w:val="none" w:sz="0" w:space="0" w:color="auto"/>
            <w:bottom w:val="none" w:sz="0" w:space="0" w:color="auto"/>
            <w:right w:val="none" w:sz="0" w:space="0" w:color="auto"/>
          </w:divBdr>
        </w:div>
        <w:div w:id="2000381201">
          <w:marLeft w:val="0"/>
          <w:marRight w:val="0"/>
          <w:marTop w:val="0"/>
          <w:marBottom w:val="0"/>
          <w:divBdr>
            <w:top w:val="none" w:sz="0" w:space="0" w:color="auto"/>
            <w:left w:val="none" w:sz="0" w:space="0" w:color="auto"/>
            <w:bottom w:val="none" w:sz="0" w:space="0" w:color="auto"/>
            <w:right w:val="none" w:sz="0" w:space="0" w:color="auto"/>
          </w:divBdr>
        </w:div>
        <w:div w:id="2011979402">
          <w:marLeft w:val="0"/>
          <w:marRight w:val="0"/>
          <w:marTop w:val="0"/>
          <w:marBottom w:val="0"/>
          <w:divBdr>
            <w:top w:val="none" w:sz="0" w:space="0" w:color="auto"/>
            <w:left w:val="none" w:sz="0" w:space="0" w:color="auto"/>
            <w:bottom w:val="none" w:sz="0" w:space="0" w:color="auto"/>
            <w:right w:val="none" w:sz="0" w:space="0" w:color="auto"/>
          </w:divBdr>
        </w:div>
        <w:div w:id="2026445663">
          <w:marLeft w:val="0"/>
          <w:marRight w:val="0"/>
          <w:marTop w:val="0"/>
          <w:marBottom w:val="0"/>
          <w:divBdr>
            <w:top w:val="none" w:sz="0" w:space="0" w:color="auto"/>
            <w:left w:val="none" w:sz="0" w:space="0" w:color="auto"/>
            <w:bottom w:val="none" w:sz="0" w:space="0" w:color="auto"/>
            <w:right w:val="none" w:sz="0" w:space="0" w:color="auto"/>
          </w:divBdr>
        </w:div>
        <w:div w:id="2045476442">
          <w:marLeft w:val="0"/>
          <w:marRight w:val="0"/>
          <w:marTop w:val="0"/>
          <w:marBottom w:val="0"/>
          <w:divBdr>
            <w:top w:val="none" w:sz="0" w:space="0" w:color="auto"/>
            <w:left w:val="none" w:sz="0" w:space="0" w:color="auto"/>
            <w:bottom w:val="none" w:sz="0" w:space="0" w:color="auto"/>
            <w:right w:val="none" w:sz="0" w:space="0" w:color="auto"/>
          </w:divBdr>
        </w:div>
        <w:div w:id="2047483211">
          <w:marLeft w:val="0"/>
          <w:marRight w:val="0"/>
          <w:marTop w:val="0"/>
          <w:marBottom w:val="0"/>
          <w:divBdr>
            <w:top w:val="none" w:sz="0" w:space="0" w:color="auto"/>
            <w:left w:val="none" w:sz="0" w:space="0" w:color="auto"/>
            <w:bottom w:val="none" w:sz="0" w:space="0" w:color="auto"/>
            <w:right w:val="none" w:sz="0" w:space="0" w:color="auto"/>
          </w:divBdr>
        </w:div>
        <w:div w:id="2055151315">
          <w:marLeft w:val="0"/>
          <w:marRight w:val="0"/>
          <w:marTop w:val="0"/>
          <w:marBottom w:val="0"/>
          <w:divBdr>
            <w:top w:val="none" w:sz="0" w:space="0" w:color="auto"/>
            <w:left w:val="none" w:sz="0" w:space="0" w:color="auto"/>
            <w:bottom w:val="none" w:sz="0" w:space="0" w:color="auto"/>
            <w:right w:val="none" w:sz="0" w:space="0" w:color="auto"/>
          </w:divBdr>
        </w:div>
        <w:div w:id="2056156466">
          <w:marLeft w:val="0"/>
          <w:marRight w:val="0"/>
          <w:marTop w:val="0"/>
          <w:marBottom w:val="0"/>
          <w:divBdr>
            <w:top w:val="none" w:sz="0" w:space="0" w:color="auto"/>
            <w:left w:val="none" w:sz="0" w:space="0" w:color="auto"/>
            <w:bottom w:val="none" w:sz="0" w:space="0" w:color="auto"/>
            <w:right w:val="none" w:sz="0" w:space="0" w:color="auto"/>
          </w:divBdr>
        </w:div>
        <w:div w:id="2071806070">
          <w:marLeft w:val="0"/>
          <w:marRight w:val="0"/>
          <w:marTop w:val="0"/>
          <w:marBottom w:val="0"/>
          <w:divBdr>
            <w:top w:val="none" w:sz="0" w:space="0" w:color="auto"/>
            <w:left w:val="none" w:sz="0" w:space="0" w:color="auto"/>
            <w:bottom w:val="none" w:sz="0" w:space="0" w:color="auto"/>
            <w:right w:val="none" w:sz="0" w:space="0" w:color="auto"/>
          </w:divBdr>
        </w:div>
        <w:div w:id="2074353689">
          <w:marLeft w:val="0"/>
          <w:marRight w:val="0"/>
          <w:marTop w:val="0"/>
          <w:marBottom w:val="0"/>
          <w:divBdr>
            <w:top w:val="none" w:sz="0" w:space="0" w:color="auto"/>
            <w:left w:val="none" w:sz="0" w:space="0" w:color="auto"/>
            <w:bottom w:val="none" w:sz="0" w:space="0" w:color="auto"/>
            <w:right w:val="none" w:sz="0" w:space="0" w:color="auto"/>
          </w:divBdr>
        </w:div>
        <w:div w:id="2077435284">
          <w:marLeft w:val="0"/>
          <w:marRight w:val="0"/>
          <w:marTop w:val="0"/>
          <w:marBottom w:val="0"/>
          <w:divBdr>
            <w:top w:val="none" w:sz="0" w:space="0" w:color="auto"/>
            <w:left w:val="none" w:sz="0" w:space="0" w:color="auto"/>
            <w:bottom w:val="none" w:sz="0" w:space="0" w:color="auto"/>
            <w:right w:val="none" w:sz="0" w:space="0" w:color="auto"/>
          </w:divBdr>
        </w:div>
        <w:div w:id="2101634193">
          <w:marLeft w:val="0"/>
          <w:marRight w:val="0"/>
          <w:marTop w:val="0"/>
          <w:marBottom w:val="0"/>
          <w:divBdr>
            <w:top w:val="none" w:sz="0" w:space="0" w:color="auto"/>
            <w:left w:val="none" w:sz="0" w:space="0" w:color="auto"/>
            <w:bottom w:val="none" w:sz="0" w:space="0" w:color="auto"/>
            <w:right w:val="none" w:sz="0" w:space="0" w:color="auto"/>
          </w:divBdr>
        </w:div>
        <w:div w:id="2117484271">
          <w:marLeft w:val="0"/>
          <w:marRight w:val="0"/>
          <w:marTop w:val="0"/>
          <w:marBottom w:val="0"/>
          <w:divBdr>
            <w:top w:val="none" w:sz="0" w:space="0" w:color="auto"/>
            <w:left w:val="none" w:sz="0" w:space="0" w:color="auto"/>
            <w:bottom w:val="none" w:sz="0" w:space="0" w:color="auto"/>
            <w:right w:val="none" w:sz="0" w:space="0" w:color="auto"/>
          </w:divBdr>
        </w:div>
        <w:div w:id="2130126293">
          <w:marLeft w:val="0"/>
          <w:marRight w:val="0"/>
          <w:marTop w:val="0"/>
          <w:marBottom w:val="0"/>
          <w:divBdr>
            <w:top w:val="none" w:sz="0" w:space="0" w:color="auto"/>
            <w:left w:val="none" w:sz="0" w:space="0" w:color="auto"/>
            <w:bottom w:val="none" w:sz="0" w:space="0" w:color="auto"/>
            <w:right w:val="none" w:sz="0" w:space="0" w:color="auto"/>
          </w:divBdr>
        </w:div>
      </w:divsChild>
    </w:div>
    <w:div w:id="1545409551">
      <w:bodyDiv w:val="1"/>
      <w:marLeft w:val="0"/>
      <w:marRight w:val="0"/>
      <w:marTop w:val="0"/>
      <w:marBottom w:val="0"/>
      <w:divBdr>
        <w:top w:val="none" w:sz="0" w:space="0" w:color="auto"/>
        <w:left w:val="none" w:sz="0" w:space="0" w:color="auto"/>
        <w:bottom w:val="none" w:sz="0" w:space="0" w:color="auto"/>
        <w:right w:val="none" w:sz="0" w:space="0" w:color="auto"/>
      </w:divBdr>
      <w:divsChild>
        <w:div w:id="100149497">
          <w:marLeft w:val="0"/>
          <w:marRight w:val="0"/>
          <w:marTop w:val="0"/>
          <w:marBottom w:val="0"/>
          <w:divBdr>
            <w:top w:val="none" w:sz="0" w:space="0" w:color="auto"/>
            <w:left w:val="none" w:sz="0" w:space="0" w:color="auto"/>
            <w:bottom w:val="none" w:sz="0" w:space="0" w:color="auto"/>
            <w:right w:val="none" w:sz="0" w:space="0" w:color="auto"/>
          </w:divBdr>
          <w:divsChild>
            <w:div w:id="47843392">
              <w:marLeft w:val="0"/>
              <w:marRight w:val="0"/>
              <w:marTop w:val="0"/>
              <w:marBottom w:val="0"/>
              <w:divBdr>
                <w:top w:val="none" w:sz="0" w:space="0" w:color="auto"/>
                <w:left w:val="none" w:sz="0" w:space="0" w:color="auto"/>
                <w:bottom w:val="none" w:sz="0" w:space="0" w:color="auto"/>
                <w:right w:val="none" w:sz="0" w:space="0" w:color="auto"/>
              </w:divBdr>
            </w:div>
            <w:div w:id="69818674">
              <w:marLeft w:val="0"/>
              <w:marRight w:val="0"/>
              <w:marTop w:val="0"/>
              <w:marBottom w:val="0"/>
              <w:divBdr>
                <w:top w:val="none" w:sz="0" w:space="0" w:color="auto"/>
                <w:left w:val="none" w:sz="0" w:space="0" w:color="auto"/>
                <w:bottom w:val="none" w:sz="0" w:space="0" w:color="auto"/>
                <w:right w:val="none" w:sz="0" w:space="0" w:color="auto"/>
              </w:divBdr>
            </w:div>
            <w:div w:id="89665827">
              <w:marLeft w:val="0"/>
              <w:marRight w:val="0"/>
              <w:marTop w:val="0"/>
              <w:marBottom w:val="0"/>
              <w:divBdr>
                <w:top w:val="none" w:sz="0" w:space="0" w:color="auto"/>
                <w:left w:val="none" w:sz="0" w:space="0" w:color="auto"/>
                <w:bottom w:val="none" w:sz="0" w:space="0" w:color="auto"/>
                <w:right w:val="none" w:sz="0" w:space="0" w:color="auto"/>
              </w:divBdr>
            </w:div>
            <w:div w:id="93676269">
              <w:marLeft w:val="0"/>
              <w:marRight w:val="0"/>
              <w:marTop w:val="0"/>
              <w:marBottom w:val="0"/>
              <w:divBdr>
                <w:top w:val="none" w:sz="0" w:space="0" w:color="auto"/>
                <w:left w:val="none" w:sz="0" w:space="0" w:color="auto"/>
                <w:bottom w:val="none" w:sz="0" w:space="0" w:color="auto"/>
                <w:right w:val="none" w:sz="0" w:space="0" w:color="auto"/>
              </w:divBdr>
            </w:div>
            <w:div w:id="104544714">
              <w:marLeft w:val="0"/>
              <w:marRight w:val="0"/>
              <w:marTop w:val="0"/>
              <w:marBottom w:val="0"/>
              <w:divBdr>
                <w:top w:val="none" w:sz="0" w:space="0" w:color="auto"/>
                <w:left w:val="none" w:sz="0" w:space="0" w:color="auto"/>
                <w:bottom w:val="none" w:sz="0" w:space="0" w:color="auto"/>
                <w:right w:val="none" w:sz="0" w:space="0" w:color="auto"/>
              </w:divBdr>
            </w:div>
            <w:div w:id="176769809">
              <w:marLeft w:val="0"/>
              <w:marRight w:val="0"/>
              <w:marTop w:val="0"/>
              <w:marBottom w:val="0"/>
              <w:divBdr>
                <w:top w:val="none" w:sz="0" w:space="0" w:color="auto"/>
                <w:left w:val="none" w:sz="0" w:space="0" w:color="auto"/>
                <w:bottom w:val="none" w:sz="0" w:space="0" w:color="auto"/>
                <w:right w:val="none" w:sz="0" w:space="0" w:color="auto"/>
              </w:divBdr>
            </w:div>
            <w:div w:id="275258361">
              <w:marLeft w:val="0"/>
              <w:marRight w:val="0"/>
              <w:marTop w:val="0"/>
              <w:marBottom w:val="0"/>
              <w:divBdr>
                <w:top w:val="none" w:sz="0" w:space="0" w:color="auto"/>
                <w:left w:val="none" w:sz="0" w:space="0" w:color="auto"/>
                <w:bottom w:val="none" w:sz="0" w:space="0" w:color="auto"/>
                <w:right w:val="none" w:sz="0" w:space="0" w:color="auto"/>
              </w:divBdr>
            </w:div>
            <w:div w:id="279386706">
              <w:marLeft w:val="0"/>
              <w:marRight w:val="0"/>
              <w:marTop w:val="0"/>
              <w:marBottom w:val="0"/>
              <w:divBdr>
                <w:top w:val="none" w:sz="0" w:space="0" w:color="auto"/>
                <w:left w:val="none" w:sz="0" w:space="0" w:color="auto"/>
                <w:bottom w:val="none" w:sz="0" w:space="0" w:color="auto"/>
                <w:right w:val="none" w:sz="0" w:space="0" w:color="auto"/>
              </w:divBdr>
            </w:div>
            <w:div w:id="281500922">
              <w:marLeft w:val="0"/>
              <w:marRight w:val="0"/>
              <w:marTop w:val="0"/>
              <w:marBottom w:val="0"/>
              <w:divBdr>
                <w:top w:val="none" w:sz="0" w:space="0" w:color="auto"/>
                <w:left w:val="none" w:sz="0" w:space="0" w:color="auto"/>
                <w:bottom w:val="none" w:sz="0" w:space="0" w:color="auto"/>
                <w:right w:val="none" w:sz="0" w:space="0" w:color="auto"/>
              </w:divBdr>
            </w:div>
            <w:div w:id="331102078">
              <w:marLeft w:val="0"/>
              <w:marRight w:val="0"/>
              <w:marTop w:val="0"/>
              <w:marBottom w:val="0"/>
              <w:divBdr>
                <w:top w:val="none" w:sz="0" w:space="0" w:color="auto"/>
                <w:left w:val="none" w:sz="0" w:space="0" w:color="auto"/>
                <w:bottom w:val="none" w:sz="0" w:space="0" w:color="auto"/>
                <w:right w:val="none" w:sz="0" w:space="0" w:color="auto"/>
              </w:divBdr>
            </w:div>
            <w:div w:id="374626656">
              <w:marLeft w:val="0"/>
              <w:marRight w:val="0"/>
              <w:marTop w:val="0"/>
              <w:marBottom w:val="0"/>
              <w:divBdr>
                <w:top w:val="none" w:sz="0" w:space="0" w:color="auto"/>
                <w:left w:val="none" w:sz="0" w:space="0" w:color="auto"/>
                <w:bottom w:val="none" w:sz="0" w:space="0" w:color="auto"/>
                <w:right w:val="none" w:sz="0" w:space="0" w:color="auto"/>
              </w:divBdr>
            </w:div>
            <w:div w:id="451482950">
              <w:marLeft w:val="0"/>
              <w:marRight w:val="0"/>
              <w:marTop w:val="0"/>
              <w:marBottom w:val="0"/>
              <w:divBdr>
                <w:top w:val="none" w:sz="0" w:space="0" w:color="auto"/>
                <w:left w:val="none" w:sz="0" w:space="0" w:color="auto"/>
                <w:bottom w:val="none" w:sz="0" w:space="0" w:color="auto"/>
                <w:right w:val="none" w:sz="0" w:space="0" w:color="auto"/>
              </w:divBdr>
            </w:div>
            <w:div w:id="499735216">
              <w:marLeft w:val="0"/>
              <w:marRight w:val="0"/>
              <w:marTop w:val="0"/>
              <w:marBottom w:val="0"/>
              <w:divBdr>
                <w:top w:val="none" w:sz="0" w:space="0" w:color="auto"/>
                <w:left w:val="none" w:sz="0" w:space="0" w:color="auto"/>
                <w:bottom w:val="none" w:sz="0" w:space="0" w:color="auto"/>
                <w:right w:val="none" w:sz="0" w:space="0" w:color="auto"/>
              </w:divBdr>
            </w:div>
            <w:div w:id="506675189">
              <w:marLeft w:val="0"/>
              <w:marRight w:val="0"/>
              <w:marTop w:val="0"/>
              <w:marBottom w:val="0"/>
              <w:divBdr>
                <w:top w:val="none" w:sz="0" w:space="0" w:color="auto"/>
                <w:left w:val="none" w:sz="0" w:space="0" w:color="auto"/>
                <w:bottom w:val="none" w:sz="0" w:space="0" w:color="auto"/>
                <w:right w:val="none" w:sz="0" w:space="0" w:color="auto"/>
              </w:divBdr>
            </w:div>
            <w:div w:id="511067313">
              <w:marLeft w:val="0"/>
              <w:marRight w:val="0"/>
              <w:marTop w:val="0"/>
              <w:marBottom w:val="0"/>
              <w:divBdr>
                <w:top w:val="none" w:sz="0" w:space="0" w:color="auto"/>
                <w:left w:val="none" w:sz="0" w:space="0" w:color="auto"/>
                <w:bottom w:val="none" w:sz="0" w:space="0" w:color="auto"/>
                <w:right w:val="none" w:sz="0" w:space="0" w:color="auto"/>
              </w:divBdr>
            </w:div>
            <w:div w:id="550577158">
              <w:marLeft w:val="0"/>
              <w:marRight w:val="0"/>
              <w:marTop w:val="0"/>
              <w:marBottom w:val="0"/>
              <w:divBdr>
                <w:top w:val="none" w:sz="0" w:space="0" w:color="auto"/>
                <w:left w:val="none" w:sz="0" w:space="0" w:color="auto"/>
                <w:bottom w:val="none" w:sz="0" w:space="0" w:color="auto"/>
                <w:right w:val="none" w:sz="0" w:space="0" w:color="auto"/>
              </w:divBdr>
            </w:div>
            <w:div w:id="556671094">
              <w:marLeft w:val="0"/>
              <w:marRight w:val="0"/>
              <w:marTop w:val="0"/>
              <w:marBottom w:val="0"/>
              <w:divBdr>
                <w:top w:val="none" w:sz="0" w:space="0" w:color="auto"/>
                <w:left w:val="none" w:sz="0" w:space="0" w:color="auto"/>
                <w:bottom w:val="none" w:sz="0" w:space="0" w:color="auto"/>
                <w:right w:val="none" w:sz="0" w:space="0" w:color="auto"/>
              </w:divBdr>
            </w:div>
            <w:div w:id="566838287">
              <w:marLeft w:val="0"/>
              <w:marRight w:val="0"/>
              <w:marTop w:val="0"/>
              <w:marBottom w:val="0"/>
              <w:divBdr>
                <w:top w:val="none" w:sz="0" w:space="0" w:color="auto"/>
                <w:left w:val="none" w:sz="0" w:space="0" w:color="auto"/>
                <w:bottom w:val="none" w:sz="0" w:space="0" w:color="auto"/>
                <w:right w:val="none" w:sz="0" w:space="0" w:color="auto"/>
              </w:divBdr>
            </w:div>
            <w:div w:id="605162075">
              <w:marLeft w:val="0"/>
              <w:marRight w:val="0"/>
              <w:marTop w:val="0"/>
              <w:marBottom w:val="0"/>
              <w:divBdr>
                <w:top w:val="none" w:sz="0" w:space="0" w:color="auto"/>
                <w:left w:val="none" w:sz="0" w:space="0" w:color="auto"/>
                <w:bottom w:val="none" w:sz="0" w:space="0" w:color="auto"/>
                <w:right w:val="none" w:sz="0" w:space="0" w:color="auto"/>
              </w:divBdr>
            </w:div>
            <w:div w:id="608440211">
              <w:marLeft w:val="0"/>
              <w:marRight w:val="0"/>
              <w:marTop w:val="0"/>
              <w:marBottom w:val="0"/>
              <w:divBdr>
                <w:top w:val="none" w:sz="0" w:space="0" w:color="auto"/>
                <w:left w:val="none" w:sz="0" w:space="0" w:color="auto"/>
                <w:bottom w:val="none" w:sz="0" w:space="0" w:color="auto"/>
                <w:right w:val="none" w:sz="0" w:space="0" w:color="auto"/>
              </w:divBdr>
            </w:div>
            <w:div w:id="624508629">
              <w:marLeft w:val="0"/>
              <w:marRight w:val="0"/>
              <w:marTop w:val="0"/>
              <w:marBottom w:val="0"/>
              <w:divBdr>
                <w:top w:val="none" w:sz="0" w:space="0" w:color="auto"/>
                <w:left w:val="none" w:sz="0" w:space="0" w:color="auto"/>
                <w:bottom w:val="none" w:sz="0" w:space="0" w:color="auto"/>
                <w:right w:val="none" w:sz="0" w:space="0" w:color="auto"/>
              </w:divBdr>
            </w:div>
            <w:div w:id="635455177">
              <w:marLeft w:val="0"/>
              <w:marRight w:val="0"/>
              <w:marTop w:val="0"/>
              <w:marBottom w:val="0"/>
              <w:divBdr>
                <w:top w:val="none" w:sz="0" w:space="0" w:color="auto"/>
                <w:left w:val="none" w:sz="0" w:space="0" w:color="auto"/>
                <w:bottom w:val="none" w:sz="0" w:space="0" w:color="auto"/>
                <w:right w:val="none" w:sz="0" w:space="0" w:color="auto"/>
              </w:divBdr>
            </w:div>
            <w:div w:id="637227093">
              <w:marLeft w:val="0"/>
              <w:marRight w:val="0"/>
              <w:marTop w:val="0"/>
              <w:marBottom w:val="0"/>
              <w:divBdr>
                <w:top w:val="none" w:sz="0" w:space="0" w:color="auto"/>
                <w:left w:val="none" w:sz="0" w:space="0" w:color="auto"/>
                <w:bottom w:val="none" w:sz="0" w:space="0" w:color="auto"/>
                <w:right w:val="none" w:sz="0" w:space="0" w:color="auto"/>
              </w:divBdr>
            </w:div>
            <w:div w:id="750274119">
              <w:marLeft w:val="0"/>
              <w:marRight w:val="0"/>
              <w:marTop w:val="0"/>
              <w:marBottom w:val="0"/>
              <w:divBdr>
                <w:top w:val="none" w:sz="0" w:space="0" w:color="auto"/>
                <w:left w:val="none" w:sz="0" w:space="0" w:color="auto"/>
                <w:bottom w:val="none" w:sz="0" w:space="0" w:color="auto"/>
                <w:right w:val="none" w:sz="0" w:space="0" w:color="auto"/>
              </w:divBdr>
            </w:div>
            <w:div w:id="783764475">
              <w:marLeft w:val="0"/>
              <w:marRight w:val="0"/>
              <w:marTop w:val="0"/>
              <w:marBottom w:val="0"/>
              <w:divBdr>
                <w:top w:val="none" w:sz="0" w:space="0" w:color="auto"/>
                <w:left w:val="none" w:sz="0" w:space="0" w:color="auto"/>
                <w:bottom w:val="none" w:sz="0" w:space="0" w:color="auto"/>
                <w:right w:val="none" w:sz="0" w:space="0" w:color="auto"/>
              </w:divBdr>
            </w:div>
            <w:div w:id="807012946">
              <w:marLeft w:val="0"/>
              <w:marRight w:val="0"/>
              <w:marTop w:val="0"/>
              <w:marBottom w:val="0"/>
              <w:divBdr>
                <w:top w:val="none" w:sz="0" w:space="0" w:color="auto"/>
                <w:left w:val="none" w:sz="0" w:space="0" w:color="auto"/>
                <w:bottom w:val="none" w:sz="0" w:space="0" w:color="auto"/>
                <w:right w:val="none" w:sz="0" w:space="0" w:color="auto"/>
              </w:divBdr>
            </w:div>
            <w:div w:id="874806858">
              <w:marLeft w:val="0"/>
              <w:marRight w:val="0"/>
              <w:marTop w:val="0"/>
              <w:marBottom w:val="0"/>
              <w:divBdr>
                <w:top w:val="none" w:sz="0" w:space="0" w:color="auto"/>
                <w:left w:val="none" w:sz="0" w:space="0" w:color="auto"/>
                <w:bottom w:val="none" w:sz="0" w:space="0" w:color="auto"/>
                <w:right w:val="none" w:sz="0" w:space="0" w:color="auto"/>
              </w:divBdr>
            </w:div>
            <w:div w:id="896015287">
              <w:marLeft w:val="0"/>
              <w:marRight w:val="0"/>
              <w:marTop w:val="0"/>
              <w:marBottom w:val="0"/>
              <w:divBdr>
                <w:top w:val="none" w:sz="0" w:space="0" w:color="auto"/>
                <w:left w:val="none" w:sz="0" w:space="0" w:color="auto"/>
                <w:bottom w:val="none" w:sz="0" w:space="0" w:color="auto"/>
                <w:right w:val="none" w:sz="0" w:space="0" w:color="auto"/>
              </w:divBdr>
            </w:div>
            <w:div w:id="898589129">
              <w:marLeft w:val="0"/>
              <w:marRight w:val="0"/>
              <w:marTop w:val="0"/>
              <w:marBottom w:val="0"/>
              <w:divBdr>
                <w:top w:val="none" w:sz="0" w:space="0" w:color="auto"/>
                <w:left w:val="none" w:sz="0" w:space="0" w:color="auto"/>
                <w:bottom w:val="none" w:sz="0" w:space="0" w:color="auto"/>
                <w:right w:val="none" w:sz="0" w:space="0" w:color="auto"/>
              </w:divBdr>
            </w:div>
            <w:div w:id="904534892">
              <w:marLeft w:val="0"/>
              <w:marRight w:val="0"/>
              <w:marTop w:val="0"/>
              <w:marBottom w:val="0"/>
              <w:divBdr>
                <w:top w:val="none" w:sz="0" w:space="0" w:color="auto"/>
                <w:left w:val="none" w:sz="0" w:space="0" w:color="auto"/>
                <w:bottom w:val="none" w:sz="0" w:space="0" w:color="auto"/>
                <w:right w:val="none" w:sz="0" w:space="0" w:color="auto"/>
              </w:divBdr>
            </w:div>
            <w:div w:id="907374578">
              <w:marLeft w:val="0"/>
              <w:marRight w:val="0"/>
              <w:marTop w:val="0"/>
              <w:marBottom w:val="0"/>
              <w:divBdr>
                <w:top w:val="none" w:sz="0" w:space="0" w:color="auto"/>
                <w:left w:val="none" w:sz="0" w:space="0" w:color="auto"/>
                <w:bottom w:val="none" w:sz="0" w:space="0" w:color="auto"/>
                <w:right w:val="none" w:sz="0" w:space="0" w:color="auto"/>
              </w:divBdr>
            </w:div>
            <w:div w:id="1012224356">
              <w:marLeft w:val="0"/>
              <w:marRight w:val="0"/>
              <w:marTop w:val="0"/>
              <w:marBottom w:val="0"/>
              <w:divBdr>
                <w:top w:val="none" w:sz="0" w:space="0" w:color="auto"/>
                <w:left w:val="none" w:sz="0" w:space="0" w:color="auto"/>
                <w:bottom w:val="none" w:sz="0" w:space="0" w:color="auto"/>
                <w:right w:val="none" w:sz="0" w:space="0" w:color="auto"/>
              </w:divBdr>
            </w:div>
            <w:div w:id="1032615779">
              <w:marLeft w:val="0"/>
              <w:marRight w:val="0"/>
              <w:marTop w:val="0"/>
              <w:marBottom w:val="0"/>
              <w:divBdr>
                <w:top w:val="none" w:sz="0" w:space="0" w:color="auto"/>
                <w:left w:val="none" w:sz="0" w:space="0" w:color="auto"/>
                <w:bottom w:val="none" w:sz="0" w:space="0" w:color="auto"/>
                <w:right w:val="none" w:sz="0" w:space="0" w:color="auto"/>
              </w:divBdr>
            </w:div>
            <w:div w:id="1064061855">
              <w:marLeft w:val="0"/>
              <w:marRight w:val="0"/>
              <w:marTop w:val="0"/>
              <w:marBottom w:val="0"/>
              <w:divBdr>
                <w:top w:val="none" w:sz="0" w:space="0" w:color="auto"/>
                <w:left w:val="none" w:sz="0" w:space="0" w:color="auto"/>
                <w:bottom w:val="none" w:sz="0" w:space="0" w:color="auto"/>
                <w:right w:val="none" w:sz="0" w:space="0" w:color="auto"/>
              </w:divBdr>
            </w:div>
            <w:div w:id="1158184846">
              <w:marLeft w:val="0"/>
              <w:marRight w:val="0"/>
              <w:marTop w:val="0"/>
              <w:marBottom w:val="0"/>
              <w:divBdr>
                <w:top w:val="none" w:sz="0" w:space="0" w:color="auto"/>
                <w:left w:val="none" w:sz="0" w:space="0" w:color="auto"/>
                <w:bottom w:val="none" w:sz="0" w:space="0" w:color="auto"/>
                <w:right w:val="none" w:sz="0" w:space="0" w:color="auto"/>
              </w:divBdr>
            </w:div>
            <w:div w:id="1188639622">
              <w:marLeft w:val="0"/>
              <w:marRight w:val="0"/>
              <w:marTop w:val="0"/>
              <w:marBottom w:val="0"/>
              <w:divBdr>
                <w:top w:val="none" w:sz="0" w:space="0" w:color="auto"/>
                <w:left w:val="none" w:sz="0" w:space="0" w:color="auto"/>
                <w:bottom w:val="none" w:sz="0" w:space="0" w:color="auto"/>
                <w:right w:val="none" w:sz="0" w:space="0" w:color="auto"/>
              </w:divBdr>
            </w:div>
            <w:div w:id="1214385630">
              <w:marLeft w:val="0"/>
              <w:marRight w:val="0"/>
              <w:marTop w:val="0"/>
              <w:marBottom w:val="0"/>
              <w:divBdr>
                <w:top w:val="none" w:sz="0" w:space="0" w:color="auto"/>
                <w:left w:val="none" w:sz="0" w:space="0" w:color="auto"/>
                <w:bottom w:val="none" w:sz="0" w:space="0" w:color="auto"/>
                <w:right w:val="none" w:sz="0" w:space="0" w:color="auto"/>
              </w:divBdr>
            </w:div>
            <w:div w:id="1241910827">
              <w:marLeft w:val="0"/>
              <w:marRight w:val="0"/>
              <w:marTop w:val="0"/>
              <w:marBottom w:val="0"/>
              <w:divBdr>
                <w:top w:val="none" w:sz="0" w:space="0" w:color="auto"/>
                <w:left w:val="none" w:sz="0" w:space="0" w:color="auto"/>
                <w:bottom w:val="none" w:sz="0" w:space="0" w:color="auto"/>
                <w:right w:val="none" w:sz="0" w:space="0" w:color="auto"/>
              </w:divBdr>
            </w:div>
            <w:div w:id="1258173693">
              <w:marLeft w:val="0"/>
              <w:marRight w:val="0"/>
              <w:marTop w:val="0"/>
              <w:marBottom w:val="0"/>
              <w:divBdr>
                <w:top w:val="none" w:sz="0" w:space="0" w:color="auto"/>
                <w:left w:val="none" w:sz="0" w:space="0" w:color="auto"/>
                <w:bottom w:val="none" w:sz="0" w:space="0" w:color="auto"/>
                <w:right w:val="none" w:sz="0" w:space="0" w:color="auto"/>
              </w:divBdr>
            </w:div>
            <w:div w:id="1307668019">
              <w:marLeft w:val="0"/>
              <w:marRight w:val="0"/>
              <w:marTop w:val="0"/>
              <w:marBottom w:val="0"/>
              <w:divBdr>
                <w:top w:val="none" w:sz="0" w:space="0" w:color="auto"/>
                <w:left w:val="none" w:sz="0" w:space="0" w:color="auto"/>
                <w:bottom w:val="none" w:sz="0" w:space="0" w:color="auto"/>
                <w:right w:val="none" w:sz="0" w:space="0" w:color="auto"/>
              </w:divBdr>
            </w:div>
            <w:div w:id="1312058248">
              <w:marLeft w:val="0"/>
              <w:marRight w:val="0"/>
              <w:marTop w:val="0"/>
              <w:marBottom w:val="0"/>
              <w:divBdr>
                <w:top w:val="none" w:sz="0" w:space="0" w:color="auto"/>
                <w:left w:val="none" w:sz="0" w:space="0" w:color="auto"/>
                <w:bottom w:val="none" w:sz="0" w:space="0" w:color="auto"/>
                <w:right w:val="none" w:sz="0" w:space="0" w:color="auto"/>
              </w:divBdr>
            </w:div>
            <w:div w:id="1458791734">
              <w:marLeft w:val="0"/>
              <w:marRight w:val="0"/>
              <w:marTop w:val="0"/>
              <w:marBottom w:val="0"/>
              <w:divBdr>
                <w:top w:val="none" w:sz="0" w:space="0" w:color="auto"/>
                <w:left w:val="none" w:sz="0" w:space="0" w:color="auto"/>
                <w:bottom w:val="none" w:sz="0" w:space="0" w:color="auto"/>
                <w:right w:val="none" w:sz="0" w:space="0" w:color="auto"/>
              </w:divBdr>
            </w:div>
            <w:div w:id="1510291126">
              <w:marLeft w:val="0"/>
              <w:marRight w:val="0"/>
              <w:marTop w:val="0"/>
              <w:marBottom w:val="0"/>
              <w:divBdr>
                <w:top w:val="none" w:sz="0" w:space="0" w:color="auto"/>
                <w:left w:val="none" w:sz="0" w:space="0" w:color="auto"/>
                <w:bottom w:val="none" w:sz="0" w:space="0" w:color="auto"/>
                <w:right w:val="none" w:sz="0" w:space="0" w:color="auto"/>
              </w:divBdr>
            </w:div>
            <w:div w:id="1663267653">
              <w:marLeft w:val="0"/>
              <w:marRight w:val="0"/>
              <w:marTop w:val="0"/>
              <w:marBottom w:val="0"/>
              <w:divBdr>
                <w:top w:val="none" w:sz="0" w:space="0" w:color="auto"/>
                <w:left w:val="none" w:sz="0" w:space="0" w:color="auto"/>
                <w:bottom w:val="none" w:sz="0" w:space="0" w:color="auto"/>
                <w:right w:val="none" w:sz="0" w:space="0" w:color="auto"/>
              </w:divBdr>
            </w:div>
            <w:div w:id="1666712010">
              <w:marLeft w:val="0"/>
              <w:marRight w:val="0"/>
              <w:marTop w:val="0"/>
              <w:marBottom w:val="0"/>
              <w:divBdr>
                <w:top w:val="none" w:sz="0" w:space="0" w:color="auto"/>
                <w:left w:val="none" w:sz="0" w:space="0" w:color="auto"/>
                <w:bottom w:val="none" w:sz="0" w:space="0" w:color="auto"/>
                <w:right w:val="none" w:sz="0" w:space="0" w:color="auto"/>
              </w:divBdr>
            </w:div>
            <w:div w:id="1715999976">
              <w:marLeft w:val="0"/>
              <w:marRight w:val="0"/>
              <w:marTop w:val="0"/>
              <w:marBottom w:val="0"/>
              <w:divBdr>
                <w:top w:val="none" w:sz="0" w:space="0" w:color="auto"/>
                <w:left w:val="none" w:sz="0" w:space="0" w:color="auto"/>
                <w:bottom w:val="none" w:sz="0" w:space="0" w:color="auto"/>
                <w:right w:val="none" w:sz="0" w:space="0" w:color="auto"/>
              </w:divBdr>
            </w:div>
            <w:div w:id="1721779894">
              <w:marLeft w:val="0"/>
              <w:marRight w:val="0"/>
              <w:marTop w:val="0"/>
              <w:marBottom w:val="0"/>
              <w:divBdr>
                <w:top w:val="none" w:sz="0" w:space="0" w:color="auto"/>
                <w:left w:val="none" w:sz="0" w:space="0" w:color="auto"/>
                <w:bottom w:val="none" w:sz="0" w:space="0" w:color="auto"/>
                <w:right w:val="none" w:sz="0" w:space="0" w:color="auto"/>
              </w:divBdr>
            </w:div>
            <w:div w:id="1773626690">
              <w:marLeft w:val="0"/>
              <w:marRight w:val="0"/>
              <w:marTop w:val="0"/>
              <w:marBottom w:val="0"/>
              <w:divBdr>
                <w:top w:val="none" w:sz="0" w:space="0" w:color="auto"/>
                <w:left w:val="none" w:sz="0" w:space="0" w:color="auto"/>
                <w:bottom w:val="none" w:sz="0" w:space="0" w:color="auto"/>
                <w:right w:val="none" w:sz="0" w:space="0" w:color="auto"/>
              </w:divBdr>
            </w:div>
            <w:div w:id="1826969310">
              <w:marLeft w:val="0"/>
              <w:marRight w:val="0"/>
              <w:marTop w:val="0"/>
              <w:marBottom w:val="0"/>
              <w:divBdr>
                <w:top w:val="none" w:sz="0" w:space="0" w:color="auto"/>
                <w:left w:val="none" w:sz="0" w:space="0" w:color="auto"/>
                <w:bottom w:val="none" w:sz="0" w:space="0" w:color="auto"/>
                <w:right w:val="none" w:sz="0" w:space="0" w:color="auto"/>
              </w:divBdr>
            </w:div>
            <w:div w:id="1836678682">
              <w:marLeft w:val="0"/>
              <w:marRight w:val="0"/>
              <w:marTop w:val="0"/>
              <w:marBottom w:val="0"/>
              <w:divBdr>
                <w:top w:val="none" w:sz="0" w:space="0" w:color="auto"/>
                <w:left w:val="none" w:sz="0" w:space="0" w:color="auto"/>
                <w:bottom w:val="none" w:sz="0" w:space="0" w:color="auto"/>
                <w:right w:val="none" w:sz="0" w:space="0" w:color="auto"/>
              </w:divBdr>
            </w:div>
            <w:div w:id="1858541477">
              <w:marLeft w:val="0"/>
              <w:marRight w:val="0"/>
              <w:marTop w:val="0"/>
              <w:marBottom w:val="0"/>
              <w:divBdr>
                <w:top w:val="none" w:sz="0" w:space="0" w:color="auto"/>
                <w:left w:val="none" w:sz="0" w:space="0" w:color="auto"/>
                <w:bottom w:val="none" w:sz="0" w:space="0" w:color="auto"/>
                <w:right w:val="none" w:sz="0" w:space="0" w:color="auto"/>
              </w:divBdr>
            </w:div>
            <w:div w:id="1878665964">
              <w:marLeft w:val="0"/>
              <w:marRight w:val="0"/>
              <w:marTop w:val="0"/>
              <w:marBottom w:val="0"/>
              <w:divBdr>
                <w:top w:val="none" w:sz="0" w:space="0" w:color="auto"/>
                <w:left w:val="none" w:sz="0" w:space="0" w:color="auto"/>
                <w:bottom w:val="none" w:sz="0" w:space="0" w:color="auto"/>
                <w:right w:val="none" w:sz="0" w:space="0" w:color="auto"/>
              </w:divBdr>
            </w:div>
            <w:div w:id="1948735415">
              <w:marLeft w:val="0"/>
              <w:marRight w:val="0"/>
              <w:marTop w:val="0"/>
              <w:marBottom w:val="0"/>
              <w:divBdr>
                <w:top w:val="none" w:sz="0" w:space="0" w:color="auto"/>
                <w:left w:val="none" w:sz="0" w:space="0" w:color="auto"/>
                <w:bottom w:val="none" w:sz="0" w:space="0" w:color="auto"/>
                <w:right w:val="none" w:sz="0" w:space="0" w:color="auto"/>
              </w:divBdr>
            </w:div>
            <w:div w:id="1952013342">
              <w:marLeft w:val="0"/>
              <w:marRight w:val="0"/>
              <w:marTop w:val="0"/>
              <w:marBottom w:val="0"/>
              <w:divBdr>
                <w:top w:val="none" w:sz="0" w:space="0" w:color="auto"/>
                <w:left w:val="none" w:sz="0" w:space="0" w:color="auto"/>
                <w:bottom w:val="none" w:sz="0" w:space="0" w:color="auto"/>
                <w:right w:val="none" w:sz="0" w:space="0" w:color="auto"/>
              </w:divBdr>
            </w:div>
            <w:div w:id="2000040346">
              <w:marLeft w:val="0"/>
              <w:marRight w:val="0"/>
              <w:marTop w:val="0"/>
              <w:marBottom w:val="0"/>
              <w:divBdr>
                <w:top w:val="none" w:sz="0" w:space="0" w:color="auto"/>
                <w:left w:val="none" w:sz="0" w:space="0" w:color="auto"/>
                <w:bottom w:val="none" w:sz="0" w:space="0" w:color="auto"/>
                <w:right w:val="none" w:sz="0" w:space="0" w:color="auto"/>
              </w:divBdr>
            </w:div>
            <w:div w:id="2009670141">
              <w:marLeft w:val="0"/>
              <w:marRight w:val="0"/>
              <w:marTop w:val="0"/>
              <w:marBottom w:val="0"/>
              <w:divBdr>
                <w:top w:val="none" w:sz="0" w:space="0" w:color="auto"/>
                <w:left w:val="none" w:sz="0" w:space="0" w:color="auto"/>
                <w:bottom w:val="none" w:sz="0" w:space="0" w:color="auto"/>
                <w:right w:val="none" w:sz="0" w:space="0" w:color="auto"/>
              </w:divBdr>
            </w:div>
            <w:div w:id="2013677022">
              <w:marLeft w:val="0"/>
              <w:marRight w:val="0"/>
              <w:marTop w:val="0"/>
              <w:marBottom w:val="0"/>
              <w:divBdr>
                <w:top w:val="none" w:sz="0" w:space="0" w:color="auto"/>
                <w:left w:val="none" w:sz="0" w:space="0" w:color="auto"/>
                <w:bottom w:val="none" w:sz="0" w:space="0" w:color="auto"/>
                <w:right w:val="none" w:sz="0" w:space="0" w:color="auto"/>
              </w:divBdr>
            </w:div>
            <w:div w:id="2045133753">
              <w:marLeft w:val="0"/>
              <w:marRight w:val="0"/>
              <w:marTop w:val="0"/>
              <w:marBottom w:val="0"/>
              <w:divBdr>
                <w:top w:val="none" w:sz="0" w:space="0" w:color="auto"/>
                <w:left w:val="none" w:sz="0" w:space="0" w:color="auto"/>
                <w:bottom w:val="none" w:sz="0" w:space="0" w:color="auto"/>
                <w:right w:val="none" w:sz="0" w:space="0" w:color="auto"/>
              </w:divBdr>
            </w:div>
            <w:div w:id="2045445708">
              <w:marLeft w:val="0"/>
              <w:marRight w:val="0"/>
              <w:marTop w:val="0"/>
              <w:marBottom w:val="0"/>
              <w:divBdr>
                <w:top w:val="none" w:sz="0" w:space="0" w:color="auto"/>
                <w:left w:val="none" w:sz="0" w:space="0" w:color="auto"/>
                <w:bottom w:val="none" w:sz="0" w:space="0" w:color="auto"/>
                <w:right w:val="none" w:sz="0" w:space="0" w:color="auto"/>
              </w:divBdr>
            </w:div>
            <w:div w:id="2049406979">
              <w:marLeft w:val="0"/>
              <w:marRight w:val="0"/>
              <w:marTop w:val="0"/>
              <w:marBottom w:val="0"/>
              <w:divBdr>
                <w:top w:val="none" w:sz="0" w:space="0" w:color="auto"/>
                <w:left w:val="none" w:sz="0" w:space="0" w:color="auto"/>
                <w:bottom w:val="none" w:sz="0" w:space="0" w:color="auto"/>
                <w:right w:val="none" w:sz="0" w:space="0" w:color="auto"/>
              </w:divBdr>
            </w:div>
            <w:div w:id="21270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750">
      <w:bodyDiv w:val="1"/>
      <w:marLeft w:val="0"/>
      <w:marRight w:val="0"/>
      <w:marTop w:val="0"/>
      <w:marBottom w:val="0"/>
      <w:divBdr>
        <w:top w:val="none" w:sz="0" w:space="0" w:color="auto"/>
        <w:left w:val="none" w:sz="0" w:space="0" w:color="auto"/>
        <w:bottom w:val="none" w:sz="0" w:space="0" w:color="auto"/>
        <w:right w:val="none" w:sz="0" w:space="0" w:color="auto"/>
      </w:divBdr>
      <w:divsChild>
        <w:div w:id="541089831">
          <w:marLeft w:val="0"/>
          <w:marRight w:val="0"/>
          <w:marTop w:val="0"/>
          <w:marBottom w:val="0"/>
          <w:divBdr>
            <w:top w:val="none" w:sz="0" w:space="0" w:color="auto"/>
            <w:left w:val="none" w:sz="0" w:space="0" w:color="auto"/>
            <w:bottom w:val="none" w:sz="0" w:space="0" w:color="auto"/>
            <w:right w:val="none" w:sz="0" w:space="0" w:color="auto"/>
          </w:divBdr>
        </w:div>
      </w:divsChild>
    </w:div>
    <w:div w:id="1547254975">
      <w:bodyDiv w:val="1"/>
      <w:marLeft w:val="0"/>
      <w:marRight w:val="0"/>
      <w:marTop w:val="0"/>
      <w:marBottom w:val="0"/>
      <w:divBdr>
        <w:top w:val="none" w:sz="0" w:space="0" w:color="auto"/>
        <w:left w:val="none" w:sz="0" w:space="0" w:color="auto"/>
        <w:bottom w:val="none" w:sz="0" w:space="0" w:color="auto"/>
        <w:right w:val="none" w:sz="0" w:space="0" w:color="auto"/>
      </w:divBdr>
      <w:divsChild>
        <w:div w:id="183180220">
          <w:marLeft w:val="0"/>
          <w:marRight w:val="0"/>
          <w:marTop w:val="0"/>
          <w:marBottom w:val="0"/>
          <w:divBdr>
            <w:top w:val="none" w:sz="0" w:space="0" w:color="auto"/>
            <w:left w:val="none" w:sz="0" w:space="0" w:color="auto"/>
            <w:bottom w:val="none" w:sz="0" w:space="0" w:color="auto"/>
            <w:right w:val="none" w:sz="0" w:space="0" w:color="auto"/>
          </w:divBdr>
        </w:div>
        <w:div w:id="489372819">
          <w:marLeft w:val="0"/>
          <w:marRight w:val="0"/>
          <w:marTop w:val="0"/>
          <w:marBottom w:val="0"/>
          <w:divBdr>
            <w:top w:val="none" w:sz="0" w:space="0" w:color="auto"/>
            <w:left w:val="none" w:sz="0" w:space="0" w:color="auto"/>
            <w:bottom w:val="none" w:sz="0" w:space="0" w:color="auto"/>
            <w:right w:val="none" w:sz="0" w:space="0" w:color="auto"/>
          </w:divBdr>
        </w:div>
      </w:divsChild>
    </w:div>
    <w:div w:id="1552182591">
      <w:bodyDiv w:val="1"/>
      <w:marLeft w:val="0"/>
      <w:marRight w:val="0"/>
      <w:marTop w:val="0"/>
      <w:marBottom w:val="0"/>
      <w:divBdr>
        <w:top w:val="none" w:sz="0" w:space="0" w:color="auto"/>
        <w:left w:val="none" w:sz="0" w:space="0" w:color="auto"/>
        <w:bottom w:val="none" w:sz="0" w:space="0" w:color="auto"/>
        <w:right w:val="none" w:sz="0" w:space="0" w:color="auto"/>
      </w:divBdr>
      <w:divsChild>
        <w:div w:id="148791717">
          <w:marLeft w:val="0"/>
          <w:marRight w:val="0"/>
          <w:marTop w:val="0"/>
          <w:marBottom w:val="0"/>
          <w:divBdr>
            <w:top w:val="none" w:sz="0" w:space="0" w:color="auto"/>
            <w:left w:val="none" w:sz="0" w:space="0" w:color="auto"/>
            <w:bottom w:val="none" w:sz="0" w:space="0" w:color="auto"/>
            <w:right w:val="none" w:sz="0" w:space="0" w:color="auto"/>
          </w:divBdr>
        </w:div>
        <w:div w:id="210926439">
          <w:marLeft w:val="0"/>
          <w:marRight w:val="0"/>
          <w:marTop w:val="0"/>
          <w:marBottom w:val="0"/>
          <w:divBdr>
            <w:top w:val="none" w:sz="0" w:space="0" w:color="auto"/>
            <w:left w:val="none" w:sz="0" w:space="0" w:color="auto"/>
            <w:bottom w:val="none" w:sz="0" w:space="0" w:color="auto"/>
            <w:right w:val="none" w:sz="0" w:space="0" w:color="auto"/>
          </w:divBdr>
        </w:div>
        <w:div w:id="268201648">
          <w:marLeft w:val="0"/>
          <w:marRight w:val="0"/>
          <w:marTop w:val="0"/>
          <w:marBottom w:val="0"/>
          <w:divBdr>
            <w:top w:val="none" w:sz="0" w:space="0" w:color="auto"/>
            <w:left w:val="none" w:sz="0" w:space="0" w:color="auto"/>
            <w:bottom w:val="none" w:sz="0" w:space="0" w:color="auto"/>
            <w:right w:val="none" w:sz="0" w:space="0" w:color="auto"/>
          </w:divBdr>
        </w:div>
        <w:div w:id="421875177">
          <w:marLeft w:val="0"/>
          <w:marRight w:val="0"/>
          <w:marTop w:val="0"/>
          <w:marBottom w:val="0"/>
          <w:divBdr>
            <w:top w:val="none" w:sz="0" w:space="0" w:color="auto"/>
            <w:left w:val="none" w:sz="0" w:space="0" w:color="auto"/>
            <w:bottom w:val="none" w:sz="0" w:space="0" w:color="auto"/>
            <w:right w:val="none" w:sz="0" w:space="0" w:color="auto"/>
          </w:divBdr>
        </w:div>
        <w:div w:id="2005158350">
          <w:marLeft w:val="0"/>
          <w:marRight w:val="0"/>
          <w:marTop w:val="0"/>
          <w:marBottom w:val="0"/>
          <w:divBdr>
            <w:top w:val="none" w:sz="0" w:space="0" w:color="auto"/>
            <w:left w:val="none" w:sz="0" w:space="0" w:color="auto"/>
            <w:bottom w:val="none" w:sz="0" w:space="0" w:color="auto"/>
            <w:right w:val="none" w:sz="0" w:space="0" w:color="auto"/>
          </w:divBdr>
        </w:div>
        <w:div w:id="2082631771">
          <w:marLeft w:val="0"/>
          <w:marRight w:val="0"/>
          <w:marTop w:val="0"/>
          <w:marBottom w:val="0"/>
          <w:divBdr>
            <w:top w:val="none" w:sz="0" w:space="0" w:color="auto"/>
            <w:left w:val="none" w:sz="0" w:space="0" w:color="auto"/>
            <w:bottom w:val="none" w:sz="0" w:space="0" w:color="auto"/>
            <w:right w:val="none" w:sz="0" w:space="0" w:color="auto"/>
          </w:divBdr>
        </w:div>
      </w:divsChild>
    </w:div>
    <w:div w:id="1552185581">
      <w:bodyDiv w:val="1"/>
      <w:marLeft w:val="0"/>
      <w:marRight w:val="0"/>
      <w:marTop w:val="0"/>
      <w:marBottom w:val="0"/>
      <w:divBdr>
        <w:top w:val="none" w:sz="0" w:space="0" w:color="auto"/>
        <w:left w:val="none" w:sz="0" w:space="0" w:color="auto"/>
        <w:bottom w:val="none" w:sz="0" w:space="0" w:color="auto"/>
        <w:right w:val="none" w:sz="0" w:space="0" w:color="auto"/>
      </w:divBdr>
    </w:div>
    <w:div w:id="1554346751">
      <w:bodyDiv w:val="1"/>
      <w:marLeft w:val="0"/>
      <w:marRight w:val="0"/>
      <w:marTop w:val="0"/>
      <w:marBottom w:val="0"/>
      <w:divBdr>
        <w:top w:val="none" w:sz="0" w:space="0" w:color="auto"/>
        <w:left w:val="none" w:sz="0" w:space="0" w:color="auto"/>
        <w:bottom w:val="none" w:sz="0" w:space="0" w:color="auto"/>
        <w:right w:val="none" w:sz="0" w:space="0" w:color="auto"/>
      </w:divBdr>
      <w:divsChild>
        <w:div w:id="308872081">
          <w:marLeft w:val="0"/>
          <w:marRight w:val="0"/>
          <w:marTop w:val="0"/>
          <w:marBottom w:val="0"/>
          <w:divBdr>
            <w:top w:val="none" w:sz="0" w:space="0" w:color="auto"/>
            <w:left w:val="none" w:sz="0" w:space="0" w:color="auto"/>
            <w:bottom w:val="none" w:sz="0" w:space="0" w:color="auto"/>
            <w:right w:val="none" w:sz="0" w:space="0" w:color="auto"/>
          </w:divBdr>
        </w:div>
        <w:div w:id="385373922">
          <w:marLeft w:val="0"/>
          <w:marRight w:val="0"/>
          <w:marTop w:val="0"/>
          <w:marBottom w:val="0"/>
          <w:divBdr>
            <w:top w:val="none" w:sz="0" w:space="0" w:color="auto"/>
            <w:left w:val="none" w:sz="0" w:space="0" w:color="auto"/>
            <w:bottom w:val="none" w:sz="0" w:space="0" w:color="auto"/>
            <w:right w:val="none" w:sz="0" w:space="0" w:color="auto"/>
          </w:divBdr>
        </w:div>
        <w:div w:id="725765072">
          <w:marLeft w:val="0"/>
          <w:marRight w:val="0"/>
          <w:marTop w:val="0"/>
          <w:marBottom w:val="0"/>
          <w:divBdr>
            <w:top w:val="none" w:sz="0" w:space="0" w:color="auto"/>
            <w:left w:val="none" w:sz="0" w:space="0" w:color="auto"/>
            <w:bottom w:val="none" w:sz="0" w:space="0" w:color="auto"/>
            <w:right w:val="none" w:sz="0" w:space="0" w:color="auto"/>
          </w:divBdr>
        </w:div>
      </w:divsChild>
    </w:div>
    <w:div w:id="1556547483">
      <w:bodyDiv w:val="1"/>
      <w:marLeft w:val="0"/>
      <w:marRight w:val="0"/>
      <w:marTop w:val="0"/>
      <w:marBottom w:val="0"/>
      <w:divBdr>
        <w:top w:val="none" w:sz="0" w:space="0" w:color="auto"/>
        <w:left w:val="none" w:sz="0" w:space="0" w:color="auto"/>
        <w:bottom w:val="none" w:sz="0" w:space="0" w:color="auto"/>
        <w:right w:val="none" w:sz="0" w:space="0" w:color="auto"/>
      </w:divBdr>
    </w:div>
    <w:div w:id="1556818135">
      <w:bodyDiv w:val="1"/>
      <w:marLeft w:val="0"/>
      <w:marRight w:val="0"/>
      <w:marTop w:val="0"/>
      <w:marBottom w:val="0"/>
      <w:divBdr>
        <w:top w:val="none" w:sz="0" w:space="0" w:color="auto"/>
        <w:left w:val="none" w:sz="0" w:space="0" w:color="auto"/>
        <w:bottom w:val="none" w:sz="0" w:space="0" w:color="auto"/>
        <w:right w:val="none" w:sz="0" w:space="0" w:color="auto"/>
      </w:divBdr>
      <w:divsChild>
        <w:div w:id="399865382">
          <w:marLeft w:val="0"/>
          <w:marRight w:val="0"/>
          <w:marTop w:val="0"/>
          <w:marBottom w:val="0"/>
          <w:divBdr>
            <w:top w:val="none" w:sz="0" w:space="0" w:color="auto"/>
            <w:left w:val="none" w:sz="0" w:space="0" w:color="auto"/>
            <w:bottom w:val="none" w:sz="0" w:space="0" w:color="auto"/>
            <w:right w:val="none" w:sz="0" w:space="0" w:color="auto"/>
          </w:divBdr>
        </w:div>
        <w:div w:id="419065878">
          <w:marLeft w:val="0"/>
          <w:marRight w:val="0"/>
          <w:marTop w:val="0"/>
          <w:marBottom w:val="0"/>
          <w:divBdr>
            <w:top w:val="none" w:sz="0" w:space="0" w:color="auto"/>
            <w:left w:val="none" w:sz="0" w:space="0" w:color="auto"/>
            <w:bottom w:val="none" w:sz="0" w:space="0" w:color="auto"/>
            <w:right w:val="none" w:sz="0" w:space="0" w:color="auto"/>
          </w:divBdr>
        </w:div>
        <w:div w:id="1059981789">
          <w:marLeft w:val="0"/>
          <w:marRight w:val="0"/>
          <w:marTop w:val="0"/>
          <w:marBottom w:val="0"/>
          <w:divBdr>
            <w:top w:val="none" w:sz="0" w:space="0" w:color="auto"/>
            <w:left w:val="none" w:sz="0" w:space="0" w:color="auto"/>
            <w:bottom w:val="none" w:sz="0" w:space="0" w:color="auto"/>
            <w:right w:val="none" w:sz="0" w:space="0" w:color="auto"/>
          </w:divBdr>
        </w:div>
        <w:div w:id="1712073018">
          <w:marLeft w:val="0"/>
          <w:marRight w:val="0"/>
          <w:marTop w:val="0"/>
          <w:marBottom w:val="0"/>
          <w:divBdr>
            <w:top w:val="none" w:sz="0" w:space="0" w:color="auto"/>
            <w:left w:val="none" w:sz="0" w:space="0" w:color="auto"/>
            <w:bottom w:val="none" w:sz="0" w:space="0" w:color="auto"/>
            <w:right w:val="none" w:sz="0" w:space="0" w:color="auto"/>
          </w:divBdr>
        </w:div>
        <w:div w:id="1748770564">
          <w:marLeft w:val="0"/>
          <w:marRight w:val="0"/>
          <w:marTop w:val="0"/>
          <w:marBottom w:val="0"/>
          <w:divBdr>
            <w:top w:val="none" w:sz="0" w:space="0" w:color="auto"/>
            <w:left w:val="none" w:sz="0" w:space="0" w:color="auto"/>
            <w:bottom w:val="none" w:sz="0" w:space="0" w:color="auto"/>
            <w:right w:val="none" w:sz="0" w:space="0" w:color="auto"/>
          </w:divBdr>
        </w:div>
        <w:div w:id="1787694854">
          <w:marLeft w:val="0"/>
          <w:marRight w:val="0"/>
          <w:marTop w:val="0"/>
          <w:marBottom w:val="0"/>
          <w:divBdr>
            <w:top w:val="none" w:sz="0" w:space="0" w:color="auto"/>
            <w:left w:val="none" w:sz="0" w:space="0" w:color="auto"/>
            <w:bottom w:val="none" w:sz="0" w:space="0" w:color="auto"/>
            <w:right w:val="none" w:sz="0" w:space="0" w:color="auto"/>
          </w:divBdr>
        </w:div>
      </w:divsChild>
    </w:div>
    <w:div w:id="1561742691">
      <w:bodyDiv w:val="1"/>
      <w:marLeft w:val="0"/>
      <w:marRight w:val="0"/>
      <w:marTop w:val="0"/>
      <w:marBottom w:val="0"/>
      <w:divBdr>
        <w:top w:val="none" w:sz="0" w:space="0" w:color="auto"/>
        <w:left w:val="none" w:sz="0" w:space="0" w:color="auto"/>
        <w:bottom w:val="none" w:sz="0" w:space="0" w:color="auto"/>
        <w:right w:val="none" w:sz="0" w:space="0" w:color="auto"/>
      </w:divBdr>
      <w:divsChild>
        <w:div w:id="1043988789">
          <w:marLeft w:val="0"/>
          <w:marRight w:val="0"/>
          <w:marTop w:val="0"/>
          <w:marBottom w:val="0"/>
          <w:divBdr>
            <w:top w:val="none" w:sz="0" w:space="0" w:color="auto"/>
            <w:left w:val="none" w:sz="0" w:space="0" w:color="auto"/>
            <w:bottom w:val="none" w:sz="0" w:space="0" w:color="auto"/>
            <w:right w:val="none" w:sz="0" w:space="0" w:color="auto"/>
          </w:divBdr>
        </w:div>
      </w:divsChild>
    </w:div>
    <w:div w:id="1563105222">
      <w:bodyDiv w:val="1"/>
      <w:marLeft w:val="0"/>
      <w:marRight w:val="0"/>
      <w:marTop w:val="0"/>
      <w:marBottom w:val="0"/>
      <w:divBdr>
        <w:top w:val="none" w:sz="0" w:space="0" w:color="auto"/>
        <w:left w:val="none" w:sz="0" w:space="0" w:color="auto"/>
        <w:bottom w:val="none" w:sz="0" w:space="0" w:color="auto"/>
        <w:right w:val="none" w:sz="0" w:space="0" w:color="auto"/>
      </w:divBdr>
    </w:div>
    <w:div w:id="1564371629">
      <w:bodyDiv w:val="1"/>
      <w:marLeft w:val="0"/>
      <w:marRight w:val="0"/>
      <w:marTop w:val="0"/>
      <w:marBottom w:val="0"/>
      <w:divBdr>
        <w:top w:val="none" w:sz="0" w:space="0" w:color="auto"/>
        <w:left w:val="none" w:sz="0" w:space="0" w:color="auto"/>
        <w:bottom w:val="none" w:sz="0" w:space="0" w:color="auto"/>
        <w:right w:val="none" w:sz="0" w:space="0" w:color="auto"/>
      </w:divBdr>
    </w:div>
    <w:div w:id="1565330146">
      <w:bodyDiv w:val="1"/>
      <w:marLeft w:val="0"/>
      <w:marRight w:val="0"/>
      <w:marTop w:val="0"/>
      <w:marBottom w:val="0"/>
      <w:divBdr>
        <w:top w:val="none" w:sz="0" w:space="0" w:color="auto"/>
        <w:left w:val="none" w:sz="0" w:space="0" w:color="auto"/>
        <w:bottom w:val="none" w:sz="0" w:space="0" w:color="auto"/>
        <w:right w:val="none" w:sz="0" w:space="0" w:color="auto"/>
      </w:divBdr>
      <w:divsChild>
        <w:div w:id="379285688">
          <w:marLeft w:val="547"/>
          <w:marRight w:val="0"/>
          <w:marTop w:val="200"/>
          <w:marBottom w:val="0"/>
          <w:divBdr>
            <w:top w:val="none" w:sz="0" w:space="0" w:color="auto"/>
            <w:left w:val="none" w:sz="0" w:space="0" w:color="auto"/>
            <w:bottom w:val="none" w:sz="0" w:space="0" w:color="auto"/>
            <w:right w:val="none" w:sz="0" w:space="0" w:color="auto"/>
          </w:divBdr>
        </w:div>
        <w:div w:id="1902449144">
          <w:marLeft w:val="547"/>
          <w:marRight w:val="0"/>
          <w:marTop w:val="200"/>
          <w:marBottom w:val="0"/>
          <w:divBdr>
            <w:top w:val="none" w:sz="0" w:space="0" w:color="auto"/>
            <w:left w:val="none" w:sz="0" w:space="0" w:color="auto"/>
            <w:bottom w:val="none" w:sz="0" w:space="0" w:color="auto"/>
            <w:right w:val="none" w:sz="0" w:space="0" w:color="auto"/>
          </w:divBdr>
        </w:div>
      </w:divsChild>
    </w:div>
    <w:div w:id="1566718373">
      <w:bodyDiv w:val="1"/>
      <w:marLeft w:val="0"/>
      <w:marRight w:val="0"/>
      <w:marTop w:val="0"/>
      <w:marBottom w:val="0"/>
      <w:divBdr>
        <w:top w:val="none" w:sz="0" w:space="0" w:color="auto"/>
        <w:left w:val="none" w:sz="0" w:space="0" w:color="auto"/>
        <w:bottom w:val="none" w:sz="0" w:space="0" w:color="auto"/>
        <w:right w:val="none" w:sz="0" w:space="0" w:color="auto"/>
      </w:divBdr>
      <w:divsChild>
        <w:div w:id="1731073635">
          <w:marLeft w:val="0"/>
          <w:marRight w:val="0"/>
          <w:marTop w:val="0"/>
          <w:marBottom w:val="0"/>
          <w:divBdr>
            <w:top w:val="none" w:sz="0" w:space="0" w:color="auto"/>
            <w:left w:val="none" w:sz="0" w:space="0" w:color="auto"/>
            <w:bottom w:val="none" w:sz="0" w:space="0" w:color="auto"/>
            <w:right w:val="none" w:sz="0" w:space="0" w:color="auto"/>
          </w:divBdr>
        </w:div>
      </w:divsChild>
    </w:div>
    <w:div w:id="1568876045">
      <w:bodyDiv w:val="1"/>
      <w:marLeft w:val="0"/>
      <w:marRight w:val="0"/>
      <w:marTop w:val="0"/>
      <w:marBottom w:val="0"/>
      <w:divBdr>
        <w:top w:val="none" w:sz="0" w:space="0" w:color="auto"/>
        <w:left w:val="none" w:sz="0" w:space="0" w:color="auto"/>
        <w:bottom w:val="none" w:sz="0" w:space="0" w:color="auto"/>
        <w:right w:val="none" w:sz="0" w:space="0" w:color="auto"/>
      </w:divBdr>
      <w:divsChild>
        <w:div w:id="125049473">
          <w:marLeft w:val="144"/>
          <w:marRight w:val="0"/>
          <w:marTop w:val="240"/>
          <w:marBottom w:val="40"/>
          <w:divBdr>
            <w:top w:val="none" w:sz="0" w:space="0" w:color="auto"/>
            <w:left w:val="none" w:sz="0" w:space="0" w:color="auto"/>
            <w:bottom w:val="none" w:sz="0" w:space="0" w:color="auto"/>
            <w:right w:val="none" w:sz="0" w:space="0" w:color="auto"/>
          </w:divBdr>
        </w:div>
        <w:div w:id="182204692">
          <w:marLeft w:val="144"/>
          <w:marRight w:val="0"/>
          <w:marTop w:val="240"/>
          <w:marBottom w:val="40"/>
          <w:divBdr>
            <w:top w:val="none" w:sz="0" w:space="0" w:color="auto"/>
            <w:left w:val="none" w:sz="0" w:space="0" w:color="auto"/>
            <w:bottom w:val="none" w:sz="0" w:space="0" w:color="auto"/>
            <w:right w:val="none" w:sz="0" w:space="0" w:color="auto"/>
          </w:divBdr>
        </w:div>
        <w:div w:id="426729806">
          <w:marLeft w:val="144"/>
          <w:marRight w:val="0"/>
          <w:marTop w:val="240"/>
          <w:marBottom w:val="40"/>
          <w:divBdr>
            <w:top w:val="none" w:sz="0" w:space="0" w:color="auto"/>
            <w:left w:val="none" w:sz="0" w:space="0" w:color="auto"/>
            <w:bottom w:val="none" w:sz="0" w:space="0" w:color="auto"/>
            <w:right w:val="none" w:sz="0" w:space="0" w:color="auto"/>
          </w:divBdr>
        </w:div>
        <w:div w:id="472870165">
          <w:marLeft w:val="144"/>
          <w:marRight w:val="0"/>
          <w:marTop w:val="240"/>
          <w:marBottom w:val="40"/>
          <w:divBdr>
            <w:top w:val="none" w:sz="0" w:space="0" w:color="auto"/>
            <w:left w:val="none" w:sz="0" w:space="0" w:color="auto"/>
            <w:bottom w:val="none" w:sz="0" w:space="0" w:color="auto"/>
            <w:right w:val="none" w:sz="0" w:space="0" w:color="auto"/>
          </w:divBdr>
        </w:div>
        <w:div w:id="712851653">
          <w:marLeft w:val="144"/>
          <w:marRight w:val="0"/>
          <w:marTop w:val="240"/>
          <w:marBottom w:val="40"/>
          <w:divBdr>
            <w:top w:val="none" w:sz="0" w:space="0" w:color="auto"/>
            <w:left w:val="none" w:sz="0" w:space="0" w:color="auto"/>
            <w:bottom w:val="none" w:sz="0" w:space="0" w:color="auto"/>
            <w:right w:val="none" w:sz="0" w:space="0" w:color="auto"/>
          </w:divBdr>
        </w:div>
        <w:div w:id="1886602006">
          <w:marLeft w:val="144"/>
          <w:marRight w:val="0"/>
          <w:marTop w:val="240"/>
          <w:marBottom w:val="40"/>
          <w:divBdr>
            <w:top w:val="none" w:sz="0" w:space="0" w:color="auto"/>
            <w:left w:val="none" w:sz="0" w:space="0" w:color="auto"/>
            <w:bottom w:val="none" w:sz="0" w:space="0" w:color="auto"/>
            <w:right w:val="none" w:sz="0" w:space="0" w:color="auto"/>
          </w:divBdr>
        </w:div>
      </w:divsChild>
    </w:div>
    <w:div w:id="1569731895">
      <w:bodyDiv w:val="1"/>
      <w:marLeft w:val="0"/>
      <w:marRight w:val="0"/>
      <w:marTop w:val="0"/>
      <w:marBottom w:val="0"/>
      <w:divBdr>
        <w:top w:val="none" w:sz="0" w:space="0" w:color="auto"/>
        <w:left w:val="none" w:sz="0" w:space="0" w:color="auto"/>
        <w:bottom w:val="none" w:sz="0" w:space="0" w:color="auto"/>
        <w:right w:val="none" w:sz="0" w:space="0" w:color="auto"/>
      </w:divBdr>
      <w:divsChild>
        <w:div w:id="226115200">
          <w:marLeft w:val="0"/>
          <w:marRight w:val="0"/>
          <w:marTop w:val="0"/>
          <w:marBottom w:val="0"/>
          <w:divBdr>
            <w:top w:val="none" w:sz="0" w:space="0" w:color="auto"/>
            <w:left w:val="none" w:sz="0" w:space="0" w:color="auto"/>
            <w:bottom w:val="none" w:sz="0" w:space="0" w:color="auto"/>
            <w:right w:val="none" w:sz="0" w:space="0" w:color="auto"/>
          </w:divBdr>
        </w:div>
      </w:divsChild>
    </w:div>
    <w:div w:id="1571691893">
      <w:bodyDiv w:val="1"/>
      <w:marLeft w:val="0"/>
      <w:marRight w:val="0"/>
      <w:marTop w:val="0"/>
      <w:marBottom w:val="0"/>
      <w:divBdr>
        <w:top w:val="none" w:sz="0" w:space="0" w:color="auto"/>
        <w:left w:val="none" w:sz="0" w:space="0" w:color="auto"/>
        <w:bottom w:val="none" w:sz="0" w:space="0" w:color="auto"/>
        <w:right w:val="none" w:sz="0" w:space="0" w:color="auto"/>
      </w:divBdr>
    </w:div>
    <w:div w:id="1576623777">
      <w:bodyDiv w:val="1"/>
      <w:marLeft w:val="0"/>
      <w:marRight w:val="0"/>
      <w:marTop w:val="0"/>
      <w:marBottom w:val="0"/>
      <w:divBdr>
        <w:top w:val="none" w:sz="0" w:space="0" w:color="auto"/>
        <w:left w:val="none" w:sz="0" w:space="0" w:color="auto"/>
        <w:bottom w:val="none" w:sz="0" w:space="0" w:color="auto"/>
        <w:right w:val="none" w:sz="0" w:space="0" w:color="auto"/>
      </w:divBdr>
      <w:divsChild>
        <w:div w:id="105078002">
          <w:marLeft w:val="0"/>
          <w:marRight w:val="0"/>
          <w:marTop w:val="0"/>
          <w:marBottom w:val="0"/>
          <w:divBdr>
            <w:top w:val="none" w:sz="0" w:space="0" w:color="auto"/>
            <w:left w:val="none" w:sz="0" w:space="0" w:color="auto"/>
            <w:bottom w:val="none" w:sz="0" w:space="0" w:color="auto"/>
            <w:right w:val="none" w:sz="0" w:space="0" w:color="auto"/>
          </w:divBdr>
        </w:div>
        <w:div w:id="142360666">
          <w:marLeft w:val="0"/>
          <w:marRight w:val="0"/>
          <w:marTop w:val="0"/>
          <w:marBottom w:val="0"/>
          <w:divBdr>
            <w:top w:val="none" w:sz="0" w:space="0" w:color="auto"/>
            <w:left w:val="none" w:sz="0" w:space="0" w:color="auto"/>
            <w:bottom w:val="none" w:sz="0" w:space="0" w:color="auto"/>
            <w:right w:val="none" w:sz="0" w:space="0" w:color="auto"/>
          </w:divBdr>
        </w:div>
        <w:div w:id="407463949">
          <w:marLeft w:val="0"/>
          <w:marRight w:val="0"/>
          <w:marTop w:val="0"/>
          <w:marBottom w:val="0"/>
          <w:divBdr>
            <w:top w:val="none" w:sz="0" w:space="0" w:color="auto"/>
            <w:left w:val="none" w:sz="0" w:space="0" w:color="auto"/>
            <w:bottom w:val="none" w:sz="0" w:space="0" w:color="auto"/>
            <w:right w:val="none" w:sz="0" w:space="0" w:color="auto"/>
          </w:divBdr>
        </w:div>
        <w:div w:id="423303935">
          <w:marLeft w:val="0"/>
          <w:marRight w:val="0"/>
          <w:marTop w:val="0"/>
          <w:marBottom w:val="0"/>
          <w:divBdr>
            <w:top w:val="none" w:sz="0" w:space="0" w:color="auto"/>
            <w:left w:val="none" w:sz="0" w:space="0" w:color="auto"/>
            <w:bottom w:val="none" w:sz="0" w:space="0" w:color="auto"/>
            <w:right w:val="none" w:sz="0" w:space="0" w:color="auto"/>
          </w:divBdr>
        </w:div>
        <w:div w:id="641232504">
          <w:marLeft w:val="0"/>
          <w:marRight w:val="0"/>
          <w:marTop w:val="0"/>
          <w:marBottom w:val="0"/>
          <w:divBdr>
            <w:top w:val="none" w:sz="0" w:space="0" w:color="auto"/>
            <w:left w:val="none" w:sz="0" w:space="0" w:color="auto"/>
            <w:bottom w:val="none" w:sz="0" w:space="0" w:color="auto"/>
            <w:right w:val="none" w:sz="0" w:space="0" w:color="auto"/>
          </w:divBdr>
        </w:div>
        <w:div w:id="685983675">
          <w:marLeft w:val="0"/>
          <w:marRight w:val="0"/>
          <w:marTop w:val="0"/>
          <w:marBottom w:val="0"/>
          <w:divBdr>
            <w:top w:val="none" w:sz="0" w:space="0" w:color="auto"/>
            <w:left w:val="none" w:sz="0" w:space="0" w:color="auto"/>
            <w:bottom w:val="none" w:sz="0" w:space="0" w:color="auto"/>
            <w:right w:val="none" w:sz="0" w:space="0" w:color="auto"/>
          </w:divBdr>
        </w:div>
        <w:div w:id="735006938">
          <w:marLeft w:val="0"/>
          <w:marRight w:val="0"/>
          <w:marTop w:val="0"/>
          <w:marBottom w:val="0"/>
          <w:divBdr>
            <w:top w:val="none" w:sz="0" w:space="0" w:color="auto"/>
            <w:left w:val="none" w:sz="0" w:space="0" w:color="auto"/>
            <w:bottom w:val="none" w:sz="0" w:space="0" w:color="auto"/>
            <w:right w:val="none" w:sz="0" w:space="0" w:color="auto"/>
          </w:divBdr>
        </w:div>
        <w:div w:id="846286499">
          <w:marLeft w:val="0"/>
          <w:marRight w:val="0"/>
          <w:marTop w:val="0"/>
          <w:marBottom w:val="0"/>
          <w:divBdr>
            <w:top w:val="none" w:sz="0" w:space="0" w:color="auto"/>
            <w:left w:val="none" w:sz="0" w:space="0" w:color="auto"/>
            <w:bottom w:val="none" w:sz="0" w:space="0" w:color="auto"/>
            <w:right w:val="none" w:sz="0" w:space="0" w:color="auto"/>
          </w:divBdr>
        </w:div>
        <w:div w:id="880020201">
          <w:marLeft w:val="0"/>
          <w:marRight w:val="0"/>
          <w:marTop w:val="0"/>
          <w:marBottom w:val="0"/>
          <w:divBdr>
            <w:top w:val="none" w:sz="0" w:space="0" w:color="auto"/>
            <w:left w:val="none" w:sz="0" w:space="0" w:color="auto"/>
            <w:bottom w:val="none" w:sz="0" w:space="0" w:color="auto"/>
            <w:right w:val="none" w:sz="0" w:space="0" w:color="auto"/>
          </w:divBdr>
        </w:div>
        <w:div w:id="932395495">
          <w:marLeft w:val="0"/>
          <w:marRight w:val="0"/>
          <w:marTop w:val="0"/>
          <w:marBottom w:val="0"/>
          <w:divBdr>
            <w:top w:val="none" w:sz="0" w:space="0" w:color="auto"/>
            <w:left w:val="none" w:sz="0" w:space="0" w:color="auto"/>
            <w:bottom w:val="none" w:sz="0" w:space="0" w:color="auto"/>
            <w:right w:val="none" w:sz="0" w:space="0" w:color="auto"/>
          </w:divBdr>
        </w:div>
        <w:div w:id="1109354830">
          <w:marLeft w:val="0"/>
          <w:marRight w:val="0"/>
          <w:marTop w:val="0"/>
          <w:marBottom w:val="0"/>
          <w:divBdr>
            <w:top w:val="none" w:sz="0" w:space="0" w:color="auto"/>
            <w:left w:val="none" w:sz="0" w:space="0" w:color="auto"/>
            <w:bottom w:val="none" w:sz="0" w:space="0" w:color="auto"/>
            <w:right w:val="none" w:sz="0" w:space="0" w:color="auto"/>
          </w:divBdr>
        </w:div>
        <w:div w:id="1187863844">
          <w:marLeft w:val="0"/>
          <w:marRight w:val="0"/>
          <w:marTop w:val="0"/>
          <w:marBottom w:val="0"/>
          <w:divBdr>
            <w:top w:val="none" w:sz="0" w:space="0" w:color="auto"/>
            <w:left w:val="none" w:sz="0" w:space="0" w:color="auto"/>
            <w:bottom w:val="none" w:sz="0" w:space="0" w:color="auto"/>
            <w:right w:val="none" w:sz="0" w:space="0" w:color="auto"/>
          </w:divBdr>
        </w:div>
        <w:div w:id="1197155576">
          <w:marLeft w:val="0"/>
          <w:marRight w:val="0"/>
          <w:marTop w:val="0"/>
          <w:marBottom w:val="0"/>
          <w:divBdr>
            <w:top w:val="none" w:sz="0" w:space="0" w:color="auto"/>
            <w:left w:val="none" w:sz="0" w:space="0" w:color="auto"/>
            <w:bottom w:val="none" w:sz="0" w:space="0" w:color="auto"/>
            <w:right w:val="none" w:sz="0" w:space="0" w:color="auto"/>
          </w:divBdr>
        </w:div>
        <w:div w:id="1308361527">
          <w:marLeft w:val="0"/>
          <w:marRight w:val="0"/>
          <w:marTop w:val="0"/>
          <w:marBottom w:val="0"/>
          <w:divBdr>
            <w:top w:val="none" w:sz="0" w:space="0" w:color="auto"/>
            <w:left w:val="none" w:sz="0" w:space="0" w:color="auto"/>
            <w:bottom w:val="none" w:sz="0" w:space="0" w:color="auto"/>
            <w:right w:val="none" w:sz="0" w:space="0" w:color="auto"/>
          </w:divBdr>
        </w:div>
        <w:div w:id="1325670760">
          <w:marLeft w:val="0"/>
          <w:marRight w:val="0"/>
          <w:marTop w:val="0"/>
          <w:marBottom w:val="0"/>
          <w:divBdr>
            <w:top w:val="none" w:sz="0" w:space="0" w:color="auto"/>
            <w:left w:val="none" w:sz="0" w:space="0" w:color="auto"/>
            <w:bottom w:val="none" w:sz="0" w:space="0" w:color="auto"/>
            <w:right w:val="none" w:sz="0" w:space="0" w:color="auto"/>
          </w:divBdr>
        </w:div>
        <w:div w:id="1336227850">
          <w:marLeft w:val="0"/>
          <w:marRight w:val="0"/>
          <w:marTop w:val="0"/>
          <w:marBottom w:val="0"/>
          <w:divBdr>
            <w:top w:val="none" w:sz="0" w:space="0" w:color="auto"/>
            <w:left w:val="none" w:sz="0" w:space="0" w:color="auto"/>
            <w:bottom w:val="none" w:sz="0" w:space="0" w:color="auto"/>
            <w:right w:val="none" w:sz="0" w:space="0" w:color="auto"/>
          </w:divBdr>
        </w:div>
        <w:div w:id="1382287630">
          <w:marLeft w:val="0"/>
          <w:marRight w:val="0"/>
          <w:marTop w:val="0"/>
          <w:marBottom w:val="0"/>
          <w:divBdr>
            <w:top w:val="none" w:sz="0" w:space="0" w:color="auto"/>
            <w:left w:val="none" w:sz="0" w:space="0" w:color="auto"/>
            <w:bottom w:val="none" w:sz="0" w:space="0" w:color="auto"/>
            <w:right w:val="none" w:sz="0" w:space="0" w:color="auto"/>
          </w:divBdr>
        </w:div>
        <w:div w:id="1391464574">
          <w:marLeft w:val="0"/>
          <w:marRight w:val="0"/>
          <w:marTop w:val="0"/>
          <w:marBottom w:val="0"/>
          <w:divBdr>
            <w:top w:val="none" w:sz="0" w:space="0" w:color="auto"/>
            <w:left w:val="none" w:sz="0" w:space="0" w:color="auto"/>
            <w:bottom w:val="none" w:sz="0" w:space="0" w:color="auto"/>
            <w:right w:val="none" w:sz="0" w:space="0" w:color="auto"/>
          </w:divBdr>
        </w:div>
        <w:div w:id="1545098224">
          <w:marLeft w:val="0"/>
          <w:marRight w:val="0"/>
          <w:marTop w:val="0"/>
          <w:marBottom w:val="0"/>
          <w:divBdr>
            <w:top w:val="none" w:sz="0" w:space="0" w:color="auto"/>
            <w:left w:val="none" w:sz="0" w:space="0" w:color="auto"/>
            <w:bottom w:val="none" w:sz="0" w:space="0" w:color="auto"/>
            <w:right w:val="none" w:sz="0" w:space="0" w:color="auto"/>
          </w:divBdr>
        </w:div>
        <w:div w:id="1582643651">
          <w:marLeft w:val="0"/>
          <w:marRight w:val="0"/>
          <w:marTop w:val="0"/>
          <w:marBottom w:val="0"/>
          <w:divBdr>
            <w:top w:val="none" w:sz="0" w:space="0" w:color="auto"/>
            <w:left w:val="none" w:sz="0" w:space="0" w:color="auto"/>
            <w:bottom w:val="none" w:sz="0" w:space="0" w:color="auto"/>
            <w:right w:val="none" w:sz="0" w:space="0" w:color="auto"/>
          </w:divBdr>
        </w:div>
        <w:div w:id="1658415283">
          <w:marLeft w:val="0"/>
          <w:marRight w:val="0"/>
          <w:marTop w:val="0"/>
          <w:marBottom w:val="0"/>
          <w:divBdr>
            <w:top w:val="none" w:sz="0" w:space="0" w:color="auto"/>
            <w:left w:val="none" w:sz="0" w:space="0" w:color="auto"/>
            <w:bottom w:val="none" w:sz="0" w:space="0" w:color="auto"/>
            <w:right w:val="none" w:sz="0" w:space="0" w:color="auto"/>
          </w:divBdr>
        </w:div>
        <w:div w:id="1806267975">
          <w:marLeft w:val="0"/>
          <w:marRight w:val="0"/>
          <w:marTop w:val="0"/>
          <w:marBottom w:val="0"/>
          <w:divBdr>
            <w:top w:val="none" w:sz="0" w:space="0" w:color="auto"/>
            <w:left w:val="none" w:sz="0" w:space="0" w:color="auto"/>
            <w:bottom w:val="none" w:sz="0" w:space="0" w:color="auto"/>
            <w:right w:val="none" w:sz="0" w:space="0" w:color="auto"/>
          </w:divBdr>
        </w:div>
        <w:div w:id="1895190100">
          <w:marLeft w:val="0"/>
          <w:marRight w:val="0"/>
          <w:marTop w:val="0"/>
          <w:marBottom w:val="0"/>
          <w:divBdr>
            <w:top w:val="none" w:sz="0" w:space="0" w:color="auto"/>
            <w:left w:val="none" w:sz="0" w:space="0" w:color="auto"/>
            <w:bottom w:val="none" w:sz="0" w:space="0" w:color="auto"/>
            <w:right w:val="none" w:sz="0" w:space="0" w:color="auto"/>
          </w:divBdr>
        </w:div>
        <w:div w:id="1896962117">
          <w:marLeft w:val="0"/>
          <w:marRight w:val="0"/>
          <w:marTop w:val="0"/>
          <w:marBottom w:val="0"/>
          <w:divBdr>
            <w:top w:val="none" w:sz="0" w:space="0" w:color="auto"/>
            <w:left w:val="none" w:sz="0" w:space="0" w:color="auto"/>
            <w:bottom w:val="none" w:sz="0" w:space="0" w:color="auto"/>
            <w:right w:val="none" w:sz="0" w:space="0" w:color="auto"/>
          </w:divBdr>
        </w:div>
        <w:div w:id="1903908255">
          <w:marLeft w:val="0"/>
          <w:marRight w:val="0"/>
          <w:marTop w:val="0"/>
          <w:marBottom w:val="0"/>
          <w:divBdr>
            <w:top w:val="none" w:sz="0" w:space="0" w:color="auto"/>
            <w:left w:val="none" w:sz="0" w:space="0" w:color="auto"/>
            <w:bottom w:val="none" w:sz="0" w:space="0" w:color="auto"/>
            <w:right w:val="none" w:sz="0" w:space="0" w:color="auto"/>
          </w:divBdr>
        </w:div>
        <w:div w:id="1916671758">
          <w:marLeft w:val="0"/>
          <w:marRight w:val="0"/>
          <w:marTop w:val="0"/>
          <w:marBottom w:val="0"/>
          <w:divBdr>
            <w:top w:val="none" w:sz="0" w:space="0" w:color="auto"/>
            <w:left w:val="none" w:sz="0" w:space="0" w:color="auto"/>
            <w:bottom w:val="none" w:sz="0" w:space="0" w:color="auto"/>
            <w:right w:val="none" w:sz="0" w:space="0" w:color="auto"/>
          </w:divBdr>
        </w:div>
        <w:div w:id="1942561956">
          <w:marLeft w:val="0"/>
          <w:marRight w:val="0"/>
          <w:marTop w:val="0"/>
          <w:marBottom w:val="0"/>
          <w:divBdr>
            <w:top w:val="none" w:sz="0" w:space="0" w:color="auto"/>
            <w:left w:val="none" w:sz="0" w:space="0" w:color="auto"/>
            <w:bottom w:val="none" w:sz="0" w:space="0" w:color="auto"/>
            <w:right w:val="none" w:sz="0" w:space="0" w:color="auto"/>
          </w:divBdr>
        </w:div>
        <w:div w:id="1954822601">
          <w:marLeft w:val="0"/>
          <w:marRight w:val="0"/>
          <w:marTop w:val="0"/>
          <w:marBottom w:val="0"/>
          <w:divBdr>
            <w:top w:val="none" w:sz="0" w:space="0" w:color="auto"/>
            <w:left w:val="none" w:sz="0" w:space="0" w:color="auto"/>
            <w:bottom w:val="none" w:sz="0" w:space="0" w:color="auto"/>
            <w:right w:val="none" w:sz="0" w:space="0" w:color="auto"/>
          </w:divBdr>
        </w:div>
        <w:div w:id="2018648960">
          <w:marLeft w:val="0"/>
          <w:marRight w:val="0"/>
          <w:marTop w:val="0"/>
          <w:marBottom w:val="0"/>
          <w:divBdr>
            <w:top w:val="none" w:sz="0" w:space="0" w:color="auto"/>
            <w:left w:val="none" w:sz="0" w:space="0" w:color="auto"/>
            <w:bottom w:val="none" w:sz="0" w:space="0" w:color="auto"/>
            <w:right w:val="none" w:sz="0" w:space="0" w:color="auto"/>
          </w:divBdr>
        </w:div>
        <w:div w:id="2032298768">
          <w:marLeft w:val="0"/>
          <w:marRight w:val="0"/>
          <w:marTop w:val="0"/>
          <w:marBottom w:val="0"/>
          <w:divBdr>
            <w:top w:val="none" w:sz="0" w:space="0" w:color="auto"/>
            <w:left w:val="none" w:sz="0" w:space="0" w:color="auto"/>
            <w:bottom w:val="none" w:sz="0" w:space="0" w:color="auto"/>
            <w:right w:val="none" w:sz="0" w:space="0" w:color="auto"/>
          </w:divBdr>
        </w:div>
        <w:div w:id="2066757205">
          <w:marLeft w:val="0"/>
          <w:marRight w:val="0"/>
          <w:marTop w:val="0"/>
          <w:marBottom w:val="0"/>
          <w:divBdr>
            <w:top w:val="none" w:sz="0" w:space="0" w:color="auto"/>
            <w:left w:val="none" w:sz="0" w:space="0" w:color="auto"/>
            <w:bottom w:val="none" w:sz="0" w:space="0" w:color="auto"/>
            <w:right w:val="none" w:sz="0" w:space="0" w:color="auto"/>
          </w:divBdr>
        </w:div>
        <w:div w:id="2135171918">
          <w:marLeft w:val="0"/>
          <w:marRight w:val="0"/>
          <w:marTop w:val="0"/>
          <w:marBottom w:val="0"/>
          <w:divBdr>
            <w:top w:val="none" w:sz="0" w:space="0" w:color="auto"/>
            <w:left w:val="none" w:sz="0" w:space="0" w:color="auto"/>
            <w:bottom w:val="none" w:sz="0" w:space="0" w:color="auto"/>
            <w:right w:val="none" w:sz="0" w:space="0" w:color="auto"/>
          </w:divBdr>
        </w:div>
        <w:div w:id="2143846311">
          <w:marLeft w:val="0"/>
          <w:marRight w:val="0"/>
          <w:marTop w:val="0"/>
          <w:marBottom w:val="0"/>
          <w:divBdr>
            <w:top w:val="none" w:sz="0" w:space="0" w:color="auto"/>
            <w:left w:val="none" w:sz="0" w:space="0" w:color="auto"/>
            <w:bottom w:val="none" w:sz="0" w:space="0" w:color="auto"/>
            <w:right w:val="none" w:sz="0" w:space="0" w:color="auto"/>
          </w:divBdr>
        </w:div>
      </w:divsChild>
    </w:div>
    <w:div w:id="1577086920">
      <w:bodyDiv w:val="1"/>
      <w:marLeft w:val="0"/>
      <w:marRight w:val="0"/>
      <w:marTop w:val="0"/>
      <w:marBottom w:val="0"/>
      <w:divBdr>
        <w:top w:val="none" w:sz="0" w:space="0" w:color="auto"/>
        <w:left w:val="none" w:sz="0" w:space="0" w:color="auto"/>
        <w:bottom w:val="none" w:sz="0" w:space="0" w:color="auto"/>
        <w:right w:val="none" w:sz="0" w:space="0" w:color="auto"/>
      </w:divBdr>
    </w:div>
    <w:div w:id="1577326585">
      <w:bodyDiv w:val="1"/>
      <w:marLeft w:val="0"/>
      <w:marRight w:val="0"/>
      <w:marTop w:val="0"/>
      <w:marBottom w:val="0"/>
      <w:divBdr>
        <w:top w:val="none" w:sz="0" w:space="0" w:color="auto"/>
        <w:left w:val="none" w:sz="0" w:space="0" w:color="auto"/>
        <w:bottom w:val="none" w:sz="0" w:space="0" w:color="auto"/>
        <w:right w:val="none" w:sz="0" w:space="0" w:color="auto"/>
      </w:divBdr>
      <w:divsChild>
        <w:div w:id="307903246">
          <w:marLeft w:val="0"/>
          <w:marRight w:val="0"/>
          <w:marTop w:val="0"/>
          <w:marBottom w:val="0"/>
          <w:divBdr>
            <w:top w:val="none" w:sz="0" w:space="0" w:color="auto"/>
            <w:left w:val="none" w:sz="0" w:space="0" w:color="auto"/>
            <w:bottom w:val="none" w:sz="0" w:space="0" w:color="auto"/>
            <w:right w:val="none" w:sz="0" w:space="0" w:color="auto"/>
          </w:divBdr>
        </w:div>
        <w:div w:id="328170049">
          <w:marLeft w:val="0"/>
          <w:marRight w:val="0"/>
          <w:marTop w:val="0"/>
          <w:marBottom w:val="0"/>
          <w:divBdr>
            <w:top w:val="none" w:sz="0" w:space="0" w:color="auto"/>
            <w:left w:val="none" w:sz="0" w:space="0" w:color="auto"/>
            <w:bottom w:val="none" w:sz="0" w:space="0" w:color="auto"/>
            <w:right w:val="none" w:sz="0" w:space="0" w:color="auto"/>
          </w:divBdr>
        </w:div>
        <w:div w:id="455101156">
          <w:marLeft w:val="0"/>
          <w:marRight w:val="0"/>
          <w:marTop w:val="0"/>
          <w:marBottom w:val="0"/>
          <w:divBdr>
            <w:top w:val="none" w:sz="0" w:space="0" w:color="auto"/>
            <w:left w:val="none" w:sz="0" w:space="0" w:color="auto"/>
            <w:bottom w:val="none" w:sz="0" w:space="0" w:color="auto"/>
            <w:right w:val="none" w:sz="0" w:space="0" w:color="auto"/>
          </w:divBdr>
        </w:div>
        <w:div w:id="584605225">
          <w:marLeft w:val="0"/>
          <w:marRight w:val="0"/>
          <w:marTop w:val="0"/>
          <w:marBottom w:val="0"/>
          <w:divBdr>
            <w:top w:val="none" w:sz="0" w:space="0" w:color="auto"/>
            <w:left w:val="none" w:sz="0" w:space="0" w:color="auto"/>
            <w:bottom w:val="none" w:sz="0" w:space="0" w:color="auto"/>
            <w:right w:val="none" w:sz="0" w:space="0" w:color="auto"/>
          </w:divBdr>
        </w:div>
        <w:div w:id="699285534">
          <w:marLeft w:val="0"/>
          <w:marRight w:val="0"/>
          <w:marTop w:val="0"/>
          <w:marBottom w:val="0"/>
          <w:divBdr>
            <w:top w:val="none" w:sz="0" w:space="0" w:color="auto"/>
            <w:left w:val="none" w:sz="0" w:space="0" w:color="auto"/>
            <w:bottom w:val="none" w:sz="0" w:space="0" w:color="auto"/>
            <w:right w:val="none" w:sz="0" w:space="0" w:color="auto"/>
          </w:divBdr>
        </w:div>
        <w:div w:id="936909675">
          <w:marLeft w:val="0"/>
          <w:marRight w:val="0"/>
          <w:marTop w:val="0"/>
          <w:marBottom w:val="0"/>
          <w:divBdr>
            <w:top w:val="none" w:sz="0" w:space="0" w:color="auto"/>
            <w:left w:val="none" w:sz="0" w:space="0" w:color="auto"/>
            <w:bottom w:val="none" w:sz="0" w:space="0" w:color="auto"/>
            <w:right w:val="none" w:sz="0" w:space="0" w:color="auto"/>
          </w:divBdr>
        </w:div>
        <w:div w:id="1006596741">
          <w:marLeft w:val="0"/>
          <w:marRight w:val="0"/>
          <w:marTop w:val="0"/>
          <w:marBottom w:val="0"/>
          <w:divBdr>
            <w:top w:val="none" w:sz="0" w:space="0" w:color="auto"/>
            <w:left w:val="none" w:sz="0" w:space="0" w:color="auto"/>
            <w:bottom w:val="none" w:sz="0" w:space="0" w:color="auto"/>
            <w:right w:val="none" w:sz="0" w:space="0" w:color="auto"/>
          </w:divBdr>
        </w:div>
        <w:div w:id="1025405801">
          <w:marLeft w:val="0"/>
          <w:marRight w:val="0"/>
          <w:marTop w:val="0"/>
          <w:marBottom w:val="0"/>
          <w:divBdr>
            <w:top w:val="none" w:sz="0" w:space="0" w:color="auto"/>
            <w:left w:val="none" w:sz="0" w:space="0" w:color="auto"/>
            <w:bottom w:val="none" w:sz="0" w:space="0" w:color="auto"/>
            <w:right w:val="none" w:sz="0" w:space="0" w:color="auto"/>
          </w:divBdr>
        </w:div>
        <w:div w:id="1097016375">
          <w:marLeft w:val="0"/>
          <w:marRight w:val="0"/>
          <w:marTop w:val="0"/>
          <w:marBottom w:val="0"/>
          <w:divBdr>
            <w:top w:val="none" w:sz="0" w:space="0" w:color="auto"/>
            <w:left w:val="none" w:sz="0" w:space="0" w:color="auto"/>
            <w:bottom w:val="none" w:sz="0" w:space="0" w:color="auto"/>
            <w:right w:val="none" w:sz="0" w:space="0" w:color="auto"/>
          </w:divBdr>
        </w:div>
        <w:div w:id="1481530964">
          <w:marLeft w:val="0"/>
          <w:marRight w:val="0"/>
          <w:marTop w:val="0"/>
          <w:marBottom w:val="0"/>
          <w:divBdr>
            <w:top w:val="none" w:sz="0" w:space="0" w:color="auto"/>
            <w:left w:val="none" w:sz="0" w:space="0" w:color="auto"/>
            <w:bottom w:val="none" w:sz="0" w:space="0" w:color="auto"/>
            <w:right w:val="none" w:sz="0" w:space="0" w:color="auto"/>
          </w:divBdr>
        </w:div>
        <w:div w:id="1506476899">
          <w:marLeft w:val="0"/>
          <w:marRight w:val="0"/>
          <w:marTop w:val="0"/>
          <w:marBottom w:val="0"/>
          <w:divBdr>
            <w:top w:val="none" w:sz="0" w:space="0" w:color="auto"/>
            <w:left w:val="none" w:sz="0" w:space="0" w:color="auto"/>
            <w:bottom w:val="none" w:sz="0" w:space="0" w:color="auto"/>
            <w:right w:val="none" w:sz="0" w:space="0" w:color="auto"/>
          </w:divBdr>
        </w:div>
        <w:div w:id="1645230731">
          <w:marLeft w:val="0"/>
          <w:marRight w:val="0"/>
          <w:marTop w:val="0"/>
          <w:marBottom w:val="0"/>
          <w:divBdr>
            <w:top w:val="none" w:sz="0" w:space="0" w:color="auto"/>
            <w:left w:val="none" w:sz="0" w:space="0" w:color="auto"/>
            <w:bottom w:val="none" w:sz="0" w:space="0" w:color="auto"/>
            <w:right w:val="none" w:sz="0" w:space="0" w:color="auto"/>
          </w:divBdr>
        </w:div>
        <w:div w:id="1659578940">
          <w:marLeft w:val="0"/>
          <w:marRight w:val="0"/>
          <w:marTop w:val="0"/>
          <w:marBottom w:val="0"/>
          <w:divBdr>
            <w:top w:val="none" w:sz="0" w:space="0" w:color="auto"/>
            <w:left w:val="none" w:sz="0" w:space="0" w:color="auto"/>
            <w:bottom w:val="none" w:sz="0" w:space="0" w:color="auto"/>
            <w:right w:val="none" w:sz="0" w:space="0" w:color="auto"/>
          </w:divBdr>
        </w:div>
        <w:div w:id="1764254785">
          <w:marLeft w:val="0"/>
          <w:marRight w:val="0"/>
          <w:marTop w:val="0"/>
          <w:marBottom w:val="0"/>
          <w:divBdr>
            <w:top w:val="none" w:sz="0" w:space="0" w:color="auto"/>
            <w:left w:val="none" w:sz="0" w:space="0" w:color="auto"/>
            <w:bottom w:val="none" w:sz="0" w:space="0" w:color="auto"/>
            <w:right w:val="none" w:sz="0" w:space="0" w:color="auto"/>
          </w:divBdr>
        </w:div>
        <w:div w:id="1779715463">
          <w:marLeft w:val="0"/>
          <w:marRight w:val="0"/>
          <w:marTop w:val="0"/>
          <w:marBottom w:val="0"/>
          <w:divBdr>
            <w:top w:val="none" w:sz="0" w:space="0" w:color="auto"/>
            <w:left w:val="none" w:sz="0" w:space="0" w:color="auto"/>
            <w:bottom w:val="none" w:sz="0" w:space="0" w:color="auto"/>
            <w:right w:val="none" w:sz="0" w:space="0" w:color="auto"/>
          </w:divBdr>
        </w:div>
        <w:div w:id="1982415495">
          <w:marLeft w:val="0"/>
          <w:marRight w:val="0"/>
          <w:marTop w:val="0"/>
          <w:marBottom w:val="0"/>
          <w:divBdr>
            <w:top w:val="none" w:sz="0" w:space="0" w:color="auto"/>
            <w:left w:val="none" w:sz="0" w:space="0" w:color="auto"/>
            <w:bottom w:val="none" w:sz="0" w:space="0" w:color="auto"/>
            <w:right w:val="none" w:sz="0" w:space="0" w:color="auto"/>
          </w:divBdr>
        </w:div>
      </w:divsChild>
    </w:div>
    <w:div w:id="1580485972">
      <w:bodyDiv w:val="1"/>
      <w:marLeft w:val="0"/>
      <w:marRight w:val="0"/>
      <w:marTop w:val="0"/>
      <w:marBottom w:val="0"/>
      <w:divBdr>
        <w:top w:val="none" w:sz="0" w:space="0" w:color="auto"/>
        <w:left w:val="none" w:sz="0" w:space="0" w:color="auto"/>
        <w:bottom w:val="none" w:sz="0" w:space="0" w:color="auto"/>
        <w:right w:val="none" w:sz="0" w:space="0" w:color="auto"/>
      </w:divBdr>
      <w:divsChild>
        <w:div w:id="399061">
          <w:marLeft w:val="0"/>
          <w:marRight w:val="0"/>
          <w:marTop w:val="0"/>
          <w:marBottom w:val="0"/>
          <w:divBdr>
            <w:top w:val="none" w:sz="0" w:space="0" w:color="auto"/>
            <w:left w:val="none" w:sz="0" w:space="0" w:color="auto"/>
            <w:bottom w:val="none" w:sz="0" w:space="0" w:color="auto"/>
            <w:right w:val="none" w:sz="0" w:space="0" w:color="auto"/>
          </w:divBdr>
        </w:div>
        <w:div w:id="4862589">
          <w:marLeft w:val="0"/>
          <w:marRight w:val="0"/>
          <w:marTop w:val="0"/>
          <w:marBottom w:val="0"/>
          <w:divBdr>
            <w:top w:val="none" w:sz="0" w:space="0" w:color="auto"/>
            <w:left w:val="none" w:sz="0" w:space="0" w:color="auto"/>
            <w:bottom w:val="none" w:sz="0" w:space="0" w:color="auto"/>
            <w:right w:val="none" w:sz="0" w:space="0" w:color="auto"/>
          </w:divBdr>
        </w:div>
        <w:div w:id="54084315">
          <w:marLeft w:val="0"/>
          <w:marRight w:val="0"/>
          <w:marTop w:val="0"/>
          <w:marBottom w:val="0"/>
          <w:divBdr>
            <w:top w:val="none" w:sz="0" w:space="0" w:color="auto"/>
            <w:left w:val="none" w:sz="0" w:space="0" w:color="auto"/>
            <w:bottom w:val="none" w:sz="0" w:space="0" w:color="auto"/>
            <w:right w:val="none" w:sz="0" w:space="0" w:color="auto"/>
          </w:divBdr>
        </w:div>
        <w:div w:id="69472443">
          <w:marLeft w:val="0"/>
          <w:marRight w:val="0"/>
          <w:marTop w:val="0"/>
          <w:marBottom w:val="0"/>
          <w:divBdr>
            <w:top w:val="none" w:sz="0" w:space="0" w:color="auto"/>
            <w:left w:val="none" w:sz="0" w:space="0" w:color="auto"/>
            <w:bottom w:val="none" w:sz="0" w:space="0" w:color="auto"/>
            <w:right w:val="none" w:sz="0" w:space="0" w:color="auto"/>
          </w:divBdr>
        </w:div>
        <w:div w:id="234433225">
          <w:marLeft w:val="0"/>
          <w:marRight w:val="0"/>
          <w:marTop w:val="0"/>
          <w:marBottom w:val="0"/>
          <w:divBdr>
            <w:top w:val="none" w:sz="0" w:space="0" w:color="auto"/>
            <w:left w:val="none" w:sz="0" w:space="0" w:color="auto"/>
            <w:bottom w:val="none" w:sz="0" w:space="0" w:color="auto"/>
            <w:right w:val="none" w:sz="0" w:space="0" w:color="auto"/>
          </w:divBdr>
        </w:div>
        <w:div w:id="512190538">
          <w:marLeft w:val="0"/>
          <w:marRight w:val="0"/>
          <w:marTop w:val="0"/>
          <w:marBottom w:val="0"/>
          <w:divBdr>
            <w:top w:val="none" w:sz="0" w:space="0" w:color="auto"/>
            <w:left w:val="none" w:sz="0" w:space="0" w:color="auto"/>
            <w:bottom w:val="none" w:sz="0" w:space="0" w:color="auto"/>
            <w:right w:val="none" w:sz="0" w:space="0" w:color="auto"/>
          </w:divBdr>
        </w:div>
        <w:div w:id="861943744">
          <w:marLeft w:val="0"/>
          <w:marRight w:val="0"/>
          <w:marTop w:val="0"/>
          <w:marBottom w:val="0"/>
          <w:divBdr>
            <w:top w:val="none" w:sz="0" w:space="0" w:color="auto"/>
            <w:left w:val="none" w:sz="0" w:space="0" w:color="auto"/>
            <w:bottom w:val="none" w:sz="0" w:space="0" w:color="auto"/>
            <w:right w:val="none" w:sz="0" w:space="0" w:color="auto"/>
          </w:divBdr>
        </w:div>
        <w:div w:id="1051687267">
          <w:marLeft w:val="0"/>
          <w:marRight w:val="0"/>
          <w:marTop w:val="0"/>
          <w:marBottom w:val="0"/>
          <w:divBdr>
            <w:top w:val="none" w:sz="0" w:space="0" w:color="auto"/>
            <w:left w:val="none" w:sz="0" w:space="0" w:color="auto"/>
            <w:bottom w:val="none" w:sz="0" w:space="0" w:color="auto"/>
            <w:right w:val="none" w:sz="0" w:space="0" w:color="auto"/>
          </w:divBdr>
        </w:div>
        <w:div w:id="1206672886">
          <w:marLeft w:val="0"/>
          <w:marRight w:val="0"/>
          <w:marTop w:val="0"/>
          <w:marBottom w:val="0"/>
          <w:divBdr>
            <w:top w:val="none" w:sz="0" w:space="0" w:color="auto"/>
            <w:left w:val="none" w:sz="0" w:space="0" w:color="auto"/>
            <w:bottom w:val="none" w:sz="0" w:space="0" w:color="auto"/>
            <w:right w:val="none" w:sz="0" w:space="0" w:color="auto"/>
          </w:divBdr>
        </w:div>
        <w:div w:id="1251700276">
          <w:marLeft w:val="0"/>
          <w:marRight w:val="0"/>
          <w:marTop w:val="0"/>
          <w:marBottom w:val="0"/>
          <w:divBdr>
            <w:top w:val="none" w:sz="0" w:space="0" w:color="auto"/>
            <w:left w:val="none" w:sz="0" w:space="0" w:color="auto"/>
            <w:bottom w:val="none" w:sz="0" w:space="0" w:color="auto"/>
            <w:right w:val="none" w:sz="0" w:space="0" w:color="auto"/>
          </w:divBdr>
        </w:div>
        <w:div w:id="1373262473">
          <w:marLeft w:val="0"/>
          <w:marRight w:val="0"/>
          <w:marTop w:val="0"/>
          <w:marBottom w:val="0"/>
          <w:divBdr>
            <w:top w:val="none" w:sz="0" w:space="0" w:color="auto"/>
            <w:left w:val="none" w:sz="0" w:space="0" w:color="auto"/>
            <w:bottom w:val="none" w:sz="0" w:space="0" w:color="auto"/>
            <w:right w:val="none" w:sz="0" w:space="0" w:color="auto"/>
          </w:divBdr>
        </w:div>
        <w:div w:id="1528909678">
          <w:marLeft w:val="0"/>
          <w:marRight w:val="0"/>
          <w:marTop w:val="0"/>
          <w:marBottom w:val="0"/>
          <w:divBdr>
            <w:top w:val="none" w:sz="0" w:space="0" w:color="auto"/>
            <w:left w:val="none" w:sz="0" w:space="0" w:color="auto"/>
            <w:bottom w:val="none" w:sz="0" w:space="0" w:color="auto"/>
            <w:right w:val="none" w:sz="0" w:space="0" w:color="auto"/>
          </w:divBdr>
        </w:div>
        <w:div w:id="1608198426">
          <w:marLeft w:val="0"/>
          <w:marRight w:val="0"/>
          <w:marTop w:val="0"/>
          <w:marBottom w:val="0"/>
          <w:divBdr>
            <w:top w:val="none" w:sz="0" w:space="0" w:color="auto"/>
            <w:left w:val="none" w:sz="0" w:space="0" w:color="auto"/>
            <w:bottom w:val="none" w:sz="0" w:space="0" w:color="auto"/>
            <w:right w:val="none" w:sz="0" w:space="0" w:color="auto"/>
          </w:divBdr>
        </w:div>
        <w:div w:id="1668093703">
          <w:marLeft w:val="0"/>
          <w:marRight w:val="0"/>
          <w:marTop w:val="0"/>
          <w:marBottom w:val="0"/>
          <w:divBdr>
            <w:top w:val="none" w:sz="0" w:space="0" w:color="auto"/>
            <w:left w:val="none" w:sz="0" w:space="0" w:color="auto"/>
            <w:bottom w:val="none" w:sz="0" w:space="0" w:color="auto"/>
            <w:right w:val="none" w:sz="0" w:space="0" w:color="auto"/>
          </w:divBdr>
        </w:div>
        <w:div w:id="1671057402">
          <w:marLeft w:val="0"/>
          <w:marRight w:val="0"/>
          <w:marTop w:val="0"/>
          <w:marBottom w:val="0"/>
          <w:divBdr>
            <w:top w:val="none" w:sz="0" w:space="0" w:color="auto"/>
            <w:left w:val="none" w:sz="0" w:space="0" w:color="auto"/>
            <w:bottom w:val="none" w:sz="0" w:space="0" w:color="auto"/>
            <w:right w:val="none" w:sz="0" w:space="0" w:color="auto"/>
          </w:divBdr>
        </w:div>
        <w:div w:id="1765227578">
          <w:marLeft w:val="0"/>
          <w:marRight w:val="0"/>
          <w:marTop w:val="0"/>
          <w:marBottom w:val="0"/>
          <w:divBdr>
            <w:top w:val="none" w:sz="0" w:space="0" w:color="auto"/>
            <w:left w:val="none" w:sz="0" w:space="0" w:color="auto"/>
            <w:bottom w:val="none" w:sz="0" w:space="0" w:color="auto"/>
            <w:right w:val="none" w:sz="0" w:space="0" w:color="auto"/>
          </w:divBdr>
        </w:div>
        <w:div w:id="1916936776">
          <w:marLeft w:val="0"/>
          <w:marRight w:val="0"/>
          <w:marTop w:val="0"/>
          <w:marBottom w:val="0"/>
          <w:divBdr>
            <w:top w:val="none" w:sz="0" w:space="0" w:color="auto"/>
            <w:left w:val="none" w:sz="0" w:space="0" w:color="auto"/>
            <w:bottom w:val="none" w:sz="0" w:space="0" w:color="auto"/>
            <w:right w:val="none" w:sz="0" w:space="0" w:color="auto"/>
          </w:divBdr>
        </w:div>
        <w:div w:id="2037920553">
          <w:marLeft w:val="0"/>
          <w:marRight w:val="0"/>
          <w:marTop w:val="0"/>
          <w:marBottom w:val="0"/>
          <w:divBdr>
            <w:top w:val="none" w:sz="0" w:space="0" w:color="auto"/>
            <w:left w:val="none" w:sz="0" w:space="0" w:color="auto"/>
            <w:bottom w:val="none" w:sz="0" w:space="0" w:color="auto"/>
            <w:right w:val="none" w:sz="0" w:space="0" w:color="auto"/>
          </w:divBdr>
        </w:div>
        <w:div w:id="2039970190">
          <w:marLeft w:val="0"/>
          <w:marRight w:val="0"/>
          <w:marTop w:val="0"/>
          <w:marBottom w:val="0"/>
          <w:divBdr>
            <w:top w:val="none" w:sz="0" w:space="0" w:color="auto"/>
            <w:left w:val="none" w:sz="0" w:space="0" w:color="auto"/>
            <w:bottom w:val="none" w:sz="0" w:space="0" w:color="auto"/>
            <w:right w:val="none" w:sz="0" w:space="0" w:color="auto"/>
          </w:divBdr>
        </w:div>
        <w:div w:id="2053193370">
          <w:marLeft w:val="0"/>
          <w:marRight w:val="0"/>
          <w:marTop w:val="0"/>
          <w:marBottom w:val="0"/>
          <w:divBdr>
            <w:top w:val="none" w:sz="0" w:space="0" w:color="auto"/>
            <w:left w:val="none" w:sz="0" w:space="0" w:color="auto"/>
            <w:bottom w:val="none" w:sz="0" w:space="0" w:color="auto"/>
            <w:right w:val="none" w:sz="0" w:space="0" w:color="auto"/>
          </w:divBdr>
        </w:div>
        <w:div w:id="2072078139">
          <w:marLeft w:val="0"/>
          <w:marRight w:val="0"/>
          <w:marTop w:val="0"/>
          <w:marBottom w:val="0"/>
          <w:divBdr>
            <w:top w:val="none" w:sz="0" w:space="0" w:color="auto"/>
            <w:left w:val="none" w:sz="0" w:space="0" w:color="auto"/>
            <w:bottom w:val="none" w:sz="0" w:space="0" w:color="auto"/>
            <w:right w:val="none" w:sz="0" w:space="0" w:color="auto"/>
          </w:divBdr>
        </w:div>
        <w:div w:id="2092307721">
          <w:marLeft w:val="0"/>
          <w:marRight w:val="0"/>
          <w:marTop w:val="0"/>
          <w:marBottom w:val="0"/>
          <w:divBdr>
            <w:top w:val="none" w:sz="0" w:space="0" w:color="auto"/>
            <w:left w:val="none" w:sz="0" w:space="0" w:color="auto"/>
            <w:bottom w:val="none" w:sz="0" w:space="0" w:color="auto"/>
            <w:right w:val="none" w:sz="0" w:space="0" w:color="auto"/>
          </w:divBdr>
        </w:div>
        <w:div w:id="2109696741">
          <w:marLeft w:val="0"/>
          <w:marRight w:val="0"/>
          <w:marTop w:val="0"/>
          <w:marBottom w:val="0"/>
          <w:divBdr>
            <w:top w:val="none" w:sz="0" w:space="0" w:color="auto"/>
            <w:left w:val="none" w:sz="0" w:space="0" w:color="auto"/>
            <w:bottom w:val="none" w:sz="0" w:space="0" w:color="auto"/>
            <w:right w:val="none" w:sz="0" w:space="0" w:color="auto"/>
          </w:divBdr>
        </w:div>
      </w:divsChild>
    </w:div>
    <w:div w:id="1584602541">
      <w:bodyDiv w:val="1"/>
      <w:marLeft w:val="0"/>
      <w:marRight w:val="0"/>
      <w:marTop w:val="0"/>
      <w:marBottom w:val="0"/>
      <w:divBdr>
        <w:top w:val="none" w:sz="0" w:space="0" w:color="auto"/>
        <w:left w:val="none" w:sz="0" w:space="0" w:color="auto"/>
        <w:bottom w:val="none" w:sz="0" w:space="0" w:color="auto"/>
        <w:right w:val="none" w:sz="0" w:space="0" w:color="auto"/>
      </w:divBdr>
      <w:divsChild>
        <w:div w:id="750472110">
          <w:marLeft w:val="0"/>
          <w:marRight w:val="0"/>
          <w:marTop w:val="0"/>
          <w:marBottom w:val="0"/>
          <w:divBdr>
            <w:top w:val="none" w:sz="0" w:space="0" w:color="auto"/>
            <w:left w:val="none" w:sz="0" w:space="0" w:color="auto"/>
            <w:bottom w:val="none" w:sz="0" w:space="0" w:color="auto"/>
            <w:right w:val="none" w:sz="0" w:space="0" w:color="auto"/>
          </w:divBdr>
        </w:div>
      </w:divsChild>
    </w:div>
    <w:div w:id="1585381684">
      <w:bodyDiv w:val="1"/>
      <w:marLeft w:val="0"/>
      <w:marRight w:val="0"/>
      <w:marTop w:val="0"/>
      <w:marBottom w:val="0"/>
      <w:divBdr>
        <w:top w:val="none" w:sz="0" w:space="0" w:color="auto"/>
        <w:left w:val="none" w:sz="0" w:space="0" w:color="auto"/>
        <w:bottom w:val="none" w:sz="0" w:space="0" w:color="auto"/>
        <w:right w:val="none" w:sz="0" w:space="0" w:color="auto"/>
      </w:divBdr>
      <w:divsChild>
        <w:div w:id="290285303">
          <w:marLeft w:val="0"/>
          <w:marRight w:val="0"/>
          <w:marTop w:val="0"/>
          <w:marBottom w:val="0"/>
          <w:divBdr>
            <w:top w:val="none" w:sz="0" w:space="0" w:color="auto"/>
            <w:left w:val="none" w:sz="0" w:space="0" w:color="auto"/>
            <w:bottom w:val="none" w:sz="0" w:space="0" w:color="auto"/>
            <w:right w:val="none" w:sz="0" w:space="0" w:color="auto"/>
          </w:divBdr>
        </w:div>
        <w:div w:id="431125128">
          <w:marLeft w:val="0"/>
          <w:marRight w:val="0"/>
          <w:marTop w:val="0"/>
          <w:marBottom w:val="0"/>
          <w:divBdr>
            <w:top w:val="none" w:sz="0" w:space="0" w:color="auto"/>
            <w:left w:val="none" w:sz="0" w:space="0" w:color="auto"/>
            <w:bottom w:val="none" w:sz="0" w:space="0" w:color="auto"/>
            <w:right w:val="none" w:sz="0" w:space="0" w:color="auto"/>
          </w:divBdr>
        </w:div>
        <w:div w:id="569927576">
          <w:marLeft w:val="0"/>
          <w:marRight w:val="0"/>
          <w:marTop w:val="0"/>
          <w:marBottom w:val="0"/>
          <w:divBdr>
            <w:top w:val="none" w:sz="0" w:space="0" w:color="auto"/>
            <w:left w:val="none" w:sz="0" w:space="0" w:color="auto"/>
            <w:bottom w:val="none" w:sz="0" w:space="0" w:color="auto"/>
            <w:right w:val="none" w:sz="0" w:space="0" w:color="auto"/>
          </w:divBdr>
        </w:div>
        <w:div w:id="874536132">
          <w:marLeft w:val="0"/>
          <w:marRight w:val="0"/>
          <w:marTop w:val="0"/>
          <w:marBottom w:val="0"/>
          <w:divBdr>
            <w:top w:val="none" w:sz="0" w:space="0" w:color="auto"/>
            <w:left w:val="none" w:sz="0" w:space="0" w:color="auto"/>
            <w:bottom w:val="none" w:sz="0" w:space="0" w:color="auto"/>
            <w:right w:val="none" w:sz="0" w:space="0" w:color="auto"/>
          </w:divBdr>
        </w:div>
        <w:div w:id="980231861">
          <w:marLeft w:val="0"/>
          <w:marRight w:val="0"/>
          <w:marTop w:val="0"/>
          <w:marBottom w:val="0"/>
          <w:divBdr>
            <w:top w:val="none" w:sz="0" w:space="0" w:color="auto"/>
            <w:left w:val="none" w:sz="0" w:space="0" w:color="auto"/>
            <w:bottom w:val="none" w:sz="0" w:space="0" w:color="auto"/>
            <w:right w:val="none" w:sz="0" w:space="0" w:color="auto"/>
          </w:divBdr>
        </w:div>
        <w:div w:id="1012757163">
          <w:marLeft w:val="0"/>
          <w:marRight w:val="0"/>
          <w:marTop w:val="0"/>
          <w:marBottom w:val="0"/>
          <w:divBdr>
            <w:top w:val="none" w:sz="0" w:space="0" w:color="auto"/>
            <w:left w:val="none" w:sz="0" w:space="0" w:color="auto"/>
            <w:bottom w:val="none" w:sz="0" w:space="0" w:color="auto"/>
            <w:right w:val="none" w:sz="0" w:space="0" w:color="auto"/>
          </w:divBdr>
        </w:div>
        <w:div w:id="1154832558">
          <w:marLeft w:val="0"/>
          <w:marRight w:val="0"/>
          <w:marTop w:val="0"/>
          <w:marBottom w:val="0"/>
          <w:divBdr>
            <w:top w:val="none" w:sz="0" w:space="0" w:color="auto"/>
            <w:left w:val="none" w:sz="0" w:space="0" w:color="auto"/>
            <w:bottom w:val="none" w:sz="0" w:space="0" w:color="auto"/>
            <w:right w:val="none" w:sz="0" w:space="0" w:color="auto"/>
          </w:divBdr>
        </w:div>
        <w:div w:id="1195115682">
          <w:marLeft w:val="0"/>
          <w:marRight w:val="0"/>
          <w:marTop w:val="0"/>
          <w:marBottom w:val="0"/>
          <w:divBdr>
            <w:top w:val="none" w:sz="0" w:space="0" w:color="auto"/>
            <w:left w:val="none" w:sz="0" w:space="0" w:color="auto"/>
            <w:bottom w:val="none" w:sz="0" w:space="0" w:color="auto"/>
            <w:right w:val="none" w:sz="0" w:space="0" w:color="auto"/>
          </w:divBdr>
        </w:div>
        <w:div w:id="1361130307">
          <w:marLeft w:val="0"/>
          <w:marRight w:val="0"/>
          <w:marTop w:val="0"/>
          <w:marBottom w:val="0"/>
          <w:divBdr>
            <w:top w:val="none" w:sz="0" w:space="0" w:color="auto"/>
            <w:left w:val="none" w:sz="0" w:space="0" w:color="auto"/>
            <w:bottom w:val="none" w:sz="0" w:space="0" w:color="auto"/>
            <w:right w:val="none" w:sz="0" w:space="0" w:color="auto"/>
          </w:divBdr>
        </w:div>
        <w:div w:id="1411543661">
          <w:marLeft w:val="0"/>
          <w:marRight w:val="0"/>
          <w:marTop w:val="0"/>
          <w:marBottom w:val="0"/>
          <w:divBdr>
            <w:top w:val="none" w:sz="0" w:space="0" w:color="auto"/>
            <w:left w:val="none" w:sz="0" w:space="0" w:color="auto"/>
            <w:bottom w:val="none" w:sz="0" w:space="0" w:color="auto"/>
            <w:right w:val="none" w:sz="0" w:space="0" w:color="auto"/>
          </w:divBdr>
        </w:div>
        <w:div w:id="1574318451">
          <w:marLeft w:val="0"/>
          <w:marRight w:val="0"/>
          <w:marTop w:val="0"/>
          <w:marBottom w:val="0"/>
          <w:divBdr>
            <w:top w:val="none" w:sz="0" w:space="0" w:color="auto"/>
            <w:left w:val="none" w:sz="0" w:space="0" w:color="auto"/>
            <w:bottom w:val="none" w:sz="0" w:space="0" w:color="auto"/>
            <w:right w:val="none" w:sz="0" w:space="0" w:color="auto"/>
          </w:divBdr>
        </w:div>
        <w:div w:id="1588609618">
          <w:marLeft w:val="0"/>
          <w:marRight w:val="0"/>
          <w:marTop w:val="0"/>
          <w:marBottom w:val="0"/>
          <w:divBdr>
            <w:top w:val="none" w:sz="0" w:space="0" w:color="auto"/>
            <w:left w:val="none" w:sz="0" w:space="0" w:color="auto"/>
            <w:bottom w:val="none" w:sz="0" w:space="0" w:color="auto"/>
            <w:right w:val="none" w:sz="0" w:space="0" w:color="auto"/>
          </w:divBdr>
        </w:div>
        <w:div w:id="1623536924">
          <w:marLeft w:val="0"/>
          <w:marRight w:val="0"/>
          <w:marTop w:val="0"/>
          <w:marBottom w:val="0"/>
          <w:divBdr>
            <w:top w:val="none" w:sz="0" w:space="0" w:color="auto"/>
            <w:left w:val="none" w:sz="0" w:space="0" w:color="auto"/>
            <w:bottom w:val="none" w:sz="0" w:space="0" w:color="auto"/>
            <w:right w:val="none" w:sz="0" w:space="0" w:color="auto"/>
          </w:divBdr>
        </w:div>
        <w:div w:id="1900020341">
          <w:marLeft w:val="0"/>
          <w:marRight w:val="0"/>
          <w:marTop w:val="0"/>
          <w:marBottom w:val="0"/>
          <w:divBdr>
            <w:top w:val="none" w:sz="0" w:space="0" w:color="auto"/>
            <w:left w:val="none" w:sz="0" w:space="0" w:color="auto"/>
            <w:bottom w:val="none" w:sz="0" w:space="0" w:color="auto"/>
            <w:right w:val="none" w:sz="0" w:space="0" w:color="auto"/>
          </w:divBdr>
        </w:div>
        <w:div w:id="1957712632">
          <w:marLeft w:val="0"/>
          <w:marRight w:val="0"/>
          <w:marTop w:val="0"/>
          <w:marBottom w:val="0"/>
          <w:divBdr>
            <w:top w:val="none" w:sz="0" w:space="0" w:color="auto"/>
            <w:left w:val="none" w:sz="0" w:space="0" w:color="auto"/>
            <w:bottom w:val="none" w:sz="0" w:space="0" w:color="auto"/>
            <w:right w:val="none" w:sz="0" w:space="0" w:color="auto"/>
          </w:divBdr>
        </w:div>
        <w:div w:id="2020039648">
          <w:marLeft w:val="0"/>
          <w:marRight w:val="0"/>
          <w:marTop w:val="0"/>
          <w:marBottom w:val="0"/>
          <w:divBdr>
            <w:top w:val="none" w:sz="0" w:space="0" w:color="auto"/>
            <w:left w:val="none" w:sz="0" w:space="0" w:color="auto"/>
            <w:bottom w:val="none" w:sz="0" w:space="0" w:color="auto"/>
            <w:right w:val="none" w:sz="0" w:space="0" w:color="auto"/>
          </w:divBdr>
        </w:div>
        <w:div w:id="2036997548">
          <w:marLeft w:val="0"/>
          <w:marRight w:val="0"/>
          <w:marTop w:val="0"/>
          <w:marBottom w:val="0"/>
          <w:divBdr>
            <w:top w:val="none" w:sz="0" w:space="0" w:color="auto"/>
            <w:left w:val="none" w:sz="0" w:space="0" w:color="auto"/>
            <w:bottom w:val="none" w:sz="0" w:space="0" w:color="auto"/>
            <w:right w:val="none" w:sz="0" w:space="0" w:color="auto"/>
          </w:divBdr>
        </w:div>
      </w:divsChild>
    </w:div>
    <w:div w:id="1586526387">
      <w:bodyDiv w:val="1"/>
      <w:marLeft w:val="0"/>
      <w:marRight w:val="0"/>
      <w:marTop w:val="0"/>
      <w:marBottom w:val="0"/>
      <w:divBdr>
        <w:top w:val="none" w:sz="0" w:space="0" w:color="auto"/>
        <w:left w:val="none" w:sz="0" w:space="0" w:color="auto"/>
        <w:bottom w:val="none" w:sz="0" w:space="0" w:color="auto"/>
        <w:right w:val="none" w:sz="0" w:space="0" w:color="auto"/>
      </w:divBdr>
      <w:divsChild>
        <w:div w:id="1473018554">
          <w:marLeft w:val="0"/>
          <w:marRight w:val="0"/>
          <w:marTop w:val="0"/>
          <w:marBottom w:val="0"/>
          <w:divBdr>
            <w:top w:val="none" w:sz="0" w:space="0" w:color="auto"/>
            <w:left w:val="none" w:sz="0" w:space="0" w:color="auto"/>
            <w:bottom w:val="none" w:sz="0" w:space="0" w:color="auto"/>
            <w:right w:val="none" w:sz="0" w:space="0" w:color="auto"/>
          </w:divBdr>
        </w:div>
      </w:divsChild>
    </w:div>
    <w:div w:id="1587961992">
      <w:bodyDiv w:val="1"/>
      <w:marLeft w:val="0"/>
      <w:marRight w:val="0"/>
      <w:marTop w:val="0"/>
      <w:marBottom w:val="0"/>
      <w:divBdr>
        <w:top w:val="none" w:sz="0" w:space="0" w:color="auto"/>
        <w:left w:val="none" w:sz="0" w:space="0" w:color="auto"/>
        <w:bottom w:val="none" w:sz="0" w:space="0" w:color="auto"/>
        <w:right w:val="none" w:sz="0" w:space="0" w:color="auto"/>
      </w:divBdr>
      <w:divsChild>
        <w:div w:id="333656522">
          <w:marLeft w:val="0"/>
          <w:marRight w:val="0"/>
          <w:marTop w:val="0"/>
          <w:marBottom w:val="0"/>
          <w:divBdr>
            <w:top w:val="none" w:sz="0" w:space="0" w:color="auto"/>
            <w:left w:val="none" w:sz="0" w:space="0" w:color="auto"/>
            <w:bottom w:val="none" w:sz="0" w:space="0" w:color="auto"/>
            <w:right w:val="none" w:sz="0" w:space="0" w:color="auto"/>
          </w:divBdr>
        </w:div>
        <w:div w:id="538593100">
          <w:marLeft w:val="0"/>
          <w:marRight w:val="0"/>
          <w:marTop w:val="0"/>
          <w:marBottom w:val="0"/>
          <w:divBdr>
            <w:top w:val="none" w:sz="0" w:space="0" w:color="auto"/>
            <w:left w:val="none" w:sz="0" w:space="0" w:color="auto"/>
            <w:bottom w:val="none" w:sz="0" w:space="0" w:color="auto"/>
            <w:right w:val="none" w:sz="0" w:space="0" w:color="auto"/>
          </w:divBdr>
        </w:div>
        <w:div w:id="733939236">
          <w:marLeft w:val="0"/>
          <w:marRight w:val="0"/>
          <w:marTop w:val="0"/>
          <w:marBottom w:val="0"/>
          <w:divBdr>
            <w:top w:val="none" w:sz="0" w:space="0" w:color="auto"/>
            <w:left w:val="none" w:sz="0" w:space="0" w:color="auto"/>
            <w:bottom w:val="none" w:sz="0" w:space="0" w:color="auto"/>
            <w:right w:val="none" w:sz="0" w:space="0" w:color="auto"/>
          </w:divBdr>
        </w:div>
        <w:div w:id="1357538880">
          <w:marLeft w:val="0"/>
          <w:marRight w:val="0"/>
          <w:marTop w:val="0"/>
          <w:marBottom w:val="0"/>
          <w:divBdr>
            <w:top w:val="none" w:sz="0" w:space="0" w:color="auto"/>
            <w:left w:val="none" w:sz="0" w:space="0" w:color="auto"/>
            <w:bottom w:val="none" w:sz="0" w:space="0" w:color="auto"/>
            <w:right w:val="none" w:sz="0" w:space="0" w:color="auto"/>
          </w:divBdr>
        </w:div>
      </w:divsChild>
    </w:div>
    <w:div w:id="1589386755">
      <w:bodyDiv w:val="1"/>
      <w:marLeft w:val="0"/>
      <w:marRight w:val="0"/>
      <w:marTop w:val="0"/>
      <w:marBottom w:val="0"/>
      <w:divBdr>
        <w:top w:val="none" w:sz="0" w:space="0" w:color="auto"/>
        <w:left w:val="none" w:sz="0" w:space="0" w:color="auto"/>
        <w:bottom w:val="none" w:sz="0" w:space="0" w:color="auto"/>
        <w:right w:val="none" w:sz="0" w:space="0" w:color="auto"/>
      </w:divBdr>
      <w:divsChild>
        <w:div w:id="72243493">
          <w:marLeft w:val="0"/>
          <w:marRight w:val="0"/>
          <w:marTop w:val="0"/>
          <w:marBottom w:val="0"/>
          <w:divBdr>
            <w:top w:val="none" w:sz="0" w:space="0" w:color="auto"/>
            <w:left w:val="none" w:sz="0" w:space="0" w:color="auto"/>
            <w:bottom w:val="none" w:sz="0" w:space="0" w:color="auto"/>
            <w:right w:val="none" w:sz="0" w:space="0" w:color="auto"/>
          </w:divBdr>
        </w:div>
        <w:div w:id="173226872">
          <w:marLeft w:val="0"/>
          <w:marRight w:val="0"/>
          <w:marTop w:val="0"/>
          <w:marBottom w:val="0"/>
          <w:divBdr>
            <w:top w:val="none" w:sz="0" w:space="0" w:color="auto"/>
            <w:left w:val="none" w:sz="0" w:space="0" w:color="auto"/>
            <w:bottom w:val="none" w:sz="0" w:space="0" w:color="auto"/>
            <w:right w:val="none" w:sz="0" w:space="0" w:color="auto"/>
          </w:divBdr>
        </w:div>
        <w:div w:id="191651019">
          <w:marLeft w:val="0"/>
          <w:marRight w:val="0"/>
          <w:marTop w:val="0"/>
          <w:marBottom w:val="0"/>
          <w:divBdr>
            <w:top w:val="none" w:sz="0" w:space="0" w:color="auto"/>
            <w:left w:val="none" w:sz="0" w:space="0" w:color="auto"/>
            <w:bottom w:val="none" w:sz="0" w:space="0" w:color="auto"/>
            <w:right w:val="none" w:sz="0" w:space="0" w:color="auto"/>
          </w:divBdr>
        </w:div>
        <w:div w:id="204369491">
          <w:marLeft w:val="0"/>
          <w:marRight w:val="0"/>
          <w:marTop w:val="0"/>
          <w:marBottom w:val="0"/>
          <w:divBdr>
            <w:top w:val="none" w:sz="0" w:space="0" w:color="auto"/>
            <w:left w:val="none" w:sz="0" w:space="0" w:color="auto"/>
            <w:bottom w:val="none" w:sz="0" w:space="0" w:color="auto"/>
            <w:right w:val="none" w:sz="0" w:space="0" w:color="auto"/>
          </w:divBdr>
        </w:div>
        <w:div w:id="221330165">
          <w:marLeft w:val="0"/>
          <w:marRight w:val="0"/>
          <w:marTop w:val="0"/>
          <w:marBottom w:val="0"/>
          <w:divBdr>
            <w:top w:val="none" w:sz="0" w:space="0" w:color="auto"/>
            <w:left w:val="none" w:sz="0" w:space="0" w:color="auto"/>
            <w:bottom w:val="none" w:sz="0" w:space="0" w:color="auto"/>
            <w:right w:val="none" w:sz="0" w:space="0" w:color="auto"/>
          </w:divBdr>
        </w:div>
        <w:div w:id="450779836">
          <w:marLeft w:val="0"/>
          <w:marRight w:val="0"/>
          <w:marTop w:val="0"/>
          <w:marBottom w:val="0"/>
          <w:divBdr>
            <w:top w:val="none" w:sz="0" w:space="0" w:color="auto"/>
            <w:left w:val="none" w:sz="0" w:space="0" w:color="auto"/>
            <w:bottom w:val="none" w:sz="0" w:space="0" w:color="auto"/>
            <w:right w:val="none" w:sz="0" w:space="0" w:color="auto"/>
          </w:divBdr>
        </w:div>
        <w:div w:id="595753926">
          <w:marLeft w:val="0"/>
          <w:marRight w:val="0"/>
          <w:marTop w:val="0"/>
          <w:marBottom w:val="0"/>
          <w:divBdr>
            <w:top w:val="none" w:sz="0" w:space="0" w:color="auto"/>
            <w:left w:val="none" w:sz="0" w:space="0" w:color="auto"/>
            <w:bottom w:val="none" w:sz="0" w:space="0" w:color="auto"/>
            <w:right w:val="none" w:sz="0" w:space="0" w:color="auto"/>
          </w:divBdr>
        </w:div>
        <w:div w:id="595945253">
          <w:marLeft w:val="0"/>
          <w:marRight w:val="0"/>
          <w:marTop w:val="0"/>
          <w:marBottom w:val="0"/>
          <w:divBdr>
            <w:top w:val="none" w:sz="0" w:space="0" w:color="auto"/>
            <w:left w:val="none" w:sz="0" w:space="0" w:color="auto"/>
            <w:bottom w:val="none" w:sz="0" w:space="0" w:color="auto"/>
            <w:right w:val="none" w:sz="0" w:space="0" w:color="auto"/>
          </w:divBdr>
        </w:div>
        <w:div w:id="619260927">
          <w:marLeft w:val="0"/>
          <w:marRight w:val="0"/>
          <w:marTop w:val="0"/>
          <w:marBottom w:val="0"/>
          <w:divBdr>
            <w:top w:val="none" w:sz="0" w:space="0" w:color="auto"/>
            <w:left w:val="none" w:sz="0" w:space="0" w:color="auto"/>
            <w:bottom w:val="none" w:sz="0" w:space="0" w:color="auto"/>
            <w:right w:val="none" w:sz="0" w:space="0" w:color="auto"/>
          </w:divBdr>
        </w:div>
        <w:div w:id="646670015">
          <w:marLeft w:val="0"/>
          <w:marRight w:val="0"/>
          <w:marTop w:val="0"/>
          <w:marBottom w:val="0"/>
          <w:divBdr>
            <w:top w:val="none" w:sz="0" w:space="0" w:color="auto"/>
            <w:left w:val="none" w:sz="0" w:space="0" w:color="auto"/>
            <w:bottom w:val="none" w:sz="0" w:space="0" w:color="auto"/>
            <w:right w:val="none" w:sz="0" w:space="0" w:color="auto"/>
          </w:divBdr>
        </w:div>
        <w:div w:id="808203201">
          <w:marLeft w:val="0"/>
          <w:marRight w:val="0"/>
          <w:marTop w:val="0"/>
          <w:marBottom w:val="0"/>
          <w:divBdr>
            <w:top w:val="none" w:sz="0" w:space="0" w:color="auto"/>
            <w:left w:val="none" w:sz="0" w:space="0" w:color="auto"/>
            <w:bottom w:val="none" w:sz="0" w:space="0" w:color="auto"/>
            <w:right w:val="none" w:sz="0" w:space="0" w:color="auto"/>
          </w:divBdr>
        </w:div>
        <w:div w:id="987055611">
          <w:marLeft w:val="0"/>
          <w:marRight w:val="0"/>
          <w:marTop w:val="0"/>
          <w:marBottom w:val="0"/>
          <w:divBdr>
            <w:top w:val="none" w:sz="0" w:space="0" w:color="auto"/>
            <w:left w:val="none" w:sz="0" w:space="0" w:color="auto"/>
            <w:bottom w:val="none" w:sz="0" w:space="0" w:color="auto"/>
            <w:right w:val="none" w:sz="0" w:space="0" w:color="auto"/>
          </w:divBdr>
        </w:div>
        <w:div w:id="1305232331">
          <w:marLeft w:val="0"/>
          <w:marRight w:val="0"/>
          <w:marTop w:val="0"/>
          <w:marBottom w:val="0"/>
          <w:divBdr>
            <w:top w:val="none" w:sz="0" w:space="0" w:color="auto"/>
            <w:left w:val="none" w:sz="0" w:space="0" w:color="auto"/>
            <w:bottom w:val="none" w:sz="0" w:space="0" w:color="auto"/>
            <w:right w:val="none" w:sz="0" w:space="0" w:color="auto"/>
          </w:divBdr>
        </w:div>
        <w:div w:id="1343320802">
          <w:marLeft w:val="0"/>
          <w:marRight w:val="0"/>
          <w:marTop w:val="0"/>
          <w:marBottom w:val="0"/>
          <w:divBdr>
            <w:top w:val="none" w:sz="0" w:space="0" w:color="auto"/>
            <w:left w:val="none" w:sz="0" w:space="0" w:color="auto"/>
            <w:bottom w:val="none" w:sz="0" w:space="0" w:color="auto"/>
            <w:right w:val="none" w:sz="0" w:space="0" w:color="auto"/>
          </w:divBdr>
        </w:div>
        <w:div w:id="1392079254">
          <w:marLeft w:val="0"/>
          <w:marRight w:val="0"/>
          <w:marTop w:val="0"/>
          <w:marBottom w:val="0"/>
          <w:divBdr>
            <w:top w:val="none" w:sz="0" w:space="0" w:color="auto"/>
            <w:left w:val="none" w:sz="0" w:space="0" w:color="auto"/>
            <w:bottom w:val="none" w:sz="0" w:space="0" w:color="auto"/>
            <w:right w:val="none" w:sz="0" w:space="0" w:color="auto"/>
          </w:divBdr>
        </w:div>
        <w:div w:id="1472483716">
          <w:marLeft w:val="0"/>
          <w:marRight w:val="0"/>
          <w:marTop w:val="0"/>
          <w:marBottom w:val="0"/>
          <w:divBdr>
            <w:top w:val="none" w:sz="0" w:space="0" w:color="auto"/>
            <w:left w:val="none" w:sz="0" w:space="0" w:color="auto"/>
            <w:bottom w:val="none" w:sz="0" w:space="0" w:color="auto"/>
            <w:right w:val="none" w:sz="0" w:space="0" w:color="auto"/>
          </w:divBdr>
        </w:div>
        <w:div w:id="1503937333">
          <w:marLeft w:val="0"/>
          <w:marRight w:val="0"/>
          <w:marTop w:val="0"/>
          <w:marBottom w:val="0"/>
          <w:divBdr>
            <w:top w:val="none" w:sz="0" w:space="0" w:color="auto"/>
            <w:left w:val="none" w:sz="0" w:space="0" w:color="auto"/>
            <w:bottom w:val="none" w:sz="0" w:space="0" w:color="auto"/>
            <w:right w:val="none" w:sz="0" w:space="0" w:color="auto"/>
          </w:divBdr>
        </w:div>
        <w:div w:id="1558589097">
          <w:marLeft w:val="0"/>
          <w:marRight w:val="0"/>
          <w:marTop w:val="0"/>
          <w:marBottom w:val="0"/>
          <w:divBdr>
            <w:top w:val="none" w:sz="0" w:space="0" w:color="auto"/>
            <w:left w:val="none" w:sz="0" w:space="0" w:color="auto"/>
            <w:bottom w:val="none" w:sz="0" w:space="0" w:color="auto"/>
            <w:right w:val="none" w:sz="0" w:space="0" w:color="auto"/>
          </w:divBdr>
        </w:div>
        <w:div w:id="1579749314">
          <w:marLeft w:val="0"/>
          <w:marRight w:val="0"/>
          <w:marTop w:val="0"/>
          <w:marBottom w:val="0"/>
          <w:divBdr>
            <w:top w:val="none" w:sz="0" w:space="0" w:color="auto"/>
            <w:left w:val="none" w:sz="0" w:space="0" w:color="auto"/>
            <w:bottom w:val="none" w:sz="0" w:space="0" w:color="auto"/>
            <w:right w:val="none" w:sz="0" w:space="0" w:color="auto"/>
          </w:divBdr>
        </w:div>
        <w:div w:id="1864857596">
          <w:marLeft w:val="0"/>
          <w:marRight w:val="0"/>
          <w:marTop w:val="0"/>
          <w:marBottom w:val="0"/>
          <w:divBdr>
            <w:top w:val="none" w:sz="0" w:space="0" w:color="auto"/>
            <w:left w:val="none" w:sz="0" w:space="0" w:color="auto"/>
            <w:bottom w:val="none" w:sz="0" w:space="0" w:color="auto"/>
            <w:right w:val="none" w:sz="0" w:space="0" w:color="auto"/>
          </w:divBdr>
        </w:div>
        <w:div w:id="1869902447">
          <w:marLeft w:val="0"/>
          <w:marRight w:val="0"/>
          <w:marTop w:val="0"/>
          <w:marBottom w:val="0"/>
          <w:divBdr>
            <w:top w:val="none" w:sz="0" w:space="0" w:color="auto"/>
            <w:left w:val="none" w:sz="0" w:space="0" w:color="auto"/>
            <w:bottom w:val="none" w:sz="0" w:space="0" w:color="auto"/>
            <w:right w:val="none" w:sz="0" w:space="0" w:color="auto"/>
          </w:divBdr>
        </w:div>
        <w:div w:id="1889295146">
          <w:marLeft w:val="0"/>
          <w:marRight w:val="0"/>
          <w:marTop w:val="0"/>
          <w:marBottom w:val="0"/>
          <w:divBdr>
            <w:top w:val="none" w:sz="0" w:space="0" w:color="auto"/>
            <w:left w:val="none" w:sz="0" w:space="0" w:color="auto"/>
            <w:bottom w:val="none" w:sz="0" w:space="0" w:color="auto"/>
            <w:right w:val="none" w:sz="0" w:space="0" w:color="auto"/>
          </w:divBdr>
        </w:div>
        <w:div w:id="1985694792">
          <w:marLeft w:val="0"/>
          <w:marRight w:val="0"/>
          <w:marTop w:val="0"/>
          <w:marBottom w:val="0"/>
          <w:divBdr>
            <w:top w:val="none" w:sz="0" w:space="0" w:color="auto"/>
            <w:left w:val="none" w:sz="0" w:space="0" w:color="auto"/>
            <w:bottom w:val="none" w:sz="0" w:space="0" w:color="auto"/>
            <w:right w:val="none" w:sz="0" w:space="0" w:color="auto"/>
          </w:divBdr>
        </w:div>
        <w:div w:id="2004240043">
          <w:marLeft w:val="0"/>
          <w:marRight w:val="0"/>
          <w:marTop w:val="0"/>
          <w:marBottom w:val="0"/>
          <w:divBdr>
            <w:top w:val="none" w:sz="0" w:space="0" w:color="auto"/>
            <w:left w:val="none" w:sz="0" w:space="0" w:color="auto"/>
            <w:bottom w:val="none" w:sz="0" w:space="0" w:color="auto"/>
            <w:right w:val="none" w:sz="0" w:space="0" w:color="auto"/>
          </w:divBdr>
        </w:div>
        <w:div w:id="2046130570">
          <w:marLeft w:val="0"/>
          <w:marRight w:val="0"/>
          <w:marTop w:val="0"/>
          <w:marBottom w:val="0"/>
          <w:divBdr>
            <w:top w:val="none" w:sz="0" w:space="0" w:color="auto"/>
            <w:left w:val="none" w:sz="0" w:space="0" w:color="auto"/>
            <w:bottom w:val="none" w:sz="0" w:space="0" w:color="auto"/>
            <w:right w:val="none" w:sz="0" w:space="0" w:color="auto"/>
          </w:divBdr>
        </w:div>
        <w:div w:id="2090075056">
          <w:marLeft w:val="0"/>
          <w:marRight w:val="0"/>
          <w:marTop w:val="0"/>
          <w:marBottom w:val="0"/>
          <w:divBdr>
            <w:top w:val="none" w:sz="0" w:space="0" w:color="auto"/>
            <w:left w:val="none" w:sz="0" w:space="0" w:color="auto"/>
            <w:bottom w:val="none" w:sz="0" w:space="0" w:color="auto"/>
            <w:right w:val="none" w:sz="0" w:space="0" w:color="auto"/>
          </w:divBdr>
        </w:div>
        <w:div w:id="2144494175">
          <w:marLeft w:val="0"/>
          <w:marRight w:val="0"/>
          <w:marTop w:val="0"/>
          <w:marBottom w:val="0"/>
          <w:divBdr>
            <w:top w:val="none" w:sz="0" w:space="0" w:color="auto"/>
            <w:left w:val="none" w:sz="0" w:space="0" w:color="auto"/>
            <w:bottom w:val="none" w:sz="0" w:space="0" w:color="auto"/>
            <w:right w:val="none" w:sz="0" w:space="0" w:color="auto"/>
          </w:divBdr>
        </w:div>
      </w:divsChild>
    </w:div>
    <w:div w:id="1592855205">
      <w:bodyDiv w:val="1"/>
      <w:marLeft w:val="0"/>
      <w:marRight w:val="0"/>
      <w:marTop w:val="0"/>
      <w:marBottom w:val="0"/>
      <w:divBdr>
        <w:top w:val="none" w:sz="0" w:space="0" w:color="auto"/>
        <w:left w:val="none" w:sz="0" w:space="0" w:color="auto"/>
        <w:bottom w:val="none" w:sz="0" w:space="0" w:color="auto"/>
        <w:right w:val="none" w:sz="0" w:space="0" w:color="auto"/>
      </w:divBdr>
      <w:divsChild>
        <w:div w:id="1770739407">
          <w:marLeft w:val="0"/>
          <w:marRight w:val="0"/>
          <w:marTop w:val="0"/>
          <w:marBottom w:val="0"/>
          <w:divBdr>
            <w:top w:val="none" w:sz="0" w:space="0" w:color="auto"/>
            <w:left w:val="none" w:sz="0" w:space="0" w:color="auto"/>
            <w:bottom w:val="none" w:sz="0" w:space="0" w:color="auto"/>
            <w:right w:val="none" w:sz="0" w:space="0" w:color="auto"/>
          </w:divBdr>
        </w:div>
      </w:divsChild>
    </w:div>
    <w:div w:id="1594119499">
      <w:bodyDiv w:val="1"/>
      <w:marLeft w:val="0"/>
      <w:marRight w:val="0"/>
      <w:marTop w:val="0"/>
      <w:marBottom w:val="0"/>
      <w:divBdr>
        <w:top w:val="none" w:sz="0" w:space="0" w:color="auto"/>
        <w:left w:val="none" w:sz="0" w:space="0" w:color="auto"/>
        <w:bottom w:val="none" w:sz="0" w:space="0" w:color="auto"/>
        <w:right w:val="none" w:sz="0" w:space="0" w:color="auto"/>
      </w:divBdr>
    </w:div>
    <w:div w:id="1597981261">
      <w:bodyDiv w:val="1"/>
      <w:marLeft w:val="0"/>
      <w:marRight w:val="0"/>
      <w:marTop w:val="0"/>
      <w:marBottom w:val="0"/>
      <w:divBdr>
        <w:top w:val="none" w:sz="0" w:space="0" w:color="auto"/>
        <w:left w:val="none" w:sz="0" w:space="0" w:color="auto"/>
        <w:bottom w:val="none" w:sz="0" w:space="0" w:color="auto"/>
        <w:right w:val="none" w:sz="0" w:space="0" w:color="auto"/>
      </w:divBdr>
      <w:divsChild>
        <w:div w:id="108161097">
          <w:marLeft w:val="0"/>
          <w:marRight w:val="0"/>
          <w:marTop w:val="100"/>
          <w:marBottom w:val="300"/>
          <w:divBdr>
            <w:top w:val="none" w:sz="0" w:space="0" w:color="auto"/>
            <w:left w:val="none" w:sz="0" w:space="0" w:color="auto"/>
            <w:bottom w:val="none" w:sz="0" w:space="0" w:color="auto"/>
            <w:right w:val="none" w:sz="0" w:space="0" w:color="auto"/>
          </w:divBdr>
        </w:div>
        <w:div w:id="1546410423">
          <w:marLeft w:val="0"/>
          <w:marRight w:val="0"/>
          <w:marTop w:val="100"/>
          <w:marBottom w:val="300"/>
          <w:divBdr>
            <w:top w:val="none" w:sz="0" w:space="0" w:color="auto"/>
            <w:left w:val="none" w:sz="0" w:space="0" w:color="auto"/>
            <w:bottom w:val="none" w:sz="0" w:space="0" w:color="auto"/>
            <w:right w:val="none" w:sz="0" w:space="0" w:color="auto"/>
          </w:divBdr>
        </w:div>
      </w:divsChild>
    </w:div>
    <w:div w:id="1598902016">
      <w:bodyDiv w:val="1"/>
      <w:marLeft w:val="0"/>
      <w:marRight w:val="0"/>
      <w:marTop w:val="0"/>
      <w:marBottom w:val="0"/>
      <w:divBdr>
        <w:top w:val="none" w:sz="0" w:space="0" w:color="auto"/>
        <w:left w:val="none" w:sz="0" w:space="0" w:color="auto"/>
        <w:bottom w:val="none" w:sz="0" w:space="0" w:color="auto"/>
        <w:right w:val="none" w:sz="0" w:space="0" w:color="auto"/>
      </w:divBdr>
    </w:div>
    <w:div w:id="1600023927">
      <w:bodyDiv w:val="1"/>
      <w:marLeft w:val="0"/>
      <w:marRight w:val="0"/>
      <w:marTop w:val="0"/>
      <w:marBottom w:val="0"/>
      <w:divBdr>
        <w:top w:val="none" w:sz="0" w:space="0" w:color="auto"/>
        <w:left w:val="none" w:sz="0" w:space="0" w:color="auto"/>
        <w:bottom w:val="none" w:sz="0" w:space="0" w:color="auto"/>
        <w:right w:val="none" w:sz="0" w:space="0" w:color="auto"/>
      </w:divBdr>
    </w:div>
    <w:div w:id="1600212361">
      <w:bodyDiv w:val="1"/>
      <w:marLeft w:val="0"/>
      <w:marRight w:val="0"/>
      <w:marTop w:val="0"/>
      <w:marBottom w:val="0"/>
      <w:divBdr>
        <w:top w:val="none" w:sz="0" w:space="0" w:color="auto"/>
        <w:left w:val="none" w:sz="0" w:space="0" w:color="auto"/>
        <w:bottom w:val="none" w:sz="0" w:space="0" w:color="auto"/>
        <w:right w:val="none" w:sz="0" w:space="0" w:color="auto"/>
      </w:divBdr>
    </w:div>
    <w:div w:id="1603873493">
      <w:bodyDiv w:val="1"/>
      <w:marLeft w:val="0"/>
      <w:marRight w:val="0"/>
      <w:marTop w:val="0"/>
      <w:marBottom w:val="0"/>
      <w:divBdr>
        <w:top w:val="none" w:sz="0" w:space="0" w:color="auto"/>
        <w:left w:val="none" w:sz="0" w:space="0" w:color="auto"/>
        <w:bottom w:val="none" w:sz="0" w:space="0" w:color="auto"/>
        <w:right w:val="none" w:sz="0" w:space="0" w:color="auto"/>
      </w:divBdr>
    </w:div>
    <w:div w:id="1603879259">
      <w:bodyDiv w:val="1"/>
      <w:marLeft w:val="0"/>
      <w:marRight w:val="0"/>
      <w:marTop w:val="0"/>
      <w:marBottom w:val="0"/>
      <w:divBdr>
        <w:top w:val="none" w:sz="0" w:space="0" w:color="auto"/>
        <w:left w:val="none" w:sz="0" w:space="0" w:color="auto"/>
        <w:bottom w:val="none" w:sz="0" w:space="0" w:color="auto"/>
        <w:right w:val="none" w:sz="0" w:space="0" w:color="auto"/>
      </w:divBdr>
      <w:divsChild>
        <w:div w:id="756705089">
          <w:marLeft w:val="0"/>
          <w:marRight w:val="0"/>
          <w:marTop w:val="0"/>
          <w:marBottom w:val="0"/>
          <w:divBdr>
            <w:top w:val="none" w:sz="0" w:space="0" w:color="auto"/>
            <w:left w:val="none" w:sz="0" w:space="0" w:color="auto"/>
            <w:bottom w:val="none" w:sz="0" w:space="0" w:color="auto"/>
            <w:right w:val="none" w:sz="0" w:space="0" w:color="auto"/>
          </w:divBdr>
        </w:div>
      </w:divsChild>
    </w:div>
    <w:div w:id="1609242110">
      <w:bodyDiv w:val="1"/>
      <w:marLeft w:val="0"/>
      <w:marRight w:val="0"/>
      <w:marTop w:val="0"/>
      <w:marBottom w:val="0"/>
      <w:divBdr>
        <w:top w:val="none" w:sz="0" w:space="0" w:color="auto"/>
        <w:left w:val="none" w:sz="0" w:space="0" w:color="auto"/>
        <w:bottom w:val="none" w:sz="0" w:space="0" w:color="auto"/>
        <w:right w:val="none" w:sz="0" w:space="0" w:color="auto"/>
      </w:divBdr>
      <w:divsChild>
        <w:div w:id="161894615">
          <w:marLeft w:val="0"/>
          <w:marRight w:val="0"/>
          <w:marTop w:val="0"/>
          <w:marBottom w:val="0"/>
          <w:divBdr>
            <w:top w:val="none" w:sz="0" w:space="0" w:color="auto"/>
            <w:left w:val="none" w:sz="0" w:space="0" w:color="auto"/>
            <w:bottom w:val="none" w:sz="0" w:space="0" w:color="auto"/>
            <w:right w:val="none" w:sz="0" w:space="0" w:color="auto"/>
          </w:divBdr>
        </w:div>
      </w:divsChild>
    </w:div>
    <w:div w:id="1614556269">
      <w:bodyDiv w:val="1"/>
      <w:marLeft w:val="0"/>
      <w:marRight w:val="0"/>
      <w:marTop w:val="0"/>
      <w:marBottom w:val="0"/>
      <w:divBdr>
        <w:top w:val="none" w:sz="0" w:space="0" w:color="auto"/>
        <w:left w:val="none" w:sz="0" w:space="0" w:color="auto"/>
        <w:bottom w:val="none" w:sz="0" w:space="0" w:color="auto"/>
        <w:right w:val="none" w:sz="0" w:space="0" w:color="auto"/>
      </w:divBdr>
      <w:divsChild>
        <w:div w:id="1021277261">
          <w:marLeft w:val="0"/>
          <w:marRight w:val="0"/>
          <w:marTop w:val="0"/>
          <w:marBottom w:val="0"/>
          <w:divBdr>
            <w:top w:val="none" w:sz="0" w:space="0" w:color="auto"/>
            <w:left w:val="none" w:sz="0" w:space="0" w:color="auto"/>
            <w:bottom w:val="none" w:sz="0" w:space="0" w:color="auto"/>
            <w:right w:val="none" w:sz="0" w:space="0" w:color="auto"/>
          </w:divBdr>
        </w:div>
      </w:divsChild>
    </w:div>
    <w:div w:id="1618826148">
      <w:bodyDiv w:val="1"/>
      <w:marLeft w:val="0"/>
      <w:marRight w:val="0"/>
      <w:marTop w:val="0"/>
      <w:marBottom w:val="0"/>
      <w:divBdr>
        <w:top w:val="none" w:sz="0" w:space="0" w:color="auto"/>
        <w:left w:val="none" w:sz="0" w:space="0" w:color="auto"/>
        <w:bottom w:val="none" w:sz="0" w:space="0" w:color="auto"/>
        <w:right w:val="none" w:sz="0" w:space="0" w:color="auto"/>
      </w:divBdr>
      <w:divsChild>
        <w:div w:id="1453094446">
          <w:marLeft w:val="0"/>
          <w:marRight w:val="0"/>
          <w:marTop w:val="0"/>
          <w:marBottom w:val="0"/>
          <w:divBdr>
            <w:top w:val="none" w:sz="0" w:space="0" w:color="auto"/>
            <w:left w:val="none" w:sz="0" w:space="0" w:color="auto"/>
            <w:bottom w:val="none" w:sz="0" w:space="0" w:color="auto"/>
            <w:right w:val="none" w:sz="0" w:space="0" w:color="auto"/>
          </w:divBdr>
        </w:div>
      </w:divsChild>
    </w:div>
    <w:div w:id="1622568817">
      <w:bodyDiv w:val="1"/>
      <w:marLeft w:val="0"/>
      <w:marRight w:val="0"/>
      <w:marTop w:val="0"/>
      <w:marBottom w:val="0"/>
      <w:divBdr>
        <w:top w:val="none" w:sz="0" w:space="0" w:color="auto"/>
        <w:left w:val="none" w:sz="0" w:space="0" w:color="auto"/>
        <w:bottom w:val="none" w:sz="0" w:space="0" w:color="auto"/>
        <w:right w:val="none" w:sz="0" w:space="0" w:color="auto"/>
      </w:divBdr>
      <w:divsChild>
        <w:div w:id="1243292283">
          <w:marLeft w:val="0"/>
          <w:marRight w:val="0"/>
          <w:marTop w:val="0"/>
          <w:marBottom w:val="0"/>
          <w:divBdr>
            <w:top w:val="none" w:sz="0" w:space="0" w:color="auto"/>
            <w:left w:val="none" w:sz="0" w:space="0" w:color="auto"/>
            <w:bottom w:val="none" w:sz="0" w:space="0" w:color="auto"/>
            <w:right w:val="none" w:sz="0" w:space="0" w:color="auto"/>
          </w:divBdr>
        </w:div>
        <w:div w:id="1426419589">
          <w:marLeft w:val="0"/>
          <w:marRight w:val="0"/>
          <w:marTop w:val="0"/>
          <w:marBottom w:val="0"/>
          <w:divBdr>
            <w:top w:val="none" w:sz="0" w:space="0" w:color="auto"/>
            <w:left w:val="none" w:sz="0" w:space="0" w:color="auto"/>
            <w:bottom w:val="none" w:sz="0" w:space="0" w:color="auto"/>
            <w:right w:val="none" w:sz="0" w:space="0" w:color="auto"/>
          </w:divBdr>
        </w:div>
      </w:divsChild>
    </w:div>
    <w:div w:id="1624115526">
      <w:bodyDiv w:val="1"/>
      <w:marLeft w:val="0"/>
      <w:marRight w:val="0"/>
      <w:marTop w:val="0"/>
      <w:marBottom w:val="0"/>
      <w:divBdr>
        <w:top w:val="none" w:sz="0" w:space="0" w:color="auto"/>
        <w:left w:val="none" w:sz="0" w:space="0" w:color="auto"/>
        <w:bottom w:val="none" w:sz="0" w:space="0" w:color="auto"/>
        <w:right w:val="none" w:sz="0" w:space="0" w:color="auto"/>
      </w:divBdr>
      <w:divsChild>
        <w:div w:id="207494558">
          <w:marLeft w:val="0"/>
          <w:marRight w:val="0"/>
          <w:marTop w:val="0"/>
          <w:marBottom w:val="0"/>
          <w:divBdr>
            <w:top w:val="none" w:sz="0" w:space="0" w:color="auto"/>
            <w:left w:val="none" w:sz="0" w:space="0" w:color="auto"/>
            <w:bottom w:val="none" w:sz="0" w:space="0" w:color="auto"/>
            <w:right w:val="none" w:sz="0" w:space="0" w:color="auto"/>
          </w:divBdr>
        </w:div>
        <w:div w:id="310643330">
          <w:marLeft w:val="0"/>
          <w:marRight w:val="0"/>
          <w:marTop w:val="0"/>
          <w:marBottom w:val="0"/>
          <w:divBdr>
            <w:top w:val="none" w:sz="0" w:space="0" w:color="auto"/>
            <w:left w:val="none" w:sz="0" w:space="0" w:color="auto"/>
            <w:bottom w:val="none" w:sz="0" w:space="0" w:color="auto"/>
            <w:right w:val="none" w:sz="0" w:space="0" w:color="auto"/>
          </w:divBdr>
        </w:div>
        <w:div w:id="464351853">
          <w:marLeft w:val="0"/>
          <w:marRight w:val="0"/>
          <w:marTop w:val="0"/>
          <w:marBottom w:val="0"/>
          <w:divBdr>
            <w:top w:val="none" w:sz="0" w:space="0" w:color="auto"/>
            <w:left w:val="none" w:sz="0" w:space="0" w:color="auto"/>
            <w:bottom w:val="none" w:sz="0" w:space="0" w:color="auto"/>
            <w:right w:val="none" w:sz="0" w:space="0" w:color="auto"/>
          </w:divBdr>
        </w:div>
        <w:div w:id="682707655">
          <w:marLeft w:val="0"/>
          <w:marRight w:val="0"/>
          <w:marTop w:val="0"/>
          <w:marBottom w:val="0"/>
          <w:divBdr>
            <w:top w:val="none" w:sz="0" w:space="0" w:color="auto"/>
            <w:left w:val="none" w:sz="0" w:space="0" w:color="auto"/>
            <w:bottom w:val="none" w:sz="0" w:space="0" w:color="auto"/>
            <w:right w:val="none" w:sz="0" w:space="0" w:color="auto"/>
          </w:divBdr>
        </w:div>
        <w:div w:id="1093283703">
          <w:marLeft w:val="0"/>
          <w:marRight w:val="0"/>
          <w:marTop w:val="0"/>
          <w:marBottom w:val="0"/>
          <w:divBdr>
            <w:top w:val="none" w:sz="0" w:space="0" w:color="auto"/>
            <w:left w:val="none" w:sz="0" w:space="0" w:color="auto"/>
            <w:bottom w:val="none" w:sz="0" w:space="0" w:color="auto"/>
            <w:right w:val="none" w:sz="0" w:space="0" w:color="auto"/>
          </w:divBdr>
        </w:div>
        <w:div w:id="1248224089">
          <w:marLeft w:val="0"/>
          <w:marRight w:val="0"/>
          <w:marTop w:val="0"/>
          <w:marBottom w:val="0"/>
          <w:divBdr>
            <w:top w:val="none" w:sz="0" w:space="0" w:color="auto"/>
            <w:left w:val="none" w:sz="0" w:space="0" w:color="auto"/>
            <w:bottom w:val="none" w:sz="0" w:space="0" w:color="auto"/>
            <w:right w:val="none" w:sz="0" w:space="0" w:color="auto"/>
          </w:divBdr>
        </w:div>
        <w:div w:id="1501003659">
          <w:marLeft w:val="0"/>
          <w:marRight w:val="0"/>
          <w:marTop w:val="0"/>
          <w:marBottom w:val="0"/>
          <w:divBdr>
            <w:top w:val="none" w:sz="0" w:space="0" w:color="auto"/>
            <w:left w:val="none" w:sz="0" w:space="0" w:color="auto"/>
            <w:bottom w:val="none" w:sz="0" w:space="0" w:color="auto"/>
            <w:right w:val="none" w:sz="0" w:space="0" w:color="auto"/>
          </w:divBdr>
        </w:div>
        <w:div w:id="1523589317">
          <w:marLeft w:val="0"/>
          <w:marRight w:val="0"/>
          <w:marTop w:val="0"/>
          <w:marBottom w:val="0"/>
          <w:divBdr>
            <w:top w:val="none" w:sz="0" w:space="0" w:color="auto"/>
            <w:left w:val="none" w:sz="0" w:space="0" w:color="auto"/>
            <w:bottom w:val="none" w:sz="0" w:space="0" w:color="auto"/>
            <w:right w:val="none" w:sz="0" w:space="0" w:color="auto"/>
          </w:divBdr>
        </w:div>
        <w:div w:id="1607539855">
          <w:marLeft w:val="0"/>
          <w:marRight w:val="0"/>
          <w:marTop w:val="0"/>
          <w:marBottom w:val="0"/>
          <w:divBdr>
            <w:top w:val="none" w:sz="0" w:space="0" w:color="auto"/>
            <w:left w:val="none" w:sz="0" w:space="0" w:color="auto"/>
            <w:bottom w:val="none" w:sz="0" w:space="0" w:color="auto"/>
            <w:right w:val="none" w:sz="0" w:space="0" w:color="auto"/>
          </w:divBdr>
        </w:div>
        <w:div w:id="1763377291">
          <w:marLeft w:val="0"/>
          <w:marRight w:val="0"/>
          <w:marTop w:val="0"/>
          <w:marBottom w:val="0"/>
          <w:divBdr>
            <w:top w:val="none" w:sz="0" w:space="0" w:color="auto"/>
            <w:left w:val="none" w:sz="0" w:space="0" w:color="auto"/>
            <w:bottom w:val="none" w:sz="0" w:space="0" w:color="auto"/>
            <w:right w:val="none" w:sz="0" w:space="0" w:color="auto"/>
          </w:divBdr>
        </w:div>
      </w:divsChild>
    </w:div>
    <w:div w:id="1626159127">
      <w:bodyDiv w:val="1"/>
      <w:marLeft w:val="0"/>
      <w:marRight w:val="0"/>
      <w:marTop w:val="0"/>
      <w:marBottom w:val="0"/>
      <w:divBdr>
        <w:top w:val="none" w:sz="0" w:space="0" w:color="auto"/>
        <w:left w:val="none" w:sz="0" w:space="0" w:color="auto"/>
        <w:bottom w:val="none" w:sz="0" w:space="0" w:color="auto"/>
        <w:right w:val="none" w:sz="0" w:space="0" w:color="auto"/>
      </w:divBdr>
    </w:div>
    <w:div w:id="1628121474">
      <w:bodyDiv w:val="1"/>
      <w:marLeft w:val="0"/>
      <w:marRight w:val="0"/>
      <w:marTop w:val="0"/>
      <w:marBottom w:val="0"/>
      <w:divBdr>
        <w:top w:val="none" w:sz="0" w:space="0" w:color="auto"/>
        <w:left w:val="none" w:sz="0" w:space="0" w:color="auto"/>
        <w:bottom w:val="none" w:sz="0" w:space="0" w:color="auto"/>
        <w:right w:val="none" w:sz="0" w:space="0" w:color="auto"/>
      </w:divBdr>
    </w:div>
    <w:div w:id="1635788821">
      <w:bodyDiv w:val="1"/>
      <w:marLeft w:val="0"/>
      <w:marRight w:val="0"/>
      <w:marTop w:val="0"/>
      <w:marBottom w:val="0"/>
      <w:divBdr>
        <w:top w:val="none" w:sz="0" w:space="0" w:color="auto"/>
        <w:left w:val="none" w:sz="0" w:space="0" w:color="auto"/>
        <w:bottom w:val="none" w:sz="0" w:space="0" w:color="auto"/>
        <w:right w:val="none" w:sz="0" w:space="0" w:color="auto"/>
      </w:divBdr>
      <w:divsChild>
        <w:div w:id="343291433">
          <w:marLeft w:val="0"/>
          <w:marRight w:val="0"/>
          <w:marTop w:val="0"/>
          <w:marBottom w:val="0"/>
          <w:divBdr>
            <w:top w:val="none" w:sz="0" w:space="0" w:color="auto"/>
            <w:left w:val="none" w:sz="0" w:space="0" w:color="auto"/>
            <w:bottom w:val="none" w:sz="0" w:space="0" w:color="auto"/>
            <w:right w:val="none" w:sz="0" w:space="0" w:color="auto"/>
          </w:divBdr>
        </w:div>
      </w:divsChild>
    </w:div>
    <w:div w:id="1640571937">
      <w:bodyDiv w:val="1"/>
      <w:marLeft w:val="0"/>
      <w:marRight w:val="0"/>
      <w:marTop w:val="0"/>
      <w:marBottom w:val="0"/>
      <w:divBdr>
        <w:top w:val="none" w:sz="0" w:space="0" w:color="auto"/>
        <w:left w:val="none" w:sz="0" w:space="0" w:color="auto"/>
        <w:bottom w:val="none" w:sz="0" w:space="0" w:color="auto"/>
        <w:right w:val="none" w:sz="0" w:space="0" w:color="auto"/>
      </w:divBdr>
      <w:divsChild>
        <w:div w:id="751509989">
          <w:marLeft w:val="0"/>
          <w:marRight w:val="0"/>
          <w:marTop w:val="0"/>
          <w:marBottom w:val="0"/>
          <w:divBdr>
            <w:top w:val="none" w:sz="0" w:space="0" w:color="auto"/>
            <w:left w:val="none" w:sz="0" w:space="0" w:color="auto"/>
            <w:bottom w:val="none" w:sz="0" w:space="0" w:color="auto"/>
            <w:right w:val="none" w:sz="0" w:space="0" w:color="auto"/>
          </w:divBdr>
        </w:div>
      </w:divsChild>
    </w:div>
    <w:div w:id="1643465921">
      <w:bodyDiv w:val="1"/>
      <w:marLeft w:val="0"/>
      <w:marRight w:val="0"/>
      <w:marTop w:val="0"/>
      <w:marBottom w:val="0"/>
      <w:divBdr>
        <w:top w:val="none" w:sz="0" w:space="0" w:color="auto"/>
        <w:left w:val="none" w:sz="0" w:space="0" w:color="auto"/>
        <w:bottom w:val="none" w:sz="0" w:space="0" w:color="auto"/>
        <w:right w:val="none" w:sz="0" w:space="0" w:color="auto"/>
      </w:divBdr>
      <w:divsChild>
        <w:div w:id="1623417188">
          <w:marLeft w:val="0"/>
          <w:marRight w:val="0"/>
          <w:marTop w:val="0"/>
          <w:marBottom w:val="0"/>
          <w:divBdr>
            <w:top w:val="none" w:sz="0" w:space="0" w:color="auto"/>
            <w:left w:val="none" w:sz="0" w:space="0" w:color="auto"/>
            <w:bottom w:val="none" w:sz="0" w:space="0" w:color="auto"/>
            <w:right w:val="none" w:sz="0" w:space="0" w:color="auto"/>
          </w:divBdr>
        </w:div>
      </w:divsChild>
    </w:div>
    <w:div w:id="1648321413">
      <w:bodyDiv w:val="1"/>
      <w:marLeft w:val="0"/>
      <w:marRight w:val="0"/>
      <w:marTop w:val="0"/>
      <w:marBottom w:val="0"/>
      <w:divBdr>
        <w:top w:val="none" w:sz="0" w:space="0" w:color="auto"/>
        <w:left w:val="none" w:sz="0" w:space="0" w:color="auto"/>
        <w:bottom w:val="none" w:sz="0" w:space="0" w:color="auto"/>
        <w:right w:val="none" w:sz="0" w:space="0" w:color="auto"/>
      </w:divBdr>
      <w:divsChild>
        <w:div w:id="17972090">
          <w:marLeft w:val="0"/>
          <w:marRight w:val="0"/>
          <w:marTop w:val="0"/>
          <w:marBottom w:val="0"/>
          <w:divBdr>
            <w:top w:val="none" w:sz="0" w:space="0" w:color="auto"/>
            <w:left w:val="none" w:sz="0" w:space="0" w:color="auto"/>
            <w:bottom w:val="none" w:sz="0" w:space="0" w:color="auto"/>
            <w:right w:val="none" w:sz="0" w:space="0" w:color="auto"/>
          </w:divBdr>
        </w:div>
        <w:div w:id="82118258">
          <w:marLeft w:val="0"/>
          <w:marRight w:val="0"/>
          <w:marTop w:val="0"/>
          <w:marBottom w:val="0"/>
          <w:divBdr>
            <w:top w:val="none" w:sz="0" w:space="0" w:color="auto"/>
            <w:left w:val="none" w:sz="0" w:space="0" w:color="auto"/>
            <w:bottom w:val="none" w:sz="0" w:space="0" w:color="auto"/>
            <w:right w:val="none" w:sz="0" w:space="0" w:color="auto"/>
          </w:divBdr>
        </w:div>
        <w:div w:id="106580707">
          <w:marLeft w:val="0"/>
          <w:marRight w:val="0"/>
          <w:marTop w:val="0"/>
          <w:marBottom w:val="0"/>
          <w:divBdr>
            <w:top w:val="none" w:sz="0" w:space="0" w:color="auto"/>
            <w:left w:val="none" w:sz="0" w:space="0" w:color="auto"/>
            <w:bottom w:val="none" w:sz="0" w:space="0" w:color="auto"/>
            <w:right w:val="none" w:sz="0" w:space="0" w:color="auto"/>
          </w:divBdr>
        </w:div>
        <w:div w:id="151921188">
          <w:marLeft w:val="0"/>
          <w:marRight w:val="0"/>
          <w:marTop w:val="0"/>
          <w:marBottom w:val="0"/>
          <w:divBdr>
            <w:top w:val="none" w:sz="0" w:space="0" w:color="auto"/>
            <w:left w:val="none" w:sz="0" w:space="0" w:color="auto"/>
            <w:bottom w:val="none" w:sz="0" w:space="0" w:color="auto"/>
            <w:right w:val="none" w:sz="0" w:space="0" w:color="auto"/>
          </w:divBdr>
        </w:div>
        <w:div w:id="164252658">
          <w:marLeft w:val="0"/>
          <w:marRight w:val="0"/>
          <w:marTop w:val="0"/>
          <w:marBottom w:val="0"/>
          <w:divBdr>
            <w:top w:val="none" w:sz="0" w:space="0" w:color="auto"/>
            <w:left w:val="none" w:sz="0" w:space="0" w:color="auto"/>
            <w:bottom w:val="none" w:sz="0" w:space="0" w:color="auto"/>
            <w:right w:val="none" w:sz="0" w:space="0" w:color="auto"/>
          </w:divBdr>
        </w:div>
        <w:div w:id="197283580">
          <w:marLeft w:val="0"/>
          <w:marRight w:val="0"/>
          <w:marTop w:val="0"/>
          <w:marBottom w:val="0"/>
          <w:divBdr>
            <w:top w:val="none" w:sz="0" w:space="0" w:color="auto"/>
            <w:left w:val="none" w:sz="0" w:space="0" w:color="auto"/>
            <w:bottom w:val="none" w:sz="0" w:space="0" w:color="auto"/>
            <w:right w:val="none" w:sz="0" w:space="0" w:color="auto"/>
          </w:divBdr>
        </w:div>
        <w:div w:id="222722355">
          <w:marLeft w:val="0"/>
          <w:marRight w:val="0"/>
          <w:marTop w:val="0"/>
          <w:marBottom w:val="0"/>
          <w:divBdr>
            <w:top w:val="none" w:sz="0" w:space="0" w:color="auto"/>
            <w:left w:val="none" w:sz="0" w:space="0" w:color="auto"/>
            <w:bottom w:val="none" w:sz="0" w:space="0" w:color="auto"/>
            <w:right w:val="none" w:sz="0" w:space="0" w:color="auto"/>
          </w:divBdr>
        </w:div>
        <w:div w:id="526406020">
          <w:marLeft w:val="0"/>
          <w:marRight w:val="0"/>
          <w:marTop w:val="0"/>
          <w:marBottom w:val="0"/>
          <w:divBdr>
            <w:top w:val="none" w:sz="0" w:space="0" w:color="auto"/>
            <w:left w:val="none" w:sz="0" w:space="0" w:color="auto"/>
            <w:bottom w:val="none" w:sz="0" w:space="0" w:color="auto"/>
            <w:right w:val="none" w:sz="0" w:space="0" w:color="auto"/>
          </w:divBdr>
        </w:div>
        <w:div w:id="588468466">
          <w:marLeft w:val="0"/>
          <w:marRight w:val="0"/>
          <w:marTop w:val="0"/>
          <w:marBottom w:val="0"/>
          <w:divBdr>
            <w:top w:val="none" w:sz="0" w:space="0" w:color="auto"/>
            <w:left w:val="none" w:sz="0" w:space="0" w:color="auto"/>
            <w:bottom w:val="none" w:sz="0" w:space="0" w:color="auto"/>
            <w:right w:val="none" w:sz="0" w:space="0" w:color="auto"/>
          </w:divBdr>
        </w:div>
        <w:div w:id="609509394">
          <w:marLeft w:val="0"/>
          <w:marRight w:val="0"/>
          <w:marTop w:val="0"/>
          <w:marBottom w:val="0"/>
          <w:divBdr>
            <w:top w:val="none" w:sz="0" w:space="0" w:color="auto"/>
            <w:left w:val="none" w:sz="0" w:space="0" w:color="auto"/>
            <w:bottom w:val="none" w:sz="0" w:space="0" w:color="auto"/>
            <w:right w:val="none" w:sz="0" w:space="0" w:color="auto"/>
          </w:divBdr>
        </w:div>
        <w:div w:id="610943418">
          <w:marLeft w:val="0"/>
          <w:marRight w:val="0"/>
          <w:marTop w:val="0"/>
          <w:marBottom w:val="0"/>
          <w:divBdr>
            <w:top w:val="none" w:sz="0" w:space="0" w:color="auto"/>
            <w:left w:val="none" w:sz="0" w:space="0" w:color="auto"/>
            <w:bottom w:val="none" w:sz="0" w:space="0" w:color="auto"/>
            <w:right w:val="none" w:sz="0" w:space="0" w:color="auto"/>
          </w:divBdr>
        </w:div>
        <w:div w:id="658461448">
          <w:marLeft w:val="0"/>
          <w:marRight w:val="0"/>
          <w:marTop w:val="0"/>
          <w:marBottom w:val="0"/>
          <w:divBdr>
            <w:top w:val="none" w:sz="0" w:space="0" w:color="auto"/>
            <w:left w:val="none" w:sz="0" w:space="0" w:color="auto"/>
            <w:bottom w:val="none" w:sz="0" w:space="0" w:color="auto"/>
            <w:right w:val="none" w:sz="0" w:space="0" w:color="auto"/>
          </w:divBdr>
        </w:div>
        <w:div w:id="730924209">
          <w:marLeft w:val="0"/>
          <w:marRight w:val="0"/>
          <w:marTop w:val="0"/>
          <w:marBottom w:val="0"/>
          <w:divBdr>
            <w:top w:val="none" w:sz="0" w:space="0" w:color="auto"/>
            <w:left w:val="none" w:sz="0" w:space="0" w:color="auto"/>
            <w:bottom w:val="none" w:sz="0" w:space="0" w:color="auto"/>
            <w:right w:val="none" w:sz="0" w:space="0" w:color="auto"/>
          </w:divBdr>
        </w:div>
        <w:div w:id="775977927">
          <w:marLeft w:val="0"/>
          <w:marRight w:val="0"/>
          <w:marTop w:val="0"/>
          <w:marBottom w:val="0"/>
          <w:divBdr>
            <w:top w:val="none" w:sz="0" w:space="0" w:color="auto"/>
            <w:left w:val="none" w:sz="0" w:space="0" w:color="auto"/>
            <w:bottom w:val="none" w:sz="0" w:space="0" w:color="auto"/>
            <w:right w:val="none" w:sz="0" w:space="0" w:color="auto"/>
          </w:divBdr>
        </w:div>
        <w:div w:id="862402530">
          <w:marLeft w:val="0"/>
          <w:marRight w:val="0"/>
          <w:marTop w:val="0"/>
          <w:marBottom w:val="0"/>
          <w:divBdr>
            <w:top w:val="none" w:sz="0" w:space="0" w:color="auto"/>
            <w:left w:val="none" w:sz="0" w:space="0" w:color="auto"/>
            <w:bottom w:val="none" w:sz="0" w:space="0" w:color="auto"/>
            <w:right w:val="none" w:sz="0" w:space="0" w:color="auto"/>
          </w:divBdr>
        </w:div>
        <w:div w:id="897670994">
          <w:marLeft w:val="0"/>
          <w:marRight w:val="0"/>
          <w:marTop w:val="0"/>
          <w:marBottom w:val="0"/>
          <w:divBdr>
            <w:top w:val="none" w:sz="0" w:space="0" w:color="auto"/>
            <w:left w:val="none" w:sz="0" w:space="0" w:color="auto"/>
            <w:bottom w:val="none" w:sz="0" w:space="0" w:color="auto"/>
            <w:right w:val="none" w:sz="0" w:space="0" w:color="auto"/>
          </w:divBdr>
        </w:div>
        <w:div w:id="898052682">
          <w:marLeft w:val="0"/>
          <w:marRight w:val="0"/>
          <w:marTop w:val="0"/>
          <w:marBottom w:val="0"/>
          <w:divBdr>
            <w:top w:val="none" w:sz="0" w:space="0" w:color="auto"/>
            <w:left w:val="none" w:sz="0" w:space="0" w:color="auto"/>
            <w:bottom w:val="none" w:sz="0" w:space="0" w:color="auto"/>
            <w:right w:val="none" w:sz="0" w:space="0" w:color="auto"/>
          </w:divBdr>
        </w:div>
        <w:div w:id="997152517">
          <w:marLeft w:val="0"/>
          <w:marRight w:val="0"/>
          <w:marTop w:val="0"/>
          <w:marBottom w:val="0"/>
          <w:divBdr>
            <w:top w:val="none" w:sz="0" w:space="0" w:color="auto"/>
            <w:left w:val="none" w:sz="0" w:space="0" w:color="auto"/>
            <w:bottom w:val="none" w:sz="0" w:space="0" w:color="auto"/>
            <w:right w:val="none" w:sz="0" w:space="0" w:color="auto"/>
          </w:divBdr>
        </w:div>
        <w:div w:id="998267162">
          <w:marLeft w:val="0"/>
          <w:marRight w:val="0"/>
          <w:marTop w:val="0"/>
          <w:marBottom w:val="0"/>
          <w:divBdr>
            <w:top w:val="none" w:sz="0" w:space="0" w:color="auto"/>
            <w:left w:val="none" w:sz="0" w:space="0" w:color="auto"/>
            <w:bottom w:val="none" w:sz="0" w:space="0" w:color="auto"/>
            <w:right w:val="none" w:sz="0" w:space="0" w:color="auto"/>
          </w:divBdr>
        </w:div>
        <w:div w:id="1057120063">
          <w:marLeft w:val="0"/>
          <w:marRight w:val="0"/>
          <w:marTop w:val="0"/>
          <w:marBottom w:val="0"/>
          <w:divBdr>
            <w:top w:val="none" w:sz="0" w:space="0" w:color="auto"/>
            <w:left w:val="none" w:sz="0" w:space="0" w:color="auto"/>
            <w:bottom w:val="none" w:sz="0" w:space="0" w:color="auto"/>
            <w:right w:val="none" w:sz="0" w:space="0" w:color="auto"/>
          </w:divBdr>
        </w:div>
        <w:div w:id="1095516257">
          <w:marLeft w:val="0"/>
          <w:marRight w:val="0"/>
          <w:marTop w:val="0"/>
          <w:marBottom w:val="0"/>
          <w:divBdr>
            <w:top w:val="none" w:sz="0" w:space="0" w:color="auto"/>
            <w:left w:val="none" w:sz="0" w:space="0" w:color="auto"/>
            <w:bottom w:val="none" w:sz="0" w:space="0" w:color="auto"/>
            <w:right w:val="none" w:sz="0" w:space="0" w:color="auto"/>
          </w:divBdr>
        </w:div>
        <w:div w:id="1176264857">
          <w:marLeft w:val="0"/>
          <w:marRight w:val="0"/>
          <w:marTop w:val="0"/>
          <w:marBottom w:val="0"/>
          <w:divBdr>
            <w:top w:val="none" w:sz="0" w:space="0" w:color="auto"/>
            <w:left w:val="none" w:sz="0" w:space="0" w:color="auto"/>
            <w:bottom w:val="none" w:sz="0" w:space="0" w:color="auto"/>
            <w:right w:val="none" w:sz="0" w:space="0" w:color="auto"/>
          </w:divBdr>
        </w:div>
        <w:div w:id="1207066991">
          <w:marLeft w:val="0"/>
          <w:marRight w:val="0"/>
          <w:marTop w:val="0"/>
          <w:marBottom w:val="0"/>
          <w:divBdr>
            <w:top w:val="none" w:sz="0" w:space="0" w:color="auto"/>
            <w:left w:val="none" w:sz="0" w:space="0" w:color="auto"/>
            <w:bottom w:val="none" w:sz="0" w:space="0" w:color="auto"/>
            <w:right w:val="none" w:sz="0" w:space="0" w:color="auto"/>
          </w:divBdr>
        </w:div>
        <w:div w:id="1208183371">
          <w:marLeft w:val="0"/>
          <w:marRight w:val="0"/>
          <w:marTop w:val="0"/>
          <w:marBottom w:val="0"/>
          <w:divBdr>
            <w:top w:val="none" w:sz="0" w:space="0" w:color="auto"/>
            <w:left w:val="none" w:sz="0" w:space="0" w:color="auto"/>
            <w:bottom w:val="none" w:sz="0" w:space="0" w:color="auto"/>
            <w:right w:val="none" w:sz="0" w:space="0" w:color="auto"/>
          </w:divBdr>
        </w:div>
        <w:div w:id="1226918160">
          <w:marLeft w:val="0"/>
          <w:marRight w:val="0"/>
          <w:marTop w:val="0"/>
          <w:marBottom w:val="0"/>
          <w:divBdr>
            <w:top w:val="none" w:sz="0" w:space="0" w:color="auto"/>
            <w:left w:val="none" w:sz="0" w:space="0" w:color="auto"/>
            <w:bottom w:val="none" w:sz="0" w:space="0" w:color="auto"/>
            <w:right w:val="none" w:sz="0" w:space="0" w:color="auto"/>
          </w:divBdr>
        </w:div>
        <w:div w:id="1318460830">
          <w:marLeft w:val="0"/>
          <w:marRight w:val="0"/>
          <w:marTop w:val="0"/>
          <w:marBottom w:val="0"/>
          <w:divBdr>
            <w:top w:val="none" w:sz="0" w:space="0" w:color="auto"/>
            <w:left w:val="none" w:sz="0" w:space="0" w:color="auto"/>
            <w:bottom w:val="none" w:sz="0" w:space="0" w:color="auto"/>
            <w:right w:val="none" w:sz="0" w:space="0" w:color="auto"/>
          </w:divBdr>
        </w:div>
        <w:div w:id="1318649917">
          <w:marLeft w:val="0"/>
          <w:marRight w:val="0"/>
          <w:marTop w:val="0"/>
          <w:marBottom w:val="0"/>
          <w:divBdr>
            <w:top w:val="none" w:sz="0" w:space="0" w:color="auto"/>
            <w:left w:val="none" w:sz="0" w:space="0" w:color="auto"/>
            <w:bottom w:val="none" w:sz="0" w:space="0" w:color="auto"/>
            <w:right w:val="none" w:sz="0" w:space="0" w:color="auto"/>
          </w:divBdr>
        </w:div>
        <w:div w:id="1328246976">
          <w:marLeft w:val="0"/>
          <w:marRight w:val="0"/>
          <w:marTop w:val="0"/>
          <w:marBottom w:val="0"/>
          <w:divBdr>
            <w:top w:val="none" w:sz="0" w:space="0" w:color="auto"/>
            <w:left w:val="none" w:sz="0" w:space="0" w:color="auto"/>
            <w:bottom w:val="none" w:sz="0" w:space="0" w:color="auto"/>
            <w:right w:val="none" w:sz="0" w:space="0" w:color="auto"/>
          </w:divBdr>
        </w:div>
        <w:div w:id="1331172933">
          <w:marLeft w:val="0"/>
          <w:marRight w:val="0"/>
          <w:marTop w:val="0"/>
          <w:marBottom w:val="0"/>
          <w:divBdr>
            <w:top w:val="none" w:sz="0" w:space="0" w:color="auto"/>
            <w:left w:val="none" w:sz="0" w:space="0" w:color="auto"/>
            <w:bottom w:val="none" w:sz="0" w:space="0" w:color="auto"/>
            <w:right w:val="none" w:sz="0" w:space="0" w:color="auto"/>
          </w:divBdr>
        </w:div>
        <w:div w:id="1340232237">
          <w:marLeft w:val="0"/>
          <w:marRight w:val="0"/>
          <w:marTop w:val="0"/>
          <w:marBottom w:val="0"/>
          <w:divBdr>
            <w:top w:val="none" w:sz="0" w:space="0" w:color="auto"/>
            <w:left w:val="none" w:sz="0" w:space="0" w:color="auto"/>
            <w:bottom w:val="none" w:sz="0" w:space="0" w:color="auto"/>
            <w:right w:val="none" w:sz="0" w:space="0" w:color="auto"/>
          </w:divBdr>
        </w:div>
        <w:div w:id="1438328268">
          <w:marLeft w:val="0"/>
          <w:marRight w:val="0"/>
          <w:marTop w:val="0"/>
          <w:marBottom w:val="0"/>
          <w:divBdr>
            <w:top w:val="none" w:sz="0" w:space="0" w:color="auto"/>
            <w:left w:val="none" w:sz="0" w:space="0" w:color="auto"/>
            <w:bottom w:val="none" w:sz="0" w:space="0" w:color="auto"/>
            <w:right w:val="none" w:sz="0" w:space="0" w:color="auto"/>
          </w:divBdr>
        </w:div>
        <w:div w:id="1513957678">
          <w:marLeft w:val="0"/>
          <w:marRight w:val="0"/>
          <w:marTop w:val="0"/>
          <w:marBottom w:val="0"/>
          <w:divBdr>
            <w:top w:val="none" w:sz="0" w:space="0" w:color="auto"/>
            <w:left w:val="none" w:sz="0" w:space="0" w:color="auto"/>
            <w:bottom w:val="none" w:sz="0" w:space="0" w:color="auto"/>
            <w:right w:val="none" w:sz="0" w:space="0" w:color="auto"/>
          </w:divBdr>
        </w:div>
        <w:div w:id="1652782316">
          <w:marLeft w:val="0"/>
          <w:marRight w:val="0"/>
          <w:marTop w:val="0"/>
          <w:marBottom w:val="0"/>
          <w:divBdr>
            <w:top w:val="none" w:sz="0" w:space="0" w:color="auto"/>
            <w:left w:val="none" w:sz="0" w:space="0" w:color="auto"/>
            <w:bottom w:val="none" w:sz="0" w:space="0" w:color="auto"/>
            <w:right w:val="none" w:sz="0" w:space="0" w:color="auto"/>
          </w:divBdr>
        </w:div>
        <w:div w:id="1661545253">
          <w:marLeft w:val="0"/>
          <w:marRight w:val="0"/>
          <w:marTop w:val="0"/>
          <w:marBottom w:val="0"/>
          <w:divBdr>
            <w:top w:val="none" w:sz="0" w:space="0" w:color="auto"/>
            <w:left w:val="none" w:sz="0" w:space="0" w:color="auto"/>
            <w:bottom w:val="none" w:sz="0" w:space="0" w:color="auto"/>
            <w:right w:val="none" w:sz="0" w:space="0" w:color="auto"/>
          </w:divBdr>
        </w:div>
        <w:div w:id="1679310445">
          <w:marLeft w:val="0"/>
          <w:marRight w:val="0"/>
          <w:marTop w:val="0"/>
          <w:marBottom w:val="0"/>
          <w:divBdr>
            <w:top w:val="none" w:sz="0" w:space="0" w:color="auto"/>
            <w:left w:val="none" w:sz="0" w:space="0" w:color="auto"/>
            <w:bottom w:val="none" w:sz="0" w:space="0" w:color="auto"/>
            <w:right w:val="none" w:sz="0" w:space="0" w:color="auto"/>
          </w:divBdr>
        </w:div>
        <w:div w:id="1705668350">
          <w:marLeft w:val="0"/>
          <w:marRight w:val="0"/>
          <w:marTop w:val="0"/>
          <w:marBottom w:val="0"/>
          <w:divBdr>
            <w:top w:val="none" w:sz="0" w:space="0" w:color="auto"/>
            <w:left w:val="none" w:sz="0" w:space="0" w:color="auto"/>
            <w:bottom w:val="none" w:sz="0" w:space="0" w:color="auto"/>
            <w:right w:val="none" w:sz="0" w:space="0" w:color="auto"/>
          </w:divBdr>
        </w:div>
        <w:div w:id="1730104764">
          <w:marLeft w:val="0"/>
          <w:marRight w:val="0"/>
          <w:marTop w:val="0"/>
          <w:marBottom w:val="0"/>
          <w:divBdr>
            <w:top w:val="none" w:sz="0" w:space="0" w:color="auto"/>
            <w:left w:val="none" w:sz="0" w:space="0" w:color="auto"/>
            <w:bottom w:val="none" w:sz="0" w:space="0" w:color="auto"/>
            <w:right w:val="none" w:sz="0" w:space="0" w:color="auto"/>
          </w:divBdr>
        </w:div>
        <w:div w:id="1760442328">
          <w:marLeft w:val="0"/>
          <w:marRight w:val="0"/>
          <w:marTop w:val="0"/>
          <w:marBottom w:val="0"/>
          <w:divBdr>
            <w:top w:val="none" w:sz="0" w:space="0" w:color="auto"/>
            <w:left w:val="none" w:sz="0" w:space="0" w:color="auto"/>
            <w:bottom w:val="none" w:sz="0" w:space="0" w:color="auto"/>
            <w:right w:val="none" w:sz="0" w:space="0" w:color="auto"/>
          </w:divBdr>
        </w:div>
        <w:div w:id="1870411486">
          <w:marLeft w:val="0"/>
          <w:marRight w:val="0"/>
          <w:marTop w:val="0"/>
          <w:marBottom w:val="0"/>
          <w:divBdr>
            <w:top w:val="none" w:sz="0" w:space="0" w:color="auto"/>
            <w:left w:val="none" w:sz="0" w:space="0" w:color="auto"/>
            <w:bottom w:val="none" w:sz="0" w:space="0" w:color="auto"/>
            <w:right w:val="none" w:sz="0" w:space="0" w:color="auto"/>
          </w:divBdr>
        </w:div>
        <w:div w:id="1968580637">
          <w:marLeft w:val="0"/>
          <w:marRight w:val="0"/>
          <w:marTop w:val="0"/>
          <w:marBottom w:val="0"/>
          <w:divBdr>
            <w:top w:val="none" w:sz="0" w:space="0" w:color="auto"/>
            <w:left w:val="none" w:sz="0" w:space="0" w:color="auto"/>
            <w:bottom w:val="none" w:sz="0" w:space="0" w:color="auto"/>
            <w:right w:val="none" w:sz="0" w:space="0" w:color="auto"/>
          </w:divBdr>
        </w:div>
        <w:div w:id="1973367065">
          <w:marLeft w:val="0"/>
          <w:marRight w:val="0"/>
          <w:marTop w:val="0"/>
          <w:marBottom w:val="0"/>
          <w:divBdr>
            <w:top w:val="none" w:sz="0" w:space="0" w:color="auto"/>
            <w:left w:val="none" w:sz="0" w:space="0" w:color="auto"/>
            <w:bottom w:val="none" w:sz="0" w:space="0" w:color="auto"/>
            <w:right w:val="none" w:sz="0" w:space="0" w:color="auto"/>
          </w:divBdr>
        </w:div>
        <w:div w:id="2007048165">
          <w:marLeft w:val="0"/>
          <w:marRight w:val="0"/>
          <w:marTop w:val="0"/>
          <w:marBottom w:val="0"/>
          <w:divBdr>
            <w:top w:val="none" w:sz="0" w:space="0" w:color="auto"/>
            <w:left w:val="none" w:sz="0" w:space="0" w:color="auto"/>
            <w:bottom w:val="none" w:sz="0" w:space="0" w:color="auto"/>
            <w:right w:val="none" w:sz="0" w:space="0" w:color="auto"/>
          </w:divBdr>
        </w:div>
        <w:div w:id="2040468847">
          <w:marLeft w:val="0"/>
          <w:marRight w:val="0"/>
          <w:marTop w:val="0"/>
          <w:marBottom w:val="0"/>
          <w:divBdr>
            <w:top w:val="none" w:sz="0" w:space="0" w:color="auto"/>
            <w:left w:val="none" w:sz="0" w:space="0" w:color="auto"/>
            <w:bottom w:val="none" w:sz="0" w:space="0" w:color="auto"/>
            <w:right w:val="none" w:sz="0" w:space="0" w:color="auto"/>
          </w:divBdr>
        </w:div>
        <w:div w:id="2058970347">
          <w:marLeft w:val="0"/>
          <w:marRight w:val="0"/>
          <w:marTop w:val="0"/>
          <w:marBottom w:val="0"/>
          <w:divBdr>
            <w:top w:val="none" w:sz="0" w:space="0" w:color="auto"/>
            <w:left w:val="none" w:sz="0" w:space="0" w:color="auto"/>
            <w:bottom w:val="none" w:sz="0" w:space="0" w:color="auto"/>
            <w:right w:val="none" w:sz="0" w:space="0" w:color="auto"/>
          </w:divBdr>
        </w:div>
        <w:div w:id="2059162756">
          <w:marLeft w:val="0"/>
          <w:marRight w:val="0"/>
          <w:marTop w:val="0"/>
          <w:marBottom w:val="0"/>
          <w:divBdr>
            <w:top w:val="none" w:sz="0" w:space="0" w:color="auto"/>
            <w:left w:val="none" w:sz="0" w:space="0" w:color="auto"/>
            <w:bottom w:val="none" w:sz="0" w:space="0" w:color="auto"/>
            <w:right w:val="none" w:sz="0" w:space="0" w:color="auto"/>
          </w:divBdr>
        </w:div>
        <w:div w:id="2100367706">
          <w:marLeft w:val="0"/>
          <w:marRight w:val="0"/>
          <w:marTop w:val="0"/>
          <w:marBottom w:val="0"/>
          <w:divBdr>
            <w:top w:val="none" w:sz="0" w:space="0" w:color="auto"/>
            <w:left w:val="none" w:sz="0" w:space="0" w:color="auto"/>
            <w:bottom w:val="none" w:sz="0" w:space="0" w:color="auto"/>
            <w:right w:val="none" w:sz="0" w:space="0" w:color="auto"/>
          </w:divBdr>
        </w:div>
        <w:div w:id="2124180739">
          <w:marLeft w:val="0"/>
          <w:marRight w:val="0"/>
          <w:marTop w:val="0"/>
          <w:marBottom w:val="0"/>
          <w:divBdr>
            <w:top w:val="none" w:sz="0" w:space="0" w:color="auto"/>
            <w:left w:val="none" w:sz="0" w:space="0" w:color="auto"/>
            <w:bottom w:val="none" w:sz="0" w:space="0" w:color="auto"/>
            <w:right w:val="none" w:sz="0" w:space="0" w:color="auto"/>
          </w:divBdr>
        </w:div>
      </w:divsChild>
    </w:div>
    <w:div w:id="1649632206">
      <w:bodyDiv w:val="1"/>
      <w:marLeft w:val="0"/>
      <w:marRight w:val="0"/>
      <w:marTop w:val="0"/>
      <w:marBottom w:val="0"/>
      <w:divBdr>
        <w:top w:val="none" w:sz="0" w:space="0" w:color="auto"/>
        <w:left w:val="none" w:sz="0" w:space="0" w:color="auto"/>
        <w:bottom w:val="none" w:sz="0" w:space="0" w:color="auto"/>
        <w:right w:val="none" w:sz="0" w:space="0" w:color="auto"/>
      </w:divBdr>
    </w:div>
    <w:div w:id="1651011520">
      <w:bodyDiv w:val="1"/>
      <w:marLeft w:val="0"/>
      <w:marRight w:val="0"/>
      <w:marTop w:val="0"/>
      <w:marBottom w:val="0"/>
      <w:divBdr>
        <w:top w:val="none" w:sz="0" w:space="0" w:color="auto"/>
        <w:left w:val="none" w:sz="0" w:space="0" w:color="auto"/>
        <w:bottom w:val="none" w:sz="0" w:space="0" w:color="auto"/>
        <w:right w:val="none" w:sz="0" w:space="0" w:color="auto"/>
      </w:divBdr>
    </w:div>
    <w:div w:id="1654798022">
      <w:bodyDiv w:val="1"/>
      <w:marLeft w:val="0"/>
      <w:marRight w:val="0"/>
      <w:marTop w:val="0"/>
      <w:marBottom w:val="0"/>
      <w:divBdr>
        <w:top w:val="none" w:sz="0" w:space="0" w:color="auto"/>
        <w:left w:val="none" w:sz="0" w:space="0" w:color="auto"/>
        <w:bottom w:val="none" w:sz="0" w:space="0" w:color="auto"/>
        <w:right w:val="none" w:sz="0" w:space="0" w:color="auto"/>
      </w:divBdr>
      <w:divsChild>
        <w:div w:id="193465750">
          <w:marLeft w:val="0"/>
          <w:marRight w:val="0"/>
          <w:marTop w:val="0"/>
          <w:marBottom w:val="0"/>
          <w:divBdr>
            <w:top w:val="none" w:sz="0" w:space="0" w:color="auto"/>
            <w:left w:val="none" w:sz="0" w:space="0" w:color="auto"/>
            <w:bottom w:val="none" w:sz="0" w:space="0" w:color="auto"/>
            <w:right w:val="none" w:sz="0" w:space="0" w:color="auto"/>
          </w:divBdr>
        </w:div>
        <w:div w:id="204606880">
          <w:marLeft w:val="0"/>
          <w:marRight w:val="0"/>
          <w:marTop w:val="0"/>
          <w:marBottom w:val="0"/>
          <w:divBdr>
            <w:top w:val="none" w:sz="0" w:space="0" w:color="auto"/>
            <w:left w:val="none" w:sz="0" w:space="0" w:color="auto"/>
            <w:bottom w:val="none" w:sz="0" w:space="0" w:color="auto"/>
            <w:right w:val="none" w:sz="0" w:space="0" w:color="auto"/>
          </w:divBdr>
        </w:div>
        <w:div w:id="283272961">
          <w:marLeft w:val="0"/>
          <w:marRight w:val="0"/>
          <w:marTop w:val="0"/>
          <w:marBottom w:val="0"/>
          <w:divBdr>
            <w:top w:val="none" w:sz="0" w:space="0" w:color="auto"/>
            <w:left w:val="none" w:sz="0" w:space="0" w:color="auto"/>
            <w:bottom w:val="none" w:sz="0" w:space="0" w:color="auto"/>
            <w:right w:val="none" w:sz="0" w:space="0" w:color="auto"/>
          </w:divBdr>
        </w:div>
        <w:div w:id="638191341">
          <w:marLeft w:val="0"/>
          <w:marRight w:val="0"/>
          <w:marTop w:val="0"/>
          <w:marBottom w:val="0"/>
          <w:divBdr>
            <w:top w:val="none" w:sz="0" w:space="0" w:color="auto"/>
            <w:left w:val="none" w:sz="0" w:space="0" w:color="auto"/>
            <w:bottom w:val="none" w:sz="0" w:space="0" w:color="auto"/>
            <w:right w:val="none" w:sz="0" w:space="0" w:color="auto"/>
          </w:divBdr>
        </w:div>
        <w:div w:id="754060120">
          <w:marLeft w:val="0"/>
          <w:marRight w:val="0"/>
          <w:marTop w:val="0"/>
          <w:marBottom w:val="0"/>
          <w:divBdr>
            <w:top w:val="none" w:sz="0" w:space="0" w:color="auto"/>
            <w:left w:val="none" w:sz="0" w:space="0" w:color="auto"/>
            <w:bottom w:val="none" w:sz="0" w:space="0" w:color="auto"/>
            <w:right w:val="none" w:sz="0" w:space="0" w:color="auto"/>
          </w:divBdr>
        </w:div>
        <w:div w:id="857891951">
          <w:marLeft w:val="0"/>
          <w:marRight w:val="0"/>
          <w:marTop w:val="0"/>
          <w:marBottom w:val="0"/>
          <w:divBdr>
            <w:top w:val="none" w:sz="0" w:space="0" w:color="auto"/>
            <w:left w:val="none" w:sz="0" w:space="0" w:color="auto"/>
            <w:bottom w:val="none" w:sz="0" w:space="0" w:color="auto"/>
            <w:right w:val="none" w:sz="0" w:space="0" w:color="auto"/>
          </w:divBdr>
        </w:div>
        <w:div w:id="867110368">
          <w:marLeft w:val="0"/>
          <w:marRight w:val="0"/>
          <w:marTop w:val="0"/>
          <w:marBottom w:val="0"/>
          <w:divBdr>
            <w:top w:val="none" w:sz="0" w:space="0" w:color="auto"/>
            <w:left w:val="none" w:sz="0" w:space="0" w:color="auto"/>
            <w:bottom w:val="none" w:sz="0" w:space="0" w:color="auto"/>
            <w:right w:val="none" w:sz="0" w:space="0" w:color="auto"/>
          </w:divBdr>
        </w:div>
        <w:div w:id="919296047">
          <w:marLeft w:val="0"/>
          <w:marRight w:val="0"/>
          <w:marTop w:val="0"/>
          <w:marBottom w:val="0"/>
          <w:divBdr>
            <w:top w:val="none" w:sz="0" w:space="0" w:color="auto"/>
            <w:left w:val="none" w:sz="0" w:space="0" w:color="auto"/>
            <w:bottom w:val="none" w:sz="0" w:space="0" w:color="auto"/>
            <w:right w:val="none" w:sz="0" w:space="0" w:color="auto"/>
          </w:divBdr>
        </w:div>
        <w:div w:id="939682861">
          <w:marLeft w:val="0"/>
          <w:marRight w:val="0"/>
          <w:marTop w:val="0"/>
          <w:marBottom w:val="0"/>
          <w:divBdr>
            <w:top w:val="none" w:sz="0" w:space="0" w:color="auto"/>
            <w:left w:val="none" w:sz="0" w:space="0" w:color="auto"/>
            <w:bottom w:val="none" w:sz="0" w:space="0" w:color="auto"/>
            <w:right w:val="none" w:sz="0" w:space="0" w:color="auto"/>
          </w:divBdr>
        </w:div>
        <w:div w:id="984965803">
          <w:marLeft w:val="0"/>
          <w:marRight w:val="0"/>
          <w:marTop w:val="0"/>
          <w:marBottom w:val="0"/>
          <w:divBdr>
            <w:top w:val="none" w:sz="0" w:space="0" w:color="auto"/>
            <w:left w:val="none" w:sz="0" w:space="0" w:color="auto"/>
            <w:bottom w:val="none" w:sz="0" w:space="0" w:color="auto"/>
            <w:right w:val="none" w:sz="0" w:space="0" w:color="auto"/>
          </w:divBdr>
        </w:div>
        <w:div w:id="1063988052">
          <w:marLeft w:val="0"/>
          <w:marRight w:val="0"/>
          <w:marTop w:val="0"/>
          <w:marBottom w:val="0"/>
          <w:divBdr>
            <w:top w:val="none" w:sz="0" w:space="0" w:color="auto"/>
            <w:left w:val="none" w:sz="0" w:space="0" w:color="auto"/>
            <w:bottom w:val="none" w:sz="0" w:space="0" w:color="auto"/>
            <w:right w:val="none" w:sz="0" w:space="0" w:color="auto"/>
          </w:divBdr>
        </w:div>
        <w:div w:id="1270088156">
          <w:marLeft w:val="0"/>
          <w:marRight w:val="0"/>
          <w:marTop w:val="0"/>
          <w:marBottom w:val="0"/>
          <w:divBdr>
            <w:top w:val="none" w:sz="0" w:space="0" w:color="auto"/>
            <w:left w:val="none" w:sz="0" w:space="0" w:color="auto"/>
            <w:bottom w:val="none" w:sz="0" w:space="0" w:color="auto"/>
            <w:right w:val="none" w:sz="0" w:space="0" w:color="auto"/>
          </w:divBdr>
        </w:div>
        <w:div w:id="1301224555">
          <w:marLeft w:val="0"/>
          <w:marRight w:val="0"/>
          <w:marTop w:val="0"/>
          <w:marBottom w:val="0"/>
          <w:divBdr>
            <w:top w:val="none" w:sz="0" w:space="0" w:color="auto"/>
            <w:left w:val="none" w:sz="0" w:space="0" w:color="auto"/>
            <w:bottom w:val="none" w:sz="0" w:space="0" w:color="auto"/>
            <w:right w:val="none" w:sz="0" w:space="0" w:color="auto"/>
          </w:divBdr>
        </w:div>
        <w:div w:id="1315990044">
          <w:marLeft w:val="0"/>
          <w:marRight w:val="0"/>
          <w:marTop w:val="0"/>
          <w:marBottom w:val="0"/>
          <w:divBdr>
            <w:top w:val="none" w:sz="0" w:space="0" w:color="auto"/>
            <w:left w:val="none" w:sz="0" w:space="0" w:color="auto"/>
            <w:bottom w:val="none" w:sz="0" w:space="0" w:color="auto"/>
            <w:right w:val="none" w:sz="0" w:space="0" w:color="auto"/>
          </w:divBdr>
        </w:div>
        <w:div w:id="1540893617">
          <w:marLeft w:val="0"/>
          <w:marRight w:val="0"/>
          <w:marTop w:val="0"/>
          <w:marBottom w:val="0"/>
          <w:divBdr>
            <w:top w:val="none" w:sz="0" w:space="0" w:color="auto"/>
            <w:left w:val="none" w:sz="0" w:space="0" w:color="auto"/>
            <w:bottom w:val="none" w:sz="0" w:space="0" w:color="auto"/>
            <w:right w:val="none" w:sz="0" w:space="0" w:color="auto"/>
          </w:divBdr>
        </w:div>
        <w:div w:id="1646202762">
          <w:marLeft w:val="0"/>
          <w:marRight w:val="0"/>
          <w:marTop w:val="0"/>
          <w:marBottom w:val="0"/>
          <w:divBdr>
            <w:top w:val="none" w:sz="0" w:space="0" w:color="auto"/>
            <w:left w:val="none" w:sz="0" w:space="0" w:color="auto"/>
            <w:bottom w:val="none" w:sz="0" w:space="0" w:color="auto"/>
            <w:right w:val="none" w:sz="0" w:space="0" w:color="auto"/>
          </w:divBdr>
        </w:div>
        <w:div w:id="1795177373">
          <w:marLeft w:val="0"/>
          <w:marRight w:val="0"/>
          <w:marTop w:val="0"/>
          <w:marBottom w:val="0"/>
          <w:divBdr>
            <w:top w:val="none" w:sz="0" w:space="0" w:color="auto"/>
            <w:left w:val="none" w:sz="0" w:space="0" w:color="auto"/>
            <w:bottom w:val="none" w:sz="0" w:space="0" w:color="auto"/>
            <w:right w:val="none" w:sz="0" w:space="0" w:color="auto"/>
          </w:divBdr>
        </w:div>
        <w:div w:id="1906336463">
          <w:marLeft w:val="0"/>
          <w:marRight w:val="0"/>
          <w:marTop w:val="0"/>
          <w:marBottom w:val="0"/>
          <w:divBdr>
            <w:top w:val="none" w:sz="0" w:space="0" w:color="auto"/>
            <w:left w:val="none" w:sz="0" w:space="0" w:color="auto"/>
            <w:bottom w:val="none" w:sz="0" w:space="0" w:color="auto"/>
            <w:right w:val="none" w:sz="0" w:space="0" w:color="auto"/>
          </w:divBdr>
        </w:div>
      </w:divsChild>
    </w:div>
    <w:div w:id="1667201934">
      <w:bodyDiv w:val="1"/>
      <w:marLeft w:val="0"/>
      <w:marRight w:val="0"/>
      <w:marTop w:val="0"/>
      <w:marBottom w:val="0"/>
      <w:divBdr>
        <w:top w:val="none" w:sz="0" w:space="0" w:color="auto"/>
        <w:left w:val="none" w:sz="0" w:space="0" w:color="auto"/>
        <w:bottom w:val="none" w:sz="0" w:space="0" w:color="auto"/>
        <w:right w:val="none" w:sz="0" w:space="0" w:color="auto"/>
      </w:divBdr>
    </w:div>
    <w:div w:id="1668022597">
      <w:bodyDiv w:val="1"/>
      <w:marLeft w:val="0"/>
      <w:marRight w:val="0"/>
      <w:marTop w:val="0"/>
      <w:marBottom w:val="0"/>
      <w:divBdr>
        <w:top w:val="none" w:sz="0" w:space="0" w:color="auto"/>
        <w:left w:val="none" w:sz="0" w:space="0" w:color="auto"/>
        <w:bottom w:val="none" w:sz="0" w:space="0" w:color="auto"/>
        <w:right w:val="none" w:sz="0" w:space="0" w:color="auto"/>
      </w:divBdr>
      <w:divsChild>
        <w:div w:id="26761020">
          <w:marLeft w:val="0"/>
          <w:marRight w:val="0"/>
          <w:marTop w:val="0"/>
          <w:marBottom w:val="0"/>
          <w:divBdr>
            <w:top w:val="none" w:sz="0" w:space="0" w:color="auto"/>
            <w:left w:val="none" w:sz="0" w:space="0" w:color="auto"/>
            <w:bottom w:val="none" w:sz="0" w:space="0" w:color="auto"/>
            <w:right w:val="none" w:sz="0" w:space="0" w:color="auto"/>
          </w:divBdr>
        </w:div>
        <w:div w:id="247010055">
          <w:marLeft w:val="0"/>
          <w:marRight w:val="0"/>
          <w:marTop w:val="0"/>
          <w:marBottom w:val="0"/>
          <w:divBdr>
            <w:top w:val="none" w:sz="0" w:space="0" w:color="auto"/>
            <w:left w:val="none" w:sz="0" w:space="0" w:color="auto"/>
            <w:bottom w:val="none" w:sz="0" w:space="0" w:color="auto"/>
            <w:right w:val="none" w:sz="0" w:space="0" w:color="auto"/>
          </w:divBdr>
        </w:div>
        <w:div w:id="319388406">
          <w:marLeft w:val="0"/>
          <w:marRight w:val="0"/>
          <w:marTop w:val="0"/>
          <w:marBottom w:val="0"/>
          <w:divBdr>
            <w:top w:val="none" w:sz="0" w:space="0" w:color="auto"/>
            <w:left w:val="none" w:sz="0" w:space="0" w:color="auto"/>
            <w:bottom w:val="none" w:sz="0" w:space="0" w:color="auto"/>
            <w:right w:val="none" w:sz="0" w:space="0" w:color="auto"/>
          </w:divBdr>
        </w:div>
        <w:div w:id="396054637">
          <w:marLeft w:val="0"/>
          <w:marRight w:val="0"/>
          <w:marTop w:val="0"/>
          <w:marBottom w:val="0"/>
          <w:divBdr>
            <w:top w:val="none" w:sz="0" w:space="0" w:color="auto"/>
            <w:left w:val="none" w:sz="0" w:space="0" w:color="auto"/>
            <w:bottom w:val="none" w:sz="0" w:space="0" w:color="auto"/>
            <w:right w:val="none" w:sz="0" w:space="0" w:color="auto"/>
          </w:divBdr>
        </w:div>
        <w:div w:id="597638258">
          <w:marLeft w:val="0"/>
          <w:marRight w:val="0"/>
          <w:marTop w:val="0"/>
          <w:marBottom w:val="0"/>
          <w:divBdr>
            <w:top w:val="none" w:sz="0" w:space="0" w:color="auto"/>
            <w:left w:val="none" w:sz="0" w:space="0" w:color="auto"/>
            <w:bottom w:val="none" w:sz="0" w:space="0" w:color="auto"/>
            <w:right w:val="none" w:sz="0" w:space="0" w:color="auto"/>
          </w:divBdr>
        </w:div>
        <w:div w:id="1010640931">
          <w:marLeft w:val="0"/>
          <w:marRight w:val="0"/>
          <w:marTop w:val="0"/>
          <w:marBottom w:val="0"/>
          <w:divBdr>
            <w:top w:val="none" w:sz="0" w:space="0" w:color="auto"/>
            <w:left w:val="none" w:sz="0" w:space="0" w:color="auto"/>
            <w:bottom w:val="none" w:sz="0" w:space="0" w:color="auto"/>
            <w:right w:val="none" w:sz="0" w:space="0" w:color="auto"/>
          </w:divBdr>
        </w:div>
        <w:div w:id="1559054402">
          <w:marLeft w:val="0"/>
          <w:marRight w:val="0"/>
          <w:marTop w:val="0"/>
          <w:marBottom w:val="0"/>
          <w:divBdr>
            <w:top w:val="none" w:sz="0" w:space="0" w:color="auto"/>
            <w:left w:val="none" w:sz="0" w:space="0" w:color="auto"/>
            <w:bottom w:val="none" w:sz="0" w:space="0" w:color="auto"/>
            <w:right w:val="none" w:sz="0" w:space="0" w:color="auto"/>
          </w:divBdr>
        </w:div>
        <w:div w:id="1794443308">
          <w:marLeft w:val="0"/>
          <w:marRight w:val="0"/>
          <w:marTop w:val="0"/>
          <w:marBottom w:val="0"/>
          <w:divBdr>
            <w:top w:val="none" w:sz="0" w:space="0" w:color="auto"/>
            <w:left w:val="none" w:sz="0" w:space="0" w:color="auto"/>
            <w:bottom w:val="none" w:sz="0" w:space="0" w:color="auto"/>
            <w:right w:val="none" w:sz="0" w:space="0" w:color="auto"/>
          </w:divBdr>
        </w:div>
      </w:divsChild>
    </w:div>
    <w:div w:id="1673871053">
      <w:bodyDiv w:val="1"/>
      <w:marLeft w:val="0"/>
      <w:marRight w:val="0"/>
      <w:marTop w:val="0"/>
      <w:marBottom w:val="0"/>
      <w:divBdr>
        <w:top w:val="none" w:sz="0" w:space="0" w:color="auto"/>
        <w:left w:val="none" w:sz="0" w:space="0" w:color="auto"/>
        <w:bottom w:val="none" w:sz="0" w:space="0" w:color="auto"/>
        <w:right w:val="none" w:sz="0" w:space="0" w:color="auto"/>
      </w:divBdr>
      <w:divsChild>
        <w:div w:id="1713462791">
          <w:marLeft w:val="0"/>
          <w:marRight w:val="0"/>
          <w:marTop w:val="0"/>
          <w:marBottom w:val="0"/>
          <w:divBdr>
            <w:top w:val="none" w:sz="0" w:space="0" w:color="auto"/>
            <w:left w:val="none" w:sz="0" w:space="0" w:color="auto"/>
            <w:bottom w:val="none" w:sz="0" w:space="0" w:color="auto"/>
            <w:right w:val="none" w:sz="0" w:space="0" w:color="auto"/>
          </w:divBdr>
        </w:div>
      </w:divsChild>
    </w:div>
    <w:div w:id="1675524222">
      <w:bodyDiv w:val="1"/>
      <w:marLeft w:val="0"/>
      <w:marRight w:val="0"/>
      <w:marTop w:val="0"/>
      <w:marBottom w:val="0"/>
      <w:divBdr>
        <w:top w:val="none" w:sz="0" w:space="0" w:color="auto"/>
        <w:left w:val="none" w:sz="0" w:space="0" w:color="auto"/>
        <w:bottom w:val="none" w:sz="0" w:space="0" w:color="auto"/>
        <w:right w:val="none" w:sz="0" w:space="0" w:color="auto"/>
      </w:divBdr>
      <w:divsChild>
        <w:div w:id="1855940">
          <w:marLeft w:val="0"/>
          <w:marRight w:val="0"/>
          <w:marTop w:val="0"/>
          <w:marBottom w:val="0"/>
          <w:divBdr>
            <w:top w:val="none" w:sz="0" w:space="0" w:color="auto"/>
            <w:left w:val="none" w:sz="0" w:space="0" w:color="auto"/>
            <w:bottom w:val="none" w:sz="0" w:space="0" w:color="auto"/>
            <w:right w:val="none" w:sz="0" w:space="0" w:color="auto"/>
          </w:divBdr>
        </w:div>
        <w:div w:id="14887163">
          <w:marLeft w:val="0"/>
          <w:marRight w:val="0"/>
          <w:marTop w:val="0"/>
          <w:marBottom w:val="0"/>
          <w:divBdr>
            <w:top w:val="none" w:sz="0" w:space="0" w:color="auto"/>
            <w:left w:val="none" w:sz="0" w:space="0" w:color="auto"/>
            <w:bottom w:val="none" w:sz="0" w:space="0" w:color="auto"/>
            <w:right w:val="none" w:sz="0" w:space="0" w:color="auto"/>
          </w:divBdr>
        </w:div>
        <w:div w:id="46686315">
          <w:marLeft w:val="0"/>
          <w:marRight w:val="0"/>
          <w:marTop w:val="0"/>
          <w:marBottom w:val="0"/>
          <w:divBdr>
            <w:top w:val="none" w:sz="0" w:space="0" w:color="auto"/>
            <w:left w:val="none" w:sz="0" w:space="0" w:color="auto"/>
            <w:bottom w:val="none" w:sz="0" w:space="0" w:color="auto"/>
            <w:right w:val="none" w:sz="0" w:space="0" w:color="auto"/>
          </w:divBdr>
        </w:div>
        <w:div w:id="75133916">
          <w:marLeft w:val="0"/>
          <w:marRight w:val="0"/>
          <w:marTop w:val="0"/>
          <w:marBottom w:val="0"/>
          <w:divBdr>
            <w:top w:val="none" w:sz="0" w:space="0" w:color="auto"/>
            <w:left w:val="none" w:sz="0" w:space="0" w:color="auto"/>
            <w:bottom w:val="none" w:sz="0" w:space="0" w:color="auto"/>
            <w:right w:val="none" w:sz="0" w:space="0" w:color="auto"/>
          </w:divBdr>
        </w:div>
        <w:div w:id="78908394">
          <w:marLeft w:val="0"/>
          <w:marRight w:val="0"/>
          <w:marTop w:val="0"/>
          <w:marBottom w:val="0"/>
          <w:divBdr>
            <w:top w:val="none" w:sz="0" w:space="0" w:color="auto"/>
            <w:left w:val="none" w:sz="0" w:space="0" w:color="auto"/>
            <w:bottom w:val="none" w:sz="0" w:space="0" w:color="auto"/>
            <w:right w:val="none" w:sz="0" w:space="0" w:color="auto"/>
          </w:divBdr>
        </w:div>
        <w:div w:id="79571909">
          <w:marLeft w:val="0"/>
          <w:marRight w:val="0"/>
          <w:marTop w:val="0"/>
          <w:marBottom w:val="0"/>
          <w:divBdr>
            <w:top w:val="none" w:sz="0" w:space="0" w:color="auto"/>
            <w:left w:val="none" w:sz="0" w:space="0" w:color="auto"/>
            <w:bottom w:val="none" w:sz="0" w:space="0" w:color="auto"/>
            <w:right w:val="none" w:sz="0" w:space="0" w:color="auto"/>
          </w:divBdr>
        </w:div>
        <w:div w:id="100220811">
          <w:marLeft w:val="0"/>
          <w:marRight w:val="0"/>
          <w:marTop w:val="0"/>
          <w:marBottom w:val="0"/>
          <w:divBdr>
            <w:top w:val="none" w:sz="0" w:space="0" w:color="auto"/>
            <w:left w:val="none" w:sz="0" w:space="0" w:color="auto"/>
            <w:bottom w:val="none" w:sz="0" w:space="0" w:color="auto"/>
            <w:right w:val="none" w:sz="0" w:space="0" w:color="auto"/>
          </w:divBdr>
        </w:div>
        <w:div w:id="128089661">
          <w:marLeft w:val="0"/>
          <w:marRight w:val="0"/>
          <w:marTop w:val="0"/>
          <w:marBottom w:val="0"/>
          <w:divBdr>
            <w:top w:val="none" w:sz="0" w:space="0" w:color="auto"/>
            <w:left w:val="none" w:sz="0" w:space="0" w:color="auto"/>
            <w:bottom w:val="none" w:sz="0" w:space="0" w:color="auto"/>
            <w:right w:val="none" w:sz="0" w:space="0" w:color="auto"/>
          </w:divBdr>
        </w:div>
        <w:div w:id="171648314">
          <w:marLeft w:val="0"/>
          <w:marRight w:val="0"/>
          <w:marTop w:val="0"/>
          <w:marBottom w:val="0"/>
          <w:divBdr>
            <w:top w:val="none" w:sz="0" w:space="0" w:color="auto"/>
            <w:left w:val="none" w:sz="0" w:space="0" w:color="auto"/>
            <w:bottom w:val="none" w:sz="0" w:space="0" w:color="auto"/>
            <w:right w:val="none" w:sz="0" w:space="0" w:color="auto"/>
          </w:divBdr>
        </w:div>
        <w:div w:id="236405698">
          <w:marLeft w:val="0"/>
          <w:marRight w:val="0"/>
          <w:marTop w:val="0"/>
          <w:marBottom w:val="0"/>
          <w:divBdr>
            <w:top w:val="none" w:sz="0" w:space="0" w:color="auto"/>
            <w:left w:val="none" w:sz="0" w:space="0" w:color="auto"/>
            <w:bottom w:val="none" w:sz="0" w:space="0" w:color="auto"/>
            <w:right w:val="none" w:sz="0" w:space="0" w:color="auto"/>
          </w:divBdr>
        </w:div>
        <w:div w:id="279268347">
          <w:marLeft w:val="0"/>
          <w:marRight w:val="0"/>
          <w:marTop w:val="0"/>
          <w:marBottom w:val="0"/>
          <w:divBdr>
            <w:top w:val="none" w:sz="0" w:space="0" w:color="auto"/>
            <w:left w:val="none" w:sz="0" w:space="0" w:color="auto"/>
            <w:bottom w:val="none" w:sz="0" w:space="0" w:color="auto"/>
            <w:right w:val="none" w:sz="0" w:space="0" w:color="auto"/>
          </w:divBdr>
        </w:div>
        <w:div w:id="310787927">
          <w:marLeft w:val="0"/>
          <w:marRight w:val="0"/>
          <w:marTop w:val="0"/>
          <w:marBottom w:val="0"/>
          <w:divBdr>
            <w:top w:val="none" w:sz="0" w:space="0" w:color="auto"/>
            <w:left w:val="none" w:sz="0" w:space="0" w:color="auto"/>
            <w:bottom w:val="none" w:sz="0" w:space="0" w:color="auto"/>
            <w:right w:val="none" w:sz="0" w:space="0" w:color="auto"/>
          </w:divBdr>
        </w:div>
        <w:div w:id="314844075">
          <w:marLeft w:val="0"/>
          <w:marRight w:val="0"/>
          <w:marTop w:val="0"/>
          <w:marBottom w:val="0"/>
          <w:divBdr>
            <w:top w:val="none" w:sz="0" w:space="0" w:color="auto"/>
            <w:left w:val="none" w:sz="0" w:space="0" w:color="auto"/>
            <w:bottom w:val="none" w:sz="0" w:space="0" w:color="auto"/>
            <w:right w:val="none" w:sz="0" w:space="0" w:color="auto"/>
          </w:divBdr>
        </w:div>
        <w:div w:id="325399402">
          <w:marLeft w:val="0"/>
          <w:marRight w:val="0"/>
          <w:marTop w:val="0"/>
          <w:marBottom w:val="0"/>
          <w:divBdr>
            <w:top w:val="none" w:sz="0" w:space="0" w:color="auto"/>
            <w:left w:val="none" w:sz="0" w:space="0" w:color="auto"/>
            <w:bottom w:val="none" w:sz="0" w:space="0" w:color="auto"/>
            <w:right w:val="none" w:sz="0" w:space="0" w:color="auto"/>
          </w:divBdr>
        </w:div>
        <w:div w:id="325862206">
          <w:marLeft w:val="0"/>
          <w:marRight w:val="0"/>
          <w:marTop w:val="0"/>
          <w:marBottom w:val="0"/>
          <w:divBdr>
            <w:top w:val="none" w:sz="0" w:space="0" w:color="auto"/>
            <w:left w:val="none" w:sz="0" w:space="0" w:color="auto"/>
            <w:bottom w:val="none" w:sz="0" w:space="0" w:color="auto"/>
            <w:right w:val="none" w:sz="0" w:space="0" w:color="auto"/>
          </w:divBdr>
        </w:div>
        <w:div w:id="403458006">
          <w:marLeft w:val="0"/>
          <w:marRight w:val="0"/>
          <w:marTop w:val="0"/>
          <w:marBottom w:val="0"/>
          <w:divBdr>
            <w:top w:val="none" w:sz="0" w:space="0" w:color="auto"/>
            <w:left w:val="none" w:sz="0" w:space="0" w:color="auto"/>
            <w:bottom w:val="none" w:sz="0" w:space="0" w:color="auto"/>
            <w:right w:val="none" w:sz="0" w:space="0" w:color="auto"/>
          </w:divBdr>
        </w:div>
        <w:div w:id="434904940">
          <w:marLeft w:val="0"/>
          <w:marRight w:val="0"/>
          <w:marTop w:val="0"/>
          <w:marBottom w:val="0"/>
          <w:divBdr>
            <w:top w:val="none" w:sz="0" w:space="0" w:color="auto"/>
            <w:left w:val="none" w:sz="0" w:space="0" w:color="auto"/>
            <w:bottom w:val="none" w:sz="0" w:space="0" w:color="auto"/>
            <w:right w:val="none" w:sz="0" w:space="0" w:color="auto"/>
          </w:divBdr>
        </w:div>
        <w:div w:id="448011721">
          <w:marLeft w:val="0"/>
          <w:marRight w:val="0"/>
          <w:marTop w:val="0"/>
          <w:marBottom w:val="0"/>
          <w:divBdr>
            <w:top w:val="none" w:sz="0" w:space="0" w:color="auto"/>
            <w:left w:val="none" w:sz="0" w:space="0" w:color="auto"/>
            <w:bottom w:val="none" w:sz="0" w:space="0" w:color="auto"/>
            <w:right w:val="none" w:sz="0" w:space="0" w:color="auto"/>
          </w:divBdr>
        </w:div>
        <w:div w:id="483470105">
          <w:marLeft w:val="0"/>
          <w:marRight w:val="0"/>
          <w:marTop w:val="0"/>
          <w:marBottom w:val="0"/>
          <w:divBdr>
            <w:top w:val="none" w:sz="0" w:space="0" w:color="auto"/>
            <w:left w:val="none" w:sz="0" w:space="0" w:color="auto"/>
            <w:bottom w:val="none" w:sz="0" w:space="0" w:color="auto"/>
            <w:right w:val="none" w:sz="0" w:space="0" w:color="auto"/>
          </w:divBdr>
        </w:div>
        <w:div w:id="505097249">
          <w:marLeft w:val="0"/>
          <w:marRight w:val="0"/>
          <w:marTop w:val="0"/>
          <w:marBottom w:val="0"/>
          <w:divBdr>
            <w:top w:val="none" w:sz="0" w:space="0" w:color="auto"/>
            <w:left w:val="none" w:sz="0" w:space="0" w:color="auto"/>
            <w:bottom w:val="none" w:sz="0" w:space="0" w:color="auto"/>
            <w:right w:val="none" w:sz="0" w:space="0" w:color="auto"/>
          </w:divBdr>
        </w:div>
        <w:div w:id="525406872">
          <w:marLeft w:val="0"/>
          <w:marRight w:val="0"/>
          <w:marTop w:val="0"/>
          <w:marBottom w:val="0"/>
          <w:divBdr>
            <w:top w:val="none" w:sz="0" w:space="0" w:color="auto"/>
            <w:left w:val="none" w:sz="0" w:space="0" w:color="auto"/>
            <w:bottom w:val="none" w:sz="0" w:space="0" w:color="auto"/>
            <w:right w:val="none" w:sz="0" w:space="0" w:color="auto"/>
          </w:divBdr>
        </w:div>
        <w:div w:id="529493714">
          <w:marLeft w:val="0"/>
          <w:marRight w:val="0"/>
          <w:marTop w:val="0"/>
          <w:marBottom w:val="0"/>
          <w:divBdr>
            <w:top w:val="none" w:sz="0" w:space="0" w:color="auto"/>
            <w:left w:val="none" w:sz="0" w:space="0" w:color="auto"/>
            <w:bottom w:val="none" w:sz="0" w:space="0" w:color="auto"/>
            <w:right w:val="none" w:sz="0" w:space="0" w:color="auto"/>
          </w:divBdr>
        </w:div>
        <w:div w:id="529992945">
          <w:marLeft w:val="0"/>
          <w:marRight w:val="0"/>
          <w:marTop w:val="0"/>
          <w:marBottom w:val="0"/>
          <w:divBdr>
            <w:top w:val="none" w:sz="0" w:space="0" w:color="auto"/>
            <w:left w:val="none" w:sz="0" w:space="0" w:color="auto"/>
            <w:bottom w:val="none" w:sz="0" w:space="0" w:color="auto"/>
            <w:right w:val="none" w:sz="0" w:space="0" w:color="auto"/>
          </w:divBdr>
        </w:div>
        <w:div w:id="531461905">
          <w:marLeft w:val="0"/>
          <w:marRight w:val="0"/>
          <w:marTop w:val="0"/>
          <w:marBottom w:val="0"/>
          <w:divBdr>
            <w:top w:val="none" w:sz="0" w:space="0" w:color="auto"/>
            <w:left w:val="none" w:sz="0" w:space="0" w:color="auto"/>
            <w:bottom w:val="none" w:sz="0" w:space="0" w:color="auto"/>
            <w:right w:val="none" w:sz="0" w:space="0" w:color="auto"/>
          </w:divBdr>
        </w:div>
        <w:div w:id="626543156">
          <w:marLeft w:val="0"/>
          <w:marRight w:val="0"/>
          <w:marTop w:val="0"/>
          <w:marBottom w:val="0"/>
          <w:divBdr>
            <w:top w:val="none" w:sz="0" w:space="0" w:color="auto"/>
            <w:left w:val="none" w:sz="0" w:space="0" w:color="auto"/>
            <w:bottom w:val="none" w:sz="0" w:space="0" w:color="auto"/>
            <w:right w:val="none" w:sz="0" w:space="0" w:color="auto"/>
          </w:divBdr>
        </w:div>
        <w:div w:id="665980122">
          <w:marLeft w:val="0"/>
          <w:marRight w:val="0"/>
          <w:marTop w:val="0"/>
          <w:marBottom w:val="0"/>
          <w:divBdr>
            <w:top w:val="none" w:sz="0" w:space="0" w:color="auto"/>
            <w:left w:val="none" w:sz="0" w:space="0" w:color="auto"/>
            <w:bottom w:val="none" w:sz="0" w:space="0" w:color="auto"/>
            <w:right w:val="none" w:sz="0" w:space="0" w:color="auto"/>
          </w:divBdr>
        </w:div>
        <w:div w:id="680668637">
          <w:marLeft w:val="0"/>
          <w:marRight w:val="0"/>
          <w:marTop w:val="0"/>
          <w:marBottom w:val="0"/>
          <w:divBdr>
            <w:top w:val="none" w:sz="0" w:space="0" w:color="auto"/>
            <w:left w:val="none" w:sz="0" w:space="0" w:color="auto"/>
            <w:bottom w:val="none" w:sz="0" w:space="0" w:color="auto"/>
            <w:right w:val="none" w:sz="0" w:space="0" w:color="auto"/>
          </w:divBdr>
        </w:div>
        <w:div w:id="703287570">
          <w:marLeft w:val="0"/>
          <w:marRight w:val="0"/>
          <w:marTop w:val="0"/>
          <w:marBottom w:val="0"/>
          <w:divBdr>
            <w:top w:val="none" w:sz="0" w:space="0" w:color="auto"/>
            <w:left w:val="none" w:sz="0" w:space="0" w:color="auto"/>
            <w:bottom w:val="none" w:sz="0" w:space="0" w:color="auto"/>
            <w:right w:val="none" w:sz="0" w:space="0" w:color="auto"/>
          </w:divBdr>
        </w:div>
        <w:div w:id="774710764">
          <w:marLeft w:val="0"/>
          <w:marRight w:val="0"/>
          <w:marTop w:val="0"/>
          <w:marBottom w:val="0"/>
          <w:divBdr>
            <w:top w:val="none" w:sz="0" w:space="0" w:color="auto"/>
            <w:left w:val="none" w:sz="0" w:space="0" w:color="auto"/>
            <w:bottom w:val="none" w:sz="0" w:space="0" w:color="auto"/>
            <w:right w:val="none" w:sz="0" w:space="0" w:color="auto"/>
          </w:divBdr>
        </w:div>
        <w:div w:id="783114525">
          <w:marLeft w:val="0"/>
          <w:marRight w:val="0"/>
          <w:marTop w:val="0"/>
          <w:marBottom w:val="0"/>
          <w:divBdr>
            <w:top w:val="none" w:sz="0" w:space="0" w:color="auto"/>
            <w:left w:val="none" w:sz="0" w:space="0" w:color="auto"/>
            <w:bottom w:val="none" w:sz="0" w:space="0" w:color="auto"/>
            <w:right w:val="none" w:sz="0" w:space="0" w:color="auto"/>
          </w:divBdr>
        </w:div>
        <w:div w:id="845365322">
          <w:marLeft w:val="0"/>
          <w:marRight w:val="0"/>
          <w:marTop w:val="0"/>
          <w:marBottom w:val="0"/>
          <w:divBdr>
            <w:top w:val="none" w:sz="0" w:space="0" w:color="auto"/>
            <w:left w:val="none" w:sz="0" w:space="0" w:color="auto"/>
            <w:bottom w:val="none" w:sz="0" w:space="0" w:color="auto"/>
            <w:right w:val="none" w:sz="0" w:space="0" w:color="auto"/>
          </w:divBdr>
        </w:div>
        <w:div w:id="861088467">
          <w:marLeft w:val="0"/>
          <w:marRight w:val="0"/>
          <w:marTop w:val="0"/>
          <w:marBottom w:val="0"/>
          <w:divBdr>
            <w:top w:val="none" w:sz="0" w:space="0" w:color="auto"/>
            <w:left w:val="none" w:sz="0" w:space="0" w:color="auto"/>
            <w:bottom w:val="none" w:sz="0" w:space="0" w:color="auto"/>
            <w:right w:val="none" w:sz="0" w:space="0" w:color="auto"/>
          </w:divBdr>
        </w:div>
        <w:div w:id="883106156">
          <w:marLeft w:val="0"/>
          <w:marRight w:val="0"/>
          <w:marTop w:val="0"/>
          <w:marBottom w:val="0"/>
          <w:divBdr>
            <w:top w:val="none" w:sz="0" w:space="0" w:color="auto"/>
            <w:left w:val="none" w:sz="0" w:space="0" w:color="auto"/>
            <w:bottom w:val="none" w:sz="0" w:space="0" w:color="auto"/>
            <w:right w:val="none" w:sz="0" w:space="0" w:color="auto"/>
          </w:divBdr>
        </w:div>
        <w:div w:id="897715105">
          <w:marLeft w:val="0"/>
          <w:marRight w:val="0"/>
          <w:marTop w:val="0"/>
          <w:marBottom w:val="0"/>
          <w:divBdr>
            <w:top w:val="none" w:sz="0" w:space="0" w:color="auto"/>
            <w:left w:val="none" w:sz="0" w:space="0" w:color="auto"/>
            <w:bottom w:val="none" w:sz="0" w:space="0" w:color="auto"/>
            <w:right w:val="none" w:sz="0" w:space="0" w:color="auto"/>
          </w:divBdr>
        </w:div>
        <w:div w:id="902377599">
          <w:marLeft w:val="0"/>
          <w:marRight w:val="0"/>
          <w:marTop w:val="0"/>
          <w:marBottom w:val="0"/>
          <w:divBdr>
            <w:top w:val="none" w:sz="0" w:space="0" w:color="auto"/>
            <w:left w:val="none" w:sz="0" w:space="0" w:color="auto"/>
            <w:bottom w:val="none" w:sz="0" w:space="0" w:color="auto"/>
            <w:right w:val="none" w:sz="0" w:space="0" w:color="auto"/>
          </w:divBdr>
        </w:div>
        <w:div w:id="904416439">
          <w:marLeft w:val="0"/>
          <w:marRight w:val="0"/>
          <w:marTop w:val="0"/>
          <w:marBottom w:val="0"/>
          <w:divBdr>
            <w:top w:val="none" w:sz="0" w:space="0" w:color="auto"/>
            <w:left w:val="none" w:sz="0" w:space="0" w:color="auto"/>
            <w:bottom w:val="none" w:sz="0" w:space="0" w:color="auto"/>
            <w:right w:val="none" w:sz="0" w:space="0" w:color="auto"/>
          </w:divBdr>
        </w:div>
        <w:div w:id="923105903">
          <w:marLeft w:val="0"/>
          <w:marRight w:val="0"/>
          <w:marTop w:val="0"/>
          <w:marBottom w:val="0"/>
          <w:divBdr>
            <w:top w:val="none" w:sz="0" w:space="0" w:color="auto"/>
            <w:left w:val="none" w:sz="0" w:space="0" w:color="auto"/>
            <w:bottom w:val="none" w:sz="0" w:space="0" w:color="auto"/>
            <w:right w:val="none" w:sz="0" w:space="0" w:color="auto"/>
          </w:divBdr>
        </w:div>
        <w:div w:id="1006639068">
          <w:marLeft w:val="0"/>
          <w:marRight w:val="0"/>
          <w:marTop w:val="0"/>
          <w:marBottom w:val="0"/>
          <w:divBdr>
            <w:top w:val="none" w:sz="0" w:space="0" w:color="auto"/>
            <w:left w:val="none" w:sz="0" w:space="0" w:color="auto"/>
            <w:bottom w:val="none" w:sz="0" w:space="0" w:color="auto"/>
            <w:right w:val="none" w:sz="0" w:space="0" w:color="auto"/>
          </w:divBdr>
        </w:div>
        <w:div w:id="1017846145">
          <w:marLeft w:val="0"/>
          <w:marRight w:val="0"/>
          <w:marTop w:val="0"/>
          <w:marBottom w:val="0"/>
          <w:divBdr>
            <w:top w:val="none" w:sz="0" w:space="0" w:color="auto"/>
            <w:left w:val="none" w:sz="0" w:space="0" w:color="auto"/>
            <w:bottom w:val="none" w:sz="0" w:space="0" w:color="auto"/>
            <w:right w:val="none" w:sz="0" w:space="0" w:color="auto"/>
          </w:divBdr>
        </w:div>
        <w:div w:id="1023744549">
          <w:marLeft w:val="0"/>
          <w:marRight w:val="0"/>
          <w:marTop w:val="0"/>
          <w:marBottom w:val="0"/>
          <w:divBdr>
            <w:top w:val="none" w:sz="0" w:space="0" w:color="auto"/>
            <w:left w:val="none" w:sz="0" w:space="0" w:color="auto"/>
            <w:bottom w:val="none" w:sz="0" w:space="0" w:color="auto"/>
            <w:right w:val="none" w:sz="0" w:space="0" w:color="auto"/>
          </w:divBdr>
        </w:div>
        <w:div w:id="1063988633">
          <w:marLeft w:val="0"/>
          <w:marRight w:val="0"/>
          <w:marTop w:val="0"/>
          <w:marBottom w:val="0"/>
          <w:divBdr>
            <w:top w:val="none" w:sz="0" w:space="0" w:color="auto"/>
            <w:left w:val="none" w:sz="0" w:space="0" w:color="auto"/>
            <w:bottom w:val="none" w:sz="0" w:space="0" w:color="auto"/>
            <w:right w:val="none" w:sz="0" w:space="0" w:color="auto"/>
          </w:divBdr>
        </w:div>
        <w:div w:id="1133210878">
          <w:marLeft w:val="0"/>
          <w:marRight w:val="0"/>
          <w:marTop w:val="0"/>
          <w:marBottom w:val="0"/>
          <w:divBdr>
            <w:top w:val="none" w:sz="0" w:space="0" w:color="auto"/>
            <w:left w:val="none" w:sz="0" w:space="0" w:color="auto"/>
            <w:bottom w:val="none" w:sz="0" w:space="0" w:color="auto"/>
            <w:right w:val="none" w:sz="0" w:space="0" w:color="auto"/>
          </w:divBdr>
        </w:div>
        <w:div w:id="1140028922">
          <w:marLeft w:val="0"/>
          <w:marRight w:val="0"/>
          <w:marTop w:val="0"/>
          <w:marBottom w:val="0"/>
          <w:divBdr>
            <w:top w:val="none" w:sz="0" w:space="0" w:color="auto"/>
            <w:left w:val="none" w:sz="0" w:space="0" w:color="auto"/>
            <w:bottom w:val="none" w:sz="0" w:space="0" w:color="auto"/>
            <w:right w:val="none" w:sz="0" w:space="0" w:color="auto"/>
          </w:divBdr>
        </w:div>
        <w:div w:id="1165121879">
          <w:marLeft w:val="0"/>
          <w:marRight w:val="0"/>
          <w:marTop w:val="0"/>
          <w:marBottom w:val="0"/>
          <w:divBdr>
            <w:top w:val="none" w:sz="0" w:space="0" w:color="auto"/>
            <w:left w:val="none" w:sz="0" w:space="0" w:color="auto"/>
            <w:bottom w:val="none" w:sz="0" w:space="0" w:color="auto"/>
            <w:right w:val="none" w:sz="0" w:space="0" w:color="auto"/>
          </w:divBdr>
        </w:div>
        <w:div w:id="1195659324">
          <w:marLeft w:val="0"/>
          <w:marRight w:val="0"/>
          <w:marTop w:val="0"/>
          <w:marBottom w:val="0"/>
          <w:divBdr>
            <w:top w:val="none" w:sz="0" w:space="0" w:color="auto"/>
            <w:left w:val="none" w:sz="0" w:space="0" w:color="auto"/>
            <w:bottom w:val="none" w:sz="0" w:space="0" w:color="auto"/>
            <w:right w:val="none" w:sz="0" w:space="0" w:color="auto"/>
          </w:divBdr>
        </w:div>
        <w:div w:id="1284194170">
          <w:marLeft w:val="0"/>
          <w:marRight w:val="0"/>
          <w:marTop w:val="0"/>
          <w:marBottom w:val="0"/>
          <w:divBdr>
            <w:top w:val="none" w:sz="0" w:space="0" w:color="auto"/>
            <w:left w:val="none" w:sz="0" w:space="0" w:color="auto"/>
            <w:bottom w:val="none" w:sz="0" w:space="0" w:color="auto"/>
            <w:right w:val="none" w:sz="0" w:space="0" w:color="auto"/>
          </w:divBdr>
        </w:div>
        <w:div w:id="1334987970">
          <w:marLeft w:val="0"/>
          <w:marRight w:val="0"/>
          <w:marTop w:val="0"/>
          <w:marBottom w:val="0"/>
          <w:divBdr>
            <w:top w:val="none" w:sz="0" w:space="0" w:color="auto"/>
            <w:left w:val="none" w:sz="0" w:space="0" w:color="auto"/>
            <w:bottom w:val="none" w:sz="0" w:space="0" w:color="auto"/>
            <w:right w:val="none" w:sz="0" w:space="0" w:color="auto"/>
          </w:divBdr>
        </w:div>
        <w:div w:id="1421876744">
          <w:marLeft w:val="0"/>
          <w:marRight w:val="0"/>
          <w:marTop w:val="0"/>
          <w:marBottom w:val="0"/>
          <w:divBdr>
            <w:top w:val="none" w:sz="0" w:space="0" w:color="auto"/>
            <w:left w:val="none" w:sz="0" w:space="0" w:color="auto"/>
            <w:bottom w:val="none" w:sz="0" w:space="0" w:color="auto"/>
            <w:right w:val="none" w:sz="0" w:space="0" w:color="auto"/>
          </w:divBdr>
        </w:div>
        <w:div w:id="1476222216">
          <w:marLeft w:val="0"/>
          <w:marRight w:val="0"/>
          <w:marTop w:val="0"/>
          <w:marBottom w:val="0"/>
          <w:divBdr>
            <w:top w:val="none" w:sz="0" w:space="0" w:color="auto"/>
            <w:left w:val="none" w:sz="0" w:space="0" w:color="auto"/>
            <w:bottom w:val="none" w:sz="0" w:space="0" w:color="auto"/>
            <w:right w:val="none" w:sz="0" w:space="0" w:color="auto"/>
          </w:divBdr>
        </w:div>
        <w:div w:id="1501627379">
          <w:marLeft w:val="0"/>
          <w:marRight w:val="0"/>
          <w:marTop w:val="0"/>
          <w:marBottom w:val="0"/>
          <w:divBdr>
            <w:top w:val="none" w:sz="0" w:space="0" w:color="auto"/>
            <w:left w:val="none" w:sz="0" w:space="0" w:color="auto"/>
            <w:bottom w:val="none" w:sz="0" w:space="0" w:color="auto"/>
            <w:right w:val="none" w:sz="0" w:space="0" w:color="auto"/>
          </w:divBdr>
        </w:div>
        <w:div w:id="1541085310">
          <w:marLeft w:val="0"/>
          <w:marRight w:val="0"/>
          <w:marTop w:val="0"/>
          <w:marBottom w:val="0"/>
          <w:divBdr>
            <w:top w:val="none" w:sz="0" w:space="0" w:color="auto"/>
            <w:left w:val="none" w:sz="0" w:space="0" w:color="auto"/>
            <w:bottom w:val="none" w:sz="0" w:space="0" w:color="auto"/>
            <w:right w:val="none" w:sz="0" w:space="0" w:color="auto"/>
          </w:divBdr>
        </w:div>
        <w:div w:id="1581134735">
          <w:marLeft w:val="0"/>
          <w:marRight w:val="0"/>
          <w:marTop w:val="0"/>
          <w:marBottom w:val="0"/>
          <w:divBdr>
            <w:top w:val="none" w:sz="0" w:space="0" w:color="auto"/>
            <w:left w:val="none" w:sz="0" w:space="0" w:color="auto"/>
            <w:bottom w:val="none" w:sz="0" w:space="0" w:color="auto"/>
            <w:right w:val="none" w:sz="0" w:space="0" w:color="auto"/>
          </w:divBdr>
        </w:div>
        <w:div w:id="1592814447">
          <w:marLeft w:val="0"/>
          <w:marRight w:val="0"/>
          <w:marTop w:val="0"/>
          <w:marBottom w:val="0"/>
          <w:divBdr>
            <w:top w:val="none" w:sz="0" w:space="0" w:color="auto"/>
            <w:left w:val="none" w:sz="0" w:space="0" w:color="auto"/>
            <w:bottom w:val="none" w:sz="0" w:space="0" w:color="auto"/>
            <w:right w:val="none" w:sz="0" w:space="0" w:color="auto"/>
          </w:divBdr>
        </w:div>
        <w:div w:id="1606427009">
          <w:marLeft w:val="0"/>
          <w:marRight w:val="0"/>
          <w:marTop w:val="0"/>
          <w:marBottom w:val="0"/>
          <w:divBdr>
            <w:top w:val="none" w:sz="0" w:space="0" w:color="auto"/>
            <w:left w:val="none" w:sz="0" w:space="0" w:color="auto"/>
            <w:bottom w:val="none" w:sz="0" w:space="0" w:color="auto"/>
            <w:right w:val="none" w:sz="0" w:space="0" w:color="auto"/>
          </w:divBdr>
        </w:div>
        <w:div w:id="1687516014">
          <w:marLeft w:val="0"/>
          <w:marRight w:val="0"/>
          <w:marTop w:val="0"/>
          <w:marBottom w:val="0"/>
          <w:divBdr>
            <w:top w:val="none" w:sz="0" w:space="0" w:color="auto"/>
            <w:left w:val="none" w:sz="0" w:space="0" w:color="auto"/>
            <w:bottom w:val="none" w:sz="0" w:space="0" w:color="auto"/>
            <w:right w:val="none" w:sz="0" w:space="0" w:color="auto"/>
          </w:divBdr>
        </w:div>
        <w:div w:id="1737048168">
          <w:marLeft w:val="0"/>
          <w:marRight w:val="0"/>
          <w:marTop w:val="0"/>
          <w:marBottom w:val="0"/>
          <w:divBdr>
            <w:top w:val="none" w:sz="0" w:space="0" w:color="auto"/>
            <w:left w:val="none" w:sz="0" w:space="0" w:color="auto"/>
            <w:bottom w:val="none" w:sz="0" w:space="0" w:color="auto"/>
            <w:right w:val="none" w:sz="0" w:space="0" w:color="auto"/>
          </w:divBdr>
        </w:div>
        <w:div w:id="1770196366">
          <w:marLeft w:val="0"/>
          <w:marRight w:val="0"/>
          <w:marTop w:val="0"/>
          <w:marBottom w:val="0"/>
          <w:divBdr>
            <w:top w:val="none" w:sz="0" w:space="0" w:color="auto"/>
            <w:left w:val="none" w:sz="0" w:space="0" w:color="auto"/>
            <w:bottom w:val="none" w:sz="0" w:space="0" w:color="auto"/>
            <w:right w:val="none" w:sz="0" w:space="0" w:color="auto"/>
          </w:divBdr>
        </w:div>
        <w:div w:id="1818574528">
          <w:marLeft w:val="0"/>
          <w:marRight w:val="0"/>
          <w:marTop w:val="0"/>
          <w:marBottom w:val="0"/>
          <w:divBdr>
            <w:top w:val="none" w:sz="0" w:space="0" w:color="auto"/>
            <w:left w:val="none" w:sz="0" w:space="0" w:color="auto"/>
            <w:bottom w:val="none" w:sz="0" w:space="0" w:color="auto"/>
            <w:right w:val="none" w:sz="0" w:space="0" w:color="auto"/>
          </w:divBdr>
        </w:div>
        <w:div w:id="1848858619">
          <w:marLeft w:val="0"/>
          <w:marRight w:val="0"/>
          <w:marTop w:val="0"/>
          <w:marBottom w:val="0"/>
          <w:divBdr>
            <w:top w:val="none" w:sz="0" w:space="0" w:color="auto"/>
            <w:left w:val="none" w:sz="0" w:space="0" w:color="auto"/>
            <w:bottom w:val="none" w:sz="0" w:space="0" w:color="auto"/>
            <w:right w:val="none" w:sz="0" w:space="0" w:color="auto"/>
          </w:divBdr>
        </w:div>
        <w:div w:id="1864630498">
          <w:marLeft w:val="0"/>
          <w:marRight w:val="0"/>
          <w:marTop w:val="0"/>
          <w:marBottom w:val="0"/>
          <w:divBdr>
            <w:top w:val="none" w:sz="0" w:space="0" w:color="auto"/>
            <w:left w:val="none" w:sz="0" w:space="0" w:color="auto"/>
            <w:bottom w:val="none" w:sz="0" w:space="0" w:color="auto"/>
            <w:right w:val="none" w:sz="0" w:space="0" w:color="auto"/>
          </w:divBdr>
        </w:div>
        <w:div w:id="1888368915">
          <w:marLeft w:val="0"/>
          <w:marRight w:val="0"/>
          <w:marTop w:val="0"/>
          <w:marBottom w:val="0"/>
          <w:divBdr>
            <w:top w:val="none" w:sz="0" w:space="0" w:color="auto"/>
            <w:left w:val="none" w:sz="0" w:space="0" w:color="auto"/>
            <w:bottom w:val="none" w:sz="0" w:space="0" w:color="auto"/>
            <w:right w:val="none" w:sz="0" w:space="0" w:color="auto"/>
          </w:divBdr>
        </w:div>
        <w:div w:id="1908539847">
          <w:marLeft w:val="0"/>
          <w:marRight w:val="0"/>
          <w:marTop w:val="0"/>
          <w:marBottom w:val="0"/>
          <w:divBdr>
            <w:top w:val="none" w:sz="0" w:space="0" w:color="auto"/>
            <w:left w:val="none" w:sz="0" w:space="0" w:color="auto"/>
            <w:bottom w:val="none" w:sz="0" w:space="0" w:color="auto"/>
            <w:right w:val="none" w:sz="0" w:space="0" w:color="auto"/>
          </w:divBdr>
        </w:div>
        <w:div w:id="1930193148">
          <w:marLeft w:val="0"/>
          <w:marRight w:val="0"/>
          <w:marTop w:val="0"/>
          <w:marBottom w:val="0"/>
          <w:divBdr>
            <w:top w:val="none" w:sz="0" w:space="0" w:color="auto"/>
            <w:left w:val="none" w:sz="0" w:space="0" w:color="auto"/>
            <w:bottom w:val="none" w:sz="0" w:space="0" w:color="auto"/>
            <w:right w:val="none" w:sz="0" w:space="0" w:color="auto"/>
          </w:divBdr>
        </w:div>
        <w:div w:id="1940522452">
          <w:marLeft w:val="0"/>
          <w:marRight w:val="0"/>
          <w:marTop w:val="0"/>
          <w:marBottom w:val="0"/>
          <w:divBdr>
            <w:top w:val="none" w:sz="0" w:space="0" w:color="auto"/>
            <w:left w:val="none" w:sz="0" w:space="0" w:color="auto"/>
            <w:bottom w:val="none" w:sz="0" w:space="0" w:color="auto"/>
            <w:right w:val="none" w:sz="0" w:space="0" w:color="auto"/>
          </w:divBdr>
        </w:div>
        <w:div w:id="1958679056">
          <w:marLeft w:val="0"/>
          <w:marRight w:val="0"/>
          <w:marTop w:val="0"/>
          <w:marBottom w:val="0"/>
          <w:divBdr>
            <w:top w:val="none" w:sz="0" w:space="0" w:color="auto"/>
            <w:left w:val="none" w:sz="0" w:space="0" w:color="auto"/>
            <w:bottom w:val="none" w:sz="0" w:space="0" w:color="auto"/>
            <w:right w:val="none" w:sz="0" w:space="0" w:color="auto"/>
          </w:divBdr>
        </w:div>
        <w:div w:id="1973243511">
          <w:marLeft w:val="0"/>
          <w:marRight w:val="0"/>
          <w:marTop w:val="0"/>
          <w:marBottom w:val="0"/>
          <w:divBdr>
            <w:top w:val="none" w:sz="0" w:space="0" w:color="auto"/>
            <w:left w:val="none" w:sz="0" w:space="0" w:color="auto"/>
            <w:bottom w:val="none" w:sz="0" w:space="0" w:color="auto"/>
            <w:right w:val="none" w:sz="0" w:space="0" w:color="auto"/>
          </w:divBdr>
        </w:div>
        <w:div w:id="1987739390">
          <w:marLeft w:val="0"/>
          <w:marRight w:val="0"/>
          <w:marTop w:val="0"/>
          <w:marBottom w:val="0"/>
          <w:divBdr>
            <w:top w:val="none" w:sz="0" w:space="0" w:color="auto"/>
            <w:left w:val="none" w:sz="0" w:space="0" w:color="auto"/>
            <w:bottom w:val="none" w:sz="0" w:space="0" w:color="auto"/>
            <w:right w:val="none" w:sz="0" w:space="0" w:color="auto"/>
          </w:divBdr>
        </w:div>
        <w:div w:id="1993171719">
          <w:marLeft w:val="0"/>
          <w:marRight w:val="0"/>
          <w:marTop w:val="0"/>
          <w:marBottom w:val="0"/>
          <w:divBdr>
            <w:top w:val="none" w:sz="0" w:space="0" w:color="auto"/>
            <w:left w:val="none" w:sz="0" w:space="0" w:color="auto"/>
            <w:bottom w:val="none" w:sz="0" w:space="0" w:color="auto"/>
            <w:right w:val="none" w:sz="0" w:space="0" w:color="auto"/>
          </w:divBdr>
        </w:div>
        <w:div w:id="2084528955">
          <w:marLeft w:val="0"/>
          <w:marRight w:val="0"/>
          <w:marTop w:val="0"/>
          <w:marBottom w:val="0"/>
          <w:divBdr>
            <w:top w:val="none" w:sz="0" w:space="0" w:color="auto"/>
            <w:left w:val="none" w:sz="0" w:space="0" w:color="auto"/>
            <w:bottom w:val="none" w:sz="0" w:space="0" w:color="auto"/>
            <w:right w:val="none" w:sz="0" w:space="0" w:color="auto"/>
          </w:divBdr>
        </w:div>
        <w:div w:id="2086953652">
          <w:marLeft w:val="0"/>
          <w:marRight w:val="0"/>
          <w:marTop w:val="0"/>
          <w:marBottom w:val="0"/>
          <w:divBdr>
            <w:top w:val="none" w:sz="0" w:space="0" w:color="auto"/>
            <w:left w:val="none" w:sz="0" w:space="0" w:color="auto"/>
            <w:bottom w:val="none" w:sz="0" w:space="0" w:color="auto"/>
            <w:right w:val="none" w:sz="0" w:space="0" w:color="auto"/>
          </w:divBdr>
        </w:div>
        <w:div w:id="2090350809">
          <w:marLeft w:val="0"/>
          <w:marRight w:val="0"/>
          <w:marTop w:val="0"/>
          <w:marBottom w:val="0"/>
          <w:divBdr>
            <w:top w:val="none" w:sz="0" w:space="0" w:color="auto"/>
            <w:left w:val="none" w:sz="0" w:space="0" w:color="auto"/>
            <w:bottom w:val="none" w:sz="0" w:space="0" w:color="auto"/>
            <w:right w:val="none" w:sz="0" w:space="0" w:color="auto"/>
          </w:divBdr>
        </w:div>
        <w:div w:id="2120443547">
          <w:marLeft w:val="0"/>
          <w:marRight w:val="0"/>
          <w:marTop w:val="0"/>
          <w:marBottom w:val="0"/>
          <w:divBdr>
            <w:top w:val="none" w:sz="0" w:space="0" w:color="auto"/>
            <w:left w:val="none" w:sz="0" w:space="0" w:color="auto"/>
            <w:bottom w:val="none" w:sz="0" w:space="0" w:color="auto"/>
            <w:right w:val="none" w:sz="0" w:space="0" w:color="auto"/>
          </w:divBdr>
        </w:div>
      </w:divsChild>
    </w:div>
    <w:div w:id="1677489933">
      <w:bodyDiv w:val="1"/>
      <w:marLeft w:val="0"/>
      <w:marRight w:val="0"/>
      <w:marTop w:val="0"/>
      <w:marBottom w:val="0"/>
      <w:divBdr>
        <w:top w:val="none" w:sz="0" w:space="0" w:color="auto"/>
        <w:left w:val="none" w:sz="0" w:space="0" w:color="auto"/>
        <w:bottom w:val="none" w:sz="0" w:space="0" w:color="auto"/>
        <w:right w:val="none" w:sz="0" w:space="0" w:color="auto"/>
      </w:divBdr>
      <w:divsChild>
        <w:div w:id="441191134">
          <w:marLeft w:val="0"/>
          <w:marRight w:val="0"/>
          <w:marTop w:val="0"/>
          <w:marBottom w:val="0"/>
          <w:divBdr>
            <w:top w:val="none" w:sz="0" w:space="0" w:color="auto"/>
            <w:left w:val="none" w:sz="0" w:space="0" w:color="auto"/>
            <w:bottom w:val="none" w:sz="0" w:space="0" w:color="auto"/>
            <w:right w:val="none" w:sz="0" w:space="0" w:color="auto"/>
          </w:divBdr>
        </w:div>
      </w:divsChild>
    </w:div>
    <w:div w:id="1678268651">
      <w:bodyDiv w:val="1"/>
      <w:marLeft w:val="0"/>
      <w:marRight w:val="0"/>
      <w:marTop w:val="0"/>
      <w:marBottom w:val="0"/>
      <w:divBdr>
        <w:top w:val="none" w:sz="0" w:space="0" w:color="auto"/>
        <w:left w:val="none" w:sz="0" w:space="0" w:color="auto"/>
        <w:bottom w:val="none" w:sz="0" w:space="0" w:color="auto"/>
        <w:right w:val="none" w:sz="0" w:space="0" w:color="auto"/>
      </w:divBdr>
      <w:divsChild>
        <w:div w:id="1351764576">
          <w:marLeft w:val="0"/>
          <w:marRight w:val="0"/>
          <w:marTop w:val="0"/>
          <w:marBottom w:val="0"/>
          <w:divBdr>
            <w:top w:val="none" w:sz="0" w:space="0" w:color="auto"/>
            <w:left w:val="none" w:sz="0" w:space="0" w:color="auto"/>
            <w:bottom w:val="none" w:sz="0" w:space="0" w:color="auto"/>
            <w:right w:val="none" w:sz="0" w:space="0" w:color="auto"/>
          </w:divBdr>
        </w:div>
      </w:divsChild>
    </w:div>
    <w:div w:id="1681004559">
      <w:bodyDiv w:val="1"/>
      <w:marLeft w:val="0"/>
      <w:marRight w:val="0"/>
      <w:marTop w:val="0"/>
      <w:marBottom w:val="0"/>
      <w:divBdr>
        <w:top w:val="none" w:sz="0" w:space="0" w:color="auto"/>
        <w:left w:val="none" w:sz="0" w:space="0" w:color="auto"/>
        <w:bottom w:val="none" w:sz="0" w:space="0" w:color="auto"/>
        <w:right w:val="none" w:sz="0" w:space="0" w:color="auto"/>
      </w:divBdr>
      <w:divsChild>
        <w:div w:id="67655796">
          <w:marLeft w:val="0"/>
          <w:marRight w:val="0"/>
          <w:marTop w:val="0"/>
          <w:marBottom w:val="0"/>
          <w:divBdr>
            <w:top w:val="none" w:sz="0" w:space="0" w:color="auto"/>
            <w:left w:val="none" w:sz="0" w:space="0" w:color="auto"/>
            <w:bottom w:val="none" w:sz="0" w:space="0" w:color="auto"/>
            <w:right w:val="none" w:sz="0" w:space="0" w:color="auto"/>
          </w:divBdr>
        </w:div>
        <w:div w:id="71591666">
          <w:marLeft w:val="0"/>
          <w:marRight w:val="0"/>
          <w:marTop w:val="0"/>
          <w:marBottom w:val="0"/>
          <w:divBdr>
            <w:top w:val="none" w:sz="0" w:space="0" w:color="auto"/>
            <w:left w:val="none" w:sz="0" w:space="0" w:color="auto"/>
            <w:bottom w:val="none" w:sz="0" w:space="0" w:color="auto"/>
            <w:right w:val="none" w:sz="0" w:space="0" w:color="auto"/>
          </w:divBdr>
        </w:div>
        <w:div w:id="109394507">
          <w:marLeft w:val="0"/>
          <w:marRight w:val="0"/>
          <w:marTop w:val="0"/>
          <w:marBottom w:val="0"/>
          <w:divBdr>
            <w:top w:val="none" w:sz="0" w:space="0" w:color="auto"/>
            <w:left w:val="none" w:sz="0" w:space="0" w:color="auto"/>
            <w:bottom w:val="none" w:sz="0" w:space="0" w:color="auto"/>
            <w:right w:val="none" w:sz="0" w:space="0" w:color="auto"/>
          </w:divBdr>
        </w:div>
        <w:div w:id="749735732">
          <w:marLeft w:val="0"/>
          <w:marRight w:val="0"/>
          <w:marTop w:val="0"/>
          <w:marBottom w:val="0"/>
          <w:divBdr>
            <w:top w:val="none" w:sz="0" w:space="0" w:color="auto"/>
            <w:left w:val="none" w:sz="0" w:space="0" w:color="auto"/>
            <w:bottom w:val="none" w:sz="0" w:space="0" w:color="auto"/>
            <w:right w:val="none" w:sz="0" w:space="0" w:color="auto"/>
          </w:divBdr>
        </w:div>
        <w:div w:id="771780431">
          <w:marLeft w:val="0"/>
          <w:marRight w:val="0"/>
          <w:marTop w:val="0"/>
          <w:marBottom w:val="0"/>
          <w:divBdr>
            <w:top w:val="none" w:sz="0" w:space="0" w:color="auto"/>
            <w:left w:val="none" w:sz="0" w:space="0" w:color="auto"/>
            <w:bottom w:val="none" w:sz="0" w:space="0" w:color="auto"/>
            <w:right w:val="none" w:sz="0" w:space="0" w:color="auto"/>
          </w:divBdr>
        </w:div>
        <w:div w:id="872309704">
          <w:marLeft w:val="0"/>
          <w:marRight w:val="0"/>
          <w:marTop w:val="0"/>
          <w:marBottom w:val="0"/>
          <w:divBdr>
            <w:top w:val="none" w:sz="0" w:space="0" w:color="auto"/>
            <w:left w:val="none" w:sz="0" w:space="0" w:color="auto"/>
            <w:bottom w:val="none" w:sz="0" w:space="0" w:color="auto"/>
            <w:right w:val="none" w:sz="0" w:space="0" w:color="auto"/>
          </w:divBdr>
        </w:div>
        <w:div w:id="1297949226">
          <w:marLeft w:val="0"/>
          <w:marRight w:val="0"/>
          <w:marTop w:val="0"/>
          <w:marBottom w:val="0"/>
          <w:divBdr>
            <w:top w:val="none" w:sz="0" w:space="0" w:color="auto"/>
            <w:left w:val="none" w:sz="0" w:space="0" w:color="auto"/>
            <w:bottom w:val="none" w:sz="0" w:space="0" w:color="auto"/>
            <w:right w:val="none" w:sz="0" w:space="0" w:color="auto"/>
          </w:divBdr>
        </w:div>
        <w:div w:id="1407729821">
          <w:marLeft w:val="0"/>
          <w:marRight w:val="0"/>
          <w:marTop w:val="0"/>
          <w:marBottom w:val="0"/>
          <w:divBdr>
            <w:top w:val="none" w:sz="0" w:space="0" w:color="auto"/>
            <w:left w:val="none" w:sz="0" w:space="0" w:color="auto"/>
            <w:bottom w:val="none" w:sz="0" w:space="0" w:color="auto"/>
            <w:right w:val="none" w:sz="0" w:space="0" w:color="auto"/>
          </w:divBdr>
        </w:div>
        <w:div w:id="1488740944">
          <w:marLeft w:val="0"/>
          <w:marRight w:val="0"/>
          <w:marTop w:val="0"/>
          <w:marBottom w:val="0"/>
          <w:divBdr>
            <w:top w:val="none" w:sz="0" w:space="0" w:color="auto"/>
            <w:left w:val="none" w:sz="0" w:space="0" w:color="auto"/>
            <w:bottom w:val="none" w:sz="0" w:space="0" w:color="auto"/>
            <w:right w:val="none" w:sz="0" w:space="0" w:color="auto"/>
          </w:divBdr>
        </w:div>
        <w:div w:id="1676883951">
          <w:marLeft w:val="0"/>
          <w:marRight w:val="0"/>
          <w:marTop w:val="0"/>
          <w:marBottom w:val="0"/>
          <w:divBdr>
            <w:top w:val="none" w:sz="0" w:space="0" w:color="auto"/>
            <w:left w:val="none" w:sz="0" w:space="0" w:color="auto"/>
            <w:bottom w:val="none" w:sz="0" w:space="0" w:color="auto"/>
            <w:right w:val="none" w:sz="0" w:space="0" w:color="auto"/>
          </w:divBdr>
        </w:div>
        <w:div w:id="1978483604">
          <w:marLeft w:val="0"/>
          <w:marRight w:val="0"/>
          <w:marTop w:val="0"/>
          <w:marBottom w:val="0"/>
          <w:divBdr>
            <w:top w:val="none" w:sz="0" w:space="0" w:color="auto"/>
            <w:left w:val="none" w:sz="0" w:space="0" w:color="auto"/>
            <w:bottom w:val="none" w:sz="0" w:space="0" w:color="auto"/>
            <w:right w:val="none" w:sz="0" w:space="0" w:color="auto"/>
          </w:divBdr>
        </w:div>
      </w:divsChild>
    </w:div>
    <w:div w:id="1683044803">
      <w:bodyDiv w:val="1"/>
      <w:marLeft w:val="0"/>
      <w:marRight w:val="0"/>
      <w:marTop w:val="0"/>
      <w:marBottom w:val="0"/>
      <w:divBdr>
        <w:top w:val="none" w:sz="0" w:space="0" w:color="auto"/>
        <w:left w:val="none" w:sz="0" w:space="0" w:color="auto"/>
        <w:bottom w:val="none" w:sz="0" w:space="0" w:color="auto"/>
        <w:right w:val="none" w:sz="0" w:space="0" w:color="auto"/>
      </w:divBdr>
      <w:divsChild>
        <w:div w:id="1096828015">
          <w:marLeft w:val="864"/>
          <w:marRight w:val="0"/>
          <w:marTop w:val="240"/>
          <w:marBottom w:val="40"/>
          <w:divBdr>
            <w:top w:val="none" w:sz="0" w:space="0" w:color="auto"/>
            <w:left w:val="none" w:sz="0" w:space="0" w:color="auto"/>
            <w:bottom w:val="none" w:sz="0" w:space="0" w:color="auto"/>
            <w:right w:val="none" w:sz="0" w:space="0" w:color="auto"/>
          </w:divBdr>
        </w:div>
      </w:divsChild>
    </w:div>
    <w:div w:id="1687245165">
      <w:bodyDiv w:val="1"/>
      <w:marLeft w:val="0"/>
      <w:marRight w:val="0"/>
      <w:marTop w:val="0"/>
      <w:marBottom w:val="0"/>
      <w:divBdr>
        <w:top w:val="none" w:sz="0" w:space="0" w:color="auto"/>
        <w:left w:val="none" w:sz="0" w:space="0" w:color="auto"/>
        <w:bottom w:val="none" w:sz="0" w:space="0" w:color="auto"/>
        <w:right w:val="none" w:sz="0" w:space="0" w:color="auto"/>
      </w:divBdr>
    </w:div>
    <w:div w:id="1688943052">
      <w:bodyDiv w:val="1"/>
      <w:marLeft w:val="0"/>
      <w:marRight w:val="0"/>
      <w:marTop w:val="0"/>
      <w:marBottom w:val="0"/>
      <w:divBdr>
        <w:top w:val="none" w:sz="0" w:space="0" w:color="auto"/>
        <w:left w:val="none" w:sz="0" w:space="0" w:color="auto"/>
        <w:bottom w:val="none" w:sz="0" w:space="0" w:color="auto"/>
        <w:right w:val="none" w:sz="0" w:space="0" w:color="auto"/>
      </w:divBdr>
      <w:divsChild>
        <w:div w:id="1979214241">
          <w:marLeft w:val="0"/>
          <w:marRight w:val="0"/>
          <w:marTop w:val="0"/>
          <w:marBottom w:val="0"/>
          <w:divBdr>
            <w:top w:val="none" w:sz="0" w:space="0" w:color="auto"/>
            <w:left w:val="none" w:sz="0" w:space="0" w:color="auto"/>
            <w:bottom w:val="none" w:sz="0" w:space="0" w:color="auto"/>
            <w:right w:val="none" w:sz="0" w:space="0" w:color="auto"/>
          </w:divBdr>
        </w:div>
      </w:divsChild>
    </w:div>
    <w:div w:id="1690376533">
      <w:bodyDiv w:val="1"/>
      <w:marLeft w:val="0"/>
      <w:marRight w:val="0"/>
      <w:marTop w:val="0"/>
      <w:marBottom w:val="0"/>
      <w:divBdr>
        <w:top w:val="none" w:sz="0" w:space="0" w:color="auto"/>
        <w:left w:val="none" w:sz="0" w:space="0" w:color="auto"/>
        <w:bottom w:val="none" w:sz="0" w:space="0" w:color="auto"/>
        <w:right w:val="none" w:sz="0" w:space="0" w:color="auto"/>
      </w:divBdr>
      <w:divsChild>
        <w:div w:id="984822356">
          <w:marLeft w:val="144"/>
          <w:marRight w:val="0"/>
          <w:marTop w:val="240"/>
          <w:marBottom w:val="40"/>
          <w:divBdr>
            <w:top w:val="none" w:sz="0" w:space="0" w:color="auto"/>
            <w:left w:val="none" w:sz="0" w:space="0" w:color="auto"/>
            <w:bottom w:val="none" w:sz="0" w:space="0" w:color="auto"/>
            <w:right w:val="none" w:sz="0" w:space="0" w:color="auto"/>
          </w:divBdr>
        </w:div>
        <w:div w:id="1629621928">
          <w:marLeft w:val="144"/>
          <w:marRight w:val="0"/>
          <w:marTop w:val="240"/>
          <w:marBottom w:val="40"/>
          <w:divBdr>
            <w:top w:val="none" w:sz="0" w:space="0" w:color="auto"/>
            <w:left w:val="none" w:sz="0" w:space="0" w:color="auto"/>
            <w:bottom w:val="none" w:sz="0" w:space="0" w:color="auto"/>
            <w:right w:val="none" w:sz="0" w:space="0" w:color="auto"/>
          </w:divBdr>
        </w:div>
      </w:divsChild>
    </w:div>
    <w:div w:id="1691223462">
      <w:bodyDiv w:val="1"/>
      <w:marLeft w:val="0"/>
      <w:marRight w:val="0"/>
      <w:marTop w:val="0"/>
      <w:marBottom w:val="0"/>
      <w:divBdr>
        <w:top w:val="none" w:sz="0" w:space="0" w:color="auto"/>
        <w:left w:val="none" w:sz="0" w:space="0" w:color="auto"/>
        <w:bottom w:val="none" w:sz="0" w:space="0" w:color="auto"/>
        <w:right w:val="none" w:sz="0" w:space="0" w:color="auto"/>
      </w:divBdr>
      <w:divsChild>
        <w:div w:id="55590579">
          <w:marLeft w:val="0"/>
          <w:marRight w:val="0"/>
          <w:marTop w:val="0"/>
          <w:marBottom w:val="0"/>
          <w:divBdr>
            <w:top w:val="none" w:sz="0" w:space="0" w:color="auto"/>
            <w:left w:val="none" w:sz="0" w:space="0" w:color="auto"/>
            <w:bottom w:val="none" w:sz="0" w:space="0" w:color="auto"/>
            <w:right w:val="none" w:sz="0" w:space="0" w:color="auto"/>
          </w:divBdr>
        </w:div>
      </w:divsChild>
    </w:div>
    <w:div w:id="1692223436">
      <w:bodyDiv w:val="1"/>
      <w:marLeft w:val="0"/>
      <w:marRight w:val="0"/>
      <w:marTop w:val="0"/>
      <w:marBottom w:val="0"/>
      <w:divBdr>
        <w:top w:val="none" w:sz="0" w:space="0" w:color="auto"/>
        <w:left w:val="none" w:sz="0" w:space="0" w:color="auto"/>
        <w:bottom w:val="none" w:sz="0" w:space="0" w:color="auto"/>
        <w:right w:val="none" w:sz="0" w:space="0" w:color="auto"/>
      </w:divBdr>
      <w:divsChild>
        <w:div w:id="1589079834">
          <w:marLeft w:val="0"/>
          <w:marRight w:val="0"/>
          <w:marTop w:val="0"/>
          <w:marBottom w:val="0"/>
          <w:divBdr>
            <w:top w:val="none" w:sz="0" w:space="0" w:color="auto"/>
            <w:left w:val="none" w:sz="0" w:space="0" w:color="auto"/>
            <w:bottom w:val="none" w:sz="0" w:space="0" w:color="auto"/>
            <w:right w:val="none" w:sz="0" w:space="0" w:color="auto"/>
          </w:divBdr>
        </w:div>
      </w:divsChild>
    </w:div>
    <w:div w:id="1697390020">
      <w:bodyDiv w:val="1"/>
      <w:marLeft w:val="0"/>
      <w:marRight w:val="0"/>
      <w:marTop w:val="0"/>
      <w:marBottom w:val="0"/>
      <w:divBdr>
        <w:top w:val="none" w:sz="0" w:space="0" w:color="auto"/>
        <w:left w:val="none" w:sz="0" w:space="0" w:color="auto"/>
        <w:bottom w:val="none" w:sz="0" w:space="0" w:color="auto"/>
        <w:right w:val="none" w:sz="0" w:space="0" w:color="auto"/>
      </w:divBdr>
      <w:divsChild>
        <w:div w:id="221798579">
          <w:marLeft w:val="0"/>
          <w:marRight w:val="0"/>
          <w:marTop w:val="0"/>
          <w:marBottom w:val="0"/>
          <w:divBdr>
            <w:top w:val="none" w:sz="0" w:space="0" w:color="auto"/>
            <w:left w:val="none" w:sz="0" w:space="0" w:color="auto"/>
            <w:bottom w:val="none" w:sz="0" w:space="0" w:color="auto"/>
            <w:right w:val="none" w:sz="0" w:space="0" w:color="auto"/>
          </w:divBdr>
        </w:div>
        <w:div w:id="486173126">
          <w:marLeft w:val="0"/>
          <w:marRight w:val="0"/>
          <w:marTop w:val="0"/>
          <w:marBottom w:val="0"/>
          <w:divBdr>
            <w:top w:val="none" w:sz="0" w:space="0" w:color="auto"/>
            <w:left w:val="none" w:sz="0" w:space="0" w:color="auto"/>
            <w:bottom w:val="none" w:sz="0" w:space="0" w:color="auto"/>
            <w:right w:val="none" w:sz="0" w:space="0" w:color="auto"/>
          </w:divBdr>
        </w:div>
        <w:div w:id="844443479">
          <w:marLeft w:val="0"/>
          <w:marRight w:val="0"/>
          <w:marTop w:val="0"/>
          <w:marBottom w:val="0"/>
          <w:divBdr>
            <w:top w:val="none" w:sz="0" w:space="0" w:color="auto"/>
            <w:left w:val="none" w:sz="0" w:space="0" w:color="auto"/>
            <w:bottom w:val="none" w:sz="0" w:space="0" w:color="auto"/>
            <w:right w:val="none" w:sz="0" w:space="0" w:color="auto"/>
          </w:divBdr>
        </w:div>
        <w:div w:id="1015961537">
          <w:marLeft w:val="0"/>
          <w:marRight w:val="0"/>
          <w:marTop w:val="0"/>
          <w:marBottom w:val="0"/>
          <w:divBdr>
            <w:top w:val="none" w:sz="0" w:space="0" w:color="auto"/>
            <w:left w:val="none" w:sz="0" w:space="0" w:color="auto"/>
            <w:bottom w:val="none" w:sz="0" w:space="0" w:color="auto"/>
            <w:right w:val="none" w:sz="0" w:space="0" w:color="auto"/>
          </w:divBdr>
        </w:div>
        <w:div w:id="1277566152">
          <w:marLeft w:val="0"/>
          <w:marRight w:val="0"/>
          <w:marTop w:val="0"/>
          <w:marBottom w:val="0"/>
          <w:divBdr>
            <w:top w:val="none" w:sz="0" w:space="0" w:color="auto"/>
            <w:left w:val="none" w:sz="0" w:space="0" w:color="auto"/>
            <w:bottom w:val="none" w:sz="0" w:space="0" w:color="auto"/>
            <w:right w:val="none" w:sz="0" w:space="0" w:color="auto"/>
          </w:divBdr>
        </w:div>
        <w:div w:id="1684017266">
          <w:marLeft w:val="0"/>
          <w:marRight w:val="0"/>
          <w:marTop w:val="0"/>
          <w:marBottom w:val="0"/>
          <w:divBdr>
            <w:top w:val="none" w:sz="0" w:space="0" w:color="auto"/>
            <w:left w:val="none" w:sz="0" w:space="0" w:color="auto"/>
            <w:bottom w:val="none" w:sz="0" w:space="0" w:color="auto"/>
            <w:right w:val="none" w:sz="0" w:space="0" w:color="auto"/>
          </w:divBdr>
        </w:div>
        <w:div w:id="1807310353">
          <w:marLeft w:val="0"/>
          <w:marRight w:val="0"/>
          <w:marTop w:val="0"/>
          <w:marBottom w:val="0"/>
          <w:divBdr>
            <w:top w:val="none" w:sz="0" w:space="0" w:color="auto"/>
            <w:left w:val="none" w:sz="0" w:space="0" w:color="auto"/>
            <w:bottom w:val="none" w:sz="0" w:space="0" w:color="auto"/>
            <w:right w:val="none" w:sz="0" w:space="0" w:color="auto"/>
          </w:divBdr>
        </w:div>
        <w:div w:id="1817642858">
          <w:marLeft w:val="0"/>
          <w:marRight w:val="0"/>
          <w:marTop w:val="0"/>
          <w:marBottom w:val="0"/>
          <w:divBdr>
            <w:top w:val="none" w:sz="0" w:space="0" w:color="auto"/>
            <w:left w:val="none" w:sz="0" w:space="0" w:color="auto"/>
            <w:bottom w:val="none" w:sz="0" w:space="0" w:color="auto"/>
            <w:right w:val="none" w:sz="0" w:space="0" w:color="auto"/>
          </w:divBdr>
        </w:div>
      </w:divsChild>
    </w:div>
    <w:div w:id="1699311286">
      <w:bodyDiv w:val="1"/>
      <w:marLeft w:val="0"/>
      <w:marRight w:val="0"/>
      <w:marTop w:val="0"/>
      <w:marBottom w:val="0"/>
      <w:divBdr>
        <w:top w:val="none" w:sz="0" w:space="0" w:color="auto"/>
        <w:left w:val="none" w:sz="0" w:space="0" w:color="auto"/>
        <w:bottom w:val="none" w:sz="0" w:space="0" w:color="auto"/>
        <w:right w:val="none" w:sz="0" w:space="0" w:color="auto"/>
      </w:divBdr>
      <w:divsChild>
        <w:div w:id="36857988">
          <w:marLeft w:val="0"/>
          <w:marRight w:val="0"/>
          <w:marTop w:val="0"/>
          <w:marBottom w:val="0"/>
          <w:divBdr>
            <w:top w:val="none" w:sz="0" w:space="0" w:color="auto"/>
            <w:left w:val="none" w:sz="0" w:space="0" w:color="auto"/>
            <w:bottom w:val="none" w:sz="0" w:space="0" w:color="auto"/>
            <w:right w:val="none" w:sz="0" w:space="0" w:color="auto"/>
          </w:divBdr>
        </w:div>
        <w:div w:id="185945445">
          <w:marLeft w:val="0"/>
          <w:marRight w:val="0"/>
          <w:marTop w:val="0"/>
          <w:marBottom w:val="0"/>
          <w:divBdr>
            <w:top w:val="none" w:sz="0" w:space="0" w:color="auto"/>
            <w:left w:val="none" w:sz="0" w:space="0" w:color="auto"/>
            <w:bottom w:val="none" w:sz="0" w:space="0" w:color="auto"/>
            <w:right w:val="none" w:sz="0" w:space="0" w:color="auto"/>
          </w:divBdr>
        </w:div>
        <w:div w:id="254628812">
          <w:marLeft w:val="0"/>
          <w:marRight w:val="0"/>
          <w:marTop w:val="0"/>
          <w:marBottom w:val="0"/>
          <w:divBdr>
            <w:top w:val="none" w:sz="0" w:space="0" w:color="auto"/>
            <w:left w:val="none" w:sz="0" w:space="0" w:color="auto"/>
            <w:bottom w:val="none" w:sz="0" w:space="0" w:color="auto"/>
            <w:right w:val="none" w:sz="0" w:space="0" w:color="auto"/>
          </w:divBdr>
        </w:div>
        <w:div w:id="279410497">
          <w:marLeft w:val="0"/>
          <w:marRight w:val="0"/>
          <w:marTop w:val="0"/>
          <w:marBottom w:val="0"/>
          <w:divBdr>
            <w:top w:val="none" w:sz="0" w:space="0" w:color="auto"/>
            <w:left w:val="none" w:sz="0" w:space="0" w:color="auto"/>
            <w:bottom w:val="none" w:sz="0" w:space="0" w:color="auto"/>
            <w:right w:val="none" w:sz="0" w:space="0" w:color="auto"/>
          </w:divBdr>
        </w:div>
        <w:div w:id="341398170">
          <w:marLeft w:val="0"/>
          <w:marRight w:val="0"/>
          <w:marTop w:val="0"/>
          <w:marBottom w:val="0"/>
          <w:divBdr>
            <w:top w:val="none" w:sz="0" w:space="0" w:color="auto"/>
            <w:left w:val="none" w:sz="0" w:space="0" w:color="auto"/>
            <w:bottom w:val="none" w:sz="0" w:space="0" w:color="auto"/>
            <w:right w:val="none" w:sz="0" w:space="0" w:color="auto"/>
          </w:divBdr>
        </w:div>
        <w:div w:id="499394217">
          <w:marLeft w:val="0"/>
          <w:marRight w:val="0"/>
          <w:marTop w:val="0"/>
          <w:marBottom w:val="0"/>
          <w:divBdr>
            <w:top w:val="none" w:sz="0" w:space="0" w:color="auto"/>
            <w:left w:val="none" w:sz="0" w:space="0" w:color="auto"/>
            <w:bottom w:val="none" w:sz="0" w:space="0" w:color="auto"/>
            <w:right w:val="none" w:sz="0" w:space="0" w:color="auto"/>
          </w:divBdr>
        </w:div>
        <w:div w:id="563832513">
          <w:marLeft w:val="0"/>
          <w:marRight w:val="0"/>
          <w:marTop w:val="0"/>
          <w:marBottom w:val="0"/>
          <w:divBdr>
            <w:top w:val="none" w:sz="0" w:space="0" w:color="auto"/>
            <w:left w:val="none" w:sz="0" w:space="0" w:color="auto"/>
            <w:bottom w:val="none" w:sz="0" w:space="0" w:color="auto"/>
            <w:right w:val="none" w:sz="0" w:space="0" w:color="auto"/>
          </w:divBdr>
        </w:div>
        <w:div w:id="708606413">
          <w:marLeft w:val="0"/>
          <w:marRight w:val="0"/>
          <w:marTop w:val="0"/>
          <w:marBottom w:val="0"/>
          <w:divBdr>
            <w:top w:val="none" w:sz="0" w:space="0" w:color="auto"/>
            <w:left w:val="none" w:sz="0" w:space="0" w:color="auto"/>
            <w:bottom w:val="none" w:sz="0" w:space="0" w:color="auto"/>
            <w:right w:val="none" w:sz="0" w:space="0" w:color="auto"/>
          </w:divBdr>
        </w:div>
        <w:div w:id="741410093">
          <w:marLeft w:val="0"/>
          <w:marRight w:val="0"/>
          <w:marTop w:val="0"/>
          <w:marBottom w:val="0"/>
          <w:divBdr>
            <w:top w:val="none" w:sz="0" w:space="0" w:color="auto"/>
            <w:left w:val="none" w:sz="0" w:space="0" w:color="auto"/>
            <w:bottom w:val="none" w:sz="0" w:space="0" w:color="auto"/>
            <w:right w:val="none" w:sz="0" w:space="0" w:color="auto"/>
          </w:divBdr>
        </w:div>
        <w:div w:id="786696879">
          <w:marLeft w:val="0"/>
          <w:marRight w:val="0"/>
          <w:marTop w:val="0"/>
          <w:marBottom w:val="0"/>
          <w:divBdr>
            <w:top w:val="none" w:sz="0" w:space="0" w:color="auto"/>
            <w:left w:val="none" w:sz="0" w:space="0" w:color="auto"/>
            <w:bottom w:val="none" w:sz="0" w:space="0" w:color="auto"/>
            <w:right w:val="none" w:sz="0" w:space="0" w:color="auto"/>
          </w:divBdr>
        </w:div>
        <w:div w:id="810441423">
          <w:marLeft w:val="0"/>
          <w:marRight w:val="0"/>
          <w:marTop w:val="0"/>
          <w:marBottom w:val="0"/>
          <w:divBdr>
            <w:top w:val="none" w:sz="0" w:space="0" w:color="auto"/>
            <w:left w:val="none" w:sz="0" w:space="0" w:color="auto"/>
            <w:bottom w:val="none" w:sz="0" w:space="0" w:color="auto"/>
            <w:right w:val="none" w:sz="0" w:space="0" w:color="auto"/>
          </w:divBdr>
        </w:div>
        <w:div w:id="834953478">
          <w:marLeft w:val="0"/>
          <w:marRight w:val="0"/>
          <w:marTop w:val="0"/>
          <w:marBottom w:val="0"/>
          <w:divBdr>
            <w:top w:val="none" w:sz="0" w:space="0" w:color="auto"/>
            <w:left w:val="none" w:sz="0" w:space="0" w:color="auto"/>
            <w:bottom w:val="none" w:sz="0" w:space="0" w:color="auto"/>
            <w:right w:val="none" w:sz="0" w:space="0" w:color="auto"/>
          </w:divBdr>
        </w:div>
        <w:div w:id="860824796">
          <w:marLeft w:val="0"/>
          <w:marRight w:val="0"/>
          <w:marTop w:val="0"/>
          <w:marBottom w:val="0"/>
          <w:divBdr>
            <w:top w:val="none" w:sz="0" w:space="0" w:color="auto"/>
            <w:left w:val="none" w:sz="0" w:space="0" w:color="auto"/>
            <w:bottom w:val="none" w:sz="0" w:space="0" w:color="auto"/>
            <w:right w:val="none" w:sz="0" w:space="0" w:color="auto"/>
          </w:divBdr>
        </w:div>
        <w:div w:id="967011968">
          <w:marLeft w:val="0"/>
          <w:marRight w:val="0"/>
          <w:marTop w:val="0"/>
          <w:marBottom w:val="0"/>
          <w:divBdr>
            <w:top w:val="none" w:sz="0" w:space="0" w:color="auto"/>
            <w:left w:val="none" w:sz="0" w:space="0" w:color="auto"/>
            <w:bottom w:val="none" w:sz="0" w:space="0" w:color="auto"/>
            <w:right w:val="none" w:sz="0" w:space="0" w:color="auto"/>
          </w:divBdr>
        </w:div>
        <w:div w:id="1011643205">
          <w:marLeft w:val="0"/>
          <w:marRight w:val="0"/>
          <w:marTop w:val="0"/>
          <w:marBottom w:val="0"/>
          <w:divBdr>
            <w:top w:val="none" w:sz="0" w:space="0" w:color="auto"/>
            <w:left w:val="none" w:sz="0" w:space="0" w:color="auto"/>
            <w:bottom w:val="none" w:sz="0" w:space="0" w:color="auto"/>
            <w:right w:val="none" w:sz="0" w:space="0" w:color="auto"/>
          </w:divBdr>
        </w:div>
        <w:div w:id="1105419733">
          <w:marLeft w:val="0"/>
          <w:marRight w:val="0"/>
          <w:marTop w:val="0"/>
          <w:marBottom w:val="0"/>
          <w:divBdr>
            <w:top w:val="none" w:sz="0" w:space="0" w:color="auto"/>
            <w:left w:val="none" w:sz="0" w:space="0" w:color="auto"/>
            <w:bottom w:val="none" w:sz="0" w:space="0" w:color="auto"/>
            <w:right w:val="none" w:sz="0" w:space="0" w:color="auto"/>
          </w:divBdr>
        </w:div>
        <w:div w:id="1134179799">
          <w:marLeft w:val="0"/>
          <w:marRight w:val="0"/>
          <w:marTop w:val="0"/>
          <w:marBottom w:val="0"/>
          <w:divBdr>
            <w:top w:val="none" w:sz="0" w:space="0" w:color="auto"/>
            <w:left w:val="none" w:sz="0" w:space="0" w:color="auto"/>
            <w:bottom w:val="none" w:sz="0" w:space="0" w:color="auto"/>
            <w:right w:val="none" w:sz="0" w:space="0" w:color="auto"/>
          </w:divBdr>
        </w:div>
        <w:div w:id="1202018772">
          <w:marLeft w:val="0"/>
          <w:marRight w:val="0"/>
          <w:marTop w:val="0"/>
          <w:marBottom w:val="0"/>
          <w:divBdr>
            <w:top w:val="none" w:sz="0" w:space="0" w:color="auto"/>
            <w:left w:val="none" w:sz="0" w:space="0" w:color="auto"/>
            <w:bottom w:val="none" w:sz="0" w:space="0" w:color="auto"/>
            <w:right w:val="none" w:sz="0" w:space="0" w:color="auto"/>
          </w:divBdr>
        </w:div>
        <w:div w:id="1253122688">
          <w:marLeft w:val="0"/>
          <w:marRight w:val="0"/>
          <w:marTop w:val="0"/>
          <w:marBottom w:val="0"/>
          <w:divBdr>
            <w:top w:val="none" w:sz="0" w:space="0" w:color="auto"/>
            <w:left w:val="none" w:sz="0" w:space="0" w:color="auto"/>
            <w:bottom w:val="none" w:sz="0" w:space="0" w:color="auto"/>
            <w:right w:val="none" w:sz="0" w:space="0" w:color="auto"/>
          </w:divBdr>
        </w:div>
        <w:div w:id="1258831338">
          <w:marLeft w:val="0"/>
          <w:marRight w:val="0"/>
          <w:marTop w:val="0"/>
          <w:marBottom w:val="0"/>
          <w:divBdr>
            <w:top w:val="none" w:sz="0" w:space="0" w:color="auto"/>
            <w:left w:val="none" w:sz="0" w:space="0" w:color="auto"/>
            <w:bottom w:val="none" w:sz="0" w:space="0" w:color="auto"/>
            <w:right w:val="none" w:sz="0" w:space="0" w:color="auto"/>
          </w:divBdr>
        </w:div>
        <w:div w:id="1298335469">
          <w:marLeft w:val="0"/>
          <w:marRight w:val="0"/>
          <w:marTop w:val="0"/>
          <w:marBottom w:val="0"/>
          <w:divBdr>
            <w:top w:val="none" w:sz="0" w:space="0" w:color="auto"/>
            <w:left w:val="none" w:sz="0" w:space="0" w:color="auto"/>
            <w:bottom w:val="none" w:sz="0" w:space="0" w:color="auto"/>
            <w:right w:val="none" w:sz="0" w:space="0" w:color="auto"/>
          </w:divBdr>
        </w:div>
        <w:div w:id="1348753002">
          <w:marLeft w:val="0"/>
          <w:marRight w:val="0"/>
          <w:marTop w:val="0"/>
          <w:marBottom w:val="0"/>
          <w:divBdr>
            <w:top w:val="none" w:sz="0" w:space="0" w:color="auto"/>
            <w:left w:val="none" w:sz="0" w:space="0" w:color="auto"/>
            <w:bottom w:val="none" w:sz="0" w:space="0" w:color="auto"/>
            <w:right w:val="none" w:sz="0" w:space="0" w:color="auto"/>
          </w:divBdr>
        </w:div>
        <w:div w:id="1405101542">
          <w:marLeft w:val="0"/>
          <w:marRight w:val="0"/>
          <w:marTop w:val="0"/>
          <w:marBottom w:val="0"/>
          <w:divBdr>
            <w:top w:val="none" w:sz="0" w:space="0" w:color="auto"/>
            <w:left w:val="none" w:sz="0" w:space="0" w:color="auto"/>
            <w:bottom w:val="none" w:sz="0" w:space="0" w:color="auto"/>
            <w:right w:val="none" w:sz="0" w:space="0" w:color="auto"/>
          </w:divBdr>
        </w:div>
        <w:div w:id="1558054463">
          <w:marLeft w:val="0"/>
          <w:marRight w:val="0"/>
          <w:marTop w:val="0"/>
          <w:marBottom w:val="0"/>
          <w:divBdr>
            <w:top w:val="none" w:sz="0" w:space="0" w:color="auto"/>
            <w:left w:val="none" w:sz="0" w:space="0" w:color="auto"/>
            <w:bottom w:val="none" w:sz="0" w:space="0" w:color="auto"/>
            <w:right w:val="none" w:sz="0" w:space="0" w:color="auto"/>
          </w:divBdr>
        </w:div>
        <w:div w:id="1594506462">
          <w:marLeft w:val="0"/>
          <w:marRight w:val="0"/>
          <w:marTop w:val="0"/>
          <w:marBottom w:val="0"/>
          <w:divBdr>
            <w:top w:val="none" w:sz="0" w:space="0" w:color="auto"/>
            <w:left w:val="none" w:sz="0" w:space="0" w:color="auto"/>
            <w:bottom w:val="none" w:sz="0" w:space="0" w:color="auto"/>
            <w:right w:val="none" w:sz="0" w:space="0" w:color="auto"/>
          </w:divBdr>
        </w:div>
        <w:div w:id="1723210758">
          <w:marLeft w:val="0"/>
          <w:marRight w:val="0"/>
          <w:marTop w:val="0"/>
          <w:marBottom w:val="0"/>
          <w:divBdr>
            <w:top w:val="none" w:sz="0" w:space="0" w:color="auto"/>
            <w:left w:val="none" w:sz="0" w:space="0" w:color="auto"/>
            <w:bottom w:val="none" w:sz="0" w:space="0" w:color="auto"/>
            <w:right w:val="none" w:sz="0" w:space="0" w:color="auto"/>
          </w:divBdr>
        </w:div>
        <w:div w:id="1748962357">
          <w:marLeft w:val="0"/>
          <w:marRight w:val="0"/>
          <w:marTop w:val="0"/>
          <w:marBottom w:val="0"/>
          <w:divBdr>
            <w:top w:val="none" w:sz="0" w:space="0" w:color="auto"/>
            <w:left w:val="none" w:sz="0" w:space="0" w:color="auto"/>
            <w:bottom w:val="none" w:sz="0" w:space="0" w:color="auto"/>
            <w:right w:val="none" w:sz="0" w:space="0" w:color="auto"/>
          </w:divBdr>
        </w:div>
        <w:div w:id="1849059348">
          <w:marLeft w:val="0"/>
          <w:marRight w:val="0"/>
          <w:marTop w:val="0"/>
          <w:marBottom w:val="0"/>
          <w:divBdr>
            <w:top w:val="none" w:sz="0" w:space="0" w:color="auto"/>
            <w:left w:val="none" w:sz="0" w:space="0" w:color="auto"/>
            <w:bottom w:val="none" w:sz="0" w:space="0" w:color="auto"/>
            <w:right w:val="none" w:sz="0" w:space="0" w:color="auto"/>
          </w:divBdr>
        </w:div>
        <w:div w:id="1862818019">
          <w:marLeft w:val="0"/>
          <w:marRight w:val="0"/>
          <w:marTop w:val="0"/>
          <w:marBottom w:val="0"/>
          <w:divBdr>
            <w:top w:val="none" w:sz="0" w:space="0" w:color="auto"/>
            <w:left w:val="none" w:sz="0" w:space="0" w:color="auto"/>
            <w:bottom w:val="none" w:sz="0" w:space="0" w:color="auto"/>
            <w:right w:val="none" w:sz="0" w:space="0" w:color="auto"/>
          </w:divBdr>
        </w:div>
      </w:divsChild>
    </w:div>
    <w:div w:id="1700352213">
      <w:bodyDiv w:val="1"/>
      <w:marLeft w:val="0"/>
      <w:marRight w:val="0"/>
      <w:marTop w:val="0"/>
      <w:marBottom w:val="0"/>
      <w:divBdr>
        <w:top w:val="none" w:sz="0" w:space="0" w:color="auto"/>
        <w:left w:val="none" w:sz="0" w:space="0" w:color="auto"/>
        <w:bottom w:val="none" w:sz="0" w:space="0" w:color="auto"/>
        <w:right w:val="none" w:sz="0" w:space="0" w:color="auto"/>
      </w:divBdr>
    </w:div>
    <w:div w:id="1703628772">
      <w:bodyDiv w:val="1"/>
      <w:marLeft w:val="0"/>
      <w:marRight w:val="0"/>
      <w:marTop w:val="0"/>
      <w:marBottom w:val="0"/>
      <w:divBdr>
        <w:top w:val="none" w:sz="0" w:space="0" w:color="auto"/>
        <w:left w:val="none" w:sz="0" w:space="0" w:color="auto"/>
        <w:bottom w:val="none" w:sz="0" w:space="0" w:color="auto"/>
        <w:right w:val="none" w:sz="0" w:space="0" w:color="auto"/>
      </w:divBdr>
      <w:divsChild>
        <w:div w:id="98525093">
          <w:marLeft w:val="0"/>
          <w:marRight w:val="0"/>
          <w:marTop w:val="0"/>
          <w:marBottom w:val="0"/>
          <w:divBdr>
            <w:top w:val="none" w:sz="0" w:space="0" w:color="auto"/>
            <w:left w:val="none" w:sz="0" w:space="0" w:color="auto"/>
            <w:bottom w:val="none" w:sz="0" w:space="0" w:color="auto"/>
            <w:right w:val="none" w:sz="0" w:space="0" w:color="auto"/>
          </w:divBdr>
        </w:div>
        <w:div w:id="205796221">
          <w:marLeft w:val="0"/>
          <w:marRight w:val="0"/>
          <w:marTop w:val="0"/>
          <w:marBottom w:val="0"/>
          <w:divBdr>
            <w:top w:val="none" w:sz="0" w:space="0" w:color="auto"/>
            <w:left w:val="none" w:sz="0" w:space="0" w:color="auto"/>
            <w:bottom w:val="none" w:sz="0" w:space="0" w:color="auto"/>
            <w:right w:val="none" w:sz="0" w:space="0" w:color="auto"/>
          </w:divBdr>
        </w:div>
        <w:div w:id="1031298138">
          <w:marLeft w:val="0"/>
          <w:marRight w:val="0"/>
          <w:marTop w:val="0"/>
          <w:marBottom w:val="0"/>
          <w:divBdr>
            <w:top w:val="none" w:sz="0" w:space="0" w:color="auto"/>
            <w:left w:val="none" w:sz="0" w:space="0" w:color="auto"/>
            <w:bottom w:val="none" w:sz="0" w:space="0" w:color="auto"/>
            <w:right w:val="none" w:sz="0" w:space="0" w:color="auto"/>
          </w:divBdr>
        </w:div>
        <w:div w:id="1104767654">
          <w:marLeft w:val="0"/>
          <w:marRight w:val="0"/>
          <w:marTop w:val="0"/>
          <w:marBottom w:val="0"/>
          <w:divBdr>
            <w:top w:val="none" w:sz="0" w:space="0" w:color="auto"/>
            <w:left w:val="none" w:sz="0" w:space="0" w:color="auto"/>
            <w:bottom w:val="none" w:sz="0" w:space="0" w:color="auto"/>
            <w:right w:val="none" w:sz="0" w:space="0" w:color="auto"/>
          </w:divBdr>
        </w:div>
        <w:div w:id="1204751173">
          <w:marLeft w:val="0"/>
          <w:marRight w:val="0"/>
          <w:marTop w:val="0"/>
          <w:marBottom w:val="0"/>
          <w:divBdr>
            <w:top w:val="none" w:sz="0" w:space="0" w:color="auto"/>
            <w:left w:val="none" w:sz="0" w:space="0" w:color="auto"/>
            <w:bottom w:val="none" w:sz="0" w:space="0" w:color="auto"/>
            <w:right w:val="none" w:sz="0" w:space="0" w:color="auto"/>
          </w:divBdr>
        </w:div>
        <w:div w:id="1586645977">
          <w:marLeft w:val="0"/>
          <w:marRight w:val="0"/>
          <w:marTop w:val="0"/>
          <w:marBottom w:val="0"/>
          <w:divBdr>
            <w:top w:val="none" w:sz="0" w:space="0" w:color="auto"/>
            <w:left w:val="none" w:sz="0" w:space="0" w:color="auto"/>
            <w:bottom w:val="none" w:sz="0" w:space="0" w:color="auto"/>
            <w:right w:val="none" w:sz="0" w:space="0" w:color="auto"/>
          </w:divBdr>
        </w:div>
        <w:div w:id="1715544945">
          <w:marLeft w:val="0"/>
          <w:marRight w:val="0"/>
          <w:marTop w:val="0"/>
          <w:marBottom w:val="0"/>
          <w:divBdr>
            <w:top w:val="none" w:sz="0" w:space="0" w:color="auto"/>
            <w:left w:val="none" w:sz="0" w:space="0" w:color="auto"/>
            <w:bottom w:val="none" w:sz="0" w:space="0" w:color="auto"/>
            <w:right w:val="none" w:sz="0" w:space="0" w:color="auto"/>
          </w:divBdr>
        </w:div>
        <w:div w:id="1877884032">
          <w:marLeft w:val="0"/>
          <w:marRight w:val="0"/>
          <w:marTop w:val="0"/>
          <w:marBottom w:val="0"/>
          <w:divBdr>
            <w:top w:val="none" w:sz="0" w:space="0" w:color="auto"/>
            <w:left w:val="none" w:sz="0" w:space="0" w:color="auto"/>
            <w:bottom w:val="none" w:sz="0" w:space="0" w:color="auto"/>
            <w:right w:val="none" w:sz="0" w:space="0" w:color="auto"/>
          </w:divBdr>
        </w:div>
        <w:div w:id="1919974518">
          <w:marLeft w:val="0"/>
          <w:marRight w:val="0"/>
          <w:marTop w:val="0"/>
          <w:marBottom w:val="0"/>
          <w:divBdr>
            <w:top w:val="none" w:sz="0" w:space="0" w:color="auto"/>
            <w:left w:val="none" w:sz="0" w:space="0" w:color="auto"/>
            <w:bottom w:val="none" w:sz="0" w:space="0" w:color="auto"/>
            <w:right w:val="none" w:sz="0" w:space="0" w:color="auto"/>
          </w:divBdr>
        </w:div>
        <w:div w:id="2088912803">
          <w:marLeft w:val="0"/>
          <w:marRight w:val="0"/>
          <w:marTop w:val="0"/>
          <w:marBottom w:val="0"/>
          <w:divBdr>
            <w:top w:val="none" w:sz="0" w:space="0" w:color="auto"/>
            <w:left w:val="none" w:sz="0" w:space="0" w:color="auto"/>
            <w:bottom w:val="none" w:sz="0" w:space="0" w:color="auto"/>
            <w:right w:val="none" w:sz="0" w:space="0" w:color="auto"/>
          </w:divBdr>
        </w:div>
      </w:divsChild>
    </w:div>
    <w:div w:id="1711295917">
      <w:bodyDiv w:val="1"/>
      <w:marLeft w:val="0"/>
      <w:marRight w:val="0"/>
      <w:marTop w:val="0"/>
      <w:marBottom w:val="0"/>
      <w:divBdr>
        <w:top w:val="none" w:sz="0" w:space="0" w:color="auto"/>
        <w:left w:val="none" w:sz="0" w:space="0" w:color="auto"/>
        <w:bottom w:val="none" w:sz="0" w:space="0" w:color="auto"/>
        <w:right w:val="none" w:sz="0" w:space="0" w:color="auto"/>
      </w:divBdr>
    </w:div>
    <w:div w:id="1713773078">
      <w:bodyDiv w:val="1"/>
      <w:marLeft w:val="0"/>
      <w:marRight w:val="0"/>
      <w:marTop w:val="0"/>
      <w:marBottom w:val="0"/>
      <w:divBdr>
        <w:top w:val="none" w:sz="0" w:space="0" w:color="auto"/>
        <w:left w:val="none" w:sz="0" w:space="0" w:color="auto"/>
        <w:bottom w:val="none" w:sz="0" w:space="0" w:color="auto"/>
        <w:right w:val="none" w:sz="0" w:space="0" w:color="auto"/>
      </w:divBdr>
      <w:divsChild>
        <w:div w:id="960302851">
          <w:marLeft w:val="0"/>
          <w:marRight w:val="0"/>
          <w:marTop w:val="0"/>
          <w:marBottom w:val="0"/>
          <w:divBdr>
            <w:top w:val="none" w:sz="0" w:space="0" w:color="auto"/>
            <w:left w:val="none" w:sz="0" w:space="0" w:color="auto"/>
            <w:bottom w:val="none" w:sz="0" w:space="0" w:color="auto"/>
            <w:right w:val="none" w:sz="0" w:space="0" w:color="auto"/>
          </w:divBdr>
        </w:div>
      </w:divsChild>
    </w:div>
    <w:div w:id="1714191689">
      <w:bodyDiv w:val="1"/>
      <w:marLeft w:val="0"/>
      <w:marRight w:val="0"/>
      <w:marTop w:val="0"/>
      <w:marBottom w:val="0"/>
      <w:divBdr>
        <w:top w:val="none" w:sz="0" w:space="0" w:color="auto"/>
        <w:left w:val="none" w:sz="0" w:space="0" w:color="auto"/>
        <w:bottom w:val="none" w:sz="0" w:space="0" w:color="auto"/>
        <w:right w:val="none" w:sz="0" w:space="0" w:color="auto"/>
      </w:divBdr>
      <w:divsChild>
        <w:div w:id="77796665">
          <w:marLeft w:val="0"/>
          <w:marRight w:val="0"/>
          <w:marTop w:val="0"/>
          <w:marBottom w:val="0"/>
          <w:divBdr>
            <w:top w:val="none" w:sz="0" w:space="0" w:color="auto"/>
            <w:left w:val="none" w:sz="0" w:space="0" w:color="auto"/>
            <w:bottom w:val="none" w:sz="0" w:space="0" w:color="auto"/>
            <w:right w:val="none" w:sz="0" w:space="0" w:color="auto"/>
          </w:divBdr>
        </w:div>
        <w:div w:id="219169788">
          <w:marLeft w:val="0"/>
          <w:marRight w:val="0"/>
          <w:marTop w:val="0"/>
          <w:marBottom w:val="0"/>
          <w:divBdr>
            <w:top w:val="none" w:sz="0" w:space="0" w:color="auto"/>
            <w:left w:val="none" w:sz="0" w:space="0" w:color="auto"/>
            <w:bottom w:val="none" w:sz="0" w:space="0" w:color="auto"/>
            <w:right w:val="none" w:sz="0" w:space="0" w:color="auto"/>
          </w:divBdr>
        </w:div>
        <w:div w:id="233469241">
          <w:marLeft w:val="0"/>
          <w:marRight w:val="0"/>
          <w:marTop w:val="0"/>
          <w:marBottom w:val="0"/>
          <w:divBdr>
            <w:top w:val="none" w:sz="0" w:space="0" w:color="auto"/>
            <w:left w:val="none" w:sz="0" w:space="0" w:color="auto"/>
            <w:bottom w:val="none" w:sz="0" w:space="0" w:color="auto"/>
            <w:right w:val="none" w:sz="0" w:space="0" w:color="auto"/>
          </w:divBdr>
        </w:div>
        <w:div w:id="275719774">
          <w:marLeft w:val="0"/>
          <w:marRight w:val="0"/>
          <w:marTop w:val="0"/>
          <w:marBottom w:val="0"/>
          <w:divBdr>
            <w:top w:val="none" w:sz="0" w:space="0" w:color="auto"/>
            <w:left w:val="none" w:sz="0" w:space="0" w:color="auto"/>
            <w:bottom w:val="none" w:sz="0" w:space="0" w:color="auto"/>
            <w:right w:val="none" w:sz="0" w:space="0" w:color="auto"/>
          </w:divBdr>
        </w:div>
        <w:div w:id="363940753">
          <w:marLeft w:val="0"/>
          <w:marRight w:val="0"/>
          <w:marTop w:val="0"/>
          <w:marBottom w:val="0"/>
          <w:divBdr>
            <w:top w:val="none" w:sz="0" w:space="0" w:color="auto"/>
            <w:left w:val="none" w:sz="0" w:space="0" w:color="auto"/>
            <w:bottom w:val="none" w:sz="0" w:space="0" w:color="auto"/>
            <w:right w:val="none" w:sz="0" w:space="0" w:color="auto"/>
          </w:divBdr>
        </w:div>
        <w:div w:id="824932943">
          <w:marLeft w:val="0"/>
          <w:marRight w:val="0"/>
          <w:marTop w:val="0"/>
          <w:marBottom w:val="0"/>
          <w:divBdr>
            <w:top w:val="none" w:sz="0" w:space="0" w:color="auto"/>
            <w:left w:val="none" w:sz="0" w:space="0" w:color="auto"/>
            <w:bottom w:val="none" w:sz="0" w:space="0" w:color="auto"/>
            <w:right w:val="none" w:sz="0" w:space="0" w:color="auto"/>
          </w:divBdr>
        </w:div>
        <w:div w:id="1035933176">
          <w:marLeft w:val="0"/>
          <w:marRight w:val="0"/>
          <w:marTop w:val="0"/>
          <w:marBottom w:val="0"/>
          <w:divBdr>
            <w:top w:val="none" w:sz="0" w:space="0" w:color="auto"/>
            <w:left w:val="none" w:sz="0" w:space="0" w:color="auto"/>
            <w:bottom w:val="none" w:sz="0" w:space="0" w:color="auto"/>
            <w:right w:val="none" w:sz="0" w:space="0" w:color="auto"/>
          </w:divBdr>
        </w:div>
        <w:div w:id="1253002979">
          <w:marLeft w:val="0"/>
          <w:marRight w:val="0"/>
          <w:marTop w:val="0"/>
          <w:marBottom w:val="0"/>
          <w:divBdr>
            <w:top w:val="none" w:sz="0" w:space="0" w:color="auto"/>
            <w:left w:val="none" w:sz="0" w:space="0" w:color="auto"/>
            <w:bottom w:val="none" w:sz="0" w:space="0" w:color="auto"/>
            <w:right w:val="none" w:sz="0" w:space="0" w:color="auto"/>
          </w:divBdr>
        </w:div>
        <w:div w:id="1291404260">
          <w:marLeft w:val="0"/>
          <w:marRight w:val="0"/>
          <w:marTop w:val="0"/>
          <w:marBottom w:val="0"/>
          <w:divBdr>
            <w:top w:val="none" w:sz="0" w:space="0" w:color="auto"/>
            <w:left w:val="none" w:sz="0" w:space="0" w:color="auto"/>
            <w:bottom w:val="none" w:sz="0" w:space="0" w:color="auto"/>
            <w:right w:val="none" w:sz="0" w:space="0" w:color="auto"/>
          </w:divBdr>
        </w:div>
        <w:div w:id="1372993544">
          <w:marLeft w:val="0"/>
          <w:marRight w:val="0"/>
          <w:marTop w:val="0"/>
          <w:marBottom w:val="0"/>
          <w:divBdr>
            <w:top w:val="none" w:sz="0" w:space="0" w:color="auto"/>
            <w:left w:val="none" w:sz="0" w:space="0" w:color="auto"/>
            <w:bottom w:val="none" w:sz="0" w:space="0" w:color="auto"/>
            <w:right w:val="none" w:sz="0" w:space="0" w:color="auto"/>
          </w:divBdr>
        </w:div>
        <w:div w:id="1818649217">
          <w:marLeft w:val="0"/>
          <w:marRight w:val="0"/>
          <w:marTop w:val="0"/>
          <w:marBottom w:val="0"/>
          <w:divBdr>
            <w:top w:val="none" w:sz="0" w:space="0" w:color="auto"/>
            <w:left w:val="none" w:sz="0" w:space="0" w:color="auto"/>
            <w:bottom w:val="none" w:sz="0" w:space="0" w:color="auto"/>
            <w:right w:val="none" w:sz="0" w:space="0" w:color="auto"/>
          </w:divBdr>
        </w:div>
      </w:divsChild>
    </w:div>
    <w:div w:id="1721975211">
      <w:bodyDiv w:val="1"/>
      <w:marLeft w:val="0"/>
      <w:marRight w:val="0"/>
      <w:marTop w:val="0"/>
      <w:marBottom w:val="0"/>
      <w:divBdr>
        <w:top w:val="none" w:sz="0" w:space="0" w:color="auto"/>
        <w:left w:val="none" w:sz="0" w:space="0" w:color="auto"/>
        <w:bottom w:val="none" w:sz="0" w:space="0" w:color="auto"/>
        <w:right w:val="none" w:sz="0" w:space="0" w:color="auto"/>
      </w:divBdr>
      <w:divsChild>
        <w:div w:id="1063336396">
          <w:marLeft w:val="0"/>
          <w:marRight w:val="0"/>
          <w:marTop w:val="0"/>
          <w:marBottom w:val="0"/>
          <w:divBdr>
            <w:top w:val="none" w:sz="0" w:space="0" w:color="auto"/>
            <w:left w:val="none" w:sz="0" w:space="0" w:color="auto"/>
            <w:bottom w:val="none" w:sz="0" w:space="0" w:color="auto"/>
            <w:right w:val="none" w:sz="0" w:space="0" w:color="auto"/>
          </w:divBdr>
        </w:div>
        <w:div w:id="1418818431">
          <w:marLeft w:val="0"/>
          <w:marRight w:val="0"/>
          <w:marTop w:val="0"/>
          <w:marBottom w:val="0"/>
          <w:divBdr>
            <w:top w:val="none" w:sz="0" w:space="0" w:color="auto"/>
            <w:left w:val="none" w:sz="0" w:space="0" w:color="auto"/>
            <w:bottom w:val="none" w:sz="0" w:space="0" w:color="auto"/>
            <w:right w:val="none" w:sz="0" w:space="0" w:color="auto"/>
          </w:divBdr>
        </w:div>
        <w:div w:id="1420371522">
          <w:marLeft w:val="0"/>
          <w:marRight w:val="0"/>
          <w:marTop w:val="0"/>
          <w:marBottom w:val="0"/>
          <w:divBdr>
            <w:top w:val="none" w:sz="0" w:space="0" w:color="auto"/>
            <w:left w:val="none" w:sz="0" w:space="0" w:color="auto"/>
            <w:bottom w:val="none" w:sz="0" w:space="0" w:color="auto"/>
            <w:right w:val="none" w:sz="0" w:space="0" w:color="auto"/>
          </w:divBdr>
        </w:div>
      </w:divsChild>
    </w:div>
    <w:div w:id="1722903536">
      <w:bodyDiv w:val="1"/>
      <w:marLeft w:val="0"/>
      <w:marRight w:val="0"/>
      <w:marTop w:val="0"/>
      <w:marBottom w:val="0"/>
      <w:divBdr>
        <w:top w:val="none" w:sz="0" w:space="0" w:color="auto"/>
        <w:left w:val="none" w:sz="0" w:space="0" w:color="auto"/>
        <w:bottom w:val="none" w:sz="0" w:space="0" w:color="auto"/>
        <w:right w:val="none" w:sz="0" w:space="0" w:color="auto"/>
      </w:divBdr>
      <w:divsChild>
        <w:div w:id="292291686">
          <w:marLeft w:val="806"/>
          <w:marRight w:val="0"/>
          <w:marTop w:val="240"/>
          <w:marBottom w:val="40"/>
          <w:divBdr>
            <w:top w:val="none" w:sz="0" w:space="0" w:color="auto"/>
            <w:left w:val="none" w:sz="0" w:space="0" w:color="auto"/>
            <w:bottom w:val="none" w:sz="0" w:space="0" w:color="auto"/>
            <w:right w:val="none" w:sz="0" w:space="0" w:color="auto"/>
          </w:divBdr>
        </w:div>
        <w:div w:id="654645279">
          <w:marLeft w:val="806"/>
          <w:marRight w:val="0"/>
          <w:marTop w:val="240"/>
          <w:marBottom w:val="40"/>
          <w:divBdr>
            <w:top w:val="none" w:sz="0" w:space="0" w:color="auto"/>
            <w:left w:val="none" w:sz="0" w:space="0" w:color="auto"/>
            <w:bottom w:val="none" w:sz="0" w:space="0" w:color="auto"/>
            <w:right w:val="none" w:sz="0" w:space="0" w:color="auto"/>
          </w:divBdr>
        </w:div>
        <w:div w:id="1201942493">
          <w:marLeft w:val="806"/>
          <w:marRight w:val="0"/>
          <w:marTop w:val="240"/>
          <w:marBottom w:val="40"/>
          <w:divBdr>
            <w:top w:val="none" w:sz="0" w:space="0" w:color="auto"/>
            <w:left w:val="none" w:sz="0" w:space="0" w:color="auto"/>
            <w:bottom w:val="none" w:sz="0" w:space="0" w:color="auto"/>
            <w:right w:val="none" w:sz="0" w:space="0" w:color="auto"/>
          </w:divBdr>
        </w:div>
        <w:div w:id="1509715008">
          <w:marLeft w:val="806"/>
          <w:marRight w:val="0"/>
          <w:marTop w:val="240"/>
          <w:marBottom w:val="40"/>
          <w:divBdr>
            <w:top w:val="none" w:sz="0" w:space="0" w:color="auto"/>
            <w:left w:val="none" w:sz="0" w:space="0" w:color="auto"/>
            <w:bottom w:val="none" w:sz="0" w:space="0" w:color="auto"/>
            <w:right w:val="none" w:sz="0" w:space="0" w:color="auto"/>
          </w:divBdr>
        </w:div>
      </w:divsChild>
    </w:div>
    <w:div w:id="1726874451">
      <w:bodyDiv w:val="1"/>
      <w:marLeft w:val="0"/>
      <w:marRight w:val="0"/>
      <w:marTop w:val="0"/>
      <w:marBottom w:val="0"/>
      <w:divBdr>
        <w:top w:val="none" w:sz="0" w:space="0" w:color="auto"/>
        <w:left w:val="none" w:sz="0" w:space="0" w:color="auto"/>
        <w:bottom w:val="none" w:sz="0" w:space="0" w:color="auto"/>
        <w:right w:val="none" w:sz="0" w:space="0" w:color="auto"/>
      </w:divBdr>
      <w:divsChild>
        <w:div w:id="111437197">
          <w:marLeft w:val="0"/>
          <w:marRight w:val="0"/>
          <w:marTop w:val="0"/>
          <w:marBottom w:val="0"/>
          <w:divBdr>
            <w:top w:val="none" w:sz="0" w:space="0" w:color="auto"/>
            <w:left w:val="none" w:sz="0" w:space="0" w:color="auto"/>
            <w:bottom w:val="none" w:sz="0" w:space="0" w:color="auto"/>
            <w:right w:val="none" w:sz="0" w:space="0" w:color="auto"/>
          </w:divBdr>
          <w:divsChild>
            <w:div w:id="279532973">
              <w:marLeft w:val="0"/>
              <w:marRight w:val="0"/>
              <w:marTop w:val="0"/>
              <w:marBottom w:val="0"/>
              <w:divBdr>
                <w:top w:val="none" w:sz="0" w:space="0" w:color="auto"/>
                <w:left w:val="none" w:sz="0" w:space="0" w:color="auto"/>
                <w:bottom w:val="none" w:sz="0" w:space="0" w:color="auto"/>
                <w:right w:val="none" w:sz="0" w:space="0" w:color="auto"/>
              </w:divBdr>
              <w:divsChild>
                <w:div w:id="1557661719">
                  <w:marLeft w:val="0"/>
                  <w:marRight w:val="0"/>
                  <w:marTop w:val="0"/>
                  <w:marBottom w:val="0"/>
                  <w:divBdr>
                    <w:top w:val="none" w:sz="0" w:space="0" w:color="auto"/>
                    <w:left w:val="none" w:sz="0" w:space="0" w:color="auto"/>
                    <w:bottom w:val="none" w:sz="0" w:space="0" w:color="auto"/>
                    <w:right w:val="none" w:sz="0" w:space="0" w:color="auto"/>
                  </w:divBdr>
                </w:div>
                <w:div w:id="1605842648">
                  <w:marLeft w:val="0"/>
                  <w:marRight w:val="0"/>
                  <w:marTop w:val="0"/>
                  <w:marBottom w:val="0"/>
                  <w:divBdr>
                    <w:top w:val="none" w:sz="0" w:space="0" w:color="auto"/>
                    <w:left w:val="none" w:sz="0" w:space="0" w:color="auto"/>
                    <w:bottom w:val="none" w:sz="0" w:space="0" w:color="auto"/>
                    <w:right w:val="none" w:sz="0" w:space="0" w:color="auto"/>
                  </w:divBdr>
                </w:div>
              </w:divsChild>
            </w:div>
            <w:div w:id="1705445383">
              <w:marLeft w:val="0"/>
              <w:marRight w:val="0"/>
              <w:marTop w:val="0"/>
              <w:marBottom w:val="0"/>
              <w:divBdr>
                <w:top w:val="none" w:sz="0" w:space="0" w:color="auto"/>
                <w:left w:val="none" w:sz="0" w:space="0" w:color="auto"/>
                <w:bottom w:val="none" w:sz="0" w:space="0" w:color="auto"/>
                <w:right w:val="none" w:sz="0" w:space="0" w:color="auto"/>
              </w:divBdr>
            </w:div>
          </w:divsChild>
        </w:div>
        <w:div w:id="341401310">
          <w:marLeft w:val="0"/>
          <w:marRight w:val="0"/>
          <w:marTop w:val="0"/>
          <w:marBottom w:val="0"/>
          <w:divBdr>
            <w:top w:val="none" w:sz="0" w:space="0" w:color="auto"/>
            <w:left w:val="none" w:sz="0" w:space="0" w:color="auto"/>
            <w:bottom w:val="none" w:sz="0" w:space="0" w:color="auto"/>
            <w:right w:val="none" w:sz="0" w:space="0" w:color="auto"/>
          </w:divBdr>
          <w:divsChild>
            <w:div w:id="733969460">
              <w:marLeft w:val="0"/>
              <w:marRight w:val="0"/>
              <w:marTop w:val="0"/>
              <w:marBottom w:val="0"/>
              <w:divBdr>
                <w:top w:val="none" w:sz="0" w:space="0" w:color="auto"/>
                <w:left w:val="none" w:sz="0" w:space="0" w:color="auto"/>
                <w:bottom w:val="none" w:sz="0" w:space="0" w:color="auto"/>
                <w:right w:val="none" w:sz="0" w:space="0" w:color="auto"/>
              </w:divBdr>
              <w:divsChild>
                <w:div w:id="17768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432">
          <w:marLeft w:val="0"/>
          <w:marRight w:val="0"/>
          <w:marTop w:val="0"/>
          <w:marBottom w:val="0"/>
          <w:divBdr>
            <w:top w:val="none" w:sz="0" w:space="0" w:color="auto"/>
            <w:left w:val="none" w:sz="0" w:space="0" w:color="auto"/>
            <w:bottom w:val="none" w:sz="0" w:space="0" w:color="auto"/>
            <w:right w:val="none" w:sz="0" w:space="0" w:color="auto"/>
          </w:divBdr>
          <w:divsChild>
            <w:div w:id="691106658">
              <w:marLeft w:val="0"/>
              <w:marRight w:val="0"/>
              <w:marTop w:val="0"/>
              <w:marBottom w:val="0"/>
              <w:divBdr>
                <w:top w:val="none" w:sz="0" w:space="0" w:color="auto"/>
                <w:left w:val="none" w:sz="0" w:space="0" w:color="auto"/>
                <w:bottom w:val="none" w:sz="0" w:space="0" w:color="auto"/>
                <w:right w:val="none" w:sz="0" w:space="0" w:color="auto"/>
              </w:divBdr>
              <w:divsChild>
                <w:div w:id="410202306">
                  <w:marLeft w:val="0"/>
                  <w:marRight w:val="0"/>
                  <w:marTop w:val="0"/>
                  <w:marBottom w:val="0"/>
                  <w:divBdr>
                    <w:top w:val="none" w:sz="0" w:space="0" w:color="auto"/>
                    <w:left w:val="none" w:sz="0" w:space="0" w:color="auto"/>
                    <w:bottom w:val="none" w:sz="0" w:space="0" w:color="auto"/>
                    <w:right w:val="none" w:sz="0" w:space="0" w:color="auto"/>
                  </w:divBdr>
                  <w:divsChild>
                    <w:div w:id="27999316">
                      <w:marLeft w:val="0"/>
                      <w:marRight w:val="0"/>
                      <w:marTop w:val="0"/>
                      <w:marBottom w:val="0"/>
                      <w:divBdr>
                        <w:top w:val="none" w:sz="0" w:space="0" w:color="auto"/>
                        <w:left w:val="none" w:sz="0" w:space="0" w:color="auto"/>
                        <w:bottom w:val="none" w:sz="0" w:space="0" w:color="auto"/>
                        <w:right w:val="none" w:sz="0" w:space="0" w:color="auto"/>
                      </w:divBdr>
                    </w:div>
                    <w:div w:id="153759667">
                      <w:marLeft w:val="0"/>
                      <w:marRight w:val="0"/>
                      <w:marTop w:val="0"/>
                      <w:marBottom w:val="0"/>
                      <w:divBdr>
                        <w:top w:val="none" w:sz="0" w:space="0" w:color="auto"/>
                        <w:left w:val="none" w:sz="0" w:space="0" w:color="auto"/>
                        <w:bottom w:val="none" w:sz="0" w:space="0" w:color="auto"/>
                        <w:right w:val="none" w:sz="0" w:space="0" w:color="auto"/>
                      </w:divBdr>
                    </w:div>
                    <w:div w:id="246888289">
                      <w:marLeft w:val="0"/>
                      <w:marRight w:val="0"/>
                      <w:marTop w:val="0"/>
                      <w:marBottom w:val="0"/>
                      <w:divBdr>
                        <w:top w:val="none" w:sz="0" w:space="0" w:color="auto"/>
                        <w:left w:val="none" w:sz="0" w:space="0" w:color="auto"/>
                        <w:bottom w:val="none" w:sz="0" w:space="0" w:color="auto"/>
                        <w:right w:val="none" w:sz="0" w:space="0" w:color="auto"/>
                      </w:divBdr>
                    </w:div>
                    <w:div w:id="405424965">
                      <w:marLeft w:val="0"/>
                      <w:marRight w:val="0"/>
                      <w:marTop w:val="0"/>
                      <w:marBottom w:val="0"/>
                      <w:divBdr>
                        <w:top w:val="none" w:sz="0" w:space="0" w:color="auto"/>
                        <w:left w:val="none" w:sz="0" w:space="0" w:color="auto"/>
                        <w:bottom w:val="none" w:sz="0" w:space="0" w:color="auto"/>
                        <w:right w:val="none" w:sz="0" w:space="0" w:color="auto"/>
                      </w:divBdr>
                    </w:div>
                    <w:div w:id="470681375">
                      <w:marLeft w:val="0"/>
                      <w:marRight w:val="0"/>
                      <w:marTop w:val="0"/>
                      <w:marBottom w:val="0"/>
                      <w:divBdr>
                        <w:top w:val="none" w:sz="0" w:space="0" w:color="auto"/>
                        <w:left w:val="none" w:sz="0" w:space="0" w:color="auto"/>
                        <w:bottom w:val="none" w:sz="0" w:space="0" w:color="auto"/>
                        <w:right w:val="none" w:sz="0" w:space="0" w:color="auto"/>
                      </w:divBdr>
                    </w:div>
                    <w:div w:id="1058479216">
                      <w:marLeft w:val="0"/>
                      <w:marRight w:val="0"/>
                      <w:marTop w:val="0"/>
                      <w:marBottom w:val="0"/>
                      <w:divBdr>
                        <w:top w:val="none" w:sz="0" w:space="0" w:color="auto"/>
                        <w:left w:val="none" w:sz="0" w:space="0" w:color="auto"/>
                        <w:bottom w:val="none" w:sz="0" w:space="0" w:color="auto"/>
                        <w:right w:val="none" w:sz="0" w:space="0" w:color="auto"/>
                      </w:divBdr>
                    </w:div>
                    <w:div w:id="1068770019">
                      <w:marLeft w:val="0"/>
                      <w:marRight w:val="0"/>
                      <w:marTop w:val="0"/>
                      <w:marBottom w:val="0"/>
                      <w:divBdr>
                        <w:top w:val="none" w:sz="0" w:space="0" w:color="auto"/>
                        <w:left w:val="none" w:sz="0" w:space="0" w:color="auto"/>
                        <w:bottom w:val="none" w:sz="0" w:space="0" w:color="auto"/>
                        <w:right w:val="none" w:sz="0" w:space="0" w:color="auto"/>
                      </w:divBdr>
                    </w:div>
                    <w:div w:id="1534155426">
                      <w:marLeft w:val="0"/>
                      <w:marRight w:val="0"/>
                      <w:marTop w:val="0"/>
                      <w:marBottom w:val="0"/>
                      <w:divBdr>
                        <w:top w:val="none" w:sz="0" w:space="0" w:color="auto"/>
                        <w:left w:val="none" w:sz="0" w:space="0" w:color="auto"/>
                        <w:bottom w:val="none" w:sz="0" w:space="0" w:color="auto"/>
                        <w:right w:val="none" w:sz="0" w:space="0" w:color="auto"/>
                      </w:divBdr>
                    </w:div>
                    <w:div w:id="2017071316">
                      <w:marLeft w:val="0"/>
                      <w:marRight w:val="0"/>
                      <w:marTop w:val="0"/>
                      <w:marBottom w:val="0"/>
                      <w:divBdr>
                        <w:top w:val="none" w:sz="0" w:space="0" w:color="auto"/>
                        <w:left w:val="none" w:sz="0" w:space="0" w:color="auto"/>
                        <w:bottom w:val="none" w:sz="0" w:space="0" w:color="auto"/>
                        <w:right w:val="none" w:sz="0" w:space="0" w:color="auto"/>
                      </w:divBdr>
                    </w:div>
                    <w:div w:id="21212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26718">
          <w:marLeft w:val="0"/>
          <w:marRight w:val="0"/>
          <w:marTop w:val="0"/>
          <w:marBottom w:val="0"/>
          <w:divBdr>
            <w:top w:val="none" w:sz="0" w:space="0" w:color="auto"/>
            <w:left w:val="none" w:sz="0" w:space="0" w:color="auto"/>
            <w:bottom w:val="none" w:sz="0" w:space="0" w:color="auto"/>
            <w:right w:val="none" w:sz="0" w:space="0" w:color="auto"/>
          </w:divBdr>
        </w:div>
        <w:div w:id="650405851">
          <w:marLeft w:val="0"/>
          <w:marRight w:val="0"/>
          <w:marTop w:val="0"/>
          <w:marBottom w:val="0"/>
          <w:divBdr>
            <w:top w:val="none" w:sz="0" w:space="0" w:color="auto"/>
            <w:left w:val="none" w:sz="0" w:space="0" w:color="auto"/>
            <w:bottom w:val="none" w:sz="0" w:space="0" w:color="auto"/>
            <w:right w:val="none" w:sz="0" w:space="0" w:color="auto"/>
          </w:divBdr>
          <w:divsChild>
            <w:div w:id="31930026">
              <w:marLeft w:val="0"/>
              <w:marRight w:val="0"/>
              <w:marTop w:val="0"/>
              <w:marBottom w:val="0"/>
              <w:divBdr>
                <w:top w:val="none" w:sz="0" w:space="0" w:color="auto"/>
                <w:left w:val="none" w:sz="0" w:space="0" w:color="auto"/>
                <w:bottom w:val="none" w:sz="0" w:space="0" w:color="auto"/>
                <w:right w:val="none" w:sz="0" w:space="0" w:color="auto"/>
              </w:divBdr>
              <w:divsChild>
                <w:div w:id="1475826883">
                  <w:marLeft w:val="0"/>
                  <w:marRight w:val="0"/>
                  <w:marTop w:val="0"/>
                  <w:marBottom w:val="0"/>
                  <w:divBdr>
                    <w:top w:val="none" w:sz="0" w:space="0" w:color="auto"/>
                    <w:left w:val="none" w:sz="0" w:space="0" w:color="auto"/>
                    <w:bottom w:val="none" w:sz="0" w:space="0" w:color="auto"/>
                    <w:right w:val="none" w:sz="0" w:space="0" w:color="auto"/>
                  </w:divBdr>
                </w:div>
                <w:div w:id="1607468372">
                  <w:marLeft w:val="0"/>
                  <w:marRight w:val="0"/>
                  <w:marTop w:val="0"/>
                  <w:marBottom w:val="0"/>
                  <w:divBdr>
                    <w:top w:val="none" w:sz="0" w:space="0" w:color="auto"/>
                    <w:left w:val="none" w:sz="0" w:space="0" w:color="auto"/>
                    <w:bottom w:val="none" w:sz="0" w:space="0" w:color="auto"/>
                    <w:right w:val="none" w:sz="0" w:space="0" w:color="auto"/>
                  </w:divBdr>
                </w:div>
              </w:divsChild>
            </w:div>
            <w:div w:id="723601142">
              <w:marLeft w:val="0"/>
              <w:marRight w:val="0"/>
              <w:marTop w:val="0"/>
              <w:marBottom w:val="0"/>
              <w:divBdr>
                <w:top w:val="none" w:sz="0" w:space="0" w:color="auto"/>
                <w:left w:val="none" w:sz="0" w:space="0" w:color="auto"/>
                <w:bottom w:val="none" w:sz="0" w:space="0" w:color="auto"/>
                <w:right w:val="none" w:sz="0" w:space="0" w:color="auto"/>
              </w:divBdr>
              <w:divsChild>
                <w:div w:id="1633705825">
                  <w:marLeft w:val="0"/>
                  <w:marRight w:val="0"/>
                  <w:marTop w:val="0"/>
                  <w:marBottom w:val="0"/>
                  <w:divBdr>
                    <w:top w:val="none" w:sz="0" w:space="0" w:color="auto"/>
                    <w:left w:val="none" w:sz="0" w:space="0" w:color="auto"/>
                    <w:bottom w:val="none" w:sz="0" w:space="0" w:color="auto"/>
                    <w:right w:val="none" w:sz="0" w:space="0" w:color="auto"/>
                  </w:divBdr>
                  <w:divsChild>
                    <w:div w:id="1074550378">
                      <w:marLeft w:val="0"/>
                      <w:marRight w:val="0"/>
                      <w:marTop w:val="0"/>
                      <w:marBottom w:val="0"/>
                      <w:divBdr>
                        <w:top w:val="none" w:sz="0" w:space="0" w:color="auto"/>
                        <w:left w:val="none" w:sz="0" w:space="0" w:color="auto"/>
                        <w:bottom w:val="none" w:sz="0" w:space="0" w:color="auto"/>
                        <w:right w:val="none" w:sz="0" w:space="0" w:color="auto"/>
                      </w:divBdr>
                    </w:div>
                    <w:div w:id="20891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4925">
              <w:marLeft w:val="0"/>
              <w:marRight w:val="0"/>
              <w:marTop w:val="0"/>
              <w:marBottom w:val="0"/>
              <w:divBdr>
                <w:top w:val="none" w:sz="0" w:space="0" w:color="auto"/>
                <w:left w:val="none" w:sz="0" w:space="0" w:color="auto"/>
                <w:bottom w:val="none" w:sz="0" w:space="0" w:color="auto"/>
                <w:right w:val="none" w:sz="0" w:space="0" w:color="auto"/>
              </w:divBdr>
              <w:divsChild>
                <w:div w:id="506293260">
                  <w:marLeft w:val="0"/>
                  <w:marRight w:val="0"/>
                  <w:marTop w:val="0"/>
                  <w:marBottom w:val="0"/>
                  <w:divBdr>
                    <w:top w:val="none" w:sz="0" w:space="0" w:color="auto"/>
                    <w:left w:val="none" w:sz="0" w:space="0" w:color="auto"/>
                    <w:bottom w:val="none" w:sz="0" w:space="0" w:color="auto"/>
                    <w:right w:val="none" w:sz="0" w:space="0" w:color="auto"/>
                  </w:divBdr>
                  <w:divsChild>
                    <w:div w:id="369887823">
                      <w:marLeft w:val="0"/>
                      <w:marRight w:val="0"/>
                      <w:marTop w:val="0"/>
                      <w:marBottom w:val="0"/>
                      <w:divBdr>
                        <w:top w:val="none" w:sz="0" w:space="0" w:color="auto"/>
                        <w:left w:val="none" w:sz="0" w:space="0" w:color="auto"/>
                        <w:bottom w:val="none" w:sz="0" w:space="0" w:color="auto"/>
                        <w:right w:val="none" w:sz="0" w:space="0" w:color="auto"/>
                      </w:divBdr>
                    </w:div>
                    <w:div w:id="1351566672">
                      <w:marLeft w:val="0"/>
                      <w:marRight w:val="0"/>
                      <w:marTop w:val="0"/>
                      <w:marBottom w:val="0"/>
                      <w:divBdr>
                        <w:top w:val="none" w:sz="0" w:space="0" w:color="auto"/>
                        <w:left w:val="none" w:sz="0" w:space="0" w:color="auto"/>
                        <w:bottom w:val="none" w:sz="0" w:space="0" w:color="auto"/>
                        <w:right w:val="none" w:sz="0" w:space="0" w:color="auto"/>
                      </w:divBdr>
                      <w:divsChild>
                        <w:div w:id="627277611">
                          <w:marLeft w:val="0"/>
                          <w:marRight w:val="0"/>
                          <w:marTop w:val="0"/>
                          <w:marBottom w:val="0"/>
                          <w:divBdr>
                            <w:top w:val="none" w:sz="0" w:space="0" w:color="auto"/>
                            <w:left w:val="none" w:sz="0" w:space="0" w:color="auto"/>
                            <w:bottom w:val="none" w:sz="0" w:space="0" w:color="auto"/>
                            <w:right w:val="none" w:sz="0" w:space="0" w:color="auto"/>
                          </w:divBdr>
                        </w:div>
                        <w:div w:id="1802646489">
                          <w:marLeft w:val="0"/>
                          <w:marRight w:val="0"/>
                          <w:marTop w:val="0"/>
                          <w:marBottom w:val="0"/>
                          <w:divBdr>
                            <w:top w:val="none" w:sz="0" w:space="0" w:color="auto"/>
                            <w:left w:val="none" w:sz="0" w:space="0" w:color="auto"/>
                            <w:bottom w:val="none" w:sz="0" w:space="0" w:color="auto"/>
                            <w:right w:val="none" w:sz="0" w:space="0" w:color="auto"/>
                          </w:divBdr>
                        </w:div>
                        <w:div w:id="21405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0205">
                  <w:marLeft w:val="0"/>
                  <w:marRight w:val="0"/>
                  <w:marTop w:val="0"/>
                  <w:marBottom w:val="0"/>
                  <w:divBdr>
                    <w:top w:val="none" w:sz="0" w:space="0" w:color="auto"/>
                    <w:left w:val="none" w:sz="0" w:space="0" w:color="auto"/>
                    <w:bottom w:val="none" w:sz="0" w:space="0" w:color="auto"/>
                    <w:right w:val="none" w:sz="0" w:space="0" w:color="auto"/>
                  </w:divBdr>
                  <w:divsChild>
                    <w:div w:id="492524634">
                      <w:marLeft w:val="0"/>
                      <w:marRight w:val="0"/>
                      <w:marTop w:val="0"/>
                      <w:marBottom w:val="0"/>
                      <w:divBdr>
                        <w:top w:val="none" w:sz="0" w:space="0" w:color="auto"/>
                        <w:left w:val="none" w:sz="0" w:space="0" w:color="auto"/>
                        <w:bottom w:val="none" w:sz="0" w:space="0" w:color="auto"/>
                        <w:right w:val="none" w:sz="0" w:space="0" w:color="auto"/>
                      </w:divBdr>
                      <w:divsChild>
                        <w:div w:id="1937442043">
                          <w:marLeft w:val="0"/>
                          <w:marRight w:val="0"/>
                          <w:marTop w:val="0"/>
                          <w:marBottom w:val="0"/>
                          <w:divBdr>
                            <w:top w:val="none" w:sz="0" w:space="0" w:color="auto"/>
                            <w:left w:val="none" w:sz="0" w:space="0" w:color="auto"/>
                            <w:bottom w:val="none" w:sz="0" w:space="0" w:color="auto"/>
                            <w:right w:val="none" w:sz="0" w:space="0" w:color="auto"/>
                          </w:divBdr>
                          <w:divsChild>
                            <w:div w:id="1191840248">
                              <w:marLeft w:val="0"/>
                              <w:marRight w:val="0"/>
                              <w:marTop w:val="0"/>
                              <w:marBottom w:val="0"/>
                              <w:divBdr>
                                <w:top w:val="none" w:sz="0" w:space="0" w:color="auto"/>
                                <w:left w:val="none" w:sz="0" w:space="0" w:color="auto"/>
                                <w:bottom w:val="none" w:sz="0" w:space="0" w:color="auto"/>
                                <w:right w:val="none" w:sz="0" w:space="0" w:color="auto"/>
                              </w:divBdr>
                              <w:divsChild>
                                <w:div w:id="1466702209">
                                  <w:marLeft w:val="3225"/>
                                  <w:marRight w:val="0"/>
                                  <w:marTop w:val="0"/>
                                  <w:marBottom w:val="0"/>
                                  <w:divBdr>
                                    <w:top w:val="none" w:sz="0" w:space="0" w:color="auto"/>
                                    <w:left w:val="none" w:sz="0" w:space="0" w:color="auto"/>
                                    <w:bottom w:val="none" w:sz="0" w:space="0" w:color="auto"/>
                                    <w:right w:val="none" w:sz="0" w:space="0" w:color="auto"/>
                                  </w:divBdr>
                                </w:div>
                                <w:div w:id="15110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3075">
                  <w:marLeft w:val="0"/>
                  <w:marRight w:val="0"/>
                  <w:marTop w:val="0"/>
                  <w:marBottom w:val="0"/>
                  <w:divBdr>
                    <w:top w:val="none" w:sz="0" w:space="0" w:color="auto"/>
                    <w:left w:val="none" w:sz="0" w:space="0" w:color="auto"/>
                    <w:bottom w:val="none" w:sz="0" w:space="0" w:color="auto"/>
                    <w:right w:val="none" w:sz="0" w:space="0" w:color="auto"/>
                  </w:divBdr>
                </w:div>
                <w:div w:id="2018455687">
                  <w:marLeft w:val="0"/>
                  <w:marRight w:val="0"/>
                  <w:marTop w:val="0"/>
                  <w:marBottom w:val="0"/>
                  <w:divBdr>
                    <w:top w:val="none" w:sz="0" w:space="0" w:color="auto"/>
                    <w:left w:val="none" w:sz="0" w:space="0" w:color="auto"/>
                    <w:bottom w:val="none" w:sz="0" w:space="0" w:color="auto"/>
                    <w:right w:val="none" w:sz="0" w:space="0" w:color="auto"/>
                  </w:divBdr>
                </w:div>
                <w:div w:id="2054425781">
                  <w:marLeft w:val="0"/>
                  <w:marRight w:val="0"/>
                  <w:marTop w:val="0"/>
                  <w:marBottom w:val="0"/>
                  <w:divBdr>
                    <w:top w:val="none" w:sz="0" w:space="0" w:color="auto"/>
                    <w:left w:val="none" w:sz="0" w:space="0" w:color="auto"/>
                    <w:bottom w:val="none" w:sz="0" w:space="0" w:color="auto"/>
                    <w:right w:val="none" w:sz="0" w:space="0" w:color="auto"/>
                  </w:divBdr>
                  <w:divsChild>
                    <w:div w:id="466317086">
                      <w:marLeft w:val="0"/>
                      <w:marRight w:val="0"/>
                      <w:marTop w:val="0"/>
                      <w:marBottom w:val="0"/>
                      <w:divBdr>
                        <w:top w:val="none" w:sz="0" w:space="0" w:color="auto"/>
                        <w:left w:val="none" w:sz="0" w:space="0" w:color="auto"/>
                        <w:bottom w:val="none" w:sz="0" w:space="0" w:color="auto"/>
                        <w:right w:val="none" w:sz="0" w:space="0" w:color="auto"/>
                      </w:divBdr>
                      <w:divsChild>
                        <w:div w:id="67267369">
                          <w:marLeft w:val="0"/>
                          <w:marRight w:val="0"/>
                          <w:marTop w:val="0"/>
                          <w:marBottom w:val="0"/>
                          <w:divBdr>
                            <w:top w:val="none" w:sz="0" w:space="0" w:color="auto"/>
                            <w:left w:val="none" w:sz="0" w:space="0" w:color="auto"/>
                            <w:bottom w:val="none" w:sz="0" w:space="0" w:color="auto"/>
                            <w:right w:val="none" w:sz="0" w:space="0" w:color="auto"/>
                          </w:divBdr>
                          <w:divsChild>
                            <w:div w:id="776946408">
                              <w:marLeft w:val="0"/>
                              <w:marRight w:val="0"/>
                              <w:marTop w:val="0"/>
                              <w:marBottom w:val="0"/>
                              <w:divBdr>
                                <w:top w:val="none" w:sz="0" w:space="0" w:color="auto"/>
                                <w:left w:val="none" w:sz="0" w:space="0" w:color="auto"/>
                                <w:bottom w:val="none" w:sz="0" w:space="0" w:color="auto"/>
                                <w:right w:val="none" w:sz="0" w:space="0" w:color="auto"/>
                              </w:divBdr>
                            </w:div>
                            <w:div w:id="832840840">
                              <w:marLeft w:val="0"/>
                              <w:marRight w:val="0"/>
                              <w:marTop w:val="0"/>
                              <w:marBottom w:val="0"/>
                              <w:divBdr>
                                <w:top w:val="none" w:sz="0" w:space="0" w:color="auto"/>
                                <w:left w:val="none" w:sz="0" w:space="0" w:color="auto"/>
                                <w:bottom w:val="none" w:sz="0" w:space="0" w:color="auto"/>
                                <w:right w:val="none" w:sz="0" w:space="0" w:color="auto"/>
                              </w:divBdr>
                            </w:div>
                            <w:div w:id="892733857">
                              <w:marLeft w:val="0"/>
                              <w:marRight w:val="0"/>
                              <w:marTop w:val="0"/>
                              <w:marBottom w:val="0"/>
                              <w:divBdr>
                                <w:top w:val="none" w:sz="0" w:space="0" w:color="auto"/>
                                <w:left w:val="none" w:sz="0" w:space="0" w:color="auto"/>
                                <w:bottom w:val="none" w:sz="0" w:space="0" w:color="auto"/>
                                <w:right w:val="none" w:sz="0" w:space="0" w:color="auto"/>
                              </w:divBdr>
                            </w:div>
                            <w:div w:id="1352609214">
                              <w:marLeft w:val="0"/>
                              <w:marRight w:val="0"/>
                              <w:marTop w:val="0"/>
                              <w:marBottom w:val="0"/>
                              <w:divBdr>
                                <w:top w:val="none" w:sz="0" w:space="0" w:color="auto"/>
                                <w:left w:val="none" w:sz="0" w:space="0" w:color="auto"/>
                                <w:bottom w:val="none" w:sz="0" w:space="0" w:color="auto"/>
                                <w:right w:val="none" w:sz="0" w:space="0" w:color="auto"/>
                              </w:divBdr>
                            </w:div>
                            <w:div w:id="1418946001">
                              <w:marLeft w:val="0"/>
                              <w:marRight w:val="0"/>
                              <w:marTop w:val="0"/>
                              <w:marBottom w:val="0"/>
                              <w:divBdr>
                                <w:top w:val="none" w:sz="0" w:space="0" w:color="auto"/>
                                <w:left w:val="none" w:sz="0" w:space="0" w:color="auto"/>
                                <w:bottom w:val="none" w:sz="0" w:space="0" w:color="auto"/>
                                <w:right w:val="none" w:sz="0" w:space="0" w:color="auto"/>
                              </w:divBdr>
                            </w:div>
                            <w:div w:id="1433041204">
                              <w:marLeft w:val="0"/>
                              <w:marRight w:val="0"/>
                              <w:marTop w:val="0"/>
                              <w:marBottom w:val="0"/>
                              <w:divBdr>
                                <w:top w:val="none" w:sz="0" w:space="0" w:color="auto"/>
                                <w:left w:val="none" w:sz="0" w:space="0" w:color="auto"/>
                                <w:bottom w:val="none" w:sz="0" w:space="0" w:color="auto"/>
                                <w:right w:val="none" w:sz="0" w:space="0" w:color="auto"/>
                              </w:divBdr>
                            </w:div>
                            <w:div w:id="1537085137">
                              <w:marLeft w:val="0"/>
                              <w:marRight w:val="0"/>
                              <w:marTop w:val="0"/>
                              <w:marBottom w:val="0"/>
                              <w:divBdr>
                                <w:top w:val="none" w:sz="0" w:space="0" w:color="auto"/>
                                <w:left w:val="none" w:sz="0" w:space="0" w:color="auto"/>
                                <w:bottom w:val="none" w:sz="0" w:space="0" w:color="auto"/>
                                <w:right w:val="none" w:sz="0" w:space="0" w:color="auto"/>
                              </w:divBdr>
                            </w:div>
                            <w:div w:id="1661427486">
                              <w:marLeft w:val="0"/>
                              <w:marRight w:val="0"/>
                              <w:marTop w:val="0"/>
                              <w:marBottom w:val="0"/>
                              <w:divBdr>
                                <w:top w:val="none" w:sz="0" w:space="0" w:color="auto"/>
                                <w:left w:val="none" w:sz="0" w:space="0" w:color="auto"/>
                                <w:bottom w:val="none" w:sz="0" w:space="0" w:color="auto"/>
                                <w:right w:val="none" w:sz="0" w:space="0" w:color="auto"/>
                              </w:divBdr>
                            </w:div>
                            <w:div w:id="1891651855">
                              <w:marLeft w:val="0"/>
                              <w:marRight w:val="0"/>
                              <w:marTop w:val="0"/>
                              <w:marBottom w:val="0"/>
                              <w:divBdr>
                                <w:top w:val="none" w:sz="0" w:space="0" w:color="auto"/>
                                <w:left w:val="none" w:sz="0" w:space="0" w:color="auto"/>
                                <w:bottom w:val="none" w:sz="0" w:space="0" w:color="auto"/>
                                <w:right w:val="none" w:sz="0" w:space="0" w:color="auto"/>
                              </w:divBdr>
                            </w:div>
                            <w:div w:id="20951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040">
                      <w:marLeft w:val="0"/>
                      <w:marRight w:val="0"/>
                      <w:marTop w:val="0"/>
                      <w:marBottom w:val="0"/>
                      <w:divBdr>
                        <w:top w:val="none" w:sz="0" w:space="0" w:color="auto"/>
                        <w:left w:val="none" w:sz="0" w:space="0" w:color="auto"/>
                        <w:bottom w:val="none" w:sz="0" w:space="0" w:color="auto"/>
                        <w:right w:val="none" w:sz="0" w:space="0" w:color="auto"/>
                      </w:divBdr>
                    </w:div>
                  </w:divsChild>
                </w:div>
                <w:div w:id="20964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9390">
          <w:marLeft w:val="0"/>
          <w:marRight w:val="0"/>
          <w:marTop w:val="0"/>
          <w:marBottom w:val="0"/>
          <w:divBdr>
            <w:top w:val="none" w:sz="0" w:space="0" w:color="auto"/>
            <w:left w:val="none" w:sz="0" w:space="0" w:color="auto"/>
            <w:bottom w:val="none" w:sz="0" w:space="0" w:color="auto"/>
            <w:right w:val="none" w:sz="0" w:space="0" w:color="auto"/>
          </w:divBdr>
          <w:divsChild>
            <w:div w:id="448934300">
              <w:marLeft w:val="0"/>
              <w:marRight w:val="0"/>
              <w:marTop w:val="0"/>
              <w:marBottom w:val="0"/>
              <w:divBdr>
                <w:top w:val="none" w:sz="0" w:space="0" w:color="auto"/>
                <w:left w:val="none" w:sz="0" w:space="0" w:color="auto"/>
                <w:bottom w:val="none" w:sz="0" w:space="0" w:color="auto"/>
                <w:right w:val="none" w:sz="0" w:space="0" w:color="auto"/>
              </w:divBdr>
              <w:divsChild>
                <w:div w:id="1208183222">
                  <w:marLeft w:val="0"/>
                  <w:marRight w:val="0"/>
                  <w:marTop w:val="0"/>
                  <w:marBottom w:val="0"/>
                  <w:divBdr>
                    <w:top w:val="none" w:sz="0" w:space="0" w:color="auto"/>
                    <w:left w:val="none" w:sz="0" w:space="0" w:color="auto"/>
                    <w:bottom w:val="none" w:sz="0" w:space="0" w:color="auto"/>
                    <w:right w:val="none" w:sz="0" w:space="0" w:color="auto"/>
                  </w:divBdr>
                </w:div>
              </w:divsChild>
            </w:div>
            <w:div w:id="827284942">
              <w:marLeft w:val="0"/>
              <w:marRight w:val="0"/>
              <w:marTop w:val="0"/>
              <w:marBottom w:val="0"/>
              <w:divBdr>
                <w:top w:val="none" w:sz="0" w:space="0" w:color="auto"/>
                <w:left w:val="none" w:sz="0" w:space="0" w:color="auto"/>
                <w:bottom w:val="none" w:sz="0" w:space="0" w:color="auto"/>
                <w:right w:val="none" w:sz="0" w:space="0" w:color="auto"/>
              </w:divBdr>
            </w:div>
            <w:div w:id="1231427261">
              <w:marLeft w:val="0"/>
              <w:marRight w:val="0"/>
              <w:marTop w:val="0"/>
              <w:marBottom w:val="0"/>
              <w:divBdr>
                <w:top w:val="none" w:sz="0" w:space="0" w:color="auto"/>
                <w:left w:val="none" w:sz="0" w:space="0" w:color="auto"/>
                <w:bottom w:val="none" w:sz="0" w:space="0" w:color="auto"/>
                <w:right w:val="none" w:sz="0" w:space="0" w:color="auto"/>
              </w:divBdr>
            </w:div>
            <w:div w:id="1720469033">
              <w:marLeft w:val="0"/>
              <w:marRight w:val="0"/>
              <w:marTop w:val="0"/>
              <w:marBottom w:val="0"/>
              <w:divBdr>
                <w:top w:val="none" w:sz="0" w:space="0" w:color="auto"/>
                <w:left w:val="none" w:sz="0" w:space="0" w:color="auto"/>
                <w:bottom w:val="none" w:sz="0" w:space="0" w:color="auto"/>
                <w:right w:val="none" w:sz="0" w:space="0" w:color="auto"/>
              </w:divBdr>
            </w:div>
          </w:divsChild>
        </w:div>
        <w:div w:id="967784235">
          <w:marLeft w:val="0"/>
          <w:marRight w:val="0"/>
          <w:marTop w:val="0"/>
          <w:marBottom w:val="0"/>
          <w:divBdr>
            <w:top w:val="none" w:sz="0" w:space="0" w:color="auto"/>
            <w:left w:val="none" w:sz="0" w:space="0" w:color="auto"/>
            <w:bottom w:val="none" w:sz="0" w:space="0" w:color="auto"/>
            <w:right w:val="none" w:sz="0" w:space="0" w:color="auto"/>
          </w:divBdr>
          <w:divsChild>
            <w:div w:id="248392623">
              <w:marLeft w:val="0"/>
              <w:marRight w:val="0"/>
              <w:marTop w:val="0"/>
              <w:marBottom w:val="0"/>
              <w:divBdr>
                <w:top w:val="none" w:sz="0" w:space="0" w:color="auto"/>
                <w:left w:val="none" w:sz="0" w:space="0" w:color="auto"/>
                <w:bottom w:val="none" w:sz="0" w:space="0" w:color="auto"/>
                <w:right w:val="none" w:sz="0" w:space="0" w:color="auto"/>
              </w:divBdr>
              <w:divsChild>
                <w:div w:id="33046062">
                  <w:marLeft w:val="0"/>
                  <w:marRight w:val="0"/>
                  <w:marTop w:val="0"/>
                  <w:marBottom w:val="0"/>
                  <w:divBdr>
                    <w:top w:val="none" w:sz="0" w:space="0" w:color="auto"/>
                    <w:left w:val="none" w:sz="0" w:space="0" w:color="auto"/>
                    <w:bottom w:val="none" w:sz="0" w:space="0" w:color="auto"/>
                    <w:right w:val="none" w:sz="0" w:space="0" w:color="auto"/>
                  </w:divBdr>
                </w:div>
                <w:div w:id="67963455">
                  <w:marLeft w:val="0"/>
                  <w:marRight w:val="0"/>
                  <w:marTop w:val="0"/>
                  <w:marBottom w:val="0"/>
                  <w:divBdr>
                    <w:top w:val="none" w:sz="0" w:space="0" w:color="auto"/>
                    <w:left w:val="none" w:sz="0" w:space="0" w:color="auto"/>
                    <w:bottom w:val="none" w:sz="0" w:space="0" w:color="auto"/>
                    <w:right w:val="none" w:sz="0" w:space="0" w:color="auto"/>
                  </w:divBdr>
                </w:div>
                <w:div w:id="91249198">
                  <w:marLeft w:val="0"/>
                  <w:marRight w:val="0"/>
                  <w:marTop w:val="0"/>
                  <w:marBottom w:val="0"/>
                  <w:divBdr>
                    <w:top w:val="none" w:sz="0" w:space="0" w:color="auto"/>
                    <w:left w:val="none" w:sz="0" w:space="0" w:color="auto"/>
                    <w:bottom w:val="none" w:sz="0" w:space="0" w:color="auto"/>
                    <w:right w:val="none" w:sz="0" w:space="0" w:color="auto"/>
                  </w:divBdr>
                </w:div>
                <w:div w:id="134494443">
                  <w:marLeft w:val="0"/>
                  <w:marRight w:val="0"/>
                  <w:marTop w:val="0"/>
                  <w:marBottom w:val="0"/>
                  <w:divBdr>
                    <w:top w:val="none" w:sz="0" w:space="0" w:color="auto"/>
                    <w:left w:val="none" w:sz="0" w:space="0" w:color="auto"/>
                    <w:bottom w:val="none" w:sz="0" w:space="0" w:color="auto"/>
                    <w:right w:val="none" w:sz="0" w:space="0" w:color="auto"/>
                  </w:divBdr>
                </w:div>
                <w:div w:id="142089169">
                  <w:marLeft w:val="0"/>
                  <w:marRight w:val="0"/>
                  <w:marTop w:val="0"/>
                  <w:marBottom w:val="0"/>
                  <w:divBdr>
                    <w:top w:val="none" w:sz="0" w:space="0" w:color="auto"/>
                    <w:left w:val="none" w:sz="0" w:space="0" w:color="auto"/>
                    <w:bottom w:val="none" w:sz="0" w:space="0" w:color="auto"/>
                    <w:right w:val="none" w:sz="0" w:space="0" w:color="auto"/>
                  </w:divBdr>
                </w:div>
                <w:div w:id="159739812">
                  <w:marLeft w:val="0"/>
                  <w:marRight w:val="0"/>
                  <w:marTop w:val="0"/>
                  <w:marBottom w:val="0"/>
                  <w:divBdr>
                    <w:top w:val="none" w:sz="0" w:space="0" w:color="auto"/>
                    <w:left w:val="none" w:sz="0" w:space="0" w:color="auto"/>
                    <w:bottom w:val="none" w:sz="0" w:space="0" w:color="auto"/>
                    <w:right w:val="none" w:sz="0" w:space="0" w:color="auto"/>
                  </w:divBdr>
                </w:div>
                <w:div w:id="161747798">
                  <w:marLeft w:val="0"/>
                  <w:marRight w:val="0"/>
                  <w:marTop w:val="0"/>
                  <w:marBottom w:val="0"/>
                  <w:divBdr>
                    <w:top w:val="none" w:sz="0" w:space="0" w:color="auto"/>
                    <w:left w:val="none" w:sz="0" w:space="0" w:color="auto"/>
                    <w:bottom w:val="none" w:sz="0" w:space="0" w:color="auto"/>
                    <w:right w:val="none" w:sz="0" w:space="0" w:color="auto"/>
                  </w:divBdr>
                </w:div>
                <w:div w:id="177544061">
                  <w:marLeft w:val="0"/>
                  <w:marRight w:val="0"/>
                  <w:marTop w:val="0"/>
                  <w:marBottom w:val="0"/>
                  <w:divBdr>
                    <w:top w:val="none" w:sz="0" w:space="0" w:color="auto"/>
                    <w:left w:val="none" w:sz="0" w:space="0" w:color="auto"/>
                    <w:bottom w:val="none" w:sz="0" w:space="0" w:color="auto"/>
                    <w:right w:val="none" w:sz="0" w:space="0" w:color="auto"/>
                  </w:divBdr>
                </w:div>
                <w:div w:id="210534019">
                  <w:marLeft w:val="0"/>
                  <w:marRight w:val="0"/>
                  <w:marTop w:val="0"/>
                  <w:marBottom w:val="0"/>
                  <w:divBdr>
                    <w:top w:val="none" w:sz="0" w:space="0" w:color="auto"/>
                    <w:left w:val="none" w:sz="0" w:space="0" w:color="auto"/>
                    <w:bottom w:val="none" w:sz="0" w:space="0" w:color="auto"/>
                    <w:right w:val="none" w:sz="0" w:space="0" w:color="auto"/>
                  </w:divBdr>
                </w:div>
                <w:div w:id="213778779">
                  <w:marLeft w:val="0"/>
                  <w:marRight w:val="0"/>
                  <w:marTop w:val="0"/>
                  <w:marBottom w:val="0"/>
                  <w:divBdr>
                    <w:top w:val="none" w:sz="0" w:space="0" w:color="auto"/>
                    <w:left w:val="none" w:sz="0" w:space="0" w:color="auto"/>
                    <w:bottom w:val="none" w:sz="0" w:space="0" w:color="auto"/>
                    <w:right w:val="none" w:sz="0" w:space="0" w:color="auto"/>
                  </w:divBdr>
                </w:div>
                <w:div w:id="225646585">
                  <w:marLeft w:val="0"/>
                  <w:marRight w:val="0"/>
                  <w:marTop w:val="0"/>
                  <w:marBottom w:val="0"/>
                  <w:divBdr>
                    <w:top w:val="none" w:sz="0" w:space="0" w:color="auto"/>
                    <w:left w:val="none" w:sz="0" w:space="0" w:color="auto"/>
                    <w:bottom w:val="none" w:sz="0" w:space="0" w:color="auto"/>
                    <w:right w:val="none" w:sz="0" w:space="0" w:color="auto"/>
                  </w:divBdr>
                </w:div>
                <w:div w:id="233011263">
                  <w:marLeft w:val="0"/>
                  <w:marRight w:val="0"/>
                  <w:marTop w:val="0"/>
                  <w:marBottom w:val="0"/>
                  <w:divBdr>
                    <w:top w:val="none" w:sz="0" w:space="0" w:color="auto"/>
                    <w:left w:val="none" w:sz="0" w:space="0" w:color="auto"/>
                    <w:bottom w:val="none" w:sz="0" w:space="0" w:color="auto"/>
                    <w:right w:val="none" w:sz="0" w:space="0" w:color="auto"/>
                  </w:divBdr>
                </w:div>
                <w:div w:id="273488565">
                  <w:marLeft w:val="0"/>
                  <w:marRight w:val="0"/>
                  <w:marTop w:val="0"/>
                  <w:marBottom w:val="0"/>
                  <w:divBdr>
                    <w:top w:val="none" w:sz="0" w:space="0" w:color="auto"/>
                    <w:left w:val="none" w:sz="0" w:space="0" w:color="auto"/>
                    <w:bottom w:val="none" w:sz="0" w:space="0" w:color="auto"/>
                    <w:right w:val="none" w:sz="0" w:space="0" w:color="auto"/>
                  </w:divBdr>
                </w:div>
                <w:div w:id="274484932">
                  <w:marLeft w:val="0"/>
                  <w:marRight w:val="0"/>
                  <w:marTop w:val="0"/>
                  <w:marBottom w:val="0"/>
                  <w:divBdr>
                    <w:top w:val="none" w:sz="0" w:space="0" w:color="auto"/>
                    <w:left w:val="none" w:sz="0" w:space="0" w:color="auto"/>
                    <w:bottom w:val="none" w:sz="0" w:space="0" w:color="auto"/>
                    <w:right w:val="none" w:sz="0" w:space="0" w:color="auto"/>
                  </w:divBdr>
                </w:div>
                <w:div w:id="277294183">
                  <w:marLeft w:val="0"/>
                  <w:marRight w:val="0"/>
                  <w:marTop w:val="0"/>
                  <w:marBottom w:val="0"/>
                  <w:divBdr>
                    <w:top w:val="none" w:sz="0" w:space="0" w:color="auto"/>
                    <w:left w:val="none" w:sz="0" w:space="0" w:color="auto"/>
                    <w:bottom w:val="none" w:sz="0" w:space="0" w:color="auto"/>
                    <w:right w:val="none" w:sz="0" w:space="0" w:color="auto"/>
                  </w:divBdr>
                </w:div>
                <w:div w:id="281227000">
                  <w:marLeft w:val="0"/>
                  <w:marRight w:val="0"/>
                  <w:marTop w:val="0"/>
                  <w:marBottom w:val="0"/>
                  <w:divBdr>
                    <w:top w:val="none" w:sz="0" w:space="0" w:color="auto"/>
                    <w:left w:val="none" w:sz="0" w:space="0" w:color="auto"/>
                    <w:bottom w:val="none" w:sz="0" w:space="0" w:color="auto"/>
                    <w:right w:val="none" w:sz="0" w:space="0" w:color="auto"/>
                  </w:divBdr>
                </w:div>
                <w:div w:id="290521213">
                  <w:marLeft w:val="0"/>
                  <w:marRight w:val="0"/>
                  <w:marTop w:val="0"/>
                  <w:marBottom w:val="0"/>
                  <w:divBdr>
                    <w:top w:val="none" w:sz="0" w:space="0" w:color="auto"/>
                    <w:left w:val="none" w:sz="0" w:space="0" w:color="auto"/>
                    <w:bottom w:val="none" w:sz="0" w:space="0" w:color="auto"/>
                    <w:right w:val="none" w:sz="0" w:space="0" w:color="auto"/>
                  </w:divBdr>
                </w:div>
                <w:div w:id="293023797">
                  <w:marLeft w:val="0"/>
                  <w:marRight w:val="0"/>
                  <w:marTop w:val="0"/>
                  <w:marBottom w:val="0"/>
                  <w:divBdr>
                    <w:top w:val="none" w:sz="0" w:space="0" w:color="auto"/>
                    <w:left w:val="none" w:sz="0" w:space="0" w:color="auto"/>
                    <w:bottom w:val="none" w:sz="0" w:space="0" w:color="auto"/>
                    <w:right w:val="none" w:sz="0" w:space="0" w:color="auto"/>
                  </w:divBdr>
                </w:div>
                <w:div w:id="312414531">
                  <w:marLeft w:val="0"/>
                  <w:marRight w:val="0"/>
                  <w:marTop w:val="0"/>
                  <w:marBottom w:val="0"/>
                  <w:divBdr>
                    <w:top w:val="none" w:sz="0" w:space="0" w:color="auto"/>
                    <w:left w:val="none" w:sz="0" w:space="0" w:color="auto"/>
                    <w:bottom w:val="none" w:sz="0" w:space="0" w:color="auto"/>
                    <w:right w:val="none" w:sz="0" w:space="0" w:color="auto"/>
                  </w:divBdr>
                </w:div>
                <w:div w:id="377242999">
                  <w:marLeft w:val="0"/>
                  <w:marRight w:val="0"/>
                  <w:marTop w:val="0"/>
                  <w:marBottom w:val="0"/>
                  <w:divBdr>
                    <w:top w:val="none" w:sz="0" w:space="0" w:color="auto"/>
                    <w:left w:val="none" w:sz="0" w:space="0" w:color="auto"/>
                    <w:bottom w:val="none" w:sz="0" w:space="0" w:color="auto"/>
                    <w:right w:val="none" w:sz="0" w:space="0" w:color="auto"/>
                  </w:divBdr>
                </w:div>
                <w:div w:id="414593410">
                  <w:marLeft w:val="0"/>
                  <w:marRight w:val="0"/>
                  <w:marTop w:val="0"/>
                  <w:marBottom w:val="0"/>
                  <w:divBdr>
                    <w:top w:val="none" w:sz="0" w:space="0" w:color="auto"/>
                    <w:left w:val="none" w:sz="0" w:space="0" w:color="auto"/>
                    <w:bottom w:val="none" w:sz="0" w:space="0" w:color="auto"/>
                    <w:right w:val="none" w:sz="0" w:space="0" w:color="auto"/>
                  </w:divBdr>
                </w:div>
                <w:div w:id="434254721">
                  <w:marLeft w:val="0"/>
                  <w:marRight w:val="0"/>
                  <w:marTop w:val="0"/>
                  <w:marBottom w:val="0"/>
                  <w:divBdr>
                    <w:top w:val="none" w:sz="0" w:space="0" w:color="auto"/>
                    <w:left w:val="none" w:sz="0" w:space="0" w:color="auto"/>
                    <w:bottom w:val="none" w:sz="0" w:space="0" w:color="auto"/>
                    <w:right w:val="none" w:sz="0" w:space="0" w:color="auto"/>
                  </w:divBdr>
                </w:div>
                <w:div w:id="435756700">
                  <w:marLeft w:val="0"/>
                  <w:marRight w:val="0"/>
                  <w:marTop w:val="0"/>
                  <w:marBottom w:val="0"/>
                  <w:divBdr>
                    <w:top w:val="none" w:sz="0" w:space="0" w:color="auto"/>
                    <w:left w:val="none" w:sz="0" w:space="0" w:color="auto"/>
                    <w:bottom w:val="none" w:sz="0" w:space="0" w:color="auto"/>
                    <w:right w:val="none" w:sz="0" w:space="0" w:color="auto"/>
                  </w:divBdr>
                </w:div>
                <w:div w:id="458574566">
                  <w:marLeft w:val="0"/>
                  <w:marRight w:val="0"/>
                  <w:marTop w:val="0"/>
                  <w:marBottom w:val="0"/>
                  <w:divBdr>
                    <w:top w:val="none" w:sz="0" w:space="0" w:color="auto"/>
                    <w:left w:val="none" w:sz="0" w:space="0" w:color="auto"/>
                    <w:bottom w:val="none" w:sz="0" w:space="0" w:color="auto"/>
                    <w:right w:val="none" w:sz="0" w:space="0" w:color="auto"/>
                  </w:divBdr>
                </w:div>
                <w:div w:id="508641329">
                  <w:marLeft w:val="0"/>
                  <w:marRight w:val="0"/>
                  <w:marTop w:val="0"/>
                  <w:marBottom w:val="0"/>
                  <w:divBdr>
                    <w:top w:val="none" w:sz="0" w:space="0" w:color="auto"/>
                    <w:left w:val="none" w:sz="0" w:space="0" w:color="auto"/>
                    <w:bottom w:val="none" w:sz="0" w:space="0" w:color="auto"/>
                    <w:right w:val="none" w:sz="0" w:space="0" w:color="auto"/>
                  </w:divBdr>
                </w:div>
                <w:div w:id="593318780">
                  <w:marLeft w:val="0"/>
                  <w:marRight w:val="0"/>
                  <w:marTop w:val="0"/>
                  <w:marBottom w:val="0"/>
                  <w:divBdr>
                    <w:top w:val="none" w:sz="0" w:space="0" w:color="auto"/>
                    <w:left w:val="none" w:sz="0" w:space="0" w:color="auto"/>
                    <w:bottom w:val="none" w:sz="0" w:space="0" w:color="auto"/>
                    <w:right w:val="none" w:sz="0" w:space="0" w:color="auto"/>
                  </w:divBdr>
                </w:div>
                <w:div w:id="655189638">
                  <w:marLeft w:val="0"/>
                  <w:marRight w:val="0"/>
                  <w:marTop w:val="0"/>
                  <w:marBottom w:val="0"/>
                  <w:divBdr>
                    <w:top w:val="none" w:sz="0" w:space="0" w:color="auto"/>
                    <w:left w:val="none" w:sz="0" w:space="0" w:color="auto"/>
                    <w:bottom w:val="none" w:sz="0" w:space="0" w:color="auto"/>
                    <w:right w:val="none" w:sz="0" w:space="0" w:color="auto"/>
                  </w:divBdr>
                </w:div>
                <w:div w:id="658579108">
                  <w:marLeft w:val="0"/>
                  <w:marRight w:val="0"/>
                  <w:marTop w:val="0"/>
                  <w:marBottom w:val="0"/>
                  <w:divBdr>
                    <w:top w:val="none" w:sz="0" w:space="0" w:color="auto"/>
                    <w:left w:val="none" w:sz="0" w:space="0" w:color="auto"/>
                    <w:bottom w:val="none" w:sz="0" w:space="0" w:color="auto"/>
                    <w:right w:val="none" w:sz="0" w:space="0" w:color="auto"/>
                  </w:divBdr>
                </w:div>
                <w:div w:id="700787270">
                  <w:marLeft w:val="0"/>
                  <w:marRight w:val="0"/>
                  <w:marTop w:val="0"/>
                  <w:marBottom w:val="0"/>
                  <w:divBdr>
                    <w:top w:val="none" w:sz="0" w:space="0" w:color="auto"/>
                    <w:left w:val="none" w:sz="0" w:space="0" w:color="auto"/>
                    <w:bottom w:val="none" w:sz="0" w:space="0" w:color="auto"/>
                    <w:right w:val="none" w:sz="0" w:space="0" w:color="auto"/>
                  </w:divBdr>
                </w:div>
                <w:div w:id="701788360">
                  <w:marLeft w:val="0"/>
                  <w:marRight w:val="0"/>
                  <w:marTop w:val="0"/>
                  <w:marBottom w:val="0"/>
                  <w:divBdr>
                    <w:top w:val="none" w:sz="0" w:space="0" w:color="auto"/>
                    <w:left w:val="none" w:sz="0" w:space="0" w:color="auto"/>
                    <w:bottom w:val="none" w:sz="0" w:space="0" w:color="auto"/>
                    <w:right w:val="none" w:sz="0" w:space="0" w:color="auto"/>
                  </w:divBdr>
                </w:div>
                <w:div w:id="706610708">
                  <w:marLeft w:val="0"/>
                  <w:marRight w:val="0"/>
                  <w:marTop w:val="0"/>
                  <w:marBottom w:val="0"/>
                  <w:divBdr>
                    <w:top w:val="none" w:sz="0" w:space="0" w:color="auto"/>
                    <w:left w:val="none" w:sz="0" w:space="0" w:color="auto"/>
                    <w:bottom w:val="none" w:sz="0" w:space="0" w:color="auto"/>
                    <w:right w:val="none" w:sz="0" w:space="0" w:color="auto"/>
                  </w:divBdr>
                </w:div>
                <w:div w:id="807941437">
                  <w:marLeft w:val="0"/>
                  <w:marRight w:val="0"/>
                  <w:marTop w:val="0"/>
                  <w:marBottom w:val="0"/>
                  <w:divBdr>
                    <w:top w:val="none" w:sz="0" w:space="0" w:color="auto"/>
                    <w:left w:val="none" w:sz="0" w:space="0" w:color="auto"/>
                    <w:bottom w:val="none" w:sz="0" w:space="0" w:color="auto"/>
                    <w:right w:val="none" w:sz="0" w:space="0" w:color="auto"/>
                  </w:divBdr>
                </w:div>
                <w:div w:id="826634396">
                  <w:marLeft w:val="0"/>
                  <w:marRight w:val="0"/>
                  <w:marTop w:val="0"/>
                  <w:marBottom w:val="0"/>
                  <w:divBdr>
                    <w:top w:val="none" w:sz="0" w:space="0" w:color="auto"/>
                    <w:left w:val="none" w:sz="0" w:space="0" w:color="auto"/>
                    <w:bottom w:val="none" w:sz="0" w:space="0" w:color="auto"/>
                    <w:right w:val="none" w:sz="0" w:space="0" w:color="auto"/>
                  </w:divBdr>
                </w:div>
                <w:div w:id="848258063">
                  <w:marLeft w:val="0"/>
                  <w:marRight w:val="0"/>
                  <w:marTop w:val="0"/>
                  <w:marBottom w:val="0"/>
                  <w:divBdr>
                    <w:top w:val="none" w:sz="0" w:space="0" w:color="auto"/>
                    <w:left w:val="none" w:sz="0" w:space="0" w:color="auto"/>
                    <w:bottom w:val="none" w:sz="0" w:space="0" w:color="auto"/>
                    <w:right w:val="none" w:sz="0" w:space="0" w:color="auto"/>
                  </w:divBdr>
                </w:div>
                <w:div w:id="849831209">
                  <w:marLeft w:val="0"/>
                  <w:marRight w:val="0"/>
                  <w:marTop w:val="0"/>
                  <w:marBottom w:val="0"/>
                  <w:divBdr>
                    <w:top w:val="none" w:sz="0" w:space="0" w:color="auto"/>
                    <w:left w:val="none" w:sz="0" w:space="0" w:color="auto"/>
                    <w:bottom w:val="none" w:sz="0" w:space="0" w:color="auto"/>
                    <w:right w:val="none" w:sz="0" w:space="0" w:color="auto"/>
                  </w:divBdr>
                </w:div>
                <w:div w:id="851069020">
                  <w:marLeft w:val="0"/>
                  <w:marRight w:val="0"/>
                  <w:marTop w:val="0"/>
                  <w:marBottom w:val="0"/>
                  <w:divBdr>
                    <w:top w:val="none" w:sz="0" w:space="0" w:color="auto"/>
                    <w:left w:val="none" w:sz="0" w:space="0" w:color="auto"/>
                    <w:bottom w:val="none" w:sz="0" w:space="0" w:color="auto"/>
                    <w:right w:val="none" w:sz="0" w:space="0" w:color="auto"/>
                  </w:divBdr>
                </w:div>
                <w:div w:id="858007841">
                  <w:marLeft w:val="0"/>
                  <w:marRight w:val="0"/>
                  <w:marTop w:val="0"/>
                  <w:marBottom w:val="0"/>
                  <w:divBdr>
                    <w:top w:val="none" w:sz="0" w:space="0" w:color="auto"/>
                    <w:left w:val="none" w:sz="0" w:space="0" w:color="auto"/>
                    <w:bottom w:val="none" w:sz="0" w:space="0" w:color="auto"/>
                    <w:right w:val="none" w:sz="0" w:space="0" w:color="auto"/>
                  </w:divBdr>
                </w:div>
                <w:div w:id="926042696">
                  <w:marLeft w:val="0"/>
                  <w:marRight w:val="0"/>
                  <w:marTop w:val="0"/>
                  <w:marBottom w:val="0"/>
                  <w:divBdr>
                    <w:top w:val="none" w:sz="0" w:space="0" w:color="auto"/>
                    <w:left w:val="none" w:sz="0" w:space="0" w:color="auto"/>
                    <w:bottom w:val="none" w:sz="0" w:space="0" w:color="auto"/>
                    <w:right w:val="none" w:sz="0" w:space="0" w:color="auto"/>
                  </w:divBdr>
                </w:div>
                <w:div w:id="937176217">
                  <w:marLeft w:val="0"/>
                  <w:marRight w:val="0"/>
                  <w:marTop w:val="0"/>
                  <w:marBottom w:val="0"/>
                  <w:divBdr>
                    <w:top w:val="none" w:sz="0" w:space="0" w:color="auto"/>
                    <w:left w:val="none" w:sz="0" w:space="0" w:color="auto"/>
                    <w:bottom w:val="none" w:sz="0" w:space="0" w:color="auto"/>
                    <w:right w:val="none" w:sz="0" w:space="0" w:color="auto"/>
                  </w:divBdr>
                </w:div>
                <w:div w:id="982123957">
                  <w:marLeft w:val="0"/>
                  <w:marRight w:val="0"/>
                  <w:marTop w:val="0"/>
                  <w:marBottom w:val="0"/>
                  <w:divBdr>
                    <w:top w:val="none" w:sz="0" w:space="0" w:color="auto"/>
                    <w:left w:val="none" w:sz="0" w:space="0" w:color="auto"/>
                    <w:bottom w:val="none" w:sz="0" w:space="0" w:color="auto"/>
                    <w:right w:val="none" w:sz="0" w:space="0" w:color="auto"/>
                  </w:divBdr>
                </w:div>
                <w:div w:id="986281131">
                  <w:marLeft w:val="0"/>
                  <w:marRight w:val="0"/>
                  <w:marTop w:val="0"/>
                  <w:marBottom w:val="0"/>
                  <w:divBdr>
                    <w:top w:val="none" w:sz="0" w:space="0" w:color="auto"/>
                    <w:left w:val="none" w:sz="0" w:space="0" w:color="auto"/>
                    <w:bottom w:val="none" w:sz="0" w:space="0" w:color="auto"/>
                    <w:right w:val="none" w:sz="0" w:space="0" w:color="auto"/>
                  </w:divBdr>
                </w:div>
                <w:div w:id="986513477">
                  <w:marLeft w:val="0"/>
                  <w:marRight w:val="0"/>
                  <w:marTop w:val="0"/>
                  <w:marBottom w:val="0"/>
                  <w:divBdr>
                    <w:top w:val="none" w:sz="0" w:space="0" w:color="auto"/>
                    <w:left w:val="none" w:sz="0" w:space="0" w:color="auto"/>
                    <w:bottom w:val="none" w:sz="0" w:space="0" w:color="auto"/>
                    <w:right w:val="none" w:sz="0" w:space="0" w:color="auto"/>
                  </w:divBdr>
                </w:div>
                <w:div w:id="986859093">
                  <w:marLeft w:val="0"/>
                  <w:marRight w:val="0"/>
                  <w:marTop w:val="0"/>
                  <w:marBottom w:val="0"/>
                  <w:divBdr>
                    <w:top w:val="none" w:sz="0" w:space="0" w:color="auto"/>
                    <w:left w:val="none" w:sz="0" w:space="0" w:color="auto"/>
                    <w:bottom w:val="none" w:sz="0" w:space="0" w:color="auto"/>
                    <w:right w:val="none" w:sz="0" w:space="0" w:color="auto"/>
                  </w:divBdr>
                </w:div>
                <w:div w:id="987784797">
                  <w:marLeft w:val="0"/>
                  <w:marRight w:val="0"/>
                  <w:marTop w:val="0"/>
                  <w:marBottom w:val="0"/>
                  <w:divBdr>
                    <w:top w:val="none" w:sz="0" w:space="0" w:color="auto"/>
                    <w:left w:val="none" w:sz="0" w:space="0" w:color="auto"/>
                    <w:bottom w:val="none" w:sz="0" w:space="0" w:color="auto"/>
                    <w:right w:val="none" w:sz="0" w:space="0" w:color="auto"/>
                  </w:divBdr>
                </w:div>
                <w:div w:id="993678357">
                  <w:marLeft w:val="0"/>
                  <w:marRight w:val="0"/>
                  <w:marTop w:val="0"/>
                  <w:marBottom w:val="0"/>
                  <w:divBdr>
                    <w:top w:val="none" w:sz="0" w:space="0" w:color="auto"/>
                    <w:left w:val="none" w:sz="0" w:space="0" w:color="auto"/>
                    <w:bottom w:val="none" w:sz="0" w:space="0" w:color="auto"/>
                    <w:right w:val="none" w:sz="0" w:space="0" w:color="auto"/>
                  </w:divBdr>
                </w:div>
                <w:div w:id="1001156262">
                  <w:marLeft w:val="0"/>
                  <w:marRight w:val="0"/>
                  <w:marTop w:val="0"/>
                  <w:marBottom w:val="0"/>
                  <w:divBdr>
                    <w:top w:val="none" w:sz="0" w:space="0" w:color="auto"/>
                    <w:left w:val="none" w:sz="0" w:space="0" w:color="auto"/>
                    <w:bottom w:val="none" w:sz="0" w:space="0" w:color="auto"/>
                    <w:right w:val="none" w:sz="0" w:space="0" w:color="auto"/>
                  </w:divBdr>
                </w:div>
                <w:div w:id="1014502797">
                  <w:marLeft w:val="0"/>
                  <w:marRight w:val="0"/>
                  <w:marTop w:val="0"/>
                  <w:marBottom w:val="0"/>
                  <w:divBdr>
                    <w:top w:val="none" w:sz="0" w:space="0" w:color="auto"/>
                    <w:left w:val="none" w:sz="0" w:space="0" w:color="auto"/>
                    <w:bottom w:val="none" w:sz="0" w:space="0" w:color="auto"/>
                    <w:right w:val="none" w:sz="0" w:space="0" w:color="auto"/>
                  </w:divBdr>
                </w:div>
                <w:div w:id="1043598328">
                  <w:marLeft w:val="0"/>
                  <w:marRight w:val="0"/>
                  <w:marTop w:val="0"/>
                  <w:marBottom w:val="0"/>
                  <w:divBdr>
                    <w:top w:val="none" w:sz="0" w:space="0" w:color="auto"/>
                    <w:left w:val="none" w:sz="0" w:space="0" w:color="auto"/>
                    <w:bottom w:val="none" w:sz="0" w:space="0" w:color="auto"/>
                    <w:right w:val="none" w:sz="0" w:space="0" w:color="auto"/>
                  </w:divBdr>
                </w:div>
                <w:div w:id="1050230699">
                  <w:marLeft w:val="0"/>
                  <w:marRight w:val="0"/>
                  <w:marTop w:val="0"/>
                  <w:marBottom w:val="0"/>
                  <w:divBdr>
                    <w:top w:val="none" w:sz="0" w:space="0" w:color="auto"/>
                    <w:left w:val="none" w:sz="0" w:space="0" w:color="auto"/>
                    <w:bottom w:val="none" w:sz="0" w:space="0" w:color="auto"/>
                    <w:right w:val="none" w:sz="0" w:space="0" w:color="auto"/>
                  </w:divBdr>
                </w:div>
                <w:div w:id="1109475320">
                  <w:marLeft w:val="0"/>
                  <w:marRight w:val="0"/>
                  <w:marTop w:val="0"/>
                  <w:marBottom w:val="0"/>
                  <w:divBdr>
                    <w:top w:val="none" w:sz="0" w:space="0" w:color="auto"/>
                    <w:left w:val="none" w:sz="0" w:space="0" w:color="auto"/>
                    <w:bottom w:val="none" w:sz="0" w:space="0" w:color="auto"/>
                    <w:right w:val="none" w:sz="0" w:space="0" w:color="auto"/>
                  </w:divBdr>
                </w:div>
                <w:div w:id="1141311031">
                  <w:marLeft w:val="0"/>
                  <w:marRight w:val="0"/>
                  <w:marTop w:val="0"/>
                  <w:marBottom w:val="0"/>
                  <w:divBdr>
                    <w:top w:val="none" w:sz="0" w:space="0" w:color="auto"/>
                    <w:left w:val="none" w:sz="0" w:space="0" w:color="auto"/>
                    <w:bottom w:val="none" w:sz="0" w:space="0" w:color="auto"/>
                    <w:right w:val="none" w:sz="0" w:space="0" w:color="auto"/>
                  </w:divBdr>
                </w:div>
                <w:div w:id="1167743754">
                  <w:marLeft w:val="0"/>
                  <w:marRight w:val="0"/>
                  <w:marTop w:val="0"/>
                  <w:marBottom w:val="0"/>
                  <w:divBdr>
                    <w:top w:val="none" w:sz="0" w:space="0" w:color="auto"/>
                    <w:left w:val="none" w:sz="0" w:space="0" w:color="auto"/>
                    <w:bottom w:val="none" w:sz="0" w:space="0" w:color="auto"/>
                    <w:right w:val="none" w:sz="0" w:space="0" w:color="auto"/>
                  </w:divBdr>
                </w:div>
                <w:div w:id="1176767854">
                  <w:marLeft w:val="0"/>
                  <w:marRight w:val="0"/>
                  <w:marTop w:val="0"/>
                  <w:marBottom w:val="0"/>
                  <w:divBdr>
                    <w:top w:val="none" w:sz="0" w:space="0" w:color="auto"/>
                    <w:left w:val="none" w:sz="0" w:space="0" w:color="auto"/>
                    <w:bottom w:val="none" w:sz="0" w:space="0" w:color="auto"/>
                    <w:right w:val="none" w:sz="0" w:space="0" w:color="auto"/>
                  </w:divBdr>
                </w:div>
                <w:div w:id="1178613699">
                  <w:marLeft w:val="0"/>
                  <w:marRight w:val="0"/>
                  <w:marTop w:val="0"/>
                  <w:marBottom w:val="0"/>
                  <w:divBdr>
                    <w:top w:val="none" w:sz="0" w:space="0" w:color="auto"/>
                    <w:left w:val="none" w:sz="0" w:space="0" w:color="auto"/>
                    <w:bottom w:val="none" w:sz="0" w:space="0" w:color="auto"/>
                    <w:right w:val="none" w:sz="0" w:space="0" w:color="auto"/>
                  </w:divBdr>
                </w:div>
                <w:div w:id="1179544314">
                  <w:marLeft w:val="0"/>
                  <w:marRight w:val="0"/>
                  <w:marTop w:val="0"/>
                  <w:marBottom w:val="0"/>
                  <w:divBdr>
                    <w:top w:val="none" w:sz="0" w:space="0" w:color="auto"/>
                    <w:left w:val="none" w:sz="0" w:space="0" w:color="auto"/>
                    <w:bottom w:val="none" w:sz="0" w:space="0" w:color="auto"/>
                    <w:right w:val="none" w:sz="0" w:space="0" w:color="auto"/>
                  </w:divBdr>
                </w:div>
                <w:div w:id="1184322655">
                  <w:marLeft w:val="0"/>
                  <w:marRight w:val="0"/>
                  <w:marTop w:val="0"/>
                  <w:marBottom w:val="0"/>
                  <w:divBdr>
                    <w:top w:val="none" w:sz="0" w:space="0" w:color="auto"/>
                    <w:left w:val="none" w:sz="0" w:space="0" w:color="auto"/>
                    <w:bottom w:val="none" w:sz="0" w:space="0" w:color="auto"/>
                    <w:right w:val="none" w:sz="0" w:space="0" w:color="auto"/>
                  </w:divBdr>
                </w:div>
                <w:div w:id="1187331823">
                  <w:marLeft w:val="0"/>
                  <w:marRight w:val="0"/>
                  <w:marTop w:val="0"/>
                  <w:marBottom w:val="0"/>
                  <w:divBdr>
                    <w:top w:val="none" w:sz="0" w:space="0" w:color="auto"/>
                    <w:left w:val="none" w:sz="0" w:space="0" w:color="auto"/>
                    <w:bottom w:val="none" w:sz="0" w:space="0" w:color="auto"/>
                    <w:right w:val="none" w:sz="0" w:space="0" w:color="auto"/>
                  </w:divBdr>
                </w:div>
                <w:div w:id="1189637368">
                  <w:marLeft w:val="0"/>
                  <w:marRight w:val="0"/>
                  <w:marTop w:val="0"/>
                  <w:marBottom w:val="0"/>
                  <w:divBdr>
                    <w:top w:val="none" w:sz="0" w:space="0" w:color="auto"/>
                    <w:left w:val="none" w:sz="0" w:space="0" w:color="auto"/>
                    <w:bottom w:val="none" w:sz="0" w:space="0" w:color="auto"/>
                    <w:right w:val="none" w:sz="0" w:space="0" w:color="auto"/>
                  </w:divBdr>
                </w:div>
                <w:div w:id="1220243279">
                  <w:marLeft w:val="0"/>
                  <w:marRight w:val="0"/>
                  <w:marTop w:val="0"/>
                  <w:marBottom w:val="0"/>
                  <w:divBdr>
                    <w:top w:val="none" w:sz="0" w:space="0" w:color="auto"/>
                    <w:left w:val="none" w:sz="0" w:space="0" w:color="auto"/>
                    <w:bottom w:val="none" w:sz="0" w:space="0" w:color="auto"/>
                    <w:right w:val="none" w:sz="0" w:space="0" w:color="auto"/>
                  </w:divBdr>
                </w:div>
                <w:div w:id="1236552261">
                  <w:marLeft w:val="0"/>
                  <w:marRight w:val="0"/>
                  <w:marTop w:val="0"/>
                  <w:marBottom w:val="0"/>
                  <w:divBdr>
                    <w:top w:val="none" w:sz="0" w:space="0" w:color="auto"/>
                    <w:left w:val="none" w:sz="0" w:space="0" w:color="auto"/>
                    <w:bottom w:val="none" w:sz="0" w:space="0" w:color="auto"/>
                    <w:right w:val="none" w:sz="0" w:space="0" w:color="auto"/>
                  </w:divBdr>
                </w:div>
                <w:div w:id="1240094311">
                  <w:marLeft w:val="0"/>
                  <w:marRight w:val="0"/>
                  <w:marTop w:val="0"/>
                  <w:marBottom w:val="0"/>
                  <w:divBdr>
                    <w:top w:val="none" w:sz="0" w:space="0" w:color="auto"/>
                    <w:left w:val="none" w:sz="0" w:space="0" w:color="auto"/>
                    <w:bottom w:val="none" w:sz="0" w:space="0" w:color="auto"/>
                    <w:right w:val="none" w:sz="0" w:space="0" w:color="auto"/>
                  </w:divBdr>
                </w:div>
                <w:div w:id="1252810647">
                  <w:marLeft w:val="0"/>
                  <w:marRight w:val="0"/>
                  <w:marTop w:val="0"/>
                  <w:marBottom w:val="0"/>
                  <w:divBdr>
                    <w:top w:val="none" w:sz="0" w:space="0" w:color="auto"/>
                    <w:left w:val="none" w:sz="0" w:space="0" w:color="auto"/>
                    <w:bottom w:val="none" w:sz="0" w:space="0" w:color="auto"/>
                    <w:right w:val="none" w:sz="0" w:space="0" w:color="auto"/>
                  </w:divBdr>
                </w:div>
                <w:div w:id="1356929219">
                  <w:marLeft w:val="0"/>
                  <w:marRight w:val="0"/>
                  <w:marTop w:val="0"/>
                  <w:marBottom w:val="0"/>
                  <w:divBdr>
                    <w:top w:val="none" w:sz="0" w:space="0" w:color="auto"/>
                    <w:left w:val="none" w:sz="0" w:space="0" w:color="auto"/>
                    <w:bottom w:val="none" w:sz="0" w:space="0" w:color="auto"/>
                    <w:right w:val="none" w:sz="0" w:space="0" w:color="auto"/>
                  </w:divBdr>
                </w:div>
                <w:div w:id="1411078660">
                  <w:marLeft w:val="0"/>
                  <w:marRight w:val="0"/>
                  <w:marTop w:val="0"/>
                  <w:marBottom w:val="0"/>
                  <w:divBdr>
                    <w:top w:val="none" w:sz="0" w:space="0" w:color="auto"/>
                    <w:left w:val="none" w:sz="0" w:space="0" w:color="auto"/>
                    <w:bottom w:val="none" w:sz="0" w:space="0" w:color="auto"/>
                    <w:right w:val="none" w:sz="0" w:space="0" w:color="auto"/>
                  </w:divBdr>
                </w:div>
                <w:div w:id="1430732335">
                  <w:marLeft w:val="0"/>
                  <w:marRight w:val="0"/>
                  <w:marTop w:val="0"/>
                  <w:marBottom w:val="0"/>
                  <w:divBdr>
                    <w:top w:val="none" w:sz="0" w:space="0" w:color="auto"/>
                    <w:left w:val="none" w:sz="0" w:space="0" w:color="auto"/>
                    <w:bottom w:val="none" w:sz="0" w:space="0" w:color="auto"/>
                    <w:right w:val="none" w:sz="0" w:space="0" w:color="auto"/>
                  </w:divBdr>
                </w:div>
                <w:div w:id="1448281897">
                  <w:marLeft w:val="0"/>
                  <w:marRight w:val="0"/>
                  <w:marTop w:val="0"/>
                  <w:marBottom w:val="0"/>
                  <w:divBdr>
                    <w:top w:val="none" w:sz="0" w:space="0" w:color="auto"/>
                    <w:left w:val="none" w:sz="0" w:space="0" w:color="auto"/>
                    <w:bottom w:val="none" w:sz="0" w:space="0" w:color="auto"/>
                    <w:right w:val="none" w:sz="0" w:space="0" w:color="auto"/>
                  </w:divBdr>
                </w:div>
                <w:div w:id="1475292121">
                  <w:marLeft w:val="0"/>
                  <w:marRight w:val="0"/>
                  <w:marTop w:val="0"/>
                  <w:marBottom w:val="0"/>
                  <w:divBdr>
                    <w:top w:val="none" w:sz="0" w:space="0" w:color="auto"/>
                    <w:left w:val="none" w:sz="0" w:space="0" w:color="auto"/>
                    <w:bottom w:val="none" w:sz="0" w:space="0" w:color="auto"/>
                    <w:right w:val="none" w:sz="0" w:space="0" w:color="auto"/>
                  </w:divBdr>
                </w:div>
                <w:div w:id="1523015335">
                  <w:marLeft w:val="0"/>
                  <w:marRight w:val="0"/>
                  <w:marTop w:val="0"/>
                  <w:marBottom w:val="0"/>
                  <w:divBdr>
                    <w:top w:val="none" w:sz="0" w:space="0" w:color="auto"/>
                    <w:left w:val="none" w:sz="0" w:space="0" w:color="auto"/>
                    <w:bottom w:val="none" w:sz="0" w:space="0" w:color="auto"/>
                    <w:right w:val="none" w:sz="0" w:space="0" w:color="auto"/>
                  </w:divBdr>
                </w:div>
                <w:div w:id="1536432245">
                  <w:marLeft w:val="0"/>
                  <w:marRight w:val="0"/>
                  <w:marTop w:val="0"/>
                  <w:marBottom w:val="0"/>
                  <w:divBdr>
                    <w:top w:val="none" w:sz="0" w:space="0" w:color="auto"/>
                    <w:left w:val="none" w:sz="0" w:space="0" w:color="auto"/>
                    <w:bottom w:val="none" w:sz="0" w:space="0" w:color="auto"/>
                    <w:right w:val="none" w:sz="0" w:space="0" w:color="auto"/>
                  </w:divBdr>
                </w:div>
                <w:div w:id="1600679907">
                  <w:marLeft w:val="0"/>
                  <w:marRight w:val="0"/>
                  <w:marTop w:val="0"/>
                  <w:marBottom w:val="0"/>
                  <w:divBdr>
                    <w:top w:val="none" w:sz="0" w:space="0" w:color="auto"/>
                    <w:left w:val="none" w:sz="0" w:space="0" w:color="auto"/>
                    <w:bottom w:val="none" w:sz="0" w:space="0" w:color="auto"/>
                    <w:right w:val="none" w:sz="0" w:space="0" w:color="auto"/>
                  </w:divBdr>
                </w:div>
                <w:div w:id="1607807991">
                  <w:marLeft w:val="0"/>
                  <w:marRight w:val="0"/>
                  <w:marTop w:val="0"/>
                  <w:marBottom w:val="0"/>
                  <w:divBdr>
                    <w:top w:val="none" w:sz="0" w:space="0" w:color="auto"/>
                    <w:left w:val="none" w:sz="0" w:space="0" w:color="auto"/>
                    <w:bottom w:val="none" w:sz="0" w:space="0" w:color="auto"/>
                    <w:right w:val="none" w:sz="0" w:space="0" w:color="auto"/>
                  </w:divBdr>
                </w:div>
                <w:div w:id="1641567470">
                  <w:marLeft w:val="0"/>
                  <w:marRight w:val="0"/>
                  <w:marTop w:val="0"/>
                  <w:marBottom w:val="0"/>
                  <w:divBdr>
                    <w:top w:val="none" w:sz="0" w:space="0" w:color="auto"/>
                    <w:left w:val="none" w:sz="0" w:space="0" w:color="auto"/>
                    <w:bottom w:val="none" w:sz="0" w:space="0" w:color="auto"/>
                    <w:right w:val="none" w:sz="0" w:space="0" w:color="auto"/>
                  </w:divBdr>
                </w:div>
                <w:div w:id="1656765357">
                  <w:marLeft w:val="0"/>
                  <w:marRight w:val="0"/>
                  <w:marTop w:val="0"/>
                  <w:marBottom w:val="0"/>
                  <w:divBdr>
                    <w:top w:val="none" w:sz="0" w:space="0" w:color="auto"/>
                    <w:left w:val="none" w:sz="0" w:space="0" w:color="auto"/>
                    <w:bottom w:val="none" w:sz="0" w:space="0" w:color="auto"/>
                    <w:right w:val="none" w:sz="0" w:space="0" w:color="auto"/>
                  </w:divBdr>
                </w:div>
                <w:div w:id="1668173307">
                  <w:marLeft w:val="0"/>
                  <w:marRight w:val="0"/>
                  <w:marTop w:val="0"/>
                  <w:marBottom w:val="0"/>
                  <w:divBdr>
                    <w:top w:val="none" w:sz="0" w:space="0" w:color="auto"/>
                    <w:left w:val="none" w:sz="0" w:space="0" w:color="auto"/>
                    <w:bottom w:val="none" w:sz="0" w:space="0" w:color="auto"/>
                    <w:right w:val="none" w:sz="0" w:space="0" w:color="auto"/>
                  </w:divBdr>
                </w:div>
                <w:div w:id="1692611775">
                  <w:marLeft w:val="0"/>
                  <w:marRight w:val="0"/>
                  <w:marTop w:val="0"/>
                  <w:marBottom w:val="0"/>
                  <w:divBdr>
                    <w:top w:val="none" w:sz="0" w:space="0" w:color="auto"/>
                    <w:left w:val="none" w:sz="0" w:space="0" w:color="auto"/>
                    <w:bottom w:val="none" w:sz="0" w:space="0" w:color="auto"/>
                    <w:right w:val="none" w:sz="0" w:space="0" w:color="auto"/>
                  </w:divBdr>
                </w:div>
                <w:div w:id="1694380412">
                  <w:marLeft w:val="0"/>
                  <w:marRight w:val="0"/>
                  <w:marTop w:val="0"/>
                  <w:marBottom w:val="0"/>
                  <w:divBdr>
                    <w:top w:val="none" w:sz="0" w:space="0" w:color="auto"/>
                    <w:left w:val="none" w:sz="0" w:space="0" w:color="auto"/>
                    <w:bottom w:val="none" w:sz="0" w:space="0" w:color="auto"/>
                    <w:right w:val="none" w:sz="0" w:space="0" w:color="auto"/>
                  </w:divBdr>
                </w:div>
                <w:div w:id="1713655807">
                  <w:marLeft w:val="0"/>
                  <w:marRight w:val="0"/>
                  <w:marTop w:val="0"/>
                  <w:marBottom w:val="0"/>
                  <w:divBdr>
                    <w:top w:val="none" w:sz="0" w:space="0" w:color="auto"/>
                    <w:left w:val="none" w:sz="0" w:space="0" w:color="auto"/>
                    <w:bottom w:val="none" w:sz="0" w:space="0" w:color="auto"/>
                    <w:right w:val="none" w:sz="0" w:space="0" w:color="auto"/>
                  </w:divBdr>
                </w:div>
                <w:div w:id="1753745832">
                  <w:marLeft w:val="0"/>
                  <w:marRight w:val="0"/>
                  <w:marTop w:val="0"/>
                  <w:marBottom w:val="0"/>
                  <w:divBdr>
                    <w:top w:val="none" w:sz="0" w:space="0" w:color="auto"/>
                    <w:left w:val="none" w:sz="0" w:space="0" w:color="auto"/>
                    <w:bottom w:val="none" w:sz="0" w:space="0" w:color="auto"/>
                    <w:right w:val="none" w:sz="0" w:space="0" w:color="auto"/>
                  </w:divBdr>
                </w:div>
                <w:div w:id="1778062653">
                  <w:marLeft w:val="0"/>
                  <w:marRight w:val="0"/>
                  <w:marTop w:val="0"/>
                  <w:marBottom w:val="0"/>
                  <w:divBdr>
                    <w:top w:val="none" w:sz="0" w:space="0" w:color="auto"/>
                    <w:left w:val="none" w:sz="0" w:space="0" w:color="auto"/>
                    <w:bottom w:val="none" w:sz="0" w:space="0" w:color="auto"/>
                    <w:right w:val="none" w:sz="0" w:space="0" w:color="auto"/>
                  </w:divBdr>
                </w:div>
                <w:div w:id="1802963372">
                  <w:marLeft w:val="0"/>
                  <w:marRight w:val="0"/>
                  <w:marTop w:val="0"/>
                  <w:marBottom w:val="0"/>
                  <w:divBdr>
                    <w:top w:val="none" w:sz="0" w:space="0" w:color="auto"/>
                    <w:left w:val="none" w:sz="0" w:space="0" w:color="auto"/>
                    <w:bottom w:val="none" w:sz="0" w:space="0" w:color="auto"/>
                    <w:right w:val="none" w:sz="0" w:space="0" w:color="auto"/>
                  </w:divBdr>
                </w:div>
                <w:div w:id="1806386627">
                  <w:marLeft w:val="0"/>
                  <w:marRight w:val="0"/>
                  <w:marTop w:val="0"/>
                  <w:marBottom w:val="0"/>
                  <w:divBdr>
                    <w:top w:val="none" w:sz="0" w:space="0" w:color="auto"/>
                    <w:left w:val="none" w:sz="0" w:space="0" w:color="auto"/>
                    <w:bottom w:val="none" w:sz="0" w:space="0" w:color="auto"/>
                    <w:right w:val="none" w:sz="0" w:space="0" w:color="auto"/>
                  </w:divBdr>
                </w:div>
                <w:div w:id="1869560825">
                  <w:marLeft w:val="0"/>
                  <w:marRight w:val="0"/>
                  <w:marTop w:val="0"/>
                  <w:marBottom w:val="0"/>
                  <w:divBdr>
                    <w:top w:val="none" w:sz="0" w:space="0" w:color="auto"/>
                    <w:left w:val="none" w:sz="0" w:space="0" w:color="auto"/>
                    <w:bottom w:val="none" w:sz="0" w:space="0" w:color="auto"/>
                    <w:right w:val="none" w:sz="0" w:space="0" w:color="auto"/>
                  </w:divBdr>
                </w:div>
                <w:div w:id="1870751290">
                  <w:marLeft w:val="0"/>
                  <w:marRight w:val="0"/>
                  <w:marTop w:val="0"/>
                  <w:marBottom w:val="0"/>
                  <w:divBdr>
                    <w:top w:val="none" w:sz="0" w:space="0" w:color="auto"/>
                    <w:left w:val="none" w:sz="0" w:space="0" w:color="auto"/>
                    <w:bottom w:val="none" w:sz="0" w:space="0" w:color="auto"/>
                    <w:right w:val="none" w:sz="0" w:space="0" w:color="auto"/>
                  </w:divBdr>
                </w:div>
                <w:div w:id="1895849569">
                  <w:marLeft w:val="0"/>
                  <w:marRight w:val="0"/>
                  <w:marTop w:val="0"/>
                  <w:marBottom w:val="0"/>
                  <w:divBdr>
                    <w:top w:val="none" w:sz="0" w:space="0" w:color="auto"/>
                    <w:left w:val="none" w:sz="0" w:space="0" w:color="auto"/>
                    <w:bottom w:val="none" w:sz="0" w:space="0" w:color="auto"/>
                    <w:right w:val="none" w:sz="0" w:space="0" w:color="auto"/>
                  </w:divBdr>
                </w:div>
                <w:div w:id="1913007929">
                  <w:marLeft w:val="0"/>
                  <w:marRight w:val="0"/>
                  <w:marTop w:val="0"/>
                  <w:marBottom w:val="0"/>
                  <w:divBdr>
                    <w:top w:val="none" w:sz="0" w:space="0" w:color="auto"/>
                    <w:left w:val="none" w:sz="0" w:space="0" w:color="auto"/>
                    <w:bottom w:val="none" w:sz="0" w:space="0" w:color="auto"/>
                    <w:right w:val="none" w:sz="0" w:space="0" w:color="auto"/>
                  </w:divBdr>
                </w:div>
                <w:div w:id="1915700945">
                  <w:marLeft w:val="0"/>
                  <w:marRight w:val="0"/>
                  <w:marTop w:val="0"/>
                  <w:marBottom w:val="0"/>
                  <w:divBdr>
                    <w:top w:val="none" w:sz="0" w:space="0" w:color="auto"/>
                    <w:left w:val="none" w:sz="0" w:space="0" w:color="auto"/>
                    <w:bottom w:val="none" w:sz="0" w:space="0" w:color="auto"/>
                    <w:right w:val="none" w:sz="0" w:space="0" w:color="auto"/>
                  </w:divBdr>
                </w:div>
                <w:div w:id="1949317280">
                  <w:marLeft w:val="0"/>
                  <w:marRight w:val="0"/>
                  <w:marTop w:val="0"/>
                  <w:marBottom w:val="0"/>
                  <w:divBdr>
                    <w:top w:val="none" w:sz="0" w:space="0" w:color="auto"/>
                    <w:left w:val="none" w:sz="0" w:space="0" w:color="auto"/>
                    <w:bottom w:val="none" w:sz="0" w:space="0" w:color="auto"/>
                    <w:right w:val="none" w:sz="0" w:space="0" w:color="auto"/>
                  </w:divBdr>
                </w:div>
                <w:div w:id="1949509069">
                  <w:marLeft w:val="0"/>
                  <w:marRight w:val="0"/>
                  <w:marTop w:val="0"/>
                  <w:marBottom w:val="0"/>
                  <w:divBdr>
                    <w:top w:val="none" w:sz="0" w:space="0" w:color="auto"/>
                    <w:left w:val="none" w:sz="0" w:space="0" w:color="auto"/>
                    <w:bottom w:val="none" w:sz="0" w:space="0" w:color="auto"/>
                    <w:right w:val="none" w:sz="0" w:space="0" w:color="auto"/>
                  </w:divBdr>
                </w:div>
                <w:div w:id="1956675576">
                  <w:marLeft w:val="0"/>
                  <w:marRight w:val="0"/>
                  <w:marTop w:val="0"/>
                  <w:marBottom w:val="0"/>
                  <w:divBdr>
                    <w:top w:val="none" w:sz="0" w:space="0" w:color="auto"/>
                    <w:left w:val="none" w:sz="0" w:space="0" w:color="auto"/>
                    <w:bottom w:val="none" w:sz="0" w:space="0" w:color="auto"/>
                    <w:right w:val="none" w:sz="0" w:space="0" w:color="auto"/>
                  </w:divBdr>
                </w:div>
                <w:div w:id="1959795658">
                  <w:marLeft w:val="0"/>
                  <w:marRight w:val="0"/>
                  <w:marTop w:val="0"/>
                  <w:marBottom w:val="0"/>
                  <w:divBdr>
                    <w:top w:val="none" w:sz="0" w:space="0" w:color="auto"/>
                    <w:left w:val="none" w:sz="0" w:space="0" w:color="auto"/>
                    <w:bottom w:val="none" w:sz="0" w:space="0" w:color="auto"/>
                    <w:right w:val="none" w:sz="0" w:space="0" w:color="auto"/>
                  </w:divBdr>
                </w:div>
                <w:div w:id="1963026693">
                  <w:marLeft w:val="0"/>
                  <w:marRight w:val="0"/>
                  <w:marTop w:val="0"/>
                  <w:marBottom w:val="0"/>
                  <w:divBdr>
                    <w:top w:val="none" w:sz="0" w:space="0" w:color="auto"/>
                    <w:left w:val="none" w:sz="0" w:space="0" w:color="auto"/>
                    <w:bottom w:val="none" w:sz="0" w:space="0" w:color="auto"/>
                    <w:right w:val="none" w:sz="0" w:space="0" w:color="auto"/>
                  </w:divBdr>
                </w:div>
                <w:div w:id="2018189384">
                  <w:marLeft w:val="0"/>
                  <w:marRight w:val="0"/>
                  <w:marTop w:val="0"/>
                  <w:marBottom w:val="0"/>
                  <w:divBdr>
                    <w:top w:val="none" w:sz="0" w:space="0" w:color="auto"/>
                    <w:left w:val="none" w:sz="0" w:space="0" w:color="auto"/>
                    <w:bottom w:val="none" w:sz="0" w:space="0" w:color="auto"/>
                    <w:right w:val="none" w:sz="0" w:space="0" w:color="auto"/>
                  </w:divBdr>
                </w:div>
                <w:div w:id="2021545476">
                  <w:marLeft w:val="0"/>
                  <w:marRight w:val="0"/>
                  <w:marTop w:val="0"/>
                  <w:marBottom w:val="0"/>
                  <w:divBdr>
                    <w:top w:val="none" w:sz="0" w:space="0" w:color="auto"/>
                    <w:left w:val="none" w:sz="0" w:space="0" w:color="auto"/>
                    <w:bottom w:val="none" w:sz="0" w:space="0" w:color="auto"/>
                    <w:right w:val="none" w:sz="0" w:space="0" w:color="auto"/>
                  </w:divBdr>
                </w:div>
                <w:div w:id="2053651627">
                  <w:marLeft w:val="0"/>
                  <w:marRight w:val="0"/>
                  <w:marTop w:val="0"/>
                  <w:marBottom w:val="0"/>
                  <w:divBdr>
                    <w:top w:val="none" w:sz="0" w:space="0" w:color="auto"/>
                    <w:left w:val="none" w:sz="0" w:space="0" w:color="auto"/>
                    <w:bottom w:val="none" w:sz="0" w:space="0" w:color="auto"/>
                    <w:right w:val="none" w:sz="0" w:space="0" w:color="auto"/>
                  </w:divBdr>
                </w:div>
                <w:div w:id="2062628062">
                  <w:marLeft w:val="0"/>
                  <w:marRight w:val="0"/>
                  <w:marTop w:val="0"/>
                  <w:marBottom w:val="0"/>
                  <w:divBdr>
                    <w:top w:val="none" w:sz="0" w:space="0" w:color="auto"/>
                    <w:left w:val="none" w:sz="0" w:space="0" w:color="auto"/>
                    <w:bottom w:val="none" w:sz="0" w:space="0" w:color="auto"/>
                    <w:right w:val="none" w:sz="0" w:space="0" w:color="auto"/>
                  </w:divBdr>
                </w:div>
              </w:divsChild>
            </w:div>
            <w:div w:id="1998876855">
              <w:marLeft w:val="0"/>
              <w:marRight w:val="0"/>
              <w:marTop w:val="0"/>
              <w:marBottom w:val="0"/>
              <w:divBdr>
                <w:top w:val="none" w:sz="0" w:space="0" w:color="auto"/>
                <w:left w:val="none" w:sz="0" w:space="0" w:color="auto"/>
                <w:bottom w:val="none" w:sz="0" w:space="0" w:color="auto"/>
                <w:right w:val="none" w:sz="0" w:space="0" w:color="auto"/>
              </w:divBdr>
            </w:div>
          </w:divsChild>
        </w:div>
        <w:div w:id="1023240926">
          <w:marLeft w:val="0"/>
          <w:marRight w:val="0"/>
          <w:marTop w:val="0"/>
          <w:marBottom w:val="0"/>
          <w:divBdr>
            <w:top w:val="none" w:sz="0" w:space="0" w:color="auto"/>
            <w:left w:val="none" w:sz="0" w:space="0" w:color="auto"/>
            <w:bottom w:val="none" w:sz="0" w:space="0" w:color="auto"/>
            <w:right w:val="none" w:sz="0" w:space="0" w:color="auto"/>
          </w:divBdr>
          <w:divsChild>
            <w:div w:id="80177437">
              <w:marLeft w:val="0"/>
              <w:marRight w:val="0"/>
              <w:marTop w:val="0"/>
              <w:marBottom w:val="0"/>
              <w:divBdr>
                <w:top w:val="none" w:sz="0" w:space="0" w:color="auto"/>
                <w:left w:val="none" w:sz="0" w:space="0" w:color="auto"/>
                <w:bottom w:val="none" w:sz="0" w:space="0" w:color="auto"/>
                <w:right w:val="none" w:sz="0" w:space="0" w:color="auto"/>
              </w:divBdr>
              <w:divsChild>
                <w:div w:id="520820694">
                  <w:marLeft w:val="0"/>
                  <w:marRight w:val="0"/>
                  <w:marTop w:val="0"/>
                  <w:marBottom w:val="0"/>
                  <w:divBdr>
                    <w:top w:val="none" w:sz="0" w:space="0" w:color="auto"/>
                    <w:left w:val="none" w:sz="0" w:space="0" w:color="auto"/>
                    <w:bottom w:val="none" w:sz="0" w:space="0" w:color="auto"/>
                    <w:right w:val="none" w:sz="0" w:space="0" w:color="auto"/>
                  </w:divBdr>
                </w:div>
                <w:div w:id="2049331723">
                  <w:marLeft w:val="0"/>
                  <w:marRight w:val="0"/>
                  <w:marTop w:val="0"/>
                  <w:marBottom w:val="0"/>
                  <w:divBdr>
                    <w:top w:val="none" w:sz="0" w:space="0" w:color="auto"/>
                    <w:left w:val="none" w:sz="0" w:space="0" w:color="auto"/>
                    <w:bottom w:val="none" w:sz="0" w:space="0" w:color="auto"/>
                    <w:right w:val="none" w:sz="0" w:space="0" w:color="auto"/>
                  </w:divBdr>
                </w:div>
              </w:divsChild>
            </w:div>
            <w:div w:id="885918832">
              <w:marLeft w:val="0"/>
              <w:marRight w:val="0"/>
              <w:marTop w:val="0"/>
              <w:marBottom w:val="0"/>
              <w:divBdr>
                <w:top w:val="none" w:sz="0" w:space="0" w:color="auto"/>
                <w:left w:val="none" w:sz="0" w:space="0" w:color="auto"/>
                <w:bottom w:val="none" w:sz="0" w:space="0" w:color="auto"/>
                <w:right w:val="none" w:sz="0" w:space="0" w:color="auto"/>
              </w:divBdr>
            </w:div>
          </w:divsChild>
        </w:div>
        <w:div w:id="1160006148">
          <w:marLeft w:val="0"/>
          <w:marRight w:val="0"/>
          <w:marTop w:val="0"/>
          <w:marBottom w:val="0"/>
          <w:divBdr>
            <w:top w:val="none" w:sz="0" w:space="0" w:color="auto"/>
            <w:left w:val="none" w:sz="0" w:space="0" w:color="auto"/>
            <w:bottom w:val="none" w:sz="0" w:space="0" w:color="auto"/>
            <w:right w:val="none" w:sz="0" w:space="0" w:color="auto"/>
          </w:divBdr>
          <w:divsChild>
            <w:div w:id="705839728">
              <w:marLeft w:val="0"/>
              <w:marRight w:val="0"/>
              <w:marTop w:val="0"/>
              <w:marBottom w:val="0"/>
              <w:divBdr>
                <w:top w:val="none" w:sz="0" w:space="0" w:color="auto"/>
                <w:left w:val="none" w:sz="0" w:space="0" w:color="auto"/>
                <w:bottom w:val="none" w:sz="0" w:space="0" w:color="auto"/>
                <w:right w:val="none" w:sz="0" w:space="0" w:color="auto"/>
              </w:divBdr>
            </w:div>
            <w:div w:id="977421004">
              <w:marLeft w:val="0"/>
              <w:marRight w:val="0"/>
              <w:marTop w:val="0"/>
              <w:marBottom w:val="0"/>
              <w:divBdr>
                <w:top w:val="none" w:sz="0" w:space="0" w:color="auto"/>
                <w:left w:val="none" w:sz="0" w:space="0" w:color="auto"/>
                <w:bottom w:val="none" w:sz="0" w:space="0" w:color="auto"/>
                <w:right w:val="none" w:sz="0" w:space="0" w:color="auto"/>
              </w:divBdr>
            </w:div>
            <w:div w:id="1465582601">
              <w:marLeft w:val="0"/>
              <w:marRight w:val="0"/>
              <w:marTop w:val="0"/>
              <w:marBottom w:val="0"/>
              <w:divBdr>
                <w:top w:val="none" w:sz="0" w:space="0" w:color="auto"/>
                <w:left w:val="none" w:sz="0" w:space="0" w:color="auto"/>
                <w:bottom w:val="none" w:sz="0" w:space="0" w:color="auto"/>
                <w:right w:val="none" w:sz="0" w:space="0" w:color="auto"/>
              </w:divBdr>
            </w:div>
          </w:divsChild>
        </w:div>
        <w:div w:id="1558199809">
          <w:marLeft w:val="0"/>
          <w:marRight w:val="0"/>
          <w:marTop w:val="0"/>
          <w:marBottom w:val="0"/>
          <w:divBdr>
            <w:top w:val="none" w:sz="0" w:space="0" w:color="auto"/>
            <w:left w:val="none" w:sz="0" w:space="0" w:color="auto"/>
            <w:bottom w:val="none" w:sz="0" w:space="0" w:color="auto"/>
            <w:right w:val="none" w:sz="0" w:space="0" w:color="auto"/>
          </w:divBdr>
          <w:divsChild>
            <w:div w:id="1269195459">
              <w:marLeft w:val="0"/>
              <w:marRight w:val="0"/>
              <w:marTop w:val="0"/>
              <w:marBottom w:val="0"/>
              <w:divBdr>
                <w:top w:val="none" w:sz="0" w:space="0" w:color="auto"/>
                <w:left w:val="none" w:sz="0" w:space="0" w:color="auto"/>
                <w:bottom w:val="none" w:sz="0" w:space="0" w:color="auto"/>
                <w:right w:val="none" w:sz="0" w:space="0" w:color="auto"/>
              </w:divBdr>
              <w:divsChild>
                <w:div w:id="928194264">
                  <w:marLeft w:val="0"/>
                  <w:marRight w:val="0"/>
                  <w:marTop w:val="0"/>
                  <w:marBottom w:val="0"/>
                  <w:divBdr>
                    <w:top w:val="none" w:sz="0" w:space="0" w:color="auto"/>
                    <w:left w:val="none" w:sz="0" w:space="0" w:color="auto"/>
                    <w:bottom w:val="none" w:sz="0" w:space="0" w:color="auto"/>
                    <w:right w:val="none" w:sz="0" w:space="0" w:color="auto"/>
                  </w:divBdr>
                </w:div>
                <w:div w:id="1957254371">
                  <w:marLeft w:val="0"/>
                  <w:marRight w:val="0"/>
                  <w:marTop w:val="0"/>
                  <w:marBottom w:val="0"/>
                  <w:divBdr>
                    <w:top w:val="none" w:sz="0" w:space="0" w:color="auto"/>
                    <w:left w:val="none" w:sz="0" w:space="0" w:color="auto"/>
                    <w:bottom w:val="none" w:sz="0" w:space="0" w:color="auto"/>
                    <w:right w:val="none" w:sz="0" w:space="0" w:color="auto"/>
                  </w:divBdr>
                </w:div>
              </w:divsChild>
            </w:div>
            <w:div w:id="1961452116">
              <w:marLeft w:val="0"/>
              <w:marRight w:val="0"/>
              <w:marTop w:val="0"/>
              <w:marBottom w:val="0"/>
              <w:divBdr>
                <w:top w:val="none" w:sz="0" w:space="0" w:color="auto"/>
                <w:left w:val="none" w:sz="0" w:space="0" w:color="auto"/>
                <w:bottom w:val="none" w:sz="0" w:space="0" w:color="auto"/>
                <w:right w:val="none" w:sz="0" w:space="0" w:color="auto"/>
              </w:divBdr>
            </w:div>
          </w:divsChild>
        </w:div>
        <w:div w:id="1624075613">
          <w:marLeft w:val="0"/>
          <w:marRight w:val="0"/>
          <w:marTop w:val="0"/>
          <w:marBottom w:val="0"/>
          <w:divBdr>
            <w:top w:val="none" w:sz="0" w:space="0" w:color="auto"/>
            <w:left w:val="none" w:sz="0" w:space="0" w:color="auto"/>
            <w:bottom w:val="none" w:sz="0" w:space="0" w:color="auto"/>
            <w:right w:val="none" w:sz="0" w:space="0" w:color="auto"/>
          </w:divBdr>
          <w:divsChild>
            <w:div w:id="425424139">
              <w:marLeft w:val="0"/>
              <w:marRight w:val="0"/>
              <w:marTop w:val="0"/>
              <w:marBottom w:val="0"/>
              <w:divBdr>
                <w:top w:val="none" w:sz="0" w:space="0" w:color="auto"/>
                <w:left w:val="none" w:sz="0" w:space="0" w:color="auto"/>
                <w:bottom w:val="none" w:sz="0" w:space="0" w:color="auto"/>
                <w:right w:val="none" w:sz="0" w:space="0" w:color="auto"/>
              </w:divBdr>
            </w:div>
            <w:div w:id="1514224318">
              <w:marLeft w:val="0"/>
              <w:marRight w:val="0"/>
              <w:marTop w:val="0"/>
              <w:marBottom w:val="0"/>
              <w:divBdr>
                <w:top w:val="none" w:sz="0" w:space="0" w:color="auto"/>
                <w:left w:val="none" w:sz="0" w:space="0" w:color="auto"/>
                <w:bottom w:val="none" w:sz="0" w:space="0" w:color="auto"/>
                <w:right w:val="none" w:sz="0" w:space="0" w:color="auto"/>
              </w:divBdr>
              <w:divsChild>
                <w:div w:id="880366897">
                  <w:marLeft w:val="0"/>
                  <w:marRight w:val="0"/>
                  <w:marTop w:val="0"/>
                  <w:marBottom w:val="0"/>
                  <w:divBdr>
                    <w:top w:val="none" w:sz="0" w:space="0" w:color="auto"/>
                    <w:left w:val="none" w:sz="0" w:space="0" w:color="auto"/>
                    <w:bottom w:val="none" w:sz="0" w:space="0" w:color="auto"/>
                    <w:right w:val="none" w:sz="0" w:space="0" w:color="auto"/>
                  </w:divBdr>
                </w:div>
                <w:div w:id="9001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0856">
          <w:marLeft w:val="0"/>
          <w:marRight w:val="0"/>
          <w:marTop w:val="0"/>
          <w:marBottom w:val="0"/>
          <w:divBdr>
            <w:top w:val="none" w:sz="0" w:space="0" w:color="auto"/>
            <w:left w:val="none" w:sz="0" w:space="0" w:color="auto"/>
            <w:bottom w:val="none" w:sz="0" w:space="0" w:color="auto"/>
            <w:right w:val="none" w:sz="0" w:space="0" w:color="auto"/>
          </w:divBdr>
          <w:divsChild>
            <w:div w:id="712386141">
              <w:marLeft w:val="0"/>
              <w:marRight w:val="0"/>
              <w:marTop w:val="0"/>
              <w:marBottom w:val="0"/>
              <w:divBdr>
                <w:top w:val="none" w:sz="0" w:space="0" w:color="auto"/>
                <w:left w:val="none" w:sz="0" w:space="0" w:color="auto"/>
                <w:bottom w:val="none" w:sz="0" w:space="0" w:color="auto"/>
                <w:right w:val="none" w:sz="0" w:space="0" w:color="auto"/>
              </w:divBdr>
              <w:divsChild>
                <w:div w:id="2051030462">
                  <w:marLeft w:val="0"/>
                  <w:marRight w:val="0"/>
                  <w:marTop w:val="0"/>
                  <w:marBottom w:val="0"/>
                  <w:divBdr>
                    <w:top w:val="none" w:sz="0" w:space="0" w:color="auto"/>
                    <w:left w:val="none" w:sz="0" w:space="0" w:color="auto"/>
                    <w:bottom w:val="none" w:sz="0" w:space="0" w:color="auto"/>
                    <w:right w:val="none" w:sz="0" w:space="0" w:color="auto"/>
                  </w:divBdr>
                </w:div>
              </w:divsChild>
            </w:div>
            <w:div w:id="953974197">
              <w:marLeft w:val="0"/>
              <w:marRight w:val="0"/>
              <w:marTop w:val="0"/>
              <w:marBottom w:val="0"/>
              <w:divBdr>
                <w:top w:val="none" w:sz="0" w:space="0" w:color="auto"/>
                <w:left w:val="none" w:sz="0" w:space="0" w:color="auto"/>
                <w:bottom w:val="none" w:sz="0" w:space="0" w:color="auto"/>
                <w:right w:val="none" w:sz="0" w:space="0" w:color="auto"/>
              </w:divBdr>
            </w:div>
            <w:div w:id="1157460713">
              <w:marLeft w:val="0"/>
              <w:marRight w:val="0"/>
              <w:marTop w:val="0"/>
              <w:marBottom w:val="0"/>
              <w:divBdr>
                <w:top w:val="none" w:sz="0" w:space="0" w:color="auto"/>
                <w:left w:val="none" w:sz="0" w:space="0" w:color="auto"/>
                <w:bottom w:val="none" w:sz="0" w:space="0" w:color="auto"/>
                <w:right w:val="none" w:sz="0" w:space="0" w:color="auto"/>
              </w:divBdr>
              <w:divsChild>
                <w:div w:id="173882961">
                  <w:marLeft w:val="0"/>
                  <w:marRight w:val="0"/>
                  <w:marTop w:val="0"/>
                  <w:marBottom w:val="0"/>
                  <w:divBdr>
                    <w:top w:val="none" w:sz="0" w:space="0" w:color="auto"/>
                    <w:left w:val="none" w:sz="0" w:space="0" w:color="auto"/>
                    <w:bottom w:val="none" w:sz="0" w:space="0" w:color="auto"/>
                    <w:right w:val="none" w:sz="0" w:space="0" w:color="auto"/>
                  </w:divBdr>
                  <w:divsChild>
                    <w:div w:id="879438634">
                      <w:marLeft w:val="0"/>
                      <w:marRight w:val="0"/>
                      <w:marTop w:val="0"/>
                      <w:marBottom w:val="0"/>
                      <w:divBdr>
                        <w:top w:val="none" w:sz="0" w:space="0" w:color="auto"/>
                        <w:left w:val="none" w:sz="0" w:space="0" w:color="auto"/>
                        <w:bottom w:val="none" w:sz="0" w:space="0" w:color="auto"/>
                        <w:right w:val="none" w:sz="0" w:space="0" w:color="auto"/>
                      </w:divBdr>
                      <w:divsChild>
                        <w:div w:id="2760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163">
              <w:marLeft w:val="0"/>
              <w:marRight w:val="0"/>
              <w:marTop w:val="0"/>
              <w:marBottom w:val="0"/>
              <w:divBdr>
                <w:top w:val="none" w:sz="0" w:space="0" w:color="auto"/>
                <w:left w:val="none" w:sz="0" w:space="0" w:color="auto"/>
                <w:bottom w:val="none" w:sz="0" w:space="0" w:color="auto"/>
                <w:right w:val="none" w:sz="0" w:space="0" w:color="auto"/>
              </w:divBdr>
            </w:div>
          </w:divsChild>
        </w:div>
        <w:div w:id="1782873095">
          <w:marLeft w:val="0"/>
          <w:marRight w:val="0"/>
          <w:marTop w:val="0"/>
          <w:marBottom w:val="0"/>
          <w:divBdr>
            <w:top w:val="none" w:sz="0" w:space="0" w:color="auto"/>
            <w:left w:val="none" w:sz="0" w:space="0" w:color="auto"/>
            <w:bottom w:val="none" w:sz="0" w:space="0" w:color="auto"/>
            <w:right w:val="none" w:sz="0" w:space="0" w:color="auto"/>
          </w:divBdr>
          <w:divsChild>
            <w:div w:id="1946572839">
              <w:marLeft w:val="0"/>
              <w:marRight w:val="0"/>
              <w:marTop w:val="0"/>
              <w:marBottom w:val="0"/>
              <w:divBdr>
                <w:top w:val="none" w:sz="0" w:space="0" w:color="auto"/>
                <w:left w:val="none" w:sz="0" w:space="0" w:color="auto"/>
                <w:bottom w:val="none" w:sz="0" w:space="0" w:color="auto"/>
                <w:right w:val="none" w:sz="0" w:space="0" w:color="auto"/>
              </w:divBdr>
              <w:divsChild>
                <w:div w:id="204367227">
                  <w:marLeft w:val="0"/>
                  <w:marRight w:val="0"/>
                  <w:marTop w:val="0"/>
                  <w:marBottom w:val="0"/>
                  <w:divBdr>
                    <w:top w:val="none" w:sz="0" w:space="0" w:color="auto"/>
                    <w:left w:val="none" w:sz="0" w:space="0" w:color="auto"/>
                    <w:bottom w:val="none" w:sz="0" w:space="0" w:color="auto"/>
                    <w:right w:val="none" w:sz="0" w:space="0" w:color="auto"/>
                  </w:divBdr>
                </w:div>
                <w:div w:id="2073775309">
                  <w:marLeft w:val="0"/>
                  <w:marRight w:val="0"/>
                  <w:marTop w:val="0"/>
                  <w:marBottom w:val="0"/>
                  <w:divBdr>
                    <w:top w:val="none" w:sz="0" w:space="0" w:color="auto"/>
                    <w:left w:val="none" w:sz="0" w:space="0" w:color="auto"/>
                    <w:bottom w:val="none" w:sz="0" w:space="0" w:color="auto"/>
                    <w:right w:val="none" w:sz="0" w:space="0" w:color="auto"/>
                  </w:divBdr>
                  <w:divsChild>
                    <w:div w:id="1319118661">
                      <w:marLeft w:val="0"/>
                      <w:marRight w:val="0"/>
                      <w:marTop w:val="0"/>
                      <w:marBottom w:val="0"/>
                      <w:divBdr>
                        <w:top w:val="none" w:sz="0" w:space="0" w:color="auto"/>
                        <w:left w:val="none" w:sz="0" w:space="0" w:color="auto"/>
                        <w:bottom w:val="none" w:sz="0" w:space="0" w:color="auto"/>
                        <w:right w:val="none" w:sz="0" w:space="0" w:color="auto"/>
                      </w:divBdr>
                    </w:div>
                    <w:div w:id="1364282276">
                      <w:marLeft w:val="0"/>
                      <w:marRight w:val="0"/>
                      <w:marTop w:val="0"/>
                      <w:marBottom w:val="0"/>
                      <w:divBdr>
                        <w:top w:val="none" w:sz="0" w:space="0" w:color="auto"/>
                        <w:left w:val="none" w:sz="0" w:space="0" w:color="auto"/>
                        <w:bottom w:val="none" w:sz="0" w:space="0" w:color="auto"/>
                        <w:right w:val="none" w:sz="0" w:space="0" w:color="auto"/>
                      </w:divBdr>
                    </w:div>
                    <w:div w:id="1459648062">
                      <w:marLeft w:val="0"/>
                      <w:marRight w:val="0"/>
                      <w:marTop w:val="0"/>
                      <w:marBottom w:val="0"/>
                      <w:divBdr>
                        <w:top w:val="none" w:sz="0" w:space="0" w:color="auto"/>
                        <w:left w:val="none" w:sz="0" w:space="0" w:color="auto"/>
                        <w:bottom w:val="none" w:sz="0" w:space="0" w:color="auto"/>
                        <w:right w:val="none" w:sz="0" w:space="0" w:color="auto"/>
                      </w:divBdr>
                    </w:div>
                    <w:div w:id="1678390017">
                      <w:marLeft w:val="0"/>
                      <w:marRight w:val="0"/>
                      <w:marTop w:val="0"/>
                      <w:marBottom w:val="0"/>
                      <w:divBdr>
                        <w:top w:val="none" w:sz="0" w:space="0" w:color="auto"/>
                        <w:left w:val="none" w:sz="0" w:space="0" w:color="auto"/>
                        <w:bottom w:val="none" w:sz="0" w:space="0" w:color="auto"/>
                        <w:right w:val="none" w:sz="0" w:space="0" w:color="auto"/>
                      </w:divBdr>
                      <w:divsChild>
                        <w:div w:id="966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39743">
      <w:bodyDiv w:val="1"/>
      <w:marLeft w:val="0"/>
      <w:marRight w:val="0"/>
      <w:marTop w:val="0"/>
      <w:marBottom w:val="0"/>
      <w:divBdr>
        <w:top w:val="none" w:sz="0" w:space="0" w:color="auto"/>
        <w:left w:val="none" w:sz="0" w:space="0" w:color="auto"/>
        <w:bottom w:val="none" w:sz="0" w:space="0" w:color="auto"/>
        <w:right w:val="none" w:sz="0" w:space="0" w:color="auto"/>
      </w:divBdr>
      <w:divsChild>
        <w:div w:id="35547602">
          <w:marLeft w:val="0"/>
          <w:marRight w:val="0"/>
          <w:marTop w:val="0"/>
          <w:marBottom w:val="0"/>
          <w:divBdr>
            <w:top w:val="none" w:sz="0" w:space="0" w:color="auto"/>
            <w:left w:val="none" w:sz="0" w:space="0" w:color="auto"/>
            <w:bottom w:val="none" w:sz="0" w:space="0" w:color="auto"/>
            <w:right w:val="none" w:sz="0" w:space="0" w:color="auto"/>
          </w:divBdr>
        </w:div>
        <w:div w:id="101653787">
          <w:marLeft w:val="0"/>
          <w:marRight w:val="0"/>
          <w:marTop w:val="0"/>
          <w:marBottom w:val="0"/>
          <w:divBdr>
            <w:top w:val="none" w:sz="0" w:space="0" w:color="auto"/>
            <w:left w:val="none" w:sz="0" w:space="0" w:color="auto"/>
            <w:bottom w:val="none" w:sz="0" w:space="0" w:color="auto"/>
            <w:right w:val="none" w:sz="0" w:space="0" w:color="auto"/>
          </w:divBdr>
        </w:div>
        <w:div w:id="326330464">
          <w:marLeft w:val="0"/>
          <w:marRight w:val="0"/>
          <w:marTop w:val="0"/>
          <w:marBottom w:val="0"/>
          <w:divBdr>
            <w:top w:val="none" w:sz="0" w:space="0" w:color="auto"/>
            <w:left w:val="none" w:sz="0" w:space="0" w:color="auto"/>
            <w:bottom w:val="none" w:sz="0" w:space="0" w:color="auto"/>
            <w:right w:val="none" w:sz="0" w:space="0" w:color="auto"/>
          </w:divBdr>
        </w:div>
        <w:div w:id="328601408">
          <w:marLeft w:val="0"/>
          <w:marRight w:val="0"/>
          <w:marTop w:val="0"/>
          <w:marBottom w:val="0"/>
          <w:divBdr>
            <w:top w:val="none" w:sz="0" w:space="0" w:color="auto"/>
            <w:left w:val="none" w:sz="0" w:space="0" w:color="auto"/>
            <w:bottom w:val="none" w:sz="0" w:space="0" w:color="auto"/>
            <w:right w:val="none" w:sz="0" w:space="0" w:color="auto"/>
          </w:divBdr>
        </w:div>
        <w:div w:id="344946850">
          <w:marLeft w:val="0"/>
          <w:marRight w:val="0"/>
          <w:marTop w:val="0"/>
          <w:marBottom w:val="0"/>
          <w:divBdr>
            <w:top w:val="none" w:sz="0" w:space="0" w:color="auto"/>
            <w:left w:val="none" w:sz="0" w:space="0" w:color="auto"/>
            <w:bottom w:val="none" w:sz="0" w:space="0" w:color="auto"/>
            <w:right w:val="none" w:sz="0" w:space="0" w:color="auto"/>
          </w:divBdr>
        </w:div>
        <w:div w:id="351305603">
          <w:marLeft w:val="0"/>
          <w:marRight w:val="0"/>
          <w:marTop w:val="0"/>
          <w:marBottom w:val="0"/>
          <w:divBdr>
            <w:top w:val="none" w:sz="0" w:space="0" w:color="auto"/>
            <w:left w:val="none" w:sz="0" w:space="0" w:color="auto"/>
            <w:bottom w:val="none" w:sz="0" w:space="0" w:color="auto"/>
            <w:right w:val="none" w:sz="0" w:space="0" w:color="auto"/>
          </w:divBdr>
        </w:div>
        <w:div w:id="420369012">
          <w:marLeft w:val="0"/>
          <w:marRight w:val="0"/>
          <w:marTop w:val="0"/>
          <w:marBottom w:val="0"/>
          <w:divBdr>
            <w:top w:val="none" w:sz="0" w:space="0" w:color="auto"/>
            <w:left w:val="none" w:sz="0" w:space="0" w:color="auto"/>
            <w:bottom w:val="none" w:sz="0" w:space="0" w:color="auto"/>
            <w:right w:val="none" w:sz="0" w:space="0" w:color="auto"/>
          </w:divBdr>
        </w:div>
        <w:div w:id="572199603">
          <w:marLeft w:val="0"/>
          <w:marRight w:val="0"/>
          <w:marTop w:val="0"/>
          <w:marBottom w:val="0"/>
          <w:divBdr>
            <w:top w:val="none" w:sz="0" w:space="0" w:color="auto"/>
            <w:left w:val="none" w:sz="0" w:space="0" w:color="auto"/>
            <w:bottom w:val="none" w:sz="0" w:space="0" w:color="auto"/>
            <w:right w:val="none" w:sz="0" w:space="0" w:color="auto"/>
          </w:divBdr>
        </w:div>
        <w:div w:id="579607036">
          <w:marLeft w:val="0"/>
          <w:marRight w:val="0"/>
          <w:marTop w:val="0"/>
          <w:marBottom w:val="0"/>
          <w:divBdr>
            <w:top w:val="none" w:sz="0" w:space="0" w:color="auto"/>
            <w:left w:val="none" w:sz="0" w:space="0" w:color="auto"/>
            <w:bottom w:val="none" w:sz="0" w:space="0" w:color="auto"/>
            <w:right w:val="none" w:sz="0" w:space="0" w:color="auto"/>
          </w:divBdr>
        </w:div>
        <w:div w:id="700858456">
          <w:marLeft w:val="0"/>
          <w:marRight w:val="0"/>
          <w:marTop w:val="0"/>
          <w:marBottom w:val="0"/>
          <w:divBdr>
            <w:top w:val="none" w:sz="0" w:space="0" w:color="auto"/>
            <w:left w:val="none" w:sz="0" w:space="0" w:color="auto"/>
            <w:bottom w:val="none" w:sz="0" w:space="0" w:color="auto"/>
            <w:right w:val="none" w:sz="0" w:space="0" w:color="auto"/>
          </w:divBdr>
        </w:div>
        <w:div w:id="731972343">
          <w:marLeft w:val="0"/>
          <w:marRight w:val="0"/>
          <w:marTop w:val="0"/>
          <w:marBottom w:val="0"/>
          <w:divBdr>
            <w:top w:val="none" w:sz="0" w:space="0" w:color="auto"/>
            <w:left w:val="none" w:sz="0" w:space="0" w:color="auto"/>
            <w:bottom w:val="none" w:sz="0" w:space="0" w:color="auto"/>
            <w:right w:val="none" w:sz="0" w:space="0" w:color="auto"/>
          </w:divBdr>
        </w:div>
        <w:div w:id="775560304">
          <w:marLeft w:val="0"/>
          <w:marRight w:val="0"/>
          <w:marTop w:val="0"/>
          <w:marBottom w:val="0"/>
          <w:divBdr>
            <w:top w:val="none" w:sz="0" w:space="0" w:color="auto"/>
            <w:left w:val="none" w:sz="0" w:space="0" w:color="auto"/>
            <w:bottom w:val="none" w:sz="0" w:space="0" w:color="auto"/>
            <w:right w:val="none" w:sz="0" w:space="0" w:color="auto"/>
          </w:divBdr>
        </w:div>
        <w:div w:id="852380150">
          <w:marLeft w:val="0"/>
          <w:marRight w:val="0"/>
          <w:marTop w:val="0"/>
          <w:marBottom w:val="0"/>
          <w:divBdr>
            <w:top w:val="none" w:sz="0" w:space="0" w:color="auto"/>
            <w:left w:val="none" w:sz="0" w:space="0" w:color="auto"/>
            <w:bottom w:val="none" w:sz="0" w:space="0" w:color="auto"/>
            <w:right w:val="none" w:sz="0" w:space="0" w:color="auto"/>
          </w:divBdr>
        </w:div>
        <w:div w:id="996498802">
          <w:marLeft w:val="0"/>
          <w:marRight w:val="0"/>
          <w:marTop w:val="0"/>
          <w:marBottom w:val="0"/>
          <w:divBdr>
            <w:top w:val="none" w:sz="0" w:space="0" w:color="auto"/>
            <w:left w:val="none" w:sz="0" w:space="0" w:color="auto"/>
            <w:bottom w:val="none" w:sz="0" w:space="0" w:color="auto"/>
            <w:right w:val="none" w:sz="0" w:space="0" w:color="auto"/>
          </w:divBdr>
        </w:div>
        <w:div w:id="1094478810">
          <w:marLeft w:val="0"/>
          <w:marRight w:val="0"/>
          <w:marTop w:val="0"/>
          <w:marBottom w:val="0"/>
          <w:divBdr>
            <w:top w:val="none" w:sz="0" w:space="0" w:color="auto"/>
            <w:left w:val="none" w:sz="0" w:space="0" w:color="auto"/>
            <w:bottom w:val="none" w:sz="0" w:space="0" w:color="auto"/>
            <w:right w:val="none" w:sz="0" w:space="0" w:color="auto"/>
          </w:divBdr>
        </w:div>
        <w:div w:id="1223980347">
          <w:marLeft w:val="0"/>
          <w:marRight w:val="0"/>
          <w:marTop w:val="0"/>
          <w:marBottom w:val="0"/>
          <w:divBdr>
            <w:top w:val="none" w:sz="0" w:space="0" w:color="auto"/>
            <w:left w:val="none" w:sz="0" w:space="0" w:color="auto"/>
            <w:bottom w:val="none" w:sz="0" w:space="0" w:color="auto"/>
            <w:right w:val="none" w:sz="0" w:space="0" w:color="auto"/>
          </w:divBdr>
        </w:div>
        <w:div w:id="1279723979">
          <w:marLeft w:val="0"/>
          <w:marRight w:val="0"/>
          <w:marTop w:val="0"/>
          <w:marBottom w:val="0"/>
          <w:divBdr>
            <w:top w:val="none" w:sz="0" w:space="0" w:color="auto"/>
            <w:left w:val="none" w:sz="0" w:space="0" w:color="auto"/>
            <w:bottom w:val="none" w:sz="0" w:space="0" w:color="auto"/>
            <w:right w:val="none" w:sz="0" w:space="0" w:color="auto"/>
          </w:divBdr>
        </w:div>
        <w:div w:id="1329286398">
          <w:marLeft w:val="0"/>
          <w:marRight w:val="0"/>
          <w:marTop w:val="0"/>
          <w:marBottom w:val="0"/>
          <w:divBdr>
            <w:top w:val="none" w:sz="0" w:space="0" w:color="auto"/>
            <w:left w:val="none" w:sz="0" w:space="0" w:color="auto"/>
            <w:bottom w:val="none" w:sz="0" w:space="0" w:color="auto"/>
            <w:right w:val="none" w:sz="0" w:space="0" w:color="auto"/>
          </w:divBdr>
        </w:div>
        <w:div w:id="1350988747">
          <w:marLeft w:val="0"/>
          <w:marRight w:val="0"/>
          <w:marTop w:val="0"/>
          <w:marBottom w:val="0"/>
          <w:divBdr>
            <w:top w:val="none" w:sz="0" w:space="0" w:color="auto"/>
            <w:left w:val="none" w:sz="0" w:space="0" w:color="auto"/>
            <w:bottom w:val="none" w:sz="0" w:space="0" w:color="auto"/>
            <w:right w:val="none" w:sz="0" w:space="0" w:color="auto"/>
          </w:divBdr>
        </w:div>
        <w:div w:id="1370957177">
          <w:marLeft w:val="0"/>
          <w:marRight w:val="0"/>
          <w:marTop w:val="0"/>
          <w:marBottom w:val="0"/>
          <w:divBdr>
            <w:top w:val="none" w:sz="0" w:space="0" w:color="auto"/>
            <w:left w:val="none" w:sz="0" w:space="0" w:color="auto"/>
            <w:bottom w:val="none" w:sz="0" w:space="0" w:color="auto"/>
            <w:right w:val="none" w:sz="0" w:space="0" w:color="auto"/>
          </w:divBdr>
        </w:div>
        <w:div w:id="1375079560">
          <w:marLeft w:val="0"/>
          <w:marRight w:val="0"/>
          <w:marTop w:val="0"/>
          <w:marBottom w:val="0"/>
          <w:divBdr>
            <w:top w:val="none" w:sz="0" w:space="0" w:color="auto"/>
            <w:left w:val="none" w:sz="0" w:space="0" w:color="auto"/>
            <w:bottom w:val="none" w:sz="0" w:space="0" w:color="auto"/>
            <w:right w:val="none" w:sz="0" w:space="0" w:color="auto"/>
          </w:divBdr>
        </w:div>
        <w:div w:id="1379276934">
          <w:marLeft w:val="0"/>
          <w:marRight w:val="0"/>
          <w:marTop w:val="0"/>
          <w:marBottom w:val="0"/>
          <w:divBdr>
            <w:top w:val="none" w:sz="0" w:space="0" w:color="auto"/>
            <w:left w:val="none" w:sz="0" w:space="0" w:color="auto"/>
            <w:bottom w:val="none" w:sz="0" w:space="0" w:color="auto"/>
            <w:right w:val="none" w:sz="0" w:space="0" w:color="auto"/>
          </w:divBdr>
        </w:div>
        <w:div w:id="1450124240">
          <w:marLeft w:val="0"/>
          <w:marRight w:val="0"/>
          <w:marTop w:val="0"/>
          <w:marBottom w:val="0"/>
          <w:divBdr>
            <w:top w:val="none" w:sz="0" w:space="0" w:color="auto"/>
            <w:left w:val="none" w:sz="0" w:space="0" w:color="auto"/>
            <w:bottom w:val="none" w:sz="0" w:space="0" w:color="auto"/>
            <w:right w:val="none" w:sz="0" w:space="0" w:color="auto"/>
          </w:divBdr>
        </w:div>
        <w:div w:id="1451826327">
          <w:marLeft w:val="0"/>
          <w:marRight w:val="0"/>
          <w:marTop w:val="0"/>
          <w:marBottom w:val="0"/>
          <w:divBdr>
            <w:top w:val="none" w:sz="0" w:space="0" w:color="auto"/>
            <w:left w:val="none" w:sz="0" w:space="0" w:color="auto"/>
            <w:bottom w:val="none" w:sz="0" w:space="0" w:color="auto"/>
            <w:right w:val="none" w:sz="0" w:space="0" w:color="auto"/>
          </w:divBdr>
        </w:div>
        <w:div w:id="1660112422">
          <w:marLeft w:val="0"/>
          <w:marRight w:val="0"/>
          <w:marTop w:val="0"/>
          <w:marBottom w:val="0"/>
          <w:divBdr>
            <w:top w:val="none" w:sz="0" w:space="0" w:color="auto"/>
            <w:left w:val="none" w:sz="0" w:space="0" w:color="auto"/>
            <w:bottom w:val="none" w:sz="0" w:space="0" w:color="auto"/>
            <w:right w:val="none" w:sz="0" w:space="0" w:color="auto"/>
          </w:divBdr>
        </w:div>
        <w:div w:id="1735811616">
          <w:marLeft w:val="0"/>
          <w:marRight w:val="0"/>
          <w:marTop w:val="0"/>
          <w:marBottom w:val="0"/>
          <w:divBdr>
            <w:top w:val="none" w:sz="0" w:space="0" w:color="auto"/>
            <w:left w:val="none" w:sz="0" w:space="0" w:color="auto"/>
            <w:bottom w:val="none" w:sz="0" w:space="0" w:color="auto"/>
            <w:right w:val="none" w:sz="0" w:space="0" w:color="auto"/>
          </w:divBdr>
        </w:div>
        <w:div w:id="1822380698">
          <w:marLeft w:val="0"/>
          <w:marRight w:val="0"/>
          <w:marTop w:val="0"/>
          <w:marBottom w:val="0"/>
          <w:divBdr>
            <w:top w:val="none" w:sz="0" w:space="0" w:color="auto"/>
            <w:left w:val="none" w:sz="0" w:space="0" w:color="auto"/>
            <w:bottom w:val="none" w:sz="0" w:space="0" w:color="auto"/>
            <w:right w:val="none" w:sz="0" w:space="0" w:color="auto"/>
          </w:divBdr>
        </w:div>
        <w:div w:id="1828015286">
          <w:marLeft w:val="0"/>
          <w:marRight w:val="0"/>
          <w:marTop w:val="0"/>
          <w:marBottom w:val="0"/>
          <w:divBdr>
            <w:top w:val="none" w:sz="0" w:space="0" w:color="auto"/>
            <w:left w:val="none" w:sz="0" w:space="0" w:color="auto"/>
            <w:bottom w:val="none" w:sz="0" w:space="0" w:color="auto"/>
            <w:right w:val="none" w:sz="0" w:space="0" w:color="auto"/>
          </w:divBdr>
        </w:div>
        <w:div w:id="1861506856">
          <w:marLeft w:val="0"/>
          <w:marRight w:val="0"/>
          <w:marTop w:val="0"/>
          <w:marBottom w:val="0"/>
          <w:divBdr>
            <w:top w:val="none" w:sz="0" w:space="0" w:color="auto"/>
            <w:left w:val="none" w:sz="0" w:space="0" w:color="auto"/>
            <w:bottom w:val="none" w:sz="0" w:space="0" w:color="auto"/>
            <w:right w:val="none" w:sz="0" w:space="0" w:color="auto"/>
          </w:divBdr>
        </w:div>
        <w:div w:id="1885409594">
          <w:marLeft w:val="0"/>
          <w:marRight w:val="0"/>
          <w:marTop w:val="0"/>
          <w:marBottom w:val="0"/>
          <w:divBdr>
            <w:top w:val="none" w:sz="0" w:space="0" w:color="auto"/>
            <w:left w:val="none" w:sz="0" w:space="0" w:color="auto"/>
            <w:bottom w:val="none" w:sz="0" w:space="0" w:color="auto"/>
            <w:right w:val="none" w:sz="0" w:space="0" w:color="auto"/>
          </w:divBdr>
        </w:div>
        <w:div w:id="1906254441">
          <w:marLeft w:val="0"/>
          <w:marRight w:val="0"/>
          <w:marTop w:val="0"/>
          <w:marBottom w:val="0"/>
          <w:divBdr>
            <w:top w:val="none" w:sz="0" w:space="0" w:color="auto"/>
            <w:left w:val="none" w:sz="0" w:space="0" w:color="auto"/>
            <w:bottom w:val="none" w:sz="0" w:space="0" w:color="auto"/>
            <w:right w:val="none" w:sz="0" w:space="0" w:color="auto"/>
          </w:divBdr>
        </w:div>
        <w:div w:id="2051104413">
          <w:marLeft w:val="0"/>
          <w:marRight w:val="0"/>
          <w:marTop w:val="0"/>
          <w:marBottom w:val="0"/>
          <w:divBdr>
            <w:top w:val="none" w:sz="0" w:space="0" w:color="auto"/>
            <w:left w:val="none" w:sz="0" w:space="0" w:color="auto"/>
            <w:bottom w:val="none" w:sz="0" w:space="0" w:color="auto"/>
            <w:right w:val="none" w:sz="0" w:space="0" w:color="auto"/>
          </w:divBdr>
        </w:div>
        <w:div w:id="2085032770">
          <w:marLeft w:val="0"/>
          <w:marRight w:val="0"/>
          <w:marTop w:val="0"/>
          <w:marBottom w:val="0"/>
          <w:divBdr>
            <w:top w:val="none" w:sz="0" w:space="0" w:color="auto"/>
            <w:left w:val="none" w:sz="0" w:space="0" w:color="auto"/>
            <w:bottom w:val="none" w:sz="0" w:space="0" w:color="auto"/>
            <w:right w:val="none" w:sz="0" w:space="0" w:color="auto"/>
          </w:divBdr>
        </w:div>
        <w:div w:id="2127773920">
          <w:marLeft w:val="0"/>
          <w:marRight w:val="0"/>
          <w:marTop w:val="0"/>
          <w:marBottom w:val="0"/>
          <w:divBdr>
            <w:top w:val="none" w:sz="0" w:space="0" w:color="auto"/>
            <w:left w:val="none" w:sz="0" w:space="0" w:color="auto"/>
            <w:bottom w:val="none" w:sz="0" w:space="0" w:color="auto"/>
            <w:right w:val="none" w:sz="0" w:space="0" w:color="auto"/>
          </w:divBdr>
        </w:div>
        <w:div w:id="2137794018">
          <w:marLeft w:val="0"/>
          <w:marRight w:val="0"/>
          <w:marTop w:val="0"/>
          <w:marBottom w:val="0"/>
          <w:divBdr>
            <w:top w:val="none" w:sz="0" w:space="0" w:color="auto"/>
            <w:left w:val="none" w:sz="0" w:space="0" w:color="auto"/>
            <w:bottom w:val="none" w:sz="0" w:space="0" w:color="auto"/>
            <w:right w:val="none" w:sz="0" w:space="0" w:color="auto"/>
          </w:divBdr>
        </w:div>
      </w:divsChild>
    </w:div>
    <w:div w:id="1728992558">
      <w:bodyDiv w:val="1"/>
      <w:marLeft w:val="0"/>
      <w:marRight w:val="0"/>
      <w:marTop w:val="0"/>
      <w:marBottom w:val="0"/>
      <w:divBdr>
        <w:top w:val="none" w:sz="0" w:space="0" w:color="auto"/>
        <w:left w:val="none" w:sz="0" w:space="0" w:color="auto"/>
        <w:bottom w:val="none" w:sz="0" w:space="0" w:color="auto"/>
        <w:right w:val="none" w:sz="0" w:space="0" w:color="auto"/>
      </w:divBdr>
    </w:div>
    <w:div w:id="1732120931">
      <w:bodyDiv w:val="1"/>
      <w:marLeft w:val="0"/>
      <w:marRight w:val="0"/>
      <w:marTop w:val="0"/>
      <w:marBottom w:val="0"/>
      <w:divBdr>
        <w:top w:val="none" w:sz="0" w:space="0" w:color="auto"/>
        <w:left w:val="none" w:sz="0" w:space="0" w:color="auto"/>
        <w:bottom w:val="none" w:sz="0" w:space="0" w:color="auto"/>
        <w:right w:val="none" w:sz="0" w:space="0" w:color="auto"/>
      </w:divBdr>
      <w:divsChild>
        <w:div w:id="30690185">
          <w:marLeft w:val="0"/>
          <w:marRight w:val="0"/>
          <w:marTop w:val="0"/>
          <w:marBottom w:val="0"/>
          <w:divBdr>
            <w:top w:val="none" w:sz="0" w:space="0" w:color="auto"/>
            <w:left w:val="none" w:sz="0" w:space="0" w:color="auto"/>
            <w:bottom w:val="none" w:sz="0" w:space="0" w:color="auto"/>
            <w:right w:val="none" w:sz="0" w:space="0" w:color="auto"/>
          </w:divBdr>
        </w:div>
        <w:div w:id="133720153">
          <w:marLeft w:val="0"/>
          <w:marRight w:val="0"/>
          <w:marTop w:val="0"/>
          <w:marBottom w:val="0"/>
          <w:divBdr>
            <w:top w:val="none" w:sz="0" w:space="0" w:color="auto"/>
            <w:left w:val="none" w:sz="0" w:space="0" w:color="auto"/>
            <w:bottom w:val="none" w:sz="0" w:space="0" w:color="auto"/>
            <w:right w:val="none" w:sz="0" w:space="0" w:color="auto"/>
          </w:divBdr>
        </w:div>
        <w:div w:id="298001878">
          <w:marLeft w:val="0"/>
          <w:marRight w:val="0"/>
          <w:marTop w:val="0"/>
          <w:marBottom w:val="0"/>
          <w:divBdr>
            <w:top w:val="none" w:sz="0" w:space="0" w:color="auto"/>
            <w:left w:val="none" w:sz="0" w:space="0" w:color="auto"/>
            <w:bottom w:val="none" w:sz="0" w:space="0" w:color="auto"/>
            <w:right w:val="none" w:sz="0" w:space="0" w:color="auto"/>
          </w:divBdr>
        </w:div>
        <w:div w:id="578171578">
          <w:marLeft w:val="0"/>
          <w:marRight w:val="0"/>
          <w:marTop w:val="0"/>
          <w:marBottom w:val="0"/>
          <w:divBdr>
            <w:top w:val="none" w:sz="0" w:space="0" w:color="auto"/>
            <w:left w:val="none" w:sz="0" w:space="0" w:color="auto"/>
            <w:bottom w:val="none" w:sz="0" w:space="0" w:color="auto"/>
            <w:right w:val="none" w:sz="0" w:space="0" w:color="auto"/>
          </w:divBdr>
        </w:div>
        <w:div w:id="603535760">
          <w:marLeft w:val="0"/>
          <w:marRight w:val="0"/>
          <w:marTop w:val="0"/>
          <w:marBottom w:val="0"/>
          <w:divBdr>
            <w:top w:val="none" w:sz="0" w:space="0" w:color="auto"/>
            <w:left w:val="none" w:sz="0" w:space="0" w:color="auto"/>
            <w:bottom w:val="none" w:sz="0" w:space="0" w:color="auto"/>
            <w:right w:val="none" w:sz="0" w:space="0" w:color="auto"/>
          </w:divBdr>
        </w:div>
        <w:div w:id="1353922575">
          <w:marLeft w:val="0"/>
          <w:marRight w:val="0"/>
          <w:marTop w:val="0"/>
          <w:marBottom w:val="0"/>
          <w:divBdr>
            <w:top w:val="none" w:sz="0" w:space="0" w:color="auto"/>
            <w:left w:val="none" w:sz="0" w:space="0" w:color="auto"/>
            <w:bottom w:val="none" w:sz="0" w:space="0" w:color="auto"/>
            <w:right w:val="none" w:sz="0" w:space="0" w:color="auto"/>
          </w:divBdr>
        </w:div>
        <w:div w:id="1467700317">
          <w:marLeft w:val="0"/>
          <w:marRight w:val="0"/>
          <w:marTop w:val="0"/>
          <w:marBottom w:val="0"/>
          <w:divBdr>
            <w:top w:val="none" w:sz="0" w:space="0" w:color="auto"/>
            <w:left w:val="none" w:sz="0" w:space="0" w:color="auto"/>
            <w:bottom w:val="none" w:sz="0" w:space="0" w:color="auto"/>
            <w:right w:val="none" w:sz="0" w:space="0" w:color="auto"/>
          </w:divBdr>
        </w:div>
        <w:div w:id="1580821251">
          <w:marLeft w:val="0"/>
          <w:marRight w:val="0"/>
          <w:marTop w:val="0"/>
          <w:marBottom w:val="0"/>
          <w:divBdr>
            <w:top w:val="none" w:sz="0" w:space="0" w:color="auto"/>
            <w:left w:val="none" w:sz="0" w:space="0" w:color="auto"/>
            <w:bottom w:val="none" w:sz="0" w:space="0" w:color="auto"/>
            <w:right w:val="none" w:sz="0" w:space="0" w:color="auto"/>
          </w:divBdr>
        </w:div>
        <w:div w:id="1807971391">
          <w:marLeft w:val="0"/>
          <w:marRight w:val="0"/>
          <w:marTop w:val="0"/>
          <w:marBottom w:val="0"/>
          <w:divBdr>
            <w:top w:val="none" w:sz="0" w:space="0" w:color="auto"/>
            <w:left w:val="none" w:sz="0" w:space="0" w:color="auto"/>
            <w:bottom w:val="none" w:sz="0" w:space="0" w:color="auto"/>
            <w:right w:val="none" w:sz="0" w:space="0" w:color="auto"/>
          </w:divBdr>
        </w:div>
        <w:div w:id="2077583357">
          <w:marLeft w:val="0"/>
          <w:marRight w:val="0"/>
          <w:marTop w:val="0"/>
          <w:marBottom w:val="0"/>
          <w:divBdr>
            <w:top w:val="none" w:sz="0" w:space="0" w:color="auto"/>
            <w:left w:val="none" w:sz="0" w:space="0" w:color="auto"/>
            <w:bottom w:val="none" w:sz="0" w:space="0" w:color="auto"/>
            <w:right w:val="none" w:sz="0" w:space="0" w:color="auto"/>
          </w:divBdr>
        </w:div>
      </w:divsChild>
    </w:div>
    <w:div w:id="1744065557">
      <w:bodyDiv w:val="1"/>
      <w:marLeft w:val="0"/>
      <w:marRight w:val="0"/>
      <w:marTop w:val="0"/>
      <w:marBottom w:val="0"/>
      <w:divBdr>
        <w:top w:val="none" w:sz="0" w:space="0" w:color="auto"/>
        <w:left w:val="none" w:sz="0" w:space="0" w:color="auto"/>
        <w:bottom w:val="none" w:sz="0" w:space="0" w:color="auto"/>
        <w:right w:val="none" w:sz="0" w:space="0" w:color="auto"/>
      </w:divBdr>
      <w:divsChild>
        <w:div w:id="57436322">
          <w:marLeft w:val="0"/>
          <w:marRight w:val="0"/>
          <w:marTop w:val="0"/>
          <w:marBottom w:val="0"/>
          <w:divBdr>
            <w:top w:val="none" w:sz="0" w:space="0" w:color="auto"/>
            <w:left w:val="none" w:sz="0" w:space="0" w:color="auto"/>
            <w:bottom w:val="none" w:sz="0" w:space="0" w:color="auto"/>
            <w:right w:val="none" w:sz="0" w:space="0" w:color="auto"/>
          </w:divBdr>
        </w:div>
        <w:div w:id="61955758">
          <w:marLeft w:val="0"/>
          <w:marRight w:val="0"/>
          <w:marTop w:val="0"/>
          <w:marBottom w:val="0"/>
          <w:divBdr>
            <w:top w:val="none" w:sz="0" w:space="0" w:color="auto"/>
            <w:left w:val="none" w:sz="0" w:space="0" w:color="auto"/>
            <w:bottom w:val="none" w:sz="0" w:space="0" w:color="auto"/>
            <w:right w:val="none" w:sz="0" w:space="0" w:color="auto"/>
          </w:divBdr>
        </w:div>
        <w:div w:id="75442884">
          <w:marLeft w:val="0"/>
          <w:marRight w:val="0"/>
          <w:marTop w:val="0"/>
          <w:marBottom w:val="0"/>
          <w:divBdr>
            <w:top w:val="none" w:sz="0" w:space="0" w:color="auto"/>
            <w:left w:val="none" w:sz="0" w:space="0" w:color="auto"/>
            <w:bottom w:val="none" w:sz="0" w:space="0" w:color="auto"/>
            <w:right w:val="none" w:sz="0" w:space="0" w:color="auto"/>
          </w:divBdr>
        </w:div>
        <w:div w:id="183515265">
          <w:marLeft w:val="0"/>
          <w:marRight w:val="0"/>
          <w:marTop w:val="0"/>
          <w:marBottom w:val="0"/>
          <w:divBdr>
            <w:top w:val="none" w:sz="0" w:space="0" w:color="auto"/>
            <w:left w:val="none" w:sz="0" w:space="0" w:color="auto"/>
            <w:bottom w:val="none" w:sz="0" w:space="0" w:color="auto"/>
            <w:right w:val="none" w:sz="0" w:space="0" w:color="auto"/>
          </w:divBdr>
        </w:div>
        <w:div w:id="207451721">
          <w:marLeft w:val="0"/>
          <w:marRight w:val="0"/>
          <w:marTop w:val="0"/>
          <w:marBottom w:val="0"/>
          <w:divBdr>
            <w:top w:val="none" w:sz="0" w:space="0" w:color="auto"/>
            <w:left w:val="none" w:sz="0" w:space="0" w:color="auto"/>
            <w:bottom w:val="none" w:sz="0" w:space="0" w:color="auto"/>
            <w:right w:val="none" w:sz="0" w:space="0" w:color="auto"/>
          </w:divBdr>
        </w:div>
        <w:div w:id="250313182">
          <w:marLeft w:val="0"/>
          <w:marRight w:val="0"/>
          <w:marTop w:val="0"/>
          <w:marBottom w:val="0"/>
          <w:divBdr>
            <w:top w:val="none" w:sz="0" w:space="0" w:color="auto"/>
            <w:left w:val="none" w:sz="0" w:space="0" w:color="auto"/>
            <w:bottom w:val="none" w:sz="0" w:space="0" w:color="auto"/>
            <w:right w:val="none" w:sz="0" w:space="0" w:color="auto"/>
          </w:divBdr>
        </w:div>
        <w:div w:id="264271778">
          <w:marLeft w:val="0"/>
          <w:marRight w:val="0"/>
          <w:marTop w:val="0"/>
          <w:marBottom w:val="0"/>
          <w:divBdr>
            <w:top w:val="none" w:sz="0" w:space="0" w:color="auto"/>
            <w:left w:val="none" w:sz="0" w:space="0" w:color="auto"/>
            <w:bottom w:val="none" w:sz="0" w:space="0" w:color="auto"/>
            <w:right w:val="none" w:sz="0" w:space="0" w:color="auto"/>
          </w:divBdr>
        </w:div>
        <w:div w:id="273634283">
          <w:marLeft w:val="0"/>
          <w:marRight w:val="0"/>
          <w:marTop w:val="0"/>
          <w:marBottom w:val="0"/>
          <w:divBdr>
            <w:top w:val="none" w:sz="0" w:space="0" w:color="auto"/>
            <w:left w:val="none" w:sz="0" w:space="0" w:color="auto"/>
            <w:bottom w:val="none" w:sz="0" w:space="0" w:color="auto"/>
            <w:right w:val="none" w:sz="0" w:space="0" w:color="auto"/>
          </w:divBdr>
        </w:div>
        <w:div w:id="342779559">
          <w:marLeft w:val="0"/>
          <w:marRight w:val="0"/>
          <w:marTop w:val="0"/>
          <w:marBottom w:val="0"/>
          <w:divBdr>
            <w:top w:val="none" w:sz="0" w:space="0" w:color="auto"/>
            <w:left w:val="none" w:sz="0" w:space="0" w:color="auto"/>
            <w:bottom w:val="none" w:sz="0" w:space="0" w:color="auto"/>
            <w:right w:val="none" w:sz="0" w:space="0" w:color="auto"/>
          </w:divBdr>
        </w:div>
        <w:div w:id="351952638">
          <w:marLeft w:val="0"/>
          <w:marRight w:val="0"/>
          <w:marTop w:val="0"/>
          <w:marBottom w:val="0"/>
          <w:divBdr>
            <w:top w:val="none" w:sz="0" w:space="0" w:color="auto"/>
            <w:left w:val="none" w:sz="0" w:space="0" w:color="auto"/>
            <w:bottom w:val="none" w:sz="0" w:space="0" w:color="auto"/>
            <w:right w:val="none" w:sz="0" w:space="0" w:color="auto"/>
          </w:divBdr>
        </w:div>
        <w:div w:id="397628958">
          <w:marLeft w:val="0"/>
          <w:marRight w:val="0"/>
          <w:marTop w:val="0"/>
          <w:marBottom w:val="0"/>
          <w:divBdr>
            <w:top w:val="none" w:sz="0" w:space="0" w:color="auto"/>
            <w:left w:val="none" w:sz="0" w:space="0" w:color="auto"/>
            <w:bottom w:val="none" w:sz="0" w:space="0" w:color="auto"/>
            <w:right w:val="none" w:sz="0" w:space="0" w:color="auto"/>
          </w:divBdr>
        </w:div>
        <w:div w:id="399251258">
          <w:marLeft w:val="0"/>
          <w:marRight w:val="0"/>
          <w:marTop w:val="0"/>
          <w:marBottom w:val="0"/>
          <w:divBdr>
            <w:top w:val="none" w:sz="0" w:space="0" w:color="auto"/>
            <w:left w:val="none" w:sz="0" w:space="0" w:color="auto"/>
            <w:bottom w:val="none" w:sz="0" w:space="0" w:color="auto"/>
            <w:right w:val="none" w:sz="0" w:space="0" w:color="auto"/>
          </w:divBdr>
        </w:div>
        <w:div w:id="466319332">
          <w:marLeft w:val="0"/>
          <w:marRight w:val="0"/>
          <w:marTop w:val="0"/>
          <w:marBottom w:val="0"/>
          <w:divBdr>
            <w:top w:val="none" w:sz="0" w:space="0" w:color="auto"/>
            <w:left w:val="none" w:sz="0" w:space="0" w:color="auto"/>
            <w:bottom w:val="none" w:sz="0" w:space="0" w:color="auto"/>
            <w:right w:val="none" w:sz="0" w:space="0" w:color="auto"/>
          </w:divBdr>
        </w:div>
        <w:div w:id="560211140">
          <w:marLeft w:val="0"/>
          <w:marRight w:val="0"/>
          <w:marTop w:val="0"/>
          <w:marBottom w:val="0"/>
          <w:divBdr>
            <w:top w:val="none" w:sz="0" w:space="0" w:color="auto"/>
            <w:left w:val="none" w:sz="0" w:space="0" w:color="auto"/>
            <w:bottom w:val="none" w:sz="0" w:space="0" w:color="auto"/>
            <w:right w:val="none" w:sz="0" w:space="0" w:color="auto"/>
          </w:divBdr>
        </w:div>
        <w:div w:id="591621205">
          <w:marLeft w:val="0"/>
          <w:marRight w:val="0"/>
          <w:marTop w:val="0"/>
          <w:marBottom w:val="0"/>
          <w:divBdr>
            <w:top w:val="none" w:sz="0" w:space="0" w:color="auto"/>
            <w:left w:val="none" w:sz="0" w:space="0" w:color="auto"/>
            <w:bottom w:val="none" w:sz="0" w:space="0" w:color="auto"/>
            <w:right w:val="none" w:sz="0" w:space="0" w:color="auto"/>
          </w:divBdr>
        </w:div>
        <w:div w:id="693727611">
          <w:marLeft w:val="0"/>
          <w:marRight w:val="0"/>
          <w:marTop w:val="0"/>
          <w:marBottom w:val="0"/>
          <w:divBdr>
            <w:top w:val="none" w:sz="0" w:space="0" w:color="auto"/>
            <w:left w:val="none" w:sz="0" w:space="0" w:color="auto"/>
            <w:bottom w:val="none" w:sz="0" w:space="0" w:color="auto"/>
            <w:right w:val="none" w:sz="0" w:space="0" w:color="auto"/>
          </w:divBdr>
        </w:div>
        <w:div w:id="716589902">
          <w:marLeft w:val="0"/>
          <w:marRight w:val="0"/>
          <w:marTop w:val="0"/>
          <w:marBottom w:val="0"/>
          <w:divBdr>
            <w:top w:val="none" w:sz="0" w:space="0" w:color="auto"/>
            <w:left w:val="none" w:sz="0" w:space="0" w:color="auto"/>
            <w:bottom w:val="none" w:sz="0" w:space="0" w:color="auto"/>
            <w:right w:val="none" w:sz="0" w:space="0" w:color="auto"/>
          </w:divBdr>
        </w:div>
        <w:div w:id="790632352">
          <w:marLeft w:val="0"/>
          <w:marRight w:val="0"/>
          <w:marTop w:val="0"/>
          <w:marBottom w:val="0"/>
          <w:divBdr>
            <w:top w:val="none" w:sz="0" w:space="0" w:color="auto"/>
            <w:left w:val="none" w:sz="0" w:space="0" w:color="auto"/>
            <w:bottom w:val="none" w:sz="0" w:space="0" w:color="auto"/>
            <w:right w:val="none" w:sz="0" w:space="0" w:color="auto"/>
          </w:divBdr>
        </w:div>
        <w:div w:id="804589557">
          <w:marLeft w:val="0"/>
          <w:marRight w:val="0"/>
          <w:marTop w:val="0"/>
          <w:marBottom w:val="0"/>
          <w:divBdr>
            <w:top w:val="none" w:sz="0" w:space="0" w:color="auto"/>
            <w:left w:val="none" w:sz="0" w:space="0" w:color="auto"/>
            <w:bottom w:val="none" w:sz="0" w:space="0" w:color="auto"/>
            <w:right w:val="none" w:sz="0" w:space="0" w:color="auto"/>
          </w:divBdr>
        </w:div>
        <w:div w:id="857811312">
          <w:marLeft w:val="0"/>
          <w:marRight w:val="0"/>
          <w:marTop w:val="0"/>
          <w:marBottom w:val="0"/>
          <w:divBdr>
            <w:top w:val="none" w:sz="0" w:space="0" w:color="auto"/>
            <w:left w:val="none" w:sz="0" w:space="0" w:color="auto"/>
            <w:bottom w:val="none" w:sz="0" w:space="0" w:color="auto"/>
            <w:right w:val="none" w:sz="0" w:space="0" w:color="auto"/>
          </w:divBdr>
        </w:div>
        <w:div w:id="975842324">
          <w:marLeft w:val="0"/>
          <w:marRight w:val="0"/>
          <w:marTop w:val="0"/>
          <w:marBottom w:val="0"/>
          <w:divBdr>
            <w:top w:val="none" w:sz="0" w:space="0" w:color="auto"/>
            <w:left w:val="none" w:sz="0" w:space="0" w:color="auto"/>
            <w:bottom w:val="none" w:sz="0" w:space="0" w:color="auto"/>
            <w:right w:val="none" w:sz="0" w:space="0" w:color="auto"/>
          </w:divBdr>
        </w:div>
        <w:div w:id="985471151">
          <w:marLeft w:val="0"/>
          <w:marRight w:val="0"/>
          <w:marTop w:val="0"/>
          <w:marBottom w:val="0"/>
          <w:divBdr>
            <w:top w:val="none" w:sz="0" w:space="0" w:color="auto"/>
            <w:left w:val="none" w:sz="0" w:space="0" w:color="auto"/>
            <w:bottom w:val="none" w:sz="0" w:space="0" w:color="auto"/>
            <w:right w:val="none" w:sz="0" w:space="0" w:color="auto"/>
          </w:divBdr>
        </w:div>
        <w:div w:id="998533219">
          <w:marLeft w:val="0"/>
          <w:marRight w:val="0"/>
          <w:marTop w:val="0"/>
          <w:marBottom w:val="0"/>
          <w:divBdr>
            <w:top w:val="none" w:sz="0" w:space="0" w:color="auto"/>
            <w:left w:val="none" w:sz="0" w:space="0" w:color="auto"/>
            <w:bottom w:val="none" w:sz="0" w:space="0" w:color="auto"/>
            <w:right w:val="none" w:sz="0" w:space="0" w:color="auto"/>
          </w:divBdr>
        </w:div>
        <w:div w:id="1081833530">
          <w:marLeft w:val="0"/>
          <w:marRight w:val="0"/>
          <w:marTop w:val="0"/>
          <w:marBottom w:val="0"/>
          <w:divBdr>
            <w:top w:val="none" w:sz="0" w:space="0" w:color="auto"/>
            <w:left w:val="none" w:sz="0" w:space="0" w:color="auto"/>
            <w:bottom w:val="none" w:sz="0" w:space="0" w:color="auto"/>
            <w:right w:val="none" w:sz="0" w:space="0" w:color="auto"/>
          </w:divBdr>
        </w:div>
        <w:div w:id="1112550862">
          <w:marLeft w:val="0"/>
          <w:marRight w:val="0"/>
          <w:marTop w:val="0"/>
          <w:marBottom w:val="0"/>
          <w:divBdr>
            <w:top w:val="none" w:sz="0" w:space="0" w:color="auto"/>
            <w:left w:val="none" w:sz="0" w:space="0" w:color="auto"/>
            <w:bottom w:val="none" w:sz="0" w:space="0" w:color="auto"/>
            <w:right w:val="none" w:sz="0" w:space="0" w:color="auto"/>
          </w:divBdr>
        </w:div>
        <w:div w:id="1113985978">
          <w:marLeft w:val="0"/>
          <w:marRight w:val="0"/>
          <w:marTop w:val="0"/>
          <w:marBottom w:val="0"/>
          <w:divBdr>
            <w:top w:val="none" w:sz="0" w:space="0" w:color="auto"/>
            <w:left w:val="none" w:sz="0" w:space="0" w:color="auto"/>
            <w:bottom w:val="none" w:sz="0" w:space="0" w:color="auto"/>
            <w:right w:val="none" w:sz="0" w:space="0" w:color="auto"/>
          </w:divBdr>
        </w:div>
        <w:div w:id="1131748119">
          <w:marLeft w:val="0"/>
          <w:marRight w:val="0"/>
          <w:marTop w:val="0"/>
          <w:marBottom w:val="0"/>
          <w:divBdr>
            <w:top w:val="none" w:sz="0" w:space="0" w:color="auto"/>
            <w:left w:val="none" w:sz="0" w:space="0" w:color="auto"/>
            <w:bottom w:val="none" w:sz="0" w:space="0" w:color="auto"/>
            <w:right w:val="none" w:sz="0" w:space="0" w:color="auto"/>
          </w:divBdr>
        </w:div>
        <w:div w:id="1188717982">
          <w:marLeft w:val="0"/>
          <w:marRight w:val="0"/>
          <w:marTop w:val="0"/>
          <w:marBottom w:val="0"/>
          <w:divBdr>
            <w:top w:val="none" w:sz="0" w:space="0" w:color="auto"/>
            <w:left w:val="none" w:sz="0" w:space="0" w:color="auto"/>
            <w:bottom w:val="none" w:sz="0" w:space="0" w:color="auto"/>
            <w:right w:val="none" w:sz="0" w:space="0" w:color="auto"/>
          </w:divBdr>
        </w:div>
        <w:div w:id="1283266736">
          <w:marLeft w:val="0"/>
          <w:marRight w:val="0"/>
          <w:marTop w:val="0"/>
          <w:marBottom w:val="0"/>
          <w:divBdr>
            <w:top w:val="none" w:sz="0" w:space="0" w:color="auto"/>
            <w:left w:val="none" w:sz="0" w:space="0" w:color="auto"/>
            <w:bottom w:val="none" w:sz="0" w:space="0" w:color="auto"/>
            <w:right w:val="none" w:sz="0" w:space="0" w:color="auto"/>
          </w:divBdr>
        </w:div>
        <w:div w:id="1356464281">
          <w:marLeft w:val="0"/>
          <w:marRight w:val="0"/>
          <w:marTop w:val="0"/>
          <w:marBottom w:val="0"/>
          <w:divBdr>
            <w:top w:val="none" w:sz="0" w:space="0" w:color="auto"/>
            <w:left w:val="none" w:sz="0" w:space="0" w:color="auto"/>
            <w:bottom w:val="none" w:sz="0" w:space="0" w:color="auto"/>
            <w:right w:val="none" w:sz="0" w:space="0" w:color="auto"/>
          </w:divBdr>
        </w:div>
        <w:div w:id="1370568764">
          <w:marLeft w:val="0"/>
          <w:marRight w:val="0"/>
          <w:marTop w:val="0"/>
          <w:marBottom w:val="0"/>
          <w:divBdr>
            <w:top w:val="none" w:sz="0" w:space="0" w:color="auto"/>
            <w:left w:val="none" w:sz="0" w:space="0" w:color="auto"/>
            <w:bottom w:val="none" w:sz="0" w:space="0" w:color="auto"/>
            <w:right w:val="none" w:sz="0" w:space="0" w:color="auto"/>
          </w:divBdr>
        </w:div>
        <w:div w:id="1389457320">
          <w:marLeft w:val="0"/>
          <w:marRight w:val="0"/>
          <w:marTop w:val="0"/>
          <w:marBottom w:val="0"/>
          <w:divBdr>
            <w:top w:val="none" w:sz="0" w:space="0" w:color="auto"/>
            <w:left w:val="none" w:sz="0" w:space="0" w:color="auto"/>
            <w:bottom w:val="none" w:sz="0" w:space="0" w:color="auto"/>
            <w:right w:val="none" w:sz="0" w:space="0" w:color="auto"/>
          </w:divBdr>
        </w:div>
        <w:div w:id="1403139565">
          <w:marLeft w:val="0"/>
          <w:marRight w:val="0"/>
          <w:marTop w:val="0"/>
          <w:marBottom w:val="0"/>
          <w:divBdr>
            <w:top w:val="none" w:sz="0" w:space="0" w:color="auto"/>
            <w:left w:val="none" w:sz="0" w:space="0" w:color="auto"/>
            <w:bottom w:val="none" w:sz="0" w:space="0" w:color="auto"/>
            <w:right w:val="none" w:sz="0" w:space="0" w:color="auto"/>
          </w:divBdr>
        </w:div>
        <w:div w:id="1413041832">
          <w:marLeft w:val="0"/>
          <w:marRight w:val="0"/>
          <w:marTop w:val="0"/>
          <w:marBottom w:val="0"/>
          <w:divBdr>
            <w:top w:val="none" w:sz="0" w:space="0" w:color="auto"/>
            <w:left w:val="none" w:sz="0" w:space="0" w:color="auto"/>
            <w:bottom w:val="none" w:sz="0" w:space="0" w:color="auto"/>
            <w:right w:val="none" w:sz="0" w:space="0" w:color="auto"/>
          </w:divBdr>
        </w:div>
        <w:div w:id="1427387733">
          <w:marLeft w:val="0"/>
          <w:marRight w:val="0"/>
          <w:marTop w:val="0"/>
          <w:marBottom w:val="0"/>
          <w:divBdr>
            <w:top w:val="none" w:sz="0" w:space="0" w:color="auto"/>
            <w:left w:val="none" w:sz="0" w:space="0" w:color="auto"/>
            <w:bottom w:val="none" w:sz="0" w:space="0" w:color="auto"/>
            <w:right w:val="none" w:sz="0" w:space="0" w:color="auto"/>
          </w:divBdr>
        </w:div>
        <w:div w:id="1493790615">
          <w:marLeft w:val="0"/>
          <w:marRight w:val="0"/>
          <w:marTop w:val="0"/>
          <w:marBottom w:val="0"/>
          <w:divBdr>
            <w:top w:val="none" w:sz="0" w:space="0" w:color="auto"/>
            <w:left w:val="none" w:sz="0" w:space="0" w:color="auto"/>
            <w:bottom w:val="none" w:sz="0" w:space="0" w:color="auto"/>
            <w:right w:val="none" w:sz="0" w:space="0" w:color="auto"/>
          </w:divBdr>
        </w:div>
        <w:div w:id="1541554007">
          <w:marLeft w:val="0"/>
          <w:marRight w:val="0"/>
          <w:marTop w:val="0"/>
          <w:marBottom w:val="0"/>
          <w:divBdr>
            <w:top w:val="none" w:sz="0" w:space="0" w:color="auto"/>
            <w:left w:val="none" w:sz="0" w:space="0" w:color="auto"/>
            <w:bottom w:val="none" w:sz="0" w:space="0" w:color="auto"/>
            <w:right w:val="none" w:sz="0" w:space="0" w:color="auto"/>
          </w:divBdr>
        </w:div>
        <w:div w:id="1547260359">
          <w:marLeft w:val="0"/>
          <w:marRight w:val="0"/>
          <w:marTop w:val="0"/>
          <w:marBottom w:val="0"/>
          <w:divBdr>
            <w:top w:val="none" w:sz="0" w:space="0" w:color="auto"/>
            <w:left w:val="none" w:sz="0" w:space="0" w:color="auto"/>
            <w:bottom w:val="none" w:sz="0" w:space="0" w:color="auto"/>
            <w:right w:val="none" w:sz="0" w:space="0" w:color="auto"/>
          </w:divBdr>
        </w:div>
        <w:div w:id="1688481661">
          <w:marLeft w:val="0"/>
          <w:marRight w:val="0"/>
          <w:marTop w:val="0"/>
          <w:marBottom w:val="0"/>
          <w:divBdr>
            <w:top w:val="none" w:sz="0" w:space="0" w:color="auto"/>
            <w:left w:val="none" w:sz="0" w:space="0" w:color="auto"/>
            <w:bottom w:val="none" w:sz="0" w:space="0" w:color="auto"/>
            <w:right w:val="none" w:sz="0" w:space="0" w:color="auto"/>
          </w:divBdr>
        </w:div>
        <w:div w:id="1864200117">
          <w:marLeft w:val="0"/>
          <w:marRight w:val="0"/>
          <w:marTop w:val="0"/>
          <w:marBottom w:val="0"/>
          <w:divBdr>
            <w:top w:val="none" w:sz="0" w:space="0" w:color="auto"/>
            <w:left w:val="none" w:sz="0" w:space="0" w:color="auto"/>
            <w:bottom w:val="none" w:sz="0" w:space="0" w:color="auto"/>
            <w:right w:val="none" w:sz="0" w:space="0" w:color="auto"/>
          </w:divBdr>
        </w:div>
        <w:div w:id="1895313673">
          <w:marLeft w:val="0"/>
          <w:marRight w:val="0"/>
          <w:marTop w:val="0"/>
          <w:marBottom w:val="0"/>
          <w:divBdr>
            <w:top w:val="none" w:sz="0" w:space="0" w:color="auto"/>
            <w:left w:val="none" w:sz="0" w:space="0" w:color="auto"/>
            <w:bottom w:val="none" w:sz="0" w:space="0" w:color="auto"/>
            <w:right w:val="none" w:sz="0" w:space="0" w:color="auto"/>
          </w:divBdr>
        </w:div>
        <w:div w:id="1941570135">
          <w:marLeft w:val="0"/>
          <w:marRight w:val="0"/>
          <w:marTop w:val="0"/>
          <w:marBottom w:val="0"/>
          <w:divBdr>
            <w:top w:val="none" w:sz="0" w:space="0" w:color="auto"/>
            <w:left w:val="none" w:sz="0" w:space="0" w:color="auto"/>
            <w:bottom w:val="none" w:sz="0" w:space="0" w:color="auto"/>
            <w:right w:val="none" w:sz="0" w:space="0" w:color="auto"/>
          </w:divBdr>
        </w:div>
        <w:div w:id="1957060894">
          <w:marLeft w:val="0"/>
          <w:marRight w:val="0"/>
          <w:marTop w:val="0"/>
          <w:marBottom w:val="0"/>
          <w:divBdr>
            <w:top w:val="none" w:sz="0" w:space="0" w:color="auto"/>
            <w:left w:val="none" w:sz="0" w:space="0" w:color="auto"/>
            <w:bottom w:val="none" w:sz="0" w:space="0" w:color="auto"/>
            <w:right w:val="none" w:sz="0" w:space="0" w:color="auto"/>
          </w:divBdr>
        </w:div>
        <w:div w:id="2003268274">
          <w:marLeft w:val="0"/>
          <w:marRight w:val="0"/>
          <w:marTop w:val="0"/>
          <w:marBottom w:val="0"/>
          <w:divBdr>
            <w:top w:val="none" w:sz="0" w:space="0" w:color="auto"/>
            <w:left w:val="none" w:sz="0" w:space="0" w:color="auto"/>
            <w:bottom w:val="none" w:sz="0" w:space="0" w:color="auto"/>
            <w:right w:val="none" w:sz="0" w:space="0" w:color="auto"/>
          </w:divBdr>
        </w:div>
      </w:divsChild>
    </w:div>
    <w:div w:id="1744447744">
      <w:bodyDiv w:val="1"/>
      <w:marLeft w:val="0"/>
      <w:marRight w:val="0"/>
      <w:marTop w:val="0"/>
      <w:marBottom w:val="0"/>
      <w:divBdr>
        <w:top w:val="none" w:sz="0" w:space="0" w:color="auto"/>
        <w:left w:val="none" w:sz="0" w:space="0" w:color="auto"/>
        <w:bottom w:val="none" w:sz="0" w:space="0" w:color="auto"/>
        <w:right w:val="none" w:sz="0" w:space="0" w:color="auto"/>
      </w:divBdr>
      <w:divsChild>
        <w:div w:id="1383284997">
          <w:marLeft w:val="0"/>
          <w:marRight w:val="0"/>
          <w:marTop w:val="0"/>
          <w:marBottom w:val="0"/>
          <w:divBdr>
            <w:top w:val="none" w:sz="0" w:space="0" w:color="auto"/>
            <w:left w:val="none" w:sz="0" w:space="0" w:color="auto"/>
            <w:bottom w:val="none" w:sz="0" w:space="0" w:color="auto"/>
            <w:right w:val="none" w:sz="0" w:space="0" w:color="auto"/>
          </w:divBdr>
        </w:div>
        <w:div w:id="1478182212">
          <w:marLeft w:val="0"/>
          <w:marRight w:val="0"/>
          <w:marTop w:val="0"/>
          <w:marBottom w:val="0"/>
          <w:divBdr>
            <w:top w:val="none" w:sz="0" w:space="0" w:color="auto"/>
            <w:left w:val="none" w:sz="0" w:space="0" w:color="auto"/>
            <w:bottom w:val="none" w:sz="0" w:space="0" w:color="auto"/>
            <w:right w:val="none" w:sz="0" w:space="0" w:color="auto"/>
          </w:divBdr>
        </w:div>
        <w:div w:id="1517304671">
          <w:marLeft w:val="0"/>
          <w:marRight w:val="0"/>
          <w:marTop w:val="0"/>
          <w:marBottom w:val="0"/>
          <w:divBdr>
            <w:top w:val="none" w:sz="0" w:space="0" w:color="auto"/>
            <w:left w:val="none" w:sz="0" w:space="0" w:color="auto"/>
            <w:bottom w:val="none" w:sz="0" w:space="0" w:color="auto"/>
            <w:right w:val="none" w:sz="0" w:space="0" w:color="auto"/>
          </w:divBdr>
        </w:div>
      </w:divsChild>
    </w:div>
    <w:div w:id="1746220843">
      <w:bodyDiv w:val="1"/>
      <w:marLeft w:val="0"/>
      <w:marRight w:val="0"/>
      <w:marTop w:val="0"/>
      <w:marBottom w:val="0"/>
      <w:divBdr>
        <w:top w:val="none" w:sz="0" w:space="0" w:color="auto"/>
        <w:left w:val="none" w:sz="0" w:space="0" w:color="auto"/>
        <w:bottom w:val="none" w:sz="0" w:space="0" w:color="auto"/>
        <w:right w:val="none" w:sz="0" w:space="0" w:color="auto"/>
      </w:divBdr>
    </w:div>
    <w:div w:id="1747532741">
      <w:bodyDiv w:val="1"/>
      <w:marLeft w:val="0"/>
      <w:marRight w:val="0"/>
      <w:marTop w:val="0"/>
      <w:marBottom w:val="0"/>
      <w:divBdr>
        <w:top w:val="none" w:sz="0" w:space="0" w:color="auto"/>
        <w:left w:val="none" w:sz="0" w:space="0" w:color="auto"/>
        <w:bottom w:val="none" w:sz="0" w:space="0" w:color="auto"/>
        <w:right w:val="none" w:sz="0" w:space="0" w:color="auto"/>
      </w:divBdr>
    </w:div>
    <w:div w:id="1748990231">
      <w:bodyDiv w:val="1"/>
      <w:marLeft w:val="0"/>
      <w:marRight w:val="0"/>
      <w:marTop w:val="0"/>
      <w:marBottom w:val="0"/>
      <w:divBdr>
        <w:top w:val="none" w:sz="0" w:space="0" w:color="auto"/>
        <w:left w:val="none" w:sz="0" w:space="0" w:color="auto"/>
        <w:bottom w:val="none" w:sz="0" w:space="0" w:color="auto"/>
        <w:right w:val="none" w:sz="0" w:space="0" w:color="auto"/>
      </w:divBdr>
    </w:div>
    <w:div w:id="1751345783">
      <w:bodyDiv w:val="1"/>
      <w:marLeft w:val="0"/>
      <w:marRight w:val="0"/>
      <w:marTop w:val="0"/>
      <w:marBottom w:val="0"/>
      <w:divBdr>
        <w:top w:val="none" w:sz="0" w:space="0" w:color="auto"/>
        <w:left w:val="none" w:sz="0" w:space="0" w:color="auto"/>
        <w:bottom w:val="none" w:sz="0" w:space="0" w:color="auto"/>
        <w:right w:val="none" w:sz="0" w:space="0" w:color="auto"/>
      </w:divBdr>
      <w:divsChild>
        <w:div w:id="898710978">
          <w:marLeft w:val="0"/>
          <w:marRight w:val="0"/>
          <w:marTop w:val="0"/>
          <w:marBottom w:val="0"/>
          <w:divBdr>
            <w:top w:val="none" w:sz="0" w:space="0" w:color="auto"/>
            <w:left w:val="none" w:sz="0" w:space="0" w:color="auto"/>
            <w:bottom w:val="none" w:sz="0" w:space="0" w:color="auto"/>
            <w:right w:val="none" w:sz="0" w:space="0" w:color="auto"/>
          </w:divBdr>
        </w:div>
      </w:divsChild>
    </w:div>
    <w:div w:id="1759667814">
      <w:bodyDiv w:val="1"/>
      <w:marLeft w:val="0"/>
      <w:marRight w:val="0"/>
      <w:marTop w:val="0"/>
      <w:marBottom w:val="0"/>
      <w:divBdr>
        <w:top w:val="none" w:sz="0" w:space="0" w:color="auto"/>
        <w:left w:val="none" w:sz="0" w:space="0" w:color="auto"/>
        <w:bottom w:val="none" w:sz="0" w:space="0" w:color="auto"/>
        <w:right w:val="none" w:sz="0" w:space="0" w:color="auto"/>
      </w:divBdr>
      <w:divsChild>
        <w:div w:id="17050814">
          <w:marLeft w:val="0"/>
          <w:marRight w:val="0"/>
          <w:marTop w:val="0"/>
          <w:marBottom w:val="0"/>
          <w:divBdr>
            <w:top w:val="none" w:sz="0" w:space="0" w:color="auto"/>
            <w:left w:val="none" w:sz="0" w:space="0" w:color="auto"/>
            <w:bottom w:val="none" w:sz="0" w:space="0" w:color="auto"/>
            <w:right w:val="none" w:sz="0" w:space="0" w:color="auto"/>
          </w:divBdr>
        </w:div>
        <w:div w:id="21327301">
          <w:marLeft w:val="0"/>
          <w:marRight w:val="0"/>
          <w:marTop w:val="0"/>
          <w:marBottom w:val="0"/>
          <w:divBdr>
            <w:top w:val="none" w:sz="0" w:space="0" w:color="auto"/>
            <w:left w:val="none" w:sz="0" w:space="0" w:color="auto"/>
            <w:bottom w:val="none" w:sz="0" w:space="0" w:color="auto"/>
            <w:right w:val="none" w:sz="0" w:space="0" w:color="auto"/>
          </w:divBdr>
        </w:div>
        <w:div w:id="38012962">
          <w:marLeft w:val="0"/>
          <w:marRight w:val="0"/>
          <w:marTop w:val="0"/>
          <w:marBottom w:val="0"/>
          <w:divBdr>
            <w:top w:val="none" w:sz="0" w:space="0" w:color="auto"/>
            <w:left w:val="none" w:sz="0" w:space="0" w:color="auto"/>
            <w:bottom w:val="none" w:sz="0" w:space="0" w:color="auto"/>
            <w:right w:val="none" w:sz="0" w:space="0" w:color="auto"/>
          </w:divBdr>
        </w:div>
        <w:div w:id="51466707">
          <w:marLeft w:val="0"/>
          <w:marRight w:val="0"/>
          <w:marTop w:val="0"/>
          <w:marBottom w:val="0"/>
          <w:divBdr>
            <w:top w:val="none" w:sz="0" w:space="0" w:color="auto"/>
            <w:left w:val="none" w:sz="0" w:space="0" w:color="auto"/>
            <w:bottom w:val="none" w:sz="0" w:space="0" w:color="auto"/>
            <w:right w:val="none" w:sz="0" w:space="0" w:color="auto"/>
          </w:divBdr>
        </w:div>
        <w:div w:id="57363896">
          <w:marLeft w:val="0"/>
          <w:marRight w:val="0"/>
          <w:marTop w:val="0"/>
          <w:marBottom w:val="0"/>
          <w:divBdr>
            <w:top w:val="none" w:sz="0" w:space="0" w:color="auto"/>
            <w:left w:val="none" w:sz="0" w:space="0" w:color="auto"/>
            <w:bottom w:val="none" w:sz="0" w:space="0" w:color="auto"/>
            <w:right w:val="none" w:sz="0" w:space="0" w:color="auto"/>
          </w:divBdr>
        </w:div>
        <w:div w:id="63383766">
          <w:marLeft w:val="0"/>
          <w:marRight w:val="0"/>
          <w:marTop w:val="0"/>
          <w:marBottom w:val="0"/>
          <w:divBdr>
            <w:top w:val="none" w:sz="0" w:space="0" w:color="auto"/>
            <w:left w:val="none" w:sz="0" w:space="0" w:color="auto"/>
            <w:bottom w:val="none" w:sz="0" w:space="0" w:color="auto"/>
            <w:right w:val="none" w:sz="0" w:space="0" w:color="auto"/>
          </w:divBdr>
        </w:div>
        <w:div w:id="65108390">
          <w:marLeft w:val="0"/>
          <w:marRight w:val="0"/>
          <w:marTop w:val="0"/>
          <w:marBottom w:val="0"/>
          <w:divBdr>
            <w:top w:val="none" w:sz="0" w:space="0" w:color="auto"/>
            <w:left w:val="none" w:sz="0" w:space="0" w:color="auto"/>
            <w:bottom w:val="none" w:sz="0" w:space="0" w:color="auto"/>
            <w:right w:val="none" w:sz="0" w:space="0" w:color="auto"/>
          </w:divBdr>
        </w:div>
        <w:div w:id="75446372">
          <w:marLeft w:val="0"/>
          <w:marRight w:val="0"/>
          <w:marTop w:val="0"/>
          <w:marBottom w:val="0"/>
          <w:divBdr>
            <w:top w:val="none" w:sz="0" w:space="0" w:color="auto"/>
            <w:left w:val="none" w:sz="0" w:space="0" w:color="auto"/>
            <w:bottom w:val="none" w:sz="0" w:space="0" w:color="auto"/>
            <w:right w:val="none" w:sz="0" w:space="0" w:color="auto"/>
          </w:divBdr>
        </w:div>
        <w:div w:id="125781339">
          <w:marLeft w:val="0"/>
          <w:marRight w:val="0"/>
          <w:marTop w:val="0"/>
          <w:marBottom w:val="0"/>
          <w:divBdr>
            <w:top w:val="none" w:sz="0" w:space="0" w:color="auto"/>
            <w:left w:val="none" w:sz="0" w:space="0" w:color="auto"/>
            <w:bottom w:val="none" w:sz="0" w:space="0" w:color="auto"/>
            <w:right w:val="none" w:sz="0" w:space="0" w:color="auto"/>
          </w:divBdr>
        </w:div>
        <w:div w:id="144778790">
          <w:marLeft w:val="0"/>
          <w:marRight w:val="0"/>
          <w:marTop w:val="0"/>
          <w:marBottom w:val="0"/>
          <w:divBdr>
            <w:top w:val="none" w:sz="0" w:space="0" w:color="auto"/>
            <w:left w:val="none" w:sz="0" w:space="0" w:color="auto"/>
            <w:bottom w:val="none" w:sz="0" w:space="0" w:color="auto"/>
            <w:right w:val="none" w:sz="0" w:space="0" w:color="auto"/>
          </w:divBdr>
        </w:div>
        <w:div w:id="161895043">
          <w:marLeft w:val="0"/>
          <w:marRight w:val="0"/>
          <w:marTop w:val="0"/>
          <w:marBottom w:val="0"/>
          <w:divBdr>
            <w:top w:val="none" w:sz="0" w:space="0" w:color="auto"/>
            <w:left w:val="none" w:sz="0" w:space="0" w:color="auto"/>
            <w:bottom w:val="none" w:sz="0" w:space="0" w:color="auto"/>
            <w:right w:val="none" w:sz="0" w:space="0" w:color="auto"/>
          </w:divBdr>
        </w:div>
        <w:div w:id="163864247">
          <w:marLeft w:val="0"/>
          <w:marRight w:val="0"/>
          <w:marTop w:val="0"/>
          <w:marBottom w:val="0"/>
          <w:divBdr>
            <w:top w:val="none" w:sz="0" w:space="0" w:color="auto"/>
            <w:left w:val="none" w:sz="0" w:space="0" w:color="auto"/>
            <w:bottom w:val="none" w:sz="0" w:space="0" w:color="auto"/>
            <w:right w:val="none" w:sz="0" w:space="0" w:color="auto"/>
          </w:divBdr>
        </w:div>
        <w:div w:id="177081137">
          <w:marLeft w:val="0"/>
          <w:marRight w:val="0"/>
          <w:marTop w:val="0"/>
          <w:marBottom w:val="0"/>
          <w:divBdr>
            <w:top w:val="none" w:sz="0" w:space="0" w:color="auto"/>
            <w:left w:val="none" w:sz="0" w:space="0" w:color="auto"/>
            <w:bottom w:val="none" w:sz="0" w:space="0" w:color="auto"/>
            <w:right w:val="none" w:sz="0" w:space="0" w:color="auto"/>
          </w:divBdr>
        </w:div>
        <w:div w:id="180359530">
          <w:marLeft w:val="0"/>
          <w:marRight w:val="0"/>
          <w:marTop w:val="0"/>
          <w:marBottom w:val="0"/>
          <w:divBdr>
            <w:top w:val="none" w:sz="0" w:space="0" w:color="auto"/>
            <w:left w:val="none" w:sz="0" w:space="0" w:color="auto"/>
            <w:bottom w:val="none" w:sz="0" w:space="0" w:color="auto"/>
            <w:right w:val="none" w:sz="0" w:space="0" w:color="auto"/>
          </w:divBdr>
        </w:div>
        <w:div w:id="184095367">
          <w:marLeft w:val="0"/>
          <w:marRight w:val="0"/>
          <w:marTop w:val="0"/>
          <w:marBottom w:val="0"/>
          <w:divBdr>
            <w:top w:val="none" w:sz="0" w:space="0" w:color="auto"/>
            <w:left w:val="none" w:sz="0" w:space="0" w:color="auto"/>
            <w:bottom w:val="none" w:sz="0" w:space="0" w:color="auto"/>
            <w:right w:val="none" w:sz="0" w:space="0" w:color="auto"/>
          </w:divBdr>
        </w:div>
        <w:div w:id="191310615">
          <w:marLeft w:val="0"/>
          <w:marRight w:val="0"/>
          <w:marTop w:val="0"/>
          <w:marBottom w:val="0"/>
          <w:divBdr>
            <w:top w:val="none" w:sz="0" w:space="0" w:color="auto"/>
            <w:left w:val="none" w:sz="0" w:space="0" w:color="auto"/>
            <w:bottom w:val="none" w:sz="0" w:space="0" w:color="auto"/>
            <w:right w:val="none" w:sz="0" w:space="0" w:color="auto"/>
          </w:divBdr>
        </w:div>
        <w:div w:id="258371951">
          <w:marLeft w:val="0"/>
          <w:marRight w:val="0"/>
          <w:marTop w:val="0"/>
          <w:marBottom w:val="0"/>
          <w:divBdr>
            <w:top w:val="none" w:sz="0" w:space="0" w:color="auto"/>
            <w:left w:val="none" w:sz="0" w:space="0" w:color="auto"/>
            <w:bottom w:val="none" w:sz="0" w:space="0" w:color="auto"/>
            <w:right w:val="none" w:sz="0" w:space="0" w:color="auto"/>
          </w:divBdr>
        </w:div>
        <w:div w:id="278798431">
          <w:marLeft w:val="0"/>
          <w:marRight w:val="0"/>
          <w:marTop w:val="0"/>
          <w:marBottom w:val="0"/>
          <w:divBdr>
            <w:top w:val="none" w:sz="0" w:space="0" w:color="auto"/>
            <w:left w:val="none" w:sz="0" w:space="0" w:color="auto"/>
            <w:bottom w:val="none" w:sz="0" w:space="0" w:color="auto"/>
            <w:right w:val="none" w:sz="0" w:space="0" w:color="auto"/>
          </w:divBdr>
        </w:div>
        <w:div w:id="307243162">
          <w:marLeft w:val="0"/>
          <w:marRight w:val="0"/>
          <w:marTop w:val="0"/>
          <w:marBottom w:val="0"/>
          <w:divBdr>
            <w:top w:val="none" w:sz="0" w:space="0" w:color="auto"/>
            <w:left w:val="none" w:sz="0" w:space="0" w:color="auto"/>
            <w:bottom w:val="none" w:sz="0" w:space="0" w:color="auto"/>
            <w:right w:val="none" w:sz="0" w:space="0" w:color="auto"/>
          </w:divBdr>
        </w:div>
        <w:div w:id="328681446">
          <w:marLeft w:val="0"/>
          <w:marRight w:val="0"/>
          <w:marTop w:val="0"/>
          <w:marBottom w:val="0"/>
          <w:divBdr>
            <w:top w:val="none" w:sz="0" w:space="0" w:color="auto"/>
            <w:left w:val="none" w:sz="0" w:space="0" w:color="auto"/>
            <w:bottom w:val="none" w:sz="0" w:space="0" w:color="auto"/>
            <w:right w:val="none" w:sz="0" w:space="0" w:color="auto"/>
          </w:divBdr>
        </w:div>
        <w:div w:id="339896098">
          <w:marLeft w:val="0"/>
          <w:marRight w:val="0"/>
          <w:marTop w:val="0"/>
          <w:marBottom w:val="0"/>
          <w:divBdr>
            <w:top w:val="none" w:sz="0" w:space="0" w:color="auto"/>
            <w:left w:val="none" w:sz="0" w:space="0" w:color="auto"/>
            <w:bottom w:val="none" w:sz="0" w:space="0" w:color="auto"/>
            <w:right w:val="none" w:sz="0" w:space="0" w:color="auto"/>
          </w:divBdr>
        </w:div>
        <w:div w:id="361327336">
          <w:marLeft w:val="0"/>
          <w:marRight w:val="0"/>
          <w:marTop w:val="0"/>
          <w:marBottom w:val="0"/>
          <w:divBdr>
            <w:top w:val="none" w:sz="0" w:space="0" w:color="auto"/>
            <w:left w:val="none" w:sz="0" w:space="0" w:color="auto"/>
            <w:bottom w:val="none" w:sz="0" w:space="0" w:color="auto"/>
            <w:right w:val="none" w:sz="0" w:space="0" w:color="auto"/>
          </w:divBdr>
        </w:div>
        <w:div w:id="368841402">
          <w:marLeft w:val="0"/>
          <w:marRight w:val="0"/>
          <w:marTop w:val="0"/>
          <w:marBottom w:val="0"/>
          <w:divBdr>
            <w:top w:val="none" w:sz="0" w:space="0" w:color="auto"/>
            <w:left w:val="none" w:sz="0" w:space="0" w:color="auto"/>
            <w:bottom w:val="none" w:sz="0" w:space="0" w:color="auto"/>
            <w:right w:val="none" w:sz="0" w:space="0" w:color="auto"/>
          </w:divBdr>
        </w:div>
        <w:div w:id="415321579">
          <w:marLeft w:val="0"/>
          <w:marRight w:val="0"/>
          <w:marTop w:val="0"/>
          <w:marBottom w:val="0"/>
          <w:divBdr>
            <w:top w:val="none" w:sz="0" w:space="0" w:color="auto"/>
            <w:left w:val="none" w:sz="0" w:space="0" w:color="auto"/>
            <w:bottom w:val="none" w:sz="0" w:space="0" w:color="auto"/>
            <w:right w:val="none" w:sz="0" w:space="0" w:color="auto"/>
          </w:divBdr>
        </w:div>
        <w:div w:id="423037429">
          <w:marLeft w:val="0"/>
          <w:marRight w:val="0"/>
          <w:marTop w:val="0"/>
          <w:marBottom w:val="0"/>
          <w:divBdr>
            <w:top w:val="none" w:sz="0" w:space="0" w:color="auto"/>
            <w:left w:val="none" w:sz="0" w:space="0" w:color="auto"/>
            <w:bottom w:val="none" w:sz="0" w:space="0" w:color="auto"/>
            <w:right w:val="none" w:sz="0" w:space="0" w:color="auto"/>
          </w:divBdr>
        </w:div>
        <w:div w:id="445807282">
          <w:marLeft w:val="0"/>
          <w:marRight w:val="0"/>
          <w:marTop w:val="0"/>
          <w:marBottom w:val="0"/>
          <w:divBdr>
            <w:top w:val="none" w:sz="0" w:space="0" w:color="auto"/>
            <w:left w:val="none" w:sz="0" w:space="0" w:color="auto"/>
            <w:bottom w:val="none" w:sz="0" w:space="0" w:color="auto"/>
            <w:right w:val="none" w:sz="0" w:space="0" w:color="auto"/>
          </w:divBdr>
        </w:div>
        <w:div w:id="472868163">
          <w:marLeft w:val="0"/>
          <w:marRight w:val="0"/>
          <w:marTop w:val="0"/>
          <w:marBottom w:val="0"/>
          <w:divBdr>
            <w:top w:val="none" w:sz="0" w:space="0" w:color="auto"/>
            <w:left w:val="none" w:sz="0" w:space="0" w:color="auto"/>
            <w:bottom w:val="none" w:sz="0" w:space="0" w:color="auto"/>
            <w:right w:val="none" w:sz="0" w:space="0" w:color="auto"/>
          </w:divBdr>
        </w:div>
        <w:div w:id="486560358">
          <w:marLeft w:val="0"/>
          <w:marRight w:val="0"/>
          <w:marTop w:val="0"/>
          <w:marBottom w:val="0"/>
          <w:divBdr>
            <w:top w:val="none" w:sz="0" w:space="0" w:color="auto"/>
            <w:left w:val="none" w:sz="0" w:space="0" w:color="auto"/>
            <w:bottom w:val="none" w:sz="0" w:space="0" w:color="auto"/>
            <w:right w:val="none" w:sz="0" w:space="0" w:color="auto"/>
          </w:divBdr>
        </w:div>
        <w:div w:id="505677648">
          <w:marLeft w:val="0"/>
          <w:marRight w:val="0"/>
          <w:marTop w:val="0"/>
          <w:marBottom w:val="0"/>
          <w:divBdr>
            <w:top w:val="none" w:sz="0" w:space="0" w:color="auto"/>
            <w:left w:val="none" w:sz="0" w:space="0" w:color="auto"/>
            <w:bottom w:val="none" w:sz="0" w:space="0" w:color="auto"/>
            <w:right w:val="none" w:sz="0" w:space="0" w:color="auto"/>
          </w:divBdr>
        </w:div>
        <w:div w:id="523905844">
          <w:marLeft w:val="0"/>
          <w:marRight w:val="0"/>
          <w:marTop w:val="0"/>
          <w:marBottom w:val="0"/>
          <w:divBdr>
            <w:top w:val="none" w:sz="0" w:space="0" w:color="auto"/>
            <w:left w:val="none" w:sz="0" w:space="0" w:color="auto"/>
            <w:bottom w:val="none" w:sz="0" w:space="0" w:color="auto"/>
            <w:right w:val="none" w:sz="0" w:space="0" w:color="auto"/>
          </w:divBdr>
        </w:div>
        <w:div w:id="564223639">
          <w:marLeft w:val="0"/>
          <w:marRight w:val="0"/>
          <w:marTop w:val="0"/>
          <w:marBottom w:val="0"/>
          <w:divBdr>
            <w:top w:val="none" w:sz="0" w:space="0" w:color="auto"/>
            <w:left w:val="none" w:sz="0" w:space="0" w:color="auto"/>
            <w:bottom w:val="none" w:sz="0" w:space="0" w:color="auto"/>
            <w:right w:val="none" w:sz="0" w:space="0" w:color="auto"/>
          </w:divBdr>
        </w:div>
        <w:div w:id="576016700">
          <w:marLeft w:val="0"/>
          <w:marRight w:val="0"/>
          <w:marTop w:val="0"/>
          <w:marBottom w:val="0"/>
          <w:divBdr>
            <w:top w:val="none" w:sz="0" w:space="0" w:color="auto"/>
            <w:left w:val="none" w:sz="0" w:space="0" w:color="auto"/>
            <w:bottom w:val="none" w:sz="0" w:space="0" w:color="auto"/>
            <w:right w:val="none" w:sz="0" w:space="0" w:color="auto"/>
          </w:divBdr>
        </w:div>
        <w:div w:id="611983972">
          <w:marLeft w:val="0"/>
          <w:marRight w:val="0"/>
          <w:marTop w:val="0"/>
          <w:marBottom w:val="0"/>
          <w:divBdr>
            <w:top w:val="none" w:sz="0" w:space="0" w:color="auto"/>
            <w:left w:val="none" w:sz="0" w:space="0" w:color="auto"/>
            <w:bottom w:val="none" w:sz="0" w:space="0" w:color="auto"/>
            <w:right w:val="none" w:sz="0" w:space="0" w:color="auto"/>
          </w:divBdr>
        </w:div>
        <w:div w:id="623535092">
          <w:marLeft w:val="0"/>
          <w:marRight w:val="0"/>
          <w:marTop w:val="0"/>
          <w:marBottom w:val="0"/>
          <w:divBdr>
            <w:top w:val="none" w:sz="0" w:space="0" w:color="auto"/>
            <w:left w:val="none" w:sz="0" w:space="0" w:color="auto"/>
            <w:bottom w:val="none" w:sz="0" w:space="0" w:color="auto"/>
            <w:right w:val="none" w:sz="0" w:space="0" w:color="auto"/>
          </w:divBdr>
        </w:div>
        <w:div w:id="651131986">
          <w:marLeft w:val="0"/>
          <w:marRight w:val="0"/>
          <w:marTop w:val="0"/>
          <w:marBottom w:val="0"/>
          <w:divBdr>
            <w:top w:val="none" w:sz="0" w:space="0" w:color="auto"/>
            <w:left w:val="none" w:sz="0" w:space="0" w:color="auto"/>
            <w:bottom w:val="none" w:sz="0" w:space="0" w:color="auto"/>
            <w:right w:val="none" w:sz="0" w:space="0" w:color="auto"/>
          </w:divBdr>
        </w:div>
        <w:div w:id="692069486">
          <w:marLeft w:val="0"/>
          <w:marRight w:val="0"/>
          <w:marTop w:val="0"/>
          <w:marBottom w:val="0"/>
          <w:divBdr>
            <w:top w:val="none" w:sz="0" w:space="0" w:color="auto"/>
            <w:left w:val="none" w:sz="0" w:space="0" w:color="auto"/>
            <w:bottom w:val="none" w:sz="0" w:space="0" w:color="auto"/>
            <w:right w:val="none" w:sz="0" w:space="0" w:color="auto"/>
          </w:divBdr>
        </w:div>
        <w:div w:id="698898196">
          <w:marLeft w:val="0"/>
          <w:marRight w:val="0"/>
          <w:marTop w:val="0"/>
          <w:marBottom w:val="0"/>
          <w:divBdr>
            <w:top w:val="none" w:sz="0" w:space="0" w:color="auto"/>
            <w:left w:val="none" w:sz="0" w:space="0" w:color="auto"/>
            <w:bottom w:val="none" w:sz="0" w:space="0" w:color="auto"/>
            <w:right w:val="none" w:sz="0" w:space="0" w:color="auto"/>
          </w:divBdr>
        </w:div>
        <w:div w:id="771704016">
          <w:marLeft w:val="0"/>
          <w:marRight w:val="0"/>
          <w:marTop w:val="0"/>
          <w:marBottom w:val="0"/>
          <w:divBdr>
            <w:top w:val="none" w:sz="0" w:space="0" w:color="auto"/>
            <w:left w:val="none" w:sz="0" w:space="0" w:color="auto"/>
            <w:bottom w:val="none" w:sz="0" w:space="0" w:color="auto"/>
            <w:right w:val="none" w:sz="0" w:space="0" w:color="auto"/>
          </w:divBdr>
        </w:div>
        <w:div w:id="774636060">
          <w:marLeft w:val="0"/>
          <w:marRight w:val="0"/>
          <w:marTop w:val="0"/>
          <w:marBottom w:val="0"/>
          <w:divBdr>
            <w:top w:val="none" w:sz="0" w:space="0" w:color="auto"/>
            <w:left w:val="none" w:sz="0" w:space="0" w:color="auto"/>
            <w:bottom w:val="none" w:sz="0" w:space="0" w:color="auto"/>
            <w:right w:val="none" w:sz="0" w:space="0" w:color="auto"/>
          </w:divBdr>
        </w:div>
        <w:div w:id="783379151">
          <w:marLeft w:val="0"/>
          <w:marRight w:val="0"/>
          <w:marTop w:val="0"/>
          <w:marBottom w:val="0"/>
          <w:divBdr>
            <w:top w:val="none" w:sz="0" w:space="0" w:color="auto"/>
            <w:left w:val="none" w:sz="0" w:space="0" w:color="auto"/>
            <w:bottom w:val="none" w:sz="0" w:space="0" w:color="auto"/>
            <w:right w:val="none" w:sz="0" w:space="0" w:color="auto"/>
          </w:divBdr>
        </w:div>
        <w:div w:id="791368629">
          <w:marLeft w:val="0"/>
          <w:marRight w:val="0"/>
          <w:marTop w:val="0"/>
          <w:marBottom w:val="0"/>
          <w:divBdr>
            <w:top w:val="none" w:sz="0" w:space="0" w:color="auto"/>
            <w:left w:val="none" w:sz="0" w:space="0" w:color="auto"/>
            <w:bottom w:val="none" w:sz="0" w:space="0" w:color="auto"/>
            <w:right w:val="none" w:sz="0" w:space="0" w:color="auto"/>
          </w:divBdr>
        </w:div>
        <w:div w:id="799760471">
          <w:marLeft w:val="0"/>
          <w:marRight w:val="0"/>
          <w:marTop w:val="0"/>
          <w:marBottom w:val="0"/>
          <w:divBdr>
            <w:top w:val="none" w:sz="0" w:space="0" w:color="auto"/>
            <w:left w:val="none" w:sz="0" w:space="0" w:color="auto"/>
            <w:bottom w:val="none" w:sz="0" w:space="0" w:color="auto"/>
            <w:right w:val="none" w:sz="0" w:space="0" w:color="auto"/>
          </w:divBdr>
        </w:div>
        <w:div w:id="858474320">
          <w:marLeft w:val="0"/>
          <w:marRight w:val="0"/>
          <w:marTop w:val="0"/>
          <w:marBottom w:val="0"/>
          <w:divBdr>
            <w:top w:val="none" w:sz="0" w:space="0" w:color="auto"/>
            <w:left w:val="none" w:sz="0" w:space="0" w:color="auto"/>
            <w:bottom w:val="none" w:sz="0" w:space="0" w:color="auto"/>
            <w:right w:val="none" w:sz="0" w:space="0" w:color="auto"/>
          </w:divBdr>
        </w:div>
        <w:div w:id="882905702">
          <w:marLeft w:val="0"/>
          <w:marRight w:val="0"/>
          <w:marTop w:val="0"/>
          <w:marBottom w:val="0"/>
          <w:divBdr>
            <w:top w:val="none" w:sz="0" w:space="0" w:color="auto"/>
            <w:left w:val="none" w:sz="0" w:space="0" w:color="auto"/>
            <w:bottom w:val="none" w:sz="0" w:space="0" w:color="auto"/>
            <w:right w:val="none" w:sz="0" w:space="0" w:color="auto"/>
          </w:divBdr>
        </w:div>
        <w:div w:id="901910141">
          <w:marLeft w:val="0"/>
          <w:marRight w:val="0"/>
          <w:marTop w:val="0"/>
          <w:marBottom w:val="0"/>
          <w:divBdr>
            <w:top w:val="none" w:sz="0" w:space="0" w:color="auto"/>
            <w:left w:val="none" w:sz="0" w:space="0" w:color="auto"/>
            <w:bottom w:val="none" w:sz="0" w:space="0" w:color="auto"/>
            <w:right w:val="none" w:sz="0" w:space="0" w:color="auto"/>
          </w:divBdr>
        </w:div>
        <w:div w:id="913784682">
          <w:marLeft w:val="0"/>
          <w:marRight w:val="0"/>
          <w:marTop w:val="0"/>
          <w:marBottom w:val="0"/>
          <w:divBdr>
            <w:top w:val="none" w:sz="0" w:space="0" w:color="auto"/>
            <w:left w:val="none" w:sz="0" w:space="0" w:color="auto"/>
            <w:bottom w:val="none" w:sz="0" w:space="0" w:color="auto"/>
            <w:right w:val="none" w:sz="0" w:space="0" w:color="auto"/>
          </w:divBdr>
        </w:div>
        <w:div w:id="918755345">
          <w:marLeft w:val="0"/>
          <w:marRight w:val="0"/>
          <w:marTop w:val="0"/>
          <w:marBottom w:val="0"/>
          <w:divBdr>
            <w:top w:val="none" w:sz="0" w:space="0" w:color="auto"/>
            <w:left w:val="none" w:sz="0" w:space="0" w:color="auto"/>
            <w:bottom w:val="none" w:sz="0" w:space="0" w:color="auto"/>
            <w:right w:val="none" w:sz="0" w:space="0" w:color="auto"/>
          </w:divBdr>
        </w:div>
        <w:div w:id="974408103">
          <w:marLeft w:val="0"/>
          <w:marRight w:val="0"/>
          <w:marTop w:val="0"/>
          <w:marBottom w:val="0"/>
          <w:divBdr>
            <w:top w:val="none" w:sz="0" w:space="0" w:color="auto"/>
            <w:left w:val="none" w:sz="0" w:space="0" w:color="auto"/>
            <w:bottom w:val="none" w:sz="0" w:space="0" w:color="auto"/>
            <w:right w:val="none" w:sz="0" w:space="0" w:color="auto"/>
          </w:divBdr>
        </w:div>
        <w:div w:id="980571221">
          <w:marLeft w:val="0"/>
          <w:marRight w:val="0"/>
          <w:marTop w:val="0"/>
          <w:marBottom w:val="0"/>
          <w:divBdr>
            <w:top w:val="none" w:sz="0" w:space="0" w:color="auto"/>
            <w:left w:val="none" w:sz="0" w:space="0" w:color="auto"/>
            <w:bottom w:val="none" w:sz="0" w:space="0" w:color="auto"/>
            <w:right w:val="none" w:sz="0" w:space="0" w:color="auto"/>
          </w:divBdr>
        </w:div>
        <w:div w:id="1026716121">
          <w:marLeft w:val="0"/>
          <w:marRight w:val="0"/>
          <w:marTop w:val="0"/>
          <w:marBottom w:val="0"/>
          <w:divBdr>
            <w:top w:val="none" w:sz="0" w:space="0" w:color="auto"/>
            <w:left w:val="none" w:sz="0" w:space="0" w:color="auto"/>
            <w:bottom w:val="none" w:sz="0" w:space="0" w:color="auto"/>
            <w:right w:val="none" w:sz="0" w:space="0" w:color="auto"/>
          </w:divBdr>
        </w:div>
        <w:div w:id="1046442750">
          <w:marLeft w:val="0"/>
          <w:marRight w:val="0"/>
          <w:marTop w:val="0"/>
          <w:marBottom w:val="0"/>
          <w:divBdr>
            <w:top w:val="none" w:sz="0" w:space="0" w:color="auto"/>
            <w:left w:val="none" w:sz="0" w:space="0" w:color="auto"/>
            <w:bottom w:val="none" w:sz="0" w:space="0" w:color="auto"/>
            <w:right w:val="none" w:sz="0" w:space="0" w:color="auto"/>
          </w:divBdr>
        </w:div>
        <w:div w:id="1049037901">
          <w:marLeft w:val="0"/>
          <w:marRight w:val="0"/>
          <w:marTop w:val="0"/>
          <w:marBottom w:val="0"/>
          <w:divBdr>
            <w:top w:val="none" w:sz="0" w:space="0" w:color="auto"/>
            <w:left w:val="none" w:sz="0" w:space="0" w:color="auto"/>
            <w:bottom w:val="none" w:sz="0" w:space="0" w:color="auto"/>
            <w:right w:val="none" w:sz="0" w:space="0" w:color="auto"/>
          </w:divBdr>
        </w:div>
        <w:div w:id="1137993428">
          <w:marLeft w:val="0"/>
          <w:marRight w:val="0"/>
          <w:marTop w:val="0"/>
          <w:marBottom w:val="0"/>
          <w:divBdr>
            <w:top w:val="none" w:sz="0" w:space="0" w:color="auto"/>
            <w:left w:val="none" w:sz="0" w:space="0" w:color="auto"/>
            <w:bottom w:val="none" w:sz="0" w:space="0" w:color="auto"/>
            <w:right w:val="none" w:sz="0" w:space="0" w:color="auto"/>
          </w:divBdr>
        </w:div>
        <w:div w:id="1166507713">
          <w:marLeft w:val="0"/>
          <w:marRight w:val="0"/>
          <w:marTop w:val="0"/>
          <w:marBottom w:val="0"/>
          <w:divBdr>
            <w:top w:val="none" w:sz="0" w:space="0" w:color="auto"/>
            <w:left w:val="none" w:sz="0" w:space="0" w:color="auto"/>
            <w:bottom w:val="none" w:sz="0" w:space="0" w:color="auto"/>
            <w:right w:val="none" w:sz="0" w:space="0" w:color="auto"/>
          </w:divBdr>
        </w:div>
        <w:div w:id="1183477083">
          <w:marLeft w:val="0"/>
          <w:marRight w:val="0"/>
          <w:marTop w:val="0"/>
          <w:marBottom w:val="0"/>
          <w:divBdr>
            <w:top w:val="none" w:sz="0" w:space="0" w:color="auto"/>
            <w:left w:val="none" w:sz="0" w:space="0" w:color="auto"/>
            <w:bottom w:val="none" w:sz="0" w:space="0" w:color="auto"/>
            <w:right w:val="none" w:sz="0" w:space="0" w:color="auto"/>
          </w:divBdr>
        </w:div>
        <w:div w:id="1207107742">
          <w:marLeft w:val="0"/>
          <w:marRight w:val="0"/>
          <w:marTop w:val="0"/>
          <w:marBottom w:val="0"/>
          <w:divBdr>
            <w:top w:val="none" w:sz="0" w:space="0" w:color="auto"/>
            <w:left w:val="none" w:sz="0" w:space="0" w:color="auto"/>
            <w:bottom w:val="none" w:sz="0" w:space="0" w:color="auto"/>
            <w:right w:val="none" w:sz="0" w:space="0" w:color="auto"/>
          </w:divBdr>
        </w:div>
        <w:div w:id="1218928934">
          <w:marLeft w:val="0"/>
          <w:marRight w:val="0"/>
          <w:marTop w:val="0"/>
          <w:marBottom w:val="0"/>
          <w:divBdr>
            <w:top w:val="none" w:sz="0" w:space="0" w:color="auto"/>
            <w:left w:val="none" w:sz="0" w:space="0" w:color="auto"/>
            <w:bottom w:val="none" w:sz="0" w:space="0" w:color="auto"/>
            <w:right w:val="none" w:sz="0" w:space="0" w:color="auto"/>
          </w:divBdr>
        </w:div>
        <w:div w:id="1237665718">
          <w:marLeft w:val="0"/>
          <w:marRight w:val="0"/>
          <w:marTop w:val="0"/>
          <w:marBottom w:val="0"/>
          <w:divBdr>
            <w:top w:val="none" w:sz="0" w:space="0" w:color="auto"/>
            <w:left w:val="none" w:sz="0" w:space="0" w:color="auto"/>
            <w:bottom w:val="none" w:sz="0" w:space="0" w:color="auto"/>
            <w:right w:val="none" w:sz="0" w:space="0" w:color="auto"/>
          </w:divBdr>
        </w:div>
        <w:div w:id="1289094355">
          <w:marLeft w:val="0"/>
          <w:marRight w:val="0"/>
          <w:marTop w:val="0"/>
          <w:marBottom w:val="0"/>
          <w:divBdr>
            <w:top w:val="none" w:sz="0" w:space="0" w:color="auto"/>
            <w:left w:val="none" w:sz="0" w:space="0" w:color="auto"/>
            <w:bottom w:val="none" w:sz="0" w:space="0" w:color="auto"/>
            <w:right w:val="none" w:sz="0" w:space="0" w:color="auto"/>
          </w:divBdr>
        </w:div>
        <w:div w:id="1309021159">
          <w:marLeft w:val="0"/>
          <w:marRight w:val="0"/>
          <w:marTop w:val="0"/>
          <w:marBottom w:val="0"/>
          <w:divBdr>
            <w:top w:val="none" w:sz="0" w:space="0" w:color="auto"/>
            <w:left w:val="none" w:sz="0" w:space="0" w:color="auto"/>
            <w:bottom w:val="none" w:sz="0" w:space="0" w:color="auto"/>
            <w:right w:val="none" w:sz="0" w:space="0" w:color="auto"/>
          </w:divBdr>
        </w:div>
        <w:div w:id="1311519243">
          <w:marLeft w:val="0"/>
          <w:marRight w:val="0"/>
          <w:marTop w:val="0"/>
          <w:marBottom w:val="0"/>
          <w:divBdr>
            <w:top w:val="none" w:sz="0" w:space="0" w:color="auto"/>
            <w:left w:val="none" w:sz="0" w:space="0" w:color="auto"/>
            <w:bottom w:val="none" w:sz="0" w:space="0" w:color="auto"/>
            <w:right w:val="none" w:sz="0" w:space="0" w:color="auto"/>
          </w:divBdr>
        </w:div>
        <w:div w:id="1327629082">
          <w:marLeft w:val="0"/>
          <w:marRight w:val="0"/>
          <w:marTop w:val="0"/>
          <w:marBottom w:val="0"/>
          <w:divBdr>
            <w:top w:val="none" w:sz="0" w:space="0" w:color="auto"/>
            <w:left w:val="none" w:sz="0" w:space="0" w:color="auto"/>
            <w:bottom w:val="none" w:sz="0" w:space="0" w:color="auto"/>
            <w:right w:val="none" w:sz="0" w:space="0" w:color="auto"/>
          </w:divBdr>
        </w:div>
        <w:div w:id="1337536707">
          <w:marLeft w:val="0"/>
          <w:marRight w:val="0"/>
          <w:marTop w:val="0"/>
          <w:marBottom w:val="0"/>
          <w:divBdr>
            <w:top w:val="none" w:sz="0" w:space="0" w:color="auto"/>
            <w:left w:val="none" w:sz="0" w:space="0" w:color="auto"/>
            <w:bottom w:val="none" w:sz="0" w:space="0" w:color="auto"/>
            <w:right w:val="none" w:sz="0" w:space="0" w:color="auto"/>
          </w:divBdr>
        </w:div>
        <w:div w:id="1344017105">
          <w:marLeft w:val="0"/>
          <w:marRight w:val="0"/>
          <w:marTop w:val="0"/>
          <w:marBottom w:val="0"/>
          <w:divBdr>
            <w:top w:val="none" w:sz="0" w:space="0" w:color="auto"/>
            <w:left w:val="none" w:sz="0" w:space="0" w:color="auto"/>
            <w:bottom w:val="none" w:sz="0" w:space="0" w:color="auto"/>
            <w:right w:val="none" w:sz="0" w:space="0" w:color="auto"/>
          </w:divBdr>
        </w:div>
        <w:div w:id="1412847152">
          <w:marLeft w:val="0"/>
          <w:marRight w:val="0"/>
          <w:marTop w:val="0"/>
          <w:marBottom w:val="0"/>
          <w:divBdr>
            <w:top w:val="none" w:sz="0" w:space="0" w:color="auto"/>
            <w:left w:val="none" w:sz="0" w:space="0" w:color="auto"/>
            <w:bottom w:val="none" w:sz="0" w:space="0" w:color="auto"/>
            <w:right w:val="none" w:sz="0" w:space="0" w:color="auto"/>
          </w:divBdr>
        </w:div>
        <w:div w:id="1450663759">
          <w:marLeft w:val="0"/>
          <w:marRight w:val="0"/>
          <w:marTop w:val="0"/>
          <w:marBottom w:val="0"/>
          <w:divBdr>
            <w:top w:val="none" w:sz="0" w:space="0" w:color="auto"/>
            <w:left w:val="none" w:sz="0" w:space="0" w:color="auto"/>
            <w:bottom w:val="none" w:sz="0" w:space="0" w:color="auto"/>
            <w:right w:val="none" w:sz="0" w:space="0" w:color="auto"/>
          </w:divBdr>
        </w:div>
        <w:div w:id="1535657599">
          <w:marLeft w:val="0"/>
          <w:marRight w:val="0"/>
          <w:marTop w:val="0"/>
          <w:marBottom w:val="0"/>
          <w:divBdr>
            <w:top w:val="none" w:sz="0" w:space="0" w:color="auto"/>
            <w:left w:val="none" w:sz="0" w:space="0" w:color="auto"/>
            <w:bottom w:val="none" w:sz="0" w:space="0" w:color="auto"/>
            <w:right w:val="none" w:sz="0" w:space="0" w:color="auto"/>
          </w:divBdr>
        </w:div>
        <w:div w:id="1537739001">
          <w:marLeft w:val="0"/>
          <w:marRight w:val="0"/>
          <w:marTop w:val="0"/>
          <w:marBottom w:val="0"/>
          <w:divBdr>
            <w:top w:val="none" w:sz="0" w:space="0" w:color="auto"/>
            <w:left w:val="none" w:sz="0" w:space="0" w:color="auto"/>
            <w:bottom w:val="none" w:sz="0" w:space="0" w:color="auto"/>
            <w:right w:val="none" w:sz="0" w:space="0" w:color="auto"/>
          </w:divBdr>
        </w:div>
        <w:div w:id="1560508464">
          <w:marLeft w:val="0"/>
          <w:marRight w:val="0"/>
          <w:marTop w:val="0"/>
          <w:marBottom w:val="0"/>
          <w:divBdr>
            <w:top w:val="none" w:sz="0" w:space="0" w:color="auto"/>
            <w:left w:val="none" w:sz="0" w:space="0" w:color="auto"/>
            <w:bottom w:val="none" w:sz="0" w:space="0" w:color="auto"/>
            <w:right w:val="none" w:sz="0" w:space="0" w:color="auto"/>
          </w:divBdr>
        </w:div>
        <w:div w:id="1566330041">
          <w:marLeft w:val="0"/>
          <w:marRight w:val="0"/>
          <w:marTop w:val="0"/>
          <w:marBottom w:val="0"/>
          <w:divBdr>
            <w:top w:val="none" w:sz="0" w:space="0" w:color="auto"/>
            <w:left w:val="none" w:sz="0" w:space="0" w:color="auto"/>
            <w:bottom w:val="none" w:sz="0" w:space="0" w:color="auto"/>
            <w:right w:val="none" w:sz="0" w:space="0" w:color="auto"/>
          </w:divBdr>
        </w:div>
        <w:div w:id="1579167323">
          <w:marLeft w:val="0"/>
          <w:marRight w:val="0"/>
          <w:marTop w:val="0"/>
          <w:marBottom w:val="0"/>
          <w:divBdr>
            <w:top w:val="none" w:sz="0" w:space="0" w:color="auto"/>
            <w:left w:val="none" w:sz="0" w:space="0" w:color="auto"/>
            <w:bottom w:val="none" w:sz="0" w:space="0" w:color="auto"/>
            <w:right w:val="none" w:sz="0" w:space="0" w:color="auto"/>
          </w:divBdr>
        </w:div>
        <w:div w:id="1581066098">
          <w:marLeft w:val="0"/>
          <w:marRight w:val="0"/>
          <w:marTop w:val="0"/>
          <w:marBottom w:val="0"/>
          <w:divBdr>
            <w:top w:val="none" w:sz="0" w:space="0" w:color="auto"/>
            <w:left w:val="none" w:sz="0" w:space="0" w:color="auto"/>
            <w:bottom w:val="none" w:sz="0" w:space="0" w:color="auto"/>
            <w:right w:val="none" w:sz="0" w:space="0" w:color="auto"/>
          </w:divBdr>
        </w:div>
        <w:div w:id="1604650212">
          <w:marLeft w:val="0"/>
          <w:marRight w:val="0"/>
          <w:marTop w:val="0"/>
          <w:marBottom w:val="0"/>
          <w:divBdr>
            <w:top w:val="none" w:sz="0" w:space="0" w:color="auto"/>
            <w:left w:val="none" w:sz="0" w:space="0" w:color="auto"/>
            <w:bottom w:val="none" w:sz="0" w:space="0" w:color="auto"/>
            <w:right w:val="none" w:sz="0" w:space="0" w:color="auto"/>
          </w:divBdr>
        </w:div>
        <w:div w:id="1614092419">
          <w:marLeft w:val="0"/>
          <w:marRight w:val="0"/>
          <w:marTop w:val="0"/>
          <w:marBottom w:val="0"/>
          <w:divBdr>
            <w:top w:val="none" w:sz="0" w:space="0" w:color="auto"/>
            <w:left w:val="none" w:sz="0" w:space="0" w:color="auto"/>
            <w:bottom w:val="none" w:sz="0" w:space="0" w:color="auto"/>
            <w:right w:val="none" w:sz="0" w:space="0" w:color="auto"/>
          </w:divBdr>
        </w:div>
        <w:div w:id="1625193690">
          <w:marLeft w:val="0"/>
          <w:marRight w:val="0"/>
          <w:marTop w:val="0"/>
          <w:marBottom w:val="0"/>
          <w:divBdr>
            <w:top w:val="none" w:sz="0" w:space="0" w:color="auto"/>
            <w:left w:val="none" w:sz="0" w:space="0" w:color="auto"/>
            <w:bottom w:val="none" w:sz="0" w:space="0" w:color="auto"/>
            <w:right w:val="none" w:sz="0" w:space="0" w:color="auto"/>
          </w:divBdr>
        </w:div>
        <w:div w:id="1633242894">
          <w:marLeft w:val="0"/>
          <w:marRight w:val="0"/>
          <w:marTop w:val="0"/>
          <w:marBottom w:val="0"/>
          <w:divBdr>
            <w:top w:val="none" w:sz="0" w:space="0" w:color="auto"/>
            <w:left w:val="none" w:sz="0" w:space="0" w:color="auto"/>
            <w:bottom w:val="none" w:sz="0" w:space="0" w:color="auto"/>
            <w:right w:val="none" w:sz="0" w:space="0" w:color="auto"/>
          </w:divBdr>
        </w:div>
        <w:div w:id="1636446080">
          <w:marLeft w:val="0"/>
          <w:marRight w:val="0"/>
          <w:marTop w:val="0"/>
          <w:marBottom w:val="0"/>
          <w:divBdr>
            <w:top w:val="none" w:sz="0" w:space="0" w:color="auto"/>
            <w:left w:val="none" w:sz="0" w:space="0" w:color="auto"/>
            <w:bottom w:val="none" w:sz="0" w:space="0" w:color="auto"/>
            <w:right w:val="none" w:sz="0" w:space="0" w:color="auto"/>
          </w:divBdr>
        </w:div>
        <w:div w:id="1657300685">
          <w:marLeft w:val="0"/>
          <w:marRight w:val="0"/>
          <w:marTop w:val="0"/>
          <w:marBottom w:val="0"/>
          <w:divBdr>
            <w:top w:val="none" w:sz="0" w:space="0" w:color="auto"/>
            <w:left w:val="none" w:sz="0" w:space="0" w:color="auto"/>
            <w:bottom w:val="none" w:sz="0" w:space="0" w:color="auto"/>
            <w:right w:val="none" w:sz="0" w:space="0" w:color="auto"/>
          </w:divBdr>
        </w:div>
        <w:div w:id="1679041966">
          <w:marLeft w:val="0"/>
          <w:marRight w:val="0"/>
          <w:marTop w:val="0"/>
          <w:marBottom w:val="0"/>
          <w:divBdr>
            <w:top w:val="none" w:sz="0" w:space="0" w:color="auto"/>
            <w:left w:val="none" w:sz="0" w:space="0" w:color="auto"/>
            <w:bottom w:val="none" w:sz="0" w:space="0" w:color="auto"/>
            <w:right w:val="none" w:sz="0" w:space="0" w:color="auto"/>
          </w:divBdr>
        </w:div>
        <w:div w:id="1685591843">
          <w:marLeft w:val="0"/>
          <w:marRight w:val="0"/>
          <w:marTop w:val="0"/>
          <w:marBottom w:val="0"/>
          <w:divBdr>
            <w:top w:val="none" w:sz="0" w:space="0" w:color="auto"/>
            <w:left w:val="none" w:sz="0" w:space="0" w:color="auto"/>
            <w:bottom w:val="none" w:sz="0" w:space="0" w:color="auto"/>
            <w:right w:val="none" w:sz="0" w:space="0" w:color="auto"/>
          </w:divBdr>
        </w:div>
        <w:div w:id="1695112752">
          <w:marLeft w:val="0"/>
          <w:marRight w:val="0"/>
          <w:marTop w:val="0"/>
          <w:marBottom w:val="0"/>
          <w:divBdr>
            <w:top w:val="none" w:sz="0" w:space="0" w:color="auto"/>
            <w:left w:val="none" w:sz="0" w:space="0" w:color="auto"/>
            <w:bottom w:val="none" w:sz="0" w:space="0" w:color="auto"/>
            <w:right w:val="none" w:sz="0" w:space="0" w:color="auto"/>
          </w:divBdr>
        </w:div>
        <w:div w:id="1695809945">
          <w:marLeft w:val="0"/>
          <w:marRight w:val="0"/>
          <w:marTop w:val="0"/>
          <w:marBottom w:val="0"/>
          <w:divBdr>
            <w:top w:val="none" w:sz="0" w:space="0" w:color="auto"/>
            <w:left w:val="none" w:sz="0" w:space="0" w:color="auto"/>
            <w:bottom w:val="none" w:sz="0" w:space="0" w:color="auto"/>
            <w:right w:val="none" w:sz="0" w:space="0" w:color="auto"/>
          </w:divBdr>
        </w:div>
        <w:div w:id="1703247156">
          <w:marLeft w:val="0"/>
          <w:marRight w:val="0"/>
          <w:marTop w:val="0"/>
          <w:marBottom w:val="0"/>
          <w:divBdr>
            <w:top w:val="none" w:sz="0" w:space="0" w:color="auto"/>
            <w:left w:val="none" w:sz="0" w:space="0" w:color="auto"/>
            <w:bottom w:val="none" w:sz="0" w:space="0" w:color="auto"/>
            <w:right w:val="none" w:sz="0" w:space="0" w:color="auto"/>
          </w:divBdr>
        </w:div>
        <w:div w:id="1706371213">
          <w:marLeft w:val="0"/>
          <w:marRight w:val="0"/>
          <w:marTop w:val="0"/>
          <w:marBottom w:val="0"/>
          <w:divBdr>
            <w:top w:val="none" w:sz="0" w:space="0" w:color="auto"/>
            <w:left w:val="none" w:sz="0" w:space="0" w:color="auto"/>
            <w:bottom w:val="none" w:sz="0" w:space="0" w:color="auto"/>
            <w:right w:val="none" w:sz="0" w:space="0" w:color="auto"/>
          </w:divBdr>
        </w:div>
        <w:div w:id="1713070679">
          <w:marLeft w:val="0"/>
          <w:marRight w:val="0"/>
          <w:marTop w:val="0"/>
          <w:marBottom w:val="0"/>
          <w:divBdr>
            <w:top w:val="none" w:sz="0" w:space="0" w:color="auto"/>
            <w:left w:val="none" w:sz="0" w:space="0" w:color="auto"/>
            <w:bottom w:val="none" w:sz="0" w:space="0" w:color="auto"/>
            <w:right w:val="none" w:sz="0" w:space="0" w:color="auto"/>
          </w:divBdr>
        </w:div>
        <w:div w:id="1717780218">
          <w:marLeft w:val="0"/>
          <w:marRight w:val="0"/>
          <w:marTop w:val="0"/>
          <w:marBottom w:val="0"/>
          <w:divBdr>
            <w:top w:val="none" w:sz="0" w:space="0" w:color="auto"/>
            <w:left w:val="none" w:sz="0" w:space="0" w:color="auto"/>
            <w:bottom w:val="none" w:sz="0" w:space="0" w:color="auto"/>
            <w:right w:val="none" w:sz="0" w:space="0" w:color="auto"/>
          </w:divBdr>
        </w:div>
        <w:div w:id="1740055965">
          <w:marLeft w:val="0"/>
          <w:marRight w:val="0"/>
          <w:marTop w:val="0"/>
          <w:marBottom w:val="0"/>
          <w:divBdr>
            <w:top w:val="none" w:sz="0" w:space="0" w:color="auto"/>
            <w:left w:val="none" w:sz="0" w:space="0" w:color="auto"/>
            <w:bottom w:val="none" w:sz="0" w:space="0" w:color="auto"/>
            <w:right w:val="none" w:sz="0" w:space="0" w:color="auto"/>
          </w:divBdr>
        </w:div>
        <w:div w:id="1777363898">
          <w:marLeft w:val="0"/>
          <w:marRight w:val="0"/>
          <w:marTop w:val="0"/>
          <w:marBottom w:val="0"/>
          <w:divBdr>
            <w:top w:val="none" w:sz="0" w:space="0" w:color="auto"/>
            <w:left w:val="none" w:sz="0" w:space="0" w:color="auto"/>
            <w:bottom w:val="none" w:sz="0" w:space="0" w:color="auto"/>
            <w:right w:val="none" w:sz="0" w:space="0" w:color="auto"/>
          </w:divBdr>
        </w:div>
        <w:div w:id="1788163248">
          <w:marLeft w:val="0"/>
          <w:marRight w:val="0"/>
          <w:marTop w:val="0"/>
          <w:marBottom w:val="0"/>
          <w:divBdr>
            <w:top w:val="none" w:sz="0" w:space="0" w:color="auto"/>
            <w:left w:val="none" w:sz="0" w:space="0" w:color="auto"/>
            <w:bottom w:val="none" w:sz="0" w:space="0" w:color="auto"/>
            <w:right w:val="none" w:sz="0" w:space="0" w:color="auto"/>
          </w:divBdr>
        </w:div>
        <w:div w:id="1809976970">
          <w:marLeft w:val="0"/>
          <w:marRight w:val="0"/>
          <w:marTop w:val="0"/>
          <w:marBottom w:val="0"/>
          <w:divBdr>
            <w:top w:val="none" w:sz="0" w:space="0" w:color="auto"/>
            <w:left w:val="none" w:sz="0" w:space="0" w:color="auto"/>
            <w:bottom w:val="none" w:sz="0" w:space="0" w:color="auto"/>
            <w:right w:val="none" w:sz="0" w:space="0" w:color="auto"/>
          </w:divBdr>
        </w:div>
        <w:div w:id="1821145817">
          <w:marLeft w:val="0"/>
          <w:marRight w:val="0"/>
          <w:marTop w:val="0"/>
          <w:marBottom w:val="0"/>
          <w:divBdr>
            <w:top w:val="none" w:sz="0" w:space="0" w:color="auto"/>
            <w:left w:val="none" w:sz="0" w:space="0" w:color="auto"/>
            <w:bottom w:val="none" w:sz="0" w:space="0" w:color="auto"/>
            <w:right w:val="none" w:sz="0" w:space="0" w:color="auto"/>
          </w:divBdr>
        </w:div>
        <w:div w:id="1871524400">
          <w:marLeft w:val="0"/>
          <w:marRight w:val="0"/>
          <w:marTop w:val="0"/>
          <w:marBottom w:val="0"/>
          <w:divBdr>
            <w:top w:val="none" w:sz="0" w:space="0" w:color="auto"/>
            <w:left w:val="none" w:sz="0" w:space="0" w:color="auto"/>
            <w:bottom w:val="none" w:sz="0" w:space="0" w:color="auto"/>
            <w:right w:val="none" w:sz="0" w:space="0" w:color="auto"/>
          </w:divBdr>
        </w:div>
        <w:div w:id="1877426398">
          <w:marLeft w:val="0"/>
          <w:marRight w:val="0"/>
          <w:marTop w:val="0"/>
          <w:marBottom w:val="0"/>
          <w:divBdr>
            <w:top w:val="none" w:sz="0" w:space="0" w:color="auto"/>
            <w:left w:val="none" w:sz="0" w:space="0" w:color="auto"/>
            <w:bottom w:val="none" w:sz="0" w:space="0" w:color="auto"/>
            <w:right w:val="none" w:sz="0" w:space="0" w:color="auto"/>
          </w:divBdr>
        </w:div>
        <w:div w:id="1882473212">
          <w:marLeft w:val="0"/>
          <w:marRight w:val="0"/>
          <w:marTop w:val="0"/>
          <w:marBottom w:val="0"/>
          <w:divBdr>
            <w:top w:val="none" w:sz="0" w:space="0" w:color="auto"/>
            <w:left w:val="none" w:sz="0" w:space="0" w:color="auto"/>
            <w:bottom w:val="none" w:sz="0" w:space="0" w:color="auto"/>
            <w:right w:val="none" w:sz="0" w:space="0" w:color="auto"/>
          </w:divBdr>
        </w:div>
        <w:div w:id="1888293295">
          <w:marLeft w:val="0"/>
          <w:marRight w:val="0"/>
          <w:marTop w:val="0"/>
          <w:marBottom w:val="0"/>
          <w:divBdr>
            <w:top w:val="none" w:sz="0" w:space="0" w:color="auto"/>
            <w:left w:val="none" w:sz="0" w:space="0" w:color="auto"/>
            <w:bottom w:val="none" w:sz="0" w:space="0" w:color="auto"/>
            <w:right w:val="none" w:sz="0" w:space="0" w:color="auto"/>
          </w:divBdr>
        </w:div>
        <w:div w:id="1890721964">
          <w:marLeft w:val="0"/>
          <w:marRight w:val="0"/>
          <w:marTop w:val="0"/>
          <w:marBottom w:val="0"/>
          <w:divBdr>
            <w:top w:val="none" w:sz="0" w:space="0" w:color="auto"/>
            <w:left w:val="none" w:sz="0" w:space="0" w:color="auto"/>
            <w:bottom w:val="none" w:sz="0" w:space="0" w:color="auto"/>
            <w:right w:val="none" w:sz="0" w:space="0" w:color="auto"/>
          </w:divBdr>
        </w:div>
        <w:div w:id="1899125923">
          <w:marLeft w:val="0"/>
          <w:marRight w:val="0"/>
          <w:marTop w:val="0"/>
          <w:marBottom w:val="0"/>
          <w:divBdr>
            <w:top w:val="none" w:sz="0" w:space="0" w:color="auto"/>
            <w:left w:val="none" w:sz="0" w:space="0" w:color="auto"/>
            <w:bottom w:val="none" w:sz="0" w:space="0" w:color="auto"/>
            <w:right w:val="none" w:sz="0" w:space="0" w:color="auto"/>
          </w:divBdr>
        </w:div>
        <w:div w:id="1977879793">
          <w:marLeft w:val="0"/>
          <w:marRight w:val="0"/>
          <w:marTop w:val="0"/>
          <w:marBottom w:val="0"/>
          <w:divBdr>
            <w:top w:val="none" w:sz="0" w:space="0" w:color="auto"/>
            <w:left w:val="none" w:sz="0" w:space="0" w:color="auto"/>
            <w:bottom w:val="none" w:sz="0" w:space="0" w:color="auto"/>
            <w:right w:val="none" w:sz="0" w:space="0" w:color="auto"/>
          </w:divBdr>
        </w:div>
        <w:div w:id="2006085531">
          <w:marLeft w:val="0"/>
          <w:marRight w:val="0"/>
          <w:marTop w:val="0"/>
          <w:marBottom w:val="0"/>
          <w:divBdr>
            <w:top w:val="none" w:sz="0" w:space="0" w:color="auto"/>
            <w:left w:val="none" w:sz="0" w:space="0" w:color="auto"/>
            <w:bottom w:val="none" w:sz="0" w:space="0" w:color="auto"/>
            <w:right w:val="none" w:sz="0" w:space="0" w:color="auto"/>
          </w:divBdr>
        </w:div>
        <w:div w:id="2038891461">
          <w:marLeft w:val="0"/>
          <w:marRight w:val="0"/>
          <w:marTop w:val="0"/>
          <w:marBottom w:val="0"/>
          <w:divBdr>
            <w:top w:val="none" w:sz="0" w:space="0" w:color="auto"/>
            <w:left w:val="none" w:sz="0" w:space="0" w:color="auto"/>
            <w:bottom w:val="none" w:sz="0" w:space="0" w:color="auto"/>
            <w:right w:val="none" w:sz="0" w:space="0" w:color="auto"/>
          </w:divBdr>
        </w:div>
        <w:div w:id="2061436327">
          <w:marLeft w:val="0"/>
          <w:marRight w:val="0"/>
          <w:marTop w:val="0"/>
          <w:marBottom w:val="0"/>
          <w:divBdr>
            <w:top w:val="none" w:sz="0" w:space="0" w:color="auto"/>
            <w:left w:val="none" w:sz="0" w:space="0" w:color="auto"/>
            <w:bottom w:val="none" w:sz="0" w:space="0" w:color="auto"/>
            <w:right w:val="none" w:sz="0" w:space="0" w:color="auto"/>
          </w:divBdr>
        </w:div>
        <w:div w:id="2064022165">
          <w:marLeft w:val="0"/>
          <w:marRight w:val="0"/>
          <w:marTop w:val="0"/>
          <w:marBottom w:val="0"/>
          <w:divBdr>
            <w:top w:val="none" w:sz="0" w:space="0" w:color="auto"/>
            <w:left w:val="none" w:sz="0" w:space="0" w:color="auto"/>
            <w:bottom w:val="none" w:sz="0" w:space="0" w:color="auto"/>
            <w:right w:val="none" w:sz="0" w:space="0" w:color="auto"/>
          </w:divBdr>
        </w:div>
        <w:div w:id="2064670788">
          <w:marLeft w:val="0"/>
          <w:marRight w:val="0"/>
          <w:marTop w:val="0"/>
          <w:marBottom w:val="0"/>
          <w:divBdr>
            <w:top w:val="none" w:sz="0" w:space="0" w:color="auto"/>
            <w:left w:val="none" w:sz="0" w:space="0" w:color="auto"/>
            <w:bottom w:val="none" w:sz="0" w:space="0" w:color="auto"/>
            <w:right w:val="none" w:sz="0" w:space="0" w:color="auto"/>
          </w:divBdr>
        </w:div>
        <w:div w:id="2065372655">
          <w:marLeft w:val="0"/>
          <w:marRight w:val="0"/>
          <w:marTop w:val="0"/>
          <w:marBottom w:val="0"/>
          <w:divBdr>
            <w:top w:val="none" w:sz="0" w:space="0" w:color="auto"/>
            <w:left w:val="none" w:sz="0" w:space="0" w:color="auto"/>
            <w:bottom w:val="none" w:sz="0" w:space="0" w:color="auto"/>
            <w:right w:val="none" w:sz="0" w:space="0" w:color="auto"/>
          </w:divBdr>
        </w:div>
        <w:div w:id="2091123255">
          <w:marLeft w:val="0"/>
          <w:marRight w:val="0"/>
          <w:marTop w:val="0"/>
          <w:marBottom w:val="0"/>
          <w:divBdr>
            <w:top w:val="none" w:sz="0" w:space="0" w:color="auto"/>
            <w:left w:val="none" w:sz="0" w:space="0" w:color="auto"/>
            <w:bottom w:val="none" w:sz="0" w:space="0" w:color="auto"/>
            <w:right w:val="none" w:sz="0" w:space="0" w:color="auto"/>
          </w:divBdr>
        </w:div>
        <w:div w:id="2104373928">
          <w:marLeft w:val="0"/>
          <w:marRight w:val="0"/>
          <w:marTop w:val="0"/>
          <w:marBottom w:val="0"/>
          <w:divBdr>
            <w:top w:val="none" w:sz="0" w:space="0" w:color="auto"/>
            <w:left w:val="none" w:sz="0" w:space="0" w:color="auto"/>
            <w:bottom w:val="none" w:sz="0" w:space="0" w:color="auto"/>
            <w:right w:val="none" w:sz="0" w:space="0" w:color="auto"/>
          </w:divBdr>
        </w:div>
        <w:div w:id="2111730658">
          <w:marLeft w:val="0"/>
          <w:marRight w:val="0"/>
          <w:marTop w:val="0"/>
          <w:marBottom w:val="0"/>
          <w:divBdr>
            <w:top w:val="none" w:sz="0" w:space="0" w:color="auto"/>
            <w:left w:val="none" w:sz="0" w:space="0" w:color="auto"/>
            <w:bottom w:val="none" w:sz="0" w:space="0" w:color="auto"/>
            <w:right w:val="none" w:sz="0" w:space="0" w:color="auto"/>
          </w:divBdr>
        </w:div>
        <w:div w:id="2130393942">
          <w:marLeft w:val="0"/>
          <w:marRight w:val="0"/>
          <w:marTop w:val="0"/>
          <w:marBottom w:val="0"/>
          <w:divBdr>
            <w:top w:val="none" w:sz="0" w:space="0" w:color="auto"/>
            <w:left w:val="none" w:sz="0" w:space="0" w:color="auto"/>
            <w:bottom w:val="none" w:sz="0" w:space="0" w:color="auto"/>
            <w:right w:val="none" w:sz="0" w:space="0" w:color="auto"/>
          </w:divBdr>
        </w:div>
        <w:div w:id="2140562817">
          <w:marLeft w:val="0"/>
          <w:marRight w:val="0"/>
          <w:marTop w:val="0"/>
          <w:marBottom w:val="0"/>
          <w:divBdr>
            <w:top w:val="none" w:sz="0" w:space="0" w:color="auto"/>
            <w:left w:val="none" w:sz="0" w:space="0" w:color="auto"/>
            <w:bottom w:val="none" w:sz="0" w:space="0" w:color="auto"/>
            <w:right w:val="none" w:sz="0" w:space="0" w:color="auto"/>
          </w:divBdr>
        </w:div>
      </w:divsChild>
    </w:div>
    <w:div w:id="1760445217">
      <w:bodyDiv w:val="1"/>
      <w:marLeft w:val="0"/>
      <w:marRight w:val="0"/>
      <w:marTop w:val="0"/>
      <w:marBottom w:val="0"/>
      <w:divBdr>
        <w:top w:val="none" w:sz="0" w:space="0" w:color="auto"/>
        <w:left w:val="none" w:sz="0" w:space="0" w:color="auto"/>
        <w:bottom w:val="none" w:sz="0" w:space="0" w:color="auto"/>
        <w:right w:val="none" w:sz="0" w:space="0" w:color="auto"/>
      </w:divBdr>
    </w:div>
    <w:div w:id="1762752668">
      <w:bodyDiv w:val="1"/>
      <w:marLeft w:val="0"/>
      <w:marRight w:val="0"/>
      <w:marTop w:val="0"/>
      <w:marBottom w:val="0"/>
      <w:divBdr>
        <w:top w:val="none" w:sz="0" w:space="0" w:color="auto"/>
        <w:left w:val="none" w:sz="0" w:space="0" w:color="auto"/>
        <w:bottom w:val="none" w:sz="0" w:space="0" w:color="auto"/>
        <w:right w:val="none" w:sz="0" w:space="0" w:color="auto"/>
      </w:divBdr>
      <w:divsChild>
        <w:div w:id="295257577">
          <w:marLeft w:val="0"/>
          <w:marRight w:val="0"/>
          <w:marTop w:val="0"/>
          <w:marBottom w:val="0"/>
          <w:divBdr>
            <w:top w:val="none" w:sz="0" w:space="0" w:color="auto"/>
            <w:left w:val="none" w:sz="0" w:space="0" w:color="auto"/>
            <w:bottom w:val="none" w:sz="0" w:space="0" w:color="auto"/>
            <w:right w:val="none" w:sz="0" w:space="0" w:color="auto"/>
          </w:divBdr>
        </w:div>
        <w:div w:id="719983534">
          <w:marLeft w:val="0"/>
          <w:marRight w:val="0"/>
          <w:marTop w:val="0"/>
          <w:marBottom w:val="0"/>
          <w:divBdr>
            <w:top w:val="none" w:sz="0" w:space="0" w:color="auto"/>
            <w:left w:val="none" w:sz="0" w:space="0" w:color="auto"/>
            <w:bottom w:val="none" w:sz="0" w:space="0" w:color="auto"/>
            <w:right w:val="none" w:sz="0" w:space="0" w:color="auto"/>
          </w:divBdr>
        </w:div>
        <w:div w:id="1164585398">
          <w:marLeft w:val="0"/>
          <w:marRight w:val="0"/>
          <w:marTop w:val="0"/>
          <w:marBottom w:val="0"/>
          <w:divBdr>
            <w:top w:val="none" w:sz="0" w:space="0" w:color="auto"/>
            <w:left w:val="none" w:sz="0" w:space="0" w:color="auto"/>
            <w:bottom w:val="none" w:sz="0" w:space="0" w:color="auto"/>
            <w:right w:val="none" w:sz="0" w:space="0" w:color="auto"/>
          </w:divBdr>
        </w:div>
        <w:div w:id="1168250351">
          <w:marLeft w:val="0"/>
          <w:marRight w:val="0"/>
          <w:marTop w:val="0"/>
          <w:marBottom w:val="0"/>
          <w:divBdr>
            <w:top w:val="none" w:sz="0" w:space="0" w:color="auto"/>
            <w:left w:val="none" w:sz="0" w:space="0" w:color="auto"/>
            <w:bottom w:val="none" w:sz="0" w:space="0" w:color="auto"/>
            <w:right w:val="none" w:sz="0" w:space="0" w:color="auto"/>
          </w:divBdr>
        </w:div>
        <w:div w:id="2049521951">
          <w:marLeft w:val="0"/>
          <w:marRight w:val="0"/>
          <w:marTop w:val="0"/>
          <w:marBottom w:val="0"/>
          <w:divBdr>
            <w:top w:val="none" w:sz="0" w:space="0" w:color="auto"/>
            <w:left w:val="none" w:sz="0" w:space="0" w:color="auto"/>
            <w:bottom w:val="none" w:sz="0" w:space="0" w:color="auto"/>
            <w:right w:val="none" w:sz="0" w:space="0" w:color="auto"/>
          </w:divBdr>
        </w:div>
      </w:divsChild>
    </w:div>
    <w:div w:id="1764184689">
      <w:bodyDiv w:val="1"/>
      <w:marLeft w:val="0"/>
      <w:marRight w:val="0"/>
      <w:marTop w:val="0"/>
      <w:marBottom w:val="0"/>
      <w:divBdr>
        <w:top w:val="none" w:sz="0" w:space="0" w:color="auto"/>
        <w:left w:val="none" w:sz="0" w:space="0" w:color="auto"/>
        <w:bottom w:val="none" w:sz="0" w:space="0" w:color="auto"/>
        <w:right w:val="none" w:sz="0" w:space="0" w:color="auto"/>
      </w:divBdr>
      <w:divsChild>
        <w:div w:id="156269836">
          <w:marLeft w:val="144"/>
          <w:marRight w:val="0"/>
          <w:marTop w:val="240"/>
          <w:marBottom w:val="40"/>
          <w:divBdr>
            <w:top w:val="none" w:sz="0" w:space="0" w:color="auto"/>
            <w:left w:val="none" w:sz="0" w:space="0" w:color="auto"/>
            <w:bottom w:val="none" w:sz="0" w:space="0" w:color="auto"/>
            <w:right w:val="none" w:sz="0" w:space="0" w:color="auto"/>
          </w:divBdr>
        </w:div>
        <w:div w:id="1552186750">
          <w:marLeft w:val="144"/>
          <w:marRight w:val="0"/>
          <w:marTop w:val="240"/>
          <w:marBottom w:val="40"/>
          <w:divBdr>
            <w:top w:val="none" w:sz="0" w:space="0" w:color="auto"/>
            <w:left w:val="none" w:sz="0" w:space="0" w:color="auto"/>
            <w:bottom w:val="none" w:sz="0" w:space="0" w:color="auto"/>
            <w:right w:val="none" w:sz="0" w:space="0" w:color="auto"/>
          </w:divBdr>
        </w:div>
      </w:divsChild>
    </w:div>
    <w:div w:id="1769423777">
      <w:bodyDiv w:val="1"/>
      <w:marLeft w:val="0"/>
      <w:marRight w:val="0"/>
      <w:marTop w:val="0"/>
      <w:marBottom w:val="0"/>
      <w:divBdr>
        <w:top w:val="none" w:sz="0" w:space="0" w:color="auto"/>
        <w:left w:val="none" w:sz="0" w:space="0" w:color="auto"/>
        <w:bottom w:val="none" w:sz="0" w:space="0" w:color="auto"/>
        <w:right w:val="none" w:sz="0" w:space="0" w:color="auto"/>
      </w:divBdr>
    </w:div>
    <w:div w:id="1769690034">
      <w:bodyDiv w:val="1"/>
      <w:marLeft w:val="0"/>
      <w:marRight w:val="0"/>
      <w:marTop w:val="0"/>
      <w:marBottom w:val="0"/>
      <w:divBdr>
        <w:top w:val="none" w:sz="0" w:space="0" w:color="auto"/>
        <w:left w:val="none" w:sz="0" w:space="0" w:color="auto"/>
        <w:bottom w:val="none" w:sz="0" w:space="0" w:color="auto"/>
        <w:right w:val="none" w:sz="0" w:space="0" w:color="auto"/>
      </w:divBdr>
      <w:divsChild>
        <w:div w:id="1794325351">
          <w:marLeft w:val="144"/>
          <w:marRight w:val="0"/>
          <w:marTop w:val="240"/>
          <w:marBottom w:val="40"/>
          <w:divBdr>
            <w:top w:val="none" w:sz="0" w:space="0" w:color="auto"/>
            <w:left w:val="none" w:sz="0" w:space="0" w:color="auto"/>
            <w:bottom w:val="none" w:sz="0" w:space="0" w:color="auto"/>
            <w:right w:val="none" w:sz="0" w:space="0" w:color="auto"/>
          </w:divBdr>
        </w:div>
        <w:div w:id="2039501720">
          <w:marLeft w:val="144"/>
          <w:marRight w:val="0"/>
          <w:marTop w:val="240"/>
          <w:marBottom w:val="40"/>
          <w:divBdr>
            <w:top w:val="none" w:sz="0" w:space="0" w:color="auto"/>
            <w:left w:val="none" w:sz="0" w:space="0" w:color="auto"/>
            <w:bottom w:val="none" w:sz="0" w:space="0" w:color="auto"/>
            <w:right w:val="none" w:sz="0" w:space="0" w:color="auto"/>
          </w:divBdr>
        </w:div>
      </w:divsChild>
    </w:div>
    <w:div w:id="1776557543">
      <w:bodyDiv w:val="1"/>
      <w:marLeft w:val="0"/>
      <w:marRight w:val="0"/>
      <w:marTop w:val="0"/>
      <w:marBottom w:val="0"/>
      <w:divBdr>
        <w:top w:val="none" w:sz="0" w:space="0" w:color="auto"/>
        <w:left w:val="none" w:sz="0" w:space="0" w:color="auto"/>
        <w:bottom w:val="none" w:sz="0" w:space="0" w:color="auto"/>
        <w:right w:val="none" w:sz="0" w:space="0" w:color="auto"/>
      </w:divBdr>
    </w:div>
    <w:div w:id="1776753717">
      <w:bodyDiv w:val="1"/>
      <w:marLeft w:val="0"/>
      <w:marRight w:val="0"/>
      <w:marTop w:val="0"/>
      <w:marBottom w:val="0"/>
      <w:divBdr>
        <w:top w:val="none" w:sz="0" w:space="0" w:color="auto"/>
        <w:left w:val="none" w:sz="0" w:space="0" w:color="auto"/>
        <w:bottom w:val="none" w:sz="0" w:space="0" w:color="auto"/>
        <w:right w:val="none" w:sz="0" w:space="0" w:color="auto"/>
      </w:divBdr>
      <w:divsChild>
        <w:div w:id="148251860">
          <w:marLeft w:val="0"/>
          <w:marRight w:val="0"/>
          <w:marTop w:val="0"/>
          <w:marBottom w:val="0"/>
          <w:divBdr>
            <w:top w:val="none" w:sz="0" w:space="0" w:color="auto"/>
            <w:left w:val="none" w:sz="0" w:space="0" w:color="auto"/>
            <w:bottom w:val="none" w:sz="0" w:space="0" w:color="auto"/>
            <w:right w:val="none" w:sz="0" w:space="0" w:color="auto"/>
          </w:divBdr>
        </w:div>
        <w:div w:id="423231597">
          <w:marLeft w:val="0"/>
          <w:marRight w:val="0"/>
          <w:marTop w:val="0"/>
          <w:marBottom w:val="0"/>
          <w:divBdr>
            <w:top w:val="none" w:sz="0" w:space="0" w:color="auto"/>
            <w:left w:val="none" w:sz="0" w:space="0" w:color="auto"/>
            <w:bottom w:val="none" w:sz="0" w:space="0" w:color="auto"/>
            <w:right w:val="none" w:sz="0" w:space="0" w:color="auto"/>
          </w:divBdr>
        </w:div>
        <w:div w:id="428504011">
          <w:marLeft w:val="0"/>
          <w:marRight w:val="0"/>
          <w:marTop w:val="0"/>
          <w:marBottom w:val="0"/>
          <w:divBdr>
            <w:top w:val="none" w:sz="0" w:space="0" w:color="auto"/>
            <w:left w:val="none" w:sz="0" w:space="0" w:color="auto"/>
            <w:bottom w:val="none" w:sz="0" w:space="0" w:color="auto"/>
            <w:right w:val="none" w:sz="0" w:space="0" w:color="auto"/>
          </w:divBdr>
        </w:div>
        <w:div w:id="582952431">
          <w:marLeft w:val="0"/>
          <w:marRight w:val="0"/>
          <w:marTop w:val="0"/>
          <w:marBottom w:val="0"/>
          <w:divBdr>
            <w:top w:val="none" w:sz="0" w:space="0" w:color="auto"/>
            <w:left w:val="none" w:sz="0" w:space="0" w:color="auto"/>
            <w:bottom w:val="none" w:sz="0" w:space="0" w:color="auto"/>
            <w:right w:val="none" w:sz="0" w:space="0" w:color="auto"/>
          </w:divBdr>
        </w:div>
        <w:div w:id="1002045652">
          <w:marLeft w:val="0"/>
          <w:marRight w:val="0"/>
          <w:marTop w:val="0"/>
          <w:marBottom w:val="0"/>
          <w:divBdr>
            <w:top w:val="none" w:sz="0" w:space="0" w:color="auto"/>
            <w:left w:val="none" w:sz="0" w:space="0" w:color="auto"/>
            <w:bottom w:val="none" w:sz="0" w:space="0" w:color="auto"/>
            <w:right w:val="none" w:sz="0" w:space="0" w:color="auto"/>
          </w:divBdr>
        </w:div>
        <w:div w:id="1029255384">
          <w:marLeft w:val="0"/>
          <w:marRight w:val="0"/>
          <w:marTop w:val="0"/>
          <w:marBottom w:val="0"/>
          <w:divBdr>
            <w:top w:val="none" w:sz="0" w:space="0" w:color="auto"/>
            <w:left w:val="none" w:sz="0" w:space="0" w:color="auto"/>
            <w:bottom w:val="none" w:sz="0" w:space="0" w:color="auto"/>
            <w:right w:val="none" w:sz="0" w:space="0" w:color="auto"/>
          </w:divBdr>
        </w:div>
        <w:div w:id="1165589230">
          <w:marLeft w:val="0"/>
          <w:marRight w:val="0"/>
          <w:marTop w:val="0"/>
          <w:marBottom w:val="0"/>
          <w:divBdr>
            <w:top w:val="none" w:sz="0" w:space="0" w:color="auto"/>
            <w:left w:val="none" w:sz="0" w:space="0" w:color="auto"/>
            <w:bottom w:val="none" w:sz="0" w:space="0" w:color="auto"/>
            <w:right w:val="none" w:sz="0" w:space="0" w:color="auto"/>
          </w:divBdr>
        </w:div>
        <w:div w:id="1189101667">
          <w:marLeft w:val="0"/>
          <w:marRight w:val="0"/>
          <w:marTop w:val="0"/>
          <w:marBottom w:val="0"/>
          <w:divBdr>
            <w:top w:val="none" w:sz="0" w:space="0" w:color="auto"/>
            <w:left w:val="none" w:sz="0" w:space="0" w:color="auto"/>
            <w:bottom w:val="none" w:sz="0" w:space="0" w:color="auto"/>
            <w:right w:val="none" w:sz="0" w:space="0" w:color="auto"/>
          </w:divBdr>
        </w:div>
        <w:div w:id="1309432827">
          <w:marLeft w:val="0"/>
          <w:marRight w:val="0"/>
          <w:marTop w:val="0"/>
          <w:marBottom w:val="0"/>
          <w:divBdr>
            <w:top w:val="none" w:sz="0" w:space="0" w:color="auto"/>
            <w:left w:val="none" w:sz="0" w:space="0" w:color="auto"/>
            <w:bottom w:val="none" w:sz="0" w:space="0" w:color="auto"/>
            <w:right w:val="none" w:sz="0" w:space="0" w:color="auto"/>
          </w:divBdr>
        </w:div>
        <w:div w:id="1380593392">
          <w:marLeft w:val="0"/>
          <w:marRight w:val="0"/>
          <w:marTop w:val="0"/>
          <w:marBottom w:val="0"/>
          <w:divBdr>
            <w:top w:val="none" w:sz="0" w:space="0" w:color="auto"/>
            <w:left w:val="none" w:sz="0" w:space="0" w:color="auto"/>
            <w:bottom w:val="none" w:sz="0" w:space="0" w:color="auto"/>
            <w:right w:val="none" w:sz="0" w:space="0" w:color="auto"/>
          </w:divBdr>
        </w:div>
        <w:div w:id="1442532901">
          <w:marLeft w:val="0"/>
          <w:marRight w:val="0"/>
          <w:marTop w:val="0"/>
          <w:marBottom w:val="0"/>
          <w:divBdr>
            <w:top w:val="none" w:sz="0" w:space="0" w:color="auto"/>
            <w:left w:val="none" w:sz="0" w:space="0" w:color="auto"/>
            <w:bottom w:val="none" w:sz="0" w:space="0" w:color="auto"/>
            <w:right w:val="none" w:sz="0" w:space="0" w:color="auto"/>
          </w:divBdr>
        </w:div>
        <w:div w:id="1550918262">
          <w:marLeft w:val="0"/>
          <w:marRight w:val="0"/>
          <w:marTop w:val="0"/>
          <w:marBottom w:val="0"/>
          <w:divBdr>
            <w:top w:val="none" w:sz="0" w:space="0" w:color="auto"/>
            <w:left w:val="none" w:sz="0" w:space="0" w:color="auto"/>
            <w:bottom w:val="none" w:sz="0" w:space="0" w:color="auto"/>
            <w:right w:val="none" w:sz="0" w:space="0" w:color="auto"/>
          </w:divBdr>
        </w:div>
        <w:div w:id="1557280481">
          <w:marLeft w:val="0"/>
          <w:marRight w:val="0"/>
          <w:marTop w:val="0"/>
          <w:marBottom w:val="0"/>
          <w:divBdr>
            <w:top w:val="none" w:sz="0" w:space="0" w:color="auto"/>
            <w:left w:val="none" w:sz="0" w:space="0" w:color="auto"/>
            <w:bottom w:val="none" w:sz="0" w:space="0" w:color="auto"/>
            <w:right w:val="none" w:sz="0" w:space="0" w:color="auto"/>
          </w:divBdr>
        </w:div>
        <w:div w:id="1570458902">
          <w:marLeft w:val="0"/>
          <w:marRight w:val="0"/>
          <w:marTop w:val="0"/>
          <w:marBottom w:val="0"/>
          <w:divBdr>
            <w:top w:val="none" w:sz="0" w:space="0" w:color="auto"/>
            <w:left w:val="none" w:sz="0" w:space="0" w:color="auto"/>
            <w:bottom w:val="none" w:sz="0" w:space="0" w:color="auto"/>
            <w:right w:val="none" w:sz="0" w:space="0" w:color="auto"/>
          </w:divBdr>
        </w:div>
        <w:div w:id="1792551836">
          <w:marLeft w:val="0"/>
          <w:marRight w:val="0"/>
          <w:marTop w:val="0"/>
          <w:marBottom w:val="0"/>
          <w:divBdr>
            <w:top w:val="none" w:sz="0" w:space="0" w:color="auto"/>
            <w:left w:val="none" w:sz="0" w:space="0" w:color="auto"/>
            <w:bottom w:val="none" w:sz="0" w:space="0" w:color="auto"/>
            <w:right w:val="none" w:sz="0" w:space="0" w:color="auto"/>
          </w:divBdr>
        </w:div>
        <w:div w:id="1978298996">
          <w:marLeft w:val="0"/>
          <w:marRight w:val="0"/>
          <w:marTop w:val="0"/>
          <w:marBottom w:val="0"/>
          <w:divBdr>
            <w:top w:val="none" w:sz="0" w:space="0" w:color="auto"/>
            <w:left w:val="none" w:sz="0" w:space="0" w:color="auto"/>
            <w:bottom w:val="none" w:sz="0" w:space="0" w:color="auto"/>
            <w:right w:val="none" w:sz="0" w:space="0" w:color="auto"/>
          </w:divBdr>
        </w:div>
        <w:div w:id="1980567359">
          <w:marLeft w:val="0"/>
          <w:marRight w:val="0"/>
          <w:marTop w:val="0"/>
          <w:marBottom w:val="0"/>
          <w:divBdr>
            <w:top w:val="none" w:sz="0" w:space="0" w:color="auto"/>
            <w:left w:val="none" w:sz="0" w:space="0" w:color="auto"/>
            <w:bottom w:val="none" w:sz="0" w:space="0" w:color="auto"/>
            <w:right w:val="none" w:sz="0" w:space="0" w:color="auto"/>
          </w:divBdr>
        </w:div>
        <w:div w:id="1983803880">
          <w:marLeft w:val="0"/>
          <w:marRight w:val="0"/>
          <w:marTop w:val="0"/>
          <w:marBottom w:val="0"/>
          <w:divBdr>
            <w:top w:val="none" w:sz="0" w:space="0" w:color="auto"/>
            <w:left w:val="none" w:sz="0" w:space="0" w:color="auto"/>
            <w:bottom w:val="none" w:sz="0" w:space="0" w:color="auto"/>
            <w:right w:val="none" w:sz="0" w:space="0" w:color="auto"/>
          </w:divBdr>
        </w:div>
        <w:div w:id="2028020998">
          <w:marLeft w:val="0"/>
          <w:marRight w:val="0"/>
          <w:marTop w:val="0"/>
          <w:marBottom w:val="0"/>
          <w:divBdr>
            <w:top w:val="none" w:sz="0" w:space="0" w:color="auto"/>
            <w:left w:val="none" w:sz="0" w:space="0" w:color="auto"/>
            <w:bottom w:val="none" w:sz="0" w:space="0" w:color="auto"/>
            <w:right w:val="none" w:sz="0" w:space="0" w:color="auto"/>
          </w:divBdr>
        </w:div>
        <w:div w:id="2102294106">
          <w:marLeft w:val="0"/>
          <w:marRight w:val="0"/>
          <w:marTop w:val="0"/>
          <w:marBottom w:val="0"/>
          <w:divBdr>
            <w:top w:val="none" w:sz="0" w:space="0" w:color="auto"/>
            <w:left w:val="none" w:sz="0" w:space="0" w:color="auto"/>
            <w:bottom w:val="none" w:sz="0" w:space="0" w:color="auto"/>
            <w:right w:val="none" w:sz="0" w:space="0" w:color="auto"/>
          </w:divBdr>
        </w:div>
      </w:divsChild>
    </w:div>
    <w:div w:id="1778406749">
      <w:bodyDiv w:val="1"/>
      <w:marLeft w:val="0"/>
      <w:marRight w:val="0"/>
      <w:marTop w:val="0"/>
      <w:marBottom w:val="0"/>
      <w:divBdr>
        <w:top w:val="none" w:sz="0" w:space="0" w:color="auto"/>
        <w:left w:val="none" w:sz="0" w:space="0" w:color="auto"/>
        <w:bottom w:val="none" w:sz="0" w:space="0" w:color="auto"/>
        <w:right w:val="none" w:sz="0" w:space="0" w:color="auto"/>
      </w:divBdr>
    </w:div>
    <w:div w:id="1786650791">
      <w:bodyDiv w:val="1"/>
      <w:marLeft w:val="0"/>
      <w:marRight w:val="0"/>
      <w:marTop w:val="0"/>
      <w:marBottom w:val="0"/>
      <w:divBdr>
        <w:top w:val="none" w:sz="0" w:space="0" w:color="auto"/>
        <w:left w:val="none" w:sz="0" w:space="0" w:color="auto"/>
        <w:bottom w:val="none" w:sz="0" w:space="0" w:color="auto"/>
        <w:right w:val="none" w:sz="0" w:space="0" w:color="auto"/>
      </w:divBdr>
      <w:divsChild>
        <w:div w:id="1884167520">
          <w:marLeft w:val="965"/>
          <w:marRight w:val="0"/>
          <w:marTop w:val="240"/>
          <w:marBottom w:val="40"/>
          <w:divBdr>
            <w:top w:val="none" w:sz="0" w:space="0" w:color="auto"/>
            <w:left w:val="none" w:sz="0" w:space="0" w:color="auto"/>
            <w:bottom w:val="none" w:sz="0" w:space="0" w:color="auto"/>
            <w:right w:val="none" w:sz="0" w:space="0" w:color="auto"/>
          </w:divBdr>
        </w:div>
        <w:div w:id="1980725639">
          <w:marLeft w:val="965"/>
          <w:marRight w:val="0"/>
          <w:marTop w:val="240"/>
          <w:marBottom w:val="40"/>
          <w:divBdr>
            <w:top w:val="none" w:sz="0" w:space="0" w:color="auto"/>
            <w:left w:val="none" w:sz="0" w:space="0" w:color="auto"/>
            <w:bottom w:val="none" w:sz="0" w:space="0" w:color="auto"/>
            <w:right w:val="none" w:sz="0" w:space="0" w:color="auto"/>
          </w:divBdr>
        </w:div>
      </w:divsChild>
    </w:div>
    <w:div w:id="1786732437">
      <w:bodyDiv w:val="1"/>
      <w:marLeft w:val="0"/>
      <w:marRight w:val="0"/>
      <w:marTop w:val="0"/>
      <w:marBottom w:val="0"/>
      <w:divBdr>
        <w:top w:val="none" w:sz="0" w:space="0" w:color="auto"/>
        <w:left w:val="none" w:sz="0" w:space="0" w:color="auto"/>
        <w:bottom w:val="none" w:sz="0" w:space="0" w:color="auto"/>
        <w:right w:val="none" w:sz="0" w:space="0" w:color="auto"/>
      </w:divBdr>
    </w:div>
    <w:div w:id="1792630149">
      <w:bodyDiv w:val="1"/>
      <w:marLeft w:val="0"/>
      <w:marRight w:val="0"/>
      <w:marTop w:val="0"/>
      <w:marBottom w:val="0"/>
      <w:divBdr>
        <w:top w:val="none" w:sz="0" w:space="0" w:color="auto"/>
        <w:left w:val="none" w:sz="0" w:space="0" w:color="auto"/>
        <w:bottom w:val="none" w:sz="0" w:space="0" w:color="auto"/>
        <w:right w:val="none" w:sz="0" w:space="0" w:color="auto"/>
      </w:divBdr>
      <w:divsChild>
        <w:div w:id="941570862">
          <w:marLeft w:val="0"/>
          <w:marRight w:val="0"/>
          <w:marTop w:val="0"/>
          <w:marBottom w:val="0"/>
          <w:divBdr>
            <w:top w:val="none" w:sz="0" w:space="0" w:color="auto"/>
            <w:left w:val="none" w:sz="0" w:space="0" w:color="auto"/>
            <w:bottom w:val="none" w:sz="0" w:space="0" w:color="auto"/>
            <w:right w:val="none" w:sz="0" w:space="0" w:color="auto"/>
          </w:divBdr>
        </w:div>
      </w:divsChild>
    </w:div>
    <w:div w:id="1797288523">
      <w:bodyDiv w:val="1"/>
      <w:marLeft w:val="0"/>
      <w:marRight w:val="0"/>
      <w:marTop w:val="0"/>
      <w:marBottom w:val="0"/>
      <w:divBdr>
        <w:top w:val="none" w:sz="0" w:space="0" w:color="auto"/>
        <w:left w:val="none" w:sz="0" w:space="0" w:color="auto"/>
        <w:bottom w:val="none" w:sz="0" w:space="0" w:color="auto"/>
        <w:right w:val="none" w:sz="0" w:space="0" w:color="auto"/>
      </w:divBdr>
    </w:div>
    <w:div w:id="1798526662">
      <w:bodyDiv w:val="1"/>
      <w:marLeft w:val="0"/>
      <w:marRight w:val="0"/>
      <w:marTop w:val="0"/>
      <w:marBottom w:val="0"/>
      <w:divBdr>
        <w:top w:val="none" w:sz="0" w:space="0" w:color="auto"/>
        <w:left w:val="none" w:sz="0" w:space="0" w:color="auto"/>
        <w:bottom w:val="none" w:sz="0" w:space="0" w:color="auto"/>
        <w:right w:val="none" w:sz="0" w:space="0" w:color="auto"/>
      </w:divBdr>
    </w:div>
    <w:div w:id="1801848955">
      <w:bodyDiv w:val="1"/>
      <w:marLeft w:val="0"/>
      <w:marRight w:val="0"/>
      <w:marTop w:val="0"/>
      <w:marBottom w:val="0"/>
      <w:divBdr>
        <w:top w:val="none" w:sz="0" w:space="0" w:color="auto"/>
        <w:left w:val="none" w:sz="0" w:space="0" w:color="auto"/>
        <w:bottom w:val="none" w:sz="0" w:space="0" w:color="auto"/>
        <w:right w:val="none" w:sz="0" w:space="0" w:color="auto"/>
      </w:divBdr>
    </w:div>
    <w:div w:id="1802457853">
      <w:bodyDiv w:val="1"/>
      <w:marLeft w:val="0"/>
      <w:marRight w:val="0"/>
      <w:marTop w:val="0"/>
      <w:marBottom w:val="0"/>
      <w:divBdr>
        <w:top w:val="none" w:sz="0" w:space="0" w:color="auto"/>
        <w:left w:val="none" w:sz="0" w:space="0" w:color="auto"/>
        <w:bottom w:val="none" w:sz="0" w:space="0" w:color="auto"/>
        <w:right w:val="none" w:sz="0" w:space="0" w:color="auto"/>
      </w:divBdr>
      <w:divsChild>
        <w:div w:id="64496475">
          <w:marLeft w:val="0"/>
          <w:marRight w:val="0"/>
          <w:marTop w:val="0"/>
          <w:marBottom w:val="0"/>
          <w:divBdr>
            <w:top w:val="none" w:sz="0" w:space="0" w:color="auto"/>
            <w:left w:val="none" w:sz="0" w:space="0" w:color="auto"/>
            <w:bottom w:val="none" w:sz="0" w:space="0" w:color="auto"/>
            <w:right w:val="none" w:sz="0" w:space="0" w:color="auto"/>
          </w:divBdr>
        </w:div>
      </w:divsChild>
    </w:div>
    <w:div w:id="1804612288">
      <w:bodyDiv w:val="1"/>
      <w:marLeft w:val="0"/>
      <w:marRight w:val="0"/>
      <w:marTop w:val="0"/>
      <w:marBottom w:val="0"/>
      <w:divBdr>
        <w:top w:val="none" w:sz="0" w:space="0" w:color="auto"/>
        <w:left w:val="none" w:sz="0" w:space="0" w:color="auto"/>
        <w:bottom w:val="none" w:sz="0" w:space="0" w:color="auto"/>
        <w:right w:val="none" w:sz="0" w:space="0" w:color="auto"/>
      </w:divBdr>
    </w:div>
    <w:div w:id="1806384564">
      <w:bodyDiv w:val="1"/>
      <w:marLeft w:val="0"/>
      <w:marRight w:val="0"/>
      <w:marTop w:val="0"/>
      <w:marBottom w:val="0"/>
      <w:divBdr>
        <w:top w:val="none" w:sz="0" w:space="0" w:color="auto"/>
        <w:left w:val="none" w:sz="0" w:space="0" w:color="auto"/>
        <w:bottom w:val="none" w:sz="0" w:space="0" w:color="auto"/>
        <w:right w:val="none" w:sz="0" w:space="0" w:color="auto"/>
      </w:divBdr>
    </w:div>
    <w:div w:id="1807383946">
      <w:bodyDiv w:val="1"/>
      <w:marLeft w:val="0"/>
      <w:marRight w:val="0"/>
      <w:marTop w:val="0"/>
      <w:marBottom w:val="0"/>
      <w:divBdr>
        <w:top w:val="none" w:sz="0" w:space="0" w:color="auto"/>
        <w:left w:val="none" w:sz="0" w:space="0" w:color="auto"/>
        <w:bottom w:val="none" w:sz="0" w:space="0" w:color="auto"/>
        <w:right w:val="none" w:sz="0" w:space="0" w:color="auto"/>
      </w:divBdr>
    </w:div>
    <w:div w:id="1814369375">
      <w:bodyDiv w:val="1"/>
      <w:marLeft w:val="0"/>
      <w:marRight w:val="0"/>
      <w:marTop w:val="0"/>
      <w:marBottom w:val="0"/>
      <w:divBdr>
        <w:top w:val="none" w:sz="0" w:space="0" w:color="auto"/>
        <w:left w:val="none" w:sz="0" w:space="0" w:color="auto"/>
        <w:bottom w:val="none" w:sz="0" w:space="0" w:color="auto"/>
        <w:right w:val="none" w:sz="0" w:space="0" w:color="auto"/>
      </w:divBdr>
    </w:div>
    <w:div w:id="1816483297">
      <w:bodyDiv w:val="1"/>
      <w:marLeft w:val="0"/>
      <w:marRight w:val="0"/>
      <w:marTop w:val="0"/>
      <w:marBottom w:val="0"/>
      <w:divBdr>
        <w:top w:val="none" w:sz="0" w:space="0" w:color="auto"/>
        <w:left w:val="none" w:sz="0" w:space="0" w:color="auto"/>
        <w:bottom w:val="none" w:sz="0" w:space="0" w:color="auto"/>
        <w:right w:val="none" w:sz="0" w:space="0" w:color="auto"/>
      </w:divBdr>
      <w:divsChild>
        <w:div w:id="988747725">
          <w:marLeft w:val="0"/>
          <w:marRight w:val="0"/>
          <w:marTop w:val="100"/>
          <w:marBottom w:val="300"/>
          <w:divBdr>
            <w:top w:val="none" w:sz="0" w:space="0" w:color="auto"/>
            <w:left w:val="none" w:sz="0" w:space="0" w:color="auto"/>
            <w:bottom w:val="none" w:sz="0" w:space="0" w:color="auto"/>
            <w:right w:val="none" w:sz="0" w:space="0" w:color="auto"/>
          </w:divBdr>
        </w:div>
        <w:div w:id="1597404792">
          <w:marLeft w:val="0"/>
          <w:marRight w:val="0"/>
          <w:marTop w:val="100"/>
          <w:marBottom w:val="300"/>
          <w:divBdr>
            <w:top w:val="none" w:sz="0" w:space="0" w:color="auto"/>
            <w:left w:val="none" w:sz="0" w:space="0" w:color="auto"/>
            <w:bottom w:val="none" w:sz="0" w:space="0" w:color="auto"/>
            <w:right w:val="none" w:sz="0" w:space="0" w:color="auto"/>
          </w:divBdr>
        </w:div>
        <w:div w:id="1743336031">
          <w:marLeft w:val="0"/>
          <w:marRight w:val="0"/>
          <w:marTop w:val="100"/>
          <w:marBottom w:val="300"/>
          <w:divBdr>
            <w:top w:val="none" w:sz="0" w:space="0" w:color="auto"/>
            <w:left w:val="none" w:sz="0" w:space="0" w:color="auto"/>
            <w:bottom w:val="none" w:sz="0" w:space="0" w:color="auto"/>
            <w:right w:val="none" w:sz="0" w:space="0" w:color="auto"/>
          </w:divBdr>
        </w:div>
      </w:divsChild>
    </w:div>
    <w:div w:id="1826162261">
      <w:bodyDiv w:val="1"/>
      <w:marLeft w:val="0"/>
      <w:marRight w:val="0"/>
      <w:marTop w:val="0"/>
      <w:marBottom w:val="0"/>
      <w:divBdr>
        <w:top w:val="none" w:sz="0" w:space="0" w:color="auto"/>
        <w:left w:val="none" w:sz="0" w:space="0" w:color="auto"/>
        <w:bottom w:val="none" w:sz="0" w:space="0" w:color="auto"/>
        <w:right w:val="none" w:sz="0" w:space="0" w:color="auto"/>
      </w:divBdr>
      <w:divsChild>
        <w:div w:id="156924934">
          <w:marLeft w:val="0"/>
          <w:marRight w:val="0"/>
          <w:marTop w:val="0"/>
          <w:marBottom w:val="0"/>
          <w:divBdr>
            <w:top w:val="none" w:sz="0" w:space="0" w:color="auto"/>
            <w:left w:val="none" w:sz="0" w:space="0" w:color="auto"/>
            <w:bottom w:val="none" w:sz="0" w:space="0" w:color="auto"/>
            <w:right w:val="none" w:sz="0" w:space="0" w:color="auto"/>
          </w:divBdr>
        </w:div>
        <w:div w:id="388771699">
          <w:marLeft w:val="0"/>
          <w:marRight w:val="0"/>
          <w:marTop w:val="0"/>
          <w:marBottom w:val="0"/>
          <w:divBdr>
            <w:top w:val="none" w:sz="0" w:space="0" w:color="auto"/>
            <w:left w:val="none" w:sz="0" w:space="0" w:color="auto"/>
            <w:bottom w:val="none" w:sz="0" w:space="0" w:color="auto"/>
            <w:right w:val="none" w:sz="0" w:space="0" w:color="auto"/>
          </w:divBdr>
        </w:div>
        <w:div w:id="1172767236">
          <w:marLeft w:val="0"/>
          <w:marRight w:val="0"/>
          <w:marTop w:val="0"/>
          <w:marBottom w:val="0"/>
          <w:divBdr>
            <w:top w:val="none" w:sz="0" w:space="0" w:color="auto"/>
            <w:left w:val="none" w:sz="0" w:space="0" w:color="auto"/>
            <w:bottom w:val="none" w:sz="0" w:space="0" w:color="auto"/>
            <w:right w:val="none" w:sz="0" w:space="0" w:color="auto"/>
          </w:divBdr>
        </w:div>
        <w:div w:id="1210416189">
          <w:marLeft w:val="0"/>
          <w:marRight w:val="0"/>
          <w:marTop w:val="0"/>
          <w:marBottom w:val="0"/>
          <w:divBdr>
            <w:top w:val="none" w:sz="0" w:space="0" w:color="auto"/>
            <w:left w:val="none" w:sz="0" w:space="0" w:color="auto"/>
            <w:bottom w:val="none" w:sz="0" w:space="0" w:color="auto"/>
            <w:right w:val="none" w:sz="0" w:space="0" w:color="auto"/>
          </w:divBdr>
        </w:div>
        <w:div w:id="1256129720">
          <w:marLeft w:val="0"/>
          <w:marRight w:val="0"/>
          <w:marTop w:val="0"/>
          <w:marBottom w:val="0"/>
          <w:divBdr>
            <w:top w:val="none" w:sz="0" w:space="0" w:color="auto"/>
            <w:left w:val="none" w:sz="0" w:space="0" w:color="auto"/>
            <w:bottom w:val="none" w:sz="0" w:space="0" w:color="auto"/>
            <w:right w:val="none" w:sz="0" w:space="0" w:color="auto"/>
          </w:divBdr>
        </w:div>
        <w:div w:id="1663775633">
          <w:marLeft w:val="0"/>
          <w:marRight w:val="0"/>
          <w:marTop w:val="0"/>
          <w:marBottom w:val="0"/>
          <w:divBdr>
            <w:top w:val="none" w:sz="0" w:space="0" w:color="auto"/>
            <w:left w:val="none" w:sz="0" w:space="0" w:color="auto"/>
            <w:bottom w:val="none" w:sz="0" w:space="0" w:color="auto"/>
            <w:right w:val="none" w:sz="0" w:space="0" w:color="auto"/>
          </w:divBdr>
        </w:div>
      </w:divsChild>
    </w:div>
    <w:div w:id="1826430347">
      <w:bodyDiv w:val="1"/>
      <w:marLeft w:val="0"/>
      <w:marRight w:val="0"/>
      <w:marTop w:val="0"/>
      <w:marBottom w:val="0"/>
      <w:divBdr>
        <w:top w:val="none" w:sz="0" w:space="0" w:color="auto"/>
        <w:left w:val="none" w:sz="0" w:space="0" w:color="auto"/>
        <w:bottom w:val="none" w:sz="0" w:space="0" w:color="auto"/>
        <w:right w:val="none" w:sz="0" w:space="0" w:color="auto"/>
      </w:divBdr>
    </w:div>
    <w:div w:id="1827044772">
      <w:bodyDiv w:val="1"/>
      <w:marLeft w:val="0"/>
      <w:marRight w:val="0"/>
      <w:marTop w:val="0"/>
      <w:marBottom w:val="0"/>
      <w:divBdr>
        <w:top w:val="none" w:sz="0" w:space="0" w:color="auto"/>
        <w:left w:val="none" w:sz="0" w:space="0" w:color="auto"/>
        <w:bottom w:val="none" w:sz="0" w:space="0" w:color="auto"/>
        <w:right w:val="none" w:sz="0" w:space="0" w:color="auto"/>
      </w:divBdr>
      <w:divsChild>
        <w:div w:id="334460529">
          <w:marLeft w:val="0"/>
          <w:marRight w:val="0"/>
          <w:marTop w:val="0"/>
          <w:marBottom w:val="0"/>
          <w:divBdr>
            <w:top w:val="none" w:sz="0" w:space="0" w:color="auto"/>
            <w:left w:val="none" w:sz="0" w:space="0" w:color="auto"/>
            <w:bottom w:val="none" w:sz="0" w:space="0" w:color="auto"/>
            <w:right w:val="none" w:sz="0" w:space="0" w:color="auto"/>
          </w:divBdr>
        </w:div>
        <w:div w:id="382949570">
          <w:marLeft w:val="0"/>
          <w:marRight w:val="0"/>
          <w:marTop w:val="0"/>
          <w:marBottom w:val="0"/>
          <w:divBdr>
            <w:top w:val="none" w:sz="0" w:space="0" w:color="auto"/>
            <w:left w:val="none" w:sz="0" w:space="0" w:color="auto"/>
            <w:bottom w:val="none" w:sz="0" w:space="0" w:color="auto"/>
            <w:right w:val="none" w:sz="0" w:space="0" w:color="auto"/>
          </w:divBdr>
        </w:div>
        <w:div w:id="453329027">
          <w:marLeft w:val="0"/>
          <w:marRight w:val="0"/>
          <w:marTop w:val="0"/>
          <w:marBottom w:val="0"/>
          <w:divBdr>
            <w:top w:val="none" w:sz="0" w:space="0" w:color="auto"/>
            <w:left w:val="none" w:sz="0" w:space="0" w:color="auto"/>
            <w:bottom w:val="none" w:sz="0" w:space="0" w:color="auto"/>
            <w:right w:val="none" w:sz="0" w:space="0" w:color="auto"/>
          </w:divBdr>
        </w:div>
        <w:div w:id="480850681">
          <w:marLeft w:val="0"/>
          <w:marRight w:val="0"/>
          <w:marTop w:val="0"/>
          <w:marBottom w:val="0"/>
          <w:divBdr>
            <w:top w:val="none" w:sz="0" w:space="0" w:color="auto"/>
            <w:left w:val="none" w:sz="0" w:space="0" w:color="auto"/>
            <w:bottom w:val="none" w:sz="0" w:space="0" w:color="auto"/>
            <w:right w:val="none" w:sz="0" w:space="0" w:color="auto"/>
          </w:divBdr>
        </w:div>
        <w:div w:id="516891568">
          <w:marLeft w:val="0"/>
          <w:marRight w:val="0"/>
          <w:marTop w:val="0"/>
          <w:marBottom w:val="0"/>
          <w:divBdr>
            <w:top w:val="none" w:sz="0" w:space="0" w:color="auto"/>
            <w:left w:val="none" w:sz="0" w:space="0" w:color="auto"/>
            <w:bottom w:val="none" w:sz="0" w:space="0" w:color="auto"/>
            <w:right w:val="none" w:sz="0" w:space="0" w:color="auto"/>
          </w:divBdr>
        </w:div>
        <w:div w:id="539587991">
          <w:marLeft w:val="0"/>
          <w:marRight w:val="0"/>
          <w:marTop w:val="0"/>
          <w:marBottom w:val="0"/>
          <w:divBdr>
            <w:top w:val="none" w:sz="0" w:space="0" w:color="auto"/>
            <w:left w:val="none" w:sz="0" w:space="0" w:color="auto"/>
            <w:bottom w:val="none" w:sz="0" w:space="0" w:color="auto"/>
            <w:right w:val="none" w:sz="0" w:space="0" w:color="auto"/>
          </w:divBdr>
        </w:div>
        <w:div w:id="846022956">
          <w:marLeft w:val="0"/>
          <w:marRight w:val="0"/>
          <w:marTop w:val="0"/>
          <w:marBottom w:val="0"/>
          <w:divBdr>
            <w:top w:val="none" w:sz="0" w:space="0" w:color="auto"/>
            <w:left w:val="none" w:sz="0" w:space="0" w:color="auto"/>
            <w:bottom w:val="none" w:sz="0" w:space="0" w:color="auto"/>
            <w:right w:val="none" w:sz="0" w:space="0" w:color="auto"/>
          </w:divBdr>
        </w:div>
        <w:div w:id="993949932">
          <w:marLeft w:val="0"/>
          <w:marRight w:val="0"/>
          <w:marTop w:val="0"/>
          <w:marBottom w:val="0"/>
          <w:divBdr>
            <w:top w:val="none" w:sz="0" w:space="0" w:color="auto"/>
            <w:left w:val="none" w:sz="0" w:space="0" w:color="auto"/>
            <w:bottom w:val="none" w:sz="0" w:space="0" w:color="auto"/>
            <w:right w:val="none" w:sz="0" w:space="0" w:color="auto"/>
          </w:divBdr>
        </w:div>
        <w:div w:id="994340412">
          <w:marLeft w:val="0"/>
          <w:marRight w:val="0"/>
          <w:marTop w:val="0"/>
          <w:marBottom w:val="0"/>
          <w:divBdr>
            <w:top w:val="none" w:sz="0" w:space="0" w:color="auto"/>
            <w:left w:val="none" w:sz="0" w:space="0" w:color="auto"/>
            <w:bottom w:val="none" w:sz="0" w:space="0" w:color="auto"/>
            <w:right w:val="none" w:sz="0" w:space="0" w:color="auto"/>
          </w:divBdr>
        </w:div>
        <w:div w:id="1122848959">
          <w:marLeft w:val="0"/>
          <w:marRight w:val="0"/>
          <w:marTop w:val="0"/>
          <w:marBottom w:val="0"/>
          <w:divBdr>
            <w:top w:val="none" w:sz="0" w:space="0" w:color="auto"/>
            <w:left w:val="none" w:sz="0" w:space="0" w:color="auto"/>
            <w:bottom w:val="none" w:sz="0" w:space="0" w:color="auto"/>
            <w:right w:val="none" w:sz="0" w:space="0" w:color="auto"/>
          </w:divBdr>
        </w:div>
        <w:div w:id="1180511528">
          <w:marLeft w:val="0"/>
          <w:marRight w:val="0"/>
          <w:marTop w:val="0"/>
          <w:marBottom w:val="0"/>
          <w:divBdr>
            <w:top w:val="none" w:sz="0" w:space="0" w:color="auto"/>
            <w:left w:val="none" w:sz="0" w:space="0" w:color="auto"/>
            <w:bottom w:val="none" w:sz="0" w:space="0" w:color="auto"/>
            <w:right w:val="none" w:sz="0" w:space="0" w:color="auto"/>
          </w:divBdr>
        </w:div>
        <w:div w:id="1258178235">
          <w:marLeft w:val="0"/>
          <w:marRight w:val="0"/>
          <w:marTop w:val="0"/>
          <w:marBottom w:val="0"/>
          <w:divBdr>
            <w:top w:val="none" w:sz="0" w:space="0" w:color="auto"/>
            <w:left w:val="none" w:sz="0" w:space="0" w:color="auto"/>
            <w:bottom w:val="none" w:sz="0" w:space="0" w:color="auto"/>
            <w:right w:val="none" w:sz="0" w:space="0" w:color="auto"/>
          </w:divBdr>
        </w:div>
        <w:div w:id="1415542740">
          <w:marLeft w:val="0"/>
          <w:marRight w:val="0"/>
          <w:marTop w:val="0"/>
          <w:marBottom w:val="0"/>
          <w:divBdr>
            <w:top w:val="none" w:sz="0" w:space="0" w:color="auto"/>
            <w:left w:val="none" w:sz="0" w:space="0" w:color="auto"/>
            <w:bottom w:val="none" w:sz="0" w:space="0" w:color="auto"/>
            <w:right w:val="none" w:sz="0" w:space="0" w:color="auto"/>
          </w:divBdr>
        </w:div>
        <w:div w:id="1879275410">
          <w:marLeft w:val="0"/>
          <w:marRight w:val="0"/>
          <w:marTop w:val="0"/>
          <w:marBottom w:val="0"/>
          <w:divBdr>
            <w:top w:val="none" w:sz="0" w:space="0" w:color="auto"/>
            <w:left w:val="none" w:sz="0" w:space="0" w:color="auto"/>
            <w:bottom w:val="none" w:sz="0" w:space="0" w:color="auto"/>
            <w:right w:val="none" w:sz="0" w:space="0" w:color="auto"/>
          </w:divBdr>
        </w:div>
        <w:div w:id="2058123804">
          <w:marLeft w:val="0"/>
          <w:marRight w:val="0"/>
          <w:marTop w:val="0"/>
          <w:marBottom w:val="0"/>
          <w:divBdr>
            <w:top w:val="none" w:sz="0" w:space="0" w:color="auto"/>
            <w:left w:val="none" w:sz="0" w:space="0" w:color="auto"/>
            <w:bottom w:val="none" w:sz="0" w:space="0" w:color="auto"/>
            <w:right w:val="none" w:sz="0" w:space="0" w:color="auto"/>
          </w:divBdr>
        </w:div>
        <w:div w:id="2118064739">
          <w:marLeft w:val="0"/>
          <w:marRight w:val="0"/>
          <w:marTop w:val="0"/>
          <w:marBottom w:val="0"/>
          <w:divBdr>
            <w:top w:val="none" w:sz="0" w:space="0" w:color="auto"/>
            <w:left w:val="none" w:sz="0" w:space="0" w:color="auto"/>
            <w:bottom w:val="none" w:sz="0" w:space="0" w:color="auto"/>
            <w:right w:val="none" w:sz="0" w:space="0" w:color="auto"/>
          </w:divBdr>
        </w:div>
      </w:divsChild>
    </w:div>
    <w:div w:id="1827478155">
      <w:bodyDiv w:val="1"/>
      <w:marLeft w:val="0"/>
      <w:marRight w:val="0"/>
      <w:marTop w:val="0"/>
      <w:marBottom w:val="0"/>
      <w:divBdr>
        <w:top w:val="none" w:sz="0" w:space="0" w:color="auto"/>
        <w:left w:val="none" w:sz="0" w:space="0" w:color="auto"/>
        <w:bottom w:val="none" w:sz="0" w:space="0" w:color="auto"/>
        <w:right w:val="none" w:sz="0" w:space="0" w:color="auto"/>
      </w:divBdr>
      <w:divsChild>
        <w:div w:id="312104519">
          <w:marLeft w:val="144"/>
          <w:marRight w:val="0"/>
          <w:marTop w:val="240"/>
          <w:marBottom w:val="40"/>
          <w:divBdr>
            <w:top w:val="none" w:sz="0" w:space="0" w:color="auto"/>
            <w:left w:val="none" w:sz="0" w:space="0" w:color="auto"/>
            <w:bottom w:val="none" w:sz="0" w:space="0" w:color="auto"/>
            <w:right w:val="none" w:sz="0" w:space="0" w:color="auto"/>
          </w:divBdr>
        </w:div>
        <w:div w:id="713844506">
          <w:marLeft w:val="144"/>
          <w:marRight w:val="0"/>
          <w:marTop w:val="240"/>
          <w:marBottom w:val="40"/>
          <w:divBdr>
            <w:top w:val="none" w:sz="0" w:space="0" w:color="auto"/>
            <w:left w:val="none" w:sz="0" w:space="0" w:color="auto"/>
            <w:bottom w:val="none" w:sz="0" w:space="0" w:color="auto"/>
            <w:right w:val="none" w:sz="0" w:space="0" w:color="auto"/>
          </w:divBdr>
        </w:div>
        <w:div w:id="789279389">
          <w:marLeft w:val="144"/>
          <w:marRight w:val="0"/>
          <w:marTop w:val="240"/>
          <w:marBottom w:val="40"/>
          <w:divBdr>
            <w:top w:val="none" w:sz="0" w:space="0" w:color="auto"/>
            <w:left w:val="none" w:sz="0" w:space="0" w:color="auto"/>
            <w:bottom w:val="none" w:sz="0" w:space="0" w:color="auto"/>
            <w:right w:val="none" w:sz="0" w:space="0" w:color="auto"/>
          </w:divBdr>
        </w:div>
        <w:div w:id="1413552935">
          <w:marLeft w:val="144"/>
          <w:marRight w:val="0"/>
          <w:marTop w:val="240"/>
          <w:marBottom w:val="40"/>
          <w:divBdr>
            <w:top w:val="none" w:sz="0" w:space="0" w:color="auto"/>
            <w:left w:val="none" w:sz="0" w:space="0" w:color="auto"/>
            <w:bottom w:val="none" w:sz="0" w:space="0" w:color="auto"/>
            <w:right w:val="none" w:sz="0" w:space="0" w:color="auto"/>
          </w:divBdr>
        </w:div>
        <w:div w:id="1474443925">
          <w:marLeft w:val="144"/>
          <w:marRight w:val="0"/>
          <w:marTop w:val="240"/>
          <w:marBottom w:val="40"/>
          <w:divBdr>
            <w:top w:val="none" w:sz="0" w:space="0" w:color="auto"/>
            <w:left w:val="none" w:sz="0" w:space="0" w:color="auto"/>
            <w:bottom w:val="none" w:sz="0" w:space="0" w:color="auto"/>
            <w:right w:val="none" w:sz="0" w:space="0" w:color="auto"/>
          </w:divBdr>
        </w:div>
        <w:div w:id="1759399451">
          <w:marLeft w:val="144"/>
          <w:marRight w:val="0"/>
          <w:marTop w:val="240"/>
          <w:marBottom w:val="40"/>
          <w:divBdr>
            <w:top w:val="none" w:sz="0" w:space="0" w:color="auto"/>
            <w:left w:val="none" w:sz="0" w:space="0" w:color="auto"/>
            <w:bottom w:val="none" w:sz="0" w:space="0" w:color="auto"/>
            <w:right w:val="none" w:sz="0" w:space="0" w:color="auto"/>
          </w:divBdr>
        </w:div>
      </w:divsChild>
    </w:div>
    <w:div w:id="1829666362">
      <w:bodyDiv w:val="1"/>
      <w:marLeft w:val="0"/>
      <w:marRight w:val="0"/>
      <w:marTop w:val="0"/>
      <w:marBottom w:val="0"/>
      <w:divBdr>
        <w:top w:val="none" w:sz="0" w:space="0" w:color="auto"/>
        <w:left w:val="none" w:sz="0" w:space="0" w:color="auto"/>
        <w:bottom w:val="none" w:sz="0" w:space="0" w:color="auto"/>
        <w:right w:val="none" w:sz="0" w:space="0" w:color="auto"/>
      </w:divBdr>
      <w:divsChild>
        <w:div w:id="1919242622">
          <w:marLeft w:val="0"/>
          <w:marRight w:val="0"/>
          <w:marTop w:val="0"/>
          <w:marBottom w:val="0"/>
          <w:divBdr>
            <w:top w:val="none" w:sz="0" w:space="0" w:color="auto"/>
            <w:left w:val="none" w:sz="0" w:space="0" w:color="auto"/>
            <w:bottom w:val="none" w:sz="0" w:space="0" w:color="auto"/>
            <w:right w:val="none" w:sz="0" w:space="0" w:color="auto"/>
          </w:divBdr>
        </w:div>
      </w:divsChild>
    </w:div>
    <w:div w:id="1840121968">
      <w:bodyDiv w:val="1"/>
      <w:marLeft w:val="0"/>
      <w:marRight w:val="0"/>
      <w:marTop w:val="0"/>
      <w:marBottom w:val="0"/>
      <w:divBdr>
        <w:top w:val="none" w:sz="0" w:space="0" w:color="auto"/>
        <w:left w:val="none" w:sz="0" w:space="0" w:color="auto"/>
        <w:bottom w:val="none" w:sz="0" w:space="0" w:color="auto"/>
        <w:right w:val="none" w:sz="0" w:space="0" w:color="auto"/>
      </w:divBdr>
      <w:divsChild>
        <w:div w:id="1893728422">
          <w:marLeft w:val="0"/>
          <w:marRight w:val="0"/>
          <w:marTop w:val="0"/>
          <w:marBottom w:val="0"/>
          <w:divBdr>
            <w:top w:val="none" w:sz="0" w:space="0" w:color="auto"/>
            <w:left w:val="none" w:sz="0" w:space="0" w:color="auto"/>
            <w:bottom w:val="none" w:sz="0" w:space="0" w:color="auto"/>
            <w:right w:val="none" w:sz="0" w:space="0" w:color="auto"/>
          </w:divBdr>
          <w:divsChild>
            <w:div w:id="212738799">
              <w:marLeft w:val="0"/>
              <w:marRight w:val="0"/>
              <w:marTop w:val="0"/>
              <w:marBottom w:val="0"/>
              <w:divBdr>
                <w:top w:val="none" w:sz="0" w:space="0" w:color="auto"/>
                <w:left w:val="none" w:sz="0" w:space="0" w:color="auto"/>
                <w:bottom w:val="none" w:sz="0" w:space="0" w:color="auto"/>
                <w:right w:val="none" w:sz="0" w:space="0" w:color="auto"/>
              </w:divBdr>
            </w:div>
            <w:div w:id="733889032">
              <w:marLeft w:val="0"/>
              <w:marRight w:val="0"/>
              <w:marTop w:val="0"/>
              <w:marBottom w:val="0"/>
              <w:divBdr>
                <w:top w:val="none" w:sz="0" w:space="0" w:color="auto"/>
                <w:left w:val="none" w:sz="0" w:space="0" w:color="auto"/>
                <w:bottom w:val="none" w:sz="0" w:space="0" w:color="auto"/>
                <w:right w:val="none" w:sz="0" w:space="0" w:color="auto"/>
              </w:divBdr>
            </w:div>
            <w:div w:id="795804822">
              <w:marLeft w:val="0"/>
              <w:marRight w:val="0"/>
              <w:marTop w:val="0"/>
              <w:marBottom w:val="0"/>
              <w:divBdr>
                <w:top w:val="none" w:sz="0" w:space="0" w:color="auto"/>
                <w:left w:val="none" w:sz="0" w:space="0" w:color="auto"/>
                <w:bottom w:val="none" w:sz="0" w:space="0" w:color="auto"/>
                <w:right w:val="none" w:sz="0" w:space="0" w:color="auto"/>
              </w:divBdr>
            </w:div>
            <w:div w:id="806628438">
              <w:marLeft w:val="0"/>
              <w:marRight w:val="0"/>
              <w:marTop w:val="0"/>
              <w:marBottom w:val="0"/>
              <w:divBdr>
                <w:top w:val="none" w:sz="0" w:space="0" w:color="auto"/>
                <w:left w:val="none" w:sz="0" w:space="0" w:color="auto"/>
                <w:bottom w:val="none" w:sz="0" w:space="0" w:color="auto"/>
                <w:right w:val="none" w:sz="0" w:space="0" w:color="auto"/>
              </w:divBdr>
            </w:div>
            <w:div w:id="1044476790">
              <w:marLeft w:val="0"/>
              <w:marRight w:val="0"/>
              <w:marTop w:val="0"/>
              <w:marBottom w:val="0"/>
              <w:divBdr>
                <w:top w:val="none" w:sz="0" w:space="0" w:color="auto"/>
                <w:left w:val="none" w:sz="0" w:space="0" w:color="auto"/>
                <w:bottom w:val="none" w:sz="0" w:space="0" w:color="auto"/>
                <w:right w:val="none" w:sz="0" w:space="0" w:color="auto"/>
              </w:divBdr>
            </w:div>
            <w:div w:id="1303267142">
              <w:marLeft w:val="0"/>
              <w:marRight w:val="0"/>
              <w:marTop w:val="0"/>
              <w:marBottom w:val="0"/>
              <w:divBdr>
                <w:top w:val="none" w:sz="0" w:space="0" w:color="auto"/>
                <w:left w:val="none" w:sz="0" w:space="0" w:color="auto"/>
                <w:bottom w:val="none" w:sz="0" w:space="0" w:color="auto"/>
                <w:right w:val="none" w:sz="0" w:space="0" w:color="auto"/>
              </w:divBdr>
            </w:div>
            <w:div w:id="1419063278">
              <w:marLeft w:val="0"/>
              <w:marRight w:val="0"/>
              <w:marTop w:val="0"/>
              <w:marBottom w:val="0"/>
              <w:divBdr>
                <w:top w:val="none" w:sz="0" w:space="0" w:color="auto"/>
                <w:left w:val="none" w:sz="0" w:space="0" w:color="auto"/>
                <w:bottom w:val="none" w:sz="0" w:space="0" w:color="auto"/>
                <w:right w:val="none" w:sz="0" w:space="0" w:color="auto"/>
              </w:divBdr>
            </w:div>
            <w:div w:id="1460995778">
              <w:marLeft w:val="0"/>
              <w:marRight w:val="0"/>
              <w:marTop w:val="0"/>
              <w:marBottom w:val="0"/>
              <w:divBdr>
                <w:top w:val="none" w:sz="0" w:space="0" w:color="auto"/>
                <w:left w:val="none" w:sz="0" w:space="0" w:color="auto"/>
                <w:bottom w:val="none" w:sz="0" w:space="0" w:color="auto"/>
                <w:right w:val="none" w:sz="0" w:space="0" w:color="auto"/>
              </w:divBdr>
            </w:div>
            <w:div w:id="1557007488">
              <w:marLeft w:val="0"/>
              <w:marRight w:val="0"/>
              <w:marTop w:val="0"/>
              <w:marBottom w:val="0"/>
              <w:divBdr>
                <w:top w:val="none" w:sz="0" w:space="0" w:color="auto"/>
                <w:left w:val="none" w:sz="0" w:space="0" w:color="auto"/>
                <w:bottom w:val="none" w:sz="0" w:space="0" w:color="auto"/>
                <w:right w:val="none" w:sz="0" w:space="0" w:color="auto"/>
              </w:divBdr>
            </w:div>
            <w:div w:id="19345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90340">
      <w:bodyDiv w:val="1"/>
      <w:marLeft w:val="0"/>
      <w:marRight w:val="0"/>
      <w:marTop w:val="0"/>
      <w:marBottom w:val="0"/>
      <w:divBdr>
        <w:top w:val="none" w:sz="0" w:space="0" w:color="auto"/>
        <w:left w:val="none" w:sz="0" w:space="0" w:color="auto"/>
        <w:bottom w:val="none" w:sz="0" w:space="0" w:color="auto"/>
        <w:right w:val="none" w:sz="0" w:space="0" w:color="auto"/>
      </w:divBdr>
    </w:div>
    <w:div w:id="1840539611">
      <w:bodyDiv w:val="1"/>
      <w:marLeft w:val="0"/>
      <w:marRight w:val="0"/>
      <w:marTop w:val="0"/>
      <w:marBottom w:val="0"/>
      <w:divBdr>
        <w:top w:val="none" w:sz="0" w:space="0" w:color="auto"/>
        <w:left w:val="none" w:sz="0" w:space="0" w:color="auto"/>
        <w:bottom w:val="none" w:sz="0" w:space="0" w:color="auto"/>
        <w:right w:val="none" w:sz="0" w:space="0" w:color="auto"/>
      </w:divBdr>
      <w:divsChild>
        <w:div w:id="1652371312">
          <w:marLeft w:val="0"/>
          <w:marRight w:val="0"/>
          <w:marTop w:val="0"/>
          <w:marBottom w:val="0"/>
          <w:divBdr>
            <w:top w:val="none" w:sz="0" w:space="0" w:color="auto"/>
            <w:left w:val="none" w:sz="0" w:space="0" w:color="auto"/>
            <w:bottom w:val="none" w:sz="0" w:space="0" w:color="auto"/>
            <w:right w:val="none" w:sz="0" w:space="0" w:color="auto"/>
          </w:divBdr>
        </w:div>
      </w:divsChild>
    </w:div>
    <w:div w:id="1841461071">
      <w:bodyDiv w:val="1"/>
      <w:marLeft w:val="0"/>
      <w:marRight w:val="0"/>
      <w:marTop w:val="0"/>
      <w:marBottom w:val="0"/>
      <w:divBdr>
        <w:top w:val="none" w:sz="0" w:space="0" w:color="auto"/>
        <w:left w:val="none" w:sz="0" w:space="0" w:color="auto"/>
        <w:bottom w:val="none" w:sz="0" w:space="0" w:color="auto"/>
        <w:right w:val="none" w:sz="0" w:space="0" w:color="auto"/>
      </w:divBdr>
      <w:divsChild>
        <w:div w:id="727336327">
          <w:marLeft w:val="0"/>
          <w:marRight w:val="0"/>
          <w:marTop w:val="0"/>
          <w:marBottom w:val="0"/>
          <w:divBdr>
            <w:top w:val="none" w:sz="0" w:space="0" w:color="auto"/>
            <w:left w:val="none" w:sz="0" w:space="0" w:color="auto"/>
            <w:bottom w:val="none" w:sz="0" w:space="0" w:color="auto"/>
            <w:right w:val="none" w:sz="0" w:space="0" w:color="auto"/>
          </w:divBdr>
        </w:div>
      </w:divsChild>
    </w:div>
    <w:div w:id="1846287653">
      <w:bodyDiv w:val="1"/>
      <w:marLeft w:val="0"/>
      <w:marRight w:val="0"/>
      <w:marTop w:val="0"/>
      <w:marBottom w:val="0"/>
      <w:divBdr>
        <w:top w:val="none" w:sz="0" w:space="0" w:color="auto"/>
        <w:left w:val="none" w:sz="0" w:space="0" w:color="auto"/>
        <w:bottom w:val="none" w:sz="0" w:space="0" w:color="auto"/>
        <w:right w:val="none" w:sz="0" w:space="0" w:color="auto"/>
      </w:divBdr>
    </w:div>
    <w:div w:id="1851597757">
      <w:bodyDiv w:val="1"/>
      <w:marLeft w:val="0"/>
      <w:marRight w:val="0"/>
      <w:marTop w:val="0"/>
      <w:marBottom w:val="0"/>
      <w:divBdr>
        <w:top w:val="none" w:sz="0" w:space="0" w:color="auto"/>
        <w:left w:val="none" w:sz="0" w:space="0" w:color="auto"/>
        <w:bottom w:val="none" w:sz="0" w:space="0" w:color="auto"/>
        <w:right w:val="none" w:sz="0" w:space="0" w:color="auto"/>
      </w:divBdr>
    </w:div>
    <w:div w:id="1857889325">
      <w:bodyDiv w:val="1"/>
      <w:marLeft w:val="0"/>
      <w:marRight w:val="0"/>
      <w:marTop w:val="0"/>
      <w:marBottom w:val="0"/>
      <w:divBdr>
        <w:top w:val="none" w:sz="0" w:space="0" w:color="auto"/>
        <w:left w:val="none" w:sz="0" w:space="0" w:color="auto"/>
        <w:bottom w:val="none" w:sz="0" w:space="0" w:color="auto"/>
        <w:right w:val="none" w:sz="0" w:space="0" w:color="auto"/>
      </w:divBdr>
      <w:divsChild>
        <w:div w:id="1746872512">
          <w:marLeft w:val="0"/>
          <w:marRight w:val="0"/>
          <w:marTop w:val="0"/>
          <w:marBottom w:val="0"/>
          <w:divBdr>
            <w:top w:val="none" w:sz="0" w:space="0" w:color="auto"/>
            <w:left w:val="none" w:sz="0" w:space="0" w:color="auto"/>
            <w:bottom w:val="none" w:sz="0" w:space="0" w:color="auto"/>
            <w:right w:val="none" w:sz="0" w:space="0" w:color="auto"/>
          </w:divBdr>
        </w:div>
      </w:divsChild>
    </w:div>
    <w:div w:id="1861427563">
      <w:bodyDiv w:val="1"/>
      <w:marLeft w:val="0"/>
      <w:marRight w:val="0"/>
      <w:marTop w:val="0"/>
      <w:marBottom w:val="0"/>
      <w:divBdr>
        <w:top w:val="none" w:sz="0" w:space="0" w:color="auto"/>
        <w:left w:val="none" w:sz="0" w:space="0" w:color="auto"/>
        <w:bottom w:val="none" w:sz="0" w:space="0" w:color="auto"/>
        <w:right w:val="none" w:sz="0" w:space="0" w:color="auto"/>
      </w:divBdr>
    </w:div>
    <w:div w:id="1863081522">
      <w:bodyDiv w:val="1"/>
      <w:marLeft w:val="0"/>
      <w:marRight w:val="0"/>
      <w:marTop w:val="0"/>
      <w:marBottom w:val="0"/>
      <w:divBdr>
        <w:top w:val="none" w:sz="0" w:space="0" w:color="auto"/>
        <w:left w:val="none" w:sz="0" w:space="0" w:color="auto"/>
        <w:bottom w:val="none" w:sz="0" w:space="0" w:color="auto"/>
        <w:right w:val="none" w:sz="0" w:space="0" w:color="auto"/>
      </w:divBdr>
      <w:divsChild>
        <w:div w:id="116261421">
          <w:marLeft w:val="547"/>
          <w:marRight w:val="0"/>
          <w:marTop w:val="200"/>
          <w:marBottom w:val="0"/>
          <w:divBdr>
            <w:top w:val="none" w:sz="0" w:space="0" w:color="auto"/>
            <w:left w:val="none" w:sz="0" w:space="0" w:color="auto"/>
            <w:bottom w:val="none" w:sz="0" w:space="0" w:color="auto"/>
            <w:right w:val="none" w:sz="0" w:space="0" w:color="auto"/>
          </w:divBdr>
        </w:div>
        <w:div w:id="145050507">
          <w:marLeft w:val="547"/>
          <w:marRight w:val="0"/>
          <w:marTop w:val="200"/>
          <w:marBottom w:val="0"/>
          <w:divBdr>
            <w:top w:val="none" w:sz="0" w:space="0" w:color="auto"/>
            <w:left w:val="none" w:sz="0" w:space="0" w:color="auto"/>
            <w:bottom w:val="none" w:sz="0" w:space="0" w:color="auto"/>
            <w:right w:val="none" w:sz="0" w:space="0" w:color="auto"/>
          </w:divBdr>
        </w:div>
        <w:div w:id="203101815">
          <w:marLeft w:val="547"/>
          <w:marRight w:val="0"/>
          <w:marTop w:val="200"/>
          <w:marBottom w:val="0"/>
          <w:divBdr>
            <w:top w:val="none" w:sz="0" w:space="0" w:color="auto"/>
            <w:left w:val="none" w:sz="0" w:space="0" w:color="auto"/>
            <w:bottom w:val="none" w:sz="0" w:space="0" w:color="auto"/>
            <w:right w:val="none" w:sz="0" w:space="0" w:color="auto"/>
          </w:divBdr>
        </w:div>
        <w:div w:id="1794595072">
          <w:marLeft w:val="547"/>
          <w:marRight w:val="0"/>
          <w:marTop w:val="200"/>
          <w:marBottom w:val="0"/>
          <w:divBdr>
            <w:top w:val="none" w:sz="0" w:space="0" w:color="auto"/>
            <w:left w:val="none" w:sz="0" w:space="0" w:color="auto"/>
            <w:bottom w:val="none" w:sz="0" w:space="0" w:color="auto"/>
            <w:right w:val="none" w:sz="0" w:space="0" w:color="auto"/>
          </w:divBdr>
        </w:div>
        <w:div w:id="2108234888">
          <w:marLeft w:val="547"/>
          <w:marRight w:val="0"/>
          <w:marTop w:val="200"/>
          <w:marBottom w:val="0"/>
          <w:divBdr>
            <w:top w:val="none" w:sz="0" w:space="0" w:color="auto"/>
            <w:left w:val="none" w:sz="0" w:space="0" w:color="auto"/>
            <w:bottom w:val="none" w:sz="0" w:space="0" w:color="auto"/>
            <w:right w:val="none" w:sz="0" w:space="0" w:color="auto"/>
          </w:divBdr>
        </w:div>
      </w:divsChild>
    </w:div>
    <w:div w:id="1872381283">
      <w:bodyDiv w:val="1"/>
      <w:marLeft w:val="0"/>
      <w:marRight w:val="0"/>
      <w:marTop w:val="0"/>
      <w:marBottom w:val="0"/>
      <w:divBdr>
        <w:top w:val="none" w:sz="0" w:space="0" w:color="auto"/>
        <w:left w:val="none" w:sz="0" w:space="0" w:color="auto"/>
        <w:bottom w:val="none" w:sz="0" w:space="0" w:color="auto"/>
        <w:right w:val="none" w:sz="0" w:space="0" w:color="auto"/>
      </w:divBdr>
    </w:div>
    <w:div w:id="1875070866">
      <w:bodyDiv w:val="1"/>
      <w:marLeft w:val="0"/>
      <w:marRight w:val="0"/>
      <w:marTop w:val="0"/>
      <w:marBottom w:val="0"/>
      <w:divBdr>
        <w:top w:val="none" w:sz="0" w:space="0" w:color="auto"/>
        <w:left w:val="none" w:sz="0" w:space="0" w:color="auto"/>
        <w:bottom w:val="none" w:sz="0" w:space="0" w:color="auto"/>
        <w:right w:val="none" w:sz="0" w:space="0" w:color="auto"/>
      </w:divBdr>
    </w:div>
    <w:div w:id="1875463104">
      <w:bodyDiv w:val="1"/>
      <w:marLeft w:val="0"/>
      <w:marRight w:val="0"/>
      <w:marTop w:val="0"/>
      <w:marBottom w:val="0"/>
      <w:divBdr>
        <w:top w:val="none" w:sz="0" w:space="0" w:color="auto"/>
        <w:left w:val="none" w:sz="0" w:space="0" w:color="auto"/>
        <w:bottom w:val="none" w:sz="0" w:space="0" w:color="auto"/>
        <w:right w:val="none" w:sz="0" w:space="0" w:color="auto"/>
      </w:divBdr>
    </w:div>
    <w:div w:id="1889798151">
      <w:bodyDiv w:val="1"/>
      <w:marLeft w:val="0"/>
      <w:marRight w:val="0"/>
      <w:marTop w:val="0"/>
      <w:marBottom w:val="0"/>
      <w:divBdr>
        <w:top w:val="none" w:sz="0" w:space="0" w:color="auto"/>
        <w:left w:val="none" w:sz="0" w:space="0" w:color="auto"/>
        <w:bottom w:val="none" w:sz="0" w:space="0" w:color="auto"/>
        <w:right w:val="none" w:sz="0" w:space="0" w:color="auto"/>
      </w:divBdr>
      <w:divsChild>
        <w:div w:id="11877465">
          <w:marLeft w:val="0"/>
          <w:marRight w:val="0"/>
          <w:marTop w:val="0"/>
          <w:marBottom w:val="0"/>
          <w:divBdr>
            <w:top w:val="none" w:sz="0" w:space="0" w:color="auto"/>
            <w:left w:val="none" w:sz="0" w:space="0" w:color="auto"/>
            <w:bottom w:val="none" w:sz="0" w:space="0" w:color="auto"/>
            <w:right w:val="none" w:sz="0" w:space="0" w:color="auto"/>
          </w:divBdr>
        </w:div>
        <w:div w:id="829638053">
          <w:marLeft w:val="0"/>
          <w:marRight w:val="0"/>
          <w:marTop w:val="0"/>
          <w:marBottom w:val="0"/>
          <w:divBdr>
            <w:top w:val="none" w:sz="0" w:space="0" w:color="auto"/>
            <w:left w:val="none" w:sz="0" w:space="0" w:color="auto"/>
            <w:bottom w:val="none" w:sz="0" w:space="0" w:color="auto"/>
            <w:right w:val="none" w:sz="0" w:space="0" w:color="auto"/>
          </w:divBdr>
        </w:div>
        <w:div w:id="1824930863">
          <w:marLeft w:val="0"/>
          <w:marRight w:val="0"/>
          <w:marTop w:val="0"/>
          <w:marBottom w:val="0"/>
          <w:divBdr>
            <w:top w:val="none" w:sz="0" w:space="0" w:color="auto"/>
            <w:left w:val="none" w:sz="0" w:space="0" w:color="auto"/>
            <w:bottom w:val="none" w:sz="0" w:space="0" w:color="auto"/>
            <w:right w:val="none" w:sz="0" w:space="0" w:color="auto"/>
          </w:divBdr>
        </w:div>
      </w:divsChild>
    </w:div>
    <w:div w:id="1899976865">
      <w:bodyDiv w:val="1"/>
      <w:marLeft w:val="0"/>
      <w:marRight w:val="0"/>
      <w:marTop w:val="0"/>
      <w:marBottom w:val="0"/>
      <w:divBdr>
        <w:top w:val="none" w:sz="0" w:space="0" w:color="auto"/>
        <w:left w:val="none" w:sz="0" w:space="0" w:color="auto"/>
        <w:bottom w:val="none" w:sz="0" w:space="0" w:color="auto"/>
        <w:right w:val="none" w:sz="0" w:space="0" w:color="auto"/>
      </w:divBdr>
      <w:divsChild>
        <w:div w:id="1576163387">
          <w:marLeft w:val="0"/>
          <w:marRight w:val="0"/>
          <w:marTop w:val="0"/>
          <w:marBottom w:val="0"/>
          <w:divBdr>
            <w:top w:val="none" w:sz="0" w:space="0" w:color="auto"/>
            <w:left w:val="none" w:sz="0" w:space="0" w:color="auto"/>
            <w:bottom w:val="none" w:sz="0" w:space="0" w:color="auto"/>
            <w:right w:val="none" w:sz="0" w:space="0" w:color="auto"/>
          </w:divBdr>
        </w:div>
      </w:divsChild>
    </w:div>
    <w:div w:id="1904833850">
      <w:bodyDiv w:val="1"/>
      <w:marLeft w:val="0"/>
      <w:marRight w:val="0"/>
      <w:marTop w:val="0"/>
      <w:marBottom w:val="0"/>
      <w:divBdr>
        <w:top w:val="none" w:sz="0" w:space="0" w:color="auto"/>
        <w:left w:val="none" w:sz="0" w:space="0" w:color="auto"/>
        <w:bottom w:val="none" w:sz="0" w:space="0" w:color="auto"/>
        <w:right w:val="none" w:sz="0" w:space="0" w:color="auto"/>
      </w:divBdr>
      <w:divsChild>
        <w:div w:id="31465927">
          <w:marLeft w:val="144"/>
          <w:marRight w:val="0"/>
          <w:marTop w:val="240"/>
          <w:marBottom w:val="40"/>
          <w:divBdr>
            <w:top w:val="none" w:sz="0" w:space="0" w:color="auto"/>
            <w:left w:val="none" w:sz="0" w:space="0" w:color="auto"/>
            <w:bottom w:val="none" w:sz="0" w:space="0" w:color="auto"/>
            <w:right w:val="none" w:sz="0" w:space="0" w:color="auto"/>
          </w:divBdr>
        </w:div>
      </w:divsChild>
    </w:div>
    <w:div w:id="1916429289">
      <w:bodyDiv w:val="1"/>
      <w:marLeft w:val="0"/>
      <w:marRight w:val="0"/>
      <w:marTop w:val="0"/>
      <w:marBottom w:val="0"/>
      <w:divBdr>
        <w:top w:val="none" w:sz="0" w:space="0" w:color="auto"/>
        <w:left w:val="none" w:sz="0" w:space="0" w:color="auto"/>
        <w:bottom w:val="none" w:sz="0" w:space="0" w:color="auto"/>
        <w:right w:val="none" w:sz="0" w:space="0" w:color="auto"/>
      </w:divBdr>
    </w:div>
    <w:div w:id="1918324054">
      <w:bodyDiv w:val="1"/>
      <w:marLeft w:val="0"/>
      <w:marRight w:val="0"/>
      <w:marTop w:val="0"/>
      <w:marBottom w:val="0"/>
      <w:divBdr>
        <w:top w:val="none" w:sz="0" w:space="0" w:color="auto"/>
        <w:left w:val="none" w:sz="0" w:space="0" w:color="auto"/>
        <w:bottom w:val="none" w:sz="0" w:space="0" w:color="auto"/>
        <w:right w:val="none" w:sz="0" w:space="0" w:color="auto"/>
      </w:divBdr>
    </w:div>
    <w:div w:id="1919172475">
      <w:bodyDiv w:val="1"/>
      <w:marLeft w:val="0"/>
      <w:marRight w:val="0"/>
      <w:marTop w:val="0"/>
      <w:marBottom w:val="0"/>
      <w:divBdr>
        <w:top w:val="none" w:sz="0" w:space="0" w:color="auto"/>
        <w:left w:val="none" w:sz="0" w:space="0" w:color="auto"/>
        <w:bottom w:val="none" w:sz="0" w:space="0" w:color="auto"/>
        <w:right w:val="none" w:sz="0" w:space="0" w:color="auto"/>
      </w:divBdr>
      <w:divsChild>
        <w:div w:id="1686635860">
          <w:marLeft w:val="144"/>
          <w:marRight w:val="0"/>
          <w:marTop w:val="240"/>
          <w:marBottom w:val="40"/>
          <w:divBdr>
            <w:top w:val="none" w:sz="0" w:space="0" w:color="auto"/>
            <w:left w:val="none" w:sz="0" w:space="0" w:color="auto"/>
            <w:bottom w:val="none" w:sz="0" w:space="0" w:color="auto"/>
            <w:right w:val="none" w:sz="0" w:space="0" w:color="auto"/>
          </w:divBdr>
        </w:div>
      </w:divsChild>
    </w:div>
    <w:div w:id="1934584002">
      <w:bodyDiv w:val="1"/>
      <w:marLeft w:val="0"/>
      <w:marRight w:val="0"/>
      <w:marTop w:val="0"/>
      <w:marBottom w:val="0"/>
      <w:divBdr>
        <w:top w:val="none" w:sz="0" w:space="0" w:color="auto"/>
        <w:left w:val="none" w:sz="0" w:space="0" w:color="auto"/>
        <w:bottom w:val="none" w:sz="0" w:space="0" w:color="auto"/>
        <w:right w:val="none" w:sz="0" w:space="0" w:color="auto"/>
      </w:divBdr>
    </w:div>
    <w:div w:id="1941913718">
      <w:bodyDiv w:val="1"/>
      <w:marLeft w:val="0"/>
      <w:marRight w:val="0"/>
      <w:marTop w:val="0"/>
      <w:marBottom w:val="0"/>
      <w:divBdr>
        <w:top w:val="none" w:sz="0" w:space="0" w:color="auto"/>
        <w:left w:val="none" w:sz="0" w:space="0" w:color="auto"/>
        <w:bottom w:val="none" w:sz="0" w:space="0" w:color="auto"/>
        <w:right w:val="none" w:sz="0" w:space="0" w:color="auto"/>
      </w:divBdr>
    </w:div>
    <w:div w:id="1943493372">
      <w:bodyDiv w:val="1"/>
      <w:marLeft w:val="0"/>
      <w:marRight w:val="0"/>
      <w:marTop w:val="0"/>
      <w:marBottom w:val="0"/>
      <w:divBdr>
        <w:top w:val="none" w:sz="0" w:space="0" w:color="auto"/>
        <w:left w:val="none" w:sz="0" w:space="0" w:color="auto"/>
        <w:bottom w:val="none" w:sz="0" w:space="0" w:color="auto"/>
        <w:right w:val="none" w:sz="0" w:space="0" w:color="auto"/>
      </w:divBdr>
    </w:div>
    <w:div w:id="1945192273">
      <w:bodyDiv w:val="1"/>
      <w:marLeft w:val="0"/>
      <w:marRight w:val="0"/>
      <w:marTop w:val="0"/>
      <w:marBottom w:val="0"/>
      <w:divBdr>
        <w:top w:val="none" w:sz="0" w:space="0" w:color="auto"/>
        <w:left w:val="none" w:sz="0" w:space="0" w:color="auto"/>
        <w:bottom w:val="none" w:sz="0" w:space="0" w:color="auto"/>
        <w:right w:val="none" w:sz="0" w:space="0" w:color="auto"/>
      </w:divBdr>
      <w:divsChild>
        <w:div w:id="1170828025">
          <w:marLeft w:val="0"/>
          <w:marRight w:val="0"/>
          <w:marTop w:val="0"/>
          <w:marBottom w:val="0"/>
          <w:divBdr>
            <w:top w:val="none" w:sz="0" w:space="0" w:color="auto"/>
            <w:left w:val="none" w:sz="0" w:space="0" w:color="auto"/>
            <w:bottom w:val="none" w:sz="0" w:space="0" w:color="auto"/>
            <w:right w:val="none" w:sz="0" w:space="0" w:color="auto"/>
          </w:divBdr>
        </w:div>
      </w:divsChild>
    </w:div>
    <w:div w:id="1946226640">
      <w:bodyDiv w:val="1"/>
      <w:marLeft w:val="0"/>
      <w:marRight w:val="0"/>
      <w:marTop w:val="0"/>
      <w:marBottom w:val="0"/>
      <w:divBdr>
        <w:top w:val="none" w:sz="0" w:space="0" w:color="auto"/>
        <w:left w:val="none" w:sz="0" w:space="0" w:color="auto"/>
        <w:bottom w:val="none" w:sz="0" w:space="0" w:color="auto"/>
        <w:right w:val="none" w:sz="0" w:space="0" w:color="auto"/>
      </w:divBdr>
    </w:div>
    <w:div w:id="1949851569">
      <w:bodyDiv w:val="1"/>
      <w:marLeft w:val="0"/>
      <w:marRight w:val="0"/>
      <w:marTop w:val="0"/>
      <w:marBottom w:val="0"/>
      <w:divBdr>
        <w:top w:val="none" w:sz="0" w:space="0" w:color="auto"/>
        <w:left w:val="none" w:sz="0" w:space="0" w:color="auto"/>
        <w:bottom w:val="none" w:sz="0" w:space="0" w:color="auto"/>
        <w:right w:val="none" w:sz="0" w:space="0" w:color="auto"/>
      </w:divBdr>
      <w:divsChild>
        <w:div w:id="1835142234">
          <w:marLeft w:val="0"/>
          <w:marRight w:val="0"/>
          <w:marTop w:val="0"/>
          <w:marBottom w:val="0"/>
          <w:divBdr>
            <w:top w:val="none" w:sz="0" w:space="0" w:color="auto"/>
            <w:left w:val="none" w:sz="0" w:space="0" w:color="auto"/>
            <w:bottom w:val="none" w:sz="0" w:space="0" w:color="auto"/>
            <w:right w:val="none" w:sz="0" w:space="0" w:color="auto"/>
          </w:divBdr>
        </w:div>
      </w:divsChild>
    </w:div>
    <w:div w:id="1955867626">
      <w:bodyDiv w:val="1"/>
      <w:marLeft w:val="0"/>
      <w:marRight w:val="0"/>
      <w:marTop w:val="0"/>
      <w:marBottom w:val="0"/>
      <w:divBdr>
        <w:top w:val="none" w:sz="0" w:space="0" w:color="auto"/>
        <w:left w:val="none" w:sz="0" w:space="0" w:color="auto"/>
        <w:bottom w:val="none" w:sz="0" w:space="0" w:color="auto"/>
        <w:right w:val="none" w:sz="0" w:space="0" w:color="auto"/>
      </w:divBdr>
      <w:divsChild>
        <w:div w:id="184029153">
          <w:marLeft w:val="0"/>
          <w:marRight w:val="0"/>
          <w:marTop w:val="0"/>
          <w:marBottom w:val="0"/>
          <w:divBdr>
            <w:top w:val="none" w:sz="0" w:space="0" w:color="auto"/>
            <w:left w:val="none" w:sz="0" w:space="0" w:color="auto"/>
            <w:bottom w:val="none" w:sz="0" w:space="0" w:color="auto"/>
            <w:right w:val="none" w:sz="0" w:space="0" w:color="auto"/>
          </w:divBdr>
        </w:div>
        <w:div w:id="584069918">
          <w:marLeft w:val="0"/>
          <w:marRight w:val="0"/>
          <w:marTop w:val="0"/>
          <w:marBottom w:val="0"/>
          <w:divBdr>
            <w:top w:val="none" w:sz="0" w:space="0" w:color="auto"/>
            <w:left w:val="none" w:sz="0" w:space="0" w:color="auto"/>
            <w:bottom w:val="none" w:sz="0" w:space="0" w:color="auto"/>
            <w:right w:val="none" w:sz="0" w:space="0" w:color="auto"/>
          </w:divBdr>
        </w:div>
        <w:div w:id="899365411">
          <w:marLeft w:val="0"/>
          <w:marRight w:val="0"/>
          <w:marTop w:val="0"/>
          <w:marBottom w:val="0"/>
          <w:divBdr>
            <w:top w:val="none" w:sz="0" w:space="0" w:color="auto"/>
            <w:left w:val="none" w:sz="0" w:space="0" w:color="auto"/>
            <w:bottom w:val="none" w:sz="0" w:space="0" w:color="auto"/>
            <w:right w:val="none" w:sz="0" w:space="0" w:color="auto"/>
          </w:divBdr>
        </w:div>
        <w:div w:id="1110472276">
          <w:marLeft w:val="0"/>
          <w:marRight w:val="0"/>
          <w:marTop w:val="0"/>
          <w:marBottom w:val="0"/>
          <w:divBdr>
            <w:top w:val="none" w:sz="0" w:space="0" w:color="auto"/>
            <w:left w:val="none" w:sz="0" w:space="0" w:color="auto"/>
            <w:bottom w:val="none" w:sz="0" w:space="0" w:color="auto"/>
            <w:right w:val="none" w:sz="0" w:space="0" w:color="auto"/>
          </w:divBdr>
        </w:div>
        <w:div w:id="1222864787">
          <w:marLeft w:val="0"/>
          <w:marRight w:val="0"/>
          <w:marTop w:val="0"/>
          <w:marBottom w:val="0"/>
          <w:divBdr>
            <w:top w:val="none" w:sz="0" w:space="0" w:color="auto"/>
            <w:left w:val="none" w:sz="0" w:space="0" w:color="auto"/>
            <w:bottom w:val="none" w:sz="0" w:space="0" w:color="auto"/>
            <w:right w:val="none" w:sz="0" w:space="0" w:color="auto"/>
          </w:divBdr>
        </w:div>
        <w:div w:id="1457718203">
          <w:marLeft w:val="0"/>
          <w:marRight w:val="0"/>
          <w:marTop w:val="0"/>
          <w:marBottom w:val="0"/>
          <w:divBdr>
            <w:top w:val="none" w:sz="0" w:space="0" w:color="auto"/>
            <w:left w:val="none" w:sz="0" w:space="0" w:color="auto"/>
            <w:bottom w:val="none" w:sz="0" w:space="0" w:color="auto"/>
            <w:right w:val="none" w:sz="0" w:space="0" w:color="auto"/>
          </w:divBdr>
        </w:div>
        <w:div w:id="1733507870">
          <w:marLeft w:val="0"/>
          <w:marRight w:val="0"/>
          <w:marTop w:val="0"/>
          <w:marBottom w:val="0"/>
          <w:divBdr>
            <w:top w:val="none" w:sz="0" w:space="0" w:color="auto"/>
            <w:left w:val="none" w:sz="0" w:space="0" w:color="auto"/>
            <w:bottom w:val="none" w:sz="0" w:space="0" w:color="auto"/>
            <w:right w:val="none" w:sz="0" w:space="0" w:color="auto"/>
          </w:divBdr>
        </w:div>
        <w:div w:id="1952010755">
          <w:marLeft w:val="0"/>
          <w:marRight w:val="0"/>
          <w:marTop w:val="0"/>
          <w:marBottom w:val="0"/>
          <w:divBdr>
            <w:top w:val="none" w:sz="0" w:space="0" w:color="auto"/>
            <w:left w:val="none" w:sz="0" w:space="0" w:color="auto"/>
            <w:bottom w:val="none" w:sz="0" w:space="0" w:color="auto"/>
            <w:right w:val="none" w:sz="0" w:space="0" w:color="auto"/>
          </w:divBdr>
        </w:div>
      </w:divsChild>
    </w:div>
    <w:div w:id="1966741049">
      <w:bodyDiv w:val="1"/>
      <w:marLeft w:val="0"/>
      <w:marRight w:val="0"/>
      <w:marTop w:val="0"/>
      <w:marBottom w:val="0"/>
      <w:divBdr>
        <w:top w:val="none" w:sz="0" w:space="0" w:color="auto"/>
        <w:left w:val="none" w:sz="0" w:space="0" w:color="auto"/>
        <w:bottom w:val="none" w:sz="0" w:space="0" w:color="auto"/>
        <w:right w:val="none" w:sz="0" w:space="0" w:color="auto"/>
      </w:divBdr>
      <w:divsChild>
        <w:div w:id="1253978312">
          <w:marLeft w:val="0"/>
          <w:marRight w:val="0"/>
          <w:marTop w:val="0"/>
          <w:marBottom w:val="0"/>
          <w:divBdr>
            <w:top w:val="none" w:sz="0" w:space="0" w:color="auto"/>
            <w:left w:val="none" w:sz="0" w:space="0" w:color="auto"/>
            <w:bottom w:val="none" w:sz="0" w:space="0" w:color="auto"/>
            <w:right w:val="none" w:sz="0" w:space="0" w:color="auto"/>
          </w:divBdr>
        </w:div>
      </w:divsChild>
    </w:div>
    <w:div w:id="1979188368">
      <w:bodyDiv w:val="1"/>
      <w:marLeft w:val="0"/>
      <w:marRight w:val="0"/>
      <w:marTop w:val="0"/>
      <w:marBottom w:val="0"/>
      <w:divBdr>
        <w:top w:val="none" w:sz="0" w:space="0" w:color="auto"/>
        <w:left w:val="none" w:sz="0" w:space="0" w:color="auto"/>
        <w:bottom w:val="none" w:sz="0" w:space="0" w:color="auto"/>
        <w:right w:val="none" w:sz="0" w:space="0" w:color="auto"/>
      </w:divBdr>
      <w:divsChild>
        <w:div w:id="1867403313">
          <w:marLeft w:val="0"/>
          <w:marRight w:val="0"/>
          <w:marTop w:val="0"/>
          <w:marBottom w:val="0"/>
          <w:divBdr>
            <w:top w:val="none" w:sz="0" w:space="0" w:color="auto"/>
            <w:left w:val="none" w:sz="0" w:space="0" w:color="auto"/>
            <w:bottom w:val="none" w:sz="0" w:space="0" w:color="auto"/>
            <w:right w:val="none" w:sz="0" w:space="0" w:color="auto"/>
          </w:divBdr>
        </w:div>
      </w:divsChild>
    </w:div>
    <w:div w:id="1985743933">
      <w:bodyDiv w:val="1"/>
      <w:marLeft w:val="0"/>
      <w:marRight w:val="0"/>
      <w:marTop w:val="0"/>
      <w:marBottom w:val="0"/>
      <w:divBdr>
        <w:top w:val="none" w:sz="0" w:space="0" w:color="auto"/>
        <w:left w:val="none" w:sz="0" w:space="0" w:color="auto"/>
        <w:bottom w:val="none" w:sz="0" w:space="0" w:color="auto"/>
        <w:right w:val="none" w:sz="0" w:space="0" w:color="auto"/>
      </w:divBdr>
      <w:divsChild>
        <w:div w:id="1036851939">
          <w:marLeft w:val="0"/>
          <w:marRight w:val="0"/>
          <w:marTop w:val="0"/>
          <w:marBottom w:val="0"/>
          <w:divBdr>
            <w:top w:val="none" w:sz="0" w:space="0" w:color="auto"/>
            <w:left w:val="none" w:sz="0" w:space="0" w:color="auto"/>
            <w:bottom w:val="none" w:sz="0" w:space="0" w:color="auto"/>
            <w:right w:val="none" w:sz="0" w:space="0" w:color="auto"/>
          </w:divBdr>
        </w:div>
      </w:divsChild>
    </w:div>
    <w:div w:id="1986856188">
      <w:bodyDiv w:val="1"/>
      <w:marLeft w:val="0"/>
      <w:marRight w:val="0"/>
      <w:marTop w:val="0"/>
      <w:marBottom w:val="0"/>
      <w:divBdr>
        <w:top w:val="none" w:sz="0" w:space="0" w:color="auto"/>
        <w:left w:val="none" w:sz="0" w:space="0" w:color="auto"/>
        <w:bottom w:val="none" w:sz="0" w:space="0" w:color="auto"/>
        <w:right w:val="none" w:sz="0" w:space="0" w:color="auto"/>
      </w:divBdr>
      <w:divsChild>
        <w:div w:id="211305289">
          <w:marLeft w:val="547"/>
          <w:marRight w:val="0"/>
          <w:marTop w:val="200"/>
          <w:marBottom w:val="0"/>
          <w:divBdr>
            <w:top w:val="none" w:sz="0" w:space="0" w:color="auto"/>
            <w:left w:val="none" w:sz="0" w:space="0" w:color="auto"/>
            <w:bottom w:val="none" w:sz="0" w:space="0" w:color="auto"/>
            <w:right w:val="none" w:sz="0" w:space="0" w:color="auto"/>
          </w:divBdr>
        </w:div>
        <w:div w:id="679430668">
          <w:marLeft w:val="547"/>
          <w:marRight w:val="0"/>
          <w:marTop w:val="200"/>
          <w:marBottom w:val="0"/>
          <w:divBdr>
            <w:top w:val="none" w:sz="0" w:space="0" w:color="auto"/>
            <w:left w:val="none" w:sz="0" w:space="0" w:color="auto"/>
            <w:bottom w:val="none" w:sz="0" w:space="0" w:color="auto"/>
            <w:right w:val="none" w:sz="0" w:space="0" w:color="auto"/>
          </w:divBdr>
        </w:div>
        <w:div w:id="982193167">
          <w:marLeft w:val="547"/>
          <w:marRight w:val="0"/>
          <w:marTop w:val="200"/>
          <w:marBottom w:val="0"/>
          <w:divBdr>
            <w:top w:val="none" w:sz="0" w:space="0" w:color="auto"/>
            <w:left w:val="none" w:sz="0" w:space="0" w:color="auto"/>
            <w:bottom w:val="none" w:sz="0" w:space="0" w:color="auto"/>
            <w:right w:val="none" w:sz="0" w:space="0" w:color="auto"/>
          </w:divBdr>
        </w:div>
      </w:divsChild>
    </w:div>
    <w:div w:id="1986856705">
      <w:bodyDiv w:val="1"/>
      <w:marLeft w:val="0"/>
      <w:marRight w:val="0"/>
      <w:marTop w:val="0"/>
      <w:marBottom w:val="0"/>
      <w:divBdr>
        <w:top w:val="none" w:sz="0" w:space="0" w:color="auto"/>
        <w:left w:val="none" w:sz="0" w:space="0" w:color="auto"/>
        <w:bottom w:val="none" w:sz="0" w:space="0" w:color="auto"/>
        <w:right w:val="none" w:sz="0" w:space="0" w:color="auto"/>
      </w:divBdr>
      <w:divsChild>
        <w:div w:id="673188864">
          <w:marLeft w:val="0"/>
          <w:marRight w:val="0"/>
          <w:marTop w:val="0"/>
          <w:marBottom w:val="0"/>
          <w:divBdr>
            <w:top w:val="none" w:sz="0" w:space="0" w:color="auto"/>
            <w:left w:val="none" w:sz="0" w:space="0" w:color="auto"/>
            <w:bottom w:val="none" w:sz="0" w:space="0" w:color="auto"/>
            <w:right w:val="none" w:sz="0" w:space="0" w:color="auto"/>
          </w:divBdr>
          <w:divsChild>
            <w:div w:id="58407953">
              <w:marLeft w:val="0"/>
              <w:marRight w:val="0"/>
              <w:marTop w:val="0"/>
              <w:marBottom w:val="0"/>
              <w:divBdr>
                <w:top w:val="none" w:sz="0" w:space="0" w:color="auto"/>
                <w:left w:val="none" w:sz="0" w:space="0" w:color="auto"/>
                <w:bottom w:val="none" w:sz="0" w:space="0" w:color="auto"/>
                <w:right w:val="none" w:sz="0" w:space="0" w:color="auto"/>
              </w:divBdr>
            </w:div>
            <w:div w:id="198199797">
              <w:marLeft w:val="0"/>
              <w:marRight w:val="0"/>
              <w:marTop w:val="0"/>
              <w:marBottom w:val="0"/>
              <w:divBdr>
                <w:top w:val="none" w:sz="0" w:space="0" w:color="auto"/>
                <w:left w:val="none" w:sz="0" w:space="0" w:color="auto"/>
                <w:bottom w:val="none" w:sz="0" w:space="0" w:color="auto"/>
                <w:right w:val="none" w:sz="0" w:space="0" w:color="auto"/>
              </w:divBdr>
            </w:div>
            <w:div w:id="403726191">
              <w:marLeft w:val="0"/>
              <w:marRight w:val="0"/>
              <w:marTop w:val="0"/>
              <w:marBottom w:val="0"/>
              <w:divBdr>
                <w:top w:val="none" w:sz="0" w:space="0" w:color="auto"/>
                <w:left w:val="none" w:sz="0" w:space="0" w:color="auto"/>
                <w:bottom w:val="none" w:sz="0" w:space="0" w:color="auto"/>
                <w:right w:val="none" w:sz="0" w:space="0" w:color="auto"/>
              </w:divBdr>
            </w:div>
            <w:div w:id="427048398">
              <w:marLeft w:val="0"/>
              <w:marRight w:val="0"/>
              <w:marTop w:val="0"/>
              <w:marBottom w:val="0"/>
              <w:divBdr>
                <w:top w:val="none" w:sz="0" w:space="0" w:color="auto"/>
                <w:left w:val="none" w:sz="0" w:space="0" w:color="auto"/>
                <w:bottom w:val="none" w:sz="0" w:space="0" w:color="auto"/>
                <w:right w:val="none" w:sz="0" w:space="0" w:color="auto"/>
              </w:divBdr>
            </w:div>
            <w:div w:id="647053690">
              <w:marLeft w:val="0"/>
              <w:marRight w:val="0"/>
              <w:marTop w:val="0"/>
              <w:marBottom w:val="0"/>
              <w:divBdr>
                <w:top w:val="none" w:sz="0" w:space="0" w:color="auto"/>
                <w:left w:val="none" w:sz="0" w:space="0" w:color="auto"/>
                <w:bottom w:val="none" w:sz="0" w:space="0" w:color="auto"/>
                <w:right w:val="none" w:sz="0" w:space="0" w:color="auto"/>
              </w:divBdr>
            </w:div>
            <w:div w:id="850752920">
              <w:marLeft w:val="0"/>
              <w:marRight w:val="0"/>
              <w:marTop w:val="0"/>
              <w:marBottom w:val="0"/>
              <w:divBdr>
                <w:top w:val="none" w:sz="0" w:space="0" w:color="auto"/>
                <w:left w:val="none" w:sz="0" w:space="0" w:color="auto"/>
                <w:bottom w:val="none" w:sz="0" w:space="0" w:color="auto"/>
                <w:right w:val="none" w:sz="0" w:space="0" w:color="auto"/>
              </w:divBdr>
            </w:div>
            <w:div w:id="882210705">
              <w:marLeft w:val="0"/>
              <w:marRight w:val="0"/>
              <w:marTop w:val="0"/>
              <w:marBottom w:val="0"/>
              <w:divBdr>
                <w:top w:val="none" w:sz="0" w:space="0" w:color="auto"/>
                <w:left w:val="none" w:sz="0" w:space="0" w:color="auto"/>
                <w:bottom w:val="none" w:sz="0" w:space="0" w:color="auto"/>
                <w:right w:val="none" w:sz="0" w:space="0" w:color="auto"/>
              </w:divBdr>
            </w:div>
            <w:div w:id="1058669888">
              <w:marLeft w:val="0"/>
              <w:marRight w:val="0"/>
              <w:marTop w:val="0"/>
              <w:marBottom w:val="0"/>
              <w:divBdr>
                <w:top w:val="none" w:sz="0" w:space="0" w:color="auto"/>
                <w:left w:val="none" w:sz="0" w:space="0" w:color="auto"/>
                <w:bottom w:val="none" w:sz="0" w:space="0" w:color="auto"/>
                <w:right w:val="none" w:sz="0" w:space="0" w:color="auto"/>
              </w:divBdr>
            </w:div>
            <w:div w:id="1203329186">
              <w:marLeft w:val="0"/>
              <w:marRight w:val="0"/>
              <w:marTop w:val="0"/>
              <w:marBottom w:val="0"/>
              <w:divBdr>
                <w:top w:val="none" w:sz="0" w:space="0" w:color="auto"/>
                <w:left w:val="none" w:sz="0" w:space="0" w:color="auto"/>
                <w:bottom w:val="none" w:sz="0" w:space="0" w:color="auto"/>
                <w:right w:val="none" w:sz="0" w:space="0" w:color="auto"/>
              </w:divBdr>
            </w:div>
            <w:div w:id="1269847206">
              <w:marLeft w:val="0"/>
              <w:marRight w:val="0"/>
              <w:marTop w:val="0"/>
              <w:marBottom w:val="0"/>
              <w:divBdr>
                <w:top w:val="none" w:sz="0" w:space="0" w:color="auto"/>
                <w:left w:val="none" w:sz="0" w:space="0" w:color="auto"/>
                <w:bottom w:val="none" w:sz="0" w:space="0" w:color="auto"/>
                <w:right w:val="none" w:sz="0" w:space="0" w:color="auto"/>
              </w:divBdr>
            </w:div>
            <w:div w:id="1330137552">
              <w:marLeft w:val="0"/>
              <w:marRight w:val="0"/>
              <w:marTop w:val="0"/>
              <w:marBottom w:val="0"/>
              <w:divBdr>
                <w:top w:val="none" w:sz="0" w:space="0" w:color="auto"/>
                <w:left w:val="none" w:sz="0" w:space="0" w:color="auto"/>
                <w:bottom w:val="none" w:sz="0" w:space="0" w:color="auto"/>
                <w:right w:val="none" w:sz="0" w:space="0" w:color="auto"/>
              </w:divBdr>
            </w:div>
            <w:div w:id="1539202487">
              <w:marLeft w:val="0"/>
              <w:marRight w:val="0"/>
              <w:marTop w:val="0"/>
              <w:marBottom w:val="0"/>
              <w:divBdr>
                <w:top w:val="none" w:sz="0" w:space="0" w:color="auto"/>
                <w:left w:val="none" w:sz="0" w:space="0" w:color="auto"/>
                <w:bottom w:val="none" w:sz="0" w:space="0" w:color="auto"/>
                <w:right w:val="none" w:sz="0" w:space="0" w:color="auto"/>
              </w:divBdr>
            </w:div>
            <w:div w:id="1609317176">
              <w:marLeft w:val="0"/>
              <w:marRight w:val="0"/>
              <w:marTop w:val="0"/>
              <w:marBottom w:val="0"/>
              <w:divBdr>
                <w:top w:val="none" w:sz="0" w:space="0" w:color="auto"/>
                <w:left w:val="none" w:sz="0" w:space="0" w:color="auto"/>
                <w:bottom w:val="none" w:sz="0" w:space="0" w:color="auto"/>
                <w:right w:val="none" w:sz="0" w:space="0" w:color="auto"/>
              </w:divBdr>
            </w:div>
            <w:div w:id="1697467283">
              <w:marLeft w:val="0"/>
              <w:marRight w:val="0"/>
              <w:marTop w:val="0"/>
              <w:marBottom w:val="0"/>
              <w:divBdr>
                <w:top w:val="none" w:sz="0" w:space="0" w:color="auto"/>
                <w:left w:val="none" w:sz="0" w:space="0" w:color="auto"/>
                <w:bottom w:val="none" w:sz="0" w:space="0" w:color="auto"/>
                <w:right w:val="none" w:sz="0" w:space="0" w:color="auto"/>
              </w:divBdr>
            </w:div>
            <w:div w:id="1747417050">
              <w:marLeft w:val="0"/>
              <w:marRight w:val="0"/>
              <w:marTop w:val="0"/>
              <w:marBottom w:val="0"/>
              <w:divBdr>
                <w:top w:val="none" w:sz="0" w:space="0" w:color="auto"/>
                <w:left w:val="none" w:sz="0" w:space="0" w:color="auto"/>
                <w:bottom w:val="none" w:sz="0" w:space="0" w:color="auto"/>
                <w:right w:val="none" w:sz="0" w:space="0" w:color="auto"/>
              </w:divBdr>
            </w:div>
            <w:div w:id="1838761509">
              <w:marLeft w:val="0"/>
              <w:marRight w:val="0"/>
              <w:marTop w:val="0"/>
              <w:marBottom w:val="0"/>
              <w:divBdr>
                <w:top w:val="none" w:sz="0" w:space="0" w:color="auto"/>
                <w:left w:val="none" w:sz="0" w:space="0" w:color="auto"/>
                <w:bottom w:val="none" w:sz="0" w:space="0" w:color="auto"/>
                <w:right w:val="none" w:sz="0" w:space="0" w:color="auto"/>
              </w:divBdr>
            </w:div>
            <w:div w:id="1895896393">
              <w:marLeft w:val="0"/>
              <w:marRight w:val="0"/>
              <w:marTop w:val="0"/>
              <w:marBottom w:val="0"/>
              <w:divBdr>
                <w:top w:val="none" w:sz="0" w:space="0" w:color="auto"/>
                <w:left w:val="none" w:sz="0" w:space="0" w:color="auto"/>
                <w:bottom w:val="none" w:sz="0" w:space="0" w:color="auto"/>
                <w:right w:val="none" w:sz="0" w:space="0" w:color="auto"/>
              </w:divBdr>
            </w:div>
            <w:div w:id="1915043438">
              <w:marLeft w:val="0"/>
              <w:marRight w:val="0"/>
              <w:marTop w:val="0"/>
              <w:marBottom w:val="0"/>
              <w:divBdr>
                <w:top w:val="none" w:sz="0" w:space="0" w:color="auto"/>
                <w:left w:val="none" w:sz="0" w:space="0" w:color="auto"/>
                <w:bottom w:val="none" w:sz="0" w:space="0" w:color="auto"/>
                <w:right w:val="none" w:sz="0" w:space="0" w:color="auto"/>
              </w:divBdr>
            </w:div>
            <w:div w:id="1951083645">
              <w:marLeft w:val="0"/>
              <w:marRight w:val="0"/>
              <w:marTop w:val="0"/>
              <w:marBottom w:val="0"/>
              <w:divBdr>
                <w:top w:val="none" w:sz="0" w:space="0" w:color="auto"/>
                <w:left w:val="none" w:sz="0" w:space="0" w:color="auto"/>
                <w:bottom w:val="none" w:sz="0" w:space="0" w:color="auto"/>
                <w:right w:val="none" w:sz="0" w:space="0" w:color="auto"/>
              </w:divBdr>
            </w:div>
            <w:div w:id="1962833877">
              <w:marLeft w:val="0"/>
              <w:marRight w:val="0"/>
              <w:marTop w:val="0"/>
              <w:marBottom w:val="0"/>
              <w:divBdr>
                <w:top w:val="none" w:sz="0" w:space="0" w:color="auto"/>
                <w:left w:val="none" w:sz="0" w:space="0" w:color="auto"/>
                <w:bottom w:val="none" w:sz="0" w:space="0" w:color="auto"/>
                <w:right w:val="none" w:sz="0" w:space="0" w:color="auto"/>
              </w:divBdr>
            </w:div>
            <w:div w:id="1969819926">
              <w:marLeft w:val="0"/>
              <w:marRight w:val="0"/>
              <w:marTop w:val="0"/>
              <w:marBottom w:val="0"/>
              <w:divBdr>
                <w:top w:val="none" w:sz="0" w:space="0" w:color="auto"/>
                <w:left w:val="none" w:sz="0" w:space="0" w:color="auto"/>
                <w:bottom w:val="none" w:sz="0" w:space="0" w:color="auto"/>
                <w:right w:val="none" w:sz="0" w:space="0" w:color="auto"/>
              </w:divBdr>
            </w:div>
            <w:div w:id="1972204143">
              <w:marLeft w:val="0"/>
              <w:marRight w:val="0"/>
              <w:marTop w:val="0"/>
              <w:marBottom w:val="0"/>
              <w:divBdr>
                <w:top w:val="none" w:sz="0" w:space="0" w:color="auto"/>
                <w:left w:val="none" w:sz="0" w:space="0" w:color="auto"/>
                <w:bottom w:val="none" w:sz="0" w:space="0" w:color="auto"/>
                <w:right w:val="none" w:sz="0" w:space="0" w:color="auto"/>
              </w:divBdr>
            </w:div>
            <w:div w:id="21027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3087">
      <w:bodyDiv w:val="1"/>
      <w:marLeft w:val="0"/>
      <w:marRight w:val="0"/>
      <w:marTop w:val="0"/>
      <w:marBottom w:val="0"/>
      <w:divBdr>
        <w:top w:val="none" w:sz="0" w:space="0" w:color="auto"/>
        <w:left w:val="none" w:sz="0" w:space="0" w:color="auto"/>
        <w:bottom w:val="none" w:sz="0" w:space="0" w:color="auto"/>
        <w:right w:val="none" w:sz="0" w:space="0" w:color="auto"/>
      </w:divBdr>
    </w:div>
    <w:div w:id="1991210778">
      <w:bodyDiv w:val="1"/>
      <w:marLeft w:val="0"/>
      <w:marRight w:val="0"/>
      <w:marTop w:val="0"/>
      <w:marBottom w:val="0"/>
      <w:divBdr>
        <w:top w:val="none" w:sz="0" w:space="0" w:color="auto"/>
        <w:left w:val="none" w:sz="0" w:space="0" w:color="auto"/>
        <w:bottom w:val="none" w:sz="0" w:space="0" w:color="auto"/>
        <w:right w:val="none" w:sz="0" w:space="0" w:color="auto"/>
      </w:divBdr>
    </w:div>
    <w:div w:id="1993487313">
      <w:bodyDiv w:val="1"/>
      <w:marLeft w:val="0"/>
      <w:marRight w:val="0"/>
      <w:marTop w:val="0"/>
      <w:marBottom w:val="0"/>
      <w:divBdr>
        <w:top w:val="none" w:sz="0" w:space="0" w:color="auto"/>
        <w:left w:val="none" w:sz="0" w:space="0" w:color="auto"/>
        <w:bottom w:val="none" w:sz="0" w:space="0" w:color="auto"/>
        <w:right w:val="none" w:sz="0" w:space="0" w:color="auto"/>
      </w:divBdr>
    </w:div>
    <w:div w:id="1995259571">
      <w:bodyDiv w:val="1"/>
      <w:marLeft w:val="0"/>
      <w:marRight w:val="0"/>
      <w:marTop w:val="0"/>
      <w:marBottom w:val="0"/>
      <w:divBdr>
        <w:top w:val="none" w:sz="0" w:space="0" w:color="auto"/>
        <w:left w:val="none" w:sz="0" w:space="0" w:color="auto"/>
        <w:bottom w:val="none" w:sz="0" w:space="0" w:color="auto"/>
        <w:right w:val="none" w:sz="0" w:space="0" w:color="auto"/>
      </w:divBdr>
    </w:div>
    <w:div w:id="1996374696">
      <w:bodyDiv w:val="1"/>
      <w:marLeft w:val="0"/>
      <w:marRight w:val="0"/>
      <w:marTop w:val="0"/>
      <w:marBottom w:val="0"/>
      <w:divBdr>
        <w:top w:val="none" w:sz="0" w:space="0" w:color="auto"/>
        <w:left w:val="none" w:sz="0" w:space="0" w:color="auto"/>
        <w:bottom w:val="none" w:sz="0" w:space="0" w:color="auto"/>
        <w:right w:val="none" w:sz="0" w:space="0" w:color="auto"/>
      </w:divBdr>
      <w:divsChild>
        <w:div w:id="321782525">
          <w:marLeft w:val="0"/>
          <w:marRight w:val="0"/>
          <w:marTop w:val="0"/>
          <w:marBottom w:val="0"/>
          <w:divBdr>
            <w:top w:val="none" w:sz="0" w:space="0" w:color="auto"/>
            <w:left w:val="none" w:sz="0" w:space="0" w:color="auto"/>
            <w:bottom w:val="none" w:sz="0" w:space="0" w:color="auto"/>
            <w:right w:val="none" w:sz="0" w:space="0" w:color="auto"/>
          </w:divBdr>
        </w:div>
        <w:div w:id="487673130">
          <w:marLeft w:val="0"/>
          <w:marRight w:val="0"/>
          <w:marTop w:val="0"/>
          <w:marBottom w:val="0"/>
          <w:divBdr>
            <w:top w:val="none" w:sz="0" w:space="0" w:color="auto"/>
            <w:left w:val="none" w:sz="0" w:space="0" w:color="auto"/>
            <w:bottom w:val="none" w:sz="0" w:space="0" w:color="auto"/>
            <w:right w:val="none" w:sz="0" w:space="0" w:color="auto"/>
          </w:divBdr>
        </w:div>
        <w:div w:id="522089663">
          <w:marLeft w:val="0"/>
          <w:marRight w:val="0"/>
          <w:marTop w:val="0"/>
          <w:marBottom w:val="0"/>
          <w:divBdr>
            <w:top w:val="none" w:sz="0" w:space="0" w:color="auto"/>
            <w:left w:val="none" w:sz="0" w:space="0" w:color="auto"/>
            <w:bottom w:val="none" w:sz="0" w:space="0" w:color="auto"/>
            <w:right w:val="none" w:sz="0" w:space="0" w:color="auto"/>
          </w:divBdr>
        </w:div>
        <w:div w:id="543952518">
          <w:marLeft w:val="0"/>
          <w:marRight w:val="0"/>
          <w:marTop w:val="0"/>
          <w:marBottom w:val="0"/>
          <w:divBdr>
            <w:top w:val="none" w:sz="0" w:space="0" w:color="auto"/>
            <w:left w:val="none" w:sz="0" w:space="0" w:color="auto"/>
            <w:bottom w:val="none" w:sz="0" w:space="0" w:color="auto"/>
            <w:right w:val="none" w:sz="0" w:space="0" w:color="auto"/>
          </w:divBdr>
        </w:div>
        <w:div w:id="808716855">
          <w:marLeft w:val="0"/>
          <w:marRight w:val="0"/>
          <w:marTop w:val="0"/>
          <w:marBottom w:val="0"/>
          <w:divBdr>
            <w:top w:val="none" w:sz="0" w:space="0" w:color="auto"/>
            <w:left w:val="none" w:sz="0" w:space="0" w:color="auto"/>
            <w:bottom w:val="none" w:sz="0" w:space="0" w:color="auto"/>
            <w:right w:val="none" w:sz="0" w:space="0" w:color="auto"/>
          </w:divBdr>
        </w:div>
        <w:div w:id="982197523">
          <w:marLeft w:val="0"/>
          <w:marRight w:val="0"/>
          <w:marTop w:val="0"/>
          <w:marBottom w:val="0"/>
          <w:divBdr>
            <w:top w:val="none" w:sz="0" w:space="0" w:color="auto"/>
            <w:left w:val="none" w:sz="0" w:space="0" w:color="auto"/>
            <w:bottom w:val="none" w:sz="0" w:space="0" w:color="auto"/>
            <w:right w:val="none" w:sz="0" w:space="0" w:color="auto"/>
          </w:divBdr>
        </w:div>
        <w:div w:id="993946532">
          <w:marLeft w:val="0"/>
          <w:marRight w:val="0"/>
          <w:marTop w:val="0"/>
          <w:marBottom w:val="0"/>
          <w:divBdr>
            <w:top w:val="none" w:sz="0" w:space="0" w:color="auto"/>
            <w:left w:val="none" w:sz="0" w:space="0" w:color="auto"/>
            <w:bottom w:val="none" w:sz="0" w:space="0" w:color="auto"/>
            <w:right w:val="none" w:sz="0" w:space="0" w:color="auto"/>
          </w:divBdr>
        </w:div>
        <w:div w:id="1355035701">
          <w:marLeft w:val="0"/>
          <w:marRight w:val="0"/>
          <w:marTop w:val="0"/>
          <w:marBottom w:val="0"/>
          <w:divBdr>
            <w:top w:val="none" w:sz="0" w:space="0" w:color="auto"/>
            <w:left w:val="none" w:sz="0" w:space="0" w:color="auto"/>
            <w:bottom w:val="none" w:sz="0" w:space="0" w:color="auto"/>
            <w:right w:val="none" w:sz="0" w:space="0" w:color="auto"/>
          </w:divBdr>
        </w:div>
        <w:div w:id="1562907887">
          <w:marLeft w:val="0"/>
          <w:marRight w:val="0"/>
          <w:marTop w:val="0"/>
          <w:marBottom w:val="0"/>
          <w:divBdr>
            <w:top w:val="none" w:sz="0" w:space="0" w:color="auto"/>
            <w:left w:val="none" w:sz="0" w:space="0" w:color="auto"/>
            <w:bottom w:val="none" w:sz="0" w:space="0" w:color="auto"/>
            <w:right w:val="none" w:sz="0" w:space="0" w:color="auto"/>
          </w:divBdr>
        </w:div>
        <w:div w:id="1751654473">
          <w:marLeft w:val="0"/>
          <w:marRight w:val="0"/>
          <w:marTop w:val="0"/>
          <w:marBottom w:val="0"/>
          <w:divBdr>
            <w:top w:val="none" w:sz="0" w:space="0" w:color="auto"/>
            <w:left w:val="none" w:sz="0" w:space="0" w:color="auto"/>
            <w:bottom w:val="none" w:sz="0" w:space="0" w:color="auto"/>
            <w:right w:val="none" w:sz="0" w:space="0" w:color="auto"/>
          </w:divBdr>
        </w:div>
        <w:div w:id="1906798958">
          <w:marLeft w:val="0"/>
          <w:marRight w:val="0"/>
          <w:marTop w:val="0"/>
          <w:marBottom w:val="0"/>
          <w:divBdr>
            <w:top w:val="none" w:sz="0" w:space="0" w:color="auto"/>
            <w:left w:val="none" w:sz="0" w:space="0" w:color="auto"/>
            <w:bottom w:val="none" w:sz="0" w:space="0" w:color="auto"/>
            <w:right w:val="none" w:sz="0" w:space="0" w:color="auto"/>
          </w:divBdr>
        </w:div>
      </w:divsChild>
    </w:div>
    <w:div w:id="1997806671">
      <w:bodyDiv w:val="1"/>
      <w:marLeft w:val="0"/>
      <w:marRight w:val="0"/>
      <w:marTop w:val="0"/>
      <w:marBottom w:val="0"/>
      <w:divBdr>
        <w:top w:val="none" w:sz="0" w:space="0" w:color="auto"/>
        <w:left w:val="none" w:sz="0" w:space="0" w:color="auto"/>
        <w:bottom w:val="none" w:sz="0" w:space="0" w:color="auto"/>
        <w:right w:val="none" w:sz="0" w:space="0" w:color="auto"/>
      </w:divBdr>
      <w:divsChild>
        <w:div w:id="1131627601">
          <w:marLeft w:val="0"/>
          <w:marRight w:val="0"/>
          <w:marTop w:val="100"/>
          <w:marBottom w:val="400"/>
          <w:divBdr>
            <w:top w:val="none" w:sz="0" w:space="0" w:color="auto"/>
            <w:left w:val="none" w:sz="0" w:space="0" w:color="auto"/>
            <w:bottom w:val="none" w:sz="0" w:space="0" w:color="auto"/>
            <w:right w:val="none" w:sz="0" w:space="0" w:color="auto"/>
          </w:divBdr>
        </w:div>
      </w:divsChild>
    </w:div>
    <w:div w:id="2001346028">
      <w:bodyDiv w:val="1"/>
      <w:marLeft w:val="0"/>
      <w:marRight w:val="0"/>
      <w:marTop w:val="0"/>
      <w:marBottom w:val="0"/>
      <w:divBdr>
        <w:top w:val="none" w:sz="0" w:space="0" w:color="auto"/>
        <w:left w:val="none" w:sz="0" w:space="0" w:color="auto"/>
        <w:bottom w:val="none" w:sz="0" w:space="0" w:color="auto"/>
        <w:right w:val="none" w:sz="0" w:space="0" w:color="auto"/>
      </w:divBdr>
      <w:divsChild>
        <w:div w:id="1908026678">
          <w:marLeft w:val="0"/>
          <w:marRight w:val="0"/>
          <w:marTop w:val="0"/>
          <w:marBottom w:val="0"/>
          <w:divBdr>
            <w:top w:val="none" w:sz="0" w:space="0" w:color="auto"/>
            <w:left w:val="none" w:sz="0" w:space="0" w:color="auto"/>
            <w:bottom w:val="none" w:sz="0" w:space="0" w:color="auto"/>
            <w:right w:val="none" w:sz="0" w:space="0" w:color="auto"/>
          </w:divBdr>
        </w:div>
      </w:divsChild>
    </w:div>
    <w:div w:id="2004312382">
      <w:bodyDiv w:val="1"/>
      <w:marLeft w:val="0"/>
      <w:marRight w:val="0"/>
      <w:marTop w:val="0"/>
      <w:marBottom w:val="0"/>
      <w:divBdr>
        <w:top w:val="none" w:sz="0" w:space="0" w:color="auto"/>
        <w:left w:val="none" w:sz="0" w:space="0" w:color="auto"/>
        <w:bottom w:val="none" w:sz="0" w:space="0" w:color="auto"/>
        <w:right w:val="none" w:sz="0" w:space="0" w:color="auto"/>
      </w:divBdr>
      <w:divsChild>
        <w:div w:id="327557634">
          <w:marLeft w:val="0"/>
          <w:marRight w:val="0"/>
          <w:marTop w:val="0"/>
          <w:marBottom w:val="0"/>
          <w:divBdr>
            <w:top w:val="none" w:sz="0" w:space="0" w:color="auto"/>
            <w:left w:val="none" w:sz="0" w:space="0" w:color="auto"/>
            <w:bottom w:val="none" w:sz="0" w:space="0" w:color="auto"/>
            <w:right w:val="none" w:sz="0" w:space="0" w:color="auto"/>
          </w:divBdr>
        </w:div>
        <w:div w:id="394200549">
          <w:marLeft w:val="0"/>
          <w:marRight w:val="0"/>
          <w:marTop w:val="0"/>
          <w:marBottom w:val="0"/>
          <w:divBdr>
            <w:top w:val="none" w:sz="0" w:space="0" w:color="auto"/>
            <w:left w:val="none" w:sz="0" w:space="0" w:color="auto"/>
            <w:bottom w:val="none" w:sz="0" w:space="0" w:color="auto"/>
            <w:right w:val="none" w:sz="0" w:space="0" w:color="auto"/>
          </w:divBdr>
        </w:div>
        <w:div w:id="664285793">
          <w:marLeft w:val="0"/>
          <w:marRight w:val="0"/>
          <w:marTop w:val="0"/>
          <w:marBottom w:val="0"/>
          <w:divBdr>
            <w:top w:val="none" w:sz="0" w:space="0" w:color="auto"/>
            <w:left w:val="none" w:sz="0" w:space="0" w:color="auto"/>
            <w:bottom w:val="none" w:sz="0" w:space="0" w:color="auto"/>
            <w:right w:val="none" w:sz="0" w:space="0" w:color="auto"/>
          </w:divBdr>
        </w:div>
        <w:div w:id="794445445">
          <w:marLeft w:val="0"/>
          <w:marRight w:val="0"/>
          <w:marTop w:val="0"/>
          <w:marBottom w:val="0"/>
          <w:divBdr>
            <w:top w:val="none" w:sz="0" w:space="0" w:color="auto"/>
            <w:left w:val="none" w:sz="0" w:space="0" w:color="auto"/>
            <w:bottom w:val="none" w:sz="0" w:space="0" w:color="auto"/>
            <w:right w:val="none" w:sz="0" w:space="0" w:color="auto"/>
          </w:divBdr>
        </w:div>
        <w:div w:id="983241223">
          <w:marLeft w:val="0"/>
          <w:marRight w:val="0"/>
          <w:marTop w:val="0"/>
          <w:marBottom w:val="0"/>
          <w:divBdr>
            <w:top w:val="none" w:sz="0" w:space="0" w:color="auto"/>
            <w:left w:val="none" w:sz="0" w:space="0" w:color="auto"/>
            <w:bottom w:val="none" w:sz="0" w:space="0" w:color="auto"/>
            <w:right w:val="none" w:sz="0" w:space="0" w:color="auto"/>
          </w:divBdr>
        </w:div>
        <w:div w:id="1017317159">
          <w:marLeft w:val="0"/>
          <w:marRight w:val="0"/>
          <w:marTop w:val="0"/>
          <w:marBottom w:val="0"/>
          <w:divBdr>
            <w:top w:val="none" w:sz="0" w:space="0" w:color="auto"/>
            <w:left w:val="none" w:sz="0" w:space="0" w:color="auto"/>
            <w:bottom w:val="none" w:sz="0" w:space="0" w:color="auto"/>
            <w:right w:val="none" w:sz="0" w:space="0" w:color="auto"/>
          </w:divBdr>
        </w:div>
        <w:div w:id="1503666609">
          <w:marLeft w:val="0"/>
          <w:marRight w:val="0"/>
          <w:marTop w:val="0"/>
          <w:marBottom w:val="0"/>
          <w:divBdr>
            <w:top w:val="none" w:sz="0" w:space="0" w:color="auto"/>
            <w:left w:val="none" w:sz="0" w:space="0" w:color="auto"/>
            <w:bottom w:val="none" w:sz="0" w:space="0" w:color="auto"/>
            <w:right w:val="none" w:sz="0" w:space="0" w:color="auto"/>
          </w:divBdr>
        </w:div>
        <w:div w:id="1535998841">
          <w:marLeft w:val="0"/>
          <w:marRight w:val="0"/>
          <w:marTop w:val="0"/>
          <w:marBottom w:val="0"/>
          <w:divBdr>
            <w:top w:val="none" w:sz="0" w:space="0" w:color="auto"/>
            <w:left w:val="none" w:sz="0" w:space="0" w:color="auto"/>
            <w:bottom w:val="none" w:sz="0" w:space="0" w:color="auto"/>
            <w:right w:val="none" w:sz="0" w:space="0" w:color="auto"/>
          </w:divBdr>
        </w:div>
        <w:div w:id="2071223201">
          <w:marLeft w:val="0"/>
          <w:marRight w:val="0"/>
          <w:marTop w:val="0"/>
          <w:marBottom w:val="0"/>
          <w:divBdr>
            <w:top w:val="none" w:sz="0" w:space="0" w:color="auto"/>
            <w:left w:val="none" w:sz="0" w:space="0" w:color="auto"/>
            <w:bottom w:val="none" w:sz="0" w:space="0" w:color="auto"/>
            <w:right w:val="none" w:sz="0" w:space="0" w:color="auto"/>
          </w:divBdr>
        </w:div>
      </w:divsChild>
    </w:div>
    <w:div w:id="2008172838">
      <w:bodyDiv w:val="1"/>
      <w:marLeft w:val="0"/>
      <w:marRight w:val="0"/>
      <w:marTop w:val="0"/>
      <w:marBottom w:val="0"/>
      <w:divBdr>
        <w:top w:val="none" w:sz="0" w:space="0" w:color="auto"/>
        <w:left w:val="none" w:sz="0" w:space="0" w:color="auto"/>
        <w:bottom w:val="none" w:sz="0" w:space="0" w:color="auto"/>
        <w:right w:val="none" w:sz="0" w:space="0" w:color="auto"/>
      </w:divBdr>
      <w:divsChild>
        <w:div w:id="697971392">
          <w:marLeft w:val="806"/>
          <w:marRight w:val="0"/>
          <w:marTop w:val="240"/>
          <w:marBottom w:val="40"/>
          <w:divBdr>
            <w:top w:val="none" w:sz="0" w:space="0" w:color="auto"/>
            <w:left w:val="none" w:sz="0" w:space="0" w:color="auto"/>
            <w:bottom w:val="none" w:sz="0" w:space="0" w:color="auto"/>
            <w:right w:val="none" w:sz="0" w:space="0" w:color="auto"/>
          </w:divBdr>
        </w:div>
        <w:div w:id="802116590">
          <w:marLeft w:val="806"/>
          <w:marRight w:val="0"/>
          <w:marTop w:val="240"/>
          <w:marBottom w:val="40"/>
          <w:divBdr>
            <w:top w:val="none" w:sz="0" w:space="0" w:color="auto"/>
            <w:left w:val="none" w:sz="0" w:space="0" w:color="auto"/>
            <w:bottom w:val="none" w:sz="0" w:space="0" w:color="auto"/>
            <w:right w:val="none" w:sz="0" w:space="0" w:color="auto"/>
          </w:divBdr>
        </w:div>
        <w:div w:id="1716126722">
          <w:marLeft w:val="806"/>
          <w:marRight w:val="0"/>
          <w:marTop w:val="240"/>
          <w:marBottom w:val="40"/>
          <w:divBdr>
            <w:top w:val="none" w:sz="0" w:space="0" w:color="auto"/>
            <w:left w:val="none" w:sz="0" w:space="0" w:color="auto"/>
            <w:bottom w:val="none" w:sz="0" w:space="0" w:color="auto"/>
            <w:right w:val="none" w:sz="0" w:space="0" w:color="auto"/>
          </w:divBdr>
        </w:div>
        <w:div w:id="1862359432">
          <w:marLeft w:val="806"/>
          <w:marRight w:val="0"/>
          <w:marTop w:val="240"/>
          <w:marBottom w:val="40"/>
          <w:divBdr>
            <w:top w:val="none" w:sz="0" w:space="0" w:color="auto"/>
            <w:left w:val="none" w:sz="0" w:space="0" w:color="auto"/>
            <w:bottom w:val="none" w:sz="0" w:space="0" w:color="auto"/>
            <w:right w:val="none" w:sz="0" w:space="0" w:color="auto"/>
          </w:divBdr>
        </w:div>
      </w:divsChild>
    </w:div>
    <w:div w:id="2011330531">
      <w:bodyDiv w:val="1"/>
      <w:marLeft w:val="0"/>
      <w:marRight w:val="0"/>
      <w:marTop w:val="0"/>
      <w:marBottom w:val="0"/>
      <w:divBdr>
        <w:top w:val="none" w:sz="0" w:space="0" w:color="auto"/>
        <w:left w:val="none" w:sz="0" w:space="0" w:color="auto"/>
        <w:bottom w:val="none" w:sz="0" w:space="0" w:color="auto"/>
        <w:right w:val="none" w:sz="0" w:space="0" w:color="auto"/>
      </w:divBdr>
    </w:div>
    <w:div w:id="2012297810">
      <w:bodyDiv w:val="1"/>
      <w:marLeft w:val="0"/>
      <w:marRight w:val="0"/>
      <w:marTop w:val="0"/>
      <w:marBottom w:val="0"/>
      <w:divBdr>
        <w:top w:val="none" w:sz="0" w:space="0" w:color="auto"/>
        <w:left w:val="none" w:sz="0" w:space="0" w:color="auto"/>
        <w:bottom w:val="none" w:sz="0" w:space="0" w:color="auto"/>
        <w:right w:val="none" w:sz="0" w:space="0" w:color="auto"/>
      </w:divBdr>
      <w:divsChild>
        <w:div w:id="16665025">
          <w:marLeft w:val="0"/>
          <w:marRight w:val="0"/>
          <w:marTop w:val="0"/>
          <w:marBottom w:val="0"/>
          <w:divBdr>
            <w:top w:val="none" w:sz="0" w:space="0" w:color="auto"/>
            <w:left w:val="none" w:sz="0" w:space="0" w:color="auto"/>
            <w:bottom w:val="none" w:sz="0" w:space="0" w:color="auto"/>
            <w:right w:val="none" w:sz="0" w:space="0" w:color="auto"/>
          </w:divBdr>
        </w:div>
        <w:div w:id="51127435">
          <w:marLeft w:val="0"/>
          <w:marRight w:val="0"/>
          <w:marTop w:val="0"/>
          <w:marBottom w:val="0"/>
          <w:divBdr>
            <w:top w:val="none" w:sz="0" w:space="0" w:color="auto"/>
            <w:left w:val="none" w:sz="0" w:space="0" w:color="auto"/>
            <w:bottom w:val="none" w:sz="0" w:space="0" w:color="auto"/>
            <w:right w:val="none" w:sz="0" w:space="0" w:color="auto"/>
          </w:divBdr>
        </w:div>
        <w:div w:id="135613602">
          <w:marLeft w:val="0"/>
          <w:marRight w:val="0"/>
          <w:marTop w:val="0"/>
          <w:marBottom w:val="0"/>
          <w:divBdr>
            <w:top w:val="none" w:sz="0" w:space="0" w:color="auto"/>
            <w:left w:val="none" w:sz="0" w:space="0" w:color="auto"/>
            <w:bottom w:val="none" w:sz="0" w:space="0" w:color="auto"/>
            <w:right w:val="none" w:sz="0" w:space="0" w:color="auto"/>
          </w:divBdr>
        </w:div>
        <w:div w:id="160127997">
          <w:marLeft w:val="0"/>
          <w:marRight w:val="0"/>
          <w:marTop w:val="0"/>
          <w:marBottom w:val="0"/>
          <w:divBdr>
            <w:top w:val="none" w:sz="0" w:space="0" w:color="auto"/>
            <w:left w:val="none" w:sz="0" w:space="0" w:color="auto"/>
            <w:bottom w:val="none" w:sz="0" w:space="0" w:color="auto"/>
            <w:right w:val="none" w:sz="0" w:space="0" w:color="auto"/>
          </w:divBdr>
        </w:div>
        <w:div w:id="203715806">
          <w:marLeft w:val="0"/>
          <w:marRight w:val="0"/>
          <w:marTop w:val="0"/>
          <w:marBottom w:val="0"/>
          <w:divBdr>
            <w:top w:val="none" w:sz="0" w:space="0" w:color="auto"/>
            <w:left w:val="none" w:sz="0" w:space="0" w:color="auto"/>
            <w:bottom w:val="none" w:sz="0" w:space="0" w:color="auto"/>
            <w:right w:val="none" w:sz="0" w:space="0" w:color="auto"/>
          </w:divBdr>
        </w:div>
        <w:div w:id="316499743">
          <w:marLeft w:val="0"/>
          <w:marRight w:val="0"/>
          <w:marTop w:val="0"/>
          <w:marBottom w:val="0"/>
          <w:divBdr>
            <w:top w:val="none" w:sz="0" w:space="0" w:color="auto"/>
            <w:left w:val="none" w:sz="0" w:space="0" w:color="auto"/>
            <w:bottom w:val="none" w:sz="0" w:space="0" w:color="auto"/>
            <w:right w:val="none" w:sz="0" w:space="0" w:color="auto"/>
          </w:divBdr>
        </w:div>
        <w:div w:id="333150641">
          <w:marLeft w:val="0"/>
          <w:marRight w:val="0"/>
          <w:marTop w:val="0"/>
          <w:marBottom w:val="0"/>
          <w:divBdr>
            <w:top w:val="none" w:sz="0" w:space="0" w:color="auto"/>
            <w:left w:val="none" w:sz="0" w:space="0" w:color="auto"/>
            <w:bottom w:val="none" w:sz="0" w:space="0" w:color="auto"/>
            <w:right w:val="none" w:sz="0" w:space="0" w:color="auto"/>
          </w:divBdr>
        </w:div>
        <w:div w:id="530611945">
          <w:marLeft w:val="0"/>
          <w:marRight w:val="0"/>
          <w:marTop w:val="0"/>
          <w:marBottom w:val="0"/>
          <w:divBdr>
            <w:top w:val="none" w:sz="0" w:space="0" w:color="auto"/>
            <w:left w:val="none" w:sz="0" w:space="0" w:color="auto"/>
            <w:bottom w:val="none" w:sz="0" w:space="0" w:color="auto"/>
            <w:right w:val="none" w:sz="0" w:space="0" w:color="auto"/>
          </w:divBdr>
        </w:div>
        <w:div w:id="569390310">
          <w:marLeft w:val="0"/>
          <w:marRight w:val="0"/>
          <w:marTop w:val="0"/>
          <w:marBottom w:val="0"/>
          <w:divBdr>
            <w:top w:val="none" w:sz="0" w:space="0" w:color="auto"/>
            <w:left w:val="none" w:sz="0" w:space="0" w:color="auto"/>
            <w:bottom w:val="none" w:sz="0" w:space="0" w:color="auto"/>
            <w:right w:val="none" w:sz="0" w:space="0" w:color="auto"/>
          </w:divBdr>
        </w:div>
        <w:div w:id="803304619">
          <w:marLeft w:val="0"/>
          <w:marRight w:val="0"/>
          <w:marTop w:val="0"/>
          <w:marBottom w:val="0"/>
          <w:divBdr>
            <w:top w:val="none" w:sz="0" w:space="0" w:color="auto"/>
            <w:left w:val="none" w:sz="0" w:space="0" w:color="auto"/>
            <w:bottom w:val="none" w:sz="0" w:space="0" w:color="auto"/>
            <w:right w:val="none" w:sz="0" w:space="0" w:color="auto"/>
          </w:divBdr>
        </w:div>
        <w:div w:id="837380003">
          <w:marLeft w:val="0"/>
          <w:marRight w:val="0"/>
          <w:marTop w:val="0"/>
          <w:marBottom w:val="0"/>
          <w:divBdr>
            <w:top w:val="none" w:sz="0" w:space="0" w:color="auto"/>
            <w:left w:val="none" w:sz="0" w:space="0" w:color="auto"/>
            <w:bottom w:val="none" w:sz="0" w:space="0" w:color="auto"/>
            <w:right w:val="none" w:sz="0" w:space="0" w:color="auto"/>
          </w:divBdr>
        </w:div>
        <w:div w:id="865411636">
          <w:marLeft w:val="0"/>
          <w:marRight w:val="0"/>
          <w:marTop w:val="0"/>
          <w:marBottom w:val="0"/>
          <w:divBdr>
            <w:top w:val="none" w:sz="0" w:space="0" w:color="auto"/>
            <w:left w:val="none" w:sz="0" w:space="0" w:color="auto"/>
            <w:bottom w:val="none" w:sz="0" w:space="0" w:color="auto"/>
            <w:right w:val="none" w:sz="0" w:space="0" w:color="auto"/>
          </w:divBdr>
        </w:div>
        <w:div w:id="938949437">
          <w:marLeft w:val="0"/>
          <w:marRight w:val="0"/>
          <w:marTop w:val="0"/>
          <w:marBottom w:val="0"/>
          <w:divBdr>
            <w:top w:val="none" w:sz="0" w:space="0" w:color="auto"/>
            <w:left w:val="none" w:sz="0" w:space="0" w:color="auto"/>
            <w:bottom w:val="none" w:sz="0" w:space="0" w:color="auto"/>
            <w:right w:val="none" w:sz="0" w:space="0" w:color="auto"/>
          </w:divBdr>
        </w:div>
        <w:div w:id="1104610500">
          <w:marLeft w:val="0"/>
          <w:marRight w:val="0"/>
          <w:marTop w:val="0"/>
          <w:marBottom w:val="0"/>
          <w:divBdr>
            <w:top w:val="none" w:sz="0" w:space="0" w:color="auto"/>
            <w:left w:val="none" w:sz="0" w:space="0" w:color="auto"/>
            <w:bottom w:val="none" w:sz="0" w:space="0" w:color="auto"/>
            <w:right w:val="none" w:sz="0" w:space="0" w:color="auto"/>
          </w:divBdr>
        </w:div>
        <w:div w:id="1121072209">
          <w:marLeft w:val="0"/>
          <w:marRight w:val="0"/>
          <w:marTop w:val="0"/>
          <w:marBottom w:val="0"/>
          <w:divBdr>
            <w:top w:val="none" w:sz="0" w:space="0" w:color="auto"/>
            <w:left w:val="none" w:sz="0" w:space="0" w:color="auto"/>
            <w:bottom w:val="none" w:sz="0" w:space="0" w:color="auto"/>
            <w:right w:val="none" w:sz="0" w:space="0" w:color="auto"/>
          </w:divBdr>
        </w:div>
        <w:div w:id="1158576922">
          <w:marLeft w:val="0"/>
          <w:marRight w:val="0"/>
          <w:marTop w:val="0"/>
          <w:marBottom w:val="0"/>
          <w:divBdr>
            <w:top w:val="none" w:sz="0" w:space="0" w:color="auto"/>
            <w:left w:val="none" w:sz="0" w:space="0" w:color="auto"/>
            <w:bottom w:val="none" w:sz="0" w:space="0" w:color="auto"/>
            <w:right w:val="none" w:sz="0" w:space="0" w:color="auto"/>
          </w:divBdr>
        </w:div>
        <w:div w:id="1266618581">
          <w:marLeft w:val="0"/>
          <w:marRight w:val="0"/>
          <w:marTop w:val="0"/>
          <w:marBottom w:val="0"/>
          <w:divBdr>
            <w:top w:val="none" w:sz="0" w:space="0" w:color="auto"/>
            <w:left w:val="none" w:sz="0" w:space="0" w:color="auto"/>
            <w:bottom w:val="none" w:sz="0" w:space="0" w:color="auto"/>
            <w:right w:val="none" w:sz="0" w:space="0" w:color="auto"/>
          </w:divBdr>
        </w:div>
        <w:div w:id="1419402880">
          <w:marLeft w:val="0"/>
          <w:marRight w:val="0"/>
          <w:marTop w:val="0"/>
          <w:marBottom w:val="0"/>
          <w:divBdr>
            <w:top w:val="none" w:sz="0" w:space="0" w:color="auto"/>
            <w:left w:val="none" w:sz="0" w:space="0" w:color="auto"/>
            <w:bottom w:val="none" w:sz="0" w:space="0" w:color="auto"/>
            <w:right w:val="none" w:sz="0" w:space="0" w:color="auto"/>
          </w:divBdr>
        </w:div>
        <w:div w:id="1436947086">
          <w:marLeft w:val="0"/>
          <w:marRight w:val="0"/>
          <w:marTop w:val="0"/>
          <w:marBottom w:val="0"/>
          <w:divBdr>
            <w:top w:val="none" w:sz="0" w:space="0" w:color="auto"/>
            <w:left w:val="none" w:sz="0" w:space="0" w:color="auto"/>
            <w:bottom w:val="none" w:sz="0" w:space="0" w:color="auto"/>
            <w:right w:val="none" w:sz="0" w:space="0" w:color="auto"/>
          </w:divBdr>
        </w:div>
        <w:div w:id="1734352525">
          <w:marLeft w:val="0"/>
          <w:marRight w:val="0"/>
          <w:marTop w:val="0"/>
          <w:marBottom w:val="0"/>
          <w:divBdr>
            <w:top w:val="none" w:sz="0" w:space="0" w:color="auto"/>
            <w:left w:val="none" w:sz="0" w:space="0" w:color="auto"/>
            <w:bottom w:val="none" w:sz="0" w:space="0" w:color="auto"/>
            <w:right w:val="none" w:sz="0" w:space="0" w:color="auto"/>
          </w:divBdr>
        </w:div>
        <w:div w:id="1770351561">
          <w:marLeft w:val="0"/>
          <w:marRight w:val="0"/>
          <w:marTop w:val="0"/>
          <w:marBottom w:val="0"/>
          <w:divBdr>
            <w:top w:val="none" w:sz="0" w:space="0" w:color="auto"/>
            <w:left w:val="none" w:sz="0" w:space="0" w:color="auto"/>
            <w:bottom w:val="none" w:sz="0" w:space="0" w:color="auto"/>
            <w:right w:val="none" w:sz="0" w:space="0" w:color="auto"/>
          </w:divBdr>
        </w:div>
        <w:div w:id="1793015371">
          <w:marLeft w:val="0"/>
          <w:marRight w:val="0"/>
          <w:marTop w:val="0"/>
          <w:marBottom w:val="0"/>
          <w:divBdr>
            <w:top w:val="none" w:sz="0" w:space="0" w:color="auto"/>
            <w:left w:val="none" w:sz="0" w:space="0" w:color="auto"/>
            <w:bottom w:val="none" w:sz="0" w:space="0" w:color="auto"/>
            <w:right w:val="none" w:sz="0" w:space="0" w:color="auto"/>
          </w:divBdr>
        </w:div>
        <w:div w:id="1927764715">
          <w:marLeft w:val="0"/>
          <w:marRight w:val="0"/>
          <w:marTop w:val="0"/>
          <w:marBottom w:val="0"/>
          <w:divBdr>
            <w:top w:val="none" w:sz="0" w:space="0" w:color="auto"/>
            <w:left w:val="none" w:sz="0" w:space="0" w:color="auto"/>
            <w:bottom w:val="none" w:sz="0" w:space="0" w:color="auto"/>
            <w:right w:val="none" w:sz="0" w:space="0" w:color="auto"/>
          </w:divBdr>
        </w:div>
        <w:div w:id="1962489956">
          <w:marLeft w:val="0"/>
          <w:marRight w:val="0"/>
          <w:marTop w:val="0"/>
          <w:marBottom w:val="0"/>
          <w:divBdr>
            <w:top w:val="none" w:sz="0" w:space="0" w:color="auto"/>
            <w:left w:val="none" w:sz="0" w:space="0" w:color="auto"/>
            <w:bottom w:val="none" w:sz="0" w:space="0" w:color="auto"/>
            <w:right w:val="none" w:sz="0" w:space="0" w:color="auto"/>
          </w:divBdr>
        </w:div>
        <w:div w:id="1976786595">
          <w:marLeft w:val="0"/>
          <w:marRight w:val="0"/>
          <w:marTop w:val="0"/>
          <w:marBottom w:val="0"/>
          <w:divBdr>
            <w:top w:val="none" w:sz="0" w:space="0" w:color="auto"/>
            <w:left w:val="none" w:sz="0" w:space="0" w:color="auto"/>
            <w:bottom w:val="none" w:sz="0" w:space="0" w:color="auto"/>
            <w:right w:val="none" w:sz="0" w:space="0" w:color="auto"/>
          </w:divBdr>
        </w:div>
        <w:div w:id="2105834092">
          <w:marLeft w:val="0"/>
          <w:marRight w:val="0"/>
          <w:marTop w:val="0"/>
          <w:marBottom w:val="0"/>
          <w:divBdr>
            <w:top w:val="none" w:sz="0" w:space="0" w:color="auto"/>
            <w:left w:val="none" w:sz="0" w:space="0" w:color="auto"/>
            <w:bottom w:val="none" w:sz="0" w:space="0" w:color="auto"/>
            <w:right w:val="none" w:sz="0" w:space="0" w:color="auto"/>
          </w:divBdr>
        </w:div>
      </w:divsChild>
    </w:div>
    <w:div w:id="2019885232">
      <w:bodyDiv w:val="1"/>
      <w:marLeft w:val="0"/>
      <w:marRight w:val="0"/>
      <w:marTop w:val="0"/>
      <w:marBottom w:val="0"/>
      <w:divBdr>
        <w:top w:val="none" w:sz="0" w:space="0" w:color="auto"/>
        <w:left w:val="none" w:sz="0" w:space="0" w:color="auto"/>
        <w:bottom w:val="none" w:sz="0" w:space="0" w:color="auto"/>
        <w:right w:val="none" w:sz="0" w:space="0" w:color="auto"/>
      </w:divBdr>
      <w:divsChild>
        <w:div w:id="33889038">
          <w:marLeft w:val="0"/>
          <w:marRight w:val="0"/>
          <w:marTop w:val="0"/>
          <w:marBottom w:val="0"/>
          <w:divBdr>
            <w:top w:val="none" w:sz="0" w:space="0" w:color="auto"/>
            <w:left w:val="none" w:sz="0" w:space="0" w:color="auto"/>
            <w:bottom w:val="none" w:sz="0" w:space="0" w:color="auto"/>
            <w:right w:val="none" w:sz="0" w:space="0" w:color="auto"/>
          </w:divBdr>
        </w:div>
      </w:divsChild>
    </w:div>
    <w:div w:id="2023781592">
      <w:bodyDiv w:val="1"/>
      <w:marLeft w:val="0"/>
      <w:marRight w:val="0"/>
      <w:marTop w:val="0"/>
      <w:marBottom w:val="0"/>
      <w:divBdr>
        <w:top w:val="none" w:sz="0" w:space="0" w:color="auto"/>
        <w:left w:val="none" w:sz="0" w:space="0" w:color="auto"/>
        <w:bottom w:val="none" w:sz="0" w:space="0" w:color="auto"/>
        <w:right w:val="none" w:sz="0" w:space="0" w:color="auto"/>
      </w:divBdr>
      <w:divsChild>
        <w:div w:id="849758703">
          <w:marLeft w:val="590"/>
          <w:marRight w:val="0"/>
          <w:marTop w:val="240"/>
          <w:marBottom w:val="40"/>
          <w:divBdr>
            <w:top w:val="none" w:sz="0" w:space="0" w:color="auto"/>
            <w:left w:val="none" w:sz="0" w:space="0" w:color="auto"/>
            <w:bottom w:val="none" w:sz="0" w:space="0" w:color="auto"/>
            <w:right w:val="none" w:sz="0" w:space="0" w:color="auto"/>
          </w:divBdr>
        </w:div>
        <w:div w:id="1173834649">
          <w:marLeft w:val="144"/>
          <w:marRight w:val="0"/>
          <w:marTop w:val="240"/>
          <w:marBottom w:val="40"/>
          <w:divBdr>
            <w:top w:val="none" w:sz="0" w:space="0" w:color="auto"/>
            <w:left w:val="none" w:sz="0" w:space="0" w:color="auto"/>
            <w:bottom w:val="none" w:sz="0" w:space="0" w:color="auto"/>
            <w:right w:val="none" w:sz="0" w:space="0" w:color="auto"/>
          </w:divBdr>
        </w:div>
        <w:div w:id="1379862523">
          <w:marLeft w:val="590"/>
          <w:marRight w:val="0"/>
          <w:marTop w:val="240"/>
          <w:marBottom w:val="40"/>
          <w:divBdr>
            <w:top w:val="none" w:sz="0" w:space="0" w:color="auto"/>
            <w:left w:val="none" w:sz="0" w:space="0" w:color="auto"/>
            <w:bottom w:val="none" w:sz="0" w:space="0" w:color="auto"/>
            <w:right w:val="none" w:sz="0" w:space="0" w:color="auto"/>
          </w:divBdr>
        </w:div>
        <w:div w:id="1488131987">
          <w:marLeft w:val="144"/>
          <w:marRight w:val="0"/>
          <w:marTop w:val="240"/>
          <w:marBottom w:val="40"/>
          <w:divBdr>
            <w:top w:val="none" w:sz="0" w:space="0" w:color="auto"/>
            <w:left w:val="none" w:sz="0" w:space="0" w:color="auto"/>
            <w:bottom w:val="none" w:sz="0" w:space="0" w:color="auto"/>
            <w:right w:val="none" w:sz="0" w:space="0" w:color="auto"/>
          </w:divBdr>
        </w:div>
        <w:div w:id="1544247515">
          <w:marLeft w:val="590"/>
          <w:marRight w:val="0"/>
          <w:marTop w:val="240"/>
          <w:marBottom w:val="40"/>
          <w:divBdr>
            <w:top w:val="none" w:sz="0" w:space="0" w:color="auto"/>
            <w:left w:val="none" w:sz="0" w:space="0" w:color="auto"/>
            <w:bottom w:val="none" w:sz="0" w:space="0" w:color="auto"/>
            <w:right w:val="none" w:sz="0" w:space="0" w:color="auto"/>
          </w:divBdr>
        </w:div>
      </w:divsChild>
    </w:div>
    <w:div w:id="2033802032">
      <w:bodyDiv w:val="1"/>
      <w:marLeft w:val="0"/>
      <w:marRight w:val="0"/>
      <w:marTop w:val="0"/>
      <w:marBottom w:val="0"/>
      <w:divBdr>
        <w:top w:val="none" w:sz="0" w:space="0" w:color="auto"/>
        <w:left w:val="none" w:sz="0" w:space="0" w:color="auto"/>
        <w:bottom w:val="none" w:sz="0" w:space="0" w:color="auto"/>
        <w:right w:val="none" w:sz="0" w:space="0" w:color="auto"/>
      </w:divBdr>
      <w:divsChild>
        <w:div w:id="348219255">
          <w:marLeft w:val="0"/>
          <w:marRight w:val="0"/>
          <w:marTop w:val="0"/>
          <w:marBottom w:val="0"/>
          <w:divBdr>
            <w:top w:val="none" w:sz="0" w:space="0" w:color="auto"/>
            <w:left w:val="none" w:sz="0" w:space="0" w:color="auto"/>
            <w:bottom w:val="none" w:sz="0" w:space="0" w:color="auto"/>
            <w:right w:val="none" w:sz="0" w:space="0" w:color="auto"/>
          </w:divBdr>
        </w:div>
      </w:divsChild>
    </w:div>
    <w:div w:id="2037726748">
      <w:bodyDiv w:val="1"/>
      <w:marLeft w:val="0"/>
      <w:marRight w:val="0"/>
      <w:marTop w:val="0"/>
      <w:marBottom w:val="0"/>
      <w:divBdr>
        <w:top w:val="none" w:sz="0" w:space="0" w:color="auto"/>
        <w:left w:val="none" w:sz="0" w:space="0" w:color="auto"/>
        <w:bottom w:val="none" w:sz="0" w:space="0" w:color="auto"/>
        <w:right w:val="none" w:sz="0" w:space="0" w:color="auto"/>
      </w:divBdr>
    </w:div>
    <w:div w:id="2039701502">
      <w:bodyDiv w:val="1"/>
      <w:marLeft w:val="0"/>
      <w:marRight w:val="0"/>
      <w:marTop w:val="0"/>
      <w:marBottom w:val="0"/>
      <w:divBdr>
        <w:top w:val="none" w:sz="0" w:space="0" w:color="auto"/>
        <w:left w:val="none" w:sz="0" w:space="0" w:color="auto"/>
        <w:bottom w:val="none" w:sz="0" w:space="0" w:color="auto"/>
        <w:right w:val="none" w:sz="0" w:space="0" w:color="auto"/>
      </w:divBdr>
    </w:div>
    <w:div w:id="2040156207">
      <w:bodyDiv w:val="1"/>
      <w:marLeft w:val="0"/>
      <w:marRight w:val="0"/>
      <w:marTop w:val="0"/>
      <w:marBottom w:val="0"/>
      <w:divBdr>
        <w:top w:val="none" w:sz="0" w:space="0" w:color="auto"/>
        <w:left w:val="none" w:sz="0" w:space="0" w:color="auto"/>
        <w:bottom w:val="none" w:sz="0" w:space="0" w:color="auto"/>
        <w:right w:val="none" w:sz="0" w:space="0" w:color="auto"/>
      </w:divBdr>
      <w:divsChild>
        <w:div w:id="85930958">
          <w:marLeft w:val="0"/>
          <w:marRight w:val="0"/>
          <w:marTop w:val="0"/>
          <w:marBottom w:val="0"/>
          <w:divBdr>
            <w:top w:val="none" w:sz="0" w:space="0" w:color="auto"/>
            <w:left w:val="none" w:sz="0" w:space="0" w:color="auto"/>
            <w:bottom w:val="none" w:sz="0" w:space="0" w:color="auto"/>
            <w:right w:val="none" w:sz="0" w:space="0" w:color="auto"/>
          </w:divBdr>
        </w:div>
      </w:divsChild>
    </w:div>
    <w:div w:id="2044743471">
      <w:bodyDiv w:val="1"/>
      <w:marLeft w:val="0"/>
      <w:marRight w:val="0"/>
      <w:marTop w:val="0"/>
      <w:marBottom w:val="0"/>
      <w:divBdr>
        <w:top w:val="none" w:sz="0" w:space="0" w:color="auto"/>
        <w:left w:val="none" w:sz="0" w:space="0" w:color="auto"/>
        <w:bottom w:val="none" w:sz="0" w:space="0" w:color="auto"/>
        <w:right w:val="none" w:sz="0" w:space="0" w:color="auto"/>
      </w:divBdr>
      <w:divsChild>
        <w:div w:id="264926850">
          <w:marLeft w:val="0"/>
          <w:marRight w:val="0"/>
          <w:marTop w:val="0"/>
          <w:marBottom w:val="0"/>
          <w:divBdr>
            <w:top w:val="none" w:sz="0" w:space="0" w:color="auto"/>
            <w:left w:val="none" w:sz="0" w:space="0" w:color="auto"/>
            <w:bottom w:val="none" w:sz="0" w:space="0" w:color="auto"/>
            <w:right w:val="none" w:sz="0" w:space="0" w:color="auto"/>
          </w:divBdr>
        </w:div>
        <w:div w:id="322006809">
          <w:marLeft w:val="0"/>
          <w:marRight w:val="0"/>
          <w:marTop w:val="0"/>
          <w:marBottom w:val="0"/>
          <w:divBdr>
            <w:top w:val="none" w:sz="0" w:space="0" w:color="auto"/>
            <w:left w:val="none" w:sz="0" w:space="0" w:color="auto"/>
            <w:bottom w:val="none" w:sz="0" w:space="0" w:color="auto"/>
            <w:right w:val="none" w:sz="0" w:space="0" w:color="auto"/>
          </w:divBdr>
        </w:div>
        <w:div w:id="456726544">
          <w:marLeft w:val="0"/>
          <w:marRight w:val="0"/>
          <w:marTop w:val="0"/>
          <w:marBottom w:val="0"/>
          <w:divBdr>
            <w:top w:val="none" w:sz="0" w:space="0" w:color="auto"/>
            <w:left w:val="none" w:sz="0" w:space="0" w:color="auto"/>
            <w:bottom w:val="none" w:sz="0" w:space="0" w:color="auto"/>
            <w:right w:val="none" w:sz="0" w:space="0" w:color="auto"/>
          </w:divBdr>
        </w:div>
        <w:div w:id="611862804">
          <w:marLeft w:val="0"/>
          <w:marRight w:val="0"/>
          <w:marTop w:val="0"/>
          <w:marBottom w:val="0"/>
          <w:divBdr>
            <w:top w:val="none" w:sz="0" w:space="0" w:color="auto"/>
            <w:left w:val="none" w:sz="0" w:space="0" w:color="auto"/>
            <w:bottom w:val="none" w:sz="0" w:space="0" w:color="auto"/>
            <w:right w:val="none" w:sz="0" w:space="0" w:color="auto"/>
          </w:divBdr>
        </w:div>
        <w:div w:id="631982110">
          <w:marLeft w:val="0"/>
          <w:marRight w:val="0"/>
          <w:marTop w:val="0"/>
          <w:marBottom w:val="0"/>
          <w:divBdr>
            <w:top w:val="none" w:sz="0" w:space="0" w:color="auto"/>
            <w:left w:val="none" w:sz="0" w:space="0" w:color="auto"/>
            <w:bottom w:val="none" w:sz="0" w:space="0" w:color="auto"/>
            <w:right w:val="none" w:sz="0" w:space="0" w:color="auto"/>
          </w:divBdr>
        </w:div>
        <w:div w:id="660431312">
          <w:marLeft w:val="0"/>
          <w:marRight w:val="0"/>
          <w:marTop w:val="0"/>
          <w:marBottom w:val="0"/>
          <w:divBdr>
            <w:top w:val="none" w:sz="0" w:space="0" w:color="auto"/>
            <w:left w:val="none" w:sz="0" w:space="0" w:color="auto"/>
            <w:bottom w:val="none" w:sz="0" w:space="0" w:color="auto"/>
            <w:right w:val="none" w:sz="0" w:space="0" w:color="auto"/>
          </w:divBdr>
        </w:div>
        <w:div w:id="690566985">
          <w:marLeft w:val="0"/>
          <w:marRight w:val="0"/>
          <w:marTop w:val="0"/>
          <w:marBottom w:val="0"/>
          <w:divBdr>
            <w:top w:val="none" w:sz="0" w:space="0" w:color="auto"/>
            <w:left w:val="none" w:sz="0" w:space="0" w:color="auto"/>
            <w:bottom w:val="none" w:sz="0" w:space="0" w:color="auto"/>
            <w:right w:val="none" w:sz="0" w:space="0" w:color="auto"/>
          </w:divBdr>
        </w:div>
        <w:div w:id="749546149">
          <w:marLeft w:val="0"/>
          <w:marRight w:val="0"/>
          <w:marTop w:val="0"/>
          <w:marBottom w:val="0"/>
          <w:divBdr>
            <w:top w:val="none" w:sz="0" w:space="0" w:color="auto"/>
            <w:left w:val="none" w:sz="0" w:space="0" w:color="auto"/>
            <w:bottom w:val="none" w:sz="0" w:space="0" w:color="auto"/>
            <w:right w:val="none" w:sz="0" w:space="0" w:color="auto"/>
          </w:divBdr>
        </w:div>
        <w:div w:id="863130055">
          <w:marLeft w:val="0"/>
          <w:marRight w:val="0"/>
          <w:marTop w:val="0"/>
          <w:marBottom w:val="0"/>
          <w:divBdr>
            <w:top w:val="none" w:sz="0" w:space="0" w:color="auto"/>
            <w:left w:val="none" w:sz="0" w:space="0" w:color="auto"/>
            <w:bottom w:val="none" w:sz="0" w:space="0" w:color="auto"/>
            <w:right w:val="none" w:sz="0" w:space="0" w:color="auto"/>
          </w:divBdr>
        </w:div>
        <w:div w:id="1024019176">
          <w:marLeft w:val="0"/>
          <w:marRight w:val="0"/>
          <w:marTop w:val="0"/>
          <w:marBottom w:val="0"/>
          <w:divBdr>
            <w:top w:val="none" w:sz="0" w:space="0" w:color="auto"/>
            <w:left w:val="none" w:sz="0" w:space="0" w:color="auto"/>
            <w:bottom w:val="none" w:sz="0" w:space="0" w:color="auto"/>
            <w:right w:val="none" w:sz="0" w:space="0" w:color="auto"/>
          </w:divBdr>
        </w:div>
        <w:div w:id="1169443061">
          <w:marLeft w:val="0"/>
          <w:marRight w:val="0"/>
          <w:marTop w:val="0"/>
          <w:marBottom w:val="0"/>
          <w:divBdr>
            <w:top w:val="none" w:sz="0" w:space="0" w:color="auto"/>
            <w:left w:val="none" w:sz="0" w:space="0" w:color="auto"/>
            <w:bottom w:val="none" w:sz="0" w:space="0" w:color="auto"/>
            <w:right w:val="none" w:sz="0" w:space="0" w:color="auto"/>
          </w:divBdr>
        </w:div>
        <w:div w:id="1276399650">
          <w:marLeft w:val="0"/>
          <w:marRight w:val="0"/>
          <w:marTop w:val="0"/>
          <w:marBottom w:val="0"/>
          <w:divBdr>
            <w:top w:val="none" w:sz="0" w:space="0" w:color="auto"/>
            <w:left w:val="none" w:sz="0" w:space="0" w:color="auto"/>
            <w:bottom w:val="none" w:sz="0" w:space="0" w:color="auto"/>
            <w:right w:val="none" w:sz="0" w:space="0" w:color="auto"/>
          </w:divBdr>
        </w:div>
        <w:div w:id="1441342804">
          <w:marLeft w:val="0"/>
          <w:marRight w:val="0"/>
          <w:marTop w:val="0"/>
          <w:marBottom w:val="0"/>
          <w:divBdr>
            <w:top w:val="none" w:sz="0" w:space="0" w:color="auto"/>
            <w:left w:val="none" w:sz="0" w:space="0" w:color="auto"/>
            <w:bottom w:val="none" w:sz="0" w:space="0" w:color="auto"/>
            <w:right w:val="none" w:sz="0" w:space="0" w:color="auto"/>
          </w:divBdr>
        </w:div>
        <w:div w:id="1453985036">
          <w:marLeft w:val="0"/>
          <w:marRight w:val="0"/>
          <w:marTop w:val="0"/>
          <w:marBottom w:val="0"/>
          <w:divBdr>
            <w:top w:val="none" w:sz="0" w:space="0" w:color="auto"/>
            <w:left w:val="none" w:sz="0" w:space="0" w:color="auto"/>
            <w:bottom w:val="none" w:sz="0" w:space="0" w:color="auto"/>
            <w:right w:val="none" w:sz="0" w:space="0" w:color="auto"/>
          </w:divBdr>
        </w:div>
        <w:div w:id="1807159812">
          <w:marLeft w:val="0"/>
          <w:marRight w:val="0"/>
          <w:marTop w:val="0"/>
          <w:marBottom w:val="0"/>
          <w:divBdr>
            <w:top w:val="none" w:sz="0" w:space="0" w:color="auto"/>
            <w:left w:val="none" w:sz="0" w:space="0" w:color="auto"/>
            <w:bottom w:val="none" w:sz="0" w:space="0" w:color="auto"/>
            <w:right w:val="none" w:sz="0" w:space="0" w:color="auto"/>
          </w:divBdr>
        </w:div>
        <w:div w:id="1963731764">
          <w:marLeft w:val="0"/>
          <w:marRight w:val="0"/>
          <w:marTop w:val="0"/>
          <w:marBottom w:val="0"/>
          <w:divBdr>
            <w:top w:val="none" w:sz="0" w:space="0" w:color="auto"/>
            <w:left w:val="none" w:sz="0" w:space="0" w:color="auto"/>
            <w:bottom w:val="none" w:sz="0" w:space="0" w:color="auto"/>
            <w:right w:val="none" w:sz="0" w:space="0" w:color="auto"/>
          </w:divBdr>
        </w:div>
        <w:div w:id="1964573369">
          <w:marLeft w:val="0"/>
          <w:marRight w:val="0"/>
          <w:marTop w:val="0"/>
          <w:marBottom w:val="0"/>
          <w:divBdr>
            <w:top w:val="none" w:sz="0" w:space="0" w:color="auto"/>
            <w:left w:val="none" w:sz="0" w:space="0" w:color="auto"/>
            <w:bottom w:val="none" w:sz="0" w:space="0" w:color="auto"/>
            <w:right w:val="none" w:sz="0" w:space="0" w:color="auto"/>
          </w:divBdr>
        </w:div>
        <w:div w:id="2016496771">
          <w:marLeft w:val="0"/>
          <w:marRight w:val="0"/>
          <w:marTop w:val="0"/>
          <w:marBottom w:val="0"/>
          <w:divBdr>
            <w:top w:val="none" w:sz="0" w:space="0" w:color="auto"/>
            <w:left w:val="none" w:sz="0" w:space="0" w:color="auto"/>
            <w:bottom w:val="none" w:sz="0" w:space="0" w:color="auto"/>
            <w:right w:val="none" w:sz="0" w:space="0" w:color="auto"/>
          </w:divBdr>
        </w:div>
        <w:div w:id="2118258253">
          <w:marLeft w:val="0"/>
          <w:marRight w:val="0"/>
          <w:marTop w:val="0"/>
          <w:marBottom w:val="0"/>
          <w:divBdr>
            <w:top w:val="none" w:sz="0" w:space="0" w:color="auto"/>
            <w:left w:val="none" w:sz="0" w:space="0" w:color="auto"/>
            <w:bottom w:val="none" w:sz="0" w:space="0" w:color="auto"/>
            <w:right w:val="none" w:sz="0" w:space="0" w:color="auto"/>
          </w:divBdr>
        </w:div>
      </w:divsChild>
    </w:div>
    <w:div w:id="2049916489">
      <w:bodyDiv w:val="1"/>
      <w:marLeft w:val="0"/>
      <w:marRight w:val="0"/>
      <w:marTop w:val="0"/>
      <w:marBottom w:val="0"/>
      <w:divBdr>
        <w:top w:val="none" w:sz="0" w:space="0" w:color="auto"/>
        <w:left w:val="none" w:sz="0" w:space="0" w:color="auto"/>
        <w:bottom w:val="none" w:sz="0" w:space="0" w:color="auto"/>
        <w:right w:val="none" w:sz="0" w:space="0" w:color="auto"/>
      </w:divBdr>
    </w:div>
    <w:div w:id="2050762663">
      <w:bodyDiv w:val="1"/>
      <w:marLeft w:val="0"/>
      <w:marRight w:val="0"/>
      <w:marTop w:val="0"/>
      <w:marBottom w:val="0"/>
      <w:divBdr>
        <w:top w:val="none" w:sz="0" w:space="0" w:color="auto"/>
        <w:left w:val="none" w:sz="0" w:space="0" w:color="auto"/>
        <w:bottom w:val="none" w:sz="0" w:space="0" w:color="auto"/>
        <w:right w:val="none" w:sz="0" w:space="0" w:color="auto"/>
      </w:divBdr>
      <w:divsChild>
        <w:div w:id="307711905">
          <w:marLeft w:val="0"/>
          <w:marRight w:val="0"/>
          <w:marTop w:val="0"/>
          <w:marBottom w:val="0"/>
          <w:divBdr>
            <w:top w:val="none" w:sz="0" w:space="0" w:color="auto"/>
            <w:left w:val="none" w:sz="0" w:space="0" w:color="auto"/>
            <w:bottom w:val="none" w:sz="0" w:space="0" w:color="auto"/>
            <w:right w:val="none" w:sz="0" w:space="0" w:color="auto"/>
          </w:divBdr>
        </w:div>
      </w:divsChild>
    </w:div>
    <w:div w:id="2051294001">
      <w:bodyDiv w:val="1"/>
      <w:marLeft w:val="0"/>
      <w:marRight w:val="0"/>
      <w:marTop w:val="0"/>
      <w:marBottom w:val="0"/>
      <w:divBdr>
        <w:top w:val="none" w:sz="0" w:space="0" w:color="auto"/>
        <w:left w:val="none" w:sz="0" w:space="0" w:color="auto"/>
        <w:bottom w:val="none" w:sz="0" w:space="0" w:color="auto"/>
        <w:right w:val="none" w:sz="0" w:space="0" w:color="auto"/>
      </w:divBdr>
    </w:div>
    <w:div w:id="2052680004">
      <w:bodyDiv w:val="1"/>
      <w:marLeft w:val="0"/>
      <w:marRight w:val="0"/>
      <w:marTop w:val="0"/>
      <w:marBottom w:val="0"/>
      <w:divBdr>
        <w:top w:val="none" w:sz="0" w:space="0" w:color="auto"/>
        <w:left w:val="none" w:sz="0" w:space="0" w:color="auto"/>
        <w:bottom w:val="none" w:sz="0" w:space="0" w:color="auto"/>
        <w:right w:val="none" w:sz="0" w:space="0" w:color="auto"/>
      </w:divBdr>
      <w:divsChild>
        <w:div w:id="1297832542">
          <w:marLeft w:val="0"/>
          <w:marRight w:val="0"/>
          <w:marTop w:val="0"/>
          <w:marBottom w:val="0"/>
          <w:divBdr>
            <w:top w:val="none" w:sz="0" w:space="0" w:color="auto"/>
            <w:left w:val="none" w:sz="0" w:space="0" w:color="auto"/>
            <w:bottom w:val="none" w:sz="0" w:space="0" w:color="auto"/>
            <w:right w:val="none" w:sz="0" w:space="0" w:color="auto"/>
          </w:divBdr>
        </w:div>
      </w:divsChild>
    </w:div>
    <w:div w:id="2058967144">
      <w:bodyDiv w:val="1"/>
      <w:marLeft w:val="0"/>
      <w:marRight w:val="0"/>
      <w:marTop w:val="0"/>
      <w:marBottom w:val="0"/>
      <w:divBdr>
        <w:top w:val="none" w:sz="0" w:space="0" w:color="auto"/>
        <w:left w:val="none" w:sz="0" w:space="0" w:color="auto"/>
        <w:bottom w:val="none" w:sz="0" w:space="0" w:color="auto"/>
        <w:right w:val="none" w:sz="0" w:space="0" w:color="auto"/>
      </w:divBdr>
      <w:divsChild>
        <w:div w:id="291637548">
          <w:marLeft w:val="0"/>
          <w:marRight w:val="0"/>
          <w:marTop w:val="0"/>
          <w:marBottom w:val="0"/>
          <w:divBdr>
            <w:top w:val="none" w:sz="0" w:space="0" w:color="auto"/>
            <w:left w:val="none" w:sz="0" w:space="0" w:color="auto"/>
            <w:bottom w:val="none" w:sz="0" w:space="0" w:color="auto"/>
            <w:right w:val="none" w:sz="0" w:space="0" w:color="auto"/>
          </w:divBdr>
        </w:div>
        <w:div w:id="922688954">
          <w:marLeft w:val="0"/>
          <w:marRight w:val="0"/>
          <w:marTop w:val="0"/>
          <w:marBottom w:val="0"/>
          <w:divBdr>
            <w:top w:val="none" w:sz="0" w:space="0" w:color="auto"/>
            <w:left w:val="none" w:sz="0" w:space="0" w:color="auto"/>
            <w:bottom w:val="none" w:sz="0" w:space="0" w:color="auto"/>
            <w:right w:val="none" w:sz="0" w:space="0" w:color="auto"/>
          </w:divBdr>
        </w:div>
        <w:div w:id="1139375814">
          <w:marLeft w:val="0"/>
          <w:marRight w:val="0"/>
          <w:marTop w:val="0"/>
          <w:marBottom w:val="0"/>
          <w:divBdr>
            <w:top w:val="none" w:sz="0" w:space="0" w:color="auto"/>
            <w:left w:val="none" w:sz="0" w:space="0" w:color="auto"/>
            <w:bottom w:val="none" w:sz="0" w:space="0" w:color="auto"/>
            <w:right w:val="none" w:sz="0" w:space="0" w:color="auto"/>
          </w:divBdr>
        </w:div>
        <w:div w:id="1613702813">
          <w:marLeft w:val="0"/>
          <w:marRight w:val="0"/>
          <w:marTop w:val="0"/>
          <w:marBottom w:val="0"/>
          <w:divBdr>
            <w:top w:val="none" w:sz="0" w:space="0" w:color="auto"/>
            <w:left w:val="none" w:sz="0" w:space="0" w:color="auto"/>
            <w:bottom w:val="none" w:sz="0" w:space="0" w:color="auto"/>
            <w:right w:val="none" w:sz="0" w:space="0" w:color="auto"/>
          </w:divBdr>
        </w:div>
        <w:div w:id="1850562564">
          <w:marLeft w:val="0"/>
          <w:marRight w:val="0"/>
          <w:marTop w:val="0"/>
          <w:marBottom w:val="0"/>
          <w:divBdr>
            <w:top w:val="none" w:sz="0" w:space="0" w:color="auto"/>
            <w:left w:val="none" w:sz="0" w:space="0" w:color="auto"/>
            <w:bottom w:val="none" w:sz="0" w:space="0" w:color="auto"/>
            <w:right w:val="none" w:sz="0" w:space="0" w:color="auto"/>
          </w:divBdr>
        </w:div>
        <w:div w:id="2064333276">
          <w:marLeft w:val="0"/>
          <w:marRight w:val="0"/>
          <w:marTop w:val="0"/>
          <w:marBottom w:val="0"/>
          <w:divBdr>
            <w:top w:val="none" w:sz="0" w:space="0" w:color="auto"/>
            <w:left w:val="none" w:sz="0" w:space="0" w:color="auto"/>
            <w:bottom w:val="none" w:sz="0" w:space="0" w:color="auto"/>
            <w:right w:val="none" w:sz="0" w:space="0" w:color="auto"/>
          </w:divBdr>
        </w:div>
      </w:divsChild>
    </w:div>
    <w:div w:id="2060785245">
      <w:bodyDiv w:val="1"/>
      <w:marLeft w:val="0"/>
      <w:marRight w:val="0"/>
      <w:marTop w:val="0"/>
      <w:marBottom w:val="0"/>
      <w:divBdr>
        <w:top w:val="none" w:sz="0" w:space="0" w:color="auto"/>
        <w:left w:val="none" w:sz="0" w:space="0" w:color="auto"/>
        <w:bottom w:val="none" w:sz="0" w:space="0" w:color="auto"/>
        <w:right w:val="none" w:sz="0" w:space="0" w:color="auto"/>
      </w:divBdr>
      <w:divsChild>
        <w:div w:id="90702940">
          <w:marLeft w:val="0"/>
          <w:marRight w:val="0"/>
          <w:marTop w:val="0"/>
          <w:marBottom w:val="0"/>
          <w:divBdr>
            <w:top w:val="none" w:sz="0" w:space="0" w:color="auto"/>
            <w:left w:val="none" w:sz="0" w:space="0" w:color="auto"/>
            <w:bottom w:val="none" w:sz="0" w:space="0" w:color="auto"/>
            <w:right w:val="none" w:sz="0" w:space="0" w:color="auto"/>
          </w:divBdr>
        </w:div>
        <w:div w:id="91363448">
          <w:marLeft w:val="0"/>
          <w:marRight w:val="0"/>
          <w:marTop w:val="0"/>
          <w:marBottom w:val="0"/>
          <w:divBdr>
            <w:top w:val="none" w:sz="0" w:space="0" w:color="auto"/>
            <w:left w:val="none" w:sz="0" w:space="0" w:color="auto"/>
            <w:bottom w:val="none" w:sz="0" w:space="0" w:color="auto"/>
            <w:right w:val="none" w:sz="0" w:space="0" w:color="auto"/>
          </w:divBdr>
        </w:div>
        <w:div w:id="186993840">
          <w:marLeft w:val="0"/>
          <w:marRight w:val="0"/>
          <w:marTop w:val="0"/>
          <w:marBottom w:val="0"/>
          <w:divBdr>
            <w:top w:val="none" w:sz="0" w:space="0" w:color="auto"/>
            <w:left w:val="none" w:sz="0" w:space="0" w:color="auto"/>
            <w:bottom w:val="none" w:sz="0" w:space="0" w:color="auto"/>
            <w:right w:val="none" w:sz="0" w:space="0" w:color="auto"/>
          </w:divBdr>
        </w:div>
        <w:div w:id="258148955">
          <w:marLeft w:val="0"/>
          <w:marRight w:val="0"/>
          <w:marTop w:val="0"/>
          <w:marBottom w:val="0"/>
          <w:divBdr>
            <w:top w:val="none" w:sz="0" w:space="0" w:color="auto"/>
            <w:left w:val="none" w:sz="0" w:space="0" w:color="auto"/>
            <w:bottom w:val="none" w:sz="0" w:space="0" w:color="auto"/>
            <w:right w:val="none" w:sz="0" w:space="0" w:color="auto"/>
          </w:divBdr>
        </w:div>
        <w:div w:id="293869680">
          <w:marLeft w:val="0"/>
          <w:marRight w:val="0"/>
          <w:marTop w:val="0"/>
          <w:marBottom w:val="0"/>
          <w:divBdr>
            <w:top w:val="none" w:sz="0" w:space="0" w:color="auto"/>
            <w:left w:val="none" w:sz="0" w:space="0" w:color="auto"/>
            <w:bottom w:val="none" w:sz="0" w:space="0" w:color="auto"/>
            <w:right w:val="none" w:sz="0" w:space="0" w:color="auto"/>
          </w:divBdr>
        </w:div>
        <w:div w:id="350228667">
          <w:marLeft w:val="0"/>
          <w:marRight w:val="0"/>
          <w:marTop w:val="0"/>
          <w:marBottom w:val="0"/>
          <w:divBdr>
            <w:top w:val="none" w:sz="0" w:space="0" w:color="auto"/>
            <w:left w:val="none" w:sz="0" w:space="0" w:color="auto"/>
            <w:bottom w:val="none" w:sz="0" w:space="0" w:color="auto"/>
            <w:right w:val="none" w:sz="0" w:space="0" w:color="auto"/>
          </w:divBdr>
        </w:div>
        <w:div w:id="370153508">
          <w:marLeft w:val="0"/>
          <w:marRight w:val="0"/>
          <w:marTop w:val="0"/>
          <w:marBottom w:val="0"/>
          <w:divBdr>
            <w:top w:val="none" w:sz="0" w:space="0" w:color="auto"/>
            <w:left w:val="none" w:sz="0" w:space="0" w:color="auto"/>
            <w:bottom w:val="none" w:sz="0" w:space="0" w:color="auto"/>
            <w:right w:val="none" w:sz="0" w:space="0" w:color="auto"/>
          </w:divBdr>
        </w:div>
        <w:div w:id="413744008">
          <w:marLeft w:val="0"/>
          <w:marRight w:val="0"/>
          <w:marTop w:val="0"/>
          <w:marBottom w:val="0"/>
          <w:divBdr>
            <w:top w:val="none" w:sz="0" w:space="0" w:color="auto"/>
            <w:left w:val="none" w:sz="0" w:space="0" w:color="auto"/>
            <w:bottom w:val="none" w:sz="0" w:space="0" w:color="auto"/>
            <w:right w:val="none" w:sz="0" w:space="0" w:color="auto"/>
          </w:divBdr>
        </w:div>
        <w:div w:id="495847941">
          <w:marLeft w:val="0"/>
          <w:marRight w:val="0"/>
          <w:marTop w:val="0"/>
          <w:marBottom w:val="0"/>
          <w:divBdr>
            <w:top w:val="none" w:sz="0" w:space="0" w:color="auto"/>
            <w:left w:val="none" w:sz="0" w:space="0" w:color="auto"/>
            <w:bottom w:val="none" w:sz="0" w:space="0" w:color="auto"/>
            <w:right w:val="none" w:sz="0" w:space="0" w:color="auto"/>
          </w:divBdr>
        </w:div>
        <w:div w:id="543642325">
          <w:marLeft w:val="0"/>
          <w:marRight w:val="0"/>
          <w:marTop w:val="0"/>
          <w:marBottom w:val="0"/>
          <w:divBdr>
            <w:top w:val="none" w:sz="0" w:space="0" w:color="auto"/>
            <w:left w:val="none" w:sz="0" w:space="0" w:color="auto"/>
            <w:bottom w:val="none" w:sz="0" w:space="0" w:color="auto"/>
            <w:right w:val="none" w:sz="0" w:space="0" w:color="auto"/>
          </w:divBdr>
        </w:div>
        <w:div w:id="571160689">
          <w:marLeft w:val="0"/>
          <w:marRight w:val="0"/>
          <w:marTop w:val="0"/>
          <w:marBottom w:val="0"/>
          <w:divBdr>
            <w:top w:val="none" w:sz="0" w:space="0" w:color="auto"/>
            <w:left w:val="none" w:sz="0" w:space="0" w:color="auto"/>
            <w:bottom w:val="none" w:sz="0" w:space="0" w:color="auto"/>
            <w:right w:val="none" w:sz="0" w:space="0" w:color="auto"/>
          </w:divBdr>
        </w:div>
        <w:div w:id="584455766">
          <w:marLeft w:val="0"/>
          <w:marRight w:val="0"/>
          <w:marTop w:val="0"/>
          <w:marBottom w:val="0"/>
          <w:divBdr>
            <w:top w:val="none" w:sz="0" w:space="0" w:color="auto"/>
            <w:left w:val="none" w:sz="0" w:space="0" w:color="auto"/>
            <w:bottom w:val="none" w:sz="0" w:space="0" w:color="auto"/>
            <w:right w:val="none" w:sz="0" w:space="0" w:color="auto"/>
          </w:divBdr>
        </w:div>
        <w:div w:id="596715556">
          <w:marLeft w:val="0"/>
          <w:marRight w:val="0"/>
          <w:marTop w:val="0"/>
          <w:marBottom w:val="0"/>
          <w:divBdr>
            <w:top w:val="none" w:sz="0" w:space="0" w:color="auto"/>
            <w:left w:val="none" w:sz="0" w:space="0" w:color="auto"/>
            <w:bottom w:val="none" w:sz="0" w:space="0" w:color="auto"/>
            <w:right w:val="none" w:sz="0" w:space="0" w:color="auto"/>
          </w:divBdr>
        </w:div>
        <w:div w:id="689259751">
          <w:marLeft w:val="0"/>
          <w:marRight w:val="0"/>
          <w:marTop w:val="0"/>
          <w:marBottom w:val="0"/>
          <w:divBdr>
            <w:top w:val="none" w:sz="0" w:space="0" w:color="auto"/>
            <w:left w:val="none" w:sz="0" w:space="0" w:color="auto"/>
            <w:bottom w:val="none" w:sz="0" w:space="0" w:color="auto"/>
            <w:right w:val="none" w:sz="0" w:space="0" w:color="auto"/>
          </w:divBdr>
        </w:div>
        <w:div w:id="711685635">
          <w:marLeft w:val="0"/>
          <w:marRight w:val="0"/>
          <w:marTop w:val="0"/>
          <w:marBottom w:val="0"/>
          <w:divBdr>
            <w:top w:val="none" w:sz="0" w:space="0" w:color="auto"/>
            <w:left w:val="none" w:sz="0" w:space="0" w:color="auto"/>
            <w:bottom w:val="none" w:sz="0" w:space="0" w:color="auto"/>
            <w:right w:val="none" w:sz="0" w:space="0" w:color="auto"/>
          </w:divBdr>
        </w:div>
        <w:div w:id="716667647">
          <w:marLeft w:val="0"/>
          <w:marRight w:val="0"/>
          <w:marTop w:val="0"/>
          <w:marBottom w:val="0"/>
          <w:divBdr>
            <w:top w:val="none" w:sz="0" w:space="0" w:color="auto"/>
            <w:left w:val="none" w:sz="0" w:space="0" w:color="auto"/>
            <w:bottom w:val="none" w:sz="0" w:space="0" w:color="auto"/>
            <w:right w:val="none" w:sz="0" w:space="0" w:color="auto"/>
          </w:divBdr>
        </w:div>
        <w:div w:id="737751075">
          <w:marLeft w:val="0"/>
          <w:marRight w:val="0"/>
          <w:marTop w:val="0"/>
          <w:marBottom w:val="0"/>
          <w:divBdr>
            <w:top w:val="none" w:sz="0" w:space="0" w:color="auto"/>
            <w:left w:val="none" w:sz="0" w:space="0" w:color="auto"/>
            <w:bottom w:val="none" w:sz="0" w:space="0" w:color="auto"/>
            <w:right w:val="none" w:sz="0" w:space="0" w:color="auto"/>
          </w:divBdr>
        </w:div>
        <w:div w:id="774056522">
          <w:marLeft w:val="0"/>
          <w:marRight w:val="0"/>
          <w:marTop w:val="0"/>
          <w:marBottom w:val="0"/>
          <w:divBdr>
            <w:top w:val="none" w:sz="0" w:space="0" w:color="auto"/>
            <w:left w:val="none" w:sz="0" w:space="0" w:color="auto"/>
            <w:bottom w:val="none" w:sz="0" w:space="0" w:color="auto"/>
            <w:right w:val="none" w:sz="0" w:space="0" w:color="auto"/>
          </w:divBdr>
        </w:div>
        <w:div w:id="777025832">
          <w:marLeft w:val="0"/>
          <w:marRight w:val="0"/>
          <w:marTop w:val="0"/>
          <w:marBottom w:val="0"/>
          <w:divBdr>
            <w:top w:val="none" w:sz="0" w:space="0" w:color="auto"/>
            <w:left w:val="none" w:sz="0" w:space="0" w:color="auto"/>
            <w:bottom w:val="none" w:sz="0" w:space="0" w:color="auto"/>
            <w:right w:val="none" w:sz="0" w:space="0" w:color="auto"/>
          </w:divBdr>
        </w:div>
        <w:div w:id="841311518">
          <w:marLeft w:val="0"/>
          <w:marRight w:val="0"/>
          <w:marTop w:val="0"/>
          <w:marBottom w:val="0"/>
          <w:divBdr>
            <w:top w:val="none" w:sz="0" w:space="0" w:color="auto"/>
            <w:left w:val="none" w:sz="0" w:space="0" w:color="auto"/>
            <w:bottom w:val="none" w:sz="0" w:space="0" w:color="auto"/>
            <w:right w:val="none" w:sz="0" w:space="0" w:color="auto"/>
          </w:divBdr>
        </w:div>
        <w:div w:id="942299080">
          <w:marLeft w:val="0"/>
          <w:marRight w:val="0"/>
          <w:marTop w:val="0"/>
          <w:marBottom w:val="0"/>
          <w:divBdr>
            <w:top w:val="none" w:sz="0" w:space="0" w:color="auto"/>
            <w:left w:val="none" w:sz="0" w:space="0" w:color="auto"/>
            <w:bottom w:val="none" w:sz="0" w:space="0" w:color="auto"/>
            <w:right w:val="none" w:sz="0" w:space="0" w:color="auto"/>
          </w:divBdr>
        </w:div>
        <w:div w:id="992097325">
          <w:marLeft w:val="0"/>
          <w:marRight w:val="0"/>
          <w:marTop w:val="0"/>
          <w:marBottom w:val="0"/>
          <w:divBdr>
            <w:top w:val="none" w:sz="0" w:space="0" w:color="auto"/>
            <w:left w:val="none" w:sz="0" w:space="0" w:color="auto"/>
            <w:bottom w:val="none" w:sz="0" w:space="0" w:color="auto"/>
            <w:right w:val="none" w:sz="0" w:space="0" w:color="auto"/>
          </w:divBdr>
        </w:div>
        <w:div w:id="1005863933">
          <w:marLeft w:val="0"/>
          <w:marRight w:val="0"/>
          <w:marTop w:val="0"/>
          <w:marBottom w:val="0"/>
          <w:divBdr>
            <w:top w:val="none" w:sz="0" w:space="0" w:color="auto"/>
            <w:left w:val="none" w:sz="0" w:space="0" w:color="auto"/>
            <w:bottom w:val="none" w:sz="0" w:space="0" w:color="auto"/>
            <w:right w:val="none" w:sz="0" w:space="0" w:color="auto"/>
          </w:divBdr>
        </w:div>
        <w:div w:id="1130125218">
          <w:marLeft w:val="0"/>
          <w:marRight w:val="0"/>
          <w:marTop w:val="0"/>
          <w:marBottom w:val="0"/>
          <w:divBdr>
            <w:top w:val="none" w:sz="0" w:space="0" w:color="auto"/>
            <w:left w:val="none" w:sz="0" w:space="0" w:color="auto"/>
            <w:bottom w:val="none" w:sz="0" w:space="0" w:color="auto"/>
            <w:right w:val="none" w:sz="0" w:space="0" w:color="auto"/>
          </w:divBdr>
        </w:div>
        <w:div w:id="1140809436">
          <w:marLeft w:val="0"/>
          <w:marRight w:val="0"/>
          <w:marTop w:val="0"/>
          <w:marBottom w:val="0"/>
          <w:divBdr>
            <w:top w:val="none" w:sz="0" w:space="0" w:color="auto"/>
            <w:left w:val="none" w:sz="0" w:space="0" w:color="auto"/>
            <w:bottom w:val="none" w:sz="0" w:space="0" w:color="auto"/>
            <w:right w:val="none" w:sz="0" w:space="0" w:color="auto"/>
          </w:divBdr>
        </w:div>
        <w:div w:id="1198933813">
          <w:marLeft w:val="0"/>
          <w:marRight w:val="0"/>
          <w:marTop w:val="0"/>
          <w:marBottom w:val="0"/>
          <w:divBdr>
            <w:top w:val="none" w:sz="0" w:space="0" w:color="auto"/>
            <w:left w:val="none" w:sz="0" w:space="0" w:color="auto"/>
            <w:bottom w:val="none" w:sz="0" w:space="0" w:color="auto"/>
            <w:right w:val="none" w:sz="0" w:space="0" w:color="auto"/>
          </w:divBdr>
        </w:div>
        <w:div w:id="1199777950">
          <w:marLeft w:val="0"/>
          <w:marRight w:val="0"/>
          <w:marTop w:val="0"/>
          <w:marBottom w:val="0"/>
          <w:divBdr>
            <w:top w:val="none" w:sz="0" w:space="0" w:color="auto"/>
            <w:left w:val="none" w:sz="0" w:space="0" w:color="auto"/>
            <w:bottom w:val="none" w:sz="0" w:space="0" w:color="auto"/>
            <w:right w:val="none" w:sz="0" w:space="0" w:color="auto"/>
          </w:divBdr>
        </w:div>
        <w:div w:id="1248155747">
          <w:marLeft w:val="0"/>
          <w:marRight w:val="0"/>
          <w:marTop w:val="0"/>
          <w:marBottom w:val="0"/>
          <w:divBdr>
            <w:top w:val="none" w:sz="0" w:space="0" w:color="auto"/>
            <w:left w:val="none" w:sz="0" w:space="0" w:color="auto"/>
            <w:bottom w:val="none" w:sz="0" w:space="0" w:color="auto"/>
            <w:right w:val="none" w:sz="0" w:space="0" w:color="auto"/>
          </w:divBdr>
        </w:div>
        <w:div w:id="1257978334">
          <w:marLeft w:val="0"/>
          <w:marRight w:val="0"/>
          <w:marTop w:val="0"/>
          <w:marBottom w:val="0"/>
          <w:divBdr>
            <w:top w:val="none" w:sz="0" w:space="0" w:color="auto"/>
            <w:left w:val="none" w:sz="0" w:space="0" w:color="auto"/>
            <w:bottom w:val="none" w:sz="0" w:space="0" w:color="auto"/>
            <w:right w:val="none" w:sz="0" w:space="0" w:color="auto"/>
          </w:divBdr>
        </w:div>
        <w:div w:id="1284075399">
          <w:marLeft w:val="0"/>
          <w:marRight w:val="0"/>
          <w:marTop w:val="0"/>
          <w:marBottom w:val="0"/>
          <w:divBdr>
            <w:top w:val="none" w:sz="0" w:space="0" w:color="auto"/>
            <w:left w:val="none" w:sz="0" w:space="0" w:color="auto"/>
            <w:bottom w:val="none" w:sz="0" w:space="0" w:color="auto"/>
            <w:right w:val="none" w:sz="0" w:space="0" w:color="auto"/>
          </w:divBdr>
        </w:div>
        <w:div w:id="1313563220">
          <w:marLeft w:val="0"/>
          <w:marRight w:val="0"/>
          <w:marTop w:val="0"/>
          <w:marBottom w:val="0"/>
          <w:divBdr>
            <w:top w:val="none" w:sz="0" w:space="0" w:color="auto"/>
            <w:left w:val="none" w:sz="0" w:space="0" w:color="auto"/>
            <w:bottom w:val="none" w:sz="0" w:space="0" w:color="auto"/>
            <w:right w:val="none" w:sz="0" w:space="0" w:color="auto"/>
          </w:divBdr>
        </w:div>
        <w:div w:id="1317801137">
          <w:marLeft w:val="0"/>
          <w:marRight w:val="0"/>
          <w:marTop w:val="0"/>
          <w:marBottom w:val="0"/>
          <w:divBdr>
            <w:top w:val="none" w:sz="0" w:space="0" w:color="auto"/>
            <w:left w:val="none" w:sz="0" w:space="0" w:color="auto"/>
            <w:bottom w:val="none" w:sz="0" w:space="0" w:color="auto"/>
            <w:right w:val="none" w:sz="0" w:space="0" w:color="auto"/>
          </w:divBdr>
        </w:div>
        <w:div w:id="1319580865">
          <w:marLeft w:val="0"/>
          <w:marRight w:val="0"/>
          <w:marTop w:val="0"/>
          <w:marBottom w:val="0"/>
          <w:divBdr>
            <w:top w:val="none" w:sz="0" w:space="0" w:color="auto"/>
            <w:left w:val="none" w:sz="0" w:space="0" w:color="auto"/>
            <w:bottom w:val="none" w:sz="0" w:space="0" w:color="auto"/>
            <w:right w:val="none" w:sz="0" w:space="0" w:color="auto"/>
          </w:divBdr>
        </w:div>
        <w:div w:id="1336804439">
          <w:marLeft w:val="0"/>
          <w:marRight w:val="0"/>
          <w:marTop w:val="0"/>
          <w:marBottom w:val="0"/>
          <w:divBdr>
            <w:top w:val="none" w:sz="0" w:space="0" w:color="auto"/>
            <w:left w:val="none" w:sz="0" w:space="0" w:color="auto"/>
            <w:bottom w:val="none" w:sz="0" w:space="0" w:color="auto"/>
            <w:right w:val="none" w:sz="0" w:space="0" w:color="auto"/>
          </w:divBdr>
        </w:div>
        <w:div w:id="1363091123">
          <w:marLeft w:val="0"/>
          <w:marRight w:val="0"/>
          <w:marTop w:val="0"/>
          <w:marBottom w:val="0"/>
          <w:divBdr>
            <w:top w:val="none" w:sz="0" w:space="0" w:color="auto"/>
            <w:left w:val="none" w:sz="0" w:space="0" w:color="auto"/>
            <w:bottom w:val="none" w:sz="0" w:space="0" w:color="auto"/>
            <w:right w:val="none" w:sz="0" w:space="0" w:color="auto"/>
          </w:divBdr>
        </w:div>
        <w:div w:id="1431660041">
          <w:marLeft w:val="0"/>
          <w:marRight w:val="0"/>
          <w:marTop w:val="0"/>
          <w:marBottom w:val="0"/>
          <w:divBdr>
            <w:top w:val="none" w:sz="0" w:space="0" w:color="auto"/>
            <w:left w:val="none" w:sz="0" w:space="0" w:color="auto"/>
            <w:bottom w:val="none" w:sz="0" w:space="0" w:color="auto"/>
            <w:right w:val="none" w:sz="0" w:space="0" w:color="auto"/>
          </w:divBdr>
        </w:div>
        <w:div w:id="1436707157">
          <w:marLeft w:val="0"/>
          <w:marRight w:val="0"/>
          <w:marTop w:val="0"/>
          <w:marBottom w:val="0"/>
          <w:divBdr>
            <w:top w:val="none" w:sz="0" w:space="0" w:color="auto"/>
            <w:left w:val="none" w:sz="0" w:space="0" w:color="auto"/>
            <w:bottom w:val="none" w:sz="0" w:space="0" w:color="auto"/>
            <w:right w:val="none" w:sz="0" w:space="0" w:color="auto"/>
          </w:divBdr>
        </w:div>
        <w:div w:id="1509173854">
          <w:marLeft w:val="0"/>
          <w:marRight w:val="0"/>
          <w:marTop w:val="0"/>
          <w:marBottom w:val="0"/>
          <w:divBdr>
            <w:top w:val="none" w:sz="0" w:space="0" w:color="auto"/>
            <w:left w:val="none" w:sz="0" w:space="0" w:color="auto"/>
            <w:bottom w:val="none" w:sz="0" w:space="0" w:color="auto"/>
            <w:right w:val="none" w:sz="0" w:space="0" w:color="auto"/>
          </w:divBdr>
        </w:div>
        <w:div w:id="1511993393">
          <w:marLeft w:val="0"/>
          <w:marRight w:val="0"/>
          <w:marTop w:val="0"/>
          <w:marBottom w:val="0"/>
          <w:divBdr>
            <w:top w:val="none" w:sz="0" w:space="0" w:color="auto"/>
            <w:left w:val="none" w:sz="0" w:space="0" w:color="auto"/>
            <w:bottom w:val="none" w:sz="0" w:space="0" w:color="auto"/>
            <w:right w:val="none" w:sz="0" w:space="0" w:color="auto"/>
          </w:divBdr>
        </w:div>
        <w:div w:id="1513569718">
          <w:marLeft w:val="0"/>
          <w:marRight w:val="0"/>
          <w:marTop w:val="0"/>
          <w:marBottom w:val="0"/>
          <w:divBdr>
            <w:top w:val="none" w:sz="0" w:space="0" w:color="auto"/>
            <w:left w:val="none" w:sz="0" w:space="0" w:color="auto"/>
            <w:bottom w:val="none" w:sz="0" w:space="0" w:color="auto"/>
            <w:right w:val="none" w:sz="0" w:space="0" w:color="auto"/>
          </w:divBdr>
        </w:div>
        <w:div w:id="1525099389">
          <w:marLeft w:val="0"/>
          <w:marRight w:val="0"/>
          <w:marTop w:val="0"/>
          <w:marBottom w:val="0"/>
          <w:divBdr>
            <w:top w:val="none" w:sz="0" w:space="0" w:color="auto"/>
            <w:left w:val="none" w:sz="0" w:space="0" w:color="auto"/>
            <w:bottom w:val="none" w:sz="0" w:space="0" w:color="auto"/>
            <w:right w:val="none" w:sz="0" w:space="0" w:color="auto"/>
          </w:divBdr>
        </w:div>
        <w:div w:id="1565405378">
          <w:marLeft w:val="0"/>
          <w:marRight w:val="0"/>
          <w:marTop w:val="0"/>
          <w:marBottom w:val="0"/>
          <w:divBdr>
            <w:top w:val="none" w:sz="0" w:space="0" w:color="auto"/>
            <w:left w:val="none" w:sz="0" w:space="0" w:color="auto"/>
            <w:bottom w:val="none" w:sz="0" w:space="0" w:color="auto"/>
            <w:right w:val="none" w:sz="0" w:space="0" w:color="auto"/>
          </w:divBdr>
        </w:div>
        <w:div w:id="1580213600">
          <w:marLeft w:val="0"/>
          <w:marRight w:val="0"/>
          <w:marTop w:val="0"/>
          <w:marBottom w:val="0"/>
          <w:divBdr>
            <w:top w:val="none" w:sz="0" w:space="0" w:color="auto"/>
            <w:left w:val="none" w:sz="0" w:space="0" w:color="auto"/>
            <w:bottom w:val="none" w:sz="0" w:space="0" w:color="auto"/>
            <w:right w:val="none" w:sz="0" w:space="0" w:color="auto"/>
          </w:divBdr>
        </w:div>
        <w:div w:id="1593051730">
          <w:marLeft w:val="0"/>
          <w:marRight w:val="0"/>
          <w:marTop w:val="0"/>
          <w:marBottom w:val="0"/>
          <w:divBdr>
            <w:top w:val="none" w:sz="0" w:space="0" w:color="auto"/>
            <w:left w:val="none" w:sz="0" w:space="0" w:color="auto"/>
            <w:bottom w:val="none" w:sz="0" w:space="0" w:color="auto"/>
            <w:right w:val="none" w:sz="0" w:space="0" w:color="auto"/>
          </w:divBdr>
        </w:div>
        <w:div w:id="1708725325">
          <w:marLeft w:val="0"/>
          <w:marRight w:val="0"/>
          <w:marTop w:val="0"/>
          <w:marBottom w:val="0"/>
          <w:divBdr>
            <w:top w:val="none" w:sz="0" w:space="0" w:color="auto"/>
            <w:left w:val="none" w:sz="0" w:space="0" w:color="auto"/>
            <w:bottom w:val="none" w:sz="0" w:space="0" w:color="auto"/>
            <w:right w:val="none" w:sz="0" w:space="0" w:color="auto"/>
          </w:divBdr>
        </w:div>
        <w:div w:id="1735353222">
          <w:marLeft w:val="0"/>
          <w:marRight w:val="0"/>
          <w:marTop w:val="0"/>
          <w:marBottom w:val="0"/>
          <w:divBdr>
            <w:top w:val="none" w:sz="0" w:space="0" w:color="auto"/>
            <w:left w:val="none" w:sz="0" w:space="0" w:color="auto"/>
            <w:bottom w:val="none" w:sz="0" w:space="0" w:color="auto"/>
            <w:right w:val="none" w:sz="0" w:space="0" w:color="auto"/>
          </w:divBdr>
        </w:div>
        <w:div w:id="1784180498">
          <w:marLeft w:val="0"/>
          <w:marRight w:val="0"/>
          <w:marTop w:val="0"/>
          <w:marBottom w:val="0"/>
          <w:divBdr>
            <w:top w:val="none" w:sz="0" w:space="0" w:color="auto"/>
            <w:left w:val="none" w:sz="0" w:space="0" w:color="auto"/>
            <w:bottom w:val="none" w:sz="0" w:space="0" w:color="auto"/>
            <w:right w:val="none" w:sz="0" w:space="0" w:color="auto"/>
          </w:divBdr>
        </w:div>
        <w:div w:id="1838382873">
          <w:marLeft w:val="0"/>
          <w:marRight w:val="0"/>
          <w:marTop w:val="0"/>
          <w:marBottom w:val="0"/>
          <w:divBdr>
            <w:top w:val="none" w:sz="0" w:space="0" w:color="auto"/>
            <w:left w:val="none" w:sz="0" w:space="0" w:color="auto"/>
            <w:bottom w:val="none" w:sz="0" w:space="0" w:color="auto"/>
            <w:right w:val="none" w:sz="0" w:space="0" w:color="auto"/>
          </w:divBdr>
        </w:div>
        <w:div w:id="1846240549">
          <w:marLeft w:val="0"/>
          <w:marRight w:val="0"/>
          <w:marTop w:val="0"/>
          <w:marBottom w:val="0"/>
          <w:divBdr>
            <w:top w:val="none" w:sz="0" w:space="0" w:color="auto"/>
            <w:left w:val="none" w:sz="0" w:space="0" w:color="auto"/>
            <w:bottom w:val="none" w:sz="0" w:space="0" w:color="auto"/>
            <w:right w:val="none" w:sz="0" w:space="0" w:color="auto"/>
          </w:divBdr>
        </w:div>
        <w:div w:id="1853496834">
          <w:marLeft w:val="0"/>
          <w:marRight w:val="0"/>
          <w:marTop w:val="0"/>
          <w:marBottom w:val="0"/>
          <w:divBdr>
            <w:top w:val="none" w:sz="0" w:space="0" w:color="auto"/>
            <w:left w:val="none" w:sz="0" w:space="0" w:color="auto"/>
            <w:bottom w:val="none" w:sz="0" w:space="0" w:color="auto"/>
            <w:right w:val="none" w:sz="0" w:space="0" w:color="auto"/>
          </w:divBdr>
        </w:div>
        <w:div w:id="1874344562">
          <w:marLeft w:val="0"/>
          <w:marRight w:val="0"/>
          <w:marTop w:val="0"/>
          <w:marBottom w:val="0"/>
          <w:divBdr>
            <w:top w:val="none" w:sz="0" w:space="0" w:color="auto"/>
            <w:left w:val="none" w:sz="0" w:space="0" w:color="auto"/>
            <w:bottom w:val="none" w:sz="0" w:space="0" w:color="auto"/>
            <w:right w:val="none" w:sz="0" w:space="0" w:color="auto"/>
          </w:divBdr>
        </w:div>
        <w:div w:id="1878081628">
          <w:marLeft w:val="0"/>
          <w:marRight w:val="0"/>
          <w:marTop w:val="0"/>
          <w:marBottom w:val="0"/>
          <w:divBdr>
            <w:top w:val="none" w:sz="0" w:space="0" w:color="auto"/>
            <w:left w:val="none" w:sz="0" w:space="0" w:color="auto"/>
            <w:bottom w:val="none" w:sz="0" w:space="0" w:color="auto"/>
            <w:right w:val="none" w:sz="0" w:space="0" w:color="auto"/>
          </w:divBdr>
        </w:div>
        <w:div w:id="1885097427">
          <w:marLeft w:val="0"/>
          <w:marRight w:val="0"/>
          <w:marTop w:val="0"/>
          <w:marBottom w:val="0"/>
          <w:divBdr>
            <w:top w:val="none" w:sz="0" w:space="0" w:color="auto"/>
            <w:left w:val="none" w:sz="0" w:space="0" w:color="auto"/>
            <w:bottom w:val="none" w:sz="0" w:space="0" w:color="auto"/>
            <w:right w:val="none" w:sz="0" w:space="0" w:color="auto"/>
          </w:divBdr>
        </w:div>
        <w:div w:id="1885167079">
          <w:marLeft w:val="0"/>
          <w:marRight w:val="0"/>
          <w:marTop w:val="0"/>
          <w:marBottom w:val="0"/>
          <w:divBdr>
            <w:top w:val="none" w:sz="0" w:space="0" w:color="auto"/>
            <w:left w:val="none" w:sz="0" w:space="0" w:color="auto"/>
            <w:bottom w:val="none" w:sz="0" w:space="0" w:color="auto"/>
            <w:right w:val="none" w:sz="0" w:space="0" w:color="auto"/>
          </w:divBdr>
        </w:div>
        <w:div w:id="1888450518">
          <w:marLeft w:val="0"/>
          <w:marRight w:val="0"/>
          <w:marTop w:val="0"/>
          <w:marBottom w:val="0"/>
          <w:divBdr>
            <w:top w:val="none" w:sz="0" w:space="0" w:color="auto"/>
            <w:left w:val="none" w:sz="0" w:space="0" w:color="auto"/>
            <w:bottom w:val="none" w:sz="0" w:space="0" w:color="auto"/>
            <w:right w:val="none" w:sz="0" w:space="0" w:color="auto"/>
          </w:divBdr>
        </w:div>
        <w:div w:id="1890338466">
          <w:marLeft w:val="0"/>
          <w:marRight w:val="0"/>
          <w:marTop w:val="0"/>
          <w:marBottom w:val="0"/>
          <w:divBdr>
            <w:top w:val="none" w:sz="0" w:space="0" w:color="auto"/>
            <w:left w:val="none" w:sz="0" w:space="0" w:color="auto"/>
            <w:bottom w:val="none" w:sz="0" w:space="0" w:color="auto"/>
            <w:right w:val="none" w:sz="0" w:space="0" w:color="auto"/>
          </w:divBdr>
        </w:div>
        <w:div w:id="1906644415">
          <w:marLeft w:val="0"/>
          <w:marRight w:val="0"/>
          <w:marTop w:val="0"/>
          <w:marBottom w:val="0"/>
          <w:divBdr>
            <w:top w:val="none" w:sz="0" w:space="0" w:color="auto"/>
            <w:left w:val="none" w:sz="0" w:space="0" w:color="auto"/>
            <w:bottom w:val="none" w:sz="0" w:space="0" w:color="auto"/>
            <w:right w:val="none" w:sz="0" w:space="0" w:color="auto"/>
          </w:divBdr>
        </w:div>
        <w:div w:id="1926375222">
          <w:marLeft w:val="0"/>
          <w:marRight w:val="0"/>
          <w:marTop w:val="0"/>
          <w:marBottom w:val="0"/>
          <w:divBdr>
            <w:top w:val="none" w:sz="0" w:space="0" w:color="auto"/>
            <w:left w:val="none" w:sz="0" w:space="0" w:color="auto"/>
            <w:bottom w:val="none" w:sz="0" w:space="0" w:color="auto"/>
            <w:right w:val="none" w:sz="0" w:space="0" w:color="auto"/>
          </w:divBdr>
        </w:div>
        <w:div w:id="2013953149">
          <w:marLeft w:val="0"/>
          <w:marRight w:val="0"/>
          <w:marTop w:val="0"/>
          <w:marBottom w:val="0"/>
          <w:divBdr>
            <w:top w:val="none" w:sz="0" w:space="0" w:color="auto"/>
            <w:left w:val="none" w:sz="0" w:space="0" w:color="auto"/>
            <w:bottom w:val="none" w:sz="0" w:space="0" w:color="auto"/>
            <w:right w:val="none" w:sz="0" w:space="0" w:color="auto"/>
          </w:divBdr>
        </w:div>
        <w:div w:id="2066827226">
          <w:marLeft w:val="0"/>
          <w:marRight w:val="0"/>
          <w:marTop w:val="0"/>
          <w:marBottom w:val="0"/>
          <w:divBdr>
            <w:top w:val="none" w:sz="0" w:space="0" w:color="auto"/>
            <w:left w:val="none" w:sz="0" w:space="0" w:color="auto"/>
            <w:bottom w:val="none" w:sz="0" w:space="0" w:color="auto"/>
            <w:right w:val="none" w:sz="0" w:space="0" w:color="auto"/>
          </w:divBdr>
        </w:div>
        <w:div w:id="2084788740">
          <w:marLeft w:val="0"/>
          <w:marRight w:val="0"/>
          <w:marTop w:val="0"/>
          <w:marBottom w:val="0"/>
          <w:divBdr>
            <w:top w:val="none" w:sz="0" w:space="0" w:color="auto"/>
            <w:left w:val="none" w:sz="0" w:space="0" w:color="auto"/>
            <w:bottom w:val="none" w:sz="0" w:space="0" w:color="auto"/>
            <w:right w:val="none" w:sz="0" w:space="0" w:color="auto"/>
          </w:divBdr>
        </w:div>
        <w:div w:id="2093962057">
          <w:marLeft w:val="0"/>
          <w:marRight w:val="0"/>
          <w:marTop w:val="0"/>
          <w:marBottom w:val="0"/>
          <w:divBdr>
            <w:top w:val="none" w:sz="0" w:space="0" w:color="auto"/>
            <w:left w:val="none" w:sz="0" w:space="0" w:color="auto"/>
            <w:bottom w:val="none" w:sz="0" w:space="0" w:color="auto"/>
            <w:right w:val="none" w:sz="0" w:space="0" w:color="auto"/>
          </w:divBdr>
        </w:div>
        <w:div w:id="2120100792">
          <w:marLeft w:val="0"/>
          <w:marRight w:val="0"/>
          <w:marTop w:val="0"/>
          <w:marBottom w:val="0"/>
          <w:divBdr>
            <w:top w:val="none" w:sz="0" w:space="0" w:color="auto"/>
            <w:left w:val="none" w:sz="0" w:space="0" w:color="auto"/>
            <w:bottom w:val="none" w:sz="0" w:space="0" w:color="auto"/>
            <w:right w:val="none" w:sz="0" w:space="0" w:color="auto"/>
          </w:divBdr>
        </w:div>
        <w:div w:id="2122526193">
          <w:marLeft w:val="0"/>
          <w:marRight w:val="0"/>
          <w:marTop w:val="0"/>
          <w:marBottom w:val="0"/>
          <w:divBdr>
            <w:top w:val="none" w:sz="0" w:space="0" w:color="auto"/>
            <w:left w:val="none" w:sz="0" w:space="0" w:color="auto"/>
            <w:bottom w:val="none" w:sz="0" w:space="0" w:color="auto"/>
            <w:right w:val="none" w:sz="0" w:space="0" w:color="auto"/>
          </w:divBdr>
        </w:div>
        <w:div w:id="2126728196">
          <w:marLeft w:val="0"/>
          <w:marRight w:val="0"/>
          <w:marTop w:val="0"/>
          <w:marBottom w:val="0"/>
          <w:divBdr>
            <w:top w:val="none" w:sz="0" w:space="0" w:color="auto"/>
            <w:left w:val="none" w:sz="0" w:space="0" w:color="auto"/>
            <w:bottom w:val="none" w:sz="0" w:space="0" w:color="auto"/>
            <w:right w:val="none" w:sz="0" w:space="0" w:color="auto"/>
          </w:divBdr>
        </w:div>
      </w:divsChild>
    </w:div>
    <w:div w:id="2061051080">
      <w:bodyDiv w:val="1"/>
      <w:marLeft w:val="0"/>
      <w:marRight w:val="0"/>
      <w:marTop w:val="0"/>
      <w:marBottom w:val="0"/>
      <w:divBdr>
        <w:top w:val="none" w:sz="0" w:space="0" w:color="auto"/>
        <w:left w:val="none" w:sz="0" w:space="0" w:color="auto"/>
        <w:bottom w:val="none" w:sz="0" w:space="0" w:color="auto"/>
        <w:right w:val="none" w:sz="0" w:space="0" w:color="auto"/>
      </w:divBdr>
      <w:divsChild>
        <w:div w:id="166139953">
          <w:marLeft w:val="0"/>
          <w:marRight w:val="0"/>
          <w:marTop w:val="0"/>
          <w:marBottom w:val="0"/>
          <w:divBdr>
            <w:top w:val="none" w:sz="0" w:space="0" w:color="auto"/>
            <w:left w:val="none" w:sz="0" w:space="0" w:color="auto"/>
            <w:bottom w:val="none" w:sz="0" w:space="0" w:color="auto"/>
            <w:right w:val="none" w:sz="0" w:space="0" w:color="auto"/>
          </w:divBdr>
        </w:div>
        <w:div w:id="541091556">
          <w:marLeft w:val="0"/>
          <w:marRight w:val="0"/>
          <w:marTop w:val="0"/>
          <w:marBottom w:val="0"/>
          <w:divBdr>
            <w:top w:val="none" w:sz="0" w:space="0" w:color="auto"/>
            <w:left w:val="none" w:sz="0" w:space="0" w:color="auto"/>
            <w:bottom w:val="none" w:sz="0" w:space="0" w:color="auto"/>
            <w:right w:val="none" w:sz="0" w:space="0" w:color="auto"/>
          </w:divBdr>
        </w:div>
        <w:div w:id="634027001">
          <w:marLeft w:val="0"/>
          <w:marRight w:val="0"/>
          <w:marTop w:val="0"/>
          <w:marBottom w:val="0"/>
          <w:divBdr>
            <w:top w:val="none" w:sz="0" w:space="0" w:color="auto"/>
            <w:left w:val="none" w:sz="0" w:space="0" w:color="auto"/>
            <w:bottom w:val="none" w:sz="0" w:space="0" w:color="auto"/>
            <w:right w:val="none" w:sz="0" w:space="0" w:color="auto"/>
          </w:divBdr>
        </w:div>
        <w:div w:id="721759322">
          <w:marLeft w:val="0"/>
          <w:marRight w:val="0"/>
          <w:marTop w:val="0"/>
          <w:marBottom w:val="0"/>
          <w:divBdr>
            <w:top w:val="none" w:sz="0" w:space="0" w:color="auto"/>
            <w:left w:val="none" w:sz="0" w:space="0" w:color="auto"/>
            <w:bottom w:val="none" w:sz="0" w:space="0" w:color="auto"/>
            <w:right w:val="none" w:sz="0" w:space="0" w:color="auto"/>
          </w:divBdr>
        </w:div>
        <w:div w:id="735861324">
          <w:marLeft w:val="0"/>
          <w:marRight w:val="0"/>
          <w:marTop w:val="0"/>
          <w:marBottom w:val="0"/>
          <w:divBdr>
            <w:top w:val="none" w:sz="0" w:space="0" w:color="auto"/>
            <w:left w:val="none" w:sz="0" w:space="0" w:color="auto"/>
            <w:bottom w:val="none" w:sz="0" w:space="0" w:color="auto"/>
            <w:right w:val="none" w:sz="0" w:space="0" w:color="auto"/>
          </w:divBdr>
        </w:div>
        <w:div w:id="819463178">
          <w:marLeft w:val="0"/>
          <w:marRight w:val="0"/>
          <w:marTop w:val="0"/>
          <w:marBottom w:val="0"/>
          <w:divBdr>
            <w:top w:val="none" w:sz="0" w:space="0" w:color="auto"/>
            <w:left w:val="none" w:sz="0" w:space="0" w:color="auto"/>
            <w:bottom w:val="none" w:sz="0" w:space="0" w:color="auto"/>
            <w:right w:val="none" w:sz="0" w:space="0" w:color="auto"/>
          </w:divBdr>
        </w:div>
        <w:div w:id="823667768">
          <w:marLeft w:val="0"/>
          <w:marRight w:val="0"/>
          <w:marTop w:val="0"/>
          <w:marBottom w:val="0"/>
          <w:divBdr>
            <w:top w:val="none" w:sz="0" w:space="0" w:color="auto"/>
            <w:left w:val="none" w:sz="0" w:space="0" w:color="auto"/>
            <w:bottom w:val="none" w:sz="0" w:space="0" w:color="auto"/>
            <w:right w:val="none" w:sz="0" w:space="0" w:color="auto"/>
          </w:divBdr>
        </w:div>
        <w:div w:id="914360655">
          <w:marLeft w:val="0"/>
          <w:marRight w:val="0"/>
          <w:marTop w:val="0"/>
          <w:marBottom w:val="0"/>
          <w:divBdr>
            <w:top w:val="none" w:sz="0" w:space="0" w:color="auto"/>
            <w:left w:val="none" w:sz="0" w:space="0" w:color="auto"/>
            <w:bottom w:val="none" w:sz="0" w:space="0" w:color="auto"/>
            <w:right w:val="none" w:sz="0" w:space="0" w:color="auto"/>
          </w:divBdr>
        </w:div>
        <w:div w:id="1137185561">
          <w:marLeft w:val="0"/>
          <w:marRight w:val="0"/>
          <w:marTop w:val="0"/>
          <w:marBottom w:val="0"/>
          <w:divBdr>
            <w:top w:val="none" w:sz="0" w:space="0" w:color="auto"/>
            <w:left w:val="none" w:sz="0" w:space="0" w:color="auto"/>
            <w:bottom w:val="none" w:sz="0" w:space="0" w:color="auto"/>
            <w:right w:val="none" w:sz="0" w:space="0" w:color="auto"/>
          </w:divBdr>
        </w:div>
        <w:div w:id="1825782161">
          <w:marLeft w:val="0"/>
          <w:marRight w:val="0"/>
          <w:marTop w:val="0"/>
          <w:marBottom w:val="0"/>
          <w:divBdr>
            <w:top w:val="none" w:sz="0" w:space="0" w:color="auto"/>
            <w:left w:val="none" w:sz="0" w:space="0" w:color="auto"/>
            <w:bottom w:val="none" w:sz="0" w:space="0" w:color="auto"/>
            <w:right w:val="none" w:sz="0" w:space="0" w:color="auto"/>
          </w:divBdr>
        </w:div>
        <w:div w:id="1851724290">
          <w:marLeft w:val="0"/>
          <w:marRight w:val="0"/>
          <w:marTop w:val="0"/>
          <w:marBottom w:val="0"/>
          <w:divBdr>
            <w:top w:val="none" w:sz="0" w:space="0" w:color="auto"/>
            <w:left w:val="none" w:sz="0" w:space="0" w:color="auto"/>
            <w:bottom w:val="none" w:sz="0" w:space="0" w:color="auto"/>
            <w:right w:val="none" w:sz="0" w:space="0" w:color="auto"/>
          </w:divBdr>
        </w:div>
        <w:div w:id="1879314383">
          <w:marLeft w:val="0"/>
          <w:marRight w:val="0"/>
          <w:marTop w:val="0"/>
          <w:marBottom w:val="0"/>
          <w:divBdr>
            <w:top w:val="none" w:sz="0" w:space="0" w:color="auto"/>
            <w:left w:val="none" w:sz="0" w:space="0" w:color="auto"/>
            <w:bottom w:val="none" w:sz="0" w:space="0" w:color="auto"/>
            <w:right w:val="none" w:sz="0" w:space="0" w:color="auto"/>
          </w:divBdr>
        </w:div>
        <w:div w:id="1967814799">
          <w:marLeft w:val="0"/>
          <w:marRight w:val="0"/>
          <w:marTop w:val="0"/>
          <w:marBottom w:val="0"/>
          <w:divBdr>
            <w:top w:val="none" w:sz="0" w:space="0" w:color="auto"/>
            <w:left w:val="none" w:sz="0" w:space="0" w:color="auto"/>
            <w:bottom w:val="none" w:sz="0" w:space="0" w:color="auto"/>
            <w:right w:val="none" w:sz="0" w:space="0" w:color="auto"/>
          </w:divBdr>
        </w:div>
      </w:divsChild>
    </w:div>
    <w:div w:id="2061174525">
      <w:bodyDiv w:val="1"/>
      <w:marLeft w:val="0"/>
      <w:marRight w:val="0"/>
      <w:marTop w:val="0"/>
      <w:marBottom w:val="0"/>
      <w:divBdr>
        <w:top w:val="none" w:sz="0" w:space="0" w:color="auto"/>
        <w:left w:val="none" w:sz="0" w:space="0" w:color="auto"/>
        <w:bottom w:val="none" w:sz="0" w:space="0" w:color="auto"/>
        <w:right w:val="none" w:sz="0" w:space="0" w:color="auto"/>
      </w:divBdr>
      <w:divsChild>
        <w:div w:id="19548021">
          <w:marLeft w:val="0"/>
          <w:marRight w:val="0"/>
          <w:marTop w:val="0"/>
          <w:marBottom w:val="0"/>
          <w:divBdr>
            <w:top w:val="none" w:sz="0" w:space="0" w:color="auto"/>
            <w:left w:val="none" w:sz="0" w:space="0" w:color="auto"/>
            <w:bottom w:val="none" w:sz="0" w:space="0" w:color="auto"/>
            <w:right w:val="none" w:sz="0" w:space="0" w:color="auto"/>
          </w:divBdr>
        </w:div>
        <w:div w:id="26494747">
          <w:marLeft w:val="0"/>
          <w:marRight w:val="0"/>
          <w:marTop w:val="0"/>
          <w:marBottom w:val="0"/>
          <w:divBdr>
            <w:top w:val="none" w:sz="0" w:space="0" w:color="auto"/>
            <w:left w:val="none" w:sz="0" w:space="0" w:color="auto"/>
            <w:bottom w:val="none" w:sz="0" w:space="0" w:color="auto"/>
            <w:right w:val="none" w:sz="0" w:space="0" w:color="auto"/>
          </w:divBdr>
        </w:div>
        <w:div w:id="40519752">
          <w:marLeft w:val="0"/>
          <w:marRight w:val="0"/>
          <w:marTop w:val="0"/>
          <w:marBottom w:val="0"/>
          <w:divBdr>
            <w:top w:val="none" w:sz="0" w:space="0" w:color="auto"/>
            <w:left w:val="none" w:sz="0" w:space="0" w:color="auto"/>
            <w:bottom w:val="none" w:sz="0" w:space="0" w:color="auto"/>
            <w:right w:val="none" w:sz="0" w:space="0" w:color="auto"/>
          </w:divBdr>
        </w:div>
        <w:div w:id="51581415">
          <w:marLeft w:val="0"/>
          <w:marRight w:val="0"/>
          <w:marTop w:val="0"/>
          <w:marBottom w:val="0"/>
          <w:divBdr>
            <w:top w:val="none" w:sz="0" w:space="0" w:color="auto"/>
            <w:left w:val="none" w:sz="0" w:space="0" w:color="auto"/>
            <w:bottom w:val="none" w:sz="0" w:space="0" w:color="auto"/>
            <w:right w:val="none" w:sz="0" w:space="0" w:color="auto"/>
          </w:divBdr>
        </w:div>
        <w:div w:id="390269922">
          <w:marLeft w:val="0"/>
          <w:marRight w:val="0"/>
          <w:marTop w:val="0"/>
          <w:marBottom w:val="0"/>
          <w:divBdr>
            <w:top w:val="none" w:sz="0" w:space="0" w:color="auto"/>
            <w:left w:val="none" w:sz="0" w:space="0" w:color="auto"/>
            <w:bottom w:val="none" w:sz="0" w:space="0" w:color="auto"/>
            <w:right w:val="none" w:sz="0" w:space="0" w:color="auto"/>
          </w:divBdr>
        </w:div>
        <w:div w:id="514617331">
          <w:marLeft w:val="0"/>
          <w:marRight w:val="0"/>
          <w:marTop w:val="0"/>
          <w:marBottom w:val="0"/>
          <w:divBdr>
            <w:top w:val="none" w:sz="0" w:space="0" w:color="auto"/>
            <w:left w:val="none" w:sz="0" w:space="0" w:color="auto"/>
            <w:bottom w:val="none" w:sz="0" w:space="0" w:color="auto"/>
            <w:right w:val="none" w:sz="0" w:space="0" w:color="auto"/>
          </w:divBdr>
        </w:div>
        <w:div w:id="576134746">
          <w:marLeft w:val="0"/>
          <w:marRight w:val="0"/>
          <w:marTop w:val="0"/>
          <w:marBottom w:val="0"/>
          <w:divBdr>
            <w:top w:val="none" w:sz="0" w:space="0" w:color="auto"/>
            <w:left w:val="none" w:sz="0" w:space="0" w:color="auto"/>
            <w:bottom w:val="none" w:sz="0" w:space="0" w:color="auto"/>
            <w:right w:val="none" w:sz="0" w:space="0" w:color="auto"/>
          </w:divBdr>
        </w:div>
        <w:div w:id="607471103">
          <w:marLeft w:val="0"/>
          <w:marRight w:val="0"/>
          <w:marTop w:val="0"/>
          <w:marBottom w:val="0"/>
          <w:divBdr>
            <w:top w:val="none" w:sz="0" w:space="0" w:color="auto"/>
            <w:left w:val="none" w:sz="0" w:space="0" w:color="auto"/>
            <w:bottom w:val="none" w:sz="0" w:space="0" w:color="auto"/>
            <w:right w:val="none" w:sz="0" w:space="0" w:color="auto"/>
          </w:divBdr>
        </w:div>
        <w:div w:id="682052677">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937786939">
          <w:marLeft w:val="0"/>
          <w:marRight w:val="0"/>
          <w:marTop w:val="0"/>
          <w:marBottom w:val="0"/>
          <w:divBdr>
            <w:top w:val="none" w:sz="0" w:space="0" w:color="auto"/>
            <w:left w:val="none" w:sz="0" w:space="0" w:color="auto"/>
            <w:bottom w:val="none" w:sz="0" w:space="0" w:color="auto"/>
            <w:right w:val="none" w:sz="0" w:space="0" w:color="auto"/>
          </w:divBdr>
        </w:div>
        <w:div w:id="979261756">
          <w:marLeft w:val="0"/>
          <w:marRight w:val="0"/>
          <w:marTop w:val="0"/>
          <w:marBottom w:val="0"/>
          <w:divBdr>
            <w:top w:val="none" w:sz="0" w:space="0" w:color="auto"/>
            <w:left w:val="none" w:sz="0" w:space="0" w:color="auto"/>
            <w:bottom w:val="none" w:sz="0" w:space="0" w:color="auto"/>
            <w:right w:val="none" w:sz="0" w:space="0" w:color="auto"/>
          </w:divBdr>
        </w:div>
        <w:div w:id="1016076845">
          <w:marLeft w:val="0"/>
          <w:marRight w:val="0"/>
          <w:marTop w:val="0"/>
          <w:marBottom w:val="0"/>
          <w:divBdr>
            <w:top w:val="none" w:sz="0" w:space="0" w:color="auto"/>
            <w:left w:val="none" w:sz="0" w:space="0" w:color="auto"/>
            <w:bottom w:val="none" w:sz="0" w:space="0" w:color="auto"/>
            <w:right w:val="none" w:sz="0" w:space="0" w:color="auto"/>
          </w:divBdr>
        </w:div>
        <w:div w:id="1080523816">
          <w:marLeft w:val="0"/>
          <w:marRight w:val="0"/>
          <w:marTop w:val="0"/>
          <w:marBottom w:val="0"/>
          <w:divBdr>
            <w:top w:val="none" w:sz="0" w:space="0" w:color="auto"/>
            <w:left w:val="none" w:sz="0" w:space="0" w:color="auto"/>
            <w:bottom w:val="none" w:sz="0" w:space="0" w:color="auto"/>
            <w:right w:val="none" w:sz="0" w:space="0" w:color="auto"/>
          </w:divBdr>
        </w:div>
        <w:div w:id="1114440923">
          <w:marLeft w:val="0"/>
          <w:marRight w:val="0"/>
          <w:marTop w:val="0"/>
          <w:marBottom w:val="0"/>
          <w:divBdr>
            <w:top w:val="none" w:sz="0" w:space="0" w:color="auto"/>
            <w:left w:val="none" w:sz="0" w:space="0" w:color="auto"/>
            <w:bottom w:val="none" w:sz="0" w:space="0" w:color="auto"/>
            <w:right w:val="none" w:sz="0" w:space="0" w:color="auto"/>
          </w:divBdr>
        </w:div>
        <w:div w:id="1140421687">
          <w:marLeft w:val="0"/>
          <w:marRight w:val="0"/>
          <w:marTop w:val="0"/>
          <w:marBottom w:val="0"/>
          <w:divBdr>
            <w:top w:val="none" w:sz="0" w:space="0" w:color="auto"/>
            <w:left w:val="none" w:sz="0" w:space="0" w:color="auto"/>
            <w:bottom w:val="none" w:sz="0" w:space="0" w:color="auto"/>
            <w:right w:val="none" w:sz="0" w:space="0" w:color="auto"/>
          </w:divBdr>
        </w:div>
        <w:div w:id="1148588934">
          <w:marLeft w:val="0"/>
          <w:marRight w:val="0"/>
          <w:marTop w:val="0"/>
          <w:marBottom w:val="0"/>
          <w:divBdr>
            <w:top w:val="none" w:sz="0" w:space="0" w:color="auto"/>
            <w:left w:val="none" w:sz="0" w:space="0" w:color="auto"/>
            <w:bottom w:val="none" w:sz="0" w:space="0" w:color="auto"/>
            <w:right w:val="none" w:sz="0" w:space="0" w:color="auto"/>
          </w:divBdr>
        </w:div>
        <w:div w:id="1235512065">
          <w:marLeft w:val="0"/>
          <w:marRight w:val="0"/>
          <w:marTop w:val="0"/>
          <w:marBottom w:val="0"/>
          <w:divBdr>
            <w:top w:val="none" w:sz="0" w:space="0" w:color="auto"/>
            <w:left w:val="none" w:sz="0" w:space="0" w:color="auto"/>
            <w:bottom w:val="none" w:sz="0" w:space="0" w:color="auto"/>
            <w:right w:val="none" w:sz="0" w:space="0" w:color="auto"/>
          </w:divBdr>
        </w:div>
        <w:div w:id="1239292770">
          <w:marLeft w:val="0"/>
          <w:marRight w:val="0"/>
          <w:marTop w:val="0"/>
          <w:marBottom w:val="0"/>
          <w:divBdr>
            <w:top w:val="none" w:sz="0" w:space="0" w:color="auto"/>
            <w:left w:val="none" w:sz="0" w:space="0" w:color="auto"/>
            <w:bottom w:val="none" w:sz="0" w:space="0" w:color="auto"/>
            <w:right w:val="none" w:sz="0" w:space="0" w:color="auto"/>
          </w:divBdr>
        </w:div>
        <w:div w:id="1411465756">
          <w:marLeft w:val="0"/>
          <w:marRight w:val="0"/>
          <w:marTop w:val="0"/>
          <w:marBottom w:val="0"/>
          <w:divBdr>
            <w:top w:val="none" w:sz="0" w:space="0" w:color="auto"/>
            <w:left w:val="none" w:sz="0" w:space="0" w:color="auto"/>
            <w:bottom w:val="none" w:sz="0" w:space="0" w:color="auto"/>
            <w:right w:val="none" w:sz="0" w:space="0" w:color="auto"/>
          </w:divBdr>
        </w:div>
        <w:div w:id="1453748892">
          <w:marLeft w:val="0"/>
          <w:marRight w:val="0"/>
          <w:marTop w:val="0"/>
          <w:marBottom w:val="0"/>
          <w:divBdr>
            <w:top w:val="none" w:sz="0" w:space="0" w:color="auto"/>
            <w:left w:val="none" w:sz="0" w:space="0" w:color="auto"/>
            <w:bottom w:val="none" w:sz="0" w:space="0" w:color="auto"/>
            <w:right w:val="none" w:sz="0" w:space="0" w:color="auto"/>
          </w:divBdr>
        </w:div>
        <w:div w:id="1471361887">
          <w:marLeft w:val="0"/>
          <w:marRight w:val="0"/>
          <w:marTop w:val="0"/>
          <w:marBottom w:val="0"/>
          <w:divBdr>
            <w:top w:val="none" w:sz="0" w:space="0" w:color="auto"/>
            <w:left w:val="none" w:sz="0" w:space="0" w:color="auto"/>
            <w:bottom w:val="none" w:sz="0" w:space="0" w:color="auto"/>
            <w:right w:val="none" w:sz="0" w:space="0" w:color="auto"/>
          </w:divBdr>
        </w:div>
        <w:div w:id="1527670423">
          <w:marLeft w:val="0"/>
          <w:marRight w:val="0"/>
          <w:marTop w:val="0"/>
          <w:marBottom w:val="0"/>
          <w:divBdr>
            <w:top w:val="none" w:sz="0" w:space="0" w:color="auto"/>
            <w:left w:val="none" w:sz="0" w:space="0" w:color="auto"/>
            <w:bottom w:val="none" w:sz="0" w:space="0" w:color="auto"/>
            <w:right w:val="none" w:sz="0" w:space="0" w:color="auto"/>
          </w:divBdr>
        </w:div>
        <w:div w:id="1559583363">
          <w:marLeft w:val="0"/>
          <w:marRight w:val="0"/>
          <w:marTop w:val="0"/>
          <w:marBottom w:val="0"/>
          <w:divBdr>
            <w:top w:val="none" w:sz="0" w:space="0" w:color="auto"/>
            <w:left w:val="none" w:sz="0" w:space="0" w:color="auto"/>
            <w:bottom w:val="none" w:sz="0" w:space="0" w:color="auto"/>
            <w:right w:val="none" w:sz="0" w:space="0" w:color="auto"/>
          </w:divBdr>
        </w:div>
        <w:div w:id="1590969578">
          <w:marLeft w:val="0"/>
          <w:marRight w:val="0"/>
          <w:marTop w:val="0"/>
          <w:marBottom w:val="0"/>
          <w:divBdr>
            <w:top w:val="none" w:sz="0" w:space="0" w:color="auto"/>
            <w:left w:val="none" w:sz="0" w:space="0" w:color="auto"/>
            <w:bottom w:val="none" w:sz="0" w:space="0" w:color="auto"/>
            <w:right w:val="none" w:sz="0" w:space="0" w:color="auto"/>
          </w:divBdr>
        </w:div>
        <w:div w:id="1644431285">
          <w:marLeft w:val="0"/>
          <w:marRight w:val="0"/>
          <w:marTop w:val="0"/>
          <w:marBottom w:val="0"/>
          <w:divBdr>
            <w:top w:val="none" w:sz="0" w:space="0" w:color="auto"/>
            <w:left w:val="none" w:sz="0" w:space="0" w:color="auto"/>
            <w:bottom w:val="none" w:sz="0" w:space="0" w:color="auto"/>
            <w:right w:val="none" w:sz="0" w:space="0" w:color="auto"/>
          </w:divBdr>
        </w:div>
        <w:div w:id="1649048866">
          <w:marLeft w:val="0"/>
          <w:marRight w:val="0"/>
          <w:marTop w:val="0"/>
          <w:marBottom w:val="0"/>
          <w:divBdr>
            <w:top w:val="none" w:sz="0" w:space="0" w:color="auto"/>
            <w:left w:val="none" w:sz="0" w:space="0" w:color="auto"/>
            <w:bottom w:val="none" w:sz="0" w:space="0" w:color="auto"/>
            <w:right w:val="none" w:sz="0" w:space="0" w:color="auto"/>
          </w:divBdr>
        </w:div>
        <w:div w:id="1687094758">
          <w:marLeft w:val="0"/>
          <w:marRight w:val="0"/>
          <w:marTop w:val="0"/>
          <w:marBottom w:val="0"/>
          <w:divBdr>
            <w:top w:val="none" w:sz="0" w:space="0" w:color="auto"/>
            <w:left w:val="none" w:sz="0" w:space="0" w:color="auto"/>
            <w:bottom w:val="none" w:sz="0" w:space="0" w:color="auto"/>
            <w:right w:val="none" w:sz="0" w:space="0" w:color="auto"/>
          </w:divBdr>
        </w:div>
        <w:div w:id="1733967211">
          <w:marLeft w:val="0"/>
          <w:marRight w:val="0"/>
          <w:marTop w:val="0"/>
          <w:marBottom w:val="0"/>
          <w:divBdr>
            <w:top w:val="none" w:sz="0" w:space="0" w:color="auto"/>
            <w:left w:val="none" w:sz="0" w:space="0" w:color="auto"/>
            <w:bottom w:val="none" w:sz="0" w:space="0" w:color="auto"/>
            <w:right w:val="none" w:sz="0" w:space="0" w:color="auto"/>
          </w:divBdr>
        </w:div>
        <w:div w:id="1837962989">
          <w:marLeft w:val="0"/>
          <w:marRight w:val="0"/>
          <w:marTop w:val="0"/>
          <w:marBottom w:val="0"/>
          <w:divBdr>
            <w:top w:val="none" w:sz="0" w:space="0" w:color="auto"/>
            <w:left w:val="none" w:sz="0" w:space="0" w:color="auto"/>
            <w:bottom w:val="none" w:sz="0" w:space="0" w:color="auto"/>
            <w:right w:val="none" w:sz="0" w:space="0" w:color="auto"/>
          </w:divBdr>
        </w:div>
        <w:div w:id="1851485603">
          <w:marLeft w:val="0"/>
          <w:marRight w:val="0"/>
          <w:marTop w:val="0"/>
          <w:marBottom w:val="0"/>
          <w:divBdr>
            <w:top w:val="none" w:sz="0" w:space="0" w:color="auto"/>
            <w:left w:val="none" w:sz="0" w:space="0" w:color="auto"/>
            <w:bottom w:val="none" w:sz="0" w:space="0" w:color="auto"/>
            <w:right w:val="none" w:sz="0" w:space="0" w:color="auto"/>
          </w:divBdr>
        </w:div>
      </w:divsChild>
    </w:div>
    <w:div w:id="2061202835">
      <w:bodyDiv w:val="1"/>
      <w:marLeft w:val="0"/>
      <w:marRight w:val="0"/>
      <w:marTop w:val="0"/>
      <w:marBottom w:val="0"/>
      <w:divBdr>
        <w:top w:val="none" w:sz="0" w:space="0" w:color="auto"/>
        <w:left w:val="none" w:sz="0" w:space="0" w:color="auto"/>
        <w:bottom w:val="none" w:sz="0" w:space="0" w:color="auto"/>
        <w:right w:val="none" w:sz="0" w:space="0" w:color="auto"/>
      </w:divBdr>
      <w:divsChild>
        <w:div w:id="62145418">
          <w:marLeft w:val="0"/>
          <w:marRight w:val="0"/>
          <w:marTop w:val="0"/>
          <w:marBottom w:val="0"/>
          <w:divBdr>
            <w:top w:val="none" w:sz="0" w:space="0" w:color="auto"/>
            <w:left w:val="none" w:sz="0" w:space="0" w:color="auto"/>
            <w:bottom w:val="none" w:sz="0" w:space="0" w:color="auto"/>
            <w:right w:val="none" w:sz="0" w:space="0" w:color="auto"/>
          </w:divBdr>
        </w:div>
        <w:div w:id="62800800">
          <w:marLeft w:val="0"/>
          <w:marRight w:val="0"/>
          <w:marTop w:val="0"/>
          <w:marBottom w:val="0"/>
          <w:divBdr>
            <w:top w:val="none" w:sz="0" w:space="0" w:color="auto"/>
            <w:left w:val="none" w:sz="0" w:space="0" w:color="auto"/>
            <w:bottom w:val="none" w:sz="0" w:space="0" w:color="auto"/>
            <w:right w:val="none" w:sz="0" w:space="0" w:color="auto"/>
          </w:divBdr>
        </w:div>
        <w:div w:id="80958268">
          <w:marLeft w:val="0"/>
          <w:marRight w:val="0"/>
          <w:marTop w:val="0"/>
          <w:marBottom w:val="0"/>
          <w:divBdr>
            <w:top w:val="none" w:sz="0" w:space="0" w:color="auto"/>
            <w:left w:val="none" w:sz="0" w:space="0" w:color="auto"/>
            <w:bottom w:val="none" w:sz="0" w:space="0" w:color="auto"/>
            <w:right w:val="none" w:sz="0" w:space="0" w:color="auto"/>
          </w:divBdr>
        </w:div>
        <w:div w:id="182282883">
          <w:marLeft w:val="0"/>
          <w:marRight w:val="0"/>
          <w:marTop w:val="0"/>
          <w:marBottom w:val="0"/>
          <w:divBdr>
            <w:top w:val="none" w:sz="0" w:space="0" w:color="auto"/>
            <w:left w:val="none" w:sz="0" w:space="0" w:color="auto"/>
            <w:bottom w:val="none" w:sz="0" w:space="0" w:color="auto"/>
            <w:right w:val="none" w:sz="0" w:space="0" w:color="auto"/>
          </w:divBdr>
        </w:div>
        <w:div w:id="274555124">
          <w:marLeft w:val="0"/>
          <w:marRight w:val="0"/>
          <w:marTop w:val="0"/>
          <w:marBottom w:val="0"/>
          <w:divBdr>
            <w:top w:val="none" w:sz="0" w:space="0" w:color="auto"/>
            <w:left w:val="none" w:sz="0" w:space="0" w:color="auto"/>
            <w:bottom w:val="none" w:sz="0" w:space="0" w:color="auto"/>
            <w:right w:val="none" w:sz="0" w:space="0" w:color="auto"/>
          </w:divBdr>
        </w:div>
        <w:div w:id="316735891">
          <w:marLeft w:val="0"/>
          <w:marRight w:val="0"/>
          <w:marTop w:val="0"/>
          <w:marBottom w:val="0"/>
          <w:divBdr>
            <w:top w:val="none" w:sz="0" w:space="0" w:color="auto"/>
            <w:left w:val="none" w:sz="0" w:space="0" w:color="auto"/>
            <w:bottom w:val="none" w:sz="0" w:space="0" w:color="auto"/>
            <w:right w:val="none" w:sz="0" w:space="0" w:color="auto"/>
          </w:divBdr>
        </w:div>
        <w:div w:id="388499224">
          <w:marLeft w:val="0"/>
          <w:marRight w:val="0"/>
          <w:marTop w:val="0"/>
          <w:marBottom w:val="0"/>
          <w:divBdr>
            <w:top w:val="none" w:sz="0" w:space="0" w:color="auto"/>
            <w:left w:val="none" w:sz="0" w:space="0" w:color="auto"/>
            <w:bottom w:val="none" w:sz="0" w:space="0" w:color="auto"/>
            <w:right w:val="none" w:sz="0" w:space="0" w:color="auto"/>
          </w:divBdr>
        </w:div>
        <w:div w:id="390156431">
          <w:marLeft w:val="0"/>
          <w:marRight w:val="0"/>
          <w:marTop w:val="0"/>
          <w:marBottom w:val="0"/>
          <w:divBdr>
            <w:top w:val="none" w:sz="0" w:space="0" w:color="auto"/>
            <w:left w:val="none" w:sz="0" w:space="0" w:color="auto"/>
            <w:bottom w:val="none" w:sz="0" w:space="0" w:color="auto"/>
            <w:right w:val="none" w:sz="0" w:space="0" w:color="auto"/>
          </w:divBdr>
        </w:div>
        <w:div w:id="457067166">
          <w:marLeft w:val="0"/>
          <w:marRight w:val="0"/>
          <w:marTop w:val="0"/>
          <w:marBottom w:val="0"/>
          <w:divBdr>
            <w:top w:val="none" w:sz="0" w:space="0" w:color="auto"/>
            <w:left w:val="none" w:sz="0" w:space="0" w:color="auto"/>
            <w:bottom w:val="none" w:sz="0" w:space="0" w:color="auto"/>
            <w:right w:val="none" w:sz="0" w:space="0" w:color="auto"/>
          </w:divBdr>
        </w:div>
        <w:div w:id="521625363">
          <w:marLeft w:val="0"/>
          <w:marRight w:val="0"/>
          <w:marTop w:val="0"/>
          <w:marBottom w:val="0"/>
          <w:divBdr>
            <w:top w:val="none" w:sz="0" w:space="0" w:color="auto"/>
            <w:left w:val="none" w:sz="0" w:space="0" w:color="auto"/>
            <w:bottom w:val="none" w:sz="0" w:space="0" w:color="auto"/>
            <w:right w:val="none" w:sz="0" w:space="0" w:color="auto"/>
          </w:divBdr>
        </w:div>
        <w:div w:id="567233450">
          <w:marLeft w:val="0"/>
          <w:marRight w:val="0"/>
          <w:marTop w:val="0"/>
          <w:marBottom w:val="0"/>
          <w:divBdr>
            <w:top w:val="none" w:sz="0" w:space="0" w:color="auto"/>
            <w:left w:val="none" w:sz="0" w:space="0" w:color="auto"/>
            <w:bottom w:val="none" w:sz="0" w:space="0" w:color="auto"/>
            <w:right w:val="none" w:sz="0" w:space="0" w:color="auto"/>
          </w:divBdr>
        </w:div>
        <w:div w:id="571235285">
          <w:marLeft w:val="0"/>
          <w:marRight w:val="0"/>
          <w:marTop w:val="0"/>
          <w:marBottom w:val="0"/>
          <w:divBdr>
            <w:top w:val="none" w:sz="0" w:space="0" w:color="auto"/>
            <w:left w:val="none" w:sz="0" w:space="0" w:color="auto"/>
            <w:bottom w:val="none" w:sz="0" w:space="0" w:color="auto"/>
            <w:right w:val="none" w:sz="0" w:space="0" w:color="auto"/>
          </w:divBdr>
        </w:div>
        <w:div w:id="618873171">
          <w:marLeft w:val="0"/>
          <w:marRight w:val="0"/>
          <w:marTop w:val="0"/>
          <w:marBottom w:val="0"/>
          <w:divBdr>
            <w:top w:val="none" w:sz="0" w:space="0" w:color="auto"/>
            <w:left w:val="none" w:sz="0" w:space="0" w:color="auto"/>
            <w:bottom w:val="none" w:sz="0" w:space="0" w:color="auto"/>
            <w:right w:val="none" w:sz="0" w:space="0" w:color="auto"/>
          </w:divBdr>
        </w:div>
        <w:div w:id="624041101">
          <w:marLeft w:val="0"/>
          <w:marRight w:val="0"/>
          <w:marTop w:val="0"/>
          <w:marBottom w:val="0"/>
          <w:divBdr>
            <w:top w:val="none" w:sz="0" w:space="0" w:color="auto"/>
            <w:left w:val="none" w:sz="0" w:space="0" w:color="auto"/>
            <w:bottom w:val="none" w:sz="0" w:space="0" w:color="auto"/>
            <w:right w:val="none" w:sz="0" w:space="0" w:color="auto"/>
          </w:divBdr>
        </w:div>
        <w:div w:id="653682913">
          <w:marLeft w:val="0"/>
          <w:marRight w:val="0"/>
          <w:marTop w:val="0"/>
          <w:marBottom w:val="0"/>
          <w:divBdr>
            <w:top w:val="none" w:sz="0" w:space="0" w:color="auto"/>
            <w:left w:val="none" w:sz="0" w:space="0" w:color="auto"/>
            <w:bottom w:val="none" w:sz="0" w:space="0" w:color="auto"/>
            <w:right w:val="none" w:sz="0" w:space="0" w:color="auto"/>
          </w:divBdr>
        </w:div>
        <w:div w:id="674724548">
          <w:marLeft w:val="0"/>
          <w:marRight w:val="0"/>
          <w:marTop w:val="0"/>
          <w:marBottom w:val="0"/>
          <w:divBdr>
            <w:top w:val="none" w:sz="0" w:space="0" w:color="auto"/>
            <w:left w:val="none" w:sz="0" w:space="0" w:color="auto"/>
            <w:bottom w:val="none" w:sz="0" w:space="0" w:color="auto"/>
            <w:right w:val="none" w:sz="0" w:space="0" w:color="auto"/>
          </w:divBdr>
        </w:div>
        <w:div w:id="716903242">
          <w:marLeft w:val="0"/>
          <w:marRight w:val="0"/>
          <w:marTop w:val="0"/>
          <w:marBottom w:val="0"/>
          <w:divBdr>
            <w:top w:val="none" w:sz="0" w:space="0" w:color="auto"/>
            <w:left w:val="none" w:sz="0" w:space="0" w:color="auto"/>
            <w:bottom w:val="none" w:sz="0" w:space="0" w:color="auto"/>
            <w:right w:val="none" w:sz="0" w:space="0" w:color="auto"/>
          </w:divBdr>
        </w:div>
        <w:div w:id="730350071">
          <w:marLeft w:val="0"/>
          <w:marRight w:val="0"/>
          <w:marTop w:val="0"/>
          <w:marBottom w:val="0"/>
          <w:divBdr>
            <w:top w:val="none" w:sz="0" w:space="0" w:color="auto"/>
            <w:left w:val="none" w:sz="0" w:space="0" w:color="auto"/>
            <w:bottom w:val="none" w:sz="0" w:space="0" w:color="auto"/>
            <w:right w:val="none" w:sz="0" w:space="0" w:color="auto"/>
          </w:divBdr>
        </w:div>
        <w:div w:id="769937157">
          <w:marLeft w:val="0"/>
          <w:marRight w:val="0"/>
          <w:marTop w:val="0"/>
          <w:marBottom w:val="0"/>
          <w:divBdr>
            <w:top w:val="none" w:sz="0" w:space="0" w:color="auto"/>
            <w:left w:val="none" w:sz="0" w:space="0" w:color="auto"/>
            <w:bottom w:val="none" w:sz="0" w:space="0" w:color="auto"/>
            <w:right w:val="none" w:sz="0" w:space="0" w:color="auto"/>
          </w:divBdr>
        </w:div>
        <w:div w:id="967246434">
          <w:marLeft w:val="0"/>
          <w:marRight w:val="0"/>
          <w:marTop w:val="0"/>
          <w:marBottom w:val="0"/>
          <w:divBdr>
            <w:top w:val="none" w:sz="0" w:space="0" w:color="auto"/>
            <w:left w:val="none" w:sz="0" w:space="0" w:color="auto"/>
            <w:bottom w:val="none" w:sz="0" w:space="0" w:color="auto"/>
            <w:right w:val="none" w:sz="0" w:space="0" w:color="auto"/>
          </w:divBdr>
        </w:div>
        <w:div w:id="973486906">
          <w:marLeft w:val="0"/>
          <w:marRight w:val="0"/>
          <w:marTop w:val="0"/>
          <w:marBottom w:val="0"/>
          <w:divBdr>
            <w:top w:val="none" w:sz="0" w:space="0" w:color="auto"/>
            <w:left w:val="none" w:sz="0" w:space="0" w:color="auto"/>
            <w:bottom w:val="none" w:sz="0" w:space="0" w:color="auto"/>
            <w:right w:val="none" w:sz="0" w:space="0" w:color="auto"/>
          </w:divBdr>
        </w:div>
        <w:div w:id="976841884">
          <w:marLeft w:val="0"/>
          <w:marRight w:val="0"/>
          <w:marTop w:val="0"/>
          <w:marBottom w:val="0"/>
          <w:divBdr>
            <w:top w:val="none" w:sz="0" w:space="0" w:color="auto"/>
            <w:left w:val="none" w:sz="0" w:space="0" w:color="auto"/>
            <w:bottom w:val="none" w:sz="0" w:space="0" w:color="auto"/>
            <w:right w:val="none" w:sz="0" w:space="0" w:color="auto"/>
          </w:divBdr>
        </w:div>
        <w:div w:id="997657893">
          <w:marLeft w:val="0"/>
          <w:marRight w:val="0"/>
          <w:marTop w:val="0"/>
          <w:marBottom w:val="0"/>
          <w:divBdr>
            <w:top w:val="none" w:sz="0" w:space="0" w:color="auto"/>
            <w:left w:val="none" w:sz="0" w:space="0" w:color="auto"/>
            <w:bottom w:val="none" w:sz="0" w:space="0" w:color="auto"/>
            <w:right w:val="none" w:sz="0" w:space="0" w:color="auto"/>
          </w:divBdr>
        </w:div>
        <w:div w:id="1024328067">
          <w:marLeft w:val="0"/>
          <w:marRight w:val="0"/>
          <w:marTop w:val="0"/>
          <w:marBottom w:val="0"/>
          <w:divBdr>
            <w:top w:val="none" w:sz="0" w:space="0" w:color="auto"/>
            <w:left w:val="none" w:sz="0" w:space="0" w:color="auto"/>
            <w:bottom w:val="none" w:sz="0" w:space="0" w:color="auto"/>
            <w:right w:val="none" w:sz="0" w:space="0" w:color="auto"/>
          </w:divBdr>
        </w:div>
        <w:div w:id="1090855325">
          <w:marLeft w:val="0"/>
          <w:marRight w:val="0"/>
          <w:marTop w:val="0"/>
          <w:marBottom w:val="0"/>
          <w:divBdr>
            <w:top w:val="none" w:sz="0" w:space="0" w:color="auto"/>
            <w:left w:val="none" w:sz="0" w:space="0" w:color="auto"/>
            <w:bottom w:val="none" w:sz="0" w:space="0" w:color="auto"/>
            <w:right w:val="none" w:sz="0" w:space="0" w:color="auto"/>
          </w:divBdr>
        </w:div>
        <w:div w:id="1103573552">
          <w:marLeft w:val="0"/>
          <w:marRight w:val="0"/>
          <w:marTop w:val="0"/>
          <w:marBottom w:val="0"/>
          <w:divBdr>
            <w:top w:val="none" w:sz="0" w:space="0" w:color="auto"/>
            <w:left w:val="none" w:sz="0" w:space="0" w:color="auto"/>
            <w:bottom w:val="none" w:sz="0" w:space="0" w:color="auto"/>
            <w:right w:val="none" w:sz="0" w:space="0" w:color="auto"/>
          </w:divBdr>
        </w:div>
        <w:div w:id="1173105937">
          <w:marLeft w:val="0"/>
          <w:marRight w:val="0"/>
          <w:marTop w:val="0"/>
          <w:marBottom w:val="0"/>
          <w:divBdr>
            <w:top w:val="none" w:sz="0" w:space="0" w:color="auto"/>
            <w:left w:val="none" w:sz="0" w:space="0" w:color="auto"/>
            <w:bottom w:val="none" w:sz="0" w:space="0" w:color="auto"/>
            <w:right w:val="none" w:sz="0" w:space="0" w:color="auto"/>
          </w:divBdr>
        </w:div>
        <w:div w:id="1199585654">
          <w:marLeft w:val="0"/>
          <w:marRight w:val="0"/>
          <w:marTop w:val="0"/>
          <w:marBottom w:val="0"/>
          <w:divBdr>
            <w:top w:val="none" w:sz="0" w:space="0" w:color="auto"/>
            <w:left w:val="none" w:sz="0" w:space="0" w:color="auto"/>
            <w:bottom w:val="none" w:sz="0" w:space="0" w:color="auto"/>
            <w:right w:val="none" w:sz="0" w:space="0" w:color="auto"/>
          </w:divBdr>
        </w:div>
        <w:div w:id="1306010035">
          <w:marLeft w:val="0"/>
          <w:marRight w:val="0"/>
          <w:marTop w:val="0"/>
          <w:marBottom w:val="0"/>
          <w:divBdr>
            <w:top w:val="none" w:sz="0" w:space="0" w:color="auto"/>
            <w:left w:val="none" w:sz="0" w:space="0" w:color="auto"/>
            <w:bottom w:val="none" w:sz="0" w:space="0" w:color="auto"/>
            <w:right w:val="none" w:sz="0" w:space="0" w:color="auto"/>
          </w:divBdr>
        </w:div>
        <w:div w:id="1351495311">
          <w:marLeft w:val="0"/>
          <w:marRight w:val="0"/>
          <w:marTop w:val="0"/>
          <w:marBottom w:val="0"/>
          <w:divBdr>
            <w:top w:val="none" w:sz="0" w:space="0" w:color="auto"/>
            <w:left w:val="none" w:sz="0" w:space="0" w:color="auto"/>
            <w:bottom w:val="none" w:sz="0" w:space="0" w:color="auto"/>
            <w:right w:val="none" w:sz="0" w:space="0" w:color="auto"/>
          </w:divBdr>
        </w:div>
        <w:div w:id="1364867386">
          <w:marLeft w:val="0"/>
          <w:marRight w:val="0"/>
          <w:marTop w:val="0"/>
          <w:marBottom w:val="0"/>
          <w:divBdr>
            <w:top w:val="none" w:sz="0" w:space="0" w:color="auto"/>
            <w:left w:val="none" w:sz="0" w:space="0" w:color="auto"/>
            <w:bottom w:val="none" w:sz="0" w:space="0" w:color="auto"/>
            <w:right w:val="none" w:sz="0" w:space="0" w:color="auto"/>
          </w:divBdr>
        </w:div>
        <w:div w:id="1439059524">
          <w:marLeft w:val="0"/>
          <w:marRight w:val="0"/>
          <w:marTop w:val="0"/>
          <w:marBottom w:val="0"/>
          <w:divBdr>
            <w:top w:val="none" w:sz="0" w:space="0" w:color="auto"/>
            <w:left w:val="none" w:sz="0" w:space="0" w:color="auto"/>
            <w:bottom w:val="none" w:sz="0" w:space="0" w:color="auto"/>
            <w:right w:val="none" w:sz="0" w:space="0" w:color="auto"/>
          </w:divBdr>
        </w:div>
        <w:div w:id="1442217843">
          <w:marLeft w:val="0"/>
          <w:marRight w:val="0"/>
          <w:marTop w:val="0"/>
          <w:marBottom w:val="0"/>
          <w:divBdr>
            <w:top w:val="none" w:sz="0" w:space="0" w:color="auto"/>
            <w:left w:val="none" w:sz="0" w:space="0" w:color="auto"/>
            <w:bottom w:val="none" w:sz="0" w:space="0" w:color="auto"/>
            <w:right w:val="none" w:sz="0" w:space="0" w:color="auto"/>
          </w:divBdr>
        </w:div>
        <w:div w:id="1508709996">
          <w:marLeft w:val="0"/>
          <w:marRight w:val="0"/>
          <w:marTop w:val="0"/>
          <w:marBottom w:val="0"/>
          <w:divBdr>
            <w:top w:val="none" w:sz="0" w:space="0" w:color="auto"/>
            <w:left w:val="none" w:sz="0" w:space="0" w:color="auto"/>
            <w:bottom w:val="none" w:sz="0" w:space="0" w:color="auto"/>
            <w:right w:val="none" w:sz="0" w:space="0" w:color="auto"/>
          </w:divBdr>
        </w:div>
        <w:div w:id="1565488458">
          <w:marLeft w:val="0"/>
          <w:marRight w:val="0"/>
          <w:marTop w:val="0"/>
          <w:marBottom w:val="0"/>
          <w:divBdr>
            <w:top w:val="none" w:sz="0" w:space="0" w:color="auto"/>
            <w:left w:val="none" w:sz="0" w:space="0" w:color="auto"/>
            <w:bottom w:val="none" w:sz="0" w:space="0" w:color="auto"/>
            <w:right w:val="none" w:sz="0" w:space="0" w:color="auto"/>
          </w:divBdr>
        </w:div>
        <w:div w:id="1618557960">
          <w:marLeft w:val="0"/>
          <w:marRight w:val="0"/>
          <w:marTop w:val="0"/>
          <w:marBottom w:val="0"/>
          <w:divBdr>
            <w:top w:val="none" w:sz="0" w:space="0" w:color="auto"/>
            <w:left w:val="none" w:sz="0" w:space="0" w:color="auto"/>
            <w:bottom w:val="none" w:sz="0" w:space="0" w:color="auto"/>
            <w:right w:val="none" w:sz="0" w:space="0" w:color="auto"/>
          </w:divBdr>
        </w:div>
        <w:div w:id="1732995814">
          <w:marLeft w:val="0"/>
          <w:marRight w:val="0"/>
          <w:marTop w:val="0"/>
          <w:marBottom w:val="0"/>
          <w:divBdr>
            <w:top w:val="none" w:sz="0" w:space="0" w:color="auto"/>
            <w:left w:val="none" w:sz="0" w:space="0" w:color="auto"/>
            <w:bottom w:val="none" w:sz="0" w:space="0" w:color="auto"/>
            <w:right w:val="none" w:sz="0" w:space="0" w:color="auto"/>
          </w:divBdr>
        </w:div>
        <w:div w:id="1872300259">
          <w:marLeft w:val="0"/>
          <w:marRight w:val="0"/>
          <w:marTop w:val="0"/>
          <w:marBottom w:val="0"/>
          <w:divBdr>
            <w:top w:val="none" w:sz="0" w:space="0" w:color="auto"/>
            <w:left w:val="none" w:sz="0" w:space="0" w:color="auto"/>
            <w:bottom w:val="none" w:sz="0" w:space="0" w:color="auto"/>
            <w:right w:val="none" w:sz="0" w:space="0" w:color="auto"/>
          </w:divBdr>
        </w:div>
        <w:div w:id="1942684096">
          <w:marLeft w:val="0"/>
          <w:marRight w:val="0"/>
          <w:marTop w:val="0"/>
          <w:marBottom w:val="0"/>
          <w:divBdr>
            <w:top w:val="none" w:sz="0" w:space="0" w:color="auto"/>
            <w:left w:val="none" w:sz="0" w:space="0" w:color="auto"/>
            <w:bottom w:val="none" w:sz="0" w:space="0" w:color="auto"/>
            <w:right w:val="none" w:sz="0" w:space="0" w:color="auto"/>
          </w:divBdr>
        </w:div>
        <w:div w:id="1969241405">
          <w:marLeft w:val="0"/>
          <w:marRight w:val="0"/>
          <w:marTop w:val="0"/>
          <w:marBottom w:val="0"/>
          <w:divBdr>
            <w:top w:val="none" w:sz="0" w:space="0" w:color="auto"/>
            <w:left w:val="none" w:sz="0" w:space="0" w:color="auto"/>
            <w:bottom w:val="none" w:sz="0" w:space="0" w:color="auto"/>
            <w:right w:val="none" w:sz="0" w:space="0" w:color="auto"/>
          </w:divBdr>
        </w:div>
        <w:div w:id="1974823982">
          <w:marLeft w:val="0"/>
          <w:marRight w:val="0"/>
          <w:marTop w:val="0"/>
          <w:marBottom w:val="0"/>
          <w:divBdr>
            <w:top w:val="none" w:sz="0" w:space="0" w:color="auto"/>
            <w:left w:val="none" w:sz="0" w:space="0" w:color="auto"/>
            <w:bottom w:val="none" w:sz="0" w:space="0" w:color="auto"/>
            <w:right w:val="none" w:sz="0" w:space="0" w:color="auto"/>
          </w:divBdr>
        </w:div>
        <w:div w:id="2003239179">
          <w:marLeft w:val="0"/>
          <w:marRight w:val="0"/>
          <w:marTop w:val="0"/>
          <w:marBottom w:val="0"/>
          <w:divBdr>
            <w:top w:val="none" w:sz="0" w:space="0" w:color="auto"/>
            <w:left w:val="none" w:sz="0" w:space="0" w:color="auto"/>
            <w:bottom w:val="none" w:sz="0" w:space="0" w:color="auto"/>
            <w:right w:val="none" w:sz="0" w:space="0" w:color="auto"/>
          </w:divBdr>
        </w:div>
        <w:div w:id="2046825838">
          <w:marLeft w:val="0"/>
          <w:marRight w:val="0"/>
          <w:marTop w:val="0"/>
          <w:marBottom w:val="0"/>
          <w:divBdr>
            <w:top w:val="none" w:sz="0" w:space="0" w:color="auto"/>
            <w:left w:val="none" w:sz="0" w:space="0" w:color="auto"/>
            <w:bottom w:val="none" w:sz="0" w:space="0" w:color="auto"/>
            <w:right w:val="none" w:sz="0" w:space="0" w:color="auto"/>
          </w:divBdr>
        </w:div>
        <w:div w:id="2062047541">
          <w:marLeft w:val="0"/>
          <w:marRight w:val="0"/>
          <w:marTop w:val="0"/>
          <w:marBottom w:val="0"/>
          <w:divBdr>
            <w:top w:val="none" w:sz="0" w:space="0" w:color="auto"/>
            <w:left w:val="none" w:sz="0" w:space="0" w:color="auto"/>
            <w:bottom w:val="none" w:sz="0" w:space="0" w:color="auto"/>
            <w:right w:val="none" w:sz="0" w:space="0" w:color="auto"/>
          </w:divBdr>
        </w:div>
      </w:divsChild>
    </w:div>
    <w:div w:id="2062171117">
      <w:bodyDiv w:val="1"/>
      <w:marLeft w:val="0"/>
      <w:marRight w:val="0"/>
      <w:marTop w:val="0"/>
      <w:marBottom w:val="0"/>
      <w:divBdr>
        <w:top w:val="none" w:sz="0" w:space="0" w:color="auto"/>
        <w:left w:val="none" w:sz="0" w:space="0" w:color="auto"/>
        <w:bottom w:val="none" w:sz="0" w:space="0" w:color="auto"/>
        <w:right w:val="none" w:sz="0" w:space="0" w:color="auto"/>
      </w:divBdr>
      <w:divsChild>
        <w:div w:id="7878466">
          <w:marLeft w:val="0"/>
          <w:marRight w:val="0"/>
          <w:marTop w:val="0"/>
          <w:marBottom w:val="0"/>
          <w:divBdr>
            <w:top w:val="none" w:sz="0" w:space="0" w:color="auto"/>
            <w:left w:val="none" w:sz="0" w:space="0" w:color="auto"/>
            <w:bottom w:val="none" w:sz="0" w:space="0" w:color="auto"/>
            <w:right w:val="none" w:sz="0" w:space="0" w:color="auto"/>
          </w:divBdr>
        </w:div>
        <w:div w:id="18512461">
          <w:marLeft w:val="0"/>
          <w:marRight w:val="0"/>
          <w:marTop w:val="0"/>
          <w:marBottom w:val="0"/>
          <w:divBdr>
            <w:top w:val="none" w:sz="0" w:space="0" w:color="auto"/>
            <w:left w:val="none" w:sz="0" w:space="0" w:color="auto"/>
            <w:bottom w:val="none" w:sz="0" w:space="0" w:color="auto"/>
            <w:right w:val="none" w:sz="0" w:space="0" w:color="auto"/>
          </w:divBdr>
        </w:div>
        <w:div w:id="43526391">
          <w:marLeft w:val="0"/>
          <w:marRight w:val="0"/>
          <w:marTop w:val="0"/>
          <w:marBottom w:val="0"/>
          <w:divBdr>
            <w:top w:val="none" w:sz="0" w:space="0" w:color="auto"/>
            <w:left w:val="none" w:sz="0" w:space="0" w:color="auto"/>
            <w:bottom w:val="none" w:sz="0" w:space="0" w:color="auto"/>
            <w:right w:val="none" w:sz="0" w:space="0" w:color="auto"/>
          </w:divBdr>
        </w:div>
        <w:div w:id="44184549">
          <w:marLeft w:val="0"/>
          <w:marRight w:val="0"/>
          <w:marTop w:val="0"/>
          <w:marBottom w:val="0"/>
          <w:divBdr>
            <w:top w:val="none" w:sz="0" w:space="0" w:color="auto"/>
            <w:left w:val="none" w:sz="0" w:space="0" w:color="auto"/>
            <w:bottom w:val="none" w:sz="0" w:space="0" w:color="auto"/>
            <w:right w:val="none" w:sz="0" w:space="0" w:color="auto"/>
          </w:divBdr>
        </w:div>
        <w:div w:id="56175858">
          <w:marLeft w:val="0"/>
          <w:marRight w:val="0"/>
          <w:marTop w:val="0"/>
          <w:marBottom w:val="0"/>
          <w:divBdr>
            <w:top w:val="none" w:sz="0" w:space="0" w:color="auto"/>
            <w:left w:val="none" w:sz="0" w:space="0" w:color="auto"/>
            <w:bottom w:val="none" w:sz="0" w:space="0" w:color="auto"/>
            <w:right w:val="none" w:sz="0" w:space="0" w:color="auto"/>
          </w:divBdr>
        </w:div>
        <w:div w:id="77679451">
          <w:marLeft w:val="0"/>
          <w:marRight w:val="0"/>
          <w:marTop w:val="0"/>
          <w:marBottom w:val="0"/>
          <w:divBdr>
            <w:top w:val="none" w:sz="0" w:space="0" w:color="auto"/>
            <w:left w:val="none" w:sz="0" w:space="0" w:color="auto"/>
            <w:bottom w:val="none" w:sz="0" w:space="0" w:color="auto"/>
            <w:right w:val="none" w:sz="0" w:space="0" w:color="auto"/>
          </w:divBdr>
        </w:div>
        <w:div w:id="81220973">
          <w:marLeft w:val="0"/>
          <w:marRight w:val="0"/>
          <w:marTop w:val="0"/>
          <w:marBottom w:val="0"/>
          <w:divBdr>
            <w:top w:val="none" w:sz="0" w:space="0" w:color="auto"/>
            <w:left w:val="none" w:sz="0" w:space="0" w:color="auto"/>
            <w:bottom w:val="none" w:sz="0" w:space="0" w:color="auto"/>
            <w:right w:val="none" w:sz="0" w:space="0" w:color="auto"/>
          </w:divBdr>
        </w:div>
        <w:div w:id="121769318">
          <w:marLeft w:val="0"/>
          <w:marRight w:val="0"/>
          <w:marTop w:val="0"/>
          <w:marBottom w:val="0"/>
          <w:divBdr>
            <w:top w:val="none" w:sz="0" w:space="0" w:color="auto"/>
            <w:left w:val="none" w:sz="0" w:space="0" w:color="auto"/>
            <w:bottom w:val="none" w:sz="0" w:space="0" w:color="auto"/>
            <w:right w:val="none" w:sz="0" w:space="0" w:color="auto"/>
          </w:divBdr>
        </w:div>
        <w:div w:id="135150622">
          <w:marLeft w:val="0"/>
          <w:marRight w:val="0"/>
          <w:marTop w:val="0"/>
          <w:marBottom w:val="0"/>
          <w:divBdr>
            <w:top w:val="none" w:sz="0" w:space="0" w:color="auto"/>
            <w:left w:val="none" w:sz="0" w:space="0" w:color="auto"/>
            <w:bottom w:val="none" w:sz="0" w:space="0" w:color="auto"/>
            <w:right w:val="none" w:sz="0" w:space="0" w:color="auto"/>
          </w:divBdr>
        </w:div>
        <w:div w:id="135951912">
          <w:marLeft w:val="0"/>
          <w:marRight w:val="0"/>
          <w:marTop w:val="0"/>
          <w:marBottom w:val="0"/>
          <w:divBdr>
            <w:top w:val="none" w:sz="0" w:space="0" w:color="auto"/>
            <w:left w:val="none" w:sz="0" w:space="0" w:color="auto"/>
            <w:bottom w:val="none" w:sz="0" w:space="0" w:color="auto"/>
            <w:right w:val="none" w:sz="0" w:space="0" w:color="auto"/>
          </w:divBdr>
        </w:div>
        <w:div w:id="161623035">
          <w:marLeft w:val="0"/>
          <w:marRight w:val="0"/>
          <w:marTop w:val="0"/>
          <w:marBottom w:val="0"/>
          <w:divBdr>
            <w:top w:val="none" w:sz="0" w:space="0" w:color="auto"/>
            <w:left w:val="none" w:sz="0" w:space="0" w:color="auto"/>
            <w:bottom w:val="none" w:sz="0" w:space="0" w:color="auto"/>
            <w:right w:val="none" w:sz="0" w:space="0" w:color="auto"/>
          </w:divBdr>
        </w:div>
        <w:div w:id="163789166">
          <w:marLeft w:val="0"/>
          <w:marRight w:val="0"/>
          <w:marTop w:val="0"/>
          <w:marBottom w:val="0"/>
          <w:divBdr>
            <w:top w:val="none" w:sz="0" w:space="0" w:color="auto"/>
            <w:left w:val="none" w:sz="0" w:space="0" w:color="auto"/>
            <w:bottom w:val="none" w:sz="0" w:space="0" w:color="auto"/>
            <w:right w:val="none" w:sz="0" w:space="0" w:color="auto"/>
          </w:divBdr>
        </w:div>
        <w:div w:id="221256294">
          <w:marLeft w:val="0"/>
          <w:marRight w:val="0"/>
          <w:marTop w:val="0"/>
          <w:marBottom w:val="0"/>
          <w:divBdr>
            <w:top w:val="none" w:sz="0" w:space="0" w:color="auto"/>
            <w:left w:val="none" w:sz="0" w:space="0" w:color="auto"/>
            <w:bottom w:val="none" w:sz="0" w:space="0" w:color="auto"/>
            <w:right w:val="none" w:sz="0" w:space="0" w:color="auto"/>
          </w:divBdr>
        </w:div>
        <w:div w:id="225998616">
          <w:marLeft w:val="0"/>
          <w:marRight w:val="0"/>
          <w:marTop w:val="0"/>
          <w:marBottom w:val="0"/>
          <w:divBdr>
            <w:top w:val="none" w:sz="0" w:space="0" w:color="auto"/>
            <w:left w:val="none" w:sz="0" w:space="0" w:color="auto"/>
            <w:bottom w:val="none" w:sz="0" w:space="0" w:color="auto"/>
            <w:right w:val="none" w:sz="0" w:space="0" w:color="auto"/>
          </w:divBdr>
        </w:div>
        <w:div w:id="235484284">
          <w:marLeft w:val="0"/>
          <w:marRight w:val="0"/>
          <w:marTop w:val="0"/>
          <w:marBottom w:val="0"/>
          <w:divBdr>
            <w:top w:val="none" w:sz="0" w:space="0" w:color="auto"/>
            <w:left w:val="none" w:sz="0" w:space="0" w:color="auto"/>
            <w:bottom w:val="none" w:sz="0" w:space="0" w:color="auto"/>
            <w:right w:val="none" w:sz="0" w:space="0" w:color="auto"/>
          </w:divBdr>
        </w:div>
        <w:div w:id="253436230">
          <w:marLeft w:val="0"/>
          <w:marRight w:val="0"/>
          <w:marTop w:val="0"/>
          <w:marBottom w:val="0"/>
          <w:divBdr>
            <w:top w:val="none" w:sz="0" w:space="0" w:color="auto"/>
            <w:left w:val="none" w:sz="0" w:space="0" w:color="auto"/>
            <w:bottom w:val="none" w:sz="0" w:space="0" w:color="auto"/>
            <w:right w:val="none" w:sz="0" w:space="0" w:color="auto"/>
          </w:divBdr>
        </w:div>
        <w:div w:id="266011680">
          <w:marLeft w:val="0"/>
          <w:marRight w:val="0"/>
          <w:marTop w:val="0"/>
          <w:marBottom w:val="0"/>
          <w:divBdr>
            <w:top w:val="none" w:sz="0" w:space="0" w:color="auto"/>
            <w:left w:val="none" w:sz="0" w:space="0" w:color="auto"/>
            <w:bottom w:val="none" w:sz="0" w:space="0" w:color="auto"/>
            <w:right w:val="none" w:sz="0" w:space="0" w:color="auto"/>
          </w:divBdr>
        </w:div>
        <w:div w:id="269313001">
          <w:marLeft w:val="0"/>
          <w:marRight w:val="0"/>
          <w:marTop w:val="0"/>
          <w:marBottom w:val="0"/>
          <w:divBdr>
            <w:top w:val="none" w:sz="0" w:space="0" w:color="auto"/>
            <w:left w:val="none" w:sz="0" w:space="0" w:color="auto"/>
            <w:bottom w:val="none" w:sz="0" w:space="0" w:color="auto"/>
            <w:right w:val="none" w:sz="0" w:space="0" w:color="auto"/>
          </w:divBdr>
        </w:div>
        <w:div w:id="306205594">
          <w:marLeft w:val="0"/>
          <w:marRight w:val="0"/>
          <w:marTop w:val="0"/>
          <w:marBottom w:val="0"/>
          <w:divBdr>
            <w:top w:val="none" w:sz="0" w:space="0" w:color="auto"/>
            <w:left w:val="none" w:sz="0" w:space="0" w:color="auto"/>
            <w:bottom w:val="none" w:sz="0" w:space="0" w:color="auto"/>
            <w:right w:val="none" w:sz="0" w:space="0" w:color="auto"/>
          </w:divBdr>
        </w:div>
        <w:div w:id="322701297">
          <w:marLeft w:val="0"/>
          <w:marRight w:val="0"/>
          <w:marTop w:val="0"/>
          <w:marBottom w:val="0"/>
          <w:divBdr>
            <w:top w:val="none" w:sz="0" w:space="0" w:color="auto"/>
            <w:left w:val="none" w:sz="0" w:space="0" w:color="auto"/>
            <w:bottom w:val="none" w:sz="0" w:space="0" w:color="auto"/>
            <w:right w:val="none" w:sz="0" w:space="0" w:color="auto"/>
          </w:divBdr>
        </w:div>
        <w:div w:id="323514601">
          <w:marLeft w:val="0"/>
          <w:marRight w:val="0"/>
          <w:marTop w:val="0"/>
          <w:marBottom w:val="0"/>
          <w:divBdr>
            <w:top w:val="none" w:sz="0" w:space="0" w:color="auto"/>
            <w:left w:val="none" w:sz="0" w:space="0" w:color="auto"/>
            <w:bottom w:val="none" w:sz="0" w:space="0" w:color="auto"/>
            <w:right w:val="none" w:sz="0" w:space="0" w:color="auto"/>
          </w:divBdr>
        </w:div>
        <w:div w:id="330723537">
          <w:marLeft w:val="0"/>
          <w:marRight w:val="0"/>
          <w:marTop w:val="0"/>
          <w:marBottom w:val="0"/>
          <w:divBdr>
            <w:top w:val="none" w:sz="0" w:space="0" w:color="auto"/>
            <w:left w:val="none" w:sz="0" w:space="0" w:color="auto"/>
            <w:bottom w:val="none" w:sz="0" w:space="0" w:color="auto"/>
            <w:right w:val="none" w:sz="0" w:space="0" w:color="auto"/>
          </w:divBdr>
        </w:div>
        <w:div w:id="330911555">
          <w:marLeft w:val="0"/>
          <w:marRight w:val="0"/>
          <w:marTop w:val="0"/>
          <w:marBottom w:val="0"/>
          <w:divBdr>
            <w:top w:val="none" w:sz="0" w:space="0" w:color="auto"/>
            <w:left w:val="none" w:sz="0" w:space="0" w:color="auto"/>
            <w:bottom w:val="none" w:sz="0" w:space="0" w:color="auto"/>
            <w:right w:val="none" w:sz="0" w:space="0" w:color="auto"/>
          </w:divBdr>
        </w:div>
        <w:div w:id="346753186">
          <w:marLeft w:val="0"/>
          <w:marRight w:val="0"/>
          <w:marTop w:val="0"/>
          <w:marBottom w:val="0"/>
          <w:divBdr>
            <w:top w:val="none" w:sz="0" w:space="0" w:color="auto"/>
            <w:left w:val="none" w:sz="0" w:space="0" w:color="auto"/>
            <w:bottom w:val="none" w:sz="0" w:space="0" w:color="auto"/>
            <w:right w:val="none" w:sz="0" w:space="0" w:color="auto"/>
          </w:divBdr>
        </w:div>
        <w:div w:id="377247067">
          <w:marLeft w:val="0"/>
          <w:marRight w:val="0"/>
          <w:marTop w:val="0"/>
          <w:marBottom w:val="0"/>
          <w:divBdr>
            <w:top w:val="none" w:sz="0" w:space="0" w:color="auto"/>
            <w:left w:val="none" w:sz="0" w:space="0" w:color="auto"/>
            <w:bottom w:val="none" w:sz="0" w:space="0" w:color="auto"/>
            <w:right w:val="none" w:sz="0" w:space="0" w:color="auto"/>
          </w:divBdr>
        </w:div>
        <w:div w:id="393162805">
          <w:marLeft w:val="0"/>
          <w:marRight w:val="0"/>
          <w:marTop w:val="0"/>
          <w:marBottom w:val="0"/>
          <w:divBdr>
            <w:top w:val="none" w:sz="0" w:space="0" w:color="auto"/>
            <w:left w:val="none" w:sz="0" w:space="0" w:color="auto"/>
            <w:bottom w:val="none" w:sz="0" w:space="0" w:color="auto"/>
            <w:right w:val="none" w:sz="0" w:space="0" w:color="auto"/>
          </w:divBdr>
        </w:div>
        <w:div w:id="395280051">
          <w:marLeft w:val="0"/>
          <w:marRight w:val="0"/>
          <w:marTop w:val="0"/>
          <w:marBottom w:val="0"/>
          <w:divBdr>
            <w:top w:val="none" w:sz="0" w:space="0" w:color="auto"/>
            <w:left w:val="none" w:sz="0" w:space="0" w:color="auto"/>
            <w:bottom w:val="none" w:sz="0" w:space="0" w:color="auto"/>
            <w:right w:val="none" w:sz="0" w:space="0" w:color="auto"/>
          </w:divBdr>
        </w:div>
        <w:div w:id="468061670">
          <w:marLeft w:val="0"/>
          <w:marRight w:val="0"/>
          <w:marTop w:val="0"/>
          <w:marBottom w:val="0"/>
          <w:divBdr>
            <w:top w:val="none" w:sz="0" w:space="0" w:color="auto"/>
            <w:left w:val="none" w:sz="0" w:space="0" w:color="auto"/>
            <w:bottom w:val="none" w:sz="0" w:space="0" w:color="auto"/>
            <w:right w:val="none" w:sz="0" w:space="0" w:color="auto"/>
          </w:divBdr>
        </w:div>
        <w:div w:id="493449347">
          <w:marLeft w:val="0"/>
          <w:marRight w:val="0"/>
          <w:marTop w:val="0"/>
          <w:marBottom w:val="0"/>
          <w:divBdr>
            <w:top w:val="none" w:sz="0" w:space="0" w:color="auto"/>
            <w:left w:val="none" w:sz="0" w:space="0" w:color="auto"/>
            <w:bottom w:val="none" w:sz="0" w:space="0" w:color="auto"/>
            <w:right w:val="none" w:sz="0" w:space="0" w:color="auto"/>
          </w:divBdr>
        </w:div>
        <w:div w:id="522400852">
          <w:marLeft w:val="0"/>
          <w:marRight w:val="0"/>
          <w:marTop w:val="0"/>
          <w:marBottom w:val="0"/>
          <w:divBdr>
            <w:top w:val="none" w:sz="0" w:space="0" w:color="auto"/>
            <w:left w:val="none" w:sz="0" w:space="0" w:color="auto"/>
            <w:bottom w:val="none" w:sz="0" w:space="0" w:color="auto"/>
            <w:right w:val="none" w:sz="0" w:space="0" w:color="auto"/>
          </w:divBdr>
        </w:div>
        <w:div w:id="528952844">
          <w:marLeft w:val="0"/>
          <w:marRight w:val="0"/>
          <w:marTop w:val="0"/>
          <w:marBottom w:val="0"/>
          <w:divBdr>
            <w:top w:val="none" w:sz="0" w:space="0" w:color="auto"/>
            <w:left w:val="none" w:sz="0" w:space="0" w:color="auto"/>
            <w:bottom w:val="none" w:sz="0" w:space="0" w:color="auto"/>
            <w:right w:val="none" w:sz="0" w:space="0" w:color="auto"/>
          </w:divBdr>
        </w:div>
        <w:div w:id="544217289">
          <w:marLeft w:val="0"/>
          <w:marRight w:val="0"/>
          <w:marTop w:val="0"/>
          <w:marBottom w:val="0"/>
          <w:divBdr>
            <w:top w:val="none" w:sz="0" w:space="0" w:color="auto"/>
            <w:left w:val="none" w:sz="0" w:space="0" w:color="auto"/>
            <w:bottom w:val="none" w:sz="0" w:space="0" w:color="auto"/>
            <w:right w:val="none" w:sz="0" w:space="0" w:color="auto"/>
          </w:divBdr>
        </w:div>
        <w:div w:id="573705340">
          <w:marLeft w:val="0"/>
          <w:marRight w:val="0"/>
          <w:marTop w:val="0"/>
          <w:marBottom w:val="0"/>
          <w:divBdr>
            <w:top w:val="none" w:sz="0" w:space="0" w:color="auto"/>
            <w:left w:val="none" w:sz="0" w:space="0" w:color="auto"/>
            <w:bottom w:val="none" w:sz="0" w:space="0" w:color="auto"/>
            <w:right w:val="none" w:sz="0" w:space="0" w:color="auto"/>
          </w:divBdr>
        </w:div>
        <w:div w:id="586496480">
          <w:marLeft w:val="0"/>
          <w:marRight w:val="0"/>
          <w:marTop w:val="0"/>
          <w:marBottom w:val="0"/>
          <w:divBdr>
            <w:top w:val="none" w:sz="0" w:space="0" w:color="auto"/>
            <w:left w:val="none" w:sz="0" w:space="0" w:color="auto"/>
            <w:bottom w:val="none" w:sz="0" w:space="0" w:color="auto"/>
            <w:right w:val="none" w:sz="0" w:space="0" w:color="auto"/>
          </w:divBdr>
        </w:div>
        <w:div w:id="596403622">
          <w:marLeft w:val="0"/>
          <w:marRight w:val="0"/>
          <w:marTop w:val="0"/>
          <w:marBottom w:val="0"/>
          <w:divBdr>
            <w:top w:val="none" w:sz="0" w:space="0" w:color="auto"/>
            <w:left w:val="none" w:sz="0" w:space="0" w:color="auto"/>
            <w:bottom w:val="none" w:sz="0" w:space="0" w:color="auto"/>
            <w:right w:val="none" w:sz="0" w:space="0" w:color="auto"/>
          </w:divBdr>
        </w:div>
        <w:div w:id="600456385">
          <w:marLeft w:val="0"/>
          <w:marRight w:val="0"/>
          <w:marTop w:val="0"/>
          <w:marBottom w:val="0"/>
          <w:divBdr>
            <w:top w:val="none" w:sz="0" w:space="0" w:color="auto"/>
            <w:left w:val="none" w:sz="0" w:space="0" w:color="auto"/>
            <w:bottom w:val="none" w:sz="0" w:space="0" w:color="auto"/>
            <w:right w:val="none" w:sz="0" w:space="0" w:color="auto"/>
          </w:divBdr>
        </w:div>
        <w:div w:id="608203707">
          <w:marLeft w:val="0"/>
          <w:marRight w:val="0"/>
          <w:marTop w:val="0"/>
          <w:marBottom w:val="0"/>
          <w:divBdr>
            <w:top w:val="none" w:sz="0" w:space="0" w:color="auto"/>
            <w:left w:val="none" w:sz="0" w:space="0" w:color="auto"/>
            <w:bottom w:val="none" w:sz="0" w:space="0" w:color="auto"/>
            <w:right w:val="none" w:sz="0" w:space="0" w:color="auto"/>
          </w:divBdr>
        </w:div>
        <w:div w:id="614291191">
          <w:marLeft w:val="0"/>
          <w:marRight w:val="0"/>
          <w:marTop w:val="0"/>
          <w:marBottom w:val="0"/>
          <w:divBdr>
            <w:top w:val="none" w:sz="0" w:space="0" w:color="auto"/>
            <w:left w:val="none" w:sz="0" w:space="0" w:color="auto"/>
            <w:bottom w:val="none" w:sz="0" w:space="0" w:color="auto"/>
            <w:right w:val="none" w:sz="0" w:space="0" w:color="auto"/>
          </w:divBdr>
        </w:div>
        <w:div w:id="661933427">
          <w:marLeft w:val="0"/>
          <w:marRight w:val="0"/>
          <w:marTop w:val="0"/>
          <w:marBottom w:val="0"/>
          <w:divBdr>
            <w:top w:val="none" w:sz="0" w:space="0" w:color="auto"/>
            <w:left w:val="none" w:sz="0" w:space="0" w:color="auto"/>
            <w:bottom w:val="none" w:sz="0" w:space="0" w:color="auto"/>
            <w:right w:val="none" w:sz="0" w:space="0" w:color="auto"/>
          </w:divBdr>
        </w:div>
        <w:div w:id="679158983">
          <w:marLeft w:val="0"/>
          <w:marRight w:val="0"/>
          <w:marTop w:val="0"/>
          <w:marBottom w:val="0"/>
          <w:divBdr>
            <w:top w:val="none" w:sz="0" w:space="0" w:color="auto"/>
            <w:left w:val="none" w:sz="0" w:space="0" w:color="auto"/>
            <w:bottom w:val="none" w:sz="0" w:space="0" w:color="auto"/>
            <w:right w:val="none" w:sz="0" w:space="0" w:color="auto"/>
          </w:divBdr>
        </w:div>
        <w:div w:id="685835948">
          <w:marLeft w:val="0"/>
          <w:marRight w:val="0"/>
          <w:marTop w:val="0"/>
          <w:marBottom w:val="0"/>
          <w:divBdr>
            <w:top w:val="none" w:sz="0" w:space="0" w:color="auto"/>
            <w:left w:val="none" w:sz="0" w:space="0" w:color="auto"/>
            <w:bottom w:val="none" w:sz="0" w:space="0" w:color="auto"/>
            <w:right w:val="none" w:sz="0" w:space="0" w:color="auto"/>
          </w:divBdr>
        </w:div>
        <w:div w:id="715275637">
          <w:marLeft w:val="0"/>
          <w:marRight w:val="0"/>
          <w:marTop w:val="0"/>
          <w:marBottom w:val="0"/>
          <w:divBdr>
            <w:top w:val="none" w:sz="0" w:space="0" w:color="auto"/>
            <w:left w:val="none" w:sz="0" w:space="0" w:color="auto"/>
            <w:bottom w:val="none" w:sz="0" w:space="0" w:color="auto"/>
            <w:right w:val="none" w:sz="0" w:space="0" w:color="auto"/>
          </w:divBdr>
        </w:div>
        <w:div w:id="723602079">
          <w:marLeft w:val="0"/>
          <w:marRight w:val="0"/>
          <w:marTop w:val="0"/>
          <w:marBottom w:val="0"/>
          <w:divBdr>
            <w:top w:val="none" w:sz="0" w:space="0" w:color="auto"/>
            <w:left w:val="none" w:sz="0" w:space="0" w:color="auto"/>
            <w:bottom w:val="none" w:sz="0" w:space="0" w:color="auto"/>
            <w:right w:val="none" w:sz="0" w:space="0" w:color="auto"/>
          </w:divBdr>
        </w:div>
        <w:div w:id="734204894">
          <w:marLeft w:val="0"/>
          <w:marRight w:val="0"/>
          <w:marTop w:val="0"/>
          <w:marBottom w:val="0"/>
          <w:divBdr>
            <w:top w:val="none" w:sz="0" w:space="0" w:color="auto"/>
            <w:left w:val="none" w:sz="0" w:space="0" w:color="auto"/>
            <w:bottom w:val="none" w:sz="0" w:space="0" w:color="auto"/>
            <w:right w:val="none" w:sz="0" w:space="0" w:color="auto"/>
          </w:divBdr>
        </w:div>
        <w:div w:id="741372741">
          <w:marLeft w:val="0"/>
          <w:marRight w:val="0"/>
          <w:marTop w:val="0"/>
          <w:marBottom w:val="0"/>
          <w:divBdr>
            <w:top w:val="none" w:sz="0" w:space="0" w:color="auto"/>
            <w:left w:val="none" w:sz="0" w:space="0" w:color="auto"/>
            <w:bottom w:val="none" w:sz="0" w:space="0" w:color="auto"/>
            <w:right w:val="none" w:sz="0" w:space="0" w:color="auto"/>
          </w:divBdr>
        </w:div>
        <w:div w:id="752238787">
          <w:marLeft w:val="0"/>
          <w:marRight w:val="0"/>
          <w:marTop w:val="0"/>
          <w:marBottom w:val="0"/>
          <w:divBdr>
            <w:top w:val="none" w:sz="0" w:space="0" w:color="auto"/>
            <w:left w:val="none" w:sz="0" w:space="0" w:color="auto"/>
            <w:bottom w:val="none" w:sz="0" w:space="0" w:color="auto"/>
            <w:right w:val="none" w:sz="0" w:space="0" w:color="auto"/>
          </w:divBdr>
        </w:div>
        <w:div w:id="779377252">
          <w:marLeft w:val="0"/>
          <w:marRight w:val="0"/>
          <w:marTop w:val="0"/>
          <w:marBottom w:val="0"/>
          <w:divBdr>
            <w:top w:val="none" w:sz="0" w:space="0" w:color="auto"/>
            <w:left w:val="none" w:sz="0" w:space="0" w:color="auto"/>
            <w:bottom w:val="none" w:sz="0" w:space="0" w:color="auto"/>
            <w:right w:val="none" w:sz="0" w:space="0" w:color="auto"/>
          </w:divBdr>
        </w:div>
        <w:div w:id="780345984">
          <w:marLeft w:val="0"/>
          <w:marRight w:val="0"/>
          <w:marTop w:val="0"/>
          <w:marBottom w:val="0"/>
          <w:divBdr>
            <w:top w:val="none" w:sz="0" w:space="0" w:color="auto"/>
            <w:left w:val="none" w:sz="0" w:space="0" w:color="auto"/>
            <w:bottom w:val="none" w:sz="0" w:space="0" w:color="auto"/>
            <w:right w:val="none" w:sz="0" w:space="0" w:color="auto"/>
          </w:divBdr>
        </w:div>
        <w:div w:id="782111946">
          <w:marLeft w:val="0"/>
          <w:marRight w:val="0"/>
          <w:marTop w:val="0"/>
          <w:marBottom w:val="0"/>
          <w:divBdr>
            <w:top w:val="none" w:sz="0" w:space="0" w:color="auto"/>
            <w:left w:val="none" w:sz="0" w:space="0" w:color="auto"/>
            <w:bottom w:val="none" w:sz="0" w:space="0" w:color="auto"/>
            <w:right w:val="none" w:sz="0" w:space="0" w:color="auto"/>
          </w:divBdr>
        </w:div>
        <w:div w:id="827676822">
          <w:marLeft w:val="0"/>
          <w:marRight w:val="0"/>
          <w:marTop w:val="0"/>
          <w:marBottom w:val="0"/>
          <w:divBdr>
            <w:top w:val="none" w:sz="0" w:space="0" w:color="auto"/>
            <w:left w:val="none" w:sz="0" w:space="0" w:color="auto"/>
            <w:bottom w:val="none" w:sz="0" w:space="0" w:color="auto"/>
            <w:right w:val="none" w:sz="0" w:space="0" w:color="auto"/>
          </w:divBdr>
        </w:div>
        <w:div w:id="833296959">
          <w:marLeft w:val="0"/>
          <w:marRight w:val="0"/>
          <w:marTop w:val="0"/>
          <w:marBottom w:val="0"/>
          <w:divBdr>
            <w:top w:val="none" w:sz="0" w:space="0" w:color="auto"/>
            <w:left w:val="none" w:sz="0" w:space="0" w:color="auto"/>
            <w:bottom w:val="none" w:sz="0" w:space="0" w:color="auto"/>
            <w:right w:val="none" w:sz="0" w:space="0" w:color="auto"/>
          </w:divBdr>
        </w:div>
        <w:div w:id="841511994">
          <w:marLeft w:val="0"/>
          <w:marRight w:val="0"/>
          <w:marTop w:val="0"/>
          <w:marBottom w:val="0"/>
          <w:divBdr>
            <w:top w:val="none" w:sz="0" w:space="0" w:color="auto"/>
            <w:left w:val="none" w:sz="0" w:space="0" w:color="auto"/>
            <w:bottom w:val="none" w:sz="0" w:space="0" w:color="auto"/>
            <w:right w:val="none" w:sz="0" w:space="0" w:color="auto"/>
          </w:divBdr>
        </w:div>
        <w:div w:id="871571795">
          <w:marLeft w:val="0"/>
          <w:marRight w:val="0"/>
          <w:marTop w:val="0"/>
          <w:marBottom w:val="0"/>
          <w:divBdr>
            <w:top w:val="none" w:sz="0" w:space="0" w:color="auto"/>
            <w:left w:val="none" w:sz="0" w:space="0" w:color="auto"/>
            <w:bottom w:val="none" w:sz="0" w:space="0" w:color="auto"/>
            <w:right w:val="none" w:sz="0" w:space="0" w:color="auto"/>
          </w:divBdr>
        </w:div>
        <w:div w:id="878205006">
          <w:marLeft w:val="0"/>
          <w:marRight w:val="0"/>
          <w:marTop w:val="0"/>
          <w:marBottom w:val="0"/>
          <w:divBdr>
            <w:top w:val="none" w:sz="0" w:space="0" w:color="auto"/>
            <w:left w:val="none" w:sz="0" w:space="0" w:color="auto"/>
            <w:bottom w:val="none" w:sz="0" w:space="0" w:color="auto"/>
            <w:right w:val="none" w:sz="0" w:space="0" w:color="auto"/>
          </w:divBdr>
        </w:div>
        <w:div w:id="879705127">
          <w:marLeft w:val="0"/>
          <w:marRight w:val="0"/>
          <w:marTop w:val="0"/>
          <w:marBottom w:val="0"/>
          <w:divBdr>
            <w:top w:val="none" w:sz="0" w:space="0" w:color="auto"/>
            <w:left w:val="none" w:sz="0" w:space="0" w:color="auto"/>
            <w:bottom w:val="none" w:sz="0" w:space="0" w:color="auto"/>
            <w:right w:val="none" w:sz="0" w:space="0" w:color="auto"/>
          </w:divBdr>
        </w:div>
        <w:div w:id="895702921">
          <w:marLeft w:val="0"/>
          <w:marRight w:val="0"/>
          <w:marTop w:val="0"/>
          <w:marBottom w:val="0"/>
          <w:divBdr>
            <w:top w:val="none" w:sz="0" w:space="0" w:color="auto"/>
            <w:left w:val="none" w:sz="0" w:space="0" w:color="auto"/>
            <w:bottom w:val="none" w:sz="0" w:space="0" w:color="auto"/>
            <w:right w:val="none" w:sz="0" w:space="0" w:color="auto"/>
          </w:divBdr>
        </w:div>
        <w:div w:id="898170963">
          <w:marLeft w:val="0"/>
          <w:marRight w:val="0"/>
          <w:marTop w:val="0"/>
          <w:marBottom w:val="0"/>
          <w:divBdr>
            <w:top w:val="none" w:sz="0" w:space="0" w:color="auto"/>
            <w:left w:val="none" w:sz="0" w:space="0" w:color="auto"/>
            <w:bottom w:val="none" w:sz="0" w:space="0" w:color="auto"/>
            <w:right w:val="none" w:sz="0" w:space="0" w:color="auto"/>
          </w:divBdr>
        </w:div>
        <w:div w:id="933439403">
          <w:marLeft w:val="0"/>
          <w:marRight w:val="0"/>
          <w:marTop w:val="0"/>
          <w:marBottom w:val="0"/>
          <w:divBdr>
            <w:top w:val="none" w:sz="0" w:space="0" w:color="auto"/>
            <w:left w:val="none" w:sz="0" w:space="0" w:color="auto"/>
            <w:bottom w:val="none" w:sz="0" w:space="0" w:color="auto"/>
            <w:right w:val="none" w:sz="0" w:space="0" w:color="auto"/>
          </w:divBdr>
        </w:div>
        <w:div w:id="948856125">
          <w:marLeft w:val="0"/>
          <w:marRight w:val="0"/>
          <w:marTop w:val="0"/>
          <w:marBottom w:val="0"/>
          <w:divBdr>
            <w:top w:val="none" w:sz="0" w:space="0" w:color="auto"/>
            <w:left w:val="none" w:sz="0" w:space="0" w:color="auto"/>
            <w:bottom w:val="none" w:sz="0" w:space="0" w:color="auto"/>
            <w:right w:val="none" w:sz="0" w:space="0" w:color="auto"/>
          </w:divBdr>
        </w:div>
        <w:div w:id="1000932435">
          <w:marLeft w:val="0"/>
          <w:marRight w:val="0"/>
          <w:marTop w:val="0"/>
          <w:marBottom w:val="0"/>
          <w:divBdr>
            <w:top w:val="none" w:sz="0" w:space="0" w:color="auto"/>
            <w:left w:val="none" w:sz="0" w:space="0" w:color="auto"/>
            <w:bottom w:val="none" w:sz="0" w:space="0" w:color="auto"/>
            <w:right w:val="none" w:sz="0" w:space="0" w:color="auto"/>
          </w:divBdr>
        </w:div>
        <w:div w:id="1007714021">
          <w:marLeft w:val="0"/>
          <w:marRight w:val="0"/>
          <w:marTop w:val="0"/>
          <w:marBottom w:val="0"/>
          <w:divBdr>
            <w:top w:val="none" w:sz="0" w:space="0" w:color="auto"/>
            <w:left w:val="none" w:sz="0" w:space="0" w:color="auto"/>
            <w:bottom w:val="none" w:sz="0" w:space="0" w:color="auto"/>
            <w:right w:val="none" w:sz="0" w:space="0" w:color="auto"/>
          </w:divBdr>
        </w:div>
        <w:div w:id="1011420701">
          <w:marLeft w:val="0"/>
          <w:marRight w:val="0"/>
          <w:marTop w:val="0"/>
          <w:marBottom w:val="0"/>
          <w:divBdr>
            <w:top w:val="none" w:sz="0" w:space="0" w:color="auto"/>
            <w:left w:val="none" w:sz="0" w:space="0" w:color="auto"/>
            <w:bottom w:val="none" w:sz="0" w:space="0" w:color="auto"/>
            <w:right w:val="none" w:sz="0" w:space="0" w:color="auto"/>
          </w:divBdr>
        </w:div>
        <w:div w:id="1025331110">
          <w:marLeft w:val="0"/>
          <w:marRight w:val="0"/>
          <w:marTop w:val="0"/>
          <w:marBottom w:val="0"/>
          <w:divBdr>
            <w:top w:val="none" w:sz="0" w:space="0" w:color="auto"/>
            <w:left w:val="none" w:sz="0" w:space="0" w:color="auto"/>
            <w:bottom w:val="none" w:sz="0" w:space="0" w:color="auto"/>
            <w:right w:val="none" w:sz="0" w:space="0" w:color="auto"/>
          </w:divBdr>
        </w:div>
        <w:div w:id="1085371965">
          <w:marLeft w:val="0"/>
          <w:marRight w:val="0"/>
          <w:marTop w:val="0"/>
          <w:marBottom w:val="0"/>
          <w:divBdr>
            <w:top w:val="none" w:sz="0" w:space="0" w:color="auto"/>
            <w:left w:val="none" w:sz="0" w:space="0" w:color="auto"/>
            <w:bottom w:val="none" w:sz="0" w:space="0" w:color="auto"/>
            <w:right w:val="none" w:sz="0" w:space="0" w:color="auto"/>
          </w:divBdr>
        </w:div>
        <w:div w:id="1094789075">
          <w:marLeft w:val="0"/>
          <w:marRight w:val="0"/>
          <w:marTop w:val="0"/>
          <w:marBottom w:val="0"/>
          <w:divBdr>
            <w:top w:val="none" w:sz="0" w:space="0" w:color="auto"/>
            <w:left w:val="none" w:sz="0" w:space="0" w:color="auto"/>
            <w:bottom w:val="none" w:sz="0" w:space="0" w:color="auto"/>
            <w:right w:val="none" w:sz="0" w:space="0" w:color="auto"/>
          </w:divBdr>
        </w:div>
        <w:div w:id="1108695005">
          <w:marLeft w:val="0"/>
          <w:marRight w:val="0"/>
          <w:marTop w:val="0"/>
          <w:marBottom w:val="0"/>
          <w:divBdr>
            <w:top w:val="none" w:sz="0" w:space="0" w:color="auto"/>
            <w:left w:val="none" w:sz="0" w:space="0" w:color="auto"/>
            <w:bottom w:val="none" w:sz="0" w:space="0" w:color="auto"/>
            <w:right w:val="none" w:sz="0" w:space="0" w:color="auto"/>
          </w:divBdr>
        </w:div>
        <w:div w:id="1157301954">
          <w:marLeft w:val="0"/>
          <w:marRight w:val="0"/>
          <w:marTop w:val="0"/>
          <w:marBottom w:val="0"/>
          <w:divBdr>
            <w:top w:val="none" w:sz="0" w:space="0" w:color="auto"/>
            <w:left w:val="none" w:sz="0" w:space="0" w:color="auto"/>
            <w:bottom w:val="none" w:sz="0" w:space="0" w:color="auto"/>
            <w:right w:val="none" w:sz="0" w:space="0" w:color="auto"/>
          </w:divBdr>
        </w:div>
        <w:div w:id="1182862628">
          <w:marLeft w:val="0"/>
          <w:marRight w:val="0"/>
          <w:marTop w:val="0"/>
          <w:marBottom w:val="0"/>
          <w:divBdr>
            <w:top w:val="none" w:sz="0" w:space="0" w:color="auto"/>
            <w:left w:val="none" w:sz="0" w:space="0" w:color="auto"/>
            <w:bottom w:val="none" w:sz="0" w:space="0" w:color="auto"/>
            <w:right w:val="none" w:sz="0" w:space="0" w:color="auto"/>
          </w:divBdr>
        </w:div>
        <w:div w:id="1191188654">
          <w:marLeft w:val="0"/>
          <w:marRight w:val="0"/>
          <w:marTop w:val="0"/>
          <w:marBottom w:val="0"/>
          <w:divBdr>
            <w:top w:val="none" w:sz="0" w:space="0" w:color="auto"/>
            <w:left w:val="none" w:sz="0" w:space="0" w:color="auto"/>
            <w:bottom w:val="none" w:sz="0" w:space="0" w:color="auto"/>
            <w:right w:val="none" w:sz="0" w:space="0" w:color="auto"/>
          </w:divBdr>
        </w:div>
        <w:div w:id="1209536419">
          <w:marLeft w:val="0"/>
          <w:marRight w:val="0"/>
          <w:marTop w:val="0"/>
          <w:marBottom w:val="0"/>
          <w:divBdr>
            <w:top w:val="none" w:sz="0" w:space="0" w:color="auto"/>
            <w:left w:val="none" w:sz="0" w:space="0" w:color="auto"/>
            <w:bottom w:val="none" w:sz="0" w:space="0" w:color="auto"/>
            <w:right w:val="none" w:sz="0" w:space="0" w:color="auto"/>
          </w:divBdr>
        </w:div>
        <w:div w:id="1211770232">
          <w:marLeft w:val="0"/>
          <w:marRight w:val="0"/>
          <w:marTop w:val="0"/>
          <w:marBottom w:val="0"/>
          <w:divBdr>
            <w:top w:val="none" w:sz="0" w:space="0" w:color="auto"/>
            <w:left w:val="none" w:sz="0" w:space="0" w:color="auto"/>
            <w:bottom w:val="none" w:sz="0" w:space="0" w:color="auto"/>
            <w:right w:val="none" w:sz="0" w:space="0" w:color="auto"/>
          </w:divBdr>
        </w:div>
        <w:div w:id="1216817896">
          <w:marLeft w:val="0"/>
          <w:marRight w:val="0"/>
          <w:marTop w:val="0"/>
          <w:marBottom w:val="0"/>
          <w:divBdr>
            <w:top w:val="none" w:sz="0" w:space="0" w:color="auto"/>
            <w:left w:val="none" w:sz="0" w:space="0" w:color="auto"/>
            <w:bottom w:val="none" w:sz="0" w:space="0" w:color="auto"/>
            <w:right w:val="none" w:sz="0" w:space="0" w:color="auto"/>
          </w:divBdr>
        </w:div>
        <w:div w:id="1223444004">
          <w:marLeft w:val="0"/>
          <w:marRight w:val="0"/>
          <w:marTop w:val="0"/>
          <w:marBottom w:val="0"/>
          <w:divBdr>
            <w:top w:val="none" w:sz="0" w:space="0" w:color="auto"/>
            <w:left w:val="none" w:sz="0" w:space="0" w:color="auto"/>
            <w:bottom w:val="none" w:sz="0" w:space="0" w:color="auto"/>
            <w:right w:val="none" w:sz="0" w:space="0" w:color="auto"/>
          </w:divBdr>
        </w:div>
        <w:div w:id="1246383531">
          <w:marLeft w:val="0"/>
          <w:marRight w:val="0"/>
          <w:marTop w:val="0"/>
          <w:marBottom w:val="0"/>
          <w:divBdr>
            <w:top w:val="none" w:sz="0" w:space="0" w:color="auto"/>
            <w:left w:val="none" w:sz="0" w:space="0" w:color="auto"/>
            <w:bottom w:val="none" w:sz="0" w:space="0" w:color="auto"/>
            <w:right w:val="none" w:sz="0" w:space="0" w:color="auto"/>
          </w:divBdr>
        </w:div>
        <w:div w:id="1250232568">
          <w:marLeft w:val="0"/>
          <w:marRight w:val="0"/>
          <w:marTop w:val="0"/>
          <w:marBottom w:val="0"/>
          <w:divBdr>
            <w:top w:val="none" w:sz="0" w:space="0" w:color="auto"/>
            <w:left w:val="none" w:sz="0" w:space="0" w:color="auto"/>
            <w:bottom w:val="none" w:sz="0" w:space="0" w:color="auto"/>
            <w:right w:val="none" w:sz="0" w:space="0" w:color="auto"/>
          </w:divBdr>
        </w:div>
        <w:div w:id="1252163138">
          <w:marLeft w:val="0"/>
          <w:marRight w:val="0"/>
          <w:marTop w:val="0"/>
          <w:marBottom w:val="0"/>
          <w:divBdr>
            <w:top w:val="none" w:sz="0" w:space="0" w:color="auto"/>
            <w:left w:val="none" w:sz="0" w:space="0" w:color="auto"/>
            <w:bottom w:val="none" w:sz="0" w:space="0" w:color="auto"/>
            <w:right w:val="none" w:sz="0" w:space="0" w:color="auto"/>
          </w:divBdr>
        </w:div>
        <w:div w:id="1276598883">
          <w:marLeft w:val="0"/>
          <w:marRight w:val="0"/>
          <w:marTop w:val="0"/>
          <w:marBottom w:val="0"/>
          <w:divBdr>
            <w:top w:val="none" w:sz="0" w:space="0" w:color="auto"/>
            <w:left w:val="none" w:sz="0" w:space="0" w:color="auto"/>
            <w:bottom w:val="none" w:sz="0" w:space="0" w:color="auto"/>
            <w:right w:val="none" w:sz="0" w:space="0" w:color="auto"/>
          </w:divBdr>
        </w:div>
        <w:div w:id="1280839740">
          <w:marLeft w:val="0"/>
          <w:marRight w:val="0"/>
          <w:marTop w:val="0"/>
          <w:marBottom w:val="0"/>
          <w:divBdr>
            <w:top w:val="none" w:sz="0" w:space="0" w:color="auto"/>
            <w:left w:val="none" w:sz="0" w:space="0" w:color="auto"/>
            <w:bottom w:val="none" w:sz="0" w:space="0" w:color="auto"/>
            <w:right w:val="none" w:sz="0" w:space="0" w:color="auto"/>
          </w:divBdr>
        </w:div>
        <w:div w:id="1304506539">
          <w:marLeft w:val="0"/>
          <w:marRight w:val="0"/>
          <w:marTop w:val="0"/>
          <w:marBottom w:val="0"/>
          <w:divBdr>
            <w:top w:val="none" w:sz="0" w:space="0" w:color="auto"/>
            <w:left w:val="none" w:sz="0" w:space="0" w:color="auto"/>
            <w:bottom w:val="none" w:sz="0" w:space="0" w:color="auto"/>
            <w:right w:val="none" w:sz="0" w:space="0" w:color="auto"/>
          </w:divBdr>
        </w:div>
        <w:div w:id="1316639251">
          <w:marLeft w:val="0"/>
          <w:marRight w:val="0"/>
          <w:marTop w:val="0"/>
          <w:marBottom w:val="0"/>
          <w:divBdr>
            <w:top w:val="none" w:sz="0" w:space="0" w:color="auto"/>
            <w:left w:val="none" w:sz="0" w:space="0" w:color="auto"/>
            <w:bottom w:val="none" w:sz="0" w:space="0" w:color="auto"/>
            <w:right w:val="none" w:sz="0" w:space="0" w:color="auto"/>
          </w:divBdr>
        </w:div>
        <w:div w:id="1326786788">
          <w:marLeft w:val="0"/>
          <w:marRight w:val="0"/>
          <w:marTop w:val="0"/>
          <w:marBottom w:val="0"/>
          <w:divBdr>
            <w:top w:val="none" w:sz="0" w:space="0" w:color="auto"/>
            <w:left w:val="none" w:sz="0" w:space="0" w:color="auto"/>
            <w:bottom w:val="none" w:sz="0" w:space="0" w:color="auto"/>
            <w:right w:val="none" w:sz="0" w:space="0" w:color="auto"/>
          </w:divBdr>
        </w:div>
        <w:div w:id="1326974928">
          <w:marLeft w:val="0"/>
          <w:marRight w:val="0"/>
          <w:marTop w:val="0"/>
          <w:marBottom w:val="0"/>
          <w:divBdr>
            <w:top w:val="none" w:sz="0" w:space="0" w:color="auto"/>
            <w:left w:val="none" w:sz="0" w:space="0" w:color="auto"/>
            <w:bottom w:val="none" w:sz="0" w:space="0" w:color="auto"/>
            <w:right w:val="none" w:sz="0" w:space="0" w:color="auto"/>
          </w:divBdr>
        </w:div>
        <w:div w:id="1335647076">
          <w:marLeft w:val="0"/>
          <w:marRight w:val="0"/>
          <w:marTop w:val="0"/>
          <w:marBottom w:val="0"/>
          <w:divBdr>
            <w:top w:val="none" w:sz="0" w:space="0" w:color="auto"/>
            <w:left w:val="none" w:sz="0" w:space="0" w:color="auto"/>
            <w:bottom w:val="none" w:sz="0" w:space="0" w:color="auto"/>
            <w:right w:val="none" w:sz="0" w:space="0" w:color="auto"/>
          </w:divBdr>
        </w:div>
        <w:div w:id="1342583381">
          <w:marLeft w:val="0"/>
          <w:marRight w:val="0"/>
          <w:marTop w:val="0"/>
          <w:marBottom w:val="0"/>
          <w:divBdr>
            <w:top w:val="none" w:sz="0" w:space="0" w:color="auto"/>
            <w:left w:val="none" w:sz="0" w:space="0" w:color="auto"/>
            <w:bottom w:val="none" w:sz="0" w:space="0" w:color="auto"/>
            <w:right w:val="none" w:sz="0" w:space="0" w:color="auto"/>
          </w:divBdr>
        </w:div>
        <w:div w:id="1350716881">
          <w:marLeft w:val="0"/>
          <w:marRight w:val="0"/>
          <w:marTop w:val="0"/>
          <w:marBottom w:val="0"/>
          <w:divBdr>
            <w:top w:val="none" w:sz="0" w:space="0" w:color="auto"/>
            <w:left w:val="none" w:sz="0" w:space="0" w:color="auto"/>
            <w:bottom w:val="none" w:sz="0" w:space="0" w:color="auto"/>
            <w:right w:val="none" w:sz="0" w:space="0" w:color="auto"/>
          </w:divBdr>
        </w:div>
        <w:div w:id="1377587701">
          <w:marLeft w:val="0"/>
          <w:marRight w:val="0"/>
          <w:marTop w:val="0"/>
          <w:marBottom w:val="0"/>
          <w:divBdr>
            <w:top w:val="none" w:sz="0" w:space="0" w:color="auto"/>
            <w:left w:val="none" w:sz="0" w:space="0" w:color="auto"/>
            <w:bottom w:val="none" w:sz="0" w:space="0" w:color="auto"/>
            <w:right w:val="none" w:sz="0" w:space="0" w:color="auto"/>
          </w:divBdr>
        </w:div>
        <w:div w:id="1388996266">
          <w:marLeft w:val="0"/>
          <w:marRight w:val="0"/>
          <w:marTop w:val="0"/>
          <w:marBottom w:val="0"/>
          <w:divBdr>
            <w:top w:val="none" w:sz="0" w:space="0" w:color="auto"/>
            <w:left w:val="none" w:sz="0" w:space="0" w:color="auto"/>
            <w:bottom w:val="none" w:sz="0" w:space="0" w:color="auto"/>
            <w:right w:val="none" w:sz="0" w:space="0" w:color="auto"/>
          </w:divBdr>
        </w:div>
        <w:div w:id="1390223202">
          <w:marLeft w:val="0"/>
          <w:marRight w:val="0"/>
          <w:marTop w:val="0"/>
          <w:marBottom w:val="0"/>
          <w:divBdr>
            <w:top w:val="none" w:sz="0" w:space="0" w:color="auto"/>
            <w:left w:val="none" w:sz="0" w:space="0" w:color="auto"/>
            <w:bottom w:val="none" w:sz="0" w:space="0" w:color="auto"/>
            <w:right w:val="none" w:sz="0" w:space="0" w:color="auto"/>
          </w:divBdr>
        </w:div>
        <w:div w:id="1393389621">
          <w:marLeft w:val="0"/>
          <w:marRight w:val="0"/>
          <w:marTop w:val="0"/>
          <w:marBottom w:val="0"/>
          <w:divBdr>
            <w:top w:val="none" w:sz="0" w:space="0" w:color="auto"/>
            <w:left w:val="none" w:sz="0" w:space="0" w:color="auto"/>
            <w:bottom w:val="none" w:sz="0" w:space="0" w:color="auto"/>
            <w:right w:val="none" w:sz="0" w:space="0" w:color="auto"/>
          </w:divBdr>
        </w:div>
        <w:div w:id="1396120759">
          <w:marLeft w:val="0"/>
          <w:marRight w:val="0"/>
          <w:marTop w:val="0"/>
          <w:marBottom w:val="0"/>
          <w:divBdr>
            <w:top w:val="none" w:sz="0" w:space="0" w:color="auto"/>
            <w:left w:val="none" w:sz="0" w:space="0" w:color="auto"/>
            <w:bottom w:val="none" w:sz="0" w:space="0" w:color="auto"/>
            <w:right w:val="none" w:sz="0" w:space="0" w:color="auto"/>
          </w:divBdr>
        </w:div>
        <w:div w:id="1438940654">
          <w:marLeft w:val="0"/>
          <w:marRight w:val="0"/>
          <w:marTop w:val="0"/>
          <w:marBottom w:val="0"/>
          <w:divBdr>
            <w:top w:val="none" w:sz="0" w:space="0" w:color="auto"/>
            <w:left w:val="none" w:sz="0" w:space="0" w:color="auto"/>
            <w:bottom w:val="none" w:sz="0" w:space="0" w:color="auto"/>
            <w:right w:val="none" w:sz="0" w:space="0" w:color="auto"/>
          </w:divBdr>
        </w:div>
        <w:div w:id="1444613683">
          <w:marLeft w:val="0"/>
          <w:marRight w:val="0"/>
          <w:marTop w:val="0"/>
          <w:marBottom w:val="0"/>
          <w:divBdr>
            <w:top w:val="none" w:sz="0" w:space="0" w:color="auto"/>
            <w:left w:val="none" w:sz="0" w:space="0" w:color="auto"/>
            <w:bottom w:val="none" w:sz="0" w:space="0" w:color="auto"/>
            <w:right w:val="none" w:sz="0" w:space="0" w:color="auto"/>
          </w:divBdr>
        </w:div>
        <w:div w:id="1450274425">
          <w:marLeft w:val="0"/>
          <w:marRight w:val="0"/>
          <w:marTop w:val="0"/>
          <w:marBottom w:val="0"/>
          <w:divBdr>
            <w:top w:val="none" w:sz="0" w:space="0" w:color="auto"/>
            <w:left w:val="none" w:sz="0" w:space="0" w:color="auto"/>
            <w:bottom w:val="none" w:sz="0" w:space="0" w:color="auto"/>
            <w:right w:val="none" w:sz="0" w:space="0" w:color="auto"/>
          </w:divBdr>
        </w:div>
        <w:div w:id="1459835192">
          <w:marLeft w:val="0"/>
          <w:marRight w:val="0"/>
          <w:marTop w:val="0"/>
          <w:marBottom w:val="0"/>
          <w:divBdr>
            <w:top w:val="none" w:sz="0" w:space="0" w:color="auto"/>
            <w:left w:val="none" w:sz="0" w:space="0" w:color="auto"/>
            <w:bottom w:val="none" w:sz="0" w:space="0" w:color="auto"/>
            <w:right w:val="none" w:sz="0" w:space="0" w:color="auto"/>
          </w:divBdr>
        </w:div>
        <w:div w:id="1473210282">
          <w:marLeft w:val="0"/>
          <w:marRight w:val="0"/>
          <w:marTop w:val="0"/>
          <w:marBottom w:val="0"/>
          <w:divBdr>
            <w:top w:val="none" w:sz="0" w:space="0" w:color="auto"/>
            <w:left w:val="none" w:sz="0" w:space="0" w:color="auto"/>
            <w:bottom w:val="none" w:sz="0" w:space="0" w:color="auto"/>
            <w:right w:val="none" w:sz="0" w:space="0" w:color="auto"/>
          </w:divBdr>
        </w:div>
        <w:div w:id="1475752158">
          <w:marLeft w:val="0"/>
          <w:marRight w:val="0"/>
          <w:marTop w:val="0"/>
          <w:marBottom w:val="0"/>
          <w:divBdr>
            <w:top w:val="none" w:sz="0" w:space="0" w:color="auto"/>
            <w:left w:val="none" w:sz="0" w:space="0" w:color="auto"/>
            <w:bottom w:val="none" w:sz="0" w:space="0" w:color="auto"/>
            <w:right w:val="none" w:sz="0" w:space="0" w:color="auto"/>
          </w:divBdr>
        </w:div>
        <w:div w:id="1482963821">
          <w:marLeft w:val="0"/>
          <w:marRight w:val="0"/>
          <w:marTop w:val="0"/>
          <w:marBottom w:val="0"/>
          <w:divBdr>
            <w:top w:val="none" w:sz="0" w:space="0" w:color="auto"/>
            <w:left w:val="none" w:sz="0" w:space="0" w:color="auto"/>
            <w:bottom w:val="none" w:sz="0" w:space="0" w:color="auto"/>
            <w:right w:val="none" w:sz="0" w:space="0" w:color="auto"/>
          </w:divBdr>
        </w:div>
        <w:div w:id="1485581142">
          <w:marLeft w:val="0"/>
          <w:marRight w:val="0"/>
          <w:marTop w:val="0"/>
          <w:marBottom w:val="0"/>
          <w:divBdr>
            <w:top w:val="none" w:sz="0" w:space="0" w:color="auto"/>
            <w:left w:val="none" w:sz="0" w:space="0" w:color="auto"/>
            <w:bottom w:val="none" w:sz="0" w:space="0" w:color="auto"/>
            <w:right w:val="none" w:sz="0" w:space="0" w:color="auto"/>
          </w:divBdr>
        </w:div>
        <w:div w:id="1486126306">
          <w:marLeft w:val="0"/>
          <w:marRight w:val="0"/>
          <w:marTop w:val="0"/>
          <w:marBottom w:val="0"/>
          <w:divBdr>
            <w:top w:val="none" w:sz="0" w:space="0" w:color="auto"/>
            <w:left w:val="none" w:sz="0" w:space="0" w:color="auto"/>
            <w:bottom w:val="none" w:sz="0" w:space="0" w:color="auto"/>
            <w:right w:val="none" w:sz="0" w:space="0" w:color="auto"/>
          </w:divBdr>
        </w:div>
        <w:div w:id="1486966562">
          <w:marLeft w:val="0"/>
          <w:marRight w:val="0"/>
          <w:marTop w:val="0"/>
          <w:marBottom w:val="0"/>
          <w:divBdr>
            <w:top w:val="none" w:sz="0" w:space="0" w:color="auto"/>
            <w:left w:val="none" w:sz="0" w:space="0" w:color="auto"/>
            <w:bottom w:val="none" w:sz="0" w:space="0" w:color="auto"/>
            <w:right w:val="none" w:sz="0" w:space="0" w:color="auto"/>
          </w:divBdr>
        </w:div>
        <w:div w:id="1489639723">
          <w:marLeft w:val="0"/>
          <w:marRight w:val="0"/>
          <w:marTop w:val="0"/>
          <w:marBottom w:val="0"/>
          <w:divBdr>
            <w:top w:val="none" w:sz="0" w:space="0" w:color="auto"/>
            <w:left w:val="none" w:sz="0" w:space="0" w:color="auto"/>
            <w:bottom w:val="none" w:sz="0" w:space="0" w:color="auto"/>
            <w:right w:val="none" w:sz="0" w:space="0" w:color="auto"/>
          </w:divBdr>
        </w:div>
        <w:div w:id="1524395139">
          <w:marLeft w:val="0"/>
          <w:marRight w:val="0"/>
          <w:marTop w:val="0"/>
          <w:marBottom w:val="0"/>
          <w:divBdr>
            <w:top w:val="none" w:sz="0" w:space="0" w:color="auto"/>
            <w:left w:val="none" w:sz="0" w:space="0" w:color="auto"/>
            <w:bottom w:val="none" w:sz="0" w:space="0" w:color="auto"/>
            <w:right w:val="none" w:sz="0" w:space="0" w:color="auto"/>
          </w:divBdr>
        </w:div>
        <w:div w:id="1525364183">
          <w:marLeft w:val="0"/>
          <w:marRight w:val="0"/>
          <w:marTop w:val="0"/>
          <w:marBottom w:val="0"/>
          <w:divBdr>
            <w:top w:val="none" w:sz="0" w:space="0" w:color="auto"/>
            <w:left w:val="none" w:sz="0" w:space="0" w:color="auto"/>
            <w:bottom w:val="none" w:sz="0" w:space="0" w:color="auto"/>
            <w:right w:val="none" w:sz="0" w:space="0" w:color="auto"/>
          </w:divBdr>
        </w:div>
        <w:div w:id="1539854082">
          <w:marLeft w:val="0"/>
          <w:marRight w:val="0"/>
          <w:marTop w:val="0"/>
          <w:marBottom w:val="0"/>
          <w:divBdr>
            <w:top w:val="none" w:sz="0" w:space="0" w:color="auto"/>
            <w:left w:val="none" w:sz="0" w:space="0" w:color="auto"/>
            <w:bottom w:val="none" w:sz="0" w:space="0" w:color="auto"/>
            <w:right w:val="none" w:sz="0" w:space="0" w:color="auto"/>
          </w:divBdr>
        </w:div>
        <w:div w:id="1562204627">
          <w:marLeft w:val="0"/>
          <w:marRight w:val="0"/>
          <w:marTop w:val="0"/>
          <w:marBottom w:val="0"/>
          <w:divBdr>
            <w:top w:val="none" w:sz="0" w:space="0" w:color="auto"/>
            <w:left w:val="none" w:sz="0" w:space="0" w:color="auto"/>
            <w:bottom w:val="none" w:sz="0" w:space="0" w:color="auto"/>
            <w:right w:val="none" w:sz="0" w:space="0" w:color="auto"/>
          </w:divBdr>
        </w:div>
        <w:div w:id="1574849444">
          <w:marLeft w:val="0"/>
          <w:marRight w:val="0"/>
          <w:marTop w:val="0"/>
          <w:marBottom w:val="0"/>
          <w:divBdr>
            <w:top w:val="none" w:sz="0" w:space="0" w:color="auto"/>
            <w:left w:val="none" w:sz="0" w:space="0" w:color="auto"/>
            <w:bottom w:val="none" w:sz="0" w:space="0" w:color="auto"/>
            <w:right w:val="none" w:sz="0" w:space="0" w:color="auto"/>
          </w:divBdr>
        </w:div>
        <w:div w:id="1578322082">
          <w:marLeft w:val="0"/>
          <w:marRight w:val="0"/>
          <w:marTop w:val="0"/>
          <w:marBottom w:val="0"/>
          <w:divBdr>
            <w:top w:val="none" w:sz="0" w:space="0" w:color="auto"/>
            <w:left w:val="none" w:sz="0" w:space="0" w:color="auto"/>
            <w:bottom w:val="none" w:sz="0" w:space="0" w:color="auto"/>
            <w:right w:val="none" w:sz="0" w:space="0" w:color="auto"/>
          </w:divBdr>
        </w:div>
        <w:div w:id="1604458296">
          <w:marLeft w:val="0"/>
          <w:marRight w:val="0"/>
          <w:marTop w:val="0"/>
          <w:marBottom w:val="0"/>
          <w:divBdr>
            <w:top w:val="none" w:sz="0" w:space="0" w:color="auto"/>
            <w:left w:val="none" w:sz="0" w:space="0" w:color="auto"/>
            <w:bottom w:val="none" w:sz="0" w:space="0" w:color="auto"/>
            <w:right w:val="none" w:sz="0" w:space="0" w:color="auto"/>
          </w:divBdr>
        </w:div>
        <w:div w:id="1623420270">
          <w:marLeft w:val="0"/>
          <w:marRight w:val="0"/>
          <w:marTop w:val="0"/>
          <w:marBottom w:val="0"/>
          <w:divBdr>
            <w:top w:val="none" w:sz="0" w:space="0" w:color="auto"/>
            <w:left w:val="none" w:sz="0" w:space="0" w:color="auto"/>
            <w:bottom w:val="none" w:sz="0" w:space="0" w:color="auto"/>
            <w:right w:val="none" w:sz="0" w:space="0" w:color="auto"/>
          </w:divBdr>
        </w:div>
        <w:div w:id="1637485240">
          <w:marLeft w:val="0"/>
          <w:marRight w:val="0"/>
          <w:marTop w:val="0"/>
          <w:marBottom w:val="0"/>
          <w:divBdr>
            <w:top w:val="none" w:sz="0" w:space="0" w:color="auto"/>
            <w:left w:val="none" w:sz="0" w:space="0" w:color="auto"/>
            <w:bottom w:val="none" w:sz="0" w:space="0" w:color="auto"/>
            <w:right w:val="none" w:sz="0" w:space="0" w:color="auto"/>
          </w:divBdr>
        </w:div>
        <w:div w:id="1707365215">
          <w:marLeft w:val="0"/>
          <w:marRight w:val="0"/>
          <w:marTop w:val="0"/>
          <w:marBottom w:val="0"/>
          <w:divBdr>
            <w:top w:val="none" w:sz="0" w:space="0" w:color="auto"/>
            <w:left w:val="none" w:sz="0" w:space="0" w:color="auto"/>
            <w:bottom w:val="none" w:sz="0" w:space="0" w:color="auto"/>
            <w:right w:val="none" w:sz="0" w:space="0" w:color="auto"/>
          </w:divBdr>
        </w:div>
        <w:div w:id="1736781472">
          <w:marLeft w:val="0"/>
          <w:marRight w:val="0"/>
          <w:marTop w:val="0"/>
          <w:marBottom w:val="0"/>
          <w:divBdr>
            <w:top w:val="none" w:sz="0" w:space="0" w:color="auto"/>
            <w:left w:val="none" w:sz="0" w:space="0" w:color="auto"/>
            <w:bottom w:val="none" w:sz="0" w:space="0" w:color="auto"/>
            <w:right w:val="none" w:sz="0" w:space="0" w:color="auto"/>
          </w:divBdr>
        </w:div>
        <w:div w:id="1744988852">
          <w:marLeft w:val="0"/>
          <w:marRight w:val="0"/>
          <w:marTop w:val="0"/>
          <w:marBottom w:val="0"/>
          <w:divBdr>
            <w:top w:val="none" w:sz="0" w:space="0" w:color="auto"/>
            <w:left w:val="none" w:sz="0" w:space="0" w:color="auto"/>
            <w:bottom w:val="none" w:sz="0" w:space="0" w:color="auto"/>
            <w:right w:val="none" w:sz="0" w:space="0" w:color="auto"/>
          </w:divBdr>
        </w:div>
        <w:div w:id="1749308829">
          <w:marLeft w:val="0"/>
          <w:marRight w:val="0"/>
          <w:marTop w:val="0"/>
          <w:marBottom w:val="0"/>
          <w:divBdr>
            <w:top w:val="none" w:sz="0" w:space="0" w:color="auto"/>
            <w:left w:val="none" w:sz="0" w:space="0" w:color="auto"/>
            <w:bottom w:val="none" w:sz="0" w:space="0" w:color="auto"/>
            <w:right w:val="none" w:sz="0" w:space="0" w:color="auto"/>
          </w:divBdr>
        </w:div>
        <w:div w:id="1775246163">
          <w:marLeft w:val="0"/>
          <w:marRight w:val="0"/>
          <w:marTop w:val="0"/>
          <w:marBottom w:val="0"/>
          <w:divBdr>
            <w:top w:val="none" w:sz="0" w:space="0" w:color="auto"/>
            <w:left w:val="none" w:sz="0" w:space="0" w:color="auto"/>
            <w:bottom w:val="none" w:sz="0" w:space="0" w:color="auto"/>
            <w:right w:val="none" w:sz="0" w:space="0" w:color="auto"/>
          </w:divBdr>
        </w:div>
        <w:div w:id="1789158485">
          <w:marLeft w:val="0"/>
          <w:marRight w:val="0"/>
          <w:marTop w:val="0"/>
          <w:marBottom w:val="0"/>
          <w:divBdr>
            <w:top w:val="none" w:sz="0" w:space="0" w:color="auto"/>
            <w:left w:val="none" w:sz="0" w:space="0" w:color="auto"/>
            <w:bottom w:val="none" w:sz="0" w:space="0" w:color="auto"/>
            <w:right w:val="none" w:sz="0" w:space="0" w:color="auto"/>
          </w:divBdr>
          <w:divsChild>
            <w:div w:id="103114488">
              <w:marLeft w:val="0"/>
              <w:marRight w:val="0"/>
              <w:marTop w:val="0"/>
              <w:marBottom w:val="0"/>
              <w:divBdr>
                <w:top w:val="none" w:sz="0" w:space="0" w:color="auto"/>
                <w:left w:val="none" w:sz="0" w:space="0" w:color="auto"/>
                <w:bottom w:val="none" w:sz="0" w:space="0" w:color="auto"/>
                <w:right w:val="none" w:sz="0" w:space="0" w:color="auto"/>
              </w:divBdr>
              <w:divsChild>
                <w:div w:id="6158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2922">
          <w:marLeft w:val="0"/>
          <w:marRight w:val="0"/>
          <w:marTop w:val="0"/>
          <w:marBottom w:val="0"/>
          <w:divBdr>
            <w:top w:val="none" w:sz="0" w:space="0" w:color="auto"/>
            <w:left w:val="none" w:sz="0" w:space="0" w:color="auto"/>
            <w:bottom w:val="none" w:sz="0" w:space="0" w:color="auto"/>
            <w:right w:val="none" w:sz="0" w:space="0" w:color="auto"/>
          </w:divBdr>
        </w:div>
        <w:div w:id="1810247506">
          <w:marLeft w:val="0"/>
          <w:marRight w:val="0"/>
          <w:marTop w:val="0"/>
          <w:marBottom w:val="0"/>
          <w:divBdr>
            <w:top w:val="none" w:sz="0" w:space="0" w:color="auto"/>
            <w:left w:val="none" w:sz="0" w:space="0" w:color="auto"/>
            <w:bottom w:val="none" w:sz="0" w:space="0" w:color="auto"/>
            <w:right w:val="none" w:sz="0" w:space="0" w:color="auto"/>
          </w:divBdr>
        </w:div>
        <w:div w:id="1826697882">
          <w:marLeft w:val="0"/>
          <w:marRight w:val="0"/>
          <w:marTop w:val="0"/>
          <w:marBottom w:val="0"/>
          <w:divBdr>
            <w:top w:val="none" w:sz="0" w:space="0" w:color="auto"/>
            <w:left w:val="none" w:sz="0" w:space="0" w:color="auto"/>
            <w:bottom w:val="none" w:sz="0" w:space="0" w:color="auto"/>
            <w:right w:val="none" w:sz="0" w:space="0" w:color="auto"/>
          </w:divBdr>
        </w:div>
        <w:div w:id="1832721021">
          <w:marLeft w:val="0"/>
          <w:marRight w:val="0"/>
          <w:marTop w:val="0"/>
          <w:marBottom w:val="0"/>
          <w:divBdr>
            <w:top w:val="none" w:sz="0" w:space="0" w:color="auto"/>
            <w:left w:val="none" w:sz="0" w:space="0" w:color="auto"/>
            <w:bottom w:val="none" w:sz="0" w:space="0" w:color="auto"/>
            <w:right w:val="none" w:sz="0" w:space="0" w:color="auto"/>
          </w:divBdr>
        </w:div>
        <w:div w:id="1835026728">
          <w:marLeft w:val="0"/>
          <w:marRight w:val="0"/>
          <w:marTop w:val="0"/>
          <w:marBottom w:val="0"/>
          <w:divBdr>
            <w:top w:val="none" w:sz="0" w:space="0" w:color="auto"/>
            <w:left w:val="none" w:sz="0" w:space="0" w:color="auto"/>
            <w:bottom w:val="none" w:sz="0" w:space="0" w:color="auto"/>
            <w:right w:val="none" w:sz="0" w:space="0" w:color="auto"/>
          </w:divBdr>
        </w:div>
        <w:div w:id="1872036532">
          <w:marLeft w:val="0"/>
          <w:marRight w:val="0"/>
          <w:marTop w:val="0"/>
          <w:marBottom w:val="0"/>
          <w:divBdr>
            <w:top w:val="none" w:sz="0" w:space="0" w:color="auto"/>
            <w:left w:val="none" w:sz="0" w:space="0" w:color="auto"/>
            <w:bottom w:val="none" w:sz="0" w:space="0" w:color="auto"/>
            <w:right w:val="none" w:sz="0" w:space="0" w:color="auto"/>
          </w:divBdr>
        </w:div>
        <w:div w:id="1885944524">
          <w:marLeft w:val="0"/>
          <w:marRight w:val="0"/>
          <w:marTop w:val="0"/>
          <w:marBottom w:val="0"/>
          <w:divBdr>
            <w:top w:val="none" w:sz="0" w:space="0" w:color="auto"/>
            <w:left w:val="none" w:sz="0" w:space="0" w:color="auto"/>
            <w:bottom w:val="none" w:sz="0" w:space="0" w:color="auto"/>
            <w:right w:val="none" w:sz="0" w:space="0" w:color="auto"/>
          </w:divBdr>
        </w:div>
        <w:div w:id="1886140188">
          <w:marLeft w:val="0"/>
          <w:marRight w:val="0"/>
          <w:marTop w:val="0"/>
          <w:marBottom w:val="0"/>
          <w:divBdr>
            <w:top w:val="none" w:sz="0" w:space="0" w:color="auto"/>
            <w:left w:val="none" w:sz="0" w:space="0" w:color="auto"/>
            <w:bottom w:val="none" w:sz="0" w:space="0" w:color="auto"/>
            <w:right w:val="none" w:sz="0" w:space="0" w:color="auto"/>
          </w:divBdr>
        </w:div>
        <w:div w:id="1896424314">
          <w:marLeft w:val="0"/>
          <w:marRight w:val="0"/>
          <w:marTop w:val="0"/>
          <w:marBottom w:val="0"/>
          <w:divBdr>
            <w:top w:val="none" w:sz="0" w:space="0" w:color="auto"/>
            <w:left w:val="none" w:sz="0" w:space="0" w:color="auto"/>
            <w:bottom w:val="none" w:sz="0" w:space="0" w:color="auto"/>
            <w:right w:val="none" w:sz="0" w:space="0" w:color="auto"/>
          </w:divBdr>
        </w:div>
        <w:div w:id="1905679999">
          <w:marLeft w:val="0"/>
          <w:marRight w:val="0"/>
          <w:marTop w:val="0"/>
          <w:marBottom w:val="0"/>
          <w:divBdr>
            <w:top w:val="none" w:sz="0" w:space="0" w:color="auto"/>
            <w:left w:val="none" w:sz="0" w:space="0" w:color="auto"/>
            <w:bottom w:val="none" w:sz="0" w:space="0" w:color="auto"/>
            <w:right w:val="none" w:sz="0" w:space="0" w:color="auto"/>
          </w:divBdr>
        </w:div>
        <w:div w:id="1905723534">
          <w:marLeft w:val="0"/>
          <w:marRight w:val="0"/>
          <w:marTop w:val="0"/>
          <w:marBottom w:val="0"/>
          <w:divBdr>
            <w:top w:val="none" w:sz="0" w:space="0" w:color="auto"/>
            <w:left w:val="none" w:sz="0" w:space="0" w:color="auto"/>
            <w:bottom w:val="none" w:sz="0" w:space="0" w:color="auto"/>
            <w:right w:val="none" w:sz="0" w:space="0" w:color="auto"/>
          </w:divBdr>
        </w:div>
        <w:div w:id="1919092937">
          <w:marLeft w:val="0"/>
          <w:marRight w:val="0"/>
          <w:marTop w:val="0"/>
          <w:marBottom w:val="0"/>
          <w:divBdr>
            <w:top w:val="none" w:sz="0" w:space="0" w:color="auto"/>
            <w:left w:val="none" w:sz="0" w:space="0" w:color="auto"/>
            <w:bottom w:val="none" w:sz="0" w:space="0" w:color="auto"/>
            <w:right w:val="none" w:sz="0" w:space="0" w:color="auto"/>
          </w:divBdr>
        </w:div>
        <w:div w:id="1923293104">
          <w:marLeft w:val="0"/>
          <w:marRight w:val="0"/>
          <w:marTop w:val="0"/>
          <w:marBottom w:val="0"/>
          <w:divBdr>
            <w:top w:val="none" w:sz="0" w:space="0" w:color="auto"/>
            <w:left w:val="none" w:sz="0" w:space="0" w:color="auto"/>
            <w:bottom w:val="none" w:sz="0" w:space="0" w:color="auto"/>
            <w:right w:val="none" w:sz="0" w:space="0" w:color="auto"/>
          </w:divBdr>
        </w:div>
        <w:div w:id="1929919678">
          <w:marLeft w:val="0"/>
          <w:marRight w:val="0"/>
          <w:marTop w:val="0"/>
          <w:marBottom w:val="0"/>
          <w:divBdr>
            <w:top w:val="none" w:sz="0" w:space="0" w:color="auto"/>
            <w:left w:val="none" w:sz="0" w:space="0" w:color="auto"/>
            <w:bottom w:val="none" w:sz="0" w:space="0" w:color="auto"/>
            <w:right w:val="none" w:sz="0" w:space="0" w:color="auto"/>
          </w:divBdr>
        </w:div>
        <w:div w:id="1945527375">
          <w:marLeft w:val="0"/>
          <w:marRight w:val="0"/>
          <w:marTop w:val="0"/>
          <w:marBottom w:val="0"/>
          <w:divBdr>
            <w:top w:val="none" w:sz="0" w:space="0" w:color="auto"/>
            <w:left w:val="none" w:sz="0" w:space="0" w:color="auto"/>
            <w:bottom w:val="none" w:sz="0" w:space="0" w:color="auto"/>
            <w:right w:val="none" w:sz="0" w:space="0" w:color="auto"/>
          </w:divBdr>
        </w:div>
        <w:div w:id="1983542106">
          <w:marLeft w:val="0"/>
          <w:marRight w:val="0"/>
          <w:marTop w:val="0"/>
          <w:marBottom w:val="0"/>
          <w:divBdr>
            <w:top w:val="none" w:sz="0" w:space="0" w:color="auto"/>
            <w:left w:val="none" w:sz="0" w:space="0" w:color="auto"/>
            <w:bottom w:val="none" w:sz="0" w:space="0" w:color="auto"/>
            <w:right w:val="none" w:sz="0" w:space="0" w:color="auto"/>
          </w:divBdr>
        </w:div>
        <w:div w:id="1996955030">
          <w:marLeft w:val="0"/>
          <w:marRight w:val="0"/>
          <w:marTop w:val="0"/>
          <w:marBottom w:val="0"/>
          <w:divBdr>
            <w:top w:val="none" w:sz="0" w:space="0" w:color="auto"/>
            <w:left w:val="none" w:sz="0" w:space="0" w:color="auto"/>
            <w:bottom w:val="none" w:sz="0" w:space="0" w:color="auto"/>
            <w:right w:val="none" w:sz="0" w:space="0" w:color="auto"/>
          </w:divBdr>
        </w:div>
        <w:div w:id="2003897785">
          <w:marLeft w:val="0"/>
          <w:marRight w:val="0"/>
          <w:marTop w:val="0"/>
          <w:marBottom w:val="0"/>
          <w:divBdr>
            <w:top w:val="none" w:sz="0" w:space="0" w:color="auto"/>
            <w:left w:val="none" w:sz="0" w:space="0" w:color="auto"/>
            <w:bottom w:val="none" w:sz="0" w:space="0" w:color="auto"/>
            <w:right w:val="none" w:sz="0" w:space="0" w:color="auto"/>
          </w:divBdr>
        </w:div>
        <w:div w:id="2050955514">
          <w:marLeft w:val="0"/>
          <w:marRight w:val="0"/>
          <w:marTop w:val="0"/>
          <w:marBottom w:val="0"/>
          <w:divBdr>
            <w:top w:val="none" w:sz="0" w:space="0" w:color="auto"/>
            <w:left w:val="none" w:sz="0" w:space="0" w:color="auto"/>
            <w:bottom w:val="none" w:sz="0" w:space="0" w:color="auto"/>
            <w:right w:val="none" w:sz="0" w:space="0" w:color="auto"/>
          </w:divBdr>
        </w:div>
        <w:div w:id="2089226154">
          <w:marLeft w:val="0"/>
          <w:marRight w:val="0"/>
          <w:marTop w:val="0"/>
          <w:marBottom w:val="0"/>
          <w:divBdr>
            <w:top w:val="none" w:sz="0" w:space="0" w:color="auto"/>
            <w:left w:val="none" w:sz="0" w:space="0" w:color="auto"/>
            <w:bottom w:val="none" w:sz="0" w:space="0" w:color="auto"/>
            <w:right w:val="none" w:sz="0" w:space="0" w:color="auto"/>
          </w:divBdr>
        </w:div>
        <w:div w:id="2113358309">
          <w:marLeft w:val="0"/>
          <w:marRight w:val="0"/>
          <w:marTop w:val="0"/>
          <w:marBottom w:val="0"/>
          <w:divBdr>
            <w:top w:val="none" w:sz="0" w:space="0" w:color="auto"/>
            <w:left w:val="none" w:sz="0" w:space="0" w:color="auto"/>
            <w:bottom w:val="none" w:sz="0" w:space="0" w:color="auto"/>
            <w:right w:val="none" w:sz="0" w:space="0" w:color="auto"/>
          </w:divBdr>
        </w:div>
        <w:div w:id="2122842501">
          <w:marLeft w:val="0"/>
          <w:marRight w:val="0"/>
          <w:marTop w:val="0"/>
          <w:marBottom w:val="0"/>
          <w:divBdr>
            <w:top w:val="none" w:sz="0" w:space="0" w:color="auto"/>
            <w:left w:val="none" w:sz="0" w:space="0" w:color="auto"/>
            <w:bottom w:val="none" w:sz="0" w:space="0" w:color="auto"/>
            <w:right w:val="none" w:sz="0" w:space="0" w:color="auto"/>
          </w:divBdr>
        </w:div>
        <w:div w:id="2128575796">
          <w:marLeft w:val="0"/>
          <w:marRight w:val="0"/>
          <w:marTop w:val="0"/>
          <w:marBottom w:val="0"/>
          <w:divBdr>
            <w:top w:val="none" w:sz="0" w:space="0" w:color="auto"/>
            <w:left w:val="none" w:sz="0" w:space="0" w:color="auto"/>
            <w:bottom w:val="none" w:sz="0" w:space="0" w:color="auto"/>
            <w:right w:val="none" w:sz="0" w:space="0" w:color="auto"/>
          </w:divBdr>
        </w:div>
        <w:div w:id="2130927180">
          <w:marLeft w:val="0"/>
          <w:marRight w:val="0"/>
          <w:marTop w:val="0"/>
          <w:marBottom w:val="0"/>
          <w:divBdr>
            <w:top w:val="none" w:sz="0" w:space="0" w:color="auto"/>
            <w:left w:val="none" w:sz="0" w:space="0" w:color="auto"/>
            <w:bottom w:val="none" w:sz="0" w:space="0" w:color="auto"/>
            <w:right w:val="none" w:sz="0" w:space="0" w:color="auto"/>
          </w:divBdr>
        </w:div>
      </w:divsChild>
    </w:div>
    <w:div w:id="2075159907">
      <w:bodyDiv w:val="1"/>
      <w:marLeft w:val="0"/>
      <w:marRight w:val="0"/>
      <w:marTop w:val="0"/>
      <w:marBottom w:val="0"/>
      <w:divBdr>
        <w:top w:val="none" w:sz="0" w:space="0" w:color="auto"/>
        <w:left w:val="none" w:sz="0" w:space="0" w:color="auto"/>
        <w:bottom w:val="none" w:sz="0" w:space="0" w:color="auto"/>
        <w:right w:val="none" w:sz="0" w:space="0" w:color="auto"/>
      </w:divBdr>
      <w:divsChild>
        <w:div w:id="25101023">
          <w:marLeft w:val="0"/>
          <w:marRight w:val="0"/>
          <w:marTop w:val="0"/>
          <w:marBottom w:val="0"/>
          <w:divBdr>
            <w:top w:val="none" w:sz="0" w:space="0" w:color="auto"/>
            <w:left w:val="none" w:sz="0" w:space="0" w:color="auto"/>
            <w:bottom w:val="none" w:sz="0" w:space="0" w:color="auto"/>
            <w:right w:val="none" w:sz="0" w:space="0" w:color="auto"/>
          </w:divBdr>
        </w:div>
        <w:div w:id="209003175">
          <w:marLeft w:val="0"/>
          <w:marRight w:val="0"/>
          <w:marTop w:val="0"/>
          <w:marBottom w:val="0"/>
          <w:divBdr>
            <w:top w:val="none" w:sz="0" w:space="0" w:color="auto"/>
            <w:left w:val="none" w:sz="0" w:space="0" w:color="auto"/>
            <w:bottom w:val="none" w:sz="0" w:space="0" w:color="auto"/>
            <w:right w:val="none" w:sz="0" w:space="0" w:color="auto"/>
          </w:divBdr>
        </w:div>
        <w:div w:id="312953966">
          <w:marLeft w:val="0"/>
          <w:marRight w:val="0"/>
          <w:marTop w:val="0"/>
          <w:marBottom w:val="0"/>
          <w:divBdr>
            <w:top w:val="none" w:sz="0" w:space="0" w:color="auto"/>
            <w:left w:val="none" w:sz="0" w:space="0" w:color="auto"/>
            <w:bottom w:val="none" w:sz="0" w:space="0" w:color="auto"/>
            <w:right w:val="none" w:sz="0" w:space="0" w:color="auto"/>
          </w:divBdr>
        </w:div>
        <w:div w:id="402262519">
          <w:marLeft w:val="0"/>
          <w:marRight w:val="0"/>
          <w:marTop w:val="0"/>
          <w:marBottom w:val="0"/>
          <w:divBdr>
            <w:top w:val="none" w:sz="0" w:space="0" w:color="auto"/>
            <w:left w:val="none" w:sz="0" w:space="0" w:color="auto"/>
            <w:bottom w:val="none" w:sz="0" w:space="0" w:color="auto"/>
            <w:right w:val="none" w:sz="0" w:space="0" w:color="auto"/>
          </w:divBdr>
        </w:div>
        <w:div w:id="450779781">
          <w:marLeft w:val="0"/>
          <w:marRight w:val="0"/>
          <w:marTop w:val="0"/>
          <w:marBottom w:val="0"/>
          <w:divBdr>
            <w:top w:val="none" w:sz="0" w:space="0" w:color="auto"/>
            <w:left w:val="none" w:sz="0" w:space="0" w:color="auto"/>
            <w:bottom w:val="none" w:sz="0" w:space="0" w:color="auto"/>
            <w:right w:val="none" w:sz="0" w:space="0" w:color="auto"/>
          </w:divBdr>
        </w:div>
        <w:div w:id="592325024">
          <w:marLeft w:val="0"/>
          <w:marRight w:val="0"/>
          <w:marTop w:val="0"/>
          <w:marBottom w:val="0"/>
          <w:divBdr>
            <w:top w:val="none" w:sz="0" w:space="0" w:color="auto"/>
            <w:left w:val="none" w:sz="0" w:space="0" w:color="auto"/>
            <w:bottom w:val="none" w:sz="0" w:space="0" w:color="auto"/>
            <w:right w:val="none" w:sz="0" w:space="0" w:color="auto"/>
          </w:divBdr>
        </w:div>
        <w:div w:id="614217572">
          <w:marLeft w:val="0"/>
          <w:marRight w:val="0"/>
          <w:marTop w:val="0"/>
          <w:marBottom w:val="0"/>
          <w:divBdr>
            <w:top w:val="none" w:sz="0" w:space="0" w:color="auto"/>
            <w:left w:val="none" w:sz="0" w:space="0" w:color="auto"/>
            <w:bottom w:val="none" w:sz="0" w:space="0" w:color="auto"/>
            <w:right w:val="none" w:sz="0" w:space="0" w:color="auto"/>
          </w:divBdr>
        </w:div>
        <w:div w:id="665594386">
          <w:marLeft w:val="0"/>
          <w:marRight w:val="0"/>
          <w:marTop w:val="0"/>
          <w:marBottom w:val="0"/>
          <w:divBdr>
            <w:top w:val="none" w:sz="0" w:space="0" w:color="auto"/>
            <w:left w:val="none" w:sz="0" w:space="0" w:color="auto"/>
            <w:bottom w:val="none" w:sz="0" w:space="0" w:color="auto"/>
            <w:right w:val="none" w:sz="0" w:space="0" w:color="auto"/>
          </w:divBdr>
        </w:div>
        <w:div w:id="796026860">
          <w:marLeft w:val="0"/>
          <w:marRight w:val="0"/>
          <w:marTop w:val="0"/>
          <w:marBottom w:val="0"/>
          <w:divBdr>
            <w:top w:val="none" w:sz="0" w:space="0" w:color="auto"/>
            <w:left w:val="none" w:sz="0" w:space="0" w:color="auto"/>
            <w:bottom w:val="none" w:sz="0" w:space="0" w:color="auto"/>
            <w:right w:val="none" w:sz="0" w:space="0" w:color="auto"/>
          </w:divBdr>
        </w:div>
        <w:div w:id="824469225">
          <w:marLeft w:val="0"/>
          <w:marRight w:val="0"/>
          <w:marTop w:val="0"/>
          <w:marBottom w:val="0"/>
          <w:divBdr>
            <w:top w:val="none" w:sz="0" w:space="0" w:color="auto"/>
            <w:left w:val="none" w:sz="0" w:space="0" w:color="auto"/>
            <w:bottom w:val="none" w:sz="0" w:space="0" w:color="auto"/>
            <w:right w:val="none" w:sz="0" w:space="0" w:color="auto"/>
          </w:divBdr>
        </w:div>
        <w:div w:id="828137014">
          <w:marLeft w:val="0"/>
          <w:marRight w:val="0"/>
          <w:marTop w:val="0"/>
          <w:marBottom w:val="0"/>
          <w:divBdr>
            <w:top w:val="none" w:sz="0" w:space="0" w:color="auto"/>
            <w:left w:val="none" w:sz="0" w:space="0" w:color="auto"/>
            <w:bottom w:val="none" w:sz="0" w:space="0" w:color="auto"/>
            <w:right w:val="none" w:sz="0" w:space="0" w:color="auto"/>
          </w:divBdr>
        </w:div>
        <w:div w:id="844906410">
          <w:marLeft w:val="0"/>
          <w:marRight w:val="0"/>
          <w:marTop w:val="0"/>
          <w:marBottom w:val="0"/>
          <w:divBdr>
            <w:top w:val="none" w:sz="0" w:space="0" w:color="auto"/>
            <w:left w:val="none" w:sz="0" w:space="0" w:color="auto"/>
            <w:bottom w:val="none" w:sz="0" w:space="0" w:color="auto"/>
            <w:right w:val="none" w:sz="0" w:space="0" w:color="auto"/>
          </w:divBdr>
        </w:div>
        <w:div w:id="846405917">
          <w:marLeft w:val="0"/>
          <w:marRight w:val="0"/>
          <w:marTop w:val="0"/>
          <w:marBottom w:val="0"/>
          <w:divBdr>
            <w:top w:val="none" w:sz="0" w:space="0" w:color="auto"/>
            <w:left w:val="none" w:sz="0" w:space="0" w:color="auto"/>
            <w:bottom w:val="none" w:sz="0" w:space="0" w:color="auto"/>
            <w:right w:val="none" w:sz="0" w:space="0" w:color="auto"/>
          </w:divBdr>
        </w:div>
        <w:div w:id="852842356">
          <w:marLeft w:val="0"/>
          <w:marRight w:val="0"/>
          <w:marTop w:val="0"/>
          <w:marBottom w:val="0"/>
          <w:divBdr>
            <w:top w:val="none" w:sz="0" w:space="0" w:color="auto"/>
            <w:left w:val="none" w:sz="0" w:space="0" w:color="auto"/>
            <w:bottom w:val="none" w:sz="0" w:space="0" w:color="auto"/>
            <w:right w:val="none" w:sz="0" w:space="0" w:color="auto"/>
          </w:divBdr>
        </w:div>
        <w:div w:id="857354325">
          <w:marLeft w:val="0"/>
          <w:marRight w:val="0"/>
          <w:marTop w:val="0"/>
          <w:marBottom w:val="0"/>
          <w:divBdr>
            <w:top w:val="none" w:sz="0" w:space="0" w:color="auto"/>
            <w:left w:val="none" w:sz="0" w:space="0" w:color="auto"/>
            <w:bottom w:val="none" w:sz="0" w:space="0" w:color="auto"/>
            <w:right w:val="none" w:sz="0" w:space="0" w:color="auto"/>
          </w:divBdr>
        </w:div>
        <w:div w:id="871184310">
          <w:marLeft w:val="0"/>
          <w:marRight w:val="0"/>
          <w:marTop w:val="0"/>
          <w:marBottom w:val="0"/>
          <w:divBdr>
            <w:top w:val="none" w:sz="0" w:space="0" w:color="auto"/>
            <w:left w:val="none" w:sz="0" w:space="0" w:color="auto"/>
            <w:bottom w:val="none" w:sz="0" w:space="0" w:color="auto"/>
            <w:right w:val="none" w:sz="0" w:space="0" w:color="auto"/>
          </w:divBdr>
        </w:div>
        <w:div w:id="890384898">
          <w:marLeft w:val="0"/>
          <w:marRight w:val="0"/>
          <w:marTop w:val="0"/>
          <w:marBottom w:val="0"/>
          <w:divBdr>
            <w:top w:val="none" w:sz="0" w:space="0" w:color="auto"/>
            <w:left w:val="none" w:sz="0" w:space="0" w:color="auto"/>
            <w:bottom w:val="none" w:sz="0" w:space="0" w:color="auto"/>
            <w:right w:val="none" w:sz="0" w:space="0" w:color="auto"/>
          </w:divBdr>
        </w:div>
        <w:div w:id="997267379">
          <w:marLeft w:val="0"/>
          <w:marRight w:val="0"/>
          <w:marTop w:val="0"/>
          <w:marBottom w:val="0"/>
          <w:divBdr>
            <w:top w:val="none" w:sz="0" w:space="0" w:color="auto"/>
            <w:left w:val="none" w:sz="0" w:space="0" w:color="auto"/>
            <w:bottom w:val="none" w:sz="0" w:space="0" w:color="auto"/>
            <w:right w:val="none" w:sz="0" w:space="0" w:color="auto"/>
          </w:divBdr>
        </w:div>
        <w:div w:id="1237011021">
          <w:marLeft w:val="0"/>
          <w:marRight w:val="0"/>
          <w:marTop w:val="0"/>
          <w:marBottom w:val="0"/>
          <w:divBdr>
            <w:top w:val="none" w:sz="0" w:space="0" w:color="auto"/>
            <w:left w:val="none" w:sz="0" w:space="0" w:color="auto"/>
            <w:bottom w:val="none" w:sz="0" w:space="0" w:color="auto"/>
            <w:right w:val="none" w:sz="0" w:space="0" w:color="auto"/>
          </w:divBdr>
        </w:div>
        <w:div w:id="1398090855">
          <w:marLeft w:val="0"/>
          <w:marRight w:val="0"/>
          <w:marTop w:val="0"/>
          <w:marBottom w:val="0"/>
          <w:divBdr>
            <w:top w:val="none" w:sz="0" w:space="0" w:color="auto"/>
            <w:left w:val="none" w:sz="0" w:space="0" w:color="auto"/>
            <w:bottom w:val="none" w:sz="0" w:space="0" w:color="auto"/>
            <w:right w:val="none" w:sz="0" w:space="0" w:color="auto"/>
          </w:divBdr>
        </w:div>
        <w:div w:id="1586186918">
          <w:marLeft w:val="0"/>
          <w:marRight w:val="0"/>
          <w:marTop w:val="0"/>
          <w:marBottom w:val="0"/>
          <w:divBdr>
            <w:top w:val="none" w:sz="0" w:space="0" w:color="auto"/>
            <w:left w:val="none" w:sz="0" w:space="0" w:color="auto"/>
            <w:bottom w:val="none" w:sz="0" w:space="0" w:color="auto"/>
            <w:right w:val="none" w:sz="0" w:space="0" w:color="auto"/>
          </w:divBdr>
        </w:div>
        <w:div w:id="1680883728">
          <w:marLeft w:val="0"/>
          <w:marRight w:val="0"/>
          <w:marTop w:val="0"/>
          <w:marBottom w:val="0"/>
          <w:divBdr>
            <w:top w:val="none" w:sz="0" w:space="0" w:color="auto"/>
            <w:left w:val="none" w:sz="0" w:space="0" w:color="auto"/>
            <w:bottom w:val="none" w:sz="0" w:space="0" w:color="auto"/>
            <w:right w:val="none" w:sz="0" w:space="0" w:color="auto"/>
          </w:divBdr>
        </w:div>
        <w:div w:id="1705134368">
          <w:marLeft w:val="0"/>
          <w:marRight w:val="0"/>
          <w:marTop w:val="0"/>
          <w:marBottom w:val="0"/>
          <w:divBdr>
            <w:top w:val="none" w:sz="0" w:space="0" w:color="auto"/>
            <w:left w:val="none" w:sz="0" w:space="0" w:color="auto"/>
            <w:bottom w:val="none" w:sz="0" w:space="0" w:color="auto"/>
            <w:right w:val="none" w:sz="0" w:space="0" w:color="auto"/>
          </w:divBdr>
        </w:div>
        <w:div w:id="1764834085">
          <w:marLeft w:val="0"/>
          <w:marRight w:val="0"/>
          <w:marTop w:val="0"/>
          <w:marBottom w:val="0"/>
          <w:divBdr>
            <w:top w:val="none" w:sz="0" w:space="0" w:color="auto"/>
            <w:left w:val="none" w:sz="0" w:space="0" w:color="auto"/>
            <w:bottom w:val="none" w:sz="0" w:space="0" w:color="auto"/>
            <w:right w:val="none" w:sz="0" w:space="0" w:color="auto"/>
          </w:divBdr>
        </w:div>
        <w:div w:id="1774789484">
          <w:marLeft w:val="0"/>
          <w:marRight w:val="0"/>
          <w:marTop w:val="0"/>
          <w:marBottom w:val="0"/>
          <w:divBdr>
            <w:top w:val="none" w:sz="0" w:space="0" w:color="auto"/>
            <w:left w:val="none" w:sz="0" w:space="0" w:color="auto"/>
            <w:bottom w:val="none" w:sz="0" w:space="0" w:color="auto"/>
            <w:right w:val="none" w:sz="0" w:space="0" w:color="auto"/>
          </w:divBdr>
        </w:div>
        <w:div w:id="1797215319">
          <w:marLeft w:val="0"/>
          <w:marRight w:val="0"/>
          <w:marTop w:val="0"/>
          <w:marBottom w:val="0"/>
          <w:divBdr>
            <w:top w:val="none" w:sz="0" w:space="0" w:color="auto"/>
            <w:left w:val="none" w:sz="0" w:space="0" w:color="auto"/>
            <w:bottom w:val="none" w:sz="0" w:space="0" w:color="auto"/>
            <w:right w:val="none" w:sz="0" w:space="0" w:color="auto"/>
          </w:divBdr>
        </w:div>
        <w:div w:id="1813600767">
          <w:marLeft w:val="0"/>
          <w:marRight w:val="0"/>
          <w:marTop w:val="0"/>
          <w:marBottom w:val="0"/>
          <w:divBdr>
            <w:top w:val="none" w:sz="0" w:space="0" w:color="auto"/>
            <w:left w:val="none" w:sz="0" w:space="0" w:color="auto"/>
            <w:bottom w:val="none" w:sz="0" w:space="0" w:color="auto"/>
            <w:right w:val="none" w:sz="0" w:space="0" w:color="auto"/>
          </w:divBdr>
        </w:div>
        <w:div w:id="1837304735">
          <w:marLeft w:val="0"/>
          <w:marRight w:val="0"/>
          <w:marTop w:val="0"/>
          <w:marBottom w:val="0"/>
          <w:divBdr>
            <w:top w:val="none" w:sz="0" w:space="0" w:color="auto"/>
            <w:left w:val="none" w:sz="0" w:space="0" w:color="auto"/>
            <w:bottom w:val="none" w:sz="0" w:space="0" w:color="auto"/>
            <w:right w:val="none" w:sz="0" w:space="0" w:color="auto"/>
          </w:divBdr>
        </w:div>
        <w:div w:id="1873567054">
          <w:marLeft w:val="0"/>
          <w:marRight w:val="0"/>
          <w:marTop w:val="0"/>
          <w:marBottom w:val="0"/>
          <w:divBdr>
            <w:top w:val="none" w:sz="0" w:space="0" w:color="auto"/>
            <w:left w:val="none" w:sz="0" w:space="0" w:color="auto"/>
            <w:bottom w:val="none" w:sz="0" w:space="0" w:color="auto"/>
            <w:right w:val="none" w:sz="0" w:space="0" w:color="auto"/>
          </w:divBdr>
        </w:div>
        <w:div w:id="1930917959">
          <w:marLeft w:val="0"/>
          <w:marRight w:val="0"/>
          <w:marTop w:val="0"/>
          <w:marBottom w:val="0"/>
          <w:divBdr>
            <w:top w:val="none" w:sz="0" w:space="0" w:color="auto"/>
            <w:left w:val="none" w:sz="0" w:space="0" w:color="auto"/>
            <w:bottom w:val="none" w:sz="0" w:space="0" w:color="auto"/>
            <w:right w:val="none" w:sz="0" w:space="0" w:color="auto"/>
          </w:divBdr>
        </w:div>
        <w:div w:id="1939825792">
          <w:marLeft w:val="0"/>
          <w:marRight w:val="0"/>
          <w:marTop w:val="0"/>
          <w:marBottom w:val="0"/>
          <w:divBdr>
            <w:top w:val="none" w:sz="0" w:space="0" w:color="auto"/>
            <w:left w:val="none" w:sz="0" w:space="0" w:color="auto"/>
            <w:bottom w:val="none" w:sz="0" w:space="0" w:color="auto"/>
            <w:right w:val="none" w:sz="0" w:space="0" w:color="auto"/>
          </w:divBdr>
        </w:div>
        <w:div w:id="1956281574">
          <w:marLeft w:val="0"/>
          <w:marRight w:val="0"/>
          <w:marTop w:val="0"/>
          <w:marBottom w:val="0"/>
          <w:divBdr>
            <w:top w:val="none" w:sz="0" w:space="0" w:color="auto"/>
            <w:left w:val="none" w:sz="0" w:space="0" w:color="auto"/>
            <w:bottom w:val="none" w:sz="0" w:space="0" w:color="auto"/>
            <w:right w:val="none" w:sz="0" w:space="0" w:color="auto"/>
          </w:divBdr>
        </w:div>
        <w:div w:id="2026445722">
          <w:marLeft w:val="0"/>
          <w:marRight w:val="0"/>
          <w:marTop w:val="0"/>
          <w:marBottom w:val="0"/>
          <w:divBdr>
            <w:top w:val="none" w:sz="0" w:space="0" w:color="auto"/>
            <w:left w:val="none" w:sz="0" w:space="0" w:color="auto"/>
            <w:bottom w:val="none" w:sz="0" w:space="0" w:color="auto"/>
            <w:right w:val="none" w:sz="0" w:space="0" w:color="auto"/>
          </w:divBdr>
        </w:div>
        <w:div w:id="2107842268">
          <w:marLeft w:val="0"/>
          <w:marRight w:val="0"/>
          <w:marTop w:val="0"/>
          <w:marBottom w:val="0"/>
          <w:divBdr>
            <w:top w:val="none" w:sz="0" w:space="0" w:color="auto"/>
            <w:left w:val="none" w:sz="0" w:space="0" w:color="auto"/>
            <w:bottom w:val="none" w:sz="0" w:space="0" w:color="auto"/>
            <w:right w:val="none" w:sz="0" w:space="0" w:color="auto"/>
          </w:divBdr>
        </w:div>
      </w:divsChild>
    </w:div>
    <w:div w:id="2076927082">
      <w:bodyDiv w:val="1"/>
      <w:marLeft w:val="0"/>
      <w:marRight w:val="0"/>
      <w:marTop w:val="0"/>
      <w:marBottom w:val="0"/>
      <w:divBdr>
        <w:top w:val="none" w:sz="0" w:space="0" w:color="auto"/>
        <w:left w:val="none" w:sz="0" w:space="0" w:color="auto"/>
        <w:bottom w:val="none" w:sz="0" w:space="0" w:color="auto"/>
        <w:right w:val="none" w:sz="0" w:space="0" w:color="auto"/>
      </w:divBdr>
    </w:div>
    <w:div w:id="2078018585">
      <w:bodyDiv w:val="1"/>
      <w:marLeft w:val="0"/>
      <w:marRight w:val="0"/>
      <w:marTop w:val="0"/>
      <w:marBottom w:val="0"/>
      <w:divBdr>
        <w:top w:val="none" w:sz="0" w:space="0" w:color="auto"/>
        <w:left w:val="none" w:sz="0" w:space="0" w:color="auto"/>
        <w:bottom w:val="none" w:sz="0" w:space="0" w:color="auto"/>
        <w:right w:val="none" w:sz="0" w:space="0" w:color="auto"/>
      </w:divBdr>
      <w:divsChild>
        <w:div w:id="258366461">
          <w:marLeft w:val="0"/>
          <w:marRight w:val="0"/>
          <w:marTop w:val="0"/>
          <w:marBottom w:val="0"/>
          <w:divBdr>
            <w:top w:val="none" w:sz="0" w:space="0" w:color="auto"/>
            <w:left w:val="none" w:sz="0" w:space="0" w:color="auto"/>
            <w:bottom w:val="none" w:sz="0" w:space="0" w:color="auto"/>
            <w:right w:val="none" w:sz="0" w:space="0" w:color="auto"/>
          </w:divBdr>
        </w:div>
        <w:div w:id="513764647">
          <w:marLeft w:val="0"/>
          <w:marRight w:val="0"/>
          <w:marTop w:val="0"/>
          <w:marBottom w:val="0"/>
          <w:divBdr>
            <w:top w:val="none" w:sz="0" w:space="0" w:color="auto"/>
            <w:left w:val="none" w:sz="0" w:space="0" w:color="auto"/>
            <w:bottom w:val="none" w:sz="0" w:space="0" w:color="auto"/>
            <w:right w:val="none" w:sz="0" w:space="0" w:color="auto"/>
          </w:divBdr>
        </w:div>
        <w:div w:id="549194639">
          <w:marLeft w:val="0"/>
          <w:marRight w:val="0"/>
          <w:marTop w:val="0"/>
          <w:marBottom w:val="0"/>
          <w:divBdr>
            <w:top w:val="none" w:sz="0" w:space="0" w:color="auto"/>
            <w:left w:val="none" w:sz="0" w:space="0" w:color="auto"/>
            <w:bottom w:val="none" w:sz="0" w:space="0" w:color="auto"/>
            <w:right w:val="none" w:sz="0" w:space="0" w:color="auto"/>
          </w:divBdr>
        </w:div>
        <w:div w:id="651760584">
          <w:marLeft w:val="0"/>
          <w:marRight w:val="0"/>
          <w:marTop w:val="0"/>
          <w:marBottom w:val="0"/>
          <w:divBdr>
            <w:top w:val="none" w:sz="0" w:space="0" w:color="auto"/>
            <w:left w:val="none" w:sz="0" w:space="0" w:color="auto"/>
            <w:bottom w:val="none" w:sz="0" w:space="0" w:color="auto"/>
            <w:right w:val="none" w:sz="0" w:space="0" w:color="auto"/>
          </w:divBdr>
        </w:div>
        <w:div w:id="685640525">
          <w:marLeft w:val="0"/>
          <w:marRight w:val="0"/>
          <w:marTop w:val="0"/>
          <w:marBottom w:val="0"/>
          <w:divBdr>
            <w:top w:val="none" w:sz="0" w:space="0" w:color="auto"/>
            <w:left w:val="none" w:sz="0" w:space="0" w:color="auto"/>
            <w:bottom w:val="none" w:sz="0" w:space="0" w:color="auto"/>
            <w:right w:val="none" w:sz="0" w:space="0" w:color="auto"/>
          </w:divBdr>
        </w:div>
        <w:div w:id="852382237">
          <w:marLeft w:val="0"/>
          <w:marRight w:val="0"/>
          <w:marTop w:val="0"/>
          <w:marBottom w:val="0"/>
          <w:divBdr>
            <w:top w:val="none" w:sz="0" w:space="0" w:color="auto"/>
            <w:left w:val="none" w:sz="0" w:space="0" w:color="auto"/>
            <w:bottom w:val="none" w:sz="0" w:space="0" w:color="auto"/>
            <w:right w:val="none" w:sz="0" w:space="0" w:color="auto"/>
          </w:divBdr>
        </w:div>
        <w:div w:id="1133476231">
          <w:marLeft w:val="0"/>
          <w:marRight w:val="0"/>
          <w:marTop w:val="0"/>
          <w:marBottom w:val="0"/>
          <w:divBdr>
            <w:top w:val="none" w:sz="0" w:space="0" w:color="auto"/>
            <w:left w:val="none" w:sz="0" w:space="0" w:color="auto"/>
            <w:bottom w:val="none" w:sz="0" w:space="0" w:color="auto"/>
            <w:right w:val="none" w:sz="0" w:space="0" w:color="auto"/>
          </w:divBdr>
        </w:div>
        <w:div w:id="1445230013">
          <w:marLeft w:val="0"/>
          <w:marRight w:val="0"/>
          <w:marTop w:val="0"/>
          <w:marBottom w:val="0"/>
          <w:divBdr>
            <w:top w:val="none" w:sz="0" w:space="0" w:color="auto"/>
            <w:left w:val="none" w:sz="0" w:space="0" w:color="auto"/>
            <w:bottom w:val="none" w:sz="0" w:space="0" w:color="auto"/>
            <w:right w:val="none" w:sz="0" w:space="0" w:color="auto"/>
          </w:divBdr>
        </w:div>
        <w:div w:id="1449008012">
          <w:marLeft w:val="0"/>
          <w:marRight w:val="0"/>
          <w:marTop w:val="0"/>
          <w:marBottom w:val="0"/>
          <w:divBdr>
            <w:top w:val="none" w:sz="0" w:space="0" w:color="auto"/>
            <w:left w:val="none" w:sz="0" w:space="0" w:color="auto"/>
            <w:bottom w:val="none" w:sz="0" w:space="0" w:color="auto"/>
            <w:right w:val="none" w:sz="0" w:space="0" w:color="auto"/>
          </w:divBdr>
        </w:div>
        <w:div w:id="1451782721">
          <w:marLeft w:val="0"/>
          <w:marRight w:val="0"/>
          <w:marTop w:val="0"/>
          <w:marBottom w:val="0"/>
          <w:divBdr>
            <w:top w:val="none" w:sz="0" w:space="0" w:color="auto"/>
            <w:left w:val="none" w:sz="0" w:space="0" w:color="auto"/>
            <w:bottom w:val="none" w:sz="0" w:space="0" w:color="auto"/>
            <w:right w:val="none" w:sz="0" w:space="0" w:color="auto"/>
          </w:divBdr>
        </w:div>
        <w:div w:id="1675841559">
          <w:marLeft w:val="0"/>
          <w:marRight w:val="0"/>
          <w:marTop w:val="0"/>
          <w:marBottom w:val="0"/>
          <w:divBdr>
            <w:top w:val="none" w:sz="0" w:space="0" w:color="auto"/>
            <w:left w:val="none" w:sz="0" w:space="0" w:color="auto"/>
            <w:bottom w:val="none" w:sz="0" w:space="0" w:color="auto"/>
            <w:right w:val="none" w:sz="0" w:space="0" w:color="auto"/>
          </w:divBdr>
        </w:div>
        <w:div w:id="1769811932">
          <w:marLeft w:val="0"/>
          <w:marRight w:val="0"/>
          <w:marTop w:val="0"/>
          <w:marBottom w:val="0"/>
          <w:divBdr>
            <w:top w:val="none" w:sz="0" w:space="0" w:color="auto"/>
            <w:left w:val="none" w:sz="0" w:space="0" w:color="auto"/>
            <w:bottom w:val="none" w:sz="0" w:space="0" w:color="auto"/>
            <w:right w:val="none" w:sz="0" w:space="0" w:color="auto"/>
          </w:divBdr>
        </w:div>
        <w:div w:id="1848016672">
          <w:marLeft w:val="0"/>
          <w:marRight w:val="0"/>
          <w:marTop w:val="0"/>
          <w:marBottom w:val="0"/>
          <w:divBdr>
            <w:top w:val="none" w:sz="0" w:space="0" w:color="auto"/>
            <w:left w:val="none" w:sz="0" w:space="0" w:color="auto"/>
            <w:bottom w:val="none" w:sz="0" w:space="0" w:color="auto"/>
            <w:right w:val="none" w:sz="0" w:space="0" w:color="auto"/>
          </w:divBdr>
        </w:div>
        <w:div w:id="1946812672">
          <w:marLeft w:val="0"/>
          <w:marRight w:val="0"/>
          <w:marTop w:val="0"/>
          <w:marBottom w:val="0"/>
          <w:divBdr>
            <w:top w:val="none" w:sz="0" w:space="0" w:color="auto"/>
            <w:left w:val="none" w:sz="0" w:space="0" w:color="auto"/>
            <w:bottom w:val="none" w:sz="0" w:space="0" w:color="auto"/>
            <w:right w:val="none" w:sz="0" w:space="0" w:color="auto"/>
          </w:divBdr>
        </w:div>
      </w:divsChild>
    </w:div>
    <w:div w:id="2079202336">
      <w:bodyDiv w:val="1"/>
      <w:marLeft w:val="0"/>
      <w:marRight w:val="0"/>
      <w:marTop w:val="0"/>
      <w:marBottom w:val="0"/>
      <w:divBdr>
        <w:top w:val="none" w:sz="0" w:space="0" w:color="auto"/>
        <w:left w:val="none" w:sz="0" w:space="0" w:color="auto"/>
        <w:bottom w:val="none" w:sz="0" w:space="0" w:color="auto"/>
        <w:right w:val="none" w:sz="0" w:space="0" w:color="auto"/>
      </w:divBdr>
      <w:divsChild>
        <w:div w:id="78336748">
          <w:marLeft w:val="0"/>
          <w:marRight w:val="0"/>
          <w:marTop w:val="0"/>
          <w:marBottom w:val="0"/>
          <w:divBdr>
            <w:top w:val="none" w:sz="0" w:space="0" w:color="auto"/>
            <w:left w:val="none" w:sz="0" w:space="0" w:color="auto"/>
            <w:bottom w:val="none" w:sz="0" w:space="0" w:color="auto"/>
            <w:right w:val="none" w:sz="0" w:space="0" w:color="auto"/>
          </w:divBdr>
        </w:div>
        <w:div w:id="112794881">
          <w:marLeft w:val="0"/>
          <w:marRight w:val="0"/>
          <w:marTop w:val="0"/>
          <w:marBottom w:val="0"/>
          <w:divBdr>
            <w:top w:val="none" w:sz="0" w:space="0" w:color="auto"/>
            <w:left w:val="none" w:sz="0" w:space="0" w:color="auto"/>
            <w:bottom w:val="none" w:sz="0" w:space="0" w:color="auto"/>
            <w:right w:val="none" w:sz="0" w:space="0" w:color="auto"/>
          </w:divBdr>
        </w:div>
        <w:div w:id="430056669">
          <w:marLeft w:val="0"/>
          <w:marRight w:val="0"/>
          <w:marTop w:val="0"/>
          <w:marBottom w:val="0"/>
          <w:divBdr>
            <w:top w:val="none" w:sz="0" w:space="0" w:color="auto"/>
            <w:left w:val="none" w:sz="0" w:space="0" w:color="auto"/>
            <w:bottom w:val="none" w:sz="0" w:space="0" w:color="auto"/>
            <w:right w:val="none" w:sz="0" w:space="0" w:color="auto"/>
          </w:divBdr>
        </w:div>
        <w:div w:id="545456907">
          <w:marLeft w:val="0"/>
          <w:marRight w:val="0"/>
          <w:marTop w:val="0"/>
          <w:marBottom w:val="0"/>
          <w:divBdr>
            <w:top w:val="none" w:sz="0" w:space="0" w:color="auto"/>
            <w:left w:val="none" w:sz="0" w:space="0" w:color="auto"/>
            <w:bottom w:val="none" w:sz="0" w:space="0" w:color="auto"/>
            <w:right w:val="none" w:sz="0" w:space="0" w:color="auto"/>
          </w:divBdr>
        </w:div>
        <w:div w:id="825973349">
          <w:marLeft w:val="0"/>
          <w:marRight w:val="0"/>
          <w:marTop w:val="0"/>
          <w:marBottom w:val="0"/>
          <w:divBdr>
            <w:top w:val="none" w:sz="0" w:space="0" w:color="auto"/>
            <w:left w:val="none" w:sz="0" w:space="0" w:color="auto"/>
            <w:bottom w:val="none" w:sz="0" w:space="0" w:color="auto"/>
            <w:right w:val="none" w:sz="0" w:space="0" w:color="auto"/>
          </w:divBdr>
        </w:div>
        <w:div w:id="929313324">
          <w:marLeft w:val="0"/>
          <w:marRight w:val="0"/>
          <w:marTop w:val="0"/>
          <w:marBottom w:val="0"/>
          <w:divBdr>
            <w:top w:val="none" w:sz="0" w:space="0" w:color="auto"/>
            <w:left w:val="none" w:sz="0" w:space="0" w:color="auto"/>
            <w:bottom w:val="none" w:sz="0" w:space="0" w:color="auto"/>
            <w:right w:val="none" w:sz="0" w:space="0" w:color="auto"/>
          </w:divBdr>
        </w:div>
        <w:div w:id="1016271726">
          <w:marLeft w:val="0"/>
          <w:marRight w:val="0"/>
          <w:marTop w:val="0"/>
          <w:marBottom w:val="0"/>
          <w:divBdr>
            <w:top w:val="none" w:sz="0" w:space="0" w:color="auto"/>
            <w:left w:val="none" w:sz="0" w:space="0" w:color="auto"/>
            <w:bottom w:val="none" w:sz="0" w:space="0" w:color="auto"/>
            <w:right w:val="none" w:sz="0" w:space="0" w:color="auto"/>
          </w:divBdr>
        </w:div>
        <w:div w:id="1135875744">
          <w:marLeft w:val="0"/>
          <w:marRight w:val="0"/>
          <w:marTop w:val="0"/>
          <w:marBottom w:val="0"/>
          <w:divBdr>
            <w:top w:val="none" w:sz="0" w:space="0" w:color="auto"/>
            <w:left w:val="none" w:sz="0" w:space="0" w:color="auto"/>
            <w:bottom w:val="none" w:sz="0" w:space="0" w:color="auto"/>
            <w:right w:val="none" w:sz="0" w:space="0" w:color="auto"/>
          </w:divBdr>
        </w:div>
        <w:div w:id="1176768869">
          <w:marLeft w:val="0"/>
          <w:marRight w:val="0"/>
          <w:marTop w:val="0"/>
          <w:marBottom w:val="0"/>
          <w:divBdr>
            <w:top w:val="none" w:sz="0" w:space="0" w:color="auto"/>
            <w:left w:val="none" w:sz="0" w:space="0" w:color="auto"/>
            <w:bottom w:val="none" w:sz="0" w:space="0" w:color="auto"/>
            <w:right w:val="none" w:sz="0" w:space="0" w:color="auto"/>
          </w:divBdr>
        </w:div>
        <w:div w:id="1303729159">
          <w:marLeft w:val="0"/>
          <w:marRight w:val="0"/>
          <w:marTop w:val="0"/>
          <w:marBottom w:val="0"/>
          <w:divBdr>
            <w:top w:val="none" w:sz="0" w:space="0" w:color="auto"/>
            <w:left w:val="none" w:sz="0" w:space="0" w:color="auto"/>
            <w:bottom w:val="none" w:sz="0" w:space="0" w:color="auto"/>
            <w:right w:val="none" w:sz="0" w:space="0" w:color="auto"/>
          </w:divBdr>
        </w:div>
        <w:div w:id="1328631492">
          <w:marLeft w:val="0"/>
          <w:marRight w:val="0"/>
          <w:marTop w:val="0"/>
          <w:marBottom w:val="0"/>
          <w:divBdr>
            <w:top w:val="none" w:sz="0" w:space="0" w:color="auto"/>
            <w:left w:val="none" w:sz="0" w:space="0" w:color="auto"/>
            <w:bottom w:val="none" w:sz="0" w:space="0" w:color="auto"/>
            <w:right w:val="none" w:sz="0" w:space="0" w:color="auto"/>
          </w:divBdr>
        </w:div>
        <w:div w:id="1338581045">
          <w:marLeft w:val="0"/>
          <w:marRight w:val="0"/>
          <w:marTop w:val="0"/>
          <w:marBottom w:val="0"/>
          <w:divBdr>
            <w:top w:val="none" w:sz="0" w:space="0" w:color="auto"/>
            <w:left w:val="none" w:sz="0" w:space="0" w:color="auto"/>
            <w:bottom w:val="none" w:sz="0" w:space="0" w:color="auto"/>
            <w:right w:val="none" w:sz="0" w:space="0" w:color="auto"/>
          </w:divBdr>
        </w:div>
        <w:div w:id="1411804531">
          <w:marLeft w:val="0"/>
          <w:marRight w:val="0"/>
          <w:marTop w:val="0"/>
          <w:marBottom w:val="0"/>
          <w:divBdr>
            <w:top w:val="none" w:sz="0" w:space="0" w:color="auto"/>
            <w:left w:val="none" w:sz="0" w:space="0" w:color="auto"/>
            <w:bottom w:val="none" w:sz="0" w:space="0" w:color="auto"/>
            <w:right w:val="none" w:sz="0" w:space="0" w:color="auto"/>
          </w:divBdr>
        </w:div>
        <w:div w:id="1469323341">
          <w:marLeft w:val="0"/>
          <w:marRight w:val="0"/>
          <w:marTop w:val="0"/>
          <w:marBottom w:val="0"/>
          <w:divBdr>
            <w:top w:val="none" w:sz="0" w:space="0" w:color="auto"/>
            <w:left w:val="none" w:sz="0" w:space="0" w:color="auto"/>
            <w:bottom w:val="none" w:sz="0" w:space="0" w:color="auto"/>
            <w:right w:val="none" w:sz="0" w:space="0" w:color="auto"/>
          </w:divBdr>
        </w:div>
        <w:div w:id="1513107250">
          <w:marLeft w:val="0"/>
          <w:marRight w:val="0"/>
          <w:marTop w:val="0"/>
          <w:marBottom w:val="0"/>
          <w:divBdr>
            <w:top w:val="none" w:sz="0" w:space="0" w:color="auto"/>
            <w:left w:val="none" w:sz="0" w:space="0" w:color="auto"/>
            <w:bottom w:val="none" w:sz="0" w:space="0" w:color="auto"/>
            <w:right w:val="none" w:sz="0" w:space="0" w:color="auto"/>
          </w:divBdr>
        </w:div>
        <w:div w:id="1557551233">
          <w:marLeft w:val="0"/>
          <w:marRight w:val="0"/>
          <w:marTop w:val="0"/>
          <w:marBottom w:val="0"/>
          <w:divBdr>
            <w:top w:val="none" w:sz="0" w:space="0" w:color="auto"/>
            <w:left w:val="none" w:sz="0" w:space="0" w:color="auto"/>
            <w:bottom w:val="none" w:sz="0" w:space="0" w:color="auto"/>
            <w:right w:val="none" w:sz="0" w:space="0" w:color="auto"/>
          </w:divBdr>
        </w:div>
        <w:div w:id="1566527105">
          <w:marLeft w:val="0"/>
          <w:marRight w:val="0"/>
          <w:marTop w:val="0"/>
          <w:marBottom w:val="0"/>
          <w:divBdr>
            <w:top w:val="none" w:sz="0" w:space="0" w:color="auto"/>
            <w:left w:val="none" w:sz="0" w:space="0" w:color="auto"/>
            <w:bottom w:val="none" w:sz="0" w:space="0" w:color="auto"/>
            <w:right w:val="none" w:sz="0" w:space="0" w:color="auto"/>
          </w:divBdr>
        </w:div>
        <w:div w:id="1711420552">
          <w:marLeft w:val="0"/>
          <w:marRight w:val="0"/>
          <w:marTop w:val="0"/>
          <w:marBottom w:val="0"/>
          <w:divBdr>
            <w:top w:val="none" w:sz="0" w:space="0" w:color="auto"/>
            <w:left w:val="none" w:sz="0" w:space="0" w:color="auto"/>
            <w:bottom w:val="none" w:sz="0" w:space="0" w:color="auto"/>
            <w:right w:val="none" w:sz="0" w:space="0" w:color="auto"/>
          </w:divBdr>
        </w:div>
        <w:div w:id="1911382705">
          <w:marLeft w:val="0"/>
          <w:marRight w:val="0"/>
          <w:marTop w:val="0"/>
          <w:marBottom w:val="0"/>
          <w:divBdr>
            <w:top w:val="none" w:sz="0" w:space="0" w:color="auto"/>
            <w:left w:val="none" w:sz="0" w:space="0" w:color="auto"/>
            <w:bottom w:val="none" w:sz="0" w:space="0" w:color="auto"/>
            <w:right w:val="none" w:sz="0" w:space="0" w:color="auto"/>
          </w:divBdr>
        </w:div>
        <w:div w:id="1980844049">
          <w:marLeft w:val="0"/>
          <w:marRight w:val="0"/>
          <w:marTop w:val="0"/>
          <w:marBottom w:val="0"/>
          <w:divBdr>
            <w:top w:val="none" w:sz="0" w:space="0" w:color="auto"/>
            <w:left w:val="none" w:sz="0" w:space="0" w:color="auto"/>
            <w:bottom w:val="none" w:sz="0" w:space="0" w:color="auto"/>
            <w:right w:val="none" w:sz="0" w:space="0" w:color="auto"/>
          </w:divBdr>
        </w:div>
        <w:div w:id="2054843850">
          <w:marLeft w:val="0"/>
          <w:marRight w:val="0"/>
          <w:marTop w:val="0"/>
          <w:marBottom w:val="0"/>
          <w:divBdr>
            <w:top w:val="none" w:sz="0" w:space="0" w:color="auto"/>
            <w:left w:val="none" w:sz="0" w:space="0" w:color="auto"/>
            <w:bottom w:val="none" w:sz="0" w:space="0" w:color="auto"/>
            <w:right w:val="none" w:sz="0" w:space="0" w:color="auto"/>
          </w:divBdr>
        </w:div>
      </w:divsChild>
    </w:div>
    <w:div w:id="2084060303">
      <w:bodyDiv w:val="1"/>
      <w:marLeft w:val="0"/>
      <w:marRight w:val="0"/>
      <w:marTop w:val="0"/>
      <w:marBottom w:val="0"/>
      <w:divBdr>
        <w:top w:val="none" w:sz="0" w:space="0" w:color="auto"/>
        <w:left w:val="none" w:sz="0" w:space="0" w:color="auto"/>
        <w:bottom w:val="none" w:sz="0" w:space="0" w:color="auto"/>
        <w:right w:val="none" w:sz="0" w:space="0" w:color="auto"/>
      </w:divBdr>
    </w:div>
    <w:div w:id="2091081124">
      <w:bodyDiv w:val="1"/>
      <w:marLeft w:val="0"/>
      <w:marRight w:val="0"/>
      <w:marTop w:val="0"/>
      <w:marBottom w:val="0"/>
      <w:divBdr>
        <w:top w:val="none" w:sz="0" w:space="0" w:color="auto"/>
        <w:left w:val="none" w:sz="0" w:space="0" w:color="auto"/>
        <w:bottom w:val="none" w:sz="0" w:space="0" w:color="auto"/>
        <w:right w:val="none" w:sz="0" w:space="0" w:color="auto"/>
      </w:divBdr>
    </w:div>
    <w:div w:id="2092894523">
      <w:bodyDiv w:val="1"/>
      <w:marLeft w:val="0"/>
      <w:marRight w:val="0"/>
      <w:marTop w:val="0"/>
      <w:marBottom w:val="0"/>
      <w:divBdr>
        <w:top w:val="none" w:sz="0" w:space="0" w:color="auto"/>
        <w:left w:val="none" w:sz="0" w:space="0" w:color="auto"/>
        <w:bottom w:val="none" w:sz="0" w:space="0" w:color="auto"/>
        <w:right w:val="none" w:sz="0" w:space="0" w:color="auto"/>
      </w:divBdr>
    </w:div>
    <w:div w:id="2095398713">
      <w:bodyDiv w:val="1"/>
      <w:marLeft w:val="0"/>
      <w:marRight w:val="0"/>
      <w:marTop w:val="0"/>
      <w:marBottom w:val="0"/>
      <w:divBdr>
        <w:top w:val="none" w:sz="0" w:space="0" w:color="auto"/>
        <w:left w:val="none" w:sz="0" w:space="0" w:color="auto"/>
        <w:bottom w:val="none" w:sz="0" w:space="0" w:color="auto"/>
        <w:right w:val="none" w:sz="0" w:space="0" w:color="auto"/>
      </w:divBdr>
      <w:divsChild>
        <w:div w:id="225074027">
          <w:marLeft w:val="0"/>
          <w:marRight w:val="0"/>
          <w:marTop w:val="0"/>
          <w:marBottom w:val="0"/>
          <w:divBdr>
            <w:top w:val="none" w:sz="0" w:space="0" w:color="auto"/>
            <w:left w:val="none" w:sz="0" w:space="0" w:color="auto"/>
            <w:bottom w:val="none" w:sz="0" w:space="0" w:color="auto"/>
            <w:right w:val="none" w:sz="0" w:space="0" w:color="auto"/>
          </w:divBdr>
        </w:div>
        <w:div w:id="544371343">
          <w:marLeft w:val="0"/>
          <w:marRight w:val="0"/>
          <w:marTop w:val="0"/>
          <w:marBottom w:val="0"/>
          <w:divBdr>
            <w:top w:val="none" w:sz="0" w:space="0" w:color="auto"/>
            <w:left w:val="none" w:sz="0" w:space="0" w:color="auto"/>
            <w:bottom w:val="none" w:sz="0" w:space="0" w:color="auto"/>
            <w:right w:val="none" w:sz="0" w:space="0" w:color="auto"/>
          </w:divBdr>
        </w:div>
        <w:div w:id="803737254">
          <w:marLeft w:val="0"/>
          <w:marRight w:val="0"/>
          <w:marTop w:val="0"/>
          <w:marBottom w:val="0"/>
          <w:divBdr>
            <w:top w:val="none" w:sz="0" w:space="0" w:color="auto"/>
            <w:left w:val="none" w:sz="0" w:space="0" w:color="auto"/>
            <w:bottom w:val="none" w:sz="0" w:space="0" w:color="auto"/>
            <w:right w:val="none" w:sz="0" w:space="0" w:color="auto"/>
          </w:divBdr>
        </w:div>
        <w:div w:id="869732138">
          <w:marLeft w:val="0"/>
          <w:marRight w:val="0"/>
          <w:marTop w:val="0"/>
          <w:marBottom w:val="0"/>
          <w:divBdr>
            <w:top w:val="none" w:sz="0" w:space="0" w:color="auto"/>
            <w:left w:val="none" w:sz="0" w:space="0" w:color="auto"/>
            <w:bottom w:val="none" w:sz="0" w:space="0" w:color="auto"/>
            <w:right w:val="none" w:sz="0" w:space="0" w:color="auto"/>
          </w:divBdr>
        </w:div>
        <w:div w:id="953168145">
          <w:marLeft w:val="0"/>
          <w:marRight w:val="0"/>
          <w:marTop w:val="0"/>
          <w:marBottom w:val="0"/>
          <w:divBdr>
            <w:top w:val="none" w:sz="0" w:space="0" w:color="auto"/>
            <w:left w:val="none" w:sz="0" w:space="0" w:color="auto"/>
            <w:bottom w:val="none" w:sz="0" w:space="0" w:color="auto"/>
            <w:right w:val="none" w:sz="0" w:space="0" w:color="auto"/>
          </w:divBdr>
        </w:div>
        <w:div w:id="1206452528">
          <w:marLeft w:val="0"/>
          <w:marRight w:val="0"/>
          <w:marTop w:val="0"/>
          <w:marBottom w:val="0"/>
          <w:divBdr>
            <w:top w:val="none" w:sz="0" w:space="0" w:color="auto"/>
            <w:left w:val="none" w:sz="0" w:space="0" w:color="auto"/>
            <w:bottom w:val="none" w:sz="0" w:space="0" w:color="auto"/>
            <w:right w:val="none" w:sz="0" w:space="0" w:color="auto"/>
          </w:divBdr>
        </w:div>
        <w:div w:id="1777283442">
          <w:marLeft w:val="0"/>
          <w:marRight w:val="0"/>
          <w:marTop w:val="0"/>
          <w:marBottom w:val="0"/>
          <w:divBdr>
            <w:top w:val="none" w:sz="0" w:space="0" w:color="auto"/>
            <w:left w:val="none" w:sz="0" w:space="0" w:color="auto"/>
            <w:bottom w:val="none" w:sz="0" w:space="0" w:color="auto"/>
            <w:right w:val="none" w:sz="0" w:space="0" w:color="auto"/>
          </w:divBdr>
        </w:div>
        <w:div w:id="1876574120">
          <w:marLeft w:val="0"/>
          <w:marRight w:val="0"/>
          <w:marTop w:val="0"/>
          <w:marBottom w:val="0"/>
          <w:divBdr>
            <w:top w:val="none" w:sz="0" w:space="0" w:color="auto"/>
            <w:left w:val="none" w:sz="0" w:space="0" w:color="auto"/>
            <w:bottom w:val="none" w:sz="0" w:space="0" w:color="auto"/>
            <w:right w:val="none" w:sz="0" w:space="0" w:color="auto"/>
          </w:divBdr>
        </w:div>
        <w:div w:id="2015767818">
          <w:marLeft w:val="0"/>
          <w:marRight w:val="0"/>
          <w:marTop w:val="0"/>
          <w:marBottom w:val="0"/>
          <w:divBdr>
            <w:top w:val="none" w:sz="0" w:space="0" w:color="auto"/>
            <w:left w:val="none" w:sz="0" w:space="0" w:color="auto"/>
            <w:bottom w:val="none" w:sz="0" w:space="0" w:color="auto"/>
            <w:right w:val="none" w:sz="0" w:space="0" w:color="auto"/>
          </w:divBdr>
        </w:div>
        <w:div w:id="2077893481">
          <w:marLeft w:val="0"/>
          <w:marRight w:val="0"/>
          <w:marTop w:val="0"/>
          <w:marBottom w:val="0"/>
          <w:divBdr>
            <w:top w:val="none" w:sz="0" w:space="0" w:color="auto"/>
            <w:left w:val="none" w:sz="0" w:space="0" w:color="auto"/>
            <w:bottom w:val="none" w:sz="0" w:space="0" w:color="auto"/>
            <w:right w:val="none" w:sz="0" w:space="0" w:color="auto"/>
          </w:divBdr>
        </w:div>
      </w:divsChild>
    </w:div>
    <w:div w:id="2096975923">
      <w:bodyDiv w:val="1"/>
      <w:marLeft w:val="0"/>
      <w:marRight w:val="0"/>
      <w:marTop w:val="0"/>
      <w:marBottom w:val="0"/>
      <w:divBdr>
        <w:top w:val="none" w:sz="0" w:space="0" w:color="auto"/>
        <w:left w:val="none" w:sz="0" w:space="0" w:color="auto"/>
        <w:bottom w:val="none" w:sz="0" w:space="0" w:color="auto"/>
        <w:right w:val="none" w:sz="0" w:space="0" w:color="auto"/>
      </w:divBdr>
      <w:divsChild>
        <w:div w:id="45614113">
          <w:marLeft w:val="0"/>
          <w:marRight w:val="0"/>
          <w:marTop w:val="0"/>
          <w:marBottom w:val="0"/>
          <w:divBdr>
            <w:top w:val="none" w:sz="0" w:space="0" w:color="auto"/>
            <w:left w:val="none" w:sz="0" w:space="0" w:color="auto"/>
            <w:bottom w:val="none" w:sz="0" w:space="0" w:color="auto"/>
            <w:right w:val="none" w:sz="0" w:space="0" w:color="auto"/>
          </w:divBdr>
        </w:div>
        <w:div w:id="96415046">
          <w:marLeft w:val="0"/>
          <w:marRight w:val="0"/>
          <w:marTop w:val="0"/>
          <w:marBottom w:val="0"/>
          <w:divBdr>
            <w:top w:val="none" w:sz="0" w:space="0" w:color="auto"/>
            <w:left w:val="none" w:sz="0" w:space="0" w:color="auto"/>
            <w:bottom w:val="none" w:sz="0" w:space="0" w:color="auto"/>
            <w:right w:val="none" w:sz="0" w:space="0" w:color="auto"/>
          </w:divBdr>
        </w:div>
        <w:div w:id="336033001">
          <w:marLeft w:val="0"/>
          <w:marRight w:val="0"/>
          <w:marTop w:val="0"/>
          <w:marBottom w:val="0"/>
          <w:divBdr>
            <w:top w:val="none" w:sz="0" w:space="0" w:color="auto"/>
            <w:left w:val="none" w:sz="0" w:space="0" w:color="auto"/>
            <w:bottom w:val="none" w:sz="0" w:space="0" w:color="auto"/>
            <w:right w:val="none" w:sz="0" w:space="0" w:color="auto"/>
          </w:divBdr>
        </w:div>
        <w:div w:id="784735198">
          <w:marLeft w:val="0"/>
          <w:marRight w:val="0"/>
          <w:marTop w:val="0"/>
          <w:marBottom w:val="0"/>
          <w:divBdr>
            <w:top w:val="none" w:sz="0" w:space="0" w:color="auto"/>
            <w:left w:val="none" w:sz="0" w:space="0" w:color="auto"/>
            <w:bottom w:val="none" w:sz="0" w:space="0" w:color="auto"/>
            <w:right w:val="none" w:sz="0" w:space="0" w:color="auto"/>
          </w:divBdr>
        </w:div>
        <w:div w:id="885919084">
          <w:marLeft w:val="0"/>
          <w:marRight w:val="0"/>
          <w:marTop w:val="0"/>
          <w:marBottom w:val="0"/>
          <w:divBdr>
            <w:top w:val="none" w:sz="0" w:space="0" w:color="auto"/>
            <w:left w:val="none" w:sz="0" w:space="0" w:color="auto"/>
            <w:bottom w:val="none" w:sz="0" w:space="0" w:color="auto"/>
            <w:right w:val="none" w:sz="0" w:space="0" w:color="auto"/>
          </w:divBdr>
        </w:div>
        <w:div w:id="1056516293">
          <w:marLeft w:val="0"/>
          <w:marRight w:val="0"/>
          <w:marTop w:val="0"/>
          <w:marBottom w:val="0"/>
          <w:divBdr>
            <w:top w:val="none" w:sz="0" w:space="0" w:color="auto"/>
            <w:left w:val="none" w:sz="0" w:space="0" w:color="auto"/>
            <w:bottom w:val="none" w:sz="0" w:space="0" w:color="auto"/>
            <w:right w:val="none" w:sz="0" w:space="0" w:color="auto"/>
          </w:divBdr>
        </w:div>
        <w:div w:id="1487867161">
          <w:marLeft w:val="0"/>
          <w:marRight w:val="0"/>
          <w:marTop w:val="0"/>
          <w:marBottom w:val="0"/>
          <w:divBdr>
            <w:top w:val="none" w:sz="0" w:space="0" w:color="auto"/>
            <w:left w:val="none" w:sz="0" w:space="0" w:color="auto"/>
            <w:bottom w:val="none" w:sz="0" w:space="0" w:color="auto"/>
            <w:right w:val="none" w:sz="0" w:space="0" w:color="auto"/>
          </w:divBdr>
        </w:div>
        <w:div w:id="1746494696">
          <w:marLeft w:val="0"/>
          <w:marRight w:val="0"/>
          <w:marTop w:val="0"/>
          <w:marBottom w:val="0"/>
          <w:divBdr>
            <w:top w:val="none" w:sz="0" w:space="0" w:color="auto"/>
            <w:left w:val="none" w:sz="0" w:space="0" w:color="auto"/>
            <w:bottom w:val="none" w:sz="0" w:space="0" w:color="auto"/>
            <w:right w:val="none" w:sz="0" w:space="0" w:color="auto"/>
          </w:divBdr>
        </w:div>
        <w:div w:id="1876843743">
          <w:marLeft w:val="0"/>
          <w:marRight w:val="0"/>
          <w:marTop w:val="0"/>
          <w:marBottom w:val="0"/>
          <w:divBdr>
            <w:top w:val="none" w:sz="0" w:space="0" w:color="auto"/>
            <w:left w:val="none" w:sz="0" w:space="0" w:color="auto"/>
            <w:bottom w:val="none" w:sz="0" w:space="0" w:color="auto"/>
            <w:right w:val="none" w:sz="0" w:space="0" w:color="auto"/>
          </w:divBdr>
        </w:div>
      </w:divsChild>
    </w:div>
    <w:div w:id="2099057903">
      <w:bodyDiv w:val="1"/>
      <w:marLeft w:val="0"/>
      <w:marRight w:val="0"/>
      <w:marTop w:val="0"/>
      <w:marBottom w:val="0"/>
      <w:divBdr>
        <w:top w:val="none" w:sz="0" w:space="0" w:color="auto"/>
        <w:left w:val="none" w:sz="0" w:space="0" w:color="auto"/>
        <w:bottom w:val="none" w:sz="0" w:space="0" w:color="auto"/>
        <w:right w:val="none" w:sz="0" w:space="0" w:color="auto"/>
      </w:divBdr>
    </w:div>
    <w:div w:id="2103069289">
      <w:bodyDiv w:val="1"/>
      <w:marLeft w:val="0"/>
      <w:marRight w:val="0"/>
      <w:marTop w:val="0"/>
      <w:marBottom w:val="0"/>
      <w:divBdr>
        <w:top w:val="none" w:sz="0" w:space="0" w:color="auto"/>
        <w:left w:val="none" w:sz="0" w:space="0" w:color="auto"/>
        <w:bottom w:val="none" w:sz="0" w:space="0" w:color="auto"/>
        <w:right w:val="none" w:sz="0" w:space="0" w:color="auto"/>
      </w:divBdr>
    </w:div>
    <w:div w:id="2103986712">
      <w:bodyDiv w:val="1"/>
      <w:marLeft w:val="0"/>
      <w:marRight w:val="0"/>
      <w:marTop w:val="0"/>
      <w:marBottom w:val="0"/>
      <w:divBdr>
        <w:top w:val="none" w:sz="0" w:space="0" w:color="auto"/>
        <w:left w:val="none" w:sz="0" w:space="0" w:color="auto"/>
        <w:bottom w:val="none" w:sz="0" w:space="0" w:color="auto"/>
        <w:right w:val="none" w:sz="0" w:space="0" w:color="auto"/>
      </w:divBdr>
      <w:divsChild>
        <w:div w:id="27342407">
          <w:marLeft w:val="0"/>
          <w:marRight w:val="0"/>
          <w:marTop w:val="0"/>
          <w:marBottom w:val="0"/>
          <w:divBdr>
            <w:top w:val="none" w:sz="0" w:space="0" w:color="auto"/>
            <w:left w:val="none" w:sz="0" w:space="0" w:color="auto"/>
            <w:bottom w:val="none" w:sz="0" w:space="0" w:color="auto"/>
            <w:right w:val="none" w:sz="0" w:space="0" w:color="auto"/>
          </w:divBdr>
        </w:div>
        <w:div w:id="92554891">
          <w:marLeft w:val="0"/>
          <w:marRight w:val="0"/>
          <w:marTop w:val="0"/>
          <w:marBottom w:val="0"/>
          <w:divBdr>
            <w:top w:val="none" w:sz="0" w:space="0" w:color="auto"/>
            <w:left w:val="none" w:sz="0" w:space="0" w:color="auto"/>
            <w:bottom w:val="none" w:sz="0" w:space="0" w:color="auto"/>
            <w:right w:val="none" w:sz="0" w:space="0" w:color="auto"/>
          </w:divBdr>
        </w:div>
        <w:div w:id="106702053">
          <w:marLeft w:val="0"/>
          <w:marRight w:val="0"/>
          <w:marTop w:val="0"/>
          <w:marBottom w:val="0"/>
          <w:divBdr>
            <w:top w:val="none" w:sz="0" w:space="0" w:color="auto"/>
            <w:left w:val="none" w:sz="0" w:space="0" w:color="auto"/>
            <w:bottom w:val="none" w:sz="0" w:space="0" w:color="auto"/>
            <w:right w:val="none" w:sz="0" w:space="0" w:color="auto"/>
          </w:divBdr>
        </w:div>
        <w:div w:id="264000566">
          <w:marLeft w:val="0"/>
          <w:marRight w:val="0"/>
          <w:marTop w:val="0"/>
          <w:marBottom w:val="0"/>
          <w:divBdr>
            <w:top w:val="none" w:sz="0" w:space="0" w:color="auto"/>
            <w:left w:val="none" w:sz="0" w:space="0" w:color="auto"/>
            <w:bottom w:val="none" w:sz="0" w:space="0" w:color="auto"/>
            <w:right w:val="none" w:sz="0" w:space="0" w:color="auto"/>
          </w:divBdr>
        </w:div>
        <w:div w:id="407507826">
          <w:marLeft w:val="0"/>
          <w:marRight w:val="0"/>
          <w:marTop w:val="0"/>
          <w:marBottom w:val="0"/>
          <w:divBdr>
            <w:top w:val="none" w:sz="0" w:space="0" w:color="auto"/>
            <w:left w:val="none" w:sz="0" w:space="0" w:color="auto"/>
            <w:bottom w:val="none" w:sz="0" w:space="0" w:color="auto"/>
            <w:right w:val="none" w:sz="0" w:space="0" w:color="auto"/>
          </w:divBdr>
        </w:div>
        <w:div w:id="506989060">
          <w:marLeft w:val="0"/>
          <w:marRight w:val="0"/>
          <w:marTop w:val="0"/>
          <w:marBottom w:val="0"/>
          <w:divBdr>
            <w:top w:val="none" w:sz="0" w:space="0" w:color="auto"/>
            <w:left w:val="none" w:sz="0" w:space="0" w:color="auto"/>
            <w:bottom w:val="none" w:sz="0" w:space="0" w:color="auto"/>
            <w:right w:val="none" w:sz="0" w:space="0" w:color="auto"/>
          </w:divBdr>
        </w:div>
        <w:div w:id="522401513">
          <w:marLeft w:val="0"/>
          <w:marRight w:val="0"/>
          <w:marTop w:val="0"/>
          <w:marBottom w:val="0"/>
          <w:divBdr>
            <w:top w:val="none" w:sz="0" w:space="0" w:color="auto"/>
            <w:left w:val="none" w:sz="0" w:space="0" w:color="auto"/>
            <w:bottom w:val="none" w:sz="0" w:space="0" w:color="auto"/>
            <w:right w:val="none" w:sz="0" w:space="0" w:color="auto"/>
          </w:divBdr>
        </w:div>
        <w:div w:id="661196376">
          <w:marLeft w:val="0"/>
          <w:marRight w:val="0"/>
          <w:marTop w:val="0"/>
          <w:marBottom w:val="0"/>
          <w:divBdr>
            <w:top w:val="none" w:sz="0" w:space="0" w:color="auto"/>
            <w:left w:val="none" w:sz="0" w:space="0" w:color="auto"/>
            <w:bottom w:val="none" w:sz="0" w:space="0" w:color="auto"/>
            <w:right w:val="none" w:sz="0" w:space="0" w:color="auto"/>
          </w:divBdr>
        </w:div>
        <w:div w:id="964384070">
          <w:marLeft w:val="0"/>
          <w:marRight w:val="0"/>
          <w:marTop w:val="0"/>
          <w:marBottom w:val="0"/>
          <w:divBdr>
            <w:top w:val="none" w:sz="0" w:space="0" w:color="auto"/>
            <w:left w:val="none" w:sz="0" w:space="0" w:color="auto"/>
            <w:bottom w:val="none" w:sz="0" w:space="0" w:color="auto"/>
            <w:right w:val="none" w:sz="0" w:space="0" w:color="auto"/>
          </w:divBdr>
        </w:div>
        <w:div w:id="993989732">
          <w:marLeft w:val="0"/>
          <w:marRight w:val="0"/>
          <w:marTop w:val="0"/>
          <w:marBottom w:val="0"/>
          <w:divBdr>
            <w:top w:val="none" w:sz="0" w:space="0" w:color="auto"/>
            <w:left w:val="none" w:sz="0" w:space="0" w:color="auto"/>
            <w:bottom w:val="none" w:sz="0" w:space="0" w:color="auto"/>
            <w:right w:val="none" w:sz="0" w:space="0" w:color="auto"/>
          </w:divBdr>
        </w:div>
        <w:div w:id="1005204779">
          <w:marLeft w:val="0"/>
          <w:marRight w:val="0"/>
          <w:marTop w:val="0"/>
          <w:marBottom w:val="0"/>
          <w:divBdr>
            <w:top w:val="none" w:sz="0" w:space="0" w:color="auto"/>
            <w:left w:val="none" w:sz="0" w:space="0" w:color="auto"/>
            <w:bottom w:val="none" w:sz="0" w:space="0" w:color="auto"/>
            <w:right w:val="none" w:sz="0" w:space="0" w:color="auto"/>
          </w:divBdr>
        </w:div>
        <w:div w:id="1020349689">
          <w:marLeft w:val="0"/>
          <w:marRight w:val="0"/>
          <w:marTop w:val="0"/>
          <w:marBottom w:val="0"/>
          <w:divBdr>
            <w:top w:val="none" w:sz="0" w:space="0" w:color="auto"/>
            <w:left w:val="none" w:sz="0" w:space="0" w:color="auto"/>
            <w:bottom w:val="none" w:sz="0" w:space="0" w:color="auto"/>
            <w:right w:val="none" w:sz="0" w:space="0" w:color="auto"/>
          </w:divBdr>
        </w:div>
        <w:div w:id="1068500689">
          <w:marLeft w:val="0"/>
          <w:marRight w:val="0"/>
          <w:marTop w:val="0"/>
          <w:marBottom w:val="0"/>
          <w:divBdr>
            <w:top w:val="none" w:sz="0" w:space="0" w:color="auto"/>
            <w:left w:val="none" w:sz="0" w:space="0" w:color="auto"/>
            <w:bottom w:val="none" w:sz="0" w:space="0" w:color="auto"/>
            <w:right w:val="none" w:sz="0" w:space="0" w:color="auto"/>
          </w:divBdr>
        </w:div>
        <w:div w:id="1174148093">
          <w:marLeft w:val="0"/>
          <w:marRight w:val="0"/>
          <w:marTop w:val="0"/>
          <w:marBottom w:val="0"/>
          <w:divBdr>
            <w:top w:val="none" w:sz="0" w:space="0" w:color="auto"/>
            <w:left w:val="none" w:sz="0" w:space="0" w:color="auto"/>
            <w:bottom w:val="none" w:sz="0" w:space="0" w:color="auto"/>
            <w:right w:val="none" w:sz="0" w:space="0" w:color="auto"/>
          </w:divBdr>
        </w:div>
        <w:div w:id="1241333024">
          <w:marLeft w:val="0"/>
          <w:marRight w:val="0"/>
          <w:marTop w:val="0"/>
          <w:marBottom w:val="0"/>
          <w:divBdr>
            <w:top w:val="none" w:sz="0" w:space="0" w:color="auto"/>
            <w:left w:val="none" w:sz="0" w:space="0" w:color="auto"/>
            <w:bottom w:val="none" w:sz="0" w:space="0" w:color="auto"/>
            <w:right w:val="none" w:sz="0" w:space="0" w:color="auto"/>
          </w:divBdr>
        </w:div>
        <w:div w:id="1305549218">
          <w:marLeft w:val="0"/>
          <w:marRight w:val="0"/>
          <w:marTop w:val="0"/>
          <w:marBottom w:val="0"/>
          <w:divBdr>
            <w:top w:val="none" w:sz="0" w:space="0" w:color="auto"/>
            <w:left w:val="none" w:sz="0" w:space="0" w:color="auto"/>
            <w:bottom w:val="none" w:sz="0" w:space="0" w:color="auto"/>
            <w:right w:val="none" w:sz="0" w:space="0" w:color="auto"/>
          </w:divBdr>
        </w:div>
        <w:div w:id="1438253878">
          <w:marLeft w:val="0"/>
          <w:marRight w:val="0"/>
          <w:marTop w:val="0"/>
          <w:marBottom w:val="0"/>
          <w:divBdr>
            <w:top w:val="none" w:sz="0" w:space="0" w:color="auto"/>
            <w:left w:val="none" w:sz="0" w:space="0" w:color="auto"/>
            <w:bottom w:val="none" w:sz="0" w:space="0" w:color="auto"/>
            <w:right w:val="none" w:sz="0" w:space="0" w:color="auto"/>
          </w:divBdr>
        </w:div>
        <w:div w:id="1506819107">
          <w:marLeft w:val="0"/>
          <w:marRight w:val="0"/>
          <w:marTop w:val="0"/>
          <w:marBottom w:val="0"/>
          <w:divBdr>
            <w:top w:val="none" w:sz="0" w:space="0" w:color="auto"/>
            <w:left w:val="none" w:sz="0" w:space="0" w:color="auto"/>
            <w:bottom w:val="none" w:sz="0" w:space="0" w:color="auto"/>
            <w:right w:val="none" w:sz="0" w:space="0" w:color="auto"/>
          </w:divBdr>
        </w:div>
        <w:div w:id="1608930942">
          <w:marLeft w:val="0"/>
          <w:marRight w:val="0"/>
          <w:marTop w:val="0"/>
          <w:marBottom w:val="0"/>
          <w:divBdr>
            <w:top w:val="none" w:sz="0" w:space="0" w:color="auto"/>
            <w:left w:val="none" w:sz="0" w:space="0" w:color="auto"/>
            <w:bottom w:val="none" w:sz="0" w:space="0" w:color="auto"/>
            <w:right w:val="none" w:sz="0" w:space="0" w:color="auto"/>
          </w:divBdr>
        </w:div>
        <w:div w:id="1709447661">
          <w:marLeft w:val="0"/>
          <w:marRight w:val="0"/>
          <w:marTop w:val="0"/>
          <w:marBottom w:val="0"/>
          <w:divBdr>
            <w:top w:val="none" w:sz="0" w:space="0" w:color="auto"/>
            <w:left w:val="none" w:sz="0" w:space="0" w:color="auto"/>
            <w:bottom w:val="none" w:sz="0" w:space="0" w:color="auto"/>
            <w:right w:val="none" w:sz="0" w:space="0" w:color="auto"/>
          </w:divBdr>
        </w:div>
        <w:div w:id="1873304521">
          <w:marLeft w:val="0"/>
          <w:marRight w:val="0"/>
          <w:marTop w:val="0"/>
          <w:marBottom w:val="0"/>
          <w:divBdr>
            <w:top w:val="none" w:sz="0" w:space="0" w:color="auto"/>
            <w:left w:val="none" w:sz="0" w:space="0" w:color="auto"/>
            <w:bottom w:val="none" w:sz="0" w:space="0" w:color="auto"/>
            <w:right w:val="none" w:sz="0" w:space="0" w:color="auto"/>
          </w:divBdr>
        </w:div>
        <w:div w:id="2017995356">
          <w:marLeft w:val="0"/>
          <w:marRight w:val="0"/>
          <w:marTop w:val="0"/>
          <w:marBottom w:val="0"/>
          <w:divBdr>
            <w:top w:val="none" w:sz="0" w:space="0" w:color="auto"/>
            <w:left w:val="none" w:sz="0" w:space="0" w:color="auto"/>
            <w:bottom w:val="none" w:sz="0" w:space="0" w:color="auto"/>
            <w:right w:val="none" w:sz="0" w:space="0" w:color="auto"/>
          </w:divBdr>
        </w:div>
        <w:div w:id="2029870105">
          <w:marLeft w:val="0"/>
          <w:marRight w:val="0"/>
          <w:marTop w:val="0"/>
          <w:marBottom w:val="0"/>
          <w:divBdr>
            <w:top w:val="none" w:sz="0" w:space="0" w:color="auto"/>
            <w:left w:val="none" w:sz="0" w:space="0" w:color="auto"/>
            <w:bottom w:val="none" w:sz="0" w:space="0" w:color="auto"/>
            <w:right w:val="none" w:sz="0" w:space="0" w:color="auto"/>
          </w:divBdr>
        </w:div>
      </w:divsChild>
    </w:div>
    <w:div w:id="2106227590">
      <w:bodyDiv w:val="1"/>
      <w:marLeft w:val="0"/>
      <w:marRight w:val="0"/>
      <w:marTop w:val="0"/>
      <w:marBottom w:val="0"/>
      <w:divBdr>
        <w:top w:val="none" w:sz="0" w:space="0" w:color="auto"/>
        <w:left w:val="none" w:sz="0" w:space="0" w:color="auto"/>
        <w:bottom w:val="none" w:sz="0" w:space="0" w:color="auto"/>
        <w:right w:val="none" w:sz="0" w:space="0" w:color="auto"/>
      </w:divBdr>
    </w:div>
    <w:div w:id="2113813940">
      <w:bodyDiv w:val="1"/>
      <w:marLeft w:val="0"/>
      <w:marRight w:val="0"/>
      <w:marTop w:val="0"/>
      <w:marBottom w:val="0"/>
      <w:divBdr>
        <w:top w:val="none" w:sz="0" w:space="0" w:color="auto"/>
        <w:left w:val="none" w:sz="0" w:space="0" w:color="auto"/>
        <w:bottom w:val="none" w:sz="0" w:space="0" w:color="auto"/>
        <w:right w:val="none" w:sz="0" w:space="0" w:color="auto"/>
      </w:divBdr>
      <w:divsChild>
        <w:div w:id="1457526942">
          <w:marLeft w:val="0"/>
          <w:marRight w:val="0"/>
          <w:marTop w:val="0"/>
          <w:marBottom w:val="0"/>
          <w:divBdr>
            <w:top w:val="none" w:sz="0" w:space="0" w:color="auto"/>
            <w:left w:val="none" w:sz="0" w:space="0" w:color="auto"/>
            <w:bottom w:val="none" w:sz="0" w:space="0" w:color="auto"/>
            <w:right w:val="none" w:sz="0" w:space="0" w:color="auto"/>
          </w:divBdr>
          <w:divsChild>
            <w:div w:id="2781482">
              <w:marLeft w:val="0"/>
              <w:marRight w:val="0"/>
              <w:marTop w:val="0"/>
              <w:marBottom w:val="0"/>
              <w:divBdr>
                <w:top w:val="none" w:sz="0" w:space="0" w:color="auto"/>
                <w:left w:val="none" w:sz="0" w:space="0" w:color="auto"/>
                <w:bottom w:val="none" w:sz="0" w:space="0" w:color="auto"/>
                <w:right w:val="none" w:sz="0" w:space="0" w:color="auto"/>
              </w:divBdr>
            </w:div>
            <w:div w:id="11959891">
              <w:marLeft w:val="0"/>
              <w:marRight w:val="0"/>
              <w:marTop w:val="0"/>
              <w:marBottom w:val="0"/>
              <w:divBdr>
                <w:top w:val="none" w:sz="0" w:space="0" w:color="auto"/>
                <w:left w:val="none" w:sz="0" w:space="0" w:color="auto"/>
                <w:bottom w:val="none" w:sz="0" w:space="0" w:color="auto"/>
                <w:right w:val="none" w:sz="0" w:space="0" w:color="auto"/>
              </w:divBdr>
            </w:div>
            <w:div w:id="15353838">
              <w:marLeft w:val="0"/>
              <w:marRight w:val="0"/>
              <w:marTop w:val="0"/>
              <w:marBottom w:val="0"/>
              <w:divBdr>
                <w:top w:val="none" w:sz="0" w:space="0" w:color="auto"/>
                <w:left w:val="none" w:sz="0" w:space="0" w:color="auto"/>
                <w:bottom w:val="none" w:sz="0" w:space="0" w:color="auto"/>
                <w:right w:val="none" w:sz="0" w:space="0" w:color="auto"/>
              </w:divBdr>
            </w:div>
            <w:div w:id="24331983">
              <w:marLeft w:val="0"/>
              <w:marRight w:val="0"/>
              <w:marTop w:val="0"/>
              <w:marBottom w:val="0"/>
              <w:divBdr>
                <w:top w:val="none" w:sz="0" w:space="0" w:color="auto"/>
                <w:left w:val="none" w:sz="0" w:space="0" w:color="auto"/>
                <w:bottom w:val="none" w:sz="0" w:space="0" w:color="auto"/>
                <w:right w:val="none" w:sz="0" w:space="0" w:color="auto"/>
              </w:divBdr>
            </w:div>
            <w:div w:id="43256064">
              <w:marLeft w:val="0"/>
              <w:marRight w:val="0"/>
              <w:marTop w:val="0"/>
              <w:marBottom w:val="0"/>
              <w:divBdr>
                <w:top w:val="none" w:sz="0" w:space="0" w:color="auto"/>
                <w:left w:val="none" w:sz="0" w:space="0" w:color="auto"/>
                <w:bottom w:val="none" w:sz="0" w:space="0" w:color="auto"/>
                <w:right w:val="none" w:sz="0" w:space="0" w:color="auto"/>
              </w:divBdr>
            </w:div>
            <w:div w:id="56321751">
              <w:marLeft w:val="0"/>
              <w:marRight w:val="0"/>
              <w:marTop w:val="0"/>
              <w:marBottom w:val="0"/>
              <w:divBdr>
                <w:top w:val="none" w:sz="0" w:space="0" w:color="auto"/>
                <w:left w:val="none" w:sz="0" w:space="0" w:color="auto"/>
                <w:bottom w:val="none" w:sz="0" w:space="0" w:color="auto"/>
                <w:right w:val="none" w:sz="0" w:space="0" w:color="auto"/>
              </w:divBdr>
            </w:div>
            <w:div w:id="61569303">
              <w:marLeft w:val="0"/>
              <w:marRight w:val="0"/>
              <w:marTop w:val="0"/>
              <w:marBottom w:val="0"/>
              <w:divBdr>
                <w:top w:val="none" w:sz="0" w:space="0" w:color="auto"/>
                <w:left w:val="none" w:sz="0" w:space="0" w:color="auto"/>
                <w:bottom w:val="none" w:sz="0" w:space="0" w:color="auto"/>
                <w:right w:val="none" w:sz="0" w:space="0" w:color="auto"/>
              </w:divBdr>
            </w:div>
            <w:div w:id="71508397">
              <w:marLeft w:val="0"/>
              <w:marRight w:val="0"/>
              <w:marTop w:val="0"/>
              <w:marBottom w:val="0"/>
              <w:divBdr>
                <w:top w:val="none" w:sz="0" w:space="0" w:color="auto"/>
                <w:left w:val="none" w:sz="0" w:space="0" w:color="auto"/>
                <w:bottom w:val="none" w:sz="0" w:space="0" w:color="auto"/>
                <w:right w:val="none" w:sz="0" w:space="0" w:color="auto"/>
              </w:divBdr>
            </w:div>
            <w:div w:id="83378380">
              <w:marLeft w:val="0"/>
              <w:marRight w:val="0"/>
              <w:marTop w:val="0"/>
              <w:marBottom w:val="0"/>
              <w:divBdr>
                <w:top w:val="none" w:sz="0" w:space="0" w:color="auto"/>
                <w:left w:val="none" w:sz="0" w:space="0" w:color="auto"/>
                <w:bottom w:val="none" w:sz="0" w:space="0" w:color="auto"/>
                <w:right w:val="none" w:sz="0" w:space="0" w:color="auto"/>
              </w:divBdr>
            </w:div>
            <w:div w:id="91828198">
              <w:marLeft w:val="0"/>
              <w:marRight w:val="0"/>
              <w:marTop w:val="0"/>
              <w:marBottom w:val="0"/>
              <w:divBdr>
                <w:top w:val="none" w:sz="0" w:space="0" w:color="auto"/>
                <w:left w:val="none" w:sz="0" w:space="0" w:color="auto"/>
                <w:bottom w:val="none" w:sz="0" w:space="0" w:color="auto"/>
                <w:right w:val="none" w:sz="0" w:space="0" w:color="auto"/>
              </w:divBdr>
            </w:div>
            <w:div w:id="100297640">
              <w:marLeft w:val="0"/>
              <w:marRight w:val="0"/>
              <w:marTop w:val="0"/>
              <w:marBottom w:val="0"/>
              <w:divBdr>
                <w:top w:val="none" w:sz="0" w:space="0" w:color="auto"/>
                <w:left w:val="none" w:sz="0" w:space="0" w:color="auto"/>
                <w:bottom w:val="none" w:sz="0" w:space="0" w:color="auto"/>
                <w:right w:val="none" w:sz="0" w:space="0" w:color="auto"/>
              </w:divBdr>
            </w:div>
            <w:div w:id="129595474">
              <w:marLeft w:val="0"/>
              <w:marRight w:val="0"/>
              <w:marTop w:val="0"/>
              <w:marBottom w:val="0"/>
              <w:divBdr>
                <w:top w:val="none" w:sz="0" w:space="0" w:color="auto"/>
                <w:left w:val="none" w:sz="0" w:space="0" w:color="auto"/>
                <w:bottom w:val="none" w:sz="0" w:space="0" w:color="auto"/>
                <w:right w:val="none" w:sz="0" w:space="0" w:color="auto"/>
              </w:divBdr>
            </w:div>
            <w:div w:id="145365683">
              <w:marLeft w:val="0"/>
              <w:marRight w:val="0"/>
              <w:marTop w:val="0"/>
              <w:marBottom w:val="0"/>
              <w:divBdr>
                <w:top w:val="none" w:sz="0" w:space="0" w:color="auto"/>
                <w:left w:val="none" w:sz="0" w:space="0" w:color="auto"/>
                <w:bottom w:val="none" w:sz="0" w:space="0" w:color="auto"/>
                <w:right w:val="none" w:sz="0" w:space="0" w:color="auto"/>
              </w:divBdr>
            </w:div>
            <w:div w:id="173761660">
              <w:marLeft w:val="0"/>
              <w:marRight w:val="0"/>
              <w:marTop w:val="0"/>
              <w:marBottom w:val="0"/>
              <w:divBdr>
                <w:top w:val="none" w:sz="0" w:space="0" w:color="auto"/>
                <w:left w:val="none" w:sz="0" w:space="0" w:color="auto"/>
                <w:bottom w:val="none" w:sz="0" w:space="0" w:color="auto"/>
                <w:right w:val="none" w:sz="0" w:space="0" w:color="auto"/>
              </w:divBdr>
            </w:div>
            <w:div w:id="237519218">
              <w:marLeft w:val="0"/>
              <w:marRight w:val="0"/>
              <w:marTop w:val="0"/>
              <w:marBottom w:val="0"/>
              <w:divBdr>
                <w:top w:val="none" w:sz="0" w:space="0" w:color="auto"/>
                <w:left w:val="none" w:sz="0" w:space="0" w:color="auto"/>
                <w:bottom w:val="none" w:sz="0" w:space="0" w:color="auto"/>
                <w:right w:val="none" w:sz="0" w:space="0" w:color="auto"/>
              </w:divBdr>
            </w:div>
            <w:div w:id="247665304">
              <w:marLeft w:val="0"/>
              <w:marRight w:val="0"/>
              <w:marTop w:val="0"/>
              <w:marBottom w:val="0"/>
              <w:divBdr>
                <w:top w:val="none" w:sz="0" w:space="0" w:color="auto"/>
                <w:left w:val="none" w:sz="0" w:space="0" w:color="auto"/>
                <w:bottom w:val="none" w:sz="0" w:space="0" w:color="auto"/>
                <w:right w:val="none" w:sz="0" w:space="0" w:color="auto"/>
              </w:divBdr>
            </w:div>
            <w:div w:id="273176591">
              <w:marLeft w:val="0"/>
              <w:marRight w:val="0"/>
              <w:marTop w:val="0"/>
              <w:marBottom w:val="0"/>
              <w:divBdr>
                <w:top w:val="none" w:sz="0" w:space="0" w:color="auto"/>
                <w:left w:val="none" w:sz="0" w:space="0" w:color="auto"/>
                <w:bottom w:val="none" w:sz="0" w:space="0" w:color="auto"/>
                <w:right w:val="none" w:sz="0" w:space="0" w:color="auto"/>
              </w:divBdr>
            </w:div>
            <w:div w:id="309751928">
              <w:marLeft w:val="0"/>
              <w:marRight w:val="0"/>
              <w:marTop w:val="0"/>
              <w:marBottom w:val="0"/>
              <w:divBdr>
                <w:top w:val="none" w:sz="0" w:space="0" w:color="auto"/>
                <w:left w:val="none" w:sz="0" w:space="0" w:color="auto"/>
                <w:bottom w:val="none" w:sz="0" w:space="0" w:color="auto"/>
                <w:right w:val="none" w:sz="0" w:space="0" w:color="auto"/>
              </w:divBdr>
            </w:div>
            <w:div w:id="334455190">
              <w:marLeft w:val="0"/>
              <w:marRight w:val="0"/>
              <w:marTop w:val="0"/>
              <w:marBottom w:val="0"/>
              <w:divBdr>
                <w:top w:val="none" w:sz="0" w:space="0" w:color="auto"/>
                <w:left w:val="none" w:sz="0" w:space="0" w:color="auto"/>
                <w:bottom w:val="none" w:sz="0" w:space="0" w:color="auto"/>
                <w:right w:val="none" w:sz="0" w:space="0" w:color="auto"/>
              </w:divBdr>
            </w:div>
            <w:div w:id="334647711">
              <w:marLeft w:val="0"/>
              <w:marRight w:val="0"/>
              <w:marTop w:val="0"/>
              <w:marBottom w:val="0"/>
              <w:divBdr>
                <w:top w:val="none" w:sz="0" w:space="0" w:color="auto"/>
                <w:left w:val="none" w:sz="0" w:space="0" w:color="auto"/>
                <w:bottom w:val="none" w:sz="0" w:space="0" w:color="auto"/>
                <w:right w:val="none" w:sz="0" w:space="0" w:color="auto"/>
              </w:divBdr>
            </w:div>
            <w:div w:id="342709232">
              <w:marLeft w:val="0"/>
              <w:marRight w:val="0"/>
              <w:marTop w:val="0"/>
              <w:marBottom w:val="0"/>
              <w:divBdr>
                <w:top w:val="none" w:sz="0" w:space="0" w:color="auto"/>
                <w:left w:val="none" w:sz="0" w:space="0" w:color="auto"/>
                <w:bottom w:val="none" w:sz="0" w:space="0" w:color="auto"/>
                <w:right w:val="none" w:sz="0" w:space="0" w:color="auto"/>
              </w:divBdr>
            </w:div>
            <w:div w:id="353768306">
              <w:marLeft w:val="0"/>
              <w:marRight w:val="0"/>
              <w:marTop w:val="0"/>
              <w:marBottom w:val="0"/>
              <w:divBdr>
                <w:top w:val="none" w:sz="0" w:space="0" w:color="auto"/>
                <w:left w:val="none" w:sz="0" w:space="0" w:color="auto"/>
                <w:bottom w:val="none" w:sz="0" w:space="0" w:color="auto"/>
                <w:right w:val="none" w:sz="0" w:space="0" w:color="auto"/>
              </w:divBdr>
            </w:div>
            <w:div w:id="373703326">
              <w:marLeft w:val="0"/>
              <w:marRight w:val="0"/>
              <w:marTop w:val="0"/>
              <w:marBottom w:val="0"/>
              <w:divBdr>
                <w:top w:val="none" w:sz="0" w:space="0" w:color="auto"/>
                <w:left w:val="none" w:sz="0" w:space="0" w:color="auto"/>
                <w:bottom w:val="none" w:sz="0" w:space="0" w:color="auto"/>
                <w:right w:val="none" w:sz="0" w:space="0" w:color="auto"/>
              </w:divBdr>
            </w:div>
            <w:div w:id="404649791">
              <w:marLeft w:val="0"/>
              <w:marRight w:val="0"/>
              <w:marTop w:val="0"/>
              <w:marBottom w:val="0"/>
              <w:divBdr>
                <w:top w:val="none" w:sz="0" w:space="0" w:color="auto"/>
                <w:left w:val="none" w:sz="0" w:space="0" w:color="auto"/>
                <w:bottom w:val="none" w:sz="0" w:space="0" w:color="auto"/>
                <w:right w:val="none" w:sz="0" w:space="0" w:color="auto"/>
              </w:divBdr>
            </w:div>
            <w:div w:id="406809539">
              <w:marLeft w:val="0"/>
              <w:marRight w:val="0"/>
              <w:marTop w:val="0"/>
              <w:marBottom w:val="0"/>
              <w:divBdr>
                <w:top w:val="none" w:sz="0" w:space="0" w:color="auto"/>
                <w:left w:val="none" w:sz="0" w:space="0" w:color="auto"/>
                <w:bottom w:val="none" w:sz="0" w:space="0" w:color="auto"/>
                <w:right w:val="none" w:sz="0" w:space="0" w:color="auto"/>
              </w:divBdr>
            </w:div>
            <w:div w:id="415320270">
              <w:marLeft w:val="0"/>
              <w:marRight w:val="0"/>
              <w:marTop w:val="0"/>
              <w:marBottom w:val="0"/>
              <w:divBdr>
                <w:top w:val="none" w:sz="0" w:space="0" w:color="auto"/>
                <w:left w:val="none" w:sz="0" w:space="0" w:color="auto"/>
                <w:bottom w:val="none" w:sz="0" w:space="0" w:color="auto"/>
                <w:right w:val="none" w:sz="0" w:space="0" w:color="auto"/>
              </w:divBdr>
            </w:div>
            <w:div w:id="484471971">
              <w:marLeft w:val="0"/>
              <w:marRight w:val="0"/>
              <w:marTop w:val="0"/>
              <w:marBottom w:val="0"/>
              <w:divBdr>
                <w:top w:val="none" w:sz="0" w:space="0" w:color="auto"/>
                <w:left w:val="none" w:sz="0" w:space="0" w:color="auto"/>
                <w:bottom w:val="none" w:sz="0" w:space="0" w:color="auto"/>
                <w:right w:val="none" w:sz="0" w:space="0" w:color="auto"/>
              </w:divBdr>
            </w:div>
            <w:div w:id="504980613">
              <w:marLeft w:val="0"/>
              <w:marRight w:val="0"/>
              <w:marTop w:val="0"/>
              <w:marBottom w:val="0"/>
              <w:divBdr>
                <w:top w:val="none" w:sz="0" w:space="0" w:color="auto"/>
                <w:left w:val="none" w:sz="0" w:space="0" w:color="auto"/>
                <w:bottom w:val="none" w:sz="0" w:space="0" w:color="auto"/>
                <w:right w:val="none" w:sz="0" w:space="0" w:color="auto"/>
              </w:divBdr>
            </w:div>
            <w:div w:id="509952372">
              <w:marLeft w:val="0"/>
              <w:marRight w:val="0"/>
              <w:marTop w:val="0"/>
              <w:marBottom w:val="0"/>
              <w:divBdr>
                <w:top w:val="none" w:sz="0" w:space="0" w:color="auto"/>
                <w:left w:val="none" w:sz="0" w:space="0" w:color="auto"/>
                <w:bottom w:val="none" w:sz="0" w:space="0" w:color="auto"/>
                <w:right w:val="none" w:sz="0" w:space="0" w:color="auto"/>
              </w:divBdr>
            </w:div>
            <w:div w:id="527914331">
              <w:marLeft w:val="0"/>
              <w:marRight w:val="0"/>
              <w:marTop w:val="0"/>
              <w:marBottom w:val="0"/>
              <w:divBdr>
                <w:top w:val="none" w:sz="0" w:space="0" w:color="auto"/>
                <w:left w:val="none" w:sz="0" w:space="0" w:color="auto"/>
                <w:bottom w:val="none" w:sz="0" w:space="0" w:color="auto"/>
                <w:right w:val="none" w:sz="0" w:space="0" w:color="auto"/>
              </w:divBdr>
            </w:div>
            <w:div w:id="539560119">
              <w:marLeft w:val="0"/>
              <w:marRight w:val="0"/>
              <w:marTop w:val="0"/>
              <w:marBottom w:val="0"/>
              <w:divBdr>
                <w:top w:val="none" w:sz="0" w:space="0" w:color="auto"/>
                <w:left w:val="none" w:sz="0" w:space="0" w:color="auto"/>
                <w:bottom w:val="none" w:sz="0" w:space="0" w:color="auto"/>
                <w:right w:val="none" w:sz="0" w:space="0" w:color="auto"/>
              </w:divBdr>
            </w:div>
            <w:div w:id="539561909">
              <w:marLeft w:val="0"/>
              <w:marRight w:val="0"/>
              <w:marTop w:val="0"/>
              <w:marBottom w:val="0"/>
              <w:divBdr>
                <w:top w:val="none" w:sz="0" w:space="0" w:color="auto"/>
                <w:left w:val="none" w:sz="0" w:space="0" w:color="auto"/>
                <w:bottom w:val="none" w:sz="0" w:space="0" w:color="auto"/>
                <w:right w:val="none" w:sz="0" w:space="0" w:color="auto"/>
              </w:divBdr>
            </w:div>
            <w:div w:id="540169360">
              <w:marLeft w:val="0"/>
              <w:marRight w:val="0"/>
              <w:marTop w:val="0"/>
              <w:marBottom w:val="0"/>
              <w:divBdr>
                <w:top w:val="none" w:sz="0" w:space="0" w:color="auto"/>
                <w:left w:val="none" w:sz="0" w:space="0" w:color="auto"/>
                <w:bottom w:val="none" w:sz="0" w:space="0" w:color="auto"/>
                <w:right w:val="none" w:sz="0" w:space="0" w:color="auto"/>
              </w:divBdr>
            </w:div>
            <w:div w:id="553545596">
              <w:marLeft w:val="0"/>
              <w:marRight w:val="0"/>
              <w:marTop w:val="0"/>
              <w:marBottom w:val="0"/>
              <w:divBdr>
                <w:top w:val="none" w:sz="0" w:space="0" w:color="auto"/>
                <w:left w:val="none" w:sz="0" w:space="0" w:color="auto"/>
                <w:bottom w:val="none" w:sz="0" w:space="0" w:color="auto"/>
                <w:right w:val="none" w:sz="0" w:space="0" w:color="auto"/>
              </w:divBdr>
            </w:div>
            <w:div w:id="562105549">
              <w:marLeft w:val="0"/>
              <w:marRight w:val="0"/>
              <w:marTop w:val="0"/>
              <w:marBottom w:val="0"/>
              <w:divBdr>
                <w:top w:val="none" w:sz="0" w:space="0" w:color="auto"/>
                <w:left w:val="none" w:sz="0" w:space="0" w:color="auto"/>
                <w:bottom w:val="none" w:sz="0" w:space="0" w:color="auto"/>
                <w:right w:val="none" w:sz="0" w:space="0" w:color="auto"/>
              </w:divBdr>
            </w:div>
            <w:div w:id="570122861">
              <w:marLeft w:val="0"/>
              <w:marRight w:val="0"/>
              <w:marTop w:val="0"/>
              <w:marBottom w:val="0"/>
              <w:divBdr>
                <w:top w:val="none" w:sz="0" w:space="0" w:color="auto"/>
                <w:left w:val="none" w:sz="0" w:space="0" w:color="auto"/>
                <w:bottom w:val="none" w:sz="0" w:space="0" w:color="auto"/>
                <w:right w:val="none" w:sz="0" w:space="0" w:color="auto"/>
              </w:divBdr>
            </w:div>
            <w:div w:id="604657596">
              <w:marLeft w:val="0"/>
              <w:marRight w:val="0"/>
              <w:marTop w:val="0"/>
              <w:marBottom w:val="0"/>
              <w:divBdr>
                <w:top w:val="none" w:sz="0" w:space="0" w:color="auto"/>
                <w:left w:val="none" w:sz="0" w:space="0" w:color="auto"/>
                <w:bottom w:val="none" w:sz="0" w:space="0" w:color="auto"/>
                <w:right w:val="none" w:sz="0" w:space="0" w:color="auto"/>
              </w:divBdr>
            </w:div>
            <w:div w:id="696543990">
              <w:marLeft w:val="0"/>
              <w:marRight w:val="0"/>
              <w:marTop w:val="0"/>
              <w:marBottom w:val="0"/>
              <w:divBdr>
                <w:top w:val="none" w:sz="0" w:space="0" w:color="auto"/>
                <w:left w:val="none" w:sz="0" w:space="0" w:color="auto"/>
                <w:bottom w:val="none" w:sz="0" w:space="0" w:color="auto"/>
                <w:right w:val="none" w:sz="0" w:space="0" w:color="auto"/>
              </w:divBdr>
            </w:div>
            <w:div w:id="697000804">
              <w:marLeft w:val="0"/>
              <w:marRight w:val="0"/>
              <w:marTop w:val="0"/>
              <w:marBottom w:val="0"/>
              <w:divBdr>
                <w:top w:val="none" w:sz="0" w:space="0" w:color="auto"/>
                <w:left w:val="none" w:sz="0" w:space="0" w:color="auto"/>
                <w:bottom w:val="none" w:sz="0" w:space="0" w:color="auto"/>
                <w:right w:val="none" w:sz="0" w:space="0" w:color="auto"/>
              </w:divBdr>
            </w:div>
            <w:div w:id="726296007">
              <w:marLeft w:val="0"/>
              <w:marRight w:val="0"/>
              <w:marTop w:val="0"/>
              <w:marBottom w:val="0"/>
              <w:divBdr>
                <w:top w:val="none" w:sz="0" w:space="0" w:color="auto"/>
                <w:left w:val="none" w:sz="0" w:space="0" w:color="auto"/>
                <w:bottom w:val="none" w:sz="0" w:space="0" w:color="auto"/>
                <w:right w:val="none" w:sz="0" w:space="0" w:color="auto"/>
              </w:divBdr>
            </w:div>
            <w:div w:id="752556550">
              <w:marLeft w:val="0"/>
              <w:marRight w:val="0"/>
              <w:marTop w:val="0"/>
              <w:marBottom w:val="0"/>
              <w:divBdr>
                <w:top w:val="none" w:sz="0" w:space="0" w:color="auto"/>
                <w:left w:val="none" w:sz="0" w:space="0" w:color="auto"/>
                <w:bottom w:val="none" w:sz="0" w:space="0" w:color="auto"/>
                <w:right w:val="none" w:sz="0" w:space="0" w:color="auto"/>
              </w:divBdr>
            </w:div>
            <w:div w:id="804081844">
              <w:marLeft w:val="0"/>
              <w:marRight w:val="0"/>
              <w:marTop w:val="0"/>
              <w:marBottom w:val="0"/>
              <w:divBdr>
                <w:top w:val="none" w:sz="0" w:space="0" w:color="auto"/>
                <w:left w:val="none" w:sz="0" w:space="0" w:color="auto"/>
                <w:bottom w:val="none" w:sz="0" w:space="0" w:color="auto"/>
                <w:right w:val="none" w:sz="0" w:space="0" w:color="auto"/>
              </w:divBdr>
            </w:div>
            <w:div w:id="805007609">
              <w:marLeft w:val="0"/>
              <w:marRight w:val="0"/>
              <w:marTop w:val="0"/>
              <w:marBottom w:val="0"/>
              <w:divBdr>
                <w:top w:val="none" w:sz="0" w:space="0" w:color="auto"/>
                <w:left w:val="none" w:sz="0" w:space="0" w:color="auto"/>
                <w:bottom w:val="none" w:sz="0" w:space="0" w:color="auto"/>
                <w:right w:val="none" w:sz="0" w:space="0" w:color="auto"/>
              </w:divBdr>
            </w:div>
            <w:div w:id="828643343">
              <w:marLeft w:val="0"/>
              <w:marRight w:val="0"/>
              <w:marTop w:val="0"/>
              <w:marBottom w:val="0"/>
              <w:divBdr>
                <w:top w:val="none" w:sz="0" w:space="0" w:color="auto"/>
                <w:left w:val="none" w:sz="0" w:space="0" w:color="auto"/>
                <w:bottom w:val="none" w:sz="0" w:space="0" w:color="auto"/>
                <w:right w:val="none" w:sz="0" w:space="0" w:color="auto"/>
              </w:divBdr>
            </w:div>
            <w:div w:id="838161429">
              <w:marLeft w:val="0"/>
              <w:marRight w:val="0"/>
              <w:marTop w:val="0"/>
              <w:marBottom w:val="0"/>
              <w:divBdr>
                <w:top w:val="none" w:sz="0" w:space="0" w:color="auto"/>
                <w:left w:val="none" w:sz="0" w:space="0" w:color="auto"/>
                <w:bottom w:val="none" w:sz="0" w:space="0" w:color="auto"/>
                <w:right w:val="none" w:sz="0" w:space="0" w:color="auto"/>
              </w:divBdr>
            </w:div>
            <w:div w:id="848636433">
              <w:marLeft w:val="0"/>
              <w:marRight w:val="0"/>
              <w:marTop w:val="0"/>
              <w:marBottom w:val="0"/>
              <w:divBdr>
                <w:top w:val="none" w:sz="0" w:space="0" w:color="auto"/>
                <w:left w:val="none" w:sz="0" w:space="0" w:color="auto"/>
                <w:bottom w:val="none" w:sz="0" w:space="0" w:color="auto"/>
                <w:right w:val="none" w:sz="0" w:space="0" w:color="auto"/>
              </w:divBdr>
            </w:div>
            <w:div w:id="936837166">
              <w:marLeft w:val="0"/>
              <w:marRight w:val="0"/>
              <w:marTop w:val="0"/>
              <w:marBottom w:val="0"/>
              <w:divBdr>
                <w:top w:val="none" w:sz="0" w:space="0" w:color="auto"/>
                <w:left w:val="none" w:sz="0" w:space="0" w:color="auto"/>
                <w:bottom w:val="none" w:sz="0" w:space="0" w:color="auto"/>
                <w:right w:val="none" w:sz="0" w:space="0" w:color="auto"/>
              </w:divBdr>
            </w:div>
            <w:div w:id="952631533">
              <w:marLeft w:val="0"/>
              <w:marRight w:val="0"/>
              <w:marTop w:val="0"/>
              <w:marBottom w:val="0"/>
              <w:divBdr>
                <w:top w:val="none" w:sz="0" w:space="0" w:color="auto"/>
                <w:left w:val="none" w:sz="0" w:space="0" w:color="auto"/>
                <w:bottom w:val="none" w:sz="0" w:space="0" w:color="auto"/>
                <w:right w:val="none" w:sz="0" w:space="0" w:color="auto"/>
              </w:divBdr>
            </w:div>
            <w:div w:id="1073041084">
              <w:marLeft w:val="0"/>
              <w:marRight w:val="0"/>
              <w:marTop w:val="0"/>
              <w:marBottom w:val="0"/>
              <w:divBdr>
                <w:top w:val="none" w:sz="0" w:space="0" w:color="auto"/>
                <w:left w:val="none" w:sz="0" w:space="0" w:color="auto"/>
                <w:bottom w:val="none" w:sz="0" w:space="0" w:color="auto"/>
                <w:right w:val="none" w:sz="0" w:space="0" w:color="auto"/>
              </w:divBdr>
            </w:div>
            <w:div w:id="1086224303">
              <w:marLeft w:val="0"/>
              <w:marRight w:val="0"/>
              <w:marTop w:val="0"/>
              <w:marBottom w:val="0"/>
              <w:divBdr>
                <w:top w:val="none" w:sz="0" w:space="0" w:color="auto"/>
                <w:left w:val="none" w:sz="0" w:space="0" w:color="auto"/>
                <w:bottom w:val="none" w:sz="0" w:space="0" w:color="auto"/>
                <w:right w:val="none" w:sz="0" w:space="0" w:color="auto"/>
              </w:divBdr>
            </w:div>
            <w:div w:id="1127118626">
              <w:marLeft w:val="0"/>
              <w:marRight w:val="0"/>
              <w:marTop w:val="0"/>
              <w:marBottom w:val="0"/>
              <w:divBdr>
                <w:top w:val="none" w:sz="0" w:space="0" w:color="auto"/>
                <w:left w:val="none" w:sz="0" w:space="0" w:color="auto"/>
                <w:bottom w:val="none" w:sz="0" w:space="0" w:color="auto"/>
                <w:right w:val="none" w:sz="0" w:space="0" w:color="auto"/>
              </w:divBdr>
            </w:div>
            <w:div w:id="1128864777">
              <w:marLeft w:val="0"/>
              <w:marRight w:val="0"/>
              <w:marTop w:val="0"/>
              <w:marBottom w:val="0"/>
              <w:divBdr>
                <w:top w:val="none" w:sz="0" w:space="0" w:color="auto"/>
                <w:left w:val="none" w:sz="0" w:space="0" w:color="auto"/>
                <w:bottom w:val="none" w:sz="0" w:space="0" w:color="auto"/>
                <w:right w:val="none" w:sz="0" w:space="0" w:color="auto"/>
              </w:divBdr>
            </w:div>
            <w:div w:id="1152940409">
              <w:marLeft w:val="0"/>
              <w:marRight w:val="0"/>
              <w:marTop w:val="0"/>
              <w:marBottom w:val="0"/>
              <w:divBdr>
                <w:top w:val="none" w:sz="0" w:space="0" w:color="auto"/>
                <w:left w:val="none" w:sz="0" w:space="0" w:color="auto"/>
                <w:bottom w:val="none" w:sz="0" w:space="0" w:color="auto"/>
                <w:right w:val="none" w:sz="0" w:space="0" w:color="auto"/>
              </w:divBdr>
            </w:div>
            <w:div w:id="1175456235">
              <w:marLeft w:val="0"/>
              <w:marRight w:val="0"/>
              <w:marTop w:val="0"/>
              <w:marBottom w:val="0"/>
              <w:divBdr>
                <w:top w:val="none" w:sz="0" w:space="0" w:color="auto"/>
                <w:left w:val="none" w:sz="0" w:space="0" w:color="auto"/>
                <w:bottom w:val="none" w:sz="0" w:space="0" w:color="auto"/>
                <w:right w:val="none" w:sz="0" w:space="0" w:color="auto"/>
              </w:divBdr>
            </w:div>
            <w:div w:id="1192959544">
              <w:marLeft w:val="0"/>
              <w:marRight w:val="0"/>
              <w:marTop w:val="0"/>
              <w:marBottom w:val="0"/>
              <w:divBdr>
                <w:top w:val="none" w:sz="0" w:space="0" w:color="auto"/>
                <w:left w:val="none" w:sz="0" w:space="0" w:color="auto"/>
                <w:bottom w:val="none" w:sz="0" w:space="0" w:color="auto"/>
                <w:right w:val="none" w:sz="0" w:space="0" w:color="auto"/>
              </w:divBdr>
            </w:div>
            <w:div w:id="1213467464">
              <w:marLeft w:val="0"/>
              <w:marRight w:val="0"/>
              <w:marTop w:val="0"/>
              <w:marBottom w:val="0"/>
              <w:divBdr>
                <w:top w:val="none" w:sz="0" w:space="0" w:color="auto"/>
                <w:left w:val="none" w:sz="0" w:space="0" w:color="auto"/>
                <w:bottom w:val="none" w:sz="0" w:space="0" w:color="auto"/>
                <w:right w:val="none" w:sz="0" w:space="0" w:color="auto"/>
              </w:divBdr>
            </w:div>
            <w:div w:id="1250312783">
              <w:marLeft w:val="0"/>
              <w:marRight w:val="0"/>
              <w:marTop w:val="0"/>
              <w:marBottom w:val="0"/>
              <w:divBdr>
                <w:top w:val="none" w:sz="0" w:space="0" w:color="auto"/>
                <w:left w:val="none" w:sz="0" w:space="0" w:color="auto"/>
                <w:bottom w:val="none" w:sz="0" w:space="0" w:color="auto"/>
                <w:right w:val="none" w:sz="0" w:space="0" w:color="auto"/>
              </w:divBdr>
            </w:div>
            <w:div w:id="1261568748">
              <w:marLeft w:val="0"/>
              <w:marRight w:val="0"/>
              <w:marTop w:val="0"/>
              <w:marBottom w:val="0"/>
              <w:divBdr>
                <w:top w:val="none" w:sz="0" w:space="0" w:color="auto"/>
                <w:left w:val="none" w:sz="0" w:space="0" w:color="auto"/>
                <w:bottom w:val="none" w:sz="0" w:space="0" w:color="auto"/>
                <w:right w:val="none" w:sz="0" w:space="0" w:color="auto"/>
              </w:divBdr>
            </w:div>
            <w:div w:id="1282347530">
              <w:marLeft w:val="0"/>
              <w:marRight w:val="0"/>
              <w:marTop w:val="0"/>
              <w:marBottom w:val="0"/>
              <w:divBdr>
                <w:top w:val="none" w:sz="0" w:space="0" w:color="auto"/>
                <w:left w:val="none" w:sz="0" w:space="0" w:color="auto"/>
                <w:bottom w:val="none" w:sz="0" w:space="0" w:color="auto"/>
                <w:right w:val="none" w:sz="0" w:space="0" w:color="auto"/>
              </w:divBdr>
            </w:div>
            <w:div w:id="1295141750">
              <w:marLeft w:val="0"/>
              <w:marRight w:val="0"/>
              <w:marTop w:val="0"/>
              <w:marBottom w:val="0"/>
              <w:divBdr>
                <w:top w:val="none" w:sz="0" w:space="0" w:color="auto"/>
                <w:left w:val="none" w:sz="0" w:space="0" w:color="auto"/>
                <w:bottom w:val="none" w:sz="0" w:space="0" w:color="auto"/>
                <w:right w:val="none" w:sz="0" w:space="0" w:color="auto"/>
              </w:divBdr>
            </w:div>
            <w:div w:id="1300962783">
              <w:marLeft w:val="0"/>
              <w:marRight w:val="0"/>
              <w:marTop w:val="0"/>
              <w:marBottom w:val="0"/>
              <w:divBdr>
                <w:top w:val="none" w:sz="0" w:space="0" w:color="auto"/>
                <w:left w:val="none" w:sz="0" w:space="0" w:color="auto"/>
                <w:bottom w:val="none" w:sz="0" w:space="0" w:color="auto"/>
                <w:right w:val="none" w:sz="0" w:space="0" w:color="auto"/>
              </w:divBdr>
            </w:div>
            <w:div w:id="1349407388">
              <w:marLeft w:val="0"/>
              <w:marRight w:val="0"/>
              <w:marTop w:val="0"/>
              <w:marBottom w:val="0"/>
              <w:divBdr>
                <w:top w:val="none" w:sz="0" w:space="0" w:color="auto"/>
                <w:left w:val="none" w:sz="0" w:space="0" w:color="auto"/>
                <w:bottom w:val="none" w:sz="0" w:space="0" w:color="auto"/>
                <w:right w:val="none" w:sz="0" w:space="0" w:color="auto"/>
              </w:divBdr>
            </w:div>
            <w:div w:id="1376346406">
              <w:marLeft w:val="0"/>
              <w:marRight w:val="0"/>
              <w:marTop w:val="0"/>
              <w:marBottom w:val="0"/>
              <w:divBdr>
                <w:top w:val="none" w:sz="0" w:space="0" w:color="auto"/>
                <w:left w:val="none" w:sz="0" w:space="0" w:color="auto"/>
                <w:bottom w:val="none" w:sz="0" w:space="0" w:color="auto"/>
                <w:right w:val="none" w:sz="0" w:space="0" w:color="auto"/>
              </w:divBdr>
            </w:div>
            <w:div w:id="1381512016">
              <w:marLeft w:val="0"/>
              <w:marRight w:val="0"/>
              <w:marTop w:val="0"/>
              <w:marBottom w:val="0"/>
              <w:divBdr>
                <w:top w:val="none" w:sz="0" w:space="0" w:color="auto"/>
                <w:left w:val="none" w:sz="0" w:space="0" w:color="auto"/>
                <w:bottom w:val="none" w:sz="0" w:space="0" w:color="auto"/>
                <w:right w:val="none" w:sz="0" w:space="0" w:color="auto"/>
              </w:divBdr>
            </w:div>
            <w:div w:id="1384518853">
              <w:marLeft w:val="0"/>
              <w:marRight w:val="0"/>
              <w:marTop w:val="0"/>
              <w:marBottom w:val="0"/>
              <w:divBdr>
                <w:top w:val="none" w:sz="0" w:space="0" w:color="auto"/>
                <w:left w:val="none" w:sz="0" w:space="0" w:color="auto"/>
                <w:bottom w:val="none" w:sz="0" w:space="0" w:color="auto"/>
                <w:right w:val="none" w:sz="0" w:space="0" w:color="auto"/>
              </w:divBdr>
            </w:div>
            <w:div w:id="1387922312">
              <w:marLeft w:val="0"/>
              <w:marRight w:val="0"/>
              <w:marTop w:val="0"/>
              <w:marBottom w:val="0"/>
              <w:divBdr>
                <w:top w:val="none" w:sz="0" w:space="0" w:color="auto"/>
                <w:left w:val="none" w:sz="0" w:space="0" w:color="auto"/>
                <w:bottom w:val="none" w:sz="0" w:space="0" w:color="auto"/>
                <w:right w:val="none" w:sz="0" w:space="0" w:color="auto"/>
              </w:divBdr>
            </w:div>
            <w:div w:id="1396201044">
              <w:marLeft w:val="0"/>
              <w:marRight w:val="0"/>
              <w:marTop w:val="0"/>
              <w:marBottom w:val="0"/>
              <w:divBdr>
                <w:top w:val="none" w:sz="0" w:space="0" w:color="auto"/>
                <w:left w:val="none" w:sz="0" w:space="0" w:color="auto"/>
                <w:bottom w:val="none" w:sz="0" w:space="0" w:color="auto"/>
                <w:right w:val="none" w:sz="0" w:space="0" w:color="auto"/>
              </w:divBdr>
            </w:div>
            <w:div w:id="1411151426">
              <w:marLeft w:val="0"/>
              <w:marRight w:val="0"/>
              <w:marTop w:val="0"/>
              <w:marBottom w:val="0"/>
              <w:divBdr>
                <w:top w:val="none" w:sz="0" w:space="0" w:color="auto"/>
                <w:left w:val="none" w:sz="0" w:space="0" w:color="auto"/>
                <w:bottom w:val="none" w:sz="0" w:space="0" w:color="auto"/>
                <w:right w:val="none" w:sz="0" w:space="0" w:color="auto"/>
              </w:divBdr>
            </w:div>
            <w:div w:id="1477186005">
              <w:marLeft w:val="0"/>
              <w:marRight w:val="0"/>
              <w:marTop w:val="0"/>
              <w:marBottom w:val="0"/>
              <w:divBdr>
                <w:top w:val="none" w:sz="0" w:space="0" w:color="auto"/>
                <w:left w:val="none" w:sz="0" w:space="0" w:color="auto"/>
                <w:bottom w:val="none" w:sz="0" w:space="0" w:color="auto"/>
                <w:right w:val="none" w:sz="0" w:space="0" w:color="auto"/>
              </w:divBdr>
            </w:div>
            <w:div w:id="1499468106">
              <w:marLeft w:val="0"/>
              <w:marRight w:val="0"/>
              <w:marTop w:val="0"/>
              <w:marBottom w:val="0"/>
              <w:divBdr>
                <w:top w:val="none" w:sz="0" w:space="0" w:color="auto"/>
                <w:left w:val="none" w:sz="0" w:space="0" w:color="auto"/>
                <w:bottom w:val="none" w:sz="0" w:space="0" w:color="auto"/>
                <w:right w:val="none" w:sz="0" w:space="0" w:color="auto"/>
              </w:divBdr>
            </w:div>
            <w:div w:id="1503398356">
              <w:marLeft w:val="0"/>
              <w:marRight w:val="0"/>
              <w:marTop w:val="0"/>
              <w:marBottom w:val="0"/>
              <w:divBdr>
                <w:top w:val="none" w:sz="0" w:space="0" w:color="auto"/>
                <w:left w:val="none" w:sz="0" w:space="0" w:color="auto"/>
                <w:bottom w:val="none" w:sz="0" w:space="0" w:color="auto"/>
                <w:right w:val="none" w:sz="0" w:space="0" w:color="auto"/>
              </w:divBdr>
            </w:div>
            <w:div w:id="1525555565">
              <w:marLeft w:val="0"/>
              <w:marRight w:val="0"/>
              <w:marTop w:val="0"/>
              <w:marBottom w:val="0"/>
              <w:divBdr>
                <w:top w:val="none" w:sz="0" w:space="0" w:color="auto"/>
                <w:left w:val="none" w:sz="0" w:space="0" w:color="auto"/>
                <w:bottom w:val="none" w:sz="0" w:space="0" w:color="auto"/>
                <w:right w:val="none" w:sz="0" w:space="0" w:color="auto"/>
              </w:divBdr>
            </w:div>
            <w:div w:id="1534146108">
              <w:marLeft w:val="0"/>
              <w:marRight w:val="0"/>
              <w:marTop w:val="0"/>
              <w:marBottom w:val="0"/>
              <w:divBdr>
                <w:top w:val="none" w:sz="0" w:space="0" w:color="auto"/>
                <w:left w:val="none" w:sz="0" w:space="0" w:color="auto"/>
                <w:bottom w:val="none" w:sz="0" w:space="0" w:color="auto"/>
                <w:right w:val="none" w:sz="0" w:space="0" w:color="auto"/>
              </w:divBdr>
            </w:div>
            <w:div w:id="1560895619">
              <w:marLeft w:val="0"/>
              <w:marRight w:val="0"/>
              <w:marTop w:val="0"/>
              <w:marBottom w:val="0"/>
              <w:divBdr>
                <w:top w:val="none" w:sz="0" w:space="0" w:color="auto"/>
                <w:left w:val="none" w:sz="0" w:space="0" w:color="auto"/>
                <w:bottom w:val="none" w:sz="0" w:space="0" w:color="auto"/>
                <w:right w:val="none" w:sz="0" w:space="0" w:color="auto"/>
              </w:divBdr>
            </w:div>
            <w:div w:id="1569075382">
              <w:marLeft w:val="0"/>
              <w:marRight w:val="0"/>
              <w:marTop w:val="0"/>
              <w:marBottom w:val="0"/>
              <w:divBdr>
                <w:top w:val="none" w:sz="0" w:space="0" w:color="auto"/>
                <w:left w:val="none" w:sz="0" w:space="0" w:color="auto"/>
                <w:bottom w:val="none" w:sz="0" w:space="0" w:color="auto"/>
                <w:right w:val="none" w:sz="0" w:space="0" w:color="auto"/>
              </w:divBdr>
            </w:div>
            <w:div w:id="1646205943">
              <w:marLeft w:val="0"/>
              <w:marRight w:val="0"/>
              <w:marTop w:val="0"/>
              <w:marBottom w:val="0"/>
              <w:divBdr>
                <w:top w:val="none" w:sz="0" w:space="0" w:color="auto"/>
                <w:left w:val="none" w:sz="0" w:space="0" w:color="auto"/>
                <w:bottom w:val="none" w:sz="0" w:space="0" w:color="auto"/>
                <w:right w:val="none" w:sz="0" w:space="0" w:color="auto"/>
              </w:divBdr>
            </w:div>
            <w:div w:id="1653869470">
              <w:marLeft w:val="0"/>
              <w:marRight w:val="0"/>
              <w:marTop w:val="0"/>
              <w:marBottom w:val="0"/>
              <w:divBdr>
                <w:top w:val="none" w:sz="0" w:space="0" w:color="auto"/>
                <w:left w:val="none" w:sz="0" w:space="0" w:color="auto"/>
                <w:bottom w:val="none" w:sz="0" w:space="0" w:color="auto"/>
                <w:right w:val="none" w:sz="0" w:space="0" w:color="auto"/>
              </w:divBdr>
            </w:div>
            <w:div w:id="1660503528">
              <w:marLeft w:val="0"/>
              <w:marRight w:val="0"/>
              <w:marTop w:val="0"/>
              <w:marBottom w:val="0"/>
              <w:divBdr>
                <w:top w:val="none" w:sz="0" w:space="0" w:color="auto"/>
                <w:left w:val="none" w:sz="0" w:space="0" w:color="auto"/>
                <w:bottom w:val="none" w:sz="0" w:space="0" w:color="auto"/>
                <w:right w:val="none" w:sz="0" w:space="0" w:color="auto"/>
              </w:divBdr>
            </w:div>
            <w:div w:id="1671983843">
              <w:marLeft w:val="0"/>
              <w:marRight w:val="0"/>
              <w:marTop w:val="0"/>
              <w:marBottom w:val="0"/>
              <w:divBdr>
                <w:top w:val="none" w:sz="0" w:space="0" w:color="auto"/>
                <w:left w:val="none" w:sz="0" w:space="0" w:color="auto"/>
                <w:bottom w:val="none" w:sz="0" w:space="0" w:color="auto"/>
                <w:right w:val="none" w:sz="0" w:space="0" w:color="auto"/>
              </w:divBdr>
            </w:div>
            <w:div w:id="1862237990">
              <w:marLeft w:val="0"/>
              <w:marRight w:val="0"/>
              <w:marTop w:val="0"/>
              <w:marBottom w:val="0"/>
              <w:divBdr>
                <w:top w:val="none" w:sz="0" w:space="0" w:color="auto"/>
                <w:left w:val="none" w:sz="0" w:space="0" w:color="auto"/>
                <w:bottom w:val="none" w:sz="0" w:space="0" w:color="auto"/>
                <w:right w:val="none" w:sz="0" w:space="0" w:color="auto"/>
              </w:divBdr>
            </w:div>
            <w:div w:id="1868449348">
              <w:marLeft w:val="0"/>
              <w:marRight w:val="0"/>
              <w:marTop w:val="0"/>
              <w:marBottom w:val="0"/>
              <w:divBdr>
                <w:top w:val="none" w:sz="0" w:space="0" w:color="auto"/>
                <w:left w:val="none" w:sz="0" w:space="0" w:color="auto"/>
                <w:bottom w:val="none" w:sz="0" w:space="0" w:color="auto"/>
                <w:right w:val="none" w:sz="0" w:space="0" w:color="auto"/>
              </w:divBdr>
            </w:div>
            <w:div w:id="1893075087">
              <w:marLeft w:val="0"/>
              <w:marRight w:val="0"/>
              <w:marTop w:val="0"/>
              <w:marBottom w:val="0"/>
              <w:divBdr>
                <w:top w:val="none" w:sz="0" w:space="0" w:color="auto"/>
                <w:left w:val="none" w:sz="0" w:space="0" w:color="auto"/>
                <w:bottom w:val="none" w:sz="0" w:space="0" w:color="auto"/>
                <w:right w:val="none" w:sz="0" w:space="0" w:color="auto"/>
              </w:divBdr>
            </w:div>
            <w:div w:id="1896431205">
              <w:marLeft w:val="0"/>
              <w:marRight w:val="0"/>
              <w:marTop w:val="0"/>
              <w:marBottom w:val="0"/>
              <w:divBdr>
                <w:top w:val="none" w:sz="0" w:space="0" w:color="auto"/>
                <w:left w:val="none" w:sz="0" w:space="0" w:color="auto"/>
                <w:bottom w:val="none" w:sz="0" w:space="0" w:color="auto"/>
                <w:right w:val="none" w:sz="0" w:space="0" w:color="auto"/>
              </w:divBdr>
            </w:div>
            <w:div w:id="1907449632">
              <w:marLeft w:val="0"/>
              <w:marRight w:val="0"/>
              <w:marTop w:val="0"/>
              <w:marBottom w:val="0"/>
              <w:divBdr>
                <w:top w:val="none" w:sz="0" w:space="0" w:color="auto"/>
                <w:left w:val="none" w:sz="0" w:space="0" w:color="auto"/>
                <w:bottom w:val="none" w:sz="0" w:space="0" w:color="auto"/>
                <w:right w:val="none" w:sz="0" w:space="0" w:color="auto"/>
              </w:divBdr>
            </w:div>
            <w:div w:id="1944610357">
              <w:marLeft w:val="0"/>
              <w:marRight w:val="0"/>
              <w:marTop w:val="0"/>
              <w:marBottom w:val="0"/>
              <w:divBdr>
                <w:top w:val="none" w:sz="0" w:space="0" w:color="auto"/>
                <w:left w:val="none" w:sz="0" w:space="0" w:color="auto"/>
                <w:bottom w:val="none" w:sz="0" w:space="0" w:color="auto"/>
                <w:right w:val="none" w:sz="0" w:space="0" w:color="auto"/>
              </w:divBdr>
            </w:div>
            <w:div w:id="1944649864">
              <w:marLeft w:val="0"/>
              <w:marRight w:val="0"/>
              <w:marTop w:val="0"/>
              <w:marBottom w:val="0"/>
              <w:divBdr>
                <w:top w:val="none" w:sz="0" w:space="0" w:color="auto"/>
                <w:left w:val="none" w:sz="0" w:space="0" w:color="auto"/>
                <w:bottom w:val="none" w:sz="0" w:space="0" w:color="auto"/>
                <w:right w:val="none" w:sz="0" w:space="0" w:color="auto"/>
              </w:divBdr>
            </w:div>
            <w:div w:id="1951815865">
              <w:marLeft w:val="0"/>
              <w:marRight w:val="0"/>
              <w:marTop w:val="0"/>
              <w:marBottom w:val="0"/>
              <w:divBdr>
                <w:top w:val="none" w:sz="0" w:space="0" w:color="auto"/>
                <w:left w:val="none" w:sz="0" w:space="0" w:color="auto"/>
                <w:bottom w:val="none" w:sz="0" w:space="0" w:color="auto"/>
                <w:right w:val="none" w:sz="0" w:space="0" w:color="auto"/>
              </w:divBdr>
            </w:div>
            <w:div w:id="1951938099">
              <w:marLeft w:val="0"/>
              <w:marRight w:val="0"/>
              <w:marTop w:val="0"/>
              <w:marBottom w:val="0"/>
              <w:divBdr>
                <w:top w:val="none" w:sz="0" w:space="0" w:color="auto"/>
                <w:left w:val="none" w:sz="0" w:space="0" w:color="auto"/>
                <w:bottom w:val="none" w:sz="0" w:space="0" w:color="auto"/>
                <w:right w:val="none" w:sz="0" w:space="0" w:color="auto"/>
              </w:divBdr>
            </w:div>
            <w:div w:id="1991598174">
              <w:marLeft w:val="0"/>
              <w:marRight w:val="0"/>
              <w:marTop w:val="0"/>
              <w:marBottom w:val="0"/>
              <w:divBdr>
                <w:top w:val="none" w:sz="0" w:space="0" w:color="auto"/>
                <w:left w:val="none" w:sz="0" w:space="0" w:color="auto"/>
                <w:bottom w:val="none" w:sz="0" w:space="0" w:color="auto"/>
                <w:right w:val="none" w:sz="0" w:space="0" w:color="auto"/>
              </w:divBdr>
            </w:div>
            <w:div w:id="2036534895">
              <w:marLeft w:val="0"/>
              <w:marRight w:val="0"/>
              <w:marTop w:val="0"/>
              <w:marBottom w:val="0"/>
              <w:divBdr>
                <w:top w:val="none" w:sz="0" w:space="0" w:color="auto"/>
                <w:left w:val="none" w:sz="0" w:space="0" w:color="auto"/>
                <w:bottom w:val="none" w:sz="0" w:space="0" w:color="auto"/>
                <w:right w:val="none" w:sz="0" w:space="0" w:color="auto"/>
              </w:divBdr>
            </w:div>
            <w:div w:id="2099911276">
              <w:marLeft w:val="0"/>
              <w:marRight w:val="0"/>
              <w:marTop w:val="0"/>
              <w:marBottom w:val="0"/>
              <w:divBdr>
                <w:top w:val="none" w:sz="0" w:space="0" w:color="auto"/>
                <w:left w:val="none" w:sz="0" w:space="0" w:color="auto"/>
                <w:bottom w:val="none" w:sz="0" w:space="0" w:color="auto"/>
                <w:right w:val="none" w:sz="0" w:space="0" w:color="auto"/>
              </w:divBdr>
            </w:div>
            <w:div w:id="2116706394">
              <w:marLeft w:val="0"/>
              <w:marRight w:val="0"/>
              <w:marTop w:val="0"/>
              <w:marBottom w:val="0"/>
              <w:divBdr>
                <w:top w:val="none" w:sz="0" w:space="0" w:color="auto"/>
                <w:left w:val="none" w:sz="0" w:space="0" w:color="auto"/>
                <w:bottom w:val="none" w:sz="0" w:space="0" w:color="auto"/>
                <w:right w:val="none" w:sz="0" w:space="0" w:color="auto"/>
              </w:divBdr>
            </w:div>
            <w:div w:id="21193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7577">
      <w:bodyDiv w:val="1"/>
      <w:marLeft w:val="0"/>
      <w:marRight w:val="0"/>
      <w:marTop w:val="0"/>
      <w:marBottom w:val="0"/>
      <w:divBdr>
        <w:top w:val="none" w:sz="0" w:space="0" w:color="auto"/>
        <w:left w:val="none" w:sz="0" w:space="0" w:color="auto"/>
        <w:bottom w:val="none" w:sz="0" w:space="0" w:color="auto"/>
        <w:right w:val="none" w:sz="0" w:space="0" w:color="auto"/>
      </w:divBdr>
    </w:div>
    <w:div w:id="2117676068">
      <w:bodyDiv w:val="1"/>
      <w:marLeft w:val="0"/>
      <w:marRight w:val="0"/>
      <w:marTop w:val="0"/>
      <w:marBottom w:val="0"/>
      <w:divBdr>
        <w:top w:val="none" w:sz="0" w:space="0" w:color="auto"/>
        <w:left w:val="none" w:sz="0" w:space="0" w:color="auto"/>
        <w:bottom w:val="none" w:sz="0" w:space="0" w:color="auto"/>
        <w:right w:val="none" w:sz="0" w:space="0" w:color="auto"/>
      </w:divBdr>
    </w:div>
    <w:div w:id="2118137508">
      <w:bodyDiv w:val="1"/>
      <w:marLeft w:val="0"/>
      <w:marRight w:val="0"/>
      <w:marTop w:val="0"/>
      <w:marBottom w:val="0"/>
      <w:divBdr>
        <w:top w:val="none" w:sz="0" w:space="0" w:color="auto"/>
        <w:left w:val="none" w:sz="0" w:space="0" w:color="auto"/>
        <w:bottom w:val="none" w:sz="0" w:space="0" w:color="auto"/>
        <w:right w:val="none" w:sz="0" w:space="0" w:color="auto"/>
      </w:divBdr>
      <w:divsChild>
        <w:div w:id="11304180">
          <w:marLeft w:val="0"/>
          <w:marRight w:val="0"/>
          <w:marTop w:val="0"/>
          <w:marBottom w:val="0"/>
          <w:divBdr>
            <w:top w:val="none" w:sz="0" w:space="0" w:color="auto"/>
            <w:left w:val="none" w:sz="0" w:space="0" w:color="auto"/>
            <w:bottom w:val="none" w:sz="0" w:space="0" w:color="auto"/>
            <w:right w:val="none" w:sz="0" w:space="0" w:color="auto"/>
          </w:divBdr>
        </w:div>
        <w:div w:id="143081775">
          <w:marLeft w:val="0"/>
          <w:marRight w:val="0"/>
          <w:marTop w:val="0"/>
          <w:marBottom w:val="0"/>
          <w:divBdr>
            <w:top w:val="none" w:sz="0" w:space="0" w:color="auto"/>
            <w:left w:val="none" w:sz="0" w:space="0" w:color="auto"/>
            <w:bottom w:val="none" w:sz="0" w:space="0" w:color="auto"/>
            <w:right w:val="none" w:sz="0" w:space="0" w:color="auto"/>
          </w:divBdr>
        </w:div>
        <w:div w:id="201327734">
          <w:marLeft w:val="0"/>
          <w:marRight w:val="0"/>
          <w:marTop w:val="0"/>
          <w:marBottom w:val="0"/>
          <w:divBdr>
            <w:top w:val="none" w:sz="0" w:space="0" w:color="auto"/>
            <w:left w:val="none" w:sz="0" w:space="0" w:color="auto"/>
            <w:bottom w:val="none" w:sz="0" w:space="0" w:color="auto"/>
            <w:right w:val="none" w:sz="0" w:space="0" w:color="auto"/>
          </w:divBdr>
        </w:div>
        <w:div w:id="236981500">
          <w:marLeft w:val="0"/>
          <w:marRight w:val="0"/>
          <w:marTop w:val="0"/>
          <w:marBottom w:val="0"/>
          <w:divBdr>
            <w:top w:val="none" w:sz="0" w:space="0" w:color="auto"/>
            <w:left w:val="none" w:sz="0" w:space="0" w:color="auto"/>
            <w:bottom w:val="none" w:sz="0" w:space="0" w:color="auto"/>
            <w:right w:val="none" w:sz="0" w:space="0" w:color="auto"/>
          </w:divBdr>
        </w:div>
        <w:div w:id="273827816">
          <w:marLeft w:val="0"/>
          <w:marRight w:val="0"/>
          <w:marTop w:val="0"/>
          <w:marBottom w:val="0"/>
          <w:divBdr>
            <w:top w:val="none" w:sz="0" w:space="0" w:color="auto"/>
            <w:left w:val="none" w:sz="0" w:space="0" w:color="auto"/>
            <w:bottom w:val="none" w:sz="0" w:space="0" w:color="auto"/>
            <w:right w:val="none" w:sz="0" w:space="0" w:color="auto"/>
          </w:divBdr>
        </w:div>
        <w:div w:id="301157515">
          <w:marLeft w:val="0"/>
          <w:marRight w:val="0"/>
          <w:marTop w:val="0"/>
          <w:marBottom w:val="0"/>
          <w:divBdr>
            <w:top w:val="none" w:sz="0" w:space="0" w:color="auto"/>
            <w:left w:val="none" w:sz="0" w:space="0" w:color="auto"/>
            <w:bottom w:val="none" w:sz="0" w:space="0" w:color="auto"/>
            <w:right w:val="none" w:sz="0" w:space="0" w:color="auto"/>
          </w:divBdr>
        </w:div>
        <w:div w:id="334067642">
          <w:marLeft w:val="0"/>
          <w:marRight w:val="0"/>
          <w:marTop w:val="0"/>
          <w:marBottom w:val="0"/>
          <w:divBdr>
            <w:top w:val="none" w:sz="0" w:space="0" w:color="auto"/>
            <w:left w:val="none" w:sz="0" w:space="0" w:color="auto"/>
            <w:bottom w:val="none" w:sz="0" w:space="0" w:color="auto"/>
            <w:right w:val="none" w:sz="0" w:space="0" w:color="auto"/>
          </w:divBdr>
        </w:div>
        <w:div w:id="382019164">
          <w:marLeft w:val="0"/>
          <w:marRight w:val="0"/>
          <w:marTop w:val="0"/>
          <w:marBottom w:val="0"/>
          <w:divBdr>
            <w:top w:val="none" w:sz="0" w:space="0" w:color="auto"/>
            <w:left w:val="none" w:sz="0" w:space="0" w:color="auto"/>
            <w:bottom w:val="none" w:sz="0" w:space="0" w:color="auto"/>
            <w:right w:val="none" w:sz="0" w:space="0" w:color="auto"/>
          </w:divBdr>
        </w:div>
        <w:div w:id="401608809">
          <w:marLeft w:val="0"/>
          <w:marRight w:val="0"/>
          <w:marTop w:val="0"/>
          <w:marBottom w:val="0"/>
          <w:divBdr>
            <w:top w:val="none" w:sz="0" w:space="0" w:color="auto"/>
            <w:left w:val="none" w:sz="0" w:space="0" w:color="auto"/>
            <w:bottom w:val="none" w:sz="0" w:space="0" w:color="auto"/>
            <w:right w:val="none" w:sz="0" w:space="0" w:color="auto"/>
          </w:divBdr>
        </w:div>
        <w:div w:id="511990545">
          <w:marLeft w:val="0"/>
          <w:marRight w:val="0"/>
          <w:marTop w:val="0"/>
          <w:marBottom w:val="0"/>
          <w:divBdr>
            <w:top w:val="none" w:sz="0" w:space="0" w:color="auto"/>
            <w:left w:val="none" w:sz="0" w:space="0" w:color="auto"/>
            <w:bottom w:val="none" w:sz="0" w:space="0" w:color="auto"/>
            <w:right w:val="none" w:sz="0" w:space="0" w:color="auto"/>
          </w:divBdr>
        </w:div>
        <w:div w:id="522331267">
          <w:marLeft w:val="0"/>
          <w:marRight w:val="0"/>
          <w:marTop w:val="0"/>
          <w:marBottom w:val="0"/>
          <w:divBdr>
            <w:top w:val="none" w:sz="0" w:space="0" w:color="auto"/>
            <w:left w:val="none" w:sz="0" w:space="0" w:color="auto"/>
            <w:bottom w:val="none" w:sz="0" w:space="0" w:color="auto"/>
            <w:right w:val="none" w:sz="0" w:space="0" w:color="auto"/>
          </w:divBdr>
        </w:div>
        <w:div w:id="556625192">
          <w:marLeft w:val="0"/>
          <w:marRight w:val="0"/>
          <w:marTop w:val="0"/>
          <w:marBottom w:val="0"/>
          <w:divBdr>
            <w:top w:val="none" w:sz="0" w:space="0" w:color="auto"/>
            <w:left w:val="none" w:sz="0" w:space="0" w:color="auto"/>
            <w:bottom w:val="none" w:sz="0" w:space="0" w:color="auto"/>
            <w:right w:val="none" w:sz="0" w:space="0" w:color="auto"/>
          </w:divBdr>
        </w:div>
        <w:div w:id="594678909">
          <w:marLeft w:val="0"/>
          <w:marRight w:val="0"/>
          <w:marTop w:val="0"/>
          <w:marBottom w:val="0"/>
          <w:divBdr>
            <w:top w:val="none" w:sz="0" w:space="0" w:color="auto"/>
            <w:left w:val="none" w:sz="0" w:space="0" w:color="auto"/>
            <w:bottom w:val="none" w:sz="0" w:space="0" w:color="auto"/>
            <w:right w:val="none" w:sz="0" w:space="0" w:color="auto"/>
          </w:divBdr>
        </w:div>
        <w:div w:id="635837099">
          <w:marLeft w:val="0"/>
          <w:marRight w:val="0"/>
          <w:marTop w:val="0"/>
          <w:marBottom w:val="0"/>
          <w:divBdr>
            <w:top w:val="none" w:sz="0" w:space="0" w:color="auto"/>
            <w:left w:val="none" w:sz="0" w:space="0" w:color="auto"/>
            <w:bottom w:val="none" w:sz="0" w:space="0" w:color="auto"/>
            <w:right w:val="none" w:sz="0" w:space="0" w:color="auto"/>
          </w:divBdr>
        </w:div>
        <w:div w:id="707678335">
          <w:marLeft w:val="0"/>
          <w:marRight w:val="0"/>
          <w:marTop w:val="0"/>
          <w:marBottom w:val="0"/>
          <w:divBdr>
            <w:top w:val="none" w:sz="0" w:space="0" w:color="auto"/>
            <w:left w:val="none" w:sz="0" w:space="0" w:color="auto"/>
            <w:bottom w:val="none" w:sz="0" w:space="0" w:color="auto"/>
            <w:right w:val="none" w:sz="0" w:space="0" w:color="auto"/>
          </w:divBdr>
        </w:div>
        <w:div w:id="722287478">
          <w:marLeft w:val="0"/>
          <w:marRight w:val="0"/>
          <w:marTop w:val="0"/>
          <w:marBottom w:val="0"/>
          <w:divBdr>
            <w:top w:val="none" w:sz="0" w:space="0" w:color="auto"/>
            <w:left w:val="none" w:sz="0" w:space="0" w:color="auto"/>
            <w:bottom w:val="none" w:sz="0" w:space="0" w:color="auto"/>
            <w:right w:val="none" w:sz="0" w:space="0" w:color="auto"/>
          </w:divBdr>
        </w:div>
        <w:div w:id="736392745">
          <w:marLeft w:val="0"/>
          <w:marRight w:val="0"/>
          <w:marTop w:val="0"/>
          <w:marBottom w:val="0"/>
          <w:divBdr>
            <w:top w:val="none" w:sz="0" w:space="0" w:color="auto"/>
            <w:left w:val="none" w:sz="0" w:space="0" w:color="auto"/>
            <w:bottom w:val="none" w:sz="0" w:space="0" w:color="auto"/>
            <w:right w:val="none" w:sz="0" w:space="0" w:color="auto"/>
          </w:divBdr>
        </w:div>
        <w:div w:id="883521597">
          <w:marLeft w:val="0"/>
          <w:marRight w:val="0"/>
          <w:marTop w:val="0"/>
          <w:marBottom w:val="0"/>
          <w:divBdr>
            <w:top w:val="none" w:sz="0" w:space="0" w:color="auto"/>
            <w:left w:val="none" w:sz="0" w:space="0" w:color="auto"/>
            <w:bottom w:val="none" w:sz="0" w:space="0" w:color="auto"/>
            <w:right w:val="none" w:sz="0" w:space="0" w:color="auto"/>
          </w:divBdr>
        </w:div>
        <w:div w:id="912197705">
          <w:marLeft w:val="0"/>
          <w:marRight w:val="0"/>
          <w:marTop w:val="0"/>
          <w:marBottom w:val="0"/>
          <w:divBdr>
            <w:top w:val="none" w:sz="0" w:space="0" w:color="auto"/>
            <w:left w:val="none" w:sz="0" w:space="0" w:color="auto"/>
            <w:bottom w:val="none" w:sz="0" w:space="0" w:color="auto"/>
            <w:right w:val="none" w:sz="0" w:space="0" w:color="auto"/>
          </w:divBdr>
        </w:div>
        <w:div w:id="919218882">
          <w:marLeft w:val="0"/>
          <w:marRight w:val="0"/>
          <w:marTop w:val="0"/>
          <w:marBottom w:val="0"/>
          <w:divBdr>
            <w:top w:val="none" w:sz="0" w:space="0" w:color="auto"/>
            <w:left w:val="none" w:sz="0" w:space="0" w:color="auto"/>
            <w:bottom w:val="none" w:sz="0" w:space="0" w:color="auto"/>
            <w:right w:val="none" w:sz="0" w:space="0" w:color="auto"/>
          </w:divBdr>
        </w:div>
        <w:div w:id="958027491">
          <w:marLeft w:val="0"/>
          <w:marRight w:val="0"/>
          <w:marTop w:val="0"/>
          <w:marBottom w:val="0"/>
          <w:divBdr>
            <w:top w:val="none" w:sz="0" w:space="0" w:color="auto"/>
            <w:left w:val="none" w:sz="0" w:space="0" w:color="auto"/>
            <w:bottom w:val="none" w:sz="0" w:space="0" w:color="auto"/>
            <w:right w:val="none" w:sz="0" w:space="0" w:color="auto"/>
          </w:divBdr>
        </w:div>
        <w:div w:id="967316384">
          <w:marLeft w:val="0"/>
          <w:marRight w:val="0"/>
          <w:marTop w:val="0"/>
          <w:marBottom w:val="0"/>
          <w:divBdr>
            <w:top w:val="none" w:sz="0" w:space="0" w:color="auto"/>
            <w:left w:val="none" w:sz="0" w:space="0" w:color="auto"/>
            <w:bottom w:val="none" w:sz="0" w:space="0" w:color="auto"/>
            <w:right w:val="none" w:sz="0" w:space="0" w:color="auto"/>
          </w:divBdr>
        </w:div>
        <w:div w:id="974139948">
          <w:marLeft w:val="0"/>
          <w:marRight w:val="0"/>
          <w:marTop w:val="0"/>
          <w:marBottom w:val="0"/>
          <w:divBdr>
            <w:top w:val="none" w:sz="0" w:space="0" w:color="auto"/>
            <w:left w:val="none" w:sz="0" w:space="0" w:color="auto"/>
            <w:bottom w:val="none" w:sz="0" w:space="0" w:color="auto"/>
            <w:right w:val="none" w:sz="0" w:space="0" w:color="auto"/>
          </w:divBdr>
        </w:div>
        <w:div w:id="992412631">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
        <w:div w:id="1052653252">
          <w:marLeft w:val="0"/>
          <w:marRight w:val="0"/>
          <w:marTop w:val="0"/>
          <w:marBottom w:val="0"/>
          <w:divBdr>
            <w:top w:val="none" w:sz="0" w:space="0" w:color="auto"/>
            <w:left w:val="none" w:sz="0" w:space="0" w:color="auto"/>
            <w:bottom w:val="none" w:sz="0" w:space="0" w:color="auto"/>
            <w:right w:val="none" w:sz="0" w:space="0" w:color="auto"/>
          </w:divBdr>
        </w:div>
        <w:div w:id="1056929893">
          <w:marLeft w:val="0"/>
          <w:marRight w:val="0"/>
          <w:marTop w:val="0"/>
          <w:marBottom w:val="0"/>
          <w:divBdr>
            <w:top w:val="none" w:sz="0" w:space="0" w:color="auto"/>
            <w:left w:val="none" w:sz="0" w:space="0" w:color="auto"/>
            <w:bottom w:val="none" w:sz="0" w:space="0" w:color="auto"/>
            <w:right w:val="none" w:sz="0" w:space="0" w:color="auto"/>
          </w:divBdr>
        </w:div>
        <w:div w:id="1092241653">
          <w:marLeft w:val="0"/>
          <w:marRight w:val="0"/>
          <w:marTop w:val="0"/>
          <w:marBottom w:val="0"/>
          <w:divBdr>
            <w:top w:val="none" w:sz="0" w:space="0" w:color="auto"/>
            <w:left w:val="none" w:sz="0" w:space="0" w:color="auto"/>
            <w:bottom w:val="none" w:sz="0" w:space="0" w:color="auto"/>
            <w:right w:val="none" w:sz="0" w:space="0" w:color="auto"/>
          </w:divBdr>
        </w:div>
        <w:div w:id="1105154798">
          <w:marLeft w:val="0"/>
          <w:marRight w:val="0"/>
          <w:marTop w:val="0"/>
          <w:marBottom w:val="0"/>
          <w:divBdr>
            <w:top w:val="none" w:sz="0" w:space="0" w:color="auto"/>
            <w:left w:val="none" w:sz="0" w:space="0" w:color="auto"/>
            <w:bottom w:val="none" w:sz="0" w:space="0" w:color="auto"/>
            <w:right w:val="none" w:sz="0" w:space="0" w:color="auto"/>
          </w:divBdr>
        </w:div>
        <w:div w:id="1124301391">
          <w:marLeft w:val="0"/>
          <w:marRight w:val="0"/>
          <w:marTop w:val="0"/>
          <w:marBottom w:val="0"/>
          <w:divBdr>
            <w:top w:val="none" w:sz="0" w:space="0" w:color="auto"/>
            <w:left w:val="none" w:sz="0" w:space="0" w:color="auto"/>
            <w:bottom w:val="none" w:sz="0" w:space="0" w:color="auto"/>
            <w:right w:val="none" w:sz="0" w:space="0" w:color="auto"/>
          </w:divBdr>
        </w:div>
        <w:div w:id="1174491978">
          <w:marLeft w:val="0"/>
          <w:marRight w:val="0"/>
          <w:marTop w:val="0"/>
          <w:marBottom w:val="0"/>
          <w:divBdr>
            <w:top w:val="none" w:sz="0" w:space="0" w:color="auto"/>
            <w:left w:val="none" w:sz="0" w:space="0" w:color="auto"/>
            <w:bottom w:val="none" w:sz="0" w:space="0" w:color="auto"/>
            <w:right w:val="none" w:sz="0" w:space="0" w:color="auto"/>
          </w:divBdr>
        </w:div>
        <w:div w:id="1189022626">
          <w:marLeft w:val="0"/>
          <w:marRight w:val="0"/>
          <w:marTop w:val="0"/>
          <w:marBottom w:val="0"/>
          <w:divBdr>
            <w:top w:val="none" w:sz="0" w:space="0" w:color="auto"/>
            <w:left w:val="none" w:sz="0" w:space="0" w:color="auto"/>
            <w:bottom w:val="none" w:sz="0" w:space="0" w:color="auto"/>
            <w:right w:val="none" w:sz="0" w:space="0" w:color="auto"/>
          </w:divBdr>
        </w:div>
        <w:div w:id="1200122329">
          <w:marLeft w:val="0"/>
          <w:marRight w:val="0"/>
          <w:marTop w:val="0"/>
          <w:marBottom w:val="0"/>
          <w:divBdr>
            <w:top w:val="none" w:sz="0" w:space="0" w:color="auto"/>
            <w:left w:val="none" w:sz="0" w:space="0" w:color="auto"/>
            <w:bottom w:val="none" w:sz="0" w:space="0" w:color="auto"/>
            <w:right w:val="none" w:sz="0" w:space="0" w:color="auto"/>
          </w:divBdr>
        </w:div>
        <w:div w:id="1273904851">
          <w:marLeft w:val="0"/>
          <w:marRight w:val="0"/>
          <w:marTop w:val="0"/>
          <w:marBottom w:val="0"/>
          <w:divBdr>
            <w:top w:val="none" w:sz="0" w:space="0" w:color="auto"/>
            <w:left w:val="none" w:sz="0" w:space="0" w:color="auto"/>
            <w:bottom w:val="none" w:sz="0" w:space="0" w:color="auto"/>
            <w:right w:val="none" w:sz="0" w:space="0" w:color="auto"/>
          </w:divBdr>
        </w:div>
        <w:div w:id="1283267731">
          <w:marLeft w:val="0"/>
          <w:marRight w:val="0"/>
          <w:marTop w:val="0"/>
          <w:marBottom w:val="0"/>
          <w:divBdr>
            <w:top w:val="none" w:sz="0" w:space="0" w:color="auto"/>
            <w:left w:val="none" w:sz="0" w:space="0" w:color="auto"/>
            <w:bottom w:val="none" w:sz="0" w:space="0" w:color="auto"/>
            <w:right w:val="none" w:sz="0" w:space="0" w:color="auto"/>
          </w:divBdr>
        </w:div>
        <w:div w:id="1387333106">
          <w:marLeft w:val="0"/>
          <w:marRight w:val="0"/>
          <w:marTop w:val="0"/>
          <w:marBottom w:val="0"/>
          <w:divBdr>
            <w:top w:val="none" w:sz="0" w:space="0" w:color="auto"/>
            <w:left w:val="none" w:sz="0" w:space="0" w:color="auto"/>
            <w:bottom w:val="none" w:sz="0" w:space="0" w:color="auto"/>
            <w:right w:val="none" w:sz="0" w:space="0" w:color="auto"/>
          </w:divBdr>
        </w:div>
        <w:div w:id="1448040790">
          <w:marLeft w:val="0"/>
          <w:marRight w:val="0"/>
          <w:marTop w:val="0"/>
          <w:marBottom w:val="0"/>
          <w:divBdr>
            <w:top w:val="none" w:sz="0" w:space="0" w:color="auto"/>
            <w:left w:val="none" w:sz="0" w:space="0" w:color="auto"/>
            <w:bottom w:val="none" w:sz="0" w:space="0" w:color="auto"/>
            <w:right w:val="none" w:sz="0" w:space="0" w:color="auto"/>
          </w:divBdr>
        </w:div>
        <w:div w:id="1511487689">
          <w:marLeft w:val="0"/>
          <w:marRight w:val="0"/>
          <w:marTop w:val="0"/>
          <w:marBottom w:val="0"/>
          <w:divBdr>
            <w:top w:val="none" w:sz="0" w:space="0" w:color="auto"/>
            <w:left w:val="none" w:sz="0" w:space="0" w:color="auto"/>
            <w:bottom w:val="none" w:sz="0" w:space="0" w:color="auto"/>
            <w:right w:val="none" w:sz="0" w:space="0" w:color="auto"/>
          </w:divBdr>
        </w:div>
        <w:div w:id="1541361922">
          <w:marLeft w:val="0"/>
          <w:marRight w:val="0"/>
          <w:marTop w:val="0"/>
          <w:marBottom w:val="0"/>
          <w:divBdr>
            <w:top w:val="none" w:sz="0" w:space="0" w:color="auto"/>
            <w:left w:val="none" w:sz="0" w:space="0" w:color="auto"/>
            <w:bottom w:val="none" w:sz="0" w:space="0" w:color="auto"/>
            <w:right w:val="none" w:sz="0" w:space="0" w:color="auto"/>
          </w:divBdr>
        </w:div>
        <w:div w:id="1568298215">
          <w:marLeft w:val="0"/>
          <w:marRight w:val="0"/>
          <w:marTop w:val="0"/>
          <w:marBottom w:val="0"/>
          <w:divBdr>
            <w:top w:val="none" w:sz="0" w:space="0" w:color="auto"/>
            <w:left w:val="none" w:sz="0" w:space="0" w:color="auto"/>
            <w:bottom w:val="none" w:sz="0" w:space="0" w:color="auto"/>
            <w:right w:val="none" w:sz="0" w:space="0" w:color="auto"/>
          </w:divBdr>
        </w:div>
        <w:div w:id="1599749725">
          <w:marLeft w:val="0"/>
          <w:marRight w:val="0"/>
          <w:marTop w:val="0"/>
          <w:marBottom w:val="0"/>
          <w:divBdr>
            <w:top w:val="none" w:sz="0" w:space="0" w:color="auto"/>
            <w:left w:val="none" w:sz="0" w:space="0" w:color="auto"/>
            <w:bottom w:val="none" w:sz="0" w:space="0" w:color="auto"/>
            <w:right w:val="none" w:sz="0" w:space="0" w:color="auto"/>
          </w:divBdr>
        </w:div>
        <w:div w:id="1652445882">
          <w:marLeft w:val="0"/>
          <w:marRight w:val="0"/>
          <w:marTop w:val="0"/>
          <w:marBottom w:val="0"/>
          <w:divBdr>
            <w:top w:val="none" w:sz="0" w:space="0" w:color="auto"/>
            <w:left w:val="none" w:sz="0" w:space="0" w:color="auto"/>
            <w:bottom w:val="none" w:sz="0" w:space="0" w:color="auto"/>
            <w:right w:val="none" w:sz="0" w:space="0" w:color="auto"/>
          </w:divBdr>
        </w:div>
        <w:div w:id="1684698865">
          <w:marLeft w:val="0"/>
          <w:marRight w:val="0"/>
          <w:marTop w:val="0"/>
          <w:marBottom w:val="0"/>
          <w:divBdr>
            <w:top w:val="none" w:sz="0" w:space="0" w:color="auto"/>
            <w:left w:val="none" w:sz="0" w:space="0" w:color="auto"/>
            <w:bottom w:val="none" w:sz="0" w:space="0" w:color="auto"/>
            <w:right w:val="none" w:sz="0" w:space="0" w:color="auto"/>
          </w:divBdr>
        </w:div>
        <w:div w:id="1787507770">
          <w:marLeft w:val="0"/>
          <w:marRight w:val="0"/>
          <w:marTop w:val="0"/>
          <w:marBottom w:val="0"/>
          <w:divBdr>
            <w:top w:val="none" w:sz="0" w:space="0" w:color="auto"/>
            <w:left w:val="none" w:sz="0" w:space="0" w:color="auto"/>
            <w:bottom w:val="none" w:sz="0" w:space="0" w:color="auto"/>
            <w:right w:val="none" w:sz="0" w:space="0" w:color="auto"/>
          </w:divBdr>
        </w:div>
        <w:div w:id="1790274226">
          <w:marLeft w:val="0"/>
          <w:marRight w:val="0"/>
          <w:marTop w:val="0"/>
          <w:marBottom w:val="0"/>
          <w:divBdr>
            <w:top w:val="none" w:sz="0" w:space="0" w:color="auto"/>
            <w:left w:val="none" w:sz="0" w:space="0" w:color="auto"/>
            <w:bottom w:val="none" w:sz="0" w:space="0" w:color="auto"/>
            <w:right w:val="none" w:sz="0" w:space="0" w:color="auto"/>
          </w:divBdr>
        </w:div>
        <w:div w:id="1845168464">
          <w:marLeft w:val="0"/>
          <w:marRight w:val="0"/>
          <w:marTop w:val="0"/>
          <w:marBottom w:val="0"/>
          <w:divBdr>
            <w:top w:val="none" w:sz="0" w:space="0" w:color="auto"/>
            <w:left w:val="none" w:sz="0" w:space="0" w:color="auto"/>
            <w:bottom w:val="none" w:sz="0" w:space="0" w:color="auto"/>
            <w:right w:val="none" w:sz="0" w:space="0" w:color="auto"/>
          </w:divBdr>
        </w:div>
        <w:div w:id="1860384562">
          <w:marLeft w:val="0"/>
          <w:marRight w:val="0"/>
          <w:marTop w:val="0"/>
          <w:marBottom w:val="0"/>
          <w:divBdr>
            <w:top w:val="none" w:sz="0" w:space="0" w:color="auto"/>
            <w:left w:val="none" w:sz="0" w:space="0" w:color="auto"/>
            <w:bottom w:val="none" w:sz="0" w:space="0" w:color="auto"/>
            <w:right w:val="none" w:sz="0" w:space="0" w:color="auto"/>
          </w:divBdr>
        </w:div>
        <w:div w:id="1864660859">
          <w:marLeft w:val="0"/>
          <w:marRight w:val="0"/>
          <w:marTop w:val="0"/>
          <w:marBottom w:val="0"/>
          <w:divBdr>
            <w:top w:val="none" w:sz="0" w:space="0" w:color="auto"/>
            <w:left w:val="none" w:sz="0" w:space="0" w:color="auto"/>
            <w:bottom w:val="none" w:sz="0" w:space="0" w:color="auto"/>
            <w:right w:val="none" w:sz="0" w:space="0" w:color="auto"/>
          </w:divBdr>
        </w:div>
        <w:div w:id="1935167581">
          <w:marLeft w:val="0"/>
          <w:marRight w:val="0"/>
          <w:marTop w:val="0"/>
          <w:marBottom w:val="0"/>
          <w:divBdr>
            <w:top w:val="none" w:sz="0" w:space="0" w:color="auto"/>
            <w:left w:val="none" w:sz="0" w:space="0" w:color="auto"/>
            <w:bottom w:val="none" w:sz="0" w:space="0" w:color="auto"/>
            <w:right w:val="none" w:sz="0" w:space="0" w:color="auto"/>
          </w:divBdr>
        </w:div>
        <w:div w:id="1969120333">
          <w:marLeft w:val="0"/>
          <w:marRight w:val="0"/>
          <w:marTop w:val="0"/>
          <w:marBottom w:val="0"/>
          <w:divBdr>
            <w:top w:val="none" w:sz="0" w:space="0" w:color="auto"/>
            <w:left w:val="none" w:sz="0" w:space="0" w:color="auto"/>
            <w:bottom w:val="none" w:sz="0" w:space="0" w:color="auto"/>
            <w:right w:val="none" w:sz="0" w:space="0" w:color="auto"/>
          </w:divBdr>
        </w:div>
        <w:div w:id="1984848827">
          <w:marLeft w:val="0"/>
          <w:marRight w:val="0"/>
          <w:marTop w:val="0"/>
          <w:marBottom w:val="0"/>
          <w:divBdr>
            <w:top w:val="none" w:sz="0" w:space="0" w:color="auto"/>
            <w:left w:val="none" w:sz="0" w:space="0" w:color="auto"/>
            <w:bottom w:val="none" w:sz="0" w:space="0" w:color="auto"/>
            <w:right w:val="none" w:sz="0" w:space="0" w:color="auto"/>
          </w:divBdr>
        </w:div>
        <w:div w:id="1991325154">
          <w:marLeft w:val="0"/>
          <w:marRight w:val="0"/>
          <w:marTop w:val="0"/>
          <w:marBottom w:val="0"/>
          <w:divBdr>
            <w:top w:val="none" w:sz="0" w:space="0" w:color="auto"/>
            <w:left w:val="none" w:sz="0" w:space="0" w:color="auto"/>
            <w:bottom w:val="none" w:sz="0" w:space="0" w:color="auto"/>
            <w:right w:val="none" w:sz="0" w:space="0" w:color="auto"/>
          </w:divBdr>
        </w:div>
        <w:div w:id="2025017325">
          <w:marLeft w:val="0"/>
          <w:marRight w:val="0"/>
          <w:marTop w:val="0"/>
          <w:marBottom w:val="0"/>
          <w:divBdr>
            <w:top w:val="none" w:sz="0" w:space="0" w:color="auto"/>
            <w:left w:val="none" w:sz="0" w:space="0" w:color="auto"/>
            <w:bottom w:val="none" w:sz="0" w:space="0" w:color="auto"/>
            <w:right w:val="none" w:sz="0" w:space="0" w:color="auto"/>
          </w:divBdr>
        </w:div>
      </w:divsChild>
    </w:div>
    <w:div w:id="2121605155">
      <w:bodyDiv w:val="1"/>
      <w:marLeft w:val="0"/>
      <w:marRight w:val="0"/>
      <w:marTop w:val="0"/>
      <w:marBottom w:val="0"/>
      <w:divBdr>
        <w:top w:val="none" w:sz="0" w:space="0" w:color="auto"/>
        <w:left w:val="none" w:sz="0" w:space="0" w:color="auto"/>
        <w:bottom w:val="none" w:sz="0" w:space="0" w:color="auto"/>
        <w:right w:val="none" w:sz="0" w:space="0" w:color="auto"/>
      </w:divBdr>
      <w:divsChild>
        <w:div w:id="435178738">
          <w:marLeft w:val="0"/>
          <w:marRight w:val="0"/>
          <w:marTop w:val="0"/>
          <w:marBottom w:val="0"/>
          <w:divBdr>
            <w:top w:val="none" w:sz="0" w:space="0" w:color="auto"/>
            <w:left w:val="none" w:sz="0" w:space="0" w:color="auto"/>
            <w:bottom w:val="none" w:sz="0" w:space="0" w:color="auto"/>
            <w:right w:val="none" w:sz="0" w:space="0" w:color="auto"/>
          </w:divBdr>
        </w:div>
      </w:divsChild>
    </w:div>
    <w:div w:id="2131510890">
      <w:bodyDiv w:val="1"/>
      <w:marLeft w:val="0"/>
      <w:marRight w:val="0"/>
      <w:marTop w:val="0"/>
      <w:marBottom w:val="0"/>
      <w:divBdr>
        <w:top w:val="none" w:sz="0" w:space="0" w:color="auto"/>
        <w:left w:val="none" w:sz="0" w:space="0" w:color="auto"/>
        <w:bottom w:val="none" w:sz="0" w:space="0" w:color="auto"/>
        <w:right w:val="none" w:sz="0" w:space="0" w:color="auto"/>
      </w:divBdr>
    </w:div>
    <w:div w:id="2136094009">
      <w:bodyDiv w:val="1"/>
      <w:marLeft w:val="0"/>
      <w:marRight w:val="0"/>
      <w:marTop w:val="0"/>
      <w:marBottom w:val="0"/>
      <w:divBdr>
        <w:top w:val="none" w:sz="0" w:space="0" w:color="auto"/>
        <w:left w:val="none" w:sz="0" w:space="0" w:color="auto"/>
        <w:bottom w:val="none" w:sz="0" w:space="0" w:color="auto"/>
        <w:right w:val="none" w:sz="0" w:space="0" w:color="auto"/>
      </w:divBdr>
      <w:divsChild>
        <w:div w:id="1170372016">
          <w:marLeft w:val="0"/>
          <w:marRight w:val="0"/>
          <w:marTop w:val="0"/>
          <w:marBottom w:val="0"/>
          <w:divBdr>
            <w:top w:val="none" w:sz="0" w:space="0" w:color="auto"/>
            <w:left w:val="none" w:sz="0" w:space="0" w:color="auto"/>
            <w:bottom w:val="none" w:sz="0" w:space="0" w:color="auto"/>
            <w:right w:val="none" w:sz="0" w:space="0" w:color="auto"/>
          </w:divBdr>
        </w:div>
      </w:divsChild>
    </w:div>
    <w:div w:id="2139031684">
      <w:bodyDiv w:val="1"/>
      <w:marLeft w:val="0"/>
      <w:marRight w:val="0"/>
      <w:marTop w:val="0"/>
      <w:marBottom w:val="0"/>
      <w:divBdr>
        <w:top w:val="none" w:sz="0" w:space="0" w:color="auto"/>
        <w:left w:val="none" w:sz="0" w:space="0" w:color="auto"/>
        <w:bottom w:val="none" w:sz="0" w:space="0" w:color="auto"/>
        <w:right w:val="none" w:sz="0" w:space="0" w:color="auto"/>
      </w:divBdr>
      <w:divsChild>
        <w:div w:id="294722722">
          <w:marLeft w:val="0"/>
          <w:marRight w:val="0"/>
          <w:marTop w:val="0"/>
          <w:marBottom w:val="0"/>
          <w:divBdr>
            <w:top w:val="none" w:sz="0" w:space="0" w:color="auto"/>
            <w:left w:val="none" w:sz="0" w:space="0" w:color="auto"/>
            <w:bottom w:val="none" w:sz="0" w:space="0" w:color="auto"/>
            <w:right w:val="none" w:sz="0" w:space="0" w:color="auto"/>
          </w:divBdr>
        </w:div>
        <w:div w:id="363792216">
          <w:marLeft w:val="0"/>
          <w:marRight w:val="0"/>
          <w:marTop w:val="0"/>
          <w:marBottom w:val="0"/>
          <w:divBdr>
            <w:top w:val="none" w:sz="0" w:space="0" w:color="auto"/>
            <w:left w:val="none" w:sz="0" w:space="0" w:color="auto"/>
            <w:bottom w:val="none" w:sz="0" w:space="0" w:color="auto"/>
            <w:right w:val="none" w:sz="0" w:space="0" w:color="auto"/>
          </w:divBdr>
        </w:div>
        <w:div w:id="867837931">
          <w:marLeft w:val="0"/>
          <w:marRight w:val="0"/>
          <w:marTop w:val="0"/>
          <w:marBottom w:val="0"/>
          <w:divBdr>
            <w:top w:val="none" w:sz="0" w:space="0" w:color="auto"/>
            <w:left w:val="none" w:sz="0" w:space="0" w:color="auto"/>
            <w:bottom w:val="none" w:sz="0" w:space="0" w:color="auto"/>
            <w:right w:val="none" w:sz="0" w:space="0" w:color="auto"/>
          </w:divBdr>
        </w:div>
        <w:div w:id="965694023">
          <w:marLeft w:val="0"/>
          <w:marRight w:val="0"/>
          <w:marTop w:val="0"/>
          <w:marBottom w:val="0"/>
          <w:divBdr>
            <w:top w:val="none" w:sz="0" w:space="0" w:color="auto"/>
            <w:left w:val="none" w:sz="0" w:space="0" w:color="auto"/>
            <w:bottom w:val="none" w:sz="0" w:space="0" w:color="auto"/>
            <w:right w:val="none" w:sz="0" w:space="0" w:color="auto"/>
          </w:divBdr>
        </w:div>
        <w:div w:id="1065956317">
          <w:marLeft w:val="0"/>
          <w:marRight w:val="0"/>
          <w:marTop w:val="0"/>
          <w:marBottom w:val="0"/>
          <w:divBdr>
            <w:top w:val="none" w:sz="0" w:space="0" w:color="auto"/>
            <w:left w:val="none" w:sz="0" w:space="0" w:color="auto"/>
            <w:bottom w:val="none" w:sz="0" w:space="0" w:color="auto"/>
            <w:right w:val="none" w:sz="0" w:space="0" w:color="auto"/>
          </w:divBdr>
        </w:div>
        <w:div w:id="1388644781">
          <w:marLeft w:val="0"/>
          <w:marRight w:val="0"/>
          <w:marTop w:val="0"/>
          <w:marBottom w:val="0"/>
          <w:divBdr>
            <w:top w:val="none" w:sz="0" w:space="0" w:color="auto"/>
            <w:left w:val="none" w:sz="0" w:space="0" w:color="auto"/>
            <w:bottom w:val="none" w:sz="0" w:space="0" w:color="auto"/>
            <w:right w:val="none" w:sz="0" w:space="0" w:color="auto"/>
          </w:divBdr>
        </w:div>
        <w:div w:id="1825733291">
          <w:marLeft w:val="0"/>
          <w:marRight w:val="0"/>
          <w:marTop w:val="0"/>
          <w:marBottom w:val="0"/>
          <w:divBdr>
            <w:top w:val="none" w:sz="0" w:space="0" w:color="auto"/>
            <w:left w:val="none" w:sz="0" w:space="0" w:color="auto"/>
            <w:bottom w:val="none" w:sz="0" w:space="0" w:color="auto"/>
            <w:right w:val="none" w:sz="0" w:space="0" w:color="auto"/>
          </w:divBdr>
        </w:div>
        <w:div w:id="1880703221">
          <w:marLeft w:val="0"/>
          <w:marRight w:val="0"/>
          <w:marTop w:val="0"/>
          <w:marBottom w:val="0"/>
          <w:divBdr>
            <w:top w:val="none" w:sz="0" w:space="0" w:color="auto"/>
            <w:left w:val="none" w:sz="0" w:space="0" w:color="auto"/>
            <w:bottom w:val="none" w:sz="0" w:space="0" w:color="auto"/>
            <w:right w:val="none" w:sz="0" w:space="0" w:color="auto"/>
          </w:divBdr>
        </w:div>
        <w:div w:id="2088258067">
          <w:marLeft w:val="0"/>
          <w:marRight w:val="0"/>
          <w:marTop w:val="0"/>
          <w:marBottom w:val="0"/>
          <w:divBdr>
            <w:top w:val="none" w:sz="0" w:space="0" w:color="auto"/>
            <w:left w:val="none" w:sz="0" w:space="0" w:color="auto"/>
            <w:bottom w:val="none" w:sz="0" w:space="0" w:color="auto"/>
            <w:right w:val="none" w:sz="0" w:space="0" w:color="auto"/>
          </w:divBdr>
        </w:div>
      </w:divsChild>
    </w:div>
    <w:div w:id="21472361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iscoetasse.com" TargetMode="External"/><Relationship Id="rId18" Type="http://schemas.openxmlformats.org/officeDocument/2006/relationships/image" Target="media/image3.png"/><Relationship Id="rId26" Type="http://schemas.openxmlformats.org/officeDocument/2006/relationships/hyperlink" Target="http://www.altalex.com/documents/leggi/2014/08/29/regioni-e-enti-locali-armonizzazione-di-sistemi-contabili-e-schemi-di-bilancio" TargetMode="External"/><Relationship Id="rId39" Type="http://schemas.openxmlformats.org/officeDocument/2006/relationships/hyperlink" Target="http://www.normattiva.it/atto/caricaDettaglioAtto?atto.dataPubblicazioneGazzetta=2006-12-27&amp;atto.codiceRedazionale=006G0318&amp;queryString=%3FmeseProvvedimento%3D%26formType%3Dricerca_semplice%26numeroArticolo%3D1%26numeroProvvedimento%3D296%26testo%3D%26annoProvvedimento%3D2006%26giornoProvvedimento%3D&amp;currentPage=1"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javascript:kernel.go('bd',%7bmask:'main',opera:'60',id:'60SE0002043043',key:'60SE0002043043',%20callerTicket:%20'',%20userKey:%20'',_menu:'normativa',kind:''%7d)" TargetMode="External"/><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onelegale.wolterskluwer.it/normativa/10LX0000871587ART918?pathId=7af1d9adeaec5" TargetMode="External"/><Relationship Id="rId25" Type="http://schemas.openxmlformats.org/officeDocument/2006/relationships/hyperlink" Target="http://www.altalex.com/documents/leggi/2012/09/14/armonizzazione-sistemi-contabili-di-regioni-enti-locali-e-loro-organismi" TargetMode="External"/><Relationship Id="rId33" Type="http://schemas.openxmlformats.org/officeDocument/2006/relationships/image" Target="media/image15.png"/><Relationship Id="rId38" Type="http://schemas.openxmlformats.org/officeDocument/2006/relationships/hyperlink" Target="https://onelegale.wolterskluwer.it/normativa/10LX0000488506ART1?pathId=9dda65be2a1b98" TargetMode="External"/><Relationship Id="rId2" Type="http://schemas.openxmlformats.org/officeDocument/2006/relationships/numbering" Target="numbering.xml"/><Relationship Id="rId16" Type="http://schemas.openxmlformats.org/officeDocument/2006/relationships/hyperlink" Target="https://onelegale.wolterskluwer.it/normativa/10LX0000871587ART917?pathId=7af1d9adeaec5"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onelegale.wolterskluwer.it/normativa/10LX0000164947ART71?pathId=fb82bab8d6524" TargetMode="External"/><Relationship Id="rId40" Type="http://schemas.openxmlformats.org/officeDocument/2006/relationships/hyperlink" Target="https://www.giustizia-amministrativa.it/cdsintra/wcm/idc/groups/public/documents/document/mday/nduy/~edisp/7dv6yus77yhnriuqel6yj7on3i.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kernel.go('bd',%7bmask:'main',opera:'61',id:'61LX0000756196ART17',key:'61LX0000756196ART17',%20callerTicket:%20'',%20userKey:%20'',_menu:'normativa',kind:''%7d)"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onelegale.wolterskluwer.it/normativa/10LX0000169359ART38?pathId=5ef03871a3b87" TargetMode="External"/><Relationship Id="rId30" Type="http://schemas.openxmlformats.org/officeDocument/2006/relationships/image" Target="media/image12.png"/><Relationship Id="rId35" Type="http://schemas.openxmlformats.org/officeDocument/2006/relationships/hyperlink" Target="javascript:kernel.go('bd',%7bmask:'main',opera:'61',id:'61LX0000842458ART454',key:'61LX0000842458ART454',%20callerTicket:%20'',%20userKey:%20'',_menu:'normativa',kind:''%7d)" TargetMode="External"/><Relationship Id="rId43"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onelegale.wolterskluwer.it/normativa/10LX0000678333SOMM?pathId=1d3a219e3c1f2" TargetMode="External"/><Relationship Id="rId3" Type="http://schemas.openxmlformats.org/officeDocument/2006/relationships/hyperlink" Target="javascript:kernel.go('bd',%7bmask:'main',opera:'61',id:'61LX0000898316',key:'61LX0000898316',%20callerTicket:%20'',%20userKey:%20'',_menu:'normativa',kind:''%7d)" TargetMode="External"/><Relationship Id="rId7" Type="http://schemas.openxmlformats.org/officeDocument/2006/relationships/hyperlink" Target="https://onelegale.wolterskluwer.it/normativa/10LX0000661382ART60?pathId=1d3a219e3c1f2" TargetMode="External"/><Relationship Id="rId2" Type="http://schemas.openxmlformats.org/officeDocument/2006/relationships/hyperlink" Target="javascript:kernel.go('bd',%7bmask:'main',opera:'61',id:'61LX0000895843',key:'61LX0000895843',%20callerTicket:%20'',%20userKey:%20'',_menu:'normativa',kind:''%7d)" TargetMode="External"/><Relationship Id="rId1" Type="http://schemas.openxmlformats.org/officeDocument/2006/relationships/hyperlink" Target="javascript:kernel.go('bd',%7bmask:'main',opera:'61',id:'61LX0000895843ART59',key:'61LX0000895843ART59',%20callerTicket:%20'',%20userKey:%20'',_menu:'normativa',kind:''%7d)" TargetMode="External"/><Relationship Id="rId6" Type="http://schemas.openxmlformats.org/officeDocument/2006/relationships/hyperlink" Target="https://onelegale.wolterskluwer.it/normativa/10LX0000661382ART59?pathId=1d3a219e3c1f2" TargetMode="External"/><Relationship Id="rId11" Type="http://schemas.openxmlformats.org/officeDocument/2006/relationships/hyperlink" Target="http://www.altalex.com/documents/codici-altalex/2014/11/05/riforma-biagi-le-nuove-norme-in-materia-di-occupazione-e-mercato-del-lavoro" TargetMode="External"/><Relationship Id="rId5" Type="http://schemas.openxmlformats.org/officeDocument/2006/relationships/hyperlink" Target="https://onelegale.wolterskluwer.it/normativa/10LX0000891283SOMM?pathId=1295f0170b59d" TargetMode="External"/><Relationship Id="rId10" Type="http://schemas.openxmlformats.org/officeDocument/2006/relationships/hyperlink" Target="https://onelegale.wolterskluwer.it/normativa/10LX0000888073ART19?pathId=1d3a219e3c1f2" TargetMode="External"/><Relationship Id="rId4" Type="http://schemas.openxmlformats.org/officeDocument/2006/relationships/hyperlink" Target="https://onelegale.wolterskluwer.it/normativa/10LX0000891283SOMM?pathId=1295f0170b59d" TargetMode="External"/><Relationship Id="rId9" Type="http://schemas.openxmlformats.org/officeDocument/2006/relationships/hyperlink" Target="https://onelegale.wolterskluwer.it/normativa/10LX0000819405ART24?pathId=1d3a219e3c1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9231B-4FF3-4D42-9DB3-F3312D53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282</Pages>
  <Words>103974</Words>
  <Characters>592653</Characters>
  <Application>Microsoft Office Word</Application>
  <DocSecurity>0</DocSecurity>
  <Lines>4938</Lines>
  <Paragraphs>1390</Paragraphs>
  <ScaleCrop>false</ScaleCrop>
  <HeadingPairs>
    <vt:vector size="2" baseType="variant">
      <vt:variant>
        <vt:lpstr>Titolo</vt:lpstr>
      </vt:variant>
      <vt:variant>
        <vt:i4>1</vt:i4>
      </vt:variant>
    </vt:vector>
  </HeadingPairs>
  <TitlesOfParts>
    <vt:vector size="1" baseType="lpstr">
      <vt:lpstr>Introduzione alla revisione dei conti degli enti locali</vt:lpstr>
    </vt:vector>
  </TitlesOfParts>
  <Company/>
  <LinksUpToDate>false</LinksUpToDate>
  <CharactersWithSpaces>695237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Introduzione alla revisione dei conti degli enti locali</dc:title>
  <dc:subject/>
  <dc:creator>Marco Paolini</dc:creator>
  <cp:keywords/>
  <dc:description/>
  <cp:lastModifiedBy>Fisco Tasse</cp:lastModifiedBy>
  <cp:revision>2</cp:revision>
  <cp:lastPrinted>2020-07-06T06:38:00Z</cp:lastPrinted>
  <dcterms:created xsi:type="dcterms:W3CDTF">2022-02-16T13:09:00Z</dcterms:created>
  <dcterms:modified xsi:type="dcterms:W3CDTF">2022-02-16T13:09:00Z</dcterms:modified>
</cp:coreProperties>
</file>