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D4611" w14:textId="3EF2DA4A" w:rsidR="00EE0DC9" w:rsidRPr="00163B57" w:rsidRDefault="00FE04DB" w:rsidP="00525A60">
      <w:pPr>
        <w:spacing w:line="360" w:lineRule="auto"/>
        <w:jc w:val="both"/>
        <w:rPr>
          <w:rFonts w:cs="Tahoma"/>
          <w:szCs w:val="20"/>
        </w:rPr>
      </w:pPr>
      <w:r>
        <w:rPr>
          <w:rFonts w:cs="Tahoma"/>
          <w:noProof/>
          <w:szCs w:val="20"/>
        </w:rPr>
        <w:drawing>
          <wp:anchor distT="0" distB="0" distL="114300" distR="114300" simplePos="0" relativeHeight="251809280" behindDoc="1" locked="0" layoutInCell="1" allowOverlap="1" wp14:anchorId="05AD1444" wp14:editId="5AF8436F">
            <wp:simplePos x="0" y="0"/>
            <wp:positionH relativeFrom="column">
              <wp:posOffset>-697230</wp:posOffset>
            </wp:positionH>
            <wp:positionV relativeFrom="paragraph">
              <wp:posOffset>-978535</wp:posOffset>
            </wp:positionV>
            <wp:extent cx="7611892" cy="10767060"/>
            <wp:effectExtent l="0" t="0" r="8255"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pic:cNvPicPr/>
                  </pic:nvPicPr>
                  <pic:blipFill>
                    <a:blip r:embed="rId11"/>
                    <a:stretch>
                      <a:fillRect/>
                    </a:stretch>
                  </pic:blipFill>
                  <pic:spPr>
                    <a:xfrm>
                      <a:off x="0" y="0"/>
                      <a:ext cx="7616987" cy="10774267"/>
                    </a:xfrm>
                    <a:prstGeom prst="rect">
                      <a:avLst/>
                    </a:prstGeom>
                  </pic:spPr>
                </pic:pic>
              </a:graphicData>
            </a:graphic>
            <wp14:sizeRelH relativeFrom="margin">
              <wp14:pctWidth>0</wp14:pctWidth>
            </wp14:sizeRelH>
            <wp14:sizeRelV relativeFrom="margin">
              <wp14:pctHeight>0</wp14:pctHeight>
            </wp14:sizeRelV>
          </wp:anchor>
        </w:drawing>
      </w:r>
    </w:p>
    <w:p w14:paraId="6235ECDA" w14:textId="77777777" w:rsidR="00EE0DC9" w:rsidRDefault="00EE0DC9" w:rsidP="00525A60">
      <w:pPr>
        <w:spacing w:line="360" w:lineRule="auto"/>
        <w:jc w:val="both"/>
        <w:rPr>
          <w:rFonts w:cs="Tahoma"/>
          <w:b/>
          <w:sz w:val="56"/>
          <w:szCs w:val="56"/>
        </w:rPr>
      </w:pPr>
    </w:p>
    <w:p w14:paraId="2456A9C2" w14:textId="44031107" w:rsidR="00A90ED0" w:rsidRDefault="00A90ED0" w:rsidP="00525A60">
      <w:pPr>
        <w:spacing w:line="360" w:lineRule="auto"/>
        <w:jc w:val="both"/>
        <w:rPr>
          <w:rFonts w:cs="Tahoma"/>
          <w:bCs/>
          <w:sz w:val="32"/>
          <w:szCs w:val="32"/>
        </w:rPr>
        <w:sectPr w:rsidR="00A90ED0" w:rsidSect="009A0D7A">
          <w:headerReference w:type="default" r:id="rId12"/>
          <w:footerReference w:type="default" r:id="rId13"/>
          <w:headerReference w:type="first" r:id="rId14"/>
          <w:footerReference w:type="first" r:id="rId15"/>
          <w:pgSz w:w="11906" w:h="16838"/>
          <w:pgMar w:top="1417" w:right="1134" w:bottom="1134" w:left="1134" w:header="708" w:footer="708" w:gutter="0"/>
          <w:pgNumType w:start="1"/>
          <w:cols w:space="708"/>
          <w:titlePg/>
          <w:docGrid w:linePitch="360"/>
        </w:sectPr>
      </w:pPr>
    </w:p>
    <w:p w14:paraId="312BD5E9" w14:textId="279483E3" w:rsidR="008723D5" w:rsidRPr="008723D5" w:rsidRDefault="008723D5" w:rsidP="008723D5">
      <w:pPr>
        <w:spacing w:line="360" w:lineRule="auto"/>
        <w:rPr>
          <w:rFonts w:cs="Tahoma"/>
          <w:b/>
          <w:sz w:val="32"/>
          <w:szCs w:val="32"/>
        </w:rPr>
      </w:pPr>
      <w:r>
        <w:rPr>
          <w:rFonts w:cs="Tahoma"/>
          <w:b/>
          <w:sz w:val="32"/>
          <w:szCs w:val="32"/>
        </w:rPr>
        <w:lastRenderedPageBreak/>
        <w:t xml:space="preserve">Simone Dimitri, Clara </w:t>
      </w:r>
      <w:proofErr w:type="spellStart"/>
      <w:r>
        <w:rPr>
          <w:rFonts w:cs="Tahoma"/>
          <w:b/>
          <w:sz w:val="32"/>
          <w:szCs w:val="32"/>
        </w:rPr>
        <w:t>Pollet</w:t>
      </w:r>
      <w:proofErr w:type="spellEnd"/>
    </w:p>
    <w:p w14:paraId="71EFBDBD" w14:textId="4BF5E7E4" w:rsidR="008723D5" w:rsidRDefault="008723D5" w:rsidP="008723D5">
      <w:pPr>
        <w:spacing w:line="360" w:lineRule="auto"/>
        <w:jc w:val="center"/>
        <w:rPr>
          <w:rFonts w:cs="Tahoma"/>
          <w:b/>
          <w:sz w:val="72"/>
          <w:szCs w:val="72"/>
        </w:rPr>
      </w:pPr>
    </w:p>
    <w:p w14:paraId="33CDF2BE" w14:textId="77777777" w:rsidR="00374275" w:rsidRPr="00374275" w:rsidRDefault="00374275" w:rsidP="008723D5">
      <w:pPr>
        <w:spacing w:line="360" w:lineRule="auto"/>
        <w:jc w:val="center"/>
        <w:rPr>
          <w:rFonts w:cs="Tahoma"/>
          <w:b/>
          <w:sz w:val="10"/>
          <w:szCs w:val="10"/>
        </w:rPr>
      </w:pPr>
    </w:p>
    <w:p w14:paraId="5F4C99DC" w14:textId="6B26FD7B" w:rsidR="008723D5" w:rsidRPr="00374275" w:rsidRDefault="00DF1738" w:rsidP="008723D5">
      <w:pPr>
        <w:spacing w:after="0" w:line="240" w:lineRule="auto"/>
        <w:jc w:val="center"/>
        <w:rPr>
          <w:rFonts w:cs="Tahoma"/>
          <w:b/>
          <w:sz w:val="84"/>
          <w:szCs w:val="84"/>
        </w:rPr>
      </w:pPr>
      <w:r w:rsidRPr="00374275">
        <w:rPr>
          <w:rFonts w:cs="Tahoma"/>
          <w:b/>
          <w:sz w:val="84"/>
          <w:szCs w:val="84"/>
        </w:rPr>
        <w:t>CREDITO</w:t>
      </w:r>
      <w:r w:rsidR="008229F8" w:rsidRPr="00374275">
        <w:rPr>
          <w:rFonts w:cs="Tahoma"/>
          <w:b/>
          <w:sz w:val="84"/>
          <w:szCs w:val="84"/>
        </w:rPr>
        <w:t xml:space="preserve"> D’IMPOSTA </w:t>
      </w:r>
      <w:r w:rsidRPr="00374275">
        <w:rPr>
          <w:rFonts w:cs="Tahoma"/>
          <w:b/>
          <w:sz w:val="84"/>
          <w:szCs w:val="84"/>
        </w:rPr>
        <w:t>BENI STRUMENTALI</w:t>
      </w:r>
    </w:p>
    <w:p w14:paraId="633A3BF7" w14:textId="2BCE51D1" w:rsidR="008723D5" w:rsidRDefault="008723D5" w:rsidP="008723D5">
      <w:pPr>
        <w:spacing w:after="0" w:line="680" w:lineRule="exact"/>
        <w:jc w:val="center"/>
        <w:rPr>
          <w:rFonts w:cs="Tahoma"/>
          <w:b/>
          <w:sz w:val="40"/>
          <w:szCs w:val="40"/>
        </w:rPr>
      </w:pPr>
    </w:p>
    <w:p w14:paraId="25259133" w14:textId="5DA5D583" w:rsidR="00AF567E" w:rsidRPr="00AF567E" w:rsidRDefault="00AF567E" w:rsidP="00AF567E">
      <w:pPr>
        <w:spacing w:after="0" w:line="240" w:lineRule="auto"/>
        <w:contextualSpacing/>
        <w:jc w:val="center"/>
        <w:rPr>
          <w:rFonts w:cs="Tahoma"/>
          <w:b/>
          <w:sz w:val="36"/>
          <w:szCs w:val="36"/>
        </w:rPr>
      </w:pPr>
      <w:r w:rsidRPr="00AF567E">
        <w:rPr>
          <w:rFonts w:cs="Tahoma"/>
          <w:b/>
          <w:sz w:val="36"/>
          <w:szCs w:val="36"/>
        </w:rPr>
        <w:t>Aggiornato con la legge 30 dicembre 2021, n. 234 (Legge di bilancio 2022)</w:t>
      </w:r>
    </w:p>
    <w:p w14:paraId="0E966BD0" w14:textId="48D0EF35" w:rsidR="00AF567E" w:rsidRDefault="00AF567E" w:rsidP="008723D5">
      <w:pPr>
        <w:spacing w:after="0" w:line="680" w:lineRule="exact"/>
        <w:jc w:val="center"/>
        <w:rPr>
          <w:rFonts w:cs="Tahoma"/>
          <w:b/>
          <w:sz w:val="40"/>
          <w:szCs w:val="40"/>
        </w:rPr>
      </w:pPr>
    </w:p>
    <w:p w14:paraId="1275B0E7" w14:textId="7E0CFF20" w:rsidR="00AF567E" w:rsidRDefault="00AF567E" w:rsidP="008723D5">
      <w:pPr>
        <w:spacing w:after="0" w:line="680" w:lineRule="exact"/>
        <w:jc w:val="center"/>
        <w:rPr>
          <w:rFonts w:cs="Tahoma"/>
          <w:b/>
          <w:sz w:val="40"/>
          <w:szCs w:val="40"/>
        </w:rPr>
      </w:pPr>
    </w:p>
    <w:p w14:paraId="53A47951" w14:textId="77777777" w:rsidR="00AF567E" w:rsidRPr="004414B7" w:rsidRDefault="00AF567E" w:rsidP="008723D5">
      <w:pPr>
        <w:spacing w:after="0" w:line="680" w:lineRule="exact"/>
        <w:jc w:val="center"/>
        <w:rPr>
          <w:rFonts w:cs="Tahoma"/>
          <w:b/>
          <w:sz w:val="40"/>
          <w:szCs w:val="40"/>
        </w:rPr>
      </w:pPr>
    </w:p>
    <w:p w14:paraId="12A22ED0" w14:textId="77777777" w:rsidR="00FE04DB" w:rsidRPr="00FE04DB" w:rsidRDefault="00FE04DB" w:rsidP="00FE04DB">
      <w:pPr>
        <w:pStyle w:val="Paragrafoelenco"/>
        <w:numPr>
          <w:ilvl w:val="0"/>
          <w:numId w:val="66"/>
        </w:numPr>
        <w:spacing w:line="240" w:lineRule="auto"/>
        <w:ind w:left="714" w:hanging="357"/>
        <w:jc w:val="both"/>
        <w:rPr>
          <w:rFonts w:cs="Tahoma"/>
          <w:bCs/>
          <w:sz w:val="44"/>
          <w:szCs w:val="44"/>
        </w:rPr>
      </w:pPr>
      <w:r w:rsidRPr="00FE04DB">
        <w:rPr>
          <w:rFonts w:cs="Tahoma"/>
          <w:bCs/>
          <w:sz w:val="44"/>
          <w:szCs w:val="44"/>
        </w:rPr>
        <w:t xml:space="preserve">Beni materiali, immateriali 4.0 e NON </w:t>
      </w:r>
    </w:p>
    <w:p w14:paraId="0AC402D8" w14:textId="77777777" w:rsidR="00FE04DB" w:rsidRPr="00FE04DB" w:rsidRDefault="00FE04DB" w:rsidP="00FE04DB">
      <w:pPr>
        <w:pStyle w:val="Paragrafoelenco"/>
        <w:numPr>
          <w:ilvl w:val="0"/>
          <w:numId w:val="66"/>
        </w:numPr>
        <w:spacing w:line="240" w:lineRule="auto"/>
        <w:ind w:left="714" w:hanging="357"/>
        <w:jc w:val="both"/>
        <w:rPr>
          <w:rFonts w:cs="Tahoma"/>
          <w:bCs/>
          <w:sz w:val="44"/>
          <w:szCs w:val="44"/>
        </w:rPr>
      </w:pPr>
      <w:r w:rsidRPr="00FE04DB">
        <w:rPr>
          <w:rFonts w:cs="Tahoma"/>
          <w:bCs/>
          <w:sz w:val="44"/>
          <w:szCs w:val="44"/>
        </w:rPr>
        <w:t xml:space="preserve">Ambito oggettivo </w:t>
      </w:r>
    </w:p>
    <w:p w14:paraId="6F05ABD2" w14:textId="77777777" w:rsidR="00FE04DB" w:rsidRPr="00FE04DB" w:rsidRDefault="00FE04DB" w:rsidP="00FE04DB">
      <w:pPr>
        <w:pStyle w:val="Paragrafoelenco"/>
        <w:numPr>
          <w:ilvl w:val="0"/>
          <w:numId w:val="66"/>
        </w:numPr>
        <w:spacing w:line="240" w:lineRule="auto"/>
        <w:ind w:left="714" w:hanging="357"/>
        <w:jc w:val="both"/>
        <w:rPr>
          <w:rFonts w:cs="Tahoma"/>
          <w:bCs/>
          <w:sz w:val="44"/>
          <w:szCs w:val="44"/>
        </w:rPr>
      </w:pPr>
      <w:r w:rsidRPr="00FE04DB">
        <w:rPr>
          <w:rFonts w:cs="Tahoma"/>
          <w:bCs/>
          <w:sz w:val="44"/>
          <w:szCs w:val="44"/>
        </w:rPr>
        <w:t xml:space="preserve">Modalità e tempi di utilizzo </w:t>
      </w:r>
    </w:p>
    <w:p w14:paraId="0B0F904F" w14:textId="16EBCC34" w:rsidR="0045376D" w:rsidRPr="00FE04DB" w:rsidRDefault="00FE04DB" w:rsidP="00FE04DB">
      <w:pPr>
        <w:pStyle w:val="Paragrafoelenco"/>
        <w:numPr>
          <w:ilvl w:val="0"/>
          <w:numId w:val="66"/>
        </w:numPr>
        <w:spacing w:line="240" w:lineRule="auto"/>
        <w:ind w:left="714" w:hanging="357"/>
        <w:jc w:val="both"/>
        <w:rPr>
          <w:rFonts w:cs="Tahoma"/>
          <w:bCs/>
          <w:sz w:val="32"/>
          <w:szCs w:val="32"/>
        </w:rPr>
      </w:pPr>
      <w:r w:rsidRPr="00FE04DB">
        <w:rPr>
          <w:rFonts w:cs="Tahoma"/>
          <w:bCs/>
          <w:sz w:val="44"/>
          <w:szCs w:val="44"/>
        </w:rPr>
        <w:t>Adempimenti collegati</w:t>
      </w:r>
      <w:r w:rsidRPr="00FE04DB">
        <w:rPr>
          <w:rFonts w:cs="Tahoma"/>
          <w:bCs/>
          <w:sz w:val="32"/>
          <w:szCs w:val="32"/>
        </w:rPr>
        <w:t xml:space="preserve"> </w:t>
      </w:r>
      <w:r w:rsidR="008723D5">
        <w:rPr>
          <w:noProof/>
          <w:lang w:eastAsia="it-IT"/>
        </w:rPr>
        <w:drawing>
          <wp:anchor distT="0" distB="0" distL="114300" distR="114300" simplePos="0" relativeHeight="251736576" behindDoc="0" locked="0" layoutInCell="1" allowOverlap="1" wp14:anchorId="131E8E35" wp14:editId="68955507">
            <wp:simplePos x="719847" y="8482519"/>
            <wp:positionH relativeFrom="margin">
              <wp:align>right</wp:align>
            </wp:positionH>
            <wp:positionV relativeFrom="margin">
              <wp:align>bottom</wp:align>
            </wp:positionV>
            <wp:extent cx="2306027" cy="632298"/>
            <wp:effectExtent l="0" t="0" r="0" b="0"/>
            <wp:wrapSquare wrapText="bothSides"/>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06027" cy="632298"/>
                    </a:xfrm>
                    <a:prstGeom prst="rect">
                      <a:avLst/>
                    </a:prstGeom>
                  </pic:spPr>
                </pic:pic>
              </a:graphicData>
            </a:graphic>
          </wp:anchor>
        </w:drawing>
      </w:r>
    </w:p>
    <w:p w14:paraId="341E80BA" w14:textId="14EDBEF8" w:rsidR="0045376D" w:rsidRPr="00A22146" w:rsidRDefault="0045376D" w:rsidP="00525A60">
      <w:pPr>
        <w:spacing w:line="360" w:lineRule="auto"/>
        <w:jc w:val="both"/>
        <w:rPr>
          <w:rFonts w:cs="Tahoma"/>
          <w:bCs/>
          <w:sz w:val="32"/>
          <w:szCs w:val="32"/>
        </w:rPr>
        <w:sectPr w:rsidR="0045376D" w:rsidRPr="00A22146" w:rsidSect="009A0D7A">
          <w:pgSz w:w="11906" w:h="16838"/>
          <w:pgMar w:top="1417" w:right="1134" w:bottom="1134" w:left="1134" w:header="708" w:footer="708" w:gutter="0"/>
          <w:pgNumType w:start="1"/>
          <w:cols w:space="708"/>
          <w:titlePg/>
          <w:docGrid w:linePitch="360"/>
        </w:sectPr>
      </w:pPr>
      <w:r>
        <w:rPr>
          <w:rFonts w:cs="Tahoma"/>
          <w:noProof/>
          <w:szCs w:val="20"/>
          <w:lang w:eastAsia="it-IT"/>
        </w:rPr>
        <w:drawing>
          <wp:anchor distT="0" distB="0" distL="114300" distR="114300" simplePos="0" relativeHeight="251641344" behindDoc="1" locked="0" layoutInCell="1" allowOverlap="1" wp14:anchorId="72E7180B" wp14:editId="2430BCA3">
            <wp:simplePos x="0" y="0"/>
            <wp:positionH relativeFrom="column">
              <wp:posOffset>3641144</wp:posOffset>
            </wp:positionH>
            <wp:positionV relativeFrom="paragraph">
              <wp:posOffset>7553271</wp:posOffset>
            </wp:positionV>
            <wp:extent cx="2362200" cy="647116"/>
            <wp:effectExtent l="0" t="0" r="0" b="63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coetassemaggioli.png"/>
                    <pic:cNvPicPr/>
                  </pic:nvPicPr>
                  <pic:blipFill>
                    <a:blip r:embed="rId16"/>
                    <a:stretch>
                      <a:fillRect/>
                    </a:stretch>
                  </pic:blipFill>
                  <pic:spPr>
                    <a:xfrm>
                      <a:off x="0" y="0"/>
                      <a:ext cx="2362200" cy="647116"/>
                    </a:xfrm>
                    <a:prstGeom prst="rect">
                      <a:avLst/>
                    </a:prstGeom>
                  </pic:spPr>
                </pic:pic>
              </a:graphicData>
            </a:graphic>
          </wp:anchor>
        </w:drawing>
      </w:r>
    </w:p>
    <w:p w14:paraId="113D361E" w14:textId="77777777" w:rsidR="00EE0DC9" w:rsidRDefault="00EE0DC9" w:rsidP="00A90ED0">
      <w:pPr>
        <w:pStyle w:val="Titolo"/>
      </w:pPr>
      <w:bookmarkStart w:id="0" w:name="_Toc87446588"/>
      <w:bookmarkStart w:id="1" w:name="_Toc87446729"/>
      <w:bookmarkStart w:id="2" w:name="_Toc93327695"/>
      <w:r>
        <w:lastRenderedPageBreak/>
        <w:t>Sintesi</w:t>
      </w:r>
      <w:bookmarkEnd w:id="0"/>
      <w:bookmarkEnd w:id="1"/>
      <w:bookmarkEnd w:id="2"/>
    </w:p>
    <w:p w14:paraId="005712E7" w14:textId="77777777" w:rsidR="00A90ED0" w:rsidRPr="00A90ED0" w:rsidRDefault="00A90ED0" w:rsidP="00A90ED0">
      <w:pPr>
        <w:spacing w:line="360" w:lineRule="auto"/>
        <w:jc w:val="both"/>
        <w:rPr>
          <w:rFonts w:cs="Tahoma"/>
          <w:bCs/>
          <w:iCs/>
          <w:szCs w:val="20"/>
        </w:rPr>
      </w:pPr>
    </w:p>
    <w:p w14:paraId="7E102B4E" w14:textId="77777777" w:rsidR="00A90ED0" w:rsidRPr="00A90ED0" w:rsidRDefault="00A90ED0" w:rsidP="00A90ED0">
      <w:pPr>
        <w:spacing w:line="360" w:lineRule="auto"/>
        <w:jc w:val="both"/>
        <w:rPr>
          <w:rFonts w:cs="Tahoma"/>
          <w:bCs/>
          <w:iCs/>
          <w:szCs w:val="20"/>
        </w:rPr>
      </w:pPr>
    </w:p>
    <w:p w14:paraId="1EDD9989" w14:textId="77777777" w:rsidR="00A90ED0" w:rsidRPr="00A90ED0" w:rsidRDefault="00A90ED0" w:rsidP="00A90ED0">
      <w:pPr>
        <w:spacing w:line="360" w:lineRule="auto"/>
        <w:jc w:val="both"/>
        <w:rPr>
          <w:rFonts w:cs="Tahoma"/>
          <w:bCs/>
          <w:iCs/>
          <w:szCs w:val="20"/>
        </w:rPr>
      </w:pPr>
    </w:p>
    <w:p w14:paraId="62F96ECF" w14:textId="69352E11" w:rsidR="00A90ED0" w:rsidRDefault="00A90ED0" w:rsidP="00A90ED0">
      <w:pPr>
        <w:spacing w:line="360" w:lineRule="auto"/>
        <w:jc w:val="both"/>
        <w:rPr>
          <w:rFonts w:cs="Tahoma"/>
          <w:bCs/>
          <w:iCs/>
          <w:szCs w:val="20"/>
        </w:rPr>
      </w:pPr>
    </w:p>
    <w:p w14:paraId="161B9296" w14:textId="77777777" w:rsidR="004414B7" w:rsidRPr="00A90ED0" w:rsidRDefault="004414B7" w:rsidP="00A90ED0">
      <w:pPr>
        <w:spacing w:line="360" w:lineRule="auto"/>
        <w:jc w:val="both"/>
        <w:rPr>
          <w:rFonts w:cs="Tahoma"/>
          <w:bCs/>
          <w:iCs/>
          <w:szCs w:val="20"/>
        </w:rPr>
      </w:pPr>
    </w:p>
    <w:p w14:paraId="7C635748" w14:textId="42BCD4EE" w:rsidR="00F7443F" w:rsidRDefault="00F7443F" w:rsidP="00610EC1">
      <w:pPr>
        <w:spacing w:line="360" w:lineRule="auto"/>
        <w:jc w:val="both"/>
        <w:rPr>
          <w:rFonts w:cs="Tahoma"/>
          <w:bCs/>
          <w:iCs/>
          <w:color w:val="000000" w:themeColor="text1"/>
          <w:szCs w:val="20"/>
        </w:rPr>
      </w:pPr>
      <w:r w:rsidRPr="00F7443F">
        <w:rPr>
          <w:rFonts w:cs="Tahoma"/>
          <w:bCs/>
          <w:iCs/>
          <w:color w:val="000000" w:themeColor="text1"/>
          <w:szCs w:val="20"/>
        </w:rPr>
        <w:t xml:space="preserve">L’ammodernamento del “parco beni strumentali” e la trasformazione tecnologica e digitale delle aziende manifatturiere italiane sono due obiettivi prioritari individuati dal Piano Industria 4.0: </w:t>
      </w:r>
      <w:r>
        <w:rPr>
          <w:rFonts w:cs="Tahoma"/>
          <w:bCs/>
          <w:iCs/>
          <w:color w:val="000000" w:themeColor="text1"/>
          <w:szCs w:val="20"/>
        </w:rPr>
        <w:t xml:space="preserve">l’obiettivo principale è quello di contrastare </w:t>
      </w:r>
      <w:r w:rsidRPr="00F7443F">
        <w:rPr>
          <w:rFonts w:cs="Tahoma"/>
          <w:bCs/>
          <w:iCs/>
          <w:color w:val="000000" w:themeColor="text1"/>
          <w:szCs w:val="20"/>
        </w:rPr>
        <w:t xml:space="preserve">da un lato un’obsolescenza media più elevata rispetto a quella dei nostri </w:t>
      </w:r>
      <w:r w:rsidRPr="00F7443F">
        <w:rPr>
          <w:rFonts w:cs="Tahoma"/>
          <w:bCs/>
          <w:i/>
          <w:iCs/>
          <w:color w:val="000000" w:themeColor="text1"/>
          <w:szCs w:val="20"/>
        </w:rPr>
        <w:t xml:space="preserve">competitor </w:t>
      </w:r>
      <w:r w:rsidRPr="00F7443F">
        <w:rPr>
          <w:rFonts w:cs="Tahoma"/>
          <w:bCs/>
          <w:iCs/>
          <w:color w:val="000000" w:themeColor="text1"/>
          <w:szCs w:val="20"/>
        </w:rPr>
        <w:t xml:space="preserve">e dall’altro </w:t>
      </w:r>
      <w:r>
        <w:rPr>
          <w:rFonts w:cs="Tahoma"/>
          <w:bCs/>
          <w:iCs/>
          <w:color w:val="000000" w:themeColor="text1"/>
          <w:szCs w:val="20"/>
        </w:rPr>
        <w:t>colmare</w:t>
      </w:r>
      <w:r w:rsidRPr="00F7443F">
        <w:rPr>
          <w:rFonts w:cs="Tahoma"/>
          <w:bCs/>
          <w:iCs/>
          <w:color w:val="000000" w:themeColor="text1"/>
          <w:szCs w:val="20"/>
        </w:rPr>
        <w:t xml:space="preserve"> </w:t>
      </w:r>
      <w:r>
        <w:rPr>
          <w:rFonts w:cs="Tahoma"/>
          <w:bCs/>
          <w:iCs/>
          <w:color w:val="000000" w:themeColor="text1"/>
          <w:szCs w:val="20"/>
        </w:rPr>
        <w:t>uno storico</w:t>
      </w:r>
      <w:r w:rsidRPr="00F7443F">
        <w:rPr>
          <w:rFonts w:cs="Tahoma"/>
          <w:bCs/>
          <w:iCs/>
          <w:color w:val="000000" w:themeColor="text1"/>
          <w:szCs w:val="20"/>
        </w:rPr>
        <w:t xml:space="preserve"> ritardo </w:t>
      </w:r>
      <w:r>
        <w:rPr>
          <w:rFonts w:cs="Tahoma"/>
          <w:bCs/>
          <w:iCs/>
          <w:color w:val="000000" w:themeColor="text1"/>
          <w:szCs w:val="20"/>
        </w:rPr>
        <w:t xml:space="preserve">del nostro Paese </w:t>
      </w:r>
      <w:r w:rsidRPr="00F7443F">
        <w:rPr>
          <w:rFonts w:cs="Tahoma"/>
          <w:bCs/>
          <w:iCs/>
          <w:color w:val="000000" w:themeColor="text1"/>
          <w:szCs w:val="20"/>
        </w:rPr>
        <w:t>nell’adozione delle tecnologie di frontiera</w:t>
      </w:r>
      <w:r>
        <w:rPr>
          <w:rFonts w:cs="Tahoma"/>
          <w:bCs/>
          <w:iCs/>
          <w:color w:val="000000" w:themeColor="text1"/>
          <w:szCs w:val="20"/>
        </w:rPr>
        <w:t>.</w:t>
      </w:r>
    </w:p>
    <w:p w14:paraId="63957009" w14:textId="614187EC" w:rsidR="00BE5F1F" w:rsidRPr="00BE5F1F" w:rsidRDefault="00F7443F" w:rsidP="00BE5F1F">
      <w:pPr>
        <w:spacing w:line="360" w:lineRule="auto"/>
        <w:jc w:val="both"/>
        <w:rPr>
          <w:rFonts w:cs="Tahoma"/>
          <w:bCs/>
          <w:iCs/>
          <w:color w:val="000000" w:themeColor="text1"/>
          <w:szCs w:val="20"/>
        </w:rPr>
      </w:pPr>
      <w:r w:rsidRPr="00F7443F">
        <w:rPr>
          <w:rFonts w:cs="Tahoma"/>
          <w:bCs/>
          <w:iCs/>
          <w:color w:val="000000" w:themeColor="text1"/>
          <w:szCs w:val="20"/>
        </w:rPr>
        <w:t>Nel contesto sopra delineato si inseriscono le disposizioni contenute</w:t>
      </w:r>
      <w:r>
        <w:rPr>
          <w:rFonts w:cs="Tahoma"/>
          <w:bCs/>
          <w:iCs/>
          <w:color w:val="000000" w:themeColor="text1"/>
          <w:szCs w:val="20"/>
        </w:rPr>
        <w:t xml:space="preserve"> nell’articolo 1</w:t>
      </w:r>
      <w:r w:rsidR="00BE5F1F" w:rsidRPr="00BE5F1F">
        <w:rPr>
          <w:rFonts w:cs="Tahoma"/>
          <w:bCs/>
          <w:iCs/>
          <w:color w:val="000000" w:themeColor="text1"/>
          <w:szCs w:val="20"/>
        </w:rPr>
        <w:t xml:space="preserve">, commi da 1051 a 1063, della legge 30 dicembre 2020, n. 178 (legge di bilancio 2021), </w:t>
      </w:r>
      <w:r w:rsidR="00BE5F1F">
        <w:rPr>
          <w:rFonts w:cs="Tahoma"/>
          <w:bCs/>
          <w:iCs/>
          <w:color w:val="000000" w:themeColor="text1"/>
          <w:szCs w:val="20"/>
        </w:rPr>
        <w:t xml:space="preserve">che </w:t>
      </w:r>
      <w:r w:rsidR="00BE5F1F" w:rsidRPr="00BE5F1F">
        <w:rPr>
          <w:rFonts w:cs="Tahoma"/>
          <w:bCs/>
          <w:iCs/>
          <w:color w:val="000000" w:themeColor="text1"/>
          <w:szCs w:val="20"/>
        </w:rPr>
        <w:t xml:space="preserve">ha riformulato la disciplina del </w:t>
      </w:r>
      <w:r w:rsidR="00BE5F1F" w:rsidRPr="00BE5F1F">
        <w:rPr>
          <w:rFonts w:cs="Tahoma"/>
          <w:b/>
          <w:iCs/>
          <w:color w:val="000000" w:themeColor="text1"/>
          <w:szCs w:val="20"/>
        </w:rPr>
        <w:t>credito d’imposta per gli investimenti in beni strumentali nuovi materiali</w:t>
      </w:r>
      <w:r w:rsidR="00BE5F1F" w:rsidRPr="00BE5F1F">
        <w:rPr>
          <w:rFonts w:cs="Tahoma"/>
          <w:bCs/>
          <w:iCs/>
          <w:color w:val="000000" w:themeColor="text1"/>
          <w:szCs w:val="20"/>
        </w:rPr>
        <w:t xml:space="preserve"> e </w:t>
      </w:r>
      <w:r w:rsidR="00BE5F1F" w:rsidRPr="00BE5F1F">
        <w:rPr>
          <w:rFonts w:cs="Tahoma"/>
          <w:b/>
          <w:iCs/>
          <w:color w:val="000000" w:themeColor="text1"/>
          <w:szCs w:val="20"/>
        </w:rPr>
        <w:t xml:space="preserve">immateriali </w:t>
      </w:r>
      <w:r w:rsidR="00BE5F1F" w:rsidRPr="00BE5F1F">
        <w:rPr>
          <w:rFonts w:cs="Tahoma"/>
          <w:bCs/>
          <w:iCs/>
          <w:color w:val="000000" w:themeColor="text1"/>
          <w:szCs w:val="20"/>
        </w:rPr>
        <w:t>destinati a strutture produttive ubicate nel territorio dello Stato.</w:t>
      </w:r>
    </w:p>
    <w:p w14:paraId="76F7E906" w14:textId="7C825E0B" w:rsidR="00BE5F1F" w:rsidRPr="00BE5F1F" w:rsidRDefault="00BE5F1F" w:rsidP="00BE5F1F">
      <w:pPr>
        <w:spacing w:line="360" w:lineRule="auto"/>
        <w:jc w:val="both"/>
        <w:rPr>
          <w:rFonts w:cs="Tahoma"/>
          <w:bCs/>
          <w:iCs/>
          <w:color w:val="000000" w:themeColor="text1"/>
          <w:szCs w:val="20"/>
        </w:rPr>
      </w:pPr>
      <w:r w:rsidRPr="00BE5F1F">
        <w:rPr>
          <w:rFonts w:cs="Tahoma"/>
          <w:bCs/>
          <w:iCs/>
          <w:color w:val="000000" w:themeColor="text1"/>
          <w:szCs w:val="20"/>
        </w:rPr>
        <w:t xml:space="preserve">La menzionata disciplina, applicabile agli investimenti effettuati </w:t>
      </w:r>
      <w:r w:rsidRPr="00BE5F1F">
        <w:rPr>
          <w:rFonts w:cs="Tahoma"/>
          <w:b/>
          <w:iCs/>
          <w:color w:val="000000" w:themeColor="text1"/>
          <w:szCs w:val="20"/>
        </w:rPr>
        <w:t>a partire dal 16 novembre 2020</w:t>
      </w:r>
      <w:r w:rsidRPr="00BE5F1F">
        <w:rPr>
          <w:rFonts w:cs="Tahoma"/>
          <w:bCs/>
          <w:iCs/>
          <w:color w:val="000000" w:themeColor="text1"/>
          <w:szCs w:val="20"/>
        </w:rPr>
        <w:t>, si pone in linea di continuità con il precedente intervento operato dall’articolo 1, commi da 184 a 197, della legge 27 dicembre 2019, n. 160 (legge di bilancio 2020), nell’ambito della ridefinizione della disciplina degli incentivi fiscali previsti dal Piano nazionale Impresa 4.0.</w:t>
      </w:r>
    </w:p>
    <w:p w14:paraId="439D401D" w14:textId="300365C0" w:rsidR="00F7443F" w:rsidRDefault="00BE5F1F" w:rsidP="00BE5F1F">
      <w:pPr>
        <w:spacing w:line="360" w:lineRule="auto"/>
        <w:jc w:val="both"/>
        <w:rPr>
          <w:rFonts w:cs="Tahoma"/>
          <w:bCs/>
          <w:iCs/>
          <w:color w:val="000000" w:themeColor="text1"/>
          <w:szCs w:val="20"/>
        </w:rPr>
      </w:pPr>
      <w:r w:rsidRPr="00BE5F1F">
        <w:rPr>
          <w:rFonts w:cs="Tahoma"/>
          <w:bCs/>
          <w:iCs/>
          <w:color w:val="000000" w:themeColor="text1"/>
          <w:szCs w:val="20"/>
        </w:rPr>
        <w:t>La novità più importante recata dalla citata legge n. 160</w:t>
      </w:r>
      <w:r>
        <w:rPr>
          <w:rFonts w:cs="Tahoma"/>
          <w:bCs/>
          <w:iCs/>
          <w:color w:val="000000" w:themeColor="text1"/>
          <w:szCs w:val="20"/>
        </w:rPr>
        <w:t>/</w:t>
      </w:r>
      <w:r w:rsidRPr="00BE5F1F">
        <w:rPr>
          <w:rFonts w:cs="Tahoma"/>
          <w:bCs/>
          <w:iCs/>
          <w:color w:val="000000" w:themeColor="text1"/>
          <w:szCs w:val="20"/>
        </w:rPr>
        <w:t>2019 ha riguardato la “trasformazione” del beneficio, accordato dalle precedenti normative in forma di maggiorazione del costo rilevante agli effetti delle quote di ammortamento deducibili dal reddito d’impresa (o di lavoro autonomo), in forma di credito d’imposta</w:t>
      </w:r>
      <w:r w:rsidR="00657B31">
        <w:rPr>
          <w:rFonts w:cs="Tahoma"/>
          <w:bCs/>
          <w:iCs/>
          <w:color w:val="000000" w:themeColor="text1"/>
          <w:szCs w:val="20"/>
        </w:rPr>
        <w:t>.</w:t>
      </w:r>
    </w:p>
    <w:p w14:paraId="1B7EC1E7" w14:textId="032364D9" w:rsidR="00813049" w:rsidRDefault="00813049" w:rsidP="00BE5F1F">
      <w:pPr>
        <w:spacing w:line="360" w:lineRule="auto"/>
        <w:jc w:val="both"/>
        <w:rPr>
          <w:rFonts w:cs="Tahoma"/>
          <w:bCs/>
          <w:iCs/>
          <w:color w:val="000000" w:themeColor="text1"/>
          <w:szCs w:val="20"/>
        </w:rPr>
      </w:pPr>
      <w:r>
        <w:rPr>
          <w:rFonts w:cs="Tahoma"/>
          <w:bCs/>
          <w:iCs/>
          <w:color w:val="000000" w:themeColor="text1"/>
          <w:szCs w:val="20"/>
        </w:rPr>
        <w:t>Con l’</w:t>
      </w:r>
      <w:r w:rsidRPr="001E4267">
        <w:rPr>
          <w:rFonts w:cs="Tahoma"/>
          <w:b/>
          <w:iCs/>
          <w:color w:val="000000" w:themeColor="text1"/>
          <w:szCs w:val="20"/>
        </w:rPr>
        <w:t>approssimarsi della fine dell’anno</w:t>
      </w:r>
      <w:r w:rsidRPr="00A258BF">
        <w:rPr>
          <w:rFonts w:cs="Tahoma"/>
          <w:bCs/>
          <w:iCs/>
          <w:color w:val="000000" w:themeColor="text1"/>
          <w:szCs w:val="20"/>
        </w:rPr>
        <w:t xml:space="preserve"> </w:t>
      </w:r>
      <w:r>
        <w:rPr>
          <w:rFonts w:cs="Tahoma"/>
          <w:bCs/>
          <w:iCs/>
          <w:color w:val="000000" w:themeColor="text1"/>
          <w:szCs w:val="20"/>
        </w:rPr>
        <w:t xml:space="preserve">occorre porre attenzione agli adempimenti da porre in essere per non perdere l’agevolazione nella misura maggiorata vigente nel 2021, anche in caso di </w:t>
      </w:r>
      <w:r w:rsidRPr="001E4267">
        <w:rPr>
          <w:rFonts w:cs="Tahoma"/>
          <w:b/>
          <w:iCs/>
          <w:color w:val="000000" w:themeColor="text1"/>
          <w:szCs w:val="20"/>
        </w:rPr>
        <w:t>consegne entro i primi mesi del 2022</w:t>
      </w:r>
      <w:r>
        <w:rPr>
          <w:rFonts w:cs="Tahoma"/>
          <w:bCs/>
          <w:iCs/>
          <w:color w:val="000000" w:themeColor="text1"/>
          <w:szCs w:val="20"/>
        </w:rPr>
        <w:t xml:space="preserve"> (</w:t>
      </w:r>
      <w:r w:rsidR="00B076DD">
        <w:rPr>
          <w:rFonts w:cs="Tahoma"/>
          <w:bCs/>
          <w:iCs/>
          <w:color w:val="000000" w:themeColor="text1"/>
          <w:szCs w:val="20"/>
        </w:rPr>
        <w:t xml:space="preserve">ipotesi </w:t>
      </w:r>
      <w:r>
        <w:rPr>
          <w:rFonts w:cs="Tahoma"/>
          <w:bCs/>
          <w:iCs/>
          <w:color w:val="000000" w:themeColor="text1"/>
          <w:szCs w:val="20"/>
        </w:rPr>
        <w:t>frequent</w:t>
      </w:r>
      <w:r w:rsidR="00B076DD">
        <w:rPr>
          <w:rFonts w:cs="Tahoma"/>
          <w:bCs/>
          <w:iCs/>
          <w:color w:val="000000" w:themeColor="text1"/>
          <w:szCs w:val="20"/>
        </w:rPr>
        <w:t>e</w:t>
      </w:r>
      <w:r>
        <w:rPr>
          <w:rFonts w:cs="Tahoma"/>
          <w:bCs/>
          <w:iCs/>
          <w:color w:val="000000" w:themeColor="text1"/>
          <w:szCs w:val="20"/>
        </w:rPr>
        <w:t>, visti i ritardi legati all’approvvigionamento d</w:t>
      </w:r>
      <w:r w:rsidR="00B076DD">
        <w:rPr>
          <w:rFonts w:cs="Tahoma"/>
          <w:bCs/>
          <w:iCs/>
          <w:color w:val="000000" w:themeColor="text1"/>
          <w:szCs w:val="20"/>
        </w:rPr>
        <w:t>elle</w:t>
      </w:r>
      <w:r>
        <w:rPr>
          <w:rFonts w:cs="Tahoma"/>
          <w:bCs/>
          <w:iCs/>
          <w:color w:val="000000" w:themeColor="text1"/>
          <w:szCs w:val="20"/>
        </w:rPr>
        <w:t xml:space="preserve"> materie prime).</w:t>
      </w:r>
    </w:p>
    <w:p w14:paraId="75B15BF5" w14:textId="7319EA51" w:rsidR="007B4BD3" w:rsidRPr="007F356B" w:rsidRDefault="00657B31" w:rsidP="00BE5F1F">
      <w:pPr>
        <w:spacing w:line="360" w:lineRule="auto"/>
        <w:jc w:val="both"/>
        <w:rPr>
          <w:rFonts w:cs="Tahoma"/>
          <w:bCs/>
          <w:iCs/>
          <w:color w:val="000000" w:themeColor="text1"/>
          <w:szCs w:val="20"/>
        </w:rPr>
      </w:pPr>
      <w:r>
        <w:rPr>
          <w:rFonts w:cs="Tahoma"/>
          <w:bCs/>
          <w:iCs/>
          <w:color w:val="000000" w:themeColor="text1"/>
          <w:szCs w:val="20"/>
        </w:rPr>
        <w:t>Si propone</w:t>
      </w:r>
      <w:r w:rsidR="007B4BD3">
        <w:rPr>
          <w:rFonts w:cs="Tahoma"/>
          <w:bCs/>
          <w:iCs/>
          <w:color w:val="000000" w:themeColor="text1"/>
          <w:szCs w:val="20"/>
        </w:rPr>
        <w:t xml:space="preserve"> un approfondimento sul credito d’imposta per gli investimenti in beni strumentali (4.0 e NON) analizzando</w:t>
      </w:r>
      <w:r w:rsidR="006521B5">
        <w:rPr>
          <w:rFonts w:cs="Tahoma"/>
          <w:bCs/>
          <w:iCs/>
          <w:color w:val="000000" w:themeColor="text1"/>
          <w:szCs w:val="20"/>
        </w:rPr>
        <w:t>ne</w:t>
      </w:r>
      <w:r w:rsidR="007B4BD3">
        <w:rPr>
          <w:rFonts w:cs="Tahoma"/>
          <w:bCs/>
          <w:iCs/>
          <w:color w:val="000000" w:themeColor="text1"/>
          <w:szCs w:val="20"/>
        </w:rPr>
        <w:t xml:space="preserve"> i presupposti soggettivi e oggettivi per accedere all’incentivo, oltre alle modalità di utilizzo</w:t>
      </w:r>
      <w:r w:rsidR="001B02EB">
        <w:rPr>
          <w:rFonts w:cs="Tahoma"/>
          <w:bCs/>
          <w:iCs/>
          <w:color w:val="000000" w:themeColor="text1"/>
          <w:szCs w:val="20"/>
        </w:rPr>
        <w:t>, le ipotesi di cumulo con altre agevolazioni</w:t>
      </w:r>
      <w:r w:rsidR="007B4BD3">
        <w:rPr>
          <w:rFonts w:cs="Tahoma"/>
          <w:bCs/>
          <w:iCs/>
          <w:color w:val="000000" w:themeColor="text1"/>
          <w:szCs w:val="20"/>
        </w:rPr>
        <w:t xml:space="preserve"> e gli </w:t>
      </w:r>
      <w:r w:rsidR="007B4BD3" w:rsidRPr="007F356B">
        <w:rPr>
          <w:rFonts w:cs="Tahoma"/>
          <w:bCs/>
          <w:iCs/>
          <w:color w:val="000000" w:themeColor="text1"/>
          <w:szCs w:val="20"/>
        </w:rPr>
        <w:t>adempimenti connessi</w:t>
      </w:r>
      <w:r w:rsidR="00813049" w:rsidRPr="007F356B">
        <w:rPr>
          <w:rFonts w:cs="Tahoma"/>
          <w:bCs/>
          <w:iCs/>
          <w:color w:val="000000" w:themeColor="text1"/>
          <w:szCs w:val="20"/>
        </w:rPr>
        <w:t>.</w:t>
      </w:r>
      <w:r w:rsidR="00B076DD" w:rsidRPr="007F356B">
        <w:rPr>
          <w:rFonts w:cs="Tahoma"/>
          <w:bCs/>
          <w:iCs/>
          <w:color w:val="000000" w:themeColor="text1"/>
          <w:szCs w:val="20"/>
        </w:rPr>
        <w:t xml:space="preserve"> Si propone inoltre un </w:t>
      </w:r>
      <w:r w:rsidR="00B076DD" w:rsidRPr="007F356B">
        <w:rPr>
          <w:rFonts w:cs="Tahoma"/>
          <w:b/>
          <w:iCs/>
          <w:color w:val="000000" w:themeColor="text1"/>
          <w:szCs w:val="20"/>
        </w:rPr>
        <w:t>fac-simile del modello di autocertificazione</w:t>
      </w:r>
      <w:r w:rsidR="00B076DD" w:rsidRPr="007F356B">
        <w:rPr>
          <w:rFonts w:cs="Tahoma"/>
          <w:bCs/>
          <w:iCs/>
          <w:color w:val="000000" w:themeColor="text1"/>
          <w:szCs w:val="20"/>
        </w:rPr>
        <w:t xml:space="preserve">, da redigere a firma del legale rappresentante </w:t>
      </w:r>
      <w:r w:rsidR="00B076DD" w:rsidRPr="007F356B">
        <w:rPr>
          <w:rFonts w:cs="Tahoma"/>
          <w:b/>
          <w:iCs/>
          <w:color w:val="000000" w:themeColor="text1"/>
          <w:szCs w:val="20"/>
        </w:rPr>
        <w:t>entro la fine del periodo di imposta di riferimento</w:t>
      </w:r>
      <w:r w:rsidR="00AF7F81" w:rsidRPr="007F356B">
        <w:rPr>
          <w:rFonts w:cs="Tahoma"/>
          <w:bCs/>
          <w:iCs/>
          <w:color w:val="000000" w:themeColor="text1"/>
          <w:szCs w:val="20"/>
        </w:rPr>
        <w:t xml:space="preserve"> e le </w:t>
      </w:r>
      <w:r w:rsidR="00AF7F81" w:rsidRPr="007F356B">
        <w:rPr>
          <w:rFonts w:cs="Tahoma"/>
          <w:b/>
          <w:iCs/>
          <w:color w:val="000000" w:themeColor="text1"/>
          <w:szCs w:val="20"/>
        </w:rPr>
        <w:t xml:space="preserve">novità in materia introdotte </w:t>
      </w:r>
      <w:r w:rsidR="00A258BF" w:rsidRPr="007F356B">
        <w:rPr>
          <w:rFonts w:cs="Tahoma"/>
          <w:b/>
          <w:iCs/>
          <w:color w:val="000000" w:themeColor="text1"/>
          <w:szCs w:val="20"/>
        </w:rPr>
        <w:t>dalla Legge di</w:t>
      </w:r>
      <w:r w:rsidR="00AF7F81" w:rsidRPr="007F356B">
        <w:rPr>
          <w:rFonts w:cs="Tahoma"/>
          <w:b/>
          <w:iCs/>
          <w:color w:val="000000" w:themeColor="text1"/>
          <w:szCs w:val="20"/>
        </w:rPr>
        <w:t xml:space="preserve"> Bilancio 2022</w:t>
      </w:r>
      <w:r w:rsidR="00A258BF" w:rsidRPr="007F356B">
        <w:rPr>
          <w:rFonts w:cs="Tahoma"/>
          <w:bCs/>
          <w:iCs/>
          <w:color w:val="000000" w:themeColor="text1"/>
          <w:szCs w:val="20"/>
        </w:rPr>
        <w:t xml:space="preserve"> (L</w:t>
      </w:r>
      <w:r w:rsidR="00C62EEF" w:rsidRPr="007F356B">
        <w:rPr>
          <w:rFonts w:cs="Tahoma"/>
          <w:bCs/>
          <w:iCs/>
          <w:color w:val="000000" w:themeColor="text1"/>
          <w:szCs w:val="20"/>
        </w:rPr>
        <w:t>egge</w:t>
      </w:r>
      <w:r w:rsidR="00A258BF" w:rsidRPr="007F356B">
        <w:rPr>
          <w:rFonts w:cs="Tahoma"/>
          <w:bCs/>
          <w:iCs/>
          <w:color w:val="000000" w:themeColor="text1"/>
          <w:szCs w:val="20"/>
        </w:rPr>
        <w:t xml:space="preserve"> 30 dicembre 2021, n. 234)</w:t>
      </w:r>
    </w:p>
    <w:p w14:paraId="64849262" w14:textId="77777777" w:rsidR="00C76ED3" w:rsidRDefault="00C76ED3" w:rsidP="00B82DA4">
      <w:pPr>
        <w:spacing w:after="0" w:line="240" w:lineRule="auto"/>
        <w:rPr>
          <w:rFonts w:cs="Tahoma"/>
          <w:strike/>
          <w:color w:val="000000" w:themeColor="text1"/>
        </w:rPr>
        <w:sectPr w:rsidR="00C76ED3" w:rsidSect="00A90ED0">
          <w:pgSz w:w="11906" w:h="16838"/>
          <w:pgMar w:top="833" w:right="1134" w:bottom="1134" w:left="1134" w:header="708" w:footer="708" w:gutter="0"/>
          <w:cols w:space="708"/>
          <w:titlePg/>
          <w:docGrid w:linePitch="360"/>
        </w:sectPr>
      </w:pPr>
    </w:p>
    <w:p w14:paraId="129AD12C" w14:textId="77777777" w:rsidR="00D9654B" w:rsidRPr="00A90ED0" w:rsidRDefault="00D9654B" w:rsidP="00D9654B">
      <w:pPr>
        <w:shd w:val="clear" w:color="auto" w:fill="FFFFFF"/>
        <w:jc w:val="center"/>
        <w:rPr>
          <w:rFonts w:cs="Tahoma"/>
          <w:b/>
          <w:bCs/>
          <w:i/>
          <w:color w:val="222222"/>
          <w:sz w:val="28"/>
          <w:szCs w:val="28"/>
          <w:lang w:eastAsia="it-IT"/>
        </w:rPr>
      </w:pPr>
      <w:r w:rsidRPr="00A90ED0">
        <w:rPr>
          <w:rFonts w:cs="Tahoma"/>
          <w:b/>
          <w:bCs/>
          <w:i/>
          <w:color w:val="222222"/>
          <w:sz w:val="28"/>
          <w:szCs w:val="28"/>
        </w:rPr>
        <w:lastRenderedPageBreak/>
        <w:t xml:space="preserve">Clara </w:t>
      </w:r>
      <w:proofErr w:type="spellStart"/>
      <w:r w:rsidRPr="00A90ED0">
        <w:rPr>
          <w:rFonts w:cs="Tahoma"/>
          <w:b/>
          <w:bCs/>
          <w:i/>
          <w:color w:val="222222"/>
          <w:sz w:val="28"/>
          <w:szCs w:val="28"/>
        </w:rPr>
        <w:t>Pollet</w:t>
      </w:r>
      <w:proofErr w:type="spellEnd"/>
    </w:p>
    <w:p w14:paraId="4E1D5431" w14:textId="178D578E" w:rsidR="00774B6C" w:rsidRPr="002668A5" w:rsidRDefault="00774B6C" w:rsidP="00A90ED0">
      <w:pPr>
        <w:shd w:val="clear" w:color="auto" w:fill="FFFFFF"/>
        <w:spacing w:line="360" w:lineRule="auto"/>
        <w:jc w:val="both"/>
        <w:rPr>
          <w:rFonts w:cs="Tahoma"/>
          <w:sz w:val="24"/>
          <w:szCs w:val="24"/>
        </w:rPr>
      </w:pPr>
      <w:r w:rsidRPr="002668A5">
        <w:rPr>
          <w:rFonts w:cs="Tahoma"/>
          <w:sz w:val="24"/>
          <w:szCs w:val="24"/>
        </w:rPr>
        <w:t xml:space="preserve">Dottore commercialista e revisore legale. Dopo 23 anni di lavoro in </w:t>
      </w:r>
      <w:r w:rsidR="005A19B0">
        <w:rPr>
          <w:rFonts w:cs="Tahoma"/>
          <w:sz w:val="24"/>
          <w:szCs w:val="24"/>
        </w:rPr>
        <w:t>un’</w:t>
      </w:r>
      <w:r w:rsidRPr="002668A5">
        <w:rPr>
          <w:rFonts w:cs="Tahoma"/>
          <w:sz w:val="24"/>
          <w:szCs w:val="24"/>
        </w:rPr>
        <w:t>Associazione di categoria di Torino e Provincia (Api Torino) come responsabile del Servizio fiscale tributario, fornendo assistenza a circa 2.000 PMI, oggi commercialista indipendente, in collaborazione con Simone Dimitri, collega e coautore di diversi prodotti editoriali. Attività quotidiana dedicata allo studio delle problematiche IVA connesse alle operazioni italiane, comunitarie, extracomunitarie e triangolari, oltre alle tematiche di bilancio e reddito di impresa. Gli argomenti descritti sono anche oggetto di articoli settimanali e approfondimenti pubblicati su diverse testate online e riviste di settore.</w:t>
      </w:r>
      <w:r w:rsidR="005A19B0">
        <w:rPr>
          <w:rFonts w:cs="Tahoma"/>
          <w:sz w:val="24"/>
          <w:szCs w:val="24"/>
        </w:rPr>
        <w:t xml:space="preserve"> </w:t>
      </w:r>
      <w:r w:rsidR="00285529">
        <w:rPr>
          <w:rFonts w:cs="Tahoma"/>
          <w:sz w:val="24"/>
          <w:szCs w:val="24"/>
        </w:rPr>
        <w:t>c</w:t>
      </w:r>
      <w:r w:rsidR="005A19B0" w:rsidRPr="00285529">
        <w:rPr>
          <w:rFonts w:cs="Tahoma"/>
          <w:sz w:val="24"/>
          <w:szCs w:val="24"/>
        </w:rPr>
        <w:t>ontatti: consulenza@toolstudio.it</w:t>
      </w:r>
    </w:p>
    <w:p w14:paraId="24AADDB7" w14:textId="77777777" w:rsidR="00D9654B" w:rsidRPr="00A90ED0" w:rsidRDefault="00D9654B" w:rsidP="00D9654B">
      <w:pPr>
        <w:shd w:val="clear" w:color="auto" w:fill="FFFFFF"/>
        <w:jc w:val="center"/>
        <w:rPr>
          <w:rFonts w:cs="Tahoma"/>
          <w:b/>
          <w:bCs/>
          <w:i/>
          <w:color w:val="222222"/>
          <w:sz w:val="28"/>
          <w:szCs w:val="28"/>
        </w:rPr>
      </w:pPr>
      <w:r w:rsidRPr="00A90ED0">
        <w:rPr>
          <w:rFonts w:cs="Tahoma"/>
          <w:b/>
          <w:bCs/>
          <w:i/>
          <w:color w:val="222222"/>
          <w:sz w:val="28"/>
          <w:szCs w:val="28"/>
        </w:rPr>
        <w:t>Simone Dimitri</w:t>
      </w:r>
    </w:p>
    <w:p w14:paraId="147A9BAD" w14:textId="3E6BCF51" w:rsidR="00774B6C" w:rsidRPr="00835BD0" w:rsidRDefault="00774B6C" w:rsidP="00A90ED0">
      <w:pPr>
        <w:shd w:val="clear" w:color="auto" w:fill="FFFFFF"/>
        <w:spacing w:line="360" w:lineRule="auto"/>
        <w:jc w:val="both"/>
        <w:rPr>
          <w:rFonts w:cs="Tahoma"/>
          <w:sz w:val="24"/>
          <w:szCs w:val="24"/>
        </w:rPr>
      </w:pPr>
      <w:r w:rsidRPr="00835BD0">
        <w:rPr>
          <w:rFonts w:cs="Tahoma"/>
          <w:sz w:val="24"/>
          <w:szCs w:val="24"/>
        </w:rPr>
        <w:t xml:space="preserve">Consulente fiscale. Dopo 10 anni da funzionario dell’Ufficio fiscale e tributario dell'Associazione di categoria delle Piccole e medie imprese di Torino e Provincia (API Torino), </w:t>
      </w:r>
      <w:r>
        <w:rPr>
          <w:rFonts w:cs="Tahoma"/>
          <w:sz w:val="24"/>
          <w:szCs w:val="24"/>
        </w:rPr>
        <w:t>fornendo assistenza a</w:t>
      </w:r>
      <w:r w:rsidRPr="00835BD0">
        <w:rPr>
          <w:rFonts w:cs="Tahoma"/>
          <w:sz w:val="24"/>
          <w:szCs w:val="24"/>
        </w:rPr>
        <w:t xml:space="preserve"> circa 2.000 </w:t>
      </w:r>
      <w:r>
        <w:rPr>
          <w:rFonts w:cs="Tahoma"/>
          <w:sz w:val="24"/>
          <w:szCs w:val="24"/>
        </w:rPr>
        <w:t>PMI</w:t>
      </w:r>
      <w:r w:rsidRPr="00835BD0">
        <w:rPr>
          <w:rFonts w:cs="Tahoma"/>
          <w:sz w:val="24"/>
          <w:szCs w:val="24"/>
        </w:rPr>
        <w:t xml:space="preserve">, oggi consulente d’impresa </w:t>
      </w:r>
      <w:r>
        <w:rPr>
          <w:rFonts w:cs="Tahoma"/>
          <w:sz w:val="24"/>
          <w:szCs w:val="24"/>
        </w:rPr>
        <w:t xml:space="preserve">indipendente, in collaborazione </w:t>
      </w:r>
      <w:r w:rsidRPr="00835BD0">
        <w:rPr>
          <w:rFonts w:cs="Tahoma"/>
          <w:sz w:val="24"/>
          <w:szCs w:val="24"/>
        </w:rPr>
        <w:t xml:space="preserve">con </w:t>
      </w:r>
      <w:r>
        <w:rPr>
          <w:rFonts w:cs="Tahoma"/>
          <w:sz w:val="24"/>
          <w:szCs w:val="24"/>
        </w:rPr>
        <w:t xml:space="preserve">Clara </w:t>
      </w:r>
      <w:proofErr w:type="spellStart"/>
      <w:r>
        <w:rPr>
          <w:rFonts w:cs="Tahoma"/>
          <w:sz w:val="24"/>
          <w:szCs w:val="24"/>
        </w:rPr>
        <w:t>Pollet</w:t>
      </w:r>
      <w:proofErr w:type="spellEnd"/>
      <w:r>
        <w:rPr>
          <w:rFonts w:cs="Tahoma"/>
          <w:sz w:val="24"/>
          <w:szCs w:val="24"/>
        </w:rPr>
        <w:t>,</w:t>
      </w:r>
      <w:r w:rsidRPr="00835BD0">
        <w:rPr>
          <w:rFonts w:cs="Tahoma"/>
          <w:sz w:val="24"/>
          <w:szCs w:val="24"/>
        </w:rPr>
        <w:t xml:space="preserve"> collega e coautrice di diversi prodotti editoriali. Attività quotidiana dedicata allo studio delle problematiche IVA connesse alle operazioni italiane, comunitarie, extracomunitarie e triangolari, oltre alle </w:t>
      </w:r>
      <w:r>
        <w:rPr>
          <w:rFonts w:cs="Tahoma"/>
          <w:sz w:val="24"/>
          <w:szCs w:val="24"/>
        </w:rPr>
        <w:t>tematiche</w:t>
      </w:r>
      <w:r w:rsidRPr="00835BD0">
        <w:rPr>
          <w:rFonts w:cs="Tahoma"/>
          <w:sz w:val="24"/>
          <w:szCs w:val="24"/>
        </w:rPr>
        <w:t xml:space="preserve"> di bilancio e reddito di impresa. </w:t>
      </w:r>
      <w:r>
        <w:rPr>
          <w:rFonts w:cs="Tahoma"/>
          <w:sz w:val="24"/>
          <w:szCs w:val="24"/>
        </w:rPr>
        <w:t>Gli argomenti</w:t>
      </w:r>
      <w:r w:rsidRPr="00835BD0">
        <w:rPr>
          <w:rFonts w:cs="Tahoma"/>
          <w:sz w:val="24"/>
          <w:szCs w:val="24"/>
        </w:rPr>
        <w:t xml:space="preserve"> </w:t>
      </w:r>
      <w:r>
        <w:rPr>
          <w:rFonts w:cs="Tahoma"/>
          <w:sz w:val="24"/>
          <w:szCs w:val="24"/>
        </w:rPr>
        <w:t>descritti</w:t>
      </w:r>
      <w:r w:rsidRPr="00835BD0">
        <w:rPr>
          <w:rFonts w:cs="Tahoma"/>
          <w:sz w:val="24"/>
          <w:szCs w:val="24"/>
        </w:rPr>
        <w:t xml:space="preserve"> sono anche oggetto di articoli settimanali e approfondimenti pubblicati su diverse testate online e riviste di settore.</w:t>
      </w:r>
      <w:r w:rsidR="005A19B0">
        <w:rPr>
          <w:rFonts w:cs="Tahoma"/>
          <w:sz w:val="24"/>
          <w:szCs w:val="24"/>
        </w:rPr>
        <w:t xml:space="preserve"> </w:t>
      </w:r>
      <w:r w:rsidR="00285529" w:rsidRPr="00285529">
        <w:rPr>
          <w:rFonts w:cs="Tahoma"/>
          <w:sz w:val="24"/>
          <w:szCs w:val="24"/>
        </w:rPr>
        <w:t>c</w:t>
      </w:r>
      <w:r w:rsidR="005A19B0" w:rsidRPr="00285529">
        <w:rPr>
          <w:rFonts w:cs="Tahoma"/>
          <w:sz w:val="24"/>
          <w:szCs w:val="24"/>
        </w:rPr>
        <w:t>ontatti: consulenza@toolstudio.it</w:t>
      </w:r>
    </w:p>
    <w:p w14:paraId="27DF3A47" w14:textId="77777777" w:rsidR="00EE0DC9" w:rsidRPr="008B2DD6" w:rsidRDefault="00EE0DC9" w:rsidP="00525A60">
      <w:pPr>
        <w:spacing w:line="360" w:lineRule="auto"/>
        <w:jc w:val="both"/>
        <w:rPr>
          <w:rFonts w:cs="Tahoma"/>
          <w:sz w:val="22"/>
        </w:rPr>
      </w:pPr>
    </w:p>
    <w:p w14:paraId="39CB6DFD" w14:textId="6805237E" w:rsidR="00EE0DC9" w:rsidRPr="00995E1C" w:rsidRDefault="00EE0DC9" w:rsidP="00D9654B">
      <w:pPr>
        <w:spacing w:line="360" w:lineRule="auto"/>
        <w:jc w:val="center"/>
        <w:rPr>
          <w:rFonts w:cs="Tahoma"/>
          <w:sz w:val="22"/>
        </w:rPr>
      </w:pPr>
      <w:r w:rsidRPr="00995E1C">
        <w:rPr>
          <w:rFonts w:cs="Tahoma"/>
          <w:sz w:val="22"/>
        </w:rPr>
        <w:t>ISBN:</w:t>
      </w:r>
      <w:r w:rsidR="00D9654B" w:rsidRPr="00995E1C">
        <w:rPr>
          <w:sz w:val="22"/>
        </w:rPr>
        <w:t xml:space="preserve"> </w:t>
      </w:r>
      <w:r w:rsidR="007F356B" w:rsidRPr="007F356B">
        <w:rPr>
          <w:sz w:val="22"/>
        </w:rPr>
        <w:t>9788891653307</w:t>
      </w:r>
    </w:p>
    <w:p w14:paraId="4C476597" w14:textId="4FC75652" w:rsidR="00EE0DC9" w:rsidRPr="00995E1C" w:rsidRDefault="00EE0DC9" w:rsidP="00D9654B">
      <w:pPr>
        <w:spacing w:line="360" w:lineRule="auto"/>
        <w:jc w:val="center"/>
        <w:rPr>
          <w:rFonts w:cs="Tahoma"/>
          <w:sz w:val="22"/>
          <w:lang w:eastAsia="it-IT"/>
        </w:rPr>
      </w:pPr>
      <w:r w:rsidRPr="00995E1C">
        <w:rPr>
          <w:rFonts w:cs="Tahoma"/>
          <w:sz w:val="22"/>
          <w:lang w:eastAsia="it-IT"/>
        </w:rPr>
        <w:t xml:space="preserve">© Copyright </w:t>
      </w:r>
      <w:r w:rsidR="004A4546" w:rsidRPr="00995E1C">
        <w:rPr>
          <w:rFonts w:cs="Tahoma"/>
          <w:sz w:val="22"/>
          <w:lang w:eastAsia="it-IT"/>
        </w:rPr>
        <w:t>202</w:t>
      </w:r>
      <w:r w:rsidR="00774B6C" w:rsidRPr="00995E1C">
        <w:rPr>
          <w:rFonts w:cs="Tahoma"/>
          <w:sz w:val="22"/>
          <w:lang w:eastAsia="it-IT"/>
        </w:rPr>
        <w:t>1</w:t>
      </w:r>
      <w:r w:rsidRPr="00995E1C">
        <w:rPr>
          <w:rFonts w:cs="Tahoma"/>
          <w:sz w:val="22"/>
          <w:lang w:eastAsia="it-IT"/>
        </w:rPr>
        <w:t xml:space="preserve"> </w:t>
      </w:r>
      <w:r w:rsidR="00EA261B" w:rsidRPr="00995E1C">
        <w:rPr>
          <w:rFonts w:cs="Tahoma"/>
          <w:sz w:val="22"/>
          <w:lang w:eastAsia="it-IT"/>
        </w:rPr>
        <w:t>Maggioli</w:t>
      </w:r>
    </w:p>
    <w:p w14:paraId="6A113429" w14:textId="54C21478" w:rsidR="00EE0DC9" w:rsidRPr="007F356B" w:rsidRDefault="007171AD" w:rsidP="00D9654B">
      <w:pPr>
        <w:spacing w:line="360" w:lineRule="auto"/>
        <w:jc w:val="center"/>
        <w:rPr>
          <w:rFonts w:cs="Tahoma"/>
          <w:color w:val="000000" w:themeColor="text1"/>
          <w:sz w:val="22"/>
          <w:lang w:eastAsia="it-IT"/>
        </w:rPr>
      </w:pPr>
      <w:r w:rsidRPr="007F356B">
        <w:rPr>
          <w:rFonts w:cs="Tahoma"/>
          <w:color w:val="000000" w:themeColor="text1"/>
          <w:sz w:val="22"/>
          <w:lang w:eastAsia="it-IT"/>
        </w:rPr>
        <w:t>Gennaio 2022</w:t>
      </w:r>
    </w:p>
    <w:p w14:paraId="0B750348" w14:textId="7237DF02" w:rsidR="00EE0DC9" w:rsidRPr="00995E1C" w:rsidRDefault="00243D78" w:rsidP="00A90ED0">
      <w:pPr>
        <w:spacing w:line="360" w:lineRule="auto"/>
        <w:jc w:val="center"/>
        <w:rPr>
          <w:rFonts w:cs="Tahoma"/>
          <w:sz w:val="22"/>
          <w:lang w:eastAsia="it-IT"/>
        </w:rPr>
      </w:pPr>
      <w:hyperlink r:id="rId17" w:history="1">
        <w:r w:rsidR="00EE0DC9" w:rsidRPr="00995E1C">
          <w:rPr>
            <w:rFonts w:cs="Tahoma"/>
            <w:color w:val="0000FF"/>
            <w:sz w:val="22"/>
            <w:u w:val="single"/>
            <w:lang w:eastAsia="it-IT"/>
          </w:rPr>
          <w:t>www.fiscoetasse.com</w:t>
        </w:r>
      </w:hyperlink>
    </w:p>
    <w:p w14:paraId="0D2CA9B8" w14:textId="73A57BD2" w:rsidR="00EE0DC9" w:rsidRPr="009F3B86" w:rsidRDefault="00D9654B" w:rsidP="009F3B86">
      <w:pPr>
        <w:spacing w:line="360" w:lineRule="auto"/>
        <w:jc w:val="center"/>
        <w:rPr>
          <w:rFonts w:cs="Tahoma"/>
          <w:szCs w:val="20"/>
        </w:rPr>
      </w:pPr>
      <w:r>
        <w:rPr>
          <w:noProof/>
          <w:lang w:eastAsia="it-IT"/>
        </w:rPr>
        <w:drawing>
          <wp:inline distT="0" distB="0" distL="0" distR="0" wp14:anchorId="57F55F1E" wp14:editId="0346ABFE">
            <wp:extent cx="2306027" cy="632298"/>
            <wp:effectExtent l="0" t="0" r="0" b="0"/>
            <wp:docPr id="2054594365" name="Immagine 205459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23947" cy="637212"/>
                    </a:xfrm>
                    <a:prstGeom prst="rect">
                      <a:avLst/>
                    </a:prstGeom>
                  </pic:spPr>
                </pic:pic>
              </a:graphicData>
            </a:graphic>
          </wp:inline>
        </w:drawing>
      </w:r>
    </w:p>
    <w:p w14:paraId="495142F2" w14:textId="77777777" w:rsidR="00A90ED0" w:rsidRDefault="00A90ED0" w:rsidP="00525A60">
      <w:pPr>
        <w:spacing w:line="360" w:lineRule="auto"/>
        <w:jc w:val="both"/>
        <w:rPr>
          <w:rFonts w:cs="Tahoma"/>
          <w:i/>
          <w:szCs w:val="20"/>
        </w:rPr>
        <w:sectPr w:rsidR="00A90ED0" w:rsidSect="00A90ED0">
          <w:pgSz w:w="11906" w:h="16838"/>
          <w:pgMar w:top="833" w:right="1134" w:bottom="1134" w:left="1134" w:header="708" w:footer="708" w:gutter="0"/>
          <w:cols w:space="708"/>
          <w:titlePg/>
          <w:docGrid w:linePitch="360"/>
        </w:sectPr>
      </w:pPr>
    </w:p>
    <w:p w14:paraId="5AA3BE15" w14:textId="77777777" w:rsidR="00B14B9C" w:rsidRDefault="00EE0DC9" w:rsidP="00B14B9C">
      <w:pPr>
        <w:pStyle w:val="Titolosommario"/>
        <w:spacing w:before="0" w:after="200" w:line="360" w:lineRule="auto"/>
        <w:jc w:val="both"/>
      </w:pPr>
      <w:r w:rsidRPr="00A24B88">
        <w:rPr>
          <w:rFonts w:ascii="Tahoma" w:hAnsi="Tahoma" w:cs="Tahoma"/>
        </w:rPr>
        <w:lastRenderedPageBreak/>
        <w:t>Indice</w:t>
      </w:r>
    </w:p>
    <w:p w14:paraId="6ECC323A" w14:textId="77777777" w:rsidR="00A90ED0" w:rsidRDefault="00A90ED0" w:rsidP="00A90ED0">
      <w:pPr>
        <w:pStyle w:val="Sommario1"/>
      </w:pPr>
    </w:p>
    <w:bookmarkStart w:id="3" w:name="_Toc87446589"/>
    <w:bookmarkStart w:id="4" w:name="_Toc536529346"/>
    <w:bookmarkStart w:id="5" w:name="_Toc470173421"/>
    <w:p w14:paraId="4BFB919D" w14:textId="533984B7" w:rsidR="00AF567E" w:rsidRDefault="001D3F87">
      <w:pPr>
        <w:pStyle w:val="Sommario1"/>
        <w:rPr>
          <w:rFonts w:asciiTheme="minorHAnsi" w:eastAsiaTheme="minorEastAsia" w:hAnsiTheme="minorHAnsi" w:cstheme="minorBidi"/>
          <w:b w:val="0"/>
          <w:bCs w:val="0"/>
          <w:sz w:val="22"/>
          <w:szCs w:val="22"/>
          <w:lang w:eastAsia="it-IT"/>
        </w:rPr>
      </w:pPr>
      <w:r w:rsidRPr="00822E48">
        <w:rPr>
          <w:b w:val="0"/>
          <w:bCs w:val="0"/>
          <w:i/>
          <w:iCs/>
          <w:color w:val="000000" w:themeColor="text1"/>
        </w:rPr>
        <w:fldChar w:fldCharType="begin"/>
      </w:r>
      <w:r w:rsidRPr="00822E48">
        <w:rPr>
          <w:b w:val="0"/>
          <w:bCs w:val="0"/>
          <w:i/>
          <w:iCs/>
          <w:color w:val="000000" w:themeColor="text1"/>
        </w:rPr>
        <w:instrText xml:space="preserve"> TOC \o "1-1" \h \z \t "Titolo 2;2;Titolo 3;3;Titolo 4;4;Titolo 5;5" </w:instrText>
      </w:r>
      <w:r w:rsidRPr="00822E48">
        <w:rPr>
          <w:b w:val="0"/>
          <w:bCs w:val="0"/>
          <w:i/>
          <w:iCs/>
          <w:color w:val="000000" w:themeColor="text1"/>
        </w:rPr>
        <w:fldChar w:fldCharType="separate"/>
      </w:r>
      <w:hyperlink w:anchor="_Toc93327695" w:history="1">
        <w:r w:rsidR="00AF567E" w:rsidRPr="004775E2">
          <w:rPr>
            <w:rStyle w:val="Collegamentoipertestuale"/>
          </w:rPr>
          <w:t>Sintesi</w:t>
        </w:r>
        <w:r w:rsidR="00AF567E">
          <w:rPr>
            <w:webHidden/>
          </w:rPr>
          <w:tab/>
        </w:r>
        <w:r w:rsidR="00AF567E">
          <w:rPr>
            <w:webHidden/>
          </w:rPr>
          <w:fldChar w:fldCharType="begin"/>
        </w:r>
        <w:r w:rsidR="00AF567E">
          <w:rPr>
            <w:webHidden/>
          </w:rPr>
          <w:instrText xml:space="preserve"> PAGEREF _Toc93327695 \h </w:instrText>
        </w:r>
        <w:r w:rsidR="00AF567E">
          <w:rPr>
            <w:webHidden/>
          </w:rPr>
        </w:r>
        <w:r w:rsidR="00AF567E">
          <w:rPr>
            <w:webHidden/>
          </w:rPr>
          <w:fldChar w:fldCharType="separate"/>
        </w:r>
        <w:r w:rsidR="00EA69A4">
          <w:rPr>
            <w:webHidden/>
          </w:rPr>
          <w:t>2</w:t>
        </w:r>
        <w:r w:rsidR="00AF567E">
          <w:rPr>
            <w:webHidden/>
          </w:rPr>
          <w:fldChar w:fldCharType="end"/>
        </w:r>
      </w:hyperlink>
    </w:p>
    <w:p w14:paraId="0D0E2388" w14:textId="615536C7"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1. </w:t>
      </w:r>
      <w:hyperlink w:anchor="_Toc93327696" w:history="1">
        <w:r w:rsidRPr="00AF567E">
          <w:rPr>
            <w:rStyle w:val="Collegamentoipertestuale"/>
            <w:color w:val="auto"/>
            <w:u w:val="none"/>
          </w:rPr>
          <w:t>Introduzione</w:t>
        </w:r>
        <w:r w:rsidRPr="00AF567E">
          <w:rPr>
            <w:webHidden/>
          </w:rPr>
          <w:tab/>
        </w:r>
        <w:r w:rsidRPr="00AF567E">
          <w:rPr>
            <w:webHidden/>
          </w:rPr>
          <w:fldChar w:fldCharType="begin"/>
        </w:r>
        <w:r w:rsidRPr="00AF567E">
          <w:rPr>
            <w:webHidden/>
          </w:rPr>
          <w:instrText xml:space="preserve"> PAGEREF _Toc93327696 \h </w:instrText>
        </w:r>
        <w:r w:rsidRPr="00AF567E">
          <w:rPr>
            <w:webHidden/>
          </w:rPr>
        </w:r>
        <w:r w:rsidRPr="00AF567E">
          <w:rPr>
            <w:webHidden/>
          </w:rPr>
          <w:fldChar w:fldCharType="separate"/>
        </w:r>
        <w:r w:rsidR="00EA69A4">
          <w:rPr>
            <w:webHidden/>
          </w:rPr>
          <w:t>7</w:t>
        </w:r>
        <w:r w:rsidRPr="00AF567E">
          <w:rPr>
            <w:webHidden/>
          </w:rPr>
          <w:fldChar w:fldCharType="end"/>
        </w:r>
      </w:hyperlink>
    </w:p>
    <w:p w14:paraId="7275D6AB" w14:textId="6E5E4655" w:rsidR="00AF567E" w:rsidRPr="00AF567E" w:rsidRDefault="00243D78">
      <w:pPr>
        <w:pStyle w:val="Sommario2"/>
        <w:rPr>
          <w:rFonts w:asciiTheme="minorHAnsi" w:eastAsiaTheme="minorEastAsia" w:hAnsiTheme="minorHAnsi" w:cstheme="minorBidi"/>
          <w:sz w:val="22"/>
          <w:szCs w:val="22"/>
          <w:lang w:eastAsia="it-IT"/>
        </w:rPr>
      </w:pPr>
      <w:hyperlink w:anchor="_Toc93327697" w:history="1">
        <w:r w:rsidR="00AF567E" w:rsidRPr="00AF567E">
          <w:rPr>
            <w:rStyle w:val="Collegamentoipertestuale"/>
            <w:color w:val="auto"/>
            <w:u w:val="none"/>
          </w:rPr>
          <w:t>1.1 Cosa s’intende per beni 4.0</w:t>
        </w:r>
        <w:r w:rsidR="00AF567E" w:rsidRPr="00AF567E">
          <w:rPr>
            <w:webHidden/>
          </w:rPr>
          <w:tab/>
        </w:r>
        <w:r w:rsidR="00AF567E" w:rsidRPr="00AF567E">
          <w:rPr>
            <w:webHidden/>
          </w:rPr>
          <w:fldChar w:fldCharType="begin"/>
        </w:r>
        <w:r w:rsidR="00AF567E" w:rsidRPr="00AF567E">
          <w:rPr>
            <w:webHidden/>
          </w:rPr>
          <w:instrText xml:space="preserve"> PAGEREF _Toc93327697 \h </w:instrText>
        </w:r>
        <w:r w:rsidR="00AF567E" w:rsidRPr="00AF567E">
          <w:rPr>
            <w:webHidden/>
          </w:rPr>
        </w:r>
        <w:r w:rsidR="00AF567E" w:rsidRPr="00AF567E">
          <w:rPr>
            <w:webHidden/>
          </w:rPr>
          <w:fldChar w:fldCharType="separate"/>
        </w:r>
        <w:r w:rsidR="00EA69A4">
          <w:rPr>
            <w:webHidden/>
          </w:rPr>
          <w:t>7</w:t>
        </w:r>
        <w:r w:rsidR="00AF567E" w:rsidRPr="00AF567E">
          <w:rPr>
            <w:webHidden/>
          </w:rPr>
          <w:fldChar w:fldCharType="end"/>
        </w:r>
      </w:hyperlink>
    </w:p>
    <w:p w14:paraId="2DB95C27" w14:textId="3CEC0743" w:rsidR="00AF567E" w:rsidRPr="00AF567E" w:rsidRDefault="00243D78">
      <w:pPr>
        <w:pStyle w:val="Sommario2"/>
        <w:rPr>
          <w:rFonts w:asciiTheme="minorHAnsi" w:eastAsiaTheme="minorEastAsia" w:hAnsiTheme="minorHAnsi" w:cstheme="minorBidi"/>
          <w:sz w:val="22"/>
          <w:szCs w:val="22"/>
          <w:lang w:eastAsia="it-IT"/>
        </w:rPr>
      </w:pPr>
      <w:hyperlink w:anchor="_Toc93327698" w:history="1">
        <w:r w:rsidR="00AF567E" w:rsidRPr="00AF567E">
          <w:rPr>
            <w:rStyle w:val="Collegamentoipertestuale"/>
            <w:color w:val="auto"/>
            <w:u w:val="none"/>
          </w:rPr>
          <w:t>1.2 Il Piano nazionale Industria 4.0</w:t>
        </w:r>
        <w:r w:rsidR="00AF567E" w:rsidRPr="00AF567E">
          <w:rPr>
            <w:webHidden/>
          </w:rPr>
          <w:tab/>
        </w:r>
        <w:r w:rsidR="00AF567E" w:rsidRPr="00AF567E">
          <w:rPr>
            <w:webHidden/>
          </w:rPr>
          <w:fldChar w:fldCharType="begin"/>
        </w:r>
        <w:r w:rsidR="00AF567E" w:rsidRPr="00AF567E">
          <w:rPr>
            <w:webHidden/>
          </w:rPr>
          <w:instrText xml:space="preserve"> PAGEREF _Toc93327698 \h </w:instrText>
        </w:r>
        <w:r w:rsidR="00AF567E" w:rsidRPr="00AF567E">
          <w:rPr>
            <w:webHidden/>
          </w:rPr>
        </w:r>
        <w:r w:rsidR="00AF567E" w:rsidRPr="00AF567E">
          <w:rPr>
            <w:webHidden/>
          </w:rPr>
          <w:fldChar w:fldCharType="separate"/>
        </w:r>
        <w:r w:rsidR="00EA69A4">
          <w:rPr>
            <w:webHidden/>
          </w:rPr>
          <w:t>9</w:t>
        </w:r>
        <w:r w:rsidR="00AF567E" w:rsidRPr="00AF567E">
          <w:rPr>
            <w:webHidden/>
          </w:rPr>
          <w:fldChar w:fldCharType="end"/>
        </w:r>
      </w:hyperlink>
    </w:p>
    <w:p w14:paraId="3B110BBA" w14:textId="266E7842"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2. </w:t>
      </w:r>
      <w:hyperlink w:anchor="_Toc93327699" w:history="1">
        <w:r w:rsidRPr="00AF567E">
          <w:rPr>
            <w:rStyle w:val="Collegamentoipertestuale"/>
            <w:color w:val="auto"/>
            <w:u w:val="none"/>
          </w:rPr>
          <w:t>Ambito soggettivo</w:t>
        </w:r>
        <w:r w:rsidRPr="00AF567E">
          <w:rPr>
            <w:webHidden/>
          </w:rPr>
          <w:tab/>
        </w:r>
        <w:r w:rsidRPr="00AF567E">
          <w:rPr>
            <w:webHidden/>
          </w:rPr>
          <w:fldChar w:fldCharType="begin"/>
        </w:r>
        <w:r w:rsidRPr="00AF567E">
          <w:rPr>
            <w:webHidden/>
          </w:rPr>
          <w:instrText xml:space="preserve"> PAGEREF _Toc93327699 \h </w:instrText>
        </w:r>
        <w:r w:rsidRPr="00AF567E">
          <w:rPr>
            <w:webHidden/>
          </w:rPr>
        </w:r>
        <w:r w:rsidRPr="00AF567E">
          <w:rPr>
            <w:webHidden/>
          </w:rPr>
          <w:fldChar w:fldCharType="separate"/>
        </w:r>
        <w:r w:rsidR="00EA69A4">
          <w:rPr>
            <w:webHidden/>
          </w:rPr>
          <w:t>13</w:t>
        </w:r>
        <w:r w:rsidRPr="00AF567E">
          <w:rPr>
            <w:webHidden/>
          </w:rPr>
          <w:fldChar w:fldCharType="end"/>
        </w:r>
      </w:hyperlink>
    </w:p>
    <w:p w14:paraId="17FBA3F5" w14:textId="1208502F" w:rsidR="00AF567E" w:rsidRPr="00AF567E" w:rsidRDefault="00243D78">
      <w:pPr>
        <w:pStyle w:val="Sommario2"/>
        <w:rPr>
          <w:rFonts w:asciiTheme="minorHAnsi" w:eastAsiaTheme="minorEastAsia" w:hAnsiTheme="minorHAnsi" w:cstheme="minorBidi"/>
          <w:sz w:val="22"/>
          <w:szCs w:val="22"/>
          <w:lang w:eastAsia="it-IT"/>
        </w:rPr>
      </w:pPr>
      <w:hyperlink w:anchor="_Toc93327700" w:history="1">
        <w:r w:rsidR="00AF567E" w:rsidRPr="00AF567E">
          <w:rPr>
            <w:rStyle w:val="Collegamentoipertestuale"/>
            <w:color w:val="auto"/>
            <w:u w:val="none"/>
          </w:rPr>
          <w:t>2.1 Crediti 4.0 per le sole imprese</w:t>
        </w:r>
        <w:r w:rsidR="00AF567E" w:rsidRPr="00AF567E">
          <w:rPr>
            <w:webHidden/>
          </w:rPr>
          <w:tab/>
        </w:r>
        <w:r w:rsidR="00AF567E" w:rsidRPr="00AF567E">
          <w:rPr>
            <w:webHidden/>
          </w:rPr>
          <w:fldChar w:fldCharType="begin"/>
        </w:r>
        <w:r w:rsidR="00AF567E" w:rsidRPr="00AF567E">
          <w:rPr>
            <w:webHidden/>
          </w:rPr>
          <w:instrText xml:space="preserve"> PAGEREF _Toc93327700 \h </w:instrText>
        </w:r>
        <w:r w:rsidR="00AF567E" w:rsidRPr="00AF567E">
          <w:rPr>
            <w:webHidden/>
          </w:rPr>
        </w:r>
        <w:r w:rsidR="00AF567E" w:rsidRPr="00AF567E">
          <w:rPr>
            <w:webHidden/>
          </w:rPr>
          <w:fldChar w:fldCharType="separate"/>
        </w:r>
        <w:r w:rsidR="00EA69A4">
          <w:rPr>
            <w:webHidden/>
          </w:rPr>
          <w:t>13</w:t>
        </w:r>
        <w:r w:rsidR="00AF567E" w:rsidRPr="00AF567E">
          <w:rPr>
            <w:webHidden/>
          </w:rPr>
          <w:fldChar w:fldCharType="end"/>
        </w:r>
      </w:hyperlink>
    </w:p>
    <w:p w14:paraId="2BCDA920" w14:textId="5C327C38" w:rsidR="00AF567E" w:rsidRPr="00AF567E" w:rsidRDefault="00243D78">
      <w:pPr>
        <w:pStyle w:val="Sommario2"/>
        <w:rPr>
          <w:rFonts w:asciiTheme="minorHAnsi" w:eastAsiaTheme="minorEastAsia" w:hAnsiTheme="minorHAnsi" w:cstheme="minorBidi"/>
          <w:sz w:val="22"/>
          <w:szCs w:val="22"/>
          <w:lang w:eastAsia="it-IT"/>
        </w:rPr>
      </w:pPr>
      <w:hyperlink w:anchor="_Toc93327701" w:history="1">
        <w:r w:rsidR="00AF567E" w:rsidRPr="00AF567E">
          <w:rPr>
            <w:rStyle w:val="Collegamentoipertestuale"/>
            <w:color w:val="auto"/>
            <w:u w:val="none"/>
          </w:rPr>
          <w:t>2.2 Crediti NON 4.0 anche per i professionisti</w:t>
        </w:r>
        <w:r w:rsidR="00AF567E" w:rsidRPr="00AF567E">
          <w:rPr>
            <w:webHidden/>
          </w:rPr>
          <w:tab/>
        </w:r>
        <w:r w:rsidR="00AF567E" w:rsidRPr="00AF567E">
          <w:rPr>
            <w:webHidden/>
          </w:rPr>
          <w:fldChar w:fldCharType="begin"/>
        </w:r>
        <w:r w:rsidR="00AF567E" w:rsidRPr="00AF567E">
          <w:rPr>
            <w:webHidden/>
          </w:rPr>
          <w:instrText xml:space="preserve"> PAGEREF _Toc93327701 \h </w:instrText>
        </w:r>
        <w:r w:rsidR="00AF567E" w:rsidRPr="00AF567E">
          <w:rPr>
            <w:webHidden/>
          </w:rPr>
        </w:r>
        <w:r w:rsidR="00AF567E" w:rsidRPr="00AF567E">
          <w:rPr>
            <w:webHidden/>
          </w:rPr>
          <w:fldChar w:fldCharType="separate"/>
        </w:r>
        <w:r w:rsidR="00EA69A4">
          <w:rPr>
            <w:webHidden/>
          </w:rPr>
          <w:t>16</w:t>
        </w:r>
        <w:r w:rsidR="00AF567E" w:rsidRPr="00AF567E">
          <w:rPr>
            <w:webHidden/>
          </w:rPr>
          <w:fldChar w:fldCharType="end"/>
        </w:r>
      </w:hyperlink>
    </w:p>
    <w:p w14:paraId="0BDDF02B" w14:textId="48D5203A"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3. </w:t>
      </w:r>
      <w:hyperlink w:anchor="_Toc93327702" w:history="1">
        <w:r w:rsidRPr="00AF567E">
          <w:rPr>
            <w:rStyle w:val="Collegamentoipertestuale"/>
            <w:color w:val="auto"/>
            <w:u w:val="none"/>
          </w:rPr>
          <w:t>Investimenti agevolati</w:t>
        </w:r>
        <w:r w:rsidRPr="00AF567E">
          <w:rPr>
            <w:webHidden/>
          </w:rPr>
          <w:tab/>
        </w:r>
        <w:r w:rsidRPr="00AF567E">
          <w:rPr>
            <w:webHidden/>
          </w:rPr>
          <w:fldChar w:fldCharType="begin"/>
        </w:r>
        <w:r w:rsidRPr="00AF567E">
          <w:rPr>
            <w:webHidden/>
          </w:rPr>
          <w:instrText xml:space="preserve"> PAGEREF _Toc93327702 \h </w:instrText>
        </w:r>
        <w:r w:rsidRPr="00AF567E">
          <w:rPr>
            <w:webHidden/>
          </w:rPr>
        </w:r>
        <w:r w:rsidRPr="00AF567E">
          <w:rPr>
            <w:webHidden/>
          </w:rPr>
          <w:fldChar w:fldCharType="separate"/>
        </w:r>
        <w:r w:rsidR="00EA69A4">
          <w:rPr>
            <w:webHidden/>
          </w:rPr>
          <w:t>18</w:t>
        </w:r>
        <w:r w:rsidRPr="00AF567E">
          <w:rPr>
            <w:webHidden/>
          </w:rPr>
          <w:fldChar w:fldCharType="end"/>
        </w:r>
      </w:hyperlink>
    </w:p>
    <w:p w14:paraId="5C53564B" w14:textId="0A5E5660" w:rsidR="00AF567E" w:rsidRPr="00AF567E" w:rsidRDefault="00243D78">
      <w:pPr>
        <w:pStyle w:val="Sommario2"/>
        <w:rPr>
          <w:rFonts w:asciiTheme="minorHAnsi" w:eastAsiaTheme="minorEastAsia" w:hAnsiTheme="minorHAnsi" w:cstheme="minorBidi"/>
          <w:sz w:val="22"/>
          <w:szCs w:val="22"/>
          <w:lang w:eastAsia="it-IT"/>
        </w:rPr>
      </w:pPr>
      <w:hyperlink w:anchor="_Toc93327703" w:history="1">
        <w:r w:rsidR="00AF567E" w:rsidRPr="00AF567E">
          <w:rPr>
            <w:rStyle w:val="Collegamentoipertestuale"/>
            <w:color w:val="auto"/>
            <w:u w:val="none"/>
          </w:rPr>
          <w:t>3.1 Beni strumentali nuovi: caratteristiche generali</w:t>
        </w:r>
        <w:r w:rsidR="00AF567E" w:rsidRPr="00AF567E">
          <w:rPr>
            <w:webHidden/>
          </w:rPr>
          <w:tab/>
        </w:r>
        <w:r w:rsidR="00AF567E" w:rsidRPr="00AF567E">
          <w:rPr>
            <w:webHidden/>
          </w:rPr>
          <w:fldChar w:fldCharType="begin"/>
        </w:r>
        <w:r w:rsidR="00AF567E" w:rsidRPr="00AF567E">
          <w:rPr>
            <w:webHidden/>
          </w:rPr>
          <w:instrText xml:space="preserve"> PAGEREF _Toc93327703 \h </w:instrText>
        </w:r>
        <w:r w:rsidR="00AF567E" w:rsidRPr="00AF567E">
          <w:rPr>
            <w:webHidden/>
          </w:rPr>
        </w:r>
        <w:r w:rsidR="00AF567E" w:rsidRPr="00AF567E">
          <w:rPr>
            <w:webHidden/>
          </w:rPr>
          <w:fldChar w:fldCharType="separate"/>
        </w:r>
        <w:r w:rsidR="00EA69A4">
          <w:rPr>
            <w:webHidden/>
          </w:rPr>
          <w:t>18</w:t>
        </w:r>
        <w:r w:rsidR="00AF567E" w:rsidRPr="00AF567E">
          <w:rPr>
            <w:webHidden/>
          </w:rPr>
          <w:fldChar w:fldCharType="end"/>
        </w:r>
      </w:hyperlink>
    </w:p>
    <w:p w14:paraId="04226FB0" w14:textId="6C96D46F" w:rsidR="00AF567E" w:rsidRPr="00AF567E" w:rsidRDefault="00243D78">
      <w:pPr>
        <w:pStyle w:val="Sommario2"/>
        <w:rPr>
          <w:rFonts w:asciiTheme="minorHAnsi" w:eastAsiaTheme="minorEastAsia" w:hAnsiTheme="minorHAnsi" w:cstheme="minorBidi"/>
          <w:sz w:val="22"/>
          <w:szCs w:val="22"/>
          <w:lang w:eastAsia="it-IT"/>
        </w:rPr>
      </w:pPr>
      <w:hyperlink w:anchor="_Toc93327704" w:history="1">
        <w:r w:rsidR="00AF567E" w:rsidRPr="00AF567E">
          <w:rPr>
            <w:rStyle w:val="Collegamentoipertestuale"/>
            <w:color w:val="auto"/>
            <w:u w:val="none"/>
          </w:rPr>
          <w:t>3.2 Acquisizioni in proprietà o leasing</w:t>
        </w:r>
        <w:r w:rsidR="00AF567E" w:rsidRPr="00AF567E">
          <w:rPr>
            <w:webHidden/>
          </w:rPr>
          <w:tab/>
        </w:r>
        <w:r w:rsidR="00AF567E" w:rsidRPr="00AF567E">
          <w:rPr>
            <w:webHidden/>
          </w:rPr>
          <w:fldChar w:fldCharType="begin"/>
        </w:r>
        <w:r w:rsidR="00AF567E" w:rsidRPr="00AF567E">
          <w:rPr>
            <w:webHidden/>
          </w:rPr>
          <w:instrText xml:space="preserve"> PAGEREF _Toc93327704 \h </w:instrText>
        </w:r>
        <w:r w:rsidR="00AF567E" w:rsidRPr="00AF567E">
          <w:rPr>
            <w:webHidden/>
          </w:rPr>
        </w:r>
        <w:r w:rsidR="00AF567E" w:rsidRPr="00AF567E">
          <w:rPr>
            <w:webHidden/>
          </w:rPr>
          <w:fldChar w:fldCharType="separate"/>
        </w:r>
        <w:r w:rsidR="00EA69A4">
          <w:rPr>
            <w:webHidden/>
          </w:rPr>
          <w:t>20</w:t>
        </w:r>
        <w:r w:rsidR="00AF567E" w:rsidRPr="00AF567E">
          <w:rPr>
            <w:webHidden/>
          </w:rPr>
          <w:fldChar w:fldCharType="end"/>
        </w:r>
      </w:hyperlink>
    </w:p>
    <w:p w14:paraId="382370C1" w14:textId="22322E31" w:rsidR="00AF567E" w:rsidRPr="00AF567E" w:rsidRDefault="00243D78">
      <w:pPr>
        <w:pStyle w:val="Sommario2"/>
        <w:rPr>
          <w:rFonts w:asciiTheme="minorHAnsi" w:eastAsiaTheme="minorEastAsia" w:hAnsiTheme="minorHAnsi" w:cstheme="minorBidi"/>
          <w:sz w:val="22"/>
          <w:szCs w:val="22"/>
          <w:lang w:eastAsia="it-IT"/>
        </w:rPr>
      </w:pPr>
      <w:hyperlink w:anchor="_Toc93327705" w:history="1">
        <w:r w:rsidR="00AF567E" w:rsidRPr="00AF567E">
          <w:rPr>
            <w:rStyle w:val="Collegamentoipertestuale"/>
            <w:color w:val="auto"/>
            <w:u w:val="none"/>
          </w:rPr>
          <w:t>3.3 Beni strumentali 4.0</w:t>
        </w:r>
        <w:r w:rsidR="00AF567E" w:rsidRPr="00AF567E">
          <w:rPr>
            <w:webHidden/>
          </w:rPr>
          <w:tab/>
        </w:r>
        <w:r w:rsidR="00AF567E" w:rsidRPr="00AF567E">
          <w:rPr>
            <w:webHidden/>
          </w:rPr>
          <w:fldChar w:fldCharType="begin"/>
        </w:r>
        <w:r w:rsidR="00AF567E" w:rsidRPr="00AF567E">
          <w:rPr>
            <w:webHidden/>
          </w:rPr>
          <w:instrText xml:space="preserve"> PAGEREF _Toc93327705 \h </w:instrText>
        </w:r>
        <w:r w:rsidR="00AF567E" w:rsidRPr="00AF567E">
          <w:rPr>
            <w:webHidden/>
          </w:rPr>
        </w:r>
        <w:r w:rsidR="00AF567E" w:rsidRPr="00AF567E">
          <w:rPr>
            <w:webHidden/>
          </w:rPr>
          <w:fldChar w:fldCharType="separate"/>
        </w:r>
        <w:r w:rsidR="00EA69A4">
          <w:rPr>
            <w:webHidden/>
          </w:rPr>
          <w:t>21</w:t>
        </w:r>
        <w:r w:rsidR="00AF567E" w:rsidRPr="00AF567E">
          <w:rPr>
            <w:webHidden/>
          </w:rPr>
          <w:fldChar w:fldCharType="end"/>
        </w:r>
      </w:hyperlink>
    </w:p>
    <w:p w14:paraId="42A97055" w14:textId="24013F96"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06" w:history="1">
        <w:r w:rsidR="00AF567E" w:rsidRPr="00AF567E">
          <w:rPr>
            <w:rStyle w:val="Collegamentoipertestuale"/>
            <w:color w:val="auto"/>
            <w:u w:val="none"/>
          </w:rPr>
          <w:t>3.3.1 Beni strumentali il cui funzionamento è controllato da sistemi computerizzati o gestito tramite opportuni sensori e azionamenti</w:t>
        </w:r>
        <w:r w:rsidR="00AF567E" w:rsidRPr="00AF567E">
          <w:rPr>
            <w:webHidden/>
          </w:rPr>
          <w:tab/>
        </w:r>
        <w:r w:rsidR="00AF567E" w:rsidRPr="00AF567E">
          <w:rPr>
            <w:webHidden/>
          </w:rPr>
          <w:fldChar w:fldCharType="begin"/>
        </w:r>
        <w:r w:rsidR="00AF567E" w:rsidRPr="00AF567E">
          <w:rPr>
            <w:webHidden/>
          </w:rPr>
          <w:instrText xml:space="preserve"> PAGEREF _Toc93327706 \h </w:instrText>
        </w:r>
        <w:r w:rsidR="00AF567E" w:rsidRPr="00AF567E">
          <w:rPr>
            <w:webHidden/>
          </w:rPr>
        </w:r>
        <w:r w:rsidR="00AF567E" w:rsidRPr="00AF567E">
          <w:rPr>
            <w:webHidden/>
          </w:rPr>
          <w:fldChar w:fldCharType="separate"/>
        </w:r>
        <w:r w:rsidR="00EA69A4">
          <w:rPr>
            <w:webHidden/>
          </w:rPr>
          <w:t>22</w:t>
        </w:r>
        <w:r w:rsidR="00AF567E" w:rsidRPr="00AF567E">
          <w:rPr>
            <w:webHidden/>
          </w:rPr>
          <w:fldChar w:fldCharType="end"/>
        </w:r>
      </w:hyperlink>
    </w:p>
    <w:p w14:paraId="79474D02" w14:textId="62E53797" w:rsidR="00AF567E" w:rsidRPr="00AF567E" w:rsidRDefault="00243D78">
      <w:pPr>
        <w:pStyle w:val="Sommario4"/>
        <w:tabs>
          <w:tab w:val="right" w:leader="dot" w:pos="9628"/>
        </w:tabs>
        <w:rPr>
          <w:rFonts w:eastAsiaTheme="minorEastAsia" w:cstheme="minorBidi"/>
          <w:noProof/>
          <w:sz w:val="22"/>
          <w:szCs w:val="22"/>
          <w:lang w:eastAsia="it-IT"/>
        </w:rPr>
      </w:pPr>
      <w:hyperlink w:anchor="_Toc93327707" w:history="1">
        <w:r w:rsidR="00AF567E" w:rsidRPr="00AF567E">
          <w:rPr>
            <w:rStyle w:val="Collegamentoipertestuale"/>
            <w:noProof/>
            <w:color w:val="auto"/>
            <w:u w:val="none"/>
          </w:rPr>
          <w:t>3.3.1.1 Quali caratteristiche devono avere i beni per beneficiare dell’agevolazione fiscale dell’iper ammortamento</w:t>
        </w:r>
        <w:r w:rsidR="00AF567E" w:rsidRPr="00AF567E">
          <w:rPr>
            <w:noProof/>
            <w:webHidden/>
          </w:rPr>
          <w:tab/>
        </w:r>
        <w:r w:rsidR="00AF567E" w:rsidRPr="00AF567E">
          <w:rPr>
            <w:noProof/>
            <w:webHidden/>
          </w:rPr>
          <w:fldChar w:fldCharType="begin"/>
        </w:r>
        <w:r w:rsidR="00AF567E" w:rsidRPr="00AF567E">
          <w:rPr>
            <w:noProof/>
            <w:webHidden/>
          </w:rPr>
          <w:instrText xml:space="preserve"> PAGEREF _Toc93327707 \h </w:instrText>
        </w:r>
        <w:r w:rsidR="00AF567E" w:rsidRPr="00AF567E">
          <w:rPr>
            <w:noProof/>
            <w:webHidden/>
          </w:rPr>
        </w:r>
        <w:r w:rsidR="00AF567E" w:rsidRPr="00AF567E">
          <w:rPr>
            <w:noProof/>
            <w:webHidden/>
          </w:rPr>
          <w:fldChar w:fldCharType="separate"/>
        </w:r>
        <w:r w:rsidR="00EA69A4">
          <w:rPr>
            <w:noProof/>
            <w:webHidden/>
          </w:rPr>
          <w:t>24</w:t>
        </w:r>
        <w:r w:rsidR="00AF567E" w:rsidRPr="00AF567E">
          <w:rPr>
            <w:noProof/>
            <w:webHidden/>
          </w:rPr>
          <w:fldChar w:fldCharType="end"/>
        </w:r>
      </w:hyperlink>
    </w:p>
    <w:p w14:paraId="3F6247A7" w14:textId="250D3014" w:rsidR="00AF567E" w:rsidRPr="00AF567E" w:rsidRDefault="00243D78">
      <w:pPr>
        <w:pStyle w:val="Sommario5"/>
        <w:tabs>
          <w:tab w:val="right" w:leader="dot" w:pos="9628"/>
        </w:tabs>
        <w:rPr>
          <w:rFonts w:eastAsiaTheme="minorEastAsia" w:cstheme="minorBidi"/>
          <w:noProof/>
          <w:sz w:val="22"/>
          <w:szCs w:val="22"/>
          <w:lang w:eastAsia="it-IT"/>
        </w:rPr>
      </w:pPr>
      <w:hyperlink w:anchor="_Toc93327708" w:history="1">
        <w:r w:rsidR="00AF567E" w:rsidRPr="00AF567E">
          <w:rPr>
            <w:rStyle w:val="Collegamentoipertestuale"/>
            <w:noProof/>
            <w:color w:val="auto"/>
            <w:u w:val="none"/>
          </w:rPr>
          <w:t>3.3.1.1.1 Caratteristiche obbligatorie</w:t>
        </w:r>
        <w:r w:rsidR="00AF567E" w:rsidRPr="00AF567E">
          <w:rPr>
            <w:noProof/>
            <w:webHidden/>
          </w:rPr>
          <w:tab/>
        </w:r>
        <w:r w:rsidR="00AF567E" w:rsidRPr="00AF567E">
          <w:rPr>
            <w:noProof/>
            <w:webHidden/>
          </w:rPr>
          <w:fldChar w:fldCharType="begin"/>
        </w:r>
        <w:r w:rsidR="00AF567E" w:rsidRPr="00AF567E">
          <w:rPr>
            <w:noProof/>
            <w:webHidden/>
          </w:rPr>
          <w:instrText xml:space="preserve"> PAGEREF _Toc93327708 \h </w:instrText>
        </w:r>
        <w:r w:rsidR="00AF567E" w:rsidRPr="00AF567E">
          <w:rPr>
            <w:noProof/>
            <w:webHidden/>
          </w:rPr>
        </w:r>
        <w:r w:rsidR="00AF567E" w:rsidRPr="00AF567E">
          <w:rPr>
            <w:noProof/>
            <w:webHidden/>
          </w:rPr>
          <w:fldChar w:fldCharType="separate"/>
        </w:r>
        <w:r w:rsidR="00EA69A4">
          <w:rPr>
            <w:noProof/>
            <w:webHidden/>
          </w:rPr>
          <w:t>25</w:t>
        </w:r>
        <w:r w:rsidR="00AF567E" w:rsidRPr="00AF567E">
          <w:rPr>
            <w:noProof/>
            <w:webHidden/>
          </w:rPr>
          <w:fldChar w:fldCharType="end"/>
        </w:r>
      </w:hyperlink>
    </w:p>
    <w:p w14:paraId="3863AA4F" w14:textId="69DF9000" w:rsidR="00AF567E" w:rsidRPr="00AF567E" w:rsidRDefault="00243D78">
      <w:pPr>
        <w:pStyle w:val="Sommario5"/>
        <w:tabs>
          <w:tab w:val="right" w:leader="dot" w:pos="9628"/>
        </w:tabs>
        <w:rPr>
          <w:rFonts w:eastAsiaTheme="minorEastAsia" w:cstheme="minorBidi"/>
          <w:noProof/>
          <w:sz w:val="22"/>
          <w:szCs w:val="22"/>
          <w:lang w:eastAsia="it-IT"/>
        </w:rPr>
      </w:pPr>
      <w:hyperlink w:anchor="_Toc93327709" w:history="1">
        <w:r w:rsidR="00AF567E" w:rsidRPr="00AF567E">
          <w:rPr>
            <w:rStyle w:val="Collegamentoipertestuale"/>
            <w:noProof/>
            <w:color w:val="auto"/>
            <w:u w:val="none"/>
          </w:rPr>
          <w:t>3.3.1.1.2 Ulteriori caratteristiche</w:t>
        </w:r>
        <w:r w:rsidR="00AF567E" w:rsidRPr="00AF567E">
          <w:rPr>
            <w:noProof/>
            <w:webHidden/>
          </w:rPr>
          <w:tab/>
        </w:r>
        <w:r w:rsidR="00AF567E" w:rsidRPr="00AF567E">
          <w:rPr>
            <w:noProof/>
            <w:webHidden/>
          </w:rPr>
          <w:fldChar w:fldCharType="begin"/>
        </w:r>
        <w:r w:rsidR="00AF567E" w:rsidRPr="00AF567E">
          <w:rPr>
            <w:noProof/>
            <w:webHidden/>
          </w:rPr>
          <w:instrText xml:space="preserve"> PAGEREF _Toc93327709 \h </w:instrText>
        </w:r>
        <w:r w:rsidR="00AF567E" w:rsidRPr="00AF567E">
          <w:rPr>
            <w:noProof/>
            <w:webHidden/>
          </w:rPr>
        </w:r>
        <w:r w:rsidR="00AF567E" w:rsidRPr="00AF567E">
          <w:rPr>
            <w:noProof/>
            <w:webHidden/>
          </w:rPr>
          <w:fldChar w:fldCharType="separate"/>
        </w:r>
        <w:r w:rsidR="00EA69A4">
          <w:rPr>
            <w:noProof/>
            <w:webHidden/>
          </w:rPr>
          <w:t>27</w:t>
        </w:r>
        <w:r w:rsidR="00AF567E" w:rsidRPr="00AF567E">
          <w:rPr>
            <w:noProof/>
            <w:webHidden/>
          </w:rPr>
          <w:fldChar w:fldCharType="end"/>
        </w:r>
      </w:hyperlink>
    </w:p>
    <w:p w14:paraId="62896DF7" w14:textId="798079C0"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10" w:history="1">
        <w:r w:rsidR="00AF567E" w:rsidRPr="00AF567E">
          <w:rPr>
            <w:rStyle w:val="Collegamentoipertestuale"/>
            <w:color w:val="auto"/>
            <w:u w:val="none"/>
          </w:rPr>
          <w:t>3.3.2 Sistemi per l’assicurazione della qualità e della sostenibilità</w:t>
        </w:r>
        <w:r w:rsidR="00AF567E" w:rsidRPr="00AF567E">
          <w:rPr>
            <w:webHidden/>
          </w:rPr>
          <w:tab/>
        </w:r>
        <w:r w:rsidR="00AF567E" w:rsidRPr="00AF567E">
          <w:rPr>
            <w:webHidden/>
          </w:rPr>
          <w:fldChar w:fldCharType="begin"/>
        </w:r>
        <w:r w:rsidR="00AF567E" w:rsidRPr="00AF567E">
          <w:rPr>
            <w:webHidden/>
          </w:rPr>
          <w:instrText xml:space="preserve"> PAGEREF _Toc93327710 \h </w:instrText>
        </w:r>
        <w:r w:rsidR="00AF567E" w:rsidRPr="00AF567E">
          <w:rPr>
            <w:webHidden/>
          </w:rPr>
        </w:r>
        <w:r w:rsidR="00AF567E" w:rsidRPr="00AF567E">
          <w:rPr>
            <w:webHidden/>
          </w:rPr>
          <w:fldChar w:fldCharType="separate"/>
        </w:r>
        <w:r w:rsidR="00EA69A4">
          <w:rPr>
            <w:webHidden/>
          </w:rPr>
          <w:t>27</w:t>
        </w:r>
        <w:r w:rsidR="00AF567E" w:rsidRPr="00AF567E">
          <w:rPr>
            <w:webHidden/>
          </w:rPr>
          <w:fldChar w:fldCharType="end"/>
        </w:r>
      </w:hyperlink>
    </w:p>
    <w:p w14:paraId="4D4C91B1" w14:textId="327F7802"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11" w:history="1">
        <w:r w:rsidR="00AF567E" w:rsidRPr="00AF567E">
          <w:rPr>
            <w:rStyle w:val="Collegamentoipertestuale"/>
            <w:color w:val="auto"/>
            <w:u w:val="none"/>
          </w:rPr>
          <w:t>3.3.3 Dispositivi per l’interazione uomo macchina e per il miglioramento dell’ergonomia e della sicurezza del posto di lavoro in logica 4.0</w:t>
        </w:r>
        <w:r w:rsidR="00AF567E" w:rsidRPr="00AF567E">
          <w:rPr>
            <w:webHidden/>
          </w:rPr>
          <w:tab/>
        </w:r>
        <w:r w:rsidR="00AF567E" w:rsidRPr="00AF567E">
          <w:rPr>
            <w:webHidden/>
          </w:rPr>
          <w:fldChar w:fldCharType="begin"/>
        </w:r>
        <w:r w:rsidR="00AF567E" w:rsidRPr="00AF567E">
          <w:rPr>
            <w:webHidden/>
          </w:rPr>
          <w:instrText xml:space="preserve"> PAGEREF _Toc93327711 \h </w:instrText>
        </w:r>
        <w:r w:rsidR="00AF567E" w:rsidRPr="00AF567E">
          <w:rPr>
            <w:webHidden/>
          </w:rPr>
        </w:r>
        <w:r w:rsidR="00AF567E" w:rsidRPr="00AF567E">
          <w:rPr>
            <w:webHidden/>
          </w:rPr>
          <w:fldChar w:fldCharType="separate"/>
        </w:r>
        <w:r w:rsidR="00EA69A4">
          <w:rPr>
            <w:webHidden/>
          </w:rPr>
          <w:t>30</w:t>
        </w:r>
        <w:r w:rsidR="00AF567E" w:rsidRPr="00AF567E">
          <w:rPr>
            <w:webHidden/>
          </w:rPr>
          <w:fldChar w:fldCharType="end"/>
        </w:r>
      </w:hyperlink>
    </w:p>
    <w:p w14:paraId="0D7E21E6" w14:textId="2D402695"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12" w:history="1">
        <w:r w:rsidR="00AF567E" w:rsidRPr="00AF567E">
          <w:rPr>
            <w:rStyle w:val="Collegamentoipertestuale"/>
            <w:color w:val="auto"/>
            <w:u w:val="none"/>
          </w:rPr>
          <w:t>3.3.4 Richiesta parere tecnico</w:t>
        </w:r>
        <w:r w:rsidR="00AF567E" w:rsidRPr="00AF567E">
          <w:rPr>
            <w:webHidden/>
          </w:rPr>
          <w:tab/>
        </w:r>
        <w:r w:rsidR="00AF567E" w:rsidRPr="00AF567E">
          <w:rPr>
            <w:webHidden/>
          </w:rPr>
          <w:fldChar w:fldCharType="begin"/>
        </w:r>
        <w:r w:rsidR="00AF567E" w:rsidRPr="00AF567E">
          <w:rPr>
            <w:webHidden/>
          </w:rPr>
          <w:instrText xml:space="preserve"> PAGEREF _Toc93327712 \h </w:instrText>
        </w:r>
        <w:r w:rsidR="00AF567E" w:rsidRPr="00AF567E">
          <w:rPr>
            <w:webHidden/>
          </w:rPr>
        </w:r>
        <w:r w:rsidR="00AF567E" w:rsidRPr="00AF567E">
          <w:rPr>
            <w:webHidden/>
          </w:rPr>
          <w:fldChar w:fldCharType="separate"/>
        </w:r>
        <w:r w:rsidR="00EA69A4">
          <w:rPr>
            <w:webHidden/>
          </w:rPr>
          <w:t>31</w:t>
        </w:r>
        <w:r w:rsidR="00AF567E" w:rsidRPr="00AF567E">
          <w:rPr>
            <w:webHidden/>
          </w:rPr>
          <w:fldChar w:fldCharType="end"/>
        </w:r>
      </w:hyperlink>
    </w:p>
    <w:p w14:paraId="3AE72BED" w14:textId="688CBEE2" w:rsidR="00AF567E" w:rsidRPr="00AF567E" w:rsidRDefault="00243D78">
      <w:pPr>
        <w:pStyle w:val="Sommario2"/>
        <w:rPr>
          <w:rFonts w:asciiTheme="minorHAnsi" w:eastAsiaTheme="minorEastAsia" w:hAnsiTheme="minorHAnsi" w:cstheme="minorBidi"/>
          <w:sz w:val="22"/>
          <w:szCs w:val="22"/>
          <w:lang w:eastAsia="it-IT"/>
        </w:rPr>
      </w:pPr>
      <w:hyperlink w:anchor="_Toc93327713" w:history="1">
        <w:r w:rsidR="00AF567E" w:rsidRPr="00AF567E">
          <w:rPr>
            <w:rStyle w:val="Collegamentoipertestuale"/>
            <w:color w:val="auto"/>
            <w:u w:val="none"/>
          </w:rPr>
          <w:t>3.4 Beni immateriali 4.0</w:t>
        </w:r>
        <w:r w:rsidR="00AF567E" w:rsidRPr="00AF567E">
          <w:rPr>
            <w:webHidden/>
          </w:rPr>
          <w:tab/>
        </w:r>
        <w:r w:rsidR="00AF567E" w:rsidRPr="00AF567E">
          <w:rPr>
            <w:webHidden/>
          </w:rPr>
          <w:fldChar w:fldCharType="begin"/>
        </w:r>
        <w:r w:rsidR="00AF567E" w:rsidRPr="00AF567E">
          <w:rPr>
            <w:webHidden/>
          </w:rPr>
          <w:instrText xml:space="preserve"> PAGEREF _Toc93327713 \h </w:instrText>
        </w:r>
        <w:r w:rsidR="00AF567E" w:rsidRPr="00AF567E">
          <w:rPr>
            <w:webHidden/>
          </w:rPr>
        </w:r>
        <w:r w:rsidR="00AF567E" w:rsidRPr="00AF567E">
          <w:rPr>
            <w:webHidden/>
          </w:rPr>
          <w:fldChar w:fldCharType="separate"/>
        </w:r>
        <w:r w:rsidR="00EA69A4">
          <w:rPr>
            <w:webHidden/>
          </w:rPr>
          <w:t>32</w:t>
        </w:r>
        <w:r w:rsidR="00AF567E" w:rsidRPr="00AF567E">
          <w:rPr>
            <w:webHidden/>
          </w:rPr>
          <w:fldChar w:fldCharType="end"/>
        </w:r>
      </w:hyperlink>
    </w:p>
    <w:p w14:paraId="518D05DA" w14:textId="2CB5A5BB"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14" w:history="1">
        <w:r w:rsidR="00AF567E" w:rsidRPr="00AF567E">
          <w:rPr>
            <w:rStyle w:val="Collegamentoipertestuale"/>
            <w:color w:val="auto"/>
            <w:u w:val="none"/>
          </w:rPr>
          <w:t>3.4.1 Software embedded (integrato in un bene materiale)</w:t>
        </w:r>
        <w:r w:rsidR="00AF567E" w:rsidRPr="00AF567E">
          <w:rPr>
            <w:webHidden/>
          </w:rPr>
          <w:tab/>
        </w:r>
        <w:r w:rsidR="00AF567E" w:rsidRPr="00AF567E">
          <w:rPr>
            <w:webHidden/>
          </w:rPr>
          <w:fldChar w:fldCharType="begin"/>
        </w:r>
        <w:r w:rsidR="00AF567E" w:rsidRPr="00AF567E">
          <w:rPr>
            <w:webHidden/>
          </w:rPr>
          <w:instrText xml:space="preserve"> PAGEREF _Toc93327714 \h </w:instrText>
        </w:r>
        <w:r w:rsidR="00AF567E" w:rsidRPr="00AF567E">
          <w:rPr>
            <w:webHidden/>
          </w:rPr>
        </w:r>
        <w:r w:rsidR="00AF567E" w:rsidRPr="00AF567E">
          <w:rPr>
            <w:webHidden/>
          </w:rPr>
          <w:fldChar w:fldCharType="separate"/>
        </w:r>
        <w:r w:rsidR="00EA69A4">
          <w:rPr>
            <w:webHidden/>
          </w:rPr>
          <w:t>37</w:t>
        </w:r>
        <w:r w:rsidR="00AF567E" w:rsidRPr="00AF567E">
          <w:rPr>
            <w:webHidden/>
          </w:rPr>
          <w:fldChar w:fldCharType="end"/>
        </w:r>
      </w:hyperlink>
    </w:p>
    <w:p w14:paraId="2A266579" w14:textId="586AE62C" w:rsidR="00AF567E" w:rsidRPr="00AF567E" w:rsidRDefault="00243D78">
      <w:pPr>
        <w:pStyle w:val="Sommario2"/>
        <w:rPr>
          <w:rFonts w:asciiTheme="minorHAnsi" w:eastAsiaTheme="minorEastAsia" w:hAnsiTheme="minorHAnsi" w:cstheme="minorBidi"/>
          <w:sz w:val="22"/>
          <w:szCs w:val="22"/>
          <w:lang w:eastAsia="it-IT"/>
        </w:rPr>
      </w:pPr>
      <w:hyperlink w:anchor="_Toc93327715" w:history="1">
        <w:r w:rsidR="00AF567E" w:rsidRPr="00AF567E">
          <w:rPr>
            <w:rStyle w:val="Collegamentoipertestuale"/>
            <w:color w:val="auto"/>
            <w:u w:val="none"/>
          </w:rPr>
          <w:t>3.5 Beni di importo non superiore a 516,46 euro</w:t>
        </w:r>
        <w:r w:rsidR="00AF567E" w:rsidRPr="00AF567E">
          <w:rPr>
            <w:webHidden/>
          </w:rPr>
          <w:tab/>
        </w:r>
        <w:r w:rsidR="00AF567E" w:rsidRPr="00AF567E">
          <w:rPr>
            <w:webHidden/>
          </w:rPr>
          <w:fldChar w:fldCharType="begin"/>
        </w:r>
        <w:r w:rsidR="00AF567E" w:rsidRPr="00AF567E">
          <w:rPr>
            <w:webHidden/>
          </w:rPr>
          <w:instrText xml:space="preserve"> PAGEREF _Toc93327715 \h </w:instrText>
        </w:r>
        <w:r w:rsidR="00AF567E" w:rsidRPr="00AF567E">
          <w:rPr>
            <w:webHidden/>
          </w:rPr>
        </w:r>
        <w:r w:rsidR="00AF567E" w:rsidRPr="00AF567E">
          <w:rPr>
            <w:webHidden/>
          </w:rPr>
          <w:fldChar w:fldCharType="separate"/>
        </w:r>
        <w:r w:rsidR="00EA69A4">
          <w:rPr>
            <w:webHidden/>
          </w:rPr>
          <w:t>37</w:t>
        </w:r>
        <w:r w:rsidR="00AF567E" w:rsidRPr="00AF567E">
          <w:rPr>
            <w:webHidden/>
          </w:rPr>
          <w:fldChar w:fldCharType="end"/>
        </w:r>
      </w:hyperlink>
    </w:p>
    <w:p w14:paraId="1E0F8E4D" w14:textId="480978F1" w:rsidR="00AF567E" w:rsidRPr="00AF567E" w:rsidRDefault="00243D78">
      <w:pPr>
        <w:pStyle w:val="Sommario2"/>
        <w:rPr>
          <w:rFonts w:asciiTheme="minorHAnsi" w:eastAsiaTheme="minorEastAsia" w:hAnsiTheme="minorHAnsi" w:cstheme="minorBidi"/>
          <w:sz w:val="22"/>
          <w:szCs w:val="22"/>
          <w:lang w:eastAsia="it-IT"/>
        </w:rPr>
      </w:pPr>
      <w:hyperlink w:anchor="_Toc93327716" w:history="1">
        <w:r w:rsidR="00AF567E" w:rsidRPr="00AF567E">
          <w:rPr>
            <w:rStyle w:val="Collegamentoipertestuale"/>
            <w:color w:val="auto"/>
            <w:u w:val="none"/>
          </w:rPr>
          <w:t>3.6 Beni con IVA indetraibile</w:t>
        </w:r>
        <w:r w:rsidR="00AF567E" w:rsidRPr="00AF567E">
          <w:rPr>
            <w:webHidden/>
          </w:rPr>
          <w:tab/>
        </w:r>
        <w:r w:rsidR="00AF567E" w:rsidRPr="00AF567E">
          <w:rPr>
            <w:webHidden/>
          </w:rPr>
          <w:fldChar w:fldCharType="begin"/>
        </w:r>
        <w:r w:rsidR="00AF567E" w:rsidRPr="00AF567E">
          <w:rPr>
            <w:webHidden/>
          </w:rPr>
          <w:instrText xml:space="preserve"> PAGEREF _Toc93327716 \h </w:instrText>
        </w:r>
        <w:r w:rsidR="00AF567E" w:rsidRPr="00AF567E">
          <w:rPr>
            <w:webHidden/>
          </w:rPr>
        </w:r>
        <w:r w:rsidR="00AF567E" w:rsidRPr="00AF567E">
          <w:rPr>
            <w:webHidden/>
          </w:rPr>
          <w:fldChar w:fldCharType="separate"/>
        </w:r>
        <w:r w:rsidR="00EA69A4">
          <w:rPr>
            <w:webHidden/>
          </w:rPr>
          <w:t>38</w:t>
        </w:r>
        <w:r w:rsidR="00AF567E" w:rsidRPr="00AF567E">
          <w:rPr>
            <w:webHidden/>
          </w:rPr>
          <w:fldChar w:fldCharType="end"/>
        </w:r>
      </w:hyperlink>
    </w:p>
    <w:p w14:paraId="55D2F46A" w14:textId="5603FC16" w:rsidR="00AF567E" w:rsidRPr="00AF567E" w:rsidRDefault="00243D78">
      <w:pPr>
        <w:pStyle w:val="Sommario2"/>
        <w:rPr>
          <w:rFonts w:asciiTheme="minorHAnsi" w:eastAsiaTheme="minorEastAsia" w:hAnsiTheme="minorHAnsi" w:cstheme="minorBidi"/>
          <w:sz w:val="22"/>
          <w:szCs w:val="22"/>
          <w:lang w:eastAsia="it-IT"/>
        </w:rPr>
      </w:pPr>
      <w:hyperlink w:anchor="_Toc93327717" w:history="1">
        <w:r w:rsidR="00AF567E" w:rsidRPr="00AF567E">
          <w:rPr>
            <w:rStyle w:val="Collegamentoipertestuale"/>
            <w:color w:val="auto"/>
            <w:u w:val="none"/>
          </w:rPr>
          <w:t>3.7 Costi accessori, opere murarie e attrezzature in dotazione del bene agevolato</w:t>
        </w:r>
        <w:r w:rsidR="00AF567E" w:rsidRPr="00AF567E">
          <w:rPr>
            <w:webHidden/>
          </w:rPr>
          <w:tab/>
        </w:r>
        <w:r w:rsidR="00AF567E" w:rsidRPr="00AF567E">
          <w:rPr>
            <w:webHidden/>
          </w:rPr>
          <w:fldChar w:fldCharType="begin"/>
        </w:r>
        <w:r w:rsidR="00AF567E" w:rsidRPr="00AF567E">
          <w:rPr>
            <w:webHidden/>
          </w:rPr>
          <w:instrText xml:space="preserve"> PAGEREF _Toc93327717 \h </w:instrText>
        </w:r>
        <w:r w:rsidR="00AF567E" w:rsidRPr="00AF567E">
          <w:rPr>
            <w:webHidden/>
          </w:rPr>
        </w:r>
        <w:r w:rsidR="00AF567E" w:rsidRPr="00AF567E">
          <w:rPr>
            <w:webHidden/>
          </w:rPr>
          <w:fldChar w:fldCharType="separate"/>
        </w:r>
        <w:r w:rsidR="00EA69A4">
          <w:rPr>
            <w:webHidden/>
          </w:rPr>
          <w:t>38</w:t>
        </w:r>
        <w:r w:rsidR="00AF567E" w:rsidRPr="00AF567E">
          <w:rPr>
            <w:webHidden/>
          </w:rPr>
          <w:fldChar w:fldCharType="end"/>
        </w:r>
      </w:hyperlink>
    </w:p>
    <w:p w14:paraId="18F77B8C" w14:textId="532B1042"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4. </w:t>
      </w:r>
      <w:hyperlink w:anchor="_Toc93327718" w:history="1">
        <w:r w:rsidRPr="00AF567E">
          <w:rPr>
            <w:rStyle w:val="Collegamentoipertestuale"/>
            <w:color w:val="auto"/>
            <w:u w:val="none"/>
          </w:rPr>
          <w:t>Misura del credito</w:t>
        </w:r>
        <w:r w:rsidRPr="00AF567E">
          <w:rPr>
            <w:webHidden/>
          </w:rPr>
          <w:tab/>
        </w:r>
        <w:r w:rsidRPr="00AF567E">
          <w:rPr>
            <w:webHidden/>
          </w:rPr>
          <w:fldChar w:fldCharType="begin"/>
        </w:r>
        <w:r w:rsidRPr="00AF567E">
          <w:rPr>
            <w:webHidden/>
          </w:rPr>
          <w:instrText xml:space="preserve"> PAGEREF _Toc93327718 \h </w:instrText>
        </w:r>
        <w:r w:rsidRPr="00AF567E">
          <w:rPr>
            <w:webHidden/>
          </w:rPr>
        </w:r>
        <w:r w:rsidRPr="00AF567E">
          <w:rPr>
            <w:webHidden/>
          </w:rPr>
          <w:fldChar w:fldCharType="separate"/>
        </w:r>
        <w:r w:rsidR="00EA69A4">
          <w:rPr>
            <w:webHidden/>
          </w:rPr>
          <w:t>42</w:t>
        </w:r>
        <w:r w:rsidRPr="00AF567E">
          <w:rPr>
            <w:webHidden/>
          </w:rPr>
          <w:fldChar w:fldCharType="end"/>
        </w:r>
      </w:hyperlink>
    </w:p>
    <w:p w14:paraId="694B790E" w14:textId="5AF6D2C4" w:rsidR="00AF567E" w:rsidRPr="00AF567E" w:rsidRDefault="00243D78">
      <w:pPr>
        <w:pStyle w:val="Sommario2"/>
        <w:rPr>
          <w:rFonts w:asciiTheme="minorHAnsi" w:eastAsiaTheme="minorEastAsia" w:hAnsiTheme="minorHAnsi" w:cstheme="minorBidi"/>
          <w:sz w:val="22"/>
          <w:szCs w:val="22"/>
          <w:lang w:eastAsia="it-IT"/>
        </w:rPr>
      </w:pPr>
      <w:hyperlink w:anchor="_Toc93327719" w:history="1">
        <w:r w:rsidR="00AF567E" w:rsidRPr="00AF567E">
          <w:rPr>
            <w:rStyle w:val="Collegamentoipertestuale"/>
            <w:color w:val="auto"/>
            <w:u w:val="none"/>
          </w:rPr>
          <w:t>4.1 Determinazione del credito spettante</w:t>
        </w:r>
        <w:r w:rsidR="00AF567E" w:rsidRPr="00AF567E">
          <w:rPr>
            <w:webHidden/>
          </w:rPr>
          <w:tab/>
        </w:r>
        <w:r w:rsidR="00AF567E" w:rsidRPr="00AF567E">
          <w:rPr>
            <w:webHidden/>
          </w:rPr>
          <w:fldChar w:fldCharType="begin"/>
        </w:r>
        <w:r w:rsidR="00AF567E" w:rsidRPr="00AF567E">
          <w:rPr>
            <w:webHidden/>
          </w:rPr>
          <w:instrText xml:space="preserve"> PAGEREF _Toc93327719 \h </w:instrText>
        </w:r>
        <w:r w:rsidR="00AF567E" w:rsidRPr="00AF567E">
          <w:rPr>
            <w:webHidden/>
          </w:rPr>
        </w:r>
        <w:r w:rsidR="00AF567E" w:rsidRPr="00AF567E">
          <w:rPr>
            <w:webHidden/>
          </w:rPr>
          <w:fldChar w:fldCharType="separate"/>
        </w:r>
        <w:r w:rsidR="00EA69A4">
          <w:rPr>
            <w:webHidden/>
          </w:rPr>
          <w:t>42</w:t>
        </w:r>
        <w:r w:rsidR="00AF567E" w:rsidRPr="00AF567E">
          <w:rPr>
            <w:webHidden/>
          </w:rPr>
          <w:fldChar w:fldCharType="end"/>
        </w:r>
      </w:hyperlink>
    </w:p>
    <w:p w14:paraId="0F700E11" w14:textId="156D1818" w:rsidR="00AF567E" w:rsidRPr="00AF567E" w:rsidRDefault="00243D78">
      <w:pPr>
        <w:pStyle w:val="Sommario2"/>
        <w:rPr>
          <w:rFonts w:asciiTheme="minorHAnsi" w:eastAsiaTheme="minorEastAsia" w:hAnsiTheme="minorHAnsi" w:cstheme="minorBidi"/>
          <w:sz w:val="22"/>
          <w:szCs w:val="22"/>
          <w:lang w:eastAsia="it-IT"/>
        </w:rPr>
      </w:pPr>
      <w:hyperlink w:anchor="_Toc93327720" w:history="1">
        <w:r w:rsidR="00AF567E" w:rsidRPr="00AF567E">
          <w:rPr>
            <w:rStyle w:val="Collegamentoipertestuale"/>
            <w:color w:val="auto"/>
            <w:u w:val="none"/>
          </w:rPr>
          <w:t>4.2 Misura del credito dal 16.11.2020 al 31.12.2022</w:t>
        </w:r>
        <w:r w:rsidR="00AF567E" w:rsidRPr="00AF567E">
          <w:rPr>
            <w:webHidden/>
          </w:rPr>
          <w:tab/>
        </w:r>
        <w:r w:rsidR="00AF567E" w:rsidRPr="00AF567E">
          <w:rPr>
            <w:webHidden/>
          </w:rPr>
          <w:fldChar w:fldCharType="begin"/>
        </w:r>
        <w:r w:rsidR="00AF567E" w:rsidRPr="00AF567E">
          <w:rPr>
            <w:webHidden/>
          </w:rPr>
          <w:instrText xml:space="preserve"> PAGEREF _Toc93327720 \h </w:instrText>
        </w:r>
        <w:r w:rsidR="00AF567E" w:rsidRPr="00AF567E">
          <w:rPr>
            <w:webHidden/>
          </w:rPr>
        </w:r>
        <w:r w:rsidR="00AF567E" w:rsidRPr="00AF567E">
          <w:rPr>
            <w:webHidden/>
          </w:rPr>
          <w:fldChar w:fldCharType="separate"/>
        </w:r>
        <w:r w:rsidR="00EA69A4">
          <w:rPr>
            <w:webHidden/>
          </w:rPr>
          <w:t>43</w:t>
        </w:r>
        <w:r w:rsidR="00AF567E" w:rsidRPr="00AF567E">
          <w:rPr>
            <w:webHidden/>
          </w:rPr>
          <w:fldChar w:fldCharType="end"/>
        </w:r>
      </w:hyperlink>
    </w:p>
    <w:p w14:paraId="58D85EF1" w14:textId="246D9862"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21" w:history="1">
        <w:r w:rsidR="00AF567E" w:rsidRPr="00AF567E">
          <w:rPr>
            <w:rStyle w:val="Collegamentoipertestuale"/>
            <w:color w:val="auto"/>
            <w:u w:val="none"/>
          </w:rPr>
          <w:t>4.2.1 Investimenti effettuati dal 16.11.2020 al 30.06.2021 e discipline sovrapposte</w:t>
        </w:r>
        <w:r w:rsidR="00AF567E" w:rsidRPr="00AF567E">
          <w:rPr>
            <w:webHidden/>
          </w:rPr>
          <w:tab/>
        </w:r>
        <w:r w:rsidR="00AF567E" w:rsidRPr="00AF567E">
          <w:rPr>
            <w:webHidden/>
          </w:rPr>
          <w:fldChar w:fldCharType="begin"/>
        </w:r>
        <w:r w:rsidR="00AF567E" w:rsidRPr="00AF567E">
          <w:rPr>
            <w:webHidden/>
          </w:rPr>
          <w:instrText xml:space="preserve"> PAGEREF _Toc93327721 \h </w:instrText>
        </w:r>
        <w:r w:rsidR="00AF567E" w:rsidRPr="00AF567E">
          <w:rPr>
            <w:webHidden/>
          </w:rPr>
        </w:r>
        <w:r w:rsidR="00AF567E" w:rsidRPr="00AF567E">
          <w:rPr>
            <w:webHidden/>
          </w:rPr>
          <w:fldChar w:fldCharType="separate"/>
        </w:r>
        <w:r w:rsidR="00EA69A4">
          <w:rPr>
            <w:webHidden/>
          </w:rPr>
          <w:t>44</w:t>
        </w:r>
        <w:r w:rsidR="00AF567E" w:rsidRPr="00AF567E">
          <w:rPr>
            <w:webHidden/>
          </w:rPr>
          <w:fldChar w:fldCharType="end"/>
        </w:r>
      </w:hyperlink>
    </w:p>
    <w:p w14:paraId="7FBF294D" w14:textId="751DA4B4" w:rsidR="00AF567E" w:rsidRPr="00AF567E" w:rsidRDefault="00243D78">
      <w:pPr>
        <w:pStyle w:val="Sommario2"/>
        <w:rPr>
          <w:rFonts w:asciiTheme="minorHAnsi" w:eastAsiaTheme="minorEastAsia" w:hAnsiTheme="minorHAnsi" w:cstheme="minorBidi"/>
          <w:sz w:val="22"/>
          <w:szCs w:val="22"/>
          <w:lang w:eastAsia="it-IT"/>
        </w:rPr>
      </w:pPr>
      <w:hyperlink w:anchor="_Toc93327722" w:history="1">
        <w:r w:rsidR="00AF567E" w:rsidRPr="00AF567E">
          <w:rPr>
            <w:rStyle w:val="Collegamentoipertestuale"/>
            <w:color w:val="auto"/>
            <w:u w:val="none"/>
          </w:rPr>
          <w:t>4.3 Novità Legge di Bilancio 2022 – Misura del credito dal 01.01.2023 al 31.12.2025</w:t>
        </w:r>
        <w:r w:rsidR="00AF567E" w:rsidRPr="00AF567E">
          <w:rPr>
            <w:webHidden/>
          </w:rPr>
          <w:tab/>
        </w:r>
        <w:r w:rsidR="00AF567E" w:rsidRPr="00AF567E">
          <w:rPr>
            <w:webHidden/>
          </w:rPr>
          <w:fldChar w:fldCharType="begin"/>
        </w:r>
        <w:r w:rsidR="00AF567E" w:rsidRPr="00AF567E">
          <w:rPr>
            <w:webHidden/>
          </w:rPr>
          <w:instrText xml:space="preserve"> PAGEREF _Toc93327722 \h </w:instrText>
        </w:r>
        <w:r w:rsidR="00AF567E" w:rsidRPr="00AF567E">
          <w:rPr>
            <w:webHidden/>
          </w:rPr>
        </w:r>
        <w:r w:rsidR="00AF567E" w:rsidRPr="00AF567E">
          <w:rPr>
            <w:webHidden/>
          </w:rPr>
          <w:fldChar w:fldCharType="separate"/>
        </w:r>
        <w:r w:rsidR="00EA69A4">
          <w:rPr>
            <w:webHidden/>
          </w:rPr>
          <w:t>46</w:t>
        </w:r>
        <w:r w:rsidR="00AF567E" w:rsidRPr="00AF567E">
          <w:rPr>
            <w:webHidden/>
          </w:rPr>
          <w:fldChar w:fldCharType="end"/>
        </w:r>
      </w:hyperlink>
    </w:p>
    <w:p w14:paraId="63A0626F" w14:textId="18C25FEF"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5. </w:t>
      </w:r>
      <w:hyperlink w:anchor="_Toc93327723" w:history="1">
        <w:r w:rsidRPr="00AF567E">
          <w:rPr>
            <w:rStyle w:val="Collegamentoipertestuale"/>
            <w:color w:val="auto"/>
            <w:u w:val="none"/>
          </w:rPr>
          <w:t>Momento di fruizione del beneficio</w:t>
        </w:r>
        <w:r w:rsidRPr="00AF567E">
          <w:rPr>
            <w:webHidden/>
          </w:rPr>
          <w:tab/>
        </w:r>
        <w:r w:rsidRPr="00AF567E">
          <w:rPr>
            <w:webHidden/>
          </w:rPr>
          <w:fldChar w:fldCharType="begin"/>
        </w:r>
        <w:r w:rsidRPr="00AF567E">
          <w:rPr>
            <w:webHidden/>
          </w:rPr>
          <w:instrText xml:space="preserve"> PAGEREF _Toc93327723 \h </w:instrText>
        </w:r>
        <w:r w:rsidRPr="00AF567E">
          <w:rPr>
            <w:webHidden/>
          </w:rPr>
        </w:r>
        <w:r w:rsidRPr="00AF567E">
          <w:rPr>
            <w:webHidden/>
          </w:rPr>
          <w:fldChar w:fldCharType="separate"/>
        </w:r>
        <w:r w:rsidR="00EA69A4">
          <w:rPr>
            <w:webHidden/>
          </w:rPr>
          <w:t>48</w:t>
        </w:r>
        <w:r w:rsidRPr="00AF567E">
          <w:rPr>
            <w:webHidden/>
          </w:rPr>
          <w:fldChar w:fldCharType="end"/>
        </w:r>
      </w:hyperlink>
    </w:p>
    <w:p w14:paraId="1AED3915" w14:textId="057F5391" w:rsidR="00AF567E" w:rsidRPr="00AF567E" w:rsidRDefault="00243D78">
      <w:pPr>
        <w:pStyle w:val="Sommario2"/>
        <w:rPr>
          <w:rFonts w:asciiTheme="minorHAnsi" w:eastAsiaTheme="minorEastAsia" w:hAnsiTheme="minorHAnsi" w:cstheme="minorBidi"/>
          <w:sz w:val="22"/>
          <w:szCs w:val="22"/>
          <w:lang w:eastAsia="it-IT"/>
        </w:rPr>
      </w:pPr>
      <w:hyperlink w:anchor="_Toc93327724" w:history="1">
        <w:r w:rsidR="00AF567E" w:rsidRPr="00AF567E">
          <w:rPr>
            <w:rStyle w:val="Collegamentoipertestuale"/>
            <w:color w:val="auto"/>
            <w:u w:val="none"/>
          </w:rPr>
          <w:t>5.1 Effettuazione investimento tra acquisto e leasing</w:t>
        </w:r>
        <w:r w:rsidR="00AF567E" w:rsidRPr="00AF567E">
          <w:rPr>
            <w:webHidden/>
          </w:rPr>
          <w:tab/>
        </w:r>
        <w:r w:rsidR="00AF567E" w:rsidRPr="00AF567E">
          <w:rPr>
            <w:webHidden/>
          </w:rPr>
          <w:fldChar w:fldCharType="begin"/>
        </w:r>
        <w:r w:rsidR="00AF567E" w:rsidRPr="00AF567E">
          <w:rPr>
            <w:webHidden/>
          </w:rPr>
          <w:instrText xml:space="preserve"> PAGEREF _Toc93327724 \h </w:instrText>
        </w:r>
        <w:r w:rsidR="00AF567E" w:rsidRPr="00AF567E">
          <w:rPr>
            <w:webHidden/>
          </w:rPr>
        </w:r>
        <w:r w:rsidR="00AF567E" w:rsidRPr="00AF567E">
          <w:rPr>
            <w:webHidden/>
          </w:rPr>
          <w:fldChar w:fldCharType="separate"/>
        </w:r>
        <w:r w:rsidR="00EA69A4">
          <w:rPr>
            <w:webHidden/>
          </w:rPr>
          <w:t>48</w:t>
        </w:r>
        <w:r w:rsidR="00AF567E" w:rsidRPr="00AF567E">
          <w:rPr>
            <w:webHidden/>
          </w:rPr>
          <w:fldChar w:fldCharType="end"/>
        </w:r>
      </w:hyperlink>
    </w:p>
    <w:p w14:paraId="19B39EAB" w14:textId="4E9E2811"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25" w:history="1">
        <w:r w:rsidR="00AF567E" w:rsidRPr="00AF567E">
          <w:rPr>
            <w:rStyle w:val="Collegamentoipertestuale"/>
            <w:color w:val="auto"/>
            <w:u w:val="none"/>
          </w:rPr>
          <w:t>5.1.1 Beni realizzati in economia</w:t>
        </w:r>
        <w:r w:rsidR="00AF567E" w:rsidRPr="00AF567E">
          <w:rPr>
            <w:webHidden/>
          </w:rPr>
          <w:tab/>
        </w:r>
        <w:r w:rsidR="00AF567E" w:rsidRPr="00AF567E">
          <w:rPr>
            <w:webHidden/>
          </w:rPr>
          <w:fldChar w:fldCharType="begin"/>
        </w:r>
        <w:r w:rsidR="00AF567E" w:rsidRPr="00AF567E">
          <w:rPr>
            <w:webHidden/>
          </w:rPr>
          <w:instrText xml:space="preserve"> PAGEREF _Toc93327725 \h </w:instrText>
        </w:r>
        <w:r w:rsidR="00AF567E" w:rsidRPr="00AF567E">
          <w:rPr>
            <w:webHidden/>
          </w:rPr>
        </w:r>
        <w:r w:rsidR="00AF567E" w:rsidRPr="00AF567E">
          <w:rPr>
            <w:webHidden/>
          </w:rPr>
          <w:fldChar w:fldCharType="separate"/>
        </w:r>
        <w:r w:rsidR="00EA69A4">
          <w:rPr>
            <w:webHidden/>
          </w:rPr>
          <w:t>50</w:t>
        </w:r>
        <w:r w:rsidR="00AF567E" w:rsidRPr="00AF567E">
          <w:rPr>
            <w:webHidden/>
          </w:rPr>
          <w:fldChar w:fldCharType="end"/>
        </w:r>
      </w:hyperlink>
    </w:p>
    <w:p w14:paraId="1ADAB6E7" w14:textId="1005DB01"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26" w:history="1">
        <w:r w:rsidR="00AF567E" w:rsidRPr="00AF567E">
          <w:rPr>
            <w:rStyle w:val="Collegamentoipertestuale"/>
            <w:color w:val="auto"/>
            <w:u w:val="none"/>
          </w:rPr>
          <w:t>5.1.2 Beni realizzati con appalto a terzi</w:t>
        </w:r>
        <w:r w:rsidR="00AF567E" w:rsidRPr="00AF567E">
          <w:rPr>
            <w:webHidden/>
          </w:rPr>
          <w:tab/>
        </w:r>
        <w:r w:rsidR="00AF567E" w:rsidRPr="00AF567E">
          <w:rPr>
            <w:webHidden/>
          </w:rPr>
          <w:fldChar w:fldCharType="begin"/>
        </w:r>
        <w:r w:rsidR="00AF567E" w:rsidRPr="00AF567E">
          <w:rPr>
            <w:webHidden/>
          </w:rPr>
          <w:instrText xml:space="preserve"> PAGEREF _Toc93327726 \h </w:instrText>
        </w:r>
        <w:r w:rsidR="00AF567E" w:rsidRPr="00AF567E">
          <w:rPr>
            <w:webHidden/>
          </w:rPr>
        </w:r>
        <w:r w:rsidR="00AF567E" w:rsidRPr="00AF567E">
          <w:rPr>
            <w:webHidden/>
          </w:rPr>
          <w:fldChar w:fldCharType="separate"/>
        </w:r>
        <w:r w:rsidR="00EA69A4">
          <w:rPr>
            <w:webHidden/>
          </w:rPr>
          <w:t>51</w:t>
        </w:r>
        <w:r w:rsidR="00AF567E" w:rsidRPr="00AF567E">
          <w:rPr>
            <w:webHidden/>
          </w:rPr>
          <w:fldChar w:fldCharType="end"/>
        </w:r>
      </w:hyperlink>
    </w:p>
    <w:p w14:paraId="53A778E9" w14:textId="244FE687"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27" w:history="1">
        <w:r w:rsidR="00AF567E" w:rsidRPr="00AF567E">
          <w:rPr>
            <w:rStyle w:val="Collegamentoipertestuale"/>
            <w:color w:val="auto"/>
            <w:u w:val="none"/>
          </w:rPr>
          <w:t>5.1.3 Investimenti non conclusi entro il 31 dicembre 2021 e finestra di accesso</w:t>
        </w:r>
        <w:r w:rsidR="00AF567E" w:rsidRPr="00AF567E">
          <w:rPr>
            <w:webHidden/>
          </w:rPr>
          <w:tab/>
        </w:r>
        <w:r w:rsidR="00AF567E" w:rsidRPr="00AF567E">
          <w:rPr>
            <w:webHidden/>
          </w:rPr>
          <w:fldChar w:fldCharType="begin"/>
        </w:r>
        <w:r w:rsidR="00AF567E" w:rsidRPr="00AF567E">
          <w:rPr>
            <w:webHidden/>
          </w:rPr>
          <w:instrText xml:space="preserve"> PAGEREF _Toc93327727 \h </w:instrText>
        </w:r>
        <w:r w:rsidR="00AF567E" w:rsidRPr="00AF567E">
          <w:rPr>
            <w:webHidden/>
          </w:rPr>
        </w:r>
        <w:r w:rsidR="00AF567E" w:rsidRPr="00AF567E">
          <w:rPr>
            <w:webHidden/>
          </w:rPr>
          <w:fldChar w:fldCharType="separate"/>
        </w:r>
        <w:r w:rsidR="00EA69A4">
          <w:rPr>
            <w:webHidden/>
          </w:rPr>
          <w:t>52</w:t>
        </w:r>
        <w:r w:rsidR="00AF567E" w:rsidRPr="00AF567E">
          <w:rPr>
            <w:webHidden/>
          </w:rPr>
          <w:fldChar w:fldCharType="end"/>
        </w:r>
      </w:hyperlink>
    </w:p>
    <w:p w14:paraId="5AD656F0" w14:textId="76A68170"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28" w:history="1">
        <w:r w:rsidR="00AF567E" w:rsidRPr="00AF567E">
          <w:rPr>
            <w:rStyle w:val="Collegamentoipertestuale"/>
            <w:color w:val="auto"/>
            <w:u w:val="none"/>
          </w:rPr>
          <w:t>5.1.4 Acconto entro il 31 dicembre 2021 e scelta tra leasing o acquisto nel 2022</w:t>
        </w:r>
        <w:r w:rsidR="00AF567E" w:rsidRPr="00AF567E">
          <w:rPr>
            <w:webHidden/>
          </w:rPr>
          <w:tab/>
        </w:r>
        <w:r w:rsidR="00AF567E" w:rsidRPr="00AF567E">
          <w:rPr>
            <w:webHidden/>
          </w:rPr>
          <w:fldChar w:fldCharType="begin"/>
        </w:r>
        <w:r w:rsidR="00AF567E" w:rsidRPr="00AF567E">
          <w:rPr>
            <w:webHidden/>
          </w:rPr>
          <w:instrText xml:space="preserve"> PAGEREF _Toc93327728 \h </w:instrText>
        </w:r>
        <w:r w:rsidR="00AF567E" w:rsidRPr="00AF567E">
          <w:rPr>
            <w:webHidden/>
          </w:rPr>
        </w:r>
        <w:r w:rsidR="00AF567E" w:rsidRPr="00AF567E">
          <w:rPr>
            <w:webHidden/>
          </w:rPr>
          <w:fldChar w:fldCharType="separate"/>
        </w:r>
        <w:r w:rsidR="00EA69A4">
          <w:rPr>
            <w:webHidden/>
          </w:rPr>
          <w:t>53</w:t>
        </w:r>
        <w:r w:rsidR="00AF567E" w:rsidRPr="00AF567E">
          <w:rPr>
            <w:webHidden/>
          </w:rPr>
          <w:fldChar w:fldCharType="end"/>
        </w:r>
      </w:hyperlink>
    </w:p>
    <w:p w14:paraId="6BD21C49" w14:textId="33A0A50F"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29" w:history="1">
        <w:r w:rsidR="00AF567E" w:rsidRPr="00AF567E">
          <w:rPr>
            <w:rStyle w:val="Collegamentoipertestuale"/>
            <w:color w:val="auto"/>
            <w:u w:val="none"/>
          </w:rPr>
          <w:t>5.1.5 Investimenti non conclusi entro il 31 dicembre 2022 e finestra di accesso</w:t>
        </w:r>
        <w:r w:rsidR="00AF567E" w:rsidRPr="00AF567E">
          <w:rPr>
            <w:webHidden/>
          </w:rPr>
          <w:tab/>
        </w:r>
        <w:r w:rsidR="00AF567E" w:rsidRPr="00AF567E">
          <w:rPr>
            <w:webHidden/>
          </w:rPr>
          <w:fldChar w:fldCharType="begin"/>
        </w:r>
        <w:r w:rsidR="00AF567E" w:rsidRPr="00AF567E">
          <w:rPr>
            <w:webHidden/>
          </w:rPr>
          <w:instrText xml:space="preserve"> PAGEREF _Toc93327729 \h </w:instrText>
        </w:r>
        <w:r w:rsidR="00AF567E" w:rsidRPr="00AF567E">
          <w:rPr>
            <w:webHidden/>
          </w:rPr>
        </w:r>
        <w:r w:rsidR="00AF567E" w:rsidRPr="00AF567E">
          <w:rPr>
            <w:webHidden/>
          </w:rPr>
          <w:fldChar w:fldCharType="separate"/>
        </w:r>
        <w:r w:rsidR="00EA69A4">
          <w:rPr>
            <w:webHidden/>
          </w:rPr>
          <w:t>54</w:t>
        </w:r>
        <w:r w:rsidR="00AF567E" w:rsidRPr="00AF567E">
          <w:rPr>
            <w:webHidden/>
          </w:rPr>
          <w:fldChar w:fldCharType="end"/>
        </w:r>
      </w:hyperlink>
    </w:p>
    <w:p w14:paraId="76941A52" w14:textId="6A119801" w:rsidR="00AF567E" w:rsidRPr="00AF567E" w:rsidRDefault="00243D78">
      <w:pPr>
        <w:pStyle w:val="Sommario2"/>
        <w:rPr>
          <w:rFonts w:asciiTheme="minorHAnsi" w:eastAsiaTheme="minorEastAsia" w:hAnsiTheme="minorHAnsi" w:cstheme="minorBidi"/>
          <w:sz w:val="22"/>
          <w:szCs w:val="22"/>
          <w:lang w:eastAsia="it-IT"/>
        </w:rPr>
      </w:pPr>
      <w:hyperlink w:anchor="_Toc93327730" w:history="1">
        <w:r w:rsidR="00AF567E" w:rsidRPr="00AF567E">
          <w:rPr>
            <w:rStyle w:val="Collegamentoipertestuale"/>
            <w:color w:val="auto"/>
            <w:u w:val="none"/>
          </w:rPr>
          <w:t>5.2 Momento di fruizione del beneficio</w:t>
        </w:r>
        <w:r w:rsidR="00AF567E" w:rsidRPr="00AF567E">
          <w:rPr>
            <w:webHidden/>
          </w:rPr>
          <w:tab/>
        </w:r>
        <w:r w:rsidR="00AF567E" w:rsidRPr="00AF567E">
          <w:rPr>
            <w:webHidden/>
          </w:rPr>
          <w:fldChar w:fldCharType="begin"/>
        </w:r>
        <w:r w:rsidR="00AF567E" w:rsidRPr="00AF567E">
          <w:rPr>
            <w:webHidden/>
          </w:rPr>
          <w:instrText xml:space="preserve"> PAGEREF _Toc93327730 \h </w:instrText>
        </w:r>
        <w:r w:rsidR="00AF567E" w:rsidRPr="00AF567E">
          <w:rPr>
            <w:webHidden/>
          </w:rPr>
        </w:r>
        <w:r w:rsidR="00AF567E" w:rsidRPr="00AF567E">
          <w:rPr>
            <w:webHidden/>
          </w:rPr>
          <w:fldChar w:fldCharType="separate"/>
        </w:r>
        <w:r w:rsidR="00EA69A4">
          <w:rPr>
            <w:webHidden/>
          </w:rPr>
          <w:t>55</w:t>
        </w:r>
        <w:r w:rsidR="00AF567E" w:rsidRPr="00AF567E">
          <w:rPr>
            <w:webHidden/>
          </w:rPr>
          <w:fldChar w:fldCharType="end"/>
        </w:r>
      </w:hyperlink>
    </w:p>
    <w:p w14:paraId="2AC2BB18" w14:textId="0AC1A9F6"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6. </w:t>
      </w:r>
      <w:hyperlink w:anchor="_Toc93327731" w:history="1">
        <w:r w:rsidRPr="00AF567E">
          <w:rPr>
            <w:rStyle w:val="Collegamentoipertestuale"/>
            <w:color w:val="auto"/>
            <w:u w:val="none"/>
          </w:rPr>
          <w:t>Credito di imposta in compensazione</w:t>
        </w:r>
        <w:r w:rsidRPr="00AF567E">
          <w:rPr>
            <w:webHidden/>
          </w:rPr>
          <w:tab/>
        </w:r>
        <w:r w:rsidRPr="00AF567E">
          <w:rPr>
            <w:webHidden/>
          </w:rPr>
          <w:fldChar w:fldCharType="begin"/>
        </w:r>
        <w:r w:rsidRPr="00AF567E">
          <w:rPr>
            <w:webHidden/>
          </w:rPr>
          <w:instrText xml:space="preserve"> PAGEREF _Toc93327731 \h </w:instrText>
        </w:r>
        <w:r w:rsidRPr="00AF567E">
          <w:rPr>
            <w:webHidden/>
          </w:rPr>
        </w:r>
        <w:r w:rsidRPr="00AF567E">
          <w:rPr>
            <w:webHidden/>
          </w:rPr>
          <w:fldChar w:fldCharType="separate"/>
        </w:r>
        <w:r w:rsidR="00EA69A4">
          <w:rPr>
            <w:webHidden/>
          </w:rPr>
          <w:t>57</w:t>
        </w:r>
        <w:r w:rsidRPr="00AF567E">
          <w:rPr>
            <w:webHidden/>
          </w:rPr>
          <w:fldChar w:fldCharType="end"/>
        </w:r>
      </w:hyperlink>
    </w:p>
    <w:p w14:paraId="0B905293" w14:textId="5B69A53E" w:rsidR="00AF567E" w:rsidRPr="00AF567E" w:rsidRDefault="00243D78">
      <w:pPr>
        <w:pStyle w:val="Sommario2"/>
        <w:rPr>
          <w:rFonts w:asciiTheme="minorHAnsi" w:eastAsiaTheme="minorEastAsia" w:hAnsiTheme="minorHAnsi" w:cstheme="minorBidi"/>
          <w:sz w:val="22"/>
          <w:szCs w:val="22"/>
          <w:lang w:eastAsia="it-IT"/>
        </w:rPr>
      </w:pPr>
      <w:hyperlink w:anchor="_Toc93327732" w:history="1">
        <w:r w:rsidR="00AF567E" w:rsidRPr="00AF567E">
          <w:rPr>
            <w:rStyle w:val="Collegamentoipertestuale"/>
            <w:color w:val="auto"/>
            <w:u w:val="none"/>
          </w:rPr>
          <w:t>6.1 Credito di imposta in compensazione</w:t>
        </w:r>
        <w:r w:rsidR="00AF567E" w:rsidRPr="00AF567E">
          <w:rPr>
            <w:webHidden/>
          </w:rPr>
          <w:tab/>
        </w:r>
        <w:r w:rsidR="00AF567E" w:rsidRPr="00AF567E">
          <w:rPr>
            <w:webHidden/>
          </w:rPr>
          <w:fldChar w:fldCharType="begin"/>
        </w:r>
        <w:r w:rsidR="00AF567E" w:rsidRPr="00AF567E">
          <w:rPr>
            <w:webHidden/>
          </w:rPr>
          <w:instrText xml:space="preserve"> PAGEREF _Toc93327732 \h </w:instrText>
        </w:r>
        <w:r w:rsidR="00AF567E" w:rsidRPr="00AF567E">
          <w:rPr>
            <w:webHidden/>
          </w:rPr>
        </w:r>
        <w:r w:rsidR="00AF567E" w:rsidRPr="00AF567E">
          <w:rPr>
            <w:webHidden/>
          </w:rPr>
          <w:fldChar w:fldCharType="separate"/>
        </w:r>
        <w:r w:rsidR="00EA69A4">
          <w:rPr>
            <w:webHidden/>
          </w:rPr>
          <w:t>57</w:t>
        </w:r>
        <w:r w:rsidR="00AF567E" w:rsidRPr="00AF567E">
          <w:rPr>
            <w:webHidden/>
          </w:rPr>
          <w:fldChar w:fldCharType="end"/>
        </w:r>
      </w:hyperlink>
    </w:p>
    <w:p w14:paraId="3ABC967D" w14:textId="1BDC9B7A"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33" w:history="1">
        <w:r w:rsidR="00AF567E" w:rsidRPr="00AF567E">
          <w:rPr>
            <w:rStyle w:val="Collegamentoipertestuale"/>
            <w:color w:val="auto"/>
            <w:u w:val="none"/>
          </w:rPr>
          <w:t>6.1.1 Credito di imposta e tardiva interconnessione</w:t>
        </w:r>
        <w:r w:rsidR="00AF567E" w:rsidRPr="00AF567E">
          <w:rPr>
            <w:webHidden/>
          </w:rPr>
          <w:tab/>
        </w:r>
        <w:r w:rsidR="00AF567E" w:rsidRPr="00AF567E">
          <w:rPr>
            <w:webHidden/>
          </w:rPr>
          <w:fldChar w:fldCharType="begin"/>
        </w:r>
        <w:r w:rsidR="00AF567E" w:rsidRPr="00AF567E">
          <w:rPr>
            <w:webHidden/>
          </w:rPr>
          <w:instrText xml:space="preserve"> PAGEREF _Toc93327733 \h </w:instrText>
        </w:r>
        <w:r w:rsidR="00AF567E" w:rsidRPr="00AF567E">
          <w:rPr>
            <w:webHidden/>
          </w:rPr>
        </w:r>
        <w:r w:rsidR="00AF567E" w:rsidRPr="00AF567E">
          <w:rPr>
            <w:webHidden/>
          </w:rPr>
          <w:fldChar w:fldCharType="separate"/>
        </w:r>
        <w:r w:rsidR="00EA69A4">
          <w:rPr>
            <w:webHidden/>
          </w:rPr>
          <w:t>61</w:t>
        </w:r>
        <w:r w:rsidR="00AF567E" w:rsidRPr="00AF567E">
          <w:rPr>
            <w:webHidden/>
          </w:rPr>
          <w:fldChar w:fldCharType="end"/>
        </w:r>
      </w:hyperlink>
    </w:p>
    <w:p w14:paraId="6FE5FF04" w14:textId="7367395D"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34" w:history="1">
        <w:r w:rsidR="00AF567E" w:rsidRPr="00AF567E">
          <w:rPr>
            <w:rStyle w:val="Collegamentoipertestuale"/>
            <w:color w:val="auto"/>
            <w:u w:val="none"/>
          </w:rPr>
          <w:t>6.1.2 Presentazione della dichiarazione e visto di conformità</w:t>
        </w:r>
        <w:r w:rsidR="00AF567E" w:rsidRPr="00AF567E">
          <w:rPr>
            <w:webHidden/>
          </w:rPr>
          <w:tab/>
        </w:r>
        <w:r w:rsidR="00AF567E" w:rsidRPr="00AF567E">
          <w:rPr>
            <w:webHidden/>
          </w:rPr>
          <w:fldChar w:fldCharType="begin"/>
        </w:r>
        <w:r w:rsidR="00AF567E" w:rsidRPr="00AF567E">
          <w:rPr>
            <w:webHidden/>
          </w:rPr>
          <w:instrText xml:space="preserve"> PAGEREF _Toc93327734 \h </w:instrText>
        </w:r>
        <w:r w:rsidR="00AF567E" w:rsidRPr="00AF567E">
          <w:rPr>
            <w:webHidden/>
          </w:rPr>
        </w:r>
        <w:r w:rsidR="00AF567E" w:rsidRPr="00AF567E">
          <w:rPr>
            <w:webHidden/>
          </w:rPr>
          <w:fldChar w:fldCharType="separate"/>
        </w:r>
        <w:r w:rsidR="00EA69A4">
          <w:rPr>
            <w:webHidden/>
          </w:rPr>
          <w:t>62</w:t>
        </w:r>
        <w:r w:rsidR="00AF567E" w:rsidRPr="00AF567E">
          <w:rPr>
            <w:webHidden/>
          </w:rPr>
          <w:fldChar w:fldCharType="end"/>
        </w:r>
      </w:hyperlink>
    </w:p>
    <w:p w14:paraId="657532D6" w14:textId="49BEE4DE"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35" w:history="1">
        <w:r w:rsidR="00AF567E" w:rsidRPr="00AF567E">
          <w:rPr>
            <w:rStyle w:val="Collegamentoipertestuale"/>
            <w:color w:val="auto"/>
            <w:u w:val="none"/>
          </w:rPr>
          <w:t>6.1.3 Non applicazione limiti di compensazione</w:t>
        </w:r>
        <w:r w:rsidR="00AF567E" w:rsidRPr="00AF567E">
          <w:rPr>
            <w:webHidden/>
          </w:rPr>
          <w:tab/>
        </w:r>
        <w:r w:rsidR="00AF567E" w:rsidRPr="00AF567E">
          <w:rPr>
            <w:webHidden/>
          </w:rPr>
          <w:fldChar w:fldCharType="begin"/>
        </w:r>
        <w:r w:rsidR="00AF567E" w:rsidRPr="00AF567E">
          <w:rPr>
            <w:webHidden/>
          </w:rPr>
          <w:instrText xml:space="preserve"> PAGEREF _Toc93327735 \h </w:instrText>
        </w:r>
        <w:r w:rsidR="00AF567E" w:rsidRPr="00AF567E">
          <w:rPr>
            <w:webHidden/>
          </w:rPr>
        </w:r>
        <w:r w:rsidR="00AF567E" w:rsidRPr="00AF567E">
          <w:rPr>
            <w:webHidden/>
          </w:rPr>
          <w:fldChar w:fldCharType="separate"/>
        </w:r>
        <w:r w:rsidR="00EA69A4">
          <w:rPr>
            <w:webHidden/>
          </w:rPr>
          <w:t>63</w:t>
        </w:r>
        <w:r w:rsidR="00AF567E" w:rsidRPr="00AF567E">
          <w:rPr>
            <w:webHidden/>
          </w:rPr>
          <w:fldChar w:fldCharType="end"/>
        </w:r>
      </w:hyperlink>
    </w:p>
    <w:p w14:paraId="5C2C3BA5" w14:textId="4350252E"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36" w:history="1">
        <w:r w:rsidR="00AF567E" w:rsidRPr="00AF567E">
          <w:rPr>
            <w:rStyle w:val="Collegamentoipertestuale"/>
            <w:color w:val="auto"/>
            <w:u w:val="none"/>
          </w:rPr>
          <w:t>6.1.4 Trasferimento credito di imposta per operazioni straordinarie</w:t>
        </w:r>
        <w:r w:rsidR="00AF567E" w:rsidRPr="00AF567E">
          <w:rPr>
            <w:webHidden/>
          </w:rPr>
          <w:tab/>
        </w:r>
        <w:r w:rsidR="00AF567E" w:rsidRPr="00AF567E">
          <w:rPr>
            <w:webHidden/>
          </w:rPr>
          <w:fldChar w:fldCharType="begin"/>
        </w:r>
        <w:r w:rsidR="00AF567E" w:rsidRPr="00AF567E">
          <w:rPr>
            <w:webHidden/>
          </w:rPr>
          <w:instrText xml:space="preserve"> PAGEREF _Toc93327736 \h </w:instrText>
        </w:r>
        <w:r w:rsidR="00AF567E" w:rsidRPr="00AF567E">
          <w:rPr>
            <w:webHidden/>
          </w:rPr>
        </w:r>
        <w:r w:rsidR="00AF567E" w:rsidRPr="00AF567E">
          <w:rPr>
            <w:webHidden/>
          </w:rPr>
          <w:fldChar w:fldCharType="separate"/>
        </w:r>
        <w:r w:rsidR="00EA69A4">
          <w:rPr>
            <w:webHidden/>
          </w:rPr>
          <w:t>64</w:t>
        </w:r>
        <w:r w:rsidR="00AF567E" w:rsidRPr="00AF567E">
          <w:rPr>
            <w:webHidden/>
          </w:rPr>
          <w:fldChar w:fldCharType="end"/>
        </w:r>
      </w:hyperlink>
    </w:p>
    <w:p w14:paraId="27F9051B" w14:textId="7E0279F0" w:rsidR="00AF567E" w:rsidRPr="00AF567E" w:rsidRDefault="00243D78">
      <w:pPr>
        <w:pStyle w:val="Sommario2"/>
        <w:rPr>
          <w:rFonts w:asciiTheme="minorHAnsi" w:eastAsiaTheme="minorEastAsia" w:hAnsiTheme="minorHAnsi" w:cstheme="minorBidi"/>
          <w:sz w:val="22"/>
          <w:szCs w:val="22"/>
          <w:lang w:eastAsia="it-IT"/>
        </w:rPr>
      </w:pPr>
      <w:hyperlink w:anchor="_Toc93327737" w:history="1">
        <w:r w:rsidR="00AF567E" w:rsidRPr="00AF567E">
          <w:rPr>
            <w:rStyle w:val="Collegamentoipertestuale"/>
            <w:color w:val="auto"/>
            <w:u w:val="none"/>
          </w:rPr>
          <w:t>6.2 Codici tributo utilizzabili in F24</w:t>
        </w:r>
        <w:r w:rsidR="00AF567E" w:rsidRPr="00AF567E">
          <w:rPr>
            <w:webHidden/>
          </w:rPr>
          <w:tab/>
        </w:r>
        <w:r w:rsidR="00AF567E" w:rsidRPr="00AF567E">
          <w:rPr>
            <w:webHidden/>
          </w:rPr>
          <w:fldChar w:fldCharType="begin"/>
        </w:r>
        <w:r w:rsidR="00AF567E" w:rsidRPr="00AF567E">
          <w:rPr>
            <w:webHidden/>
          </w:rPr>
          <w:instrText xml:space="preserve"> PAGEREF _Toc93327737 \h </w:instrText>
        </w:r>
        <w:r w:rsidR="00AF567E" w:rsidRPr="00AF567E">
          <w:rPr>
            <w:webHidden/>
          </w:rPr>
        </w:r>
        <w:r w:rsidR="00AF567E" w:rsidRPr="00AF567E">
          <w:rPr>
            <w:webHidden/>
          </w:rPr>
          <w:fldChar w:fldCharType="separate"/>
        </w:r>
        <w:r w:rsidR="00EA69A4">
          <w:rPr>
            <w:webHidden/>
          </w:rPr>
          <w:t>65</w:t>
        </w:r>
        <w:r w:rsidR="00AF567E" w:rsidRPr="00AF567E">
          <w:rPr>
            <w:webHidden/>
          </w:rPr>
          <w:fldChar w:fldCharType="end"/>
        </w:r>
      </w:hyperlink>
    </w:p>
    <w:p w14:paraId="1745A052" w14:textId="48C4A1DF"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7. </w:t>
      </w:r>
      <w:hyperlink w:anchor="_Toc93327738" w:history="1">
        <w:r w:rsidRPr="00AF567E">
          <w:rPr>
            <w:rStyle w:val="Collegamentoipertestuale"/>
            <w:color w:val="auto"/>
            <w:u w:val="none"/>
          </w:rPr>
          <w:t>Comunicazione Mise</w:t>
        </w:r>
        <w:r w:rsidRPr="00AF567E">
          <w:rPr>
            <w:webHidden/>
          </w:rPr>
          <w:tab/>
        </w:r>
        <w:r w:rsidRPr="00AF567E">
          <w:rPr>
            <w:webHidden/>
          </w:rPr>
          <w:fldChar w:fldCharType="begin"/>
        </w:r>
        <w:r w:rsidRPr="00AF567E">
          <w:rPr>
            <w:webHidden/>
          </w:rPr>
          <w:instrText xml:space="preserve"> PAGEREF _Toc93327738 \h </w:instrText>
        </w:r>
        <w:r w:rsidRPr="00AF567E">
          <w:rPr>
            <w:webHidden/>
          </w:rPr>
        </w:r>
        <w:r w:rsidRPr="00AF567E">
          <w:rPr>
            <w:webHidden/>
          </w:rPr>
          <w:fldChar w:fldCharType="separate"/>
        </w:r>
        <w:r w:rsidR="00EA69A4">
          <w:rPr>
            <w:webHidden/>
          </w:rPr>
          <w:t>67</w:t>
        </w:r>
        <w:r w:rsidRPr="00AF567E">
          <w:rPr>
            <w:webHidden/>
          </w:rPr>
          <w:fldChar w:fldCharType="end"/>
        </w:r>
      </w:hyperlink>
    </w:p>
    <w:p w14:paraId="65243684" w14:textId="44F4BE23" w:rsidR="00AF567E" w:rsidRPr="00AF567E" w:rsidRDefault="00243D78">
      <w:pPr>
        <w:pStyle w:val="Sommario2"/>
        <w:rPr>
          <w:rFonts w:asciiTheme="minorHAnsi" w:eastAsiaTheme="minorEastAsia" w:hAnsiTheme="minorHAnsi" w:cstheme="minorBidi"/>
          <w:sz w:val="22"/>
          <w:szCs w:val="22"/>
          <w:lang w:eastAsia="it-IT"/>
        </w:rPr>
      </w:pPr>
      <w:hyperlink w:anchor="_Toc93327739" w:history="1">
        <w:r w:rsidR="00AF567E" w:rsidRPr="00AF567E">
          <w:rPr>
            <w:rStyle w:val="Collegamentoipertestuale"/>
            <w:color w:val="auto"/>
            <w:u w:val="none"/>
          </w:rPr>
          <w:t>7.1 Termine di invio comunicazione</w:t>
        </w:r>
        <w:r w:rsidR="00AF567E" w:rsidRPr="00AF567E">
          <w:rPr>
            <w:webHidden/>
          </w:rPr>
          <w:tab/>
        </w:r>
        <w:r w:rsidR="00AF567E" w:rsidRPr="00AF567E">
          <w:rPr>
            <w:webHidden/>
          </w:rPr>
          <w:fldChar w:fldCharType="begin"/>
        </w:r>
        <w:r w:rsidR="00AF567E" w:rsidRPr="00AF567E">
          <w:rPr>
            <w:webHidden/>
          </w:rPr>
          <w:instrText xml:space="preserve"> PAGEREF _Toc93327739 \h </w:instrText>
        </w:r>
        <w:r w:rsidR="00AF567E" w:rsidRPr="00AF567E">
          <w:rPr>
            <w:webHidden/>
          </w:rPr>
        </w:r>
        <w:r w:rsidR="00AF567E" w:rsidRPr="00AF567E">
          <w:rPr>
            <w:webHidden/>
          </w:rPr>
          <w:fldChar w:fldCharType="separate"/>
        </w:r>
        <w:r w:rsidR="00EA69A4">
          <w:rPr>
            <w:webHidden/>
          </w:rPr>
          <w:t>68</w:t>
        </w:r>
        <w:r w:rsidR="00AF567E" w:rsidRPr="00AF567E">
          <w:rPr>
            <w:webHidden/>
          </w:rPr>
          <w:fldChar w:fldCharType="end"/>
        </w:r>
      </w:hyperlink>
    </w:p>
    <w:p w14:paraId="394C3FCB" w14:textId="3404FE2B" w:rsidR="00AF567E" w:rsidRPr="00AF567E" w:rsidRDefault="00243D78">
      <w:pPr>
        <w:pStyle w:val="Sommario2"/>
        <w:rPr>
          <w:rFonts w:asciiTheme="minorHAnsi" w:eastAsiaTheme="minorEastAsia" w:hAnsiTheme="minorHAnsi" w:cstheme="minorBidi"/>
          <w:sz w:val="22"/>
          <w:szCs w:val="22"/>
          <w:lang w:eastAsia="it-IT"/>
        </w:rPr>
      </w:pPr>
      <w:hyperlink w:anchor="_Toc93327740" w:history="1">
        <w:r w:rsidR="00AF567E" w:rsidRPr="00AF567E">
          <w:rPr>
            <w:rStyle w:val="Collegamentoipertestuale"/>
            <w:color w:val="auto"/>
            <w:u w:val="none"/>
          </w:rPr>
          <w:t>7.2 Modello di comunicazion</w:t>
        </w:r>
        <w:r w:rsidR="00AF567E" w:rsidRPr="00AF567E">
          <w:rPr>
            <w:rStyle w:val="Collegamentoipertestuale"/>
            <w:color w:val="auto"/>
            <w:u w:val="none"/>
          </w:rPr>
          <w:t>e</w:t>
        </w:r>
        <w:r w:rsidR="00AF567E" w:rsidRPr="00AF567E">
          <w:rPr>
            <w:rStyle w:val="Collegamentoipertestuale"/>
            <w:color w:val="auto"/>
            <w:u w:val="none"/>
          </w:rPr>
          <w:t xml:space="preserve"> al Mise</w:t>
        </w:r>
        <w:r w:rsidR="00AF567E" w:rsidRPr="00AF567E">
          <w:rPr>
            <w:webHidden/>
          </w:rPr>
          <w:tab/>
        </w:r>
        <w:r w:rsidR="00AF567E" w:rsidRPr="00AF567E">
          <w:rPr>
            <w:webHidden/>
          </w:rPr>
          <w:fldChar w:fldCharType="begin"/>
        </w:r>
        <w:r w:rsidR="00AF567E" w:rsidRPr="00AF567E">
          <w:rPr>
            <w:webHidden/>
          </w:rPr>
          <w:instrText xml:space="preserve"> PAGEREF _Toc93327740 \h </w:instrText>
        </w:r>
        <w:r w:rsidR="00AF567E" w:rsidRPr="00AF567E">
          <w:rPr>
            <w:webHidden/>
          </w:rPr>
        </w:r>
        <w:r w:rsidR="00AF567E" w:rsidRPr="00AF567E">
          <w:rPr>
            <w:webHidden/>
          </w:rPr>
          <w:fldChar w:fldCharType="separate"/>
        </w:r>
        <w:r w:rsidR="00EA69A4">
          <w:rPr>
            <w:webHidden/>
          </w:rPr>
          <w:t>69</w:t>
        </w:r>
        <w:r w:rsidR="00AF567E" w:rsidRPr="00AF567E">
          <w:rPr>
            <w:webHidden/>
          </w:rPr>
          <w:fldChar w:fldCharType="end"/>
        </w:r>
      </w:hyperlink>
    </w:p>
    <w:p w14:paraId="3D38206B" w14:textId="55C5C3C8" w:rsidR="00AF567E" w:rsidRPr="00AF567E" w:rsidRDefault="00243D78">
      <w:pPr>
        <w:pStyle w:val="Sommario2"/>
        <w:rPr>
          <w:rFonts w:asciiTheme="minorHAnsi" w:eastAsiaTheme="minorEastAsia" w:hAnsiTheme="minorHAnsi" w:cstheme="minorBidi"/>
          <w:sz w:val="22"/>
          <w:szCs w:val="22"/>
          <w:lang w:eastAsia="it-IT"/>
        </w:rPr>
      </w:pPr>
      <w:hyperlink w:anchor="_Toc93327741" w:history="1">
        <w:r w:rsidR="00AF567E" w:rsidRPr="00AF567E">
          <w:rPr>
            <w:rStyle w:val="Collegamentoipertestuale"/>
            <w:color w:val="auto"/>
            <w:u w:val="none"/>
          </w:rPr>
          <w:t>7.3 Tabella di riferimento per tipologia di bene – Legenda</w:t>
        </w:r>
        <w:r w:rsidR="00AF567E" w:rsidRPr="00AF567E">
          <w:rPr>
            <w:webHidden/>
          </w:rPr>
          <w:tab/>
        </w:r>
        <w:r w:rsidR="00AF567E" w:rsidRPr="00AF567E">
          <w:rPr>
            <w:webHidden/>
          </w:rPr>
          <w:fldChar w:fldCharType="begin"/>
        </w:r>
        <w:r w:rsidR="00AF567E" w:rsidRPr="00AF567E">
          <w:rPr>
            <w:webHidden/>
          </w:rPr>
          <w:instrText xml:space="preserve"> PAGEREF _Toc93327741 \h </w:instrText>
        </w:r>
        <w:r w:rsidR="00AF567E" w:rsidRPr="00AF567E">
          <w:rPr>
            <w:webHidden/>
          </w:rPr>
        </w:r>
        <w:r w:rsidR="00AF567E" w:rsidRPr="00AF567E">
          <w:rPr>
            <w:webHidden/>
          </w:rPr>
          <w:fldChar w:fldCharType="separate"/>
        </w:r>
        <w:r w:rsidR="00EA69A4">
          <w:rPr>
            <w:webHidden/>
          </w:rPr>
          <w:t>71</w:t>
        </w:r>
        <w:r w:rsidR="00AF567E" w:rsidRPr="00AF567E">
          <w:rPr>
            <w:webHidden/>
          </w:rPr>
          <w:fldChar w:fldCharType="end"/>
        </w:r>
      </w:hyperlink>
    </w:p>
    <w:p w14:paraId="2D408243" w14:textId="2DC36008"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8. </w:t>
      </w:r>
      <w:hyperlink w:anchor="_Toc93327742" w:history="1">
        <w:r w:rsidRPr="00AF567E">
          <w:rPr>
            <w:rStyle w:val="Collegamentoipertestuale"/>
            <w:color w:val="auto"/>
            <w:u w:val="none"/>
          </w:rPr>
          <w:t>Trattamento fiscale e contabile</w:t>
        </w:r>
        <w:r w:rsidRPr="00AF567E">
          <w:rPr>
            <w:webHidden/>
          </w:rPr>
          <w:tab/>
        </w:r>
        <w:r w:rsidRPr="00AF567E">
          <w:rPr>
            <w:webHidden/>
          </w:rPr>
          <w:fldChar w:fldCharType="begin"/>
        </w:r>
        <w:r w:rsidRPr="00AF567E">
          <w:rPr>
            <w:webHidden/>
          </w:rPr>
          <w:instrText xml:space="preserve"> PAGEREF _Toc93327742 \h </w:instrText>
        </w:r>
        <w:r w:rsidRPr="00AF567E">
          <w:rPr>
            <w:webHidden/>
          </w:rPr>
        </w:r>
        <w:r w:rsidRPr="00AF567E">
          <w:rPr>
            <w:webHidden/>
          </w:rPr>
          <w:fldChar w:fldCharType="separate"/>
        </w:r>
        <w:r w:rsidR="00EA69A4">
          <w:rPr>
            <w:webHidden/>
          </w:rPr>
          <w:t>75</w:t>
        </w:r>
        <w:r w:rsidRPr="00AF567E">
          <w:rPr>
            <w:webHidden/>
          </w:rPr>
          <w:fldChar w:fldCharType="end"/>
        </w:r>
      </w:hyperlink>
    </w:p>
    <w:p w14:paraId="1ED21291" w14:textId="4DFF5357" w:rsidR="00AF567E" w:rsidRPr="00AF567E" w:rsidRDefault="00243D78">
      <w:pPr>
        <w:pStyle w:val="Sommario2"/>
        <w:rPr>
          <w:rFonts w:asciiTheme="minorHAnsi" w:eastAsiaTheme="minorEastAsia" w:hAnsiTheme="minorHAnsi" w:cstheme="minorBidi"/>
          <w:sz w:val="22"/>
          <w:szCs w:val="22"/>
          <w:lang w:eastAsia="it-IT"/>
        </w:rPr>
      </w:pPr>
      <w:hyperlink w:anchor="_Toc93327743" w:history="1">
        <w:r w:rsidR="00AF567E" w:rsidRPr="00AF567E">
          <w:rPr>
            <w:rStyle w:val="Collegamentoipertestuale"/>
            <w:color w:val="auto"/>
            <w:u w:val="none"/>
          </w:rPr>
          <w:t>8.1 Trattamento fiscale</w:t>
        </w:r>
        <w:r w:rsidR="00AF567E" w:rsidRPr="00AF567E">
          <w:rPr>
            <w:webHidden/>
          </w:rPr>
          <w:tab/>
        </w:r>
        <w:r w:rsidR="00AF567E" w:rsidRPr="00AF567E">
          <w:rPr>
            <w:webHidden/>
          </w:rPr>
          <w:fldChar w:fldCharType="begin"/>
        </w:r>
        <w:r w:rsidR="00AF567E" w:rsidRPr="00AF567E">
          <w:rPr>
            <w:webHidden/>
          </w:rPr>
          <w:instrText xml:space="preserve"> PAGEREF _Toc93327743 \h </w:instrText>
        </w:r>
        <w:r w:rsidR="00AF567E" w:rsidRPr="00AF567E">
          <w:rPr>
            <w:webHidden/>
          </w:rPr>
        </w:r>
        <w:r w:rsidR="00AF567E" w:rsidRPr="00AF567E">
          <w:rPr>
            <w:webHidden/>
          </w:rPr>
          <w:fldChar w:fldCharType="separate"/>
        </w:r>
        <w:r w:rsidR="00EA69A4">
          <w:rPr>
            <w:webHidden/>
          </w:rPr>
          <w:t>75</w:t>
        </w:r>
        <w:r w:rsidR="00AF567E" w:rsidRPr="00AF567E">
          <w:rPr>
            <w:webHidden/>
          </w:rPr>
          <w:fldChar w:fldCharType="end"/>
        </w:r>
      </w:hyperlink>
    </w:p>
    <w:p w14:paraId="7C1F106D" w14:textId="74BA574F"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44" w:history="1">
        <w:r w:rsidR="00AF567E" w:rsidRPr="00AF567E">
          <w:rPr>
            <w:rStyle w:val="Collegamentoipertestuale"/>
            <w:color w:val="auto"/>
            <w:u w:val="none"/>
          </w:rPr>
          <w:t>8.1.1 Indicazione in dichiarazione dei redditi</w:t>
        </w:r>
        <w:r w:rsidR="00AF567E" w:rsidRPr="00AF567E">
          <w:rPr>
            <w:webHidden/>
          </w:rPr>
          <w:tab/>
        </w:r>
        <w:r w:rsidR="00AF567E" w:rsidRPr="00AF567E">
          <w:rPr>
            <w:webHidden/>
          </w:rPr>
          <w:fldChar w:fldCharType="begin"/>
        </w:r>
        <w:r w:rsidR="00AF567E" w:rsidRPr="00AF567E">
          <w:rPr>
            <w:webHidden/>
          </w:rPr>
          <w:instrText xml:space="preserve"> PAGEREF _Toc93327744 \h </w:instrText>
        </w:r>
        <w:r w:rsidR="00AF567E" w:rsidRPr="00AF567E">
          <w:rPr>
            <w:webHidden/>
          </w:rPr>
        </w:r>
        <w:r w:rsidR="00AF567E" w:rsidRPr="00AF567E">
          <w:rPr>
            <w:webHidden/>
          </w:rPr>
          <w:fldChar w:fldCharType="separate"/>
        </w:r>
        <w:r w:rsidR="00EA69A4">
          <w:rPr>
            <w:webHidden/>
          </w:rPr>
          <w:t>76</w:t>
        </w:r>
        <w:r w:rsidR="00AF567E" w:rsidRPr="00AF567E">
          <w:rPr>
            <w:webHidden/>
          </w:rPr>
          <w:fldChar w:fldCharType="end"/>
        </w:r>
      </w:hyperlink>
    </w:p>
    <w:p w14:paraId="4EC617F0" w14:textId="43630999" w:rsidR="00AF567E" w:rsidRPr="00AF567E" w:rsidRDefault="00243D78">
      <w:pPr>
        <w:pStyle w:val="Sommario2"/>
        <w:rPr>
          <w:rFonts w:asciiTheme="minorHAnsi" w:eastAsiaTheme="minorEastAsia" w:hAnsiTheme="minorHAnsi" w:cstheme="minorBidi"/>
          <w:sz w:val="22"/>
          <w:szCs w:val="22"/>
          <w:lang w:eastAsia="it-IT"/>
        </w:rPr>
      </w:pPr>
      <w:hyperlink w:anchor="_Toc93327745" w:history="1">
        <w:r w:rsidR="00AF567E" w:rsidRPr="00AF567E">
          <w:rPr>
            <w:rStyle w:val="Collegamentoipertestuale"/>
            <w:color w:val="auto"/>
            <w:u w:val="none"/>
          </w:rPr>
          <w:t>8.2 Trattamento contabile</w:t>
        </w:r>
        <w:r w:rsidR="00AF567E" w:rsidRPr="00AF567E">
          <w:rPr>
            <w:webHidden/>
          </w:rPr>
          <w:tab/>
        </w:r>
        <w:r w:rsidR="00AF567E" w:rsidRPr="00AF567E">
          <w:rPr>
            <w:webHidden/>
          </w:rPr>
          <w:fldChar w:fldCharType="begin"/>
        </w:r>
        <w:r w:rsidR="00AF567E" w:rsidRPr="00AF567E">
          <w:rPr>
            <w:webHidden/>
          </w:rPr>
          <w:instrText xml:space="preserve"> PAGEREF _Toc93327745 \h </w:instrText>
        </w:r>
        <w:r w:rsidR="00AF567E" w:rsidRPr="00AF567E">
          <w:rPr>
            <w:webHidden/>
          </w:rPr>
        </w:r>
        <w:r w:rsidR="00AF567E" w:rsidRPr="00AF567E">
          <w:rPr>
            <w:webHidden/>
          </w:rPr>
          <w:fldChar w:fldCharType="separate"/>
        </w:r>
        <w:r w:rsidR="00EA69A4">
          <w:rPr>
            <w:webHidden/>
          </w:rPr>
          <w:t>79</w:t>
        </w:r>
        <w:r w:rsidR="00AF567E" w:rsidRPr="00AF567E">
          <w:rPr>
            <w:webHidden/>
          </w:rPr>
          <w:fldChar w:fldCharType="end"/>
        </w:r>
      </w:hyperlink>
    </w:p>
    <w:p w14:paraId="20913339" w14:textId="038C02BB"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9. </w:t>
      </w:r>
      <w:hyperlink w:anchor="_Toc93327746" w:history="1">
        <w:r w:rsidRPr="00AF567E">
          <w:rPr>
            <w:rStyle w:val="Collegamentoipertestuale"/>
            <w:color w:val="auto"/>
            <w:u w:val="none"/>
          </w:rPr>
          <w:t>Cumulo</w:t>
        </w:r>
        <w:r w:rsidRPr="00AF567E">
          <w:rPr>
            <w:webHidden/>
          </w:rPr>
          <w:tab/>
        </w:r>
        <w:r w:rsidRPr="00AF567E">
          <w:rPr>
            <w:webHidden/>
          </w:rPr>
          <w:fldChar w:fldCharType="begin"/>
        </w:r>
        <w:r w:rsidRPr="00AF567E">
          <w:rPr>
            <w:webHidden/>
          </w:rPr>
          <w:instrText xml:space="preserve"> PAGEREF _Toc93327746 \h </w:instrText>
        </w:r>
        <w:r w:rsidRPr="00AF567E">
          <w:rPr>
            <w:webHidden/>
          </w:rPr>
        </w:r>
        <w:r w:rsidRPr="00AF567E">
          <w:rPr>
            <w:webHidden/>
          </w:rPr>
          <w:fldChar w:fldCharType="separate"/>
        </w:r>
        <w:r w:rsidR="00EA69A4">
          <w:rPr>
            <w:webHidden/>
          </w:rPr>
          <w:t>80</w:t>
        </w:r>
        <w:r w:rsidRPr="00AF567E">
          <w:rPr>
            <w:webHidden/>
          </w:rPr>
          <w:fldChar w:fldCharType="end"/>
        </w:r>
      </w:hyperlink>
    </w:p>
    <w:p w14:paraId="7D66CDCC" w14:textId="27BFC096" w:rsidR="00AF567E" w:rsidRPr="00AF567E" w:rsidRDefault="00243D78">
      <w:pPr>
        <w:pStyle w:val="Sommario2"/>
        <w:rPr>
          <w:rFonts w:asciiTheme="minorHAnsi" w:eastAsiaTheme="minorEastAsia" w:hAnsiTheme="minorHAnsi" w:cstheme="minorBidi"/>
          <w:sz w:val="22"/>
          <w:szCs w:val="22"/>
          <w:lang w:eastAsia="it-IT"/>
        </w:rPr>
      </w:pPr>
      <w:hyperlink w:anchor="_Toc93327747" w:history="1">
        <w:r w:rsidR="00AF567E" w:rsidRPr="00AF567E">
          <w:rPr>
            <w:rStyle w:val="Collegamentoipertestuale"/>
            <w:color w:val="auto"/>
            <w:u w:val="none"/>
          </w:rPr>
          <w:t>9.1 Cumulo</w:t>
        </w:r>
        <w:r w:rsidR="00AF567E" w:rsidRPr="00AF567E">
          <w:rPr>
            <w:webHidden/>
          </w:rPr>
          <w:tab/>
        </w:r>
        <w:r w:rsidR="00AF567E" w:rsidRPr="00AF567E">
          <w:rPr>
            <w:webHidden/>
          </w:rPr>
          <w:fldChar w:fldCharType="begin"/>
        </w:r>
        <w:r w:rsidR="00AF567E" w:rsidRPr="00AF567E">
          <w:rPr>
            <w:webHidden/>
          </w:rPr>
          <w:instrText xml:space="preserve"> PAGEREF _Toc93327747 \h </w:instrText>
        </w:r>
        <w:r w:rsidR="00AF567E" w:rsidRPr="00AF567E">
          <w:rPr>
            <w:webHidden/>
          </w:rPr>
        </w:r>
        <w:r w:rsidR="00AF567E" w:rsidRPr="00AF567E">
          <w:rPr>
            <w:webHidden/>
          </w:rPr>
          <w:fldChar w:fldCharType="separate"/>
        </w:r>
        <w:r w:rsidR="00EA69A4">
          <w:rPr>
            <w:webHidden/>
          </w:rPr>
          <w:t>80</w:t>
        </w:r>
        <w:r w:rsidR="00AF567E" w:rsidRPr="00AF567E">
          <w:rPr>
            <w:webHidden/>
          </w:rPr>
          <w:fldChar w:fldCharType="end"/>
        </w:r>
      </w:hyperlink>
    </w:p>
    <w:p w14:paraId="6BF1FEDF" w14:textId="3A590233"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48" w:history="1">
        <w:r w:rsidR="00AF567E" w:rsidRPr="00AF567E">
          <w:rPr>
            <w:rStyle w:val="Collegamentoipertestuale"/>
            <w:color w:val="auto"/>
            <w:u w:val="none"/>
          </w:rPr>
          <w:t>9.1.1 Nuova Sabatini</w:t>
        </w:r>
        <w:r w:rsidR="00AF567E" w:rsidRPr="00AF567E">
          <w:rPr>
            <w:webHidden/>
          </w:rPr>
          <w:tab/>
        </w:r>
        <w:r w:rsidR="00AF567E" w:rsidRPr="00AF567E">
          <w:rPr>
            <w:webHidden/>
          </w:rPr>
          <w:fldChar w:fldCharType="begin"/>
        </w:r>
        <w:r w:rsidR="00AF567E" w:rsidRPr="00AF567E">
          <w:rPr>
            <w:webHidden/>
          </w:rPr>
          <w:instrText xml:space="preserve"> PAGEREF _Toc93327748 \h </w:instrText>
        </w:r>
        <w:r w:rsidR="00AF567E" w:rsidRPr="00AF567E">
          <w:rPr>
            <w:webHidden/>
          </w:rPr>
        </w:r>
        <w:r w:rsidR="00AF567E" w:rsidRPr="00AF567E">
          <w:rPr>
            <w:webHidden/>
          </w:rPr>
          <w:fldChar w:fldCharType="separate"/>
        </w:r>
        <w:r w:rsidR="00EA69A4">
          <w:rPr>
            <w:webHidden/>
          </w:rPr>
          <w:t>82</w:t>
        </w:r>
        <w:r w:rsidR="00AF567E" w:rsidRPr="00AF567E">
          <w:rPr>
            <w:webHidden/>
          </w:rPr>
          <w:fldChar w:fldCharType="end"/>
        </w:r>
      </w:hyperlink>
    </w:p>
    <w:p w14:paraId="3DCBA347" w14:textId="008937BC"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10. </w:t>
      </w:r>
      <w:hyperlink w:anchor="_Toc93327749" w:history="1">
        <w:r w:rsidRPr="00AF567E">
          <w:rPr>
            <w:rStyle w:val="Collegamentoipertestuale"/>
            <w:color w:val="auto"/>
            <w:u w:val="none"/>
          </w:rPr>
          <w:t>Perdita agevolazione</w:t>
        </w:r>
        <w:r w:rsidRPr="00AF567E">
          <w:rPr>
            <w:webHidden/>
          </w:rPr>
          <w:tab/>
        </w:r>
        <w:r w:rsidRPr="00AF567E">
          <w:rPr>
            <w:webHidden/>
          </w:rPr>
          <w:fldChar w:fldCharType="begin"/>
        </w:r>
        <w:r w:rsidRPr="00AF567E">
          <w:rPr>
            <w:webHidden/>
          </w:rPr>
          <w:instrText xml:space="preserve"> PAGEREF _Toc93327749 \h </w:instrText>
        </w:r>
        <w:r w:rsidRPr="00AF567E">
          <w:rPr>
            <w:webHidden/>
          </w:rPr>
        </w:r>
        <w:r w:rsidRPr="00AF567E">
          <w:rPr>
            <w:webHidden/>
          </w:rPr>
          <w:fldChar w:fldCharType="separate"/>
        </w:r>
        <w:r w:rsidR="00EA69A4">
          <w:rPr>
            <w:webHidden/>
          </w:rPr>
          <w:t>85</w:t>
        </w:r>
        <w:r w:rsidRPr="00AF567E">
          <w:rPr>
            <w:webHidden/>
          </w:rPr>
          <w:fldChar w:fldCharType="end"/>
        </w:r>
      </w:hyperlink>
    </w:p>
    <w:p w14:paraId="4843B4C8" w14:textId="499A9074" w:rsidR="00AF567E" w:rsidRPr="00AF567E" w:rsidRDefault="00243D78">
      <w:pPr>
        <w:pStyle w:val="Sommario2"/>
        <w:rPr>
          <w:rFonts w:asciiTheme="minorHAnsi" w:eastAsiaTheme="minorEastAsia" w:hAnsiTheme="minorHAnsi" w:cstheme="minorBidi"/>
          <w:sz w:val="22"/>
          <w:szCs w:val="22"/>
          <w:lang w:eastAsia="it-IT"/>
        </w:rPr>
      </w:pPr>
      <w:hyperlink w:anchor="_Toc93327750" w:history="1">
        <w:r w:rsidR="00AF567E" w:rsidRPr="00AF567E">
          <w:rPr>
            <w:rStyle w:val="Collegamentoipertestuale"/>
            <w:color w:val="auto"/>
            <w:u w:val="none"/>
          </w:rPr>
          <w:t>10.1 Perdita agevolazione</w:t>
        </w:r>
        <w:r w:rsidR="00AF567E" w:rsidRPr="00AF567E">
          <w:rPr>
            <w:webHidden/>
          </w:rPr>
          <w:tab/>
        </w:r>
        <w:r w:rsidR="00AF567E" w:rsidRPr="00AF567E">
          <w:rPr>
            <w:webHidden/>
          </w:rPr>
          <w:fldChar w:fldCharType="begin"/>
        </w:r>
        <w:r w:rsidR="00AF567E" w:rsidRPr="00AF567E">
          <w:rPr>
            <w:webHidden/>
          </w:rPr>
          <w:instrText xml:space="preserve"> PAGEREF _Toc93327750 \h </w:instrText>
        </w:r>
        <w:r w:rsidR="00AF567E" w:rsidRPr="00AF567E">
          <w:rPr>
            <w:webHidden/>
          </w:rPr>
        </w:r>
        <w:r w:rsidR="00AF567E" w:rsidRPr="00AF567E">
          <w:rPr>
            <w:webHidden/>
          </w:rPr>
          <w:fldChar w:fldCharType="separate"/>
        </w:r>
        <w:r w:rsidR="00EA69A4">
          <w:rPr>
            <w:webHidden/>
          </w:rPr>
          <w:t>85</w:t>
        </w:r>
        <w:r w:rsidR="00AF567E" w:rsidRPr="00AF567E">
          <w:rPr>
            <w:webHidden/>
          </w:rPr>
          <w:fldChar w:fldCharType="end"/>
        </w:r>
      </w:hyperlink>
    </w:p>
    <w:p w14:paraId="687B3C43" w14:textId="4626DA27"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51" w:history="1">
        <w:r w:rsidR="00AF567E" w:rsidRPr="00AF567E">
          <w:rPr>
            <w:rStyle w:val="Collegamentoipertestuale"/>
            <w:color w:val="auto"/>
            <w:u w:val="none"/>
          </w:rPr>
          <w:t>10.1.1 Investimenti sostitutivi</w:t>
        </w:r>
        <w:r w:rsidR="00AF567E" w:rsidRPr="00AF567E">
          <w:rPr>
            <w:webHidden/>
          </w:rPr>
          <w:tab/>
        </w:r>
        <w:r w:rsidR="00AF567E" w:rsidRPr="00AF567E">
          <w:rPr>
            <w:webHidden/>
          </w:rPr>
          <w:fldChar w:fldCharType="begin"/>
        </w:r>
        <w:r w:rsidR="00AF567E" w:rsidRPr="00AF567E">
          <w:rPr>
            <w:webHidden/>
          </w:rPr>
          <w:instrText xml:space="preserve"> PAGEREF _Toc93327751 \h </w:instrText>
        </w:r>
        <w:r w:rsidR="00AF567E" w:rsidRPr="00AF567E">
          <w:rPr>
            <w:webHidden/>
          </w:rPr>
        </w:r>
        <w:r w:rsidR="00AF567E" w:rsidRPr="00AF567E">
          <w:rPr>
            <w:webHidden/>
          </w:rPr>
          <w:fldChar w:fldCharType="separate"/>
        </w:r>
        <w:r w:rsidR="00EA69A4">
          <w:rPr>
            <w:webHidden/>
          </w:rPr>
          <w:t>86</w:t>
        </w:r>
        <w:r w:rsidR="00AF567E" w:rsidRPr="00AF567E">
          <w:rPr>
            <w:webHidden/>
          </w:rPr>
          <w:fldChar w:fldCharType="end"/>
        </w:r>
      </w:hyperlink>
    </w:p>
    <w:p w14:paraId="5AC3CDD9" w14:textId="1E21D025"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52" w:history="1">
        <w:r w:rsidR="00AF567E" w:rsidRPr="00AF567E">
          <w:rPr>
            <w:rStyle w:val="Collegamentoipertestuale"/>
            <w:color w:val="auto"/>
            <w:u w:val="none"/>
          </w:rPr>
          <w:t>10.1.2 Beni in leasing</w:t>
        </w:r>
        <w:r w:rsidR="00AF567E" w:rsidRPr="00AF567E">
          <w:rPr>
            <w:webHidden/>
          </w:rPr>
          <w:tab/>
        </w:r>
        <w:r w:rsidR="00AF567E" w:rsidRPr="00AF567E">
          <w:rPr>
            <w:webHidden/>
          </w:rPr>
          <w:fldChar w:fldCharType="begin"/>
        </w:r>
        <w:r w:rsidR="00AF567E" w:rsidRPr="00AF567E">
          <w:rPr>
            <w:webHidden/>
          </w:rPr>
          <w:instrText xml:space="preserve"> PAGEREF _Toc93327752 \h </w:instrText>
        </w:r>
        <w:r w:rsidR="00AF567E" w:rsidRPr="00AF567E">
          <w:rPr>
            <w:webHidden/>
          </w:rPr>
        </w:r>
        <w:r w:rsidR="00AF567E" w:rsidRPr="00AF567E">
          <w:rPr>
            <w:webHidden/>
          </w:rPr>
          <w:fldChar w:fldCharType="separate"/>
        </w:r>
        <w:r w:rsidR="00EA69A4">
          <w:rPr>
            <w:webHidden/>
          </w:rPr>
          <w:t>86</w:t>
        </w:r>
        <w:r w:rsidR="00AF567E" w:rsidRPr="00AF567E">
          <w:rPr>
            <w:webHidden/>
          </w:rPr>
          <w:fldChar w:fldCharType="end"/>
        </w:r>
      </w:hyperlink>
    </w:p>
    <w:p w14:paraId="24BCF32C" w14:textId="79203100"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53" w:history="1">
        <w:r w:rsidR="00AF567E" w:rsidRPr="00AF567E">
          <w:rPr>
            <w:rStyle w:val="Collegamentoipertestuale"/>
            <w:color w:val="auto"/>
            <w:u w:val="none"/>
          </w:rPr>
          <w:t>10.1.3 Furto del bene</w:t>
        </w:r>
        <w:r w:rsidR="00AF567E" w:rsidRPr="00AF567E">
          <w:rPr>
            <w:webHidden/>
          </w:rPr>
          <w:tab/>
        </w:r>
        <w:r w:rsidR="00AF567E" w:rsidRPr="00AF567E">
          <w:rPr>
            <w:webHidden/>
          </w:rPr>
          <w:fldChar w:fldCharType="begin"/>
        </w:r>
        <w:r w:rsidR="00AF567E" w:rsidRPr="00AF567E">
          <w:rPr>
            <w:webHidden/>
          </w:rPr>
          <w:instrText xml:space="preserve"> PAGEREF _Toc93327753 \h </w:instrText>
        </w:r>
        <w:r w:rsidR="00AF567E" w:rsidRPr="00AF567E">
          <w:rPr>
            <w:webHidden/>
          </w:rPr>
        </w:r>
        <w:r w:rsidR="00AF567E" w:rsidRPr="00AF567E">
          <w:rPr>
            <w:webHidden/>
          </w:rPr>
          <w:fldChar w:fldCharType="separate"/>
        </w:r>
        <w:r w:rsidR="00EA69A4">
          <w:rPr>
            <w:webHidden/>
          </w:rPr>
          <w:t>87</w:t>
        </w:r>
        <w:r w:rsidR="00AF567E" w:rsidRPr="00AF567E">
          <w:rPr>
            <w:webHidden/>
          </w:rPr>
          <w:fldChar w:fldCharType="end"/>
        </w:r>
      </w:hyperlink>
    </w:p>
    <w:p w14:paraId="7FC9A3B1" w14:textId="48CB6673" w:rsidR="00AF567E" w:rsidRPr="00AF567E" w:rsidRDefault="00AF567E">
      <w:pPr>
        <w:pStyle w:val="Sommario1"/>
        <w:rPr>
          <w:rFonts w:asciiTheme="minorHAnsi" w:eastAsiaTheme="minorEastAsia" w:hAnsiTheme="minorHAnsi" w:cstheme="minorBidi"/>
          <w:b w:val="0"/>
          <w:bCs w:val="0"/>
          <w:sz w:val="22"/>
          <w:szCs w:val="22"/>
          <w:lang w:eastAsia="it-IT"/>
        </w:rPr>
      </w:pPr>
      <w:r w:rsidRPr="00AF567E">
        <w:rPr>
          <w:rStyle w:val="Collegamentoipertestuale"/>
          <w:color w:val="auto"/>
          <w:u w:val="none"/>
        </w:rPr>
        <w:t xml:space="preserve">11. </w:t>
      </w:r>
      <w:hyperlink w:anchor="_Toc93327754" w:history="1">
        <w:r w:rsidRPr="00AF567E">
          <w:rPr>
            <w:rStyle w:val="Collegamentoipertestuale"/>
            <w:color w:val="auto"/>
            <w:u w:val="none"/>
          </w:rPr>
          <w:t>Documentazione a supporto</w:t>
        </w:r>
        <w:r w:rsidRPr="00AF567E">
          <w:rPr>
            <w:webHidden/>
          </w:rPr>
          <w:tab/>
        </w:r>
        <w:r w:rsidRPr="00AF567E">
          <w:rPr>
            <w:webHidden/>
          </w:rPr>
          <w:fldChar w:fldCharType="begin"/>
        </w:r>
        <w:r w:rsidRPr="00AF567E">
          <w:rPr>
            <w:webHidden/>
          </w:rPr>
          <w:instrText xml:space="preserve"> PAGEREF _Toc93327754 \h </w:instrText>
        </w:r>
        <w:r w:rsidRPr="00AF567E">
          <w:rPr>
            <w:webHidden/>
          </w:rPr>
        </w:r>
        <w:r w:rsidRPr="00AF567E">
          <w:rPr>
            <w:webHidden/>
          </w:rPr>
          <w:fldChar w:fldCharType="separate"/>
        </w:r>
        <w:r w:rsidR="00EA69A4">
          <w:rPr>
            <w:webHidden/>
          </w:rPr>
          <w:t>89</w:t>
        </w:r>
        <w:r w:rsidRPr="00AF567E">
          <w:rPr>
            <w:webHidden/>
          </w:rPr>
          <w:fldChar w:fldCharType="end"/>
        </w:r>
      </w:hyperlink>
    </w:p>
    <w:p w14:paraId="7599ACCB" w14:textId="58F78D25" w:rsidR="00AF567E" w:rsidRPr="00AF567E" w:rsidRDefault="00243D78">
      <w:pPr>
        <w:pStyle w:val="Sommario2"/>
        <w:rPr>
          <w:rFonts w:asciiTheme="minorHAnsi" w:eastAsiaTheme="minorEastAsia" w:hAnsiTheme="minorHAnsi" w:cstheme="minorBidi"/>
          <w:sz w:val="22"/>
          <w:szCs w:val="22"/>
          <w:lang w:eastAsia="it-IT"/>
        </w:rPr>
      </w:pPr>
      <w:hyperlink w:anchor="_Toc93327755" w:history="1">
        <w:r w:rsidR="00AF567E" w:rsidRPr="00AF567E">
          <w:rPr>
            <w:rStyle w:val="Collegamentoipertestuale"/>
            <w:color w:val="auto"/>
            <w:u w:val="none"/>
          </w:rPr>
          <w:t>11.1 Documentazione e adempimenti di supporto</w:t>
        </w:r>
        <w:r w:rsidR="00AF567E" w:rsidRPr="00AF567E">
          <w:rPr>
            <w:webHidden/>
          </w:rPr>
          <w:tab/>
        </w:r>
        <w:r w:rsidR="00AF567E" w:rsidRPr="00AF567E">
          <w:rPr>
            <w:webHidden/>
          </w:rPr>
          <w:fldChar w:fldCharType="begin"/>
        </w:r>
        <w:r w:rsidR="00AF567E" w:rsidRPr="00AF567E">
          <w:rPr>
            <w:webHidden/>
          </w:rPr>
          <w:instrText xml:space="preserve"> PAGEREF _Toc93327755 \h </w:instrText>
        </w:r>
        <w:r w:rsidR="00AF567E" w:rsidRPr="00AF567E">
          <w:rPr>
            <w:webHidden/>
          </w:rPr>
        </w:r>
        <w:r w:rsidR="00AF567E" w:rsidRPr="00AF567E">
          <w:rPr>
            <w:webHidden/>
          </w:rPr>
          <w:fldChar w:fldCharType="separate"/>
        </w:r>
        <w:r w:rsidR="00EA69A4">
          <w:rPr>
            <w:webHidden/>
          </w:rPr>
          <w:t>89</w:t>
        </w:r>
        <w:r w:rsidR="00AF567E" w:rsidRPr="00AF567E">
          <w:rPr>
            <w:webHidden/>
          </w:rPr>
          <w:fldChar w:fldCharType="end"/>
        </w:r>
      </w:hyperlink>
    </w:p>
    <w:p w14:paraId="2386CC60" w14:textId="7F8AFBAC"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56" w:history="1">
        <w:r w:rsidR="00AF567E" w:rsidRPr="00AF567E">
          <w:rPr>
            <w:rStyle w:val="Collegamentoipertestuale"/>
            <w:color w:val="auto"/>
            <w:u w:val="none"/>
          </w:rPr>
          <w:t>11.1.1 La dicitura in fattura</w:t>
        </w:r>
        <w:r w:rsidR="00AF567E" w:rsidRPr="00AF567E">
          <w:rPr>
            <w:webHidden/>
          </w:rPr>
          <w:tab/>
        </w:r>
        <w:r w:rsidR="00AF567E" w:rsidRPr="00AF567E">
          <w:rPr>
            <w:webHidden/>
          </w:rPr>
          <w:fldChar w:fldCharType="begin"/>
        </w:r>
        <w:r w:rsidR="00AF567E" w:rsidRPr="00AF567E">
          <w:rPr>
            <w:webHidden/>
          </w:rPr>
          <w:instrText xml:space="preserve"> PAGEREF _Toc93327756 \h </w:instrText>
        </w:r>
        <w:r w:rsidR="00AF567E" w:rsidRPr="00AF567E">
          <w:rPr>
            <w:webHidden/>
          </w:rPr>
        </w:r>
        <w:r w:rsidR="00AF567E" w:rsidRPr="00AF567E">
          <w:rPr>
            <w:webHidden/>
          </w:rPr>
          <w:fldChar w:fldCharType="separate"/>
        </w:r>
        <w:r w:rsidR="00EA69A4">
          <w:rPr>
            <w:webHidden/>
          </w:rPr>
          <w:t>89</w:t>
        </w:r>
        <w:r w:rsidR="00AF567E" w:rsidRPr="00AF567E">
          <w:rPr>
            <w:webHidden/>
          </w:rPr>
          <w:fldChar w:fldCharType="end"/>
        </w:r>
      </w:hyperlink>
    </w:p>
    <w:p w14:paraId="055B569F" w14:textId="3FC6FED3"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57" w:history="1">
        <w:r w:rsidR="00AF567E" w:rsidRPr="00AF567E">
          <w:rPr>
            <w:rStyle w:val="Collegamentoipertestuale"/>
            <w:color w:val="auto"/>
            <w:u w:val="none"/>
          </w:rPr>
          <w:t>11.1.2 Doppia dicitura se c’è anche l’agevolazione Sabatini</w:t>
        </w:r>
        <w:r w:rsidR="00AF567E" w:rsidRPr="00AF567E">
          <w:rPr>
            <w:webHidden/>
          </w:rPr>
          <w:tab/>
        </w:r>
        <w:r w:rsidR="00AF567E" w:rsidRPr="00AF567E">
          <w:rPr>
            <w:webHidden/>
          </w:rPr>
          <w:fldChar w:fldCharType="begin"/>
        </w:r>
        <w:r w:rsidR="00AF567E" w:rsidRPr="00AF567E">
          <w:rPr>
            <w:webHidden/>
          </w:rPr>
          <w:instrText xml:space="preserve"> PAGEREF _Toc93327757 \h </w:instrText>
        </w:r>
        <w:r w:rsidR="00AF567E" w:rsidRPr="00AF567E">
          <w:rPr>
            <w:webHidden/>
          </w:rPr>
        </w:r>
        <w:r w:rsidR="00AF567E" w:rsidRPr="00AF567E">
          <w:rPr>
            <w:webHidden/>
          </w:rPr>
          <w:fldChar w:fldCharType="separate"/>
        </w:r>
        <w:r w:rsidR="00EA69A4">
          <w:rPr>
            <w:webHidden/>
          </w:rPr>
          <w:t>90</w:t>
        </w:r>
        <w:r w:rsidR="00AF567E" w:rsidRPr="00AF567E">
          <w:rPr>
            <w:webHidden/>
          </w:rPr>
          <w:fldChar w:fldCharType="end"/>
        </w:r>
      </w:hyperlink>
    </w:p>
    <w:p w14:paraId="1C16B9C7" w14:textId="10487710"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58" w:history="1">
        <w:r w:rsidR="00AF567E" w:rsidRPr="00AF567E">
          <w:rPr>
            <w:rStyle w:val="Collegamentoipertestuale"/>
            <w:color w:val="auto"/>
            <w:u w:val="none"/>
          </w:rPr>
          <w:t>11.1.3 La perizia asseverata o autocertificazione</w:t>
        </w:r>
        <w:r w:rsidR="00AF567E" w:rsidRPr="00AF567E">
          <w:rPr>
            <w:webHidden/>
          </w:rPr>
          <w:tab/>
        </w:r>
        <w:r w:rsidR="00AF567E" w:rsidRPr="00AF567E">
          <w:rPr>
            <w:webHidden/>
          </w:rPr>
          <w:fldChar w:fldCharType="begin"/>
        </w:r>
        <w:r w:rsidR="00AF567E" w:rsidRPr="00AF567E">
          <w:rPr>
            <w:webHidden/>
          </w:rPr>
          <w:instrText xml:space="preserve"> PAGEREF _Toc93327758 \h </w:instrText>
        </w:r>
        <w:r w:rsidR="00AF567E" w:rsidRPr="00AF567E">
          <w:rPr>
            <w:webHidden/>
          </w:rPr>
        </w:r>
        <w:r w:rsidR="00AF567E" w:rsidRPr="00AF567E">
          <w:rPr>
            <w:webHidden/>
          </w:rPr>
          <w:fldChar w:fldCharType="separate"/>
        </w:r>
        <w:r w:rsidR="00EA69A4">
          <w:rPr>
            <w:webHidden/>
          </w:rPr>
          <w:t>92</w:t>
        </w:r>
        <w:r w:rsidR="00AF567E" w:rsidRPr="00AF567E">
          <w:rPr>
            <w:webHidden/>
          </w:rPr>
          <w:fldChar w:fldCharType="end"/>
        </w:r>
      </w:hyperlink>
    </w:p>
    <w:p w14:paraId="2EE1BA9F" w14:textId="426BA5A1" w:rsidR="00AF567E" w:rsidRPr="00AF567E" w:rsidRDefault="00243D78">
      <w:pPr>
        <w:pStyle w:val="Sommario3"/>
        <w:rPr>
          <w:rFonts w:asciiTheme="minorHAnsi" w:eastAsiaTheme="minorEastAsia" w:hAnsiTheme="minorHAnsi" w:cstheme="minorBidi"/>
          <w:i w:val="0"/>
          <w:iCs w:val="0"/>
          <w:sz w:val="22"/>
          <w:szCs w:val="22"/>
          <w:lang w:eastAsia="it-IT"/>
        </w:rPr>
      </w:pPr>
      <w:hyperlink w:anchor="_Toc93327759" w:history="1">
        <w:r w:rsidR="00AF567E" w:rsidRPr="00AF567E">
          <w:rPr>
            <w:rStyle w:val="Collegamentoipertestuale"/>
            <w:color w:val="auto"/>
            <w:u w:val="none"/>
          </w:rPr>
          <w:t>11.1.4 Esempio autocertificazione del legale rappresentante</w:t>
        </w:r>
        <w:r w:rsidR="00AF567E" w:rsidRPr="00AF567E">
          <w:rPr>
            <w:webHidden/>
          </w:rPr>
          <w:tab/>
        </w:r>
        <w:r w:rsidR="00AF567E" w:rsidRPr="00AF567E">
          <w:rPr>
            <w:webHidden/>
          </w:rPr>
          <w:fldChar w:fldCharType="begin"/>
        </w:r>
        <w:r w:rsidR="00AF567E" w:rsidRPr="00AF567E">
          <w:rPr>
            <w:webHidden/>
          </w:rPr>
          <w:instrText xml:space="preserve"> PAGEREF _Toc93327759 \h </w:instrText>
        </w:r>
        <w:r w:rsidR="00AF567E" w:rsidRPr="00AF567E">
          <w:rPr>
            <w:webHidden/>
          </w:rPr>
        </w:r>
        <w:r w:rsidR="00AF567E" w:rsidRPr="00AF567E">
          <w:rPr>
            <w:webHidden/>
          </w:rPr>
          <w:fldChar w:fldCharType="separate"/>
        </w:r>
        <w:r w:rsidR="00EA69A4">
          <w:rPr>
            <w:webHidden/>
          </w:rPr>
          <w:t>97</w:t>
        </w:r>
        <w:r w:rsidR="00AF567E" w:rsidRPr="00AF567E">
          <w:rPr>
            <w:webHidden/>
          </w:rPr>
          <w:fldChar w:fldCharType="end"/>
        </w:r>
      </w:hyperlink>
    </w:p>
    <w:p w14:paraId="37699BEE" w14:textId="24C12980" w:rsidR="00A90ED0" w:rsidRDefault="001D3F87" w:rsidP="00822E48">
      <w:pPr>
        <w:spacing w:before="60" w:after="60" w:line="326" w:lineRule="auto"/>
        <w:jc w:val="both"/>
        <w:sectPr w:rsidR="00A90ED0" w:rsidSect="00A90ED0">
          <w:pgSz w:w="11906" w:h="16838"/>
          <w:pgMar w:top="833" w:right="1134" w:bottom="1134" w:left="1134" w:header="708" w:footer="708" w:gutter="0"/>
          <w:cols w:space="708"/>
          <w:titlePg/>
          <w:docGrid w:linePitch="360"/>
        </w:sectPr>
      </w:pPr>
      <w:r w:rsidRPr="00822E48">
        <w:rPr>
          <w:rFonts w:cs="Tahoma"/>
          <w:b/>
          <w:bCs/>
          <w:i/>
          <w:iCs/>
          <w:noProof/>
          <w:color w:val="000000" w:themeColor="text1"/>
          <w:szCs w:val="20"/>
        </w:rPr>
        <w:fldChar w:fldCharType="end"/>
      </w:r>
    </w:p>
    <w:p w14:paraId="61AEF32E" w14:textId="3C54E889" w:rsidR="00CA2765" w:rsidRPr="00380A75" w:rsidRDefault="00C76ED3" w:rsidP="00380A75">
      <w:pPr>
        <w:shd w:val="clear" w:color="auto" w:fill="FFFFFF"/>
        <w:spacing w:before="120" w:after="0" w:line="240" w:lineRule="auto"/>
        <w:jc w:val="center"/>
        <w:rPr>
          <w:b/>
          <w:bCs/>
          <w:sz w:val="32"/>
          <w:szCs w:val="32"/>
        </w:rPr>
      </w:pPr>
      <w:bookmarkStart w:id="6" w:name="_Toc536529347"/>
      <w:bookmarkEnd w:id="3"/>
      <w:bookmarkEnd w:id="4"/>
      <w:r>
        <w:rPr>
          <w:b/>
          <w:bCs/>
          <w:sz w:val="32"/>
          <w:szCs w:val="32"/>
        </w:rPr>
        <w:lastRenderedPageBreak/>
        <w:t>1.</w:t>
      </w:r>
    </w:p>
    <w:bookmarkStart w:id="7" w:name="_Toc87446590"/>
    <w:bookmarkStart w:id="8" w:name="_Toc87446731"/>
    <w:bookmarkStart w:id="9" w:name="_Toc93327696"/>
    <w:p w14:paraId="0FB412D1" w14:textId="3EB57DED" w:rsidR="00CA2765" w:rsidRPr="00D40DBB" w:rsidRDefault="00CA2765" w:rsidP="00CA2765">
      <w:pPr>
        <w:pStyle w:val="Titolo"/>
      </w:pPr>
      <w:r>
        <w:rPr>
          <w:noProof/>
        </w:rPr>
        <mc:AlternateContent>
          <mc:Choice Requires="wps">
            <w:drawing>
              <wp:anchor distT="4294967291" distB="4294967291" distL="114300" distR="114300" simplePos="0" relativeHeight="251738624" behindDoc="0" locked="0" layoutInCell="1" allowOverlap="1" wp14:anchorId="5FF6F2C1" wp14:editId="1FCBC0E3">
                <wp:simplePos x="0" y="0"/>
                <wp:positionH relativeFrom="margin">
                  <wp:align>center</wp:align>
                </wp:positionH>
                <wp:positionV relativeFrom="paragraph">
                  <wp:posOffset>80118</wp:posOffset>
                </wp:positionV>
                <wp:extent cx="2438400" cy="0"/>
                <wp:effectExtent l="0" t="0" r="0" b="0"/>
                <wp:wrapNone/>
                <wp:docPr id="4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271C68F" id="_x0000_t32" coordsize="21600,21600" o:spt="32" o:oned="t" path="m,l21600,21600e" filled="f">
                <v:path arrowok="t" fillok="f" o:connecttype="none"/>
                <o:lock v:ext="edit" shapetype="t"/>
              </v:shapetype>
              <v:shape id="AutoShape 120" o:spid="_x0000_s1026" type="#_x0000_t32" style="position:absolute;margin-left:0;margin-top:6.3pt;width:192pt;height:0;z-index:25173862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" strokecolor="#404040" strokeweight="1.5pt">
                <w10:wrap anchorx="margin"/>
              </v:shape>
            </w:pict>
          </mc:Fallback>
        </mc:AlternateContent>
      </w:r>
      <w:bookmarkEnd w:id="7"/>
      <w:bookmarkEnd w:id="8"/>
      <w:r w:rsidR="00736E9D">
        <w:t>Introduzione</w:t>
      </w:r>
      <w:bookmarkEnd w:id="9"/>
    </w:p>
    <w:p w14:paraId="0A428D02" w14:textId="77777777" w:rsidR="00CA2765" w:rsidRDefault="00CA2765" w:rsidP="00CA2765">
      <w:pPr>
        <w:pStyle w:val="Titolo2"/>
        <w:spacing w:line="360" w:lineRule="auto"/>
      </w:pPr>
    </w:p>
    <w:p w14:paraId="3628383B" w14:textId="77777777" w:rsidR="00CA2765" w:rsidRDefault="00CA2765" w:rsidP="00CA2765">
      <w:pPr>
        <w:pStyle w:val="Titolo2"/>
        <w:spacing w:line="360" w:lineRule="auto"/>
      </w:pPr>
    </w:p>
    <w:p w14:paraId="4001F33E" w14:textId="77777777" w:rsidR="00CA2765" w:rsidRDefault="00CA2765" w:rsidP="00CA2765">
      <w:pPr>
        <w:pStyle w:val="Titolo2"/>
        <w:spacing w:line="360" w:lineRule="auto"/>
      </w:pPr>
    </w:p>
    <w:p w14:paraId="25DD7A20" w14:textId="77777777" w:rsidR="00CA2765" w:rsidRDefault="00CA2765" w:rsidP="00CA2765">
      <w:pPr>
        <w:pStyle w:val="Titolo2"/>
        <w:spacing w:line="360" w:lineRule="auto"/>
      </w:pPr>
    </w:p>
    <w:p w14:paraId="3CA2E6FB" w14:textId="77777777" w:rsidR="00CA2765" w:rsidRDefault="00CA2765" w:rsidP="00CA2765">
      <w:pPr>
        <w:pStyle w:val="Titolo2"/>
        <w:spacing w:line="360" w:lineRule="auto"/>
      </w:pPr>
    </w:p>
    <w:p w14:paraId="5083FE5A" w14:textId="77777777" w:rsidR="00CA2765" w:rsidRDefault="00CA2765" w:rsidP="00CA2765">
      <w:pPr>
        <w:pStyle w:val="Titolo2"/>
        <w:spacing w:line="360" w:lineRule="auto"/>
      </w:pPr>
    </w:p>
    <w:p w14:paraId="72C1B45C" w14:textId="6E32017D" w:rsidR="00CA2765" w:rsidRPr="002247B4" w:rsidRDefault="00CA2765" w:rsidP="00CA2765">
      <w:pPr>
        <w:pStyle w:val="Titolo2"/>
      </w:pPr>
      <w:bookmarkStart w:id="10" w:name="_Toc87446591"/>
      <w:bookmarkStart w:id="11" w:name="_Toc87446732"/>
      <w:bookmarkStart w:id="12" w:name="_Toc93327697"/>
      <w:r w:rsidRPr="002247B4">
        <w:t xml:space="preserve">1.1 </w:t>
      </w:r>
      <w:bookmarkEnd w:id="10"/>
      <w:bookmarkEnd w:id="11"/>
      <w:r w:rsidR="0002180C">
        <w:t>Cosa s’intende per</w:t>
      </w:r>
      <w:r w:rsidR="00E83845">
        <w:t xml:space="preserve"> beni 4.0</w:t>
      </w:r>
      <w:bookmarkEnd w:id="12"/>
    </w:p>
    <w:p w14:paraId="78EF4746" w14:textId="77777777" w:rsidR="00896999" w:rsidRPr="00896999" w:rsidRDefault="00896999" w:rsidP="00896999">
      <w:pPr>
        <w:shd w:val="clear" w:color="auto" w:fill="FFFFFF"/>
        <w:spacing w:line="360" w:lineRule="auto"/>
        <w:jc w:val="both"/>
        <w:rPr>
          <w:rFonts w:cs="Tahoma"/>
          <w:bCs/>
          <w:szCs w:val="20"/>
        </w:rPr>
      </w:pPr>
      <w:r w:rsidRPr="00896999">
        <w:rPr>
          <w:rFonts w:cs="Tahoma"/>
          <w:bCs/>
          <w:szCs w:val="20"/>
        </w:rPr>
        <w:t xml:space="preserve">L’Italia è un grande Paese industriale, il secondo in Europa per valore aggiunto manifatturiero e uno tra i principali al mondo. Le imprese industriali italiane rappresentano il motore del cambiamento e dello sviluppo economico, con la loro capacità di produrre innovazione, di stimolare il nostro export, di alimentare l’indotto e le attività dei servizi, contribuire alla creazione di occupazione e ricchezza, alla stabilità economico-finanziaria e alla coesione sociale. </w:t>
      </w:r>
    </w:p>
    <w:p w14:paraId="0E8E4809" w14:textId="1374C2BC" w:rsidR="00896999" w:rsidRPr="00896999" w:rsidRDefault="00896999" w:rsidP="00896999">
      <w:pPr>
        <w:shd w:val="clear" w:color="auto" w:fill="FFFFFF"/>
        <w:spacing w:line="360" w:lineRule="auto"/>
        <w:jc w:val="both"/>
        <w:rPr>
          <w:rFonts w:cs="Tahoma"/>
          <w:bCs/>
          <w:szCs w:val="20"/>
        </w:rPr>
      </w:pPr>
      <w:r w:rsidRPr="00896999">
        <w:rPr>
          <w:rFonts w:cs="Tahoma"/>
          <w:bCs/>
          <w:szCs w:val="20"/>
        </w:rPr>
        <w:t xml:space="preserve">Con l’avvento della cosiddetta </w:t>
      </w:r>
      <w:r w:rsidRPr="0002180C">
        <w:rPr>
          <w:rFonts w:cs="Tahoma"/>
          <w:b/>
          <w:szCs w:val="20"/>
        </w:rPr>
        <w:t>quarta rivoluzione industriale</w:t>
      </w:r>
      <w:r w:rsidRPr="00896999">
        <w:rPr>
          <w:rFonts w:cs="Tahoma"/>
          <w:bCs/>
          <w:szCs w:val="20"/>
        </w:rPr>
        <w:t xml:space="preserve">, grazie alla diffusione di nuove tecnologie (digitali e non), il comparto industriale sta vivendo </w:t>
      </w:r>
      <w:r w:rsidR="00433480">
        <w:rPr>
          <w:rFonts w:cs="Tahoma"/>
          <w:bCs/>
          <w:szCs w:val="20"/>
        </w:rPr>
        <w:t xml:space="preserve">negli ultimi anni </w:t>
      </w:r>
      <w:r w:rsidRPr="00896999">
        <w:rPr>
          <w:rFonts w:cs="Tahoma"/>
          <w:bCs/>
          <w:szCs w:val="20"/>
        </w:rPr>
        <w:t>una profonda trasformazione</w:t>
      </w:r>
      <w:r w:rsidR="001A33C6">
        <w:rPr>
          <w:rFonts w:cs="Tahoma"/>
          <w:bCs/>
          <w:szCs w:val="20"/>
        </w:rPr>
        <w:t>.</w:t>
      </w:r>
    </w:p>
    <w:p w14:paraId="036E41A3" w14:textId="3A937D5D" w:rsidR="00896999" w:rsidRPr="00896999" w:rsidRDefault="00896999" w:rsidP="00896999">
      <w:pPr>
        <w:shd w:val="clear" w:color="auto" w:fill="FFFFFF"/>
        <w:spacing w:line="360" w:lineRule="auto"/>
        <w:jc w:val="both"/>
        <w:rPr>
          <w:rFonts w:cs="Tahoma"/>
          <w:bCs/>
          <w:szCs w:val="20"/>
        </w:rPr>
      </w:pPr>
      <w:r w:rsidRPr="00896999">
        <w:rPr>
          <w:rFonts w:cs="Tahoma"/>
          <w:bCs/>
          <w:szCs w:val="20"/>
        </w:rPr>
        <w:t xml:space="preserve">Le rivoluzioni industriali hanno sempre comportato effetti evolutivi talora persino dirompenti sulla produttività. Schematizzando si può affermare che con la </w:t>
      </w:r>
      <w:r w:rsidRPr="00896999">
        <w:rPr>
          <w:rFonts w:cs="Tahoma"/>
          <w:b/>
          <w:szCs w:val="20"/>
        </w:rPr>
        <w:t>prima rivoluzione</w:t>
      </w:r>
      <w:r w:rsidRPr="00896999">
        <w:rPr>
          <w:rFonts w:cs="Tahoma"/>
          <w:bCs/>
          <w:szCs w:val="20"/>
        </w:rPr>
        <w:t xml:space="preserve"> la tecnologia ha </w:t>
      </w:r>
      <w:r w:rsidRPr="00896999">
        <w:rPr>
          <w:rFonts w:cs="Tahoma"/>
          <w:b/>
          <w:szCs w:val="20"/>
        </w:rPr>
        <w:t>moltiplicato la forza</w:t>
      </w:r>
      <w:r w:rsidRPr="00896999">
        <w:rPr>
          <w:rFonts w:cs="Tahoma"/>
          <w:bCs/>
          <w:szCs w:val="20"/>
        </w:rPr>
        <w:t xml:space="preserve">: la produzione si sgancia dalla forza fisica, umana o animale. Con la </w:t>
      </w:r>
      <w:r w:rsidRPr="00896999">
        <w:rPr>
          <w:rFonts w:cs="Tahoma"/>
          <w:b/>
          <w:szCs w:val="20"/>
        </w:rPr>
        <w:t>seconda</w:t>
      </w:r>
      <w:r w:rsidRPr="00896999">
        <w:rPr>
          <w:rFonts w:cs="Tahoma"/>
          <w:bCs/>
          <w:szCs w:val="20"/>
        </w:rPr>
        <w:t>, la tecnologia</w:t>
      </w:r>
      <w:r w:rsidR="001A33C6">
        <w:rPr>
          <w:rFonts w:cs="Tahoma"/>
          <w:bCs/>
          <w:szCs w:val="20"/>
        </w:rPr>
        <w:t xml:space="preserve"> ha </w:t>
      </w:r>
      <w:r w:rsidR="001A33C6" w:rsidRPr="001A33C6">
        <w:rPr>
          <w:rFonts w:cs="Tahoma"/>
          <w:b/>
          <w:szCs w:val="20"/>
        </w:rPr>
        <w:t>ampliato</w:t>
      </w:r>
      <w:r w:rsidRPr="00896999">
        <w:rPr>
          <w:rFonts w:cs="Tahoma"/>
          <w:b/>
          <w:szCs w:val="20"/>
        </w:rPr>
        <w:t xml:space="preserve"> la scala</w:t>
      </w:r>
      <w:r w:rsidRPr="00896999">
        <w:rPr>
          <w:rFonts w:cs="Tahoma"/>
          <w:bCs/>
          <w:szCs w:val="20"/>
        </w:rPr>
        <w:t xml:space="preserve">: l’energia elettrica allarga le dimensioni dei mercati e mette a disposizione un’energia che può essere facilmente trasportata. La </w:t>
      </w:r>
      <w:r w:rsidRPr="00896999">
        <w:rPr>
          <w:rFonts w:cs="Tahoma"/>
          <w:b/>
          <w:szCs w:val="20"/>
        </w:rPr>
        <w:t>terza rivoluzione industriale</w:t>
      </w:r>
      <w:r w:rsidRPr="00896999">
        <w:rPr>
          <w:rFonts w:cs="Tahoma"/>
          <w:bCs/>
          <w:szCs w:val="20"/>
        </w:rPr>
        <w:t xml:space="preserve"> si è avuta grazie a tecnologie che </w:t>
      </w:r>
      <w:r w:rsidRPr="00896999">
        <w:rPr>
          <w:rFonts w:cs="Tahoma"/>
          <w:b/>
          <w:szCs w:val="20"/>
        </w:rPr>
        <w:t>moltiplicano la velocità</w:t>
      </w:r>
      <w:r w:rsidRPr="00896999">
        <w:rPr>
          <w:rFonts w:cs="Tahoma"/>
          <w:bCs/>
          <w:szCs w:val="20"/>
        </w:rPr>
        <w:t>: le informazioni possono essere processate e gestite in modo più rapido. Ogni rivoluzione ha generato conseguenti cambiamenti organizzativi che, a loro volta, hanno determinato guadagni di efficienza e di ricchezza.</w:t>
      </w:r>
    </w:p>
    <w:p w14:paraId="310A155C" w14:textId="1C7ABDF1" w:rsidR="00896999" w:rsidRDefault="00896999" w:rsidP="00896999">
      <w:pPr>
        <w:shd w:val="clear" w:color="auto" w:fill="FFFFFF"/>
        <w:spacing w:line="360" w:lineRule="auto"/>
        <w:jc w:val="both"/>
        <w:rPr>
          <w:rFonts w:cs="Tahoma"/>
          <w:bCs/>
          <w:szCs w:val="20"/>
        </w:rPr>
      </w:pPr>
      <w:r w:rsidRPr="00896999">
        <w:rPr>
          <w:rFonts w:cs="Tahoma"/>
          <w:bCs/>
          <w:szCs w:val="20"/>
        </w:rPr>
        <w:t xml:space="preserve">La </w:t>
      </w:r>
      <w:r w:rsidRPr="001A33C6">
        <w:rPr>
          <w:rFonts w:cs="Tahoma"/>
          <w:b/>
          <w:szCs w:val="20"/>
        </w:rPr>
        <w:t>quarta rivoluzione industriale</w:t>
      </w:r>
      <w:r w:rsidRPr="00896999">
        <w:rPr>
          <w:rFonts w:cs="Tahoma"/>
          <w:bCs/>
          <w:szCs w:val="20"/>
        </w:rPr>
        <w:t xml:space="preserve">, resa possibile dalla </w:t>
      </w:r>
      <w:r w:rsidRPr="00E83845">
        <w:rPr>
          <w:rFonts w:cs="Tahoma"/>
          <w:b/>
          <w:szCs w:val="20"/>
        </w:rPr>
        <w:t>disponibilità di sensori</w:t>
      </w:r>
      <w:r w:rsidRPr="00896999">
        <w:rPr>
          <w:rFonts w:cs="Tahoma"/>
          <w:bCs/>
          <w:szCs w:val="20"/>
        </w:rPr>
        <w:t xml:space="preserve"> e di </w:t>
      </w:r>
      <w:r w:rsidRPr="00E83845">
        <w:rPr>
          <w:rFonts w:cs="Tahoma"/>
          <w:b/>
          <w:szCs w:val="20"/>
        </w:rPr>
        <w:t>connessioni a basso costo</w:t>
      </w:r>
      <w:r w:rsidRPr="00896999">
        <w:rPr>
          <w:rFonts w:cs="Tahoma"/>
          <w:bCs/>
          <w:szCs w:val="20"/>
        </w:rPr>
        <w:t xml:space="preserve">, si associa a un </w:t>
      </w:r>
      <w:r w:rsidRPr="001A33C6">
        <w:rPr>
          <w:rFonts w:cs="Tahoma"/>
          <w:b/>
          <w:szCs w:val="20"/>
        </w:rPr>
        <w:t>impiego sempre più pervasivo di dati e informazioni</w:t>
      </w:r>
      <w:r w:rsidRPr="00896999">
        <w:rPr>
          <w:rFonts w:cs="Tahoma"/>
          <w:bCs/>
          <w:szCs w:val="20"/>
        </w:rPr>
        <w:t xml:space="preserve">, di tecnologie computazionali e di analisi dei dati, di </w:t>
      </w:r>
      <w:r w:rsidRPr="001A33C6">
        <w:rPr>
          <w:rFonts w:cs="Tahoma"/>
          <w:b/>
          <w:szCs w:val="20"/>
        </w:rPr>
        <w:t>nuovi materiali,</w:t>
      </w:r>
      <w:r w:rsidR="001A33C6" w:rsidRPr="001A33C6">
        <w:rPr>
          <w:rFonts w:cs="Tahoma"/>
          <w:b/>
          <w:szCs w:val="20"/>
        </w:rPr>
        <w:t xml:space="preserve"> macchine, componenti e sistemi automatizzati, digitalizzati e connessi (</w:t>
      </w:r>
      <w:r w:rsidR="001A33C6" w:rsidRPr="001A33C6">
        <w:rPr>
          <w:rFonts w:cs="Tahoma"/>
          <w:b/>
          <w:i/>
          <w:iCs/>
          <w:szCs w:val="20"/>
        </w:rPr>
        <w:t xml:space="preserve">internet of </w:t>
      </w:r>
      <w:proofErr w:type="spellStart"/>
      <w:r w:rsidR="001A33C6" w:rsidRPr="001A33C6">
        <w:rPr>
          <w:rFonts w:cs="Tahoma"/>
          <w:b/>
          <w:i/>
          <w:iCs/>
          <w:szCs w:val="20"/>
        </w:rPr>
        <w:t>things</w:t>
      </w:r>
      <w:proofErr w:type="spellEnd"/>
      <w:r w:rsidR="001A33C6" w:rsidRPr="001A33C6">
        <w:rPr>
          <w:rFonts w:cs="Tahoma"/>
          <w:b/>
          <w:i/>
          <w:iCs/>
          <w:szCs w:val="20"/>
        </w:rPr>
        <w:t xml:space="preserve"> and machines</w:t>
      </w:r>
      <w:r w:rsidR="001A33C6" w:rsidRPr="001A33C6">
        <w:rPr>
          <w:rFonts w:cs="Tahoma"/>
          <w:b/>
          <w:szCs w:val="20"/>
        </w:rPr>
        <w:t>)</w:t>
      </w:r>
      <w:r w:rsidR="001A33C6" w:rsidRPr="001A33C6">
        <w:rPr>
          <w:rFonts w:cs="Tahoma"/>
          <w:bCs/>
          <w:szCs w:val="20"/>
        </w:rPr>
        <w:t>.</w:t>
      </w:r>
    </w:p>
    <w:p w14:paraId="2BD58844" w14:textId="457DD46C" w:rsidR="001A33C6" w:rsidRDefault="001A33C6" w:rsidP="00896999">
      <w:pPr>
        <w:shd w:val="clear" w:color="auto" w:fill="FFFFFF"/>
        <w:spacing w:line="360" w:lineRule="auto"/>
        <w:jc w:val="both"/>
        <w:rPr>
          <w:rFonts w:cs="Tahoma"/>
          <w:bCs/>
          <w:szCs w:val="20"/>
        </w:rPr>
      </w:pPr>
      <w:r w:rsidRPr="001A33C6">
        <w:rPr>
          <w:rFonts w:cs="Tahoma"/>
          <w:bCs/>
          <w:szCs w:val="20"/>
        </w:rPr>
        <w:lastRenderedPageBreak/>
        <w:t>La quarta rivoluzione non investe solo il processo produttivo, la sua efficienza e produttività ma anche, grazie all’</w:t>
      </w:r>
      <w:r w:rsidRPr="00E83845">
        <w:rPr>
          <w:rFonts w:cs="Tahoma"/>
          <w:b/>
          <w:szCs w:val="20"/>
        </w:rPr>
        <w:t xml:space="preserve">accresciuta capacità di interconnettere e far cooperare tutte le risorse produttive </w:t>
      </w:r>
      <w:r w:rsidRPr="001A33C6">
        <w:rPr>
          <w:rFonts w:cs="Tahoma"/>
          <w:bCs/>
          <w:szCs w:val="20"/>
        </w:rPr>
        <w:t>(</w:t>
      </w:r>
      <w:r w:rsidRPr="001A33C6">
        <w:rPr>
          <w:rFonts w:cs="Tahoma"/>
          <w:bCs/>
          <w:i/>
          <w:iCs/>
          <w:szCs w:val="20"/>
        </w:rPr>
        <w:t xml:space="preserve">asset </w:t>
      </w:r>
      <w:r w:rsidRPr="001A33C6">
        <w:rPr>
          <w:rFonts w:cs="Tahoma"/>
          <w:bCs/>
          <w:szCs w:val="20"/>
        </w:rPr>
        <w:t xml:space="preserve">fisici e persone, sia all’interno che all’esterno della fabbrica), e allo </w:t>
      </w:r>
      <w:r w:rsidRPr="001A33C6">
        <w:rPr>
          <w:rFonts w:cs="Tahoma"/>
          <w:b/>
          <w:szCs w:val="20"/>
        </w:rPr>
        <w:t>sfruttamento di un nuovo fattore produttivo ovvero i dati e le informazioni</w:t>
      </w:r>
      <w:r w:rsidRPr="001A33C6">
        <w:rPr>
          <w:rFonts w:cs="Tahoma"/>
          <w:bCs/>
          <w:szCs w:val="20"/>
        </w:rPr>
        <w:t>, sta trasformando il funzionamento di intere catene del valore, consentendo una crescente integrazione dell’impresa con le reti di fornitura e sub fornitura a monte e i clienti, intermedi e finali, a valle, abilitando infine una rivisitazione anche profonda dei modelli di business e degli approcci al mercato</w:t>
      </w:r>
      <w:r>
        <w:rPr>
          <w:rFonts w:cs="Tahoma"/>
          <w:bCs/>
          <w:szCs w:val="20"/>
        </w:rPr>
        <w:t>.</w:t>
      </w:r>
    </w:p>
    <w:p w14:paraId="6AF6D517" w14:textId="06EB5D05" w:rsidR="001A33C6" w:rsidRPr="001A33C6" w:rsidRDefault="001A33C6" w:rsidP="001A33C6">
      <w:pPr>
        <w:shd w:val="clear" w:color="auto" w:fill="FFFFFF"/>
        <w:spacing w:line="360" w:lineRule="auto"/>
        <w:jc w:val="both"/>
        <w:rPr>
          <w:rFonts w:cs="Tahoma"/>
          <w:bCs/>
          <w:szCs w:val="20"/>
        </w:rPr>
      </w:pPr>
      <w:r w:rsidRPr="001A33C6">
        <w:rPr>
          <w:rFonts w:cs="Tahoma"/>
          <w:bCs/>
          <w:szCs w:val="20"/>
        </w:rPr>
        <w:t xml:space="preserve">Le </w:t>
      </w:r>
      <w:r w:rsidRPr="001A33C6">
        <w:rPr>
          <w:rFonts w:cs="Tahoma"/>
          <w:b/>
          <w:szCs w:val="20"/>
        </w:rPr>
        <w:t>tecnologie abilitanti il paradigma 4.0 sono molteplici</w:t>
      </w:r>
      <w:r w:rsidRPr="001A33C6">
        <w:rPr>
          <w:rFonts w:cs="Tahoma"/>
          <w:bCs/>
          <w:szCs w:val="20"/>
        </w:rPr>
        <w:t xml:space="preserve">, sintetizzabili in </w:t>
      </w:r>
      <w:r w:rsidRPr="001A33C6">
        <w:rPr>
          <w:rFonts w:cs="Tahoma"/>
          <w:b/>
          <w:szCs w:val="20"/>
        </w:rPr>
        <w:t>tre ambiti</w:t>
      </w:r>
      <w:r w:rsidRPr="001A33C6">
        <w:rPr>
          <w:rFonts w:cs="Tahoma"/>
          <w:bCs/>
          <w:szCs w:val="20"/>
        </w:rPr>
        <w:t>:</w:t>
      </w:r>
    </w:p>
    <w:p w14:paraId="1A59BCA2" w14:textId="4EF405A6" w:rsidR="001A33C6" w:rsidRPr="00C76ED3" w:rsidRDefault="001A33C6" w:rsidP="00AE49EC">
      <w:pPr>
        <w:pStyle w:val="Paragrafoelenco"/>
        <w:numPr>
          <w:ilvl w:val="0"/>
          <w:numId w:val="48"/>
        </w:numPr>
        <w:shd w:val="clear" w:color="auto" w:fill="FFFFFF"/>
        <w:spacing w:line="360" w:lineRule="auto"/>
        <w:jc w:val="both"/>
        <w:rPr>
          <w:rFonts w:cs="Tahoma"/>
          <w:bCs/>
          <w:szCs w:val="20"/>
        </w:rPr>
      </w:pPr>
      <w:r w:rsidRPr="00C76ED3">
        <w:rPr>
          <w:rFonts w:cs="Tahoma"/>
          <w:b/>
          <w:bCs/>
          <w:szCs w:val="20"/>
        </w:rPr>
        <w:t>Disponibilità di dati digitali e analitica dei Big Data</w:t>
      </w:r>
      <w:r w:rsidRPr="00C76ED3">
        <w:rPr>
          <w:rFonts w:cs="Tahoma"/>
          <w:bCs/>
          <w:szCs w:val="20"/>
        </w:rPr>
        <w:t>: l’elaborazione e l’analisi di quantità enormi di dati (</w:t>
      </w:r>
      <w:r w:rsidRPr="00C76ED3">
        <w:rPr>
          <w:rFonts w:cs="Tahoma"/>
          <w:bCs/>
          <w:i/>
          <w:iCs/>
          <w:szCs w:val="20"/>
        </w:rPr>
        <w:t>big data</w:t>
      </w:r>
      <w:r w:rsidRPr="00C76ED3">
        <w:rPr>
          <w:rFonts w:cs="Tahoma"/>
          <w:bCs/>
          <w:szCs w:val="20"/>
        </w:rPr>
        <w:t xml:space="preserve">) a costi sempre più bassi (sensoristica a basso costo e </w:t>
      </w:r>
      <w:r w:rsidRPr="00C76ED3">
        <w:rPr>
          <w:rFonts w:cs="Tahoma"/>
          <w:bCs/>
          <w:i/>
          <w:iCs/>
          <w:szCs w:val="20"/>
        </w:rPr>
        <w:t>cloud computing</w:t>
      </w:r>
      <w:r w:rsidRPr="00C76ED3">
        <w:rPr>
          <w:rFonts w:cs="Tahoma"/>
          <w:bCs/>
          <w:szCs w:val="20"/>
        </w:rPr>
        <w:t>) permette decisioni e previsioni migliori su produzione e consumi basate anche sull’utilizzo di strumenti di virtualizzazione del processo produttivo, prototipazione rapida e intelligenza artificiale;</w:t>
      </w:r>
    </w:p>
    <w:p w14:paraId="7FA64E44" w14:textId="3BF093E0" w:rsidR="001A33C6" w:rsidRPr="00C76ED3" w:rsidRDefault="001A33C6" w:rsidP="00AE49EC">
      <w:pPr>
        <w:pStyle w:val="Paragrafoelenco"/>
        <w:numPr>
          <w:ilvl w:val="0"/>
          <w:numId w:val="48"/>
        </w:numPr>
        <w:shd w:val="clear" w:color="auto" w:fill="FFFFFF"/>
        <w:spacing w:line="360" w:lineRule="auto"/>
        <w:jc w:val="both"/>
        <w:rPr>
          <w:rFonts w:cs="Tahoma"/>
          <w:bCs/>
          <w:szCs w:val="20"/>
        </w:rPr>
      </w:pPr>
      <w:r w:rsidRPr="00C76ED3">
        <w:rPr>
          <w:rFonts w:cs="Tahoma"/>
          <w:b/>
          <w:bCs/>
          <w:szCs w:val="20"/>
        </w:rPr>
        <w:t>Robotica e automazione avanzata</w:t>
      </w:r>
      <w:r w:rsidRPr="00C76ED3">
        <w:rPr>
          <w:rFonts w:cs="Tahoma"/>
          <w:bCs/>
          <w:szCs w:val="20"/>
        </w:rPr>
        <w:t>: nuove possibilità di interazione complessa uomo-macchina permettono una riduzione degli errori, dei tempi e dei costi e un miglioramento della sicurezza dei processi anche attraverso la nuova manifattura additiva;</w:t>
      </w:r>
    </w:p>
    <w:p w14:paraId="2A15887B" w14:textId="2376107E" w:rsidR="001A33C6" w:rsidRPr="00C76ED3" w:rsidRDefault="001A33C6" w:rsidP="00AE49EC">
      <w:pPr>
        <w:pStyle w:val="Paragrafoelenco"/>
        <w:numPr>
          <w:ilvl w:val="0"/>
          <w:numId w:val="48"/>
        </w:numPr>
        <w:shd w:val="clear" w:color="auto" w:fill="FFFFFF"/>
        <w:spacing w:line="360" w:lineRule="auto"/>
        <w:jc w:val="both"/>
        <w:rPr>
          <w:rFonts w:cs="Tahoma"/>
          <w:bCs/>
          <w:szCs w:val="20"/>
        </w:rPr>
      </w:pPr>
      <w:r w:rsidRPr="00C76ED3">
        <w:rPr>
          <w:rFonts w:cs="Tahoma"/>
          <w:b/>
          <w:bCs/>
          <w:szCs w:val="20"/>
        </w:rPr>
        <w:t>Connettività spinta</w:t>
      </w:r>
      <w:r w:rsidRPr="00C76ED3">
        <w:rPr>
          <w:rFonts w:cs="Tahoma"/>
          <w:bCs/>
          <w:szCs w:val="20"/>
        </w:rPr>
        <w:t>: l’intera catena del valore è interconnessa attraverso dispositivi e sensoristica intelligente (</w:t>
      </w:r>
      <w:r w:rsidRPr="00C76ED3">
        <w:rPr>
          <w:rFonts w:cs="Tahoma"/>
          <w:bCs/>
          <w:i/>
          <w:iCs/>
          <w:szCs w:val="20"/>
        </w:rPr>
        <w:t xml:space="preserve">internet of </w:t>
      </w:r>
      <w:proofErr w:type="spellStart"/>
      <w:r w:rsidRPr="00C76ED3">
        <w:rPr>
          <w:rFonts w:cs="Tahoma"/>
          <w:bCs/>
          <w:i/>
          <w:iCs/>
          <w:szCs w:val="20"/>
        </w:rPr>
        <w:t>things</w:t>
      </w:r>
      <w:proofErr w:type="spellEnd"/>
      <w:r w:rsidRPr="00C76ED3">
        <w:rPr>
          <w:rFonts w:cs="Tahoma"/>
          <w:bCs/>
          <w:szCs w:val="20"/>
        </w:rPr>
        <w:t>) utilizzando reti di connessione di nuova generazione.</w:t>
      </w:r>
    </w:p>
    <w:p w14:paraId="7528FF1C" w14:textId="77777777" w:rsidR="001A4F5B" w:rsidRPr="001A4F5B" w:rsidRDefault="001A4F5B" w:rsidP="001A4F5B">
      <w:pPr>
        <w:shd w:val="clear" w:color="auto" w:fill="FFFFFF"/>
        <w:spacing w:line="360" w:lineRule="auto"/>
        <w:jc w:val="both"/>
        <w:rPr>
          <w:rFonts w:cs="Tahoma"/>
          <w:bCs/>
          <w:szCs w:val="20"/>
        </w:rPr>
      </w:pPr>
      <w:r w:rsidRPr="001A4F5B">
        <w:rPr>
          <w:rFonts w:cs="Tahoma"/>
          <w:bCs/>
          <w:szCs w:val="20"/>
        </w:rPr>
        <w:t xml:space="preserve">Le nuove tecnologie sono già in larga parte disponibili e presenti nelle imprese, ma attualmente la loro applicazione è ancora limitata e sporadica, essendo concentrata prevalentemente sul controllo di processo industriale destinato alla produzione massiva dei componenti (macchine a controllo numerico), integrato con la robotica solo in determinati ambienti, con applicazioni limitate alla ripetizione della stessa azione o mansione e al controllo in remoto dell’efficienza operativa dei macchinari. </w:t>
      </w:r>
    </w:p>
    <w:p w14:paraId="40CFC5F0" w14:textId="534F2365" w:rsidR="001A4F5B" w:rsidRPr="001A4F5B" w:rsidRDefault="001A4F5B" w:rsidP="001A4F5B">
      <w:pPr>
        <w:shd w:val="clear" w:color="auto" w:fill="FFFFFF"/>
        <w:spacing w:line="360" w:lineRule="auto"/>
        <w:jc w:val="both"/>
        <w:rPr>
          <w:rFonts w:cs="Tahoma"/>
          <w:bCs/>
          <w:szCs w:val="20"/>
        </w:rPr>
      </w:pPr>
      <w:r w:rsidRPr="001A4F5B">
        <w:rPr>
          <w:rFonts w:cs="Tahoma"/>
          <w:bCs/>
          <w:szCs w:val="20"/>
        </w:rPr>
        <w:t xml:space="preserve">Con la </w:t>
      </w:r>
      <w:r w:rsidRPr="00E83845">
        <w:rPr>
          <w:rFonts w:cs="Tahoma"/>
          <w:b/>
          <w:szCs w:val="20"/>
        </w:rPr>
        <w:t>trasformazione in chiave 4.0</w:t>
      </w:r>
      <w:r w:rsidRPr="001A4F5B">
        <w:rPr>
          <w:rFonts w:cs="Tahoma"/>
          <w:bCs/>
          <w:szCs w:val="20"/>
        </w:rPr>
        <w:t xml:space="preserve"> è invece possibile gestire vere e proprie reti che incorporano, integrano e mettono in comunicazione macchinari, impianti e strutture produttive, sistemi di logistica e magazzinaggio, canali di distribuzione. Attraverso la trasformazione digitale – e con il ricorso a sistemi di produzione cyber-fisici – i siti produttivi sono in grado di reagire più rapidamente, quasi in tempo reale, alle variazioni della domanda, delle specifiche di prodotto, dei flussi di approvvigionamento delle materie prime ottimizzando i processi di trasformazione, riducendo gli errori e i difetti, </w:t>
      </w:r>
      <w:r w:rsidRPr="001A4F5B">
        <w:rPr>
          <w:rFonts w:cs="Tahoma"/>
          <w:b/>
          <w:szCs w:val="20"/>
        </w:rPr>
        <w:t xml:space="preserve">migliorando il </w:t>
      </w:r>
      <w:r w:rsidRPr="001A4F5B">
        <w:rPr>
          <w:rFonts w:cs="Tahoma"/>
          <w:b/>
          <w:i/>
          <w:iCs/>
          <w:szCs w:val="20"/>
        </w:rPr>
        <w:t>time to market</w:t>
      </w:r>
      <w:r w:rsidRPr="001A4F5B">
        <w:rPr>
          <w:rFonts w:cs="Tahoma"/>
          <w:bCs/>
          <w:i/>
          <w:iCs/>
          <w:szCs w:val="20"/>
        </w:rPr>
        <w:t xml:space="preserve"> </w:t>
      </w:r>
      <w:r w:rsidRPr="001A4F5B">
        <w:rPr>
          <w:rFonts w:cs="Tahoma"/>
          <w:bCs/>
          <w:szCs w:val="20"/>
        </w:rPr>
        <w:t xml:space="preserve">e </w:t>
      </w:r>
      <w:r w:rsidRPr="001A4F5B">
        <w:rPr>
          <w:rFonts w:cs="Tahoma"/>
          <w:b/>
          <w:szCs w:val="20"/>
        </w:rPr>
        <w:t>assicurando flessibilità, velocità e precisione</w:t>
      </w:r>
      <w:r w:rsidRPr="001A4F5B">
        <w:rPr>
          <w:rFonts w:cs="Tahoma"/>
          <w:bCs/>
          <w:szCs w:val="20"/>
        </w:rPr>
        <w:t>.</w:t>
      </w:r>
    </w:p>
    <w:p w14:paraId="78A3F869" w14:textId="2D68584F" w:rsidR="001A33C6" w:rsidRDefault="001A4F5B" w:rsidP="001A4F5B">
      <w:pPr>
        <w:shd w:val="clear" w:color="auto" w:fill="FFFFFF"/>
        <w:spacing w:line="360" w:lineRule="auto"/>
        <w:jc w:val="both"/>
        <w:rPr>
          <w:rFonts w:cs="Tahoma"/>
          <w:bCs/>
          <w:szCs w:val="20"/>
        </w:rPr>
      </w:pPr>
      <w:r w:rsidRPr="001A4F5B">
        <w:rPr>
          <w:rFonts w:cs="Tahoma"/>
          <w:bCs/>
          <w:szCs w:val="20"/>
        </w:rPr>
        <w:t xml:space="preserve">Le ricadute in termini di recupero di produttività possono essere significative restituendo nuova competitività a settori produttivi e nicchie manifatturiere che diversamente avrebbero serie difficoltà nel competere con sistemi a basso costo del lavoro, consentendo persino fenomeni di </w:t>
      </w:r>
      <w:r w:rsidRPr="001A4F5B">
        <w:rPr>
          <w:rFonts w:cs="Tahoma"/>
          <w:bCs/>
          <w:i/>
          <w:iCs/>
          <w:szCs w:val="20"/>
        </w:rPr>
        <w:t>re-</w:t>
      </w:r>
      <w:proofErr w:type="spellStart"/>
      <w:r w:rsidRPr="001A4F5B">
        <w:rPr>
          <w:rFonts w:cs="Tahoma"/>
          <w:bCs/>
          <w:i/>
          <w:iCs/>
          <w:szCs w:val="20"/>
        </w:rPr>
        <w:t>shoring</w:t>
      </w:r>
      <w:proofErr w:type="spellEnd"/>
      <w:r w:rsidRPr="001A4F5B">
        <w:rPr>
          <w:rFonts w:cs="Tahoma"/>
          <w:bCs/>
          <w:i/>
          <w:iCs/>
          <w:szCs w:val="20"/>
        </w:rPr>
        <w:t xml:space="preserve"> </w:t>
      </w:r>
      <w:r w:rsidRPr="001A4F5B">
        <w:rPr>
          <w:rFonts w:cs="Tahoma"/>
          <w:bCs/>
          <w:szCs w:val="20"/>
        </w:rPr>
        <w:t>di produzioni un tempo delocalizzate.</w:t>
      </w:r>
    </w:p>
    <w:tbl>
      <w:tblPr>
        <w:tblStyle w:val="Grigliatabella"/>
        <w:tblW w:w="0" w:type="auto"/>
        <w:jc w:val="center"/>
        <w:tblLook w:val="04A0" w:firstRow="1" w:lastRow="0" w:firstColumn="1" w:lastColumn="0" w:noHBand="0" w:noVBand="1"/>
      </w:tblPr>
      <w:tblGrid>
        <w:gridCol w:w="9628"/>
      </w:tblGrid>
      <w:tr w:rsidR="001A4F5B" w14:paraId="0107181F" w14:textId="77777777" w:rsidTr="00604807">
        <w:trPr>
          <w:jc w:val="center"/>
        </w:trPr>
        <w:tc>
          <w:tcPr>
            <w:tcW w:w="9628" w:type="dxa"/>
            <w:shd w:val="clear" w:color="auto" w:fill="DBE5F1" w:themeFill="accent1" w:themeFillTint="33"/>
          </w:tcPr>
          <w:p w14:paraId="5EABD494" w14:textId="3E827883" w:rsidR="001A4F5B" w:rsidRPr="00604807" w:rsidRDefault="001A4F5B" w:rsidP="00C76ED3">
            <w:pPr>
              <w:spacing w:before="60" w:after="60" w:line="326" w:lineRule="auto"/>
              <w:jc w:val="center"/>
              <w:rPr>
                <w:rFonts w:cs="Tahoma"/>
                <w:b/>
                <w:szCs w:val="20"/>
              </w:rPr>
            </w:pPr>
            <w:r w:rsidRPr="001A4F5B">
              <w:rPr>
                <w:rFonts w:cs="Tahoma"/>
                <w:b/>
                <w:szCs w:val="20"/>
              </w:rPr>
              <w:lastRenderedPageBreak/>
              <w:t>VANTAGGI DELLA QUARTA RIVOLUZIONE INDUSTRIALE</w:t>
            </w:r>
          </w:p>
        </w:tc>
      </w:tr>
      <w:tr w:rsidR="001A4F5B" w14:paraId="77822C50" w14:textId="77777777" w:rsidTr="00456F29">
        <w:trPr>
          <w:jc w:val="center"/>
        </w:trPr>
        <w:tc>
          <w:tcPr>
            <w:tcW w:w="9628" w:type="dxa"/>
          </w:tcPr>
          <w:p w14:paraId="08351563" w14:textId="3474BB06" w:rsidR="001A4F5B" w:rsidRDefault="00456F29" w:rsidP="00C76ED3">
            <w:pPr>
              <w:spacing w:before="60" w:after="60" w:line="326" w:lineRule="auto"/>
              <w:jc w:val="center"/>
              <w:rPr>
                <w:rFonts w:cs="Tahoma"/>
                <w:bCs/>
                <w:szCs w:val="20"/>
              </w:rPr>
            </w:pPr>
            <w:r w:rsidRPr="00456F29">
              <w:rPr>
                <w:rFonts w:cs="Tahoma"/>
                <w:b/>
                <w:szCs w:val="20"/>
              </w:rPr>
              <w:t>Flessibilità</w:t>
            </w:r>
            <w:r w:rsidRPr="00456F29">
              <w:rPr>
                <w:rFonts w:cs="Tahoma"/>
                <w:bCs/>
                <w:szCs w:val="20"/>
              </w:rPr>
              <w:t xml:space="preserve"> attraverso la produzione di piccoli lotti ai costi della grande scala con importanti ricadute in termini di customizzazione</w:t>
            </w:r>
          </w:p>
        </w:tc>
      </w:tr>
      <w:tr w:rsidR="001A4F5B" w14:paraId="6A45E01F" w14:textId="77777777" w:rsidTr="00456F29">
        <w:trPr>
          <w:jc w:val="center"/>
        </w:trPr>
        <w:tc>
          <w:tcPr>
            <w:tcW w:w="9628" w:type="dxa"/>
          </w:tcPr>
          <w:p w14:paraId="57EAEAFD" w14:textId="3E7160A1" w:rsidR="001A4F5B" w:rsidRDefault="00456F29" w:rsidP="00C76ED3">
            <w:pPr>
              <w:spacing w:before="60" w:after="60" w:line="326" w:lineRule="auto"/>
              <w:jc w:val="center"/>
              <w:rPr>
                <w:rFonts w:cs="Tahoma"/>
                <w:bCs/>
                <w:szCs w:val="20"/>
              </w:rPr>
            </w:pPr>
            <w:r w:rsidRPr="00456F29">
              <w:rPr>
                <w:rFonts w:cs="Tahoma"/>
                <w:b/>
                <w:bCs/>
                <w:szCs w:val="20"/>
              </w:rPr>
              <w:t>Velocità</w:t>
            </w:r>
            <w:r w:rsidRPr="00456F29">
              <w:rPr>
                <w:rFonts w:cs="Tahoma"/>
                <w:szCs w:val="20"/>
              </w:rPr>
              <w:t xml:space="preserve"> </w:t>
            </w:r>
            <w:r w:rsidRPr="00456F29">
              <w:rPr>
                <w:rFonts w:cs="Tahoma"/>
                <w:bCs/>
                <w:szCs w:val="20"/>
              </w:rPr>
              <w:t xml:space="preserve">dalla fase di prototipazione alla produzione in serie attraverso tecnologie innovative che riducono i tempi di </w:t>
            </w:r>
            <w:r w:rsidRPr="00456F29">
              <w:rPr>
                <w:rFonts w:cs="Tahoma"/>
                <w:bCs/>
                <w:i/>
                <w:iCs/>
                <w:szCs w:val="20"/>
              </w:rPr>
              <w:t xml:space="preserve">set up </w:t>
            </w:r>
            <w:r w:rsidRPr="00456F29">
              <w:rPr>
                <w:rFonts w:cs="Tahoma"/>
                <w:bCs/>
                <w:szCs w:val="20"/>
              </w:rPr>
              <w:t xml:space="preserve">e accelerano i tempi di </w:t>
            </w:r>
            <w:r w:rsidRPr="00456F29">
              <w:rPr>
                <w:rFonts w:cs="Tahoma"/>
                <w:bCs/>
                <w:i/>
                <w:iCs/>
                <w:szCs w:val="20"/>
              </w:rPr>
              <w:t>go-to-market</w:t>
            </w:r>
          </w:p>
        </w:tc>
      </w:tr>
      <w:tr w:rsidR="001A4F5B" w14:paraId="34AD2A23" w14:textId="77777777" w:rsidTr="00456F29">
        <w:trPr>
          <w:jc w:val="center"/>
        </w:trPr>
        <w:tc>
          <w:tcPr>
            <w:tcW w:w="9628" w:type="dxa"/>
          </w:tcPr>
          <w:p w14:paraId="15B3FAE7" w14:textId="567B9486" w:rsidR="001A4F5B" w:rsidRDefault="00456F29" w:rsidP="00C76ED3">
            <w:pPr>
              <w:spacing w:before="60" w:after="60" w:line="326" w:lineRule="auto"/>
              <w:jc w:val="center"/>
              <w:rPr>
                <w:rFonts w:cs="Tahoma"/>
                <w:bCs/>
                <w:szCs w:val="20"/>
              </w:rPr>
            </w:pPr>
            <w:r w:rsidRPr="00456F29">
              <w:rPr>
                <w:rFonts w:cs="Tahoma"/>
                <w:b/>
                <w:szCs w:val="20"/>
              </w:rPr>
              <w:t>Produttività</w:t>
            </w:r>
            <w:r w:rsidRPr="00456F29">
              <w:rPr>
                <w:rFonts w:cs="Tahoma"/>
                <w:bCs/>
                <w:szCs w:val="20"/>
              </w:rPr>
              <w:t xml:space="preserve"> attraverso l’aumento della dinamica dei processi e una maggiore flessibilità operativa e di riconfigurazione dei sistemi, con conseguente riduzione di costi e sprechi, aumento della affidabilità dei sistemi produttivi e della qualità resa (riduzione di errori, difetti e fermi macchina)</w:t>
            </w:r>
          </w:p>
        </w:tc>
      </w:tr>
      <w:tr w:rsidR="00456F29" w14:paraId="0A56060F" w14:textId="77777777" w:rsidTr="00456F29">
        <w:trPr>
          <w:jc w:val="center"/>
        </w:trPr>
        <w:tc>
          <w:tcPr>
            <w:tcW w:w="9628" w:type="dxa"/>
          </w:tcPr>
          <w:p w14:paraId="49EC53C2" w14:textId="12E44FB7" w:rsidR="00456F29" w:rsidRPr="00456F29" w:rsidRDefault="00456F29" w:rsidP="00C76ED3">
            <w:pPr>
              <w:spacing w:before="60" w:after="60" w:line="326" w:lineRule="auto"/>
              <w:jc w:val="center"/>
              <w:rPr>
                <w:rFonts w:cs="Tahoma"/>
                <w:bCs/>
                <w:szCs w:val="20"/>
              </w:rPr>
            </w:pPr>
            <w:r w:rsidRPr="00456F29">
              <w:rPr>
                <w:rFonts w:cs="Tahoma"/>
                <w:b/>
                <w:szCs w:val="20"/>
              </w:rPr>
              <w:t xml:space="preserve">Integrazione </w:t>
            </w:r>
            <w:r w:rsidRPr="00456F29">
              <w:rPr>
                <w:rFonts w:cs="Tahoma"/>
                <w:bCs/>
                <w:szCs w:val="20"/>
              </w:rPr>
              <w:t>delle filiere e catene di fornitura e subfornitura attraverso miglioramenti nei sistemi di approvvigionamento e nella logistica, più efficiente gestione del magazzino e degli ordini, ottimizzazione dei rapporti con i fornitori, anche in una chiave di minore conflittualità in ecosistemi aperti e collaborativi</w:t>
            </w:r>
          </w:p>
        </w:tc>
      </w:tr>
      <w:tr w:rsidR="00456F29" w14:paraId="68AA9027" w14:textId="77777777" w:rsidTr="00456F29">
        <w:trPr>
          <w:jc w:val="center"/>
        </w:trPr>
        <w:tc>
          <w:tcPr>
            <w:tcW w:w="9628" w:type="dxa"/>
          </w:tcPr>
          <w:p w14:paraId="45A86800" w14:textId="32DF63F6" w:rsidR="00456F29" w:rsidRPr="00456F29" w:rsidRDefault="00456F29" w:rsidP="00C76ED3">
            <w:pPr>
              <w:spacing w:before="60" w:after="60" w:line="326" w:lineRule="auto"/>
              <w:jc w:val="center"/>
              <w:rPr>
                <w:rFonts w:cs="Tahoma"/>
                <w:b/>
                <w:szCs w:val="20"/>
              </w:rPr>
            </w:pPr>
            <w:r w:rsidRPr="00456F29">
              <w:rPr>
                <w:rFonts w:cs="Tahoma"/>
                <w:b/>
                <w:szCs w:val="20"/>
              </w:rPr>
              <w:t>Sicurezza</w:t>
            </w:r>
            <w:r w:rsidRPr="00456F29">
              <w:rPr>
                <w:rFonts w:cs="Tahoma"/>
                <w:bCs/>
                <w:szCs w:val="20"/>
              </w:rPr>
              <w:t xml:space="preserve"> attraverso una migliore interazione e agilità di interfaccia uomo-macchina che rende possibile una significativa riduzione di errori e infortuni, un miglioramento della sicurezza e dell’ergonomia del luogo di lavoro. Sistemi di produzione che supportano e assistono gli operatori nello svolgimento delle loro mansioni portano a una riduzione dello stress lavoro-correlato e al superamento di alcuni limiti in termini di disponibilità di personale già adeguatamente formato, di invecchiamento della forza lavoro, di integrazione di lavoratori con disabilità, ecc.</w:t>
            </w:r>
          </w:p>
        </w:tc>
      </w:tr>
      <w:tr w:rsidR="00456F29" w14:paraId="6BBE6FAF" w14:textId="77777777" w:rsidTr="00456F29">
        <w:trPr>
          <w:jc w:val="center"/>
        </w:trPr>
        <w:tc>
          <w:tcPr>
            <w:tcW w:w="9628" w:type="dxa"/>
          </w:tcPr>
          <w:p w14:paraId="16F262A1" w14:textId="7F5A03E6" w:rsidR="00456F29" w:rsidRPr="00456F29" w:rsidRDefault="00456F29" w:rsidP="00C76ED3">
            <w:pPr>
              <w:spacing w:before="60" w:after="60" w:line="326" w:lineRule="auto"/>
              <w:jc w:val="center"/>
              <w:rPr>
                <w:rFonts w:cs="Tahoma"/>
                <w:bCs/>
                <w:szCs w:val="20"/>
              </w:rPr>
            </w:pPr>
            <w:r w:rsidRPr="00456F29">
              <w:rPr>
                <w:rFonts w:cs="Tahoma"/>
                <w:b/>
                <w:szCs w:val="20"/>
              </w:rPr>
              <w:t xml:space="preserve">Sostenibilità </w:t>
            </w:r>
            <w:r w:rsidRPr="00456F29">
              <w:rPr>
                <w:rFonts w:cs="Tahoma"/>
                <w:bCs/>
                <w:szCs w:val="20"/>
              </w:rPr>
              <w:t>attraverso una riduzione dei consumi energetici e dell’uso di materie prime, delle emissioni, con conseguente riduzione dell’impatto ambientale sull’intero ciclo di vita del prodotto</w:t>
            </w:r>
          </w:p>
        </w:tc>
      </w:tr>
      <w:tr w:rsidR="00456F29" w14:paraId="16279C8F" w14:textId="77777777" w:rsidTr="00456F29">
        <w:trPr>
          <w:jc w:val="center"/>
        </w:trPr>
        <w:tc>
          <w:tcPr>
            <w:tcW w:w="9628" w:type="dxa"/>
          </w:tcPr>
          <w:p w14:paraId="32B99F78" w14:textId="3F8B09ED" w:rsidR="00456F29" w:rsidRPr="00456F29" w:rsidRDefault="00456F29" w:rsidP="00C76ED3">
            <w:pPr>
              <w:spacing w:before="60" w:after="60" w:line="326" w:lineRule="auto"/>
              <w:jc w:val="center"/>
              <w:rPr>
                <w:rFonts w:cs="Tahoma"/>
                <w:b/>
                <w:szCs w:val="20"/>
              </w:rPr>
            </w:pPr>
            <w:r w:rsidRPr="00456F29">
              <w:rPr>
                <w:rFonts w:cs="Tahoma"/>
                <w:b/>
                <w:szCs w:val="20"/>
              </w:rPr>
              <w:t>Innovazione di prodotto</w:t>
            </w:r>
            <w:r w:rsidRPr="00456F29">
              <w:rPr>
                <w:rFonts w:cs="Tahoma"/>
                <w:bCs/>
                <w:szCs w:val="20"/>
              </w:rPr>
              <w:t xml:space="preserve"> grazie alle nuove tecnologie digitali che rendono possibile rivisitare in chiave smart molti prodotti e rivedere i modelli di servizio e di approccio al mercato</w:t>
            </w:r>
          </w:p>
        </w:tc>
      </w:tr>
    </w:tbl>
    <w:p w14:paraId="10034AB1" w14:textId="77777777" w:rsidR="001A4F5B" w:rsidRDefault="001A4F5B" w:rsidP="001A4F5B">
      <w:pPr>
        <w:shd w:val="clear" w:color="auto" w:fill="FFFFFF"/>
        <w:spacing w:line="360" w:lineRule="auto"/>
        <w:jc w:val="both"/>
        <w:rPr>
          <w:rFonts w:cs="Tahoma"/>
          <w:bCs/>
          <w:szCs w:val="20"/>
        </w:rPr>
      </w:pPr>
    </w:p>
    <w:p w14:paraId="107CA094" w14:textId="7915ACD8" w:rsidR="00A03D4F" w:rsidRPr="002247B4" w:rsidRDefault="00A03D4F" w:rsidP="00A03D4F">
      <w:pPr>
        <w:pStyle w:val="Titolo2"/>
      </w:pPr>
      <w:bookmarkStart w:id="13" w:name="_Toc93327698"/>
      <w:r w:rsidRPr="002247B4">
        <w:t>1.</w:t>
      </w:r>
      <w:r>
        <w:t>2</w:t>
      </w:r>
      <w:r w:rsidRPr="002247B4">
        <w:t xml:space="preserve"> </w:t>
      </w:r>
      <w:r w:rsidR="001667D0">
        <w:t>Il P</w:t>
      </w:r>
      <w:r w:rsidR="000427A6">
        <w:t>iano nazionale Industria 4.0</w:t>
      </w:r>
      <w:bookmarkEnd w:id="13"/>
    </w:p>
    <w:p w14:paraId="12DD0387" w14:textId="727EE314" w:rsidR="00A03D4F" w:rsidRDefault="00A03D4F" w:rsidP="00A03D4F">
      <w:pPr>
        <w:shd w:val="clear" w:color="auto" w:fill="FFFFFF"/>
        <w:spacing w:line="360" w:lineRule="auto"/>
        <w:jc w:val="both"/>
        <w:rPr>
          <w:rFonts w:cs="Tahoma"/>
          <w:bCs/>
          <w:szCs w:val="20"/>
        </w:rPr>
      </w:pPr>
      <w:r>
        <w:rPr>
          <w:rFonts w:cs="Tahoma"/>
          <w:bCs/>
          <w:szCs w:val="20"/>
        </w:rPr>
        <w:t xml:space="preserve">I </w:t>
      </w:r>
      <w:r w:rsidRPr="00A03D4F">
        <w:rPr>
          <w:rFonts w:cs="Tahoma"/>
          <w:bCs/>
          <w:szCs w:val="20"/>
        </w:rPr>
        <w:t xml:space="preserve">temi della flessibilità degli impianti e della </w:t>
      </w:r>
      <w:r w:rsidRPr="00A03D4F">
        <w:rPr>
          <w:rFonts w:cs="Tahoma"/>
          <w:bCs/>
          <w:i/>
          <w:iCs/>
          <w:szCs w:val="20"/>
        </w:rPr>
        <w:t xml:space="preserve">customizzazione </w:t>
      </w:r>
      <w:r w:rsidRPr="00A03D4F">
        <w:rPr>
          <w:rFonts w:cs="Tahoma"/>
          <w:bCs/>
          <w:szCs w:val="20"/>
        </w:rPr>
        <w:t>si sposano con molte produzioni manifatturiere italiane, caratterizzate da una dimensione di “nicchia” e di elevata personalizzazione/livello qualitativo. Caratteristiche riscontrabili non soltanto nelle “4A” (Automazione/beni strumentali, Agro-alimentare, Abbigliamento, Arredamento), ma anche in altri settori ad alto valore aggiunto del manifatturiero italiano (quali ad esempio chimico, farmaceutico, biomedicale, autoveicoli ad alte prestazioni, aerospaziale, per citarne alcuni).</w:t>
      </w:r>
    </w:p>
    <w:p w14:paraId="280C1748" w14:textId="77777777" w:rsidR="00A03D4F" w:rsidRPr="00A03D4F" w:rsidRDefault="00A03D4F" w:rsidP="00A03D4F">
      <w:pPr>
        <w:shd w:val="clear" w:color="auto" w:fill="FFFFFF"/>
        <w:spacing w:line="360" w:lineRule="auto"/>
        <w:jc w:val="both"/>
        <w:rPr>
          <w:rFonts w:cs="Tahoma"/>
          <w:bCs/>
          <w:szCs w:val="20"/>
        </w:rPr>
      </w:pPr>
      <w:r w:rsidRPr="00A03D4F">
        <w:rPr>
          <w:rFonts w:cs="Tahoma"/>
          <w:bCs/>
          <w:szCs w:val="20"/>
        </w:rPr>
        <w:t xml:space="preserve">Inoltre, l’opportunità di una maggiore integrazione e cooperazione all’interno delle filiere produttive costituisce un fattore di ulteriore rafforzamento delle economie dei distretti italiani. La quarta rivoluzione può dunque essere premiante per il nostro tessuto di PMI in termini di </w:t>
      </w:r>
      <w:r w:rsidRPr="00A03D4F">
        <w:rPr>
          <w:rFonts w:cs="Tahoma"/>
          <w:b/>
          <w:szCs w:val="20"/>
        </w:rPr>
        <w:t>migliore posizionamento competitivo</w:t>
      </w:r>
      <w:r w:rsidRPr="00A03D4F">
        <w:rPr>
          <w:rFonts w:cs="Tahoma"/>
          <w:bCs/>
          <w:szCs w:val="20"/>
        </w:rPr>
        <w:t xml:space="preserve"> e </w:t>
      </w:r>
      <w:r w:rsidRPr="00A03D4F">
        <w:rPr>
          <w:rFonts w:cs="Tahoma"/>
          <w:b/>
          <w:szCs w:val="20"/>
        </w:rPr>
        <w:t>accresciuta integrazione nelle catene internazionali del valore</w:t>
      </w:r>
      <w:r w:rsidRPr="00A03D4F">
        <w:rPr>
          <w:rFonts w:cs="Tahoma"/>
          <w:bCs/>
          <w:szCs w:val="20"/>
        </w:rPr>
        <w:t xml:space="preserve">. </w:t>
      </w:r>
    </w:p>
    <w:p w14:paraId="08DA74C0" w14:textId="5AC25DE2" w:rsidR="00A03D4F" w:rsidRDefault="00A03D4F" w:rsidP="00A03D4F">
      <w:pPr>
        <w:shd w:val="clear" w:color="auto" w:fill="FFFFFF"/>
        <w:spacing w:line="360" w:lineRule="auto"/>
        <w:jc w:val="both"/>
        <w:rPr>
          <w:rFonts w:cs="Tahoma"/>
          <w:bCs/>
          <w:szCs w:val="20"/>
        </w:rPr>
      </w:pPr>
      <w:r w:rsidRPr="00A03D4F">
        <w:rPr>
          <w:rFonts w:cs="Tahoma"/>
          <w:bCs/>
          <w:szCs w:val="20"/>
        </w:rPr>
        <w:lastRenderedPageBreak/>
        <w:t>Si possono aprire nuove opportunità per le imprese italiane, piccole e grandi, da cogliere tanto sul fronte dell’efficienza dei processi, della riduzione dei costi e del miglioramento della produttività, quanto – e forse soprattutto – in termini di posizionamento strategico nelle catene internazionali della creazione del valore, ripensamento dei prodotti e di cambiamento/rivisitazione delle strategie e dei modelli di business per intercettare nuovi mercati e soddisfare nuovi bisogni.</w:t>
      </w:r>
    </w:p>
    <w:p w14:paraId="6D98898E" w14:textId="1F97DD58" w:rsidR="00091A0A" w:rsidRPr="000427A6" w:rsidRDefault="00091A0A" w:rsidP="000427A6">
      <w:pPr>
        <w:shd w:val="clear" w:color="auto" w:fill="FFFFFF"/>
        <w:spacing w:line="360" w:lineRule="auto"/>
        <w:jc w:val="both"/>
        <w:rPr>
          <w:rFonts w:cs="Tahoma"/>
          <w:b/>
          <w:szCs w:val="20"/>
        </w:rPr>
      </w:pPr>
      <w:r w:rsidRPr="000427A6">
        <w:rPr>
          <w:rFonts w:cs="Tahoma"/>
          <w:b/>
          <w:szCs w:val="20"/>
        </w:rPr>
        <w:t>Figura 1 Industria 4.0: il modello italiano</w:t>
      </w:r>
    </w:p>
    <w:p w14:paraId="141F9F1E" w14:textId="0FE235DC" w:rsidR="00091A0A" w:rsidRDefault="00091A0A" w:rsidP="00A03D4F">
      <w:pPr>
        <w:shd w:val="clear" w:color="auto" w:fill="FFFFFF"/>
        <w:spacing w:line="360" w:lineRule="auto"/>
        <w:jc w:val="both"/>
        <w:rPr>
          <w:rFonts w:cs="Tahoma"/>
          <w:bCs/>
          <w:szCs w:val="20"/>
        </w:rPr>
      </w:pPr>
      <w:r w:rsidRPr="00091A0A">
        <w:rPr>
          <w:rFonts w:cs="Tahoma"/>
          <w:bCs/>
          <w:noProof/>
          <w:szCs w:val="20"/>
        </w:rPr>
        <w:drawing>
          <wp:inline distT="0" distB="0" distL="0" distR="0" wp14:anchorId="2A25CC26" wp14:editId="0F12AEA3">
            <wp:extent cx="6120130" cy="2940050"/>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8"/>
                    <a:stretch>
                      <a:fillRect/>
                    </a:stretch>
                  </pic:blipFill>
                  <pic:spPr>
                    <a:xfrm>
                      <a:off x="0" y="0"/>
                      <a:ext cx="6120130" cy="2940050"/>
                    </a:xfrm>
                    <a:prstGeom prst="rect">
                      <a:avLst/>
                    </a:prstGeom>
                  </pic:spPr>
                </pic:pic>
              </a:graphicData>
            </a:graphic>
          </wp:inline>
        </w:drawing>
      </w:r>
    </w:p>
    <w:p w14:paraId="3281D8BA" w14:textId="77777777" w:rsidR="00C76ED3" w:rsidRDefault="00C76ED3" w:rsidP="000427A6">
      <w:pPr>
        <w:shd w:val="clear" w:color="auto" w:fill="FFFFFF"/>
        <w:spacing w:line="360" w:lineRule="auto"/>
        <w:jc w:val="both"/>
        <w:rPr>
          <w:rFonts w:cs="Tahoma"/>
          <w:bCs/>
          <w:szCs w:val="20"/>
        </w:rPr>
      </w:pPr>
    </w:p>
    <w:p w14:paraId="5C8C3107" w14:textId="04AE6C6A" w:rsidR="00424E33" w:rsidRDefault="000427A6" w:rsidP="000427A6">
      <w:pPr>
        <w:shd w:val="clear" w:color="auto" w:fill="FFFFFF"/>
        <w:spacing w:line="360" w:lineRule="auto"/>
        <w:jc w:val="both"/>
        <w:rPr>
          <w:rFonts w:cs="Tahoma"/>
          <w:bCs/>
          <w:szCs w:val="20"/>
        </w:rPr>
      </w:pPr>
      <w:r w:rsidRPr="000427A6">
        <w:rPr>
          <w:rFonts w:cs="Tahoma"/>
          <w:bCs/>
          <w:szCs w:val="20"/>
        </w:rPr>
        <w:t xml:space="preserve">In quest’ottica, con il Piano Nazionale Industria 4.0, il Governo intende </w:t>
      </w:r>
      <w:r w:rsidRPr="000427A6">
        <w:rPr>
          <w:rFonts w:cs="Tahoma"/>
          <w:b/>
          <w:szCs w:val="20"/>
        </w:rPr>
        <w:t>sostenere il processo di trasformazione delle imprese italiane</w:t>
      </w:r>
      <w:r w:rsidRPr="000427A6">
        <w:rPr>
          <w:rFonts w:cs="Tahoma"/>
          <w:bCs/>
          <w:szCs w:val="20"/>
        </w:rPr>
        <w:t xml:space="preserve"> che vogliono cogliere le opportunità legate alla quarta rivoluzione industriale.</w:t>
      </w:r>
    </w:p>
    <w:p w14:paraId="503B7651" w14:textId="2C26836A" w:rsidR="000427A6" w:rsidRDefault="000427A6" w:rsidP="000427A6">
      <w:pPr>
        <w:shd w:val="clear" w:color="auto" w:fill="FFFFFF"/>
        <w:spacing w:line="360" w:lineRule="auto"/>
        <w:jc w:val="both"/>
        <w:rPr>
          <w:rFonts w:cs="Tahoma"/>
          <w:bCs/>
          <w:szCs w:val="20"/>
        </w:rPr>
      </w:pPr>
      <w:r w:rsidRPr="000427A6">
        <w:rPr>
          <w:rFonts w:cs="Tahoma"/>
          <w:bCs/>
          <w:szCs w:val="20"/>
        </w:rPr>
        <w:t>Il Piano ha il suo presupposto nell’analisi della struttura dell’economia italiana:</w:t>
      </w:r>
    </w:p>
    <w:p w14:paraId="53736B6D" w14:textId="6C5D13B8" w:rsidR="000427A6" w:rsidRDefault="000427A6" w:rsidP="00ED348D">
      <w:pPr>
        <w:pStyle w:val="Paragrafoelenco"/>
        <w:numPr>
          <w:ilvl w:val="0"/>
          <w:numId w:val="3"/>
        </w:numPr>
        <w:shd w:val="clear" w:color="auto" w:fill="FFFFFF"/>
        <w:spacing w:line="360" w:lineRule="auto"/>
        <w:jc w:val="both"/>
        <w:rPr>
          <w:rFonts w:cs="Tahoma"/>
          <w:bCs/>
          <w:szCs w:val="20"/>
        </w:rPr>
      </w:pPr>
      <w:r w:rsidRPr="00424E33">
        <w:rPr>
          <w:rFonts w:cs="Tahoma"/>
          <w:b/>
          <w:szCs w:val="20"/>
        </w:rPr>
        <w:t>numerosi costruttori di beni strumentali che realizzano macchine</w:t>
      </w:r>
      <w:r w:rsidRPr="000427A6">
        <w:rPr>
          <w:rFonts w:cs="Tahoma"/>
          <w:bCs/>
          <w:szCs w:val="20"/>
        </w:rPr>
        <w:t xml:space="preserve"> e </w:t>
      </w:r>
      <w:r w:rsidRPr="00424E33">
        <w:rPr>
          <w:rFonts w:cs="Tahoma"/>
          <w:b/>
          <w:szCs w:val="20"/>
        </w:rPr>
        <w:t>sistemi 4.0 molto avanzati</w:t>
      </w:r>
      <w:r w:rsidRPr="000427A6">
        <w:rPr>
          <w:rFonts w:cs="Tahoma"/>
          <w:bCs/>
          <w:szCs w:val="20"/>
        </w:rPr>
        <w:t>, destinati al mercato sia interno che estero;</w:t>
      </w:r>
    </w:p>
    <w:p w14:paraId="7438F769" w14:textId="3B283BE4" w:rsidR="000427A6" w:rsidRDefault="000427A6" w:rsidP="00ED348D">
      <w:pPr>
        <w:pStyle w:val="Paragrafoelenco"/>
        <w:numPr>
          <w:ilvl w:val="0"/>
          <w:numId w:val="3"/>
        </w:numPr>
        <w:shd w:val="clear" w:color="auto" w:fill="FFFFFF"/>
        <w:spacing w:line="360" w:lineRule="auto"/>
        <w:jc w:val="both"/>
        <w:rPr>
          <w:rFonts w:cs="Tahoma"/>
          <w:bCs/>
          <w:szCs w:val="20"/>
        </w:rPr>
      </w:pPr>
      <w:r w:rsidRPr="00424E33">
        <w:rPr>
          <w:rFonts w:cs="Tahoma"/>
          <w:b/>
          <w:szCs w:val="20"/>
        </w:rPr>
        <w:t xml:space="preserve">ampia diversificazione delle specializzazioni produttive </w:t>
      </w:r>
      <w:r w:rsidRPr="000427A6">
        <w:rPr>
          <w:rFonts w:cs="Tahoma"/>
          <w:bCs/>
          <w:szCs w:val="20"/>
        </w:rPr>
        <w:t xml:space="preserve">e con un limitato numero di capi filiera industriali e </w:t>
      </w:r>
      <w:r w:rsidRPr="00424E33">
        <w:rPr>
          <w:rFonts w:cs="Tahoma"/>
          <w:b/>
          <w:szCs w:val="20"/>
        </w:rPr>
        <w:t>system integrator ICT in grado di coordinare il processo evolutivo in chiave 4.0</w:t>
      </w:r>
      <w:r w:rsidRPr="000427A6">
        <w:rPr>
          <w:rFonts w:cs="Tahoma"/>
          <w:bCs/>
          <w:szCs w:val="20"/>
        </w:rPr>
        <w:t xml:space="preserve"> delle catene di fornitura e sub-fornitura;</w:t>
      </w:r>
    </w:p>
    <w:p w14:paraId="377162FB" w14:textId="425AA673" w:rsidR="00424E33" w:rsidRPr="00424E33" w:rsidRDefault="00424E33" w:rsidP="00ED348D">
      <w:pPr>
        <w:pStyle w:val="Paragrafoelenco"/>
        <w:numPr>
          <w:ilvl w:val="0"/>
          <w:numId w:val="3"/>
        </w:numPr>
        <w:shd w:val="clear" w:color="auto" w:fill="FFFFFF"/>
        <w:spacing w:line="360" w:lineRule="auto"/>
        <w:jc w:val="both"/>
        <w:rPr>
          <w:rFonts w:cs="Tahoma"/>
          <w:bCs/>
          <w:szCs w:val="20"/>
        </w:rPr>
      </w:pPr>
      <w:r w:rsidRPr="00424E33">
        <w:rPr>
          <w:rFonts w:cs="Tahoma"/>
          <w:b/>
          <w:szCs w:val="20"/>
        </w:rPr>
        <w:t xml:space="preserve">notevole componente di valori intangibili di know </w:t>
      </w:r>
      <w:proofErr w:type="spellStart"/>
      <w:r w:rsidRPr="00424E33">
        <w:rPr>
          <w:rFonts w:cs="Tahoma"/>
          <w:b/>
          <w:szCs w:val="20"/>
        </w:rPr>
        <w:t>how</w:t>
      </w:r>
      <w:proofErr w:type="spellEnd"/>
      <w:r w:rsidR="00B752F6">
        <w:rPr>
          <w:rFonts w:cs="Tahoma"/>
          <w:bCs/>
          <w:szCs w:val="20"/>
        </w:rPr>
        <w:t>.</w:t>
      </w:r>
    </w:p>
    <w:p w14:paraId="1E4C8607" w14:textId="35CEDC83" w:rsidR="00424E33" w:rsidRDefault="00424E33" w:rsidP="00424E33">
      <w:pPr>
        <w:shd w:val="clear" w:color="auto" w:fill="FFFFFF"/>
        <w:spacing w:line="360" w:lineRule="auto"/>
        <w:jc w:val="both"/>
        <w:rPr>
          <w:rFonts w:cs="Tahoma"/>
          <w:bCs/>
          <w:szCs w:val="20"/>
        </w:rPr>
      </w:pPr>
      <w:r w:rsidRPr="00424E33">
        <w:rPr>
          <w:rFonts w:cs="Tahoma"/>
          <w:bCs/>
          <w:szCs w:val="20"/>
        </w:rPr>
        <w:t>Il Piano</w:t>
      </w:r>
      <w:r w:rsidR="00B752F6">
        <w:rPr>
          <w:rFonts w:cs="Tahoma"/>
          <w:bCs/>
          <w:szCs w:val="20"/>
        </w:rPr>
        <w:t xml:space="preserve"> nasce 5 anni fa (è stato </w:t>
      </w:r>
      <w:r w:rsidRPr="00424E33">
        <w:rPr>
          <w:rFonts w:cs="Tahoma"/>
          <w:bCs/>
          <w:szCs w:val="20"/>
        </w:rPr>
        <w:t xml:space="preserve">presentato </w:t>
      </w:r>
      <w:r>
        <w:rPr>
          <w:rFonts w:cs="Tahoma"/>
          <w:bCs/>
          <w:szCs w:val="20"/>
        </w:rPr>
        <w:t xml:space="preserve">per la prima volta </w:t>
      </w:r>
      <w:r w:rsidRPr="00424E33">
        <w:rPr>
          <w:rFonts w:cs="Tahoma"/>
          <w:bCs/>
          <w:szCs w:val="20"/>
        </w:rPr>
        <w:t xml:space="preserve">dal Governo italiano </w:t>
      </w:r>
      <w:r>
        <w:rPr>
          <w:rFonts w:cs="Tahoma"/>
          <w:bCs/>
          <w:szCs w:val="20"/>
        </w:rPr>
        <w:t xml:space="preserve">nel mese di </w:t>
      </w:r>
      <w:r w:rsidRPr="00424E33">
        <w:rPr>
          <w:rFonts w:cs="Tahoma"/>
          <w:bCs/>
          <w:szCs w:val="20"/>
        </w:rPr>
        <w:t>settembre 2016</w:t>
      </w:r>
      <w:r w:rsidR="00B752F6">
        <w:rPr>
          <w:rFonts w:cs="Tahoma"/>
          <w:bCs/>
          <w:szCs w:val="20"/>
        </w:rPr>
        <w:t>) ed</w:t>
      </w:r>
      <w:r w:rsidRPr="00424E33">
        <w:rPr>
          <w:rFonts w:cs="Tahoma"/>
          <w:bCs/>
          <w:szCs w:val="20"/>
        </w:rPr>
        <w:t xml:space="preserve"> </w:t>
      </w:r>
      <w:r>
        <w:rPr>
          <w:rFonts w:cs="Tahoma"/>
          <w:bCs/>
          <w:szCs w:val="20"/>
        </w:rPr>
        <w:t xml:space="preserve">è composto da </w:t>
      </w:r>
      <w:r w:rsidRPr="00B752F6">
        <w:rPr>
          <w:rFonts w:cs="Tahoma"/>
          <w:b/>
          <w:szCs w:val="20"/>
        </w:rPr>
        <w:t>diverse direttrici chiave</w:t>
      </w:r>
      <w:r>
        <w:rPr>
          <w:rFonts w:cs="Tahoma"/>
          <w:bCs/>
          <w:szCs w:val="20"/>
        </w:rPr>
        <w:t>, illustrate nella figura che segue.</w:t>
      </w:r>
    </w:p>
    <w:p w14:paraId="35567DD5" w14:textId="082E766B" w:rsidR="00424E33" w:rsidRPr="009D6AA1" w:rsidRDefault="00424E33" w:rsidP="00424E33">
      <w:pPr>
        <w:shd w:val="clear" w:color="auto" w:fill="FFFFFF"/>
        <w:spacing w:line="360" w:lineRule="auto"/>
        <w:jc w:val="both"/>
        <w:rPr>
          <w:rFonts w:cs="Tahoma"/>
          <w:b/>
          <w:szCs w:val="20"/>
        </w:rPr>
      </w:pPr>
      <w:r w:rsidRPr="009D6AA1">
        <w:rPr>
          <w:rFonts w:cs="Tahoma"/>
          <w:b/>
          <w:szCs w:val="20"/>
        </w:rPr>
        <w:lastRenderedPageBreak/>
        <w:t>Figura 2</w:t>
      </w:r>
      <w:r w:rsidR="009D6AA1" w:rsidRPr="009D6AA1">
        <w:rPr>
          <w:rFonts w:cs="Tahoma"/>
          <w:b/>
          <w:szCs w:val="20"/>
        </w:rPr>
        <w:t>: Direttrici strategiche di intervento</w:t>
      </w:r>
    </w:p>
    <w:p w14:paraId="79819074" w14:textId="58030BAB" w:rsidR="009D6AA1" w:rsidRDefault="009D6AA1" w:rsidP="00424E33">
      <w:pPr>
        <w:shd w:val="clear" w:color="auto" w:fill="FFFFFF"/>
        <w:spacing w:line="360" w:lineRule="auto"/>
        <w:jc w:val="both"/>
        <w:rPr>
          <w:rFonts w:cs="Tahoma"/>
          <w:bCs/>
          <w:szCs w:val="20"/>
        </w:rPr>
      </w:pPr>
      <w:r w:rsidRPr="009D6AA1">
        <w:rPr>
          <w:rFonts w:cs="Tahoma"/>
          <w:bCs/>
          <w:noProof/>
          <w:szCs w:val="20"/>
        </w:rPr>
        <w:drawing>
          <wp:inline distT="0" distB="0" distL="0" distR="0" wp14:anchorId="07E3784A" wp14:editId="04CD7737">
            <wp:extent cx="6120130" cy="3651250"/>
            <wp:effectExtent l="0" t="0" r="0" b="635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19"/>
                    <a:stretch>
                      <a:fillRect/>
                    </a:stretch>
                  </pic:blipFill>
                  <pic:spPr>
                    <a:xfrm>
                      <a:off x="0" y="0"/>
                      <a:ext cx="6120130" cy="3651250"/>
                    </a:xfrm>
                    <a:prstGeom prst="rect">
                      <a:avLst/>
                    </a:prstGeom>
                  </pic:spPr>
                </pic:pic>
              </a:graphicData>
            </a:graphic>
          </wp:inline>
        </w:drawing>
      </w:r>
    </w:p>
    <w:p w14:paraId="318EB1E5" w14:textId="77777777" w:rsidR="00C76ED3" w:rsidRDefault="00C76ED3" w:rsidP="00B752F6">
      <w:pPr>
        <w:shd w:val="clear" w:color="auto" w:fill="FFFFFF"/>
        <w:spacing w:line="360" w:lineRule="auto"/>
        <w:jc w:val="both"/>
        <w:rPr>
          <w:rFonts w:cs="Tahoma"/>
          <w:bCs/>
          <w:szCs w:val="20"/>
        </w:rPr>
      </w:pPr>
    </w:p>
    <w:p w14:paraId="79862918" w14:textId="3A643694" w:rsidR="00B752F6" w:rsidRPr="007F356B" w:rsidRDefault="00B752F6" w:rsidP="00B752F6">
      <w:pPr>
        <w:shd w:val="clear" w:color="auto" w:fill="FFFFFF"/>
        <w:spacing w:line="360" w:lineRule="auto"/>
        <w:jc w:val="both"/>
        <w:rPr>
          <w:rFonts w:cs="Tahoma"/>
          <w:bCs/>
          <w:color w:val="000000" w:themeColor="text1"/>
          <w:szCs w:val="20"/>
        </w:rPr>
      </w:pPr>
      <w:r>
        <w:rPr>
          <w:rFonts w:cs="Tahoma"/>
          <w:bCs/>
          <w:szCs w:val="20"/>
        </w:rPr>
        <w:t xml:space="preserve">Le </w:t>
      </w:r>
      <w:r w:rsidRPr="00B752F6">
        <w:rPr>
          <w:rFonts w:cs="Tahoma"/>
          <w:b/>
          <w:szCs w:val="20"/>
        </w:rPr>
        <w:t>prime</w:t>
      </w:r>
      <w:r w:rsidRPr="00BA03A0">
        <w:rPr>
          <w:rFonts w:cs="Tahoma"/>
          <w:bCs/>
          <w:szCs w:val="20"/>
        </w:rPr>
        <w:t xml:space="preserve"> </w:t>
      </w:r>
      <w:r w:rsidRPr="00B752F6">
        <w:rPr>
          <w:rFonts w:cs="Tahoma"/>
          <w:b/>
          <w:szCs w:val="20"/>
        </w:rPr>
        <w:t>misure</w:t>
      </w:r>
      <w:r w:rsidRPr="00BA03A0">
        <w:rPr>
          <w:rFonts w:cs="Tahoma"/>
          <w:bCs/>
          <w:szCs w:val="20"/>
        </w:rPr>
        <w:t xml:space="preserve"> </w:t>
      </w:r>
      <w:r w:rsidRPr="00B752F6">
        <w:rPr>
          <w:rFonts w:cs="Tahoma"/>
          <w:b/>
          <w:szCs w:val="20"/>
        </w:rPr>
        <w:t>agevolative</w:t>
      </w:r>
      <w:r>
        <w:rPr>
          <w:rFonts w:cs="Tahoma"/>
          <w:bCs/>
          <w:szCs w:val="20"/>
        </w:rPr>
        <w:t xml:space="preserve"> risalgono alla Legge di bilancio 2017, con l’introduzione </w:t>
      </w:r>
      <w:r w:rsidRPr="00B752F6">
        <w:rPr>
          <w:rFonts w:cs="Tahoma"/>
          <w:b/>
          <w:szCs w:val="20"/>
        </w:rPr>
        <w:t>dell’iper</w:t>
      </w:r>
      <w:r w:rsidRPr="00BA03A0">
        <w:rPr>
          <w:rFonts w:cs="Tahoma"/>
          <w:bCs/>
          <w:szCs w:val="20"/>
        </w:rPr>
        <w:t xml:space="preserve"> </w:t>
      </w:r>
      <w:r w:rsidRPr="00B752F6">
        <w:rPr>
          <w:rFonts w:cs="Tahoma"/>
          <w:b/>
          <w:szCs w:val="20"/>
        </w:rPr>
        <w:t>ammortamento</w:t>
      </w:r>
      <w:r>
        <w:rPr>
          <w:rFonts w:cs="Tahoma"/>
          <w:bCs/>
          <w:szCs w:val="20"/>
        </w:rPr>
        <w:t xml:space="preserve"> </w:t>
      </w:r>
      <w:r w:rsidR="00BA03A0">
        <w:rPr>
          <w:rFonts w:cs="Tahoma"/>
          <w:bCs/>
          <w:szCs w:val="20"/>
        </w:rPr>
        <w:t xml:space="preserve">(in origine al 150%) </w:t>
      </w:r>
      <w:r w:rsidRPr="00B752F6">
        <w:rPr>
          <w:rFonts w:cs="Tahoma"/>
          <w:bCs/>
          <w:szCs w:val="20"/>
        </w:rPr>
        <w:t xml:space="preserve">sul costo di acquisto di </w:t>
      </w:r>
      <w:r w:rsidRPr="00B752F6">
        <w:rPr>
          <w:rFonts w:cs="Tahoma"/>
          <w:b/>
          <w:szCs w:val="20"/>
        </w:rPr>
        <w:t>beni strumentali funzionali alla trasformazione tecnologica</w:t>
      </w:r>
      <w:r w:rsidRPr="00B752F6">
        <w:rPr>
          <w:rFonts w:cs="Tahoma"/>
          <w:bCs/>
          <w:szCs w:val="20"/>
        </w:rPr>
        <w:t xml:space="preserve"> e digitale delle imprese in chiave Industria 4.0 </w:t>
      </w:r>
      <w:r>
        <w:rPr>
          <w:rFonts w:cs="Tahoma"/>
          <w:bCs/>
          <w:szCs w:val="20"/>
        </w:rPr>
        <w:t xml:space="preserve">e della </w:t>
      </w:r>
      <w:r w:rsidRPr="00B752F6">
        <w:rPr>
          <w:rFonts w:cs="Tahoma"/>
          <w:b/>
          <w:szCs w:val="20"/>
        </w:rPr>
        <w:t xml:space="preserve">maggiorazione </w:t>
      </w:r>
      <w:r w:rsidR="00BA03A0">
        <w:rPr>
          <w:rFonts w:cs="Tahoma"/>
          <w:b/>
          <w:szCs w:val="20"/>
        </w:rPr>
        <w:t xml:space="preserve">al 40% </w:t>
      </w:r>
      <w:r w:rsidRPr="00B752F6">
        <w:rPr>
          <w:rFonts w:cs="Tahoma"/>
          <w:b/>
          <w:szCs w:val="20"/>
        </w:rPr>
        <w:t>sul costo di acquisto beni strumentali immateriali</w:t>
      </w:r>
      <w:r w:rsidRPr="00B752F6">
        <w:rPr>
          <w:rFonts w:cs="Tahoma"/>
          <w:bCs/>
          <w:szCs w:val="20"/>
        </w:rPr>
        <w:t xml:space="preserve"> (alcuni software, sistemi IT e attività di </w:t>
      </w:r>
      <w:r w:rsidRPr="00B752F6">
        <w:rPr>
          <w:rFonts w:cs="Tahoma"/>
          <w:bCs/>
          <w:i/>
          <w:iCs/>
          <w:szCs w:val="20"/>
        </w:rPr>
        <w:t xml:space="preserve">system </w:t>
      </w:r>
      <w:proofErr w:type="spellStart"/>
      <w:r w:rsidRPr="00B752F6">
        <w:rPr>
          <w:rFonts w:cs="Tahoma"/>
          <w:bCs/>
          <w:i/>
          <w:iCs/>
          <w:szCs w:val="20"/>
        </w:rPr>
        <w:t>integration</w:t>
      </w:r>
      <w:proofErr w:type="spellEnd"/>
      <w:r w:rsidRPr="00B752F6">
        <w:rPr>
          <w:rFonts w:cs="Tahoma"/>
          <w:bCs/>
          <w:szCs w:val="20"/>
        </w:rPr>
        <w:t>)</w:t>
      </w:r>
      <w:r w:rsidR="00BA03A0">
        <w:rPr>
          <w:rFonts w:cs="Tahoma"/>
          <w:bCs/>
          <w:szCs w:val="20"/>
        </w:rPr>
        <w:t xml:space="preserve"> </w:t>
      </w:r>
      <w:r w:rsidR="00BA03A0" w:rsidRPr="00BA03A0">
        <w:rPr>
          <w:rFonts w:cs="Tahoma"/>
          <w:bCs/>
          <w:szCs w:val="20"/>
        </w:rPr>
        <w:t xml:space="preserve">per i soggetti che </w:t>
      </w:r>
      <w:r w:rsidR="00BA03A0">
        <w:rPr>
          <w:rFonts w:cs="Tahoma"/>
          <w:bCs/>
          <w:szCs w:val="20"/>
        </w:rPr>
        <w:t>fruivano</w:t>
      </w:r>
      <w:r w:rsidR="00BA03A0" w:rsidRPr="00BA03A0">
        <w:rPr>
          <w:rFonts w:cs="Tahoma"/>
          <w:bCs/>
          <w:szCs w:val="20"/>
        </w:rPr>
        <w:t xml:space="preserve"> dell’iper ammortamento</w:t>
      </w:r>
      <w:r w:rsidR="00206CA3">
        <w:rPr>
          <w:rFonts w:cs="Tahoma"/>
          <w:bCs/>
          <w:szCs w:val="20"/>
        </w:rPr>
        <w:t xml:space="preserve"> o per i </w:t>
      </w:r>
      <w:r w:rsidR="00206CA3" w:rsidRPr="00206CA3">
        <w:rPr>
          <w:rFonts w:cs="Tahoma"/>
          <w:b/>
          <w:szCs w:val="20"/>
        </w:rPr>
        <w:t xml:space="preserve">beni strumentali materiali a </w:t>
      </w:r>
      <w:r w:rsidR="00206CA3">
        <w:rPr>
          <w:rFonts w:cs="Tahoma"/>
          <w:b/>
          <w:szCs w:val="20"/>
        </w:rPr>
        <w:t>“</w:t>
      </w:r>
      <w:r w:rsidR="00206CA3" w:rsidRPr="00206CA3">
        <w:rPr>
          <w:rFonts w:cs="Tahoma"/>
          <w:b/>
          <w:szCs w:val="20"/>
        </w:rPr>
        <w:t>basso valore tecnologico</w:t>
      </w:r>
      <w:r w:rsidR="00206CA3">
        <w:rPr>
          <w:rFonts w:cs="Tahoma"/>
          <w:b/>
          <w:szCs w:val="20"/>
        </w:rPr>
        <w:t>”</w:t>
      </w:r>
      <w:r w:rsidR="00206CA3">
        <w:rPr>
          <w:rFonts w:cs="Tahoma"/>
          <w:bCs/>
          <w:szCs w:val="20"/>
        </w:rPr>
        <w:t xml:space="preserve">, c.d. </w:t>
      </w:r>
      <w:r w:rsidR="00206CA3" w:rsidRPr="00206CA3">
        <w:rPr>
          <w:rFonts w:cs="Tahoma"/>
          <w:b/>
          <w:szCs w:val="20"/>
        </w:rPr>
        <w:t xml:space="preserve">beni </w:t>
      </w:r>
      <w:r w:rsidR="00206CA3" w:rsidRPr="007F356B">
        <w:rPr>
          <w:rFonts w:cs="Tahoma"/>
          <w:b/>
          <w:color w:val="000000" w:themeColor="text1"/>
          <w:szCs w:val="20"/>
        </w:rPr>
        <w:t>NON 4.0</w:t>
      </w:r>
      <w:r w:rsidR="00777CCA" w:rsidRPr="007F356B">
        <w:rPr>
          <w:rFonts w:cs="Tahoma"/>
          <w:bCs/>
          <w:color w:val="000000" w:themeColor="text1"/>
          <w:szCs w:val="20"/>
        </w:rPr>
        <w:t xml:space="preserve"> (</w:t>
      </w:r>
      <w:r w:rsidR="00777CCA" w:rsidRPr="007F356B">
        <w:rPr>
          <w:rFonts w:cs="Tahoma"/>
          <w:b/>
          <w:color w:val="000000" w:themeColor="text1"/>
          <w:szCs w:val="20"/>
        </w:rPr>
        <w:t>super ammortamento</w:t>
      </w:r>
      <w:r w:rsidR="00777CCA" w:rsidRPr="007F356B">
        <w:rPr>
          <w:rFonts w:cs="Tahoma"/>
          <w:bCs/>
          <w:color w:val="000000" w:themeColor="text1"/>
          <w:szCs w:val="20"/>
        </w:rPr>
        <w:t>).</w:t>
      </w:r>
    </w:p>
    <w:p w14:paraId="327FA2CF" w14:textId="187391DA" w:rsidR="00C015DC" w:rsidRPr="007F356B" w:rsidRDefault="002A331D" w:rsidP="00B752F6">
      <w:pPr>
        <w:shd w:val="clear" w:color="auto" w:fill="FFFFFF"/>
        <w:spacing w:line="360" w:lineRule="auto"/>
        <w:jc w:val="both"/>
        <w:rPr>
          <w:rFonts w:cs="Tahoma"/>
          <w:bCs/>
          <w:color w:val="000000" w:themeColor="text1"/>
          <w:szCs w:val="20"/>
        </w:rPr>
      </w:pPr>
      <w:r w:rsidRPr="007F356B">
        <w:rPr>
          <w:rFonts w:cs="Tahoma"/>
          <w:bCs/>
          <w:color w:val="000000" w:themeColor="text1"/>
          <w:szCs w:val="20"/>
        </w:rPr>
        <w:t xml:space="preserve">Negli anni la misura in argomento è stata oggetto di </w:t>
      </w:r>
      <w:r w:rsidRPr="007F356B">
        <w:rPr>
          <w:rFonts w:cs="Tahoma"/>
          <w:b/>
          <w:color w:val="000000" w:themeColor="text1"/>
          <w:szCs w:val="20"/>
        </w:rPr>
        <w:t>diverse modifiche</w:t>
      </w:r>
      <w:r w:rsidRPr="007F356B">
        <w:rPr>
          <w:rFonts w:cs="Tahoma"/>
          <w:bCs/>
          <w:color w:val="000000" w:themeColor="text1"/>
          <w:szCs w:val="20"/>
        </w:rPr>
        <w:t>, al fine di render</w:t>
      </w:r>
      <w:r w:rsidR="00777CCA" w:rsidRPr="007F356B">
        <w:rPr>
          <w:rFonts w:cs="Tahoma"/>
          <w:bCs/>
          <w:color w:val="000000" w:themeColor="text1"/>
          <w:szCs w:val="20"/>
        </w:rPr>
        <w:t>la</w:t>
      </w:r>
      <w:r w:rsidRPr="007F356B">
        <w:rPr>
          <w:rFonts w:cs="Tahoma"/>
          <w:bCs/>
          <w:color w:val="000000" w:themeColor="text1"/>
          <w:szCs w:val="20"/>
        </w:rPr>
        <w:t xml:space="preserve"> più appetibile </w:t>
      </w:r>
      <w:r w:rsidR="00777CCA" w:rsidRPr="007F356B">
        <w:rPr>
          <w:rFonts w:cs="Tahoma"/>
          <w:bCs/>
          <w:color w:val="000000" w:themeColor="text1"/>
          <w:szCs w:val="20"/>
        </w:rPr>
        <w:t>ed inclusiva anche</w:t>
      </w:r>
      <w:r w:rsidRPr="007F356B">
        <w:rPr>
          <w:rFonts w:cs="Tahoma"/>
          <w:bCs/>
          <w:color w:val="000000" w:themeColor="text1"/>
          <w:szCs w:val="20"/>
        </w:rPr>
        <w:t xml:space="preserve"> per le piccole imprese</w:t>
      </w:r>
      <w:r w:rsidR="00777CCA" w:rsidRPr="007F356B">
        <w:rPr>
          <w:rFonts w:cs="Tahoma"/>
          <w:bCs/>
          <w:color w:val="000000" w:themeColor="text1"/>
          <w:szCs w:val="20"/>
        </w:rPr>
        <w:t xml:space="preserve">, con la </w:t>
      </w:r>
      <w:r w:rsidR="00777CCA" w:rsidRPr="007F356B">
        <w:rPr>
          <w:rFonts w:cs="Tahoma"/>
          <w:b/>
          <w:color w:val="000000" w:themeColor="text1"/>
          <w:szCs w:val="20"/>
        </w:rPr>
        <w:t>trasformazione del super e iper ammortamento in credito d’imposta</w:t>
      </w:r>
      <w:r w:rsidR="00C015DC" w:rsidRPr="007F356B">
        <w:rPr>
          <w:rFonts w:cs="Tahoma"/>
          <w:bCs/>
          <w:color w:val="000000" w:themeColor="text1"/>
          <w:szCs w:val="20"/>
        </w:rPr>
        <w:t xml:space="preserve">. Le ultime variazioni in materia risalgono alla </w:t>
      </w:r>
      <w:r w:rsidR="00C015DC" w:rsidRPr="007F356B">
        <w:rPr>
          <w:rFonts w:cs="Tahoma"/>
          <w:b/>
          <w:color w:val="000000" w:themeColor="text1"/>
          <w:szCs w:val="20"/>
        </w:rPr>
        <w:t>Legge di bilancio 2021</w:t>
      </w:r>
      <w:r w:rsidR="00C015DC" w:rsidRPr="007F356B">
        <w:rPr>
          <w:rFonts w:cs="Tahoma"/>
          <w:bCs/>
          <w:color w:val="000000" w:themeColor="text1"/>
          <w:szCs w:val="20"/>
        </w:rPr>
        <w:t xml:space="preserve"> - articolo 1, </w:t>
      </w:r>
      <w:r w:rsidR="00C015DC" w:rsidRPr="007F356B">
        <w:rPr>
          <w:rFonts w:cs="Tahoma"/>
          <w:b/>
          <w:color w:val="000000" w:themeColor="text1"/>
          <w:szCs w:val="20"/>
        </w:rPr>
        <w:t>commi da 1051 a 1063</w:t>
      </w:r>
      <w:r w:rsidR="00C015DC" w:rsidRPr="007F356B">
        <w:rPr>
          <w:rFonts w:cs="Tahoma"/>
          <w:bCs/>
          <w:color w:val="000000" w:themeColor="text1"/>
          <w:szCs w:val="20"/>
        </w:rPr>
        <w:t xml:space="preserve"> </w:t>
      </w:r>
      <w:r w:rsidR="00C015DC" w:rsidRPr="007F356B">
        <w:rPr>
          <w:rFonts w:cs="Tahoma"/>
          <w:b/>
          <w:color w:val="000000" w:themeColor="text1"/>
          <w:szCs w:val="20"/>
        </w:rPr>
        <w:t>Legge 30 dicembre 2020</w:t>
      </w:r>
      <w:r w:rsidR="00C015DC" w:rsidRPr="007F356B">
        <w:rPr>
          <w:rFonts w:cs="Tahoma"/>
          <w:bCs/>
          <w:color w:val="000000" w:themeColor="text1"/>
          <w:szCs w:val="20"/>
        </w:rPr>
        <w:t xml:space="preserve">, </w:t>
      </w:r>
      <w:r w:rsidR="00C015DC" w:rsidRPr="007F356B">
        <w:rPr>
          <w:rFonts w:cs="Tahoma"/>
          <w:b/>
          <w:color w:val="000000" w:themeColor="text1"/>
          <w:szCs w:val="20"/>
        </w:rPr>
        <w:t>n. 178</w:t>
      </w:r>
      <w:r w:rsidR="00D84B01" w:rsidRPr="007F356B">
        <w:rPr>
          <w:rFonts w:cs="Tahoma"/>
          <w:bCs/>
          <w:color w:val="000000" w:themeColor="text1"/>
          <w:szCs w:val="20"/>
        </w:rPr>
        <w:t xml:space="preserve"> </w:t>
      </w:r>
      <w:r w:rsidR="007227CA" w:rsidRPr="007F356B">
        <w:rPr>
          <w:rFonts w:cs="Tahoma"/>
          <w:bCs/>
          <w:color w:val="000000" w:themeColor="text1"/>
          <w:szCs w:val="20"/>
        </w:rPr>
        <w:t>così come modificata dalla</w:t>
      </w:r>
      <w:r w:rsidR="00D84B01" w:rsidRPr="007F356B">
        <w:rPr>
          <w:rFonts w:cs="Tahoma"/>
          <w:bCs/>
          <w:color w:val="000000" w:themeColor="text1"/>
          <w:szCs w:val="20"/>
        </w:rPr>
        <w:t xml:space="preserve"> Legge di bilancio 2022 – articolo 1, comm</w:t>
      </w:r>
      <w:r w:rsidR="007227CA" w:rsidRPr="007F356B">
        <w:rPr>
          <w:rFonts w:cs="Tahoma"/>
          <w:bCs/>
          <w:color w:val="000000" w:themeColor="text1"/>
          <w:szCs w:val="20"/>
        </w:rPr>
        <w:t xml:space="preserve">a 44, </w:t>
      </w:r>
      <w:r w:rsidR="00D84B01" w:rsidRPr="007F356B">
        <w:rPr>
          <w:rFonts w:cs="Tahoma"/>
          <w:bCs/>
          <w:color w:val="000000" w:themeColor="text1"/>
          <w:szCs w:val="20"/>
        </w:rPr>
        <w:t>Legge 30 dicembre 2021, n. 234.</w:t>
      </w:r>
    </w:p>
    <w:p w14:paraId="63E3B119" w14:textId="77777777" w:rsidR="006521B5" w:rsidRPr="006521B5" w:rsidRDefault="006521B5" w:rsidP="006521B5">
      <w:pPr>
        <w:shd w:val="clear" w:color="auto" w:fill="FFFFFF"/>
        <w:spacing w:line="360" w:lineRule="auto"/>
        <w:jc w:val="both"/>
        <w:rPr>
          <w:rFonts w:cs="Tahoma"/>
          <w:bCs/>
          <w:szCs w:val="20"/>
        </w:rPr>
      </w:pPr>
      <w:r w:rsidRPr="006521B5">
        <w:rPr>
          <w:rFonts w:cs="Tahoma"/>
          <w:bCs/>
          <w:szCs w:val="20"/>
        </w:rPr>
        <w:t xml:space="preserve">La menzionata disciplina, applicabile agli investimenti effettuati </w:t>
      </w:r>
      <w:r w:rsidRPr="006521B5">
        <w:rPr>
          <w:rFonts w:cs="Tahoma"/>
          <w:b/>
          <w:szCs w:val="20"/>
        </w:rPr>
        <w:t>a partire dal 16 novembre 2020</w:t>
      </w:r>
      <w:r w:rsidRPr="006521B5">
        <w:rPr>
          <w:rFonts w:cs="Tahoma"/>
          <w:bCs/>
          <w:szCs w:val="20"/>
        </w:rPr>
        <w:t xml:space="preserve">, si pone in linea di continuità con il precedente intervento operato dall’articolo 1, commi da 184 a 197, della legge 27 dicembre 2019, n. 160 (legge di bilancio 2020), nell’ambito della ridefinizione della disciplina degli incentivi fiscali previsti dal “Piano nazionale Impresa 4.0”. </w:t>
      </w:r>
    </w:p>
    <w:p w14:paraId="4475FE62" w14:textId="6A12786F" w:rsidR="00206CA3" w:rsidRPr="007F356B" w:rsidRDefault="0016667C" w:rsidP="00B752F6">
      <w:pPr>
        <w:shd w:val="clear" w:color="auto" w:fill="FFFFFF"/>
        <w:spacing w:line="360" w:lineRule="auto"/>
        <w:jc w:val="both"/>
        <w:rPr>
          <w:rFonts w:cs="Tahoma"/>
          <w:b/>
          <w:color w:val="000000" w:themeColor="text1"/>
          <w:szCs w:val="20"/>
        </w:rPr>
      </w:pPr>
      <w:r w:rsidRPr="007F356B">
        <w:rPr>
          <w:rFonts w:cs="Tahoma"/>
          <w:bCs/>
          <w:color w:val="000000" w:themeColor="text1"/>
          <w:szCs w:val="20"/>
        </w:rPr>
        <w:lastRenderedPageBreak/>
        <w:t>Nel</w:t>
      </w:r>
      <w:r w:rsidR="006B6FE0" w:rsidRPr="007F356B">
        <w:rPr>
          <w:rFonts w:cs="Tahoma"/>
          <w:bCs/>
          <w:color w:val="000000" w:themeColor="text1"/>
          <w:szCs w:val="20"/>
        </w:rPr>
        <w:t xml:space="preserve"> </w:t>
      </w:r>
      <w:r w:rsidR="006B6FE0" w:rsidRPr="007F356B">
        <w:rPr>
          <w:rFonts w:cs="Tahoma"/>
          <w:b/>
          <w:color w:val="000000" w:themeColor="text1"/>
          <w:szCs w:val="20"/>
        </w:rPr>
        <w:t>biennio 2021-2022</w:t>
      </w:r>
      <w:r w:rsidR="0099209E" w:rsidRPr="007F356B">
        <w:rPr>
          <w:rFonts w:cs="Tahoma"/>
          <w:bCs/>
          <w:color w:val="000000" w:themeColor="text1"/>
          <w:szCs w:val="20"/>
        </w:rPr>
        <w:t xml:space="preserve"> </w:t>
      </w:r>
      <w:r w:rsidR="003E7497" w:rsidRPr="007F356B">
        <w:rPr>
          <w:rFonts w:cs="Tahoma"/>
          <w:bCs/>
          <w:color w:val="000000" w:themeColor="text1"/>
          <w:szCs w:val="20"/>
        </w:rPr>
        <w:t xml:space="preserve">l’incentivo </w:t>
      </w:r>
      <w:r w:rsidRPr="007F356B">
        <w:rPr>
          <w:rFonts w:cs="Tahoma"/>
          <w:bCs/>
          <w:color w:val="000000" w:themeColor="text1"/>
          <w:szCs w:val="20"/>
        </w:rPr>
        <w:t xml:space="preserve">è stato </w:t>
      </w:r>
      <w:r w:rsidRPr="007F356B">
        <w:rPr>
          <w:rFonts w:cs="Tahoma"/>
          <w:b/>
          <w:color w:val="000000" w:themeColor="text1"/>
          <w:szCs w:val="20"/>
        </w:rPr>
        <w:t>rafforzato</w:t>
      </w:r>
      <w:r w:rsidRPr="007F356B">
        <w:rPr>
          <w:rFonts w:cs="Tahoma"/>
          <w:bCs/>
          <w:color w:val="000000" w:themeColor="text1"/>
          <w:szCs w:val="20"/>
        </w:rPr>
        <w:t xml:space="preserve"> e </w:t>
      </w:r>
      <w:r w:rsidR="003E7497" w:rsidRPr="007F356B">
        <w:rPr>
          <w:rFonts w:cs="Tahoma"/>
          <w:bCs/>
          <w:color w:val="000000" w:themeColor="text1"/>
          <w:szCs w:val="20"/>
        </w:rPr>
        <w:t>consiste</w:t>
      </w:r>
      <w:r w:rsidR="00691818" w:rsidRPr="007F356B">
        <w:rPr>
          <w:rFonts w:cs="Tahoma"/>
          <w:bCs/>
          <w:color w:val="000000" w:themeColor="text1"/>
          <w:szCs w:val="20"/>
        </w:rPr>
        <w:t xml:space="preserve">, in </w:t>
      </w:r>
      <w:r w:rsidRPr="007F356B">
        <w:rPr>
          <w:rFonts w:cs="Tahoma"/>
          <w:bCs/>
          <w:color w:val="000000" w:themeColor="text1"/>
          <w:szCs w:val="20"/>
        </w:rPr>
        <w:t xml:space="preserve">estrema </w:t>
      </w:r>
      <w:r w:rsidR="00691818" w:rsidRPr="007F356B">
        <w:rPr>
          <w:rFonts w:cs="Tahoma"/>
          <w:bCs/>
          <w:color w:val="000000" w:themeColor="text1"/>
          <w:szCs w:val="20"/>
        </w:rPr>
        <w:t>sintesi,</w:t>
      </w:r>
      <w:r w:rsidR="003E7497" w:rsidRPr="007F356B">
        <w:rPr>
          <w:rFonts w:cs="Tahoma"/>
          <w:bCs/>
          <w:color w:val="000000" w:themeColor="text1"/>
          <w:szCs w:val="20"/>
        </w:rPr>
        <w:t xml:space="preserve"> in un </w:t>
      </w:r>
      <w:r w:rsidR="003E7497" w:rsidRPr="007F356B">
        <w:rPr>
          <w:rFonts w:cs="Tahoma"/>
          <w:b/>
          <w:color w:val="000000" w:themeColor="text1"/>
          <w:szCs w:val="20"/>
        </w:rPr>
        <w:t>credito d’imposta</w:t>
      </w:r>
      <w:r w:rsidRPr="007F356B">
        <w:rPr>
          <w:rFonts w:cs="Tahoma"/>
          <w:bCs/>
          <w:color w:val="000000" w:themeColor="text1"/>
          <w:szCs w:val="20"/>
        </w:rPr>
        <w:t>:</w:t>
      </w:r>
    </w:p>
    <w:p w14:paraId="74B2357F" w14:textId="5A02DE72" w:rsidR="00206CA3" w:rsidRPr="007F356B" w:rsidRDefault="00206CA3" w:rsidP="00ED348D">
      <w:pPr>
        <w:pStyle w:val="Paragrafoelenco"/>
        <w:numPr>
          <w:ilvl w:val="0"/>
          <w:numId w:val="4"/>
        </w:numPr>
        <w:shd w:val="clear" w:color="auto" w:fill="FFFFFF"/>
        <w:spacing w:line="360" w:lineRule="auto"/>
        <w:jc w:val="both"/>
        <w:rPr>
          <w:bCs/>
          <w:color w:val="000000" w:themeColor="text1"/>
        </w:rPr>
      </w:pPr>
      <w:r w:rsidRPr="007F356B">
        <w:rPr>
          <w:rFonts w:cs="Tahoma"/>
          <w:b/>
          <w:color w:val="000000" w:themeColor="text1"/>
          <w:szCs w:val="20"/>
        </w:rPr>
        <w:t xml:space="preserve">dal 20 al </w:t>
      </w:r>
      <w:r w:rsidR="00D84B01" w:rsidRPr="007F356B">
        <w:rPr>
          <w:rFonts w:cs="Tahoma"/>
          <w:b/>
          <w:color w:val="000000" w:themeColor="text1"/>
          <w:szCs w:val="20"/>
        </w:rPr>
        <w:t>5</w:t>
      </w:r>
      <w:r w:rsidRPr="007F356B">
        <w:rPr>
          <w:rFonts w:cs="Tahoma"/>
          <w:b/>
          <w:color w:val="000000" w:themeColor="text1"/>
          <w:szCs w:val="20"/>
        </w:rPr>
        <w:t>0%</w:t>
      </w:r>
      <w:r w:rsidRPr="007F356B">
        <w:rPr>
          <w:rFonts w:cs="Tahoma"/>
          <w:bCs/>
          <w:color w:val="000000" w:themeColor="text1"/>
          <w:szCs w:val="20"/>
        </w:rPr>
        <w:t xml:space="preserve"> </w:t>
      </w:r>
      <w:r w:rsidR="003E7497" w:rsidRPr="007F356B">
        <w:rPr>
          <w:rFonts w:cs="Tahoma"/>
          <w:bCs/>
          <w:color w:val="000000" w:themeColor="text1"/>
          <w:szCs w:val="20"/>
        </w:rPr>
        <w:t xml:space="preserve">per gli </w:t>
      </w:r>
      <w:r w:rsidR="003E7497" w:rsidRPr="007F356B">
        <w:rPr>
          <w:rFonts w:cs="Tahoma"/>
          <w:b/>
          <w:color w:val="000000" w:themeColor="text1"/>
          <w:szCs w:val="20"/>
        </w:rPr>
        <w:t xml:space="preserve">investimenti in beni strumentali 4.0 </w:t>
      </w:r>
      <w:r w:rsidR="0016667C" w:rsidRPr="007F356B">
        <w:rPr>
          <w:rFonts w:cs="Tahoma"/>
          <w:b/>
          <w:color w:val="000000" w:themeColor="text1"/>
          <w:szCs w:val="20"/>
        </w:rPr>
        <w:t>im</w:t>
      </w:r>
      <w:r w:rsidR="003E7497" w:rsidRPr="007F356B">
        <w:rPr>
          <w:rFonts w:cs="Tahoma"/>
          <w:b/>
          <w:color w:val="000000" w:themeColor="text1"/>
          <w:szCs w:val="20"/>
        </w:rPr>
        <w:t>materiali</w:t>
      </w:r>
      <w:r w:rsidR="003E7497" w:rsidRPr="007F356B">
        <w:rPr>
          <w:rFonts w:cs="Tahoma"/>
          <w:bCs/>
          <w:color w:val="000000" w:themeColor="text1"/>
          <w:szCs w:val="20"/>
        </w:rPr>
        <w:t xml:space="preserve"> </w:t>
      </w:r>
      <w:r w:rsidR="0099209E" w:rsidRPr="007F356B">
        <w:rPr>
          <w:rFonts w:cs="Tahoma"/>
          <w:bCs/>
          <w:color w:val="000000" w:themeColor="text1"/>
          <w:szCs w:val="20"/>
        </w:rPr>
        <w:t>e</w:t>
      </w:r>
      <w:r w:rsidR="003E7497" w:rsidRPr="007F356B">
        <w:rPr>
          <w:rFonts w:cs="Tahoma"/>
          <w:bCs/>
          <w:color w:val="000000" w:themeColor="text1"/>
          <w:szCs w:val="20"/>
        </w:rPr>
        <w:t xml:space="preserve"> </w:t>
      </w:r>
      <w:r w:rsidR="003E7497" w:rsidRPr="007F356B">
        <w:rPr>
          <w:rFonts w:cs="Tahoma"/>
          <w:b/>
          <w:color w:val="000000" w:themeColor="text1"/>
          <w:szCs w:val="20"/>
        </w:rPr>
        <w:t>materiali</w:t>
      </w:r>
      <w:r w:rsidR="0016667C" w:rsidRPr="007F356B">
        <w:rPr>
          <w:rFonts w:cs="Tahoma"/>
          <w:bCs/>
          <w:color w:val="000000" w:themeColor="text1"/>
          <w:szCs w:val="20"/>
        </w:rPr>
        <w:t xml:space="preserve"> (anno 2021)</w:t>
      </w:r>
    </w:p>
    <w:p w14:paraId="16534FEB" w14:textId="4A934CA2" w:rsidR="0016667C" w:rsidRPr="007F356B" w:rsidRDefault="0016667C" w:rsidP="0016667C">
      <w:pPr>
        <w:pStyle w:val="Paragrafoelenco"/>
        <w:numPr>
          <w:ilvl w:val="0"/>
          <w:numId w:val="4"/>
        </w:numPr>
        <w:shd w:val="clear" w:color="auto" w:fill="FFFFFF"/>
        <w:spacing w:line="360" w:lineRule="auto"/>
        <w:jc w:val="both"/>
        <w:rPr>
          <w:bCs/>
          <w:color w:val="000000" w:themeColor="text1"/>
        </w:rPr>
      </w:pPr>
      <w:r w:rsidRPr="007F356B">
        <w:rPr>
          <w:rFonts w:cs="Tahoma"/>
          <w:b/>
          <w:color w:val="000000" w:themeColor="text1"/>
          <w:szCs w:val="20"/>
        </w:rPr>
        <w:t>dal 20 al 40%</w:t>
      </w:r>
      <w:r w:rsidRPr="007F356B">
        <w:rPr>
          <w:rFonts w:cs="Tahoma"/>
          <w:bCs/>
          <w:color w:val="000000" w:themeColor="text1"/>
          <w:szCs w:val="20"/>
        </w:rPr>
        <w:t xml:space="preserve"> per gli </w:t>
      </w:r>
      <w:r w:rsidRPr="007F356B">
        <w:rPr>
          <w:rFonts w:cs="Tahoma"/>
          <w:b/>
          <w:color w:val="000000" w:themeColor="text1"/>
          <w:szCs w:val="20"/>
        </w:rPr>
        <w:t>investimenti in beni strumentali 4.0 immateriali</w:t>
      </w:r>
      <w:r w:rsidRPr="007F356B">
        <w:rPr>
          <w:rFonts w:cs="Tahoma"/>
          <w:bCs/>
          <w:color w:val="000000" w:themeColor="text1"/>
          <w:szCs w:val="20"/>
        </w:rPr>
        <w:t xml:space="preserve"> e </w:t>
      </w:r>
      <w:r w:rsidRPr="007F356B">
        <w:rPr>
          <w:rFonts w:cs="Tahoma"/>
          <w:b/>
          <w:color w:val="000000" w:themeColor="text1"/>
          <w:szCs w:val="20"/>
        </w:rPr>
        <w:t>materiali</w:t>
      </w:r>
      <w:r w:rsidRPr="007F356B">
        <w:rPr>
          <w:rFonts w:cs="Tahoma"/>
          <w:bCs/>
          <w:color w:val="000000" w:themeColor="text1"/>
          <w:szCs w:val="20"/>
        </w:rPr>
        <w:t xml:space="preserve"> (anno 2022)</w:t>
      </w:r>
    </w:p>
    <w:p w14:paraId="1E0252C0" w14:textId="5EF475CD" w:rsidR="0016667C" w:rsidRPr="007F356B" w:rsidRDefault="0016667C" w:rsidP="0016667C">
      <w:pPr>
        <w:pStyle w:val="Paragrafoelenco"/>
        <w:numPr>
          <w:ilvl w:val="0"/>
          <w:numId w:val="4"/>
        </w:numPr>
        <w:shd w:val="clear" w:color="auto" w:fill="FFFFFF"/>
        <w:spacing w:line="360" w:lineRule="auto"/>
        <w:jc w:val="both"/>
        <w:rPr>
          <w:color w:val="000000" w:themeColor="text1"/>
        </w:rPr>
      </w:pPr>
      <w:r w:rsidRPr="007F356B">
        <w:rPr>
          <w:rFonts w:cs="Tahoma"/>
          <w:b/>
          <w:color w:val="000000" w:themeColor="text1"/>
          <w:szCs w:val="20"/>
        </w:rPr>
        <w:t>dal 10 al 15%</w:t>
      </w:r>
      <w:r w:rsidRPr="007F356B">
        <w:rPr>
          <w:rFonts w:cs="Tahoma"/>
          <w:bCs/>
          <w:color w:val="000000" w:themeColor="text1"/>
          <w:szCs w:val="20"/>
        </w:rPr>
        <w:t xml:space="preserve"> per gli </w:t>
      </w:r>
      <w:r w:rsidRPr="007F356B">
        <w:rPr>
          <w:rFonts w:cs="Tahoma"/>
          <w:b/>
          <w:color w:val="000000" w:themeColor="text1"/>
          <w:szCs w:val="20"/>
        </w:rPr>
        <w:t>investimenti in</w:t>
      </w:r>
      <w:r w:rsidRPr="007F356B">
        <w:rPr>
          <w:rFonts w:cs="Tahoma"/>
          <w:bCs/>
          <w:color w:val="000000" w:themeColor="text1"/>
          <w:szCs w:val="20"/>
        </w:rPr>
        <w:t xml:space="preserve"> </w:t>
      </w:r>
      <w:r w:rsidRPr="007F356B">
        <w:rPr>
          <w:rFonts w:cs="Tahoma"/>
          <w:b/>
          <w:color w:val="000000" w:themeColor="text1"/>
          <w:szCs w:val="20"/>
        </w:rPr>
        <w:t>beni strumentali NON 4.0 materiali</w:t>
      </w:r>
      <w:r w:rsidRPr="007F356B">
        <w:rPr>
          <w:rFonts w:cs="Tahoma"/>
          <w:bCs/>
          <w:color w:val="000000" w:themeColor="text1"/>
          <w:szCs w:val="20"/>
        </w:rPr>
        <w:t xml:space="preserve"> ed </w:t>
      </w:r>
      <w:r w:rsidRPr="007F356B">
        <w:rPr>
          <w:rFonts w:cs="Tahoma"/>
          <w:b/>
          <w:color w:val="000000" w:themeColor="text1"/>
          <w:szCs w:val="20"/>
        </w:rPr>
        <w:t xml:space="preserve">immateriali </w:t>
      </w:r>
      <w:r w:rsidRPr="007F356B">
        <w:rPr>
          <w:rFonts w:cs="Tahoma"/>
          <w:bCs/>
          <w:color w:val="000000" w:themeColor="text1"/>
          <w:szCs w:val="20"/>
        </w:rPr>
        <w:t>(anno 2021)</w:t>
      </w:r>
    </w:p>
    <w:p w14:paraId="65B72436" w14:textId="06E5D0FD" w:rsidR="00206CA3" w:rsidRPr="007F356B" w:rsidRDefault="0016667C" w:rsidP="00ED348D">
      <w:pPr>
        <w:pStyle w:val="Paragrafoelenco"/>
        <w:numPr>
          <w:ilvl w:val="0"/>
          <w:numId w:val="4"/>
        </w:numPr>
        <w:shd w:val="clear" w:color="auto" w:fill="FFFFFF"/>
        <w:spacing w:line="360" w:lineRule="auto"/>
        <w:jc w:val="both"/>
        <w:rPr>
          <w:color w:val="000000" w:themeColor="text1"/>
        </w:rPr>
      </w:pPr>
      <w:r w:rsidRPr="007F356B">
        <w:rPr>
          <w:rFonts w:cs="Tahoma"/>
          <w:b/>
          <w:color w:val="000000" w:themeColor="text1"/>
          <w:szCs w:val="20"/>
        </w:rPr>
        <w:t>al 6%</w:t>
      </w:r>
      <w:r w:rsidR="0099209E" w:rsidRPr="007F356B">
        <w:rPr>
          <w:rFonts w:cs="Tahoma"/>
          <w:bCs/>
          <w:color w:val="000000" w:themeColor="text1"/>
          <w:szCs w:val="20"/>
        </w:rPr>
        <w:t xml:space="preserve"> per gli </w:t>
      </w:r>
      <w:r w:rsidR="0099209E" w:rsidRPr="007F356B">
        <w:rPr>
          <w:rFonts w:cs="Tahoma"/>
          <w:b/>
          <w:color w:val="000000" w:themeColor="text1"/>
          <w:szCs w:val="20"/>
        </w:rPr>
        <w:t>investimenti in</w:t>
      </w:r>
      <w:r w:rsidR="0099209E" w:rsidRPr="007F356B">
        <w:rPr>
          <w:rFonts w:cs="Tahoma"/>
          <w:bCs/>
          <w:color w:val="000000" w:themeColor="text1"/>
          <w:szCs w:val="20"/>
        </w:rPr>
        <w:t xml:space="preserve"> </w:t>
      </w:r>
      <w:r w:rsidR="0099209E" w:rsidRPr="007F356B">
        <w:rPr>
          <w:rFonts w:cs="Tahoma"/>
          <w:b/>
          <w:color w:val="000000" w:themeColor="text1"/>
          <w:szCs w:val="20"/>
        </w:rPr>
        <w:t>beni strumentali NON 4.0 materiali</w:t>
      </w:r>
      <w:r w:rsidR="0099209E" w:rsidRPr="007F356B">
        <w:rPr>
          <w:rFonts w:cs="Tahoma"/>
          <w:bCs/>
          <w:color w:val="000000" w:themeColor="text1"/>
          <w:szCs w:val="20"/>
        </w:rPr>
        <w:t xml:space="preserve"> ed </w:t>
      </w:r>
      <w:r w:rsidR="0099209E" w:rsidRPr="007F356B">
        <w:rPr>
          <w:rFonts w:cs="Tahoma"/>
          <w:b/>
          <w:color w:val="000000" w:themeColor="text1"/>
          <w:szCs w:val="20"/>
        </w:rPr>
        <w:t>immateriali</w:t>
      </w:r>
      <w:r w:rsidR="00A24B79" w:rsidRPr="007F356B">
        <w:rPr>
          <w:rFonts w:cs="Tahoma"/>
          <w:bCs/>
          <w:color w:val="000000" w:themeColor="text1"/>
          <w:szCs w:val="20"/>
        </w:rPr>
        <w:t xml:space="preserve"> (anno 2022)</w:t>
      </w:r>
    </w:p>
    <w:p w14:paraId="3596A117" w14:textId="02EE2C00" w:rsidR="00691818" w:rsidRPr="007F356B" w:rsidRDefault="00A24B79" w:rsidP="00645C38">
      <w:pPr>
        <w:shd w:val="clear" w:color="auto" w:fill="FFFFFF"/>
        <w:spacing w:line="360" w:lineRule="auto"/>
        <w:jc w:val="both"/>
        <w:rPr>
          <w:color w:val="000000" w:themeColor="text1"/>
        </w:rPr>
      </w:pPr>
      <w:r w:rsidRPr="007F356B">
        <w:rPr>
          <w:color w:val="000000" w:themeColor="text1"/>
        </w:rPr>
        <w:t xml:space="preserve">Nel </w:t>
      </w:r>
      <w:r w:rsidRPr="007F356B">
        <w:rPr>
          <w:b/>
          <w:bCs/>
          <w:color w:val="000000" w:themeColor="text1"/>
        </w:rPr>
        <w:t>triennio 2023-2025</w:t>
      </w:r>
      <w:r w:rsidRPr="007F356B">
        <w:rPr>
          <w:color w:val="000000" w:themeColor="text1"/>
        </w:rPr>
        <w:t xml:space="preserve">, invece, si assisterà ad una </w:t>
      </w:r>
      <w:r w:rsidRPr="007F356B">
        <w:rPr>
          <w:b/>
          <w:bCs/>
          <w:color w:val="000000" w:themeColor="text1"/>
        </w:rPr>
        <w:t>graduale riduzione dei crediti</w:t>
      </w:r>
      <w:r w:rsidRPr="007F356B">
        <w:rPr>
          <w:color w:val="000000" w:themeColor="text1"/>
        </w:rPr>
        <w:t xml:space="preserve"> in argomento, come illustrato nei seguenti paragrafi.</w:t>
      </w:r>
    </w:p>
    <w:p w14:paraId="3E406C0F" w14:textId="3E5241C7" w:rsidR="00BA03A0" w:rsidRPr="00B752F6" w:rsidRDefault="001B4BF6" w:rsidP="00206CA3">
      <w:pPr>
        <w:pStyle w:val="Paragrafoelenco"/>
        <w:shd w:val="clear" w:color="auto" w:fill="FFFFFF"/>
        <w:spacing w:line="360" w:lineRule="auto"/>
        <w:jc w:val="both"/>
      </w:pPr>
      <w:r w:rsidRPr="001B4BF6">
        <w:t>Al</w:t>
      </w:r>
      <w:r>
        <w:t xml:space="preserve"> credito d’imposta per i beni strumentali </w:t>
      </w:r>
      <w:r w:rsidRPr="001B4BF6">
        <w:t>si affiancano</w:t>
      </w:r>
      <w:r w:rsidRPr="006521B5">
        <w:t xml:space="preserve"> </w:t>
      </w:r>
      <w:r w:rsidRPr="00206CA3">
        <w:rPr>
          <w:b/>
          <w:bCs/>
        </w:rPr>
        <w:t>altre misure di favore</w:t>
      </w:r>
      <w:r w:rsidRPr="001B4BF6">
        <w:t xml:space="preserve"> volte ad incentivare la ricerca industriale e l’innovazione tecnologica</w:t>
      </w:r>
      <w:r>
        <w:rPr>
          <w:noProof/>
        </w:rPr>
        <w:drawing>
          <wp:anchor distT="0" distB="0" distL="114300" distR="114300" simplePos="0" relativeHeight="251742720" behindDoc="0" locked="0" layoutInCell="1" allowOverlap="1" wp14:anchorId="603A5537" wp14:editId="4A83A6C3">
            <wp:simplePos x="716890" y="2699309"/>
            <wp:positionH relativeFrom="column">
              <wp:align>left</wp:align>
            </wp:positionH>
            <wp:positionV relativeFrom="paragraph">
              <wp:align>top</wp:align>
            </wp:positionV>
            <wp:extent cx="914400" cy="914400"/>
            <wp:effectExtent l="0" t="0" r="0" b="0"/>
            <wp:wrapSquare wrapText="bothSides"/>
            <wp:docPr id="4" name="Elemento grafico 4"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t xml:space="preserve"> come, ad esempio, il </w:t>
      </w:r>
      <w:r w:rsidRPr="00206CA3">
        <w:rPr>
          <w:b/>
          <w:bCs/>
        </w:rPr>
        <w:t>credito d’imposta ricerca, sviluppo, innovazione e design</w:t>
      </w:r>
      <w:r>
        <w:t xml:space="preserve"> ed il </w:t>
      </w:r>
      <w:r w:rsidRPr="00206CA3">
        <w:rPr>
          <w:b/>
          <w:bCs/>
        </w:rPr>
        <w:t>credito d'imposta formazione 4.0</w:t>
      </w:r>
      <w:r>
        <w:t>.</w:t>
      </w:r>
    </w:p>
    <w:p w14:paraId="49D8D8A4" w14:textId="77777777" w:rsidR="00C76ED3" w:rsidRDefault="00C76ED3" w:rsidP="00424E33">
      <w:pPr>
        <w:shd w:val="clear" w:color="auto" w:fill="FFFFFF"/>
        <w:spacing w:line="360" w:lineRule="auto"/>
        <w:jc w:val="both"/>
        <w:rPr>
          <w:rFonts w:cs="Tahoma"/>
          <w:bCs/>
          <w:szCs w:val="20"/>
        </w:rPr>
      </w:pPr>
    </w:p>
    <w:p w14:paraId="1ADC8DA5" w14:textId="4A4B67C5" w:rsidR="00424E33" w:rsidRDefault="00691818" w:rsidP="00424E33">
      <w:pPr>
        <w:shd w:val="clear" w:color="auto" w:fill="FFFFFF"/>
        <w:spacing w:line="360" w:lineRule="auto"/>
        <w:jc w:val="both"/>
        <w:rPr>
          <w:rFonts w:cs="Tahoma"/>
          <w:bCs/>
          <w:szCs w:val="20"/>
        </w:rPr>
      </w:pPr>
      <w:r>
        <w:rPr>
          <w:rFonts w:cs="Tahoma"/>
          <w:bCs/>
          <w:szCs w:val="20"/>
        </w:rPr>
        <w:t xml:space="preserve">Nei successivi capitoli </w:t>
      </w:r>
      <w:r w:rsidR="007611A0">
        <w:rPr>
          <w:rFonts w:cs="Tahoma"/>
          <w:bCs/>
          <w:szCs w:val="20"/>
        </w:rPr>
        <w:t>verrà definito</w:t>
      </w:r>
      <w:r>
        <w:rPr>
          <w:rFonts w:cs="Tahoma"/>
          <w:bCs/>
          <w:szCs w:val="20"/>
        </w:rPr>
        <w:t xml:space="preserve"> l’ambito soggettivo, oggettivo, le modalità di utilizzo e gli adempimenti collegati alla fruizione del credito d’imposta </w:t>
      </w:r>
      <w:r w:rsidR="001D46A9">
        <w:rPr>
          <w:rFonts w:cs="Tahoma"/>
          <w:bCs/>
          <w:szCs w:val="20"/>
        </w:rPr>
        <w:t xml:space="preserve">per i </w:t>
      </w:r>
      <w:r>
        <w:rPr>
          <w:rFonts w:cs="Tahoma"/>
          <w:bCs/>
          <w:szCs w:val="20"/>
        </w:rPr>
        <w:t>beni strumentali.</w:t>
      </w:r>
    </w:p>
    <w:p w14:paraId="7966AB07" w14:textId="77777777" w:rsidR="00C76ED3" w:rsidRDefault="00C76ED3">
      <w:pPr>
        <w:spacing w:after="0" w:line="240" w:lineRule="auto"/>
        <w:rPr>
          <w:rFonts w:cs="Tahoma"/>
          <w:bCs/>
          <w:szCs w:val="20"/>
        </w:rPr>
        <w:sectPr w:rsidR="00C76ED3" w:rsidSect="00A90ED0">
          <w:pgSz w:w="11906" w:h="16838"/>
          <w:pgMar w:top="833" w:right="1134" w:bottom="1134" w:left="1134" w:header="708" w:footer="708" w:gutter="0"/>
          <w:cols w:space="708"/>
          <w:titlePg/>
          <w:docGrid w:linePitch="360"/>
        </w:sectPr>
      </w:pPr>
    </w:p>
    <w:p w14:paraId="4789FA9A" w14:textId="26AF33D9" w:rsidR="007611A0" w:rsidRPr="00380A75" w:rsidRDefault="00C76ED3" w:rsidP="007611A0">
      <w:pPr>
        <w:shd w:val="clear" w:color="auto" w:fill="FFFFFF"/>
        <w:spacing w:before="120" w:after="0" w:line="240" w:lineRule="auto"/>
        <w:jc w:val="center"/>
        <w:rPr>
          <w:b/>
          <w:bCs/>
          <w:sz w:val="32"/>
          <w:szCs w:val="32"/>
        </w:rPr>
      </w:pPr>
      <w:r>
        <w:rPr>
          <w:b/>
          <w:bCs/>
          <w:sz w:val="32"/>
          <w:szCs w:val="32"/>
        </w:rPr>
        <w:lastRenderedPageBreak/>
        <w:t>2.</w:t>
      </w:r>
    </w:p>
    <w:bookmarkStart w:id="14" w:name="_Toc93327699"/>
    <w:p w14:paraId="135FD1B2" w14:textId="1F408F06" w:rsidR="007611A0" w:rsidRPr="00D40DBB" w:rsidRDefault="007611A0" w:rsidP="007611A0">
      <w:pPr>
        <w:pStyle w:val="Titolo"/>
      </w:pPr>
      <w:r>
        <w:rPr>
          <w:noProof/>
        </w:rPr>
        <mc:AlternateContent>
          <mc:Choice Requires="wps">
            <w:drawing>
              <wp:anchor distT="4294967291" distB="4294967291" distL="114300" distR="114300" simplePos="0" relativeHeight="251744768" behindDoc="0" locked="0" layoutInCell="1" allowOverlap="1" wp14:anchorId="0E2D913B" wp14:editId="05294BEB">
                <wp:simplePos x="0" y="0"/>
                <wp:positionH relativeFrom="margin">
                  <wp:align>center</wp:align>
                </wp:positionH>
                <wp:positionV relativeFrom="paragraph">
                  <wp:posOffset>80118</wp:posOffset>
                </wp:positionV>
                <wp:extent cx="2438400" cy="0"/>
                <wp:effectExtent l="0" t="0" r="0" b="0"/>
                <wp:wrapNone/>
                <wp:docPr id="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97C3559" id="_x0000_t32" coordsize="21600,21600" o:spt="32" o:oned="t" path="m,l21600,21600e" filled="f">
                <v:path arrowok="t" fillok="f" o:connecttype="none"/>
                <o:lock v:ext="edit" shapetype="t"/>
              </v:shapetype>
              <v:shape id="AutoShape 120" o:spid="_x0000_s1026" type="#_x0000_t32" style="position:absolute;margin-left:0;margin-top:6.3pt;width:192pt;height:0;z-index:251744768;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t>Ambito soggettivo</w:t>
      </w:r>
      <w:bookmarkEnd w:id="14"/>
    </w:p>
    <w:p w14:paraId="5DFC54C8" w14:textId="77777777" w:rsidR="007611A0" w:rsidRDefault="007611A0" w:rsidP="007611A0">
      <w:pPr>
        <w:pStyle w:val="Titolo2"/>
        <w:spacing w:line="360" w:lineRule="auto"/>
      </w:pPr>
    </w:p>
    <w:p w14:paraId="344D628F" w14:textId="77777777" w:rsidR="007611A0" w:rsidRDefault="007611A0" w:rsidP="007611A0">
      <w:pPr>
        <w:pStyle w:val="Titolo2"/>
        <w:spacing w:line="360" w:lineRule="auto"/>
      </w:pPr>
    </w:p>
    <w:p w14:paraId="17CAE2FD" w14:textId="77777777" w:rsidR="007611A0" w:rsidRDefault="007611A0" w:rsidP="007611A0">
      <w:pPr>
        <w:pStyle w:val="Titolo2"/>
        <w:spacing w:line="360" w:lineRule="auto"/>
      </w:pPr>
    </w:p>
    <w:p w14:paraId="5D72D1FC" w14:textId="77777777" w:rsidR="007611A0" w:rsidRDefault="007611A0" w:rsidP="007611A0">
      <w:pPr>
        <w:pStyle w:val="Titolo2"/>
        <w:spacing w:line="360" w:lineRule="auto"/>
      </w:pPr>
    </w:p>
    <w:p w14:paraId="18EE94BB" w14:textId="77777777" w:rsidR="007611A0" w:rsidRDefault="007611A0" w:rsidP="007611A0">
      <w:pPr>
        <w:pStyle w:val="Titolo2"/>
        <w:spacing w:line="360" w:lineRule="auto"/>
      </w:pPr>
    </w:p>
    <w:p w14:paraId="13CC77CB" w14:textId="77777777" w:rsidR="007611A0" w:rsidRDefault="007611A0" w:rsidP="007611A0">
      <w:pPr>
        <w:pStyle w:val="Titolo2"/>
        <w:spacing w:line="360" w:lineRule="auto"/>
      </w:pPr>
    </w:p>
    <w:p w14:paraId="261C6085" w14:textId="57273EFE" w:rsidR="007611A0" w:rsidRPr="002247B4" w:rsidRDefault="00C6520C" w:rsidP="007611A0">
      <w:pPr>
        <w:pStyle w:val="Titolo2"/>
      </w:pPr>
      <w:bookmarkStart w:id="15" w:name="_Toc93327700"/>
      <w:r>
        <w:t>2</w:t>
      </w:r>
      <w:r w:rsidR="007611A0" w:rsidRPr="002247B4">
        <w:t xml:space="preserve">.1 </w:t>
      </w:r>
      <w:r w:rsidR="000E64DF">
        <w:t xml:space="preserve">Crediti </w:t>
      </w:r>
      <w:r w:rsidR="003D6CAE">
        <w:t xml:space="preserve">4.0 </w:t>
      </w:r>
      <w:r w:rsidR="000E64DF">
        <w:t>per le</w:t>
      </w:r>
      <w:r w:rsidR="000008B0">
        <w:t xml:space="preserve"> sole</w:t>
      </w:r>
      <w:r w:rsidR="000E64DF">
        <w:t xml:space="preserve"> imprese</w:t>
      </w:r>
      <w:bookmarkEnd w:id="15"/>
    </w:p>
    <w:p w14:paraId="261C2B5E" w14:textId="7BAD3C2D" w:rsidR="003D6CAE" w:rsidRDefault="003D6CAE" w:rsidP="007611A0">
      <w:pPr>
        <w:shd w:val="clear" w:color="auto" w:fill="FFFFFF"/>
        <w:spacing w:line="360" w:lineRule="auto"/>
        <w:jc w:val="both"/>
        <w:rPr>
          <w:rFonts w:cs="Tahoma"/>
          <w:bCs/>
          <w:szCs w:val="20"/>
        </w:rPr>
      </w:pPr>
      <w:r>
        <w:rPr>
          <w:rFonts w:cs="Tahoma"/>
          <w:bCs/>
          <w:szCs w:val="20"/>
        </w:rPr>
        <w:t>Il credito d’imposta per gli investimenti in beni 4.0</w:t>
      </w:r>
      <w:r w:rsidRPr="003D6CAE">
        <w:rPr>
          <w:rFonts w:cs="Tahoma"/>
          <w:bCs/>
          <w:szCs w:val="20"/>
        </w:rPr>
        <w:t xml:space="preserve"> si applica a </w:t>
      </w:r>
      <w:r w:rsidRPr="003D6CAE">
        <w:rPr>
          <w:rFonts w:cs="Tahoma"/>
          <w:b/>
          <w:szCs w:val="20"/>
        </w:rPr>
        <w:t>tutti i soggetti titolari di reddito d’impresa</w:t>
      </w:r>
      <w:r w:rsidRPr="003D6CAE">
        <w:rPr>
          <w:rFonts w:cs="Tahoma"/>
          <w:bCs/>
          <w:szCs w:val="20"/>
        </w:rPr>
        <w:t xml:space="preserve">, </w:t>
      </w:r>
      <w:r w:rsidRPr="002A092C">
        <w:rPr>
          <w:rFonts w:cs="Tahoma"/>
          <w:b/>
          <w:szCs w:val="20"/>
        </w:rPr>
        <w:t>indipendentemente dalla natura giuridica</w:t>
      </w:r>
      <w:r w:rsidRPr="003D6CAE">
        <w:rPr>
          <w:rFonts w:cs="Tahoma"/>
          <w:bCs/>
          <w:szCs w:val="20"/>
        </w:rPr>
        <w:t>, dalla dimensione aziendale e dal settore economico in cui operano.</w:t>
      </w:r>
    </w:p>
    <w:p w14:paraId="3938ACD3" w14:textId="0154A450" w:rsidR="007F507A" w:rsidRPr="007F507A" w:rsidRDefault="002A092C" w:rsidP="007F507A">
      <w:pPr>
        <w:shd w:val="clear" w:color="auto" w:fill="FFFFFF"/>
        <w:spacing w:line="360" w:lineRule="auto"/>
        <w:jc w:val="both"/>
        <w:rPr>
          <w:rFonts w:cs="Tahoma"/>
          <w:bCs/>
          <w:szCs w:val="20"/>
        </w:rPr>
      </w:pPr>
      <w:r w:rsidRPr="002A092C">
        <w:rPr>
          <w:rFonts w:cs="Tahoma"/>
          <w:bCs/>
          <w:szCs w:val="20"/>
        </w:rPr>
        <w:t xml:space="preserve">Sono ammesse all’agevolazione sia le imprese residenti nel territorio dello Stato che le </w:t>
      </w:r>
      <w:r w:rsidRPr="00E14455">
        <w:rPr>
          <w:rFonts w:cs="Tahoma"/>
          <w:b/>
          <w:szCs w:val="20"/>
        </w:rPr>
        <w:t>stabili organizzazioni nel territorio dello Stato di soggetti non residenti</w:t>
      </w:r>
      <w:r w:rsidRPr="002A092C">
        <w:rPr>
          <w:rFonts w:cs="Tahoma"/>
          <w:bCs/>
          <w:szCs w:val="20"/>
        </w:rPr>
        <w:t>.</w:t>
      </w:r>
    </w:p>
    <w:p w14:paraId="4E4AFB3C" w14:textId="77777777" w:rsidR="007F507A" w:rsidRDefault="007F507A" w:rsidP="007F507A">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92184A">
        <w:rPr>
          <w:i/>
          <w:iCs/>
        </w:rPr>
        <w:t>105</w:t>
      </w:r>
      <w:r>
        <w:rPr>
          <w:i/>
          <w:iCs/>
        </w:rPr>
        <w:t xml:space="preserve">1 </w:t>
      </w:r>
      <w:r w:rsidRPr="00F65413">
        <w:rPr>
          <w:i/>
          <w:iCs/>
        </w:rPr>
        <w:t>A tutte le imprese residenti nel territorio dello Stato, comprese le stabili organizzazioni di soggetti non residenti,</w:t>
      </w:r>
      <w:r>
        <w:rPr>
          <w:i/>
          <w:iCs/>
        </w:rPr>
        <w:t xml:space="preserve"> </w:t>
      </w:r>
      <w:r w:rsidRPr="00F65413">
        <w:rPr>
          <w:i/>
          <w:iCs/>
        </w:rPr>
        <w:t>indipendentemente dalla forma giuridica, dal settore economico di appartenenza, dalla dimensione e dal regime</w:t>
      </w:r>
      <w:r>
        <w:rPr>
          <w:i/>
          <w:iCs/>
        </w:rPr>
        <w:t xml:space="preserve"> </w:t>
      </w:r>
      <w:r w:rsidRPr="00F65413">
        <w:rPr>
          <w:i/>
          <w:iCs/>
        </w:rPr>
        <w:t xml:space="preserve">fiscale di determinazione del reddito </w:t>
      </w:r>
      <w:r w:rsidRPr="001D3F87">
        <w:rPr>
          <w:i/>
          <w:iCs/>
          <w:shd w:val="clear" w:color="auto" w:fill="DBE5F1" w:themeFill="accent1" w:themeFillTint="33"/>
        </w:rPr>
        <w:t>dell'impresa, che effettuano investimenti in beni strumentali nuovi destinati a strutture produttive ubicate nel territorio dello Stato, a decorrere dal 16 novembre 2020 e fino al 31 dicembre 2022, ovvero entro il 30 giugno 2023, a condizione che entro la data del 31 dicembre 2022 il relativo ordine risulti accettato dal venditore e sia avvenuto il pagamento di acconti in misura almeno pari al 20 per cento del costo di acquisizione, è riconosciuto un credito d'imposta</w:t>
      </w:r>
      <w:r w:rsidRPr="00F65413">
        <w:rPr>
          <w:i/>
          <w:iCs/>
        </w:rPr>
        <w:t xml:space="preserve"> alle condizioni e nelle misure stabilite dai commi da 1052 a 1058, in relazione alle</w:t>
      </w:r>
      <w:r>
        <w:rPr>
          <w:i/>
          <w:iCs/>
        </w:rPr>
        <w:t xml:space="preserve"> </w:t>
      </w:r>
      <w:r w:rsidRPr="00F65413">
        <w:rPr>
          <w:i/>
          <w:iCs/>
        </w:rPr>
        <w:t>diverse tipologie di beni agevolabili.</w:t>
      </w:r>
    </w:p>
    <w:p w14:paraId="2D950BCF" w14:textId="77777777" w:rsidR="007F507A" w:rsidRPr="0092184A" w:rsidRDefault="007F507A" w:rsidP="007F507A">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92184A">
        <w:t>Articolo 1, comma 105</w:t>
      </w:r>
      <w:r>
        <w:t>1</w:t>
      </w:r>
      <w:r w:rsidRPr="0092184A">
        <w:t>, Legge 178/2020</w:t>
      </w:r>
    </w:p>
    <w:p w14:paraId="7D744293" w14:textId="77777777" w:rsidR="002A092C" w:rsidRDefault="002A092C" w:rsidP="007611A0">
      <w:pPr>
        <w:shd w:val="clear" w:color="auto" w:fill="FFFFFF"/>
        <w:spacing w:line="360" w:lineRule="auto"/>
        <w:jc w:val="both"/>
        <w:rPr>
          <w:rFonts w:cs="Tahoma"/>
          <w:bCs/>
          <w:szCs w:val="20"/>
        </w:rPr>
      </w:pPr>
    </w:p>
    <w:p w14:paraId="4D553771" w14:textId="37A55928" w:rsidR="007611A0" w:rsidRPr="00896999" w:rsidRDefault="00AC46A6" w:rsidP="007611A0">
      <w:pPr>
        <w:shd w:val="clear" w:color="auto" w:fill="FFFFFF"/>
        <w:spacing w:line="360" w:lineRule="auto"/>
        <w:jc w:val="both"/>
        <w:rPr>
          <w:rFonts w:cs="Tahoma"/>
          <w:bCs/>
          <w:szCs w:val="20"/>
        </w:rPr>
      </w:pPr>
      <w:r w:rsidRPr="00AC46A6">
        <w:rPr>
          <w:rFonts w:cs="Tahoma"/>
          <w:bCs/>
          <w:szCs w:val="20"/>
        </w:rPr>
        <w:t xml:space="preserve">Pertanto, </w:t>
      </w:r>
      <w:r>
        <w:rPr>
          <w:rFonts w:cs="Tahoma"/>
          <w:b/>
          <w:szCs w:val="20"/>
        </w:rPr>
        <w:t>t</w:t>
      </w:r>
      <w:r w:rsidR="00641191" w:rsidRPr="00641191">
        <w:rPr>
          <w:rFonts w:cs="Tahoma"/>
          <w:b/>
          <w:szCs w:val="20"/>
        </w:rPr>
        <w:t>utte le imprese residenti</w:t>
      </w:r>
      <w:r w:rsidR="00641191" w:rsidRPr="00641191">
        <w:rPr>
          <w:rFonts w:cs="Tahoma"/>
          <w:bCs/>
          <w:szCs w:val="20"/>
        </w:rPr>
        <w:t xml:space="preserve"> nel territorio dello Stato, che effettuano investimenti in beni strumentali nuovi destinati a strutture produttive ubicate nel territorio dello Stato, </w:t>
      </w:r>
      <w:r w:rsidR="00641191" w:rsidRPr="00641191">
        <w:rPr>
          <w:rFonts w:cs="Tahoma"/>
          <w:b/>
          <w:szCs w:val="20"/>
        </w:rPr>
        <w:t>a decorrere dal 16 novembre 2020 e fino al 31 dicembre 2022</w:t>
      </w:r>
      <w:r w:rsidR="00641191" w:rsidRPr="00641191">
        <w:rPr>
          <w:rFonts w:cs="Tahoma"/>
          <w:bCs/>
          <w:szCs w:val="20"/>
        </w:rPr>
        <w:t xml:space="preserve">, ovvero entro il 30 giugno 2023, a condizione che entro la data del 31 dicembre 2022 il relativo ordine risulti accettato dal venditore e sia avvenuto il pagamento di acconti in misura almeno </w:t>
      </w:r>
      <w:r w:rsidR="00641191" w:rsidRPr="00641191">
        <w:rPr>
          <w:rFonts w:cs="Tahoma"/>
          <w:bCs/>
          <w:szCs w:val="20"/>
        </w:rPr>
        <w:lastRenderedPageBreak/>
        <w:t xml:space="preserve">pari al 20 per cento del costo di acquisizione, </w:t>
      </w:r>
      <w:r w:rsidR="007F507A">
        <w:rPr>
          <w:rFonts w:cs="Tahoma"/>
          <w:b/>
          <w:szCs w:val="20"/>
        </w:rPr>
        <w:t>possono fruire di</w:t>
      </w:r>
      <w:r w:rsidR="00641191" w:rsidRPr="00641191">
        <w:rPr>
          <w:rFonts w:cs="Tahoma"/>
          <w:b/>
          <w:szCs w:val="20"/>
        </w:rPr>
        <w:t xml:space="preserve"> un credito d'imposta</w:t>
      </w:r>
      <w:r w:rsidR="00641191" w:rsidRPr="00641191">
        <w:rPr>
          <w:rFonts w:cs="Tahoma"/>
          <w:bCs/>
          <w:szCs w:val="20"/>
        </w:rPr>
        <w:t xml:space="preserve"> alle condizioni e nelle misure stabilite </w:t>
      </w:r>
      <w:r w:rsidR="00641191">
        <w:rPr>
          <w:rFonts w:cs="Tahoma"/>
          <w:bCs/>
          <w:szCs w:val="20"/>
        </w:rPr>
        <w:t>nei paragrafi seguenti</w:t>
      </w:r>
      <w:r w:rsidR="00641191" w:rsidRPr="00641191">
        <w:rPr>
          <w:rFonts w:cs="Tahoma"/>
          <w:bCs/>
          <w:szCs w:val="20"/>
        </w:rPr>
        <w:t xml:space="preserve">, </w:t>
      </w:r>
      <w:r w:rsidR="00641191" w:rsidRPr="00C6520C">
        <w:rPr>
          <w:rFonts w:cs="Tahoma"/>
          <w:b/>
          <w:szCs w:val="20"/>
        </w:rPr>
        <w:t>in relazione alle diverse tipologie di beni agevolabili</w:t>
      </w:r>
      <w:r w:rsidR="00641191" w:rsidRPr="00641191">
        <w:rPr>
          <w:rFonts w:cs="Tahoma"/>
          <w:bCs/>
          <w:szCs w:val="20"/>
        </w:rPr>
        <w:t>.</w:t>
      </w:r>
    </w:p>
    <w:p w14:paraId="3F0345C7" w14:textId="77777777" w:rsidR="00393AF4" w:rsidRDefault="00AC46A6" w:rsidP="00AC46A6">
      <w:pPr>
        <w:shd w:val="clear" w:color="auto" w:fill="FFFFFF"/>
        <w:spacing w:line="360" w:lineRule="auto"/>
        <w:jc w:val="both"/>
        <w:rPr>
          <w:rFonts w:cs="Tahoma"/>
          <w:bCs/>
          <w:szCs w:val="20"/>
        </w:rPr>
      </w:pPr>
      <w:r w:rsidRPr="00AC46A6">
        <w:rPr>
          <w:rFonts w:cs="Tahoma"/>
          <w:bCs/>
          <w:szCs w:val="20"/>
        </w:rPr>
        <w:t xml:space="preserve">Il credito d'imposta </w:t>
      </w:r>
      <w:r w:rsidRPr="00393AF4">
        <w:rPr>
          <w:rFonts w:cs="Tahoma"/>
          <w:b/>
          <w:szCs w:val="20"/>
        </w:rPr>
        <w:t>non spetta</w:t>
      </w:r>
      <w:r w:rsidRPr="00AC46A6">
        <w:rPr>
          <w:rFonts w:cs="Tahoma"/>
          <w:bCs/>
          <w:szCs w:val="20"/>
        </w:rPr>
        <w:t xml:space="preserve"> </w:t>
      </w:r>
      <w:r>
        <w:rPr>
          <w:rFonts w:cs="Tahoma"/>
          <w:bCs/>
          <w:szCs w:val="20"/>
        </w:rPr>
        <w:t xml:space="preserve">invece </w:t>
      </w:r>
      <w:r w:rsidRPr="00AC46A6">
        <w:rPr>
          <w:rFonts w:cs="Tahoma"/>
          <w:bCs/>
          <w:szCs w:val="20"/>
        </w:rPr>
        <w:t xml:space="preserve">alle imprese </w:t>
      </w:r>
      <w:r w:rsidRPr="00393AF4">
        <w:rPr>
          <w:rFonts w:cs="Tahoma"/>
          <w:b/>
          <w:szCs w:val="20"/>
        </w:rPr>
        <w:t>in stato di liquidazione volontaria</w:t>
      </w:r>
      <w:r w:rsidRPr="00AC46A6">
        <w:rPr>
          <w:rFonts w:cs="Tahoma"/>
          <w:bCs/>
          <w:szCs w:val="20"/>
        </w:rPr>
        <w:t xml:space="preserve">, </w:t>
      </w:r>
      <w:r w:rsidRPr="00393AF4">
        <w:rPr>
          <w:rFonts w:cs="Tahoma"/>
          <w:b/>
          <w:szCs w:val="20"/>
        </w:rPr>
        <w:t>fallimento</w:t>
      </w:r>
      <w:r w:rsidRPr="00AC46A6">
        <w:rPr>
          <w:rFonts w:cs="Tahoma"/>
          <w:bCs/>
          <w:szCs w:val="20"/>
        </w:rPr>
        <w:t>,</w:t>
      </w:r>
      <w:r>
        <w:rPr>
          <w:rFonts w:cs="Tahoma"/>
          <w:bCs/>
          <w:szCs w:val="20"/>
        </w:rPr>
        <w:t xml:space="preserve"> </w:t>
      </w:r>
      <w:r w:rsidRPr="00393AF4">
        <w:rPr>
          <w:rFonts w:cs="Tahoma"/>
          <w:b/>
          <w:szCs w:val="20"/>
        </w:rPr>
        <w:t>liquidazione</w:t>
      </w:r>
      <w:r w:rsidRPr="00AC46A6">
        <w:rPr>
          <w:rFonts w:cs="Tahoma"/>
          <w:bCs/>
          <w:szCs w:val="20"/>
        </w:rPr>
        <w:t xml:space="preserve"> </w:t>
      </w:r>
      <w:r w:rsidRPr="00393AF4">
        <w:rPr>
          <w:rFonts w:cs="Tahoma"/>
          <w:b/>
          <w:szCs w:val="20"/>
        </w:rPr>
        <w:t>coatta</w:t>
      </w:r>
      <w:r w:rsidRPr="00AC46A6">
        <w:rPr>
          <w:rFonts w:cs="Tahoma"/>
          <w:bCs/>
          <w:szCs w:val="20"/>
        </w:rPr>
        <w:t xml:space="preserve"> </w:t>
      </w:r>
      <w:r w:rsidRPr="00393AF4">
        <w:rPr>
          <w:rFonts w:cs="Tahoma"/>
          <w:b/>
          <w:szCs w:val="20"/>
        </w:rPr>
        <w:t>amministrativa</w:t>
      </w:r>
      <w:r w:rsidRPr="00AC46A6">
        <w:rPr>
          <w:rFonts w:cs="Tahoma"/>
          <w:bCs/>
          <w:szCs w:val="20"/>
        </w:rPr>
        <w:t xml:space="preserve">, concordato preventivo senza continuità aziendale </w:t>
      </w:r>
      <w:r w:rsidRPr="00393AF4">
        <w:rPr>
          <w:rFonts w:cs="Tahoma"/>
          <w:b/>
          <w:szCs w:val="20"/>
        </w:rPr>
        <w:t>o sottoposte ad altra procedura concorsuale</w:t>
      </w:r>
      <w:r w:rsidRPr="00AC46A6">
        <w:rPr>
          <w:rFonts w:cs="Tahoma"/>
          <w:bCs/>
          <w:szCs w:val="20"/>
        </w:rPr>
        <w:t xml:space="preserve"> prevista dal regio decreto 16 marzo 1942, n. 267, dal codice della crisi d'impresa e dell'insolvenza, di</w:t>
      </w:r>
      <w:r>
        <w:rPr>
          <w:rFonts w:cs="Tahoma"/>
          <w:bCs/>
          <w:szCs w:val="20"/>
        </w:rPr>
        <w:t xml:space="preserve"> </w:t>
      </w:r>
      <w:r w:rsidRPr="00AC46A6">
        <w:rPr>
          <w:rFonts w:cs="Tahoma"/>
          <w:bCs/>
          <w:szCs w:val="20"/>
        </w:rPr>
        <w:t>cui al decreto legislativo 12 gennaio 2019, n. 14, o da altre leggi speciali o che abbiano in corso un procedimento</w:t>
      </w:r>
      <w:r>
        <w:rPr>
          <w:rFonts w:cs="Tahoma"/>
          <w:bCs/>
          <w:szCs w:val="20"/>
        </w:rPr>
        <w:t xml:space="preserve"> </w:t>
      </w:r>
      <w:r w:rsidRPr="00AC46A6">
        <w:rPr>
          <w:rFonts w:cs="Tahoma"/>
          <w:bCs/>
          <w:szCs w:val="20"/>
        </w:rPr>
        <w:t>per la dichiarazione di una di tali situazioni.</w:t>
      </w:r>
    </w:p>
    <w:p w14:paraId="62F64D35" w14:textId="77777777" w:rsidR="00393AF4" w:rsidRDefault="00AC46A6" w:rsidP="00AC46A6">
      <w:pPr>
        <w:shd w:val="clear" w:color="auto" w:fill="FFFFFF"/>
        <w:spacing w:line="360" w:lineRule="auto"/>
        <w:jc w:val="both"/>
        <w:rPr>
          <w:rFonts w:cs="Tahoma"/>
          <w:bCs/>
          <w:szCs w:val="20"/>
        </w:rPr>
      </w:pPr>
      <w:r w:rsidRPr="00AC46A6">
        <w:rPr>
          <w:rFonts w:cs="Tahoma"/>
          <w:bCs/>
          <w:szCs w:val="20"/>
        </w:rPr>
        <w:t xml:space="preserve">Sono, inoltre, escluse le imprese destinatarie di </w:t>
      </w:r>
      <w:r w:rsidRPr="00393AF4">
        <w:rPr>
          <w:rFonts w:cs="Tahoma"/>
          <w:b/>
          <w:szCs w:val="20"/>
        </w:rPr>
        <w:t>sanzioni interdittive</w:t>
      </w:r>
      <w:r w:rsidRPr="00AC46A6">
        <w:rPr>
          <w:rFonts w:cs="Tahoma"/>
          <w:bCs/>
          <w:szCs w:val="20"/>
        </w:rPr>
        <w:t xml:space="preserve"> ai</w:t>
      </w:r>
      <w:r w:rsidR="00393AF4">
        <w:rPr>
          <w:rFonts w:cs="Tahoma"/>
          <w:bCs/>
          <w:szCs w:val="20"/>
        </w:rPr>
        <w:t xml:space="preserve"> </w:t>
      </w:r>
      <w:r w:rsidRPr="00AC46A6">
        <w:rPr>
          <w:rFonts w:cs="Tahoma"/>
          <w:bCs/>
          <w:szCs w:val="20"/>
        </w:rPr>
        <w:t>sensi dell'articolo 9, comma 2, del decreto legislativo 8 giugno 2001, n. 231.</w:t>
      </w:r>
    </w:p>
    <w:p w14:paraId="68B3F070" w14:textId="06F214D9" w:rsidR="00691818" w:rsidRDefault="00AC46A6" w:rsidP="00AC46A6">
      <w:pPr>
        <w:shd w:val="clear" w:color="auto" w:fill="FFFFFF"/>
        <w:spacing w:line="360" w:lineRule="auto"/>
        <w:jc w:val="both"/>
        <w:rPr>
          <w:rFonts w:cs="Tahoma"/>
          <w:bCs/>
          <w:szCs w:val="20"/>
        </w:rPr>
      </w:pPr>
      <w:r w:rsidRPr="00AC46A6">
        <w:rPr>
          <w:rFonts w:cs="Tahoma"/>
          <w:bCs/>
          <w:szCs w:val="20"/>
        </w:rPr>
        <w:t>Per le imprese ammesse al credito</w:t>
      </w:r>
      <w:r w:rsidR="00393AF4">
        <w:rPr>
          <w:rFonts w:cs="Tahoma"/>
          <w:bCs/>
          <w:szCs w:val="20"/>
        </w:rPr>
        <w:t xml:space="preserve"> </w:t>
      </w:r>
      <w:r w:rsidRPr="00AC46A6">
        <w:rPr>
          <w:rFonts w:cs="Tahoma"/>
          <w:bCs/>
          <w:szCs w:val="20"/>
        </w:rPr>
        <w:t xml:space="preserve">d'imposta, la fruizione del beneficio spettante </w:t>
      </w:r>
      <w:r w:rsidR="00393AF4" w:rsidRPr="00AC46A6">
        <w:rPr>
          <w:rFonts w:cs="Tahoma"/>
          <w:bCs/>
          <w:szCs w:val="20"/>
        </w:rPr>
        <w:t>è</w:t>
      </w:r>
      <w:r w:rsidRPr="00AC46A6">
        <w:rPr>
          <w:rFonts w:cs="Tahoma"/>
          <w:bCs/>
          <w:szCs w:val="20"/>
        </w:rPr>
        <w:t xml:space="preserve"> comunque </w:t>
      </w:r>
      <w:r w:rsidRPr="00393AF4">
        <w:rPr>
          <w:rFonts w:cs="Tahoma"/>
          <w:b/>
          <w:szCs w:val="20"/>
        </w:rPr>
        <w:t>subordinata alla condizione del rispetto delle normative</w:t>
      </w:r>
      <w:r w:rsidR="00393AF4" w:rsidRPr="00393AF4">
        <w:rPr>
          <w:rFonts w:cs="Tahoma"/>
          <w:b/>
          <w:szCs w:val="20"/>
        </w:rPr>
        <w:t xml:space="preserve"> </w:t>
      </w:r>
      <w:r w:rsidRPr="00393AF4">
        <w:rPr>
          <w:rFonts w:cs="Tahoma"/>
          <w:b/>
          <w:szCs w:val="20"/>
        </w:rPr>
        <w:t>sulla sicurezza nei luoghi di lavoro</w:t>
      </w:r>
      <w:r w:rsidRPr="00AC46A6">
        <w:rPr>
          <w:rFonts w:cs="Tahoma"/>
          <w:bCs/>
          <w:szCs w:val="20"/>
        </w:rPr>
        <w:t xml:space="preserve"> applicabili in ciascun settore e al corretto </w:t>
      </w:r>
      <w:r w:rsidRPr="00393AF4">
        <w:rPr>
          <w:rFonts w:cs="Tahoma"/>
          <w:b/>
          <w:szCs w:val="20"/>
        </w:rPr>
        <w:t>adempimento degli obblighi di</w:t>
      </w:r>
      <w:r w:rsidR="00393AF4" w:rsidRPr="00393AF4">
        <w:rPr>
          <w:rFonts w:cs="Tahoma"/>
          <w:b/>
          <w:szCs w:val="20"/>
        </w:rPr>
        <w:t xml:space="preserve"> </w:t>
      </w:r>
      <w:r w:rsidRPr="00393AF4">
        <w:rPr>
          <w:rFonts w:cs="Tahoma"/>
          <w:b/>
          <w:szCs w:val="20"/>
        </w:rPr>
        <w:t>versamento dei contributi previdenziali</w:t>
      </w:r>
      <w:r w:rsidRPr="00AC46A6">
        <w:rPr>
          <w:rFonts w:cs="Tahoma"/>
          <w:bCs/>
          <w:szCs w:val="20"/>
        </w:rPr>
        <w:t xml:space="preserve"> e </w:t>
      </w:r>
      <w:r w:rsidRPr="00393AF4">
        <w:rPr>
          <w:rFonts w:cs="Tahoma"/>
          <w:b/>
          <w:szCs w:val="20"/>
        </w:rPr>
        <w:t>assistenziali a favore dei lavoratori</w:t>
      </w:r>
      <w:r w:rsidRPr="00AC46A6">
        <w:rPr>
          <w:rFonts w:cs="Tahoma"/>
          <w:bCs/>
          <w:szCs w:val="20"/>
        </w:rPr>
        <w:t>.</w:t>
      </w:r>
    </w:p>
    <w:p w14:paraId="1016786A" w14:textId="77777777" w:rsidR="00C76ED3" w:rsidRDefault="00C76ED3" w:rsidP="00AC46A6">
      <w:pPr>
        <w:shd w:val="clear" w:color="auto" w:fill="FFFFFF"/>
        <w:spacing w:line="360" w:lineRule="auto"/>
        <w:jc w:val="both"/>
        <w:rPr>
          <w:rFonts w:cs="Tahoma"/>
          <w:bCs/>
          <w:szCs w:val="20"/>
        </w:rPr>
      </w:pPr>
    </w:p>
    <w:p w14:paraId="76D4787A" w14:textId="32AEB9B1" w:rsidR="00E14455" w:rsidRPr="00440A01" w:rsidRDefault="00440A01" w:rsidP="00440A01">
      <w:pPr>
        <w:spacing w:line="360" w:lineRule="auto"/>
        <w:ind w:left="2124"/>
        <w:jc w:val="both"/>
      </w:pPr>
      <w:r>
        <w:rPr>
          <w:noProof/>
        </w:rPr>
        <w:drawing>
          <wp:anchor distT="0" distB="0" distL="114300" distR="114300" simplePos="0" relativeHeight="251750912" behindDoc="0" locked="0" layoutInCell="1" allowOverlap="1" wp14:anchorId="7D66D31A" wp14:editId="6D00B280">
            <wp:simplePos x="716890" y="2699309"/>
            <wp:positionH relativeFrom="column">
              <wp:align>left</wp:align>
            </wp:positionH>
            <wp:positionV relativeFrom="paragraph">
              <wp:align>top</wp:align>
            </wp:positionV>
            <wp:extent cx="914400" cy="914400"/>
            <wp:effectExtent l="0" t="0" r="0" b="0"/>
            <wp:wrapSquare wrapText="bothSides"/>
            <wp:docPr id="8" name="Elemento grafico 8"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Pr>
          <w:noProof/>
        </w:rPr>
        <w:t>L</w:t>
      </w:r>
      <w:r w:rsidRPr="00440A01">
        <w:rPr>
          <w:noProof/>
        </w:rPr>
        <w:t xml:space="preserve">a disponibilità del </w:t>
      </w:r>
      <w:r w:rsidRPr="00440A01">
        <w:rPr>
          <w:b/>
          <w:bCs/>
          <w:noProof/>
        </w:rPr>
        <w:t>Documento Unico di Regolarità Contributiva</w:t>
      </w:r>
      <w:r w:rsidRPr="00440A01">
        <w:rPr>
          <w:noProof/>
        </w:rPr>
        <w:t xml:space="preserve"> (</w:t>
      </w:r>
      <w:r w:rsidRPr="00440A01">
        <w:rPr>
          <w:b/>
          <w:bCs/>
          <w:noProof/>
        </w:rPr>
        <w:t>DURC</w:t>
      </w:r>
      <w:r w:rsidRPr="00440A01">
        <w:rPr>
          <w:noProof/>
        </w:rPr>
        <w:t>) in corso di validità al momento della fruizione del credito</w:t>
      </w:r>
      <w:r>
        <w:rPr>
          <w:noProof/>
        </w:rPr>
        <w:t xml:space="preserve"> </w:t>
      </w:r>
      <w:r w:rsidRPr="00440A01">
        <w:rPr>
          <w:noProof/>
        </w:rPr>
        <w:t>d’imposta costituisca prova del corretto adempimento degli obblighi contributivi e previdenziali</w:t>
      </w:r>
      <w:r>
        <w:rPr>
          <w:noProof/>
        </w:rPr>
        <w:t>. I</w:t>
      </w:r>
      <w:r w:rsidRPr="00440A01">
        <w:rPr>
          <w:noProof/>
        </w:rPr>
        <w:t xml:space="preserve">l predetto documento </w:t>
      </w:r>
      <w:r>
        <w:rPr>
          <w:noProof/>
        </w:rPr>
        <w:t>deve essere</w:t>
      </w:r>
      <w:r w:rsidRPr="00440A01">
        <w:rPr>
          <w:noProof/>
        </w:rPr>
        <w:t xml:space="preserve"> </w:t>
      </w:r>
      <w:r w:rsidRPr="00440A01">
        <w:rPr>
          <w:b/>
          <w:bCs/>
          <w:noProof/>
        </w:rPr>
        <w:t>in corso di validità</w:t>
      </w:r>
      <w:r w:rsidRPr="00440A01">
        <w:rPr>
          <w:noProof/>
        </w:rPr>
        <w:t xml:space="preserve"> all’atto di ciascun utilizzo in compensazione e ciò tanto nel caso in cui il contribuente abbia provveduto a richiederlo (e l’abbia ottenuto), tanto nel caso in cui, pur non avendolo richiesto</w:t>
      </w:r>
      <w:r w:rsidRPr="00770BCE">
        <w:rPr>
          <w:noProof/>
        </w:rPr>
        <w:t xml:space="preserve">, l’avrebbe ottenuto perché </w:t>
      </w:r>
      <w:r w:rsidRPr="00440A01">
        <w:rPr>
          <w:b/>
          <w:bCs/>
          <w:noProof/>
        </w:rPr>
        <w:t>in regola con gli obblighi contributivi</w:t>
      </w:r>
      <w:r w:rsidR="006C00D7">
        <w:rPr>
          <w:noProof/>
        </w:rPr>
        <w:t xml:space="preserve"> </w:t>
      </w:r>
      <w:r w:rsidR="006C00D7">
        <w:t>(Circolare n. 9 del 23 luglio 2021).</w:t>
      </w:r>
    </w:p>
    <w:p w14:paraId="2988FA2B" w14:textId="77777777" w:rsidR="00C76ED3" w:rsidRDefault="00C76ED3" w:rsidP="00424E33">
      <w:pPr>
        <w:shd w:val="clear" w:color="auto" w:fill="FFFFFF"/>
        <w:spacing w:line="360" w:lineRule="auto"/>
        <w:jc w:val="both"/>
        <w:rPr>
          <w:rFonts w:cs="Tahoma"/>
          <w:bCs/>
          <w:szCs w:val="20"/>
        </w:rPr>
      </w:pPr>
    </w:p>
    <w:p w14:paraId="7CC0C4AA" w14:textId="578BCECA" w:rsidR="00691818" w:rsidRDefault="00803A44" w:rsidP="00424E33">
      <w:pPr>
        <w:shd w:val="clear" w:color="auto" w:fill="FFFFFF"/>
        <w:spacing w:line="360" w:lineRule="auto"/>
        <w:jc w:val="both"/>
        <w:rPr>
          <w:rFonts w:cs="Tahoma"/>
          <w:bCs/>
          <w:szCs w:val="20"/>
        </w:rPr>
      </w:pPr>
      <w:r w:rsidRPr="00803A44">
        <w:rPr>
          <w:rFonts w:cs="Tahoma"/>
          <w:bCs/>
          <w:szCs w:val="20"/>
        </w:rPr>
        <w:t xml:space="preserve">Sono </w:t>
      </w:r>
      <w:r>
        <w:rPr>
          <w:rFonts w:cs="Tahoma"/>
          <w:bCs/>
          <w:szCs w:val="20"/>
        </w:rPr>
        <w:t xml:space="preserve">inoltre </w:t>
      </w:r>
      <w:r w:rsidRPr="00803A44">
        <w:rPr>
          <w:rFonts w:cs="Tahoma"/>
          <w:bCs/>
          <w:szCs w:val="20"/>
        </w:rPr>
        <w:t xml:space="preserve">ricompresi nel novero delle imprese beneficiarie gli </w:t>
      </w:r>
      <w:r w:rsidRPr="00803A44">
        <w:rPr>
          <w:rFonts w:cs="Tahoma"/>
          <w:b/>
          <w:szCs w:val="20"/>
        </w:rPr>
        <w:t>enti non commerciali</w:t>
      </w:r>
      <w:r w:rsidRPr="00803A44">
        <w:rPr>
          <w:rFonts w:cs="Tahoma"/>
          <w:bCs/>
          <w:szCs w:val="20"/>
        </w:rPr>
        <w:t>, con riferimento all’</w:t>
      </w:r>
      <w:r w:rsidRPr="00803A44">
        <w:rPr>
          <w:rFonts w:cs="Tahoma"/>
          <w:b/>
          <w:szCs w:val="20"/>
        </w:rPr>
        <w:t>attività commerciale eventualmente esercitata</w:t>
      </w:r>
      <w:r w:rsidRPr="00803A44">
        <w:rPr>
          <w:rFonts w:cs="Tahoma"/>
          <w:bCs/>
          <w:szCs w:val="20"/>
        </w:rPr>
        <w:t xml:space="preserve">, le </w:t>
      </w:r>
      <w:r w:rsidRPr="00803A44">
        <w:rPr>
          <w:rFonts w:cs="Tahoma"/>
          <w:b/>
          <w:szCs w:val="20"/>
        </w:rPr>
        <w:t>imprese agricole</w:t>
      </w:r>
      <w:r w:rsidRPr="00803A44">
        <w:rPr>
          <w:rFonts w:cs="Tahoma"/>
          <w:bCs/>
          <w:szCs w:val="20"/>
        </w:rPr>
        <w:t xml:space="preserve"> che determinano il reddito agrario ai sensi dell’articolo 32 del Testo unico delle imposte sui redditi (Tuir), approvato con decreto del Presidente della Repubblica 22 dicembre 1986, n. 917, nonché le </w:t>
      </w:r>
      <w:r w:rsidRPr="00803A44">
        <w:rPr>
          <w:rFonts w:cs="Tahoma"/>
          <w:b/>
          <w:szCs w:val="20"/>
        </w:rPr>
        <w:t>reti di imprese</w:t>
      </w:r>
      <w:r w:rsidRPr="00803A44">
        <w:rPr>
          <w:rFonts w:cs="Tahoma"/>
          <w:bCs/>
          <w:szCs w:val="20"/>
        </w:rPr>
        <w:t>.</w:t>
      </w:r>
    </w:p>
    <w:p w14:paraId="474A59AC" w14:textId="77777777" w:rsidR="00803A44" w:rsidRPr="00803A44" w:rsidRDefault="00803A44" w:rsidP="00803A44">
      <w:pPr>
        <w:shd w:val="clear" w:color="auto" w:fill="FFFFFF"/>
        <w:spacing w:line="360" w:lineRule="auto"/>
        <w:jc w:val="both"/>
        <w:rPr>
          <w:rFonts w:cs="Tahoma"/>
          <w:bCs/>
          <w:szCs w:val="20"/>
        </w:rPr>
      </w:pPr>
      <w:r w:rsidRPr="00803A44">
        <w:rPr>
          <w:rFonts w:cs="Tahoma"/>
          <w:bCs/>
          <w:szCs w:val="20"/>
        </w:rPr>
        <w:t>Al riguardo, si ricorda che le “</w:t>
      </w:r>
      <w:r w:rsidRPr="00803A44">
        <w:rPr>
          <w:rFonts w:cs="Tahoma"/>
          <w:b/>
          <w:szCs w:val="20"/>
        </w:rPr>
        <w:t>reti-soggetto”</w:t>
      </w:r>
      <w:r w:rsidRPr="00803A44">
        <w:rPr>
          <w:rFonts w:cs="Tahoma"/>
          <w:bCs/>
          <w:szCs w:val="20"/>
        </w:rPr>
        <w:t xml:space="preserve">, ai fini delle imposte sui redditi, figurano tra gli enti commerciali oppure tra quelli non commerciali, ai sensi dell’articolo 73, comma 1, lettere </w:t>
      </w:r>
      <w:r w:rsidRPr="00803A44">
        <w:rPr>
          <w:rFonts w:cs="Tahoma"/>
          <w:bCs/>
          <w:i/>
          <w:iCs/>
          <w:szCs w:val="20"/>
        </w:rPr>
        <w:t>b</w:t>
      </w:r>
      <w:r w:rsidRPr="00803A44">
        <w:rPr>
          <w:rFonts w:cs="Tahoma"/>
          <w:bCs/>
          <w:szCs w:val="20"/>
        </w:rPr>
        <w:t xml:space="preserve">) e </w:t>
      </w:r>
      <w:r w:rsidRPr="00803A44">
        <w:rPr>
          <w:rFonts w:cs="Tahoma"/>
          <w:bCs/>
          <w:i/>
          <w:iCs/>
          <w:szCs w:val="20"/>
        </w:rPr>
        <w:t>c</w:t>
      </w:r>
      <w:r w:rsidRPr="00803A44">
        <w:rPr>
          <w:rFonts w:cs="Tahoma"/>
          <w:bCs/>
          <w:szCs w:val="20"/>
        </w:rPr>
        <w:t xml:space="preserve">), del Tuir, a seconda che svolgano o meno attività commerciale in via principale o esclusiva. </w:t>
      </w:r>
    </w:p>
    <w:p w14:paraId="09CFC301" w14:textId="68F8E201" w:rsidR="00803A44" w:rsidRPr="007F356B" w:rsidRDefault="00803A44" w:rsidP="00803A44">
      <w:pPr>
        <w:shd w:val="clear" w:color="auto" w:fill="FFFFFF"/>
        <w:spacing w:line="360" w:lineRule="auto"/>
        <w:jc w:val="both"/>
        <w:rPr>
          <w:rFonts w:cs="Tahoma"/>
          <w:bCs/>
          <w:color w:val="000000" w:themeColor="text1"/>
          <w:szCs w:val="20"/>
        </w:rPr>
      </w:pPr>
      <w:r w:rsidRPr="00803A44">
        <w:rPr>
          <w:rFonts w:cs="Tahoma"/>
          <w:bCs/>
          <w:szCs w:val="20"/>
        </w:rPr>
        <w:t>Con riferimento invece alla categoria della “</w:t>
      </w:r>
      <w:r w:rsidRPr="00803A44">
        <w:rPr>
          <w:rFonts w:cs="Tahoma"/>
          <w:b/>
          <w:szCs w:val="20"/>
        </w:rPr>
        <w:t>rete-contratto</w:t>
      </w:r>
      <w:r w:rsidRPr="00803A44">
        <w:rPr>
          <w:rFonts w:cs="Tahoma"/>
          <w:bCs/>
          <w:szCs w:val="20"/>
        </w:rPr>
        <w:t xml:space="preserve">”, si ricorda che, come precisato con la circolare n. 4/E del 15 febbraio 2011, l’adesione al contratto di rete non comporta l’attribuzione di soggettività tributaria </w:t>
      </w:r>
      <w:r w:rsidRPr="00803A44">
        <w:rPr>
          <w:rFonts w:cs="Tahoma"/>
          <w:bCs/>
          <w:szCs w:val="20"/>
        </w:rPr>
        <w:lastRenderedPageBreak/>
        <w:t xml:space="preserve">alla rete risultante dal contratto stesso, per cui gli atti posti in essere in esecuzione del programma di rete producono </w:t>
      </w:r>
      <w:r w:rsidRPr="007F356B">
        <w:rPr>
          <w:rFonts w:cs="Tahoma"/>
          <w:bCs/>
          <w:color w:val="000000" w:themeColor="text1"/>
          <w:szCs w:val="20"/>
        </w:rPr>
        <w:t>i loro effetti direttamente nelle sfere giuridico-soggettive dei partecipanti alla rete.</w:t>
      </w:r>
    </w:p>
    <w:p w14:paraId="5F70AA48" w14:textId="370528C3" w:rsidR="00667776" w:rsidRDefault="00803A44" w:rsidP="00803A44">
      <w:pPr>
        <w:shd w:val="clear" w:color="auto" w:fill="FFFFFF"/>
        <w:spacing w:line="360" w:lineRule="auto"/>
        <w:jc w:val="both"/>
        <w:rPr>
          <w:rFonts w:cs="Tahoma"/>
          <w:bCs/>
          <w:szCs w:val="20"/>
        </w:rPr>
      </w:pPr>
      <w:r w:rsidRPr="007F356B">
        <w:rPr>
          <w:rFonts w:cs="Tahoma"/>
          <w:bCs/>
          <w:color w:val="000000" w:themeColor="text1"/>
          <w:szCs w:val="20"/>
        </w:rPr>
        <w:t xml:space="preserve">Si collocano, altresì, nell’ambito della categoria delle imprese beneficiarie le </w:t>
      </w:r>
      <w:r w:rsidRPr="007F356B">
        <w:rPr>
          <w:rFonts w:cs="Tahoma"/>
          <w:b/>
          <w:color w:val="000000" w:themeColor="text1"/>
          <w:szCs w:val="20"/>
        </w:rPr>
        <w:t>STP titolari di reddito d’impresa</w:t>
      </w:r>
      <w:r w:rsidRPr="007F356B">
        <w:rPr>
          <w:rFonts w:cs="Tahoma"/>
          <w:bCs/>
          <w:color w:val="000000" w:themeColor="text1"/>
          <w:szCs w:val="20"/>
        </w:rPr>
        <w:t>, con la conseguenza che, al pari di tali soggetti possono avvalersi del credito d’imposta per investimenti in beni strumentali materiali e immateriali 4.0 (commi 1056, 1057</w:t>
      </w:r>
      <w:r w:rsidR="00B368B7" w:rsidRPr="007F356B">
        <w:rPr>
          <w:rFonts w:cs="Tahoma"/>
          <w:bCs/>
          <w:color w:val="000000" w:themeColor="text1"/>
          <w:szCs w:val="20"/>
        </w:rPr>
        <w:t xml:space="preserve">, </w:t>
      </w:r>
      <w:bookmarkStart w:id="16" w:name="_Hlk93146754"/>
      <w:r w:rsidR="00B368B7" w:rsidRPr="007F356B">
        <w:rPr>
          <w:rFonts w:cs="Tahoma"/>
          <w:bCs/>
          <w:color w:val="000000" w:themeColor="text1"/>
          <w:szCs w:val="20"/>
        </w:rPr>
        <w:t>1057-bis,</w:t>
      </w:r>
      <w:r w:rsidRPr="007F356B">
        <w:rPr>
          <w:rFonts w:cs="Tahoma"/>
          <w:bCs/>
          <w:color w:val="000000" w:themeColor="text1"/>
          <w:szCs w:val="20"/>
        </w:rPr>
        <w:t xml:space="preserve"> 1058</w:t>
      </w:r>
      <w:r w:rsidR="00B368B7" w:rsidRPr="007F356B">
        <w:rPr>
          <w:rFonts w:cs="Tahoma"/>
          <w:bCs/>
          <w:color w:val="000000" w:themeColor="text1"/>
          <w:szCs w:val="20"/>
        </w:rPr>
        <w:t>, 1058-bis, 1058-ter</w:t>
      </w:r>
      <w:r w:rsidRPr="007F356B">
        <w:rPr>
          <w:rFonts w:cs="Tahoma"/>
          <w:bCs/>
          <w:color w:val="000000" w:themeColor="text1"/>
          <w:szCs w:val="20"/>
        </w:rPr>
        <w:t xml:space="preserve"> </w:t>
      </w:r>
      <w:bookmarkEnd w:id="16"/>
      <w:r w:rsidRPr="007F356B">
        <w:rPr>
          <w:rFonts w:cs="Tahoma"/>
          <w:bCs/>
          <w:color w:val="000000" w:themeColor="text1"/>
          <w:szCs w:val="20"/>
        </w:rPr>
        <w:t xml:space="preserve">della </w:t>
      </w:r>
      <w:r w:rsidRPr="00803A44">
        <w:rPr>
          <w:rFonts w:cs="Tahoma"/>
          <w:bCs/>
          <w:szCs w:val="20"/>
        </w:rPr>
        <w:t>legge di bilancio 2021)</w:t>
      </w:r>
      <w:r>
        <w:rPr>
          <w:rFonts w:cs="Tahoma"/>
          <w:bCs/>
          <w:szCs w:val="20"/>
        </w:rPr>
        <w:t>.</w:t>
      </w:r>
    </w:p>
    <w:tbl>
      <w:tblPr>
        <w:tblStyle w:val="Grigliatabella"/>
        <w:tblW w:w="0" w:type="auto"/>
        <w:tblLook w:val="04A0" w:firstRow="1" w:lastRow="0" w:firstColumn="1" w:lastColumn="0" w:noHBand="0" w:noVBand="1"/>
      </w:tblPr>
      <w:tblGrid>
        <w:gridCol w:w="4814"/>
        <w:gridCol w:w="4814"/>
      </w:tblGrid>
      <w:tr w:rsidR="00C76ED3" w:rsidRPr="00C76ED3" w14:paraId="0801BD37" w14:textId="77777777" w:rsidTr="00E14455">
        <w:tc>
          <w:tcPr>
            <w:tcW w:w="4814" w:type="dxa"/>
            <w:shd w:val="clear" w:color="auto" w:fill="DBE5F1" w:themeFill="accent1" w:themeFillTint="33"/>
          </w:tcPr>
          <w:p w14:paraId="03B58667" w14:textId="517DF6AC" w:rsidR="00E14455" w:rsidRPr="00C76ED3" w:rsidRDefault="00667776" w:rsidP="004414B7">
            <w:pPr>
              <w:spacing w:before="60" w:after="60" w:line="326" w:lineRule="auto"/>
              <w:jc w:val="center"/>
              <w:rPr>
                <w:rFonts w:cs="Tahoma"/>
                <w:b/>
                <w:color w:val="000000" w:themeColor="text1"/>
                <w:szCs w:val="20"/>
              </w:rPr>
            </w:pPr>
            <w:r w:rsidRPr="00C76ED3">
              <w:rPr>
                <w:rFonts w:cs="Tahoma"/>
                <w:b/>
                <w:color w:val="000000" w:themeColor="text1"/>
                <w:szCs w:val="20"/>
              </w:rPr>
              <w:t>SOGGETTI INCLUSI</w:t>
            </w:r>
          </w:p>
        </w:tc>
        <w:tc>
          <w:tcPr>
            <w:tcW w:w="4814" w:type="dxa"/>
            <w:shd w:val="clear" w:color="auto" w:fill="DBE5F1" w:themeFill="accent1" w:themeFillTint="33"/>
          </w:tcPr>
          <w:p w14:paraId="65F1CAE6" w14:textId="3B11A90C" w:rsidR="00E14455" w:rsidRPr="00C76ED3" w:rsidRDefault="00667776" w:rsidP="004414B7">
            <w:pPr>
              <w:spacing w:before="60" w:after="60" w:line="326" w:lineRule="auto"/>
              <w:jc w:val="center"/>
              <w:rPr>
                <w:rFonts w:cs="Tahoma"/>
                <w:b/>
                <w:color w:val="000000" w:themeColor="text1"/>
                <w:szCs w:val="20"/>
              </w:rPr>
            </w:pPr>
            <w:r w:rsidRPr="00C76ED3">
              <w:rPr>
                <w:rFonts w:cs="Tahoma"/>
                <w:b/>
                <w:color w:val="000000" w:themeColor="text1"/>
                <w:szCs w:val="20"/>
              </w:rPr>
              <w:t>SOGGETTI ESCLUSI</w:t>
            </w:r>
          </w:p>
        </w:tc>
      </w:tr>
      <w:tr w:rsidR="00C76ED3" w:rsidRPr="00C76ED3" w14:paraId="1AA8AF23" w14:textId="77777777" w:rsidTr="00150341">
        <w:tc>
          <w:tcPr>
            <w:tcW w:w="4814" w:type="dxa"/>
          </w:tcPr>
          <w:p w14:paraId="3D8D8D8C" w14:textId="28B956B6" w:rsidR="00E14455" w:rsidRPr="00C76ED3" w:rsidRDefault="00E14455"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Imprese residenti nel territorio dello Stato</w:t>
            </w:r>
          </w:p>
          <w:p w14:paraId="60E66546" w14:textId="77777777" w:rsidR="00E14455" w:rsidRPr="00C76ED3" w:rsidRDefault="00E14455"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Stabili organizzazioni nel territorio dello Stato di soggetti non residenti</w:t>
            </w:r>
          </w:p>
          <w:p w14:paraId="1A0558D7" w14:textId="7469AB7C" w:rsidR="00E14455" w:rsidRPr="00C76ED3" w:rsidRDefault="002B19B7"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Enti non commerciali, con riferimento all’attività commerciale eventualmente esercitata</w:t>
            </w:r>
          </w:p>
          <w:p w14:paraId="4A7B8BD2" w14:textId="14E4A86A" w:rsidR="002B19B7" w:rsidRPr="00C76ED3" w:rsidRDefault="002B19B7"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Imprese agricole</w:t>
            </w:r>
          </w:p>
          <w:p w14:paraId="231DACF9" w14:textId="6DD96215" w:rsidR="002B19B7" w:rsidRPr="00C76ED3" w:rsidRDefault="002B19B7"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Reti di imprese</w:t>
            </w:r>
          </w:p>
          <w:p w14:paraId="4794C48D" w14:textId="15CA49A2" w:rsidR="00667776" w:rsidRPr="00C76ED3" w:rsidRDefault="00667776"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STP titolari di reddito d’impresa</w:t>
            </w:r>
          </w:p>
          <w:p w14:paraId="45C48A6C" w14:textId="74465D70" w:rsidR="002B19B7" w:rsidRPr="00C76ED3" w:rsidRDefault="002B19B7" w:rsidP="00C76ED3">
            <w:pPr>
              <w:spacing w:before="60" w:after="60" w:line="326" w:lineRule="auto"/>
              <w:jc w:val="both"/>
              <w:rPr>
                <w:rFonts w:cs="Tahoma"/>
                <w:bCs/>
                <w:color w:val="000000" w:themeColor="text1"/>
                <w:szCs w:val="20"/>
              </w:rPr>
            </w:pPr>
          </w:p>
        </w:tc>
        <w:tc>
          <w:tcPr>
            <w:tcW w:w="4814" w:type="dxa"/>
          </w:tcPr>
          <w:p w14:paraId="64C741D5" w14:textId="71E00AE9" w:rsidR="00667776" w:rsidRPr="00C76ED3" w:rsidRDefault="00667776" w:rsidP="00C76ED3">
            <w:pPr>
              <w:spacing w:before="60" w:after="60" w:line="326" w:lineRule="auto"/>
              <w:jc w:val="both"/>
              <w:rPr>
                <w:rFonts w:cs="Tahoma"/>
                <w:bCs/>
                <w:color w:val="000000" w:themeColor="text1"/>
                <w:szCs w:val="20"/>
              </w:rPr>
            </w:pPr>
            <w:r w:rsidRPr="00C76ED3">
              <w:rPr>
                <w:rFonts w:cs="Tahoma"/>
                <w:bCs/>
                <w:color w:val="000000" w:themeColor="text1"/>
                <w:szCs w:val="20"/>
              </w:rPr>
              <w:t xml:space="preserve">Sono </w:t>
            </w:r>
            <w:r w:rsidRPr="00C76ED3">
              <w:rPr>
                <w:rFonts w:cs="Tahoma"/>
                <w:b/>
                <w:color w:val="000000" w:themeColor="text1"/>
                <w:szCs w:val="20"/>
              </w:rPr>
              <w:t>escluse le imprese</w:t>
            </w:r>
            <w:r w:rsidRPr="00C76ED3">
              <w:rPr>
                <w:rFonts w:cs="Tahoma"/>
                <w:bCs/>
                <w:color w:val="000000" w:themeColor="text1"/>
                <w:szCs w:val="20"/>
              </w:rPr>
              <w:t>:</w:t>
            </w:r>
          </w:p>
          <w:p w14:paraId="3223E0D8" w14:textId="76123FD5" w:rsidR="00667776" w:rsidRPr="00C76ED3" w:rsidRDefault="00667776"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
                <w:color w:val="000000" w:themeColor="text1"/>
                <w:szCs w:val="20"/>
              </w:rPr>
              <w:t>in stato di crisi</w:t>
            </w:r>
            <w:r w:rsidRPr="00C76ED3">
              <w:rPr>
                <w:rFonts w:cs="Tahoma"/>
                <w:bCs/>
                <w:color w:val="000000" w:themeColor="text1"/>
                <w:szCs w:val="20"/>
              </w:rPr>
              <w:t xml:space="preserve"> e più precisamente in liquidazione volontaria, fallimento, liquidazione coatta amministrativa, concordato preventivo senza continuità aziendale o altra procedura concorsuale prevista dalla legge fallimentare (regio decreto 16 marzo 1942, n. 267), dal Codice della crisi d’impresa e dell’insolvenza (decreto legislativo 12 gennaio 2019, n. 14) o da altre leggi speciali</w:t>
            </w:r>
          </w:p>
          <w:p w14:paraId="77355F30" w14:textId="1E7B2A4B" w:rsidR="00667776" w:rsidRPr="00C76ED3" w:rsidRDefault="00667776"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con in corso un procedimento per la dichiarazione di una delle situazioni di cui al punto che precede</w:t>
            </w:r>
          </w:p>
          <w:p w14:paraId="17E5ADD9" w14:textId="77777777" w:rsidR="00E14455" w:rsidRPr="00C76ED3" w:rsidRDefault="00667776"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 xml:space="preserve">destinatarie di </w:t>
            </w:r>
            <w:r w:rsidRPr="00C76ED3">
              <w:rPr>
                <w:rFonts w:cs="Tahoma"/>
                <w:b/>
                <w:color w:val="000000" w:themeColor="text1"/>
                <w:szCs w:val="20"/>
              </w:rPr>
              <w:t>sanzioni interdittive</w:t>
            </w:r>
            <w:r w:rsidRPr="00C76ED3">
              <w:rPr>
                <w:rFonts w:cs="Tahoma"/>
                <w:bCs/>
                <w:color w:val="000000" w:themeColor="text1"/>
                <w:szCs w:val="20"/>
              </w:rPr>
              <w:t>, ai sensi dell’articolo 9, comma 2, del decreto legislativo 8 giugno 2001, n. 231 (recante “Disciplina della responsabilità amministrativa delle persone giuridiche, delle società e delle associazioni anche prive di personalità giuridica”</w:t>
            </w:r>
          </w:p>
          <w:p w14:paraId="334D6034" w14:textId="77777777" w:rsidR="00F85FB3" w:rsidRPr="00C76ED3" w:rsidRDefault="00F85FB3"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 xml:space="preserve">in presenza di </w:t>
            </w:r>
            <w:r w:rsidRPr="00C76ED3">
              <w:rPr>
                <w:rFonts w:cs="Tahoma"/>
                <w:b/>
                <w:color w:val="000000" w:themeColor="text1"/>
                <w:szCs w:val="20"/>
              </w:rPr>
              <w:t>DURC irregolare</w:t>
            </w:r>
            <w:r w:rsidR="00440A01" w:rsidRPr="00C76ED3">
              <w:rPr>
                <w:rFonts w:cs="Tahoma"/>
                <w:bCs/>
                <w:color w:val="000000" w:themeColor="text1"/>
                <w:szCs w:val="20"/>
              </w:rPr>
              <w:t>, altrimenti detto “negativo”, ossia richiesto e non rilasciato per irregolarità contributiva nei confronti di Inps, Inail e Casse edili</w:t>
            </w:r>
          </w:p>
          <w:p w14:paraId="1FFF27DB" w14:textId="47616A55" w:rsidR="00073A91" w:rsidRPr="00C76ED3" w:rsidRDefault="00073A91" w:rsidP="00C76ED3">
            <w:pPr>
              <w:spacing w:before="60" w:after="60" w:line="326" w:lineRule="auto"/>
              <w:jc w:val="both"/>
              <w:rPr>
                <w:rFonts w:cs="Tahoma"/>
                <w:bCs/>
                <w:color w:val="000000" w:themeColor="text1"/>
                <w:szCs w:val="20"/>
              </w:rPr>
            </w:pPr>
            <w:r w:rsidRPr="00C76ED3">
              <w:rPr>
                <w:rFonts w:cs="Tahoma"/>
                <w:bCs/>
                <w:color w:val="000000" w:themeColor="text1"/>
                <w:szCs w:val="20"/>
              </w:rPr>
              <w:t xml:space="preserve">Sono </w:t>
            </w:r>
            <w:r w:rsidRPr="00C76ED3">
              <w:rPr>
                <w:rFonts w:cs="Tahoma"/>
                <w:b/>
                <w:color w:val="000000" w:themeColor="text1"/>
                <w:szCs w:val="20"/>
              </w:rPr>
              <w:t>esclusi gli esercenti arti e professioni</w:t>
            </w:r>
          </w:p>
        </w:tc>
      </w:tr>
    </w:tbl>
    <w:p w14:paraId="48D3E2ED" w14:textId="04815557" w:rsidR="003118B1" w:rsidRDefault="003118B1" w:rsidP="00803A44">
      <w:pPr>
        <w:shd w:val="clear" w:color="auto" w:fill="FFFFFF"/>
        <w:spacing w:line="360" w:lineRule="auto"/>
        <w:jc w:val="both"/>
        <w:rPr>
          <w:rFonts w:cs="Tahoma"/>
          <w:bCs/>
          <w:szCs w:val="20"/>
        </w:rPr>
      </w:pPr>
    </w:p>
    <w:p w14:paraId="70B394A3" w14:textId="77777777" w:rsidR="003118B1" w:rsidRDefault="003118B1">
      <w:pPr>
        <w:spacing w:after="0" w:line="240" w:lineRule="auto"/>
        <w:rPr>
          <w:rFonts w:cs="Tahoma"/>
          <w:bCs/>
          <w:szCs w:val="20"/>
        </w:rPr>
      </w:pPr>
      <w:r>
        <w:rPr>
          <w:rFonts w:cs="Tahoma"/>
          <w:bCs/>
          <w:szCs w:val="20"/>
        </w:rPr>
        <w:br w:type="page"/>
      </w:r>
    </w:p>
    <w:p w14:paraId="71592BE4" w14:textId="2979AB1C" w:rsidR="001B4BF6" w:rsidRPr="002247B4" w:rsidRDefault="0047017F" w:rsidP="001B4BF6">
      <w:pPr>
        <w:pStyle w:val="Titolo2"/>
      </w:pPr>
      <w:bookmarkStart w:id="17" w:name="_Toc93327701"/>
      <w:r>
        <w:lastRenderedPageBreak/>
        <w:t>2</w:t>
      </w:r>
      <w:r w:rsidR="001B4BF6" w:rsidRPr="002247B4">
        <w:t>.</w:t>
      </w:r>
      <w:r>
        <w:t>2</w:t>
      </w:r>
      <w:r w:rsidR="001B4BF6" w:rsidRPr="002247B4">
        <w:t xml:space="preserve"> </w:t>
      </w:r>
      <w:r w:rsidR="000E64DF">
        <w:t xml:space="preserve">Crediti </w:t>
      </w:r>
      <w:r w:rsidR="003D6CAE">
        <w:t>NON 4.0 anche per i</w:t>
      </w:r>
      <w:r w:rsidR="000E64DF">
        <w:t xml:space="preserve"> professionisti</w:t>
      </w:r>
      <w:bookmarkEnd w:id="17"/>
    </w:p>
    <w:p w14:paraId="24A4C903" w14:textId="3360E90C" w:rsidR="001B4BF6" w:rsidRDefault="002A092C" w:rsidP="001B4BF6">
      <w:pPr>
        <w:shd w:val="clear" w:color="auto" w:fill="FFFFFF"/>
        <w:spacing w:line="360" w:lineRule="auto"/>
        <w:jc w:val="both"/>
        <w:rPr>
          <w:rFonts w:cs="Tahoma"/>
          <w:bCs/>
          <w:szCs w:val="20"/>
        </w:rPr>
      </w:pPr>
      <w:r w:rsidRPr="002A092C">
        <w:rPr>
          <w:rFonts w:cs="Tahoma"/>
          <w:bCs/>
          <w:szCs w:val="20"/>
        </w:rPr>
        <w:t xml:space="preserve">Il credito d'imposta per gli investimenti in altri beni strumentali </w:t>
      </w:r>
      <w:r>
        <w:rPr>
          <w:rFonts w:cs="Tahoma"/>
          <w:bCs/>
          <w:szCs w:val="20"/>
        </w:rPr>
        <w:t>“</w:t>
      </w:r>
      <w:r w:rsidRPr="002A092C">
        <w:rPr>
          <w:rFonts w:cs="Tahoma"/>
          <w:bCs/>
          <w:szCs w:val="20"/>
        </w:rPr>
        <w:t>tradizionali</w:t>
      </w:r>
      <w:r>
        <w:rPr>
          <w:rFonts w:cs="Tahoma"/>
          <w:bCs/>
          <w:szCs w:val="20"/>
        </w:rPr>
        <w:t>” (NON 4.0)</w:t>
      </w:r>
      <w:r w:rsidRPr="002A092C">
        <w:rPr>
          <w:rFonts w:cs="Tahoma"/>
          <w:bCs/>
          <w:szCs w:val="20"/>
        </w:rPr>
        <w:t xml:space="preserve"> è </w:t>
      </w:r>
      <w:r w:rsidRPr="002A092C">
        <w:rPr>
          <w:rFonts w:cs="Tahoma"/>
          <w:b/>
          <w:szCs w:val="20"/>
        </w:rPr>
        <w:t>riconosciuto anche agli esercenti arti e professioni</w:t>
      </w:r>
      <w:r w:rsidR="00EE2309">
        <w:rPr>
          <w:rFonts w:cs="Tahoma"/>
          <w:bCs/>
          <w:szCs w:val="20"/>
        </w:rPr>
        <w:t xml:space="preserve"> e</w:t>
      </w:r>
      <w:r w:rsidRPr="002A092C">
        <w:rPr>
          <w:rFonts w:cs="Tahoma"/>
          <w:bCs/>
          <w:szCs w:val="20"/>
        </w:rPr>
        <w:t xml:space="preserve"> ai </w:t>
      </w:r>
      <w:r w:rsidRPr="00EE2309">
        <w:rPr>
          <w:rFonts w:cs="Tahoma"/>
          <w:b/>
          <w:szCs w:val="20"/>
        </w:rPr>
        <w:t>soggetti aderenti al regime forfetario</w:t>
      </w:r>
      <w:r w:rsidRPr="002A092C">
        <w:rPr>
          <w:rFonts w:cs="Tahoma"/>
          <w:bCs/>
          <w:szCs w:val="20"/>
        </w:rPr>
        <w:t xml:space="preserve">, </w:t>
      </w:r>
      <w:r w:rsidR="00EE2309">
        <w:rPr>
          <w:rFonts w:cs="Tahoma"/>
          <w:bCs/>
          <w:szCs w:val="20"/>
        </w:rPr>
        <w:t xml:space="preserve">oltre </w:t>
      </w:r>
      <w:r w:rsidRPr="002A092C">
        <w:rPr>
          <w:rFonts w:cs="Tahoma"/>
          <w:bCs/>
          <w:szCs w:val="20"/>
        </w:rPr>
        <w:t xml:space="preserve">alle imprese </w:t>
      </w:r>
      <w:r w:rsidR="00EE2309">
        <w:rPr>
          <w:rFonts w:cs="Tahoma"/>
          <w:bCs/>
          <w:szCs w:val="20"/>
        </w:rPr>
        <w:t>richiamate in precedenza.</w:t>
      </w:r>
    </w:p>
    <w:p w14:paraId="27D9498D" w14:textId="1231A827" w:rsidR="007F5968" w:rsidRDefault="007F5968" w:rsidP="001B4BF6">
      <w:pPr>
        <w:shd w:val="clear" w:color="auto" w:fill="FFFFFF"/>
        <w:spacing w:line="360" w:lineRule="auto"/>
        <w:jc w:val="both"/>
        <w:rPr>
          <w:rFonts w:cs="Tahoma"/>
          <w:bCs/>
          <w:szCs w:val="20"/>
        </w:rPr>
      </w:pPr>
      <w:r w:rsidRPr="007F5968">
        <w:rPr>
          <w:rFonts w:cs="Tahoma"/>
          <w:bCs/>
          <w:szCs w:val="20"/>
        </w:rPr>
        <w:t xml:space="preserve">Al riguardo, si rileva che, in linea generale, </w:t>
      </w:r>
      <w:r w:rsidRPr="007F5968">
        <w:rPr>
          <w:rFonts w:cs="Tahoma"/>
          <w:b/>
          <w:szCs w:val="20"/>
        </w:rPr>
        <w:t>i soggetti esercenti attività di impresa possono beneficiare sia del credito d’imposta per investimenti in beni strumentali “ordinari”</w:t>
      </w:r>
      <w:r w:rsidRPr="007F5968">
        <w:rPr>
          <w:rFonts w:cs="Tahoma"/>
          <w:bCs/>
          <w:szCs w:val="20"/>
        </w:rPr>
        <w:t xml:space="preserve"> (</w:t>
      </w:r>
      <w:r w:rsidRPr="007F5968">
        <w:rPr>
          <w:rFonts w:cs="Tahoma"/>
          <w:bCs/>
          <w:i/>
          <w:iCs/>
          <w:szCs w:val="20"/>
        </w:rPr>
        <w:t>i.e.</w:t>
      </w:r>
      <w:r w:rsidRPr="007F5968">
        <w:rPr>
          <w:rFonts w:cs="Tahoma"/>
          <w:bCs/>
          <w:szCs w:val="20"/>
        </w:rPr>
        <w:t xml:space="preserve">, beni materiali e immateriali diversi da quelli 4.0. indicati negli allegati A e B annessi alla legge n. 232 del 2016), </w:t>
      </w:r>
      <w:r w:rsidRPr="007F5968">
        <w:rPr>
          <w:rFonts w:cs="Tahoma"/>
          <w:b/>
          <w:szCs w:val="20"/>
        </w:rPr>
        <w:t>sia del credito d’imposta per investimenti in beni materiali e immateriali</w:t>
      </w:r>
      <w:r w:rsidRPr="007F5968">
        <w:rPr>
          <w:rFonts w:cs="Tahoma"/>
          <w:bCs/>
          <w:szCs w:val="20"/>
        </w:rPr>
        <w:t xml:space="preserve"> funzionali alla trasformazione tecnologica e digitale delle imprese secondo il modello “Industria 4.0” (inclusi, rispettivamente, negli allegati A e B annessi alla legge n. 232 del 2016), </w:t>
      </w:r>
      <w:r w:rsidRPr="007F5968">
        <w:rPr>
          <w:rFonts w:cs="Tahoma"/>
          <w:b/>
          <w:szCs w:val="20"/>
        </w:rPr>
        <w:t>mentre gli esercenti arti e professioni possono accedere soltanto al credito d’imposta per investimenti in beni materiali e immateriali “non 4.0”</w:t>
      </w:r>
      <w:r w:rsidRPr="007F5968">
        <w:rPr>
          <w:rFonts w:cs="Tahoma"/>
          <w:bCs/>
          <w:szCs w:val="20"/>
        </w:rPr>
        <w:t>.</w:t>
      </w:r>
    </w:p>
    <w:p w14:paraId="5CA758A6" w14:textId="5F853C17" w:rsidR="00C76ED3" w:rsidRDefault="00803A44" w:rsidP="001B4BF6">
      <w:pPr>
        <w:shd w:val="clear" w:color="auto" w:fill="FFFFFF"/>
        <w:spacing w:line="360" w:lineRule="auto"/>
        <w:jc w:val="both"/>
        <w:rPr>
          <w:rFonts w:cs="Tahoma"/>
          <w:bCs/>
          <w:szCs w:val="20"/>
        </w:rPr>
      </w:pPr>
      <w:r>
        <w:rPr>
          <w:rFonts w:cs="Tahoma"/>
          <w:bCs/>
          <w:szCs w:val="20"/>
        </w:rPr>
        <w:t>P</w:t>
      </w:r>
      <w:r w:rsidRPr="00803A44">
        <w:rPr>
          <w:rFonts w:cs="Tahoma"/>
          <w:bCs/>
          <w:szCs w:val="20"/>
        </w:rPr>
        <w:t xml:space="preserve">er espressa previsione del comma 1061 della legge di bilancio 2021, sono ammessi a beneficiare del credito d’imposta </w:t>
      </w:r>
      <w:r w:rsidRPr="00073A91">
        <w:rPr>
          <w:rFonts w:cs="Tahoma"/>
          <w:b/>
          <w:szCs w:val="20"/>
        </w:rPr>
        <w:t>gli “</w:t>
      </w:r>
      <w:r w:rsidRPr="00073A91">
        <w:rPr>
          <w:rFonts w:cs="Tahoma"/>
          <w:b/>
          <w:i/>
          <w:iCs/>
          <w:szCs w:val="20"/>
        </w:rPr>
        <w:t>esercenti arti e professioni</w:t>
      </w:r>
      <w:r w:rsidRPr="00073A91">
        <w:rPr>
          <w:rFonts w:cs="Tahoma"/>
          <w:b/>
          <w:szCs w:val="20"/>
        </w:rPr>
        <w:t>”</w:t>
      </w:r>
      <w:r w:rsidRPr="00803A44">
        <w:rPr>
          <w:rFonts w:cs="Tahoma"/>
          <w:bCs/>
          <w:szCs w:val="20"/>
        </w:rPr>
        <w:t xml:space="preserve"> </w:t>
      </w:r>
      <w:r w:rsidRPr="00073A91">
        <w:rPr>
          <w:rFonts w:cs="Tahoma"/>
          <w:b/>
          <w:szCs w:val="20"/>
        </w:rPr>
        <w:t>che effettuano</w:t>
      </w:r>
      <w:r w:rsidRPr="00803A44">
        <w:rPr>
          <w:rFonts w:cs="Tahoma"/>
          <w:bCs/>
          <w:szCs w:val="20"/>
        </w:rPr>
        <w:t xml:space="preserve">, ai sensi dei commi 1054 e 1055, </w:t>
      </w:r>
      <w:r w:rsidRPr="00803A44">
        <w:rPr>
          <w:rFonts w:cs="Tahoma"/>
          <w:b/>
          <w:szCs w:val="20"/>
        </w:rPr>
        <w:t>investimenti in beni strumentali materiali e immateriali NON 4.0</w:t>
      </w:r>
      <w:r w:rsidRPr="00803A44">
        <w:rPr>
          <w:rFonts w:cs="Tahoma"/>
          <w:bCs/>
          <w:szCs w:val="20"/>
        </w:rPr>
        <w:t>, cioè in beni “ordinari” diversi da quelli materiali e immateriali funzionali alla trasformazione tecnologica e digitale delle imprese secondo il modello “Industria 4.0” (inclusi, rispettivamente, negli allegati A e B annessi alla legge n. 232 del 2016).</w:t>
      </w:r>
    </w:p>
    <w:p w14:paraId="5651C853" w14:textId="155F2D67" w:rsidR="00AF061C" w:rsidRPr="009E667F" w:rsidRDefault="00AF061C" w:rsidP="009E667F">
      <w:pPr>
        <w:spacing w:line="360" w:lineRule="auto"/>
        <w:ind w:left="2124"/>
        <w:jc w:val="both"/>
      </w:pPr>
      <w:r>
        <w:rPr>
          <w:noProof/>
        </w:rPr>
        <w:drawing>
          <wp:anchor distT="0" distB="0" distL="114300" distR="114300" simplePos="0" relativeHeight="251748864" behindDoc="0" locked="0" layoutInCell="1" allowOverlap="1" wp14:anchorId="121F3A12" wp14:editId="1D800419">
            <wp:simplePos x="716890" y="2699309"/>
            <wp:positionH relativeFrom="column">
              <wp:align>left</wp:align>
            </wp:positionH>
            <wp:positionV relativeFrom="paragraph">
              <wp:align>top</wp:align>
            </wp:positionV>
            <wp:extent cx="914400" cy="914400"/>
            <wp:effectExtent l="0" t="0" r="0" b="0"/>
            <wp:wrapSquare wrapText="bothSides"/>
            <wp:docPr id="7" name="Elemento grafico 7"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Pr>
          <w:noProof/>
        </w:rPr>
        <w:t xml:space="preserve">In caso di </w:t>
      </w:r>
      <w:r w:rsidRPr="009622A7">
        <w:rPr>
          <w:b/>
          <w:bCs/>
          <w:noProof/>
        </w:rPr>
        <w:t>contemporaneo esercizio di attività professionale e d’impresa</w:t>
      </w:r>
      <w:r w:rsidRPr="007F5968">
        <w:t xml:space="preserve"> non si ravvisano, in linea di principio, preclusioni alla maturazione in capo al medesimo contribuente </w:t>
      </w:r>
      <w:r>
        <w:t>di entrambi i crediti d’imposta (4.0 e NON)</w:t>
      </w:r>
      <w:r w:rsidRPr="007F5968">
        <w:t xml:space="preserve"> in relazione agli investimenti effettuati nell’ambito dell’attività imprenditoriale e di quella di lavoro autonomo derivante dall’esercizio di arti e professioni, attesa l’assenza di esplicite indicazioni di segno contrario nella disciplina agevolativa. Sarà cura del soggetto beneficiario, ai fini dei successivi controlli, provvedere, sul piano contabile e documentale, a separare correttamente le spese ammissibili considerate rilevanti per il calcolo del credito d’imposta</w:t>
      </w:r>
      <w:r>
        <w:t xml:space="preserve"> (Circolare n. 9</w:t>
      </w:r>
      <w:r w:rsidR="006C00D7">
        <w:t>/E</w:t>
      </w:r>
      <w:r>
        <w:t xml:space="preserve"> del 23 luglio 2021).</w:t>
      </w:r>
    </w:p>
    <w:p w14:paraId="38F790E2" w14:textId="106FF0AC" w:rsidR="00803A44" w:rsidRDefault="00803A44" w:rsidP="001B4BF6">
      <w:pPr>
        <w:shd w:val="clear" w:color="auto" w:fill="FFFFFF"/>
        <w:spacing w:line="360" w:lineRule="auto"/>
        <w:jc w:val="both"/>
        <w:rPr>
          <w:rFonts w:cs="Tahoma"/>
          <w:bCs/>
          <w:szCs w:val="20"/>
        </w:rPr>
      </w:pPr>
      <w:r w:rsidRPr="00803A44">
        <w:rPr>
          <w:rFonts w:cs="Tahoma"/>
          <w:bCs/>
          <w:szCs w:val="20"/>
        </w:rPr>
        <w:t xml:space="preserve">Con riferimento agli esercenti arti e professioni, si evidenzia che la disposizione in argomento si applica ai contribuenti che </w:t>
      </w:r>
      <w:r w:rsidRPr="00803A44">
        <w:rPr>
          <w:rFonts w:cs="Tahoma"/>
          <w:b/>
          <w:szCs w:val="20"/>
        </w:rPr>
        <w:t>esercitano le attività di lavoro autonomo</w:t>
      </w:r>
      <w:r w:rsidRPr="00803A44">
        <w:rPr>
          <w:rFonts w:cs="Tahoma"/>
          <w:bCs/>
          <w:szCs w:val="20"/>
        </w:rPr>
        <w:t xml:space="preserve">, anche </w:t>
      </w:r>
      <w:r w:rsidRPr="00803A44">
        <w:rPr>
          <w:rFonts w:cs="Tahoma"/>
          <w:b/>
          <w:szCs w:val="20"/>
        </w:rPr>
        <w:t>se svolte in forma associata</w:t>
      </w:r>
      <w:r w:rsidRPr="00803A44">
        <w:rPr>
          <w:rFonts w:cs="Tahoma"/>
          <w:bCs/>
          <w:szCs w:val="20"/>
        </w:rPr>
        <w:t>, ai sensi dell’articolo 53, comma 1, del Tuir.</w:t>
      </w:r>
    </w:p>
    <w:p w14:paraId="4C0E54E7" w14:textId="4BBC9771" w:rsidR="001B4BF6" w:rsidRDefault="00024502" w:rsidP="00424E33">
      <w:pPr>
        <w:shd w:val="clear" w:color="auto" w:fill="FFFFFF"/>
        <w:spacing w:line="360" w:lineRule="auto"/>
        <w:jc w:val="both"/>
        <w:rPr>
          <w:rFonts w:cs="Tahoma"/>
          <w:bCs/>
          <w:szCs w:val="20"/>
        </w:rPr>
      </w:pPr>
      <w:r w:rsidRPr="00024502">
        <w:rPr>
          <w:rFonts w:cs="Tahoma"/>
          <w:bCs/>
          <w:szCs w:val="20"/>
        </w:rPr>
        <w:t xml:space="preserve">Rientrano, quindi, nella categoria dei soggetti esercenti arti e professioni </w:t>
      </w:r>
      <w:r w:rsidRPr="00024502">
        <w:rPr>
          <w:rFonts w:cs="Tahoma"/>
          <w:b/>
          <w:szCs w:val="20"/>
        </w:rPr>
        <w:t>anche le associazioni tra professionisti</w:t>
      </w:r>
      <w:r w:rsidRPr="00024502">
        <w:rPr>
          <w:rFonts w:cs="Tahoma"/>
          <w:bCs/>
          <w:szCs w:val="20"/>
        </w:rPr>
        <w:t xml:space="preserve"> di cui all’articolo 5, comma 3, lett. c), del Tuir.</w:t>
      </w:r>
    </w:p>
    <w:p w14:paraId="1D0AB9C5" w14:textId="212AEE15" w:rsidR="006D7ED9" w:rsidRDefault="006D7ED9" w:rsidP="00AF061C">
      <w:pPr>
        <w:spacing w:line="360" w:lineRule="auto"/>
        <w:jc w:val="both"/>
      </w:pPr>
      <w:r>
        <w:rPr>
          <w:noProof/>
        </w:rPr>
        <w:lastRenderedPageBreak/>
        <w:drawing>
          <wp:anchor distT="0" distB="0" distL="114300" distR="114300" simplePos="0" relativeHeight="251746816" behindDoc="0" locked="0" layoutInCell="1" allowOverlap="1" wp14:anchorId="019B56F8" wp14:editId="758FD137">
            <wp:simplePos x="716890" y="2699309"/>
            <wp:positionH relativeFrom="column">
              <wp:align>left</wp:align>
            </wp:positionH>
            <wp:positionV relativeFrom="paragraph">
              <wp:align>top</wp:align>
            </wp:positionV>
            <wp:extent cx="914400" cy="914400"/>
            <wp:effectExtent l="0" t="0" r="0" b="0"/>
            <wp:wrapSquare wrapText="bothSides"/>
            <wp:docPr id="6" name="Elemento grafico 6"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Pr="006D7ED9">
        <w:t>Si precisa</w:t>
      </w:r>
      <w:r>
        <w:t xml:space="preserve"> </w:t>
      </w:r>
      <w:r w:rsidRPr="006D7ED9">
        <w:t xml:space="preserve">che i commi 1051 e 1061 citati non pongono alcuna condizione riguardante la </w:t>
      </w:r>
      <w:r w:rsidRPr="006D7ED9">
        <w:rPr>
          <w:b/>
          <w:bCs/>
        </w:rPr>
        <w:t>data di inizio dell’attività</w:t>
      </w:r>
      <w:r w:rsidRPr="006D7ED9">
        <w:t xml:space="preserve"> e, pertanto, rientrano nell’ambito soggettivo di applicazione del beneficio anche i soggetti che intraprendono l’attività a partire dal periodo di imposta in corso alla data di entrata in vigore della disciplina in esame (i.e. 16 novembre 2020).</w:t>
      </w:r>
    </w:p>
    <w:p w14:paraId="06FC6FC7" w14:textId="1D58D819" w:rsidR="005808F8" w:rsidRDefault="005808F8" w:rsidP="00AF061C">
      <w:pPr>
        <w:spacing w:line="360" w:lineRule="auto"/>
        <w:jc w:val="both"/>
      </w:pPr>
    </w:p>
    <w:tbl>
      <w:tblPr>
        <w:tblStyle w:val="Grigliatabella"/>
        <w:tblW w:w="0" w:type="auto"/>
        <w:tblLook w:val="04A0" w:firstRow="1" w:lastRow="0" w:firstColumn="1" w:lastColumn="0" w:noHBand="0" w:noVBand="1"/>
      </w:tblPr>
      <w:tblGrid>
        <w:gridCol w:w="4814"/>
        <w:gridCol w:w="4814"/>
      </w:tblGrid>
      <w:tr w:rsidR="00C76ED3" w:rsidRPr="00C76ED3" w14:paraId="0C8CF836" w14:textId="77777777" w:rsidTr="00150341">
        <w:tc>
          <w:tcPr>
            <w:tcW w:w="4814" w:type="dxa"/>
            <w:shd w:val="clear" w:color="auto" w:fill="DBE5F1" w:themeFill="accent1" w:themeFillTint="33"/>
          </w:tcPr>
          <w:p w14:paraId="2C217789" w14:textId="77777777" w:rsidR="005808F8" w:rsidRPr="00C76ED3" w:rsidRDefault="005808F8" w:rsidP="004414B7">
            <w:pPr>
              <w:spacing w:before="60" w:after="60" w:line="326" w:lineRule="auto"/>
              <w:jc w:val="center"/>
              <w:rPr>
                <w:rFonts w:cs="Tahoma"/>
                <w:b/>
                <w:color w:val="000000" w:themeColor="text1"/>
                <w:szCs w:val="20"/>
              </w:rPr>
            </w:pPr>
            <w:r w:rsidRPr="00C76ED3">
              <w:rPr>
                <w:rFonts w:cs="Tahoma"/>
                <w:b/>
                <w:color w:val="000000" w:themeColor="text1"/>
                <w:szCs w:val="20"/>
              </w:rPr>
              <w:t>SOGGETTI INCLUSI</w:t>
            </w:r>
          </w:p>
        </w:tc>
        <w:tc>
          <w:tcPr>
            <w:tcW w:w="4814" w:type="dxa"/>
            <w:shd w:val="clear" w:color="auto" w:fill="DBE5F1" w:themeFill="accent1" w:themeFillTint="33"/>
          </w:tcPr>
          <w:p w14:paraId="1AF38DA0" w14:textId="77777777" w:rsidR="005808F8" w:rsidRPr="00C76ED3" w:rsidRDefault="005808F8" w:rsidP="004414B7">
            <w:pPr>
              <w:spacing w:before="60" w:after="60" w:line="326" w:lineRule="auto"/>
              <w:jc w:val="center"/>
              <w:rPr>
                <w:rFonts w:cs="Tahoma"/>
                <w:b/>
                <w:color w:val="000000" w:themeColor="text1"/>
                <w:szCs w:val="20"/>
              </w:rPr>
            </w:pPr>
            <w:r w:rsidRPr="00C76ED3">
              <w:rPr>
                <w:rFonts w:cs="Tahoma"/>
                <w:b/>
                <w:color w:val="000000" w:themeColor="text1"/>
                <w:szCs w:val="20"/>
              </w:rPr>
              <w:t>SOGGETTI ESCLUSI</w:t>
            </w:r>
          </w:p>
        </w:tc>
      </w:tr>
      <w:tr w:rsidR="00C76ED3" w:rsidRPr="00C76ED3" w14:paraId="4AE48B18" w14:textId="77777777" w:rsidTr="00150341">
        <w:tc>
          <w:tcPr>
            <w:tcW w:w="4814" w:type="dxa"/>
          </w:tcPr>
          <w:p w14:paraId="12CAC3CD" w14:textId="77777777" w:rsidR="005808F8" w:rsidRPr="00C76ED3" w:rsidRDefault="005808F8"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Imprese residenti nel territorio dello Stato</w:t>
            </w:r>
          </w:p>
          <w:p w14:paraId="5D61E62C" w14:textId="6241D441" w:rsidR="005808F8" w:rsidRPr="00C76ED3" w:rsidRDefault="005808F8"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esercenti arti e professioni</w:t>
            </w:r>
          </w:p>
          <w:p w14:paraId="6FDBC5F9" w14:textId="5E83271E" w:rsidR="005808F8" w:rsidRPr="00C76ED3" w:rsidRDefault="005808F8"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associazioni tra professionisti</w:t>
            </w:r>
          </w:p>
        </w:tc>
        <w:tc>
          <w:tcPr>
            <w:tcW w:w="4814" w:type="dxa"/>
          </w:tcPr>
          <w:p w14:paraId="5D46D4B2" w14:textId="77777777" w:rsidR="005808F8" w:rsidRPr="00C76ED3" w:rsidRDefault="005808F8" w:rsidP="00C76ED3">
            <w:pPr>
              <w:spacing w:before="60" w:after="60" w:line="326" w:lineRule="auto"/>
              <w:jc w:val="both"/>
              <w:rPr>
                <w:rFonts w:cs="Tahoma"/>
                <w:bCs/>
                <w:color w:val="000000" w:themeColor="text1"/>
                <w:szCs w:val="20"/>
              </w:rPr>
            </w:pPr>
            <w:r w:rsidRPr="00C76ED3">
              <w:rPr>
                <w:rFonts w:cs="Tahoma"/>
                <w:bCs/>
                <w:color w:val="000000" w:themeColor="text1"/>
                <w:szCs w:val="20"/>
              </w:rPr>
              <w:t xml:space="preserve">Sono </w:t>
            </w:r>
            <w:r w:rsidRPr="00C76ED3">
              <w:rPr>
                <w:rFonts w:cs="Tahoma"/>
                <w:b/>
                <w:color w:val="000000" w:themeColor="text1"/>
                <w:szCs w:val="20"/>
              </w:rPr>
              <w:t>escluse le imprese</w:t>
            </w:r>
            <w:r w:rsidRPr="00C76ED3">
              <w:rPr>
                <w:rFonts w:cs="Tahoma"/>
                <w:bCs/>
                <w:color w:val="000000" w:themeColor="text1"/>
                <w:szCs w:val="20"/>
              </w:rPr>
              <w:t>:</w:t>
            </w:r>
          </w:p>
          <w:p w14:paraId="015A9898" w14:textId="77777777" w:rsidR="005808F8" w:rsidRPr="00C76ED3" w:rsidRDefault="005808F8"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
                <w:color w:val="000000" w:themeColor="text1"/>
                <w:szCs w:val="20"/>
              </w:rPr>
              <w:t>in stato di crisi</w:t>
            </w:r>
            <w:r w:rsidRPr="00C76ED3">
              <w:rPr>
                <w:rFonts w:cs="Tahoma"/>
                <w:bCs/>
                <w:color w:val="000000" w:themeColor="text1"/>
                <w:szCs w:val="20"/>
              </w:rPr>
              <w:t xml:space="preserve"> e più precisamente in liquidazione volontaria, fallimento, liquidazione coatta amministrativa, concordato preventivo senza continuità aziendale o altra procedura concorsuale prevista dalla legge fallimentare (regio decreto 16 marzo 1942, n. 267), dal Codice della crisi d’impresa e dell’insolvenza (decreto legislativo 12 gennaio 2019, n. 14) o da altre leggi speciali</w:t>
            </w:r>
          </w:p>
          <w:p w14:paraId="0B9CB03A" w14:textId="77777777" w:rsidR="005808F8" w:rsidRPr="00C76ED3" w:rsidRDefault="005808F8"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con in corso un procedimento per la dichiarazione di una delle situazioni di cui al punto che precede</w:t>
            </w:r>
          </w:p>
          <w:p w14:paraId="15214C9C" w14:textId="77777777" w:rsidR="005808F8" w:rsidRPr="00C76ED3" w:rsidRDefault="005808F8"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 xml:space="preserve">destinatarie di </w:t>
            </w:r>
            <w:r w:rsidRPr="00C76ED3">
              <w:rPr>
                <w:rFonts w:cs="Tahoma"/>
                <w:b/>
                <w:color w:val="000000" w:themeColor="text1"/>
                <w:szCs w:val="20"/>
              </w:rPr>
              <w:t>sanzioni interdittive</w:t>
            </w:r>
            <w:r w:rsidRPr="00C76ED3">
              <w:rPr>
                <w:rFonts w:cs="Tahoma"/>
                <w:bCs/>
                <w:color w:val="000000" w:themeColor="text1"/>
                <w:szCs w:val="20"/>
              </w:rPr>
              <w:t>, ai sensi dell’articolo 9, comma 2, del decreto legislativo 8 giugno 2001, n. 231 (recante “Disciplina della responsabilità amministrativa delle persone giuridiche, delle società e delle associazioni anche prive di personalità giuridica”</w:t>
            </w:r>
          </w:p>
          <w:p w14:paraId="3170AE89" w14:textId="52ED368F" w:rsidR="005808F8" w:rsidRPr="00C76ED3" w:rsidRDefault="005808F8" w:rsidP="00C76ED3">
            <w:pPr>
              <w:pStyle w:val="Paragrafoelenco"/>
              <w:numPr>
                <w:ilvl w:val="0"/>
                <w:numId w:val="5"/>
              </w:numPr>
              <w:spacing w:before="60" w:after="60" w:line="326" w:lineRule="auto"/>
              <w:jc w:val="both"/>
              <w:rPr>
                <w:rFonts w:cs="Tahoma"/>
                <w:bCs/>
                <w:color w:val="000000" w:themeColor="text1"/>
                <w:szCs w:val="20"/>
              </w:rPr>
            </w:pPr>
            <w:r w:rsidRPr="00C76ED3">
              <w:rPr>
                <w:rFonts w:cs="Tahoma"/>
                <w:bCs/>
                <w:color w:val="000000" w:themeColor="text1"/>
                <w:szCs w:val="20"/>
              </w:rPr>
              <w:t xml:space="preserve">in presenza di </w:t>
            </w:r>
            <w:r w:rsidRPr="00C76ED3">
              <w:rPr>
                <w:rFonts w:cs="Tahoma"/>
                <w:b/>
                <w:color w:val="000000" w:themeColor="text1"/>
                <w:szCs w:val="20"/>
              </w:rPr>
              <w:t>DURC irregolare</w:t>
            </w:r>
            <w:r w:rsidRPr="00C76ED3">
              <w:rPr>
                <w:rFonts w:cs="Tahoma"/>
                <w:bCs/>
                <w:color w:val="000000" w:themeColor="text1"/>
                <w:szCs w:val="20"/>
              </w:rPr>
              <w:t>, altrimenti detto “negativo”, ossia richiesto e non rilasciato per irregolarità contributiva nei confronti di Inps, Inail e Casse edili</w:t>
            </w:r>
          </w:p>
        </w:tc>
      </w:tr>
    </w:tbl>
    <w:p w14:paraId="7466F066" w14:textId="77777777" w:rsidR="005808F8" w:rsidRPr="00EE2309" w:rsidRDefault="005808F8" w:rsidP="00AF061C">
      <w:pPr>
        <w:spacing w:line="360" w:lineRule="auto"/>
        <w:jc w:val="both"/>
      </w:pPr>
    </w:p>
    <w:p w14:paraId="3556A0D4" w14:textId="77777777" w:rsidR="00C76ED3" w:rsidRDefault="00C76ED3">
      <w:pPr>
        <w:spacing w:after="0" w:line="240" w:lineRule="auto"/>
        <w:rPr>
          <w:rFonts w:cs="Tahoma"/>
          <w:bCs/>
          <w:szCs w:val="20"/>
        </w:rPr>
        <w:sectPr w:rsidR="00C76ED3" w:rsidSect="00A90ED0">
          <w:pgSz w:w="11906" w:h="16838"/>
          <w:pgMar w:top="833" w:right="1134" w:bottom="1134" w:left="1134" w:header="708" w:footer="708" w:gutter="0"/>
          <w:cols w:space="708"/>
          <w:titlePg/>
          <w:docGrid w:linePitch="360"/>
        </w:sectPr>
      </w:pPr>
    </w:p>
    <w:p w14:paraId="7794F498" w14:textId="1913D86B" w:rsidR="0047017F" w:rsidRPr="00380A75" w:rsidRDefault="00C76ED3" w:rsidP="0047017F">
      <w:pPr>
        <w:shd w:val="clear" w:color="auto" w:fill="FFFFFF"/>
        <w:spacing w:before="120" w:after="0" w:line="240" w:lineRule="auto"/>
        <w:jc w:val="center"/>
        <w:rPr>
          <w:b/>
          <w:bCs/>
          <w:sz w:val="32"/>
          <w:szCs w:val="32"/>
        </w:rPr>
      </w:pPr>
      <w:r>
        <w:rPr>
          <w:b/>
          <w:bCs/>
          <w:sz w:val="32"/>
          <w:szCs w:val="32"/>
        </w:rPr>
        <w:lastRenderedPageBreak/>
        <w:t>3.</w:t>
      </w:r>
    </w:p>
    <w:bookmarkStart w:id="18" w:name="_Toc93327702"/>
    <w:p w14:paraId="28785026" w14:textId="39709F3A" w:rsidR="0047017F" w:rsidRPr="00D40DBB" w:rsidRDefault="0047017F" w:rsidP="0047017F">
      <w:pPr>
        <w:pStyle w:val="Titolo"/>
      </w:pPr>
      <w:r>
        <w:rPr>
          <w:noProof/>
        </w:rPr>
        <mc:AlternateContent>
          <mc:Choice Requires="wps">
            <w:drawing>
              <wp:anchor distT="4294967291" distB="4294967291" distL="114300" distR="114300" simplePos="0" relativeHeight="251752960" behindDoc="0" locked="0" layoutInCell="1" allowOverlap="1" wp14:anchorId="220CDC88" wp14:editId="62750467">
                <wp:simplePos x="0" y="0"/>
                <wp:positionH relativeFrom="margin">
                  <wp:align>center</wp:align>
                </wp:positionH>
                <wp:positionV relativeFrom="paragraph">
                  <wp:posOffset>80118</wp:posOffset>
                </wp:positionV>
                <wp:extent cx="2438400" cy="0"/>
                <wp:effectExtent l="0" t="0" r="0" b="0"/>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CE90F3E" id="_x0000_t32" coordsize="21600,21600" o:spt="32" o:oned="t" path="m,l21600,21600e" filled="f">
                <v:path arrowok="t" fillok="f" o:connecttype="none"/>
                <o:lock v:ext="edit" shapetype="t"/>
              </v:shapetype>
              <v:shape id="AutoShape 120" o:spid="_x0000_s1026" type="#_x0000_t32" style="position:absolute;margin-left:0;margin-top:6.3pt;width:192pt;height:0;z-index:251752960;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rsidR="00054F54">
        <w:t>Investimenti agevolati</w:t>
      </w:r>
      <w:bookmarkEnd w:id="18"/>
    </w:p>
    <w:p w14:paraId="2AA78F0F" w14:textId="77777777" w:rsidR="0047017F" w:rsidRDefault="0047017F" w:rsidP="0047017F">
      <w:pPr>
        <w:pStyle w:val="Titolo2"/>
        <w:spacing w:line="360" w:lineRule="auto"/>
      </w:pPr>
    </w:p>
    <w:p w14:paraId="7927F056" w14:textId="77777777" w:rsidR="0047017F" w:rsidRDefault="0047017F" w:rsidP="0047017F">
      <w:pPr>
        <w:pStyle w:val="Titolo2"/>
        <w:spacing w:line="360" w:lineRule="auto"/>
      </w:pPr>
    </w:p>
    <w:p w14:paraId="0C3C14CC" w14:textId="77777777" w:rsidR="0047017F" w:rsidRDefault="0047017F" w:rsidP="0047017F">
      <w:pPr>
        <w:pStyle w:val="Titolo2"/>
        <w:spacing w:line="360" w:lineRule="auto"/>
      </w:pPr>
    </w:p>
    <w:p w14:paraId="77F68BD4" w14:textId="77777777" w:rsidR="0047017F" w:rsidRDefault="0047017F" w:rsidP="0047017F">
      <w:pPr>
        <w:pStyle w:val="Titolo2"/>
        <w:spacing w:line="360" w:lineRule="auto"/>
      </w:pPr>
    </w:p>
    <w:p w14:paraId="485F4D49" w14:textId="77777777" w:rsidR="0047017F" w:rsidRDefault="0047017F" w:rsidP="0047017F">
      <w:pPr>
        <w:pStyle w:val="Titolo2"/>
        <w:spacing w:line="360" w:lineRule="auto"/>
      </w:pPr>
    </w:p>
    <w:p w14:paraId="0B24BA5F" w14:textId="77777777" w:rsidR="0047017F" w:rsidRDefault="0047017F" w:rsidP="0047017F">
      <w:pPr>
        <w:pStyle w:val="Titolo2"/>
        <w:spacing w:line="360" w:lineRule="auto"/>
      </w:pPr>
    </w:p>
    <w:p w14:paraId="1B0E819E" w14:textId="1546922B" w:rsidR="0047017F" w:rsidRPr="002247B4" w:rsidRDefault="0047017F" w:rsidP="0047017F">
      <w:pPr>
        <w:pStyle w:val="Titolo2"/>
      </w:pPr>
      <w:bookmarkStart w:id="19" w:name="_Toc93327703"/>
      <w:r>
        <w:t>3</w:t>
      </w:r>
      <w:r w:rsidRPr="002247B4">
        <w:t xml:space="preserve">.1 </w:t>
      </w:r>
      <w:r w:rsidR="00736B18">
        <w:t>Beni strumentali</w:t>
      </w:r>
      <w:r w:rsidR="001D6891">
        <w:t xml:space="preserve"> nuovi</w:t>
      </w:r>
      <w:r w:rsidR="00146764">
        <w:t>: caratteristiche generali</w:t>
      </w:r>
      <w:bookmarkEnd w:id="19"/>
    </w:p>
    <w:p w14:paraId="0365B291" w14:textId="77777777" w:rsidR="00736B18" w:rsidRDefault="00054F54" w:rsidP="00054F54">
      <w:pPr>
        <w:shd w:val="clear" w:color="auto" w:fill="FFFFFF"/>
        <w:spacing w:line="360" w:lineRule="auto"/>
        <w:jc w:val="both"/>
        <w:rPr>
          <w:rFonts w:cs="Tahoma"/>
          <w:bCs/>
          <w:szCs w:val="20"/>
        </w:rPr>
      </w:pPr>
      <w:r w:rsidRPr="00054F54">
        <w:rPr>
          <w:rFonts w:cs="Tahoma"/>
          <w:bCs/>
          <w:szCs w:val="20"/>
        </w:rPr>
        <w:t xml:space="preserve">Sono agevolabili gli investimenti in </w:t>
      </w:r>
      <w:r w:rsidRPr="00736B18">
        <w:rPr>
          <w:rFonts w:cs="Tahoma"/>
          <w:b/>
          <w:szCs w:val="20"/>
        </w:rPr>
        <w:t>beni materiali</w:t>
      </w:r>
      <w:r w:rsidRPr="00054F54">
        <w:rPr>
          <w:rFonts w:cs="Tahoma"/>
          <w:bCs/>
          <w:szCs w:val="20"/>
        </w:rPr>
        <w:t xml:space="preserve"> e </w:t>
      </w:r>
      <w:r w:rsidRPr="00736B18">
        <w:rPr>
          <w:rFonts w:cs="Tahoma"/>
          <w:b/>
          <w:szCs w:val="20"/>
        </w:rPr>
        <w:t>immateriali nuovi strumentali all'esercizio d'impresa</w:t>
      </w:r>
      <w:r w:rsidRPr="00054F54">
        <w:rPr>
          <w:rFonts w:cs="Tahoma"/>
          <w:bCs/>
          <w:szCs w:val="20"/>
        </w:rPr>
        <w:t xml:space="preserve">, </w:t>
      </w:r>
      <w:r w:rsidRPr="00193AB6">
        <w:rPr>
          <w:rFonts w:cs="Tahoma"/>
          <w:b/>
          <w:szCs w:val="20"/>
        </w:rPr>
        <w:t>ad</w:t>
      </w:r>
      <w:r w:rsidR="00736B18" w:rsidRPr="00193AB6">
        <w:rPr>
          <w:rFonts w:cs="Tahoma"/>
          <w:b/>
          <w:szCs w:val="20"/>
        </w:rPr>
        <w:t xml:space="preserve"> </w:t>
      </w:r>
      <w:r w:rsidRPr="00193AB6">
        <w:rPr>
          <w:rFonts w:cs="Tahoma"/>
          <w:b/>
          <w:szCs w:val="20"/>
        </w:rPr>
        <w:t>eccezione</w:t>
      </w:r>
      <w:r w:rsidR="00736B18">
        <w:rPr>
          <w:rFonts w:cs="Tahoma"/>
          <w:bCs/>
          <w:szCs w:val="20"/>
        </w:rPr>
        <w:t>:</w:t>
      </w:r>
    </w:p>
    <w:p w14:paraId="11DF893F" w14:textId="31F7FADF" w:rsidR="00736B18" w:rsidRPr="00C76ED3" w:rsidRDefault="00054F54" w:rsidP="00AE49EC">
      <w:pPr>
        <w:pStyle w:val="Paragrafoelenco"/>
        <w:numPr>
          <w:ilvl w:val="0"/>
          <w:numId w:val="49"/>
        </w:numPr>
        <w:shd w:val="clear" w:color="auto" w:fill="FFFFFF"/>
        <w:spacing w:line="360" w:lineRule="auto"/>
        <w:jc w:val="both"/>
        <w:rPr>
          <w:rFonts w:cs="Tahoma"/>
          <w:bCs/>
          <w:szCs w:val="20"/>
        </w:rPr>
      </w:pPr>
      <w:r w:rsidRPr="00C76ED3">
        <w:rPr>
          <w:rFonts w:cs="Tahoma"/>
          <w:b/>
          <w:szCs w:val="20"/>
        </w:rPr>
        <w:t>dei beni indicati all'articolo 164</w:t>
      </w:r>
      <w:r w:rsidRPr="00C76ED3">
        <w:rPr>
          <w:rFonts w:cs="Tahoma"/>
          <w:bCs/>
          <w:szCs w:val="20"/>
        </w:rPr>
        <w:t xml:space="preserve">, </w:t>
      </w:r>
      <w:r w:rsidRPr="00C76ED3">
        <w:rPr>
          <w:rFonts w:cs="Tahoma"/>
          <w:b/>
          <w:szCs w:val="20"/>
        </w:rPr>
        <w:t>comma 1</w:t>
      </w:r>
      <w:r w:rsidRPr="00C76ED3">
        <w:rPr>
          <w:rFonts w:cs="Tahoma"/>
          <w:bCs/>
          <w:szCs w:val="20"/>
        </w:rPr>
        <w:t>, del testo unico delle imposte sui redditi, di cui al decreto del</w:t>
      </w:r>
      <w:r w:rsidR="00736B18" w:rsidRPr="00C76ED3">
        <w:rPr>
          <w:rFonts w:cs="Tahoma"/>
          <w:bCs/>
          <w:szCs w:val="20"/>
        </w:rPr>
        <w:t xml:space="preserve"> </w:t>
      </w:r>
      <w:r w:rsidRPr="00C76ED3">
        <w:rPr>
          <w:rFonts w:cs="Tahoma"/>
          <w:bCs/>
          <w:szCs w:val="20"/>
        </w:rPr>
        <w:t>Presidente della Repubblica 22 dicembre 1986, n. 917</w:t>
      </w:r>
      <w:r w:rsidR="005808F8" w:rsidRPr="00C76ED3">
        <w:rPr>
          <w:rFonts w:cs="Tahoma"/>
          <w:bCs/>
          <w:szCs w:val="20"/>
        </w:rPr>
        <w:t xml:space="preserve"> (es. autovetture assegnate ai dipendenti);</w:t>
      </w:r>
    </w:p>
    <w:p w14:paraId="7A222F4B" w14:textId="77777777" w:rsidR="00736B18" w:rsidRPr="00C76ED3" w:rsidRDefault="00054F54" w:rsidP="00AE49EC">
      <w:pPr>
        <w:pStyle w:val="Paragrafoelenco"/>
        <w:numPr>
          <w:ilvl w:val="0"/>
          <w:numId w:val="49"/>
        </w:numPr>
        <w:shd w:val="clear" w:color="auto" w:fill="FFFFFF"/>
        <w:spacing w:line="360" w:lineRule="auto"/>
        <w:jc w:val="both"/>
        <w:rPr>
          <w:rFonts w:cs="Tahoma"/>
          <w:bCs/>
          <w:szCs w:val="20"/>
        </w:rPr>
      </w:pPr>
      <w:r w:rsidRPr="00C76ED3">
        <w:rPr>
          <w:rFonts w:cs="Tahoma"/>
          <w:bCs/>
          <w:szCs w:val="20"/>
        </w:rPr>
        <w:t>dei beni per i quali il decreto del Ministro delle finanze 31</w:t>
      </w:r>
      <w:r w:rsidR="00736B18" w:rsidRPr="00C76ED3">
        <w:rPr>
          <w:rFonts w:cs="Tahoma"/>
          <w:bCs/>
          <w:szCs w:val="20"/>
        </w:rPr>
        <w:t xml:space="preserve"> </w:t>
      </w:r>
      <w:r w:rsidRPr="00C76ED3">
        <w:rPr>
          <w:rFonts w:cs="Tahoma"/>
          <w:bCs/>
          <w:szCs w:val="20"/>
        </w:rPr>
        <w:t>dicembre 1988, pubblicato nel supplemento ordinario alla Gazzetta Ufficiale n. 27 del 2 febbraio 1989, recante la</w:t>
      </w:r>
      <w:r w:rsidR="00736B18" w:rsidRPr="00C76ED3">
        <w:rPr>
          <w:rFonts w:cs="Tahoma"/>
          <w:bCs/>
          <w:szCs w:val="20"/>
        </w:rPr>
        <w:t xml:space="preserve"> </w:t>
      </w:r>
      <w:r w:rsidRPr="00C76ED3">
        <w:rPr>
          <w:rFonts w:cs="Tahoma"/>
          <w:bCs/>
          <w:szCs w:val="20"/>
        </w:rPr>
        <w:t xml:space="preserve">tabella dei coefficienti di ammortamento ai fini fiscali, </w:t>
      </w:r>
      <w:r w:rsidRPr="00C76ED3">
        <w:rPr>
          <w:rFonts w:cs="Tahoma"/>
          <w:b/>
          <w:szCs w:val="20"/>
        </w:rPr>
        <w:t>stabilisce aliquote inferiori al 6,5 per cento</w:t>
      </w:r>
      <w:r w:rsidRPr="00C76ED3">
        <w:rPr>
          <w:rFonts w:cs="Tahoma"/>
          <w:bCs/>
          <w:szCs w:val="20"/>
        </w:rPr>
        <w:t>, dei fabbricati e delle</w:t>
      </w:r>
      <w:r w:rsidR="00736B18" w:rsidRPr="00C76ED3">
        <w:rPr>
          <w:rFonts w:cs="Tahoma"/>
          <w:bCs/>
          <w:szCs w:val="20"/>
        </w:rPr>
        <w:t xml:space="preserve"> </w:t>
      </w:r>
      <w:r w:rsidRPr="00C76ED3">
        <w:rPr>
          <w:rFonts w:cs="Tahoma"/>
          <w:bCs/>
          <w:szCs w:val="20"/>
        </w:rPr>
        <w:t>costruzioni, dei beni di cui all'allegato 3 annesso alla legge 28 dicembre 2015, n. 208,</w:t>
      </w:r>
    </w:p>
    <w:p w14:paraId="1D4ACDD7" w14:textId="6D31FE5C" w:rsidR="003A5E71" w:rsidRPr="00C76ED3" w:rsidRDefault="00736B18" w:rsidP="00AE49EC">
      <w:pPr>
        <w:pStyle w:val="Paragrafoelenco"/>
        <w:numPr>
          <w:ilvl w:val="0"/>
          <w:numId w:val="49"/>
        </w:numPr>
        <w:shd w:val="clear" w:color="auto" w:fill="FFFFFF"/>
        <w:spacing w:line="360" w:lineRule="auto"/>
        <w:jc w:val="both"/>
        <w:rPr>
          <w:rFonts w:cs="Tahoma"/>
          <w:bCs/>
          <w:szCs w:val="20"/>
        </w:rPr>
      </w:pPr>
      <w:r w:rsidRPr="00C76ED3">
        <w:rPr>
          <w:rFonts w:cs="Tahoma"/>
          <w:bCs/>
          <w:szCs w:val="20"/>
        </w:rPr>
        <w:t>nonché</w:t>
      </w:r>
      <w:r w:rsidR="00054F54" w:rsidRPr="00C76ED3">
        <w:rPr>
          <w:rFonts w:cs="Tahoma"/>
          <w:bCs/>
          <w:szCs w:val="20"/>
        </w:rPr>
        <w:t xml:space="preserve"> dei </w:t>
      </w:r>
      <w:r w:rsidR="00054F54" w:rsidRPr="00C76ED3">
        <w:rPr>
          <w:rFonts w:cs="Tahoma"/>
          <w:b/>
          <w:szCs w:val="20"/>
        </w:rPr>
        <w:t>beni</w:t>
      </w:r>
      <w:r w:rsidRPr="00C76ED3">
        <w:rPr>
          <w:rFonts w:cs="Tahoma"/>
          <w:b/>
          <w:szCs w:val="20"/>
        </w:rPr>
        <w:t xml:space="preserve"> </w:t>
      </w:r>
      <w:r w:rsidR="00054F54" w:rsidRPr="00C76ED3">
        <w:rPr>
          <w:rFonts w:cs="Tahoma"/>
          <w:b/>
          <w:szCs w:val="20"/>
        </w:rPr>
        <w:t>gratuitamente devolvibili delle imprese operanti in concessione</w:t>
      </w:r>
      <w:r w:rsidR="00054F54" w:rsidRPr="00C76ED3">
        <w:rPr>
          <w:rFonts w:cs="Tahoma"/>
          <w:bCs/>
          <w:szCs w:val="20"/>
        </w:rPr>
        <w:t xml:space="preserve"> e </w:t>
      </w:r>
      <w:r w:rsidR="00054F54" w:rsidRPr="00C76ED3">
        <w:rPr>
          <w:rFonts w:cs="Tahoma"/>
          <w:b/>
          <w:szCs w:val="20"/>
        </w:rPr>
        <w:t>a tariffa</w:t>
      </w:r>
      <w:r w:rsidR="00054F54" w:rsidRPr="00C76ED3">
        <w:rPr>
          <w:rFonts w:cs="Tahoma"/>
          <w:bCs/>
          <w:szCs w:val="20"/>
        </w:rPr>
        <w:t xml:space="preserve"> nei settori dell'energia, dell'acqua, dei</w:t>
      </w:r>
      <w:r w:rsidRPr="00C76ED3">
        <w:rPr>
          <w:rFonts w:cs="Tahoma"/>
          <w:bCs/>
          <w:szCs w:val="20"/>
        </w:rPr>
        <w:t xml:space="preserve"> </w:t>
      </w:r>
      <w:r w:rsidR="00054F54" w:rsidRPr="00C76ED3">
        <w:rPr>
          <w:rFonts w:cs="Tahoma"/>
          <w:bCs/>
          <w:szCs w:val="20"/>
        </w:rPr>
        <w:t xml:space="preserve">trasporti, delle infrastrutture, delle poste, delle telecomunicazioni, della </w:t>
      </w:r>
      <w:bookmarkStart w:id="20" w:name="_Hlk90490841"/>
      <w:r w:rsidR="00054F54" w:rsidRPr="00C76ED3">
        <w:rPr>
          <w:rFonts w:cs="Tahoma"/>
          <w:bCs/>
          <w:szCs w:val="20"/>
        </w:rPr>
        <w:t>raccolta e depurazione delle acque di scarico</w:t>
      </w:r>
      <w:r w:rsidRPr="00C76ED3">
        <w:rPr>
          <w:rFonts w:cs="Tahoma"/>
          <w:bCs/>
          <w:szCs w:val="20"/>
        </w:rPr>
        <w:t xml:space="preserve"> </w:t>
      </w:r>
      <w:r w:rsidR="00054F54" w:rsidRPr="00C76ED3">
        <w:rPr>
          <w:rFonts w:cs="Tahoma"/>
          <w:bCs/>
          <w:szCs w:val="20"/>
        </w:rPr>
        <w:t>e della raccolta e smaltimento dei rifiuti.</w:t>
      </w:r>
    </w:p>
    <w:p w14:paraId="59C77883" w14:textId="5B0E1CF0" w:rsidR="003A5E71" w:rsidRDefault="003A5E71" w:rsidP="003A5E71">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92184A">
        <w:rPr>
          <w:i/>
          <w:iCs/>
        </w:rPr>
        <w:t>105</w:t>
      </w:r>
      <w:r>
        <w:rPr>
          <w:i/>
          <w:iCs/>
        </w:rPr>
        <w:t xml:space="preserve">3 </w:t>
      </w:r>
      <w:r w:rsidRPr="003A5E71">
        <w:rPr>
          <w:i/>
          <w:iCs/>
        </w:rPr>
        <w:t>Sono agevolabili gli investimenti in beni materiali e immateriali nuovi strumentali all'esercizio d'impresa, ad</w:t>
      </w:r>
      <w:r>
        <w:rPr>
          <w:i/>
          <w:iCs/>
        </w:rPr>
        <w:t xml:space="preserve"> </w:t>
      </w:r>
      <w:r w:rsidRPr="003A5E71">
        <w:rPr>
          <w:i/>
          <w:iCs/>
        </w:rPr>
        <w:t>eccezione dei beni indicati all'articolo 164, comma 1, del testo unico delle imposte sui redditi, di cui al decreto del</w:t>
      </w:r>
      <w:r>
        <w:rPr>
          <w:i/>
          <w:iCs/>
        </w:rPr>
        <w:t xml:space="preserve"> </w:t>
      </w:r>
      <w:r w:rsidRPr="003A5E71">
        <w:rPr>
          <w:i/>
          <w:iCs/>
        </w:rPr>
        <w:t>Presidente della Repubblica 22 dicembre 1986, n. 917, dei beni per i quali il decreto del Ministro delle finanze 31</w:t>
      </w:r>
      <w:r>
        <w:rPr>
          <w:i/>
          <w:iCs/>
        </w:rPr>
        <w:t xml:space="preserve"> </w:t>
      </w:r>
      <w:r w:rsidRPr="003A5E71">
        <w:rPr>
          <w:i/>
          <w:iCs/>
        </w:rPr>
        <w:t>dicembre 1988, pubblicato nel supplemento ordinario alla Gazzetta Ufficiale n. 27 del 2 febbraio 1989, recante la</w:t>
      </w:r>
      <w:r>
        <w:rPr>
          <w:i/>
          <w:iCs/>
        </w:rPr>
        <w:t xml:space="preserve"> </w:t>
      </w:r>
      <w:r w:rsidRPr="003A5E71">
        <w:rPr>
          <w:i/>
          <w:iCs/>
        </w:rPr>
        <w:t>tabella dei coefficienti di ammortamento ai fini fiscali, stabilisce aliquote inferiori al 6,5 per cento, dei fabbricati e delle</w:t>
      </w:r>
      <w:r>
        <w:rPr>
          <w:i/>
          <w:iCs/>
        </w:rPr>
        <w:t xml:space="preserve"> </w:t>
      </w:r>
      <w:r w:rsidRPr="003A5E71">
        <w:rPr>
          <w:i/>
          <w:iCs/>
        </w:rPr>
        <w:t>costruzioni, dei beni di cui all'allegato 3 annesso alla legge 28 dicembre 2015, n. 208, nonché dei beni</w:t>
      </w:r>
      <w:r>
        <w:rPr>
          <w:i/>
          <w:iCs/>
        </w:rPr>
        <w:t xml:space="preserve"> </w:t>
      </w:r>
      <w:r w:rsidRPr="003A5E71">
        <w:rPr>
          <w:i/>
          <w:iCs/>
        </w:rPr>
        <w:t xml:space="preserve">gratuitamente devolvibili delle imprese operanti in concessione e a tariffa nei </w:t>
      </w:r>
      <w:r w:rsidRPr="003A5E71">
        <w:rPr>
          <w:i/>
          <w:iCs/>
        </w:rPr>
        <w:lastRenderedPageBreak/>
        <w:t>settori dell'energia, dell'acqua, dei</w:t>
      </w:r>
      <w:r>
        <w:rPr>
          <w:i/>
          <w:iCs/>
        </w:rPr>
        <w:t xml:space="preserve"> </w:t>
      </w:r>
      <w:r w:rsidRPr="003A5E71">
        <w:rPr>
          <w:i/>
          <w:iCs/>
        </w:rPr>
        <w:t>trasporti, delle infrastrutture, delle poste, delle telecomunicazioni, della raccolta e depurazione delle acque di scarico</w:t>
      </w:r>
      <w:r>
        <w:rPr>
          <w:i/>
          <w:iCs/>
        </w:rPr>
        <w:t xml:space="preserve"> </w:t>
      </w:r>
      <w:r w:rsidRPr="003A5E71">
        <w:rPr>
          <w:i/>
          <w:iCs/>
        </w:rPr>
        <w:t>e della raccolta e smaltimento dei rifiuti.</w:t>
      </w:r>
    </w:p>
    <w:p w14:paraId="387DFB93" w14:textId="57CEAF18" w:rsidR="003A5E71" w:rsidRPr="003A5E71" w:rsidRDefault="003A5E71" w:rsidP="003A5E71">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92184A">
        <w:t>Articolo 1, comma 105</w:t>
      </w:r>
      <w:r>
        <w:t>3</w:t>
      </w:r>
      <w:r w:rsidRPr="0092184A">
        <w:t>, Legge 178/2020</w:t>
      </w:r>
    </w:p>
    <w:bookmarkEnd w:id="20"/>
    <w:p w14:paraId="437C941C" w14:textId="12A5B511" w:rsidR="003A5E71" w:rsidRDefault="003A5E71" w:rsidP="003A5E71">
      <w:pPr>
        <w:shd w:val="clear" w:color="auto" w:fill="FFFFFF"/>
        <w:spacing w:line="360" w:lineRule="auto"/>
        <w:jc w:val="both"/>
        <w:rPr>
          <w:rFonts w:cs="Tahoma"/>
          <w:bCs/>
          <w:szCs w:val="20"/>
        </w:rPr>
      </w:pPr>
    </w:p>
    <w:p w14:paraId="3AF20B47" w14:textId="7DF78294" w:rsidR="00736B18" w:rsidRPr="00736B18" w:rsidRDefault="00736B18" w:rsidP="00736B18">
      <w:pPr>
        <w:shd w:val="clear" w:color="auto" w:fill="FFFFFF"/>
        <w:spacing w:line="360" w:lineRule="auto"/>
        <w:jc w:val="both"/>
        <w:rPr>
          <w:rFonts w:cs="Tahoma"/>
          <w:bCs/>
          <w:szCs w:val="20"/>
        </w:rPr>
      </w:pPr>
      <w:r w:rsidRPr="00736B18">
        <w:rPr>
          <w:rFonts w:cs="Tahoma"/>
          <w:bCs/>
          <w:szCs w:val="20"/>
        </w:rPr>
        <w:t xml:space="preserve">Il credito d’imposta in argomento riguarda </w:t>
      </w:r>
      <w:r>
        <w:rPr>
          <w:rFonts w:cs="Tahoma"/>
          <w:bCs/>
          <w:szCs w:val="20"/>
        </w:rPr>
        <w:t xml:space="preserve">pertanto </w:t>
      </w:r>
      <w:r w:rsidRPr="00736B18">
        <w:rPr>
          <w:rFonts w:cs="Tahoma"/>
          <w:bCs/>
          <w:szCs w:val="20"/>
        </w:rPr>
        <w:t xml:space="preserve">gli investimenti in beni </w:t>
      </w:r>
      <w:r w:rsidRPr="00736B18">
        <w:rPr>
          <w:rFonts w:cs="Tahoma"/>
          <w:b/>
          <w:szCs w:val="20"/>
        </w:rPr>
        <w:t>materiali strumentali</w:t>
      </w:r>
      <w:r w:rsidRPr="00107AF2">
        <w:rPr>
          <w:rFonts w:cs="Tahoma"/>
          <w:bCs/>
          <w:szCs w:val="20"/>
        </w:rPr>
        <w:t xml:space="preserve"> </w:t>
      </w:r>
      <w:r w:rsidRPr="00736B18">
        <w:rPr>
          <w:rFonts w:cs="Tahoma"/>
          <w:b/>
          <w:szCs w:val="20"/>
        </w:rPr>
        <w:t>“nuovi”</w:t>
      </w:r>
      <w:r w:rsidRPr="00736B18">
        <w:rPr>
          <w:rFonts w:cs="Tahoma"/>
          <w:bCs/>
          <w:szCs w:val="20"/>
        </w:rPr>
        <w:t>.</w:t>
      </w:r>
      <w:r>
        <w:rPr>
          <w:rFonts w:cs="Tahoma"/>
          <w:bCs/>
          <w:szCs w:val="20"/>
        </w:rPr>
        <w:t xml:space="preserve"> </w:t>
      </w:r>
      <w:r w:rsidRPr="00736B18">
        <w:rPr>
          <w:rFonts w:cs="Tahoma"/>
          <w:bCs/>
          <w:szCs w:val="20"/>
        </w:rPr>
        <w:t>Conseguentemente, l’agevolazione non spetta per gli investimenti in beni a qualunque titolo già utilizzati.</w:t>
      </w:r>
    </w:p>
    <w:p w14:paraId="72A7859F" w14:textId="77777777" w:rsidR="00736B18" w:rsidRPr="00736B18" w:rsidRDefault="00736B18" w:rsidP="00736B18">
      <w:pPr>
        <w:shd w:val="clear" w:color="auto" w:fill="FFFFFF"/>
        <w:spacing w:line="360" w:lineRule="auto"/>
        <w:jc w:val="both"/>
        <w:rPr>
          <w:rFonts w:cs="Tahoma"/>
          <w:bCs/>
          <w:szCs w:val="20"/>
        </w:rPr>
      </w:pPr>
      <w:r w:rsidRPr="00736B18">
        <w:rPr>
          <w:rFonts w:cs="Tahoma"/>
          <w:bCs/>
          <w:szCs w:val="20"/>
        </w:rPr>
        <w:t xml:space="preserve">Al riguardo, si segnala che può essere oggetto dell’agevolazione in esame in capo all’acquirente anche il bene che viene esposto in </w:t>
      </w:r>
      <w:r w:rsidRPr="00736B18">
        <w:rPr>
          <w:rFonts w:cs="Tahoma"/>
          <w:bCs/>
          <w:i/>
          <w:iCs/>
          <w:szCs w:val="20"/>
        </w:rPr>
        <w:t xml:space="preserve">show room </w:t>
      </w:r>
      <w:r w:rsidRPr="00736B18">
        <w:rPr>
          <w:rFonts w:cs="Tahoma"/>
          <w:bCs/>
          <w:szCs w:val="20"/>
        </w:rPr>
        <w:t xml:space="preserve">ed utilizzato esclusivamente dal rivenditore al </w:t>
      </w:r>
      <w:r w:rsidRPr="00736B18">
        <w:rPr>
          <w:rFonts w:cs="Tahoma"/>
          <w:b/>
          <w:szCs w:val="20"/>
        </w:rPr>
        <w:t>solo scopo dimostrativo</w:t>
      </w:r>
      <w:r w:rsidRPr="00736B18">
        <w:rPr>
          <w:rFonts w:cs="Tahoma"/>
          <w:bCs/>
          <w:szCs w:val="20"/>
        </w:rPr>
        <w:t xml:space="preserve">, in quanto l’esclusivo utilizzo del bene da parte del rivenditore ai soli fini dimostrativi </w:t>
      </w:r>
      <w:r w:rsidRPr="00736B18">
        <w:rPr>
          <w:rFonts w:cs="Tahoma"/>
          <w:b/>
          <w:szCs w:val="20"/>
        </w:rPr>
        <w:t>non fa perdere al bene il requisito della novità</w:t>
      </w:r>
      <w:r w:rsidRPr="00736B18">
        <w:rPr>
          <w:rFonts w:cs="Tahoma"/>
          <w:bCs/>
          <w:szCs w:val="20"/>
        </w:rPr>
        <w:t xml:space="preserve"> (cfr. circolare n. 4/E del 18 gennaio 2002, circolare n. 44/E del 27 ottobre 2009 e circolare n. 5/E del 19 gennaio 2015, circolare n. 23/E del 26 maggio 2016). A tal proposito, si precisa che non potrà fruire della maggiorazione in commento il bene che il cedente abbia in qualche modo utilizzato per scopi diversi dalla semplice esposizione come, ad esempio, l’autovettura che sia stata immessa su strada dal concessionario anche per motivi dimostrativi.</w:t>
      </w:r>
    </w:p>
    <w:p w14:paraId="4EFAB201" w14:textId="77777777" w:rsidR="00660953" w:rsidRDefault="00193AB6" w:rsidP="00736B18">
      <w:pPr>
        <w:shd w:val="clear" w:color="auto" w:fill="FFFFFF"/>
        <w:spacing w:line="360" w:lineRule="auto"/>
        <w:jc w:val="both"/>
        <w:rPr>
          <w:rFonts w:cs="Tahoma"/>
          <w:bCs/>
          <w:szCs w:val="20"/>
        </w:rPr>
      </w:pPr>
      <w:r>
        <w:rPr>
          <w:rFonts w:cs="Tahoma"/>
          <w:bCs/>
          <w:szCs w:val="20"/>
        </w:rPr>
        <w:t xml:space="preserve">Con riferimento ai </w:t>
      </w:r>
      <w:r w:rsidRPr="006D1CDF">
        <w:rPr>
          <w:rFonts w:cs="Tahoma"/>
          <w:b/>
          <w:szCs w:val="20"/>
        </w:rPr>
        <w:t>mezzi di trasporto aziendali</w:t>
      </w:r>
      <w:r>
        <w:rPr>
          <w:rFonts w:cs="Tahoma"/>
          <w:bCs/>
          <w:szCs w:val="20"/>
        </w:rPr>
        <w:t xml:space="preserve">, si segnala che a differenza delle autovetture </w:t>
      </w:r>
      <w:r w:rsidR="006D1CDF">
        <w:rPr>
          <w:rFonts w:cs="Tahoma"/>
          <w:bCs/>
          <w:szCs w:val="20"/>
        </w:rPr>
        <w:t xml:space="preserve">(auto </w:t>
      </w:r>
      <w:r>
        <w:rPr>
          <w:rFonts w:cs="Tahoma"/>
          <w:bCs/>
          <w:szCs w:val="20"/>
        </w:rPr>
        <w:t>aziendali o assegnate ai dipendenti</w:t>
      </w:r>
      <w:r w:rsidR="006D1CDF">
        <w:rPr>
          <w:rFonts w:cs="Tahoma"/>
          <w:bCs/>
          <w:szCs w:val="20"/>
        </w:rPr>
        <w:t>), per le quali vige apposita preclusione normativa (comma 1053, Legge 178/2020), gli autocar</w:t>
      </w:r>
      <w:r w:rsidR="00660953">
        <w:rPr>
          <w:rFonts w:cs="Tahoma"/>
          <w:bCs/>
          <w:szCs w:val="20"/>
        </w:rPr>
        <w:t>ri “nuovi” possono beneficiare del credito d’imposta (beni NON 4.0).</w:t>
      </w:r>
    </w:p>
    <w:p w14:paraId="6A95DE91" w14:textId="623F62EF" w:rsidR="00736B18" w:rsidRDefault="00660953" w:rsidP="00736B18">
      <w:pPr>
        <w:shd w:val="clear" w:color="auto" w:fill="FFFFFF"/>
        <w:spacing w:line="360" w:lineRule="auto"/>
        <w:jc w:val="both"/>
        <w:rPr>
          <w:rFonts w:cs="Tahoma"/>
          <w:bCs/>
          <w:szCs w:val="20"/>
        </w:rPr>
      </w:pPr>
      <w:r>
        <w:rPr>
          <w:rFonts w:cs="Tahoma"/>
          <w:bCs/>
          <w:szCs w:val="20"/>
        </w:rPr>
        <w:t xml:space="preserve">Come recentemente chiarito dall’Agenzia delle entrate (Risposte n. 542/2020 e 544/2020), in caso di acquisto di un </w:t>
      </w:r>
      <w:r w:rsidRPr="006359F1">
        <w:rPr>
          <w:rFonts w:cs="Tahoma"/>
          <w:b/>
          <w:szCs w:val="20"/>
        </w:rPr>
        <w:t>autocarro nuovo con parti automatizzate ed interconnesse</w:t>
      </w:r>
      <w:r>
        <w:rPr>
          <w:rFonts w:cs="Tahoma"/>
          <w:bCs/>
          <w:szCs w:val="20"/>
        </w:rPr>
        <w:t xml:space="preserve"> (strumenti e dispositivi per la misurazione, movimentazione, pesatura automatica, etc.) rientranti nel piano industria 4.0 (meglio definiti nei successivi paragrafi)</w:t>
      </w:r>
      <w:r w:rsidR="006359F1">
        <w:rPr>
          <w:rFonts w:cs="Tahoma"/>
          <w:bCs/>
          <w:szCs w:val="20"/>
        </w:rPr>
        <w:t>,</w:t>
      </w:r>
      <w:r>
        <w:rPr>
          <w:rFonts w:cs="Tahoma"/>
          <w:bCs/>
          <w:szCs w:val="20"/>
        </w:rPr>
        <w:t xml:space="preserve"> </w:t>
      </w:r>
      <w:r w:rsidR="006359F1" w:rsidRPr="006359F1">
        <w:rPr>
          <w:rFonts w:cs="Tahoma"/>
          <w:b/>
          <w:szCs w:val="20"/>
        </w:rPr>
        <w:t>solo tali strumenti</w:t>
      </w:r>
      <w:r w:rsidR="006359F1">
        <w:rPr>
          <w:rFonts w:cs="Tahoma"/>
          <w:bCs/>
          <w:szCs w:val="20"/>
        </w:rPr>
        <w:t xml:space="preserve"> (sistemi di movimentazione 4.0) </w:t>
      </w:r>
      <w:r w:rsidR="006359F1" w:rsidRPr="006359F1">
        <w:rPr>
          <w:rFonts w:cs="Tahoma"/>
          <w:b/>
          <w:szCs w:val="20"/>
        </w:rPr>
        <w:t>potranno fruire del credito d’imposta previsto per i beni 4.0</w:t>
      </w:r>
      <w:r w:rsidR="006359F1">
        <w:rPr>
          <w:rFonts w:cs="Tahoma"/>
          <w:bCs/>
          <w:szCs w:val="20"/>
        </w:rPr>
        <w:t xml:space="preserve"> (50% nel 2021), </w:t>
      </w:r>
      <w:r w:rsidR="006359F1" w:rsidRPr="006359F1">
        <w:rPr>
          <w:rFonts w:cs="Tahoma"/>
          <w:bCs/>
          <w:szCs w:val="20"/>
        </w:rPr>
        <w:t xml:space="preserve">mentre </w:t>
      </w:r>
      <w:r w:rsidR="006359F1" w:rsidRPr="006359F1">
        <w:rPr>
          <w:rFonts w:cs="Tahoma"/>
          <w:b/>
          <w:szCs w:val="20"/>
        </w:rPr>
        <w:t>il costo di acquisto dell’autocarro potrà beneficiare solo del credito d’imposta “standard” disposto per i beni NON 4.0</w:t>
      </w:r>
      <w:r w:rsidR="006359F1">
        <w:rPr>
          <w:rFonts w:cs="Tahoma"/>
          <w:bCs/>
          <w:szCs w:val="20"/>
        </w:rPr>
        <w:t xml:space="preserve"> (10% nel 2021).</w:t>
      </w:r>
    </w:p>
    <w:tbl>
      <w:tblPr>
        <w:tblStyle w:val="Grigliatabella"/>
        <w:tblW w:w="0" w:type="auto"/>
        <w:tblLook w:val="04A0" w:firstRow="1" w:lastRow="0" w:firstColumn="1" w:lastColumn="0" w:noHBand="0" w:noVBand="1"/>
      </w:tblPr>
      <w:tblGrid>
        <w:gridCol w:w="4814"/>
        <w:gridCol w:w="4814"/>
      </w:tblGrid>
      <w:tr w:rsidR="00C76ED3" w:rsidRPr="00C76ED3" w14:paraId="3E1F7CEE" w14:textId="77777777" w:rsidTr="00A01FF3">
        <w:tc>
          <w:tcPr>
            <w:tcW w:w="4814" w:type="dxa"/>
            <w:shd w:val="clear" w:color="auto" w:fill="DBE5F1" w:themeFill="accent1" w:themeFillTint="33"/>
          </w:tcPr>
          <w:p w14:paraId="7DEC51E4" w14:textId="01DFE330" w:rsidR="00A01FF3" w:rsidRPr="00C76ED3" w:rsidRDefault="00A01FF3" w:rsidP="004414B7">
            <w:pPr>
              <w:spacing w:before="60" w:after="60" w:line="326" w:lineRule="auto"/>
              <w:jc w:val="center"/>
              <w:rPr>
                <w:rFonts w:cs="Tahoma"/>
                <w:b/>
                <w:color w:val="000000" w:themeColor="text1"/>
                <w:szCs w:val="20"/>
              </w:rPr>
            </w:pPr>
            <w:r w:rsidRPr="00C76ED3">
              <w:rPr>
                <w:rFonts w:cs="Tahoma"/>
                <w:b/>
                <w:color w:val="000000" w:themeColor="text1"/>
                <w:szCs w:val="20"/>
              </w:rPr>
              <w:t>INVESTIMENTI INCLUSI</w:t>
            </w:r>
          </w:p>
        </w:tc>
        <w:tc>
          <w:tcPr>
            <w:tcW w:w="4814" w:type="dxa"/>
            <w:shd w:val="clear" w:color="auto" w:fill="DBE5F1" w:themeFill="accent1" w:themeFillTint="33"/>
          </w:tcPr>
          <w:p w14:paraId="6E0E855F" w14:textId="55C56084" w:rsidR="00A01FF3" w:rsidRPr="00C76ED3" w:rsidRDefault="00A01FF3" w:rsidP="004414B7">
            <w:pPr>
              <w:spacing w:before="60" w:after="60" w:line="326" w:lineRule="auto"/>
              <w:jc w:val="center"/>
              <w:rPr>
                <w:rFonts w:cs="Tahoma"/>
                <w:bCs/>
                <w:color w:val="000000" w:themeColor="text1"/>
                <w:szCs w:val="20"/>
              </w:rPr>
            </w:pPr>
            <w:r w:rsidRPr="00C76ED3">
              <w:rPr>
                <w:rFonts w:cs="Tahoma"/>
                <w:b/>
                <w:color w:val="000000" w:themeColor="text1"/>
                <w:szCs w:val="20"/>
              </w:rPr>
              <w:t>INVESTIMENTI ESCLUSI</w:t>
            </w:r>
          </w:p>
        </w:tc>
      </w:tr>
      <w:tr w:rsidR="00C76ED3" w:rsidRPr="00C76ED3" w14:paraId="20D734A6" w14:textId="77777777" w:rsidTr="00A01FF3">
        <w:tc>
          <w:tcPr>
            <w:tcW w:w="4814" w:type="dxa"/>
          </w:tcPr>
          <w:p w14:paraId="54E83D28" w14:textId="748C3903" w:rsidR="00817A31" w:rsidRPr="00C76ED3" w:rsidRDefault="00817A31" w:rsidP="00C76ED3">
            <w:pPr>
              <w:spacing w:before="60" w:after="60" w:line="326" w:lineRule="auto"/>
              <w:jc w:val="both"/>
              <w:rPr>
                <w:rFonts w:cs="Tahoma"/>
                <w:b/>
                <w:color w:val="000000" w:themeColor="text1"/>
                <w:szCs w:val="20"/>
              </w:rPr>
            </w:pPr>
            <w:r w:rsidRPr="00C76ED3">
              <w:rPr>
                <w:rFonts w:cs="Tahoma"/>
                <w:bCs/>
                <w:color w:val="000000" w:themeColor="text1"/>
                <w:szCs w:val="20"/>
              </w:rPr>
              <w:t xml:space="preserve">B) I. </w:t>
            </w:r>
            <w:r w:rsidRPr="00C76ED3">
              <w:rPr>
                <w:rFonts w:cs="Tahoma"/>
                <w:b/>
                <w:color w:val="000000" w:themeColor="text1"/>
                <w:szCs w:val="20"/>
              </w:rPr>
              <w:t>Immobilizzazioni immateriali</w:t>
            </w:r>
            <w:r w:rsidR="001643BD" w:rsidRPr="00C76ED3">
              <w:rPr>
                <w:rFonts w:cs="Tahoma"/>
                <w:bCs/>
                <w:color w:val="000000" w:themeColor="text1"/>
                <w:szCs w:val="20"/>
              </w:rPr>
              <w:t xml:space="preserve"> (4.0 e NON)</w:t>
            </w:r>
          </w:p>
          <w:p w14:paraId="06CB11C4" w14:textId="77777777" w:rsidR="001643BD" w:rsidRPr="00C76ED3" w:rsidRDefault="001643BD" w:rsidP="00C76ED3">
            <w:pPr>
              <w:spacing w:before="60" w:after="60" w:line="326" w:lineRule="auto"/>
              <w:jc w:val="both"/>
              <w:rPr>
                <w:rFonts w:cs="Tahoma"/>
                <w:bCs/>
                <w:color w:val="000000" w:themeColor="text1"/>
                <w:szCs w:val="20"/>
              </w:rPr>
            </w:pPr>
            <w:r w:rsidRPr="00C76ED3">
              <w:rPr>
                <w:rFonts w:cs="Tahoma"/>
                <w:bCs/>
                <w:color w:val="000000" w:themeColor="text1"/>
                <w:szCs w:val="20"/>
              </w:rPr>
              <w:t xml:space="preserve">B) II. </w:t>
            </w:r>
            <w:r w:rsidRPr="00C76ED3">
              <w:rPr>
                <w:rFonts w:cs="Tahoma"/>
                <w:b/>
                <w:color w:val="000000" w:themeColor="text1"/>
                <w:szCs w:val="20"/>
              </w:rPr>
              <w:t>Immobilizzazioni materiali</w:t>
            </w:r>
            <w:r w:rsidRPr="00C76ED3">
              <w:rPr>
                <w:rFonts w:cs="Tahoma"/>
                <w:bCs/>
                <w:color w:val="000000" w:themeColor="text1"/>
                <w:szCs w:val="20"/>
              </w:rPr>
              <w:t xml:space="preserve"> (4.0 e NON)</w:t>
            </w:r>
          </w:p>
          <w:p w14:paraId="3775321E" w14:textId="77777777" w:rsidR="001643BD" w:rsidRPr="00C76ED3" w:rsidRDefault="001643BD" w:rsidP="00C76ED3">
            <w:pPr>
              <w:spacing w:before="60" w:after="60" w:line="326" w:lineRule="auto"/>
              <w:jc w:val="both"/>
              <w:rPr>
                <w:rFonts w:cs="Tahoma"/>
                <w:i/>
                <w:iCs/>
                <w:color w:val="000000" w:themeColor="text1"/>
                <w:szCs w:val="20"/>
              </w:rPr>
            </w:pPr>
            <w:r w:rsidRPr="00C76ED3">
              <w:rPr>
                <w:rFonts w:cs="Tahoma"/>
                <w:bCs/>
                <w:i/>
                <w:iCs/>
                <w:color w:val="000000" w:themeColor="text1"/>
                <w:szCs w:val="20"/>
              </w:rPr>
              <w:t>Impianti e macchinario</w:t>
            </w:r>
          </w:p>
          <w:p w14:paraId="26107F4B" w14:textId="77777777" w:rsidR="001643BD" w:rsidRPr="00C76ED3" w:rsidRDefault="001643BD" w:rsidP="00C76ED3">
            <w:pPr>
              <w:spacing w:before="60" w:after="60" w:line="326" w:lineRule="auto"/>
              <w:jc w:val="both"/>
              <w:rPr>
                <w:rFonts w:cs="Tahoma"/>
                <w:bCs/>
                <w:i/>
                <w:iCs/>
                <w:color w:val="000000" w:themeColor="text1"/>
                <w:szCs w:val="20"/>
              </w:rPr>
            </w:pPr>
            <w:r w:rsidRPr="00C76ED3">
              <w:rPr>
                <w:rFonts w:cs="Tahoma"/>
                <w:bCs/>
                <w:i/>
                <w:iCs/>
                <w:color w:val="000000" w:themeColor="text1"/>
                <w:szCs w:val="20"/>
              </w:rPr>
              <w:t>Attrezzature industriali e commerciali</w:t>
            </w:r>
          </w:p>
          <w:p w14:paraId="59089432" w14:textId="00B407F8" w:rsidR="00817A31" w:rsidRPr="00C76ED3" w:rsidRDefault="001643BD" w:rsidP="00C76ED3">
            <w:pPr>
              <w:spacing w:before="60" w:after="60" w:line="326" w:lineRule="auto"/>
              <w:jc w:val="both"/>
              <w:rPr>
                <w:rFonts w:cs="Tahoma"/>
                <w:b/>
                <w:bCs/>
                <w:i/>
                <w:iCs/>
                <w:color w:val="000000" w:themeColor="text1"/>
                <w:szCs w:val="20"/>
              </w:rPr>
            </w:pPr>
            <w:r w:rsidRPr="00C76ED3">
              <w:rPr>
                <w:rFonts w:cs="Tahoma"/>
                <w:bCs/>
                <w:i/>
                <w:iCs/>
                <w:color w:val="000000" w:themeColor="text1"/>
                <w:szCs w:val="20"/>
              </w:rPr>
              <w:t>Altri beni</w:t>
            </w:r>
          </w:p>
        </w:tc>
        <w:tc>
          <w:tcPr>
            <w:tcW w:w="4814" w:type="dxa"/>
          </w:tcPr>
          <w:p w14:paraId="381FE11A" w14:textId="56E8DCBD" w:rsidR="001643BD" w:rsidRPr="00C76ED3" w:rsidRDefault="00107AF2" w:rsidP="00C76ED3">
            <w:pPr>
              <w:spacing w:before="60" w:after="60" w:line="326" w:lineRule="auto"/>
              <w:jc w:val="both"/>
              <w:rPr>
                <w:rFonts w:cs="Tahoma"/>
                <w:bCs/>
                <w:color w:val="000000" w:themeColor="text1"/>
                <w:szCs w:val="20"/>
              </w:rPr>
            </w:pPr>
            <w:r w:rsidRPr="00C76ED3">
              <w:rPr>
                <w:rFonts w:cs="Tahoma"/>
                <w:b/>
                <w:color w:val="000000" w:themeColor="text1"/>
                <w:szCs w:val="20"/>
              </w:rPr>
              <w:t>F</w:t>
            </w:r>
            <w:r w:rsidR="001643BD" w:rsidRPr="00C76ED3">
              <w:rPr>
                <w:rFonts w:cs="Tahoma"/>
                <w:b/>
                <w:color w:val="000000" w:themeColor="text1"/>
                <w:szCs w:val="20"/>
              </w:rPr>
              <w:t>abbricati e costruzioni</w:t>
            </w:r>
          </w:p>
          <w:p w14:paraId="3A0B6399" w14:textId="5FE3A36C" w:rsidR="001643BD" w:rsidRPr="00C76ED3" w:rsidRDefault="00107AF2" w:rsidP="00C76ED3">
            <w:pPr>
              <w:spacing w:before="60" w:after="60" w:line="326" w:lineRule="auto"/>
              <w:jc w:val="both"/>
              <w:rPr>
                <w:rFonts w:cs="Tahoma"/>
                <w:bCs/>
                <w:color w:val="000000" w:themeColor="text1"/>
                <w:szCs w:val="20"/>
              </w:rPr>
            </w:pPr>
            <w:r w:rsidRPr="00C76ED3">
              <w:rPr>
                <w:rFonts w:cs="Tahoma"/>
                <w:bCs/>
                <w:color w:val="000000" w:themeColor="text1"/>
                <w:szCs w:val="20"/>
              </w:rPr>
              <w:t>B</w:t>
            </w:r>
            <w:r w:rsidR="001643BD" w:rsidRPr="00C76ED3">
              <w:rPr>
                <w:rFonts w:cs="Tahoma"/>
                <w:bCs/>
                <w:color w:val="000000" w:themeColor="text1"/>
                <w:szCs w:val="20"/>
              </w:rPr>
              <w:t xml:space="preserve">eni materiali strumentali per i quali il decreto del Ministro delle finanze 31 dicembre 1988 stabilisce </w:t>
            </w:r>
            <w:r w:rsidR="001643BD" w:rsidRPr="00C76ED3">
              <w:rPr>
                <w:rFonts w:cs="Tahoma"/>
                <w:b/>
                <w:color w:val="000000" w:themeColor="text1"/>
                <w:szCs w:val="20"/>
              </w:rPr>
              <w:t>coefficienti di ammortamento inferiori al 6,5 per cento</w:t>
            </w:r>
          </w:p>
          <w:p w14:paraId="3B3EEA00" w14:textId="04585430" w:rsidR="007B6655" w:rsidRPr="00C76ED3" w:rsidRDefault="00107AF2" w:rsidP="00C76ED3">
            <w:pPr>
              <w:spacing w:before="60" w:after="60" w:line="326" w:lineRule="auto"/>
              <w:jc w:val="both"/>
              <w:rPr>
                <w:rFonts w:cs="Tahoma"/>
                <w:bCs/>
                <w:color w:val="000000" w:themeColor="text1"/>
                <w:szCs w:val="20"/>
              </w:rPr>
            </w:pPr>
            <w:r w:rsidRPr="00C76ED3">
              <w:rPr>
                <w:rFonts w:cs="Tahoma"/>
                <w:b/>
                <w:color w:val="000000" w:themeColor="text1"/>
                <w:szCs w:val="20"/>
              </w:rPr>
              <w:t>V</w:t>
            </w:r>
            <w:r w:rsidR="007B6655" w:rsidRPr="00C76ED3">
              <w:rPr>
                <w:rFonts w:cs="Tahoma"/>
                <w:b/>
                <w:color w:val="000000" w:themeColor="text1"/>
                <w:szCs w:val="20"/>
              </w:rPr>
              <w:t xml:space="preserve">eicoli </w:t>
            </w:r>
            <w:r w:rsidR="00312830" w:rsidRPr="00C76ED3">
              <w:rPr>
                <w:rFonts w:cs="Tahoma"/>
                <w:b/>
                <w:color w:val="000000" w:themeColor="text1"/>
                <w:szCs w:val="20"/>
              </w:rPr>
              <w:t xml:space="preserve">ed altri mezzi di trasporto </w:t>
            </w:r>
            <w:r w:rsidR="007B6655" w:rsidRPr="00C76ED3">
              <w:rPr>
                <w:rFonts w:cs="Tahoma"/>
                <w:b/>
                <w:color w:val="000000" w:themeColor="text1"/>
                <w:szCs w:val="20"/>
              </w:rPr>
              <w:t>di cui all’articolo 164</w:t>
            </w:r>
            <w:r w:rsidR="007B6655" w:rsidRPr="00C76ED3">
              <w:rPr>
                <w:rFonts w:cs="Tahoma"/>
                <w:bCs/>
                <w:color w:val="000000" w:themeColor="text1"/>
                <w:szCs w:val="20"/>
              </w:rPr>
              <w:t xml:space="preserve">, </w:t>
            </w:r>
            <w:r w:rsidR="007B6655" w:rsidRPr="00C76ED3">
              <w:rPr>
                <w:rFonts w:cs="Tahoma"/>
                <w:b/>
                <w:color w:val="000000" w:themeColor="text1"/>
                <w:szCs w:val="20"/>
              </w:rPr>
              <w:t>comma 1</w:t>
            </w:r>
            <w:r w:rsidR="007B6655" w:rsidRPr="00C76ED3">
              <w:rPr>
                <w:rFonts w:cs="Tahoma"/>
                <w:bCs/>
                <w:color w:val="000000" w:themeColor="text1"/>
                <w:szCs w:val="20"/>
              </w:rPr>
              <w:t>, Tuir</w:t>
            </w:r>
          </w:p>
          <w:p w14:paraId="3C65F607" w14:textId="5EE4E6A5" w:rsidR="003A5E71" w:rsidRPr="00C76ED3" w:rsidRDefault="00107AF2" w:rsidP="00C76ED3">
            <w:pPr>
              <w:spacing w:before="60" w:after="60" w:line="326" w:lineRule="auto"/>
              <w:jc w:val="both"/>
              <w:rPr>
                <w:rFonts w:cs="Tahoma"/>
                <w:bCs/>
                <w:color w:val="000000" w:themeColor="text1"/>
                <w:szCs w:val="20"/>
              </w:rPr>
            </w:pPr>
            <w:r w:rsidRPr="00C76ED3">
              <w:rPr>
                <w:rFonts w:cs="Tahoma"/>
                <w:bCs/>
                <w:color w:val="000000" w:themeColor="text1"/>
                <w:szCs w:val="20"/>
              </w:rPr>
              <w:lastRenderedPageBreak/>
              <w:t>P</w:t>
            </w:r>
            <w:r w:rsidR="001643BD" w:rsidRPr="00C76ED3">
              <w:rPr>
                <w:rFonts w:cs="Tahoma"/>
                <w:bCs/>
                <w:color w:val="000000" w:themeColor="text1"/>
                <w:szCs w:val="20"/>
              </w:rPr>
              <w:t xml:space="preserve">articolari beni di cui all’allegato n. 3 annesso alla legge di stabilità </w:t>
            </w:r>
            <w:r w:rsidR="003A5E71" w:rsidRPr="00C76ED3">
              <w:rPr>
                <w:rFonts w:cs="Tahoma"/>
                <w:bCs/>
                <w:color w:val="000000" w:themeColor="text1"/>
                <w:szCs w:val="20"/>
              </w:rPr>
              <w:t>2016</w:t>
            </w:r>
            <w:r w:rsidR="001643BD" w:rsidRPr="00C76ED3">
              <w:rPr>
                <w:rFonts w:cs="Tahoma"/>
                <w:bCs/>
                <w:color w:val="000000" w:themeColor="text1"/>
                <w:szCs w:val="20"/>
              </w:rPr>
              <w:t xml:space="preserve"> (</w:t>
            </w:r>
            <w:r w:rsidR="003A5E71" w:rsidRPr="00C76ED3">
              <w:rPr>
                <w:rFonts w:cs="Tahoma"/>
                <w:bCs/>
                <w:color w:val="000000" w:themeColor="text1"/>
                <w:szCs w:val="20"/>
              </w:rPr>
              <w:t xml:space="preserve">Legge 208/2015 – es. </w:t>
            </w:r>
            <w:r w:rsidR="001643BD" w:rsidRPr="00C76ED3">
              <w:rPr>
                <w:rFonts w:cs="Tahoma"/>
                <w:bCs/>
                <w:color w:val="000000" w:themeColor="text1"/>
                <w:szCs w:val="20"/>
              </w:rPr>
              <w:t>cond</w:t>
            </w:r>
            <w:r w:rsidR="007B6655" w:rsidRPr="00C76ED3">
              <w:rPr>
                <w:rFonts w:cs="Tahoma"/>
                <w:bCs/>
                <w:color w:val="000000" w:themeColor="text1"/>
                <w:szCs w:val="20"/>
              </w:rPr>
              <w:t>utture, c</w:t>
            </w:r>
            <w:r w:rsidR="003A5E71" w:rsidRPr="00C76ED3">
              <w:rPr>
                <w:rFonts w:cs="Tahoma"/>
                <w:bCs/>
                <w:color w:val="000000" w:themeColor="text1"/>
                <w:szCs w:val="20"/>
              </w:rPr>
              <w:t>ondotte per usi civili, etc.)</w:t>
            </w:r>
          </w:p>
          <w:p w14:paraId="096F9E4F" w14:textId="24CDCB78" w:rsidR="00A01FF3" w:rsidRPr="00C76ED3" w:rsidRDefault="00107AF2" w:rsidP="00C76ED3">
            <w:pPr>
              <w:spacing w:before="60" w:after="60" w:line="326" w:lineRule="auto"/>
              <w:jc w:val="both"/>
              <w:rPr>
                <w:rFonts w:cs="Tahoma"/>
                <w:bCs/>
                <w:color w:val="000000" w:themeColor="text1"/>
                <w:szCs w:val="20"/>
              </w:rPr>
            </w:pPr>
            <w:r w:rsidRPr="00C76ED3">
              <w:rPr>
                <w:rFonts w:cs="Tahoma"/>
                <w:bCs/>
                <w:color w:val="000000" w:themeColor="text1"/>
                <w:szCs w:val="20"/>
              </w:rPr>
              <w:t>B</w:t>
            </w:r>
            <w:r w:rsidR="003A5E71" w:rsidRPr="00C76ED3">
              <w:rPr>
                <w:rFonts w:cs="Tahoma"/>
                <w:bCs/>
                <w:color w:val="000000" w:themeColor="text1"/>
                <w:szCs w:val="20"/>
              </w:rPr>
              <w:t>eni gratuitamente devolvibili delle imprese operanti in concessione e a tariffa nei settori dell'energia, dell'acqua, dei trasporti, delle infrastrutture, delle poste, delle telecomunicazioni, della raccolta e depurazione delle acque di scarico e della raccolta e smaltimento dei rifiuti</w:t>
            </w:r>
          </w:p>
          <w:p w14:paraId="392A24EC" w14:textId="04D56425" w:rsidR="003A5E71" w:rsidRPr="00C76ED3" w:rsidRDefault="003A5E71" w:rsidP="00C76ED3">
            <w:pPr>
              <w:spacing w:before="60" w:after="60" w:line="326" w:lineRule="auto"/>
              <w:jc w:val="both"/>
              <w:rPr>
                <w:rFonts w:cs="Tahoma"/>
                <w:bCs/>
                <w:color w:val="000000" w:themeColor="text1"/>
                <w:szCs w:val="20"/>
              </w:rPr>
            </w:pPr>
          </w:p>
        </w:tc>
      </w:tr>
    </w:tbl>
    <w:p w14:paraId="34C3578C" w14:textId="0B99559C" w:rsidR="00A01FF3" w:rsidRDefault="00A01FF3" w:rsidP="00736B18">
      <w:pPr>
        <w:shd w:val="clear" w:color="auto" w:fill="FFFFFF"/>
        <w:spacing w:line="360" w:lineRule="auto"/>
        <w:jc w:val="both"/>
        <w:rPr>
          <w:rFonts w:cs="Tahoma"/>
          <w:bCs/>
          <w:szCs w:val="20"/>
        </w:rPr>
      </w:pPr>
    </w:p>
    <w:p w14:paraId="76D97657" w14:textId="59778CF9" w:rsidR="00F769B2" w:rsidRPr="00F769B2" w:rsidRDefault="00F769B2" w:rsidP="00F769B2">
      <w:pPr>
        <w:spacing w:line="360" w:lineRule="auto"/>
        <w:ind w:left="2124"/>
        <w:jc w:val="both"/>
        <w:rPr>
          <w:noProof/>
        </w:rPr>
      </w:pPr>
      <w:bookmarkStart w:id="21" w:name="_Hlk90474820"/>
      <w:r>
        <w:rPr>
          <w:noProof/>
        </w:rPr>
        <w:drawing>
          <wp:anchor distT="0" distB="0" distL="114300" distR="114300" simplePos="0" relativeHeight="251757056" behindDoc="0" locked="0" layoutInCell="1" allowOverlap="1" wp14:anchorId="7ACB088A" wp14:editId="792D7AD1">
            <wp:simplePos x="716890" y="2699309"/>
            <wp:positionH relativeFrom="column">
              <wp:align>left</wp:align>
            </wp:positionH>
            <wp:positionV relativeFrom="paragraph">
              <wp:align>top</wp:align>
            </wp:positionV>
            <wp:extent cx="914400" cy="914400"/>
            <wp:effectExtent l="0" t="0" r="0" b="0"/>
            <wp:wrapSquare wrapText="bothSides"/>
            <wp:docPr id="11" name="Elemento grafico 11"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Pr>
          <w:noProof/>
        </w:rPr>
        <w:t xml:space="preserve">Il riferimento della norma ai beni strumentali comporta che i beni oggetto di investimento devono caratterizzarsi per il requisito della </w:t>
      </w:r>
      <w:r w:rsidRPr="00F769B2">
        <w:rPr>
          <w:b/>
          <w:bCs/>
          <w:noProof/>
        </w:rPr>
        <w:t>strumentalità</w:t>
      </w:r>
      <w:r>
        <w:rPr>
          <w:noProof/>
        </w:rPr>
        <w:t xml:space="preserve"> rispetto all’attività esercitata dall’impresa beneficiaria dell’agevolazione. I beni, conseguentemente, devono essere di </w:t>
      </w:r>
      <w:r w:rsidRPr="00F769B2">
        <w:rPr>
          <w:b/>
          <w:bCs/>
          <w:noProof/>
        </w:rPr>
        <w:t>uso</w:t>
      </w:r>
      <w:r w:rsidRPr="001D6891">
        <w:rPr>
          <w:noProof/>
        </w:rPr>
        <w:t xml:space="preserve"> </w:t>
      </w:r>
      <w:r w:rsidRPr="00F769B2">
        <w:rPr>
          <w:b/>
          <w:bCs/>
          <w:noProof/>
        </w:rPr>
        <w:t>durevole</w:t>
      </w:r>
      <w:r w:rsidRPr="001D6891">
        <w:rPr>
          <w:noProof/>
        </w:rPr>
        <w:t xml:space="preserve"> </w:t>
      </w:r>
      <w:r>
        <w:rPr>
          <w:noProof/>
        </w:rPr>
        <w:t xml:space="preserve">ed atti ad essere impiegati come </w:t>
      </w:r>
      <w:r w:rsidRPr="00F769B2">
        <w:rPr>
          <w:b/>
          <w:bCs/>
          <w:noProof/>
        </w:rPr>
        <w:t>strumenti di produzione all’interno</w:t>
      </w:r>
      <w:r w:rsidRPr="001D6891">
        <w:rPr>
          <w:noProof/>
        </w:rPr>
        <w:t xml:space="preserve"> </w:t>
      </w:r>
      <w:r w:rsidRPr="00F769B2">
        <w:rPr>
          <w:b/>
          <w:bCs/>
          <w:noProof/>
        </w:rPr>
        <w:t>del</w:t>
      </w:r>
      <w:r w:rsidRPr="001D6891">
        <w:rPr>
          <w:noProof/>
        </w:rPr>
        <w:t xml:space="preserve"> </w:t>
      </w:r>
      <w:r w:rsidRPr="00F769B2">
        <w:rPr>
          <w:b/>
          <w:bCs/>
          <w:noProof/>
        </w:rPr>
        <w:t>processo produttivo</w:t>
      </w:r>
      <w:r>
        <w:rPr>
          <w:noProof/>
        </w:rPr>
        <w:t xml:space="preserve"> </w:t>
      </w:r>
      <w:r w:rsidRPr="00F769B2">
        <w:rPr>
          <w:b/>
          <w:bCs/>
          <w:noProof/>
        </w:rPr>
        <w:t>dell’impresa</w:t>
      </w:r>
      <w:r>
        <w:rPr>
          <w:noProof/>
        </w:rPr>
        <w:t>. Sono, pertanto, esclusi i beni autonomamente destinati alla vendita (c.d. beni merce), come pure quelli trasformati o assemblati per l’ottenimento di prodotti destinati alla vendita. Si ritengono ugualmente esclusi i materiali di consumo.</w:t>
      </w:r>
    </w:p>
    <w:bookmarkEnd w:id="21"/>
    <w:p w14:paraId="200165C2" w14:textId="77777777" w:rsidR="00C76ED3" w:rsidRDefault="00C76ED3" w:rsidP="00353B9D">
      <w:pPr>
        <w:pStyle w:val="Titolo2"/>
      </w:pPr>
    </w:p>
    <w:p w14:paraId="096BC0CE" w14:textId="06B9C684" w:rsidR="00353B9D" w:rsidRPr="002247B4" w:rsidRDefault="00353B9D" w:rsidP="00353B9D">
      <w:pPr>
        <w:pStyle w:val="Titolo2"/>
      </w:pPr>
      <w:bookmarkStart w:id="22" w:name="_Toc93327704"/>
      <w:r>
        <w:t>3</w:t>
      </w:r>
      <w:r w:rsidRPr="002247B4">
        <w:t>.</w:t>
      </w:r>
      <w:r w:rsidR="00123126">
        <w:t>2</w:t>
      </w:r>
      <w:r w:rsidRPr="002247B4">
        <w:t xml:space="preserve"> </w:t>
      </w:r>
      <w:r>
        <w:t>Acquisizioni in proprietà o leasing</w:t>
      </w:r>
      <w:bookmarkEnd w:id="22"/>
    </w:p>
    <w:p w14:paraId="0E6DC2C7" w14:textId="073DE0C1" w:rsidR="00107AF2" w:rsidRPr="00107AF2" w:rsidRDefault="00703273" w:rsidP="00107AF2">
      <w:pPr>
        <w:shd w:val="clear" w:color="auto" w:fill="FFFFFF"/>
        <w:spacing w:line="360" w:lineRule="auto"/>
        <w:jc w:val="both"/>
        <w:rPr>
          <w:rFonts w:cs="Tahoma"/>
          <w:bCs/>
          <w:szCs w:val="20"/>
        </w:rPr>
      </w:pPr>
      <w:r>
        <w:rPr>
          <w:rFonts w:cs="Tahoma"/>
          <w:bCs/>
          <w:szCs w:val="20"/>
        </w:rPr>
        <w:t>Il credito d’imposta per i beni strumentali (</w:t>
      </w:r>
      <w:r w:rsidRPr="00703273">
        <w:rPr>
          <w:rFonts w:cs="Tahoma"/>
          <w:b/>
          <w:szCs w:val="20"/>
        </w:rPr>
        <w:t>4.0 e NON</w:t>
      </w:r>
      <w:r>
        <w:rPr>
          <w:rFonts w:cs="Tahoma"/>
          <w:bCs/>
          <w:szCs w:val="20"/>
        </w:rPr>
        <w:t xml:space="preserve">) spetta </w:t>
      </w:r>
      <w:r w:rsidRPr="00703273">
        <w:rPr>
          <w:rFonts w:cs="Tahoma"/>
          <w:b/>
          <w:szCs w:val="20"/>
        </w:rPr>
        <w:t>per l’acquisto di beni in proprietà o in leasing</w:t>
      </w:r>
      <w:r>
        <w:rPr>
          <w:rFonts w:cs="Tahoma"/>
          <w:bCs/>
          <w:szCs w:val="20"/>
        </w:rPr>
        <w:t>. S</w:t>
      </w:r>
      <w:r w:rsidR="00107AF2" w:rsidRPr="00107AF2">
        <w:rPr>
          <w:rFonts w:cs="Tahoma"/>
          <w:bCs/>
          <w:szCs w:val="20"/>
        </w:rPr>
        <w:t>i evidenzia come la rilevanza delle operazioni di locazione finanziaria sia riconosciuta sulla base di un principio di “sostanziale” equivalenza tra l’acquisto e l’acquisizione del bene stesso tramite contratto di leasing (cfr. risoluzione n. 4/E del 7 gennaio 2009).</w:t>
      </w:r>
    </w:p>
    <w:p w14:paraId="0C6BF672" w14:textId="7526C214" w:rsidR="006359F1" w:rsidRDefault="00107AF2" w:rsidP="00107AF2">
      <w:pPr>
        <w:shd w:val="clear" w:color="auto" w:fill="FFFFFF"/>
        <w:spacing w:line="360" w:lineRule="auto"/>
        <w:jc w:val="both"/>
        <w:rPr>
          <w:rFonts w:cs="Tahoma"/>
          <w:bCs/>
          <w:szCs w:val="20"/>
        </w:rPr>
      </w:pPr>
      <w:r w:rsidRPr="00107AF2">
        <w:rPr>
          <w:rFonts w:cs="Tahoma"/>
          <w:bCs/>
          <w:szCs w:val="20"/>
        </w:rPr>
        <w:t>Tale criterio è finalizzato ad assicurare nel tempo, in relazione alle mutevoli condizioni di mercato, la necessaria neutralità fiscale della scelta aziendale tra acquisizione dei beni in proprietà o in leasing.</w:t>
      </w:r>
    </w:p>
    <w:p w14:paraId="6AF07365" w14:textId="0098522A" w:rsidR="00703273" w:rsidRDefault="00703273" w:rsidP="00107AF2">
      <w:pPr>
        <w:shd w:val="clear" w:color="auto" w:fill="FFFFFF"/>
        <w:spacing w:line="360" w:lineRule="auto"/>
        <w:jc w:val="both"/>
        <w:rPr>
          <w:rFonts w:cs="Tahoma"/>
          <w:bCs/>
          <w:szCs w:val="20"/>
        </w:rPr>
      </w:pPr>
      <w:r w:rsidRPr="00703273">
        <w:rPr>
          <w:rFonts w:cs="Tahoma"/>
          <w:bCs/>
          <w:szCs w:val="20"/>
        </w:rPr>
        <w:t xml:space="preserve">In merito agli investimenti effettuati attraverso la stipula di un contratto di leasing, </w:t>
      </w:r>
      <w:r w:rsidRPr="00703273">
        <w:rPr>
          <w:rFonts w:cs="Tahoma"/>
          <w:b/>
          <w:szCs w:val="20"/>
        </w:rPr>
        <w:t>l’agevolazione spetta solo all’utilizzatore</w:t>
      </w:r>
      <w:r w:rsidRPr="00703273">
        <w:rPr>
          <w:rFonts w:cs="Tahoma"/>
          <w:bCs/>
          <w:szCs w:val="20"/>
        </w:rPr>
        <w:t xml:space="preserve"> e non anche al concedente. Per quest’ultimo, infatti, sono irrilevanti, ai fini del beneficio in questione, gli acquisti di beni successivamente concessi in locazione finanziaria</w:t>
      </w:r>
      <w:r w:rsidR="00366615">
        <w:rPr>
          <w:rFonts w:cs="Tahoma"/>
          <w:bCs/>
          <w:szCs w:val="20"/>
        </w:rPr>
        <w:t>.</w:t>
      </w:r>
    </w:p>
    <w:p w14:paraId="42D9680B" w14:textId="1ED4885F" w:rsidR="00366615" w:rsidRDefault="00F769B2" w:rsidP="00107AF2">
      <w:pPr>
        <w:shd w:val="clear" w:color="auto" w:fill="FFFFFF"/>
        <w:spacing w:line="360" w:lineRule="auto"/>
        <w:jc w:val="both"/>
        <w:rPr>
          <w:rFonts w:cs="Tahoma"/>
          <w:bCs/>
          <w:szCs w:val="20"/>
        </w:rPr>
      </w:pPr>
      <w:r>
        <w:rPr>
          <w:rFonts w:cs="Tahoma"/>
          <w:bCs/>
          <w:szCs w:val="20"/>
        </w:rPr>
        <w:t>S</w:t>
      </w:r>
      <w:r w:rsidRPr="00F769B2">
        <w:rPr>
          <w:rFonts w:cs="Tahoma"/>
          <w:bCs/>
          <w:szCs w:val="20"/>
        </w:rPr>
        <w:t xml:space="preserve">ono, invece, </w:t>
      </w:r>
      <w:r w:rsidRPr="00F769B2">
        <w:rPr>
          <w:rFonts w:cs="Tahoma"/>
          <w:b/>
          <w:szCs w:val="20"/>
        </w:rPr>
        <w:t>esclusi dal beneficio</w:t>
      </w:r>
      <w:r w:rsidRPr="00F769B2">
        <w:rPr>
          <w:rFonts w:cs="Tahoma"/>
          <w:bCs/>
          <w:szCs w:val="20"/>
        </w:rPr>
        <w:t xml:space="preserve"> i beni </w:t>
      </w:r>
      <w:r w:rsidRPr="00F769B2">
        <w:rPr>
          <w:rFonts w:cs="Tahoma"/>
          <w:b/>
          <w:szCs w:val="20"/>
        </w:rPr>
        <w:t>utilizzati in base ad un contratto di locazione operativa</w:t>
      </w:r>
      <w:r w:rsidRPr="00F769B2">
        <w:rPr>
          <w:rFonts w:cs="Tahoma"/>
          <w:bCs/>
          <w:szCs w:val="20"/>
        </w:rPr>
        <w:t xml:space="preserve"> o di </w:t>
      </w:r>
      <w:r w:rsidRPr="00F769B2">
        <w:rPr>
          <w:rFonts w:cs="Tahoma"/>
          <w:b/>
          <w:szCs w:val="20"/>
        </w:rPr>
        <w:t>noleggio</w:t>
      </w:r>
      <w:r>
        <w:rPr>
          <w:rFonts w:cs="Tahoma"/>
          <w:bCs/>
          <w:szCs w:val="20"/>
        </w:rPr>
        <w:t>.</w:t>
      </w:r>
    </w:p>
    <w:p w14:paraId="06217C3E" w14:textId="18686550" w:rsidR="00B872FD" w:rsidRPr="00B872FD" w:rsidRDefault="00F769B2" w:rsidP="00B872FD">
      <w:pPr>
        <w:shd w:val="clear" w:color="auto" w:fill="FFFFFF"/>
        <w:spacing w:line="360" w:lineRule="auto"/>
        <w:jc w:val="both"/>
        <w:rPr>
          <w:rFonts w:cs="Tahoma"/>
          <w:bCs/>
          <w:szCs w:val="20"/>
        </w:rPr>
      </w:pPr>
      <w:r w:rsidRPr="00F769B2">
        <w:rPr>
          <w:rFonts w:cs="Tahoma"/>
          <w:bCs/>
          <w:szCs w:val="20"/>
        </w:rPr>
        <w:lastRenderedPageBreak/>
        <w:t xml:space="preserve">Nell’ipotesi di </w:t>
      </w:r>
      <w:r w:rsidRPr="00F769B2">
        <w:rPr>
          <w:rFonts w:cs="Tahoma"/>
          <w:b/>
          <w:szCs w:val="20"/>
        </w:rPr>
        <w:t>beni concessi in comodato d’uso a terzi</w:t>
      </w:r>
      <w:r w:rsidRPr="00F769B2">
        <w:rPr>
          <w:rFonts w:cs="Tahoma"/>
          <w:bCs/>
          <w:szCs w:val="20"/>
        </w:rPr>
        <w:t>, si precisa che il</w:t>
      </w:r>
      <w:r w:rsidRPr="00B872FD">
        <w:rPr>
          <w:rFonts w:cs="Tahoma"/>
          <w:b/>
          <w:szCs w:val="20"/>
        </w:rPr>
        <w:t xml:space="preserve"> comodante potrà beneficiare del credito d’imposta</w:t>
      </w:r>
      <w:r w:rsidRPr="00F769B2">
        <w:rPr>
          <w:rFonts w:cs="Tahoma"/>
          <w:bCs/>
          <w:szCs w:val="20"/>
        </w:rPr>
        <w:t xml:space="preserve">, a condizione che i beni in questione siano </w:t>
      </w:r>
      <w:r w:rsidRPr="00F769B2">
        <w:rPr>
          <w:rFonts w:cs="Tahoma"/>
          <w:b/>
          <w:szCs w:val="20"/>
        </w:rPr>
        <w:t>strumentali</w:t>
      </w:r>
      <w:r w:rsidRPr="00F769B2">
        <w:rPr>
          <w:rFonts w:cs="Tahoma"/>
          <w:bCs/>
          <w:szCs w:val="20"/>
        </w:rPr>
        <w:t xml:space="preserve"> ed </w:t>
      </w:r>
      <w:r w:rsidRPr="00312830">
        <w:rPr>
          <w:rFonts w:cs="Tahoma"/>
          <w:b/>
          <w:szCs w:val="20"/>
        </w:rPr>
        <w:t>inerenti alla propria attività</w:t>
      </w:r>
      <w:r w:rsidRPr="00F769B2">
        <w:rPr>
          <w:rFonts w:cs="Tahoma"/>
          <w:bCs/>
          <w:szCs w:val="20"/>
        </w:rPr>
        <w:t xml:space="preserve">, nel qual caso egli sarà legittimato a </w:t>
      </w:r>
      <w:r w:rsidR="00312830">
        <w:rPr>
          <w:rFonts w:cs="Tahoma"/>
          <w:bCs/>
          <w:szCs w:val="20"/>
        </w:rPr>
        <w:t xml:space="preserve">fruire del credito (Circolare n. 4/E del 30 marzo 2017 e </w:t>
      </w:r>
      <w:r w:rsidR="00223EF9" w:rsidRPr="00223EF9">
        <w:rPr>
          <w:rFonts w:cs="Tahoma"/>
          <w:bCs/>
          <w:szCs w:val="20"/>
        </w:rPr>
        <w:t>Risposta n. 726</w:t>
      </w:r>
      <w:r w:rsidR="00223EF9">
        <w:rPr>
          <w:rFonts w:cs="Tahoma"/>
          <w:bCs/>
          <w:szCs w:val="20"/>
        </w:rPr>
        <w:t>/E</w:t>
      </w:r>
      <w:r w:rsidR="00223EF9" w:rsidRPr="00223EF9">
        <w:rPr>
          <w:rFonts w:cs="Tahoma"/>
          <w:bCs/>
          <w:szCs w:val="20"/>
        </w:rPr>
        <w:t xml:space="preserve"> del 18</w:t>
      </w:r>
      <w:r w:rsidR="00223EF9">
        <w:rPr>
          <w:rFonts w:cs="Tahoma"/>
          <w:bCs/>
          <w:szCs w:val="20"/>
        </w:rPr>
        <w:t xml:space="preserve"> ottobre </w:t>
      </w:r>
      <w:r w:rsidR="00223EF9" w:rsidRPr="00223EF9">
        <w:rPr>
          <w:rFonts w:cs="Tahoma"/>
          <w:bCs/>
          <w:szCs w:val="20"/>
        </w:rPr>
        <w:t>2021</w:t>
      </w:r>
      <w:r w:rsidR="00223EF9">
        <w:rPr>
          <w:rFonts w:cs="Tahoma"/>
          <w:bCs/>
          <w:szCs w:val="20"/>
        </w:rPr>
        <w:t>).</w:t>
      </w:r>
    </w:p>
    <w:p w14:paraId="4DA80833" w14:textId="4AAC0C4C" w:rsidR="00B872FD" w:rsidRPr="00B872FD" w:rsidRDefault="00B872FD" w:rsidP="00B872FD">
      <w:pPr>
        <w:shd w:val="clear" w:color="auto" w:fill="FFFFFF"/>
        <w:spacing w:line="360" w:lineRule="auto"/>
        <w:jc w:val="both"/>
        <w:rPr>
          <w:rFonts w:cs="Tahoma"/>
          <w:bCs/>
          <w:szCs w:val="20"/>
        </w:rPr>
      </w:pPr>
      <w:r w:rsidRPr="00B872FD">
        <w:rPr>
          <w:rFonts w:cs="Tahoma"/>
          <w:bCs/>
          <w:szCs w:val="20"/>
        </w:rPr>
        <w:t>Al riguardo, nell'ipotesi di</w:t>
      </w:r>
      <w:r w:rsidR="003152D8">
        <w:rPr>
          <w:rFonts w:cs="Tahoma"/>
          <w:bCs/>
          <w:szCs w:val="20"/>
        </w:rPr>
        <w:t xml:space="preserve"> </w:t>
      </w:r>
      <w:r w:rsidRPr="00B872FD">
        <w:rPr>
          <w:rFonts w:cs="Tahoma"/>
          <w:bCs/>
          <w:szCs w:val="20"/>
        </w:rPr>
        <w:t>comodato, il bene - anche se fisicamente non collocato nel luogo di ordinario</w:t>
      </w:r>
      <w:r w:rsidR="003152D8">
        <w:rPr>
          <w:rFonts w:cs="Tahoma"/>
          <w:bCs/>
          <w:szCs w:val="20"/>
        </w:rPr>
        <w:t xml:space="preserve"> </w:t>
      </w:r>
      <w:r w:rsidRPr="00B872FD">
        <w:rPr>
          <w:rFonts w:cs="Tahoma"/>
          <w:bCs/>
          <w:szCs w:val="20"/>
        </w:rPr>
        <w:t>svolgimento dell'attività e anche se non utilizzato in maniera diretta - può risultare</w:t>
      </w:r>
      <w:r w:rsidR="003152D8">
        <w:rPr>
          <w:rFonts w:cs="Tahoma"/>
          <w:bCs/>
          <w:szCs w:val="20"/>
        </w:rPr>
        <w:t xml:space="preserve"> </w:t>
      </w:r>
      <w:r w:rsidRPr="00B872FD">
        <w:rPr>
          <w:rFonts w:cs="Tahoma"/>
          <w:bCs/>
          <w:szCs w:val="20"/>
        </w:rPr>
        <w:t>parte integrante del complesso di beni organizzati dall'imprenditore ai fini del</w:t>
      </w:r>
      <w:r w:rsidR="003152D8">
        <w:rPr>
          <w:rFonts w:cs="Tahoma"/>
          <w:bCs/>
          <w:szCs w:val="20"/>
        </w:rPr>
        <w:t xml:space="preserve"> </w:t>
      </w:r>
      <w:r w:rsidRPr="00B872FD">
        <w:rPr>
          <w:rFonts w:cs="Tahoma"/>
          <w:bCs/>
          <w:szCs w:val="20"/>
        </w:rPr>
        <w:t>raggiungimento delle finalità dell'impresa qualora favorisca il consolidamento e lo</w:t>
      </w:r>
      <w:r w:rsidR="003152D8">
        <w:rPr>
          <w:rFonts w:cs="Tahoma"/>
          <w:bCs/>
          <w:szCs w:val="20"/>
        </w:rPr>
        <w:t xml:space="preserve"> </w:t>
      </w:r>
      <w:r w:rsidRPr="00B872FD">
        <w:rPr>
          <w:rFonts w:cs="Tahoma"/>
          <w:bCs/>
          <w:szCs w:val="20"/>
        </w:rPr>
        <w:t>sviluppo dei rapporti commerciali con il comodatario e la diffusione sul mercato dei</w:t>
      </w:r>
      <w:r w:rsidR="003152D8">
        <w:rPr>
          <w:rFonts w:cs="Tahoma"/>
          <w:bCs/>
          <w:szCs w:val="20"/>
        </w:rPr>
        <w:t xml:space="preserve"> </w:t>
      </w:r>
      <w:r w:rsidRPr="00B872FD">
        <w:rPr>
          <w:rFonts w:cs="Tahoma"/>
          <w:bCs/>
          <w:szCs w:val="20"/>
        </w:rPr>
        <w:t xml:space="preserve">prodotti commercializzati, costituendo un "mezzo" per il </w:t>
      </w:r>
      <w:r w:rsidRPr="00B872FD">
        <w:rPr>
          <w:rFonts w:cs="Tahoma"/>
          <w:b/>
          <w:szCs w:val="20"/>
        </w:rPr>
        <w:t>raggiungimento del "fine"</w:t>
      </w:r>
      <w:r w:rsidR="003152D8" w:rsidRPr="003152D8">
        <w:rPr>
          <w:rFonts w:cs="Tahoma"/>
          <w:b/>
          <w:szCs w:val="20"/>
        </w:rPr>
        <w:t xml:space="preserve"> </w:t>
      </w:r>
      <w:r w:rsidRPr="00B872FD">
        <w:rPr>
          <w:rFonts w:cs="Tahoma"/>
          <w:b/>
          <w:szCs w:val="20"/>
        </w:rPr>
        <w:t>della società comodante</w:t>
      </w:r>
      <w:r w:rsidRPr="00B872FD">
        <w:rPr>
          <w:rFonts w:cs="Tahoma"/>
          <w:bCs/>
          <w:szCs w:val="20"/>
        </w:rPr>
        <w:t xml:space="preserve">, che </w:t>
      </w:r>
      <w:r w:rsidRPr="00B872FD">
        <w:rPr>
          <w:rFonts w:cs="Tahoma"/>
          <w:b/>
          <w:szCs w:val="20"/>
        </w:rPr>
        <w:t xml:space="preserve">è quello della produzione di ricavi </w:t>
      </w:r>
      <w:r w:rsidRPr="00B872FD">
        <w:rPr>
          <w:rFonts w:cs="Tahoma"/>
          <w:bCs/>
          <w:szCs w:val="20"/>
        </w:rPr>
        <w:t>(in linea con quanto</w:t>
      </w:r>
      <w:r w:rsidR="003152D8">
        <w:rPr>
          <w:rFonts w:cs="Tahoma"/>
          <w:bCs/>
          <w:szCs w:val="20"/>
        </w:rPr>
        <w:t xml:space="preserve"> </w:t>
      </w:r>
      <w:r w:rsidRPr="00B872FD">
        <w:rPr>
          <w:rFonts w:cs="Tahoma"/>
          <w:bCs/>
          <w:szCs w:val="20"/>
        </w:rPr>
        <w:t>chiarito nella risoluzione n. 196/E del 16 maggio 2008).</w:t>
      </w:r>
    </w:p>
    <w:p w14:paraId="67F6A9B9" w14:textId="34EEA2E3" w:rsidR="00312830" w:rsidRDefault="00B872FD" w:rsidP="00B872FD">
      <w:pPr>
        <w:shd w:val="clear" w:color="auto" w:fill="FFFFFF"/>
        <w:spacing w:line="360" w:lineRule="auto"/>
        <w:jc w:val="both"/>
        <w:rPr>
          <w:rFonts w:cs="Tahoma"/>
          <w:bCs/>
          <w:szCs w:val="20"/>
        </w:rPr>
      </w:pPr>
      <w:r w:rsidRPr="00B872FD">
        <w:rPr>
          <w:rFonts w:cs="Tahoma"/>
          <w:bCs/>
          <w:szCs w:val="20"/>
        </w:rPr>
        <w:t>Pertanto, i beni dovranno essere utilizzati dal comodatario</w:t>
      </w:r>
      <w:r w:rsidR="003152D8">
        <w:rPr>
          <w:rFonts w:cs="Tahoma"/>
          <w:bCs/>
          <w:szCs w:val="20"/>
        </w:rPr>
        <w:t xml:space="preserve"> </w:t>
      </w:r>
      <w:r w:rsidRPr="00B872FD">
        <w:rPr>
          <w:rFonts w:cs="Tahoma"/>
          <w:bCs/>
          <w:szCs w:val="20"/>
        </w:rPr>
        <w:t>nell'ambito di un'attività strettamente funzionale all'esigenza di produzione del</w:t>
      </w:r>
      <w:r w:rsidR="003152D8">
        <w:rPr>
          <w:rFonts w:cs="Tahoma"/>
          <w:bCs/>
          <w:szCs w:val="20"/>
        </w:rPr>
        <w:t xml:space="preserve"> </w:t>
      </w:r>
      <w:r w:rsidRPr="00B872FD">
        <w:rPr>
          <w:rFonts w:cs="Tahoma"/>
          <w:bCs/>
          <w:szCs w:val="20"/>
        </w:rPr>
        <w:t>comodante e gli stessi dovranno in ogni caso cedere le proprie utilità anche all'impresa</w:t>
      </w:r>
      <w:r w:rsidR="003152D8">
        <w:rPr>
          <w:rFonts w:cs="Tahoma"/>
          <w:bCs/>
          <w:szCs w:val="20"/>
        </w:rPr>
        <w:t xml:space="preserve"> </w:t>
      </w:r>
      <w:r w:rsidRPr="00B872FD">
        <w:rPr>
          <w:rFonts w:cs="Tahoma"/>
          <w:bCs/>
          <w:szCs w:val="20"/>
        </w:rPr>
        <w:t>proprietaria/comodante.</w:t>
      </w:r>
    </w:p>
    <w:p w14:paraId="10495357" w14:textId="6C29C75D" w:rsidR="004C2F66" w:rsidRDefault="00090D7B" w:rsidP="0023493E">
      <w:pPr>
        <w:shd w:val="clear" w:color="auto" w:fill="FFFFFF"/>
        <w:spacing w:line="360" w:lineRule="auto"/>
        <w:jc w:val="both"/>
        <w:rPr>
          <w:rFonts w:cs="Tahoma"/>
          <w:bCs/>
          <w:szCs w:val="20"/>
        </w:rPr>
      </w:pPr>
      <w:r w:rsidRPr="00090D7B">
        <w:rPr>
          <w:rFonts w:cs="Tahoma"/>
          <w:bCs/>
          <w:szCs w:val="20"/>
        </w:rPr>
        <w:t>Con riferimento</w:t>
      </w:r>
      <w:r>
        <w:rPr>
          <w:rFonts w:cs="Tahoma"/>
          <w:bCs/>
          <w:szCs w:val="20"/>
        </w:rPr>
        <w:t xml:space="preserve">, infine, </w:t>
      </w:r>
      <w:r w:rsidRPr="00090D7B">
        <w:rPr>
          <w:rFonts w:cs="Tahoma"/>
          <w:bCs/>
          <w:szCs w:val="20"/>
        </w:rPr>
        <w:t xml:space="preserve">alle spese sostenute per </w:t>
      </w:r>
      <w:r w:rsidRPr="00090D7B">
        <w:rPr>
          <w:rFonts w:cs="Tahoma"/>
          <w:b/>
          <w:szCs w:val="20"/>
        </w:rPr>
        <w:t>migliorie su beni non di proprietà dell’impresa</w:t>
      </w:r>
      <w:r w:rsidRPr="00090D7B">
        <w:rPr>
          <w:rFonts w:cs="Tahoma"/>
          <w:bCs/>
          <w:szCs w:val="20"/>
        </w:rPr>
        <w:t xml:space="preserve">, quali ad esempio quelli utilizzati in virtù di un </w:t>
      </w:r>
      <w:r w:rsidRPr="00090D7B">
        <w:rPr>
          <w:rFonts w:cs="Tahoma"/>
          <w:b/>
          <w:szCs w:val="20"/>
        </w:rPr>
        <w:t>contratto di locazione o comodato</w:t>
      </w:r>
      <w:r w:rsidRPr="00090D7B">
        <w:rPr>
          <w:rFonts w:cs="Tahoma"/>
          <w:bCs/>
          <w:szCs w:val="20"/>
        </w:rPr>
        <w:t xml:space="preserve">, si ricorda che, secondo corretti principi contabili, le stesse sono </w:t>
      </w:r>
      <w:r w:rsidRPr="00090D7B">
        <w:rPr>
          <w:rFonts w:cs="Tahoma"/>
          <w:b/>
          <w:szCs w:val="20"/>
        </w:rPr>
        <w:t>capitalizzabili ed iscrivibili nella voce “Immobilizzazioni materiali”</w:t>
      </w:r>
      <w:r w:rsidRPr="00090D7B">
        <w:rPr>
          <w:rFonts w:cs="Tahoma"/>
          <w:bCs/>
          <w:szCs w:val="20"/>
        </w:rPr>
        <w:t xml:space="preserve"> se si estrinsecano in beni che hanno una </w:t>
      </w:r>
      <w:r w:rsidRPr="00090D7B">
        <w:rPr>
          <w:rFonts w:cs="Tahoma"/>
          <w:b/>
          <w:szCs w:val="20"/>
        </w:rPr>
        <w:t>loro individualità</w:t>
      </w:r>
      <w:r w:rsidRPr="00090D7B">
        <w:rPr>
          <w:rFonts w:cs="Tahoma"/>
          <w:bCs/>
          <w:szCs w:val="20"/>
        </w:rPr>
        <w:t xml:space="preserve"> ed </w:t>
      </w:r>
      <w:r w:rsidRPr="00090D7B">
        <w:rPr>
          <w:rFonts w:cs="Tahoma"/>
          <w:b/>
          <w:szCs w:val="20"/>
        </w:rPr>
        <w:t>autonoma funzionalità</w:t>
      </w:r>
      <w:r w:rsidRPr="00090D7B">
        <w:rPr>
          <w:rFonts w:cs="Tahoma"/>
          <w:bCs/>
          <w:szCs w:val="20"/>
        </w:rPr>
        <w:t xml:space="preserve"> che, al termine del periodo di locazione o di comodato, </w:t>
      </w:r>
      <w:r w:rsidRPr="00090D7B">
        <w:rPr>
          <w:rFonts w:cs="Tahoma"/>
          <w:b/>
          <w:szCs w:val="20"/>
        </w:rPr>
        <w:t>possono essere rimossi</w:t>
      </w:r>
      <w:r w:rsidRPr="00090D7B">
        <w:rPr>
          <w:rFonts w:cs="Tahoma"/>
          <w:bCs/>
          <w:szCs w:val="20"/>
        </w:rPr>
        <w:t xml:space="preserve"> dall’utilizzatore (locatario o comodatario) e possono avere una </w:t>
      </w:r>
      <w:r w:rsidRPr="00090D7B">
        <w:rPr>
          <w:rFonts w:cs="Tahoma"/>
          <w:b/>
          <w:szCs w:val="20"/>
        </w:rPr>
        <w:t>possibilità d’utilizzo a prescindere dal bene a cui accedono</w:t>
      </w:r>
      <w:r>
        <w:rPr>
          <w:rFonts w:cs="Tahoma"/>
          <w:bCs/>
          <w:szCs w:val="20"/>
        </w:rPr>
        <w:t>.</w:t>
      </w:r>
      <w:r w:rsidR="0023493E">
        <w:rPr>
          <w:rFonts w:cs="Tahoma"/>
          <w:bCs/>
          <w:szCs w:val="20"/>
        </w:rPr>
        <w:t xml:space="preserve"> </w:t>
      </w:r>
      <w:r w:rsidRPr="00090D7B">
        <w:rPr>
          <w:rFonts w:cs="Tahoma"/>
          <w:bCs/>
          <w:szCs w:val="20"/>
        </w:rPr>
        <w:t xml:space="preserve">Tali spese possono fruire </w:t>
      </w:r>
      <w:r>
        <w:rPr>
          <w:rFonts w:cs="Tahoma"/>
          <w:bCs/>
          <w:szCs w:val="20"/>
        </w:rPr>
        <w:t xml:space="preserve">del </w:t>
      </w:r>
      <w:r w:rsidRPr="00090D7B">
        <w:rPr>
          <w:rFonts w:cs="Tahoma"/>
          <w:b/>
          <w:szCs w:val="20"/>
        </w:rPr>
        <w:t>credito d’imposta in quanto costituiscono beni materiali</w:t>
      </w:r>
      <w:r w:rsidRPr="00090D7B">
        <w:rPr>
          <w:rFonts w:cs="Tahoma"/>
          <w:bCs/>
          <w:szCs w:val="20"/>
        </w:rPr>
        <w:t xml:space="preserve"> e non meri costi</w:t>
      </w:r>
      <w:r w:rsidR="0023493E">
        <w:rPr>
          <w:rFonts w:cs="Tahoma"/>
          <w:bCs/>
          <w:szCs w:val="20"/>
        </w:rPr>
        <w:t>.</w:t>
      </w:r>
    </w:p>
    <w:p w14:paraId="355E4599" w14:textId="77777777" w:rsidR="00C76ED3" w:rsidRDefault="00C76ED3" w:rsidP="006B5DF7">
      <w:pPr>
        <w:pStyle w:val="Titolo2"/>
      </w:pPr>
    </w:p>
    <w:p w14:paraId="2E31300F" w14:textId="70A998F8" w:rsidR="002762E0" w:rsidRPr="006B5DF7" w:rsidRDefault="002762E0" w:rsidP="006B5DF7">
      <w:pPr>
        <w:pStyle w:val="Titolo2"/>
      </w:pPr>
      <w:bookmarkStart w:id="23" w:name="_Toc93327705"/>
      <w:r w:rsidRPr="006B5DF7">
        <w:t>3.3 Beni strumentali 4.0</w:t>
      </w:r>
      <w:bookmarkEnd w:id="23"/>
    </w:p>
    <w:p w14:paraId="0A4DED1C" w14:textId="3C7CAD23" w:rsidR="00FF2AD4" w:rsidRPr="00FF2AD4" w:rsidRDefault="00FF2AD4" w:rsidP="00FF2AD4">
      <w:pPr>
        <w:shd w:val="clear" w:color="auto" w:fill="FFFFFF"/>
        <w:spacing w:line="360" w:lineRule="auto"/>
        <w:jc w:val="both"/>
        <w:rPr>
          <w:rFonts w:cs="Tahoma"/>
          <w:bCs/>
          <w:szCs w:val="20"/>
        </w:rPr>
      </w:pPr>
      <w:r>
        <w:rPr>
          <w:rFonts w:cs="Tahoma"/>
          <w:bCs/>
          <w:szCs w:val="20"/>
        </w:rPr>
        <w:t xml:space="preserve">Il presente paragrafo </w:t>
      </w:r>
      <w:r w:rsidRPr="00FF2AD4">
        <w:rPr>
          <w:rFonts w:cs="Tahoma"/>
          <w:bCs/>
          <w:szCs w:val="20"/>
        </w:rPr>
        <w:t xml:space="preserve">fornisce chiarimenti </w:t>
      </w:r>
      <w:r w:rsidRPr="00FF2AD4">
        <w:rPr>
          <w:rFonts w:cs="Tahoma"/>
          <w:b/>
          <w:szCs w:val="20"/>
        </w:rPr>
        <w:t>relativi alla natura tecnica delle caratteristiche elencate negli allegati A e B</w:t>
      </w:r>
      <w:r w:rsidRPr="00FF2AD4">
        <w:rPr>
          <w:rFonts w:cs="Tahoma"/>
          <w:bCs/>
          <w:szCs w:val="20"/>
        </w:rPr>
        <w:t xml:space="preserve"> della legge di bilancio 2017.</w:t>
      </w:r>
    </w:p>
    <w:p w14:paraId="6A8DFD85" w14:textId="785FDA3C" w:rsidR="00FF2AD4" w:rsidRPr="00FF2AD4" w:rsidRDefault="00FF2AD4" w:rsidP="00FF2AD4">
      <w:pPr>
        <w:shd w:val="clear" w:color="auto" w:fill="FFFFFF"/>
        <w:spacing w:line="360" w:lineRule="auto"/>
        <w:jc w:val="both"/>
        <w:rPr>
          <w:rFonts w:cs="Tahoma"/>
          <w:bCs/>
          <w:szCs w:val="20"/>
        </w:rPr>
      </w:pPr>
      <w:r w:rsidRPr="00FF2AD4">
        <w:rPr>
          <w:rFonts w:cs="Tahoma"/>
          <w:bCs/>
          <w:szCs w:val="20"/>
        </w:rPr>
        <w:t xml:space="preserve">La lista dei beni che possono beneficiare </w:t>
      </w:r>
      <w:r>
        <w:rPr>
          <w:rFonts w:cs="Tahoma"/>
          <w:bCs/>
          <w:szCs w:val="20"/>
        </w:rPr>
        <w:t xml:space="preserve">del </w:t>
      </w:r>
      <w:r w:rsidRPr="00FF2AD4">
        <w:rPr>
          <w:rFonts w:cs="Tahoma"/>
          <w:b/>
          <w:szCs w:val="20"/>
        </w:rPr>
        <w:t xml:space="preserve">credito d’imposta beni </w:t>
      </w:r>
      <w:r>
        <w:rPr>
          <w:rFonts w:cs="Tahoma"/>
          <w:b/>
          <w:szCs w:val="20"/>
        </w:rPr>
        <w:t xml:space="preserve">strumentali </w:t>
      </w:r>
      <w:r w:rsidRPr="00FF2AD4">
        <w:rPr>
          <w:rFonts w:cs="Tahoma"/>
          <w:b/>
          <w:szCs w:val="20"/>
        </w:rPr>
        <w:t>materiali 4.0</w:t>
      </w:r>
      <w:r>
        <w:rPr>
          <w:rFonts w:cs="Tahoma"/>
          <w:bCs/>
          <w:szCs w:val="20"/>
        </w:rPr>
        <w:t xml:space="preserve"> (credito al 50% per il 2021)</w:t>
      </w:r>
      <w:r w:rsidRPr="00FF2AD4">
        <w:rPr>
          <w:rFonts w:cs="Tahoma"/>
          <w:bCs/>
          <w:szCs w:val="20"/>
        </w:rPr>
        <w:t xml:space="preserve"> è descritta </w:t>
      </w:r>
      <w:r w:rsidRPr="00FF2AD4">
        <w:rPr>
          <w:rFonts w:cs="Tahoma"/>
          <w:b/>
          <w:szCs w:val="20"/>
        </w:rPr>
        <w:t>nell’allegato A della legge 11 dicembre 2016, n. 232</w:t>
      </w:r>
      <w:r w:rsidRPr="00FF2AD4">
        <w:rPr>
          <w:rFonts w:cs="Tahoma"/>
          <w:bCs/>
          <w:szCs w:val="20"/>
        </w:rPr>
        <w:t xml:space="preserve"> (legge di bilancio 2017) e si articola su </w:t>
      </w:r>
      <w:r w:rsidRPr="00FF2AD4">
        <w:rPr>
          <w:rFonts w:cs="Tahoma"/>
          <w:b/>
          <w:szCs w:val="20"/>
        </w:rPr>
        <w:t>3 linee di azione</w:t>
      </w:r>
      <w:r w:rsidRPr="00FF2AD4">
        <w:rPr>
          <w:rFonts w:cs="Tahoma"/>
          <w:bCs/>
          <w:szCs w:val="20"/>
        </w:rPr>
        <w:t>:</w:t>
      </w:r>
    </w:p>
    <w:p w14:paraId="04403E8B" w14:textId="028DE830" w:rsidR="00FF2AD4" w:rsidRPr="00FF2AD4" w:rsidRDefault="00FF2AD4" w:rsidP="00AE49EC">
      <w:pPr>
        <w:pStyle w:val="Paragrafoelenco"/>
        <w:numPr>
          <w:ilvl w:val="0"/>
          <w:numId w:val="15"/>
        </w:numPr>
        <w:shd w:val="clear" w:color="auto" w:fill="FFFFFF"/>
        <w:spacing w:line="360" w:lineRule="auto"/>
        <w:jc w:val="both"/>
        <w:rPr>
          <w:rFonts w:cs="Tahoma"/>
          <w:b/>
          <w:szCs w:val="20"/>
        </w:rPr>
      </w:pPr>
      <w:r w:rsidRPr="00FF2AD4">
        <w:rPr>
          <w:rFonts w:cs="Tahoma"/>
          <w:b/>
          <w:szCs w:val="20"/>
        </w:rPr>
        <w:t>Beni strumentali il cui funzionamento è controllato da sistemi computerizzati o gestito tramite opportuni sensori e azionamenti</w:t>
      </w:r>
    </w:p>
    <w:p w14:paraId="07C251B8" w14:textId="6B24EC66" w:rsidR="00FF2AD4" w:rsidRPr="00FF2AD4" w:rsidRDefault="00FF2AD4" w:rsidP="00AE49EC">
      <w:pPr>
        <w:pStyle w:val="Paragrafoelenco"/>
        <w:numPr>
          <w:ilvl w:val="0"/>
          <w:numId w:val="15"/>
        </w:numPr>
        <w:shd w:val="clear" w:color="auto" w:fill="FFFFFF"/>
        <w:spacing w:line="360" w:lineRule="auto"/>
        <w:jc w:val="both"/>
        <w:rPr>
          <w:rFonts w:cs="Tahoma"/>
          <w:b/>
          <w:szCs w:val="20"/>
        </w:rPr>
      </w:pPr>
      <w:r w:rsidRPr="00FF2AD4">
        <w:rPr>
          <w:rFonts w:cs="Tahoma"/>
          <w:b/>
          <w:szCs w:val="20"/>
        </w:rPr>
        <w:t>Sistemi per l’assicurazione della qualità e della sostenibilità</w:t>
      </w:r>
    </w:p>
    <w:p w14:paraId="533E31CD" w14:textId="1CEA7F5E" w:rsidR="00FF2AD4" w:rsidRPr="00FF2AD4" w:rsidRDefault="00FF2AD4" w:rsidP="00AE49EC">
      <w:pPr>
        <w:pStyle w:val="Paragrafoelenco"/>
        <w:numPr>
          <w:ilvl w:val="0"/>
          <w:numId w:val="15"/>
        </w:numPr>
        <w:shd w:val="clear" w:color="auto" w:fill="FFFFFF"/>
        <w:spacing w:line="360" w:lineRule="auto"/>
        <w:jc w:val="both"/>
        <w:rPr>
          <w:rFonts w:cs="Tahoma"/>
          <w:b/>
          <w:szCs w:val="20"/>
        </w:rPr>
      </w:pPr>
      <w:r w:rsidRPr="00FF2AD4">
        <w:rPr>
          <w:rFonts w:cs="Tahoma"/>
          <w:b/>
          <w:szCs w:val="20"/>
        </w:rPr>
        <w:lastRenderedPageBreak/>
        <w:t>Dispositivi per l’interazione uomo macchina e per il miglioramento dell’ergonomia e della sicurezza del posto di lavoro in logica «4.0»</w:t>
      </w:r>
    </w:p>
    <w:p w14:paraId="42DD6A6C" w14:textId="77777777" w:rsidR="00C76ED3" w:rsidRDefault="00C76ED3" w:rsidP="009249CD">
      <w:pPr>
        <w:pStyle w:val="Titolo3"/>
      </w:pPr>
    </w:p>
    <w:p w14:paraId="5CDE17E7" w14:textId="7CA0E0CF" w:rsidR="00FF2AD4" w:rsidRPr="00FF2AD4" w:rsidRDefault="00FF2AD4" w:rsidP="009249CD">
      <w:pPr>
        <w:pStyle w:val="Titolo3"/>
      </w:pPr>
      <w:bookmarkStart w:id="24" w:name="_Toc93327706"/>
      <w:r>
        <w:t>3.</w:t>
      </w:r>
      <w:r w:rsidR="009249CD">
        <w:t>3.1</w:t>
      </w:r>
      <w:r>
        <w:t xml:space="preserve"> </w:t>
      </w:r>
      <w:r w:rsidRPr="00FF2AD4">
        <w:t>Beni strumentali il cui funzionamento è controllato da sistemi computerizzati o gestito tramite opportuni sensori e azionamenti</w:t>
      </w:r>
      <w:bookmarkEnd w:id="24"/>
    </w:p>
    <w:p w14:paraId="4E9FD716" w14:textId="5514B90D" w:rsidR="00FF2AD4" w:rsidRPr="00FF2AD4" w:rsidRDefault="00FF2AD4" w:rsidP="00FF2AD4">
      <w:pPr>
        <w:shd w:val="clear" w:color="auto" w:fill="FFFFFF"/>
        <w:spacing w:line="360" w:lineRule="auto"/>
        <w:jc w:val="both"/>
        <w:rPr>
          <w:rFonts w:cs="Tahoma"/>
          <w:bCs/>
          <w:szCs w:val="20"/>
        </w:rPr>
      </w:pPr>
      <w:r w:rsidRPr="00FF2AD4">
        <w:rPr>
          <w:rFonts w:cs="Tahoma"/>
          <w:bCs/>
          <w:szCs w:val="20"/>
        </w:rPr>
        <w:t xml:space="preserve">Di seguito sono riportati i </w:t>
      </w:r>
      <w:r w:rsidRPr="00D836B4">
        <w:rPr>
          <w:rFonts w:cs="Tahoma"/>
          <w:b/>
          <w:szCs w:val="20"/>
        </w:rPr>
        <w:t xml:space="preserve">beni strumentali </w:t>
      </w:r>
      <w:r w:rsidR="00D836B4" w:rsidRPr="00D836B4">
        <w:rPr>
          <w:rFonts w:cs="Tahoma"/>
          <w:b/>
          <w:szCs w:val="20"/>
        </w:rPr>
        <w:t>4.0</w:t>
      </w:r>
      <w:r w:rsidRPr="00FF2AD4">
        <w:rPr>
          <w:rFonts w:cs="Tahoma"/>
          <w:bCs/>
          <w:szCs w:val="20"/>
        </w:rPr>
        <w:t xml:space="preserve"> con una serie di </w:t>
      </w:r>
      <w:r w:rsidRPr="00D836B4">
        <w:rPr>
          <w:rFonts w:cs="Tahoma"/>
          <w:b/>
          <w:szCs w:val="20"/>
        </w:rPr>
        <w:t>esempi</w:t>
      </w:r>
      <w:r w:rsidRPr="00FF2AD4">
        <w:rPr>
          <w:rFonts w:cs="Tahoma"/>
          <w:bCs/>
          <w:szCs w:val="20"/>
        </w:rPr>
        <w:t xml:space="preserve"> e </w:t>
      </w:r>
      <w:r w:rsidRPr="00D836B4">
        <w:rPr>
          <w:rFonts w:cs="Tahoma"/>
          <w:b/>
          <w:szCs w:val="20"/>
        </w:rPr>
        <w:t>spiegazioni a supporto dell’interpretazione</w:t>
      </w:r>
      <w:r w:rsidRPr="00FF2AD4">
        <w:rPr>
          <w:rFonts w:cs="Tahoma"/>
          <w:bCs/>
          <w:szCs w:val="20"/>
        </w:rPr>
        <w:t>:</w:t>
      </w:r>
    </w:p>
    <w:p w14:paraId="19251466" w14:textId="77777777" w:rsidR="00D836B4" w:rsidRDefault="00FF2AD4" w:rsidP="00AE49EC">
      <w:pPr>
        <w:pStyle w:val="Paragrafoelenco"/>
        <w:numPr>
          <w:ilvl w:val="0"/>
          <w:numId w:val="16"/>
        </w:numPr>
        <w:shd w:val="clear" w:color="auto" w:fill="FFFFFF"/>
        <w:spacing w:line="360" w:lineRule="auto"/>
        <w:jc w:val="both"/>
        <w:rPr>
          <w:rFonts w:cs="Tahoma"/>
          <w:bCs/>
          <w:szCs w:val="20"/>
        </w:rPr>
      </w:pPr>
      <w:r w:rsidRPr="00D836B4">
        <w:rPr>
          <w:rFonts w:cs="Tahoma"/>
          <w:b/>
          <w:szCs w:val="20"/>
        </w:rPr>
        <w:t>macchine utensili per asportazione</w:t>
      </w:r>
      <w:r w:rsidRPr="00D836B4">
        <w:rPr>
          <w:rFonts w:cs="Tahoma"/>
          <w:bCs/>
          <w:szCs w:val="20"/>
        </w:rPr>
        <w:t>. In tale contesto si fa riferimento a tutte le macchine atte alla trasformazione di pezzi, indipendentemente dal materiale lavorato (metallo, compositi, marmo, polimeri, legno, ceramica, ecc.). Ne sono un esempio torni a CN, centri di lavoro, centri di rettifica, ecc.;</w:t>
      </w:r>
    </w:p>
    <w:p w14:paraId="3A6DD7D7" w14:textId="77777777" w:rsidR="00E2123F" w:rsidRDefault="00FF2AD4" w:rsidP="00AE49EC">
      <w:pPr>
        <w:pStyle w:val="Paragrafoelenco"/>
        <w:numPr>
          <w:ilvl w:val="0"/>
          <w:numId w:val="16"/>
        </w:numPr>
        <w:shd w:val="clear" w:color="auto" w:fill="FFFFFF"/>
        <w:spacing w:line="360" w:lineRule="auto"/>
        <w:jc w:val="both"/>
        <w:rPr>
          <w:rFonts w:cs="Tahoma"/>
          <w:bCs/>
          <w:szCs w:val="20"/>
        </w:rPr>
      </w:pPr>
      <w:r w:rsidRPr="00D836B4">
        <w:rPr>
          <w:rFonts w:cs="Tahoma"/>
          <w:b/>
          <w:szCs w:val="20"/>
        </w:rPr>
        <w:t xml:space="preserve">macchine utensili operanti con laser e altri processi a flusso di energia (ad esempio plasma, </w:t>
      </w:r>
      <w:proofErr w:type="spellStart"/>
      <w:r w:rsidRPr="00D836B4">
        <w:rPr>
          <w:rFonts w:cs="Tahoma"/>
          <w:b/>
          <w:szCs w:val="20"/>
        </w:rPr>
        <w:t>waterjet</w:t>
      </w:r>
      <w:proofErr w:type="spellEnd"/>
      <w:r w:rsidRPr="00D836B4">
        <w:rPr>
          <w:rFonts w:cs="Tahoma"/>
          <w:b/>
          <w:szCs w:val="20"/>
        </w:rPr>
        <w:t>, fascio di elettroni), elettroerosione, processi</w:t>
      </w:r>
      <w:r w:rsidR="00D836B4">
        <w:rPr>
          <w:rFonts w:cs="Tahoma"/>
          <w:bCs/>
          <w:szCs w:val="20"/>
        </w:rPr>
        <w:t xml:space="preserve"> </w:t>
      </w:r>
      <w:r w:rsidR="00D836B4" w:rsidRPr="00D836B4">
        <w:rPr>
          <w:rFonts w:cs="Tahoma"/>
          <w:b/>
          <w:bCs/>
          <w:szCs w:val="20"/>
        </w:rPr>
        <w:t>elettrochimici</w:t>
      </w:r>
      <w:r w:rsidR="00D836B4" w:rsidRPr="00D836B4">
        <w:rPr>
          <w:rFonts w:cs="Tahoma"/>
          <w:bCs/>
          <w:szCs w:val="20"/>
        </w:rPr>
        <w:t>.</w:t>
      </w:r>
    </w:p>
    <w:p w14:paraId="4C3F0F37" w14:textId="0B6414A5" w:rsidR="00D836B4" w:rsidRPr="00D836B4" w:rsidRDefault="00E2123F" w:rsidP="00E2123F">
      <w:pPr>
        <w:pStyle w:val="Paragrafoelenco"/>
        <w:shd w:val="clear" w:color="auto" w:fill="FFFFFF"/>
        <w:spacing w:line="360" w:lineRule="auto"/>
        <w:jc w:val="both"/>
        <w:rPr>
          <w:rFonts w:cs="Tahoma"/>
          <w:bCs/>
          <w:szCs w:val="20"/>
        </w:rPr>
      </w:pPr>
      <w:r w:rsidRPr="00E2123F">
        <w:rPr>
          <w:rFonts w:cs="Tahoma"/>
          <w:b/>
          <w:szCs w:val="20"/>
        </w:rPr>
        <w:t>E</w:t>
      </w:r>
      <w:r w:rsidR="00D836B4" w:rsidRPr="00E2123F">
        <w:rPr>
          <w:rFonts w:cs="Tahoma"/>
          <w:b/>
          <w:szCs w:val="20"/>
        </w:rPr>
        <w:t>sempi</w:t>
      </w:r>
      <w:r>
        <w:rPr>
          <w:rFonts w:cs="Tahoma"/>
          <w:bCs/>
          <w:szCs w:val="20"/>
        </w:rPr>
        <w:t>:</w:t>
      </w:r>
      <w:r w:rsidR="00D836B4" w:rsidRPr="00D836B4">
        <w:rPr>
          <w:rFonts w:cs="Tahoma"/>
          <w:bCs/>
          <w:szCs w:val="20"/>
        </w:rPr>
        <w:t xml:space="preserve"> macchine per la lavorazione a ultrasuono (USM), a getto abrasivo (AJM), </w:t>
      </w:r>
      <w:proofErr w:type="spellStart"/>
      <w:r w:rsidR="00D836B4" w:rsidRPr="00D836B4">
        <w:rPr>
          <w:rFonts w:cs="Tahoma"/>
          <w:bCs/>
          <w:szCs w:val="20"/>
        </w:rPr>
        <w:t>waterjet</w:t>
      </w:r>
      <w:proofErr w:type="spellEnd"/>
      <w:r w:rsidR="00D836B4" w:rsidRPr="00D836B4">
        <w:rPr>
          <w:rFonts w:cs="Tahoma"/>
          <w:bCs/>
          <w:szCs w:val="20"/>
        </w:rPr>
        <w:t xml:space="preserve"> (WJM), chimiche (CHM), elettrochimiche (ECM), elettroerosione (EDM), taglio laser (LBM), con fascio di elettroni o di ioni (EBM), plasma (PAM), ecc.;</w:t>
      </w:r>
    </w:p>
    <w:p w14:paraId="7F8EB6BB" w14:textId="5B85E310" w:rsidR="00FF2AD4" w:rsidRDefault="00D836B4" w:rsidP="00AE49EC">
      <w:pPr>
        <w:pStyle w:val="Paragrafoelenco"/>
        <w:numPr>
          <w:ilvl w:val="0"/>
          <w:numId w:val="16"/>
        </w:numPr>
        <w:shd w:val="clear" w:color="auto" w:fill="FFFFFF"/>
        <w:spacing w:line="360" w:lineRule="auto"/>
        <w:jc w:val="both"/>
        <w:rPr>
          <w:rFonts w:cs="Tahoma"/>
          <w:bCs/>
          <w:szCs w:val="20"/>
        </w:rPr>
      </w:pPr>
      <w:r w:rsidRPr="00D836B4">
        <w:rPr>
          <w:rFonts w:cs="Tahoma"/>
          <w:b/>
          <w:szCs w:val="20"/>
        </w:rPr>
        <w:t>macchine e impianti per la realizzazione di prodotti mediante la trasformazione dei materiali e delle materie prime</w:t>
      </w:r>
      <w:r w:rsidRPr="00D836B4">
        <w:rPr>
          <w:rFonts w:cs="Tahoma"/>
          <w:bCs/>
          <w:szCs w:val="20"/>
        </w:rPr>
        <w:t>. In questo caso, si intendono macchine e impianti impiegati nell’industria manifatturiera discreta, nell’industria di processo e in quella di trasformazione che devono essere dotati di proprietà di riconfigurabilità o flessibilità (sia per quanto riguarda le tipologie di operazioni che possono essere eseguite, sia per quanto riguarda la gestione dei flussi all’interno dell’impianto). Nel rispetto delle condizioni sopra esposte, la voce nell’elenco è applicabile indipendentemente dal prodotto (o semilavorato) realizzato o trasformato o trattato e dal relativo ciclo tecnologico e indipendentemente dal tipo di realizzazione o trasformazione o trattamento (meccanico, chimico, fisico, ecc.) indotto sul prodotto o semilavorato. Per impianto o porzione di impianto si intende un insieme di macchine connesse fisicamente tra di loro anche se ogni macchina o attrezzatura funziona in maniera indipendente. L’impianto gode del beneficio fiscale anche nel caso in cui i singoli componenti provengano da fornitori diversi;</w:t>
      </w:r>
    </w:p>
    <w:p w14:paraId="6A55BE1E" w14:textId="77777777" w:rsidR="00E2123F" w:rsidRDefault="00D836B4" w:rsidP="00AE49EC">
      <w:pPr>
        <w:pStyle w:val="Paragrafoelenco"/>
        <w:numPr>
          <w:ilvl w:val="0"/>
          <w:numId w:val="16"/>
        </w:numPr>
        <w:shd w:val="clear" w:color="auto" w:fill="FFFFFF"/>
        <w:spacing w:line="360" w:lineRule="auto"/>
        <w:jc w:val="both"/>
        <w:rPr>
          <w:rFonts w:cs="Tahoma"/>
          <w:bCs/>
          <w:szCs w:val="20"/>
        </w:rPr>
      </w:pPr>
      <w:r w:rsidRPr="00D836B4">
        <w:rPr>
          <w:rFonts w:cs="Tahoma"/>
          <w:b/>
          <w:szCs w:val="20"/>
        </w:rPr>
        <w:t>macchine utensili per la deformazione plastica dei metalli e altri materiali</w:t>
      </w:r>
      <w:r w:rsidRPr="00D836B4">
        <w:rPr>
          <w:rFonts w:cs="Tahoma"/>
          <w:bCs/>
          <w:szCs w:val="20"/>
        </w:rPr>
        <w:t>. Si intendono tutte quelle macchine che eseguono la deformazione plastica operanti sia a freddo che a caldo.</w:t>
      </w:r>
    </w:p>
    <w:p w14:paraId="3A64D200" w14:textId="72114E6C" w:rsidR="00D836B4" w:rsidRDefault="00E2123F" w:rsidP="00E2123F">
      <w:pPr>
        <w:pStyle w:val="Paragrafoelenco"/>
        <w:shd w:val="clear" w:color="auto" w:fill="FFFFFF"/>
        <w:spacing w:line="360" w:lineRule="auto"/>
        <w:jc w:val="both"/>
        <w:rPr>
          <w:rFonts w:cs="Tahoma"/>
          <w:bCs/>
          <w:szCs w:val="20"/>
        </w:rPr>
      </w:pPr>
      <w:r w:rsidRPr="00E2123F">
        <w:rPr>
          <w:rFonts w:cs="Tahoma"/>
          <w:b/>
          <w:szCs w:val="20"/>
        </w:rPr>
        <w:t>E</w:t>
      </w:r>
      <w:r w:rsidR="00D836B4" w:rsidRPr="00E2123F">
        <w:rPr>
          <w:rFonts w:cs="Tahoma"/>
          <w:b/>
          <w:szCs w:val="20"/>
        </w:rPr>
        <w:t>sempi</w:t>
      </w:r>
      <w:r>
        <w:rPr>
          <w:rFonts w:cs="Tahoma"/>
          <w:bCs/>
          <w:szCs w:val="20"/>
        </w:rPr>
        <w:t>:</w:t>
      </w:r>
      <w:r w:rsidR="00D836B4" w:rsidRPr="00D836B4">
        <w:rPr>
          <w:rFonts w:cs="Tahoma"/>
          <w:bCs/>
          <w:szCs w:val="20"/>
        </w:rPr>
        <w:t xml:space="preserve"> presse, punzonatrici a CN, laminatoi, </w:t>
      </w:r>
      <w:proofErr w:type="spellStart"/>
      <w:r w:rsidR="00D836B4" w:rsidRPr="00D836B4">
        <w:rPr>
          <w:rFonts w:cs="Tahoma"/>
          <w:bCs/>
          <w:szCs w:val="20"/>
        </w:rPr>
        <w:t>pannellatrici</w:t>
      </w:r>
      <w:proofErr w:type="spellEnd"/>
      <w:r w:rsidR="00D836B4" w:rsidRPr="00D836B4">
        <w:rPr>
          <w:rFonts w:cs="Tahoma"/>
          <w:bCs/>
          <w:szCs w:val="20"/>
        </w:rPr>
        <w:t>, trafilatrici, ecc.;</w:t>
      </w:r>
    </w:p>
    <w:p w14:paraId="10335F4B" w14:textId="5DBB6A18" w:rsidR="00D836B4" w:rsidRDefault="00D836B4" w:rsidP="00AE49EC">
      <w:pPr>
        <w:pStyle w:val="Paragrafoelenco"/>
        <w:numPr>
          <w:ilvl w:val="0"/>
          <w:numId w:val="16"/>
        </w:numPr>
        <w:shd w:val="clear" w:color="auto" w:fill="FFFFFF"/>
        <w:spacing w:line="360" w:lineRule="auto"/>
        <w:jc w:val="both"/>
        <w:rPr>
          <w:rFonts w:cs="Tahoma"/>
          <w:bCs/>
          <w:szCs w:val="20"/>
        </w:rPr>
      </w:pPr>
      <w:r w:rsidRPr="00D836B4">
        <w:rPr>
          <w:rFonts w:cs="Tahoma"/>
          <w:b/>
          <w:szCs w:val="20"/>
        </w:rPr>
        <w:t>macchine utensili per l’assemblaggio, la giunzione e la saldatura</w:t>
      </w:r>
      <w:r w:rsidRPr="00D836B4">
        <w:rPr>
          <w:rFonts w:cs="Tahoma"/>
          <w:bCs/>
          <w:szCs w:val="20"/>
        </w:rPr>
        <w:t>. In questo caso possono essere compresi anche linee, celle e sistemi di assemblaggio;</w:t>
      </w:r>
    </w:p>
    <w:p w14:paraId="79E1F348" w14:textId="6FF06681" w:rsidR="00D836B4" w:rsidRDefault="00D836B4" w:rsidP="00AE49EC">
      <w:pPr>
        <w:pStyle w:val="Paragrafoelenco"/>
        <w:numPr>
          <w:ilvl w:val="0"/>
          <w:numId w:val="16"/>
        </w:numPr>
        <w:shd w:val="clear" w:color="auto" w:fill="FFFFFF"/>
        <w:spacing w:line="360" w:lineRule="auto"/>
        <w:jc w:val="both"/>
        <w:rPr>
          <w:rFonts w:cs="Tahoma"/>
          <w:bCs/>
          <w:szCs w:val="20"/>
        </w:rPr>
      </w:pPr>
      <w:r w:rsidRPr="00D836B4">
        <w:rPr>
          <w:rFonts w:cs="Tahoma"/>
          <w:b/>
          <w:szCs w:val="20"/>
        </w:rPr>
        <w:lastRenderedPageBreak/>
        <w:t>macchine per il confezionamento e l’imballaggio</w:t>
      </w:r>
      <w:r w:rsidRPr="00D836B4">
        <w:rPr>
          <w:rFonts w:cs="Tahoma"/>
          <w:bCs/>
          <w:szCs w:val="20"/>
        </w:rPr>
        <w:t>. Queste possono includere per esempio macchine adibite al packaging e all’imbottigliamento;</w:t>
      </w:r>
    </w:p>
    <w:p w14:paraId="74995041" w14:textId="643FA9A6" w:rsidR="00D836B4" w:rsidRDefault="00D836B4" w:rsidP="00AE49EC">
      <w:pPr>
        <w:pStyle w:val="Paragrafoelenco"/>
        <w:numPr>
          <w:ilvl w:val="0"/>
          <w:numId w:val="16"/>
        </w:numPr>
        <w:shd w:val="clear" w:color="auto" w:fill="FFFFFF"/>
        <w:spacing w:line="360" w:lineRule="auto"/>
        <w:jc w:val="both"/>
        <w:rPr>
          <w:rFonts w:cs="Tahoma"/>
          <w:bCs/>
          <w:szCs w:val="20"/>
        </w:rPr>
      </w:pPr>
      <w:r w:rsidRPr="00D836B4">
        <w:rPr>
          <w:rFonts w:cs="Tahoma"/>
          <w:b/>
          <w:szCs w:val="20"/>
        </w:rPr>
        <w:t xml:space="preserve">macchine utensili di de-produzione e </w:t>
      </w:r>
      <w:proofErr w:type="spellStart"/>
      <w:r w:rsidRPr="00D836B4">
        <w:rPr>
          <w:rFonts w:cs="Tahoma"/>
          <w:b/>
          <w:szCs w:val="20"/>
        </w:rPr>
        <w:t>riconfezionamento</w:t>
      </w:r>
      <w:proofErr w:type="spellEnd"/>
      <w:r w:rsidRPr="00D836B4">
        <w:rPr>
          <w:rFonts w:cs="Tahoma"/>
          <w:b/>
          <w:szCs w:val="20"/>
        </w:rPr>
        <w:t xml:space="preserve"> per recuperare materiali e funzioni da scarti industriali e prodotti di ritorno a fine vita</w:t>
      </w:r>
      <w:r w:rsidRPr="00D836B4">
        <w:rPr>
          <w:rFonts w:cs="Tahoma"/>
          <w:bCs/>
          <w:szCs w:val="20"/>
        </w:rPr>
        <w:t xml:space="preserve"> (ad esempio macchine per il disassemblaggio, la separazione, la frantumazione, il recupero chimico). Sono inclusi i dispositivi che, in un’ottica di economia circolare, sono finalizzati al riutilizzo diretto, alla riparazione, al </w:t>
      </w:r>
      <w:proofErr w:type="spellStart"/>
      <w:r w:rsidRPr="00D836B4">
        <w:rPr>
          <w:rFonts w:cs="Tahoma"/>
          <w:bCs/>
          <w:szCs w:val="20"/>
        </w:rPr>
        <w:t>remanufacturing</w:t>
      </w:r>
      <w:proofErr w:type="spellEnd"/>
      <w:r w:rsidRPr="00D836B4">
        <w:rPr>
          <w:rFonts w:cs="Tahoma"/>
          <w:bCs/>
          <w:szCs w:val="20"/>
        </w:rPr>
        <w:t xml:space="preserve"> e al riciclo/riutilizzo delle materie prime. Sono da ritenersi escluse le macchine finalizzate allo smaltimento in discarica e quelle finalizzate al recupero energetico;</w:t>
      </w:r>
    </w:p>
    <w:p w14:paraId="795C224A" w14:textId="73FE0DB5" w:rsidR="00D836B4" w:rsidRDefault="00D836B4" w:rsidP="00AE49EC">
      <w:pPr>
        <w:pStyle w:val="Paragrafoelenco"/>
        <w:numPr>
          <w:ilvl w:val="0"/>
          <w:numId w:val="16"/>
        </w:numPr>
        <w:shd w:val="clear" w:color="auto" w:fill="FFFFFF"/>
        <w:spacing w:line="360" w:lineRule="auto"/>
        <w:jc w:val="both"/>
        <w:rPr>
          <w:rFonts w:cs="Tahoma"/>
          <w:bCs/>
          <w:szCs w:val="20"/>
        </w:rPr>
      </w:pPr>
      <w:r w:rsidRPr="00D836B4">
        <w:rPr>
          <w:rFonts w:cs="Tahoma"/>
          <w:b/>
          <w:szCs w:val="20"/>
        </w:rPr>
        <w:t>robot, robot collaborativi e sistemi multi-robot</w:t>
      </w:r>
      <w:r w:rsidRPr="00D836B4">
        <w:rPr>
          <w:rFonts w:cs="Tahoma"/>
          <w:bCs/>
          <w:szCs w:val="20"/>
        </w:rPr>
        <w:t>;</w:t>
      </w:r>
    </w:p>
    <w:p w14:paraId="42996066" w14:textId="77777777" w:rsidR="00D836B4" w:rsidRDefault="00D836B4" w:rsidP="00AE49EC">
      <w:pPr>
        <w:pStyle w:val="Paragrafoelenco"/>
        <w:numPr>
          <w:ilvl w:val="0"/>
          <w:numId w:val="16"/>
        </w:numPr>
        <w:shd w:val="clear" w:color="auto" w:fill="FFFFFF"/>
        <w:spacing w:line="360" w:lineRule="auto"/>
        <w:jc w:val="both"/>
        <w:rPr>
          <w:rFonts w:cs="Tahoma"/>
          <w:bCs/>
          <w:szCs w:val="20"/>
        </w:rPr>
      </w:pPr>
      <w:r w:rsidRPr="00D836B4">
        <w:rPr>
          <w:rFonts w:cs="Tahoma"/>
          <w:b/>
          <w:szCs w:val="20"/>
        </w:rPr>
        <w:t>macchine utensili e sistemi per il conferimento o la modifica delle caratteristiche superficiali dei prodotti o la funzionalizzazione delle superfici</w:t>
      </w:r>
      <w:r w:rsidRPr="00D836B4">
        <w:rPr>
          <w:rFonts w:cs="Tahoma"/>
          <w:bCs/>
          <w:szCs w:val="20"/>
        </w:rPr>
        <w:t>.</w:t>
      </w:r>
    </w:p>
    <w:p w14:paraId="3C27B16D" w14:textId="77777777" w:rsidR="00D836B4" w:rsidRDefault="00D836B4" w:rsidP="00D836B4">
      <w:pPr>
        <w:pStyle w:val="Paragrafoelenco"/>
        <w:shd w:val="clear" w:color="auto" w:fill="FFFFFF"/>
        <w:spacing w:line="360" w:lineRule="auto"/>
        <w:jc w:val="both"/>
        <w:rPr>
          <w:rFonts w:cs="Tahoma"/>
          <w:bCs/>
          <w:szCs w:val="20"/>
        </w:rPr>
      </w:pPr>
      <w:r w:rsidRPr="00D836B4">
        <w:rPr>
          <w:rFonts w:cs="Tahoma"/>
          <w:b/>
          <w:szCs w:val="20"/>
        </w:rPr>
        <w:t>Esempi</w:t>
      </w:r>
      <w:r w:rsidRPr="00D836B4">
        <w:rPr>
          <w:rFonts w:cs="Tahoma"/>
          <w:bCs/>
          <w:szCs w:val="20"/>
        </w:rPr>
        <w:t xml:space="preserve">: lappatrici, rettificatrici, macchine per trattamenti superficiali, termici e/o chimici, macchine per il coating, macchine per </w:t>
      </w:r>
      <w:proofErr w:type="spellStart"/>
      <w:r w:rsidRPr="00D836B4">
        <w:rPr>
          <w:rFonts w:cs="Tahoma"/>
          <w:bCs/>
          <w:szCs w:val="20"/>
        </w:rPr>
        <w:t>granigliatura</w:t>
      </w:r>
      <w:proofErr w:type="spellEnd"/>
      <w:r w:rsidRPr="00D836B4">
        <w:rPr>
          <w:rFonts w:cs="Tahoma"/>
          <w:bCs/>
          <w:szCs w:val="20"/>
        </w:rPr>
        <w:t xml:space="preserve">, sabbiatura, pallinatura, </w:t>
      </w:r>
      <w:proofErr w:type="spellStart"/>
      <w:r w:rsidRPr="00D836B4">
        <w:rPr>
          <w:rFonts w:cs="Tahoma"/>
          <w:bCs/>
          <w:szCs w:val="20"/>
        </w:rPr>
        <w:t>vibrofinitura</w:t>
      </w:r>
      <w:proofErr w:type="spellEnd"/>
      <w:r w:rsidRPr="00D836B4">
        <w:rPr>
          <w:rFonts w:cs="Tahoma"/>
          <w:bCs/>
          <w:szCs w:val="20"/>
        </w:rPr>
        <w:t>, verniciatura, funzionalizzazione mediante plasma, stampa su carta e tessuti, funzionalizzazione con plasma, smaltatura, decorazione della ceramica, ecc.;</w:t>
      </w:r>
    </w:p>
    <w:p w14:paraId="0ED377BD" w14:textId="77777777" w:rsidR="00D836B4" w:rsidRDefault="00D836B4" w:rsidP="00AE49EC">
      <w:pPr>
        <w:pStyle w:val="Paragrafoelenco"/>
        <w:numPr>
          <w:ilvl w:val="0"/>
          <w:numId w:val="16"/>
        </w:numPr>
        <w:shd w:val="clear" w:color="auto" w:fill="FFFFFF"/>
        <w:spacing w:line="360" w:lineRule="auto"/>
        <w:jc w:val="both"/>
        <w:rPr>
          <w:rFonts w:cs="Tahoma"/>
          <w:bCs/>
          <w:szCs w:val="20"/>
        </w:rPr>
      </w:pPr>
      <w:r w:rsidRPr="00D836B4">
        <w:rPr>
          <w:rFonts w:cs="Tahoma"/>
          <w:b/>
          <w:bCs/>
          <w:szCs w:val="20"/>
        </w:rPr>
        <w:t>macchine per la manifattura additiva utilizzate in ambito industriale</w:t>
      </w:r>
      <w:r w:rsidRPr="00D836B4">
        <w:rPr>
          <w:rFonts w:cs="Tahoma"/>
          <w:bCs/>
          <w:szCs w:val="20"/>
        </w:rPr>
        <w:t>.</w:t>
      </w:r>
    </w:p>
    <w:p w14:paraId="1223C6CD" w14:textId="77777777" w:rsidR="00D836B4" w:rsidRDefault="00D836B4" w:rsidP="00D836B4">
      <w:pPr>
        <w:pStyle w:val="Paragrafoelenco"/>
        <w:shd w:val="clear" w:color="auto" w:fill="FFFFFF"/>
        <w:spacing w:line="360" w:lineRule="auto"/>
        <w:jc w:val="both"/>
        <w:rPr>
          <w:rFonts w:cs="Tahoma"/>
          <w:bCs/>
          <w:szCs w:val="20"/>
        </w:rPr>
      </w:pPr>
      <w:r w:rsidRPr="00D836B4">
        <w:rPr>
          <w:rFonts w:cs="Tahoma"/>
          <w:b/>
          <w:szCs w:val="20"/>
        </w:rPr>
        <w:t>Esempi</w:t>
      </w:r>
      <w:r>
        <w:rPr>
          <w:rFonts w:cs="Tahoma"/>
          <w:bCs/>
          <w:szCs w:val="20"/>
        </w:rPr>
        <w:t>:</w:t>
      </w:r>
      <w:r w:rsidRPr="00D836B4">
        <w:rPr>
          <w:rFonts w:cs="Tahoma"/>
          <w:bCs/>
          <w:szCs w:val="20"/>
        </w:rPr>
        <w:t xml:space="preserve"> macchine per laser </w:t>
      </w:r>
      <w:r w:rsidRPr="00D836B4">
        <w:rPr>
          <w:rFonts w:cs="Tahoma"/>
          <w:bCs/>
          <w:i/>
          <w:iCs/>
          <w:szCs w:val="20"/>
        </w:rPr>
        <w:t>melting/</w:t>
      </w:r>
      <w:proofErr w:type="spellStart"/>
      <w:r w:rsidRPr="00D836B4">
        <w:rPr>
          <w:rFonts w:cs="Tahoma"/>
          <w:bCs/>
          <w:i/>
          <w:iCs/>
          <w:szCs w:val="20"/>
        </w:rPr>
        <w:t>sintering</w:t>
      </w:r>
      <w:proofErr w:type="spellEnd"/>
      <w:r w:rsidRPr="00D836B4">
        <w:rPr>
          <w:rFonts w:cs="Tahoma"/>
          <w:bCs/>
          <w:i/>
          <w:iCs/>
          <w:szCs w:val="20"/>
        </w:rPr>
        <w:t xml:space="preserve"> </w:t>
      </w:r>
      <w:r w:rsidRPr="00D836B4">
        <w:rPr>
          <w:rFonts w:cs="Tahoma"/>
          <w:bCs/>
          <w:szCs w:val="20"/>
        </w:rPr>
        <w:t>di polveri metalliche o polimeri, ecc.;</w:t>
      </w:r>
    </w:p>
    <w:p w14:paraId="5B1440E7" w14:textId="389FF2AB" w:rsidR="0051228E" w:rsidRDefault="00D836B4" w:rsidP="00AE49EC">
      <w:pPr>
        <w:pStyle w:val="Paragrafoelenco"/>
        <w:numPr>
          <w:ilvl w:val="0"/>
          <w:numId w:val="16"/>
        </w:numPr>
        <w:shd w:val="clear" w:color="auto" w:fill="FFFFFF"/>
        <w:spacing w:line="360" w:lineRule="auto"/>
        <w:jc w:val="both"/>
        <w:rPr>
          <w:rFonts w:cs="Tahoma"/>
          <w:bCs/>
          <w:szCs w:val="20"/>
        </w:rPr>
      </w:pPr>
      <w:r w:rsidRPr="00D836B4">
        <w:rPr>
          <w:rFonts w:cs="Tahoma"/>
          <w:b/>
          <w:bCs/>
          <w:szCs w:val="20"/>
        </w:rPr>
        <w:t>macchine, anche motrici e operatrici</w:t>
      </w:r>
      <w:r w:rsidR="0051228E" w:rsidRPr="0051228E">
        <w:rPr>
          <w:rFonts w:cs="Tahoma"/>
          <w:szCs w:val="20"/>
        </w:rPr>
        <w:t xml:space="preserve"> (ad </w:t>
      </w:r>
      <w:r w:rsidR="0051228E" w:rsidRPr="0051228E">
        <w:rPr>
          <w:rFonts w:cs="Tahoma"/>
          <w:b/>
          <w:bCs/>
          <w:szCs w:val="20"/>
        </w:rPr>
        <w:t>esempio</w:t>
      </w:r>
      <w:r w:rsidR="0051228E" w:rsidRPr="0051228E">
        <w:rPr>
          <w:rFonts w:cs="Tahoma"/>
          <w:szCs w:val="20"/>
        </w:rPr>
        <w:t xml:space="preserve">, </w:t>
      </w:r>
      <w:r w:rsidRPr="0051228E">
        <w:rPr>
          <w:rFonts w:cs="Tahoma"/>
          <w:szCs w:val="20"/>
        </w:rPr>
        <w:t xml:space="preserve">macchine </w:t>
      </w:r>
      <w:r w:rsidRPr="0051228E">
        <w:rPr>
          <w:rFonts w:cs="Tahoma"/>
          <w:bCs/>
          <w:szCs w:val="20"/>
        </w:rPr>
        <w:t>per l’</w:t>
      </w:r>
      <w:r w:rsidRPr="0051228E">
        <w:rPr>
          <w:rFonts w:cs="Tahoma"/>
          <w:b/>
          <w:szCs w:val="20"/>
        </w:rPr>
        <w:t>agricoltura 4.0</w:t>
      </w:r>
      <w:r w:rsidRPr="0051228E">
        <w:rPr>
          <w:rFonts w:cs="Tahoma"/>
          <w:bCs/>
          <w:szCs w:val="20"/>
        </w:rPr>
        <w:t xml:space="preserve">, quali tutte le trattrici e le macchine agricole – portate, trainate e semoventi – che consentono la lavorazione di precisione in campo grazie all’utilizzo di elettronica, sensori e gestione computerizzata delle logiche di controllo; sono, inoltre, inclusi dispositivi e macchine di </w:t>
      </w:r>
      <w:r w:rsidR="0051228E" w:rsidRPr="0051228E">
        <w:rPr>
          <w:rFonts w:cs="Tahoma"/>
          <w:bCs/>
          <w:szCs w:val="20"/>
        </w:rPr>
        <w:t>supporto quali, ad esempio, sistemi di sensori in campo, stazioni meteo e droni)</w:t>
      </w:r>
      <w:r w:rsidR="0051228E" w:rsidRPr="0051228E">
        <w:rPr>
          <w:rFonts w:cs="Tahoma"/>
          <w:szCs w:val="20"/>
        </w:rPr>
        <w:t xml:space="preserve">, </w:t>
      </w:r>
      <w:r w:rsidR="0051228E" w:rsidRPr="0051228E">
        <w:rPr>
          <w:rFonts w:cs="Tahoma"/>
          <w:b/>
          <w:bCs/>
          <w:szCs w:val="20"/>
        </w:rPr>
        <w:t>strumenti e dispositivi per il carico e lo scarico, la movimentazione</w:t>
      </w:r>
      <w:r w:rsidR="0051228E" w:rsidRPr="0051228E">
        <w:rPr>
          <w:rFonts w:cs="Tahoma"/>
          <w:bCs/>
          <w:szCs w:val="20"/>
        </w:rPr>
        <w:t xml:space="preserve">, </w:t>
      </w:r>
      <w:r w:rsidR="0051228E" w:rsidRPr="0051228E">
        <w:rPr>
          <w:rFonts w:cs="Tahoma"/>
          <w:b/>
          <w:bCs/>
          <w:szCs w:val="20"/>
        </w:rPr>
        <w:t xml:space="preserve">la pesatura e la cernita automatica dei pezzi </w:t>
      </w:r>
      <w:r w:rsidR="0051228E" w:rsidRPr="0051228E">
        <w:rPr>
          <w:rFonts w:cs="Tahoma"/>
          <w:bCs/>
          <w:szCs w:val="20"/>
        </w:rPr>
        <w:t>(</w:t>
      </w:r>
      <w:r w:rsidR="0051228E" w:rsidRPr="0051228E">
        <w:rPr>
          <w:rFonts w:cs="Tahoma"/>
          <w:b/>
          <w:szCs w:val="20"/>
        </w:rPr>
        <w:t>esempio</w:t>
      </w:r>
      <w:r w:rsidR="0051228E">
        <w:rPr>
          <w:rFonts w:cs="Tahoma"/>
          <w:bCs/>
          <w:szCs w:val="20"/>
        </w:rPr>
        <w:t>:</w:t>
      </w:r>
      <w:r w:rsidR="0051228E" w:rsidRPr="0051228E">
        <w:rPr>
          <w:rFonts w:cs="Tahoma"/>
          <w:bCs/>
          <w:szCs w:val="20"/>
        </w:rPr>
        <w:t xml:space="preserve"> carrelli elevatori, sollevatori, carriponte, gru mobili, gru a portale), </w:t>
      </w:r>
      <w:r w:rsidR="0051228E" w:rsidRPr="0051228E">
        <w:rPr>
          <w:rFonts w:cs="Tahoma"/>
          <w:b/>
          <w:bCs/>
          <w:szCs w:val="20"/>
        </w:rPr>
        <w:t>dispositivi di sollevamento e manipolazione automatizzati</w:t>
      </w:r>
      <w:r w:rsidR="0051228E" w:rsidRPr="0051228E">
        <w:rPr>
          <w:rFonts w:cs="Tahoma"/>
          <w:bCs/>
          <w:szCs w:val="20"/>
        </w:rPr>
        <w:t xml:space="preserve"> (</w:t>
      </w:r>
      <w:r w:rsidR="0051228E" w:rsidRPr="0051228E">
        <w:rPr>
          <w:rFonts w:cs="Tahoma"/>
          <w:b/>
          <w:szCs w:val="20"/>
        </w:rPr>
        <w:t>esempio</w:t>
      </w:r>
      <w:r w:rsidR="0051228E">
        <w:rPr>
          <w:rFonts w:cs="Tahoma"/>
          <w:bCs/>
          <w:szCs w:val="20"/>
        </w:rPr>
        <w:t>:</w:t>
      </w:r>
      <w:r w:rsidR="0051228E" w:rsidRPr="0051228E">
        <w:rPr>
          <w:rFonts w:cs="Tahoma"/>
          <w:bCs/>
          <w:szCs w:val="20"/>
        </w:rPr>
        <w:t xml:space="preserve"> manipolatori industriali, sistemi di pallettizzazione e dispositivi </w:t>
      </w:r>
      <w:proofErr w:type="spellStart"/>
      <w:r w:rsidR="0051228E" w:rsidRPr="0051228E">
        <w:rPr>
          <w:rFonts w:cs="Tahoma"/>
          <w:bCs/>
          <w:i/>
          <w:iCs/>
          <w:szCs w:val="20"/>
        </w:rPr>
        <w:t>pick</w:t>
      </w:r>
      <w:proofErr w:type="spellEnd"/>
      <w:r w:rsidR="0051228E" w:rsidRPr="0051228E">
        <w:rPr>
          <w:rFonts w:cs="Tahoma"/>
          <w:bCs/>
          <w:i/>
          <w:iCs/>
          <w:szCs w:val="20"/>
        </w:rPr>
        <w:t xml:space="preserve"> and place</w:t>
      </w:r>
      <w:r w:rsidR="0051228E" w:rsidRPr="0051228E">
        <w:rPr>
          <w:rFonts w:cs="Tahoma"/>
          <w:bCs/>
          <w:szCs w:val="20"/>
        </w:rPr>
        <w:t>)</w:t>
      </w:r>
      <w:r w:rsidR="0051228E" w:rsidRPr="0051228E">
        <w:rPr>
          <w:rFonts w:cs="Tahoma"/>
          <w:szCs w:val="20"/>
        </w:rPr>
        <w:t xml:space="preserve">, </w:t>
      </w:r>
      <w:r w:rsidR="0051228E" w:rsidRPr="0051228E">
        <w:rPr>
          <w:rFonts w:cs="Tahoma"/>
          <w:b/>
          <w:bCs/>
          <w:szCs w:val="20"/>
        </w:rPr>
        <w:t>AGV e sistemi di convogliamento e movimentazione flessibili, e/o dotati di riconoscimento dei pezzi (ad esempio</w:t>
      </w:r>
      <w:r w:rsidR="0051228E" w:rsidRPr="0051228E">
        <w:rPr>
          <w:rFonts w:cs="Tahoma"/>
          <w:szCs w:val="20"/>
        </w:rPr>
        <w:t xml:space="preserve">: </w:t>
      </w:r>
      <w:r w:rsidR="0051228E" w:rsidRPr="0051228E">
        <w:rPr>
          <w:rFonts w:cs="Tahoma"/>
          <w:bCs/>
          <w:szCs w:val="20"/>
        </w:rPr>
        <w:t xml:space="preserve">sistemi attivi come </w:t>
      </w:r>
      <w:r w:rsidR="0051228E" w:rsidRPr="0051228E">
        <w:rPr>
          <w:rFonts w:cs="Tahoma"/>
          <w:b/>
          <w:bCs/>
          <w:szCs w:val="20"/>
        </w:rPr>
        <w:t>RFID</w:t>
      </w:r>
      <w:r w:rsidR="0051228E" w:rsidRPr="0051228E">
        <w:rPr>
          <w:rFonts w:cs="Tahoma"/>
          <w:szCs w:val="20"/>
        </w:rPr>
        <w:t xml:space="preserve">, </w:t>
      </w:r>
      <w:r w:rsidR="0051228E" w:rsidRPr="0051228E">
        <w:rPr>
          <w:rFonts w:cs="Tahoma"/>
          <w:bCs/>
          <w:szCs w:val="20"/>
        </w:rPr>
        <w:t xml:space="preserve">sistemi passivi come ad esempio </w:t>
      </w:r>
      <w:r w:rsidR="0051228E" w:rsidRPr="0051228E">
        <w:rPr>
          <w:rFonts w:cs="Tahoma"/>
          <w:b/>
          <w:i/>
          <w:iCs/>
          <w:szCs w:val="20"/>
        </w:rPr>
        <w:t>QR code</w:t>
      </w:r>
      <w:r w:rsidR="0051228E" w:rsidRPr="0051228E">
        <w:rPr>
          <w:rFonts w:cs="Tahoma"/>
          <w:bCs/>
          <w:szCs w:val="20"/>
        </w:rPr>
        <w:t xml:space="preserve">, </w:t>
      </w:r>
      <w:r w:rsidR="0051228E" w:rsidRPr="0051228E">
        <w:rPr>
          <w:rFonts w:cs="Tahoma"/>
          <w:b/>
          <w:bCs/>
          <w:szCs w:val="20"/>
        </w:rPr>
        <w:t>visori e sistemi di visione e meccatronici</w:t>
      </w:r>
      <w:r w:rsidR="0051228E" w:rsidRPr="0051228E">
        <w:rPr>
          <w:rFonts w:cs="Tahoma"/>
          <w:szCs w:val="20"/>
        </w:rPr>
        <w:t>).</w:t>
      </w:r>
      <w:r w:rsidR="0051228E" w:rsidRPr="0051228E">
        <w:rPr>
          <w:rFonts w:cs="Tahoma"/>
          <w:bCs/>
          <w:szCs w:val="20"/>
        </w:rPr>
        <w:t xml:space="preserve"> Si precisa che l’espressione “macchine motrici” </w:t>
      </w:r>
      <w:r w:rsidR="0051228E" w:rsidRPr="0051228E">
        <w:rPr>
          <w:rFonts w:cs="Tahoma"/>
          <w:b/>
          <w:szCs w:val="20"/>
        </w:rPr>
        <w:t>non include i veicoli</w:t>
      </w:r>
      <w:r w:rsidR="0051228E" w:rsidRPr="0051228E">
        <w:rPr>
          <w:rFonts w:cs="Tahoma"/>
          <w:bCs/>
          <w:szCs w:val="20"/>
        </w:rPr>
        <w:t xml:space="preserve"> ai sensi della definizione di cui all’art. 1 della Direttiva 70/156/CEE</w:t>
      </w:r>
      <w:r w:rsidR="0051228E">
        <w:rPr>
          <w:rFonts w:cs="Tahoma"/>
          <w:bCs/>
          <w:szCs w:val="20"/>
        </w:rPr>
        <w:t xml:space="preserve"> (si vedano Risposte n. 542/2020 e 544/2020);</w:t>
      </w:r>
    </w:p>
    <w:p w14:paraId="6B2D605C" w14:textId="380AF566" w:rsidR="0051228E" w:rsidRPr="0051228E" w:rsidRDefault="0051228E" w:rsidP="00AE49EC">
      <w:pPr>
        <w:pStyle w:val="Paragrafoelenco"/>
        <w:numPr>
          <w:ilvl w:val="0"/>
          <w:numId w:val="16"/>
        </w:numPr>
        <w:shd w:val="clear" w:color="auto" w:fill="FFFFFF"/>
        <w:spacing w:line="360" w:lineRule="auto"/>
        <w:jc w:val="both"/>
        <w:rPr>
          <w:rFonts w:cs="Tahoma"/>
          <w:bCs/>
          <w:szCs w:val="20"/>
        </w:rPr>
      </w:pPr>
      <w:r w:rsidRPr="0051228E">
        <w:rPr>
          <w:rFonts w:cs="Tahoma"/>
          <w:b/>
          <w:bCs/>
          <w:szCs w:val="20"/>
        </w:rPr>
        <w:t>magazzini automatizzati interconnessi ai sistemi gestionali di fabbrica</w:t>
      </w:r>
      <w:r w:rsidRPr="0051228E">
        <w:rPr>
          <w:rFonts w:cs="Tahoma"/>
          <w:bCs/>
          <w:szCs w:val="20"/>
        </w:rPr>
        <w:t xml:space="preserve">. Si intendono, per esempio, magazzini automatici asserviti da traslo-elevatori o </w:t>
      </w:r>
      <w:r w:rsidRPr="0051228E">
        <w:rPr>
          <w:rFonts w:cs="Tahoma"/>
          <w:bCs/>
          <w:i/>
          <w:iCs/>
          <w:szCs w:val="20"/>
        </w:rPr>
        <w:t>mini-</w:t>
      </w:r>
      <w:proofErr w:type="spellStart"/>
      <w:r w:rsidRPr="0051228E">
        <w:rPr>
          <w:rFonts w:cs="Tahoma"/>
          <w:bCs/>
          <w:i/>
          <w:iCs/>
          <w:szCs w:val="20"/>
        </w:rPr>
        <w:t>loaders</w:t>
      </w:r>
      <w:proofErr w:type="spellEnd"/>
      <w:r w:rsidRPr="0051228E">
        <w:rPr>
          <w:rFonts w:cs="Tahoma"/>
          <w:bCs/>
          <w:i/>
          <w:iCs/>
          <w:szCs w:val="20"/>
        </w:rPr>
        <w:t xml:space="preserve"> </w:t>
      </w:r>
      <w:r w:rsidRPr="0051228E">
        <w:rPr>
          <w:rFonts w:cs="Tahoma"/>
          <w:bCs/>
          <w:szCs w:val="20"/>
        </w:rPr>
        <w:t>e software WMS per la gestione delle missioni in/out; i sistemi di selezionamento, prelievo e deposito automatico controllati da software di gestione e/o il controllo delle scorte e dei punti di riordino.</w:t>
      </w:r>
    </w:p>
    <w:p w14:paraId="37DDA181" w14:textId="70CF4EC0" w:rsidR="00D836B4" w:rsidRPr="00A5721A" w:rsidRDefault="00375101" w:rsidP="00AE49EC">
      <w:pPr>
        <w:pStyle w:val="Paragrafoelenco"/>
        <w:numPr>
          <w:ilvl w:val="0"/>
          <w:numId w:val="16"/>
        </w:numPr>
        <w:shd w:val="clear" w:color="auto" w:fill="FFFFFF"/>
        <w:spacing w:line="360" w:lineRule="auto"/>
        <w:jc w:val="both"/>
        <w:rPr>
          <w:rFonts w:cs="Tahoma"/>
          <w:bCs/>
          <w:szCs w:val="20"/>
        </w:rPr>
      </w:pPr>
      <w:r w:rsidRPr="00375101">
        <w:rPr>
          <w:rFonts w:cs="Tahoma"/>
          <w:bCs/>
          <w:szCs w:val="20"/>
        </w:rPr>
        <w:t xml:space="preserve">Infine, l’allegato A include tra i beni funzionali alla trasformazione tecnologica e/o digitale delle imprese secondo il modello “Industria 4.0” anche i </w:t>
      </w:r>
      <w:r w:rsidRPr="00375101">
        <w:rPr>
          <w:rFonts w:cs="Tahoma"/>
          <w:b/>
          <w:szCs w:val="20"/>
        </w:rPr>
        <w:t xml:space="preserve">dispositivi, strumentazione e componentistica </w:t>
      </w:r>
      <w:r w:rsidRPr="00375101">
        <w:rPr>
          <w:rFonts w:cs="Tahoma"/>
          <w:b/>
          <w:szCs w:val="20"/>
        </w:rPr>
        <w:lastRenderedPageBreak/>
        <w:t xml:space="preserve">intelligente per l’integrazione, la </w:t>
      </w:r>
      <w:proofErr w:type="spellStart"/>
      <w:r w:rsidRPr="00375101">
        <w:rPr>
          <w:rFonts w:cs="Tahoma"/>
          <w:b/>
          <w:szCs w:val="20"/>
        </w:rPr>
        <w:t>sensorizzazione</w:t>
      </w:r>
      <w:proofErr w:type="spellEnd"/>
      <w:r w:rsidRPr="00375101">
        <w:rPr>
          <w:rFonts w:cs="Tahoma"/>
          <w:b/>
          <w:szCs w:val="20"/>
        </w:rPr>
        <w:t xml:space="preserve"> e/o l’interconnessione</w:t>
      </w:r>
      <w:r w:rsidRPr="00375101">
        <w:rPr>
          <w:rFonts w:cs="Tahoma"/>
          <w:bCs/>
          <w:szCs w:val="20"/>
        </w:rPr>
        <w:t xml:space="preserve"> e il controllo automatico dei processi utilizzati </w:t>
      </w:r>
      <w:r w:rsidRPr="00375101">
        <w:rPr>
          <w:rFonts w:cs="Tahoma"/>
          <w:b/>
          <w:szCs w:val="20"/>
        </w:rPr>
        <w:t>anche nell’ammodernamento o nel revamping dei sistemi di produzione esistenti</w:t>
      </w:r>
      <w:r w:rsidRPr="00375101">
        <w:rPr>
          <w:rFonts w:cs="Tahoma"/>
          <w:bCs/>
          <w:szCs w:val="20"/>
        </w:rPr>
        <w:t>.</w:t>
      </w:r>
      <w:r w:rsidR="00A5721A">
        <w:rPr>
          <w:rFonts w:cs="Tahoma"/>
          <w:bCs/>
          <w:szCs w:val="20"/>
        </w:rPr>
        <w:t xml:space="preserve"> </w:t>
      </w:r>
      <w:r w:rsidRPr="00A5721A">
        <w:rPr>
          <w:rFonts w:cs="Tahoma"/>
          <w:bCs/>
          <w:szCs w:val="20"/>
        </w:rPr>
        <w:t xml:space="preserve">Per dispositivi, strumentazione e componentistica, si intendono anche </w:t>
      </w:r>
      <w:r w:rsidRPr="00A5721A">
        <w:rPr>
          <w:rFonts w:cs="Tahoma"/>
          <w:b/>
          <w:szCs w:val="20"/>
        </w:rPr>
        <w:t>package</w:t>
      </w:r>
      <w:r w:rsidRPr="00A5721A">
        <w:rPr>
          <w:rFonts w:cs="Tahoma"/>
          <w:bCs/>
          <w:szCs w:val="20"/>
        </w:rPr>
        <w:t xml:space="preserve"> e </w:t>
      </w:r>
      <w:r w:rsidRPr="00A5721A">
        <w:rPr>
          <w:rFonts w:cs="Tahoma"/>
          <w:b/>
          <w:szCs w:val="20"/>
        </w:rPr>
        <w:t>componenti di impianto</w:t>
      </w:r>
      <w:r w:rsidRPr="00A5721A">
        <w:rPr>
          <w:rFonts w:cs="Tahoma"/>
          <w:bCs/>
          <w:szCs w:val="20"/>
        </w:rPr>
        <w:t xml:space="preserve"> purché assicurino che la macchina o l’impianto oggetto di ammodernamento rispettino, grazie all’ammodernamento, le caratteristiche obbligatorie e le ulteriori caratteristiche (riportate di seguito). Inoltre, si specifica che, nel caso di revamping di un impianto consegnato prima del 2021, </w:t>
      </w:r>
      <w:r w:rsidRPr="00A5721A">
        <w:rPr>
          <w:rFonts w:cs="Tahoma"/>
          <w:b/>
          <w:szCs w:val="20"/>
        </w:rPr>
        <w:t>godono del beneficio fiscale i soli beni in oggetto</w:t>
      </w:r>
      <w:r w:rsidRPr="00A5721A">
        <w:rPr>
          <w:rFonts w:cs="Tahoma"/>
          <w:bCs/>
          <w:szCs w:val="20"/>
        </w:rPr>
        <w:t xml:space="preserve"> (dispositivi, la strumentazione e la componentistica compresi package e componenti di impianto) e non l’intero impianto ammodernato. In linea generale, la parola “macchine” va intesa ai sensi della definizione di cui all’art. 2 lett. a della Direttiva 2006/42/CE.</w:t>
      </w:r>
    </w:p>
    <w:p w14:paraId="5572F6CF" w14:textId="77777777" w:rsidR="00C76ED3" w:rsidRDefault="00C76ED3" w:rsidP="00884693">
      <w:pPr>
        <w:pStyle w:val="Titolo3"/>
      </w:pPr>
    </w:p>
    <w:p w14:paraId="684A7D62" w14:textId="54B8ED43" w:rsidR="00B97664" w:rsidRPr="004414B7" w:rsidRDefault="00B97664" w:rsidP="004414B7">
      <w:pPr>
        <w:pStyle w:val="Titolo4"/>
      </w:pPr>
      <w:bookmarkStart w:id="25" w:name="_Toc93327707"/>
      <w:r w:rsidRPr="004414B7">
        <w:t>3.</w:t>
      </w:r>
      <w:r w:rsidR="009249CD" w:rsidRPr="004414B7">
        <w:t>3</w:t>
      </w:r>
      <w:r w:rsidR="00884693" w:rsidRPr="004414B7">
        <w:t>.1</w:t>
      </w:r>
      <w:r w:rsidR="009249CD" w:rsidRPr="004414B7">
        <w:t>.1</w:t>
      </w:r>
      <w:r w:rsidRPr="004414B7">
        <w:t xml:space="preserve"> Quali caratteristiche devono avere i beni per beneficiare dell’agevolazione fiscale dell’iper ammortamento</w:t>
      </w:r>
      <w:bookmarkEnd w:id="25"/>
    </w:p>
    <w:p w14:paraId="3205B4F5" w14:textId="77777777" w:rsidR="006009CD" w:rsidRDefault="006009CD" w:rsidP="00375101">
      <w:pPr>
        <w:shd w:val="clear" w:color="auto" w:fill="FFFFFF"/>
        <w:spacing w:line="360" w:lineRule="auto"/>
        <w:jc w:val="both"/>
        <w:rPr>
          <w:rFonts w:cs="Tahoma"/>
          <w:bCs/>
          <w:szCs w:val="20"/>
        </w:rPr>
      </w:pPr>
      <w:r w:rsidRPr="006009CD">
        <w:rPr>
          <w:rFonts w:cs="Tahoma"/>
          <w:bCs/>
          <w:szCs w:val="20"/>
        </w:rPr>
        <w:t xml:space="preserve">Al fine dell’applicazione </w:t>
      </w:r>
      <w:r>
        <w:rPr>
          <w:rFonts w:cs="Tahoma"/>
          <w:bCs/>
          <w:szCs w:val="20"/>
        </w:rPr>
        <w:t>del credito d’imposta</w:t>
      </w:r>
      <w:r w:rsidRPr="006009CD">
        <w:rPr>
          <w:rFonts w:cs="Tahoma"/>
          <w:bCs/>
          <w:szCs w:val="20"/>
        </w:rPr>
        <w:t xml:space="preserve">, </w:t>
      </w:r>
      <w:r w:rsidRPr="006009CD">
        <w:rPr>
          <w:rFonts w:cs="Tahoma"/>
          <w:b/>
          <w:szCs w:val="20"/>
        </w:rPr>
        <w:t>i beni del punto elenco da 1 a 12</w:t>
      </w:r>
      <w:r w:rsidRPr="006009CD">
        <w:rPr>
          <w:rFonts w:cs="Tahoma"/>
          <w:bCs/>
          <w:szCs w:val="20"/>
        </w:rPr>
        <w:t xml:space="preserve"> del paragrafo precedente devono </w:t>
      </w:r>
      <w:r w:rsidRPr="006009CD">
        <w:rPr>
          <w:rFonts w:cs="Tahoma"/>
          <w:b/>
          <w:szCs w:val="20"/>
        </w:rPr>
        <w:t>obbligatoriamente</w:t>
      </w:r>
      <w:r w:rsidRPr="006009CD">
        <w:rPr>
          <w:rFonts w:cs="Tahoma"/>
          <w:bCs/>
          <w:szCs w:val="20"/>
        </w:rPr>
        <w:t xml:space="preserve"> avere tutte le seguenti </w:t>
      </w:r>
      <w:r w:rsidRPr="006009CD">
        <w:rPr>
          <w:rFonts w:cs="Tahoma"/>
          <w:b/>
          <w:szCs w:val="20"/>
        </w:rPr>
        <w:t>5 caratteristiche</w:t>
      </w:r>
      <w:r w:rsidRPr="006009CD">
        <w:rPr>
          <w:rFonts w:cs="Tahoma"/>
          <w:bCs/>
          <w:szCs w:val="20"/>
        </w:rPr>
        <w:t>:</w:t>
      </w:r>
    </w:p>
    <w:p w14:paraId="1DBB47AF" w14:textId="77777777" w:rsidR="006009CD" w:rsidRDefault="006009CD" w:rsidP="00AE49EC">
      <w:pPr>
        <w:pStyle w:val="Paragrafoelenco"/>
        <w:numPr>
          <w:ilvl w:val="0"/>
          <w:numId w:val="17"/>
        </w:numPr>
        <w:shd w:val="clear" w:color="auto" w:fill="FFFFFF"/>
        <w:spacing w:line="360" w:lineRule="auto"/>
        <w:jc w:val="both"/>
        <w:rPr>
          <w:rFonts w:cs="Tahoma"/>
          <w:bCs/>
          <w:szCs w:val="20"/>
        </w:rPr>
      </w:pPr>
      <w:r w:rsidRPr="006009CD">
        <w:rPr>
          <w:rFonts w:cs="Tahoma"/>
          <w:b/>
          <w:szCs w:val="20"/>
        </w:rPr>
        <w:t>controllo per mezzo di CNC</w:t>
      </w:r>
      <w:r w:rsidRPr="006009CD">
        <w:rPr>
          <w:rFonts w:cs="Tahoma"/>
          <w:bCs/>
          <w:szCs w:val="20"/>
        </w:rPr>
        <w:t xml:space="preserve"> (Computer </w:t>
      </w:r>
      <w:proofErr w:type="spellStart"/>
      <w:r w:rsidRPr="006009CD">
        <w:rPr>
          <w:rFonts w:cs="Tahoma"/>
          <w:bCs/>
          <w:szCs w:val="20"/>
        </w:rPr>
        <w:t>Numerical</w:t>
      </w:r>
      <w:proofErr w:type="spellEnd"/>
      <w:r w:rsidRPr="006009CD">
        <w:rPr>
          <w:rFonts w:cs="Tahoma"/>
          <w:bCs/>
          <w:szCs w:val="20"/>
        </w:rPr>
        <w:t xml:space="preserve"> Control) e/o PLC (</w:t>
      </w:r>
      <w:proofErr w:type="spellStart"/>
      <w:r w:rsidRPr="006009CD">
        <w:rPr>
          <w:rFonts w:cs="Tahoma"/>
          <w:bCs/>
          <w:szCs w:val="20"/>
        </w:rPr>
        <w:t>Programmable</w:t>
      </w:r>
      <w:proofErr w:type="spellEnd"/>
      <w:r w:rsidRPr="006009CD">
        <w:rPr>
          <w:rFonts w:cs="Tahoma"/>
          <w:bCs/>
          <w:szCs w:val="20"/>
        </w:rPr>
        <w:t xml:space="preserve"> </w:t>
      </w:r>
      <w:proofErr w:type="spellStart"/>
      <w:r w:rsidRPr="006009CD">
        <w:rPr>
          <w:rFonts w:cs="Tahoma"/>
          <w:bCs/>
          <w:szCs w:val="20"/>
        </w:rPr>
        <w:t>Logic</w:t>
      </w:r>
      <w:proofErr w:type="spellEnd"/>
      <w:r w:rsidRPr="006009CD">
        <w:rPr>
          <w:rFonts w:cs="Tahoma"/>
          <w:bCs/>
          <w:szCs w:val="20"/>
        </w:rPr>
        <w:t xml:space="preserve"> Controller);</w:t>
      </w:r>
    </w:p>
    <w:p w14:paraId="5A7589B7" w14:textId="77777777" w:rsidR="006009CD" w:rsidRDefault="006009CD" w:rsidP="00AE49EC">
      <w:pPr>
        <w:pStyle w:val="Paragrafoelenco"/>
        <w:numPr>
          <w:ilvl w:val="0"/>
          <w:numId w:val="17"/>
        </w:numPr>
        <w:shd w:val="clear" w:color="auto" w:fill="FFFFFF"/>
        <w:spacing w:line="360" w:lineRule="auto"/>
        <w:jc w:val="both"/>
        <w:rPr>
          <w:rFonts w:cs="Tahoma"/>
          <w:bCs/>
          <w:szCs w:val="20"/>
        </w:rPr>
      </w:pPr>
      <w:r w:rsidRPr="006009CD">
        <w:rPr>
          <w:rFonts w:cs="Tahoma"/>
          <w:b/>
          <w:szCs w:val="20"/>
        </w:rPr>
        <w:t>interconnessione ai sistemi informatici di fabbrica</w:t>
      </w:r>
      <w:r w:rsidRPr="006009CD">
        <w:rPr>
          <w:rFonts w:cs="Tahoma"/>
          <w:bCs/>
          <w:szCs w:val="20"/>
        </w:rPr>
        <w:t xml:space="preserve"> con caricamento da remoto di istruzioni e/o part </w:t>
      </w:r>
      <w:proofErr w:type="spellStart"/>
      <w:r w:rsidRPr="006009CD">
        <w:rPr>
          <w:rFonts w:cs="Tahoma"/>
          <w:bCs/>
          <w:szCs w:val="20"/>
        </w:rPr>
        <w:t>program</w:t>
      </w:r>
      <w:proofErr w:type="spellEnd"/>
      <w:r w:rsidRPr="006009CD">
        <w:rPr>
          <w:rFonts w:cs="Tahoma"/>
          <w:bCs/>
          <w:szCs w:val="20"/>
        </w:rPr>
        <w:t>;</w:t>
      </w:r>
    </w:p>
    <w:p w14:paraId="28190FC1" w14:textId="77777777" w:rsidR="006009CD" w:rsidRDefault="006009CD" w:rsidP="00AE49EC">
      <w:pPr>
        <w:pStyle w:val="Paragrafoelenco"/>
        <w:numPr>
          <w:ilvl w:val="0"/>
          <w:numId w:val="17"/>
        </w:numPr>
        <w:shd w:val="clear" w:color="auto" w:fill="FFFFFF"/>
        <w:spacing w:line="360" w:lineRule="auto"/>
        <w:jc w:val="both"/>
        <w:rPr>
          <w:rFonts w:cs="Tahoma"/>
          <w:bCs/>
          <w:szCs w:val="20"/>
        </w:rPr>
      </w:pPr>
      <w:r w:rsidRPr="006009CD">
        <w:rPr>
          <w:rFonts w:cs="Tahoma"/>
          <w:b/>
          <w:szCs w:val="20"/>
        </w:rPr>
        <w:t>integrazione automatizzata con il sistema logistico</w:t>
      </w:r>
      <w:r w:rsidRPr="006009CD">
        <w:rPr>
          <w:rFonts w:cs="Tahoma"/>
          <w:bCs/>
          <w:szCs w:val="20"/>
        </w:rPr>
        <w:t xml:space="preserve"> della fabbrica o con la rete di fornitura e/o con altre macchine del ciclo produttivo;</w:t>
      </w:r>
    </w:p>
    <w:p w14:paraId="18B4A1EC" w14:textId="77777777" w:rsidR="006009CD" w:rsidRDefault="006009CD" w:rsidP="00AE49EC">
      <w:pPr>
        <w:pStyle w:val="Paragrafoelenco"/>
        <w:numPr>
          <w:ilvl w:val="0"/>
          <w:numId w:val="17"/>
        </w:numPr>
        <w:shd w:val="clear" w:color="auto" w:fill="FFFFFF"/>
        <w:spacing w:line="360" w:lineRule="auto"/>
        <w:jc w:val="both"/>
        <w:rPr>
          <w:rFonts w:cs="Tahoma"/>
          <w:bCs/>
          <w:szCs w:val="20"/>
        </w:rPr>
      </w:pPr>
      <w:r w:rsidRPr="006009CD">
        <w:rPr>
          <w:rFonts w:cs="Tahoma"/>
          <w:b/>
          <w:szCs w:val="20"/>
        </w:rPr>
        <w:t>interfaccia tra uomo e macchina semplici e intuitive</w:t>
      </w:r>
      <w:r w:rsidRPr="006009CD">
        <w:rPr>
          <w:rFonts w:cs="Tahoma"/>
          <w:bCs/>
          <w:szCs w:val="20"/>
        </w:rPr>
        <w:t>;</w:t>
      </w:r>
    </w:p>
    <w:p w14:paraId="62B3DC92" w14:textId="77777777" w:rsidR="006009CD" w:rsidRDefault="006009CD" w:rsidP="00AE49EC">
      <w:pPr>
        <w:pStyle w:val="Paragrafoelenco"/>
        <w:numPr>
          <w:ilvl w:val="0"/>
          <w:numId w:val="17"/>
        </w:numPr>
        <w:shd w:val="clear" w:color="auto" w:fill="FFFFFF"/>
        <w:spacing w:line="360" w:lineRule="auto"/>
        <w:jc w:val="both"/>
        <w:rPr>
          <w:rFonts w:cs="Tahoma"/>
          <w:bCs/>
          <w:szCs w:val="20"/>
        </w:rPr>
      </w:pPr>
      <w:r w:rsidRPr="006009CD">
        <w:rPr>
          <w:rFonts w:cs="Tahoma"/>
          <w:b/>
          <w:szCs w:val="20"/>
        </w:rPr>
        <w:t>rispondenza ai più recenti parametri di sicurezza</w:t>
      </w:r>
      <w:r w:rsidRPr="006009CD">
        <w:rPr>
          <w:rFonts w:cs="Tahoma"/>
          <w:bCs/>
          <w:szCs w:val="20"/>
        </w:rPr>
        <w:t xml:space="preserve">, </w:t>
      </w:r>
      <w:r w:rsidRPr="006009CD">
        <w:rPr>
          <w:rFonts w:cs="Tahoma"/>
          <w:b/>
          <w:szCs w:val="20"/>
        </w:rPr>
        <w:t>salute e igiene del lavoro</w:t>
      </w:r>
      <w:r w:rsidRPr="006009CD">
        <w:rPr>
          <w:rFonts w:cs="Tahoma"/>
          <w:bCs/>
          <w:szCs w:val="20"/>
        </w:rPr>
        <w:t>.</w:t>
      </w:r>
    </w:p>
    <w:p w14:paraId="13915511" w14:textId="77777777" w:rsidR="006009CD" w:rsidRDefault="006009CD" w:rsidP="006009CD">
      <w:pPr>
        <w:shd w:val="clear" w:color="auto" w:fill="FFFFFF"/>
        <w:spacing w:line="360" w:lineRule="auto"/>
        <w:jc w:val="both"/>
        <w:rPr>
          <w:rFonts w:cs="Tahoma"/>
          <w:bCs/>
          <w:szCs w:val="20"/>
        </w:rPr>
      </w:pPr>
      <w:r w:rsidRPr="006009CD">
        <w:rPr>
          <w:rFonts w:cs="Tahoma"/>
          <w:bCs/>
          <w:szCs w:val="20"/>
        </w:rPr>
        <w:t xml:space="preserve">Inoltre, devono essere dotati di </w:t>
      </w:r>
      <w:r w:rsidRPr="006009CD">
        <w:rPr>
          <w:rFonts w:cs="Tahoma"/>
          <w:b/>
          <w:szCs w:val="20"/>
        </w:rPr>
        <w:t>almeno due</w:t>
      </w:r>
      <w:r w:rsidRPr="006009CD">
        <w:rPr>
          <w:rFonts w:cs="Tahoma"/>
          <w:bCs/>
          <w:szCs w:val="20"/>
        </w:rPr>
        <w:t xml:space="preserve"> tra le seguenti </w:t>
      </w:r>
      <w:r w:rsidRPr="006009CD">
        <w:rPr>
          <w:rFonts w:cs="Tahoma"/>
          <w:b/>
          <w:szCs w:val="20"/>
        </w:rPr>
        <w:t>ulteriori caratteristiche</w:t>
      </w:r>
      <w:r w:rsidRPr="006009CD">
        <w:rPr>
          <w:rFonts w:cs="Tahoma"/>
          <w:bCs/>
          <w:szCs w:val="20"/>
        </w:rPr>
        <w:t xml:space="preserve"> per renderle assimilabili o integrabili a sistemi </w:t>
      </w:r>
      <w:proofErr w:type="spellStart"/>
      <w:r w:rsidRPr="006009CD">
        <w:rPr>
          <w:rFonts w:cs="Tahoma"/>
          <w:bCs/>
          <w:szCs w:val="20"/>
        </w:rPr>
        <w:t>cyberfisici</w:t>
      </w:r>
      <w:proofErr w:type="spellEnd"/>
      <w:r w:rsidRPr="006009CD">
        <w:rPr>
          <w:rFonts w:cs="Tahoma"/>
          <w:bCs/>
          <w:szCs w:val="20"/>
        </w:rPr>
        <w:t>:</w:t>
      </w:r>
    </w:p>
    <w:p w14:paraId="0D3C0EAF" w14:textId="77777777" w:rsidR="006009CD" w:rsidRDefault="006009CD" w:rsidP="00AE49EC">
      <w:pPr>
        <w:pStyle w:val="Paragrafoelenco"/>
        <w:numPr>
          <w:ilvl w:val="0"/>
          <w:numId w:val="18"/>
        </w:numPr>
        <w:shd w:val="clear" w:color="auto" w:fill="FFFFFF"/>
        <w:spacing w:line="360" w:lineRule="auto"/>
        <w:jc w:val="both"/>
        <w:rPr>
          <w:rFonts w:cs="Tahoma"/>
          <w:bCs/>
          <w:szCs w:val="20"/>
        </w:rPr>
      </w:pPr>
      <w:r w:rsidRPr="006009CD">
        <w:rPr>
          <w:rFonts w:cs="Tahoma"/>
          <w:bCs/>
          <w:szCs w:val="20"/>
        </w:rPr>
        <w:t xml:space="preserve">sistemi di </w:t>
      </w:r>
      <w:proofErr w:type="spellStart"/>
      <w:r w:rsidRPr="006009CD">
        <w:rPr>
          <w:rFonts w:cs="Tahoma"/>
          <w:bCs/>
          <w:szCs w:val="20"/>
        </w:rPr>
        <w:t>telemanutenzione</w:t>
      </w:r>
      <w:proofErr w:type="spellEnd"/>
      <w:r w:rsidRPr="006009CD">
        <w:rPr>
          <w:rFonts w:cs="Tahoma"/>
          <w:bCs/>
          <w:szCs w:val="20"/>
        </w:rPr>
        <w:t xml:space="preserve"> e/o telediagnosi e/o controllo in remoto;</w:t>
      </w:r>
    </w:p>
    <w:p w14:paraId="42416051" w14:textId="540C06B8" w:rsidR="006B5DF7" w:rsidRDefault="006009CD" w:rsidP="00AE49EC">
      <w:pPr>
        <w:pStyle w:val="Paragrafoelenco"/>
        <w:numPr>
          <w:ilvl w:val="0"/>
          <w:numId w:val="18"/>
        </w:numPr>
        <w:shd w:val="clear" w:color="auto" w:fill="FFFFFF"/>
        <w:spacing w:line="360" w:lineRule="auto"/>
        <w:jc w:val="both"/>
        <w:rPr>
          <w:rFonts w:cs="Tahoma"/>
          <w:bCs/>
          <w:szCs w:val="20"/>
        </w:rPr>
      </w:pPr>
      <w:r w:rsidRPr="006009CD">
        <w:rPr>
          <w:rFonts w:cs="Tahoma"/>
          <w:bCs/>
          <w:szCs w:val="20"/>
        </w:rPr>
        <w:t xml:space="preserve">monitoraggio continuo delle condizioni di lavoro e dei parametri di processo mediante opportuni set di sensori e </w:t>
      </w:r>
      <w:proofErr w:type="spellStart"/>
      <w:r w:rsidRPr="006009CD">
        <w:rPr>
          <w:rFonts w:cs="Tahoma"/>
          <w:bCs/>
          <w:szCs w:val="20"/>
        </w:rPr>
        <w:t>adattività</w:t>
      </w:r>
      <w:proofErr w:type="spellEnd"/>
      <w:r w:rsidRPr="006009CD">
        <w:rPr>
          <w:rFonts w:cs="Tahoma"/>
          <w:bCs/>
          <w:szCs w:val="20"/>
        </w:rPr>
        <w:t xml:space="preserve"> alle derive di processo;</w:t>
      </w:r>
    </w:p>
    <w:p w14:paraId="590B0598" w14:textId="1C63002E" w:rsidR="00884693" w:rsidRPr="00884693" w:rsidRDefault="006009CD" w:rsidP="00AE49EC">
      <w:pPr>
        <w:pStyle w:val="Paragrafoelenco"/>
        <w:numPr>
          <w:ilvl w:val="0"/>
          <w:numId w:val="18"/>
        </w:numPr>
        <w:shd w:val="clear" w:color="auto" w:fill="FFFFFF"/>
        <w:spacing w:line="360" w:lineRule="auto"/>
        <w:jc w:val="both"/>
        <w:rPr>
          <w:rFonts w:cs="Tahoma"/>
          <w:bCs/>
          <w:szCs w:val="20"/>
        </w:rPr>
      </w:pPr>
      <w:r w:rsidRPr="006009CD">
        <w:rPr>
          <w:rFonts w:cs="Tahoma"/>
          <w:bCs/>
          <w:szCs w:val="20"/>
        </w:rPr>
        <w:t xml:space="preserve">caratteristiche di integrazione tra macchina fisica e/o impianto con la modellizzazione e/o la simulazione del proprio comportamento nello svolgimento del processo (sistema </w:t>
      </w:r>
      <w:proofErr w:type="spellStart"/>
      <w:r w:rsidRPr="006009CD">
        <w:rPr>
          <w:rFonts w:cs="Tahoma"/>
          <w:bCs/>
          <w:szCs w:val="20"/>
        </w:rPr>
        <w:t>cyberfisico</w:t>
      </w:r>
      <w:proofErr w:type="spellEnd"/>
      <w:r w:rsidRPr="006009CD">
        <w:rPr>
          <w:rFonts w:cs="Tahoma"/>
          <w:bCs/>
          <w:szCs w:val="20"/>
        </w:rPr>
        <w:t>).</w:t>
      </w:r>
    </w:p>
    <w:p w14:paraId="09E70F4B" w14:textId="77777777" w:rsidR="00C76ED3" w:rsidRDefault="00C76ED3">
      <w:pPr>
        <w:spacing w:after="0" w:line="240" w:lineRule="auto"/>
        <w:rPr>
          <w:b/>
          <w:i/>
          <w:color w:val="000000"/>
        </w:rPr>
      </w:pPr>
      <w:r>
        <w:br w:type="page"/>
      </w:r>
    </w:p>
    <w:p w14:paraId="0A3212B1" w14:textId="279B3FB0" w:rsidR="00884693" w:rsidRPr="004414B7" w:rsidRDefault="00884693" w:rsidP="004414B7">
      <w:pPr>
        <w:pStyle w:val="Titolo5"/>
      </w:pPr>
      <w:bookmarkStart w:id="26" w:name="_Toc93327708"/>
      <w:r w:rsidRPr="004414B7">
        <w:lastRenderedPageBreak/>
        <w:t>3.</w:t>
      </w:r>
      <w:r w:rsidR="009249CD" w:rsidRPr="004414B7">
        <w:t>3</w:t>
      </w:r>
      <w:r w:rsidRPr="004414B7">
        <w:t>.1.</w:t>
      </w:r>
      <w:r w:rsidR="009249CD" w:rsidRPr="004414B7">
        <w:t>1.1</w:t>
      </w:r>
      <w:r w:rsidRPr="004414B7">
        <w:t xml:space="preserve"> Caratteristiche obbligatorie</w:t>
      </w:r>
      <w:bookmarkEnd w:id="26"/>
    </w:p>
    <w:p w14:paraId="27881837" w14:textId="77777777" w:rsidR="00BE6813" w:rsidRDefault="00BE6813" w:rsidP="00375101">
      <w:pPr>
        <w:shd w:val="clear" w:color="auto" w:fill="FFFFFF"/>
        <w:spacing w:line="360" w:lineRule="auto"/>
        <w:jc w:val="both"/>
        <w:rPr>
          <w:rFonts w:cs="Tahoma"/>
          <w:bCs/>
          <w:szCs w:val="20"/>
        </w:rPr>
      </w:pPr>
      <w:r w:rsidRPr="00BE6813">
        <w:rPr>
          <w:rFonts w:cs="Tahoma"/>
          <w:bCs/>
          <w:szCs w:val="20"/>
        </w:rPr>
        <w:t xml:space="preserve">Analizziamo adesso le </w:t>
      </w:r>
      <w:r w:rsidRPr="00BE6813">
        <w:rPr>
          <w:rFonts w:cs="Tahoma"/>
          <w:b/>
          <w:szCs w:val="20"/>
        </w:rPr>
        <w:t>singole caratteristiche per meglio specificarne il senso</w:t>
      </w:r>
      <w:r w:rsidRPr="00BE6813">
        <w:rPr>
          <w:rFonts w:cs="Tahoma"/>
          <w:bCs/>
          <w:szCs w:val="20"/>
        </w:rPr>
        <w:t xml:space="preserve"> applicativo:</w:t>
      </w:r>
    </w:p>
    <w:p w14:paraId="18B352CF" w14:textId="1ED50D19" w:rsidR="00375101" w:rsidRDefault="00BE6813" w:rsidP="00AE49EC">
      <w:pPr>
        <w:pStyle w:val="Paragrafoelenco"/>
        <w:numPr>
          <w:ilvl w:val="0"/>
          <w:numId w:val="19"/>
        </w:numPr>
        <w:shd w:val="clear" w:color="auto" w:fill="FFFFFF"/>
        <w:spacing w:line="360" w:lineRule="auto"/>
        <w:jc w:val="both"/>
        <w:rPr>
          <w:rFonts w:cs="Tahoma"/>
          <w:bCs/>
          <w:szCs w:val="20"/>
        </w:rPr>
      </w:pPr>
      <w:r w:rsidRPr="00BE6813">
        <w:rPr>
          <w:rFonts w:cs="Tahoma"/>
          <w:b/>
          <w:szCs w:val="20"/>
        </w:rPr>
        <w:t>La caratteristica del controllo per mezzo di CNC</w:t>
      </w:r>
      <w:r w:rsidRPr="00BE6813">
        <w:rPr>
          <w:rFonts w:cs="Tahoma"/>
          <w:bCs/>
          <w:szCs w:val="20"/>
        </w:rPr>
        <w:t xml:space="preserve"> (Computer </w:t>
      </w:r>
      <w:proofErr w:type="spellStart"/>
      <w:r w:rsidRPr="00BE6813">
        <w:rPr>
          <w:rFonts w:cs="Tahoma"/>
          <w:bCs/>
          <w:szCs w:val="20"/>
        </w:rPr>
        <w:t>Numerical</w:t>
      </w:r>
      <w:proofErr w:type="spellEnd"/>
      <w:r w:rsidRPr="00BE6813">
        <w:rPr>
          <w:rFonts w:cs="Tahoma"/>
          <w:bCs/>
          <w:szCs w:val="20"/>
        </w:rPr>
        <w:t xml:space="preserve"> Control) e/o PLC (</w:t>
      </w:r>
      <w:proofErr w:type="spellStart"/>
      <w:r w:rsidRPr="00BE6813">
        <w:rPr>
          <w:rFonts w:cs="Tahoma"/>
          <w:bCs/>
          <w:szCs w:val="20"/>
        </w:rPr>
        <w:t>Programmable</w:t>
      </w:r>
      <w:proofErr w:type="spellEnd"/>
      <w:r w:rsidRPr="00BE6813">
        <w:rPr>
          <w:rFonts w:cs="Tahoma"/>
          <w:bCs/>
          <w:szCs w:val="20"/>
        </w:rPr>
        <w:t xml:space="preserve"> </w:t>
      </w:r>
      <w:proofErr w:type="spellStart"/>
      <w:r w:rsidRPr="00BE6813">
        <w:rPr>
          <w:rFonts w:cs="Tahoma"/>
          <w:bCs/>
          <w:szCs w:val="20"/>
        </w:rPr>
        <w:t>Logic</w:t>
      </w:r>
      <w:proofErr w:type="spellEnd"/>
      <w:r w:rsidRPr="00BE6813">
        <w:rPr>
          <w:rFonts w:cs="Tahoma"/>
          <w:bCs/>
          <w:szCs w:val="20"/>
        </w:rPr>
        <w:t xml:space="preserve"> Controller) è da considerarsi pienamente accettata anche quando la macchina/impianto possiede soluzioni di controllo equipollenti, ovvero da un apparato a logica programmabile PC, microprocessore o equivalente che utilizzi un linguaggio standardizzato o personalizzato, oppure più complessi, dotato o meno di controllore centralizzato, che combinano più PLC o CNC (es.: soluzioni di controllo per celle/FMS oppure sistemi dotati di soluzione DCS – Distributed Control System).</w:t>
      </w:r>
    </w:p>
    <w:p w14:paraId="6E643B84" w14:textId="65FDF07D" w:rsidR="00BE6813" w:rsidRDefault="00BE6813" w:rsidP="00AE49EC">
      <w:pPr>
        <w:pStyle w:val="Paragrafoelenco"/>
        <w:numPr>
          <w:ilvl w:val="0"/>
          <w:numId w:val="19"/>
        </w:numPr>
        <w:shd w:val="clear" w:color="auto" w:fill="FFFFFF"/>
        <w:spacing w:line="360" w:lineRule="auto"/>
        <w:ind w:left="714" w:hanging="357"/>
        <w:contextualSpacing w:val="0"/>
        <w:jc w:val="both"/>
        <w:rPr>
          <w:rFonts w:cs="Tahoma"/>
          <w:bCs/>
          <w:szCs w:val="20"/>
        </w:rPr>
      </w:pPr>
      <w:r w:rsidRPr="00BE6813">
        <w:rPr>
          <w:rFonts w:cs="Tahoma"/>
          <w:bCs/>
          <w:szCs w:val="20"/>
        </w:rPr>
        <w:t xml:space="preserve">La </w:t>
      </w:r>
      <w:r w:rsidRPr="00BE6813">
        <w:rPr>
          <w:rFonts w:cs="Tahoma"/>
          <w:b/>
          <w:szCs w:val="20"/>
        </w:rPr>
        <w:t>caratteristica dell’interconnessione ai sistemi informatici di fabbrica</w:t>
      </w:r>
      <w:r w:rsidRPr="00BE6813">
        <w:rPr>
          <w:rFonts w:cs="Tahoma"/>
          <w:bCs/>
          <w:szCs w:val="20"/>
        </w:rPr>
        <w:t xml:space="preserve"> con caricamento da remoto di istruzioni e/o part </w:t>
      </w:r>
      <w:proofErr w:type="spellStart"/>
      <w:r w:rsidRPr="00BE6813">
        <w:rPr>
          <w:rFonts w:cs="Tahoma"/>
          <w:bCs/>
          <w:szCs w:val="20"/>
        </w:rPr>
        <w:t>program</w:t>
      </w:r>
      <w:proofErr w:type="spellEnd"/>
      <w:r w:rsidRPr="00BE6813">
        <w:rPr>
          <w:rFonts w:cs="Tahoma"/>
          <w:bCs/>
          <w:szCs w:val="20"/>
        </w:rPr>
        <w:t xml:space="preserve"> è soddisfatta se il bene scambia informazioni con sistemi interni (es.: sistema gestionale, sistemi di pianificazione, sistemi di progettazione e sviluppo del prodotto, monitoraggio, anche in remoto, e controllo, altre macchine dello stabilimento, ecc.) per mezzo di un collegamento basato su specifiche documentate, disponibili pubblicamente e internazionalmente riconosciute (esempi: TCPIP, HTTP, MQTT, ecc.). Inoltre, il bene deve essere </w:t>
      </w:r>
      <w:r w:rsidRPr="00BE6813">
        <w:rPr>
          <w:rFonts w:cs="Tahoma"/>
          <w:b/>
          <w:szCs w:val="20"/>
        </w:rPr>
        <w:t>identificato univocamente</w:t>
      </w:r>
      <w:r w:rsidRPr="00BE6813">
        <w:rPr>
          <w:rFonts w:cs="Tahoma"/>
          <w:bCs/>
          <w:szCs w:val="20"/>
        </w:rPr>
        <w:t xml:space="preserve">, al fine di riconoscere l’origine delle informazioni, mediante l’utilizzo di standard di indirizzamento internazionalmente riconosciuti (es.: </w:t>
      </w:r>
      <w:r w:rsidRPr="00BE6813">
        <w:rPr>
          <w:rFonts w:cs="Tahoma"/>
          <w:b/>
          <w:szCs w:val="20"/>
        </w:rPr>
        <w:t>indirizzo IP</w:t>
      </w:r>
      <w:r w:rsidRPr="00BE6813">
        <w:rPr>
          <w:rFonts w:cs="Tahoma"/>
          <w:bCs/>
          <w:szCs w:val="20"/>
        </w:rPr>
        <w:t>). Si specifica che lo scambio di informazioni con sistemi esterni è contemplato al successivo punto 3. Ulteriori precisazioni:</w:t>
      </w:r>
    </w:p>
    <w:p w14:paraId="361B7130" w14:textId="77777777" w:rsidR="00BE6813" w:rsidRDefault="00BE6813" w:rsidP="00AE49EC">
      <w:pPr>
        <w:pStyle w:val="Paragrafoelenco"/>
        <w:numPr>
          <w:ilvl w:val="0"/>
          <w:numId w:val="20"/>
        </w:numPr>
        <w:shd w:val="clear" w:color="auto" w:fill="FFFFFF"/>
        <w:spacing w:line="360" w:lineRule="auto"/>
        <w:jc w:val="both"/>
        <w:rPr>
          <w:rFonts w:cs="Tahoma"/>
          <w:bCs/>
          <w:szCs w:val="20"/>
        </w:rPr>
      </w:pPr>
      <w:r w:rsidRPr="00BE6813">
        <w:rPr>
          <w:rFonts w:cs="Tahoma"/>
          <w:bCs/>
          <w:szCs w:val="20"/>
        </w:rPr>
        <w:t>la parola fabbrica deve essere intesa come un ambiente fisico dove avviene creazione di valore attraverso la trasformazione di materie prime o semilavorati e/o realizzazione di prodotti;</w:t>
      </w:r>
    </w:p>
    <w:p w14:paraId="4ED92FD2" w14:textId="77777777" w:rsidR="00BE6813" w:rsidRDefault="00BE6813" w:rsidP="00AE49EC">
      <w:pPr>
        <w:pStyle w:val="Paragrafoelenco"/>
        <w:numPr>
          <w:ilvl w:val="0"/>
          <w:numId w:val="20"/>
        </w:numPr>
        <w:shd w:val="clear" w:color="auto" w:fill="FFFFFF"/>
        <w:spacing w:line="360" w:lineRule="auto"/>
        <w:jc w:val="both"/>
        <w:rPr>
          <w:rFonts w:cs="Tahoma"/>
          <w:bCs/>
          <w:szCs w:val="20"/>
        </w:rPr>
      </w:pPr>
      <w:r w:rsidRPr="00BE6813">
        <w:rPr>
          <w:rFonts w:cs="Tahoma"/>
          <w:bCs/>
          <w:szCs w:val="20"/>
        </w:rPr>
        <w:t>nel caso di macchine motrici od operatrici, che operano in ambiente esterno (tipicamente macchine utilizzate in agricoltura e nelle costruzioni), si deve intendere la caratteristica assolta se le stesse siano a guida automatica (senza operatore a bordo) o semi-automatica (o assistita – con operatore che controlla in remoto) e in grado di ricevere dati relativi al compito da svolgere da un sistema centrale remoto (in questo caso ricadono anche i droni) situato nell’ambiente di fabbrica;</w:t>
      </w:r>
    </w:p>
    <w:p w14:paraId="59FFDB80" w14:textId="7D0C711D" w:rsidR="00BE6813" w:rsidRDefault="00BE6813" w:rsidP="00AE49EC">
      <w:pPr>
        <w:pStyle w:val="Paragrafoelenco"/>
        <w:numPr>
          <w:ilvl w:val="0"/>
          <w:numId w:val="20"/>
        </w:numPr>
        <w:shd w:val="clear" w:color="auto" w:fill="FFFFFF"/>
        <w:spacing w:line="360" w:lineRule="auto"/>
        <w:ind w:left="1434" w:hanging="357"/>
        <w:contextualSpacing w:val="0"/>
        <w:jc w:val="both"/>
        <w:rPr>
          <w:rFonts w:cs="Tahoma"/>
          <w:bCs/>
          <w:szCs w:val="20"/>
        </w:rPr>
      </w:pPr>
      <w:r w:rsidRPr="00BE6813">
        <w:rPr>
          <w:rFonts w:cs="Tahoma"/>
          <w:bCs/>
          <w:szCs w:val="20"/>
        </w:rPr>
        <w:t>per istruzioni si può intendere anche indicazioni, che dal sistema informativo di fabbrica vengano inviate alla macchina, legate alla pianificazione, alla schedulazione o al controllo avanzamento della produzione, senza necessariamente avere caratteristiche di attuazione o avvio della macchina.</w:t>
      </w:r>
    </w:p>
    <w:p w14:paraId="615C5FF7" w14:textId="770463AB" w:rsidR="00BE6813" w:rsidRDefault="00BE6813" w:rsidP="00AE49EC">
      <w:pPr>
        <w:pStyle w:val="Paragrafoelenco"/>
        <w:numPr>
          <w:ilvl w:val="0"/>
          <w:numId w:val="19"/>
        </w:numPr>
        <w:shd w:val="clear" w:color="auto" w:fill="FFFFFF"/>
        <w:spacing w:line="360" w:lineRule="auto"/>
        <w:jc w:val="both"/>
        <w:rPr>
          <w:rFonts w:cs="Tahoma"/>
          <w:bCs/>
          <w:szCs w:val="20"/>
        </w:rPr>
      </w:pPr>
      <w:r w:rsidRPr="00BE6813">
        <w:rPr>
          <w:rFonts w:cs="Tahoma"/>
          <w:bCs/>
          <w:szCs w:val="20"/>
        </w:rPr>
        <w:t>La caratteristica dell’</w:t>
      </w:r>
      <w:r w:rsidRPr="00BE6813">
        <w:rPr>
          <w:rFonts w:cs="Tahoma"/>
          <w:b/>
          <w:szCs w:val="20"/>
        </w:rPr>
        <w:t xml:space="preserve">integrazione automatizzata </w:t>
      </w:r>
      <w:r w:rsidRPr="00BE6813">
        <w:rPr>
          <w:rFonts w:cs="Tahoma"/>
          <w:bCs/>
          <w:szCs w:val="20"/>
        </w:rPr>
        <w:t xml:space="preserve">con il </w:t>
      </w:r>
      <w:r w:rsidRPr="00E564C0">
        <w:rPr>
          <w:rFonts w:cs="Tahoma"/>
          <w:b/>
          <w:szCs w:val="20"/>
        </w:rPr>
        <w:t>sistema logistico della fabbrica</w:t>
      </w:r>
      <w:r w:rsidRPr="00BE6813">
        <w:rPr>
          <w:rFonts w:cs="Tahoma"/>
          <w:bCs/>
          <w:szCs w:val="20"/>
        </w:rPr>
        <w:t xml:space="preserve"> o con la </w:t>
      </w:r>
      <w:r w:rsidRPr="00E564C0">
        <w:rPr>
          <w:rFonts w:cs="Tahoma"/>
          <w:b/>
          <w:szCs w:val="20"/>
        </w:rPr>
        <w:t>rete di fornitura</w:t>
      </w:r>
      <w:r w:rsidRPr="00BE6813">
        <w:rPr>
          <w:rFonts w:cs="Tahoma"/>
          <w:bCs/>
          <w:szCs w:val="20"/>
        </w:rPr>
        <w:t xml:space="preserve"> e/o con </w:t>
      </w:r>
      <w:r w:rsidRPr="00E564C0">
        <w:rPr>
          <w:rFonts w:cs="Tahoma"/>
          <w:b/>
          <w:szCs w:val="20"/>
        </w:rPr>
        <w:t>altre macchine del ciclo produttivo</w:t>
      </w:r>
      <w:r w:rsidRPr="00BE6813">
        <w:rPr>
          <w:rFonts w:cs="Tahoma"/>
          <w:bCs/>
          <w:szCs w:val="20"/>
        </w:rPr>
        <w:t xml:space="preserve"> specifica che la macchina/impianto debba essere integrata in </w:t>
      </w:r>
      <w:r w:rsidRPr="00E564C0">
        <w:rPr>
          <w:rFonts w:cs="Tahoma"/>
          <w:b/>
          <w:szCs w:val="20"/>
        </w:rPr>
        <w:t>una delle seguenti opzioni</w:t>
      </w:r>
      <w:r w:rsidRPr="00E564C0">
        <w:rPr>
          <w:rFonts w:cs="Tahoma"/>
          <w:bCs/>
          <w:szCs w:val="20"/>
        </w:rPr>
        <w:t>:</w:t>
      </w:r>
    </w:p>
    <w:p w14:paraId="32531C10" w14:textId="77777777" w:rsidR="00E564C0" w:rsidRDefault="00E564C0" w:rsidP="00AE49EC">
      <w:pPr>
        <w:pStyle w:val="Paragrafoelenco"/>
        <w:numPr>
          <w:ilvl w:val="0"/>
          <w:numId w:val="21"/>
        </w:numPr>
        <w:shd w:val="clear" w:color="auto" w:fill="FFFFFF"/>
        <w:spacing w:line="360" w:lineRule="auto"/>
        <w:jc w:val="both"/>
        <w:rPr>
          <w:rFonts w:cs="Tahoma"/>
          <w:bCs/>
          <w:szCs w:val="20"/>
        </w:rPr>
      </w:pPr>
      <w:r>
        <w:rPr>
          <w:rFonts w:cs="Tahoma"/>
          <w:bCs/>
          <w:szCs w:val="20"/>
        </w:rPr>
        <w:lastRenderedPageBreak/>
        <w:t>c</w:t>
      </w:r>
      <w:r w:rsidRPr="00E564C0">
        <w:rPr>
          <w:rFonts w:cs="Tahoma"/>
          <w:bCs/>
          <w:szCs w:val="20"/>
        </w:rPr>
        <w:t xml:space="preserve">on il </w:t>
      </w:r>
      <w:r w:rsidRPr="00E564C0">
        <w:rPr>
          <w:rFonts w:cs="Tahoma"/>
          <w:b/>
          <w:szCs w:val="20"/>
        </w:rPr>
        <w:t>sistema logistico della fabbrica</w:t>
      </w:r>
      <w:r w:rsidRPr="00E564C0">
        <w:rPr>
          <w:rFonts w:cs="Tahoma"/>
          <w:bCs/>
          <w:szCs w:val="20"/>
        </w:rPr>
        <w:t xml:space="preserve">: in questo caso si può intendere </w:t>
      </w:r>
      <w:r w:rsidRPr="00E564C0">
        <w:rPr>
          <w:rFonts w:cs="Tahoma"/>
          <w:b/>
          <w:szCs w:val="20"/>
        </w:rPr>
        <w:t>sia una integrazione fisica che informativa</w:t>
      </w:r>
      <w:r w:rsidRPr="00E564C0">
        <w:rPr>
          <w:rFonts w:cs="Tahoma"/>
          <w:bCs/>
          <w:szCs w:val="20"/>
        </w:rPr>
        <w:t>. Ovvero, rientrano casi di integrazione fisica in cui la macchina/impianto sia asservita o in input o in output da un sistema di movimentazione/</w:t>
      </w:r>
      <w:proofErr w:type="spellStart"/>
      <w:r w:rsidRPr="00E564C0">
        <w:rPr>
          <w:rFonts w:cs="Tahoma"/>
          <w:bCs/>
          <w:szCs w:val="20"/>
        </w:rPr>
        <w:t>handling</w:t>
      </w:r>
      <w:proofErr w:type="spellEnd"/>
      <w:r w:rsidRPr="00E564C0">
        <w:rPr>
          <w:rFonts w:cs="Tahoma"/>
          <w:bCs/>
          <w:szCs w:val="20"/>
        </w:rPr>
        <w:t xml:space="preserve"> automatizzato o semiautomatizzato (ad es. </w:t>
      </w:r>
      <w:proofErr w:type="spellStart"/>
      <w:r w:rsidRPr="00E564C0">
        <w:rPr>
          <w:rFonts w:cs="Tahoma"/>
          <w:bCs/>
          <w:szCs w:val="20"/>
        </w:rPr>
        <w:t>rulliera</w:t>
      </w:r>
      <w:proofErr w:type="spellEnd"/>
      <w:r w:rsidRPr="00E564C0">
        <w:rPr>
          <w:rFonts w:cs="Tahoma"/>
          <w:bCs/>
          <w:szCs w:val="20"/>
        </w:rPr>
        <w:t xml:space="preserve">, </w:t>
      </w:r>
      <w:proofErr w:type="spellStart"/>
      <w:r w:rsidRPr="00E564C0">
        <w:rPr>
          <w:rFonts w:cs="Tahoma"/>
          <w:bCs/>
          <w:szCs w:val="20"/>
        </w:rPr>
        <w:t>AGVs</w:t>
      </w:r>
      <w:proofErr w:type="spellEnd"/>
      <w:r w:rsidRPr="00E564C0">
        <w:rPr>
          <w:rFonts w:cs="Tahoma"/>
          <w:bCs/>
          <w:szCs w:val="20"/>
        </w:rPr>
        <w:t>, sistemi aerei, robot, carroponte, ecc.) che sia a sua volta integrato con un altro elemento della fabbrica (ad es. un magazzino, un buffer o un’altra macchina/impianto, ecc.); oppure casi di integrazione informativa in cui sussista la</w:t>
      </w:r>
      <w:r>
        <w:rPr>
          <w:rFonts w:cs="Tahoma"/>
          <w:bCs/>
          <w:szCs w:val="20"/>
        </w:rPr>
        <w:t xml:space="preserve"> t</w:t>
      </w:r>
      <w:r w:rsidRPr="00E564C0">
        <w:rPr>
          <w:rFonts w:cs="Tahoma"/>
          <w:bCs/>
          <w:szCs w:val="20"/>
        </w:rPr>
        <w:t>racciabilità dei prodotti/lotti realizzati mediante appositi sistemi di tracciamento automatizzati (p.e. codici a barre, tag RFID, ecc.) che permettano al sistema di gestione della logistica di fabbrica di registrare l’avanzamento, la posizione o altre informazioni di natura logistica dei beni, lotti o semilavorati oggetto del processo produttivo</w:t>
      </w:r>
      <w:r>
        <w:rPr>
          <w:rFonts w:cs="Tahoma"/>
          <w:bCs/>
          <w:szCs w:val="20"/>
        </w:rPr>
        <w:t>;</w:t>
      </w:r>
    </w:p>
    <w:p w14:paraId="2E415EFB" w14:textId="77777777" w:rsidR="00E564C0" w:rsidRDefault="00E564C0" w:rsidP="00AE49EC">
      <w:pPr>
        <w:pStyle w:val="Paragrafoelenco"/>
        <w:numPr>
          <w:ilvl w:val="0"/>
          <w:numId w:val="21"/>
        </w:numPr>
        <w:shd w:val="clear" w:color="auto" w:fill="FFFFFF"/>
        <w:spacing w:line="360" w:lineRule="auto"/>
        <w:jc w:val="both"/>
        <w:rPr>
          <w:rFonts w:cs="Tahoma"/>
          <w:bCs/>
          <w:szCs w:val="20"/>
        </w:rPr>
      </w:pPr>
      <w:r w:rsidRPr="00E564C0">
        <w:rPr>
          <w:rFonts w:cs="Tahoma"/>
          <w:b/>
          <w:szCs w:val="20"/>
        </w:rPr>
        <w:t>con la rete di fornitura</w:t>
      </w:r>
      <w:r w:rsidRPr="00E564C0">
        <w:rPr>
          <w:rFonts w:cs="Tahoma"/>
          <w:bCs/>
          <w:szCs w:val="20"/>
        </w:rPr>
        <w:t xml:space="preserve">: in questo caso si intende che la macchina/impianto sia in grado di scambiare dati (ad es. gestione degli ordini, dei lotti, delle date di consegna, ecc.) con </w:t>
      </w:r>
      <w:r w:rsidRPr="00E564C0">
        <w:rPr>
          <w:rFonts w:cs="Tahoma"/>
          <w:b/>
          <w:szCs w:val="20"/>
        </w:rPr>
        <w:t>altre macchine</w:t>
      </w:r>
      <w:r w:rsidRPr="00E564C0">
        <w:rPr>
          <w:rFonts w:cs="Tahoma"/>
          <w:bCs/>
          <w:szCs w:val="20"/>
        </w:rPr>
        <w:t xml:space="preserve"> o più in generale, </w:t>
      </w:r>
      <w:r w:rsidRPr="00E564C0">
        <w:rPr>
          <w:rFonts w:cs="Tahoma"/>
          <w:b/>
          <w:szCs w:val="20"/>
        </w:rPr>
        <w:t>con i sistemi informativi</w:t>
      </w:r>
      <w:r w:rsidRPr="00E564C0">
        <w:rPr>
          <w:rFonts w:cs="Tahoma"/>
          <w:bCs/>
          <w:szCs w:val="20"/>
        </w:rPr>
        <w:t xml:space="preserve">, della rete di fornitura nella quale questa è inserita. Per rete di fornitura si deve intendere sia </w:t>
      </w:r>
      <w:r w:rsidRPr="00E564C0">
        <w:rPr>
          <w:rFonts w:cs="Tahoma"/>
          <w:b/>
          <w:szCs w:val="20"/>
        </w:rPr>
        <w:t>un fornitore a monte che un cliente a valle</w:t>
      </w:r>
      <w:r w:rsidRPr="00E564C0">
        <w:rPr>
          <w:rFonts w:cs="Tahoma"/>
          <w:bCs/>
          <w:szCs w:val="20"/>
        </w:rPr>
        <w:t>;</w:t>
      </w:r>
    </w:p>
    <w:p w14:paraId="7E709825" w14:textId="1CE59455" w:rsidR="00E564C0" w:rsidRDefault="00E564C0" w:rsidP="00AE49EC">
      <w:pPr>
        <w:pStyle w:val="Paragrafoelenco"/>
        <w:numPr>
          <w:ilvl w:val="0"/>
          <w:numId w:val="21"/>
        </w:numPr>
        <w:shd w:val="clear" w:color="auto" w:fill="FFFFFF"/>
        <w:spacing w:line="360" w:lineRule="auto"/>
        <w:ind w:left="1434" w:hanging="357"/>
        <w:contextualSpacing w:val="0"/>
        <w:jc w:val="both"/>
        <w:rPr>
          <w:rFonts w:cs="Tahoma"/>
          <w:bCs/>
          <w:szCs w:val="20"/>
        </w:rPr>
      </w:pPr>
      <w:r w:rsidRPr="00E564C0">
        <w:rPr>
          <w:rFonts w:cs="Tahoma"/>
          <w:bCs/>
          <w:szCs w:val="20"/>
        </w:rPr>
        <w:t xml:space="preserve">Con </w:t>
      </w:r>
      <w:r w:rsidRPr="00E564C0">
        <w:rPr>
          <w:rFonts w:cs="Tahoma"/>
          <w:b/>
          <w:szCs w:val="20"/>
        </w:rPr>
        <w:t>altre macchine del ciclo produttivo</w:t>
      </w:r>
      <w:r w:rsidRPr="00E564C0">
        <w:rPr>
          <w:rFonts w:cs="Tahoma"/>
          <w:bCs/>
          <w:szCs w:val="20"/>
        </w:rPr>
        <w:t xml:space="preserve">: in questo caso si intende che la macchina in oggetto sia integrata in una logica di </w:t>
      </w:r>
      <w:r w:rsidRPr="00E564C0">
        <w:rPr>
          <w:rFonts w:cs="Tahoma"/>
          <w:b/>
          <w:szCs w:val="20"/>
        </w:rPr>
        <w:t>integrazione</w:t>
      </w:r>
      <w:r w:rsidRPr="00E564C0">
        <w:rPr>
          <w:rFonts w:cs="Tahoma"/>
          <w:bCs/>
          <w:szCs w:val="20"/>
        </w:rPr>
        <w:t xml:space="preserve"> e </w:t>
      </w:r>
      <w:r w:rsidRPr="00E564C0">
        <w:rPr>
          <w:rFonts w:cs="Tahoma"/>
          <w:b/>
          <w:szCs w:val="20"/>
        </w:rPr>
        <w:t>comunicazione M2M con un’altra macchina/impianto a monte e/o a valle</w:t>
      </w:r>
      <w:r w:rsidRPr="00E564C0">
        <w:rPr>
          <w:rFonts w:cs="Tahoma"/>
          <w:bCs/>
          <w:szCs w:val="20"/>
        </w:rPr>
        <w:t xml:space="preserve"> (si richiama l’attenzione sul fatto che si parla di </w:t>
      </w:r>
      <w:r w:rsidRPr="00E564C0">
        <w:rPr>
          <w:rFonts w:cs="Tahoma"/>
          <w:b/>
          <w:szCs w:val="20"/>
        </w:rPr>
        <w:t>integrazione informativa</w:t>
      </w:r>
      <w:r w:rsidRPr="00E564C0">
        <w:rPr>
          <w:rFonts w:cs="Tahoma"/>
          <w:bCs/>
          <w:szCs w:val="20"/>
        </w:rPr>
        <w:t xml:space="preserve">, cioè </w:t>
      </w:r>
      <w:r w:rsidRPr="00E564C0">
        <w:rPr>
          <w:rFonts w:cs="Tahoma"/>
          <w:b/>
          <w:szCs w:val="20"/>
        </w:rPr>
        <w:t>scambio di dati o segnali</w:t>
      </w:r>
      <w:r w:rsidRPr="00E564C0">
        <w:rPr>
          <w:rFonts w:cs="Tahoma"/>
          <w:bCs/>
          <w:szCs w:val="20"/>
        </w:rPr>
        <w:t>, e non logistica già ricompresa nei casi precedenti);</w:t>
      </w:r>
    </w:p>
    <w:p w14:paraId="26B76907" w14:textId="77777777" w:rsidR="00E564C0" w:rsidRDefault="00E564C0" w:rsidP="00AE49EC">
      <w:pPr>
        <w:pStyle w:val="Paragrafoelenco"/>
        <w:numPr>
          <w:ilvl w:val="0"/>
          <w:numId w:val="19"/>
        </w:numPr>
        <w:shd w:val="clear" w:color="auto" w:fill="FFFFFF"/>
        <w:spacing w:line="360" w:lineRule="auto"/>
        <w:ind w:left="714" w:hanging="357"/>
        <w:contextualSpacing w:val="0"/>
        <w:jc w:val="both"/>
        <w:rPr>
          <w:rFonts w:cs="Tahoma"/>
          <w:bCs/>
          <w:szCs w:val="20"/>
        </w:rPr>
      </w:pPr>
      <w:r w:rsidRPr="00E564C0">
        <w:rPr>
          <w:rFonts w:cs="Tahoma"/>
          <w:bCs/>
          <w:szCs w:val="20"/>
        </w:rPr>
        <w:t>La caratteristica dell’</w:t>
      </w:r>
      <w:r w:rsidRPr="00E564C0">
        <w:rPr>
          <w:rFonts w:cs="Tahoma"/>
          <w:b/>
          <w:szCs w:val="20"/>
        </w:rPr>
        <w:t xml:space="preserve">interfaccia tra uomo e macchina semplici e intuitive </w:t>
      </w:r>
      <w:r w:rsidRPr="00E564C0">
        <w:rPr>
          <w:rFonts w:cs="Tahoma"/>
          <w:bCs/>
          <w:szCs w:val="20"/>
        </w:rPr>
        <w:t>specifica che la macchina/impianto deve essere dotata di un sistema hardware, a bordo macchina o in remoto (ad esempio attraverso dispositivi mobile, ecc.), di interfaccia con l’operatore per il monitoraggio e/o il controllo della macchina stessa. Per semplici e intuitive si intende che le interfacce devono garantire la lettura anche in una delle seguenti condizioni:</w:t>
      </w:r>
    </w:p>
    <w:p w14:paraId="34726FD5" w14:textId="77777777" w:rsidR="00E564C0" w:rsidRDefault="00E564C0" w:rsidP="00AE49EC">
      <w:pPr>
        <w:pStyle w:val="Paragrafoelenco"/>
        <w:numPr>
          <w:ilvl w:val="0"/>
          <w:numId w:val="21"/>
        </w:numPr>
        <w:shd w:val="clear" w:color="auto" w:fill="FFFFFF"/>
        <w:spacing w:line="360" w:lineRule="auto"/>
        <w:jc w:val="both"/>
        <w:rPr>
          <w:rFonts w:cs="Tahoma"/>
          <w:bCs/>
          <w:szCs w:val="20"/>
        </w:rPr>
      </w:pPr>
      <w:r w:rsidRPr="00E564C0">
        <w:rPr>
          <w:rFonts w:cs="Tahoma"/>
          <w:bCs/>
          <w:szCs w:val="20"/>
        </w:rPr>
        <w:t>Con indosso i dispositivi di protezione individuale di cui deve essere dotato l’operatore;</w:t>
      </w:r>
    </w:p>
    <w:p w14:paraId="060B265A" w14:textId="77777777" w:rsidR="00E564C0" w:rsidRDefault="00E564C0" w:rsidP="00AE49EC">
      <w:pPr>
        <w:pStyle w:val="Paragrafoelenco"/>
        <w:numPr>
          <w:ilvl w:val="0"/>
          <w:numId w:val="21"/>
        </w:numPr>
        <w:shd w:val="clear" w:color="auto" w:fill="FFFFFF"/>
        <w:spacing w:line="360" w:lineRule="auto"/>
        <w:ind w:left="1434" w:hanging="357"/>
        <w:contextualSpacing w:val="0"/>
        <w:jc w:val="both"/>
        <w:rPr>
          <w:rFonts w:cs="Tahoma"/>
          <w:bCs/>
          <w:szCs w:val="20"/>
        </w:rPr>
      </w:pPr>
      <w:r w:rsidRPr="00E564C0">
        <w:rPr>
          <w:rFonts w:cs="Tahoma"/>
          <w:bCs/>
          <w:szCs w:val="20"/>
        </w:rPr>
        <w:t>Consentire la lettura senza errori nelle condizioni di situazione ambientale del reparto produttivo (illuminazione, posizionamento delle</w:t>
      </w:r>
      <w:r>
        <w:rPr>
          <w:rFonts w:cs="Tahoma"/>
          <w:bCs/>
          <w:szCs w:val="20"/>
        </w:rPr>
        <w:t xml:space="preserve"> </w:t>
      </w:r>
      <w:r w:rsidRPr="00E564C0">
        <w:rPr>
          <w:rFonts w:cs="Tahoma"/>
          <w:bCs/>
          <w:szCs w:val="20"/>
        </w:rPr>
        <w:t>interfacce sulle macchine, presenza di agenti che possono sporcare o guastare i sistemi idi interazione, ecc.)</w:t>
      </w:r>
      <w:r>
        <w:rPr>
          <w:rFonts w:cs="Tahoma"/>
          <w:bCs/>
          <w:szCs w:val="20"/>
        </w:rPr>
        <w:t>;</w:t>
      </w:r>
    </w:p>
    <w:p w14:paraId="2E784FDB" w14:textId="4E9A06FE" w:rsidR="00E564C0" w:rsidRPr="00E564C0" w:rsidRDefault="00E564C0" w:rsidP="00AE49EC">
      <w:pPr>
        <w:pStyle w:val="Paragrafoelenco"/>
        <w:numPr>
          <w:ilvl w:val="0"/>
          <w:numId w:val="19"/>
        </w:numPr>
        <w:shd w:val="clear" w:color="auto" w:fill="FFFFFF"/>
        <w:spacing w:line="360" w:lineRule="auto"/>
        <w:jc w:val="both"/>
        <w:rPr>
          <w:rFonts w:cs="Tahoma"/>
          <w:bCs/>
          <w:szCs w:val="20"/>
        </w:rPr>
      </w:pPr>
      <w:r w:rsidRPr="00E564C0">
        <w:rPr>
          <w:rFonts w:cs="Tahoma"/>
          <w:bCs/>
          <w:szCs w:val="20"/>
        </w:rPr>
        <w:t>La caratteristica “</w:t>
      </w:r>
      <w:r w:rsidRPr="00E564C0">
        <w:rPr>
          <w:rFonts w:cs="Tahoma"/>
          <w:b/>
          <w:i/>
          <w:iCs/>
          <w:szCs w:val="20"/>
        </w:rPr>
        <w:t>rispondenza ai più recenti parametri di sicurezza, salute e igiene del lavoro</w:t>
      </w:r>
      <w:r w:rsidRPr="00E564C0">
        <w:rPr>
          <w:rFonts w:cs="Tahoma"/>
          <w:bCs/>
          <w:szCs w:val="20"/>
        </w:rPr>
        <w:t xml:space="preserve">” specifica che la macchina/impianto deve rispondere ai </w:t>
      </w:r>
      <w:r w:rsidRPr="00E564C0">
        <w:rPr>
          <w:rFonts w:cs="Tahoma"/>
          <w:b/>
          <w:szCs w:val="20"/>
        </w:rPr>
        <w:t>requisiti previsti dalle norme in vigore</w:t>
      </w:r>
      <w:r w:rsidRPr="00E564C0">
        <w:rPr>
          <w:rFonts w:cs="Tahoma"/>
          <w:bCs/>
          <w:szCs w:val="20"/>
        </w:rPr>
        <w:t>.</w:t>
      </w:r>
    </w:p>
    <w:p w14:paraId="70DB7422" w14:textId="77777777" w:rsidR="00C76ED3" w:rsidRDefault="00C76ED3" w:rsidP="00AA213A">
      <w:pPr>
        <w:pStyle w:val="Titolo3"/>
      </w:pPr>
    </w:p>
    <w:p w14:paraId="609B97D4" w14:textId="2E032793" w:rsidR="00AA213A" w:rsidRPr="006B5DF7" w:rsidRDefault="00AA213A" w:rsidP="004414B7">
      <w:pPr>
        <w:pStyle w:val="Titolo5"/>
      </w:pPr>
      <w:bookmarkStart w:id="27" w:name="_Toc93327709"/>
      <w:r>
        <w:lastRenderedPageBreak/>
        <w:t>3.</w:t>
      </w:r>
      <w:r w:rsidR="009249CD">
        <w:t>3</w:t>
      </w:r>
      <w:r>
        <w:t>.1.</w:t>
      </w:r>
      <w:r w:rsidR="009249CD">
        <w:t>1.</w:t>
      </w:r>
      <w:r>
        <w:t>2 Ulteriori caratteristiche</w:t>
      </w:r>
      <w:bookmarkEnd w:id="27"/>
    </w:p>
    <w:p w14:paraId="6534CAE6" w14:textId="77777777" w:rsidR="00A71ED0" w:rsidRDefault="00A71ED0" w:rsidP="00375101">
      <w:pPr>
        <w:shd w:val="clear" w:color="auto" w:fill="FFFFFF"/>
        <w:spacing w:line="360" w:lineRule="auto"/>
        <w:jc w:val="both"/>
        <w:rPr>
          <w:rFonts w:cs="Tahoma"/>
          <w:bCs/>
          <w:szCs w:val="20"/>
        </w:rPr>
      </w:pPr>
      <w:r w:rsidRPr="00A71ED0">
        <w:rPr>
          <w:rFonts w:cs="Tahoma"/>
          <w:bCs/>
          <w:szCs w:val="20"/>
        </w:rPr>
        <w:t xml:space="preserve">Per poter beneficiare dell’agevolazione fiscale, i beni devono inoltre essere dotati di </w:t>
      </w:r>
      <w:r w:rsidRPr="00A71ED0">
        <w:rPr>
          <w:rFonts w:cs="Tahoma"/>
          <w:b/>
          <w:szCs w:val="20"/>
        </w:rPr>
        <w:t>almeno due tra le seguenti caratteristiche</w:t>
      </w:r>
      <w:r w:rsidRPr="00A71ED0">
        <w:rPr>
          <w:rFonts w:cs="Tahoma"/>
          <w:bCs/>
          <w:szCs w:val="20"/>
        </w:rPr>
        <w:t>:</w:t>
      </w:r>
    </w:p>
    <w:p w14:paraId="4AD62950" w14:textId="77777777" w:rsidR="00A71ED0" w:rsidRDefault="00A71ED0" w:rsidP="00AE49EC">
      <w:pPr>
        <w:pStyle w:val="Paragrafoelenco"/>
        <w:numPr>
          <w:ilvl w:val="0"/>
          <w:numId w:val="22"/>
        </w:numPr>
        <w:shd w:val="clear" w:color="auto" w:fill="FFFFFF"/>
        <w:spacing w:line="360" w:lineRule="auto"/>
        <w:ind w:left="714" w:hanging="357"/>
        <w:contextualSpacing w:val="0"/>
        <w:jc w:val="both"/>
        <w:rPr>
          <w:rFonts w:cs="Tahoma"/>
          <w:bCs/>
          <w:szCs w:val="20"/>
        </w:rPr>
      </w:pPr>
      <w:r w:rsidRPr="00A71ED0">
        <w:rPr>
          <w:rFonts w:cs="Tahoma"/>
          <w:b/>
          <w:szCs w:val="20"/>
        </w:rPr>
        <w:t xml:space="preserve">Sistemi di </w:t>
      </w:r>
      <w:proofErr w:type="spellStart"/>
      <w:r w:rsidRPr="00A71ED0">
        <w:rPr>
          <w:rFonts w:cs="Tahoma"/>
          <w:b/>
          <w:szCs w:val="20"/>
        </w:rPr>
        <w:t>telemanutenzione</w:t>
      </w:r>
      <w:proofErr w:type="spellEnd"/>
      <w:r w:rsidRPr="00A71ED0">
        <w:rPr>
          <w:rFonts w:cs="Tahoma"/>
          <w:b/>
          <w:szCs w:val="20"/>
        </w:rPr>
        <w:t xml:space="preserve"> e/o telediagnosi e/o controllo in remoto</w:t>
      </w:r>
      <w:r w:rsidRPr="00A71ED0">
        <w:rPr>
          <w:rFonts w:cs="Tahoma"/>
          <w:bCs/>
          <w:szCs w:val="20"/>
        </w:rPr>
        <w:t>, specifica che la macchina/impianto debba prevedere almeno una delle seguenti caratteristiche:</w:t>
      </w:r>
    </w:p>
    <w:p w14:paraId="0B3C4BE7" w14:textId="77777777" w:rsidR="00A71ED0" w:rsidRDefault="00A71ED0" w:rsidP="00AE49EC">
      <w:pPr>
        <w:pStyle w:val="Paragrafoelenco"/>
        <w:numPr>
          <w:ilvl w:val="0"/>
          <w:numId w:val="21"/>
        </w:numPr>
        <w:shd w:val="clear" w:color="auto" w:fill="FFFFFF"/>
        <w:spacing w:line="360" w:lineRule="auto"/>
        <w:jc w:val="both"/>
        <w:rPr>
          <w:rFonts w:cs="Tahoma"/>
          <w:bCs/>
          <w:szCs w:val="20"/>
        </w:rPr>
      </w:pPr>
      <w:r w:rsidRPr="00A71ED0">
        <w:rPr>
          <w:rFonts w:cs="Tahoma"/>
          <w:b/>
          <w:szCs w:val="20"/>
        </w:rPr>
        <w:t xml:space="preserve">Sistemi di </w:t>
      </w:r>
      <w:proofErr w:type="spellStart"/>
      <w:r w:rsidRPr="00A71ED0">
        <w:rPr>
          <w:rFonts w:cs="Tahoma"/>
          <w:b/>
          <w:szCs w:val="20"/>
        </w:rPr>
        <w:t>telemanutenzione</w:t>
      </w:r>
      <w:proofErr w:type="spellEnd"/>
      <w:r w:rsidRPr="00A71ED0">
        <w:rPr>
          <w:rFonts w:cs="Tahoma"/>
          <w:bCs/>
          <w:szCs w:val="20"/>
        </w:rPr>
        <w:t xml:space="preserve">: si intendono sistemi che possono da remoto, in automatico o con la supervisione di un operatore, effettuare interventi di riparazione o di manutenzione su componenti della macchina/impianto. Si devono considerare inclusi anche i casi in cui un operatore sia tele-guidato in remoto (anche con ricorso a tecnologie di </w:t>
      </w:r>
      <w:proofErr w:type="spellStart"/>
      <w:r w:rsidRPr="00A71ED0">
        <w:rPr>
          <w:rFonts w:cs="Tahoma"/>
          <w:bCs/>
          <w:szCs w:val="20"/>
        </w:rPr>
        <w:t>augmented</w:t>
      </w:r>
      <w:proofErr w:type="spellEnd"/>
      <w:r w:rsidRPr="00A71ED0">
        <w:rPr>
          <w:rFonts w:cs="Tahoma"/>
          <w:bCs/>
          <w:szCs w:val="20"/>
        </w:rPr>
        <w:t xml:space="preserve"> reality, ecc.);</w:t>
      </w:r>
    </w:p>
    <w:p w14:paraId="4375E7DB" w14:textId="77777777" w:rsidR="00A71ED0" w:rsidRDefault="00A71ED0" w:rsidP="00AE49EC">
      <w:pPr>
        <w:pStyle w:val="Paragrafoelenco"/>
        <w:numPr>
          <w:ilvl w:val="0"/>
          <w:numId w:val="21"/>
        </w:numPr>
        <w:shd w:val="clear" w:color="auto" w:fill="FFFFFF"/>
        <w:spacing w:line="360" w:lineRule="auto"/>
        <w:jc w:val="both"/>
        <w:rPr>
          <w:rFonts w:cs="Tahoma"/>
          <w:bCs/>
          <w:szCs w:val="20"/>
        </w:rPr>
      </w:pPr>
      <w:r w:rsidRPr="00A71ED0">
        <w:rPr>
          <w:rFonts w:cs="Tahoma"/>
          <w:b/>
          <w:szCs w:val="20"/>
        </w:rPr>
        <w:t>Sistemi di telediagnosi</w:t>
      </w:r>
      <w:r w:rsidRPr="00A71ED0">
        <w:rPr>
          <w:rFonts w:cs="Tahoma"/>
          <w:bCs/>
          <w:szCs w:val="20"/>
        </w:rPr>
        <w:t>: sistemi che in automatico consentono la diagnosi sullo stato di salute di alcuni componenti della macchina/impianto;</w:t>
      </w:r>
    </w:p>
    <w:p w14:paraId="704E7563" w14:textId="77777777" w:rsidR="00A71ED0" w:rsidRDefault="00A71ED0" w:rsidP="00AE49EC">
      <w:pPr>
        <w:pStyle w:val="Paragrafoelenco"/>
        <w:numPr>
          <w:ilvl w:val="0"/>
          <w:numId w:val="21"/>
        </w:numPr>
        <w:shd w:val="clear" w:color="auto" w:fill="FFFFFF"/>
        <w:spacing w:line="360" w:lineRule="auto"/>
        <w:ind w:left="1434" w:hanging="357"/>
        <w:contextualSpacing w:val="0"/>
        <w:jc w:val="both"/>
        <w:rPr>
          <w:rFonts w:cs="Tahoma"/>
          <w:bCs/>
          <w:szCs w:val="20"/>
        </w:rPr>
      </w:pPr>
      <w:r w:rsidRPr="00A71ED0">
        <w:rPr>
          <w:rFonts w:cs="Tahoma"/>
          <w:b/>
          <w:szCs w:val="20"/>
        </w:rPr>
        <w:t>Controllo in remoto</w:t>
      </w:r>
      <w:r w:rsidRPr="00A71ED0">
        <w:rPr>
          <w:rFonts w:cs="Tahoma"/>
          <w:bCs/>
          <w:szCs w:val="20"/>
        </w:rPr>
        <w:t>: si intendono sia le soluzioni di monitoraggio della macchine/impianto in anello aperto che le soluzioni di controllo in anello chiuso, sia in controllo digitale diretto che in supervisione, a condizione che ciò avvenga in remoto e non a bordo macchina.</w:t>
      </w:r>
    </w:p>
    <w:p w14:paraId="14220F89" w14:textId="77777777" w:rsidR="00A71ED0" w:rsidRDefault="00A71ED0" w:rsidP="00AE49EC">
      <w:pPr>
        <w:pStyle w:val="Paragrafoelenco"/>
        <w:numPr>
          <w:ilvl w:val="0"/>
          <w:numId w:val="22"/>
        </w:numPr>
        <w:shd w:val="clear" w:color="auto" w:fill="FFFFFF"/>
        <w:spacing w:line="360" w:lineRule="auto"/>
        <w:jc w:val="both"/>
        <w:rPr>
          <w:rFonts w:cs="Tahoma"/>
          <w:bCs/>
          <w:szCs w:val="20"/>
        </w:rPr>
      </w:pPr>
      <w:r w:rsidRPr="00A71ED0">
        <w:rPr>
          <w:rFonts w:cs="Tahoma"/>
          <w:b/>
          <w:szCs w:val="20"/>
        </w:rPr>
        <w:t>monitoraggio continuo delle condizioni di lavoro</w:t>
      </w:r>
      <w:r w:rsidRPr="00A71ED0">
        <w:rPr>
          <w:rFonts w:cs="Tahoma"/>
          <w:bCs/>
          <w:szCs w:val="20"/>
        </w:rPr>
        <w:t xml:space="preserve"> e dei parametri di processo mediante opportuni set di sensori e </w:t>
      </w:r>
      <w:proofErr w:type="spellStart"/>
      <w:r w:rsidRPr="00A71ED0">
        <w:rPr>
          <w:rFonts w:cs="Tahoma"/>
          <w:bCs/>
          <w:szCs w:val="20"/>
        </w:rPr>
        <w:t>adattività</w:t>
      </w:r>
      <w:proofErr w:type="spellEnd"/>
      <w:r w:rsidRPr="00A71ED0">
        <w:rPr>
          <w:rFonts w:cs="Tahoma"/>
          <w:bCs/>
          <w:szCs w:val="20"/>
        </w:rPr>
        <w:t xml:space="preserve"> alle derive di processo. Il</w:t>
      </w:r>
      <w:r>
        <w:rPr>
          <w:rFonts w:cs="Tahoma"/>
          <w:bCs/>
          <w:szCs w:val="20"/>
        </w:rPr>
        <w:t xml:space="preserve"> </w:t>
      </w:r>
      <w:r w:rsidRPr="00A71ED0">
        <w:rPr>
          <w:rFonts w:cs="Tahoma"/>
          <w:bCs/>
          <w:szCs w:val="20"/>
        </w:rPr>
        <w:t>monitoraggio si intende non esclusivamente finalizzato alla conduzione della macchina o impianto, ma anche al solo monitoraggio delle condizioni o dei parametri di processo e all’eventuale arresto del processo al manifestarsi di anomalie che ne impediscono lo svolgimento (es. grezzo errato o mancante);</w:t>
      </w:r>
    </w:p>
    <w:p w14:paraId="074A7B36" w14:textId="6DBE7913" w:rsidR="00A71ED0" w:rsidRPr="00A71ED0" w:rsidRDefault="00A71ED0" w:rsidP="00AE49EC">
      <w:pPr>
        <w:pStyle w:val="Paragrafoelenco"/>
        <w:numPr>
          <w:ilvl w:val="0"/>
          <w:numId w:val="22"/>
        </w:numPr>
        <w:shd w:val="clear" w:color="auto" w:fill="FFFFFF"/>
        <w:spacing w:line="360" w:lineRule="auto"/>
        <w:jc w:val="both"/>
        <w:rPr>
          <w:rFonts w:cs="Tahoma"/>
          <w:bCs/>
          <w:szCs w:val="20"/>
        </w:rPr>
      </w:pPr>
      <w:r w:rsidRPr="00A71ED0">
        <w:rPr>
          <w:rFonts w:cs="Tahoma"/>
          <w:bCs/>
          <w:szCs w:val="20"/>
        </w:rPr>
        <w:t xml:space="preserve">caratteristiche di </w:t>
      </w:r>
      <w:r w:rsidRPr="00A71ED0">
        <w:rPr>
          <w:rFonts w:cs="Tahoma"/>
          <w:b/>
          <w:szCs w:val="20"/>
        </w:rPr>
        <w:t>integrazione tra macchina fisica e/o impianto</w:t>
      </w:r>
      <w:r w:rsidRPr="00A71ED0">
        <w:rPr>
          <w:rFonts w:cs="Tahoma"/>
          <w:bCs/>
          <w:szCs w:val="20"/>
        </w:rPr>
        <w:t xml:space="preserve"> con la modellizzazione e/o la </w:t>
      </w:r>
      <w:r w:rsidRPr="00A71ED0">
        <w:rPr>
          <w:rFonts w:cs="Tahoma"/>
          <w:b/>
          <w:szCs w:val="20"/>
        </w:rPr>
        <w:t>simulazione del proprio comportamento nello svolgimento del processo</w:t>
      </w:r>
      <w:r w:rsidRPr="00A71ED0">
        <w:rPr>
          <w:rFonts w:cs="Tahoma"/>
          <w:bCs/>
          <w:szCs w:val="20"/>
        </w:rPr>
        <w:t xml:space="preserve"> (sistema </w:t>
      </w:r>
      <w:proofErr w:type="spellStart"/>
      <w:r w:rsidRPr="00A71ED0">
        <w:rPr>
          <w:rFonts w:cs="Tahoma"/>
          <w:bCs/>
          <w:szCs w:val="20"/>
        </w:rPr>
        <w:t>cyberfisico</w:t>
      </w:r>
      <w:proofErr w:type="spellEnd"/>
      <w:r w:rsidRPr="00A71ED0">
        <w:rPr>
          <w:rFonts w:cs="Tahoma"/>
          <w:bCs/>
          <w:szCs w:val="20"/>
        </w:rPr>
        <w:t>). Si fa riferimento al concetto del cosiddetto digital twin, ovvero della disponibilità di un modello virtuale o digitale del comportamento della macchina fisica o dell’impianto, sviluppato al fine di analizzarne il comportamento anche, ma non esclusivamente, con finalità predittive e di ottimizzazione del comportamento del processo stesso e dei parametri che lo caratterizzano. Sono inclusi modelli o simulazioni residenti sia su macchina che off-line come</w:t>
      </w:r>
      <w:r>
        <w:rPr>
          <w:rFonts w:cs="Tahoma"/>
          <w:bCs/>
          <w:szCs w:val="20"/>
        </w:rPr>
        <w:t>,</w:t>
      </w:r>
      <w:r w:rsidRPr="00A71ED0">
        <w:rPr>
          <w:rFonts w:cs="Tahoma"/>
          <w:bCs/>
          <w:szCs w:val="20"/>
        </w:rPr>
        <w:t xml:space="preserve"> ad esempio</w:t>
      </w:r>
      <w:r>
        <w:rPr>
          <w:rFonts w:cs="Tahoma"/>
          <w:bCs/>
          <w:szCs w:val="20"/>
        </w:rPr>
        <w:t>,</w:t>
      </w:r>
      <w:r w:rsidRPr="00A71ED0">
        <w:rPr>
          <w:rFonts w:cs="Tahoma"/>
          <w:bCs/>
          <w:szCs w:val="20"/>
        </w:rPr>
        <w:t xml:space="preserve"> i modelli generati tramite tecniche di machine learning</w:t>
      </w:r>
      <w:r>
        <w:rPr>
          <w:rFonts w:cs="Tahoma"/>
          <w:bCs/>
          <w:szCs w:val="20"/>
        </w:rPr>
        <w:t>.</w:t>
      </w:r>
    </w:p>
    <w:p w14:paraId="58D439E0" w14:textId="77777777" w:rsidR="000D3E09" w:rsidRDefault="000D3E09" w:rsidP="009249CD">
      <w:pPr>
        <w:pStyle w:val="Titolo3"/>
      </w:pPr>
    </w:p>
    <w:p w14:paraId="5E475002" w14:textId="61CB8C5A" w:rsidR="006B5DF7" w:rsidRPr="006B5DF7" w:rsidRDefault="006B5DF7" w:rsidP="009249CD">
      <w:pPr>
        <w:pStyle w:val="Titolo3"/>
      </w:pPr>
      <w:bookmarkStart w:id="28" w:name="_Toc93327710"/>
      <w:r>
        <w:t>3</w:t>
      </w:r>
      <w:r w:rsidRPr="009249CD">
        <w:t>.</w:t>
      </w:r>
      <w:r w:rsidR="009249CD">
        <w:t>3.2</w:t>
      </w:r>
      <w:r w:rsidRPr="009249CD">
        <w:t xml:space="preserve"> Sistemi per l’assicurazione della qualità e della sostenibilità</w:t>
      </w:r>
      <w:bookmarkEnd w:id="28"/>
    </w:p>
    <w:p w14:paraId="36818FBB" w14:textId="2373C18B" w:rsidR="00A71ED0" w:rsidRDefault="00A71ED0" w:rsidP="006B5DF7">
      <w:pPr>
        <w:shd w:val="clear" w:color="auto" w:fill="FFFFFF"/>
        <w:spacing w:line="360" w:lineRule="auto"/>
        <w:jc w:val="both"/>
      </w:pPr>
      <w:r>
        <w:t xml:space="preserve">Di seguito sono riportati i sistemi oggetto del credito d’imposta con una </w:t>
      </w:r>
      <w:r w:rsidRPr="00AB7BD7">
        <w:rPr>
          <w:b/>
          <w:bCs/>
        </w:rPr>
        <w:t>serie di esempi</w:t>
      </w:r>
      <w:r>
        <w:t xml:space="preserve"> e </w:t>
      </w:r>
      <w:r w:rsidRPr="00AB7BD7">
        <w:rPr>
          <w:b/>
          <w:bCs/>
        </w:rPr>
        <w:t>spiegazioni</w:t>
      </w:r>
      <w:r>
        <w:t xml:space="preserve"> a supporto dell’interpretazione.</w:t>
      </w:r>
    </w:p>
    <w:p w14:paraId="3D391770" w14:textId="4753A5B2" w:rsidR="00D836B4" w:rsidRDefault="00A71ED0" w:rsidP="006B5DF7">
      <w:pPr>
        <w:shd w:val="clear" w:color="auto" w:fill="FFFFFF"/>
        <w:spacing w:line="360" w:lineRule="auto"/>
        <w:jc w:val="both"/>
      </w:pPr>
      <w:r>
        <w:lastRenderedPageBreak/>
        <w:t>Esempi delle voci previste dalla relativa voce dell’allegato A, articolo 1 comma 9 della legge di bilancio sono:</w:t>
      </w:r>
    </w:p>
    <w:p w14:paraId="26FCD5F6" w14:textId="77777777" w:rsidR="00AB7BD7" w:rsidRDefault="00AB7BD7" w:rsidP="00AE49EC">
      <w:pPr>
        <w:pStyle w:val="Paragrafoelenco"/>
        <w:numPr>
          <w:ilvl w:val="0"/>
          <w:numId w:val="46"/>
        </w:numPr>
        <w:shd w:val="clear" w:color="auto" w:fill="FFFFFF"/>
        <w:spacing w:line="360" w:lineRule="auto"/>
        <w:jc w:val="both"/>
        <w:rPr>
          <w:rFonts w:cs="Tahoma"/>
          <w:bCs/>
          <w:szCs w:val="20"/>
        </w:rPr>
      </w:pPr>
      <w:r w:rsidRPr="00AB7BD7">
        <w:rPr>
          <w:rFonts w:cs="Tahoma"/>
          <w:b/>
          <w:szCs w:val="20"/>
        </w:rPr>
        <w:t>sistemi di misura a coordinate e no</w:t>
      </w:r>
      <w:r w:rsidRPr="00AB7BD7">
        <w:rPr>
          <w:rFonts w:cs="Tahoma"/>
          <w:bCs/>
          <w:szCs w:val="20"/>
        </w:rPr>
        <w:t xml:space="preserve"> (a contatto, non a contatto, sistemi ibridi, multi-sensore o basati su tomografia computerizzata tridimensionale) e relativa </w:t>
      </w:r>
      <w:r w:rsidRPr="00AB7BD7">
        <w:rPr>
          <w:rFonts w:cs="Tahoma"/>
          <w:b/>
          <w:szCs w:val="20"/>
        </w:rPr>
        <w:t>strumentazione per la verifica dei requisiti micro e macro geometrici di prodotto</w:t>
      </w:r>
      <w:r w:rsidRPr="00AB7BD7">
        <w:rPr>
          <w:rFonts w:cs="Tahoma"/>
          <w:bCs/>
          <w:szCs w:val="20"/>
        </w:rPr>
        <w:t xml:space="preserve"> per qualunque livello di scala dimensionale (dalla larga scala alla scala micro-metrica o nano-metrica) al fine di assicurare e tracciare la qualità del prodotto e che consentono di qualificare i processi di produzione in maniera documentabile e</w:t>
      </w:r>
      <w:r>
        <w:rPr>
          <w:rFonts w:cs="Tahoma"/>
          <w:bCs/>
          <w:szCs w:val="20"/>
        </w:rPr>
        <w:t xml:space="preserve"> </w:t>
      </w:r>
      <w:r w:rsidRPr="00AB7BD7">
        <w:rPr>
          <w:rFonts w:cs="Tahoma"/>
          <w:bCs/>
          <w:szCs w:val="20"/>
        </w:rPr>
        <w:t>connessa al sistema informativo di fabbrica.</w:t>
      </w:r>
    </w:p>
    <w:p w14:paraId="769F8EEB" w14:textId="75106967" w:rsidR="00AB7BD7" w:rsidRPr="00AB7BD7" w:rsidRDefault="00AB7BD7" w:rsidP="00AB7BD7">
      <w:pPr>
        <w:pStyle w:val="Paragrafoelenco"/>
        <w:shd w:val="clear" w:color="auto" w:fill="FFFFFF"/>
        <w:spacing w:line="360" w:lineRule="auto"/>
        <w:jc w:val="both"/>
        <w:rPr>
          <w:rFonts w:cs="Tahoma"/>
          <w:bCs/>
          <w:szCs w:val="20"/>
        </w:rPr>
      </w:pPr>
      <w:r w:rsidRPr="00AB7BD7">
        <w:rPr>
          <w:rFonts w:cs="Tahoma"/>
          <w:b/>
          <w:szCs w:val="20"/>
        </w:rPr>
        <w:t>Esempi</w:t>
      </w:r>
      <w:r>
        <w:rPr>
          <w:rFonts w:cs="Tahoma"/>
          <w:bCs/>
          <w:szCs w:val="20"/>
        </w:rPr>
        <w:t>: rientrano</w:t>
      </w:r>
      <w:r w:rsidRPr="00AB7BD7">
        <w:rPr>
          <w:rFonts w:cs="Tahoma"/>
          <w:bCs/>
          <w:szCs w:val="20"/>
        </w:rPr>
        <w:t xml:space="preserve"> le Coordinate </w:t>
      </w:r>
      <w:proofErr w:type="spellStart"/>
      <w:r w:rsidRPr="00AB7BD7">
        <w:rPr>
          <w:rFonts w:cs="Tahoma"/>
          <w:bCs/>
          <w:szCs w:val="20"/>
        </w:rPr>
        <w:t>Measuring</w:t>
      </w:r>
      <w:proofErr w:type="spellEnd"/>
      <w:r w:rsidRPr="00AB7BD7">
        <w:rPr>
          <w:rFonts w:cs="Tahoma"/>
          <w:bCs/>
          <w:szCs w:val="20"/>
        </w:rPr>
        <w:t xml:space="preserve"> Machine (CMM) utilizzate per l’ispezione geometrica, dimensionale e per l’identificazione di geometrie incognite.</w:t>
      </w:r>
    </w:p>
    <w:p w14:paraId="72E7F793" w14:textId="77777777" w:rsidR="00AB7BD7" w:rsidRDefault="00AB7BD7" w:rsidP="00AE49EC">
      <w:pPr>
        <w:pStyle w:val="Paragrafoelenco"/>
        <w:numPr>
          <w:ilvl w:val="0"/>
          <w:numId w:val="46"/>
        </w:numPr>
        <w:shd w:val="clear" w:color="auto" w:fill="FFFFFF"/>
        <w:spacing w:line="360" w:lineRule="auto"/>
        <w:jc w:val="both"/>
        <w:rPr>
          <w:rFonts w:cs="Tahoma"/>
          <w:bCs/>
          <w:szCs w:val="20"/>
        </w:rPr>
      </w:pPr>
      <w:r w:rsidRPr="00AB7BD7">
        <w:rPr>
          <w:rFonts w:cs="Tahoma"/>
          <w:b/>
          <w:szCs w:val="20"/>
        </w:rPr>
        <w:t xml:space="preserve">altri sistemi di monitoraggio in </w:t>
      </w:r>
      <w:proofErr w:type="spellStart"/>
      <w:r w:rsidRPr="00AB7BD7">
        <w:rPr>
          <w:rFonts w:cs="Tahoma"/>
          <w:b/>
          <w:szCs w:val="20"/>
        </w:rPr>
        <w:t>process</w:t>
      </w:r>
      <w:proofErr w:type="spellEnd"/>
      <w:r w:rsidRPr="00AB7BD7">
        <w:rPr>
          <w:rFonts w:cs="Tahoma"/>
          <w:bCs/>
          <w:szCs w:val="20"/>
        </w:rPr>
        <w:t xml:space="preserve"> per assicurare e tracciare la qualità del prodotto o del processo produttivo e che consentono di qualificare i processi di produzione in maniera documentabile e connessa al sistema informativo di fabbrica, diretta o indiretta.</w:t>
      </w:r>
    </w:p>
    <w:p w14:paraId="16D974F8" w14:textId="58ACCE3E" w:rsidR="00AB7BD7" w:rsidRDefault="00AB7BD7" w:rsidP="00AB7BD7">
      <w:pPr>
        <w:pStyle w:val="Paragrafoelenco"/>
        <w:shd w:val="clear" w:color="auto" w:fill="FFFFFF"/>
        <w:spacing w:line="360" w:lineRule="auto"/>
        <w:jc w:val="both"/>
        <w:rPr>
          <w:rFonts w:cs="Tahoma"/>
          <w:bCs/>
          <w:szCs w:val="20"/>
        </w:rPr>
      </w:pPr>
      <w:r w:rsidRPr="00AB7BD7">
        <w:rPr>
          <w:rFonts w:cs="Tahoma"/>
          <w:b/>
          <w:szCs w:val="20"/>
        </w:rPr>
        <w:t>Esempi</w:t>
      </w:r>
      <w:r>
        <w:rPr>
          <w:rFonts w:cs="Tahoma"/>
          <w:bCs/>
          <w:szCs w:val="20"/>
        </w:rPr>
        <w:t>:</w:t>
      </w:r>
      <w:r w:rsidRPr="00AB7BD7">
        <w:rPr>
          <w:rFonts w:cs="Tahoma"/>
          <w:bCs/>
          <w:szCs w:val="20"/>
        </w:rPr>
        <w:t xml:space="preserve"> sistemi per il controllo di processo, il monitoraggio delle emissioni, delle vibrazioni, della temperatura e i sistemi per il controllo della forza e della potenza, i test di prodotto durante la fase di giunzione e assemblaggio industriale, le bilance di controllo peso, telecamere di controllo riempimento, stazioni di testing, validazione, collaudo e calibratura, ecc.;</w:t>
      </w:r>
    </w:p>
    <w:tbl>
      <w:tblPr>
        <w:tblStyle w:val="Grigliatabella"/>
        <w:tblW w:w="0" w:type="auto"/>
        <w:shd w:val="clear" w:color="auto" w:fill="DBE5F1" w:themeFill="accent1" w:themeFillTint="33"/>
        <w:tblCellMar>
          <w:top w:w="108" w:type="dxa"/>
        </w:tblCellMar>
        <w:tblLook w:val="04A0" w:firstRow="1" w:lastRow="0" w:firstColumn="1" w:lastColumn="0" w:noHBand="0" w:noVBand="1"/>
      </w:tblPr>
      <w:tblGrid>
        <w:gridCol w:w="9628"/>
      </w:tblGrid>
      <w:tr w:rsidR="00A63E62" w:rsidRPr="009B5EB4" w14:paraId="5A89E464" w14:textId="77777777" w:rsidTr="007F356B">
        <w:tc>
          <w:tcPr>
            <w:tcW w:w="9628" w:type="dxa"/>
            <w:shd w:val="clear" w:color="auto" w:fill="DBE5F1" w:themeFill="accent1" w:themeFillTint="33"/>
          </w:tcPr>
          <w:p w14:paraId="2095962A" w14:textId="77777777" w:rsidR="00A63E62" w:rsidRPr="007F356B" w:rsidRDefault="00A63E62" w:rsidP="00CF5165">
            <w:pPr>
              <w:spacing w:line="360" w:lineRule="auto"/>
              <w:jc w:val="both"/>
              <w:rPr>
                <w:color w:val="000000" w:themeColor="text1"/>
              </w:rPr>
            </w:pPr>
            <w:r w:rsidRPr="007F356B">
              <w:rPr>
                <w:b/>
                <w:bCs/>
                <w:color w:val="000000" w:themeColor="text1"/>
              </w:rPr>
              <w:t>FAQ Mise 12 luglio 2017</w:t>
            </w:r>
            <w:r w:rsidRPr="007F356B">
              <w:rPr>
                <w:color w:val="000000" w:themeColor="text1"/>
              </w:rPr>
              <w:t xml:space="preserve"> Domanda: Si chiede se un’azienda che opera esclusivamente nell’ambito dei </w:t>
            </w:r>
            <w:r w:rsidRPr="007F356B">
              <w:rPr>
                <w:b/>
                <w:bCs/>
                <w:color w:val="000000" w:themeColor="text1"/>
              </w:rPr>
              <w:t>servizi alle imprese</w:t>
            </w:r>
            <w:r w:rsidRPr="007F356B">
              <w:rPr>
                <w:color w:val="000000" w:themeColor="text1"/>
              </w:rPr>
              <w:t xml:space="preserve"> è ammissibile all’agevolazione…per la realizzazione di “</w:t>
            </w:r>
            <w:r w:rsidRPr="007F356B">
              <w:rPr>
                <w:b/>
                <w:bCs/>
                <w:color w:val="000000" w:themeColor="text1"/>
              </w:rPr>
              <w:t>sistemi per l’assicurazione della qualità</w:t>
            </w:r>
            <w:r w:rsidRPr="007F356B">
              <w:rPr>
                <w:color w:val="000000" w:themeColor="text1"/>
              </w:rPr>
              <w:t xml:space="preserve">” e, in particolare, per un investimento in sistemi di monitoraggio in </w:t>
            </w:r>
            <w:proofErr w:type="spellStart"/>
            <w:r w:rsidRPr="007F356B">
              <w:rPr>
                <w:color w:val="000000" w:themeColor="text1"/>
              </w:rPr>
              <w:t>process</w:t>
            </w:r>
            <w:proofErr w:type="spellEnd"/>
            <w:r w:rsidRPr="007F356B">
              <w:rPr>
                <w:color w:val="000000" w:themeColor="text1"/>
              </w:rPr>
              <w:t xml:space="preserve"> per </w:t>
            </w:r>
            <w:r w:rsidRPr="007F356B">
              <w:rPr>
                <w:b/>
                <w:bCs/>
                <w:color w:val="000000" w:themeColor="text1"/>
              </w:rPr>
              <w:t>assicurare e tracciare la qualità del Servizio Erogato</w:t>
            </w:r>
            <w:r w:rsidRPr="007F356B">
              <w:rPr>
                <w:color w:val="000000" w:themeColor="text1"/>
              </w:rPr>
              <w:t xml:space="preserve"> e dell’intero processo produttivo del servizio (non solo del processo produttivo in senso stretto o del solo prodotto) e che consente di </w:t>
            </w:r>
            <w:r w:rsidRPr="007F356B">
              <w:rPr>
                <w:b/>
                <w:bCs/>
                <w:color w:val="000000" w:themeColor="text1"/>
              </w:rPr>
              <w:t>qualificare i processi di produzione del servizio</w:t>
            </w:r>
            <w:r w:rsidRPr="007F356B">
              <w:rPr>
                <w:color w:val="000000" w:themeColor="text1"/>
              </w:rPr>
              <w:t xml:space="preserve"> (e </w:t>
            </w:r>
            <w:r w:rsidRPr="007F356B">
              <w:rPr>
                <w:b/>
                <w:bCs/>
                <w:color w:val="000000" w:themeColor="text1"/>
              </w:rPr>
              <w:t>non solo del processi di produzione in senso stretto</w:t>
            </w:r>
            <w:r w:rsidRPr="007F356B">
              <w:rPr>
                <w:color w:val="000000" w:themeColor="text1"/>
              </w:rPr>
              <w:t xml:space="preserve"> o del solo prodotto) in maniera documentale e connessa al sistema informativo aziendale (e non solo di fabbrica).</w:t>
            </w:r>
          </w:p>
          <w:p w14:paraId="25AE8248" w14:textId="77777777" w:rsidR="00A63E62" w:rsidRPr="007F356B" w:rsidRDefault="00A63E62" w:rsidP="00CF5165">
            <w:pPr>
              <w:spacing w:line="360" w:lineRule="auto"/>
              <w:jc w:val="both"/>
              <w:rPr>
                <w:color w:val="000000" w:themeColor="text1"/>
              </w:rPr>
            </w:pPr>
            <w:r w:rsidRPr="007F356B">
              <w:rPr>
                <w:color w:val="000000" w:themeColor="text1"/>
              </w:rPr>
              <w:t>Risposta: Tutti i beni, i sistemi e i dispositivi riconducibili all’allegato A della legge di Bilancio 2017 possono essere soggetti…</w:t>
            </w:r>
            <w:r w:rsidRPr="007F356B">
              <w:rPr>
                <w:b/>
                <w:bCs/>
                <w:color w:val="000000" w:themeColor="text1"/>
              </w:rPr>
              <w:t>a condizione che sia verificata l’interconnessione</w:t>
            </w:r>
            <w:r w:rsidRPr="007F356B">
              <w:rPr>
                <w:color w:val="000000" w:themeColor="text1"/>
              </w:rPr>
              <w:t xml:space="preserve"> e che il soggetto che realizza l’investimento sia titolare di reddito d’impresa, indipendentemente dalla natura giuridica, dalla dimensione aziendale, dal settore economico in cui opera e in cui effettua l’investimento.</w:t>
            </w:r>
          </w:p>
          <w:p w14:paraId="32C8C066" w14:textId="77777777" w:rsidR="00A63E62" w:rsidRPr="009B5EB4" w:rsidRDefault="00A63E62" w:rsidP="00CF5165">
            <w:pPr>
              <w:spacing w:line="360" w:lineRule="auto"/>
              <w:jc w:val="both"/>
              <w:rPr>
                <w:color w:val="FF0000"/>
              </w:rPr>
            </w:pPr>
            <w:r w:rsidRPr="007F356B">
              <w:rPr>
                <w:color w:val="000000" w:themeColor="text1"/>
              </w:rPr>
              <w:t xml:space="preserve">Con riferimento specifico all’istanza, si precisa che i sistemi di monitoraggio in </w:t>
            </w:r>
            <w:proofErr w:type="spellStart"/>
            <w:r w:rsidRPr="007F356B">
              <w:rPr>
                <w:color w:val="000000" w:themeColor="text1"/>
              </w:rPr>
              <w:t>process</w:t>
            </w:r>
            <w:proofErr w:type="spellEnd"/>
            <w:r w:rsidRPr="007F356B">
              <w:rPr>
                <w:color w:val="000000" w:themeColor="text1"/>
              </w:rPr>
              <w:t xml:space="preserve"> di cui al punto due dell’elencazione del “Sistema dell’Assicurazione della Qualità e Sostenibilità” dell’allegato A della Legge n. 232 del 2016, </w:t>
            </w:r>
            <w:r w:rsidRPr="007F356B">
              <w:rPr>
                <w:b/>
                <w:bCs/>
                <w:color w:val="000000" w:themeColor="text1"/>
              </w:rPr>
              <w:t>possono essere riferiti non solo al “Prodotto - Processo Produttivo - Fabbrica” ma anche al “Servizio - Processo di Produzione del Servizio - Azienda”</w:t>
            </w:r>
            <w:r w:rsidRPr="007F356B">
              <w:rPr>
                <w:color w:val="000000" w:themeColor="text1"/>
              </w:rPr>
              <w:t>.</w:t>
            </w:r>
          </w:p>
        </w:tc>
      </w:tr>
    </w:tbl>
    <w:p w14:paraId="78710826" w14:textId="77777777" w:rsidR="00A63E62" w:rsidRPr="00A63E62" w:rsidRDefault="00A63E62" w:rsidP="00A63E62">
      <w:pPr>
        <w:shd w:val="clear" w:color="auto" w:fill="FFFFFF"/>
        <w:spacing w:line="360" w:lineRule="auto"/>
        <w:jc w:val="both"/>
        <w:rPr>
          <w:rFonts w:cs="Tahoma"/>
          <w:bCs/>
          <w:szCs w:val="20"/>
        </w:rPr>
      </w:pPr>
    </w:p>
    <w:p w14:paraId="7EC019AC" w14:textId="448D1A12" w:rsidR="00AB7BD7" w:rsidRDefault="00AB7BD7" w:rsidP="00AE49EC">
      <w:pPr>
        <w:pStyle w:val="Paragrafoelenco"/>
        <w:numPr>
          <w:ilvl w:val="0"/>
          <w:numId w:val="46"/>
        </w:numPr>
        <w:shd w:val="clear" w:color="auto" w:fill="FFFFFF"/>
        <w:spacing w:line="360" w:lineRule="auto"/>
        <w:jc w:val="both"/>
        <w:rPr>
          <w:rFonts w:cs="Tahoma"/>
          <w:bCs/>
          <w:szCs w:val="20"/>
        </w:rPr>
      </w:pPr>
      <w:r w:rsidRPr="00AB7BD7">
        <w:rPr>
          <w:rFonts w:cs="Tahoma"/>
          <w:b/>
          <w:szCs w:val="20"/>
        </w:rPr>
        <w:lastRenderedPageBreak/>
        <w:t>sistemi per l’ispezione</w:t>
      </w:r>
      <w:r w:rsidRPr="00AB7BD7">
        <w:rPr>
          <w:rFonts w:cs="Tahoma"/>
          <w:bCs/>
          <w:szCs w:val="20"/>
        </w:rPr>
        <w:t xml:space="preserve"> e la </w:t>
      </w:r>
      <w:r w:rsidRPr="00AB7BD7">
        <w:rPr>
          <w:rFonts w:cs="Tahoma"/>
          <w:b/>
          <w:szCs w:val="20"/>
        </w:rPr>
        <w:t>caratterizzazione dei materiali</w:t>
      </w:r>
      <w:r w:rsidRPr="00AB7BD7">
        <w:rPr>
          <w:rFonts w:cs="Tahoma"/>
          <w:bCs/>
          <w:szCs w:val="20"/>
        </w:rPr>
        <w:t xml:space="preserve"> (ad esempio </w:t>
      </w:r>
      <w:r w:rsidRPr="00A32335">
        <w:rPr>
          <w:rFonts w:cs="Tahoma"/>
          <w:b/>
          <w:szCs w:val="20"/>
        </w:rPr>
        <w:t>macchine di prova</w:t>
      </w:r>
      <w:r w:rsidRPr="00AB7BD7">
        <w:rPr>
          <w:rFonts w:cs="Tahoma"/>
          <w:bCs/>
          <w:szCs w:val="20"/>
        </w:rPr>
        <w:t xml:space="preserve"> materiali, </w:t>
      </w:r>
      <w:r w:rsidRPr="00A32335">
        <w:rPr>
          <w:rFonts w:cs="Tahoma"/>
          <w:b/>
          <w:szCs w:val="20"/>
        </w:rPr>
        <w:t>macchine per il collaudo</w:t>
      </w:r>
      <w:r w:rsidRPr="00AB7BD7">
        <w:rPr>
          <w:rFonts w:cs="Tahoma"/>
          <w:bCs/>
          <w:szCs w:val="20"/>
        </w:rPr>
        <w:t xml:space="preserve"> dei prodotti realizzati, sistemi per prove o collaudi non distruttivi, tomografia) in grado di verificare le caratteristiche dei materiali in ingresso o in uscita al processo e che vanno a costituire il prodotto risultante a livello macro (ad esempio caratteristiche meccaniche) o micro (ad esempio porosità, inclusioni) e di generare opportuni report di collaudo da inserire nel sistema informativo aziendale;</w:t>
      </w:r>
    </w:p>
    <w:p w14:paraId="4FA1A7D6" w14:textId="77777777" w:rsidR="00A32335" w:rsidRDefault="00A32335" w:rsidP="00AE49EC">
      <w:pPr>
        <w:pStyle w:val="Paragrafoelenco"/>
        <w:numPr>
          <w:ilvl w:val="0"/>
          <w:numId w:val="46"/>
        </w:numPr>
        <w:shd w:val="clear" w:color="auto" w:fill="FFFFFF"/>
        <w:spacing w:line="360" w:lineRule="auto"/>
        <w:jc w:val="both"/>
        <w:rPr>
          <w:rFonts w:cs="Tahoma"/>
          <w:bCs/>
          <w:szCs w:val="20"/>
        </w:rPr>
      </w:pPr>
      <w:r w:rsidRPr="00A32335">
        <w:rPr>
          <w:rFonts w:cs="Tahoma"/>
          <w:b/>
          <w:szCs w:val="20"/>
        </w:rPr>
        <w:t>dispositivi intelligenti per il test</w:t>
      </w:r>
      <w:r w:rsidRPr="00A32335">
        <w:rPr>
          <w:rFonts w:cs="Tahoma"/>
          <w:bCs/>
          <w:szCs w:val="20"/>
        </w:rPr>
        <w:t xml:space="preserve"> </w:t>
      </w:r>
      <w:r w:rsidRPr="00A32335">
        <w:rPr>
          <w:rFonts w:cs="Tahoma"/>
          <w:b/>
          <w:szCs w:val="20"/>
        </w:rPr>
        <w:t>delle polveri metalliche</w:t>
      </w:r>
      <w:r w:rsidRPr="00A32335">
        <w:rPr>
          <w:rFonts w:cs="Tahoma"/>
          <w:bCs/>
          <w:szCs w:val="20"/>
        </w:rPr>
        <w:t xml:space="preserve"> e sistemi di monitoraggio in continuo che consentono di qualificare i processi di produzione mediante tecnologie additive.</w:t>
      </w:r>
    </w:p>
    <w:p w14:paraId="55918846" w14:textId="77777777" w:rsidR="00A32335" w:rsidRDefault="00A32335" w:rsidP="00A32335">
      <w:pPr>
        <w:pStyle w:val="Paragrafoelenco"/>
        <w:shd w:val="clear" w:color="auto" w:fill="FFFFFF"/>
        <w:spacing w:line="360" w:lineRule="auto"/>
        <w:jc w:val="both"/>
        <w:rPr>
          <w:rFonts w:cs="Tahoma"/>
          <w:bCs/>
          <w:szCs w:val="20"/>
        </w:rPr>
      </w:pPr>
      <w:r w:rsidRPr="00A32335">
        <w:rPr>
          <w:rFonts w:cs="Tahoma"/>
          <w:b/>
          <w:szCs w:val="20"/>
        </w:rPr>
        <w:t>Esempi</w:t>
      </w:r>
      <w:r>
        <w:rPr>
          <w:rFonts w:cs="Tahoma"/>
          <w:bCs/>
          <w:szCs w:val="20"/>
        </w:rPr>
        <w:t>:</w:t>
      </w:r>
      <w:r w:rsidRPr="00A32335">
        <w:rPr>
          <w:rFonts w:cs="Tahoma"/>
          <w:bCs/>
          <w:szCs w:val="20"/>
        </w:rPr>
        <w:t xml:space="preserve"> sistemi utilizzati per il supporto tecnico, l’analisi e l’ispezione in termini di composizione, granulometria, </w:t>
      </w:r>
      <w:proofErr w:type="spellStart"/>
      <w:r w:rsidRPr="00A32335">
        <w:rPr>
          <w:rFonts w:cs="Tahoma"/>
          <w:bCs/>
          <w:szCs w:val="20"/>
        </w:rPr>
        <w:t>flussometria</w:t>
      </w:r>
      <w:proofErr w:type="spellEnd"/>
      <w:r w:rsidRPr="00A32335">
        <w:rPr>
          <w:rFonts w:cs="Tahoma"/>
          <w:bCs/>
          <w:szCs w:val="20"/>
        </w:rPr>
        <w:t>, conservazione, e l’omogeneità delle polveri;</w:t>
      </w:r>
    </w:p>
    <w:p w14:paraId="3AA9D154" w14:textId="30314BB0" w:rsidR="00A32335" w:rsidRPr="00A32335" w:rsidRDefault="00A32335" w:rsidP="00AE49EC">
      <w:pPr>
        <w:pStyle w:val="Paragrafoelenco"/>
        <w:numPr>
          <w:ilvl w:val="0"/>
          <w:numId w:val="46"/>
        </w:numPr>
        <w:shd w:val="clear" w:color="auto" w:fill="FFFFFF"/>
        <w:spacing w:line="360" w:lineRule="auto"/>
        <w:jc w:val="both"/>
        <w:rPr>
          <w:rFonts w:cs="Tahoma"/>
          <w:bCs/>
          <w:szCs w:val="20"/>
        </w:rPr>
      </w:pPr>
      <w:r w:rsidRPr="00A32335">
        <w:rPr>
          <w:b/>
          <w:bCs/>
        </w:rPr>
        <w:t>sistemi intelligenti</w:t>
      </w:r>
      <w:r>
        <w:t xml:space="preserve"> e </w:t>
      </w:r>
      <w:r w:rsidRPr="00A32335">
        <w:rPr>
          <w:b/>
          <w:bCs/>
        </w:rPr>
        <w:t>connessi di marcatura</w:t>
      </w:r>
      <w:r>
        <w:t xml:space="preserve"> e </w:t>
      </w:r>
      <w:r w:rsidRPr="00A32335">
        <w:rPr>
          <w:b/>
          <w:bCs/>
        </w:rPr>
        <w:t>tracciabilità dei lotti produttivi</w:t>
      </w:r>
      <w:r>
        <w:t xml:space="preserve"> e/o dei singoli prodotti (ad </w:t>
      </w:r>
      <w:r w:rsidRPr="00A32335">
        <w:rPr>
          <w:b/>
          <w:bCs/>
        </w:rPr>
        <w:t>esempio RFID</w:t>
      </w:r>
      <w:r>
        <w:t xml:space="preserve"> – Radio Frequency </w:t>
      </w:r>
      <w:proofErr w:type="spellStart"/>
      <w:r>
        <w:t>Identification</w:t>
      </w:r>
      <w:proofErr w:type="spellEnd"/>
      <w:r>
        <w:t xml:space="preserve">). In questo senso possono rientrare </w:t>
      </w:r>
      <w:r w:rsidRPr="00A32335">
        <w:rPr>
          <w:b/>
          <w:bCs/>
        </w:rPr>
        <w:t>anche altre tecnologie quali Bar Code Reader</w:t>
      </w:r>
      <w:r>
        <w:t>, Pistole, Sistemi di riconoscimento etichette su trans-pallet, dispositivi IoT, sistemi di geolocalizzazione inbound/</w:t>
      </w:r>
      <w:proofErr w:type="spellStart"/>
      <w:r>
        <w:t>outbound</w:t>
      </w:r>
      <w:proofErr w:type="spellEnd"/>
      <w:r>
        <w:t>;</w:t>
      </w:r>
    </w:p>
    <w:p w14:paraId="0019796E" w14:textId="77777777" w:rsidR="00A32335" w:rsidRDefault="00A32335" w:rsidP="00AE49EC">
      <w:pPr>
        <w:pStyle w:val="Paragrafoelenco"/>
        <w:numPr>
          <w:ilvl w:val="0"/>
          <w:numId w:val="46"/>
        </w:numPr>
        <w:shd w:val="clear" w:color="auto" w:fill="FFFFFF"/>
        <w:spacing w:line="360" w:lineRule="auto"/>
        <w:jc w:val="both"/>
        <w:rPr>
          <w:rFonts w:cs="Tahoma"/>
          <w:bCs/>
          <w:szCs w:val="20"/>
        </w:rPr>
      </w:pPr>
      <w:r w:rsidRPr="00A32335">
        <w:rPr>
          <w:rFonts w:cs="Tahoma"/>
          <w:b/>
          <w:szCs w:val="20"/>
        </w:rPr>
        <w:t>sistemi di monitoraggio</w:t>
      </w:r>
      <w:r w:rsidRPr="00A32335">
        <w:rPr>
          <w:rFonts w:cs="Tahoma"/>
          <w:bCs/>
          <w:szCs w:val="20"/>
        </w:rPr>
        <w:t xml:space="preserve"> e </w:t>
      </w:r>
      <w:r w:rsidRPr="00A32335">
        <w:rPr>
          <w:rFonts w:cs="Tahoma"/>
          <w:b/>
          <w:szCs w:val="20"/>
        </w:rPr>
        <w:t>controllo delle condizioni di lavoro delle macchine</w:t>
      </w:r>
      <w:r w:rsidRPr="00A32335">
        <w:rPr>
          <w:rFonts w:cs="Tahoma"/>
          <w:bCs/>
          <w:szCs w:val="20"/>
        </w:rPr>
        <w:t xml:space="preserve"> (ad esempio forze, coppia e potenza di lavorazione; usura tridimensionale degli utensili a bordo macchina; stato di componenti o sotto-insiemi delle macchine) e dei sistemi di produzione interfacciati con i sistemi informativi di fabbrica e/o con soluzioni cloud.</w:t>
      </w:r>
    </w:p>
    <w:p w14:paraId="6E316FC8" w14:textId="0EF84A4E" w:rsidR="00A32335" w:rsidRDefault="00A32335" w:rsidP="00A32335">
      <w:pPr>
        <w:pStyle w:val="Paragrafoelenco"/>
        <w:shd w:val="clear" w:color="auto" w:fill="FFFFFF"/>
        <w:spacing w:line="360" w:lineRule="auto"/>
        <w:jc w:val="both"/>
        <w:rPr>
          <w:rFonts w:cs="Tahoma"/>
          <w:bCs/>
          <w:szCs w:val="20"/>
        </w:rPr>
      </w:pPr>
      <w:r w:rsidRPr="00A32335">
        <w:rPr>
          <w:rFonts w:cs="Tahoma"/>
          <w:b/>
          <w:szCs w:val="20"/>
        </w:rPr>
        <w:t>Esempi</w:t>
      </w:r>
      <w:r>
        <w:rPr>
          <w:rFonts w:cs="Tahoma"/>
          <w:bCs/>
          <w:szCs w:val="20"/>
        </w:rPr>
        <w:t xml:space="preserve">: </w:t>
      </w:r>
      <w:r w:rsidRPr="00A32335">
        <w:rPr>
          <w:rFonts w:cs="Tahoma"/>
          <w:bCs/>
          <w:szCs w:val="20"/>
        </w:rPr>
        <w:t xml:space="preserve">sistemi dedicati alla </w:t>
      </w:r>
      <w:r w:rsidRPr="00A32335">
        <w:rPr>
          <w:rFonts w:cs="Tahoma"/>
          <w:b/>
          <w:szCs w:val="20"/>
        </w:rPr>
        <w:t>misura dell’utensile</w:t>
      </w:r>
      <w:r w:rsidRPr="00A32335">
        <w:rPr>
          <w:rFonts w:cs="Tahoma"/>
          <w:bCs/>
          <w:szCs w:val="20"/>
        </w:rPr>
        <w:t xml:space="preserve"> durante la truciolatura in termini di potenza, vibrazioni e sforzo e/o quelli dedicati al controllo geometrico dell’utensile post truciolatura;</w:t>
      </w:r>
    </w:p>
    <w:p w14:paraId="664745BC" w14:textId="7D8E8D36" w:rsidR="00A32335" w:rsidRDefault="00A32335" w:rsidP="00AE49EC">
      <w:pPr>
        <w:pStyle w:val="Paragrafoelenco"/>
        <w:numPr>
          <w:ilvl w:val="0"/>
          <w:numId w:val="46"/>
        </w:numPr>
        <w:shd w:val="clear" w:color="auto" w:fill="FFFFFF"/>
        <w:spacing w:line="360" w:lineRule="auto"/>
        <w:jc w:val="both"/>
        <w:rPr>
          <w:rFonts w:cs="Tahoma"/>
          <w:bCs/>
          <w:szCs w:val="20"/>
        </w:rPr>
      </w:pPr>
      <w:r w:rsidRPr="00A32335">
        <w:rPr>
          <w:rFonts w:cs="Tahoma"/>
          <w:b/>
          <w:szCs w:val="20"/>
        </w:rPr>
        <w:t>strumenti</w:t>
      </w:r>
      <w:r w:rsidRPr="00A32335">
        <w:rPr>
          <w:rFonts w:cs="Tahoma"/>
          <w:bCs/>
          <w:szCs w:val="20"/>
        </w:rPr>
        <w:t xml:space="preserve"> e </w:t>
      </w:r>
      <w:r w:rsidRPr="00A32335">
        <w:rPr>
          <w:rFonts w:cs="Tahoma"/>
          <w:b/>
          <w:szCs w:val="20"/>
        </w:rPr>
        <w:t>dispositivi per l’etichettatura</w:t>
      </w:r>
      <w:r w:rsidRPr="00A32335">
        <w:rPr>
          <w:rFonts w:cs="Tahoma"/>
          <w:bCs/>
          <w:szCs w:val="20"/>
        </w:rPr>
        <w:t>, l’</w:t>
      </w:r>
      <w:r w:rsidRPr="00297F21">
        <w:rPr>
          <w:rFonts w:cs="Tahoma"/>
          <w:b/>
          <w:szCs w:val="20"/>
        </w:rPr>
        <w:t>identificazione</w:t>
      </w:r>
      <w:r w:rsidRPr="00A32335">
        <w:rPr>
          <w:rFonts w:cs="Tahoma"/>
          <w:bCs/>
          <w:szCs w:val="20"/>
        </w:rPr>
        <w:t xml:space="preserve"> o la </w:t>
      </w:r>
      <w:r w:rsidRPr="00A32335">
        <w:rPr>
          <w:rFonts w:cs="Tahoma"/>
          <w:b/>
          <w:szCs w:val="20"/>
        </w:rPr>
        <w:t>marcatura automatica dei prodotti</w:t>
      </w:r>
      <w:r w:rsidRPr="00A32335">
        <w:rPr>
          <w:rFonts w:cs="Tahoma"/>
          <w:bCs/>
          <w:szCs w:val="20"/>
        </w:rPr>
        <w:t>, con collegamento con il codice e la matricola del prodotto stesso in modo da consentire ai manutentori di monitorare la costanza delle prestazioni dei prodotti nel tempo e di agire sul processo di progettazione dei futuri prodotti in maniera sinergica, consentendo il richiamo di prodotti difettosi o dannosi. Ne sono un esempio sistemi capaci di stampare e applicare l’etichetta sui prodotti in automatico e quindi senza l’intervento dell’operatore;</w:t>
      </w:r>
    </w:p>
    <w:p w14:paraId="60CC456E" w14:textId="44499C27" w:rsidR="00A32335" w:rsidRDefault="00E321C8" w:rsidP="00AE49EC">
      <w:pPr>
        <w:pStyle w:val="Paragrafoelenco"/>
        <w:numPr>
          <w:ilvl w:val="0"/>
          <w:numId w:val="46"/>
        </w:numPr>
        <w:shd w:val="clear" w:color="auto" w:fill="FFFFFF"/>
        <w:spacing w:line="360" w:lineRule="auto"/>
        <w:jc w:val="both"/>
        <w:rPr>
          <w:rFonts w:cs="Tahoma"/>
          <w:bCs/>
          <w:szCs w:val="20"/>
        </w:rPr>
      </w:pPr>
      <w:r w:rsidRPr="00E321C8">
        <w:rPr>
          <w:rFonts w:cs="Tahoma"/>
          <w:b/>
          <w:szCs w:val="20"/>
        </w:rPr>
        <w:t>componenti</w:t>
      </w:r>
      <w:r w:rsidRPr="00E321C8">
        <w:rPr>
          <w:rFonts w:cs="Tahoma"/>
          <w:bCs/>
          <w:szCs w:val="20"/>
        </w:rPr>
        <w:t xml:space="preserve">, </w:t>
      </w:r>
      <w:r w:rsidRPr="00E321C8">
        <w:rPr>
          <w:rFonts w:cs="Tahoma"/>
          <w:b/>
          <w:szCs w:val="20"/>
        </w:rPr>
        <w:t>sistemi</w:t>
      </w:r>
      <w:r w:rsidRPr="00E321C8">
        <w:rPr>
          <w:rFonts w:cs="Tahoma"/>
          <w:bCs/>
          <w:szCs w:val="20"/>
        </w:rPr>
        <w:t xml:space="preserve"> e </w:t>
      </w:r>
      <w:r w:rsidRPr="00E321C8">
        <w:rPr>
          <w:rFonts w:cs="Tahoma"/>
          <w:b/>
          <w:szCs w:val="20"/>
        </w:rPr>
        <w:t>soluzioni intelligenti per la gestione</w:t>
      </w:r>
      <w:r w:rsidRPr="00E321C8">
        <w:rPr>
          <w:rFonts w:cs="Tahoma"/>
          <w:bCs/>
          <w:szCs w:val="20"/>
        </w:rPr>
        <w:t xml:space="preserve">, l’utilizzo efficiente e il </w:t>
      </w:r>
      <w:r w:rsidRPr="00E321C8">
        <w:rPr>
          <w:rFonts w:cs="Tahoma"/>
          <w:b/>
          <w:szCs w:val="20"/>
        </w:rPr>
        <w:t>monitoraggio dei consumi energetici e idrici</w:t>
      </w:r>
      <w:r w:rsidRPr="00E321C8">
        <w:rPr>
          <w:rFonts w:cs="Tahoma"/>
          <w:bCs/>
          <w:szCs w:val="20"/>
        </w:rPr>
        <w:t xml:space="preserve"> e per la </w:t>
      </w:r>
      <w:r w:rsidRPr="00E321C8">
        <w:rPr>
          <w:rFonts w:cs="Tahoma"/>
          <w:b/>
          <w:szCs w:val="20"/>
        </w:rPr>
        <w:t>riduzione delle emissioni</w:t>
      </w:r>
      <w:r w:rsidRPr="00E321C8">
        <w:rPr>
          <w:rFonts w:cs="Tahoma"/>
          <w:bCs/>
          <w:szCs w:val="20"/>
        </w:rPr>
        <w:t xml:space="preserve">. Questa voce si riferisce a quelle soluzioni che interagiscono a livello di macchine e componenti del sistema produttivo e basate sulla combinazione di sensori, sistemi di controllo e di elaborazione/simulazione connessi e in grado di </w:t>
      </w:r>
      <w:r w:rsidRPr="00E321C8">
        <w:rPr>
          <w:rFonts w:cs="Tahoma"/>
          <w:b/>
          <w:szCs w:val="20"/>
        </w:rPr>
        <w:t>gestire il consumo della risorsa energetica</w:t>
      </w:r>
      <w:r w:rsidRPr="00E321C8">
        <w:rPr>
          <w:rFonts w:cs="Tahoma"/>
          <w:bCs/>
          <w:szCs w:val="20"/>
        </w:rPr>
        <w:t xml:space="preserve">, </w:t>
      </w:r>
      <w:r w:rsidRPr="00E321C8">
        <w:rPr>
          <w:rFonts w:cs="Tahoma"/>
          <w:b/>
          <w:szCs w:val="20"/>
        </w:rPr>
        <w:t>idrica</w:t>
      </w:r>
      <w:r w:rsidRPr="00E321C8">
        <w:rPr>
          <w:rFonts w:cs="Tahoma"/>
          <w:bCs/>
          <w:szCs w:val="20"/>
        </w:rPr>
        <w:t xml:space="preserve"> e per la </w:t>
      </w:r>
      <w:r w:rsidRPr="00E321C8">
        <w:rPr>
          <w:rFonts w:cs="Tahoma"/>
          <w:b/>
          <w:szCs w:val="20"/>
        </w:rPr>
        <w:t>riduzione delle emissioni in maniera intelligente</w:t>
      </w:r>
      <w:r w:rsidRPr="00E321C8">
        <w:rPr>
          <w:rFonts w:cs="Tahoma"/>
          <w:bCs/>
          <w:szCs w:val="20"/>
        </w:rPr>
        <w:t xml:space="preserve"> recuperando o rilasciando energia in base allo stato del processo e delle macchine, ottimizzando la distribuzione di energia elettrica e minimizzando eventuali sovraccarichi (smart </w:t>
      </w:r>
      <w:proofErr w:type="spellStart"/>
      <w:r w:rsidRPr="00E321C8">
        <w:rPr>
          <w:rFonts w:cs="Tahoma"/>
          <w:bCs/>
          <w:szCs w:val="20"/>
        </w:rPr>
        <w:t>grid</w:t>
      </w:r>
      <w:proofErr w:type="spellEnd"/>
      <w:r w:rsidRPr="00E321C8">
        <w:rPr>
          <w:rFonts w:cs="Tahoma"/>
          <w:bCs/>
          <w:szCs w:val="20"/>
        </w:rPr>
        <w:t xml:space="preserve">). Sono invece escluse soluzioni finalizzate alla produzione di energia (ad es. sistemi cogenerativi, sistemi di generazione di energia da qualunque fonte rinnovabile e non); si </w:t>
      </w:r>
      <w:r w:rsidRPr="00E321C8">
        <w:rPr>
          <w:rFonts w:cs="Tahoma"/>
          <w:bCs/>
          <w:szCs w:val="20"/>
        </w:rPr>
        <w:lastRenderedPageBreak/>
        <w:t>ricorda peraltro che queste ultime possono beneficiare di misure di agevolazione all’efficienza energetica già in vigore (come i “certificati bianchi”);</w:t>
      </w:r>
    </w:p>
    <w:p w14:paraId="7DAD4D1B" w14:textId="6AD96E4A" w:rsidR="00AB7BD7" w:rsidRPr="007F356B" w:rsidRDefault="00E321C8" w:rsidP="00AE49EC">
      <w:pPr>
        <w:pStyle w:val="Paragrafoelenco"/>
        <w:numPr>
          <w:ilvl w:val="0"/>
          <w:numId w:val="46"/>
        </w:numPr>
        <w:shd w:val="clear" w:color="auto" w:fill="FFFFFF"/>
        <w:spacing w:line="360" w:lineRule="auto"/>
        <w:jc w:val="both"/>
        <w:rPr>
          <w:rFonts w:cs="Tahoma"/>
          <w:bCs/>
          <w:color w:val="000000" w:themeColor="text1"/>
          <w:szCs w:val="20"/>
        </w:rPr>
      </w:pPr>
      <w:r w:rsidRPr="00E321C8">
        <w:rPr>
          <w:rFonts w:cs="Tahoma"/>
          <w:b/>
          <w:szCs w:val="20"/>
        </w:rPr>
        <w:t>filtri</w:t>
      </w:r>
      <w:r w:rsidRPr="00E321C8">
        <w:rPr>
          <w:rFonts w:cs="Tahoma"/>
          <w:bCs/>
          <w:szCs w:val="20"/>
        </w:rPr>
        <w:t xml:space="preserve"> e </w:t>
      </w:r>
      <w:r w:rsidRPr="00E321C8">
        <w:rPr>
          <w:rFonts w:cs="Tahoma"/>
          <w:b/>
          <w:szCs w:val="20"/>
        </w:rPr>
        <w:t>sistemi</w:t>
      </w:r>
      <w:r w:rsidRPr="00E321C8">
        <w:rPr>
          <w:rFonts w:cs="Tahoma"/>
          <w:bCs/>
          <w:szCs w:val="20"/>
        </w:rPr>
        <w:t xml:space="preserve"> (si intendono anche impianti) di </w:t>
      </w:r>
      <w:r w:rsidRPr="00E321C8">
        <w:rPr>
          <w:rFonts w:cs="Tahoma"/>
          <w:b/>
          <w:szCs w:val="20"/>
        </w:rPr>
        <w:t>trattamento e recupero di acqua, aria, olio, sostanze chimiche</w:t>
      </w:r>
      <w:r w:rsidRPr="00E321C8">
        <w:rPr>
          <w:rFonts w:cs="Tahoma"/>
          <w:bCs/>
          <w:szCs w:val="20"/>
        </w:rPr>
        <w:t xml:space="preserve">, polveri con sistemi di segnalazione dell’efficienza filtrante e della presenza di anomalie o sostanze aliene al processo o pericolose, integrate con il sistema di fabbrica e in grado di </w:t>
      </w:r>
      <w:r w:rsidRPr="007F356B">
        <w:rPr>
          <w:rFonts w:cs="Tahoma"/>
          <w:bCs/>
          <w:color w:val="000000" w:themeColor="text1"/>
          <w:szCs w:val="20"/>
        </w:rPr>
        <w:t>avvisare gli operatori e/o di fermare le attività di macchine e impianti.</w:t>
      </w:r>
    </w:p>
    <w:tbl>
      <w:tblPr>
        <w:tblStyle w:val="Grigliatabella"/>
        <w:tblW w:w="0" w:type="auto"/>
        <w:shd w:val="clear" w:color="auto" w:fill="DBE5F1" w:themeFill="accent1" w:themeFillTint="33"/>
        <w:tblCellMar>
          <w:top w:w="108" w:type="dxa"/>
        </w:tblCellMar>
        <w:tblLook w:val="04A0" w:firstRow="1" w:lastRow="0" w:firstColumn="1" w:lastColumn="0" w:noHBand="0" w:noVBand="1"/>
      </w:tblPr>
      <w:tblGrid>
        <w:gridCol w:w="9628"/>
      </w:tblGrid>
      <w:tr w:rsidR="007F356B" w:rsidRPr="007F356B" w14:paraId="1E8D98A1" w14:textId="77777777" w:rsidTr="007F356B">
        <w:tc>
          <w:tcPr>
            <w:tcW w:w="9628" w:type="dxa"/>
            <w:shd w:val="clear" w:color="auto" w:fill="DBE5F1" w:themeFill="accent1" w:themeFillTint="33"/>
          </w:tcPr>
          <w:p w14:paraId="58796B2A" w14:textId="77777777" w:rsidR="008A1477" w:rsidRPr="007F356B" w:rsidRDefault="00FC6EEF" w:rsidP="00FC6EEF">
            <w:pPr>
              <w:spacing w:line="360" w:lineRule="auto"/>
              <w:jc w:val="both"/>
              <w:rPr>
                <w:color w:val="000000" w:themeColor="text1"/>
              </w:rPr>
            </w:pPr>
            <w:r w:rsidRPr="007F356B">
              <w:rPr>
                <w:b/>
                <w:bCs/>
                <w:color w:val="000000" w:themeColor="text1"/>
              </w:rPr>
              <w:t>FAQ</w:t>
            </w:r>
            <w:r w:rsidR="009B5EB4" w:rsidRPr="007F356B">
              <w:rPr>
                <w:b/>
                <w:bCs/>
                <w:color w:val="000000" w:themeColor="text1"/>
              </w:rPr>
              <w:t xml:space="preserve"> Mise 12 luglio 2017</w:t>
            </w:r>
            <w:r w:rsidRPr="007F356B">
              <w:rPr>
                <w:color w:val="000000" w:themeColor="text1"/>
              </w:rPr>
              <w:t xml:space="preserve"> </w:t>
            </w:r>
            <w:r w:rsidR="009142B8" w:rsidRPr="007F356B">
              <w:rPr>
                <w:color w:val="000000" w:themeColor="text1"/>
              </w:rPr>
              <w:t xml:space="preserve">Domanda: </w:t>
            </w:r>
            <w:r w:rsidR="008A1477" w:rsidRPr="007F356B">
              <w:rPr>
                <w:color w:val="000000" w:themeColor="text1"/>
              </w:rPr>
              <w:t>Riferendosi ai “</w:t>
            </w:r>
            <w:r w:rsidR="008A1477" w:rsidRPr="007F356B">
              <w:rPr>
                <w:i/>
                <w:iCs/>
                <w:color w:val="000000" w:themeColor="text1"/>
              </w:rPr>
              <w:t>Sistemi per l’assicurazione della qualità e della sostenibilità</w:t>
            </w:r>
            <w:r w:rsidR="008A1477" w:rsidRPr="007F356B">
              <w:rPr>
                <w:color w:val="000000" w:themeColor="text1"/>
              </w:rPr>
              <w:t>”, il testo delle linee guida recita quanto segue: “</w:t>
            </w:r>
            <w:r w:rsidR="008A1477" w:rsidRPr="007F356B">
              <w:rPr>
                <w:i/>
                <w:iCs/>
                <w:color w:val="000000" w:themeColor="text1"/>
              </w:rPr>
              <w:t>filtri e sistemi (si intendono anche impianti) di trattamento e recupero di acqua, aria, olio, sostanze chimiche, polveri con sistemi di segnalazione dell’efficienza filtrante e della presenza di anomalie o sostanze aliene al processo o pericolose</w:t>
            </w:r>
            <w:r w:rsidR="008A1477" w:rsidRPr="007F356B">
              <w:rPr>
                <w:color w:val="000000" w:themeColor="text1"/>
              </w:rPr>
              <w:t xml:space="preserve">”. È necessario ottemperare sia al requisito del trattamento che del recupero delle sostanze filtrate per poter soddisfare il requisito o è sufficiente rispettare </w:t>
            </w:r>
            <w:r w:rsidR="008A1477" w:rsidRPr="007F356B">
              <w:rPr>
                <w:b/>
                <w:bCs/>
                <w:color w:val="000000" w:themeColor="text1"/>
              </w:rPr>
              <w:t>anche solo una delle due funzioni</w:t>
            </w:r>
            <w:r w:rsidR="008A1477" w:rsidRPr="007F356B">
              <w:rPr>
                <w:color w:val="000000" w:themeColor="text1"/>
              </w:rPr>
              <w:t>?</w:t>
            </w:r>
          </w:p>
          <w:p w14:paraId="21283533" w14:textId="329CCD91" w:rsidR="00A63E62" w:rsidRPr="007F356B" w:rsidRDefault="009142B8" w:rsidP="00FC6EEF">
            <w:pPr>
              <w:spacing w:line="360" w:lineRule="auto"/>
              <w:jc w:val="both"/>
              <w:rPr>
                <w:color w:val="000000" w:themeColor="text1"/>
              </w:rPr>
            </w:pPr>
            <w:r w:rsidRPr="007F356B">
              <w:rPr>
                <w:color w:val="000000" w:themeColor="text1"/>
              </w:rPr>
              <w:t xml:space="preserve">Risposta: </w:t>
            </w:r>
            <w:r w:rsidR="008A1477" w:rsidRPr="007F356B">
              <w:rPr>
                <w:b/>
                <w:bCs/>
                <w:color w:val="000000" w:themeColor="text1"/>
              </w:rPr>
              <w:t>È sufficiente ottemperare a uno dei due requisiti</w:t>
            </w:r>
            <w:r w:rsidR="008A1477" w:rsidRPr="007F356B">
              <w:rPr>
                <w:color w:val="000000" w:themeColor="text1"/>
              </w:rPr>
              <w:t xml:space="preserve"> per risultare idonei alla voce in questione.</w:t>
            </w:r>
          </w:p>
        </w:tc>
      </w:tr>
    </w:tbl>
    <w:p w14:paraId="49A743FC" w14:textId="77777777" w:rsidR="00FC6EEF" w:rsidRPr="00FC6EEF" w:rsidRDefault="00FC6EEF" w:rsidP="00FC6EEF">
      <w:pPr>
        <w:shd w:val="clear" w:color="auto" w:fill="FFFFFF"/>
        <w:spacing w:line="360" w:lineRule="auto"/>
        <w:jc w:val="both"/>
      </w:pPr>
    </w:p>
    <w:p w14:paraId="0565B755" w14:textId="60BD36C4" w:rsidR="00A71ED0" w:rsidRPr="006B5DF7" w:rsidRDefault="00A71ED0" w:rsidP="009249CD">
      <w:pPr>
        <w:pStyle w:val="Titolo3"/>
      </w:pPr>
      <w:bookmarkStart w:id="29" w:name="_Toc93327711"/>
      <w:r>
        <w:t>3</w:t>
      </w:r>
      <w:r w:rsidRPr="009249CD">
        <w:t>.</w:t>
      </w:r>
      <w:r w:rsidR="009249CD">
        <w:t>3.3</w:t>
      </w:r>
      <w:r w:rsidRPr="009249CD">
        <w:t xml:space="preserve"> </w:t>
      </w:r>
      <w:r w:rsidRPr="00A71ED0">
        <w:t>Dispositivi per l’interazione uomo macchina e per il miglioramento dell’ergonomia e della sicurezza del posto di lavoro in logica 4.0</w:t>
      </w:r>
      <w:bookmarkEnd w:id="29"/>
    </w:p>
    <w:p w14:paraId="0EBCFAD6" w14:textId="77777777" w:rsidR="00A71ED0" w:rsidRDefault="00A71ED0" w:rsidP="00A71ED0">
      <w:pPr>
        <w:shd w:val="clear" w:color="auto" w:fill="FFFFFF"/>
        <w:spacing w:line="360" w:lineRule="auto"/>
        <w:jc w:val="both"/>
      </w:pPr>
      <w:r w:rsidRPr="00A71ED0">
        <w:t>Si precisa che, purché soggiacenti a una logica 4.0, sono agevolabili i dispositivi per l’interazione uomo macchina finalizzati al miglioramento dell’ergonomia e i dispositivi per l’interazione uomo macchina finalizzati al miglioramento della sicurezza del posto di lavoro.</w:t>
      </w:r>
    </w:p>
    <w:p w14:paraId="65C30AFE" w14:textId="2444E509" w:rsidR="00A71ED0" w:rsidRDefault="00A71ED0" w:rsidP="00A71ED0">
      <w:pPr>
        <w:shd w:val="clear" w:color="auto" w:fill="FFFFFF"/>
        <w:spacing w:line="360" w:lineRule="auto"/>
        <w:jc w:val="both"/>
      </w:pPr>
      <w:r w:rsidRPr="00A71ED0">
        <w:t xml:space="preserve">Di seguito sono riportati i beni strumentali oggetto </w:t>
      </w:r>
      <w:r w:rsidR="007A7BD5">
        <w:t>dell’agevolazione in commento</w:t>
      </w:r>
      <w:r w:rsidRPr="00A71ED0">
        <w:t xml:space="preserve"> con una </w:t>
      </w:r>
      <w:r w:rsidRPr="007A7BD5">
        <w:rPr>
          <w:b/>
          <w:bCs/>
        </w:rPr>
        <w:t>serie di esempi</w:t>
      </w:r>
      <w:r w:rsidRPr="00A71ED0">
        <w:t xml:space="preserve"> e </w:t>
      </w:r>
      <w:r w:rsidRPr="007A7BD5">
        <w:rPr>
          <w:b/>
          <w:bCs/>
        </w:rPr>
        <w:t>spiegazioni a supporto</w:t>
      </w:r>
      <w:r w:rsidRPr="00A71ED0">
        <w:t xml:space="preserve"> dell’interpretazione:</w:t>
      </w:r>
    </w:p>
    <w:p w14:paraId="12C7A470" w14:textId="77777777" w:rsidR="00017120" w:rsidRDefault="00017120" w:rsidP="00AE49EC">
      <w:pPr>
        <w:pStyle w:val="Paragrafoelenco"/>
        <w:numPr>
          <w:ilvl w:val="0"/>
          <w:numId w:val="47"/>
        </w:numPr>
        <w:shd w:val="clear" w:color="auto" w:fill="FFFFFF"/>
        <w:spacing w:line="360" w:lineRule="auto"/>
        <w:jc w:val="both"/>
        <w:rPr>
          <w:rFonts w:cs="Tahoma"/>
          <w:bCs/>
          <w:szCs w:val="20"/>
        </w:rPr>
      </w:pPr>
      <w:r w:rsidRPr="00017120">
        <w:rPr>
          <w:rFonts w:cs="Tahoma"/>
          <w:b/>
          <w:szCs w:val="20"/>
        </w:rPr>
        <w:t>banchi</w:t>
      </w:r>
      <w:r w:rsidRPr="00017120">
        <w:rPr>
          <w:rFonts w:cs="Tahoma"/>
          <w:bCs/>
          <w:szCs w:val="20"/>
        </w:rPr>
        <w:t xml:space="preserve"> e </w:t>
      </w:r>
      <w:r w:rsidRPr="00017120">
        <w:rPr>
          <w:rFonts w:cs="Tahoma"/>
          <w:b/>
          <w:szCs w:val="20"/>
        </w:rPr>
        <w:t>postazioni di lavoro dotati di soluzioni ergonomiche</w:t>
      </w:r>
      <w:r w:rsidRPr="00017120">
        <w:rPr>
          <w:rFonts w:cs="Tahoma"/>
          <w:bCs/>
          <w:szCs w:val="20"/>
        </w:rPr>
        <w:t xml:space="preserve"> in grado di adattarli in maniera automatizzata alle caratteristiche fisiche degli operatori (ad esempio caratteristiche biometriche, età, presenza di disabilità).</w:t>
      </w:r>
    </w:p>
    <w:p w14:paraId="3AC1A029" w14:textId="77777777" w:rsidR="00017120" w:rsidRDefault="00017120" w:rsidP="00017120">
      <w:pPr>
        <w:pStyle w:val="Paragrafoelenco"/>
        <w:shd w:val="clear" w:color="auto" w:fill="FFFFFF"/>
        <w:spacing w:line="360" w:lineRule="auto"/>
        <w:jc w:val="both"/>
        <w:rPr>
          <w:rFonts w:cs="Tahoma"/>
          <w:bCs/>
          <w:szCs w:val="20"/>
        </w:rPr>
      </w:pPr>
      <w:r>
        <w:rPr>
          <w:rFonts w:cs="Tahoma"/>
          <w:bCs/>
          <w:szCs w:val="20"/>
        </w:rPr>
        <w:t xml:space="preserve">Esempi: </w:t>
      </w:r>
      <w:r w:rsidRPr="00017120">
        <w:rPr>
          <w:rFonts w:cs="Tahoma"/>
          <w:bCs/>
          <w:szCs w:val="20"/>
        </w:rPr>
        <w:t>postazioni di lavoro ergonomiche integrate</w:t>
      </w:r>
      <w:r>
        <w:rPr>
          <w:rFonts w:cs="Tahoma"/>
          <w:bCs/>
          <w:szCs w:val="20"/>
        </w:rPr>
        <w:t xml:space="preserve"> </w:t>
      </w:r>
      <w:r w:rsidRPr="00017120">
        <w:rPr>
          <w:rFonts w:cs="Tahoma"/>
          <w:bCs/>
          <w:szCs w:val="20"/>
        </w:rPr>
        <w:t xml:space="preserve">in cui l’operatore ha a disposizione </w:t>
      </w:r>
      <w:r w:rsidRPr="00017120">
        <w:rPr>
          <w:rFonts w:cs="Tahoma"/>
          <w:b/>
          <w:szCs w:val="20"/>
        </w:rPr>
        <w:t>moduli di trasporto intelligenti</w:t>
      </w:r>
      <w:r w:rsidRPr="00017120">
        <w:rPr>
          <w:rFonts w:cs="Tahoma"/>
          <w:bCs/>
          <w:szCs w:val="20"/>
        </w:rPr>
        <w:t xml:space="preserve"> (per l’approvvigionamento delle merci), terminali touch screen (con guida intuitiva delle attività per l’utente), illuminazione antiabbagliante e personalizzabile della postazione (per un’illuminazione ottimale della postazione di lavoro), elementi con braccio a snodo (per l’ottimizzazione ergonomica dello spazio di prelievo), tavolo di lavoro regolabile elettricamente in altezza (per un rapido adattamento a diverse condizioni fisiche e lavorative dell’operatore);</w:t>
      </w:r>
    </w:p>
    <w:p w14:paraId="525CA719" w14:textId="2A583498" w:rsidR="00017120" w:rsidRDefault="00017120" w:rsidP="00AE49EC">
      <w:pPr>
        <w:pStyle w:val="Paragrafoelenco"/>
        <w:numPr>
          <w:ilvl w:val="0"/>
          <w:numId w:val="47"/>
        </w:numPr>
        <w:shd w:val="clear" w:color="auto" w:fill="FFFFFF"/>
        <w:spacing w:line="360" w:lineRule="auto"/>
        <w:jc w:val="both"/>
        <w:rPr>
          <w:rFonts w:cs="Tahoma"/>
          <w:bCs/>
          <w:szCs w:val="20"/>
        </w:rPr>
      </w:pPr>
      <w:r w:rsidRPr="00017120">
        <w:rPr>
          <w:rFonts w:cs="Tahoma"/>
          <w:b/>
          <w:szCs w:val="20"/>
        </w:rPr>
        <w:lastRenderedPageBreak/>
        <w:t>sistemi per il sollevamento/traslazione di parti pesanti</w:t>
      </w:r>
      <w:r w:rsidRPr="00017120">
        <w:rPr>
          <w:rFonts w:cs="Tahoma"/>
          <w:bCs/>
          <w:szCs w:val="20"/>
        </w:rPr>
        <w:t xml:space="preserve"> o </w:t>
      </w:r>
      <w:r w:rsidRPr="00017120">
        <w:rPr>
          <w:rFonts w:cs="Tahoma"/>
          <w:b/>
          <w:szCs w:val="20"/>
        </w:rPr>
        <w:t>oggetti esposti ad alte temperature</w:t>
      </w:r>
      <w:r w:rsidRPr="00017120">
        <w:rPr>
          <w:rFonts w:cs="Tahoma"/>
          <w:bCs/>
          <w:szCs w:val="20"/>
        </w:rPr>
        <w:t xml:space="preserve"> in grado di agevolare in maniera intelligente/robotizzata/interattiva il compito dell’operatore;</w:t>
      </w:r>
    </w:p>
    <w:p w14:paraId="04745267" w14:textId="77777777" w:rsidR="00017120" w:rsidRDefault="00017120" w:rsidP="00AE49EC">
      <w:pPr>
        <w:pStyle w:val="Paragrafoelenco"/>
        <w:numPr>
          <w:ilvl w:val="0"/>
          <w:numId w:val="47"/>
        </w:numPr>
        <w:shd w:val="clear" w:color="auto" w:fill="FFFFFF"/>
        <w:spacing w:line="360" w:lineRule="auto"/>
        <w:jc w:val="both"/>
        <w:rPr>
          <w:rFonts w:cs="Tahoma"/>
          <w:bCs/>
          <w:szCs w:val="20"/>
        </w:rPr>
      </w:pPr>
      <w:r w:rsidRPr="00017120">
        <w:rPr>
          <w:rFonts w:cs="Tahoma"/>
          <w:b/>
          <w:szCs w:val="20"/>
        </w:rPr>
        <w:t>dispositivi wearable</w:t>
      </w:r>
      <w:r w:rsidRPr="00017120">
        <w:rPr>
          <w:rFonts w:cs="Tahoma"/>
          <w:bCs/>
          <w:szCs w:val="20"/>
        </w:rPr>
        <w:t xml:space="preserve">, apparecchiature di comunicazione tra operatore/operatori e sistema produttivo, dispositivi di realtà aumentata e </w:t>
      </w:r>
      <w:proofErr w:type="spellStart"/>
      <w:r w:rsidRPr="00017120">
        <w:rPr>
          <w:rFonts w:cs="Tahoma"/>
          <w:bCs/>
          <w:szCs w:val="20"/>
        </w:rPr>
        <w:t>virtual</w:t>
      </w:r>
      <w:proofErr w:type="spellEnd"/>
      <w:r w:rsidRPr="00017120">
        <w:rPr>
          <w:rFonts w:cs="Tahoma"/>
          <w:bCs/>
          <w:szCs w:val="20"/>
        </w:rPr>
        <w:t xml:space="preserve"> reality.</w:t>
      </w:r>
    </w:p>
    <w:p w14:paraId="782B9B3F" w14:textId="77777777" w:rsidR="00017120" w:rsidRDefault="00017120" w:rsidP="00017120">
      <w:pPr>
        <w:pStyle w:val="Paragrafoelenco"/>
        <w:shd w:val="clear" w:color="auto" w:fill="FFFFFF"/>
        <w:spacing w:line="360" w:lineRule="auto"/>
        <w:jc w:val="both"/>
        <w:rPr>
          <w:rFonts w:cs="Tahoma"/>
          <w:bCs/>
          <w:szCs w:val="20"/>
        </w:rPr>
      </w:pPr>
      <w:r w:rsidRPr="00017120">
        <w:rPr>
          <w:rFonts w:cs="Tahoma"/>
          <w:b/>
          <w:szCs w:val="20"/>
        </w:rPr>
        <w:t>Esempi</w:t>
      </w:r>
      <w:r>
        <w:rPr>
          <w:rFonts w:cs="Tahoma"/>
          <w:bCs/>
          <w:szCs w:val="20"/>
        </w:rPr>
        <w:t>:</w:t>
      </w:r>
      <w:r w:rsidRPr="00017120">
        <w:rPr>
          <w:rFonts w:cs="Tahoma"/>
          <w:bCs/>
          <w:szCs w:val="20"/>
        </w:rPr>
        <w:t xml:space="preserve"> dispositivi intelligenti in grado di fornire istruzioni sul lavoro e di visualizzare in </w:t>
      </w:r>
      <w:proofErr w:type="spellStart"/>
      <w:r w:rsidRPr="00017120">
        <w:rPr>
          <w:rFonts w:cs="Tahoma"/>
          <w:bCs/>
          <w:szCs w:val="20"/>
        </w:rPr>
        <w:t>real</w:t>
      </w:r>
      <w:proofErr w:type="spellEnd"/>
      <w:r w:rsidRPr="00017120">
        <w:rPr>
          <w:rFonts w:cs="Tahoma"/>
          <w:bCs/>
          <w:szCs w:val="20"/>
        </w:rPr>
        <w:t xml:space="preserve"> time i dati sul funzionamento delle macchine e sulle attività che gli operatori dovranno svolgere;</w:t>
      </w:r>
    </w:p>
    <w:p w14:paraId="27B5C6C0" w14:textId="24B4953E" w:rsidR="00017120" w:rsidRPr="00017120" w:rsidRDefault="00017120" w:rsidP="00AE49EC">
      <w:pPr>
        <w:pStyle w:val="Paragrafoelenco"/>
        <w:numPr>
          <w:ilvl w:val="0"/>
          <w:numId w:val="47"/>
        </w:numPr>
        <w:shd w:val="clear" w:color="auto" w:fill="FFFFFF"/>
        <w:spacing w:line="360" w:lineRule="auto"/>
        <w:jc w:val="both"/>
        <w:rPr>
          <w:rFonts w:cs="Tahoma"/>
          <w:bCs/>
          <w:szCs w:val="20"/>
        </w:rPr>
      </w:pPr>
      <w:r w:rsidRPr="00017120">
        <w:rPr>
          <w:rFonts w:cs="Tahoma"/>
          <w:b/>
          <w:szCs w:val="20"/>
        </w:rPr>
        <w:t>interfacce uomo-macchina (HMI) intelligenti</w:t>
      </w:r>
      <w:r w:rsidRPr="00017120">
        <w:rPr>
          <w:rFonts w:cs="Tahoma"/>
          <w:bCs/>
          <w:szCs w:val="20"/>
        </w:rPr>
        <w:t xml:space="preserve"> che supportano l’operatore in termini di sicurezza ed efficienza delle operazioni di lavorazione, manutenzione, logistica</w:t>
      </w:r>
      <w:r>
        <w:rPr>
          <w:rFonts w:cs="Tahoma"/>
          <w:bCs/>
          <w:szCs w:val="20"/>
        </w:rPr>
        <w:t>.</w:t>
      </w:r>
    </w:p>
    <w:p w14:paraId="7D1921B4" w14:textId="77777777" w:rsidR="000D3E09" w:rsidRDefault="000D3E09" w:rsidP="00A90AA2">
      <w:pPr>
        <w:pStyle w:val="Titolo3"/>
      </w:pPr>
      <w:bookmarkStart w:id="30" w:name="_Toc90462789"/>
    </w:p>
    <w:p w14:paraId="3D1F28FA" w14:textId="2FEEF426" w:rsidR="00A90AA2" w:rsidRPr="00891303" w:rsidRDefault="00A90AA2" w:rsidP="00A90AA2">
      <w:pPr>
        <w:pStyle w:val="Titolo3"/>
      </w:pPr>
      <w:bookmarkStart w:id="31" w:name="_Toc93327712"/>
      <w:r>
        <w:t>3.3.4 Richiesta parere tecnico</w:t>
      </w:r>
      <w:bookmarkEnd w:id="30"/>
      <w:bookmarkEnd w:id="31"/>
    </w:p>
    <w:p w14:paraId="6F73C699" w14:textId="4077E816" w:rsidR="00A90AA2" w:rsidRDefault="00A90AA2" w:rsidP="00A90AA2">
      <w:pPr>
        <w:spacing w:line="360" w:lineRule="auto"/>
        <w:jc w:val="both"/>
      </w:pPr>
      <w:r w:rsidRPr="00B55675">
        <w:t xml:space="preserve">Qualora nell'ambito delle verifiche e dei controlli riguardanti gli investimenti </w:t>
      </w:r>
      <w:r>
        <w:t xml:space="preserve">4.0 </w:t>
      </w:r>
      <w:r w:rsidRPr="00B55675">
        <w:t>previsti dai commi da 1056 a 1058</w:t>
      </w:r>
      <w:r w:rsidR="0042761D">
        <w:t>-ter</w:t>
      </w:r>
      <w:r w:rsidRPr="00B55675">
        <w:t xml:space="preserve"> si rendano necessarie </w:t>
      </w:r>
      <w:r w:rsidRPr="00036D46">
        <w:rPr>
          <w:b/>
          <w:bCs/>
        </w:rPr>
        <w:t>valutazioni di ordine tecnico</w:t>
      </w:r>
      <w:r w:rsidRPr="00B55675">
        <w:t xml:space="preserve"> concernenti la </w:t>
      </w:r>
      <w:r w:rsidRPr="00036D46">
        <w:rPr>
          <w:b/>
          <w:bCs/>
        </w:rPr>
        <w:t>qualificazione e la classificazione dei beni</w:t>
      </w:r>
      <w:r w:rsidRPr="00B55675">
        <w:t xml:space="preserve">, l'Agenzia delle entrate può </w:t>
      </w:r>
      <w:r w:rsidRPr="00A90AA2">
        <w:rPr>
          <w:b/>
          <w:bCs/>
        </w:rPr>
        <w:t>richiedere al Ministero dello sviluppo economico di esprimere il proprio parere</w:t>
      </w:r>
      <w:r w:rsidRPr="00B55675">
        <w:t>.</w:t>
      </w:r>
    </w:p>
    <w:p w14:paraId="4796DC3C" w14:textId="77777777" w:rsidR="00A90AA2" w:rsidRDefault="00A90AA2" w:rsidP="00A90AA2">
      <w:pPr>
        <w:spacing w:line="360" w:lineRule="auto"/>
        <w:jc w:val="both"/>
      </w:pPr>
      <w:r w:rsidRPr="00B55675">
        <w:t xml:space="preserve">I termini e le modalità di svolgimento di tali attività collaborative sono fissati con apposita convenzione tra l'Agenzia delle entrate e il Ministero dello sviluppo economico, nella quale può essere prevista un'analoga forma di collaborazione anche in relazione agli </w:t>
      </w:r>
      <w:r w:rsidRPr="00036D46">
        <w:rPr>
          <w:b/>
          <w:bCs/>
        </w:rPr>
        <w:t>interpelli presentati all'Agenzia delle entrate</w:t>
      </w:r>
      <w:r w:rsidRPr="00B55675">
        <w:t xml:space="preserve"> ai sensi dell'articolo 11, comma 1, lettera a), della legge 27 luglio 2000, n. 212, aventi ad aggetto la corretta applicazione del credito d'imposta per i suddetti investimenti.</w:t>
      </w:r>
    </w:p>
    <w:p w14:paraId="018BBEFF" w14:textId="77777777" w:rsidR="00A90AA2" w:rsidRDefault="00A90AA2" w:rsidP="00A90AA2">
      <w:pPr>
        <w:spacing w:line="360" w:lineRule="auto"/>
        <w:jc w:val="both"/>
      </w:pPr>
      <w:r>
        <w:t>L</w:t>
      </w:r>
      <w:r w:rsidRPr="007E2EE4">
        <w:t xml:space="preserve">e indagini riguardanti la </w:t>
      </w:r>
      <w:r w:rsidRPr="007E2EE4">
        <w:rPr>
          <w:b/>
          <w:bCs/>
        </w:rPr>
        <w:t>effettiva riconducibilità</w:t>
      </w:r>
      <w:r w:rsidRPr="007E2EE4">
        <w:t xml:space="preserve"> di specifici beni ad una delle categorie elencate analiticamente ne</w:t>
      </w:r>
      <w:r>
        <w:t>gli allegati A e B</w:t>
      </w:r>
      <w:r w:rsidRPr="007E2EE4">
        <w:t xml:space="preserve"> </w:t>
      </w:r>
      <w:r>
        <w:t xml:space="preserve">che </w:t>
      </w:r>
      <w:r w:rsidRPr="007E2EE4">
        <w:t>comportano accertamenti di natura tecnica</w:t>
      </w:r>
      <w:r>
        <w:t xml:space="preserve">, </w:t>
      </w:r>
      <w:r w:rsidRPr="007E2EE4">
        <w:t>involgono la competenza del Ministero dello Sviluppo economico.</w:t>
      </w:r>
    </w:p>
    <w:p w14:paraId="692ADDE7" w14:textId="77777777" w:rsidR="00A90AA2" w:rsidRDefault="00A90AA2" w:rsidP="00A90AA2">
      <w:pPr>
        <w:spacing w:line="360" w:lineRule="auto"/>
        <w:jc w:val="both"/>
      </w:pPr>
      <w:r w:rsidRPr="007E2EE4">
        <w:t xml:space="preserve">In proposito, i soggetti interessati possono presentare, ai sensi dell’articolo 11 della legge 27 luglio 2000, n. 212, un’istanza di interpello all’Agenzia delle entrate per ottenere una risposta riguardante fattispecie concrete e personali relativamente </w:t>
      </w:r>
      <w:r w:rsidRPr="00DA64DA">
        <w:rPr>
          <w:b/>
          <w:bCs/>
        </w:rPr>
        <w:t>all’applicazione delle disposizioni tributarie</w:t>
      </w:r>
      <w:r w:rsidRPr="007E2EE4">
        <w:t>, quando vi sono condizioni di obiettiva incertezza sulla corretta interpretazione delle stesse.</w:t>
      </w:r>
    </w:p>
    <w:p w14:paraId="2EF9B846" w14:textId="4220A2DC" w:rsidR="00A90AA2" w:rsidRDefault="00A90AA2" w:rsidP="00A90AA2">
      <w:pPr>
        <w:spacing w:line="360" w:lineRule="auto"/>
        <w:jc w:val="both"/>
      </w:pPr>
      <w:r w:rsidRPr="007E2EE4">
        <w:t xml:space="preserve">Nei casi, invece, in cui i dubbi in merito </w:t>
      </w:r>
      <w:r w:rsidRPr="00DA64DA">
        <w:rPr>
          <w:b/>
          <w:bCs/>
        </w:rPr>
        <w:t>all’ambito oggettivo di applicazione dell’agevolazione</w:t>
      </w:r>
      <w:r w:rsidRPr="007E2EE4">
        <w:t xml:space="preserve"> riguardino esclusivamente la riconducibilità dei beni per i quali si intende fruire del beneficio tra quelli elencati nell’allegato </w:t>
      </w:r>
      <w:r>
        <w:t xml:space="preserve">A o </w:t>
      </w:r>
      <w:r w:rsidRPr="007E2EE4">
        <w:t>B annesso alla legge n. 232</w:t>
      </w:r>
      <w:r>
        <w:t>/</w:t>
      </w:r>
      <w:r w:rsidRPr="007E2EE4">
        <w:t xml:space="preserve">2016, il contribuente può </w:t>
      </w:r>
      <w:r w:rsidRPr="00DA64DA">
        <w:rPr>
          <w:b/>
          <w:bCs/>
        </w:rPr>
        <w:t>acquisire autonomamente il parere tecnico del citato Ministero</w:t>
      </w:r>
      <w:r w:rsidRPr="007E2EE4">
        <w:t xml:space="preserve"> limitandosi a conservarlo, senza presentare un’istanza di interpello all’Agenzia delle entrate (ad esempio, si chiede se un determinato software sia ammissibile all’agevolazione).</w:t>
      </w:r>
    </w:p>
    <w:p w14:paraId="548B65D1" w14:textId="482EF6AB" w:rsidR="00A71ED0" w:rsidRPr="002247B4" w:rsidRDefault="00A71ED0" w:rsidP="00A71ED0">
      <w:pPr>
        <w:pStyle w:val="Titolo2"/>
      </w:pPr>
      <w:bookmarkStart w:id="32" w:name="_Toc93327713"/>
      <w:r>
        <w:lastRenderedPageBreak/>
        <w:t>3</w:t>
      </w:r>
      <w:r w:rsidRPr="002247B4">
        <w:t>.</w:t>
      </w:r>
      <w:r w:rsidR="00AF5A72">
        <w:t>4</w:t>
      </w:r>
      <w:r w:rsidRPr="002247B4">
        <w:t xml:space="preserve"> </w:t>
      </w:r>
      <w:r>
        <w:t>Beni immateriali 4.0</w:t>
      </w:r>
      <w:bookmarkEnd w:id="32"/>
    </w:p>
    <w:p w14:paraId="3B1361D4" w14:textId="299630C3" w:rsidR="00A71ED0" w:rsidRDefault="00AC001B" w:rsidP="00A71ED0">
      <w:pPr>
        <w:shd w:val="clear" w:color="auto" w:fill="FFFFFF"/>
        <w:spacing w:line="360" w:lineRule="auto"/>
        <w:jc w:val="both"/>
        <w:rPr>
          <w:rFonts w:cs="Tahoma"/>
          <w:bCs/>
          <w:szCs w:val="20"/>
        </w:rPr>
      </w:pPr>
      <w:r w:rsidRPr="00AC001B">
        <w:rPr>
          <w:rFonts w:cs="Tahoma"/>
          <w:bCs/>
          <w:szCs w:val="20"/>
        </w:rPr>
        <w:t xml:space="preserve">I </w:t>
      </w:r>
      <w:r w:rsidRPr="00AC001B">
        <w:rPr>
          <w:rFonts w:cs="Tahoma"/>
          <w:b/>
          <w:szCs w:val="20"/>
        </w:rPr>
        <w:t>beni immateriali</w:t>
      </w:r>
      <w:r w:rsidRPr="00AC001B">
        <w:rPr>
          <w:rFonts w:cs="Tahoma"/>
          <w:bCs/>
          <w:szCs w:val="20"/>
        </w:rPr>
        <w:t xml:space="preserve"> (software, sistemi e system </w:t>
      </w:r>
      <w:proofErr w:type="spellStart"/>
      <w:r w:rsidRPr="00AC001B">
        <w:rPr>
          <w:rFonts w:cs="Tahoma"/>
          <w:bCs/>
          <w:szCs w:val="20"/>
        </w:rPr>
        <w:t>integration</w:t>
      </w:r>
      <w:proofErr w:type="spellEnd"/>
      <w:r w:rsidRPr="00AC001B">
        <w:rPr>
          <w:rFonts w:cs="Tahoma"/>
          <w:bCs/>
          <w:szCs w:val="20"/>
        </w:rPr>
        <w:t>, piattaforme e applicazioni) che possono godere d</w:t>
      </w:r>
      <w:r w:rsidR="00B97834">
        <w:rPr>
          <w:rFonts w:cs="Tahoma"/>
          <w:bCs/>
          <w:szCs w:val="20"/>
        </w:rPr>
        <w:t>el</w:t>
      </w:r>
      <w:r>
        <w:rPr>
          <w:rFonts w:cs="Tahoma"/>
          <w:bCs/>
          <w:szCs w:val="20"/>
        </w:rPr>
        <w:t xml:space="preserve"> credito d’imposta</w:t>
      </w:r>
      <w:r w:rsidR="00B97834">
        <w:rPr>
          <w:rFonts w:cs="Tahoma"/>
          <w:bCs/>
          <w:szCs w:val="20"/>
        </w:rPr>
        <w:t>,</w:t>
      </w:r>
      <w:r w:rsidRPr="00AC001B">
        <w:rPr>
          <w:rFonts w:cs="Tahoma"/>
          <w:bCs/>
          <w:szCs w:val="20"/>
        </w:rPr>
        <w:t xml:space="preserve"> </w:t>
      </w:r>
      <w:r w:rsidRPr="00B97834">
        <w:rPr>
          <w:rFonts w:cs="Tahoma"/>
          <w:b/>
          <w:szCs w:val="20"/>
        </w:rPr>
        <w:t>elencat</w:t>
      </w:r>
      <w:r w:rsidR="00B97834" w:rsidRPr="00B97834">
        <w:rPr>
          <w:rFonts w:cs="Tahoma"/>
          <w:b/>
          <w:szCs w:val="20"/>
        </w:rPr>
        <w:t>i</w:t>
      </w:r>
      <w:r w:rsidRPr="00B97834">
        <w:rPr>
          <w:rFonts w:cs="Tahoma"/>
          <w:b/>
          <w:szCs w:val="20"/>
        </w:rPr>
        <w:t xml:space="preserve"> nell’Allegato B</w:t>
      </w:r>
      <w:r w:rsidR="00B97834">
        <w:rPr>
          <w:rFonts w:cs="Tahoma"/>
          <w:bCs/>
          <w:szCs w:val="20"/>
        </w:rPr>
        <w:t>,</w:t>
      </w:r>
      <w:r w:rsidRPr="00AC001B">
        <w:rPr>
          <w:rFonts w:cs="Tahoma"/>
          <w:bCs/>
          <w:szCs w:val="20"/>
        </w:rPr>
        <w:t xml:space="preserve"> sono stati individuati con il criterio di essere strettamente legati ai processi aziendali connessi al concetto Industria 4.0</w:t>
      </w:r>
      <w:r w:rsidR="00B97834">
        <w:rPr>
          <w:rFonts w:cs="Tahoma"/>
          <w:bCs/>
          <w:szCs w:val="20"/>
        </w:rPr>
        <w:t>.</w:t>
      </w:r>
    </w:p>
    <w:p w14:paraId="01D97DBD" w14:textId="1E3081BB" w:rsidR="00596F9E" w:rsidRDefault="00596F9E" w:rsidP="00A71ED0">
      <w:pPr>
        <w:shd w:val="clear" w:color="auto" w:fill="FFFFFF"/>
        <w:spacing w:line="360" w:lineRule="auto"/>
        <w:jc w:val="both"/>
        <w:rPr>
          <w:rFonts w:cs="Tahoma"/>
          <w:bCs/>
          <w:szCs w:val="20"/>
        </w:rPr>
      </w:pPr>
      <w:r>
        <w:rPr>
          <w:noProof/>
        </w:rPr>
        <w:drawing>
          <wp:anchor distT="0" distB="0" distL="114300" distR="114300" simplePos="0" relativeHeight="251802112" behindDoc="0" locked="0" layoutInCell="1" allowOverlap="1" wp14:anchorId="1222451F" wp14:editId="72D19675">
            <wp:simplePos x="0" y="0"/>
            <wp:positionH relativeFrom="column">
              <wp:posOffset>0</wp:posOffset>
            </wp:positionH>
            <wp:positionV relativeFrom="paragraph">
              <wp:posOffset>147450</wp:posOffset>
            </wp:positionV>
            <wp:extent cx="914400" cy="914400"/>
            <wp:effectExtent l="0" t="0" r="0" b="0"/>
            <wp:wrapSquare wrapText="bothSides"/>
            <wp:docPr id="26" name="Elemento grafico 26"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p>
    <w:p w14:paraId="1905E4AB" w14:textId="1D67478C" w:rsidR="00B97834" w:rsidRPr="0092184A" w:rsidRDefault="00B97834" w:rsidP="00B97834">
      <w:pPr>
        <w:spacing w:line="360" w:lineRule="auto"/>
        <w:jc w:val="both"/>
        <w:rPr>
          <w:noProof/>
        </w:rPr>
      </w:pPr>
      <w:r>
        <w:rPr>
          <w:noProof/>
        </w:rPr>
        <w:t>A differenza che in passato l’impresa può accedere al credito d’imposta per i beni immateriali 4.0 (Allegato B) anche senza aver effettuato investimenti in beni materiali 4.0 (allegato A).</w:t>
      </w:r>
    </w:p>
    <w:p w14:paraId="4F800632" w14:textId="77777777" w:rsidR="00B97834" w:rsidRPr="00A71ED0" w:rsidRDefault="00B97834" w:rsidP="00A71ED0">
      <w:pPr>
        <w:shd w:val="clear" w:color="auto" w:fill="FFFFFF"/>
        <w:spacing w:line="360" w:lineRule="auto"/>
        <w:jc w:val="both"/>
        <w:rPr>
          <w:rFonts w:cs="Tahoma"/>
          <w:bCs/>
          <w:szCs w:val="20"/>
        </w:rPr>
      </w:pPr>
    </w:p>
    <w:p w14:paraId="7136F2B1" w14:textId="77777777" w:rsidR="00596F9E" w:rsidRDefault="00596F9E" w:rsidP="002762E0">
      <w:pPr>
        <w:shd w:val="clear" w:color="auto" w:fill="FFFFFF"/>
        <w:spacing w:line="360" w:lineRule="auto"/>
        <w:jc w:val="both"/>
        <w:rPr>
          <w:rFonts w:cs="Tahoma"/>
          <w:bCs/>
          <w:szCs w:val="20"/>
        </w:rPr>
      </w:pPr>
    </w:p>
    <w:p w14:paraId="5EAA8906" w14:textId="5142229E" w:rsidR="00021AA7" w:rsidRDefault="00021AA7" w:rsidP="002762E0">
      <w:pPr>
        <w:shd w:val="clear" w:color="auto" w:fill="FFFFFF"/>
        <w:spacing w:line="360" w:lineRule="auto"/>
        <w:jc w:val="both"/>
        <w:rPr>
          <w:rFonts w:cs="Tahoma"/>
          <w:bCs/>
          <w:szCs w:val="20"/>
        </w:rPr>
      </w:pPr>
      <w:r w:rsidRPr="00021AA7">
        <w:rPr>
          <w:rFonts w:cs="Tahoma"/>
          <w:bCs/>
          <w:szCs w:val="20"/>
        </w:rPr>
        <w:t>L’</w:t>
      </w:r>
      <w:r w:rsidRPr="00021AA7">
        <w:rPr>
          <w:rFonts w:cs="Tahoma"/>
          <w:b/>
          <w:szCs w:val="20"/>
        </w:rPr>
        <w:t xml:space="preserve">elenco dei beni immateriali </w:t>
      </w:r>
      <w:r w:rsidRPr="00021AA7">
        <w:rPr>
          <w:rFonts w:cs="Tahoma"/>
          <w:bCs/>
          <w:szCs w:val="20"/>
        </w:rPr>
        <w:t xml:space="preserve">oggetto dell’agevolazione è di seguito riportato </w:t>
      </w:r>
      <w:r w:rsidRPr="00021AA7">
        <w:rPr>
          <w:rFonts w:cs="Tahoma"/>
          <w:b/>
          <w:szCs w:val="20"/>
        </w:rPr>
        <w:t>con alcuni commenti a supporto</w:t>
      </w:r>
      <w:r w:rsidRPr="00021AA7">
        <w:rPr>
          <w:rFonts w:cs="Tahoma"/>
          <w:bCs/>
          <w:szCs w:val="20"/>
        </w:rPr>
        <w:t xml:space="preserve"> della corretta interpretazione:</w:t>
      </w:r>
    </w:p>
    <w:p w14:paraId="55A069FD" w14:textId="09A0ED46" w:rsidR="00FF2AD4" w:rsidRDefault="00021AA7" w:rsidP="00AE49EC">
      <w:pPr>
        <w:pStyle w:val="Paragrafoelenco"/>
        <w:numPr>
          <w:ilvl w:val="0"/>
          <w:numId w:val="47"/>
        </w:numPr>
        <w:shd w:val="clear" w:color="auto" w:fill="FFFFFF"/>
        <w:spacing w:line="360" w:lineRule="auto"/>
        <w:ind w:left="714" w:hanging="357"/>
        <w:contextualSpacing w:val="0"/>
        <w:jc w:val="both"/>
        <w:rPr>
          <w:rFonts w:cs="Tahoma"/>
          <w:bCs/>
          <w:szCs w:val="20"/>
        </w:rPr>
      </w:pPr>
      <w:r>
        <w:rPr>
          <w:rFonts w:cs="Tahoma"/>
          <w:b/>
          <w:szCs w:val="20"/>
        </w:rPr>
        <w:t>s</w:t>
      </w:r>
      <w:r w:rsidRPr="00021AA7">
        <w:rPr>
          <w:rFonts w:cs="Tahoma"/>
          <w:b/>
          <w:szCs w:val="20"/>
        </w:rPr>
        <w:t>oftware</w:t>
      </w:r>
      <w:r w:rsidRPr="00021AA7">
        <w:rPr>
          <w:rFonts w:cs="Tahoma"/>
          <w:bCs/>
          <w:szCs w:val="20"/>
        </w:rPr>
        <w:t xml:space="preserve">, sistemi, piattaforme e applicazioni </w:t>
      </w:r>
      <w:r w:rsidRPr="00021AA7">
        <w:rPr>
          <w:rFonts w:cs="Tahoma"/>
          <w:b/>
          <w:szCs w:val="20"/>
        </w:rPr>
        <w:t>per la progettazione, definizione/qualificazione delle prestazioni e produzione di manufatti in materiali non convenzionali</w:t>
      </w:r>
      <w:r w:rsidRPr="00021AA7">
        <w:rPr>
          <w:rFonts w:cs="Tahoma"/>
          <w:bCs/>
          <w:szCs w:val="20"/>
        </w:rPr>
        <w:t xml:space="preserve"> o ad alte prestazioni, in grado di permettere la progettazione, la modellazione 3D, la simulazione, la sperimentazione, la prototipazione e la verifica simultanea del processo produttivo, del prodotto e delle sue caratteristiche (funzionali e di impatto ambientale)</w:t>
      </w:r>
      <w:r>
        <w:rPr>
          <w:rFonts w:cs="Tahoma"/>
          <w:bCs/>
          <w:szCs w:val="20"/>
        </w:rPr>
        <w:t xml:space="preserve"> </w:t>
      </w:r>
      <w:r w:rsidRPr="00021AA7">
        <w:rPr>
          <w:rFonts w:cs="Tahoma"/>
          <w:bCs/>
          <w:szCs w:val="20"/>
        </w:rPr>
        <w:t>e/o l’archiviazione digitale e integrata nel sistema informativo aziendale delle informazioni relative al ciclo di vita del prodotto (sistemi EDM, PDM, PLM, Big Data Analytics). Si vuole precisare che:</w:t>
      </w:r>
    </w:p>
    <w:p w14:paraId="59F58037" w14:textId="16C28D8E" w:rsidR="00021AA7" w:rsidRPr="00596F9E" w:rsidRDefault="00021AA7" w:rsidP="00AE49EC">
      <w:pPr>
        <w:pStyle w:val="Paragrafoelenco"/>
        <w:numPr>
          <w:ilvl w:val="0"/>
          <w:numId w:val="54"/>
        </w:numPr>
        <w:shd w:val="clear" w:color="auto" w:fill="FFFFFF"/>
        <w:tabs>
          <w:tab w:val="left" w:pos="1276"/>
        </w:tabs>
        <w:spacing w:line="360" w:lineRule="auto"/>
        <w:ind w:left="1276"/>
        <w:jc w:val="both"/>
        <w:rPr>
          <w:rFonts w:cs="Tahoma"/>
          <w:bCs/>
          <w:szCs w:val="20"/>
        </w:rPr>
      </w:pPr>
      <w:r w:rsidRPr="00596F9E">
        <w:rPr>
          <w:rFonts w:cs="Tahoma"/>
          <w:bCs/>
          <w:szCs w:val="20"/>
        </w:rPr>
        <w:t xml:space="preserve">la </w:t>
      </w:r>
      <w:r w:rsidRPr="00596F9E">
        <w:rPr>
          <w:rFonts w:cs="Tahoma"/>
          <w:b/>
          <w:szCs w:val="20"/>
        </w:rPr>
        <w:t>modellazione 3D si riferisce esclusivamente agli strumenti di progettazione di prodotto</w:t>
      </w:r>
      <w:r w:rsidRPr="00596F9E">
        <w:rPr>
          <w:rFonts w:cs="Tahoma"/>
          <w:bCs/>
          <w:szCs w:val="20"/>
        </w:rPr>
        <w:t xml:space="preserve">, sono invece </w:t>
      </w:r>
      <w:r w:rsidRPr="00596F9E">
        <w:rPr>
          <w:rFonts w:cs="Tahoma"/>
          <w:b/>
          <w:szCs w:val="20"/>
        </w:rPr>
        <w:t>inclusi</w:t>
      </w:r>
      <w:r w:rsidRPr="00596F9E">
        <w:rPr>
          <w:rFonts w:cs="Tahoma"/>
          <w:bCs/>
          <w:szCs w:val="20"/>
        </w:rPr>
        <w:t xml:space="preserve"> gli strumenti di </w:t>
      </w:r>
      <w:r w:rsidRPr="00596F9E">
        <w:rPr>
          <w:rFonts w:cs="Tahoma"/>
          <w:b/>
          <w:szCs w:val="20"/>
        </w:rPr>
        <w:t>modellazione di processo</w:t>
      </w:r>
      <w:r w:rsidRPr="00596F9E">
        <w:rPr>
          <w:rFonts w:cs="Tahoma"/>
          <w:bCs/>
          <w:szCs w:val="20"/>
        </w:rPr>
        <w:t xml:space="preserve"> e di sistemi produttivi in 2D;</w:t>
      </w:r>
    </w:p>
    <w:p w14:paraId="40BD478B" w14:textId="11F9C0C4" w:rsidR="00021AA7" w:rsidRPr="00596F9E" w:rsidRDefault="00021AA7" w:rsidP="00AE49EC">
      <w:pPr>
        <w:pStyle w:val="Paragrafoelenco"/>
        <w:numPr>
          <w:ilvl w:val="0"/>
          <w:numId w:val="54"/>
        </w:numPr>
        <w:shd w:val="clear" w:color="auto" w:fill="FFFFFF"/>
        <w:tabs>
          <w:tab w:val="left" w:pos="1276"/>
        </w:tabs>
        <w:spacing w:line="360" w:lineRule="auto"/>
        <w:ind w:left="1276"/>
        <w:jc w:val="both"/>
        <w:rPr>
          <w:rFonts w:cs="Tahoma"/>
          <w:bCs/>
          <w:szCs w:val="20"/>
        </w:rPr>
      </w:pPr>
      <w:r w:rsidRPr="00596F9E">
        <w:rPr>
          <w:rFonts w:cs="Tahoma"/>
          <w:bCs/>
          <w:szCs w:val="20"/>
        </w:rPr>
        <w:t>affinché il tool sia incluso in questa voce, è sufficiente che una sola delle funzioni su elencate (ad es. progettazione, modellazione 3D, simulazione, sperimentazione, prototipazione e verifica simultanea, ecc.) sia disponibile.</w:t>
      </w:r>
    </w:p>
    <w:p w14:paraId="3564D1EE" w14:textId="676A1671" w:rsidR="00021AA7" w:rsidRPr="00D47341" w:rsidRDefault="00021AA7" w:rsidP="00AE49EC">
      <w:pPr>
        <w:pStyle w:val="Paragrafoelenco"/>
        <w:numPr>
          <w:ilvl w:val="0"/>
          <w:numId w:val="47"/>
        </w:numPr>
        <w:shd w:val="clear" w:color="auto" w:fill="FFFFFF"/>
        <w:spacing w:line="360" w:lineRule="auto"/>
        <w:jc w:val="both"/>
        <w:rPr>
          <w:rFonts w:cs="Tahoma"/>
          <w:bCs/>
          <w:szCs w:val="20"/>
        </w:rPr>
      </w:pPr>
      <w:r w:rsidRPr="00021AA7">
        <w:rPr>
          <w:b/>
          <w:bCs/>
        </w:rPr>
        <w:t>software</w:t>
      </w:r>
      <w:r>
        <w:t xml:space="preserve">, sistemi, piattaforme e applicazioni per la progettazione e la riprogettazione dei sistemi produttivi che tengano conto dei </w:t>
      </w:r>
      <w:r w:rsidRPr="00D47341">
        <w:rPr>
          <w:b/>
          <w:bCs/>
        </w:rPr>
        <w:t>flussi dei materiali</w:t>
      </w:r>
      <w:r>
        <w:t xml:space="preserve"> e </w:t>
      </w:r>
      <w:r w:rsidRPr="00D47341">
        <w:rPr>
          <w:b/>
          <w:bCs/>
        </w:rPr>
        <w:t>delle informazioni</w:t>
      </w:r>
      <w:r>
        <w:t>. In questa voce rientrano anche i tool di supporto alla progettazione fisica del layout, ecc.</w:t>
      </w:r>
    </w:p>
    <w:p w14:paraId="6BEBE143" w14:textId="76CAA6EE" w:rsidR="00D47341" w:rsidRDefault="00D47341" w:rsidP="00AE49EC">
      <w:pPr>
        <w:pStyle w:val="Paragrafoelenco"/>
        <w:numPr>
          <w:ilvl w:val="0"/>
          <w:numId w:val="47"/>
        </w:numPr>
        <w:shd w:val="clear" w:color="auto" w:fill="FFFFFF"/>
        <w:spacing w:line="360" w:lineRule="auto"/>
        <w:ind w:left="714" w:hanging="357"/>
        <w:contextualSpacing w:val="0"/>
        <w:jc w:val="both"/>
        <w:rPr>
          <w:rFonts w:cs="Tahoma"/>
          <w:bCs/>
          <w:szCs w:val="20"/>
        </w:rPr>
      </w:pPr>
      <w:r w:rsidRPr="00D47341">
        <w:rPr>
          <w:rFonts w:cs="Tahoma"/>
          <w:b/>
          <w:szCs w:val="20"/>
        </w:rPr>
        <w:t>software</w:t>
      </w:r>
      <w:r w:rsidRPr="00D47341">
        <w:rPr>
          <w:rFonts w:cs="Tahoma"/>
          <w:bCs/>
          <w:szCs w:val="20"/>
        </w:rPr>
        <w:t xml:space="preserve">, sistemi, piattaforme e applicazioni di supporto alle decisioni </w:t>
      </w:r>
      <w:r w:rsidRPr="00D47341">
        <w:rPr>
          <w:rFonts w:cs="Tahoma"/>
          <w:b/>
          <w:szCs w:val="20"/>
        </w:rPr>
        <w:t>in grado di interpretare dati analizzati dal campo</w:t>
      </w:r>
      <w:r w:rsidRPr="00D47341">
        <w:rPr>
          <w:rFonts w:cs="Tahoma"/>
          <w:bCs/>
          <w:szCs w:val="20"/>
        </w:rPr>
        <w:t xml:space="preserve"> e </w:t>
      </w:r>
      <w:r w:rsidRPr="00D47341">
        <w:rPr>
          <w:rFonts w:cs="Tahoma"/>
          <w:b/>
          <w:szCs w:val="20"/>
        </w:rPr>
        <w:t>visualizzare agli operatori in linea</w:t>
      </w:r>
      <w:r w:rsidRPr="00D47341">
        <w:rPr>
          <w:rFonts w:cs="Tahoma"/>
          <w:bCs/>
          <w:szCs w:val="20"/>
        </w:rPr>
        <w:t xml:space="preserve"> specifiche azioni per migliorare la qualità del prodotto e l’</w:t>
      </w:r>
      <w:r w:rsidRPr="00D47341">
        <w:rPr>
          <w:rFonts w:cs="Tahoma"/>
          <w:b/>
          <w:szCs w:val="20"/>
        </w:rPr>
        <w:t>efficienza del sistema di produzione</w:t>
      </w:r>
      <w:r w:rsidRPr="00D47341">
        <w:rPr>
          <w:rFonts w:cs="Tahoma"/>
          <w:bCs/>
          <w:szCs w:val="20"/>
        </w:rPr>
        <w:t>. Si precisa che:</w:t>
      </w:r>
    </w:p>
    <w:p w14:paraId="5772F3B8" w14:textId="60BF584B" w:rsidR="00D47341" w:rsidRPr="00596F9E" w:rsidRDefault="00D47341" w:rsidP="00AE49EC">
      <w:pPr>
        <w:pStyle w:val="Paragrafoelenco"/>
        <w:numPr>
          <w:ilvl w:val="0"/>
          <w:numId w:val="55"/>
        </w:numPr>
        <w:shd w:val="clear" w:color="auto" w:fill="FFFFFF"/>
        <w:spacing w:line="360" w:lineRule="auto"/>
        <w:ind w:left="1276"/>
        <w:jc w:val="both"/>
        <w:rPr>
          <w:rFonts w:cs="Tahoma"/>
          <w:bCs/>
          <w:szCs w:val="20"/>
        </w:rPr>
      </w:pPr>
      <w:r w:rsidRPr="00596F9E">
        <w:rPr>
          <w:rFonts w:cs="Tahoma"/>
          <w:bCs/>
          <w:szCs w:val="20"/>
        </w:rPr>
        <w:lastRenderedPageBreak/>
        <w:t>per “</w:t>
      </w:r>
      <w:r w:rsidRPr="00596F9E">
        <w:rPr>
          <w:rFonts w:cs="Tahoma"/>
          <w:b/>
          <w:szCs w:val="20"/>
        </w:rPr>
        <w:t>operatori in linea</w:t>
      </w:r>
      <w:r w:rsidRPr="00596F9E">
        <w:rPr>
          <w:rFonts w:cs="Tahoma"/>
          <w:bCs/>
          <w:szCs w:val="20"/>
        </w:rPr>
        <w:t xml:space="preserve">” si devono intendere quelle figure che in qualche modo sono direttamente coinvolte nelle operazioni di monitoraggio e controllo della conduzione della macchina/impianto o che semplicemente devono essere informate sui dati dal campo. Pertanto, rientrano in questa voce anche quelle applicazioni che consentono la </w:t>
      </w:r>
      <w:r w:rsidRPr="00596F9E">
        <w:rPr>
          <w:rFonts w:cs="Tahoma"/>
          <w:b/>
          <w:szCs w:val="20"/>
        </w:rPr>
        <w:t>visualizzazione del dato in remoto</w:t>
      </w:r>
      <w:r w:rsidRPr="00596F9E">
        <w:rPr>
          <w:rFonts w:cs="Tahoma"/>
          <w:bCs/>
          <w:szCs w:val="20"/>
        </w:rPr>
        <w:t xml:space="preserve"> utilizzando anche, ma non esclusivamente, dispositivi mobile;</w:t>
      </w:r>
    </w:p>
    <w:p w14:paraId="27AB28F0" w14:textId="1A80A9D4" w:rsidR="00D47341" w:rsidRPr="00596F9E" w:rsidRDefault="00D47341" w:rsidP="00AE49EC">
      <w:pPr>
        <w:pStyle w:val="Paragrafoelenco"/>
        <w:numPr>
          <w:ilvl w:val="0"/>
          <w:numId w:val="55"/>
        </w:numPr>
        <w:shd w:val="clear" w:color="auto" w:fill="FFFFFF"/>
        <w:spacing w:line="360" w:lineRule="auto"/>
        <w:ind w:left="1276" w:hanging="357"/>
        <w:contextualSpacing w:val="0"/>
        <w:jc w:val="both"/>
        <w:rPr>
          <w:rFonts w:cs="Tahoma"/>
          <w:bCs/>
          <w:szCs w:val="20"/>
        </w:rPr>
      </w:pPr>
      <w:r>
        <w:t>per “</w:t>
      </w:r>
      <w:r w:rsidRPr="00596F9E">
        <w:rPr>
          <w:b/>
          <w:bCs/>
        </w:rPr>
        <w:t>efficienza</w:t>
      </w:r>
      <w:r>
        <w:t>” si devono intendere in senso lato le prestazioni della produttività, affidabilità, disponibilità, efficienza energetica, ecc. della macchina/impianto.</w:t>
      </w:r>
    </w:p>
    <w:p w14:paraId="54FFE595" w14:textId="2D94B39B" w:rsidR="00D47341" w:rsidRDefault="00D47341" w:rsidP="00AE49EC">
      <w:pPr>
        <w:pStyle w:val="Paragrafoelenco"/>
        <w:numPr>
          <w:ilvl w:val="0"/>
          <w:numId w:val="47"/>
        </w:numPr>
        <w:shd w:val="clear" w:color="auto" w:fill="FFFFFF"/>
        <w:spacing w:line="360" w:lineRule="auto"/>
        <w:jc w:val="both"/>
        <w:rPr>
          <w:rFonts w:cs="Tahoma"/>
          <w:bCs/>
          <w:szCs w:val="20"/>
        </w:rPr>
      </w:pPr>
      <w:r w:rsidRPr="00D47341">
        <w:rPr>
          <w:rFonts w:cs="Tahoma"/>
          <w:b/>
          <w:szCs w:val="20"/>
        </w:rPr>
        <w:t>software</w:t>
      </w:r>
      <w:r w:rsidRPr="00D47341">
        <w:rPr>
          <w:rFonts w:cs="Tahoma"/>
          <w:bCs/>
          <w:szCs w:val="20"/>
        </w:rPr>
        <w:t xml:space="preserve">, sistemi, piattaforme e </w:t>
      </w:r>
      <w:r w:rsidRPr="00D47341">
        <w:rPr>
          <w:rFonts w:cs="Tahoma"/>
          <w:b/>
          <w:szCs w:val="20"/>
        </w:rPr>
        <w:t>applicazioni per la gestione</w:t>
      </w:r>
      <w:r w:rsidRPr="00D47341">
        <w:rPr>
          <w:rFonts w:cs="Tahoma"/>
          <w:bCs/>
          <w:szCs w:val="20"/>
        </w:rPr>
        <w:t xml:space="preserve"> e il coordinamento della produzione con elevate caratteristiche di integrazione delle attività di servizio, come la logistica interna ed esterna e la manutenzione (quali</w:t>
      </w:r>
      <w:r>
        <w:rPr>
          <w:rFonts w:cs="Tahoma"/>
          <w:bCs/>
          <w:szCs w:val="20"/>
        </w:rPr>
        <w:t>,</w:t>
      </w:r>
      <w:r w:rsidRPr="00D47341">
        <w:rPr>
          <w:rFonts w:cs="Tahoma"/>
          <w:bCs/>
          <w:szCs w:val="20"/>
        </w:rPr>
        <w:t xml:space="preserve"> ad esempio</w:t>
      </w:r>
      <w:r>
        <w:rPr>
          <w:rFonts w:cs="Tahoma"/>
          <w:bCs/>
          <w:szCs w:val="20"/>
        </w:rPr>
        <w:t>,</w:t>
      </w:r>
      <w:r w:rsidRPr="00D47341">
        <w:rPr>
          <w:rFonts w:cs="Tahoma"/>
          <w:bCs/>
          <w:szCs w:val="20"/>
        </w:rPr>
        <w:t xml:space="preserve"> sistemi di comunicazione </w:t>
      </w:r>
      <w:proofErr w:type="spellStart"/>
      <w:r w:rsidRPr="00D47341">
        <w:rPr>
          <w:rFonts w:cs="Tahoma"/>
          <w:bCs/>
          <w:szCs w:val="20"/>
        </w:rPr>
        <w:t>intrafabbrica</w:t>
      </w:r>
      <w:proofErr w:type="spellEnd"/>
      <w:r w:rsidRPr="00D47341">
        <w:rPr>
          <w:rFonts w:cs="Tahoma"/>
          <w:bCs/>
          <w:szCs w:val="20"/>
        </w:rPr>
        <w:t>, bus di campo/</w:t>
      </w:r>
      <w:proofErr w:type="spellStart"/>
      <w:r w:rsidRPr="00D47341">
        <w:rPr>
          <w:rFonts w:cs="Tahoma"/>
          <w:bCs/>
          <w:szCs w:val="20"/>
        </w:rPr>
        <w:t>fieldbus</w:t>
      </w:r>
      <w:proofErr w:type="spellEnd"/>
      <w:r w:rsidRPr="00D47341">
        <w:rPr>
          <w:rFonts w:cs="Tahoma"/>
          <w:bCs/>
          <w:szCs w:val="20"/>
        </w:rPr>
        <w:t>, sistemi SCADA, sistemi MES, sistemi</w:t>
      </w:r>
      <w:r>
        <w:rPr>
          <w:rFonts w:cs="Tahoma"/>
          <w:bCs/>
          <w:szCs w:val="20"/>
        </w:rPr>
        <w:t xml:space="preserve"> </w:t>
      </w:r>
      <w:r w:rsidRPr="00D47341">
        <w:rPr>
          <w:rFonts w:cs="Tahoma"/>
          <w:bCs/>
          <w:szCs w:val="20"/>
        </w:rPr>
        <w:t>CMMS, soluzioni innovative con caratteristiche riconducibili ai paradigmi dell’IoT e/o del cloud computing). Si precisa che:</w:t>
      </w:r>
    </w:p>
    <w:p w14:paraId="3CBAFE13" w14:textId="15A167D0" w:rsidR="00D47341" w:rsidRPr="00596F9E" w:rsidRDefault="00D47341" w:rsidP="00AE49EC">
      <w:pPr>
        <w:pStyle w:val="Paragrafoelenco"/>
        <w:numPr>
          <w:ilvl w:val="0"/>
          <w:numId w:val="56"/>
        </w:numPr>
        <w:shd w:val="clear" w:color="auto" w:fill="FFFFFF"/>
        <w:spacing w:line="360" w:lineRule="auto"/>
        <w:ind w:left="1276" w:hanging="357"/>
        <w:contextualSpacing w:val="0"/>
        <w:jc w:val="both"/>
        <w:rPr>
          <w:rFonts w:cs="Tahoma"/>
          <w:bCs/>
          <w:szCs w:val="20"/>
        </w:rPr>
      </w:pPr>
      <w:r w:rsidRPr="00596F9E">
        <w:rPr>
          <w:rFonts w:cs="Tahoma"/>
          <w:bCs/>
          <w:szCs w:val="20"/>
        </w:rPr>
        <w:t xml:space="preserve">solo i moduli di un </w:t>
      </w:r>
      <w:r w:rsidRPr="00596F9E">
        <w:rPr>
          <w:rFonts w:cs="Tahoma"/>
          <w:b/>
          <w:szCs w:val="20"/>
        </w:rPr>
        <w:t>sistema ERP dedicati alla gestione della produzione</w:t>
      </w:r>
      <w:r w:rsidRPr="00596F9E">
        <w:rPr>
          <w:rFonts w:cs="Tahoma"/>
          <w:bCs/>
          <w:szCs w:val="20"/>
        </w:rPr>
        <w:t>, alla logistica (interna ed esterna, i.e. sistemi di SCM) e alla manutenzione sono da ritenersi inclusi in questo allegato;</w:t>
      </w:r>
    </w:p>
    <w:p w14:paraId="6C185799" w14:textId="63B68733" w:rsidR="00D47341" w:rsidRDefault="00D47341" w:rsidP="00AE49EC">
      <w:pPr>
        <w:pStyle w:val="Paragrafoelenco"/>
        <w:numPr>
          <w:ilvl w:val="0"/>
          <w:numId w:val="47"/>
        </w:numPr>
        <w:shd w:val="clear" w:color="auto" w:fill="FFFFFF"/>
        <w:spacing w:line="360" w:lineRule="auto"/>
        <w:jc w:val="both"/>
        <w:rPr>
          <w:rFonts w:cs="Tahoma"/>
          <w:bCs/>
          <w:szCs w:val="20"/>
        </w:rPr>
      </w:pPr>
      <w:r w:rsidRPr="00D47341">
        <w:rPr>
          <w:rFonts w:cs="Tahoma"/>
          <w:b/>
          <w:szCs w:val="20"/>
        </w:rPr>
        <w:t>software</w:t>
      </w:r>
      <w:r w:rsidRPr="00D47341">
        <w:rPr>
          <w:rFonts w:cs="Tahoma"/>
          <w:bCs/>
          <w:szCs w:val="20"/>
        </w:rPr>
        <w:t xml:space="preserve">, sistemi, piattaforme e </w:t>
      </w:r>
      <w:r w:rsidRPr="00D47341">
        <w:rPr>
          <w:rFonts w:cs="Tahoma"/>
          <w:b/>
          <w:szCs w:val="20"/>
        </w:rPr>
        <w:t>applicazioni per il monitoraggio</w:t>
      </w:r>
      <w:r w:rsidRPr="00D47341">
        <w:rPr>
          <w:rFonts w:cs="Tahoma"/>
          <w:bCs/>
          <w:szCs w:val="20"/>
        </w:rPr>
        <w:t xml:space="preserve"> e </w:t>
      </w:r>
      <w:r w:rsidRPr="00D47341">
        <w:rPr>
          <w:rFonts w:cs="Tahoma"/>
          <w:b/>
          <w:szCs w:val="20"/>
        </w:rPr>
        <w:t>controllo delle condizioni di lavoro delle macchine</w:t>
      </w:r>
      <w:r w:rsidRPr="00D47341">
        <w:rPr>
          <w:rFonts w:cs="Tahoma"/>
          <w:bCs/>
          <w:szCs w:val="20"/>
        </w:rPr>
        <w:t xml:space="preserve"> e dei </w:t>
      </w:r>
      <w:r w:rsidRPr="00D47341">
        <w:rPr>
          <w:rFonts w:cs="Tahoma"/>
          <w:b/>
          <w:szCs w:val="20"/>
        </w:rPr>
        <w:t>sistemi di produzione interfacciati con i sistemi informativi di fabbrica</w:t>
      </w:r>
      <w:r w:rsidRPr="00D47341">
        <w:rPr>
          <w:rFonts w:cs="Tahoma"/>
          <w:bCs/>
          <w:szCs w:val="20"/>
        </w:rPr>
        <w:t xml:space="preserve"> e/o con </w:t>
      </w:r>
      <w:r w:rsidRPr="00D47341">
        <w:rPr>
          <w:rFonts w:cs="Tahoma"/>
          <w:b/>
          <w:szCs w:val="20"/>
        </w:rPr>
        <w:t>soluzioni cloud</w:t>
      </w:r>
      <w:r w:rsidRPr="00D47341">
        <w:rPr>
          <w:rFonts w:cs="Tahoma"/>
          <w:bCs/>
          <w:szCs w:val="20"/>
        </w:rPr>
        <w:t>. Rientrano in questa voce anche quelle applicazioni che consentono il monitoraggio e il controllo anche in remoto utilizzando anche, ma non esclusivamente, dispositivi mobile;</w:t>
      </w:r>
    </w:p>
    <w:p w14:paraId="6C6D9DD2" w14:textId="176B8C07" w:rsidR="00722F7C" w:rsidRDefault="00722F7C" w:rsidP="00AE49EC">
      <w:pPr>
        <w:pStyle w:val="Paragrafoelenco"/>
        <w:numPr>
          <w:ilvl w:val="0"/>
          <w:numId w:val="47"/>
        </w:numPr>
        <w:shd w:val="clear" w:color="auto" w:fill="FFFFFF"/>
        <w:spacing w:line="360" w:lineRule="auto"/>
        <w:jc w:val="both"/>
        <w:rPr>
          <w:rFonts w:cs="Tahoma"/>
          <w:bCs/>
          <w:szCs w:val="20"/>
        </w:rPr>
      </w:pPr>
      <w:r w:rsidRPr="00722F7C">
        <w:rPr>
          <w:rFonts w:cs="Tahoma"/>
          <w:b/>
          <w:szCs w:val="20"/>
        </w:rPr>
        <w:t>software</w:t>
      </w:r>
      <w:r w:rsidRPr="00722F7C">
        <w:rPr>
          <w:rFonts w:cs="Tahoma"/>
          <w:bCs/>
          <w:szCs w:val="20"/>
        </w:rPr>
        <w:t xml:space="preserve">, sistemi, piattaforme e </w:t>
      </w:r>
      <w:r w:rsidRPr="00722F7C">
        <w:rPr>
          <w:rFonts w:cs="Tahoma"/>
          <w:b/>
          <w:szCs w:val="20"/>
        </w:rPr>
        <w:t>applicazioni di realtà virtuale</w:t>
      </w:r>
      <w:r w:rsidRPr="00722F7C">
        <w:rPr>
          <w:rFonts w:cs="Tahoma"/>
          <w:bCs/>
          <w:szCs w:val="20"/>
        </w:rPr>
        <w:t xml:space="preserve"> per lo studio realistico di componenti e operazioni (ad esempio di assemblaggio), </w:t>
      </w:r>
      <w:r w:rsidRPr="00722F7C">
        <w:rPr>
          <w:rFonts w:cs="Tahoma"/>
          <w:b/>
          <w:szCs w:val="20"/>
        </w:rPr>
        <w:t>sia in contesti immersivi</w:t>
      </w:r>
      <w:r w:rsidRPr="00722F7C">
        <w:rPr>
          <w:rFonts w:cs="Tahoma"/>
          <w:bCs/>
          <w:szCs w:val="20"/>
        </w:rPr>
        <w:t xml:space="preserve"> o </w:t>
      </w:r>
      <w:r w:rsidRPr="00722F7C">
        <w:rPr>
          <w:rFonts w:cs="Tahoma"/>
          <w:b/>
          <w:szCs w:val="20"/>
        </w:rPr>
        <w:t>solo visuali</w:t>
      </w:r>
      <w:r w:rsidRPr="00722F7C">
        <w:rPr>
          <w:rFonts w:cs="Tahoma"/>
          <w:bCs/>
          <w:szCs w:val="20"/>
        </w:rPr>
        <w:t>. Ne sono un esempio i visori che sovrappongono immagini e informazioni digitali agli oggetti fisici;</w:t>
      </w:r>
    </w:p>
    <w:p w14:paraId="13E7B832" w14:textId="537F607A" w:rsidR="00722F7C" w:rsidRDefault="00722F7C" w:rsidP="00AE49EC">
      <w:pPr>
        <w:pStyle w:val="Paragrafoelenco"/>
        <w:numPr>
          <w:ilvl w:val="0"/>
          <w:numId w:val="47"/>
        </w:numPr>
        <w:shd w:val="clear" w:color="auto" w:fill="FFFFFF"/>
        <w:spacing w:line="360" w:lineRule="auto"/>
        <w:jc w:val="both"/>
        <w:rPr>
          <w:rFonts w:cs="Tahoma"/>
          <w:bCs/>
          <w:szCs w:val="20"/>
        </w:rPr>
      </w:pPr>
      <w:r w:rsidRPr="00722F7C">
        <w:rPr>
          <w:rFonts w:cs="Tahoma"/>
          <w:b/>
          <w:szCs w:val="20"/>
        </w:rPr>
        <w:t>software</w:t>
      </w:r>
      <w:r w:rsidRPr="00722F7C">
        <w:rPr>
          <w:rFonts w:cs="Tahoma"/>
          <w:bCs/>
          <w:szCs w:val="20"/>
        </w:rPr>
        <w:t xml:space="preserve">, sistemi, piattaforme e </w:t>
      </w:r>
      <w:r w:rsidRPr="00722F7C">
        <w:rPr>
          <w:rFonts w:cs="Tahoma"/>
          <w:b/>
          <w:szCs w:val="20"/>
        </w:rPr>
        <w:t xml:space="preserve">applicazioni di reverse </w:t>
      </w:r>
      <w:proofErr w:type="spellStart"/>
      <w:r w:rsidRPr="00722F7C">
        <w:rPr>
          <w:rFonts w:cs="Tahoma"/>
          <w:b/>
          <w:szCs w:val="20"/>
        </w:rPr>
        <w:t>modeling</w:t>
      </w:r>
      <w:proofErr w:type="spellEnd"/>
      <w:r w:rsidRPr="00722F7C">
        <w:rPr>
          <w:rFonts w:cs="Tahoma"/>
          <w:bCs/>
          <w:szCs w:val="20"/>
        </w:rPr>
        <w:t xml:space="preserve"> </w:t>
      </w:r>
      <w:r w:rsidRPr="00722F7C">
        <w:rPr>
          <w:rFonts w:cs="Tahoma"/>
          <w:b/>
          <w:szCs w:val="20"/>
        </w:rPr>
        <w:t>and engineering</w:t>
      </w:r>
      <w:r w:rsidRPr="00722F7C">
        <w:rPr>
          <w:rFonts w:cs="Tahoma"/>
          <w:bCs/>
          <w:szCs w:val="20"/>
        </w:rPr>
        <w:t xml:space="preserve"> </w:t>
      </w:r>
      <w:r w:rsidRPr="00722F7C">
        <w:rPr>
          <w:rFonts w:cs="Tahoma"/>
          <w:b/>
          <w:szCs w:val="20"/>
        </w:rPr>
        <w:t>per la ricostruzione virtuale di contesti reali</w:t>
      </w:r>
      <w:r w:rsidRPr="00722F7C">
        <w:rPr>
          <w:rFonts w:cs="Tahoma"/>
          <w:bCs/>
          <w:szCs w:val="20"/>
        </w:rPr>
        <w:t>;</w:t>
      </w:r>
    </w:p>
    <w:p w14:paraId="1AD182B0" w14:textId="77777777" w:rsidR="00722F7C" w:rsidRDefault="00722F7C" w:rsidP="00AE49EC">
      <w:pPr>
        <w:pStyle w:val="Paragrafoelenco"/>
        <w:numPr>
          <w:ilvl w:val="0"/>
          <w:numId w:val="47"/>
        </w:numPr>
        <w:shd w:val="clear" w:color="auto" w:fill="FFFFFF"/>
        <w:spacing w:line="360" w:lineRule="auto"/>
        <w:jc w:val="both"/>
        <w:rPr>
          <w:rFonts w:cs="Tahoma"/>
          <w:bCs/>
          <w:szCs w:val="20"/>
        </w:rPr>
      </w:pPr>
      <w:r w:rsidRPr="00722F7C">
        <w:rPr>
          <w:rFonts w:cs="Tahoma"/>
          <w:bCs/>
          <w:szCs w:val="20"/>
        </w:rPr>
        <w:t>software, sistemi, piattaforme e applicazioni in grado di comunicare e condividere dati, e informazioni sia tra loro che con l’ambiente e gli attori circostanti (</w:t>
      </w:r>
      <w:r w:rsidRPr="00722F7C">
        <w:rPr>
          <w:rFonts w:cs="Tahoma"/>
          <w:b/>
          <w:szCs w:val="20"/>
        </w:rPr>
        <w:t xml:space="preserve">Industrial Internet of </w:t>
      </w:r>
      <w:proofErr w:type="spellStart"/>
      <w:r w:rsidRPr="00722F7C">
        <w:rPr>
          <w:rFonts w:cs="Tahoma"/>
          <w:b/>
          <w:szCs w:val="20"/>
        </w:rPr>
        <w:t>Things</w:t>
      </w:r>
      <w:proofErr w:type="spellEnd"/>
      <w:r w:rsidRPr="00722F7C">
        <w:rPr>
          <w:rFonts w:cs="Tahoma"/>
          <w:bCs/>
          <w:szCs w:val="20"/>
        </w:rPr>
        <w:t xml:space="preserve">) grazie a una </w:t>
      </w:r>
      <w:r w:rsidRPr="00722F7C">
        <w:rPr>
          <w:rFonts w:cs="Tahoma"/>
          <w:b/>
          <w:szCs w:val="20"/>
        </w:rPr>
        <w:t>rete di sensori intelligenti interconnessi</w:t>
      </w:r>
      <w:r w:rsidRPr="00722F7C">
        <w:rPr>
          <w:rFonts w:cs="Tahoma"/>
          <w:bCs/>
          <w:szCs w:val="20"/>
        </w:rPr>
        <w:t xml:space="preserve">. Si precisa che si intende la condivisione dei dati anche in remoto. </w:t>
      </w:r>
      <w:r w:rsidRPr="00722F7C">
        <w:rPr>
          <w:rFonts w:cs="Tahoma"/>
          <w:b/>
          <w:szCs w:val="20"/>
        </w:rPr>
        <w:t>Esempi</w:t>
      </w:r>
      <w:r w:rsidRPr="00722F7C">
        <w:rPr>
          <w:rFonts w:cs="Tahoma"/>
          <w:bCs/>
          <w:szCs w:val="20"/>
        </w:rPr>
        <w:t xml:space="preserve"> ne sono tutti i software con le seguenti capacità</w:t>
      </w:r>
      <w:r>
        <w:rPr>
          <w:rFonts w:cs="Tahoma"/>
          <w:bCs/>
          <w:szCs w:val="20"/>
        </w:rPr>
        <w:t>:</w:t>
      </w:r>
    </w:p>
    <w:p w14:paraId="58A50D19" w14:textId="3EE59100" w:rsidR="00722F7C" w:rsidRPr="00596F9E" w:rsidRDefault="00722F7C" w:rsidP="00AE49EC">
      <w:pPr>
        <w:pStyle w:val="Paragrafoelenco"/>
        <w:numPr>
          <w:ilvl w:val="0"/>
          <w:numId w:val="57"/>
        </w:numPr>
        <w:shd w:val="clear" w:color="auto" w:fill="FFFFFF"/>
        <w:spacing w:line="360" w:lineRule="auto"/>
        <w:ind w:left="1276"/>
        <w:jc w:val="both"/>
        <w:rPr>
          <w:rFonts w:cs="Tahoma"/>
          <w:bCs/>
          <w:szCs w:val="20"/>
        </w:rPr>
      </w:pPr>
      <w:r w:rsidRPr="00722F7C">
        <w:t>collezionare</w:t>
      </w:r>
      <w:r w:rsidRPr="00596F9E">
        <w:rPr>
          <w:rFonts w:cs="Tahoma"/>
          <w:bCs/>
          <w:szCs w:val="20"/>
        </w:rPr>
        <w:t xml:space="preserve"> e organizzare i sensori, il device management, la visualizzazione e la sicurezza del collegamento verso il campo;</w:t>
      </w:r>
    </w:p>
    <w:p w14:paraId="7E2BCD3D" w14:textId="77777777" w:rsidR="00722F7C" w:rsidRPr="00596F9E" w:rsidRDefault="00722F7C" w:rsidP="00AE49EC">
      <w:pPr>
        <w:pStyle w:val="Paragrafoelenco"/>
        <w:numPr>
          <w:ilvl w:val="0"/>
          <w:numId w:val="57"/>
        </w:numPr>
        <w:shd w:val="clear" w:color="auto" w:fill="FFFFFF"/>
        <w:spacing w:line="360" w:lineRule="auto"/>
        <w:ind w:left="1276"/>
        <w:jc w:val="both"/>
        <w:rPr>
          <w:rFonts w:cs="Tahoma"/>
          <w:bCs/>
          <w:szCs w:val="20"/>
        </w:rPr>
      </w:pPr>
      <w:r w:rsidRPr="00596F9E">
        <w:rPr>
          <w:rFonts w:cs="Tahoma"/>
          <w:bCs/>
          <w:szCs w:val="20"/>
        </w:rPr>
        <w:t>ricezione dati multiprotocollo: ad esempio http e MQTT;</w:t>
      </w:r>
    </w:p>
    <w:p w14:paraId="2F4CB2E6" w14:textId="77777777" w:rsidR="00722F7C" w:rsidRPr="00596F9E" w:rsidRDefault="00722F7C" w:rsidP="00AE49EC">
      <w:pPr>
        <w:pStyle w:val="Paragrafoelenco"/>
        <w:numPr>
          <w:ilvl w:val="0"/>
          <w:numId w:val="57"/>
        </w:numPr>
        <w:shd w:val="clear" w:color="auto" w:fill="FFFFFF"/>
        <w:spacing w:line="360" w:lineRule="auto"/>
        <w:ind w:left="1276"/>
        <w:jc w:val="both"/>
        <w:rPr>
          <w:rFonts w:cs="Tahoma"/>
          <w:bCs/>
          <w:szCs w:val="20"/>
        </w:rPr>
      </w:pPr>
      <w:r w:rsidRPr="00596F9E">
        <w:rPr>
          <w:rFonts w:cs="Tahoma"/>
          <w:bCs/>
          <w:szCs w:val="20"/>
        </w:rPr>
        <w:t>capacità di utilizzare protocolli di messaggistica come MQTT che permettono la gestione di caratteristiche di trasporto dei dati su TCPIP come Quality Of Service e Reliability;</w:t>
      </w:r>
    </w:p>
    <w:p w14:paraId="1AE6B4C4" w14:textId="77777777" w:rsidR="00722F7C" w:rsidRPr="00596F9E" w:rsidRDefault="00722F7C" w:rsidP="00AE49EC">
      <w:pPr>
        <w:pStyle w:val="Paragrafoelenco"/>
        <w:numPr>
          <w:ilvl w:val="0"/>
          <w:numId w:val="57"/>
        </w:numPr>
        <w:shd w:val="clear" w:color="auto" w:fill="FFFFFF"/>
        <w:spacing w:line="360" w:lineRule="auto"/>
        <w:ind w:left="1276"/>
        <w:jc w:val="both"/>
        <w:rPr>
          <w:rFonts w:cs="Tahoma"/>
          <w:bCs/>
          <w:szCs w:val="20"/>
        </w:rPr>
      </w:pPr>
      <w:r w:rsidRPr="00596F9E">
        <w:rPr>
          <w:rFonts w:cs="Tahoma"/>
          <w:bCs/>
          <w:szCs w:val="20"/>
        </w:rPr>
        <w:t>comando e controllo verso sensori e gateway;</w:t>
      </w:r>
    </w:p>
    <w:p w14:paraId="541A8B83" w14:textId="77777777" w:rsidR="00722F7C" w:rsidRPr="00596F9E" w:rsidRDefault="00722F7C" w:rsidP="00AE49EC">
      <w:pPr>
        <w:pStyle w:val="Paragrafoelenco"/>
        <w:numPr>
          <w:ilvl w:val="0"/>
          <w:numId w:val="57"/>
        </w:numPr>
        <w:shd w:val="clear" w:color="auto" w:fill="FFFFFF"/>
        <w:spacing w:line="360" w:lineRule="auto"/>
        <w:ind w:left="1276"/>
        <w:jc w:val="both"/>
        <w:rPr>
          <w:rFonts w:cs="Tahoma"/>
          <w:bCs/>
          <w:szCs w:val="20"/>
        </w:rPr>
      </w:pPr>
      <w:r w:rsidRPr="00596F9E">
        <w:rPr>
          <w:rFonts w:cs="Tahoma"/>
          <w:bCs/>
          <w:szCs w:val="20"/>
        </w:rPr>
        <w:lastRenderedPageBreak/>
        <w:t>scalabilità orizzontale delle componenti;</w:t>
      </w:r>
    </w:p>
    <w:p w14:paraId="65656733" w14:textId="77777777" w:rsidR="00722F7C" w:rsidRPr="00596F9E" w:rsidRDefault="00722F7C" w:rsidP="00AE49EC">
      <w:pPr>
        <w:pStyle w:val="Paragrafoelenco"/>
        <w:numPr>
          <w:ilvl w:val="0"/>
          <w:numId w:val="57"/>
        </w:numPr>
        <w:shd w:val="clear" w:color="auto" w:fill="FFFFFF"/>
        <w:spacing w:line="360" w:lineRule="auto"/>
        <w:ind w:left="1276"/>
        <w:jc w:val="both"/>
        <w:rPr>
          <w:rFonts w:cs="Tahoma"/>
          <w:bCs/>
          <w:szCs w:val="20"/>
        </w:rPr>
      </w:pPr>
      <w:proofErr w:type="spellStart"/>
      <w:r w:rsidRPr="00596F9E">
        <w:rPr>
          <w:rFonts w:cs="Tahoma"/>
          <w:bCs/>
          <w:szCs w:val="20"/>
        </w:rPr>
        <w:t>routing</w:t>
      </w:r>
      <w:proofErr w:type="spellEnd"/>
      <w:r w:rsidRPr="00596F9E">
        <w:rPr>
          <w:rFonts w:cs="Tahoma"/>
          <w:bCs/>
          <w:szCs w:val="20"/>
        </w:rPr>
        <w:t xml:space="preserve"> e filtraggio dei dati;</w:t>
      </w:r>
    </w:p>
    <w:p w14:paraId="412BF4E7" w14:textId="3281EA19" w:rsidR="00722F7C" w:rsidRPr="00596F9E" w:rsidRDefault="00722F7C" w:rsidP="00AE49EC">
      <w:pPr>
        <w:pStyle w:val="Paragrafoelenco"/>
        <w:numPr>
          <w:ilvl w:val="0"/>
          <w:numId w:val="57"/>
        </w:numPr>
        <w:shd w:val="clear" w:color="auto" w:fill="FFFFFF"/>
        <w:spacing w:line="360" w:lineRule="auto"/>
        <w:ind w:left="1276"/>
        <w:jc w:val="both"/>
        <w:rPr>
          <w:rFonts w:cs="Tahoma"/>
          <w:bCs/>
          <w:szCs w:val="20"/>
          <w:lang w:val="en-US"/>
        </w:rPr>
      </w:pPr>
      <w:r w:rsidRPr="00596F9E">
        <w:rPr>
          <w:rFonts w:cs="Tahoma"/>
          <w:bCs/>
          <w:szCs w:val="20"/>
          <w:lang w:val="en-US"/>
        </w:rPr>
        <w:t>data streaming (Complex Event Processing);</w:t>
      </w:r>
    </w:p>
    <w:p w14:paraId="07F87AEE" w14:textId="3CFE868B" w:rsidR="00722F7C" w:rsidRPr="00596F9E" w:rsidRDefault="00722F7C" w:rsidP="00AE49EC">
      <w:pPr>
        <w:pStyle w:val="Paragrafoelenco"/>
        <w:numPr>
          <w:ilvl w:val="0"/>
          <w:numId w:val="57"/>
        </w:numPr>
        <w:shd w:val="clear" w:color="auto" w:fill="FFFFFF"/>
        <w:spacing w:line="360" w:lineRule="auto"/>
        <w:ind w:left="1276" w:hanging="357"/>
        <w:contextualSpacing w:val="0"/>
        <w:jc w:val="both"/>
        <w:rPr>
          <w:rFonts w:cs="Tahoma"/>
          <w:bCs/>
          <w:szCs w:val="20"/>
        </w:rPr>
      </w:pPr>
      <w:r w:rsidRPr="00596F9E">
        <w:rPr>
          <w:rFonts w:cs="Tahoma"/>
          <w:bCs/>
          <w:szCs w:val="20"/>
        </w:rPr>
        <w:t>capacità di mettere in sicurezza il canale di comunicazione, ad esempio con certificato SSL;</w:t>
      </w:r>
    </w:p>
    <w:p w14:paraId="0B7C4496" w14:textId="08F2EBDD" w:rsidR="00722F7C" w:rsidRPr="00722F7C" w:rsidRDefault="00722F7C" w:rsidP="00AE49EC">
      <w:pPr>
        <w:pStyle w:val="Paragrafoelenco"/>
        <w:numPr>
          <w:ilvl w:val="0"/>
          <w:numId w:val="47"/>
        </w:numPr>
        <w:shd w:val="clear" w:color="auto" w:fill="FFFFFF"/>
        <w:spacing w:line="360" w:lineRule="auto"/>
        <w:jc w:val="both"/>
        <w:rPr>
          <w:rFonts w:cs="Tahoma"/>
          <w:bCs/>
          <w:szCs w:val="20"/>
        </w:rPr>
      </w:pPr>
      <w:r w:rsidRPr="00722F7C">
        <w:rPr>
          <w:b/>
          <w:bCs/>
        </w:rPr>
        <w:t>software</w:t>
      </w:r>
      <w:r>
        <w:t xml:space="preserve">, sistemi, piattaforme e </w:t>
      </w:r>
      <w:r w:rsidRPr="00BA23DD">
        <w:rPr>
          <w:b/>
          <w:bCs/>
        </w:rPr>
        <w:t xml:space="preserve">applicazioni per il </w:t>
      </w:r>
      <w:proofErr w:type="spellStart"/>
      <w:r w:rsidRPr="00BA23DD">
        <w:rPr>
          <w:b/>
          <w:bCs/>
        </w:rPr>
        <w:t>dispatching</w:t>
      </w:r>
      <w:proofErr w:type="spellEnd"/>
      <w:r w:rsidRPr="00BA23DD">
        <w:rPr>
          <w:b/>
          <w:bCs/>
        </w:rPr>
        <w:t xml:space="preserve"> delle attività</w:t>
      </w:r>
      <w:r>
        <w:t xml:space="preserve"> e l’instradamento dei prodotti nei sistemi produttivi;</w:t>
      </w:r>
    </w:p>
    <w:p w14:paraId="6A4F1FFA" w14:textId="0E2E1AAA" w:rsidR="00722F7C" w:rsidRDefault="00BA23DD" w:rsidP="00AE49EC">
      <w:pPr>
        <w:pStyle w:val="Paragrafoelenco"/>
        <w:numPr>
          <w:ilvl w:val="0"/>
          <w:numId w:val="47"/>
        </w:numPr>
        <w:shd w:val="clear" w:color="auto" w:fill="FFFFFF"/>
        <w:spacing w:line="360" w:lineRule="auto"/>
        <w:jc w:val="both"/>
        <w:rPr>
          <w:rFonts w:cs="Tahoma"/>
          <w:bCs/>
          <w:szCs w:val="20"/>
        </w:rPr>
      </w:pPr>
      <w:r w:rsidRPr="00BA23DD">
        <w:rPr>
          <w:rFonts w:cs="Tahoma"/>
          <w:b/>
          <w:szCs w:val="20"/>
        </w:rPr>
        <w:t>software</w:t>
      </w:r>
      <w:r w:rsidRPr="00BA23DD">
        <w:rPr>
          <w:rFonts w:cs="Tahoma"/>
          <w:bCs/>
          <w:szCs w:val="20"/>
        </w:rPr>
        <w:t xml:space="preserve">, sistemi, piattaforme e applicazioni per la </w:t>
      </w:r>
      <w:r w:rsidRPr="00BA23DD">
        <w:rPr>
          <w:rFonts w:cs="Tahoma"/>
          <w:b/>
          <w:szCs w:val="20"/>
        </w:rPr>
        <w:t>gestione della qualità a livello di sistema produttivo e dei relativi processi</w:t>
      </w:r>
      <w:r w:rsidRPr="00BA23DD">
        <w:rPr>
          <w:rFonts w:cs="Tahoma"/>
          <w:bCs/>
          <w:szCs w:val="20"/>
        </w:rPr>
        <w:t xml:space="preserve">. Si vuole evidenziare che non si fa riferimento a sistemi documentali di qualità, ma a sistemi attivi, in grado ad esempio di analizzare la qualità di prodotto attraverso analisi video per l’individuazione di pattern anomali e la generazione di </w:t>
      </w:r>
      <w:proofErr w:type="spellStart"/>
      <w:r w:rsidRPr="00BA23DD">
        <w:rPr>
          <w:rFonts w:cs="Tahoma"/>
          <w:bCs/>
          <w:szCs w:val="20"/>
        </w:rPr>
        <w:t>alert</w:t>
      </w:r>
      <w:proofErr w:type="spellEnd"/>
      <w:r w:rsidRPr="00BA23DD">
        <w:rPr>
          <w:rFonts w:cs="Tahoma"/>
          <w:bCs/>
          <w:szCs w:val="20"/>
        </w:rPr>
        <w:t xml:space="preserve"> al sistema di gestione della produzione</w:t>
      </w:r>
      <w:r>
        <w:rPr>
          <w:rFonts w:cs="Tahoma"/>
          <w:bCs/>
          <w:szCs w:val="20"/>
        </w:rPr>
        <w:t>;</w:t>
      </w:r>
    </w:p>
    <w:p w14:paraId="19C199EB" w14:textId="6F948DC8" w:rsidR="00BA23DD" w:rsidRDefault="00BA23DD" w:rsidP="00AE49EC">
      <w:pPr>
        <w:pStyle w:val="Paragrafoelenco"/>
        <w:numPr>
          <w:ilvl w:val="0"/>
          <w:numId w:val="47"/>
        </w:numPr>
        <w:shd w:val="clear" w:color="auto" w:fill="FFFFFF"/>
        <w:spacing w:line="360" w:lineRule="auto"/>
        <w:jc w:val="both"/>
        <w:rPr>
          <w:rFonts w:cs="Tahoma"/>
          <w:bCs/>
          <w:szCs w:val="20"/>
        </w:rPr>
      </w:pPr>
      <w:r w:rsidRPr="00BA23DD">
        <w:rPr>
          <w:rFonts w:cs="Tahoma"/>
          <w:bCs/>
          <w:szCs w:val="20"/>
        </w:rPr>
        <w:t xml:space="preserve">software, sistemi, piattaforme e </w:t>
      </w:r>
      <w:r w:rsidRPr="00BA23DD">
        <w:rPr>
          <w:rFonts w:cs="Tahoma"/>
          <w:b/>
          <w:szCs w:val="20"/>
        </w:rPr>
        <w:t>applicazioni per l’accesso a un insieme virtualizzato</w:t>
      </w:r>
      <w:r w:rsidRPr="00BA23DD">
        <w:rPr>
          <w:rFonts w:cs="Tahoma"/>
          <w:bCs/>
          <w:szCs w:val="20"/>
        </w:rPr>
        <w:t xml:space="preserve">, condiviso e configurabile di risorse </w:t>
      </w:r>
      <w:r w:rsidRPr="00BA23DD">
        <w:rPr>
          <w:rFonts w:cs="Tahoma"/>
          <w:b/>
          <w:szCs w:val="20"/>
        </w:rPr>
        <w:t xml:space="preserve">a supporto di processi produttivi </w:t>
      </w:r>
      <w:r w:rsidRPr="00BA23DD">
        <w:rPr>
          <w:rFonts w:cs="Tahoma"/>
          <w:bCs/>
          <w:szCs w:val="20"/>
        </w:rPr>
        <w:t xml:space="preserve">e di </w:t>
      </w:r>
      <w:r w:rsidRPr="00BA23DD">
        <w:rPr>
          <w:rFonts w:cs="Tahoma"/>
          <w:b/>
          <w:szCs w:val="20"/>
        </w:rPr>
        <w:t>gestione della produzione e/o della supply chain</w:t>
      </w:r>
      <w:r w:rsidRPr="00BA23DD">
        <w:rPr>
          <w:rFonts w:cs="Tahoma"/>
          <w:bCs/>
          <w:szCs w:val="20"/>
        </w:rPr>
        <w:t xml:space="preserve"> (</w:t>
      </w:r>
      <w:r w:rsidRPr="00BA23DD">
        <w:rPr>
          <w:rFonts w:cs="Tahoma"/>
          <w:b/>
          <w:szCs w:val="20"/>
        </w:rPr>
        <w:t>cloud computing</w:t>
      </w:r>
      <w:r w:rsidRPr="00BA23DD">
        <w:rPr>
          <w:rFonts w:cs="Tahoma"/>
          <w:bCs/>
          <w:szCs w:val="20"/>
        </w:rPr>
        <w:t xml:space="preserve">). Sono compresi in questa categoria </w:t>
      </w:r>
      <w:r w:rsidRPr="00BA23DD">
        <w:rPr>
          <w:rFonts w:cs="Tahoma"/>
          <w:b/>
          <w:szCs w:val="20"/>
        </w:rPr>
        <w:t>anche le componenti necessarie per garantire l’interconnessione dei sistemi</w:t>
      </w:r>
      <w:r w:rsidRPr="00BA23DD">
        <w:rPr>
          <w:rFonts w:cs="Tahoma"/>
          <w:bCs/>
          <w:szCs w:val="20"/>
        </w:rPr>
        <w:t>, come connettori e service bus;</w:t>
      </w:r>
    </w:p>
    <w:p w14:paraId="4A337D5A" w14:textId="08E746EE" w:rsidR="00596F9E" w:rsidRDefault="00596F9E" w:rsidP="00BA23DD">
      <w:pPr>
        <w:pStyle w:val="Paragrafoelenco"/>
        <w:shd w:val="clear" w:color="auto" w:fill="FFFFFF"/>
        <w:spacing w:line="360" w:lineRule="auto"/>
        <w:ind w:left="1416"/>
        <w:jc w:val="both"/>
        <w:rPr>
          <w:rFonts w:cs="Tahoma"/>
          <w:bCs/>
          <w:szCs w:val="20"/>
        </w:rPr>
      </w:pPr>
    </w:p>
    <w:p w14:paraId="311028DE" w14:textId="2B98C5DE" w:rsidR="00BA23DD" w:rsidRDefault="00596F9E" w:rsidP="00BA23DD">
      <w:pPr>
        <w:pStyle w:val="Paragrafoelenco"/>
        <w:shd w:val="clear" w:color="auto" w:fill="FFFFFF"/>
        <w:spacing w:line="360" w:lineRule="auto"/>
        <w:ind w:left="1416"/>
        <w:jc w:val="both"/>
        <w:rPr>
          <w:rFonts w:cs="Tahoma"/>
          <w:bCs/>
          <w:szCs w:val="20"/>
        </w:rPr>
      </w:pPr>
      <w:r>
        <w:rPr>
          <w:noProof/>
        </w:rPr>
        <w:drawing>
          <wp:anchor distT="0" distB="0" distL="114300" distR="114300" simplePos="0" relativeHeight="251804160" behindDoc="0" locked="0" layoutInCell="1" allowOverlap="1" wp14:anchorId="5562D9D5" wp14:editId="3CAFF5F3">
            <wp:simplePos x="0" y="0"/>
            <wp:positionH relativeFrom="column">
              <wp:posOffset>160655</wp:posOffset>
            </wp:positionH>
            <wp:positionV relativeFrom="paragraph">
              <wp:posOffset>53432</wp:posOffset>
            </wp:positionV>
            <wp:extent cx="914400" cy="914400"/>
            <wp:effectExtent l="0" t="0" r="0" b="0"/>
            <wp:wrapSquare wrapText="bothSides"/>
            <wp:docPr id="36" name="Elemento grafico 36"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BA23DD" w:rsidRPr="00BA23DD">
        <w:rPr>
          <w:rFonts w:cs="Tahoma"/>
          <w:bCs/>
          <w:szCs w:val="20"/>
        </w:rPr>
        <w:t xml:space="preserve">Nel caso in cui una impresa acquisti un </w:t>
      </w:r>
      <w:r w:rsidR="00BA23DD" w:rsidRPr="00BA23DD">
        <w:rPr>
          <w:rFonts w:cs="Tahoma"/>
          <w:b/>
          <w:szCs w:val="20"/>
        </w:rPr>
        <w:t>sistema ERP</w:t>
      </w:r>
      <w:r w:rsidR="00BA23DD" w:rsidRPr="00BA23DD">
        <w:rPr>
          <w:rFonts w:cs="Tahoma"/>
          <w:bCs/>
          <w:szCs w:val="20"/>
        </w:rPr>
        <w:t xml:space="preserve">, </w:t>
      </w:r>
      <w:r w:rsidR="00BA23DD" w:rsidRPr="00BA23DD">
        <w:rPr>
          <w:rFonts w:cs="Tahoma"/>
          <w:b/>
          <w:szCs w:val="20"/>
        </w:rPr>
        <w:t>i soli moduli di gestione della produzione o della supply chain</w:t>
      </w:r>
      <w:r w:rsidR="00BA23DD" w:rsidRPr="00BA23DD">
        <w:rPr>
          <w:rFonts w:cs="Tahoma"/>
          <w:bCs/>
          <w:szCs w:val="20"/>
        </w:rPr>
        <w:t xml:space="preserve">, </w:t>
      </w:r>
      <w:r w:rsidR="00BA23DD" w:rsidRPr="00BA23DD">
        <w:rPr>
          <w:rFonts w:cs="Tahoma"/>
          <w:b/>
          <w:szCs w:val="20"/>
        </w:rPr>
        <w:t>il cui valore deve</w:t>
      </w:r>
      <w:r w:rsidR="00BA23DD" w:rsidRPr="00BA23DD">
        <w:rPr>
          <w:rFonts w:cs="Tahoma"/>
          <w:bCs/>
          <w:szCs w:val="20"/>
        </w:rPr>
        <w:t xml:space="preserve"> quindi, ai fini del calcolo </w:t>
      </w:r>
      <w:r w:rsidR="00BA23DD">
        <w:rPr>
          <w:rFonts w:cs="Tahoma"/>
          <w:bCs/>
          <w:szCs w:val="20"/>
        </w:rPr>
        <w:t>dell’agevolazione</w:t>
      </w:r>
      <w:r w:rsidR="00BA23DD" w:rsidRPr="00BA23DD">
        <w:rPr>
          <w:rFonts w:cs="Tahoma"/>
          <w:bCs/>
          <w:szCs w:val="20"/>
        </w:rPr>
        <w:t xml:space="preserve">, </w:t>
      </w:r>
      <w:r w:rsidR="00BA23DD" w:rsidRPr="00BA23DD">
        <w:rPr>
          <w:rFonts w:cs="Tahoma"/>
          <w:b/>
          <w:szCs w:val="20"/>
        </w:rPr>
        <w:t>essere estrapolato dalle altre funzioni</w:t>
      </w:r>
      <w:r w:rsidR="00BA23DD" w:rsidRPr="00BA23DD">
        <w:rPr>
          <w:rFonts w:cs="Tahoma"/>
          <w:bCs/>
          <w:szCs w:val="20"/>
        </w:rPr>
        <w:t xml:space="preserve"> (i.e. </w:t>
      </w:r>
      <w:r w:rsidR="00BA23DD" w:rsidRPr="00BA23DD">
        <w:rPr>
          <w:rFonts w:cs="Tahoma"/>
          <w:b/>
          <w:szCs w:val="20"/>
        </w:rPr>
        <w:t>amministrazione</w:t>
      </w:r>
      <w:r w:rsidR="00BA23DD" w:rsidRPr="00BA23DD">
        <w:rPr>
          <w:rFonts w:cs="Tahoma"/>
          <w:bCs/>
          <w:szCs w:val="20"/>
        </w:rPr>
        <w:t xml:space="preserve">, </w:t>
      </w:r>
      <w:r w:rsidR="00BA23DD" w:rsidRPr="00BA23DD">
        <w:rPr>
          <w:rFonts w:cs="Tahoma"/>
          <w:b/>
          <w:szCs w:val="20"/>
        </w:rPr>
        <w:t>finanza</w:t>
      </w:r>
      <w:r w:rsidR="00BA23DD" w:rsidRPr="00BA23DD">
        <w:rPr>
          <w:rFonts w:cs="Tahoma"/>
          <w:bCs/>
          <w:szCs w:val="20"/>
        </w:rPr>
        <w:t>, ecc.) possono essere</w:t>
      </w:r>
      <w:r w:rsidR="00BA23DD">
        <w:rPr>
          <w:rFonts w:cs="Tahoma"/>
          <w:bCs/>
          <w:szCs w:val="20"/>
        </w:rPr>
        <w:t xml:space="preserve"> </w:t>
      </w:r>
      <w:r w:rsidR="00BA23DD" w:rsidRPr="00BA23DD">
        <w:rPr>
          <w:rFonts w:cs="Tahoma"/>
          <w:bCs/>
          <w:szCs w:val="20"/>
        </w:rPr>
        <w:t>oggetto del beneficio fiscale in quanto rientrano in tale</w:t>
      </w:r>
      <w:r w:rsidR="00BA23DD">
        <w:rPr>
          <w:rFonts w:cs="Tahoma"/>
          <w:bCs/>
          <w:szCs w:val="20"/>
        </w:rPr>
        <w:t xml:space="preserve"> </w:t>
      </w:r>
      <w:r w:rsidR="00BA23DD" w:rsidRPr="00BA23DD">
        <w:rPr>
          <w:rFonts w:cs="Tahoma"/>
          <w:bCs/>
          <w:szCs w:val="20"/>
        </w:rPr>
        <w:t>voce.</w:t>
      </w:r>
    </w:p>
    <w:p w14:paraId="2FD13DA5" w14:textId="77777777" w:rsidR="00596F9E" w:rsidRPr="00722F7C" w:rsidRDefault="00596F9E" w:rsidP="00BA23DD">
      <w:pPr>
        <w:pStyle w:val="Paragrafoelenco"/>
        <w:shd w:val="clear" w:color="auto" w:fill="FFFFFF"/>
        <w:spacing w:line="360" w:lineRule="auto"/>
        <w:ind w:left="1416"/>
        <w:jc w:val="both"/>
        <w:rPr>
          <w:rFonts w:cs="Tahoma"/>
          <w:bCs/>
          <w:szCs w:val="20"/>
        </w:rPr>
      </w:pPr>
    </w:p>
    <w:p w14:paraId="6D733F83" w14:textId="77777777" w:rsidR="00BA23DD" w:rsidRPr="00BA23DD" w:rsidRDefault="00BA23DD" w:rsidP="00AE49EC">
      <w:pPr>
        <w:pStyle w:val="Paragrafoelenco"/>
        <w:numPr>
          <w:ilvl w:val="0"/>
          <w:numId w:val="47"/>
        </w:numPr>
        <w:shd w:val="clear" w:color="auto" w:fill="FFFFFF"/>
        <w:spacing w:line="360" w:lineRule="auto"/>
        <w:jc w:val="both"/>
        <w:rPr>
          <w:rFonts w:cs="Tahoma"/>
          <w:bCs/>
          <w:szCs w:val="20"/>
        </w:rPr>
      </w:pPr>
      <w:r w:rsidRPr="00BA23DD">
        <w:rPr>
          <w:rFonts w:cs="Tahoma"/>
          <w:b/>
          <w:szCs w:val="20"/>
        </w:rPr>
        <w:t>software</w:t>
      </w:r>
      <w:r w:rsidRPr="00BA23DD">
        <w:rPr>
          <w:rFonts w:cs="Tahoma"/>
          <w:bCs/>
          <w:szCs w:val="20"/>
        </w:rPr>
        <w:t xml:space="preserve">, sistemi, piattaforme e </w:t>
      </w:r>
      <w:r w:rsidRPr="00BA23DD">
        <w:rPr>
          <w:rFonts w:cs="Tahoma"/>
          <w:b/>
          <w:szCs w:val="20"/>
        </w:rPr>
        <w:t>applicazioni per industrial analytics</w:t>
      </w:r>
      <w:r w:rsidRPr="00BA23DD">
        <w:rPr>
          <w:rFonts w:cs="Tahoma"/>
          <w:bCs/>
          <w:szCs w:val="20"/>
        </w:rPr>
        <w:t xml:space="preserve"> dedicati al </w:t>
      </w:r>
      <w:r w:rsidRPr="00BA23DD">
        <w:rPr>
          <w:rFonts w:cs="Tahoma"/>
          <w:b/>
          <w:szCs w:val="20"/>
        </w:rPr>
        <w:t xml:space="preserve">trattamento e all’elaborazione dei big data </w:t>
      </w:r>
      <w:r w:rsidRPr="00BA23DD">
        <w:rPr>
          <w:rFonts w:cs="Tahoma"/>
          <w:bCs/>
          <w:szCs w:val="20"/>
        </w:rPr>
        <w:t xml:space="preserve">provenienti dalla </w:t>
      </w:r>
      <w:r w:rsidRPr="00BA23DD">
        <w:rPr>
          <w:rFonts w:cs="Tahoma"/>
          <w:b/>
          <w:szCs w:val="20"/>
        </w:rPr>
        <w:t>sensoristica IoT</w:t>
      </w:r>
      <w:r w:rsidRPr="00BA23DD">
        <w:rPr>
          <w:rFonts w:cs="Tahoma"/>
          <w:bCs/>
          <w:szCs w:val="20"/>
        </w:rPr>
        <w:t xml:space="preserve"> applicata in ambito industriale (Data Analytics &amp; </w:t>
      </w:r>
      <w:proofErr w:type="spellStart"/>
      <w:r w:rsidRPr="00BA23DD">
        <w:rPr>
          <w:rFonts w:cs="Tahoma"/>
          <w:bCs/>
          <w:szCs w:val="20"/>
        </w:rPr>
        <w:t>Visualization</w:t>
      </w:r>
      <w:proofErr w:type="spellEnd"/>
      <w:r w:rsidRPr="00BA23DD">
        <w:rPr>
          <w:rFonts w:cs="Tahoma"/>
          <w:bCs/>
          <w:szCs w:val="20"/>
        </w:rPr>
        <w:t>, Simulation e Forecasting)</w:t>
      </w:r>
      <w:r>
        <w:rPr>
          <w:rFonts w:cs="Tahoma"/>
          <w:bCs/>
          <w:szCs w:val="20"/>
        </w:rPr>
        <w:t xml:space="preserve">. </w:t>
      </w:r>
      <w:r w:rsidRPr="00BA23DD">
        <w:rPr>
          <w:b/>
          <w:bCs/>
        </w:rPr>
        <w:t>Esempi</w:t>
      </w:r>
      <w:r>
        <w:t xml:space="preserve"> sono piattaforme con le seguenti capacità:</w:t>
      </w:r>
    </w:p>
    <w:p w14:paraId="19FBDD15" w14:textId="77777777" w:rsidR="00BA23DD" w:rsidRPr="00596F9E" w:rsidRDefault="00BA23DD" w:rsidP="00AE49EC">
      <w:pPr>
        <w:pStyle w:val="Paragrafoelenco"/>
        <w:numPr>
          <w:ilvl w:val="0"/>
          <w:numId w:val="58"/>
        </w:numPr>
        <w:shd w:val="clear" w:color="auto" w:fill="FFFFFF"/>
        <w:spacing w:line="360" w:lineRule="auto"/>
        <w:ind w:left="1276"/>
        <w:jc w:val="both"/>
        <w:rPr>
          <w:rFonts w:cs="Tahoma"/>
          <w:bCs/>
          <w:szCs w:val="20"/>
        </w:rPr>
      </w:pPr>
      <w:r w:rsidRPr="00596F9E">
        <w:rPr>
          <w:b/>
          <w:bCs/>
        </w:rPr>
        <w:t>archiviazione</w:t>
      </w:r>
      <w:r>
        <w:t xml:space="preserve">, </w:t>
      </w:r>
      <w:r w:rsidRPr="00596F9E">
        <w:rPr>
          <w:b/>
          <w:bCs/>
        </w:rPr>
        <w:t>reporting</w:t>
      </w:r>
      <w:r>
        <w:t xml:space="preserve"> e </w:t>
      </w:r>
      <w:r w:rsidRPr="00596F9E">
        <w:rPr>
          <w:b/>
          <w:bCs/>
        </w:rPr>
        <w:t>analisi delle informazioni</w:t>
      </w:r>
      <w:r>
        <w:t xml:space="preserve"> e della </w:t>
      </w:r>
      <w:r w:rsidRPr="00596F9E">
        <w:rPr>
          <w:b/>
          <w:bCs/>
        </w:rPr>
        <w:t>gestione dei dati non strutturati</w:t>
      </w:r>
      <w:r>
        <w:t xml:space="preserve"> (audio, video, immagini);</w:t>
      </w:r>
    </w:p>
    <w:p w14:paraId="7E0F9F60" w14:textId="77777777" w:rsidR="00BA23DD" w:rsidRPr="00596F9E" w:rsidRDefault="00BA23DD" w:rsidP="00AE49EC">
      <w:pPr>
        <w:pStyle w:val="Paragrafoelenco"/>
        <w:numPr>
          <w:ilvl w:val="0"/>
          <w:numId w:val="58"/>
        </w:numPr>
        <w:shd w:val="clear" w:color="auto" w:fill="FFFFFF"/>
        <w:spacing w:line="360" w:lineRule="auto"/>
        <w:ind w:left="1276"/>
        <w:jc w:val="both"/>
        <w:rPr>
          <w:rFonts w:cs="Tahoma"/>
          <w:bCs/>
          <w:szCs w:val="20"/>
        </w:rPr>
      </w:pPr>
      <w:r w:rsidRPr="00596F9E">
        <w:rPr>
          <w:b/>
          <w:bCs/>
        </w:rPr>
        <w:t>capacità di acquisire</w:t>
      </w:r>
      <w:r>
        <w:t xml:space="preserve"> ed </w:t>
      </w:r>
      <w:r w:rsidRPr="00596F9E">
        <w:rPr>
          <w:b/>
          <w:bCs/>
        </w:rPr>
        <w:t>elaborare dati tramite protocolli</w:t>
      </w:r>
      <w:r>
        <w:t xml:space="preserve"> ad alte performance di messaggistica (es: MQTT);</w:t>
      </w:r>
    </w:p>
    <w:p w14:paraId="469B2173" w14:textId="77777777" w:rsidR="0099062E" w:rsidRPr="00596F9E" w:rsidRDefault="00BA23DD" w:rsidP="00AE49EC">
      <w:pPr>
        <w:pStyle w:val="Paragrafoelenco"/>
        <w:numPr>
          <w:ilvl w:val="0"/>
          <w:numId w:val="58"/>
        </w:numPr>
        <w:shd w:val="clear" w:color="auto" w:fill="FFFFFF"/>
        <w:spacing w:line="360" w:lineRule="auto"/>
        <w:ind w:left="1276"/>
        <w:jc w:val="both"/>
        <w:rPr>
          <w:rFonts w:cs="Tahoma"/>
          <w:bCs/>
          <w:szCs w:val="20"/>
        </w:rPr>
      </w:pPr>
      <w:r w:rsidRPr="00596F9E">
        <w:rPr>
          <w:b/>
          <w:bCs/>
        </w:rPr>
        <w:t>capacità di persistere dati su basi dati altamente scalabili</w:t>
      </w:r>
      <w:r>
        <w:t xml:space="preserve"> </w:t>
      </w:r>
      <w:r w:rsidRPr="00596F9E">
        <w:rPr>
          <w:b/>
          <w:bCs/>
        </w:rPr>
        <w:t>e performanti</w:t>
      </w:r>
      <w:r>
        <w:t xml:space="preserve"> (es: Data Lake, DB </w:t>
      </w:r>
      <w:proofErr w:type="spellStart"/>
      <w:r>
        <w:t>NoSQL</w:t>
      </w:r>
      <w:proofErr w:type="spellEnd"/>
      <w:r>
        <w:t xml:space="preserve"> e </w:t>
      </w:r>
      <w:proofErr w:type="spellStart"/>
      <w:r>
        <w:t>NewSQL</w:t>
      </w:r>
      <w:proofErr w:type="spellEnd"/>
      <w:r>
        <w:t>, piattaforme specializzate su big data);</w:t>
      </w:r>
    </w:p>
    <w:p w14:paraId="152C32F7" w14:textId="41D5F79D" w:rsidR="00021AA7" w:rsidRPr="00596F9E" w:rsidRDefault="00BA23DD" w:rsidP="00AE49EC">
      <w:pPr>
        <w:pStyle w:val="Paragrafoelenco"/>
        <w:numPr>
          <w:ilvl w:val="0"/>
          <w:numId w:val="58"/>
        </w:numPr>
        <w:shd w:val="clear" w:color="auto" w:fill="FFFFFF"/>
        <w:spacing w:line="360" w:lineRule="auto"/>
        <w:ind w:left="1276" w:hanging="357"/>
        <w:contextualSpacing w:val="0"/>
        <w:jc w:val="both"/>
        <w:rPr>
          <w:rFonts w:cs="Tahoma"/>
          <w:bCs/>
          <w:szCs w:val="20"/>
        </w:rPr>
      </w:pPr>
      <w:r w:rsidRPr="00596F9E">
        <w:rPr>
          <w:b/>
          <w:bCs/>
        </w:rPr>
        <w:t xml:space="preserve">capacità di analizzare serie storiche mediante algoritmi data </w:t>
      </w:r>
      <w:proofErr w:type="spellStart"/>
      <w:r w:rsidRPr="00596F9E">
        <w:rPr>
          <w:b/>
          <w:bCs/>
        </w:rPr>
        <w:t>driven</w:t>
      </w:r>
      <w:proofErr w:type="spellEnd"/>
      <w:r>
        <w:t xml:space="preserve"> (machine learning e/o deep learning), applicando </w:t>
      </w:r>
      <w:r w:rsidRPr="00596F9E">
        <w:rPr>
          <w:b/>
          <w:bCs/>
        </w:rPr>
        <w:t>modelli statistici di tipo sia predittivo che cognitivo</w:t>
      </w:r>
      <w:r>
        <w:t>, dedicati al monitoraggio dello stato di salute di impianti e attrezzature, alla previsione dei livelli di degrado prestazionale o di guasto, alternativi ai piani manutentivi</w:t>
      </w:r>
      <w:r w:rsidR="0099062E">
        <w:t xml:space="preserve"> </w:t>
      </w:r>
      <w:r>
        <w:t>tradizionali;</w:t>
      </w:r>
    </w:p>
    <w:p w14:paraId="0065DF94" w14:textId="184BD323" w:rsidR="0099062E" w:rsidRDefault="0099062E" w:rsidP="00AE49EC">
      <w:pPr>
        <w:pStyle w:val="Paragrafoelenco"/>
        <w:numPr>
          <w:ilvl w:val="0"/>
          <w:numId w:val="47"/>
        </w:numPr>
        <w:shd w:val="clear" w:color="auto" w:fill="FFFFFF"/>
        <w:spacing w:line="360" w:lineRule="auto"/>
        <w:jc w:val="both"/>
        <w:rPr>
          <w:rFonts w:cs="Tahoma"/>
          <w:bCs/>
          <w:szCs w:val="20"/>
        </w:rPr>
      </w:pPr>
      <w:r w:rsidRPr="0099062E">
        <w:rPr>
          <w:rFonts w:cs="Tahoma"/>
          <w:b/>
          <w:szCs w:val="20"/>
        </w:rPr>
        <w:lastRenderedPageBreak/>
        <w:t>software</w:t>
      </w:r>
      <w:r w:rsidRPr="0099062E">
        <w:rPr>
          <w:rFonts w:cs="Tahoma"/>
          <w:bCs/>
          <w:szCs w:val="20"/>
        </w:rPr>
        <w:t xml:space="preserve">, sistemi, piattaforme e </w:t>
      </w:r>
      <w:r w:rsidRPr="0099062E">
        <w:rPr>
          <w:rFonts w:cs="Tahoma"/>
          <w:b/>
          <w:szCs w:val="20"/>
        </w:rPr>
        <w:t xml:space="preserve">applicazioni di </w:t>
      </w:r>
      <w:proofErr w:type="spellStart"/>
      <w:r w:rsidRPr="0099062E">
        <w:rPr>
          <w:rFonts w:cs="Tahoma"/>
          <w:b/>
          <w:szCs w:val="20"/>
        </w:rPr>
        <w:t>artificial</w:t>
      </w:r>
      <w:proofErr w:type="spellEnd"/>
      <w:r w:rsidRPr="0099062E">
        <w:rPr>
          <w:rFonts w:cs="Tahoma"/>
          <w:b/>
          <w:szCs w:val="20"/>
        </w:rPr>
        <w:t xml:space="preserve"> intelligence &amp; machine learning</w:t>
      </w:r>
      <w:r w:rsidRPr="0099062E">
        <w:rPr>
          <w:rFonts w:cs="Tahoma"/>
          <w:bCs/>
          <w:szCs w:val="20"/>
        </w:rPr>
        <w:t xml:space="preserve"> che consentono alle macchine di mostrare un’abilità e/o attività intelligente in campi specifici a garanzia della qualità del processo produttivo e del funzionamento affidabile del macchinario e/o dell’impianto. Si vuole precisare che </w:t>
      </w:r>
      <w:r w:rsidRPr="0099062E">
        <w:rPr>
          <w:rFonts w:cs="Tahoma"/>
          <w:b/>
          <w:szCs w:val="20"/>
        </w:rPr>
        <w:t>il machine learning è un processo di analisi dati che ha come output il tuning di algoritmi in grado di descrivere statisticamente il comportamento di un sistema</w:t>
      </w:r>
      <w:r w:rsidRPr="0099062E">
        <w:rPr>
          <w:rFonts w:cs="Tahoma"/>
          <w:bCs/>
          <w:szCs w:val="20"/>
        </w:rPr>
        <w:t>. Tale output viene utilizzato per dare ai sistemi abilità di previsione. Questo punto descrive piattaforme che utilizzano tale abilità, mentre il punto precedente è relativo a sistemi in grado di produrre tale abilità;</w:t>
      </w:r>
    </w:p>
    <w:p w14:paraId="2FEFA854" w14:textId="5DC1B9CA" w:rsidR="0099062E" w:rsidRDefault="0099062E" w:rsidP="00AE49EC">
      <w:pPr>
        <w:pStyle w:val="Paragrafoelenco"/>
        <w:numPr>
          <w:ilvl w:val="0"/>
          <w:numId w:val="47"/>
        </w:numPr>
        <w:shd w:val="clear" w:color="auto" w:fill="FFFFFF"/>
        <w:spacing w:line="360" w:lineRule="auto"/>
        <w:jc w:val="both"/>
        <w:rPr>
          <w:rFonts w:cs="Tahoma"/>
          <w:bCs/>
          <w:szCs w:val="20"/>
        </w:rPr>
      </w:pPr>
      <w:r w:rsidRPr="0099062E">
        <w:rPr>
          <w:rFonts w:cs="Tahoma"/>
          <w:b/>
          <w:szCs w:val="20"/>
        </w:rPr>
        <w:t>software</w:t>
      </w:r>
      <w:r w:rsidRPr="0099062E">
        <w:rPr>
          <w:rFonts w:cs="Tahoma"/>
          <w:bCs/>
          <w:szCs w:val="20"/>
        </w:rPr>
        <w:t xml:space="preserve">, sistemi, piattaforme e applicazioni per la </w:t>
      </w:r>
      <w:r w:rsidRPr="0099062E">
        <w:rPr>
          <w:rFonts w:cs="Tahoma"/>
          <w:b/>
          <w:szCs w:val="20"/>
        </w:rPr>
        <w:t>produzione automatizzata e intelligente</w:t>
      </w:r>
      <w:r w:rsidRPr="0099062E">
        <w:rPr>
          <w:rFonts w:cs="Tahoma"/>
          <w:bCs/>
          <w:szCs w:val="20"/>
        </w:rPr>
        <w:t>, caratterizzata da elevata capacità cognitiva, interazione e adattamento al contesto, autoapprendimento e riconfigurabilità (</w:t>
      </w:r>
      <w:proofErr w:type="spellStart"/>
      <w:r w:rsidRPr="0099062E">
        <w:rPr>
          <w:rFonts w:cs="Tahoma"/>
          <w:bCs/>
          <w:szCs w:val="20"/>
        </w:rPr>
        <w:t>cybersystem</w:t>
      </w:r>
      <w:proofErr w:type="spellEnd"/>
      <w:r w:rsidRPr="0099062E">
        <w:rPr>
          <w:rFonts w:cs="Tahoma"/>
          <w:bCs/>
          <w:szCs w:val="20"/>
        </w:rPr>
        <w:t>). Ne sono esempi le piattaforme in grado di analizzare l’ambiente attraverso i dati provenienti dai sensori ed effettuare una continua ottimizzazione dei sistemi decisionali, predittivi e d’interazione basati su deep e machine learning;</w:t>
      </w:r>
    </w:p>
    <w:p w14:paraId="6C0174AA" w14:textId="4706FA7C" w:rsidR="0099062E" w:rsidRDefault="0099062E" w:rsidP="00AE49EC">
      <w:pPr>
        <w:pStyle w:val="Paragrafoelenco"/>
        <w:numPr>
          <w:ilvl w:val="0"/>
          <w:numId w:val="47"/>
        </w:numPr>
        <w:shd w:val="clear" w:color="auto" w:fill="FFFFFF"/>
        <w:spacing w:line="360" w:lineRule="auto"/>
        <w:jc w:val="both"/>
        <w:rPr>
          <w:rFonts w:cs="Tahoma"/>
          <w:bCs/>
          <w:szCs w:val="20"/>
        </w:rPr>
      </w:pPr>
      <w:r w:rsidRPr="0099062E">
        <w:rPr>
          <w:rFonts w:cs="Tahoma"/>
          <w:b/>
          <w:szCs w:val="20"/>
        </w:rPr>
        <w:t>software</w:t>
      </w:r>
      <w:r w:rsidRPr="0099062E">
        <w:rPr>
          <w:rFonts w:cs="Tahoma"/>
          <w:bCs/>
          <w:szCs w:val="20"/>
        </w:rPr>
        <w:t xml:space="preserve">, sistemi, piattaforme e </w:t>
      </w:r>
      <w:r w:rsidRPr="0099062E">
        <w:rPr>
          <w:rFonts w:cs="Tahoma"/>
          <w:b/>
          <w:szCs w:val="20"/>
        </w:rPr>
        <w:t>applicazioni per l’utilizzo lungo le linee produttive di robot</w:t>
      </w:r>
      <w:r w:rsidRPr="0099062E">
        <w:rPr>
          <w:rFonts w:cs="Tahoma"/>
          <w:bCs/>
          <w:szCs w:val="20"/>
        </w:rPr>
        <w:t>, robot collaborativi e macchine intelligenti per la sicurezza e la salute dei lavoratori, la qualità dei prodotti finali e la manutenzione predittiva. Si tratta ad esempio dei sistemi che governano l’interazione di robot con l’ambiente circostante;</w:t>
      </w:r>
    </w:p>
    <w:p w14:paraId="71C43D96" w14:textId="2CE6A971" w:rsidR="0099062E" w:rsidRDefault="0099062E" w:rsidP="00AE49EC">
      <w:pPr>
        <w:pStyle w:val="Paragrafoelenco"/>
        <w:numPr>
          <w:ilvl w:val="0"/>
          <w:numId w:val="47"/>
        </w:numPr>
        <w:shd w:val="clear" w:color="auto" w:fill="FFFFFF"/>
        <w:spacing w:line="360" w:lineRule="auto"/>
        <w:jc w:val="both"/>
        <w:rPr>
          <w:rFonts w:cs="Tahoma"/>
          <w:bCs/>
          <w:szCs w:val="20"/>
        </w:rPr>
      </w:pPr>
      <w:r w:rsidRPr="0099062E">
        <w:rPr>
          <w:rFonts w:cs="Tahoma"/>
          <w:b/>
          <w:szCs w:val="20"/>
        </w:rPr>
        <w:t>software</w:t>
      </w:r>
      <w:r w:rsidRPr="0099062E">
        <w:rPr>
          <w:rFonts w:cs="Tahoma"/>
          <w:bCs/>
          <w:szCs w:val="20"/>
        </w:rPr>
        <w:t xml:space="preserve">, sistemi, piattaforme e </w:t>
      </w:r>
      <w:r w:rsidRPr="0099062E">
        <w:rPr>
          <w:rFonts w:cs="Tahoma"/>
          <w:b/>
          <w:szCs w:val="20"/>
        </w:rPr>
        <w:t>applicazioni per la gestione della realtà aumentata tramite wearable device</w:t>
      </w:r>
      <w:r w:rsidRPr="0099062E">
        <w:rPr>
          <w:rFonts w:cs="Tahoma"/>
          <w:bCs/>
          <w:szCs w:val="20"/>
        </w:rPr>
        <w:t>. Si sottolinea che in questa categoria si trovano sia sistemi operativi e applicazioni per visori di realtà aumentata e virtuale, ma anche di altri wearable (braccialetti, orologi, giubbotti, ecc.) che permettano di interagire nel sistema cyberfisico. In questo perimetro si trovano anche applicazioni per smartphone e tablet che abbiano queste caratteristiche</w:t>
      </w:r>
      <w:r>
        <w:rPr>
          <w:rFonts w:cs="Tahoma"/>
          <w:bCs/>
          <w:szCs w:val="20"/>
        </w:rPr>
        <w:t>;</w:t>
      </w:r>
    </w:p>
    <w:p w14:paraId="27FF1A1C" w14:textId="455B6726" w:rsidR="0099062E" w:rsidRDefault="0099062E" w:rsidP="00AE49EC">
      <w:pPr>
        <w:pStyle w:val="Paragrafoelenco"/>
        <w:numPr>
          <w:ilvl w:val="0"/>
          <w:numId w:val="47"/>
        </w:numPr>
        <w:shd w:val="clear" w:color="auto" w:fill="FFFFFF"/>
        <w:spacing w:line="360" w:lineRule="auto"/>
        <w:jc w:val="both"/>
        <w:rPr>
          <w:rFonts w:cs="Tahoma"/>
          <w:bCs/>
          <w:szCs w:val="20"/>
        </w:rPr>
      </w:pPr>
      <w:r w:rsidRPr="0099062E">
        <w:rPr>
          <w:rFonts w:cs="Tahoma"/>
          <w:b/>
          <w:szCs w:val="20"/>
        </w:rPr>
        <w:t>software</w:t>
      </w:r>
      <w:r w:rsidRPr="0099062E">
        <w:rPr>
          <w:rFonts w:cs="Tahoma"/>
          <w:bCs/>
          <w:szCs w:val="20"/>
        </w:rPr>
        <w:t xml:space="preserve">, sistemi, piattaforme e applicazioni per dispositivi e </w:t>
      </w:r>
      <w:r w:rsidRPr="0099062E">
        <w:rPr>
          <w:rFonts w:cs="Tahoma"/>
          <w:b/>
          <w:szCs w:val="20"/>
        </w:rPr>
        <w:t>nuove interfacce tra uomo e macchina che consentano l’acquisizione</w:t>
      </w:r>
      <w:r w:rsidRPr="0099062E">
        <w:rPr>
          <w:rFonts w:cs="Tahoma"/>
          <w:bCs/>
          <w:szCs w:val="20"/>
        </w:rPr>
        <w:t>, la</w:t>
      </w:r>
      <w:r>
        <w:rPr>
          <w:rFonts w:cs="Tahoma"/>
          <w:bCs/>
          <w:szCs w:val="20"/>
        </w:rPr>
        <w:t xml:space="preserve"> </w:t>
      </w:r>
      <w:r w:rsidRPr="0099062E">
        <w:rPr>
          <w:rFonts w:cs="Tahoma"/>
          <w:bCs/>
          <w:szCs w:val="20"/>
        </w:rPr>
        <w:t>veicolazione e l’elaborazione di informazioni in formato vocale, visuale e tattile. Sono un esempio i sistemi di speech recognition ed eye tracking;</w:t>
      </w:r>
    </w:p>
    <w:p w14:paraId="5E90F84A" w14:textId="2FE563B9" w:rsidR="0099062E" w:rsidRDefault="0099062E" w:rsidP="00AE49EC">
      <w:pPr>
        <w:pStyle w:val="Paragrafoelenco"/>
        <w:numPr>
          <w:ilvl w:val="0"/>
          <w:numId w:val="47"/>
        </w:numPr>
        <w:shd w:val="clear" w:color="auto" w:fill="FFFFFF"/>
        <w:spacing w:line="360" w:lineRule="auto"/>
        <w:jc w:val="both"/>
        <w:rPr>
          <w:rFonts w:cs="Tahoma"/>
          <w:bCs/>
          <w:szCs w:val="20"/>
        </w:rPr>
      </w:pPr>
      <w:r w:rsidRPr="0099062E">
        <w:rPr>
          <w:rFonts w:cs="Tahoma"/>
          <w:b/>
          <w:szCs w:val="20"/>
        </w:rPr>
        <w:t>software</w:t>
      </w:r>
      <w:r w:rsidRPr="0099062E">
        <w:rPr>
          <w:rFonts w:cs="Tahoma"/>
          <w:bCs/>
          <w:szCs w:val="20"/>
        </w:rPr>
        <w:t xml:space="preserve">, sistemi, piattaforme e applicazioni per l’intelligenza degli </w:t>
      </w:r>
      <w:r w:rsidRPr="0099062E">
        <w:rPr>
          <w:rFonts w:cs="Tahoma"/>
          <w:b/>
          <w:szCs w:val="20"/>
        </w:rPr>
        <w:t>impianti che garantiscano meccanismi di efficienza energetica</w:t>
      </w:r>
      <w:r w:rsidRPr="0099062E">
        <w:rPr>
          <w:rFonts w:cs="Tahoma"/>
          <w:bCs/>
          <w:szCs w:val="20"/>
        </w:rPr>
        <w:t xml:space="preserve"> e di </w:t>
      </w:r>
      <w:r w:rsidRPr="0099062E">
        <w:rPr>
          <w:rFonts w:cs="Tahoma"/>
          <w:b/>
          <w:szCs w:val="20"/>
        </w:rPr>
        <w:t>decentralizzazione in cui la produzione e/o lo stoccaggio di energia possono essere anche demandate</w:t>
      </w:r>
      <w:r w:rsidRPr="0099062E">
        <w:rPr>
          <w:rFonts w:cs="Tahoma"/>
          <w:bCs/>
          <w:szCs w:val="20"/>
        </w:rPr>
        <w:t xml:space="preserve"> (almeno parzialmente) </w:t>
      </w:r>
      <w:r w:rsidRPr="0099062E">
        <w:rPr>
          <w:rFonts w:cs="Tahoma"/>
          <w:b/>
          <w:szCs w:val="20"/>
        </w:rPr>
        <w:t>alla fabbrica</w:t>
      </w:r>
      <w:r w:rsidRPr="0099062E">
        <w:rPr>
          <w:rFonts w:cs="Tahoma"/>
          <w:bCs/>
          <w:szCs w:val="20"/>
        </w:rPr>
        <w:t>. Ne sono esempi software per la gestione di smart grid locali e per la rappresentazione digitale dei modelli di consumo energetico dei macchinari</w:t>
      </w:r>
      <w:r>
        <w:rPr>
          <w:rFonts w:cs="Tahoma"/>
          <w:bCs/>
          <w:szCs w:val="20"/>
        </w:rPr>
        <w:t>;</w:t>
      </w:r>
    </w:p>
    <w:p w14:paraId="0E2F7AB0" w14:textId="04C9FB81" w:rsidR="0099062E" w:rsidRPr="000377B1" w:rsidRDefault="0099062E" w:rsidP="00AE49EC">
      <w:pPr>
        <w:pStyle w:val="Paragrafoelenco"/>
        <w:numPr>
          <w:ilvl w:val="0"/>
          <w:numId w:val="47"/>
        </w:numPr>
        <w:shd w:val="clear" w:color="auto" w:fill="FFFFFF"/>
        <w:spacing w:line="360" w:lineRule="auto"/>
        <w:jc w:val="both"/>
        <w:rPr>
          <w:rFonts w:cs="Tahoma"/>
          <w:bCs/>
          <w:szCs w:val="20"/>
        </w:rPr>
      </w:pPr>
      <w:r w:rsidRPr="0099062E">
        <w:rPr>
          <w:b/>
          <w:bCs/>
        </w:rPr>
        <w:t>software</w:t>
      </w:r>
      <w:r>
        <w:t xml:space="preserve">, sistemi, piattaforme e applicazioni per la </w:t>
      </w:r>
      <w:r w:rsidRPr="000377B1">
        <w:rPr>
          <w:b/>
          <w:bCs/>
        </w:rPr>
        <w:t>protezione di reti, dati, programmi, macchine e impianti da attacchi, danni e accessi non autorizzati</w:t>
      </w:r>
      <w:r>
        <w:t xml:space="preserve"> (</w:t>
      </w:r>
      <w:r w:rsidRPr="0099062E">
        <w:rPr>
          <w:b/>
          <w:bCs/>
        </w:rPr>
        <w:t>cybersecurity</w:t>
      </w:r>
      <w:r>
        <w:t>). Alcuni esempi sono i sistemi di controllo degli accessi al sistema informatico, i sistemi di monitoraggio del traffico dati, i sistemi di criptazione dei dati e dei canali di trasmissione, sistemi di gestione della privacy e sicurezza dei dati sensibili, sistemi per l’interazione sicura degli oggetti;</w:t>
      </w:r>
    </w:p>
    <w:p w14:paraId="53C223DB" w14:textId="7B450AFA" w:rsidR="000377B1" w:rsidRDefault="000377B1" w:rsidP="00AE49EC">
      <w:pPr>
        <w:pStyle w:val="Paragrafoelenco"/>
        <w:numPr>
          <w:ilvl w:val="0"/>
          <w:numId w:val="47"/>
        </w:numPr>
        <w:shd w:val="clear" w:color="auto" w:fill="FFFFFF"/>
        <w:spacing w:line="360" w:lineRule="auto"/>
        <w:jc w:val="both"/>
        <w:rPr>
          <w:rFonts w:cs="Tahoma"/>
          <w:bCs/>
          <w:szCs w:val="20"/>
        </w:rPr>
      </w:pPr>
      <w:r w:rsidRPr="000377B1">
        <w:rPr>
          <w:rFonts w:cs="Tahoma"/>
          <w:b/>
          <w:szCs w:val="20"/>
        </w:rPr>
        <w:lastRenderedPageBreak/>
        <w:t>software</w:t>
      </w:r>
      <w:r w:rsidRPr="000377B1">
        <w:rPr>
          <w:rFonts w:cs="Tahoma"/>
          <w:bCs/>
          <w:szCs w:val="20"/>
        </w:rPr>
        <w:t xml:space="preserve">, sistemi, piattaforme e </w:t>
      </w:r>
      <w:r w:rsidRPr="000377B1">
        <w:rPr>
          <w:rFonts w:cs="Tahoma"/>
          <w:b/>
          <w:szCs w:val="20"/>
        </w:rPr>
        <w:t>applicazioni di virtual industrialization</w:t>
      </w:r>
      <w:r w:rsidRPr="000377B1">
        <w:rPr>
          <w:rFonts w:cs="Tahoma"/>
          <w:bCs/>
          <w:szCs w:val="20"/>
        </w:rPr>
        <w:t xml:space="preserve"> che, simulando virtualmente il nuovo ambiente e caricando le informazioni sui sistemi cyberfisici al termine di tutte le verifiche, consentono di evitare ore di test e di fermi macchina lungo le linee produttive reali. Sono tutti i sistemi in grado di definire un digital twin del sistema reale, o attraverso una progettazione digitale di tutte le componenti o attraverso la costruzione della versione digitalizzata di oggetti e processi attraverso analisi data driven, su serie storiche di dati acquisiti</w:t>
      </w:r>
      <w:r w:rsidR="00D61A46">
        <w:rPr>
          <w:rFonts w:cs="Tahoma"/>
          <w:bCs/>
          <w:szCs w:val="20"/>
        </w:rPr>
        <w:t>;</w:t>
      </w:r>
    </w:p>
    <w:p w14:paraId="1B344592" w14:textId="77777777" w:rsidR="00D61A46" w:rsidRDefault="00D61A46" w:rsidP="00AE49EC">
      <w:pPr>
        <w:pStyle w:val="Paragrafoelenco"/>
        <w:numPr>
          <w:ilvl w:val="0"/>
          <w:numId w:val="47"/>
        </w:numPr>
        <w:shd w:val="clear" w:color="auto" w:fill="FFFFFF"/>
        <w:spacing w:line="360" w:lineRule="auto"/>
        <w:jc w:val="both"/>
        <w:rPr>
          <w:rFonts w:cs="Tahoma"/>
          <w:bCs/>
          <w:szCs w:val="20"/>
        </w:rPr>
      </w:pPr>
      <w:r w:rsidRPr="00D61A46">
        <w:rPr>
          <w:rFonts w:cs="Tahoma"/>
          <w:b/>
          <w:szCs w:val="20"/>
        </w:rPr>
        <w:t>software</w:t>
      </w:r>
      <w:r w:rsidRPr="00D61A46">
        <w:rPr>
          <w:rFonts w:cs="Tahoma"/>
          <w:bCs/>
          <w:szCs w:val="20"/>
        </w:rPr>
        <w:t xml:space="preserve">, sistemi, piattaforme e applicazioni per la </w:t>
      </w:r>
      <w:r w:rsidRPr="00D61A46">
        <w:rPr>
          <w:rFonts w:cs="Tahoma"/>
          <w:b/>
          <w:szCs w:val="20"/>
        </w:rPr>
        <w:t>tracciatura e pesatura dei rifiuti</w:t>
      </w:r>
      <w:r w:rsidRPr="00D61A46">
        <w:rPr>
          <w:rFonts w:cs="Tahoma"/>
          <w:bCs/>
          <w:szCs w:val="20"/>
        </w:rPr>
        <w:t>;</w:t>
      </w:r>
    </w:p>
    <w:p w14:paraId="2A8309ED" w14:textId="77777777" w:rsidR="00D61A46" w:rsidRDefault="00D61A46" w:rsidP="00AE49EC">
      <w:pPr>
        <w:pStyle w:val="Paragrafoelenco"/>
        <w:numPr>
          <w:ilvl w:val="0"/>
          <w:numId w:val="47"/>
        </w:numPr>
        <w:shd w:val="clear" w:color="auto" w:fill="FFFFFF"/>
        <w:spacing w:line="360" w:lineRule="auto"/>
        <w:jc w:val="both"/>
        <w:rPr>
          <w:rFonts w:cs="Tahoma"/>
          <w:bCs/>
          <w:szCs w:val="20"/>
        </w:rPr>
      </w:pPr>
      <w:r w:rsidRPr="00D61A46">
        <w:rPr>
          <w:rFonts w:cs="Tahoma"/>
          <w:b/>
          <w:szCs w:val="20"/>
        </w:rPr>
        <w:t>sistemi di</w:t>
      </w:r>
      <w:r w:rsidRPr="00D61A46">
        <w:rPr>
          <w:rFonts w:cs="Tahoma"/>
          <w:bCs/>
          <w:szCs w:val="20"/>
        </w:rPr>
        <w:t xml:space="preserve"> </w:t>
      </w:r>
      <w:r w:rsidRPr="00D61A46">
        <w:rPr>
          <w:rFonts w:cs="Tahoma"/>
          <w:b/>
          <w:szCs w:val="20"/>
        </w:rPr>
        <w:t>gestione della supply chain</w:t>
      </w:r>
      <w:r w:rsidRPr="00D61A46">
        <w:rPr>
          <w:rFonts w:cs="Tahoma"/>
          <w:bCs/>
          <w:szCs w:val="20"/>
        </w:rPr>
        <w:t xml:space="preserve"> finalizzata al </w:t>
      </w:r>
      <w:r w:rsidRPr="00D61A46">
        <w:rPr>
          <w:rFonts w:cs="Tahoma"/>
          <w:b/>
          <w:szCs w:val="20"/>
        </w:rPr>
        <w:t>drop shipping nell’e-commerce</w:t>
      </w:r>
      <w:r w:rsidRPr="00D61A46">
        <w:rPr>
          <w:rFonts w:cs="Tahoma"/>
          <w:bCs/>
          <w:szCs w:val="20"/>
        </w:rPr>
        <w:t>;</w:t>
      </w:r>
    </w:p>
    <w:p w14:paraId="187B615A" w14:textId="77777777" w:rsidR="00D61A46" w:rsidRDefault="00D61A46" w:rsidP="00AE49EC">
      <w:pPr>
        <w:pStyle w:val="Paragrafoelenco"/>
        <w:numPr>
          <w:ilvl w:val="0"/>
          <w:numId w:val="47"/>
        </w:numPr>
        <w:shd w:val="clear" w:color="auto" w:fill="FFFFFF"/>
        <w:spacing w:line="360" w:lineRule="auto"/>
        <w:jc w:val="both"/>
        <w:rPr>
          <w:rFonts w:cs="Tahoma"/>
          <w:bCs/>
          <w:szCs w:val="20"/>
        </w:rPr>
      </w:pPr>
      <w:r w:rsidRPr="00D61A46">
        <w:rPr>
          <w:rFonts w:cs="Tahoma"/>
          <w:b/>
          <w:szCs w:val="20"/>
        </w:rPr>
        <w:t>software</w:t>
      </w:r>
      <w:r w:rsidRPr="00D61A46">
        <w:rPr>
          <w:rFonts w:cs="Tahoma"/>
          <w:bCs/>
          <w:szCs w:val="20"/>
        </w:rPr>
        <w:t xml:space="preserve"> e </w:t>
      </w:r>
      <w:r w:rsidRPr="00D61A46">
        <w:rPr>
          <w:rFonts w:cs="Tahoma"/>
          <w:b/>
          <w:szCs w:val="20"/>
        </w:rPr>
        <w:t>servizi digitali per la fruizione immersiva</w:t>
      </w:r>
      <w:r w:rsidRPr="00D61A46">
        <w:rPr>
          <w:rFonts w:cs="Tahoma"/>
          <w:bCs/>
          <w:szCs w:val="20"/>
        </w:rPr>
        <w:t>, interattiva e partecipativa, ricostruzioni 3D, realtà aumentata;</w:t>
      </w:r>
    </w:p>
    <w:p w14:paraId="4A99393B" w14:textId="6AC778D0" w:rsidR="000377B1" w:rsidRDefault="00D61A46" w:rsidP="00AE49EC">
      <w:pPr>
        <w:pStyle w:val="Paragrafoelenco"/>
        <w:numPr>
          <w:ilvl w:val="0"/>
          <w:numId w:val="47"/>
        </w:numPr>
        <w:shd w:val="clear" w:color="auto" w:fill="FFFFFF"/>
        <w:spacing w:line="360" w:lineRule="auto"/>
        <w:jc w:val="both"/>
        <w:rPr>
          <w:rFonts w:cs="Tahoma"/>
          <w:bCs/>
          <w:szCs w:val="20"/>
        </w:rPr>
      </w:pPr>
      <w:r w:rsidRPr="00D61A46">
        <w:rPr>
          <w:rFonts w:cs="Tahoma"/>
          <w:b/>
          <w:szCs w:val="20"/>
        </w:rPr>
        <w:t>software</w:t>
      </w:r>
      <w:r w:rsidRPr="00D61A46">
        <w:rPr>
          <w:rFonts w:cs="Tahoma"/>
          <w:bCs/>
          <w:szCs w:val="20"/>
        </w:rPr>
        <w:t xml:space="preserve">, piattaforme e applicazioni per la gestione e il coordinamento della logistica con </w:t>
      </w:r>
      <w:r w:rsidRPr="00D61A46">
        <w:rPr>
          <w:rFonts w:cs="Tahoma"/>
          <w:b/>
          <w:szCs w:val="20"/>
        </w:rPr>
        <w:t>elevate caratteristiche di integrazione delle attività di servizio</w:t>
      </w:r>
      <w:r w:rsidRPr="00D61A46">
        <w:rPr>
          <w:rFonts w:cs="Tahoma"/>
          <w:bCs/>
          <w:szCs w:val="20"/>
        </w:rPr>
        <w:t xml:space="preserve"> (comunicazione intra-fabbrica, fabbrica</w:t>
      </w:r>
      <w:r w:rsidR="005760DF">
        <w:rPr>
          <w:rFonts w:cs="Tahoma"/>
          <w:bCs/>
          <w:szCs w:val="20"/>
        </w:rPr>
        <w:t>-</w:t>
      </w:r>
      <w:r w:rsidRPr="00D61A46">
        <w:rPr>
          <w:rFonts w:cs="Tahoma"/>
          <w:bCs/>
          <w:szCs w:val="20"/>
        </w:rPr>
        <w:t>campo con integrazione telematica dei dispositivi on-field e dei dispositivi mobili, rilevazione telematica di prestazioni e guasti dei dispositivi on-field).</w:t>
      </w:r>
    </w:p>
    <w:p w14:paraId="37961CBF" w14:textId="77777777" w:rsidR="00D61A46" w:rsidRPr="00D61A46" w:rsidRDefault="00D61A46" w:rsidP="00D61A46">
      <w:pPr>
        <w:shd w:val="clear" w:color="auto" w:fill="FFFFFF"/>
        <w:spacing w:line="360" w:lineRule="auto"/>
        <w:jc w:val="both"/>
        <w:rPr>
          <w:rFonts w:cs="Tahoma"/>
          <w:bCs/>
          <w:szCs w:val="20"/>
        </w:rPr>
      </w:pPr>
    </w:p>
    <w:p w14:paraId="13251FF1" w14:textId="7F44E993" w:rsidR="00BA23DD" w:rsidRDefault="005760DF" w:rsidP="009262BB">
      <w:pPr>
        <w:pStyle w:val="Paragrafoelenco"/>
        <w:shd w:val="clear" w:color="auto" w:fill="FFFFFF"/>
        <w:spacing w:line="360" w:lineRule="auto"/>
        <w:ind w:left="2124"/>
        <w:jc w:val="both"/>
      </w:pPr>
      <w:r>
        <w:rPr>
          <w:noProof/>
        </w:rPr>
        <w:drawing>
          <wp:anchor distT="0" distB="0" distL="114300" distR="114300" simplePos="0" relativeHeight="251806208" behindDoc="0" locked="0" layoutInCell="1" allowOverlap="1" wp14:anchorId="7EA63865" wp14:editId="45940D5F">
            <wp:simplePos x="0" y="0"/>
            <wp:positionH relativeFrom="column">
              <wp:posOffset>157480</wp:posOffset>
            </wp:positionH>
            <wp:positionV relativeFrom="paragraph">
              <wp:posOffset>22225</wp:posOffset>
            </wp:positionV>
            <wp:extent cx="914400" cy="914400"/>
            <wp:effectExtent l="0" t="0" r="0" b="0"/>
            <wp:wrapSquare wrapText="bothSides"/>
            <wp:docPr id="37" name="Elemento grafico 37" descr="Segnale di divieto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descr="Segnale di divieto con riempimento a tinta unita"/>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000377B1">
        <w:t xml:space="preserve">I </w:t>
      </w:r>
      <w:r w:rsidR="000377B1" w:rsidRPr="000377B1">
        <w:rPr>
          <w:b/>
          <w:bCs/>
        </w:rPr>
        <w:t>software relativi alla gestione di impresa in senso lato</w:t>
      </w:r>
      <w:r w:rsidR="000377B1">
        <w:t xml:space="preserve"> (ad es. </w:t>
      </w:r>
      <w:r w:rsidR="000377B1" w:rsidRPr="000377B1">
        <w:rPr>
          <w:b/>
          <w:bCs/>
        </w:rPr>
        <w:t>amministrazione</w:t>
      </w:r>
      <w:r w:rsidR="000377B1">
        <w:t xml:space="preserve">, contabilità, controllo e finanza, gestione della relazione con il consumatore finale e/o con il fornitore, gestione dell’offerta, della </w:t>
      </w:r>
      <w:r w:rsidR="000377B1" w:rsidRPr="000377B1">
        <w:rPr>
          <w:b/>
          <w:bCs/>
        </w:rPr>
        <w:t>fatturazione</w:t>
      </w:r>
      <w:r w:rsidR="000377B1">
        <w:t xml:space="preserve">, gestione documentale, project management, analisi dei processi organizzativi o di business, ecc.) </w:t>
      </w:r>
      <w:r w:rsidR="000377B1" w:rsidRPr="000377B1">
        <w:rPr>
          <w:b/>
          <w:bCs/>
        </w:rPr>
        <w:t>non sono oggetto della agevolazione</w:t>
      </w:r>
      <w:r w:rsidR="000377B1">
        <w:t xml:space="preserve">. Pertanto, </w:t>
      </w:r>
      <w:r w:rsidR="000377B1" w:rsidRPr="009262BB">
        <w:rPr>
          <w:b/>
          <w:bCs/>
        </w:rPr>
        <w:t>un Customer Relationship Management (CRM)</w:t>
      </w:r>
      <w:r w:rsidR="000377B1">
        <w:t xml:space="preserve">, un configuratore di prodotto finalizzato alla vendita e non alla progettazione, un tool di Document Manager, Enterprise Performance Management e Business Process Management </w:t>
      </w:r>
      <w:r w:rsidR="000377B1" w:rsidRPr="009262BB">
        <w:rPr>
          <w:b/>
          <w:bCs/>
        </w:rPr>
        <w:t>sono da ritenersi esclusi</w:t>
      </w:r>
      <w:r w:rsidR="000377B1">
        <w:t xml:space="preserve"> dal beneficio fiscale.</w:t>
      </w:r>
    </w:p>
    <w:p w14:paraId="11C1AACF" w14:textId="77777777" w:rsidR="00F04EA4" w:rsidRPr="00F04EA4" w:rsidRDefault="00F04EA4" w:rsidP="00F04EA4">
      <w:pPr>
        <w:shd w:val="clear" w:color="auto" w:fill="FFFFFF"/>
        <w:spacing w:line="360" w:lineRule="auto"/>
        <w:jc w:val="both"/>
        <w:rPr>
          <w:rFonts w:cs="Tahoma"/>
          <w:bCs/>
          <w:szCs w:val="20"/>
        </w:rPr>
      </w:pPr>
    </w:p>
    <w:p w14:paraId="40B94771" w14:textId="77777777" w:rsidR="00153960" w:rsidRDefault="00153960">
      <w:pPr>
        <w:spacing w:after="0" w:line="240" w:lineRule="auto"/>
        <w:rPr>
          <w:b/>
          <w:i/>
          <w:color w:val="000000"/>
        </w:rPr>
      </w:pPr>
      <w:r>
        <w:br w:type="page"/>
      </w:r>
    </w:p>
    <w:p w14:paraId="3E88CFF3" w14:textId="59161F3D" w:rsidR="00F04EA4" w:rsidRPr="00F04EA4" w:rsidRDefault="00F04EA4" w:rsidP="00F04EA4">
      <w:pPr>
        <w:pStyle w:val="Titolo3"/>
      </w:pPr>
      <w:bookmarkStart w:id="33" w:name="_Toc93327714"/>
      <w:r w:rsidRPr="00F04EA4">
        <w:lastRenderedPageBreak/>
        <w:t>3.4.1 Software embedded (integrato in un ben</w:t>
      </w:r>
      <w:r>
        <w:t>e materiale)</w:t>
      </w:r>
      <w:bookmarkEnd w:id="33"/>
    </w:p>
    <w:p w14:paraId="42023605" w14:textId="77777777" w:rsidR="00F04EA4" w:rsidRDefault="00F04EA4" w:rsidP="002762E0">
      <w:pPr>
        <w:shd w:val="clear" w:color="auto" w:fill="FFFFFF"/>
        <w:spacing w:line="360" w:lineRule="auto"/>
        <w:jc w:val="both"/>
        <w:rPr>
          <w:rFonts w:cs="Tahoma"/>
          <w:bCs/>
          <w:szCs w:val="20"/>
        </w:rPr>
      </w:pPr>
      <w:r w:rsidRPr="00F04EA4">
        <w:rPr>
          <w:rFonts w:cs="Tahoma"/>
          <w:bCs/>
          <w:szCs w:val="20"/>
        </w:rPr>
        <w:t xml:space="preserve">Qualora, invece, il </w:t>
      </w:r>
      <w:r w:rsidRPr="00F04EA4">
        <w:rPr>
          <w:rFonts w:cs="Tahoma"/>
          <w:b/>
          <w:szCs w:val="20"/>
        </w:rPr>
        <w:t>software sia integrato</w:t>
      </w:r>
      <w:r w:rsidRPr="00F04EA4">
        <w:rPr>
          <w:rFonts w:cs="Tahoma"/>
          <w:bCs/>
          <w:szCs w:val="20"/>
        </w:rPr>
        <w:t xml:space="preserve"> (“</w:t>
      </w:r>
      <w:r w:rsidRPr="00F04EA4">
        <w:rPr>
          <w:rFonts w:cs="Tahoma"/>
          <w:b/>
          <w:szCs w:val="20"/>
        </w:rPr>
        <w:t>embedded</w:t>
      </w:r>
      <w:r w:rsidRPr="00F04EA4">
        <w:rPr>
          <w:rFonts w:cs="Tahoma"/>
          <w:bCs/>
          <w:szCs w:val="20"/>
        </w:rPr>
        <w:t xml:space="preserve">”) in un </w:t>
      </w:r>
      <w:r w:rsidRPr="00F04EA4">
        <w:rPr>
          <w:rFonts w:cs="Tahoma"/>
          <w:b/>
          <w:szCs w:val="20"/>
        </w:rPr>
        <w:t>bene materiale dell’allegato A</w:t>
      </w:r>
      <w:r w:rsidRPr="00F04EA4">
        <w:rPr>
          <w:rFonts w:cs="Tahoma"/>
          <w:bCs/>
          <w:szCs w:val="20"/>
        </w:rPr>
        <w:t xml:space="preserve"> e venga </w:t>
      </w:r>
      <w:r w:rsidRPr="00F04EA4">
        <w:rPr>
          <w:rFonts w:cs="Tahoma"/>
          <w:b/>
          <w:szCs w:val="20"/>
        </w:rPr>
        <w:t>acquistato unitamente ad esso</w:t>
      </w:r>
      <w:r w:rsidRPr="00F04EA4">
        <w:rPr>
          <w:rFonts w:cs="Tahoma"/>
          <w:bCs/>
          <w:szCs w:val="20"/>
        </w:rPr>
        <w:t>, n</w:t>
      </w:r>
      <w:r w:rsidRPr="00F04EA4">
        <w:rPr>
          <w:rFonts w:cs="Tahoma"/>
          <w:b/>
          <w:szCs w:val="20"/>
        </w:rPr>
        <w:t>on si deve operare una distinzione tra la componente materiale e quella immateriale dell’acquisto</w:t>
      </w:r>
      <w:r w:rsidRPr="00F04EA4">
        <w:rPr>
          <w:rFonts w:cs="Tahoma"/>
          <w:bCs/>
          <w:szCs w:val="20"/>
        </w:rPr>
        <w:t xml:space="preserve"> e il bene immateriale deve considerarsi agevolabile </w:t>
      </w:r>
      <w:r>
        <w:rPr>
          <w:rFonts w:cs="Tahoma"/>
          <w:bCs/>
          <w:szCs w:val="20"/>
        </w:rPr>
        <w:t xml:space="preserve">con il </w:t>
      </w:r>
      <w:r w:rsidRPr="00F04EA4">
        <w:rPr>
          <w:rFonts w:cs="Tahoma"/>
          <w:b/>
          <w:szCs w:val="20"/>
        </w:rPr>
        <w:t>credito d’imposta previsto per il bene materiale 4.0</w:t>
      </w:r>
      <w:r>
        <w:rPr>
          <w:rFonts w:cs="Tahoma"/>
          <w:bCs/>
          <w:szCs w:val="20"/>
        </w:rPr>
        <w:t xml:space="preserve"> (50% per il 2021)</w:t>
      </w:r>
      <w:r w:rsidRPr="00F04EA4">
        <w:rPr>
          <w:rFonts w:cs="Tahoma"/>
          <w:bCs/>
          <w:szCs w:val="20"/>
        </w:rPr>
        <w:t>.</w:t>
      </w:r>
    </w:p>
    <w:p w14:paraId="3A27BEFF" w14:textId="77777777" w:rsidR="00157E74" w:rsidRDefault="00F04EA4" w:rsidP="002762E0">
      <w:pPr>
        <w:shd w:val="clear" w:color="auto" w:fill="FFFFFF"/>
        <w:spacing w:line="360" w:lineRule="auto"/>
        <w:jc w:val="both"/>
        <w:rPr>
          <w:rFonts w:cs="Tahoma"/>
          <w:bCs/>
          <w:szCs w:val="20"/>
        </w:rPr>
      </w:pPr>
      <w:r w:rsidRPr="00F04EA4">
        <w:rPr>
          <w:rFonts w:cs="Tahoma"/>
          <w:bCs/>
          <w:szCs w:val="20"/>
        </w:rPr>
        <w:t xml:space="preserve">Come per </w:t>
      </w:r>
      <w:r w:rsidR="00157E74">
        <w:rPr>
          <w:rFonts w:cs="Tahoma"/>
          <w:bCs/>
          <w:szCs w:val="20"/>
        </w:rPr>
        <w:t>i beni materiali 4.0 di cui all’allegato A</w:t>
      </w:r>
      <w:r w:rsidRPr="00F04EA4">
        <w:rPr>
          <w:rFonts w:cs="Tahoma"/>
          <w:bCs/>
          <w:szCs w:val="20"/>
        </w:rPr>
        <w:t xml:space="preserve">, le indagini riguardanti la effettiva riconducibilità di specifici beni immateriali ad una delle categorie elencate analiticamente nel richiamato allegato B comportano </w:t>
      </w:r>
      <w:r w:rsidRPr="00157E74">
        <w:rPr>
          <w:rFonts w:cs="Tahoma"/>
          <w:b/>
          <w:szCs w:val="20"/>
        </w:rPr>
        <w:t>accertamenti di natura tecnica che involgono la competenza del Ministero dello Sviluppo economico</w:t>
      </w:r>
      <w:r w:rsidRPr="00F04EA4">
        <w:rPr>
          <w:rFonts w:cs="Tahoma"/>
          <w:bCs/>
          <w:szCs w:val="20"/>
        </w:rPr>
        <w:t>.</w:t>
      </w:r>
    </w:p>
    <w:p w14:paraId="65533E10" w14:textId="53EA8317" w:rsidR="000377B1" w:rsidRDefault="00F04EA4" w:rsidP="002762E0">
      <w:pPr>
        <w:shd w:val="clear" w:color="auto" w:fill="FFFFFF"/>
        <w:spacing w:line="360" w:lineRule="auto"/>
        <w:jc w:val="both"/>
        <w:rPr>
          <w:rFonts w:cs="Tahoma"/>
          <w:bCs/>
          <w:szCs w:val="20"/>
        </w:rPr>
      </w:pPr>
      <w:r w:rsidRPr="00F04EA4">
        <w:rPr>
          <w:rFonts w:cs="Tahoma"/>
          <w:bCs/>
          <w:szCs w:val="20"/>
        </w:rPr>
        <w:t xml:space="preserve">In proposito, si ricorda che i soggetti interessati possono presentare, ai sensi dell’articolo 11 della legge 27 luglio 2000, n. 212, </w:t>
      </w:r>
      <w:r w:rsidRPr="00157E74">
        <w:rPr>
          <w:rFonts w:cs="Tahoma"/>
          <w:b/>
          <w:szCs w:val="20"/>
        </w:rPr>
        <w:t>un’istanza di interpello all’Agenzia delle entrate</w:t>
      </w:r>
      <w:r w:rsidRPr="00F04EA4">
        <w:rPr>
          <w:rFonts w:cs="Tahoma"/>
          <w:bCs/>
          <w:szCs w:val="20"/>
        </w:rPr>
        <w:t xml:space="preserve"> per ottenere una risposta riguardante fattispecie concrete e personali relativamente all’applicazione delle disposizioni tributarie, quando vi sono condizioni di obiettiva incertezza sulla corretta interpretazione delle stesse.</w:t>
      </w:r>
    </w:p>
    <w:p w14:paraId="66B3DB8D" w14:textId="35072707" w:rsidR="008E3EA4" w:rsidRPr="00F04EA4" w:rsidRDefault="008E3EA4" w:rsidP="002762E0">
      <w:pPr>
        <w:shd w:val="clear" w:color="auto" w:fill="FFFFFF"/>
        <w:spacing w:line="360" w:lineRule="auto"/>
        <w:jc w:val="both"/>
        <w:rPr>
          <w:rFonts w:cs="Tahoma"/>
          <w:bCs/>
          <w:szCs w:val="20"/>
        </w:rPr>
      </w:pPr>
      <w:r>
        <w:t>Nei casi, invece, in cui i dubbi in merito all’</w:t>
      </w:r>
      <w:r w:rsidRPr="008E3EA4">
        <w:rPr>
          <w:b/>
          <w:bCs/>
        </w:rPr>
        <w:t>ambito oggettivo di applicazione</w:t>
      </w:r>
      <w:r w:rsidRPr="00A90AA2">
        <w:t xml:space="preserve"> </w:t>
      </w:r>
      <w:r>
        <w:t xml:space="preserve">dell’agevolazione riguardino esclusivamente la riconducibilità dei beni per i quali si intende fruire del beneficio tra quelli elencati nell’allegato B annesso alla legge n. 232/2016, il contribuente può </w:t>
      </w:r>
      <w:r w:rsidRPr="008E3EA4">
        <w:rPr>
          <w:b/>
          <w:bCs/>
        </w:rPr>
        <w:t>acquisire autonomamente il parere tecnico del citato Ministero</w:t>
      </w:r>
      <w:r>
        <w:t xml:space="preserve"> </w:t>
      </w:r>
      <w:r w:rsidRPr="008E3EA4">
        <w:rPr>
          <w:b/>
          <w:bCs/>
        </w:rPr>
        <w:t>limitandosi a conservarlo</w:t>
      </w:r>
      <w:r>
        <w:t>, senza presentare un’istanza di interpello all’Agenzia delle entrate (ad esempio, si chiede</w:t>
      </w:r>
      <w:r w:rsidRPr="008E3EA4">
        <w:rPr>
          <w:b/>
          <w:bCs/>
        </w:rPr>
        <w:t xml:space="preserve"> se un determinato software sia ammissibile all’agevolazione</w:t>
      </w:r>
      <w:r>
        <w:t>).</w:t>
      </w:r>
    </w:p>
    <w:p w14:paraId="2D5BCBE5" w14:textId="77777777" w:rsidR="00596F9E" w:rsidRDefault="00596F9E" w:rsidP="00123126">
      <w:pPr>
        <w:pStyle w:val="Titolo2"/>
      </w:pPr>
    </w:p>
    <w:p w14:paraId="712088E2" w14:textId="6ADFF8E1" w:rsidR="00123126" w:rsidRPr="002247B4" w:rsidRDefault="00123126" w:rsidP="00123126">
      <w:pPr>
        <w:pStyle w:val="Titolo2"/>
      </w:pPr>
      <w:bookmarkStart w:id="34" w:name="_Toc93327715"/>
      <w:r>
        <w:t>3</w:t>
      </w:r>
      <w:r w:rsidRPr="002247B4">
        <w:t>.</w:t>
      </w:r>
      <w:r w:rsidR="00A55801">
        <w:t>5</w:t>
      </w:r>
      <w:r w:rsidRPr="002247B4">
        <w:t xml:space="preserve"> </w:t>
      </w:r>
      <w:r>
        <w:t>Beni di importo non superiore a 516,46 euro</w:t>
      </w:r>
      <w:bookmarkEnd w:id="34"/>
    </w:p>
    <w:p w14:paraId="083034B3" w14:textId="381A5BF8" w:rsidR="00123126" w:rsidRPr="00C70F7E" w:rsidRDefault="00123126" w:rsidP="00123126">
      <w:pPr>
        <w:shd w:val="clear" w:color="auto" w:fill="FFFFFF"/>
        <w:spacing w:line="360" w:lineRule="auto"/>
        <w:jc w:val="both"/>
        <w:rPr>
          <w:rFonts w:cs="Tahoma"/>
          <w:b/>
          <w:szCs w:val="20"/>
        </w:rPr>
      </w:pPr>
      <w:r w:rsidRPr="00984D7C">
        <w:rPr>
          <w:rFonts w:cs="Tahoma"/>
          <w:bCs/>
          <w:szCs w:val="20"/>
        </w:rPr>
        <w:t>Pur in assenza di un esplicito rimando, la disciplina agevolativa fa</w:t>
      </w:r>
      <w:r>
        <w:rPr>
          <w:rFonts w:cs="Tahoma"/>
          <w:bCs/>
          <w:szCs w:val="20"/>
        </w:rPr>
        <w:t xml:space="preserve"> </w:t>
      </w:r>
      <w:r w:rsidRPr="00984D7C">
        <w:rPr>
          <w:rFonts w:cs="Tahoma"/>
          <w:bCs/>
          <w:szCs w:val="20"/>
        </w:rPr>
        <w:t xml:space="preserve">sostanziale </w:t>
      </w:r>
      <w:r w:rsidRPr="00984D7C">
        <w:rPr>
          <w:rFonts w:cs="Tahoma"/>
          <w:b/>
          <w:szCs w:val="20"/>
        </w:rPr>
        <w:t>riferimento ai beni strumentali materiali ammortizzabili</w:t>
      </w:r>
      <w:r w:rsidRPr="00984D7C">
        <w:rPr>
          <w:rFonts w:cs="Tahoma"/>
          <w:bCs/>
          <w:szCs w:val="20"/>
        </w:rPr>
        <w:t xml:space="preserve"> di cui agli articoli 102 e 102-</w:t>
      </w:r>
      <w:r w:rsidRPr="00984D7C">
        <w:rPr>
          <w:rFonts w:cs="Tahoma"/>
          <w:bCs/>
          <w:i/>
          <w:iCs/>
          <w:szCs w:val="20"/>
        </w:rPr>
        <w:t xml:space="preserve">bis </w:t>
      </w:r>
      <w:r w:rsidRPr="00984D7C">
        <w:rPr>
          <w:rFonts w:cs="Tahoma"/>
          <w:bCs/>
          <w:szCs w:val="20"/>
        </w:rPr>
        <w:t xml:space="preserve">del Tuir, </w:t>
      </w:r>
      <w:r w:rsidRPr="00984D7C">
        <w:rPr>
          <w:rFonts w:cs="Tahoma"/>
          <w:b/>
          <w:szCs w:val="20"/>
        </w:rPr>
        <w:t>nonché ai beni strumentali immateriali ammortizzabili</w:t>
      </w:r>
      <w:r w:rsidRPr="00984D7C">
        <w:rPr>
          <w:rFonts w:cs="Tahoma"/>
          <w:bCs/>
          <w:szCs w:val="20"/>
        </w:rPr>
        <w:t xml:space="preserve"> di cui all’articolo 103 del Tuir.</w:t>
      </w:r>
    </w:p>
    <w:p w14:paraId="3C626E66" w14:textId="77777777" w:rsidR="00123126" w:rsidRDefault="00123126" w:rsidP="00123126">
      <w:pPr>
        <w:shd w:val="clear" w:color="auto" w:fill="FFFFFF"/>
        <w:spacing w:line="360" w:lineRule="auto"/>
        <w:jc w:val="both"/>
        <w:rPr>
          <w:rFonts w:cs="Tahoma"/>
          <w:bCs/>
          <w:szCs w:val="20"/>
        </w:rPr>
      </w:pPr>
      <w:r w:rsidRPr="00984D7C">
        <w:rPr>
          <w:rFonts w:cs="Tahoma"/>
          <w:bCs/>
          <w:szCs w:val="20"/>
        </w:rPr>
        <w:t xml:space="preserve">Al riguardo, si rileva che tra i beni materiali ammortizzabili di cui all’articolo 102 del Tuir figurano, al comma 5, i beni il cui </w:t>
      </w:r>
      <w:r w:rsidRPr="00984D7C">
        <w:rPr>
          <w:rFonts w:cs="Tahoma"/>
          <w:b/>
          <w:szCs w:val="20"/>
        </w:rPr>
        <w:t>costo unitario è non superiore a 516,46 euro</w:t>
      </w:r>
      <w:r w:rsidRPr="00984D7C">
        <w:rPr>
          <w:rFonts w:cs="Tahoma"/>
          <w:bCs/>
          <w:szCs w:val="20"/>
        </w:rPr>
        <w:t xml:space="preserve">, per i quali la norma citata consente </w:t>
      </w:r>
      <w:r>
        <w:rPr>
          <w:rFonts w:cs="Tahoma"/>
          <w:bCs/>
          <w:szCs w:val="20"/>
        </w:rPr>
        <w:t>“</w:t>
      </w:r>
      <w:r w:rsidRPr="00984D7C">
        <w:rPr>
          <w:rFonts w:cs="Tahoma"/>
          <w:bCs/>
          <w:i/>
          <w:iCs/>
          <w:szCs w:val="20"/>
        </w:rPr>
        <w:t>la deduzione integrale delle spese di acquisizione nell’esercizio in cui sono state sostenute</w:t>
      </w:r>
      <w:r>
        <w:rPr>
          <w:rFonts w:cs="Tahoma"/>
          <w:bCs/>
          <w:szCs w:val="20"/>
        </w:rPr>
        <w:t>”.</w:t>
      </w:r>
    </w:p>
    <w:p w14:paraId="273221D0" w14:textId="77777777" w:rsidR="00123126" w:rsidRDefault="00123126" w:rsidP="00123126">
      <w:pPr>
        <w:shd w:val="clear" w:color="auto" w:fill="FFFFFF"/>
        <w:spacing w:line="360" w:lineRule="auto"/>
        <w:jc w:val="both"/>
        <w:rPr>
          <w:rFonts w:cs="Tahoma"/>
          <w:bCs/>
          <w:szCs w:val="20"/>
        </w:rPr>
      </w:pPr>
      <w:r w:rsidRPr="00984D7C">
        <w:rPr>
          <w:rFonts w:cs="Tahoma"/>
          <w:bCs/>
          <w:szCs w:val="20"/>
        </w:rPr>
        <w:t>La medesima possibilità di dedurre in misura integrale la spesa sostenuta per i beni materiali strumentali di costo non superiore a 516,46 euro è attribuita agli esercenti arti e professioni dall’articolo 54, comma 2, del Tuir</w:t>
      </w:r>
      <w:r>
        <w:rPr>
          <w:rFonts w:cs="Tahoma"/>
          <w:bCs/>
          <w:szCs w:val="20"/>
        </w:rPr>
        <w:t>.</w:t>
      </w:r>
    </w:p>
    <w:p w14:paraId="4947EB79" w14:textId="77777777" w:rsidR="00123126" w:rsidRDefault="00123126" w:rsidP="00123126">
      <w:pPr>
        <w:shd w:val="clear" w:color="auto" w:fill="FFFFFF"/>
        <w:spacing w:line="360" w:lineRule="auto"/>
        <w:jc w:val="both"/>
        <w:rPr>
          <w:rFonts w:cs="Tahoma"/>
          <w:bCs/>
          <w:szCs w:val="20"/>
        </w:rPr>
      </w:pPr>
      <w:r>
        <w:rPr>
          <w:rFonts w:cs="Tahoma"/>
          <w:bCs/>
          <w:szCs w:val="20"/>
        </w:rPr>
        <w:t>Pertanto</w:t>
      </w:r>
      <w:r w:rsidRPr="00984D7C">
        <w:rPr>
          <w:rFonts w:cs="Tahoma"/>
          <w:bCs/>
          <w:szCs w:val="20"/>
        </w:rPr>
        <w:t xml:space="preserve">, ai fini agevolativi, </w:t>
      </w:r>
      <w:r w:rsidRPr="00984D7C">
        <w:rPr>
          <w:rFonts w:cs="Tahoma"/>
          <w:b/>
          <w:szCs w:val="20"/>
        </w:rPr>
        <w:t>i beni materiali strumentali di costo unitario inferiore a 516,46 euro sono ammissibili al credito d’imposta</w:t>
      </w:r>
      <w:r w:rsidRPr="00984D7C">
        <w:rPr>
          <w:rFonts w:cs="Tahoma"/>
          <w:bCs/>
          <w:szCs w:val="20"/>
        </w:rPr>
        <w:t xml:space="preserve"> e, quindi, concorrono alla sua determinazione, indipendentemente dalla </w:t>
      </w:r>
      <w:r w:rsidRPr="00984D7C">
        <w:rPr>
          <w:rFonts w:cs="Tahoma"/>
          <w:bCs/>
          <w:szCs w:val="20"/>
        </w:rPr>
        <w:lastRenderedPageBreak/>
        <w:t>circostanza</w:t>
      </w:r>
      <w:r>
        <w:rPr>
          <w:rFonts w:cs="Tahoma"/>
          <w:bCs/>
          <w:szCs w:val="20"/>
        </w:rPr>
        <w:t xml:space="preserve"> </w:t>
      </w:r>
      <w:r w:rsidRPr="00984D7C">
        <w:rPr>
          <w:rFonts w:cs="Tahoma"/>
          <w:bCs/>
          <w:szCs w:val="20"/>
        </w:rPr>
        <w:t xml:space="preserve">che, in sede contabile e fiscale, il contribuente </w:t>
      </w:r>
      <w:r w:rsidRPr="00984D7C">
        <w:rPr>
          <w:rFonts w:cs="Tahoma"/>
          <w:b/>
          <w:szCs w:val="20"/>
        </w:rPr>
        <w:t>scelga di dedurre o di non dedurre l’intero costo del bene nell’esercizio di sostenimento</w:t>
      </w:r>
      <w:r w:rsidRPr="00984D7C">
        <w:rPr>
          <w:rFonts w:cs="Tahoma"/>
          <w:bCs/>
          <w:szCs w:val="20"/>
        </w:rPr>
        <w:t xml:space="preserve"> (procedendo, in tale ultimo caso, all’ammortamento dello stesso).</w:t>
      </w:r>
    </w:p>
    <w:p w14:paraId="76ED2878" w14:textId="77777777" w:rsidR="00153960" w:rsidRDefault="00153960" w:rsidP="00123126">
      <w:pPr>
        <w:pStyle w:val="Titolo2"/>
      </w:pPr>
    </w:p>
    <w:p w14:paraId="672162A9" w14:textId="1EF6A38D" w:rsidR="00123126" w:rsidRPr="00AF0A0E" w:rsidRDefault="00123126" w:rsidP="00123126">
      <w:pPr>
        <w:pStyle w:val="Titolo2"/>
      </w:pPr>
      <w:bookmarkStart w:id="35" w:name="_Toc93327716"/>
      <w:r>
        <w:t>3</w:t>
      </w:r>
      <w:r w:rsidRPr="002247B4">
        <w:t>.</w:t>
      </w:r>
      <w:r w:rsidR="00A55801">
        <w:t>6</w:t>
      </w:r>
      <w:r w:rsidRPr="002247B4">
        <w:t xml:space="preserve"> </w:t>
      </w:r>
      <w:r>
        <w:t>Beni con IVA indetraibile</w:t>
      </w:r>
      <w:bookmarkEnd w:id="35"/>
    </w:p>
    <w:p w14:paraId="06D2E835" w14:textId="12ADEC48" w:rsidR="00123126" w:rsidRPr="00C70F7E" w:rsidRDefault="00123126" w:rsidP="00123126">
      <w:pPr>
        <w:shd w:val="clear" w:color="auto" w:fill="FFFFFF"/>
        <w:spacing w:line="360" w:lineRule="auto"/>
        <w:jc w:val="both"/>
        <w:rPr>
          <w:rFonts w:cs="Tahoma"/>
          <w:b/>
          <w:szCs w:val="20"/>
        </w:rPr>
      </w:pPr>
      <w:r w:rsidRPr="00857992">
        <w:rPr>
          <w:rFonts w:cs="Tahoma"/>
          <w:bCs/>
          <w:szCs w:val="20"/>
        </w:rPr>
        <w:t xml:space="preserve">Posto che il comma 1054 della legge di bilancio 2021 stabilisce che il </w:t>
      </w:r>
      <w:r w:rsidRPr="00857992">
        <w:rPr>
          <w:rFonts w:cs="Tahoma"/>
          <w:b/>
          <w:bCs/>
          <w:szCs w:val="20"/>
        </w:rPr>
        <w:t>costo dei beni agevolabili</w:t>
      </w:r>
      <w:r w:rsidRPr="00857992">
        <w:rPr>
          <w:rFonts w:cs="Tahoma"/>
          <w:bCs/>
          <w:szCs w:val="20"/>
        </w:rPr>
        <w:t xml:space="preserve"> è determinato ai sensi dell’articolo 110, comma 1, lett. b), Tuir, e che, per gli investimenti effettuati mediante contratti di locazione finanziaria, si assume il </w:t>
      </w:r>
      <w:r w:rsidRPr="00857992">
        <w:rPr>
          <w:rFonts w:cs="Tahoma"/>
          <w:b/>
          <w:bCs/>
          <w:szCs w:val="20"/>
        </w:rPr>
        <w:t>costo sostenuto dal locatore per l’acquisto dei beni</w:t>
      </w:r>
      <w:r w:rsidRPr="00857992">
        <w:rPr>
          <w:rFonts w:cs="Tahoma"/>
          <w:bCs/>
          <w:szCs w:val="20"/>
        </w:rPr>
        <w:t xml:space="preserve">, si precisa che </w:t>
      </w:r>
      <w:r w:rsidRPr="00857992">
        <w:rPr>
          <w:rFonts w:cs="Tahoma"/>
          <w:b/>
          <w:szCs w:val="20"/>
        </w:rPr>
        <w:t>costituisce una</w:t>
      </w:r>
      <w:r w:rsidRPr="00857992">
        <w:rPr>
          <w:rFonts w:cs="Tahoma"/>
          <w:bCs/>
          <w:szCs w:val="20"/>
        </w:rPr>
        <w:t xml:space="preserve"> </w:t>
      </w:r>
      <w:r w:rsidRPr="00857992">
        <w:rPr>
          <w:rFonts w:cs="Tahoma"/>
          <w:b/>
          <w:bCs/>
          <w:szCs w:val="20"/>
        </w:rPr>
        <w:t>componente del costo l’eventuale IVA</w:t>
      </w:r>
      <w:r w:rsidRPr="00857992">
        <w:rPr>
          <w:rFonts w:cs="Tahoma"/>
          <w:bCs/>
          <w:szCs w:val="20"/>
        </w:rPr>
        <w:t xml:space="preserve">, relativa alle singole operazioni di acquisto, </w:t>
      </w:r>
      <w:r w:rsidRPr="00857992">
        <w:rPr>
          <w:rFonts w:cs="Tahoma"/>
          <w:b/>
          <w:bCs/>
          <w:szCs w:val="20"/>
        </w:rPr>
        <w:t>totalmente indetraibile ai sensi dell’articolo 19-</w:t>
      </w:r>
      <w:r w:rsidRPr="00857992">
        <w:rPr>
          <w:rFonts w:cs="Tahoma"/>
          <w:b/>
          <w:bCs/>
          <w:i/>
          <w:iCs/>
          <w:szCs w:val="20"/>
        </w:rPr>
        <w:t xml:space="preserve">bis </w:t>
      </w:r>
      <w:r w:rsidRPr="00857992">
        <w:rPr>
          <w:rFonts w:cs="Tahoma"/>
          <w:b/>
          <w:bCs/>
          <w:szCs w:val="20"/>
        </w:rPr>
        <w:t>1</w:t>
      </w:r>
      <w:r w:rsidRPr="00857992">
        <w:rPr>
          <w:rFonts w:cs="Tahoma"/>
          <w:bCs/>
          <w:szCs w:val="20"/>
        </w:rPr>
        <w:t xml:space="preserve"> del decreto del Presidente della Repubblica 26 ottobre 1972, n. 633, ovvero per effetto dell’opzione prevista dall’articolo 36-</w:t>
      </w:r>
      <w:r w:rsidRPr="00857992">
        <w:rPr>
          <w:rFonts w:cs="Tahoma"/>
          <w:bCs/>
          <w:i/>
          <w:iCs/>
          <w:szCs w:val="20"/>
        </w:rPr>
        <w:t xml:space="preserve">bis </w:t>
      </w:r>
      <w:r w:rsidRPr="00857992">
        <w:rPr>
          <w:rFonts w:cs="Tahoma"/>
          <w:bCs/>
          <w:szCs w:val="20"/>
        </w:rPr>
        <w:t>del medesimo DPR n. 633 del 1972.</w:t>
      </w:r>
    </w:p>
    <w:p w14:paraId="6422E190" w14:textId="0982BD06" w:rsidR="00123126" w:rsidRPr="00857992" w:rsidRDefault="00123126" w:rsidP="00123126">
      <w:pPr>
        <w:shd w:val="clear" w:color="auto" w:fill="FFFFFF"/>
        <w:spacing w:line="360" w:lineRule="auto"/>
        <w:jc w:val="both"/>
        <w:rPr>
          <w:rFonts w:cs="Tahoma"/>
          <w:bCs/>
          <w:szCs w:val="20"/>
        </w:rPr>
      </w:pPr>
      <w:r w:rsidRPr="00857992">
        <w:rPr>
          <w:rFonts w:cs="Tahoma"/>
          <w:b/>
          <w:bCs/>
          <w:szCs w:val="20"/>
        </w:rPr>
        <w:t>Non rileva</w:t>
      </w:r>
      <w:r w:rsidRPr="00857992">
        <w:rPr>
          <w:rFonts w:cs="Tahoma"/>
          <w:bCs/>
          <w:szCs w:val="20"/>
        </w:rPr>
        <w:t xml:space="preserve">, invece, ai fini della determinazione del valore degli investimenti, </w:t>
      </w:r>
      <w:r w:rsidRPr="00857992">
        <w:rPr>
          <w:rFonts w:cs="Tahoma"/>
          <w:b/>
          <w:bCs/>
          <w:szCs w:val="20"/>
        </w:rPr>
        <w:t>l’IVA parzialmente indetraibile</w:t>
      </w:r>
      <w:r w:rsidRPr="00857992">
        <w:rPr>
          <w:rFonts w:cs="Tahoma"/>
          <w:bCs/>
          <w:szCs w:val="20"/>
        </w:rPr>
        <w:t xml:space="preserve"> in misura corrispondente al rapporto tra l’ammontare delle operazioni che conferiscono il diritto alla detrazione ed operazioni esenti ai sensi dell’articolo 19, comma 5, del DPR 633/1972. In quest’ultima ipotesi l’IVA parzialmente indetraibile </w:t>
      </w:r>
      <w:r w:rsidRPr="00857992">
        <w:rPr>
          <w:rFonts w:cs="Tahoma"/>
          <w:b/>
          <w:bCs/>
          <w:szCs w:val="20"/>
        </w:rPr>
        <w:t>per effetto del pro-rata</w:t>
      </w:r>
      <w:r w:rsidRPr="00857992">
        <w:rPr>
          <w:rFonts w:cs="Tahoma"/>
          <w:bCs/>
          <w:szCs w:val="20"/>
        </w:rPr>
        <w:t xml:space="preserve">, non può essere considerata come costo afferente </w:t>
      </w:r>
      <w:r w:rsidR="00C653DB" w:rsidRPr="00857992">
        <w:rPr>
          <w:rFonts w:cs="Tahoma"/>
          <w:bCs/>
          <w:szCs w:val="20"/>
        </w:rPr>
        <w:t>alle</w:t>
      </w:r>
      <w:r w:rsidRPr="00857992">
        <w:rPr>
          <w:rFonts w:cs="Tahoma"/>
          <w:bCs/>
          <w:szCs w:val="20"/>
        </w:rPr>
        <w:t xml:space="preserve"> singole operazioni d’acquisto, ma è una massa globale che si qualifica come costo generale.</w:t>
      </w:r>
    </w:p>
    <w:p w14:paraId="293446E0" w14:textId="77777777" w:rsidR="00123126" w:rsidRDefault="00123126" w:rsidP="00123126">
      <w:pPr>
        <w:shd w:val="clear" w:color="auto" w:fill="FFFFFF"/>
        <w:spacing w:line="360" w:lineRule="auto"/>
        <w:jc w:val="both"/>
        <w:rPr>
          <w:rFonts w:cs="Tahoma"/>
          <w:bCs/>
          <w:szCs w:val="20"/>
        </w:rPr>
      </w:pPr>
      <w:r w:rsidRPr="00857992">
        <w:rPr>
          <w:rFonts w:cs="Tahoma"/>
          <w:bCs/>
          <w:szCs w:val="20"/>
        </w:rPr>
        <w:t>Quanto agli investimenti effettuati mediante contratti di locazione finanziaria, nel caso in cui per l’utilizzatore l’IVA sui canoni di locazione sia indetraibile ai sensi dell’articolo 19-</w:t>
      </w:r>
      <w:r w:rsidRPr="00857992">
        <w:rPr>
          <w:rFonts w:cs="Tahoma"/>
          <w:bCs/>
          <w:i/>
          <w:iCs/>
          <w:szCs w:val="20"/>
        </w:rPr>
        <w:t xml:space="preserve">bis </w:t>
      </w:r>
      <w:r w:rsidRPr="00857992">
        <w:rPr>
          <w:rFonts w:cs="Tahoma"/>
          <w:bCs/>
          <w:szCs w:val="20"/>
        </w:rPr>
        <w:t>1 del DPR n. 633/1972, ai fini dell’agevolazione assume rilievo anche l’IVA pagata dal locatore sull’acquisto del bene.</w:t>
      </w:r>
    </w:p>
    <w:p w14:paraId="11D64A9D" w14:textId="77777777" w:rsidR="00596F9E" w:rsidRDefault="00596F9E" w:rsidP="002C7022">
      <w:pPr>
        <w:pStyle w:val="Titolo2"/>
      </w:pPr>
    </w:p>
    <w:p w14:paraId="5D606244" w14:textId="11194770" w:rsidR="002C7022" w:rsidRPr="00AF0A0E" w:rsidRDefault="002C7022" w:rsidP="002C7022">
      <w:pPr>
        <w:pStyle w:val="Titolo2"/>
      </w:pPr>
      <w:bookmarkStart w:id="36" w:name="_Toc93327717"/>
      <w:r>
        <w:t>3</w:t>
      </w:r>
      <w:r w:rsidRPr="002247B4">
        <w:t>.</w:t>
      </w:r>
      <w:r w:rsidR="00A55801">
        <w:t>7</w:t>
      </w:r>
      <w:r w:rsidRPr="002247B4">
        <w:t xml:space="preserve"> </w:t>
      </w:r>
      <w:r>
        <w:t>Costi accessori</w:t>
      </w:r>
      <w:r w:rsidR="00473CDF">
        <w:t xml:space="preserve">, </w:t>
      </w:r>
      <w:r>
        <w:t>opere murarie</w:t>
      </w:r>
      <w:r w:rsidR="00473CDF">
        <w:t xml:space="preserve"> e attrezzature in dotazione del bene agevolato</w:t>
      </w:r>
      <w:bookmarkEnd w:id="36"/>
    </w:p>
    <w:p w14:paraId="565552CD" w14:textId="03FDAFEA" w:rsidR="002C7022" w:rsidRPr="00303D0B" w:rsidRDefault="002C7022" w:rsidP="002C7022">
      <w:pPr>
        <w:shd w:val="clear" w:color="auto" w:fill="FFFFFF"/>
        <w:spacing w:line="360" w:lineRule="auto"/>
        <w:jc w:val="both"/>
        <w:rPr>
          <w:rFonts w:cs="Tahoma"/>
          <w:b/>
          <w:szCs w:val="20"/>
        </w:rPr>
      </w:pPr>
      <w:r w:rsidRPr="002C7022">
        <w:rPr>
          <w:rFonts w:cs="Tahoma"/>
          <w:bCs/>
          <w:szCs w:val="20"/>
        </w:rPr>
        <w:t xml:space="preserve">Con riferimento al tema della </w:t>
      </w:r>
      <w:r w:rsidRPr="002C7022">
        <w:rPr>
          <w:rFonts w:cs="Tahoma"/>
          <w:b/>
          <w:szCs w:val="20"/>
        </w:rPr>
        <w:t>determinazione del costo degli investimenti agevolabili</w:t>
      </w:r>
      <w:r w:rsidRPr="002C7022">
        <w:rPr>
          <w:rFonts w:cs="Tahoma"/>
          <w:bCs/>
          <w:szCs w:val="20"/>
        </w:rPr>
        <w:t xml:space="preserve"> </w:t>
      </w:r>
      <w:r>
        <w:rPr>
          <w:rFonts w:cs="Tahoma"/>
          <w:bCs/>
          <w:szCs w:val="20"/>
        </w:rPr>
        <w:t xml:space="preserve">con la </w:t>
      </w:r>
      <w:r w:rsidRPr="002C7022">
        <w:rPr>
          <w:rFonts w:cs="Tahoma"/>
          <w:b/>
          <w:szCs w:val="20"/>
        </w:rPr>
        <w:t>Risoluzione 152/E del 15 dicembre 2017</w:t>
      </w:r>
      <w:r>
        <w:rPr>
          <w:rFonts w:cs="Tahoma"/>
          <w:bCs/>
          <w:szCs w:val="20"/>
        </w:rPr>
        <w:t xml:space="preserve"> </w:t>
      </w:r>
      <w:r w:rsidRPr="002C7022">
        <w:rPr>
          <w:rFonts w:cs="Tahoma"/>
          <w:bCs/>
          <w:szCs w:val="20"/>
        </w:rPr>
        <w:t xml:space="preserve">è stato chiesto </w:t>
      </w:r>
      <w:r>
        <w:rPr>
          <w:rFonts w:cs="Tahoma"/>
          <w:bCs/>
          <w:szCs w:val="20"/>
        </w:rPr>
        <w:t xml:space="preserve">all’Agenzia delle entrate di fornire maggiori chiarimenti in materia: nel citato documento di prassi si fa riferimento alla disciplina previgente (super e iper ammortamento) che, in quanto compatibili, </w:t>
      </w:r>
      <w:r w:rsidRPr="00C44203">
        <w:rPr>
          <w:rFonts w:cs="Tahoma"/>
          <w:b/>
          <w:szCs w:val="20"/>
        </w:rPr>
        <w:t>trova applicazione anche per i crediti d’imposta in argomento</w:t>
      </w:r>
      <w:r>
        <w:rPr>
          <w:rFonts w:cs="Tahoma"/>
          <w:bCs/>
          <w:szCs w:val="20"/>
        </w:rPr>
        <w:t>.</w:t>
      </w:r>
    </w:p>
    <w:p w14:paraId="18E5E5E5" w14:textId="77777777" w:rsidR="00C44203" w:rsidRDefault="00C44203" w:rsidP="00473CDF">
      <w:pPr>
        <w:shd w:val="clear" w:color="auto" w:fill="FFFFFF"/>
        <w:spacing w:line="360" w:lineRule="auto"/>
        <w:jc w:val="both"/>
        <w:rPr>
          <w:rFonts w:cs="Tahoma"/>
          <w:bCs/>
          <w:szCs w:val="20"/>
        </w:rPr>
      </w:pPr>
      <w:r>
        <w:rPr>
          <w:rFonts w:cs="Tahoma"/>
          <w:bCs/>
          <w:szCs w:val="20"/>
        </w:rPr>
        <w:t>Il primo dubbio riguarda la possibilità di inserire</w:t>
      </w:r>
      <w:r w:rsidR="002C7022" w:rsidRPr="002C7022">
        <w:rPr>
          <w:rFonts w:cs="Tahoma"/>
          <w:bCs/>
          <w:szCs w:val="20"/>
        </w:rPr>
        <w:t xml:space="preserve"> tra gli </w:t>
      </w:r>
      <w:r w:rsidR="002C7022" w:rsidRPr="00C44203">
        <w:rPr>
          <w:rFonts w:cs="Tahoma"/>
          <w:b/>
          <w:szCs w:val="20"/>
        </w:rPr>
        <w:t>oneri accessori di diretta imputazione</w:t>
      </w:r>
      <w:r w:rsidR="002C7022" w:rsidRPr="00C44203">
        <w:rPr>
          <w:rFonts w:cs="Tahoma"/>
          <w:bCs/>
          <w:szCs w:val="20"/>
        </w:rPr>
        <w:t xml:space="preserve"> </w:t>
      </w:r>
      <w:r w:rsidR="002C7022" w:rsidRPr="002C7022">
        <w:rPr>
          <w:rFonts w:cs="Tahoma"/>
          <w:bCs/>
          <w:szCs w:val="20"/>
        </w:rPr>
        <w:t xml:space="preserve">anche quelli relativi a </w:t>
      </w:r>
      <w:r w:rsidR="002C7022" w:rsidRPr="00C44203">
        <w:rPr>
          <w:rFonts w:cs="Tahoma"/>
          <w:b/>
          <w:szCs w:val="20"/>
        </w:rPr>
        <w:t>piccole opere murarie</w:t>
      </w:r>
      <w:r w:rsidR="002C7022" w:rsidRPr="002C7022">
        <w:rPr>
          <w:rFonts w:cs="Tahoma"/>
          <w:bCs/>
          <w:szCs w:val="20"/>
        </w:rPr>
        <w:t xml:space="preserve"> </w:t>
      </w:r>
      <w:r w:rsidR="002C7022" w:rsidRPr="00C44203">
        <w:rPr>
          <w:rFonts w:cs="Tahoma"/>
          <w:b/>
          <w:szCs w:val="20"/>
        </w:rPr>
        <w:t>necessarie per l’istallazione di un macchinario</w:t>
      </w:r>
      <w:r w:rsidR="002C7022" w:rsidRPr="002C7022">
        <w:rPr>
          <w:rFonts w:cs="Tahoma"/>
          <w:bCs/>
          <w:szCs w:val="20"/>
        </w:rPr>
        <w:t xml:space="preserve"> presso il sito aziendale (ad esempio quelle relative alla realizzazione del </w:t>
      </w:r>
      <w:r w:rsidR="002C7022" w:rsidRPr="00C44203">
        <w:rPr>
          <w:rFonts w:cs="Tahoma"/>
          <w:b/>
          <w:szCs w:val="20"/>
        </w:rPr>
        <w:t>basamento per l’ancoraggio del bene</w:t>
      </w:r>
      <w:r w:rsidR="002C7022" w:rsidRPr="002C7022">
        <w:rPr>
          <w:rFonts w:cs="Tahoma"/>
          <w:bCs/>
          <w:szCs w:val="20"/>
        </w:rPr>
        <w:t>).</w:t>
      </w:r>
    </w:p>
    <w:p w14:paraId="3BFC60AA" w14:textId="183929A2" w:rsidR="00857992" w:rsidRDefault="002C7022" w:rsidP="00473CDF">
      <w:pPr>
        <w:shd w:val="clear" w:color="auto" w:fill="FFFFFF"/>
        <w:spacing w:line="360" w:lineRule="auto"/>
        <w:jc w:val="both"/>
        <w:rPr>
          <w:rFonts w:cs="Tahoma"/>
          <w:bCs/>
          <w:szCs w:val="20"/>
        </w:rPr>
      </w:pPr>
      <w:r w:rsidRPr="002C7022">
        <w:rPr>
          <w:rFonts w:cs="Tahoma"/>
          <w:bCs/>
          <w:szCs w:val="20"/>
        </w:rPr>
        <w:lastRenderedPageBreak/>
        <w:t xml:space="preserve">Al riguardo si precisa che, ai fini della quantificazione del costo agli effetti </w:t>
      </w:r>
      <w:r w:rsidR="00C44203">
        <w:rPr>
          <w:rFonts w:cs="Tahoma"/>
          <w:bCs/>
          <w:szCs w:val="20"/>
        </w:rPr>
        <w:t>del credito d’imposta</w:t>
      </w:r>
      <w:r w:rsidRPr="002C7022">
        <w:rPr>
          <w:rFonts w:cs="Tahoma"/>
          <w:bCs/>
          <w:szCs w:val="20"/>
        </w:rPr>
        <w:t xml:space="preserve">, </w:t>
      </w:r>
      <w:r w:rsidRPr="00C44203">
        <w:rPr>
          <w:rFonts w:cs="Tahoma"/>
          <w:b/>
          <w:szCs w:val="20"/>
        </w:rPr>
        <w:t>rilevano anche gli oneri accessori di diretta imputazione</w:t>
      </w:r>
      <w:r w:rsidRPr="002C7022">
        <w:rPr>
          <w:rFonts w:cs="Tahoma"/>
          <w:bCs/>
          <w:szCs w:val="20"/>
        </w:rPr>
        <w:t xml:space="preserve"> come previsto dall’articolo 110, comma 1, lettera b), del TUIR e che per la concreta individuazione dei predetti oneri occorre far riferimento, in via generale, ai criteri contenuti nel </w:t>
      </w:r>
      <w:r w:rsidRPr="00C44203">
        <w:rPr>
          <w:rFonts w:cs="Tahoma"/>
          <w:b/>
          <w:szCs w:val="20"/>
        </w:rPr>
        <w:t>Principio contabile OIC 16</w:t>
      </w:r>
      <w:r w:rsidRPr="002C7022">
        <w:rPr>
          <w:rFonts w:cs="Tahoma"/>
          <w:bCs/>
          <w:szCs w:val="20"/>
        </w:rPr>
        <w:t>, indipendentemente dai principi contabili adottati dall’impresa.</w:t>
      </w:r>
    </w:p>
    <w:p w14:paraId="4ACAE025" w14:textId="3386CDD4" w:rsidR="008A73FF" w:rsidRDefault="008A73FF" w:rsidP="007F356B">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contextualSpacing/>
        <w:jc w:val="both"/>
        <w:rPr>
          <w:i/>
          <w:iCs/>
        </w:rPr>
      </w:pPr>
      <w:r w:rsidRPr="008A73FF">
        <w:rPr>
          <w:i/>
          <w:iCs/>
        </w:rPr>
        <w:t>I costi accessori d’acquisto comprendono t</w:t>
      </w:r>
      <w:r w:rsidRPr="008A73FF">
        <w:rPr>
          <w:b/>
          <w:bCs/>
          <w:i/>
          <w:iCs/>
        </w:rPr>
        <w:t>utti i costi collegati all’acquisto che la società sostiene affinché l’immobilizzazione possa essere utilizzata</w:t>
      </w:r>
      <w:r w:rsidRPr="008A73FF">
        <w:rPr>
          <w:i/>
          <w:iCs/>
        </w:rPr>
        <w:t xml:space="preserve"> e i costi sostenuti per portare il cespite nel luogo e nelle condizioni necessarie perché costituisca un bene duraturo per la società</w:t>
      </w:r>
    </w:p>
    <w:p w14:paraId="5A36824F" w14:textId="77777777" w:rsidR="008A73FF" w:rsidRDefault="008A73FF" w:rsidP="007F356B">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contextualSpacing/>
        <w:jc w:val="both"/>
        <w:rPr>
          <w:i/>
          <w:iCs/>
        </w:rPr>
      </w:pPr>
      <w:r>
        <w:rPr>
          <w:i/>
          <w:iCs/>
        </w:rPr>
        <w:t xml:space="preserve">b) </w:t>
      </w:r>
      <w:r w:rsidRPr="008A73FF">
        <w:rPr>
          <w:b/>
          <w:bCs/>
          <w:i/>
          <w:iCs/>
        </w:rPr>
        <w:t>per gli impianti e i macchinari</w:t>
      </w:r>
      <w:r w:rsidRPr="008A73FF">
        <w:rPr>
          <w:i/>
          <w:iCs/>
        </w:rPr>
        <w:t>: i costi di progettazione; i trasporti; i dazi su importazione; i costi di installazione; i costi ed onorari di perizie e collaudi; i costi di montaggio e posa in opera; i costi di messa a punto;</w:t>
      </w:r>
    </w:p>
    <w:p w14:paraId="50F00017" w14:textId="6153782F" w:rsidR="008A73FF" w:rsidRDefault="008A73FF" w:rsidP="008A73FF">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8A73FF">
        <w:rPr>
          <w:i/>
          <w:iCs/>
        </w:rPr>
        <w:t>c) per i mobili: il trasporto e i dazi su importazione.</w:t>
      </w:r>
    </w:p>
    <w:p w14:paraId="1E418291" w14:textId="6C7C4B1F" w:rsidR="008A73FF" w:rsidRPr="003A5E71" w:rsidRDefault="008A73FF" w:rsidP="008A73FF">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t>Estratto OIC 16 – Immobilizzazioni materiali</w:t>
      </w:r>
    </w:p>
    <w:p w14:paraId="5AB70411" w14:textId="77777777" w:rsidR="008A73FF" w:rsidRDefault="008A73FF" w:rsidP="00473CDF">
      <w:pPr>
        <w:shd w:val="clear" w:color="auto" w:fill="FFFFFF"/>
        <w:spacing w:line="360" w:lineRule="auto"/>
        <w:jc w:val="both"/>
        <w:rPr>
          <w:rFonts w:cs="Tahoma"/>
          <w:bCs/>
          <w:szCs w:val="20"/>
        </w:rPr>
      </w:pPr>
    </w:p>
    <w:p w14:paraId="63FEE2EC" w14:textId="749D89A9" w:rsidR="00C44203" w:rsidRDefault="00C44203" w:rsidP="00473CDF">
      <w:pPr>
        <w:shd w:val="clear" w:color="auto" w:fill="FFFFFF"/>
        <w:spacing w:line="360" w:lineRule="auto"/>
        <w:jc w:val="both"/>
        <w:rPr>
          <w:rFonts w:cs="Tahoma"/>
          <w:bCs/>
          <w:szCs w:val="20"/>
        </w:rPr>
      </w:pPr>
      <w:r>
        <w:rPr>
          <w:rFonts w:cs="Tahoma"/>
          <w:bCs/>
          <w:szCs w:val="20"/>
        </w:rPr>
        <w:t xml:space="preserve">Per espressa previsione normativa, invece, </w:t>
      </w:r>
      <w:r w:rsidRPr="00C44203">
        <w:rPr>
          <w:rFonts w:cs="Tahoma"/>
          <w:b/>
          <w:szCs w:val="20"/>
        </w:rPr>
        <w:t>le “costruzioni” non rientrano nell’ambito di applicazione</w:t>
      </w:r>
      <w:r>
        <w:rPr>
          <w:rFonts w:cs="Tahoma"/>
          <w:bCs/>
          <w:szCs w:val="20"/>
        </w:rPr>
        <w:t xml:space="preserve"> </w:t>
      </w:r>
      <w:r w:rsidRPr="00C44203">
        <w:rPr>
          <w:rFonts w:cs="Tahoma"/>
          <w:bCs/>
          <w:szCs w:val="20"/>
        </w:rPr>
        <w:t>dell’agevolazione</w:t>
      </w:r>
      <w:r>
        <w:rPr>
          <w:rFonts w:cs="Tahoma"/>
          <w:bCs/>
          <w:szCs w:val="20"/>
        </w:rPr>
        <w:t>.</w:t>
      </w:r>
    </w:p>
    <w:p w14:paraId="00A859CA" w14:textId="7595B47C" w:rsidR="00C44203" w:rsidRDefault="00C44203" w:rsidP="00473CDF">
      <w:pPr>
        <w:shd w:val="clear" w:color="auto" w:fill="FFFFFF"/>
        <w:spacing w:line="360" w:lineRule="auto"/>
        <w:jc w:val="both"/>
        <w:rPr>
          <w:rFonts w:cs="Tahoma"/>
          <w:bCs/>
          <w:szCs w:val="20"/>
        </w:rPr>
      </w:pPr>
      <w:r w:rsidRPr="00C44203">
        <w:rPr>
          <w:rFonts w:cs="Tahoma"/>
          <w:bCs/>
          <w:szCs w:val="20"/>
        </w:rPr>
        <w:t xml:space="preserve">Con specifico riferimento ai costi relativi alle piccole opere murarie, si ritiene pertanto che, </w:t>
      </w:r>
      <w:r w:rsidRPr="00C44203">
        <w:rPr>
          <w:rFonts w:cs="Tahoma"/>
          <w:b/>
          <w:szCs w:val="20"/>
        </w:rPr>
        <w:t>nei limiti in cui tali opere non presentino una consistenza volumetrica apprezzabile</w:t>
      </w:r>
      <w:r w:rsidRPr="00C44203">
        <w:rPr>
          <w:rFonts w:cs="Tahoma"/>
          <w:bCs/>
          <w:szCs w:val="20"/>
        </w:rPr>
        <w:t xml:space="preserve"> e, quindi, </w:t>
      </w:r>
      <w:r w:rsidRPr="00C44203">
        <w:rPr>
          <w:rFonts w:cs="Tahoma"/>
          <w:b/>
          <w:szCs w:val="20"/>
        </w:rPr>
        <w:t>non assumano natura di “costruzioni” ai sensi della disciplina catastale</w:t>
      </w:r>
      <w:r w:rsidRPr="00C44203">
        <w:rPr>
          <w:rFonts w:cs="Tahoma"/>
          <w:bCs/>
          <w:szCs w:val="20"/>
        </w:rPr>
        <w:t xml:space="preserve">, gli stessi costi possano </w:t>
      </w:r>
      <w:r w:rsidRPr="00C44203">
        <w:rPr>
          <w:rFonts w:cs="Tahoma"/>
          <w:b/>
          <w:szCs w:val="20"/>
        </w:rPr>
        <w:t>configurarsi come oneri accessori</w:t>
      </w:r>
      <w:r w:rsidRPr="00C44203">
        <w:rPr>
          <w:rFonts w:cs="Tahoma"/>
          <w:bCs/>
          <w:szCs w:val="20"/>
        </w:rPr>
        <w:t xml:space="preserve"> e rilevare ai fini </w:t>
      </w:r>
      <w:r>
        <w:rPr>
          <w:rFonts w:cs="Tahoma"/>
          <w:bCs/>
          <w:szCs w:val="20"/>
        </w:rPr>
        <w:t>del calcolo del credito d’imposta.</w:t>
      </w:r>
    </w:p>
    <w:p w14:paraId="0B39ED57" w14:textId="77777777" w:rsidR="00596F9E" w:rsidRDefault="00596F9E" w:rsidP="00473CDF">
      <w:pPr>
        <w:shd w:val="clear" w:color="auto" w:fill="FFFFFF"/>
        <w:spacing w:line="360" w:lineRule="auto"/>
        <w:jc w:val="both"/>
        <w:rPr>
          <w:rFonts w:cs="Tahoma"/>
          <w:bCs/>
          <w:szCs w:val="20"/>
        </w:rPr>
      </w:pPr>
    </w:p>
    <w:bookmarkEnd w:id="5"/>
    <w:bookmarkEnd w:id="6"/>
    <w:p w14:paraId="27406325" w14:textId="0304BC3A" w:rsidR="005D4D28" w:rsidRPr="0092184A" w:rsidRDefault="001F4199" w:rsidP="00473CDF">
      <w:pPr>
        <w:spacing w:line="360" w:lineRule="auto"/>
        <w:ind w:left="2124"/>
        <w:jc w:val="both"/>
        <w:rPr>
          <w:noProof/>
        </w:rPr>
      </w:pPr>
      <w:r>
        <w:rPr>
          <w:noProof/>
        </w:rPr>
        <w:drawing>
          <wp:anchor distT="0" distB="0" distL="114300" distR="114300" simplePos="0" relativeHeight="251763200" behindDoc="0" locked="0" layoutInCell="1" allowOverlap="1" wp14:anchorId="067A20EE" wp14:editId="157695FB">
            <wp:simplePos x="716890" y="2699309"/>
            <wp:positionH relativeFrom="column">
              <wp:align>left</wp:align>
            </wp:positionH>
            <wp:positionV relativeFrom="paragraph">
              <wp:align>top</wp:align>
            </wp:positionV>
            <wp:extent cx="914400" cy="914400"/>
            <wp:effectExtent l="0" t="0" r="0" b="0"/>
            <wp:wrapSquare wrapText="bothSides"/>
            <wp:docPr id="17" name="Elemento grafico 17"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Pr="001F4199">
        <w:rPr>
          <w:noProof/>
        </w:rPr>
        <w:t xml:space="preserve">Sempre in tema di oneri accessori rilevanti ai fini della determinazione del costo degli investimenti agevolabili, si </w:t>
      </w:r>
      <w:r>
        <w:rPr>
          <w:noProof/>
        </w:rPr>
        <w:t>segnala</w:t>
      </w:r>
      <w:r w:rsidRPr="001F4199">
        <w:rPr>
          <w:noProof/>
        </w:rPr>
        <w:t xml:space="preserve"> che il </w:t>
      </w:r>
      <w:r w:rsidRPr="001F4199">
        <w:rPr>
          <w:b/>
          <w:bCs/>
          <w:noProof/>
        </w:rPr>
        <w:t>costo della perizia giurata</w:t>
      </w:r>
      <w:r w:rsidRPr="001F4199">
        <w:rPr>
          <w:noProof/>
        </w:rPr>
        <w:t xml:space="preserve"> o </w:t>
      </w:r>
      <w:r w:rsidRPr="001F4199">
        <w:rPr>
          <w:b/>
          <w:bCs/>
          <w:noProof/>
        </w:rPr>
        <w:t>dell’attestazione di conformità</w:t>
      </w:r>
      <w:r w:rsidRPr="001F4199">
        <w:rPr>
          <w:noProof/>
        </w:rPr>
        <w:t xml:space="preserve"> </w:t>
      </w:r>
      <w:r w:rsidRPr="001F4199">
        <w:rPr>
          <w:b/>
          <w:bCs/>
          <w:noProof/>
        </w:rPr>
        <w:t>non assume rilevanza</w:t>
      </w:r>
      <w:r w:rsidRPr="001F4199">
        <w:rPr>
          <w:noProof/>
        </w:rPr>
        <w:t xml:space="preserve">, comunque, </w:t>
      </w:r>
      <w:r w:rsidRPr="001F4199">
        <w:rPr>
          <w:b/>
          <w:bCs/>
          <w:noProof/>
        </w:rPr>
        <w:t>ai fini della agevolazione</w:t>
      </w:r>
      <w:r w:rsidRPr="001F4199">
        <w:rPr>
          <w:noProof/>
        </w:rPr>
        <w:t xml:space="preserve"> in questione, a prescindere dalle modalità di contabilizzazione in bilancio, trattandosi semplicemente di un onere il cui sostenimento è richiesto esclusivamente ai fini dell’ottenimento del beneficio fiscale</w:t>
      </w:r>
      <w:r>
        <w:rPr>
          <w:noProof/>
        </w:rPr>
        <w:t>.</w:t>
      </w:r>
    </w:p>
    <w:p w14:paraId="6B5D06EF" w14:textId="77777777" w:rsidR="00596F9E" w:rsidRDefault="00596F9E" w:rsidP="00473CDF">
      <w:pPr>
        <w:spacing w:line="360" w:lineRule="auto"/>
        <w:jc w:val="both"/>
      </w:pPr>
    </w:p>
    <w:p w14:paraId="66F82218" w14:textId="070F2722" w:rsidR="00EE0DC9" w:rsidRDefault="00473CDF" w:rsidP="00473CDF">
      <w:pPr>
        <w:spacing w:line="360" w:lineRule="auto"/>
        <w:jc w:val="both"/>
      </w:pPr>
      <w:r>
        <w:t xml:space="preserve">Ulteriore tematica sulla quale sono stati prospettati dubbi interpretativi è quella che riguarda il trattamento, ai fini dell’individuazione degli investimenti rilevanti, delle </w:t>
      </w:r>
      <w:r w:rsidRPr="00473CDF">
        <w:rPr>
          <w:b/>
          <w:bCs/>
        </w:rPr>
        <w:t>attrezzature che costituiscono dotazione ordinaria del bene agevolabile</w:t>
      </w:r>
      <w:r>
        <w:t>.</w:t>
      </w:r>
    </w:p>
    <w:p w14:paraId="5A127D35" w14:textId="77777777" w:rsidR="00473CDF" w:rsidRDefault="00473CDF" w:rsidP="00473CDF">
      <w:pPr>
        <w:spacing w:line="360" w:lineRule="auto"/>
        <w:jc w:val="both"/>
      </w:pPr>
      <w:r>
        <w:lastRenderedPageBreak/>
        <w:t xml:space="preserve">Al riguardo, occorre premettere che ai fini della disciplina relativa ai beni strumentali materiali 4.0 assumono rilevanza soltanto gli investimenti aventi ad oggetto i </w:t>
      </w:r>
      <w:r w:rsidRPr="00473CDF">
        <w:rPr>
          <w:b/>
          <w:bCs/>
        </w:rPr>
        <w:t>beni elencati nell’allegato A</w:t>
      </w:r>
      <w:r>
        <w:t xml:space="preserve"> annesso alla legge n. 232/2016 e che, a stretto rigore, le attrezzature e gli altri cespiti strumentali non rientranti nella definizione di macchina di cui all’articolo 2, lettera a), della Direttiva 2006/42/CE, non sono riconducibili autonomamente ad alcuna delle categorie di beni elencati nel predetto allegato A.</w:t>
      </w:r>
    </w:p>
    <w:p w14:paraId="60D4E8DA" w14:textId="125A367E" w:rsidR="00473CDF" w:rsidRDefault="00473CDF" w:rsidP="00473CDF">
      <w:pPr>
        <w:spacing w:line="360" w:lineRule="auto"/>
        <w:jc w:val="both"/>
      </w:pPr>
      <w:r>
        <w:t xml:space="preserve">Tuttavia, si ritiene che gli accessori costituenti </w:t>
      </w:r>
      <w:r w:rsidRPr="00473CDF">
        <w:rPr>
          <w:b/>
          <w:bCs/>
        </w:rPr>
        <w:t>elementi strettamente indispensabili</w:t>
      </w:r>
      <w:r>
        <w:t xml:space="preserve"> per la funzione che una determinata macchina è destinata a svolgere nell’ambito dello specifico processo produttivo </w:t>
      </w:r>
      <w:r w:rsidRPr="00473CDF">
        <w:rPr>
          <w:b/>
          <w:bCs/>
        </w:rPr>
        <w:t>possano assumere rilevanza agli effetti della disciplina agevolativa</w:t>
      </w:r>
      <w:r>
        <w:t xml:space="preserve"> </w:t>
      </w:r>
      <w:r w:rsidRPr="00473CDF">
        <w:rPr>
          <w:b/>
          <w:bCs/>
        </w:rPr>
        <w:t>nei limiti in cui costituiscano</w:t>
      </w:r>
      <w:r>
        <w:t xml:space="preserve"> </w:t>
      </w:r>
      <w:r w:rsidRPr="00473CDF">
        <w:rPr>
          <w:b/>
          <w:bCs/>
        </w:rPr>
        <w:t>ordinaria dotazione del cespite principale</w:t>
      </w:r>
      <w:r>
        <w:t>.</w:t>
      </w:r>
    </w:p>
    <w:p w14:paraId="29E94A41" w14:textId="28728189" w:rsidR="00473CDF" w:rsidRDefault="00473CDF" w:rsidP="00473CDF">
      <w:pPr>
        <w:spacing w:line="360" w:lineRule="auto"/>
        <w:jc w:val="both"/>
      </w:pPr>
      <w:r w:rsidRPr="00473CDF">
        <w:t>Si tratta di una tematica simile a quella affrontata in relazione alla disciplina di detassazione degli investimenti in macchinari prevista dall’articolo 5 del decreto legge 1° luglio 2009, n. 78 (c.d. Tremonti-ter), che, come noto, annoverava tra i beni agevolabili esclusivamente quelli classificabili nella divisione 28 della tabella Ateco 2007. Infatti, in applicazione di tale disciplina, con risoluzione n. 91/E</w:t>
      </w:r>
      <w:r>
        <w:t>/</w:t>
      </w:r>
      <w:r w:rsidRPr="00473CDF">
        <w:t>2010, è stato riconosciuto che la detassazione poteva riguardare anche beni ricompresi in altre divisioni della tabella Ateco purché si trattasse di cespiti “indispensabili”, vale a dire assolutamente necessari al funzionamento del bene classificato nella divisione 28 e costituenti, al contempo, normale dotazione del bene principale.</w:t>
      </w:r>
    </w:p>
    <w:p w14:paraId="4BE01BB1" w14:textId="1CC8E9F7" w:rsidR="00473CDF" w:rsidRDefault="00473CDF" w:rsidP="00473CDF">
      <w:pPr>
        <w:spacing w:line="360" w:lineRule="auto"/>
        <w:jc w:val="both"/>
      </w:pPr>
      <w:r>
        <w:t>Tale impostazione di principio, in linea generale, può essere adottata anche agli effetti dell’odierna disciplina agevolativa. Pertanto, verificandosi i due presupposti sopra indicati (e cioè che le attrezzature siano assolutamente necessarie per il funzionamento del macchinario e che ne costituiscano normale dotazione), il credito d’imposta potrà estendersi anche al costo di tali attrezzature e accessori.</w:t>
      </w:r>
    </w:p>
    <w:p w14:paraId="0984AFD3" w14:textId="77777777" w:rsidR="00950577" w:rsidRDefault="00950577" w:rsidP="00473CDF">
      <w:pPr>
        <w:spacing w:line="360" w:lineRule="auto"/>
        <w:jc w:val="both"/>
      </w:pPr>
      <w:r>
        <w:t xml:space="preserve">Ciò precisato, si osserva che, </w:t>
      </w:r>
      <w:r w:rsidRPr="00950577">
        <w:rPr>
          <w:b/>
          <w:bCs/>
        </w:rPr>
        <w:t>con riferimento alla individuazione delle attrezzature e degli accessori che costituiscono “normale dotazione” del macchinario</w:t>
      </w:r>
      <w:r>
        <w:t xml:space="preserve">, potrebbero </w:t>
      </w:r>
      <w:r w:rsidRPr="00950577">
        <w:rPr>
          <w:b/>
          <w:bCs/>
        </w:rPr>
        <w:t>generarsi incertezze</w:t>
      </w:r>
      <w:r>
        <w:t xml:space="preserve"> in sede applicativa in considerazione della varietà di situazioni riscontrabili nei differenti settori economici e in relazione alle caratteristiche tecniche dei diversi cespiti.</w:t>
      </w:r>
    </w:p>
    <w:p w14:paraId="5813FEBD" w14:textId="77777777" w:rsidR="00950577" w:rsidRDefault="00950577" w:rsidP="00473CDF">
      <w:pPr>
        <w:spacing w:line="360" w:lineRule="auto"/>
        <w:jc w:val="both"/>
      </w:pPr>
      <w:r>
        <w:t xml:space="preserve">Per ragioni di semplificazione e di certezza, sia per i contribuenti che per gli Uffici chiamati ad effettuare le attività di controllo, è stato individuato, in via amministrativa, </w:t>
      </w:r>
      <w:r w:rsidRPr="00950577">
        <w:rPr>
          <w:b/>
          <w:bCs/>
        </w:rPr>
        <w:t>un limite quantitativo forfetario</w:t>
      </w:r>
      <w:r>
        <w:t xml:space="preserve"> entro il quale si ritiene verificata la circostanza che le attrezzature e gli accessori </w:t>
      </w:r>
      <w:r w:rsidRPr="00950577">
        <w:rPr>
          <w:b/>
          <w:bCs/>
        </w:rPr>
        <w:t>strettamente necessari al funzionamento del bene dell’allegato A</w:t>
      </w:r>
      <w:r>
        <w:t xml:space="preserve"> costituiscono “</w:t>
      </w:r>
      <w:r w:rsidRPr="00950577">
        <w:rPr>
          <w:b/>
          <w:bCs/>
        </w:rPr>
        <w:t>normale dotazione</w:t>
      </w:r>
      <w:r>
        <w:t>” del bene medesimo.</w:t>
      </w:r>
    </w:p>
    <w:p w14:paraId="62C46D96" w14:textId="4B1DFD0A" w:rsidR="00473CDF" w:rsidRDefault="00950577" w:rsidP="00473CDF">
      <w:pPr>
        <w:spacing w:line="360" w:lineRule="auto"/>
        <w:jc w:val="both"/>
      </w:pPr>
      <w:r>
        <w:t xml:space="preserve">A tal fine, il Ministero dello Sviluppo economico ha ritenuto che tale limite forfetario </w:t>
      </w:r>
      <w:r w:rsidRPr="00950577">
        <w:rPr>
          <w:b/>
          <w:bCs/>
        </w:rPr>
        <w:t>possa essere determinato in ragione del 5% del costo del bene principale</w:t>
      </w:r>
      <w:r>
        <w:t>.</w:t>
      </w:r>
    </w:p>
    <w:p w14:paraId="1CCCB92F" w14:textId="77777777" w:rsidR="00950577" w:rsidRDefault="00950577" w:rsidP="00473CDF">
      <w:pPr>
        <w:spacing w:line="360" w:lineRule="auto"/>
        <w:jc w:val="both"/>
      </w:pPr>
      <w:r>
        <w:lastRenderedPageBreak/>
        <w:t xml:space="preserve">Nel limite di tale importo, quindi, si può presumere che le dotazioni </w:t>
      </w:r>
      <w:r w:rsidRPr="00950577">
        <w:rPr>
          <w:b/>
          <w:bCs/>
        </w:rPr>
        <w:t>possano essere considerate accessorie</w:t>
      </w:r>
      <w:r>
        <w:t>, sempreché, ovviamente, i costi di tali dotazioni siano effettivamente sostenuti e debitamente documentati.</w:t>
      </w:r>
    </w:p>
    <w:p w14:paraId="588152A8" w14:textId="07A89F55" w:rsidR="00950577" w:rsidRDefault="00950577" w:rsidP="00473CDF">
      <w:pPr>
        <w:spacing w:line="360" w:lineRule="auto"/>
        <w:jc w:val="both"/>
      </w:pPr>
      <w:r>
        <w:t xml:space="preserve">Resta ferma la </w:t>
      </w:r>
      <w:r w:rsidRPr="00950577">
        <w:rPr>
          <w:b/>
          <w:bCs/>
        </w:rPr>
        <w:t>facoltà per l’impresa di applicare il credito d’imposta sulle attrezzature ed accessori in questione anche per l’importo che eccede il predetto limite del 5%</w:t>
      </w:r>
      <w:r>
        <w:t xml:space="preserve">. Tuttavia, </w:t>
      </w:r>
      <w:r w:rsidRPr="00950577">
        <w:rPr>
          <w:b/>
          <w:bCs/>
        </w:rPr>
        <w:t>in questo caso</w:t>
      </w:r>
      <w:r>
        <w:t xml:space="preserve"> sarà onere del contribuente </w:t>
      </w:r>
      <w:r w:rsidRPr="00950577">
        <w:rPr>
          <w:b/>
          <w:bCs/>
        </w:rPr>
        <w:t>dimostrare in sede di controllo gli elementi a supporto dei maggiori costi</w:t>
      </w:r>
      <w:r>
        <w:t xml:space="preserve"> inclusi nell’agevolazione.</w:t>
      </w:r>
    </w:p>
    <w:p w14:paraId="6AF5342E" w14:textId="1B4A0E38" w:rsidR="00940016" w:rsidRPr="00473CDF" w:rsidRDefault="00940016" w:rsidP="00473CDF">
      <w:pPr>
        <w:spacing w:line="360" w:lineRule="auto"/>
        <w:jc w:val="both"/>
        <w:rPr>
          <w:rStyle w:val="Internetlink"/>
          <w:color w:val="auto"/>
          <w:u w:val="none"/>
        </w:rPr>
      </w:pPr>
      <w:r>
        <w:t xml:space="preserve">Si ritiene, infine, che le soluzioni sopra indicate possano trovare applicazione tanto nel caso in cui gli elementi accessori vengano acquisiti in unica soluzione </w:t>
      </w:r>
      <w:r w:rsidRPr="00940016">
        <w:t xml:space="preserve">con l’atto di investimento nel bene principale, sia nel caso in cui vengano acquisiti separatamente </w:t>
      </w:r>
      <w:r w:rsidRPr="00940016">
        <w:rPr>
          <w:b/>
          <w:bCs/>
        </w:rPr>
        <w:t>anche presso altri fornitori</w:t>
      </w:r>
      <w:r w:rsidRPr="00940016">
        <w:t>.</w:t>
      </w:r>
    </w:p>
    <w:p w14:paraId="63BF6BCC" w14:textId="77777777" w:rsidR="00596F9E" w:rsidRDefault="00596F9E">
      <w:pPr>
        <w:spacing w:after="0" w:line="240" w:lineRule="auto"/>
        <w:rPr>
          <w:rStyle w:val="Internetlink"/>
          <w:color w:val="auto"/>
          <w:u w:val="none"/>
        </w:rPr>
        <w:sectPr w:rsidR="00596F9E" w:rsidSect="00A90ED0">
          <w:pgSz w:w="11906" w:h="16838"/>
          <w:pgMar w:top="833" w:right="1134" w:bottom="1134" w:left="1134" w:header="708" w:footer="708" w:gutter="0"/>
          <w:cols w:space="708"/>
          <w:titlePg/>
          <w:docGrid w:linePitch="360"/>
        </w:sectPr>
      </w:pPr>
    </w:p>
    <w:p w14:paraId="29730C7D" w14:textId="0D06B250" w:rsidR="00A105DE" w:rsidRPr="00380A75" w:rsidRDefault="00596F9E" w:rsidP="00A105DE">
      <w:pPr>
        <w:shd w:val="clear" w:color="auto" w:fill="FFFFFF"/>
        <w:spacing w:before="120" w:after="0" w:line="240" w:lineRule="auto"/>
        <w:jc w:val="center"/>
        <w:rPr>
          <w:b/>
          <w:bCs/>
          <w:sz w:val="32"/>
          <w:szCs w:val="32"/>
        </w:rPr>
      </w:pPr>
      <w:r>
        <w:rPr>
          <w:b/>
          <w:bCs/>
          <w:sz w:val="32"/>
          <w:szCs w:val="32"/>
        </w:rPr>
        <w:lastRenderedPageBreak/>
        <w:t>4.</w:t>
      </w:r>
    </w:p>
    <w:bookmarkStart w:id="37" w:name="_Toc93327718"/>
    <w:p w14:paraId="3DB2E02A" w14:textId="683210E7" w:rsidR="00A105DE" w:rsidRPr="00D40DBB" w:rsidRDefault="00A105DE" w:rsidP="00A105DE">
      <w:pPr>
        <w:pStyle w:val="Titolo"/>
      </w:pPr>
      <w:r>
        <w:rPr>
          <w:noProof/>
        </w:rPr>
        <mc:AlternateContent>
          <mc:Choice Requires="wps">
            <w:drawing>
              <wp:anchor distT="4294967291" distB="4294967291" distL="114300" distR="114300" simplePos="0" relativeHeight="251755008" behindDoc="0" locked="0" layoutInCell="1" allowOverlap="1" wp14:anchorId="1A4CB8B0" wp14:editId="0C560544">
                <wp:simplePos x="0" y="0"/>
                <wp:positionH relativeFrom="margin">
                  <wp:align>center</wp:align>
                </wp:positionH>
                <wp:positionV relativeFrom="paragraph">
                  <wp:posOffset>80118</wp:posOffset>
                </wp:positionV>
                <wp:extent cx="2438400" cy="0"/>
                <wp:effectExtent l="0" t="0" r="0" b="0"/>
                <wp:wrapNone/>
                <wp:docPr id="1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A0D723" id="AutoShape 120" o:spid="_x0000_s1026" type="#_x0000_t32" style="position:absolute;margin-left:0;margin-top:6.3pt;width:192pt;height:0;z-index:251755008;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t>Misura del credito</w:t>
      </w:r>
      <w:bookmarkEnd w:id="37"/>
    </w:p>
    <w:p w14:paraId="124E9369" w14:textId="77777777" w:rsidR="00A105DE" w:rsidRPr="00596F9E" w:rsidRDefault="00A105DE" w:rsidP="00596F9E">
      <w:pPr>
        <w:pStyle w:val="Titolo2"/>
        <w:spacing w:line="360" w:lineRule="auto"/>
        <w:rPr>
          <w:sz w:val="20"/>
          <w:szCs w:val="20"/>
        </w:rPr>
      </w:pPr>
    </w:p>
    <w:p w14:paraId="6B79E90D" w14:textId="77777777" w:rsidR="00A105DE" w:rsidRPr="00596F9E" w:rsidRDefault="00A105DE" w:rsidP="00596F9E">
      <w:pPr>
        <w:pStyle w:val="Titolo2"/>
        <w:spacing w:line="360" w:lineRule="auto"/>
        <w:rPr>
          <w:sz w:val="20"/>
          <w:szCs w:val="20"/>
        </w:rPr>
      </w:pPr>
    </w:p>
    <w:p w14:paraId="3EEE839F" w14:textId="77777777" w:rsidR="00A105DE" w:rsidRPr="00596F9E" w:rsidRDefault="00A105DE" w:rsidP="00596F9E">
      <w:pPr>
        <w:pStyle w:val="Titolo2"/>
        <w:spacing w:line="360" w:lineRule="auto"/>
        <w:rPr>
          <w:sz w:val="20"/>
          <w:szCs w:val="20"/>
        </w:rPr>
      </w:pPr>
    </w:p>
    <w:p w14:paraId="5F3C33D1" w14:textId="77777777" w:rsidR="00A105DE" w:rsidRPr="00596F9E" w:rsidRDefault="00A105DE" w:rsidP="00596F9E">
      <w:pPr>
        <w:pStyle w:val="Titolo2"/>
        <w:spacing w:line="360" w:lineRule="auto"/>
        <w:rPr>
          <w:sz w:val="20"/>
          <w:szCs w:val="20"/>
        </w:rPr>
      </w:pPr>
    </w:p>
    <w:p w14:paraId="239CB697" w14:textId="77777777" w:rsidR="00A105DE" w:rsidRPr="00596F9E" w:rsidRDefault="00A105DE" w:rsidP="00596F9E">
      <w:pPr>
        <w:pStyle w:val="Titolo2"/>
        <w:spacing w:line="360" w:lineRule="auto"/>
        <w:rPr>
          <w:sz w:val="20"/>
          <w:szCs w:val="20"/>
        </w:rPr>
      </w:pPr>
    </w:p>
    <w:p w14:paraId="4E157447" w14:textId="77777777" w:rsidR="00A105DE" w:rsidRPr="00596F9E" w:rsidRDefault="00A105DE" w:rsidP="00596F9E">
      <w:pPr>
        <w:pStyle w:val="Titolo2"/>
        <w:spacing w:line="360" w:lineRule="auto"/>
        <w:rPr>
          <w:sz w:val="20"/>
          <w:szCs w:val="20"/>
        </w:rPr>
      </w:pPr>
    </w:p>
    <w:p w14:paraId="281AB531" w14:textId="12ADF0A4" w:rsidR="00A105DE" w:rsidRPr="002247B4" w:rsidRDefault="006D6716" w:rsidP="00A105DE">
      <w:pPr>
        <w:pStyle w:val="Titolo2"/>
      </w:pPr>
      <w:bookmarkStart w:id="38" w:name="_Toc93327719"/>
      <w:r>
        <w:t>4</w:t>
      </w:r>
      <w:r w:rsidR="00A105DE" w:rsidRPr="002247B4">
        <w:t>.1</w:t>
      </w:r>
      <w:r>
        <w:t xml:space="preserve"> Determinazione del credito spettante</w:t>
      </w:r>
      <w:bookmarkEnd w:id="38"/>
    </w:p>
    <w:p w14:paraId="4356EAA0" w14:textId="39CB1541" w:rsidR="00312830" w:rsidRPr="007F356B" w:rsidRDefault="00312830" w:rsidP="00312830">
      <w:pPr>
        <w:shd w:val="clear" w:color="auto" w:fill="FFFFFF"/>
        <w:spacing w:line="360" w:lineRule="auto"/>
        <w:jc w:val="both"/>
        <w:rPr>
          <w:rFonts w:cs="Tahoma"/>
          <w:bCs/>
          <w:szCs w:val="20"/>
        </w:rPr>
      </w:pPr>
      <w:r w:rsidRPr="00312830">
        <w:rPr>
          <w:rFonts w:cs="Tahoma"/>
          <w:bCs/>
          <w:szCs w:val="20"/>
        </w:rPr>
        <w:t xml:space="preserve">Il </w:t>
      </w:r>
      <w:r w:rsidRPr="00312830">
        <w:rPr>
          <w:rFonts w:cs="Tahoma"/>
          <w:b/>
          <w:bCs/>
          <w:szCs w:val="20"/>
        </w:rPr>
        <w:t>credito</w:t>
      </w:r>
      <w:r w:rsidRPr="00C62EEF">
        <w:rPr>
          <w:rFonts w:cs="Tahoma"/>
          <w:szCs w:val="20"/>
        </w:rPr>
        <w:t xml:space="preserve"> </w:t>
      </w:r>
      <w:r w:rsidRPr="00312830">
        <w:rPr>
          <w:rFonts w:cs="Tahoma"/>
          <w:b/>
          <w:bCs/>
          <w:szCs w:val="20"/>
        </w:rPr>
        <w:t>d'imposta</w:t>
      </w:r>
      <w:r w:rsidRPr="00312830">
        <w:rPr>
          <w:rFonts w:cs="Tahoma"/>
          <w:bCs/>
          <w:szCs w:val="20"/>
        </w:rPr>
        <w:t xml:space="preserve"> in parola è riconosciuto in </w:t>
      </w:r>
      <w:r w:rsidRPr="00312830">
        <w:rPr>
          <w:rFonts w:cs="Tahoma"/>
          <w:b/>
          <w:bCs/>
          <w:szCs w:val="20"/>
        </w:rPr>
        <w:t xml:space="preserve">misura differenziata secondo la tipologia di beni oggetto </w:t>
      </w:r>
      <w:r w:rsidRPr="007F356B">
        <w:rPr>
          <w:rFonts w:cs="Tahoma"/>
          <w:b/>
          <w:bCs/>
          <w:szCs w:val="20"/>
        </w:rPr>
        <w:t>dell'investimento</w:t>
      </w:r>
      <w:r w:rsidR="00FA0CC6" w:rsidRPr="007F356B">
        <w:rPr>
          <w:rFonts w:cs="Tahoma"/>
          <w:bCs/>
          <w:szCs w:val="20"/>
        </w:rPr>
        <w:t xml:space="preserve"> e dell’</w:t>
      </w:r>
      <w:r w:rsidR="00FA0CC6" w:rsidRPr="007F356B">
        <w:rPr>
          <w:rFonts w:cs="Tahoma"/>
          <w:b/>
          <w:szCs w:val="20"/>
        </w:rPr>
        <w:t>ambito temporale</w:t>
      </w:r>
      <w:r w:rsidR="00FA0CC6" w:rsidRPr="007F356B">
        <w:rPr>
          <w:rFonts w:cs="Tahoma"/>
          <w:bCs/>
          <w:szCs w:val="20"/>
        </w:rPr>
        <w:t xml:space="preserve"> di riferimento.</w:t>
      </w:r>
    </w:p>
    <w:p w14:paraId="18C0843A" w14:textId="2D886B72" w:rsidR="0018563A" w:rsidRPr="007F356B" w:rsidRDefault="0018563A" w:rsidP="00312830">
      <w:pPr>
        <w:shd w:val="clear" w:color="auto" w:fill="FFFFFF"/>
        <w:spacing w:line="360" w:lineRule="auto"/>
        <w:jc w:val="both"/>
      </w:pPr>
      <w:r w:rsidRPr="007F356B">
        <w:rPr>
          <w:rStyle w:val="Internetlink"/>
          <w:color w:val="auto"/>
          <w:u w:val="none"/>
        </w:rPr>
        <w:t xml:space="preserve">La legge di bilancio 2021 (legge 30 dicembre 2020, n. 178), entrata in vigore il 1° gennaio 2021, ha rafforzato la </w:t>
      </w:r>
      <w:r w:rsidRPr="007F356B">
        <w:rPr>
          <w:rStyle w:val="Internetlink"/>
          <w:b/>
          <w:bCs/>
          <w:color w:val="auto"/>
          <w:u w:val="none"/>
        </w:rPr>
        <w:t>misura del credito retroattivamente</w:t>
      </w:r>
      <w:r w:rsidRPr="007F356B">
        <w:rPr>
          <w:rStyle w:val="Internetlink"/>
          <w:color w:val="auto"/>
          <w:u w:val="none"/>
        </w:rPr>
        <w:t xml:space="preserve">, a decorrere dagli </w:t>
      </w:r>
      <w:r w:rsidRPr="007F356B">
        <w:rPr>
          <w:rStyle w:val="Internetlink"/>
          <w:b/>
          <w:bCs/>
          <w:color w:val="auto"/>
          <w:u w:val="none"/>
        </w:rPr>
        <w:t>investimenti effettuati dal 16 novembre 2020</w:t>
      </w:r>
      <w:r w:rsidRPr="007F356B">
        <w:rPr>
          <w:rStyle w:val="Internetlink"/>
          <w:color w:val="auto"/>
          <w:u w:val="none"/>
        </w:rPr>
        <w:t>.</w:t>
      </w:r>
    </w:p>
    <w:p w14:paraId="4FEC52A2" w14:textId="31D0F0D3" w:rsidR="0018563A" w:rsidRPr="007F356B" w:rsidRDefault="0018563A" w:rsidP="0018563A">
      <w:pPr>
        <w:shd w:val="clear" w:color="auto" w:fill="FFFFFF"/>
        <w:spacing w:line="360" w:lineRule="auto"/>
        <w:jc w:val="both"/>
        <w:rPr>
          <w:rStyle w:val="Internetlink"/>
          <w:color w:val="auto"/>
          <w:u w:val="none"/>
        </w:rPr>
      </w:pPr>
      <w:r w:rsidRPr="007F356B">
        <w:rPr>
          <w:rStyle w:val="Internetlink"/>
          <w:color w:val="auto"/>
          <w:u w:val="none"/>
        </w:rPr>
        <w:t xml:space="preserve">In base alle disposizioni della Legge di bilancio 2021, </w:t>
      </w:r>
      <w:r w:rsidR="00E87609" w:rsidRPr="007F356B">
        <w:rPr>
          <w:rStyle w:val="Internetlink"/>
          <w:color w:val="auto"/>
          <w:u w:val="none"/>
        </w:rPr>
        <w:t xml:space="preserve">coordinate con le modifiche apportate dalla </w:t>
      </w:r>
      <w:r w:rsidR="00E87609" w:rsidRPr="007F356B">
        <w:rPr>
          <w:rStyle w:val="Internetlink"/>
          <w:b/>
          <w:bCs/>
          <w:color w:val="auto"/>
          <w:u w:val="none"/>
        </w:rPr>
        <w:t>Legge di bilancio 2022</w:t>
      </w:r>
      <w:r w:rsidR="00E87609" w:rsidRPr="007F356B">
        <w:rPr>
          <w:rStyle w:val="Internetlink"/>
          <w:color w:val="auto"/>
          <w:u w:val="none"/>
        </w:rPr>
        <w:t xml:space="preserve"> (articolo 1, comma 44, Legge 30 dicembre 2021, n. 234) </w:t>
      </w:r>
      <w:r w:rsidRPr="007F356B">
        <w:rPr>
          <w:rStyle w:val="Internetlink"/>
          <w:color w:val="auto"/>
          <w:u w:val="none"/>
        </w:rPr>
        <w:t xml:space="preserve">il credito </w:t>
      </w:r>
      <w:r w:rsidRPr="007F356B">
        <w:rPr>
          <w:rStyle w:val="Internetlink"/>
          <w:b/>
          <w:bCs/>
          <w:color w:val="auto"/>
          <w:u w:val="none"/>
        </w:rPr>
        <w:t>spetta a favore delle imprese</w:t>
      </w:r>
      <w:r w:rsidRPr="007F356B">
        <w:rPr>
          <w:rStyle w:val="Internetlink"/>
          <w:color w:val="auto"/>
          <w:u w:val="none"/>
        </w:rPr>
        <w:t xml:space="preserve"> che effettuano </w:t>
      </w:r>
      <w:r w:rsidRPr="007F356B">
        <w:rPr>
          <w:rStyle w:val="Internetlink"/>
          <w:b/>
          <w:bCs/>
          <w:color w:val="auto"/>
          <w:u w:val="none"/>
        </w:rPr>
        <w:t>investimenti in beni strumentali nuovi</w:t>
      </w:r>
      <w:r w:rsidRPr="007F356B">
        <w:rPr>
          <w:rStyle w:val="Internetlink"/>
          <w:color w:val="auto"/>
          <w:u w:val="none"/>
        </w:rPr>
        <w:t>:</w:t>
      </w:r>
    </w:p>
    <w:p w14:paraId="113EF529" w14:textId="77777777" w:rsidR="0018563A" w:rsidRPr="007F356B" w:rsidRDefault="0018563A" w:rsidP="00AE49EC">
      <w:pPr>
        <w:pStyle w:val="Paragrafoelenco"/>
        <w:numPr>
          <w:ilvl w:val="0"/>
          <w:numId w:val="13"/>
        </w:numPr>
        <w:shd w:val="clear" w:color="auto" w:fill="FFFFFF"/>
        <w:spacing w:line="360" w:lineRule="auto"/>
        <w:jc w:val="both"/>
        <w:rPr>
          <w:rStyle w:val="Internetlink"/>
          <w:color w:val="auto"/>
          <w:u w:val="none"/>
        </w:rPr>
      </w:pPr>
      <w:r w:rsidRPr="007F356B">
        <w:rPr>
          <w:rStyle w:val="Internetlink"/>
          <w:color w:val="auto"/>
          <w:u w:val="none"/>
        </w:rPr>
        <w:t>destinati a strutture produttive ubicate nel territorio dello Stato,</w:t>
      </w:r>
    </w:p>
    <w:p w14:paraId="610A3F04" w14:textId="381A4587" w:rsidR="0018563A" w:rsidRPr="007F356B" w:rsidRDefault="0018563A" w:rsidP="00AE49EC">
      <w:pPr>
        <w:pStyle w:val="Paragrafoelenco"/>
        <w:numPr>
          <w:ilvl w:val="0"/>
          <w:numId w:val="13"/>
        </w:numPr>
        <w:shd w:val="clear" w:color="auto" w:fill="FFFFFF"/>
        <w:spacing w:line="360" w:lineRule="auto"/>
        <w:jc w:val="both"/>
        <w:rPr>
          <w:rStyle w:val="Internetlink"/>
          <w:color w:val="auto"/>
          <w:u w:val="none"/>
        </w:rPr>
      </w:pPr>
      <w:r w:rsidRPr="007F356B">
        <w:rPr>
          <w:rStyle w:val="Internetlink"/>
          <w:b/>
          <w:bCs/>
          <w:color w:val="auto"/>
          <w:u w:val="none"/>
        </w:rPr>
        <w:t>a decorrere dal 16 novembre 2020 e fino al 31 dicembre 202</w:t>
      </w:r>
      <w:r w:rsidR="006938B0" w:rsidRPr="007F356B">
        <w:rPr>
          <w:rStyle w:val="Internetlink"/>
          <w:b/>
          <w:bCs/>
          <w:color w:val="auto"/>
          <w:u w:val="none"/>
        </w:rPr>
        <w:t>5</w:t>
      </w:r>
      <w:r w:rsidRPr="007F356B">
        <w:rPr>
          <w:rStyle w:val="Internetlink"/>
          <w:color w:val="auto"/>
          <w:u w:val="none"/>
        </w:rPr>
        <w:t xml:space="preserve">, ovvero </w:t>
      </w:r>
      <w:r w:rsidRPr="007F356B">
        <w:rPr>
          <w:rStyle w:val="Internetlink"/>
          <w:b/>
          <w:bCs/>
          <w:color w:val="auto"/>
          <w:u w:val="none"/>
        </w:rPr>
        <w:t>entro il 30 giugno 202</w:t>
      </w:r>
      <w:r w:rsidR="006938B0" w:rsidRPr="007F356B">
        <w:rPr>
          <w:rStyle w:val="Internetlink"/>
          <w:b/>
          <w:bCs/>
          <w:color w:val="auto"/>
          <w:u w:val="none"/>
        </w:rPr>
        <w:t>6</w:t>
      </w:r>
      <w:r w:rsidRPr="007F356B">
        <w:rPr>
          <w:rStyle w:val="Internetlink"/>
          <w:color w:val="auto"/>
          <w:u w:val="none"/>
        </w:rPr>
        <w:t>, a condizione che entro la data del 31 dicembre 202</w:t>
      </w:r>
      <w:r w:rsidR="009D37D3" w:rsidRPr="007F356B">
        <w:rPr>
          <w:rStyle w:val="Internetlink"/>
          <w:color w:val="auto"/>
          <w:u w:val="none"/>
        </w:rPr>
        <w:t>5</w:t>
      </w:r>
      <w:r w:rsidRPr="007F356B">
        <w:rPr>
          <w:rStyle w:val="Internetlink"/>
          <w:color w:val="auto"/>
          <w:u w:val="none"/>
        </w:rPr>
        <w:t xml:space="preserve"> il relativo ordine risulti accettato dal venditore e sia avvenuto il pagamento di </w:t>
      </w:r>
      <w:r w:rsidRPr="007F356B">
        <w:rPr>
          <w:rStyle w:val="Internetlink"/>
          <w:b/>
          <w:bCs/>
          <w:color w:val="auto"/>
          <w:u w:val="none"/>
        </w:rPr>
        <w:t>acconti in misura almeno pari al 20 per cento</w:t>
      </w:r>
      <w:r w:rsidRPr="007F356B">
        <w:rPr>
          <w:rStyle w:val="Internetlink"/>
          <w:color w:val="auto"/>
          <w:u w:val="none"/>
        </w:rPr>
        <w:t xml:space="preserve"> del costo di acquisizione.</w:t>
      </w:r>
    </w:p>
    <w:p w14:paraId="62EA0C08" w14:textId="379CBD16" w:rsidR="00FA0CC6" w:rsidRPr="007F356B" w:rsidRDefault="00F7120A" w:rsidP="00FA0CC6">
      <w:pPr>
        <w:shd w:val="clear" w:color="auto" w:fill="FFFFFF"/>
        <w:spacing w:line="360" w:lineRule="auto"/>
        <w:jc w:val="both"/>
        <w:rPr>
          <w:rStyle w:val="Internetlink"/>
          <w:color w:val="auto"/>
          <w:u w:val="none"/>
        </w:rPr>
      </w:pPr>
      <w:r w:rsidRPr="007F356B">
        <w:rPr>
          <w:rStyle w:val="Internetlink"/>
          <w:color w:val="auto"/>
          <w:u w:val="none"/>
        </w:rPr>
        <w:t xml:space="preserve">Nei paragrafi seguenti viene distinta la </w:t>
      </w:r>
      <w:r w:rsidR="00FA0CC6" w:rsidRPr="007F356B">
        <w:rPr>
          <w:rStyle w:val="Internetlink"/>
          <w:color w:val="auto"/>
          <w:u w:val="none"/>
        </w:rPr>
        <w:t>misura del credito</w:t>
      </w:r>
      <w:r w:rsidRPr="007F356B">
        <w:rPr>
          <w:rStyle w:val="Internetlink"/>
          <w:color w:val="auto"/>
          <w:u w:val="none"/>
        </w:rPr>
        <w:t xml:space="preserve"> in base al periodo in cui l’impresa effettua l’investimento.</w:t>
      </w:r>
    </w:p>
    <w:p w14:paraId="06AA3F99" w14:textId="77777777" w:rsidR="007F356B" w:rsidRDefault="007F356B" w:rsidP="00FA0CC6">
      <w:pPr>
        <w:pStyle w:val="Titolo2"/>
      </w:pPr>
    </w:p>
    <w:p w14:paraId="53531567" w14:textId="77777777" w:rsidR="007F356B" w:rsidRDefault="007F356B">
      <w:pPr>
        <w:spacing w:after="0" w:line="240" w:lineRule="auto"/>
        <w:rPr>
          <w:b/>
          <w:bCs/>
          <w:iCs/>
          <w:sz w:val="22"/>
          <w:u w:val="single"/>
        </w:rPr>
      </w:pPr>
      <w:r>
        <w:br w:type="page"/>
      </w:r>
    </w:p>
    <w:p w14:paraId="750FF05B" w14:textId="184612FC" w:rsidR="00FA0CC6" w:rsidRPr="007F356B" w:rsidRDefault="00FA0CC6" w:rsidP="007F356B">
      <w:pPr>
        <w:pStyle w:val="Titolo2"/>
      </w:pPr>
      <w:bookmarkStart w:id="39" w:name="_Toc93327720"/>
      <w:r w:rsidRPr="007F356B">
        <w:lastRenderedPageBreak/>
        <w:t xml:space="preserve">4.2 </w:t>
      </w:r>
      <w:r w:rsidR="007C47E5" w:rsidRPr="007F356B">
        <w:t>Misura del credito</w:t>
      </w:r>
      <w:r w:rsidR="00F7120A" w:rsidRPr="007F356B">
        <w:t xml:space="preserve"> dal 16</w:t>
      </w:r>
      <w:r w:rsidR="006D2D26" w:rsidRPr="007F356B">
        <w:t>.11.</w:t>
      </w:r>
      <w:r w:rsidR="00F7120A" w:rsidRPr="007F356B">
        <w:t>2020 al 31</w:t>
      </w:r>
      <w:r w:rsidR="006D2D26" w:rsidRPr="007F356B">
        <w:t>.12.</w:t>
      </w:r>
      <w:r w:rsidRPr="007F356B">
        <w:t>2022</w:t>
      </w:r>
      <w:bookmarkEnd w:id="39"/>
    </w:p>
    <w:p w14:paraId="31A0E127" w14:textId="51760F8E" w:rsidR="0018563A" w:rsidRPr="007F356B" w:rsidRDefault="007775ED" w:rsidP="0018563A">
      <w:pPr>
        <w:shd w:val="clear" w:color="auto" w:fill="FFFFFF"/>
        <w:spacing w:line="360" w:lineRule="auto"/>
        <w:jc w:val="both"/>
        <w:rPr>
          <w:rStyle w:val="Internetlink"/>
          <w:color w:val="auto"/>
          <w:u w:val="none"/>
        </w:rPr>
      </w:pPr>
      <w:r w:rsidRPr="007F356B">
        <w:rPr>
          <w:rStyle w:val="Internetlink"/>
          <w:color w:val="auto"/>
          <w:u w:val="none"/>
        </w:rPr>
        <w:t xml:space="preserve">La legge di bilancio 2021 ha previsto </w:t>
      </w:r>
      <w:r w:rsidR="005F52BA" w:rsidRPr="007F356B">
        <w:rPr>
          <w:rStyle w:val="Internetlink"/>
          <w:color w:val="auto"/>
          <w:u w:val="none"/>
        </w:rPr>
        <w:t>per gli investimenti effettuati</w:t>
      </w:r>
      <w:r w:rsidRPr="007F356B">
        <w:rPr>
          <w:rStyle w:val="Internetlink"/>
          <w:color w:val="auto"/>
          <w:u w:val="none"/>
        </w:rPr>
        <w:t xml:space="preserve"> dal 16 novembre </w:t>
      </w:r>
      <w:r w:rsidR="005F52BA" w:rsidRPr="007F356B">
        <w:rPr>
          <w:rStyle w:val="Internetlink"/>
          <w:color w:val="auto"/>
          <w:u w:val="none"/>
        </w:rPr>
        <w:t>2020 al 31 dicembre 2022</w:t>
      </w:r>
      <w:r w:rsidR="0018563A" w:rsidRPr="007F356B">
        <w:rPr>
          <w:rStyle w:val="Internetlink"/>
          <w:color w:val="auto"/>
          <w:u w:val="none"/>
        </w:rPr>
        <w:t>:</w:t>
      </w:r>
    </w:p>
    <w:p w14:paraId="1652CABD" w14:textId="31D25F35" w:rsidR="005D4D28" w:rsidRPr="007F356B" w:rsidRDefault="0098639B" w:rsidP="00AE49EC">
      <w:pPr>
        <w:pStyle w:val="Paragrafoelenco"/>
        <w:numPr>
          <w:ilvl w:val="0"/>
          <w:numId w:val="14"/>
        </w:numPr>
        <w:shd w:val="clear" w:color="auto" w:fill="FFFFFF"/>
        <w:spacing w:line="360" w:lineRule="auto"/>
        <w:jc w:val="both"/>
        <w:rPr>
          <w:rStyle w:val="Internetlink"/>
          <w:color w:val="auto"/>
          <w:u w:val="none"/>
        </w:rPr>
      </w:pPr>
      <w:r w:rsidRPr="007F356B">
        <w:rPr>
          <w:rStyle w:val="Internetlink"/>
          <w:b/>
          <w:bCs/>
          <w:color w:val="auto"/>
          <w:u w:val="none"/>
        </w:rPr>
        <w:t>l’</w:t>
      </w:r>
      <w:r w:rsidR="0018563A" w:rsidRPr="007F356B">
        <w:rPr>
          <w:rStyle w:val="Internetlink"/>
          <w:b/>
          <w:bCs/>
          <w:color w:val="auto"/>
          <w:u w:val="none"/>
        </w:rPr>
        <w:t>incremento dal 6% al 10% del credito</w:t>
      </w:r>
      <w:r w:rsidR="0018563A" w:rsidRPr="007F356B">
        <w:rPr>
          <w:rStyle w:val="Internetlink"/>
          <w:color w:val="auto"/>
          <w:u w:val="none"/>
        </w:rPr>
        <w:t xml:space="preserve"> relativo ai </w:t>
      </w:r>
      <w:r w:rsidR="0018563A" w:rsidRPr="007F356B">
        <w:rPr>
          <w:rStyle w:val="Internetlink"/>
          <w:b/>
          <w:bCs/>
          <w:color w:val="auto"/>
          <w:u w:val="none"/>
        </w:rPr>
        <w:t>beni strumentali materiali</w:t>
      </w:r>
      <w:r w:rsidR="0018563A" w:rsidRPr="007F356B">
        <w:rPr>
          <w:rStyle w:val="Internetlink"/>
          <w:color w:val="auto"/>
          <w:u w:val="none"/>
        </w:rPr>
        <w:t xml:space="preserve"> (ex super) per il solo anno 2021;</w:t>
      </w:r>
    </w:p>
    <w:p w14:paraId="50626511" w14:textId="79F07591" w:rsidR="0018563A" w:rsidRPr="007F356B" w:rsidRDefault="0098639B" w:rsidP="00AE49EC">
      <w:pPr>
        <w:pStyle w:val="Paragrafoelenco"/>
        <w:numPr>
          <w:ilvl w:val="0"/>
          <w:numId w:val="14"/>
        </w:numPr>
        <w:shd w:val="clear" w:color="auto" w:fill="FFFFFF"/>
        <w:spacing w:line="360" w:lineRule="auto"/>
        <w:jc w:val="both"/>
        <w:rPr>
          <w:rStyle w:val="Internetlink"/>
          <w:color w:val="auto"/>
          <w:u w:val="none"/>
        </w:rPr>
      </w:pPr>
      <w:r w:rsidRPr="007F356B">
        <w:rPr>
          <w:rStyle w:val="Internetlink"/>
          <w:b/>
          <w:bCs/>
          <w:color w:val="auto"/>
          <w:u w:val="none"/>
        </w:rPr>
        <w:t>l’</w:t>
      </w:r>
      <w:r w:rsidR="0018563A" w:rsidRPr="007F356B">
        <w:rPr>
          <w:rStyle w:val="Internetlink"/>
          <w:b/>
          <w:bCs/>
          <w:color w:val="auto"/>
          <w:u w:val="none"/>
        </w:rPr>
        <w:t>incremento dal 6% al 15%</w:t>
      </w:r>
      <w:r w:rsidR="0018563A" w:rsidRPr="007F356B">
        <w:rPr>
          <w:rStyle w:val="Internetlink"/>
          <w:color w:val="auto"/>
          <w:u w:val="none"/>
        </w:rPr>
        <w:t xml:space="preserve"> del credito per investimenti effettuati nel 2021 ad implementazione del </w:t>
      </w:r>
      <w:r w:rsidR="0018563A" w:rsidRPr="007F356B">
        <w:rPr>
          <w:rStyle w:val="Internetlink"/>
          <w:b/>
          <w:bCs/>
          <w:color w:val="auto"/>
          <w:u w:val="none"/>
        </w:rPr>
        <w:t>lavoro agile</w:t>
      </w:r>
      <w:r w:rsidR="0018563A" w:rsidRPr="007F356B">
        <w:rPr>
          <w:rStyle w:val="Internetlink"/>
          <w:color w:val="auto"/>
          <w:u w:val="none"/>
        </w:rPr>
        <w:t>;</w:t>
      </w:r>
    </w:p>
    <w:p w14:paraId="69CC1032" w14:textId="7DD3F1FD" w:rsidR="0018563A" w:rsidRPr="007F356B" w:rsidRDefault="0098639B" w:rsidP="00AE49EC">
      <w:pPr>
        <w:pStyle w:val="Paragrafoelenco"/>
        <w:numPr>
          <w:ilvl w:val="0"/>
          <w:numId w:val="14"/>
        </w:numPr>
        <w:shd w:val="clear" w:color="auto" w:fill="FFFFFF"/>
        <w:spacing w:line="360" w:lineRule="auto"/>
        <w:jc w:val="both"/>
        <w:rPr>
          <w:rStyle w:val="Internetlink"/>
          <w:color w:val="auto"/>
          <w:u w:val="none"/>
        </w:rPr>
      </w:pPr>
      <w:r w:rsidRPr="007F356B">
        <w:rPr>
          <w:rStyle w:val="Internetlink"/>
          <w:b/>
          <w:bCs/>
          <w:color w:val="auto"/>
          <w:u w:val="none"/>
        </w:rPr>
        <w:t>l’</w:t>
      </w:r>
      <w:r w:rsidR="0018563A" w:rsidRPr="007F356B">
        <w:rPr>
          <w:rStyle w:val="Internetlink"/>
          <w:b/>
          <w:bCs/>
          <w:color w:val="auto"/>
          <w:u w:val="none"/>
        </w:rPr>
        <w:t>estensione del credito del 10% ai beni immateriali non 4.0</w:t>
      </w:r>
      <w:r w:rsidR="0018563A" w:rsidRPr="007F356B">
        <w:rPr>
          <w:rStyle w:val="Internetlink"/>
          <w:color w:val="auto"/>
          <w:u w:val="none"/>
        </w:rPr>
        <w:t xml:space="preserve"> per investimenti effettuati nel 2021;</w:t>
      </w:r>
    </w:p>
    <w:p w14:paraId="549631E5" w14:textId="44476AEE" w:rsidR="0018563A" w:rsidRPr="007F356B" w:rsidRDefault="0018563A" w:rsidP="00AE49EC">
      <w:pPr>
        <w:pStyle w:val="Paragrafoelenco"/>
        <w:numPr>
          <w:ilvl w:val="0"/>
          <w:numId w:val="14"/>
        </w:numPr>
        <w:shd w:val="clear" w:color="auto" w:fill="FFFFFF"/>
        <w:spacing w:line="360" w:lineRule="auto"/>
        <w:jc w:val="both"/>
        <w:rPr>
          <w:rStyle w:val="Internetlink"/>
          <w:color w:val="auto"/>
          <w:u w:val="none"/>
        </w:rPr>
      </w:pPr>
      <w:r w:rsidRPr="007F356B">
        <w:rPr>
          <w:rStyle w:val="Internetlink"/>
          <w:color w:val="auto"/>
          <w:u w:val="none"/>
        </w:rPr>
        <w:t xml:space="preserve">per i </w:t>
      </w:r>
      <w:r w:rsidRPr="007F356B">
        <w:rPr>
          <w:rStyle w:val="Internetlink"/>
          <w:b/>
          <w:bCs/>
          <w:color w:val="auto"/>
          <w:u w:val="none"/>
        </w:rPr>
        <w:t>beni materiali 4.0</w:t>
      </w:r>
      <w:r w:rsidRPr="007F356B">
        <w:rPr>
          <w:rStyle w:val="Internetlink"/>
          <w:color w:val="auto"/>
          <w:u w:val="none"/>
        </w:rPr>
        <w:t xml:space="preserve"> (Allegato A) con spese inferiori a 2,5 milioni di euro, la nuova </w:t>
      </w:r>
      <w:r w:rsidRPr="007F356B">
        <w:rPr>
          <w:rStyle w:val="Internetlink"/>
          <w:b/>
          <w:bCs/>
          <w:color w:val="auto"/>
          <w:u w:val="none"/>
        </w:rPr>
        <w:t>aliquota è del 50%</w:t>
      </w:r>
      <w:r w:rsidRPr="007F356B">
        <w:rPr>
          <w:rStyle w:val="Internetlink"/>
          <w:color w:val="auto"/>
          <w:u w:val="none"/>
        </w:rPr>
        <w:t xml:space="preserve"> nel 2021. In caso di spese superiori a 2,5 milioni di euro e fino a 10 milioni, si applica l’aliquota del 30% nel 2021. Per le spese superiori a 10 milioni di euro e fino a 20 milioni è invece prevista una nuova aliquota del 10% nel 2021 (e nel 2022);</w:t>
      </w:r>
    </w:p>
    <w:p w14:paraId="2957BFC7" w14:textId="510E0485" w:rsidR="00867ED8" w:rsidRPr="005F52BA" w:rsidRDefault="003E1FD3" w:rsidP="00867ED8">
      <w:pPr>
        <w:pStyle w:val="Paragrafoelenco"/>
        <w:numPr>
          <w:ilvl w:val="0"/>
          <w:numId w:val="14"/>
        </w:numPr>
        <w:shd w:val="clear" w:color="auto" w:fill="FFFFFF"/>
        <w:spacing w:line="360" w:lineRule="auto"/>
        <w:jc w:val="both"/>
        <w:rPr>
          <w:rStyle w:val="Internetlink"/>
          <w:color w:val="auto"/>
          <w:u w:val="none"/>
        </w:rPr>
      </w:pPr>
      <w:r w:rsidRPr="007F356B">
        <w:rPr>
          <w:rStyle w:val="Internetlink"/>
          <w:color w:val="auto"/>
          <w:u w:val="none"/>
        </w:rPr>
        <w:t>p</w:t>
      </w:r>
      <w:r w:rsidR="0018563A" w:rsidRPr="007F356B">
        <w:rPr>
          <w:rStyle w:val="Internetlink"/>
          <w:color w:val="auto"/>
          <w:u w:val="none"/>
        </w:rPr>
        <w:t xml:space="preserve">er i </w:t>
      </w:r>
      <w:r w:rsidR="0018563A" w:rsidRPr="007F356B">
        <w:rPr>
          <w:rStyle w:val="Internetlink"/>
          <w:b/>
          <w:bCs/>
          <w:color w:val="auto"/>
          <w:u w:val="none"/>
        </w:rPr>
        <w:t>beni immateriali 4.0</w:t>
      </w:r>
      <w:r w:rsidR="0018563A" w:rsidRPr="007F356B">
        <w:rPr>
          <w:rStyle w:val="Internetlink"/>
          <w:color w:val="auto"/>
          <w:u w:val="none"/>
        </w:rPr>
        <w:t xml:space="preserve"> (Allegato B) il </w:t>
      </w:r>
      <w:r w:rsidR="0018563A" w:rsidRPr="007F356B">
        <w:rPr>
          <w:rStyle w:val="Internetlink"/>
          <w:b/>
          <w:bCs/>
          <w:color w:val="auto"/>
          <w:u w:val="none"/>
        </w:rPr>
        <w:t>credito d’imposta spetta nella misura del 20%</w:t>
      </w:r>
      <w:r w:rsidR="0018563A" w:rsidRPr="007F356B">
        <w:rPr>
          <w:rStyle w:val="Internetlink"/>
          <w:color w:val="auto"/>
          <w:u w:val="none"/>
        </w:rPr>
        <w:t>, con massimale innalzato da 700 mila euro a 1 milione di euro.</w:t>
      </w:r>
    </w:p>
    <w:p w14:paraId="7549CFB4" w14:textId="76B3CBE4" w:rsidR="00AD0BBD" w:rsidRPr="005D5C7F" w:rsidRDefault="00AD0BBD" w:rsidP="00AD0BBD">
      <w:pPr>
        <w:shd w:val="clear" w:color="auto" w:fill="FFFFFF"/>
        <w:spacing w:line="360" w:lineRule="auto"/>
        <w:jc w:val="both"/>
        <w:rPr>
          <w:rStyle w:val="Internetlink"/>
          <w:b/>
          <w:bCs/>
          <w:color w:val="auto"/>
          <w:u w:val="none"/>
        </w:rPr>
      </w:pPr>
      <w:r w:rsidRPr="005D5C7F">
        <w:rPr>
          <w:rStyle w:val="Internetlink"/>
          <w:b/>
          <w:bCs/>
          <w:color w:val="auto"/>
          <w:u w:val="none"/>
        </w:rPr>
        <w:t>Tabella di riepilogo</w:t>
      </w:r>
      <w:r w:rsidR="00EE4676" w:rsidRPr="005D5C7F">
        <w:rPr>
          <w:rStyle w:val="Internetlink"/>
          <w:b/>
          <w:bCs/>
          <w:color w:val="auto"/>
          <w:u w:val="none"/>
        </w:rPr>
        <w:t xml:space="preserve"> </w:t>
      </w:r>
      <w:r w:rsidR="005D5C7F" w:rsidRPr="005D5C7F">
        <w:rPr>
          <w:rStyle w:val="Internetlink"/>
          <w:b/>
          <w:bCs/>
          <w:color w:val="auto"/>
          <w:u w:val="none"/>
        </w:rPr>
        <w:t xml:space="preserve">misura dei crediti beni </w:t>
      </w:r>
      <w:r w:rsidR="005D5C7F" w:rsidRPr="007F356B">
        <w:rPr>
          <w:rStyle w:val="Internetlink"/>
          <w:b/>
          <w:bCs/>
          <w:color w:val="auto"/>
          <w:u w:val="none"/>
        </w:rPr>
        <w:t>strumentali</w:t>
      </w:r>
      <w:r w:rsidR="00015394" w:rsidRPr="007F356B">
        <w:rPr>
          <w:rStyle w:val="Internetlink"/>
          <w:b/>
          <w:bCs/>
          <w:color w:val="auto"/>
          <w:u w:val="none"/>
        </w:rPr>
        <w:t xml:space="preserve"> (anni 2021 e 2022)</w:t>
      </w:r>
    </w:p>
    <w:tbl>
      <w:tblPr>
        <w:tblStyle w:val="Grigliatabella"/>
        <w:tblW w:w="9977" w:type="dxa"/>
        <w:tblLayout w:type="fixed"/>
        <w:tblLook w:val="04A0" w:firstRow="1" w:lastRow="0" w:firstColumn="1" w:lastColumn="0" w:noHBand="0" w:noVBand="1"/>
      </w:tblPr>
      <w:tblGrid>
        <w:gridCol w:w="2888"/>
        <w:gridCol w:w="3382"/>
        <w:gridCol w:w="3707"/>
      </w:tblGrid>
      <w:tr w:rsidR="00596F9E" w:rsidRPr="00596F9E" w14:paraId="5C9D4C04" w14:textId="77777777" w:rsidTr="00596F9E">
        <w:trPr>
          <w:trHeight w:val="347"/>
        </w:trPr>
        <w:tc>
          <w:tcPr>
            <w:tcW w:w="2888" w:type="dxa"/>
            <w:shd w:val="clear" w:color="auto" w:fill="DBE5F1" w:themeFill="accent1" w:themeFillTint="33"/>
          </w:tcPr>
          <w:p w14:paraId="2572D763" w14:textId="77777777" w:rsidR="00AD0BBD" w:rsidRPr="00596F9E" w:rsidRDefault="00AD0BBD" w:rsidP="00596F9E">
            <w:pPr>
              <w:spacing w:before="60" w:after="60" w:line="326" w:lineRule="auto"/>
              <w:jc w:val="center"/>
              <w:rPr>
                <w:rFonts w:eastAsia="Century Gothic" w:cs="Tahoma"/>
                <w:b/>
                <w:bCs/>
                <w:color w:val="000000" w:themeColor="text1"/>
                <w:szCs w:val="20"/>
              </w:rPr>
            </w:pPr>
            <w:r w:rsidRPr="00596F9E">
              <w:rPr>
                <w:rFonts w:eastAsia="Century Gothic" w:cs="Tahoma"/>
                <w:b/>
                <w:bCs/>
                <w:color w:val="000000" w:themeColor="text1"/>
                <w:szCs w:val="20"/>
              </w:rPr>
              <w:t>Periodo investimento</w:t>
            </w:r>
          </w:p>
        </w:tc>
        <w:tc>
          <w:tcPr>
            <w:tcW w:w="3382" w:type="dxa"/>
            <w:shd w:val="clear" w:color="auto" w:fill="DBE5F1" w:themeFill="accent1" w:themeFillTint="33"/>
          </w:tcPr>
          <w:p w14:paraId="41BDC45C" w14:textId="77777777" w:rsidR="00AD0BBD" w:rsidRPr="00596F9E" w:rsidRDefault="00AD0BBD" w:rsidP="00596F9E">
            <w:pPr>
              <w:spacing w:before="60" w:after="60" w:line="326" w:lineRule="auto"/>
              <w:jc w:val="center"/>
              <w:rPr>
                <w:rFonts w:eastAsia="Century Gothic" w:cs="Tahoma"/>
                <w:b/>
                <w:bCs/>
                <w:color w:val="000000" w:themeColor="text1"/>
                <w:szCs w:val="20"/>
              </w:rPr>
            </w:pPr>
            <w:r w:rsidRPr="00596F9E">
              <w:rPr>
                <w:rFonts w:eastAsia="Century Gothic" w:cs="Tahoma"/>
                <w:b/>
                <w:bCs/>
                <w:color w:val="000000" w:themeColor="text1"/>
                <w:szCs w:val="20"/>
              </w:rPr>
              <w:t>Tipologia investimento</w:t>
            </w:r>
          </w:p>
        </w:tc>
        <w:tc>
          <w:tcPr>
            <w:tcW w:w="3707" w:type="dxa"/>
            <w:shd w:val="clear" w:color="auto" w:fill="DBE5F1" w:themeFill="accent1" w:themeFillTint="33"/>
          </w:tcPr>
          <w:p w14:paraId="2822DDA2" w14:textId="77777777" w:rsidR="00AD0BBD" w:rsidRPr="00596F9E" w:rsidRDefault="00AD0BBD" w:rsidP="00596F9E">
            <w:pPr>
              <w:spacing w:before="60" w:after="60" w:line="326" w:lineRule="auto"/>
              <w:jc w:val="center"/>
              <w:rPr>
                <w:rFonts w:eastAsia="Century Gothic" w:cs="Tahoma"/>
                <w:b/>
                <w:bCs/>
                <w:color w:val="000000" w:themeColor="text1"/>
                <w:szCs w:val="20"/>
              </w:rPr>
            </w:pPr>
            <w:r w:rsidRPr="00596F9E">
              <w:rPr>
                <w:rFonts w:eastAsia="Century Gothic" w:cs="Tahoma"/>
                <w:b/>
                <w:bCs/>
                <w:color w:val="000000" w:themeColor="text1"/>
                <w:szCs w:val="20"/>
              </w:rPr>
              <w:t>Misura del credito</w:t>
            </w:r>
          </w:p>
        </w:tc>
      </w:tr>
      <w:tr w:rsidR="00596F9E" w:rsidRPr="00596F9E" w14:paraId="7DD34AFD" w14:textId="77777777" w:rsidTr="00596F9E">
        <w:trPr>
          <w:trHeight w:val="1314"/>
        </w:trPr>
        <w:tc>
          <w:tcPr>
            <w:tcW w:w="2888" w:type="dxa"/>
            <w:vMerge w:val="restart"/>
          </w:tcPr>
          <w:p w14:paraId="117D7469" w14:textId="77777777" w:rsidR="00AD0BBD" w:rsidRPr="00596F9E" w:rsidRDefault="00AD0BBD" w:rsidP="00596F9E">
            <w:pPr>
              <w:spacing w:before="60" w:after="60" w:line="326" w:lineRule="auto"/>
              <w:rPr>
                <w:rFonts w:eastAsia="Century Gothic" w:cs="Tahoma"/>
                <w:b/>
                <w:bCs/>
                <w:color w:val="000000" w:themeColor="text1"/>
                <w:szCs w:val="20"/>
              </w:rPr>
            </w:pPr>
            <w:r w:rsidRPr="00596F9E">
              <w:rPr>
                <w:rFonts w:eastAsia="Century Gothic" w:cs="Tahoma"/>
                <w:color w:val="000000" w:themeColor="text1"/>
                <w:szCs w:val="20"/>
              </w:rPr>
              <w:t xml:space="preserve">Investimenti in beni strumentali effettuati </w:t>
            </w:r>
            <w:r w:rsidRPr="00596F9E">
              <w:rPr>
                <w:rFonts w:eastAsia="Century Gothic" w:cs="Tahoma"/>
                <w:b/>
                <w:bCs/>
                <w:color w:val="000000" w:themeColor="text1"/>
                <w:szCs w:val="20"/>
              </w:rPr>
              <w:t>dal 16 novembre 2020 al 31 dicembre 2021</w:t>
            </w:r>
          </w:p>
          <w:p w14:paraId="161C49A6" w14:textId="4BEEB1EC" w:rsidR="00360BE0" w:rsidRPr="00596F9E" w:rsidRDefault="00360BE0" w:rsidP="00596F9E">
            <w:pPr>
              <w:spacing w:before="60" w:after="60" w:line="326" w:lineRule="auto"/>
              <w:rPr>
                <w:rFonts w:eastAsia="Century Gothic" w:cs="Tahoma"/>
                <w:color w:val="000000" w:themeColor="text1"/>
                <w:szCs w:val="20"/>
              </w:rPr>
            </w:pPr>
            <w:r w:rsidRPr="00596F9E">
              <w:rPr>
                <w:rFonts w:eastAsia="Century Gothic" w:cs="Tahoma"/>
                <w:color w:val="000000" w:themeColor="text1"/>
                <w:szCs w:val="20"/>
              </w:rPr>
              <w:t>oppure</w:t>
            </w:r>
          </w:p>
          <w:p w14:paraId="197A3030" w14:textId="56421C4D" w:rsidR="00360BE0" w:rsidRPr="00596F9E" w:rsidRDefault="00360BE0" w:rsidP="00596F9E">
            <w:pPr>
              <w:spacing w:before="60" w:after="60" w:line="326" w:lineRule="auto"/>
              <w:rPr>
                <w:rFonts w:eastAsia="Century Gothic" w:cs="Tahoma"/>
                <w:color w:val="000000" w:themeColor="text1"/>
                <w:szCs w:val="20"/>
              </w:rPr>
            </w:pPr>
            <w:r w:rsidRPr="00596F9E">
              <w:rPr>
                <w:rFonts w:eastAsia="Century Gothic" w:cs="Tahoma"/>
                <w:b/>
                <w:bCs/>
                <w:color w:val="000000" w:themeColor="text1"/>
                <w:szCs w:val="20"/>
              </w:rPr>
              <w:t>acconto del 20%</w:t>
            </w:r>
            <w:r w:rsidRPr="00596F9E">
              <w:rPr>
                <w:rFonts w:eastAsia="Century Gothic" w:cs="Tahoma"/>
                <w:color w:val="000000" w:themeColor="text1"/>
                <w:szCs w:val="20"/>
              </w:rPr>
              <w:t xml:space="preserve"> versato con </w:t>
            </w:r>
            <w:r w:rsidRPr="00596F9E">
              <w:rPr>
                <w:rFonts w:eastAsia="Century Gothic" w:cs="Tahoma"/>
                <w:b/>
                <w:bCs/>
                <w:color w:val="000000" w:themeColor="text1"/>
                <w:szCs w:val="20"/>
              </w:rPr>
              <w:t>accettazione ordine fornitore</w:t>
            </w:r>
            <w:r w:rsidRPr="00596F9E">
              <w:rPr>
                <w:rFonts w:eastAsia="Century Gothic" w:cs="Tahoma"/>
                <w:color w:val="000000" w:themeColor="text1"/>
                <w:szCs w:val="20"/>
              </w:rPr>
              <w:t xml:space="preserve"> </w:t>
            </w:r>
            <w:r w:rsidRPr="00596F9E">
              <w:rPr>
                <w:rFonts w:eastAsia="Century Gothic" w:cs="Tahoma"/>
                <w:b/>
                <w:bCs/>
                <w:color w:val="000000" w:themeColor="text1"/>
                <w:szCs w:val="20"/>
              </w:rPr>
              <w:t>entro il 31 dicembre 2021</w:t>
            </w:r>
            <w:r w:rsidRPr="00596F9E">
              <w:rPr>
                <w:rFonts w:eastAsia="Century Gothic" w:cs="Tahoma"/>
                <w:color w:val="000000" w:themeColor="text1"/>
                <w:szCs w:val="20"/>
              </w:rPr>
              <w:t xml:space="preserve"> e completamento investimento </w:t>
            </w:r>
            <w:r w:rsidRPr="00596F9E">
              <w:rPr>
                <w:rFonts w:eastAsia="Century Gothic" w:cs="Tahoma"/>
                <w:b/>
                <w:bCs/>
                <w:color w:val="000000" w:themeColor="text1"/>
                <w:szCs w:val="20"/>
              </w:rPr>
              <w:t>entro il 30 giugno 2022</w:t>
            </w:r>
          </w:p>
        </w:tc>
        <w:tc>
          <w:tcPr>
            <w:tcW w:w="3382" w:type="dxa"/>
          </w:tcPr>
          <w:p w14:paraId="7F976924" w14:textId="77777777" w:rsidR="00AD0BBD" w:rsidRPr="00596F9E" w:rsidRDefault="00AD0BBD" w:rsidP="00596F9E">
            <w:pPr>
              <w:spacing w:before="60" w:after="60" w:line="326" w:lineRule="auto"/>
              <w:rPr>
                <w:rFonts w:eastAsia="Century Gothic" w:cs="Tahoma"/>
                <w:color w:val="000000" w:themeColor="text1"/>
                <w:szCs w:val="20"/>
              </w:rPr>
            </w:pPr>
            <w:r w:rsidRPr="00596F9E">
              <w:rPr>
                <w:rFonts w:eastAsia="Century Gothic" w:cs="Tahoma"/>
                <w:color w:val="000000" w:themeColor="text1"/>
                <w:szCs w:val="20"/>
              </w:rPr>
              <w:t xml:space="preserve">Beni </w:t>
            </w:r>
            <w:r w:rsidRPr="00596F9E">
              <w:rPr>
                <w:rFonts w:eastAsia="Century Gothic" w:cs="Tahoma"/>
                <w:b/>
                <w:bCs/>
                <w:color w:val="000000" w:themeColor="text1"/>
                <w:szCs w:val="20"/>
              </w:rPr>
              <w:t>materiali</w:t>
            </w:r>
            <w:r w:rsidRPr="00596F9E">
              <w:rPr>
                <w:rFonts w:eastAsia="Century Gothic" w:cs="Tahoma"/>
                <w:color w:val="000000" w:themeColor="text1"/>
                <w:szCs w:val="20"/>
              </w:rPr>
              <w:t xml:space="preserve"> ed </w:t>
            </w:r>
            <w:r w:rsidRPr="00596F9E">
              <w:rPr>
                <w:rFonts w:eastAsia="Century Gothic" w:cs="Tahoma"/>
                <w:b/>
                <w:bCs/>
                <w:color w:val="000000" w:themeColor="text1"/>
                <w:szCs w:val="20"/>
              </w:rPr>
              <w:t>immateriali NON 4.0</w:t>
            </w:r>
          </w:p>
        </w:tc>
        <w:tc>
          <w:tcPr>
            <w:tcW w:w="3707" w:type="dxa"/>
          </w:tcPr>
          <w:p w14:paraId="6EA983C2" w14:textId="1685CF59" w:rsidR="00AD0BBD" w:rsidRPr="00596F9E" w:rsidRDefault="00AD0BBD" w:rsidP="00596F9E">
            <w:pPr>
              <w:spacing w:before="60" w:after="60" w:line="326" w:lineRule="auto"/>
              <w:rPr>
                <w:rFonts w:eastAsia="Century Gothic" w:cs="Tahoma"/>
                <w:b/>
                <w:bCs/>
                <w:color w:val="000000" w:themeColor="text1"/>
                <w:szCs w:val="20"/>
              </w:rPr>
            </w:pPr>
            <w:r w:rsidRPr="00596F9E">
              <w:rPr>
                <w:rFonts w:eastAsia="Century Gothic" w:cs="Tahoma"/>
                <w:b/>
                <w:bCs/>
                <w:color w:val="000000" w:themeColor="text1"/>
                <w:szCs w:val="20"/>
              </w:rPr>
              <w:t>10%</w:t>
            </w:r>
          </w:p>
          <w:p w14:paraId="278391A1" w14:textId="77777777" w:rsidR="00AD0BBD" w:rsidRPr="00596F9E" w:rsidRDefault="00AD0BBD" w:rsidP="00596F9E">
            <w:pPr>
              <w:spacing w:before="60" w:after="60" w:line="326" w:lineRule="auto"/>
              <w:rPr>
                <w:rFonts w:eastAsia="Century Gothic" w:cs="Tahoma"/>
                <w:color w:val="000000" w:themeColor="text1"/>
                <w:szCs w:val="20"/>
              </w:rPr>
            </w:pPr>
            <w:r w:rsidRPr="00596F9E">
              <w:rPr>
                <w:rFonts w:eastAsia="Century Gothic" w:cs="Tahoma"/>
                <w:b/>
                <w:bCs/>
                <w:color w:val="000000" w:themeColor="text1"/>
                <w:szCs w:val="20"/>
              </w:rPr>
              <w:t>15%</w:t>
            </w:r>
            <w:r w:rsidRPr="00596F9E">
              <w:rPr>
                <w:rFonts w:eastAsia="Century Gothic" w:cs="Tahoma"/>
                <w:color w:val="000000" w:themeColor="text1"/>
                <w:szCs w:val="20"/>
              </w:rPr>
              <w:t xml:space="preserve"> (lavoro agile)</w:t>
            </w:r>
          </w:p>
          <w:p w14:paraId="7830A914" w14:textId="524988FC" w:rsidR="00752748" w:rsidRPr="00596F9E" w:rsidRDefault="00B21640" w:rsidP="00596F9E">
            <w:pPr>
              <w:spacing w:before="60" w:after="60" w:line="326" w:lineRule="auto"/>
              <w:rPr>
                <w:rFonts w:eastAsia="Century Gothic" w:cs="Tahoma"/>
                <w:i/>
                <w:iCs/>
                <w:color w:val="000000" w:themeColor="text1"/>
                <w:szCs w:val="20"/>
              </w:rPr>
            </w:pPr>
            <w:r w:rsidRPr="00596F9E">
              <w:rPr>
                <w:rFonts w:eastAsia="Century Gothic" w:cs="Tahoma"/>
                <w:i/>
                <w:iCs/>
                <w:color w:val="000000" w:themeColor="text1"/>
                <w:sz w:val="18"/>
                <w:szCs w:val="18"/>
              </w:rPr>
              <w:t xml:space="preserve">Art. 1, </w:t>
            </w:r>
            <w:r w:rsidR="00752748" w:rsidRPr="00596F9E">
              <w:rPr>
                <w:rFonts w:eastAsia="Century Gothic" w:cs="Tahoma"/>
                <w:i/>
                <w:iCs/>
                <w:color w:val="000000" w:themeColor="text1"/>
                <w:sz w:val="18"/>
                <w:szCs w:val="18"/>
              </w:rPr>
              <w:t>comma 1054</w:t>
            </w:r>
            <w:r w:rsidRPr="00596F9E">
              <w:rPr>
                <w:rFonts w:eastAsia="Century Gothic" w:cs="Tahoma"/>
                <w:i/>
                <w:iCs/>
                <w:color w:val="000000" w:themeColor="text1"/>
                <w:sz w:val="18"/>
                <w:szCs w:val="18"/>
              </w:rPr>
              <w:t>,</w:t>
            </w:r>
            <w:r w:rsidRPr="00596F9E">
              <w:rPr>
                <w:rFonts w:cs="Tahoma"/>
                <w:i/>
                <w:iCs/>
                <w:color w:val="000000" w:themeColor="text1"/>
                <w:sz w:val="18"/>
                <w:szCs w:val="18"/>
              </w:rPr>
              <w:t xml:space="preserve"> Legge 178/2020</w:t>
            </w:r>
          </w:p>
        </w:tc>
      </w:tr>
      <w:tr w:rsidR="00596F9E" w:rsidRPr="00596F9E" w14:paraId="60EC1D98" w14:textId="77777777" w:rsidTr="00596F9E">
        <w:trPr>
          <w:trHeight w:val="1407"/>
        </w:trPr>
        <w:tc>
          <w:tcPr>
            <w:tcW w:w="2888" w:type="dxa"/>
            <w:vMerge/>
          </w:tcPr>
          <w:p w14:paraId="2DF0CD50" w14:textId="77777777" w:rsidR="00AD0BBD" w:rsidRPr="00596F9E" w:rsidRDefault="00AD0BBD" w:rsidP="00596F9E">
            <w:pPr>
              <w:spacing w:before="60" w:after="60" w:line="326" w:lineRule="auto"/>
              <w:rPr>
                <w:rFonts w:eastAsia="Century Gothic" w:cs="Tahoma"/>
                <w:color w:val="000000" w:themeColor="text1"/>
                <w:szCs w:val="20"/>
              </w:rPr>
            </w:pPr>
          </w:p>
        </w:tc>
        <w:tc>
          <w:tcPr>
            <w:tcW w:w="3382" w:type="dxa"/>
          </w:tcPr>
          <w:p w14:paraId="0A014437" w14:textId="77777777" w:rsidR="00AD0BBD" w:rsidRPr="00596F9E" w:rsidRDefault="00AD0BBD" w:rsidP="00596F9E">
            <w:pPr>
              <w:spacing w:before="60" w:after="60" w:line="326" w:lineRule="auto"/>
              <w:rPr>
                <w:rFonts w:eastAsia="Century Gothic" w:cs="Tahoma"/>
                <w:b/>
                <w:bCs/>
                <w:color w:val="000000" w:themeColor="text1"/>
                <w:szCs w:val="20"/>
              </w:rPr>
            </w:pPr>
            <w:r w:rsidRPr="00596F9E">
              <w:rPr>
                <w:rFonts w:eastAsia="Century Gothic" w:cs="Tahoma"/>
                <w:b/>
                <w:bCs/>
                <w:color w:val="000000" w:themeColor="text1"/>
                <w:szCs w:val="20"/>
              </w:rPr>
              <w:t>Beni materiali 4.0</w:t>
            </w:r>
          </w:p>
        </w:tc>
        <w:tc>
          <w:tcPr>
            <w:tcW w:w="3707" w:type="dxa"/>
          </w:tcPr>
          <w:p w14:paraId="6DA2B6C3" w14:textId="77777777" w:rsidR="00AD0BBD" w:rsidRPr="00596F9E" w:rsidRDefault="00AD0BBD" w:rsidP="00596F9E">
            <w:pPr>
              <w:spacing w:before="60" w:after="60" w:line="326" w:lineRule="auto"/>
              <w:rPr>
                <w:rFonts w:eastAsia="Century Gothic" w:cs="Tahoma"/>
                <w:color w:val="000000" w:themeColor="text1"/>
                <w:szCs w:val="20"/>
              </w:rPr>
            </w:pPr>
            <w:r w:rsidRPr="00596F9E">
              <w:rPr>
                <w:rFonts w:eastAsia="Century Gothic" w:cs="Tahoma"/>
                <w:b/>
                <w:bCs/>
                <w:color w:val="000000" w:themeColor="text1"/>
                <w:szCs w:val="20"/>
              </w:rPr>
              <w:t>50%</w:t>
            </w:r>
            <w:r w:rsidRPr="00596F9E">
              <w:rPr>
                <w:rFonts w:eastAsia="Century Gothic" w:cs="Tahoma"/>
                <w:color w:val="000000" w:themeColor="text1"/>
                <w:szCs w:val="20"/>
              </w:rPr>
              <w:t xml:space="preserve"> </w:t>
            </w:r>
            <w:r w:rsidRPr="00596F9E">
              <w:rPr>
                <w:rFonts w:eastAsia="Century Gothic" w:cs="Tahoma"/>
                <w:b/>
                <w:bCs/>
                <w:color w:val="000000" w:themeColor="text1"/>
                <w:szCs w:val="20"/>
              </w:rPr>
              <w:t>fino a 2,5 Mln</w:t>
            </w:r>
          </w:p>
          <w:p w14:paraId="164A4D4E" w14:textId="77777777" w:rsidR="00AD0BBD" w:rsidRPr="00596F9E" w:rsidRDefault="00AD0BBD" w:rsidP="00596F9E">
            <w:pPr>
              <w:spacing w:before="60" w:after="60" w:line="326" w:lineRule="auto"/>
              <w:rPr>
                <w:rFonts w:eastAsia="Century Gothic" w:cs="Tahoma"/>
                <w:color w:val="000000" w:themeColor="text1"/>
                <w:szCs w:val="20"/>
              </w:rPr>
            </w:pPr>
            <w:r w:rsidRPr="00596F9E">
              <w:rPr>
                <w:rFonts w:eastAsia="Century Gothic" w:cs="Tahoma"/>
                <w:color w:val="000000" w:themeColor="text1"/>
                <w:szCs w:val="20"/>
              </w:rPr>
              <w:t>30% oltre 2,5 Mln fino a 10 Mln</w:t>
            </w:r>
          </w:p>
          <w:p w14:paraId="79A240B4" w14:textId="77777777" w:rsidR="00AD0BBD" w:rsidRPr="00596F9E" w:rsidRDefault="00AD0BBD" w:rsidP="00596F9E">
            <w:pPr>
              <w:spacing w:before="60" w:after="60" w:line="326" w:lineRule="auto"/>
              <w:rPr>
                <w:rFonts w:eastAsia="Century Gothic" w:cs="Tahoma"/>
                <w:color w:val="000000" w:themeColor="text1"/>
                <w:szCs w:val="20"/>
              </w:rPr>
            </w:pPr>
            <w:r w:rsidRPr="00596F9E">
              <w:rPr>
                <w:rFonts w:eastAsia="Century Gothic" w:cs="Tahoma"/>
                <w:color w:val="000000" w:themeColor="text1"/>
                <w:szCs w:val="20"/>
              </w:rPr>
              <w:t>10% oltre 10 Mln fino a 20 Mln</w:t>
            </w:r>
          </w:p>
          <w:p w14:paraId="3B84638E" w14:textId="6A191831" w:rsidR="00B21640" w:rsidRPr="00596F9E" w:rsidRDefault="00B21640" w:rsidP="00596F9E">
            <w:pPr>
              <w:pStyle w:val="Default"/>
              <w:spacing w:before="60" w:after="60" w:line="326" w:lineRule="auto"/>
              <w:rPr>
                <w:rFonts w:ascii="Tahoma" w:hAnsi="Tahoma" w:cs="Tahoma"/>
                <w:i/>
                <w:iCs/>
                <w:color w:val="000000" w:themeColor="text1"/>
                <w:sz w:val="18"/>
                <w:szCs w:val="18"/>
              </w:rPr>
            </w:pPr>
            <w:r w:rsidRPr="00596F9E">
              <w:rPr>
                <w:rFonts w:ascii="Tahoma" w:hAnsi="Tahoma" w:cs="Tahoma"/>
                <w:i/>
                <w:iCs/>
                <w:color w:val="000000" w:themeColor="text1"/>
                <w:sz w:val="18"/>
                <w:szCs w:val="18"/>
              </w:rPr>
              <w:t>Art. 1, comma 1056, Legge 178/2020</w:t>
            </w:r>
          </w:p>
        </w:tc>
      </w:tr>
      <w:tr w:rsidR="00596F9E" w:rsidRPr="00596F9E" w14:paraId="04622727" w14:textId="77777777" w:rsidTr="00596F9E">
        <w:trPr>
          <w:trHeight w:val="656"/>
        </w:trPr>
        <w:tc>
          <w:tcPr>
            <w:tcW w:w="2888" w:type="dxa"/>
            <w:vMerge/>
          </w:tcPr>
          <w:p w14:paraId="5D383658" w14:textId="77777777" w:rsidR="00AD0BBD" w:rsidRPr="00596F9E" w:rsidRDefault="00AD0BBD" w:rsidP="00596F9E">
            <w:pPr>
              <w:spacing w:before="60" w:after="60" w:line="326" w:lineRule="auto"/>
              <w:rPr>
                <w:rFonts w:eastAsia="Century Gothic" w:cs="Tahoma"/>
                <w:color w:val="000000" w:themeColor="text1"/>
                <w:szCs w:val="20"/>
              </w:rPr>
            </w:pPr>
          </w:p>
        </w:tc>
        <w:tc>
          <w:tcPr>
            <w:tcW w:w="3382" w:type="dxa"/>
          </w:tcPr>
          <w:p w14:paraId="5089BDE9" w14:textId="77777777" w:rsidR="00AD0BBD" w:rsidRPr="00596F9E" w:rsidRDefault="00AD0BBD" w:rsidP="00596F9E">
            <w:pPr>
              <w:spacing w:before="60" w:after="60" w:line="326" w:lineRule="auto"/>
              <w:rPr>
                <w:rFonts w:eastAsia="Century Gothic" w:cs="Tahoma"/>
                <w:b/>
                <w:bCs/>
                <w:color w:val="000000" w:themeColor="text1"/>
                <w:szCs w:val="20"/>
              </w:rPr>
            </w:pPr>
            <w:r w:rsidRPr="00596F9E">
              <w:rPr>
                <w:rFonts w:eastAsia="Century Gothic" w:cs="Tahoma"/>
                <w:b/>
                <w:bCs/>
                <w:color w:val="000000" w:themeColor="text1"/>
                <w:szCs w:val="20"/>
              </w:rPr>
              <w:t>Beni immateriali 4.0</w:t>
            </w:r>
          </w:p>
        </w:tc>
        <w:tc>
          <w:tcPr>
            <w:tcW w:w="3707" w:type="dxa"/>
          </w:tcPr>
          <w:p w14:paraId="018CE243" w14:textId="77777777" w:rsidR="00AD0BBD" w:rsidRPr="00596F9E" w:rsidRDefault="00AD0BBD" w:rsidP="00596F9E">
            <w:pPr>
              <w:spacing w:before="60" w:after="60" w:line="326" w:lineRule="auto"/>
              <w:rPr>
                <w:rFonts w:eastAsia="Century Gothic" w:cs="Tahoma"/>
                <w:color w:val="000000" w:themeColor="text1"/>
                <w:szCs w:val="20"/>
              </w:rPr>
            </w:pPr>
            <w:r w:rsidRPr="00596F9E">
              <w:rPr>
                <w:rFonts w:eastAsia="Century Gothic" w:cs="Tahoma"/>
                <w:b/>
                <w:bCs/>
                <w:color w:val="000000" w:themeColor="text1"/>
                <w:szCs w:val="20"/>
              </w:rPr>
              <w:t>20%</w:t>
            </w:r>
            <w:r w:rsidRPr="00596F9E">
              <w:rPr>
                <w:rFonts w:eastAsia="Century Gothic" w:cs="Tahoma"/>
                <w:color w:val="000000" w:themeColor="text1"/>
                <w:szCs w:val="20"/>
              </w:rPr>
              <w:t xml:space="preserve"> fino a 1 Mln</w:t>
            </w:r>
          </w:p>
          <w:p w14:paraId="4F477BB8" w14:textId="4E4063F9" w:rsidR="00B21640" w:rsidRPr="00596F9E" w:rsidRDefault="00B21640" w:rsidP="00596F9E">
            <w:pPr>
              <w:pStyle w:val="Default"/>
              <w:spacing w:before="60" w:after="60" w:line="326" w:lineRule="auto"/>
              <w:rPr>
                <w:rFonts w:ascii="Tahoma" w:hAnsi="Tahoma" w:cs="Tahoma"/>
                <w:i/>
                <w:iCs/>
                <w:color w:val="000000" w:themeColor="text1"/>
                <w:sz w:val="18"/>
                <w:szCs w:val="18"/>
              </w:rPr>
            </w:pPr>
            <w:r w:rsidRPr="00596F9E">
              <w:rPr>
                <w:rFonts w:ascii="Tahoma" w:hAnsi="Tahoma" w:cs="Tahoma"/>
                <w:i/>
                <w:iCs/>
                <w:color w:val="000000" w:themeColor="text1"/>
                <w:sz w:val="18"/>
                <w:szCs w:val="18"/>
              </w:rPr>
              <w:t>Art. 1, comma 1058, Legge 178/2020</w:t>
            </w:r>
          </w:p>
        </w:tc>
      </w:tr>
      <w:tr w:rsidR="00596F9E" w:rsidRPr="00596F9E" w14:paraId="60297D3F" w14:textId="77777777" w:rsidTr="00596F9E">
        <w:trPr>
          <w:trHeight w:val="1314"/>
        </w:trPr>
        <w:tc>
          <w:tcPr>
            <w:tcW w:w="2888" w:type="dxa"/>
            <w:vMerge w:val="restart"/>
          </w:tcPr>
          <w:p w14:paraId="383C5E1B" w14:textId="1F75BA08" w:rsidR="008700CD" w:rsidRPr="00596F9E" w:rsidRDefault="008700CD" w:rsidP="00596F9E">
            <w:pPr>
              <w:spacing w:before="60" w:after="60" w:line="326" w:lineRule="auto"/>
              <w:rPr>
                <w:rFonts w:eastAsia="Century Gothic" w:cs="Tahoma"/>
                <w:b/>
                <w:bCs/>
                <w:color w:val="000000" w:themeColor="text1"/>
                <w:szCs w:val="20"/>
              </w:rPr>
            </w:pPr>
            <w:r w:rsidRPr="00596F9E">
              <w:rPr>
                <w:rFonts w:eastAsia="Century Gothic" w:cs="Tahoma"/>
                <w:color w:val="000000" w:themeColor="text1"/>
                <w:szCs w:val="20"/>
              </w:rPr>
              <w:t xml:space="preserve">Investimenti in beni strumentali effettuati </w:t>
            </w:r>
            <w:r w:rsidRPr="00596F9E">
              <w:rPr>
                <w:rFonts w:eastAsia="Century Gothic" w:cs="Tahoma"/>
                <w:b/>
                <w:bCs/>
                <w:color w:val="000000" w:themeColor="text1"/>
                <w:szCs w:val="20"/>
              </w:rPr>
              <w:t xml:space="preserve">dal 1° </w:t>
            </w:r>
            <w:r w:rsidRPr="00596F9E">
              <w:rPr>
                <w:rFonts w:eastAsia="Century Gothic" w:cs="Tahoma"/>
                <w:b/>
                <w:bCs/>
                <w:color w:val="000000" w:themeColor="text1"/>
                <w:szCs w:val="20"/>
              </w:rPr>
              <w:lastRenderedPageBreak/>
              <w:t>gennaio 2022 al 31 dicembre 2022</w:t>
            </w:r>
          </w:p>
          <w:p w14:paraId="4A44114F" w14:textId="59AA2410" w:rsidR="008700CD" w:rsidRPr="00596F9E" w:rsidRDefault="008700CD" w:rsidP="00596F9E">
            <w:pPr>
              <w:spacing w:before="60" w:after="60" w:line="326" w:lineRule="auto"/>
              <w:rPr>
                <w:rFonts w:eastAsia="Century Gothic" w:cs="Tahoma"/>
                <w:color w:val="000000" w:themeColor="text1"/>
                <w:szCs w:val="20"/>
              </w:rPr>
            </w:pPr>
            <w:r w:rsidRPr="00596F9E">
              <w:rPr>
                <w:rFonts w:eastAsia="Century Gothic" w:cs="Tahoma"/>
                <w:color w:val="000000" w:themeColor="text1"/>
                <w:szCs w:val="20"/>
              </w:rPr>
              <w:t>oppure</w:t>
            </w:r>
          </w:p>
          <w:p w14:paraId="3058D78C" w14:textId="3E550C6D" w:rsidR="008700CD" w:rsidRPr="00596F9E" w:rsidRDefault="008700CD" w:rsidP="00596F9E">
            <w:pPr>
              <w:spacing w:before="60" w:after="60" w:line="326" w:lineRule="auto"/>
              <w:rPr>
                <w:rFonts w:eastAsia="Century Gothic" w:cs="Tahoma"/>
                <w:color w:val="000000" w:themeColor="text1"/>
                <w:szCs w:val="20"/>
              </w:rPr>
            </w:pPr>
            <w:r w:rsidRPr="00596F9E">
              <w:rPr>
                <w:rFonts w:eastAsia="Century Gothic" w:cs="Tahoma"/>
                <w:b/>
                <w:bCs/>
                <w:color w:val="000000" w:themeColor="text1"/>
                <w:szCs w:val="20"/>
              </w:rPr>
              <w:t>acconto del 20%</w:t>
            </w:r>
            <w:r w:rsidRPr="00596F9E">
              <w:rPr>
                <w:rFonts w:eastAsia="Century Gothic" w:cs="Tahoma"/>
                <w:color w:val="000000" w:themeColor="text1"/>
                <w:szCs w:val="20"/>
              </w:rPr>
              <w:t xml:space="preserve"> versato con </w:t>
            </w:r>
            <w:r w:rsidRPr="00596F9E">
              <w:rPr>
                <w:rFonts w:eastAsia="Century Gothic" w:cs="Tahoma"/>
                <w:b/>
                <w:bCs/>
                <w:color w:val="000000" w:themeColor="text1"/>
                <w:szCs w:val="20"/>
              </w:rPr>
              <w:t>accettazione ordine fornitore</w:t>
            </w:r>
            <w:r w:rsidRPr="00596F9E">
              <w:rPr>
                <w:rFonts w:eastAsia="Century Gothic" w:cs="Tahoma"/>
                <w:color w:val="000000" w:themeColor="text1"/>
                <w:szCs w:val="20"/>
              </w:rPr>
              <w:t xml:space="preserve"> </w:t>
            </w:r>
            <w:r w:rsidRPr="00596F9E">
              <w:rPr>
                <w:rFonts w:eastAsia="Century Gothic" w:cs="Tahoma"/>
                <w:b/>
                <w:bCs/>
                <w:color w:val="000000" w:themeColor="text1"/>
                <w:szCs w:val="20"/>
              </w:rPr>
              <w:t>entro il 31 dicembre 2022</w:t>
            </w:r>
            <w:r w:rsidRPr="00596F9E">
              <w:rPr>
                <w:rFonts w:eastAsia="Century Gothic" w:cs="Tahoma"/>
                <w:color w:val="000000" w:themeColor="text1"/>
                <w:szCs w:val="20"/>
              </w:rPr>
              <w:t xml:space="preserve"> e completamento investimento </w:t>
            </w:r>
            <w:r w:rsidRPr="00596F9E">
              <w:rPr>
                <w:rFonts w:eastAsia="Century Gothic" w:cs="Tahoma"/>
                <w:b/>
                <w:bCs/>
                <w:color w:val="000000" w:themeColor="text1"/>
                <w:szCs w:val="20"/>
              </w:rPr>
              <w:t>entro il 30 giugno 2023</w:t>
            </w:r>
          </w:p>
        </w:tc>
        <w:tc>
          <w:tcPr>
            <w:tcW w:w="3382" w:type="dxa"/>
          </w:tcPr>
          <w:p w14:paraId="5B51D326" w14:textId="77777777" w:rsidR="008700CD" w:rsidRPr="00596F9E" w:rsidRDefault="008700CD" w:rsidP="00596F9E">
            <w:pPr>
              <w:spacing w:before="60" w:after="60" w:line="326" w:lineRule="auto"/>
              <w:rPr>
                <w:rFonts w:eastAsia="Century Gothic" w:cs="Tahoma"/>
                <w:color w:val="000000" w:themeColor="text1"/>
                <w:szCs w:val="20"/>
              </w:rPr>
            </w:pPr>
            <w:r w:rsidRPr="00596F9E">
              <w:rPr>
                <w:rFonts w:eastAsia="Century Gothic" w:cs="Tahoma"/>
                <w:color w:val="000000" w:themeColor="text1"/>
                <w:szCs w:val="20"/>
              </w:rPr>
              <w:lastRenderedPageBreak/>
              <w:t xml:space="preserve">Beni </w:t>
            </w:r>
            <w:r w:rsidRPr="00596F9E">
              <w:rPr>
                <w:rFonts w:eastAsia="Century Gothic" w:cs="Tahoma"/>
                <w:b/>
                <w:bCs/>
                <w:color w:val="000000" w:themeColor="text1"/>
                <w:szCs w:val="20"/>
              </w:rPr>
              <w:t>materiali</w:t>
            </w:r>
            <w:r w:rsidRPr="00596F9E">
              <w:rPr>
                <w:rFonts w:eastAsia="Century Gothic" w:cs="Tahoma"/>
                <w:color w:val="000000" w:themeColor="text1"/>
                <w:szCs w:val="20"/>
              </w:rPr>
              <w:t xml:space="preserve"> ed </w:t>
            </w:r>
            <w:r w:rsidRPr="00596F9E">
              <w:rPr>
                <w:rFonts w:eastAsia="Century Gothic" w:cs="Tahoma"/>
                <w:b/>
                <w:bCs/>
                <w:color w:val="000000" w:themeColor="text1"/>
                <w:szCs w:val="20"/>
              </w:rPr>
              <w:t>immateriali NON 4.0</w:t>
            </w:r>
          </w:p>
        </w:tc>
        <w:tc>
          <w:tcPr>
            <w:tcW w:w="3707" w:type="dxa"/>
          </w:tcPr>
          <w:p w14:paraId="6D1E48F8" w14:textId="0FCDA4C2" w:rsidR="008700CD" w:rsidRPr="00596F9E" w:rsidRDefault="008700CD" w:rsidP="00596F9E">
            <w:pPr>
              <w:spacing w:before="60" w:after="60" w:line="326" w:lineRule="auto"/>
              <w:rPr>
                <w:rFonts w:eastAsia="Century Gothic" w:cs="Tahoma"/>
                <w:b/>
                <w:bCs/>
                <w:color w:val="000000" w:themeColor="text1"/>
                <w:szCs w:val="20"/>
              </w:rPr>
            </w:pPr>
            <w:r w:rsidRPr="00596F9E">
              <w:rPr>
                <w:rFonts w:eastAsia="Century Gothic" w:cs="Tahoma"/>
                <w:b/>
                <w:bCs/>
                <w:color w:val="000000" w:themeColor="text1"/>
                <w:szCs w:val="20"/>
              </w:rPr>
              <w:t>6%</w:t>
            </w:r>
          </w:p>
          <w:p w14:paraId="2E0064D8" w14:textId="4A1E632B" w:rsidR="008700CD" w:rsidRPr="00596F9E" w:rsidRDefault="008700CD" w:rsidP="00596F9E">
            <w:pPr>
              <w:spacing w:before="60" w:after="60" w:line="326" w:lineRule="auto"/>
              <w:rPr>
                <w:rFonts w:eastAsia="Century Gothic" w:cs="Tahoma"/>
                <w:i/>
                <w:iCs/>
                <w:color w:val="000000" w:themeColor="text1"/>
                <w:szCs w:val="20"/>
              </w:rPr>
            </w:pPr>
            <w:r w:rsidRPr="00596F9E">
              <w:rPr>
                <w:rFonts w:eastAsia="Century Gothic" w:cs="Tahoma"/>
                <w:i/>
                <w:iCs/>
                <w:color w:val="000000" w:themeColor="text1"/>
                <w:sz w:val="18"/>
                <w:szCs w:val="18"/>
              </w:rPr>
              <w:t>Art. 1, comma 105</w:t>
            </w:r>
            <w:r w:rsidR="00FA7C48" w:rsidRPr="00596F9E">
              <w:rPr>
                <w:rFonts w:eastAsia="Century Gothic" w:cs="Tahoma"/>
                <w:i/>
                <w:iCs/>
                <w:color w:val="000000" w:themeColor="text1"/>
                <w:sz w:val="18"/>
                <w:szCs w:val="18"/>
              </w:rPr>
              <w:t>5</w:t>
            </w:r>
            <w:r w:rsidRPr="00596F9E">
              <w:rPr>
                <w:rFonts w:eastAsia="Century Gothic" w:cs="Tahoma"/>
                <w:i/>
                <w:iCs/>
                <w:color w:val="000000" w:themeColor="text1"/>
                <w:sz w:val="18"/>
                <w:szCs w:val="18"/>
              </w:rPr>
              <w:t>,</w:t>
            </w:r>
            <w:r w:rsidRPr="00596F9E">
              <w:rPr>
                <w:rFonts w:cs="Tahoma"/>
                <w:i/>
                <w:iCs/>
                <w:color w:val="000000" w:themeColor="text1"/>
                <w:sz w:val="18"/>
                <w:szCs w:val="18"/>
              </w:rPr>
              <w:t xml:space="preserve"> Legge 178/2020</w:t>
            </w:r>
          </w:p>
        </w:tc>
      </w:tr>
      <w:tr w:rsidR="00596F9E" w:rsidRPr="00596F9E" w14:paraId="4B631F46" w14:textId="77777777" w:rsidTr="00596F9E">
        <w:trPr>
          <w:trHeight w:val="1945"/>
        </w:trPr>
        <w:tc>
          <w:tcPr>
            <w:tcW w:w="2888" w:type="dxa"/>
            <w:vMerge/>
          </w:tcPr>
          <w:p w14:paraId="32B6BE5E" w14:textId="77777777" w:rsidR="008700CD" w:rsidRPr="00596F9E" w:rsidRDefault="008700CD" w:rsidP="00596F9E">
            <w:pPr>
              <w:spacing w:before="60" w:after="60" w:line="326" w:lineRule="auto"/>
              <w:rPr>
                <w:rFonts w:eastAsia="Century Gothic" w:cs="Tahoma"/>
                <w:color w:val="000000" w:themeColor="text1"/>
                <w:szCs w:val="20"/>
              </w:rPr>
            </w:pPr>
          </w:p>
        </w:tc>
        <w:tc>
          <w:tcPr>
            <w:tcW w:w="3382" w:type="dxa"/>
          </w:tcPr>
          <w:p w14:paraId="27B1E5E1" w14:textId="77777777" w:rsidR="008700CD" w:rsidRPr="00596F9E" w:rsidRDefault="008700CD" w:rsidP="00596F9E">
            <w:pPr>
              <w:spacing w:before="60" w:after="60" w:line="326" w:lineRule="auto"/>
              <w:rPr>
                <w:rFonts w:eastAsia="Century Gothic" w:cs="Tahoma"/>
                <w:b/>
                <w:bCs/>
                <w:color w:val="000000" w:themeColor="text1"/>
                <w:szCs w:val="20"/>
              </w:rPr>
            </w:pPr>
            <w:r w:rsidRPr="00596F9E">
              <w:rPr>
                <w:rFonts w:eastAsia="Century Gothic" w:cs="Tahoma"/>
                <w:b/>
                <w:bCs/>
                <w:color w:val="000000" w:themeColor="text1"/>
                <w:szCs w:val="20"/>
              </w:rPr>
              <w:t>Beni materiali 4.0</w:t>
            </w:r>
          </w:p>
        </w:tc>
        <w:tc>
          <w:tcPr>
            <w:tcW w:w="3707" w:type="dxa"/>
          </w:tcPr>
          <w:p w14:paraId="6ECCB862" w14:textId="78CFB3CC" w:rsidR="008700CD" w:rsidRPr="00596F9E" w:rsidRDefault="008700CD" w:rsidP="00596F9E">
            <w:pPr>
              <w:spacing w:before="60" w:after="60" w:line="326" w:lineRule="auto"/>
              <w:rPr>
                <w:rFonts w:eastAsia="Century Gothic" w:cs="Tahoma"/>
                <w:color w:val="000000" w:themeColor="text1"/>
                <w:szCs w:val="20"/>
              </w:rPr>
            </w:pPr>
            <w:r w:rsidRPr="00596F9E">
              <w:rPr>
                <w:rFonts w:eastAsia="Century Gothic" w:cs="Tahoma"/>
                <w:b/>
                <w:bCs/>
                <w:color w:val="000000" w:themeColor="text1"/>
                <w:szCs w:val="20"/>
              </w:rPr>
              <w:t>40%</w:t>
            </w:r>
            <w:r w:rsidRPr="00596F9E">
              <w:rPr>
                <w:rFonts w:eastAsia="Century Gothic" w:cs="Tahoma"/>
                <w:color w:val="000000" w:themeColor="text1"/>
                <w:szCs w:val="20"/>
              </w:rPr>
              <w:t xml:space="preserve"> </w:t>
            </w:r>
            <w:r w:rsidRPr="00596F9E">
              <w:rPr>
                <w:rFonts w:eastAsia="Century Gothic" w:cs="Tahoma"/>
                <w:b/>
                <w:bCs/>
                <w:color w:val="000000" w:themeColor="text1"/>
                <w:szCs w:val="20"/>
              </w:rPr>
              <w:t>fino a 2,5 Mln</w:t>
            </w:r>
          </w:p>
          <w:p w14:paraId="3ECA8B07" w14:textId="2D32ED82" w:rsidR="008700CD" w:rsidRPr="00596F9E" w:rsidRDefault="008700CD" w:rsidP="00596F9E">
            <w:pPr>
              <w:spacing w:before="60" w:after="60" w:line="326" w:lineRule="auto"/>
              <w:rPr>
                <w:rFonts w:eastAsia="Century Gothic" w:cs="Tahoma"/>
                <w:color w:val="000000" w:themeColor="text1"/>
                <w:szCs w:val="20"/>
              </w:rPr>
            </w:pPr>
            <w:r w:rsidRPr="00596F9E">
              <w:rPr>
                <w:rFonts w:eastAsia="Century Gothic" w:cs="Tahoma"/>
                <w:color w:val="000000" w:themeColor="text1"/>
                <w:szCs w:val="20"/>
              </w:rPr>
              <w:t>20% oltre 2,5 Mln fino a 10 Mln</w:t>
            </w:r>
          </w:p>
          <w:p w14:paraId="7B445618" w14:textId="77777777" w:rsidR="008700CD" w:rsidRPr="00596F9E" w:rsidRDefault="008700CD" w:rsidP="00596F9E">
            <w:pPr>
              <w:spacing w:before="60" w:after="60" w:line="326" w:lineRule="auto"/>
              <w:rPr>
                <w:rFonts w:eastAsia="Century Gothic" w:cs="Tahoma"/>
                <w:color w:val="000000" w:themeColor="text1"/>
                <w:szCs w:val="20"/>
              </w:rPr>
            </w:pPr>
            <w:r w:rsidRPr="00596F9E">
              <w:rPr>
                <w:rFonts w:eastAsia="Century Gothic" w:cs="Tahoma"/>
                <w:color w:val="000000" w:themeColor="text1"/>
                <w:szCs w:val="20"/>
              </w:rPr>
              <w:t>10% oltre 10 Mln fino a 20 Mln</w:t>
            </w:r>
          </w:p>
          <w:p w14:paraId="07A7CCA9" w14:textId="299288AC" w:rsidR="008700CD" w:rsidRPr="00596F9E" w:rsidRDefault="008700CD" w:rsidP="00596F9E">
            <w:pPr>
              <w:pStyle w:val="Default"/>
              <w:spacing w:before="60" w:after="60" w:line="326" w:lineRule="auto"/>
              <w:rPr>
                <w:rFonts w:ascii="Tahoma" w:hAnsi="Tahoma" w:cs="Tahoma"/>
                <w:i/>
                <w:iCs/>
                <w:color w:val="000000" w:themeColor="text1"/>
                <w:sz w:val="18"/>
                <w:szCs w:val="18"/>
              </w:rPr>
            </w:pPr>
            <w:r w:rsidRPr="00596F9E">
              <w:rPr>
                <w:rFonts w:ascii="Tahoma" w:hAnsi="Tahoma" w:cs="Tahoma"/>
                <w:i/>
                <w:iCs/>
                <w:color w:val="000000" w:themeColor="text1"/>
                <w:sz w:val="18"/>
                <w:szCs w:val="18"/>
              </w:rPr>
              <w:t>Art. 1, comma 1057, Legge 178/2020</w:t>
            </w:r>
          </w:p>
        </w:tc>
      </w:tr>
      <w:tr w:rsidR="00596F9E" w:rsidRPr="00596F9E" w14:paraId="352475F2" w14:textId="77777777" w:rsidTr="00596F9E">
        <w:trPr>
          <w:trHeight w:val="656"/>
        </w:trPr>
        <w:tc>
          <w:tcPr>
            <w:tcW w:w="2888" w:type="dxa"/>
            <w:vMerge/>
          </w:tcPr>
          <w:p w14:paraId="34B39CE4" w14:textId="77777777" w:rsidR="008700CD" w:rsidRPr="00596F9E" w:rsidRDefault="008700CD" w:rsidP="00596F9E">
            <w:pPr>
              <w:spacing w:before="60" w:after="60" w:line="326" w:lineRule="auto"/>
              <w:rPr>
                <w:rFonts w:eastAsia="Century Gothic" w:cs="Tahoma"/>
                <w:color w:val="000000" w:themeColor="text1"/>
                <w:szCs w:val="20"/>
              </w:rPr>
            </w:pPr>
          </w:p>
        </w:tc>
        <w:tc>
          <w:tcPr>
            <w:tcW w:w="3382" w:type="dxa"/>
          </w:tcPr>
          <w:p w14:paraId="6996B636" w14:textId="77777777" w:rsidR="008700CD" w:rsidRPr="00596F9E" w:rsidRDefault="008700CD" w:rsidP="00596F9E">
            <w:pPr>
              <w:spacing w:before="60" w:after="60" w:line="326" w:lineRule="auto"/>
              <w:rPr>
                <w:rFonts w:eastAsia="Century Gothic" w:cs="Tahoma"/>
                <w:b/>
                <w:bCs/>
                <w:color w:val="000000" w:themeColor="text1"/>
                <w:szCs w:val="20"/>
              </w:rPr>
            </w:pPr>
            <w:r w:rsidRPr="00596F9E">
              <w:rPr>
                <w:rFonts w:eastAsia="Century Gothic" w:cs="Tahoma"/>
                <w:b/>
                <w:bCs/>
                <w:color w:val="000000" w:themeColor="text1"/>
                <w:szCs w:val="20"/>
              </w:rPr>
              <w:t>Beni immateriali 4.0</w:t>
            </w:r>
          </w:p>
        </w:tc>
        <w:tc>
          <w:tcPr>
            <w:tcW w:w="3707" w:type="dxa"/>
          </w:tcPr>
          <w:p w14:paraId="55D91839" w14:textId="77777777" w:rsidR="008700CD" w:rsidRPr="00596F9E" w:rsidRDefault="008700CD" w:rsidP="00596F9E">
            <w:pPr>
              <w:spacing w:before="60" w:after="60" w:line="326" w:lineRule="auto"/>
              <w:rPr>
                <w:rFonts w:eastAsia="Century Gothic" w:cs="Tahoma"/>
                <w:color w:val="000000" w:themeColor="text1"/>
                <w:szCs w:val="20"/>
              </w:rPr>
            </w:pPr>
            <w:r w:rsidRPr="00596F9E">
              <w:rPr>
                <w:rFonts w:eastAsia="Century Gothic" w:cs="Tahoma"/>
                <w:b/>
                <w:bCs/>
                <w:color w:val="000000" w:themeColor="text1"/>
                <w:szCs w:val="20"/>
              </w:rPr>
              <w:t>20%</w:t>
            </w:r>
            <w:r w:rsidRPr="00596F9E">
              <w:rPr>
                <w:rFonts w:eastAsia="Century Gothic" w:cs="Tahoma"/>
                <w:color w:val="000000" w:themeColor="text1"/>
                <w:szCs w:val="20"/>
              </w:rPr>
              <w:t xml:space="preserve"> fino a 1 Mln</w:t>
            </w:r>
          </w:p>
          <w:p w14:paraId="04831E0C" w14:textId="77777777" w:rsidR="008700CD" w:rsidRPr="00596F9E" w:rsidRDefault="008700CD" w:rsidP="00596F9E">
            <w:pPr>
              <w:pStyle w:val="Default"/>
              <w:spacing w:before="60" w:after="60" w:line="326" w:lineRule="auto"/>
              <w:rPr>
                <w:rFonts w:ascii="Tahoma" w:hAnsi="Tahoma" w:cs="Tahoma"/>
                <w:i/>
                <w:iCs/>
                <w:color w:val="000000" w:themeColor="text1"/>
                <w:sz w:val="18"/>
                <w:szCs w:val="18"/>
              </w:rPr>
            </w:pPr>
            <w:r w:rsidRPr="00596F9E">
              <w:rPr>
                <w:rFonts w:ascii="Tahoma" w:hAnsi="Tahoma" w:cs="Tahoma"/>
                <w:i/>
                <w:iCs/>
                <w:color w:val="000000" w:themeColor="text1"/>
                <w:sz w:val="18"/>
                <w:szCs w:val="18"/>
              </w:rPr>
              <w:t>Art. 1, comma 1058, Legge 178/2020</w:t>
            </w:r>
          </w:p>
        </w:tc>
      </w:tr>
    </w:tbl>
    <w:p w14:paraId="02245960" w14:textId="77777777" w:rsidR="008700CD" w:rsidRDefault="008700CD" w:rsidP="00312830">
      <w:pPr>
        <w:shd w:val="clear" w:color="auto" w:fill="FFFFFF"/>
        <w:spacing w:line="360" w:lineRule="auto"/>
        <w:jc w:val="both"/>
        <w:rPr>
          <w:rStyle w:val="Internetlink"/>
          <w:color w:val="auto"/>
          <w:u w:val="none"/>
        </w:rPr>
      </w:pPr>
    </w:p>
    <w:p w14:paraId="4D774942" w14:textId="257971E7" w:rsidR="008F51E0" w:rsidRPr="007F356B" w:rsidRDefault="008F51E0" w:rsidP="007F356B">
      <w:pPr>
        <w:pStyle w:val="Titolo3"/>
      </w:pPr>
      <w:bookmarkStart w:id="40" w:name="_Toc93327721"/>
      <w:r w:rsidRPr="007F356B">
        <w:t xml:space="preserve">4.2.1 </w:t>
      </w:r>
      <w:r w:rsidR="002B2E04" w:rsidRPr="007F356B">
        <w:t xml:space="preserve">Investimenti effettuati dal 16.11.2020 al 30.06.2021 e </w:t>
      </w:r>
      <w:r w:rsidR="00BA3EA6" w:rsidRPr="007F356B">
        <w:t>discipline</w:t>
      </w:r>
      <w:r w:rsidR="002B2E04" w:rsidRPr="007F356B">
        <w:t xml:space="preserve"> sovrapposte</w:t>
      </w:r>
      <w:bookmarkEnd w:id="40"/>
    </w:p>
    <w:p w14:paraId="21F1885E" w14:textId="31C1E797" w:rsidR="004C2F66" w:rsidRPr="00D81B83" w:rsidRDefault="004C2F66" w:rsidP="004C2F66">
      <w:pPr>
        <w:shd w:val="clear" w:color="auto" w:fill="FFFFFF"/>
        <w:spacing w:line="360" w:lineRule="auto"/>
        <w:jc w:val="both"/>
        <w:rPr>
          <w:rFonts w:cs="Tahoma"/>
          <w:bCs/>
          <w:szCs w:val="20"/>
        </w:rPr>
      </w:pPr>
      <w:r w:rsidRPr="00D81B83">
        <w:rPr>
          <w:rFonts w:cs="Tahoma"/>
          <w:bCs/>
          <w:szCs w:val="20"/>
        </w:rPr>
        <w:t xml:space="preserve">In base al comma 1051 della legge di bilancio 2021, il </w:t>
      </w:r>
      <w:r w:rsidRPr="00D81B83">
        <w:rPr>
          <w:rFonts w:cs="Tahoma"/>
          <w:b/>
          <w:szCs w:val="20"/>
        </w:rPr>
        <w:t>credito d’imposta spetta per gli</w:t>
      </w:r>
      <w:r w:rsidRPr="00D81B83">
        <w:rPr>
          <w:rFonts w:cs="Tahoma"/>
          <w:bCs/>
          <w:szCs w:val="20"/>
        </w:rPr>
        <w:t xml:space="preserve"> </w:t>
      </w:r>
      <w:r w:rsidRPr="00D81B83">
        <w:rPr>
          <w:rFonts w:cs="Tahoma"/>
          <w:b/>
          <w:szCs w:val="20"/>
        </w:rPr>
        <w:t>investimenti effettuati nell’intervallo temporale che va dal 16 novembre 2020 al 31 dicembre 2022</w:t>
      </w:r>
      <w:r w:rsidRPr="00D81B83">
        <w:rPr>
          <w:rFonts w:cs="Tahoma"/>
          <w:bCs/>
          <w:szCs w:val="20"/>
        </w:rPr>
        <w:t xml:space="preserve"> (o al 30 giugno 2023, a condizione che entro la data del 31 dicembre 2022 il relativo ordine risulti accettato dal venditore e sia avvenuto il pagamento di acconti in misura almeno pari al 20 per cento del costo di acquisizione).</w:t>
      </w:r>
    </w:p>
    <w:p w14:paraId="4A09518B" w14:textId="77777777" w:rsidR="004C2F66" w:rsidRDefault="004C2F66" w:rsidP="004C2F66">
      <w:pPr>
        <w:shd w:val="clear" w:color="auto" w:fill="FFFFFF"/>
        <w:spacing w:line="360" w:lineRule="auto"/>
        <w:jc w:val="both"/>
        <w:rPr>
          <w:rFonts w:cs="Tahoma"/>
          <w:bCs/>
          <w:szCs w:val="20"/>
        </w:rPr>
      </w:pPr>
      <w:r w:rsidRPr="00D81B83">
        <w:rPr>
          <w:rFonts w:cs="Tahoma"/>
          <w:bCs/>
          <w:szCs w:val="20"/>
        </w:rPr>
        <w:t xml:space="preserve">Nel caso in cui gli investimenti eleggibili al credito d’imposta siano effettuati nell’intervallo temporale che va </w:t>
      </w:r>
      <w:r w:rsidRPr="00015394">
        <w:rPr>
          <w:rFonts w:cs="Tahoma"/>
          <w:b/>
          <w:szCs w:val="20"/>
        </w:rPr>
        <w:t>dal 16 novembre 2020 al 30 giugno 2021</w:t>
      </w:r>
      <w:r w:rsidRPr="00D81B83">
        <w:rPr>
          <w:rFonts w:cs="Tahoma"/>
          <w:bCs/>
          <w:szCs w:val="20"/>
        </w:rPr>
        <w:t xml:space="preserve">, viene a verificarsi una </w:t>
      </w:r>
      <w:r w:rsidRPr="00D74968">
        <w:rPr>
          <w:rFonts w:cs="Tahoma"/>
          <w:b/>
          <w:szCs w:val="20"/>
        </w:rPr>
        <w:t>parziale sovrapponibilità della nuova disciplina</w:t>
      </w:r>
      <w:r w:rsidRPr="00D81B83">
        <w:rPr>
          <w:rFonts w:cs="Tahoma"/>
          <w:bCs/>
          <w:szCs w:val="20"/>
        </w:rPr>
        <w:t xml:space="preserve"> </w:t>
      </w:r>
      <w:r w:rsidRPr="00D74968">
        <w:rPr>
          <w:rFonts w:cs="Tahoma"/>
          <w:b/>
          <w:szCs w:val="20"/>
        </w:rPr>
        <w:t>con quella prevista dall’articolo 1, commi da 184 a 197, della legge di bilancio 2020</w:t>
      </w:r>
      <w:r w:rsidRPr="00D81B83">
        <w:rPr>
          <w:rFonts w:cs="Tahoma"/>
          <w:bCs/>
          <w:szCs w:val="20"/>
        </w:rPr>
        <w:t xml:space="preserve"> in relazione</w:t>
      </w:r>
      <w:r>
        <w:rPr>
          <w:rFonts w:cs="Tahoma"/>
          <w:bCs/>
          <w:szCs w:val="20"/>
        </w:rPr>
        <w:t>:</w:t>
      </w:r>
    </w:p>
    <w:p w14:paraId="628A21B4" w14:textId="77777777" w:rsidR="004C2F66" w:rsidRDefault="004C2F66" w:rsidP="00AE49EC">
      <w:pPr>
        <w:pStyle w:val="Paragrafoelenco"/>
        <w:numPr>
          <w:ilvl w:val="0"/>
          <w:numId w:val="6"/>
        </w:numPr>
        <w:shd w:val="clear" w:color="auto" w:fill="FFFFFF"/>
        <w:spacing w:line="360" w:lineRule="auto"/>
        <w:jc w:val="both"/>
        <w:rPr>
          <w:rFonts w:cs="Tahoma"/>
          <w:bCs/>
          <w:szCs w:val="20"/>
        </w:rPr>
      </w:pPr>
      <w:r w:rsidRPr="00D74968">
        <w:rPr>
          <w:rFonts w:cs="Tahoma"/>
          <w:bCs/>
          <w:szCs w:val="20"/>
        </w:rPr>
        <w:t xml:space="preserve">agli investimenti aventi ad oggetto i </w:t>
      </w:r>
      <w:r w:rsidRPr="00D74968">
        <w:rPr>
          <w:rFonts w:cs="Tahoma"/>
          <w:b/>
          <w:szCs w:val="20"/>
        </w:rPr>
        <w:t>beni materiali non 4.0</w:t>
      </w:r>
      <w:r w:rsidRPr="00D74968">
        <w:rPr>
          <w:rFonts w:cs="Tahoma"/>
          <w:bCs/>
          <w:szCs w:val="20"/>
        </w:rPr>
        <w:t>,</w:t>
      </w:r>
    </w:p>
    <w:p w14:paraId="683BD8EB" w14:textId="77777777" w:rsidR="004C2F66" w:rsidRPr="00033627" w:rsidRDefault="004C2F66" w:rsidP="00AE49EC">
      <w:pPr>
        <w:pStyle w:val="Paragrafoelenco"/>
        <w:numPr>
          <w:ilvl w:val="0"/>
          <w:numId w:val="6"/>
        </w:numPr>
        <w:shd w:val="clear" w:color="auto" w:fill="FFFFFF"/>
        <w:spacing w:line="360" w:lineRule="auto"/>
        <w:jc w:val="both"/>
        <w:rPr>
          <w:rFonts w:cs="Tahoma"/>
          <w:bCs/>
          <w:szCs w:val="20"/>
        </w:rPr>
      </w:pPr>
      <w:r w:rsidRPr="00D74968">
        <w:rPr>
          <w:rFonts w:cs="Tahoma"/>
          <w:bCs/>
          <w:szCs w:val="20"/>
        </w:rPr>
        <w:t xml:space="preserve">ai </w:t>
      </w:r>
      <w:r w:rsidRPr="00D74968">
        <w:rPr>
          <w:rFonts w:cs="Tahoma"/>
          <w:b/>
          <w:szCs w:val="20"/>
        </w:rPr>
        <w:t>beni ricompresi nell’allegato A e B</w:t>
      </w:r>
      <w:r w:rsidRPr="00D74968">
        <w:rPr>
          <w:rFonts w:cs="Tahoma"/>
          <w:bCs/>
          <w:szCs w:val="20"/>
        </w:rPr>
        <w:t xml:space="preserve"> annessi alla legge n. 232</w:t>
      </w:r>
      <w:r>
        <w:rPr>
          <w:rFonts w:cs="Tahoma"/>
          <w:bCs/>
          <w:szCs w:val="20"/>
        </w:rPr>
        <w:t>/</w:t>
      </w:r>
      <w:r w:rsidRPr="00D74968">
        <w:rPr>
          <w:rFonts w:cs="Tahoma"/>
          <w:bCs/>
          <w:szCs w:val="20"/>
        </w:rPr>
        <w:t xml:space="preserve">2016, effettuati a decorrere dal 1° gennaio 2020 e </w:t>
      </w:r>
      <w:r w:rsidRPr="00D74968">
        <w:rPr>
          <w:rFonts w:cs="Tahoma"/>
          <w:b/>
          <w:szCs w:val="20"/>
        </w:rPr>
        <w:t>fino al 31 dicembre 2020</w:t>
      </w:r>
      <w:r w:rsidRPr="00D74968">
        <w:rPr>
          <w:rFonts w:cs="Tahoma"/>
          <w:bCs/>
          <w:szCs w:val="20"/>
        </w:rPr>
        <w:t xml:space="preserve">, ovvero </w:t>
      </w:r>
      <w:r w:rsidRPr="00D74968">
        <w:rPr>
          <w:rFonts w:cs="Tahoma"/>
          <w:b/>
          <w:szCs w:val="20"/>
        </w:rPr>
        <w:t>entro il 30 giugno 2021</w:t>
      </w:r>
      <w:r w:rsidRPr="00D74968">
        <w:rPr>
          <w:rFonts w:cs="Tahoma"/>
          <w:bCs/>
          <w:szCs w:val="20"/>
        </w:rPr>
        <w:t xml:space="preserve"> a condizione che entro la data del 31 dicembre 2020 il relativo ordine risulti accettato dal venditore e sia avvenuto il pagamento di acconti in misura almeno pari al 20 per cento del costo di acquisizione (cfr. comma 185 della legge di bilancio 2020).</w:t>
      </w:r>
    </w:p>
    <w:p w14:paraId="5AFDAA1A" w14:textId="77777777" w:rsidR="004C2F66" w:rsidRDefault="004C2F66" w:rsidP="004C2F66">
      <w:pPr>
        <w:shd w:val="clear" w:color="auto" w:fill="FFFFFF"/>
        <w:spacing w:line="360" w:lineRule="auto"/>
        <w:jc w:val="both"/>
        <w:rPr>
          <w:rFonts w:cs="Tahoma"/>
          <w:bCs/>
          <w:szCs w:val="20"/>
        </w:rPr>
      </w:pPr>
      <w:r>
        <w:rPr>
          <w:rFonts w:cs="Tahoma"/>
          <w:bCs/>
          <w:szCs w:val="20"/>
        </w:rPr>
        <w:t>I</w:t>
      </w:r>
      <w:r w:rsidRPr="00D74968">
        <w:rPr>
          <w:rFonts w:cs="Tahoma"/>
          <w:bCs/>
          <w:szCs w:val="20"/>
        </w:rPr>
        <w:t xml:space="preserve">l coordinamento delle </w:t>
      </w:r>
      <w:r w:rsidRPr="00D74968">
        <w:rPr>
          <w:rFonts w:cs="Tahoma"/>
          <w:b/>
          <w:szCs w:val="20"/>
        </w:rPr>
        <w:t>due discipline agevolative</w:t>
      </w:r>
      <w:r w:rsidRPr="00D74968">
        <w:rPr>
          <w:rFonts w:cs="Tahoma"/>
          <w:bCs/>
          <w:szCs w:val="20"/>
        </w:rPr>
        <w:t xml:space="preserve"> sul piano temporale de</w:t>
      </w:r>
      <w:r>
        <w:rPr>
          <w:rFonts w:cs="Tahoma"/>
          <w:bCs/>
          <w:szCs w:val="20"/>
        </w:rPr>
        <w:t>ve</w:t>
      </w:r>
      <w:r w:rsidRPr="00D74968">
        <w:rPr>
          <w:rFonts w:cs="Tahoma"/>
          <w:bCs/>
          <w:szCs w:val="20"/>
        </w:rPr>
        <w:t xml:space="preserve"> avvenire </w:t>
      </w:r>
      <w:r w:rsidRPr="00D74968">
        <w:rPr>
          <w:rFonts w:cs="Tahoma"/>
          <w:b/>
          <w:szCs w:val="20"/>
        </w:rPr>
        <w:t>distinguendo il caso degli investimenti per i quali alla data del 15 novembre 2020</w:t>
      </w:r>
      <w:r w:rsidRPr="00D74968">
        <w:rPr>
          <w:rFonts w:cs="Tahoma"/>
          <w:bCs/>
          <w:szCs w:val="20"/>
        </w:rPr>
        <w:t xml:space="preserve">, vale a dire </w:t>
      </w:r>
      <w:r w:rsidRPr="00D74968">
        <w:rPr>
          <w:rFonts w:cs="Tahoma"/>
          <w:b/>
          <w:szCs w:val="20"/>
        </w:rPr>
        <w:t>anteriormente alla decorrenza della nuova disciplina</w:t>
      </w:r>
      <w:r w:rsidRPr="00D74968">
        <w:rPr>
          <w:rFonts w:cs="Tahoma"/>
          <w:bCs/>
          <w:szCs w:val="20"/>
        </w:rPr>
        <w:t xml:space="preserve">, si sia </w:t>
      </w:r>
      <w:r w:rsidRPr="00D74968">
        <w:rPr>
          <w:rFonts w:cs="Tahoma"/>
          <w:b/>
          <w:szCs w:val="20"/>
        </w:rPr>
        <w:t>proceduto all’ordine vincolante</w:t>
      </w:r>
      <w:r w:rsidRPr="00D74968">
        <w:rPr>
          <w:rFonts w:cs="Tahoma"/>
          <w:bCs/>
          <w:szCs w:val="20"/>
        </w:rPr>
        <w:t xml:space="preserve"> e sia stato </w:t>
      </w:r>
      <w:r w:rsidRPr="00D74968">
        <w:rPr>
          <w:rFonts w:cs="Tahoma"/>
          <w:b/>
          <w:szCs w:val="20"/>
        </w:rPr>
        <w:t>versato l’acconto del 20 per cento</w:t>
      </w:r>
      <w:r w:rsidRPr="00D74968">
        <w:rPr>
          <w:rFonts w:cs="Tahoma"/>
          <w:bCs/>
          <w:szCs w:val="20"/>
        </w:rPr>
        <w:t xml:space="preserve"> (c.d. “</w:t>
      </w:r>
      <w:r w:rsidRPr="00D74968">
        <w:rPr>
          <w:rFonts w:cs="Tahoma"/>
          <w:b/>
          <w:szCs w:val="20"/>
        </w:rPr>
        <w:t>prenotazione</w:t>
      </w:r>
      <w:r w:rsidRPr="00D74968">
        <w:rPr>
          <w:rFonts w:cs="Tahoma"/>
          <w:bCs/>
          <w:szCs w:val="20"/>
        </w:rPr>
        <w:t>”), dal caso degli investimenti per i quali alla suddetta data non risultino verificate tali condizioni.</w:t>
      </w:r>
    </w:p>
    <w:p w14:paraId="50739584" w14:textId="77777777" w:rsidR="004C2F66" w:rsidRDefault="004C2F66" w:rsidP="004C2F66">
      <w:pPr>
        <w:shd w:val="clear" w:color="auto" w:fill="FFFFFF"/>
        <w:spacing w:line="360" w:lineRule="auto"/>
        <w:jc w:val="both"/>
        <w:rPr>
          <w:rFonts w:cs="Tahoma"/>
          <w:bCs/>
          <w:szCs w:val="20"/>
        </w:rPr>
      </w:pPr>
      <w:r w:rsidRPr="00D74968">
        <w:rPr>
          <w:rFonts w:cs="Tahoma"/>
          <w:b/>
          <w:szCs w:val="20"/>
        </w:rPr>
        <w:t>Nel primo caso</w:t>
      </w:r>
      <w:r w:rsidRPr="00D74968">
        <w:rPr>
          <w:rFonts w:cs="Tahoma"/>
          <w:bCs/>
          <w:szCs w:val="20"/>
        </w:rPr>
        <w:t xml:space="preserve"> </w:t>
      </w:r>
      <w:r w:rsidRPr="00D74968">
        <w:rPr>
          <w:rFonts w:cs="Tahoma"/>
          <w:b/>
          <w:szCs w:val="20"/>
        </w:rPr>
        <w:t>gli investimenti</w:t>
      </w:r>
      <w:r w:rsidRPr="00D74968">
        <w:rPr>
          <w:rFonts w:cs="Tahoma"/>
          <w:bCs/>
          <w:szCs w:val="20"/>
        </w:rPr>
        <w:t xml:space="preserve">, sempre se effettuati (vale a dire completati) entro il 30 giugno 2021, </w:t>
      </w:r>
      <w:r w:rsidRPr="00D74968">
        <w:rPr>
          <w:rFonts w:cs="Tahoma"/>
          <w:b/>
          <w:szCs w:val="20"/>
        </w:rPr>
        <w:t>rest</w:t>
      </w:r>
      <w:r>
        <w:rPr>
          <w:rFonts w:cs="Tahoma"/>
          <w:b/>
          <w:szCs w:val="20"/>
        </w:rPr>
        <w:t>a</w:t>
      </w:r>
      <w:r w:rsidRPr="00D74968">
        <w:rPr>
          <w:rFonts w:cs="Tahoma"/>
          <w:b/>
          <w:szCs w:val="20"/>
        </w:rPr>
        <w:t>no incardinati nella precedente disciplina di cui alla legge di bilancio 2020</w:t>
      </w:r>
      <w:r w:rsidRPr="00D74968">
        <w:rPr>
          <w:rFonts w:cs="Tahoma"/>
          <w:bCs/>
          <w:szCs w:val="20"/>
        </w:rPr>
        <w:t>.</w:t>
      </w:r>
    </w:p>
    <w:p w14:paraId="7D3BBC45" w14:textId="77777777" w:rsidR="004C2F66" w:rsidRDefault="004C2F66" w:rsidP="004C2F66">
      <w:pPr>
        <w:shd w:val="clear" w:color="auto" w:fill="FFFFFF"/>
        <w:spacing w:line="360" w:lineRule="auto"/>
        <w:jc w:val="both"/>
        <w:rPr>
          <w:rFonts w:cs="Tahoma"/>
          <w:bCs/>
          <w:szCs w:val="20"/>
        </w:rPr>
      </w:pPr>
      <w:r w:rsidRPr="00D74968">
        <w:rPr>
          <w:rFonts w:cs="Tahoma"/>
          <w:b/>
          <w:szCs w:val="20"/>
        </w:rPr>
        <w:lastRenderedPageBreak/>
        <w:t>Nel secondo caso</w:t>
      </w:r>
      <w:r w:rsidRPr="00913C86">
        <w:rPr>
          <w:rFonts w:cs="Tahoma"/>
          <w:bCs/>
          <w:szCs w:val="20"/>
        </w:rPr>
        <w:t xml:space="preserve"> </w:t>
      </w:r>
      <w:r>
        <w:rPr>
          <w:rFonts w:cs="Tahoma"/>
          <w:bCs/>
          <w:szCs w:val="20"/>
        </w:rPr>
        <w:t xml:space="preserve">– assenza di acconti e ordine - </w:t>
      </w:r>
      <w:r w:rsidRPr="00D74968">
        <w:rPr>
          <w:rFonts w:cs="Tahoma"/>
          <w:b/>
          <w:szCs w:val="20"/>
        </w:rPr>
        <w:t>si rende applicabile la nuova disciplina</w:t>
      </w:r>
      <w:r w:rsidRPr="00D74968">
        <w:rPr>
          <w:rFonts w:cs="Tahoma"/>
          <w:bCs/>
          <w:szCs w:val="20"/>
        </w:rPr>
        <w:t xml:space="preserve"> introdotta dalla legge di bilancio 2021</w:t>
      </w:r>
      <w:r>
        <w:rPr>
          <w:rFonts w:cs="Tahoma"/>
          <w:bCs/>
          <w:szCs w:val="20"/>
        </w:rPr>
        <w:t>.</w:t>
      </w:r>
    </w:p>
    <w:p w14:paraId="77B2A2AB" w14:textId="77777777" w:rsidR="004C2F66" w:rsidRPr="00D74968" w:rsidRDefault="004C2F66" w:rsidP="004C2F66">
      <w:pPr>
        <w:shd w:val="clear" w:color="auto" w:fill="FFFFFF"/>
        <w:spacing w:line="360" w:lineRule="auto"/>
        <w:jc w:val="both"/>
        <w:rPr>
          <w:rFonts w:cs="Tahoma"/>
          <w:bCs/>
          <w:szCs w:val="20"/>
        </w:rPr>
      </w:pPr>
      <w:r w:rsidRPr="00CB36B7">
        <w:rPr>
          <w:rFonts w:cs="Tahoma"/>
          <w:bCs/>
          <w:szCs w:val="20"/>
        </w:rPr>
        <w:t xml:space="preserve">Tale interpretazione trova fondamento nella </w:t>
      </w:r>
      <w:r w:rsidRPr="00CB36B7">
        <w:rPr>
          <w:rFonts w:cs="Tahoma"/>
          <w:b/>
          <w:szCs w:val="20"/>
        </w:rPr>
        <w:t>volontà del legislatore di anticipare gli effetti del nuovo regime</w:t>
      </w:r>
      <w:r w:rsidRPr="00CB36B7">
        <w:rPr>
          <w:rFonts w:cs="Tahoma"/>
          <w:bCs/>
          <w:szCs w:val="20"/>
        </w:rPr>
        <w:t xml:space="preserve"> agevolativo, senza attendere la naturale scadenza dell’ordinario termine del precedente regime (</w:t>
      </w:r>
      <w:r w:rsidRPr="00CB36B7">
        <w:rPr>
          <w:rFonts w:cs="Tahoma"/>
          <w:bCs/>
          <w:i/>
          <w:iCs/>
          <w:szCs w:val="20"/>
        </w:rPr>
        <w:t>i.e.</w:t>
      </w:r>
      <w:r w:rsidRPr="00CB36B7">
        <w:rPr>
          <w:rFonts w:cs="Tahoma"/>
          <w:bCs/>
          <w:szCs w:val="20"/>
        </w:rPr>
        <w:t>, 31 dicembre 2020).</w:t>
      </w:r>
    </w:p>
    <w:p w14:paraId="1B1760DA" w14:textId="77777777" w:rsidR="004C2F66" w:rsidRDefault="004C2F66" w:rsidP="004C2F66">
      <w:pPr>
        <w:shd w:val="clear" w:color="auto" w:fill="FFFFFF"/>
        <w:spacing w:line="360" w:lineRule="auto"/>
        <w:jc w:val="both"/>
        <w:rPr>
          <w:rFonts w:cs="Tahoma"/>
          <w:bCs/>
          <w:szCs w:val="20"/>
        </w:rPr>
      </w:pPr>
      <w:r w:rsidRPr="00CB36B7">
        <w:rPr>
          <w:rFonts w:cs="Tahoma"/>
          <w:bCs/>
          <w:szCs w:val="20"/>
        </w:rPr>
        <w:t>Il motivo di tale scelta risiede nella necessità di scongiurare un rallentamento degli investimenti “nuovi” (per tali intendendosi quelli intrapresi dal 16 novembre 2020) a causa del c.d. “effetto annuncio”, che – a seguito dell’approvazione, da parte del Consiglio dei Ministri, del disegno di legge di bilancio per l’anno 2021, avvenuta proprio il 16 novembre 2020 – avrebbe spinto i soggetti interessati ad</w:t>
      </w:r>
      <w:r>
        <w:rPr>
          <w:rFonts w:cs="Tahoma"/>
          <w:bCs/>
          <w:szCs w:val="20"/>
        </w:rPr>
        <w:t xml:space="preserve"> </w:t>
      </w:r>
      <w:r w:rsidRPr="00033627">
        <w:rPr>
          <w:rFonts w:cs="Tahoma"/>
          <w:bCs/>
          <w:szCs w:val="20"/>
        </w:rPr>
        <w:t>aspettare il 1° gennaio 2021 per poter beneficiare direttamente di un regime (in linea generale) più vantaggioso.</w:t>
      </w:r>
    </w:p>
    <w:p w14:paraId="36AC2CA5" w14:textId="1541EC61" w:rsidR="00560140" w:rsidRDefault="004C2F66" w:rsidP="00017AD5">
      <w:pPr>
        <w:spacing w:line="360" w:lineRule="auto"/>
        <w:ind w:left="2124"/>
        <w:jc w:val="both"/>
        <w:rPr>
          <w:rStyle w:val="Internetlink"/>
          <w:noProof/>
          <w:color w:val="auto"/>
          <w:u w:val="none"/>
        </w:rPr>
      </w:pPr>
      <w:r>
        <w:rPr>
          <w:noProof/>
        </w:rPr>
        <w:drawing>
          <wp:anchor distT="0" distB="0" distL="114300" distR="114300" simplePos="0" relativeHeight="251759104" behindDoc="0" locked="0" layoutInCell="1" allowOverlap="1" wp14:anchorId="5DFE1C16" wp14:editId="67BDDFC3">
            <wp:simplePos x="716890" y="2699309"/>
            <wp:positionH relativeFrom="column">
              <wp:align>left</wp:align>
            </wp:positionH>
            <wp:positionV relativeFrom="paragraph">
              <wp:align>top</wp:align>
            </wp:positionV>
            <wp:extent cx="914400" cy="914400"/>
            <wp:effectExtent l="0" t="0" r="0" b="0"/>
            <wp:wrapSquare wrapText="bothSides"/>
            <wp:docPr id="12" name="Elemento grafico 12"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Pr>
          <w:noProof/>
        </w:rPr>
        <w:t xml:space="preserve">Nel </w:t>
      </w:r>
      <w:r w:rsidRPr="00AC0724">
        <w:rPr>
          <w:b/>
          <w:bCs/>
          <w:noProof/>
        </w:rPr>
        <w:t>passaggio da iper/super ammortamento a credito d’imposta</w:t>
      </w:r>
      <w:r w:rsidRPr="00CB36B7">
        <w:rPr>
          <w:noProof/>
        </w:rPr>
        <w:t xml:space="preserve">, al fine di evitare la sovrapposizione del credito d’imposta con la disciplina </w:t>
      </w:r>
      <w:r>
        <w:rPr>
          <w:noProof/>
        </w:rPr>
        <w:t>previgente</w:t>
      </w:r>
      <w:r w:rsidRPr="00CB36B7">
        <w:rPr>
          <w:noProof/>
        </w:rPr>
        <w:t xml:space="preserve">, </w:t>
      </w:r>
      <w:r>
        <w:rPr>
          <w:noProof/>
        </w:rPr>
        <w:t xml:space="preserve">il </w:t>
      </w:r>
      <w:r w:rsidRPr="009830A3">
        <w:rPr>
          <w:noProof/>
        </w:rPr>
        <w:t>comma 196 della legge di bilancio 2020</w:t>
      </w:r>
      <w:r>
        <w:rPr>
          <w:noProof/>
        </w:rPr>
        <w:t xml:space="preserve"> </w:t>
      </w:r>
      <w:r w:rsidRPr="00CB36B7">
        <w:rPr>
          <w:noProof/>
        </w:rPr>
        <w:t>ha chiarito</w:t>
      </w:r>
      <w:r>
        <w:rPr>
          <w:noProof/>
        </w:rPr>
        <w:t xml:space="preserve"> </w:t>
      </w:r>
      <w:r w:rsidRPr="00CB36B7">
        <w:rPr>
          <w:noProof/>
        </w:rPr>
        <w:t xml:space="preserve">che </w:t>
      </w:r>
      <w:r w:rsidRPr="00082002">
        <w:rPr>
          <w:b/>
          <w:bCs/>
          <w:noProof/>
        </w:rPr>
        <w:t>il credito d’imposta non si applica agli investimenti effettuati nel 2020</w:t>
      </w:r>
      <w:r w:rsidRPr="00CB36B7">
        <w:rPr>
          <w:noProof/>
        </w:rPr>
        <w:t xml:space="preserve"> in relazione ai quali, </w:t>
      </w:r>
      <w:r w:rsidRPr="00082002">
        <w:rPr>
          <w:b/>
          <w:bCs/>
          <w:noProof/>
        </w:rPr>
        <w:t>entro la data del 31 dicembre 2019</w:t>
      </w:r>
      <w:r w:rsidRPr="00CB36B7">
        <w:rPr>
          <w:noProof/>
        </w:rPr>
        <w:t xml:space="preserve">, il relativo ordine sia stato accettato dal venditore e sia avvenuto il </w:t>
      </w:r>
      <w:r w:rsidRPr="00082002">
        <w:rPr>
          <w:b/>
          <w:bCs/>
          <w:noProof/>
        </w:rPr>
        <w:t>pagamento di acconti in misura almeno pari al 20 per cento</w:t>
      </w:r>
      <w:r w:rsidRPr="00CB36B7">
        <w:rPr>
          <w:noProof/>
        </w:rPr>
        <w:t xml:space="preserve"> del costo di acquisizione.</w:t>
      </w:r>
    </w:p>
    <w:p w14:paraId="699879F7" w14:textId="77777777" w:rsidR="00560140" w:rsidRPr="00560140" w:rsidRDefault="00560140" w:rsidP="00337CCF">
      <w:pPr>
        <w:spacing w:line="360" w:lineRule="auto"/>
        <w:rPr>
          <w:rStyle w:val="Internetlink"/>
          <w:color w:val="auto"/>
          <w:u w:val="none"/>
        </w:rPr>
      </w:pPr>
    </w:p>
    <w:p w14:paraId="709A8C29" w14:textId="247C8950" w:rsidR="005D4D28" w:rsidRPr="00560140" w:rsidRDefault="00F922B6" w:rsidP="00337CCF">
      <w:pPr>
        <w:spacing w:line="360" w:lineRule="auto"/>
        <w:rPr>
          <w:rStyle w:val="Internetlink"/>
          <w:color w:val="auto"/>
          <w:u w:val="none"/>
        </w:rPr>
      </w:pPr>
      <w:r w:rsidRPr="00560140">
        <w:rPr>
          <w:rStyle w:val="Internetlink"/>
          <w:b/>
          <w:bCs/>
          <w:color w:val="auto"/>
          <w:u w:val="none"/>
        </w:rPr>
        <w:t>Tabella di</w:t>
      </w:r>
      <w:r w:rsidRPr="00560140">
        <w:rPr>
          <w:rStyle w:val="Internetlink"/>
          <w:color w:val="auto"/>
          <w:u w:val="none"/>
        </w:rPr>
        <w:t xml:space="preserve"> </w:t>
      </w:r>
      <w:r w:rsidRPr="00560140">
        <w:rPr>
          <w:rStyle w:val="Internetlink"/>
          <w:b/>
          <w:bCs/>
          <w:color w:val="auto"/>
          <w:u w:val="none"/>
        </w:rPr>
        <w:t>riepilogo</w:t>
      </w:r>
      <w:r w:rsidR="00560140">
        <w:rPr>
          <w:rStyle w:val="Internetlink"/>
          <w:b/>
          <w:bCs/>
          <w:color w:val="auto"/>
          <w:u w:val="none"/>
        </w:rPr>
        <w:t xml:space="preserve"> periodi </w:t>
      </w:r>
      <w:r w:rsidR="00560140" w:rsidRPr="007F356B">
        <w:rPr>
          <w:rStyle w:val="Internetlink"/>
          <w:b/>
          <w:bCs/>
          <w:color w:val="auto"/>
          <w:u w:val="none"/>
        </w:rPr>
        <w:t>agevolati</w:t>
      </w:r>
      <w:r w:rsidR="00015394" w:rsidRPr="007F356B">
        <w:rPr>
          <w:rStyle w:val="Internetlink"/>
          <w:b/>
          <w:bCs/>
          <w:color w:val="auto"/>
          <w:u w:val="none"/>
        </w:rPr>
        <w:t xml:space="preserve"> (anni 2020 e 2021)</w:t>
      </w:r>
    </w:p>
    <w:tbl>
      <w:tblPr>
        <w:tblStyle w:val="Grigliatabella"/>
        <w:tblW w:w="5000" w:type="pct"/>
        <w:jc w:val="center"/>
        <w:tblLook w:val="04A0" w:firstRow="1" w:lastRow="0" w:firstColumn="1" w:lastColumn="0" w:noHBand="0" w:noVBand="1"/>
      </w:tblPr>
      <w:tblGrid>
        <w:gridCol w:w="4496"/>
        <w:gridCol w:w="2434"/>
        <w:gridCol w:w="2698"/>
      </w:tblGrid>
      <w:tr w:rsidR="00596F9E" w:rsidRPr="00596F9E" w14:paraId="166AAE7C" w14:textId="77777777" w:rsidTr="00596F9E">
        <w:trPr>
          <w:jc w:val="center"/>
        </w:trPr>
        <w:tc>
          <w:tcPr>
            <w:tcW w:w="2335" w:type="pct"/>
            <w:shd w:val="clear" w:color="auto" w:fill="DBE5F1" w:themeFill="accent1" w:themeFillTint="33"/>
          </w:tcPr>
          <w:p w14:paraId="7D3DF17D"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Periodo investimento</w:t>
            </w:r>
          </w:p>
        </w:tc>
        <w:tc>
          <w:tcPr>
            <w:tcW w:w="1264" w:type="pct"/>
            <w:shd w:val="clear" w:color="auto" w:fill="DBE5F1" w:themeFill="accent1" w:themeFillTint="33"/>
          </w:tcPr>
          <w:p w14:paraId="4C6632F5"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Tipologia investimento</w:t>
            </w:r>
          </w:p>
        </w:tc>
        <w:tc>
          <w:tcPr>
            <w:tcW w:w="1401" w:type="pct"/>
            <w:shd w:val="clear" w:color="auto" w:fill="DBE5F1" w:themeFill="accent1" w:themeFillTint="33"/>
          </w:tcPr>
          <w:p w14:paraId="07BDC63C"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Misura del credito</w:t>
            </w:r>
          </w:p>
        </w:tc>
      </w:tr>
      <w:tr w:rsidR="00596F9E" w:rsidRPr="00596F9E" w14:paraId="287C3869" w14:textId="77777777" w:rsidTr="00596F9E">
        <w:trPr>
          <w:jc w:val="center"/>
        </w:trPr>
        <w:tc>
          <w:tcPr>
            <w:tcW w:w="2335" w:type="pct"/>
            <w:vMerge w:val="restart"/>
          </w:tcPr>
          <w:p w14:paraId="15B497DA"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color w:val="000000" w:themeColor="text1"/>
                <w:szCs w:val="20"/>
              </w:rPr>
              <w:t xml:space="preserve">Investimenti in beni strumentali effettuati </w:t>
            </w:r>
            <w:r w:rsidRPr="00596F9E">
              <w:rPr>
                <w:rFonts w:eastAsia="Century Gothic" w:cs="Tahoma"/>
                <w:b/>
                <w:bCs/>
                <w:color w:val="000000" w:themeColor="text1"/>
                <w:szCs w:val="20"/>
              </w:rPr>
              <w:t>dal 1° gennaio 2020 al 15 novembre 2020</w:t>
            </w:r>
          </w:p>
          <w:p w14:paraId="4C3240A4" w14:textId="77777777" w:rsidR="00F922B6" w:rsidRPr="00596F9E" w:rsidRDefault="00F922B6" w:rsidP="00596F9E">
            <w:pPr>
              <w:spacing w:before="60" w:after="60" w:line="326" w:lineRule="auto"/>
              <w:jc w:val="both"/>
              <w:rPr>
                <w:rFonts w:eastAsia="Century Gothic" w:cs="Tahoma"/>
                <w:b/>
                <w:bCs/>
                <w:color w:val="000000" w:themeColor="text1"/>
                <w:szCs w:val="20"/>
              </w:rPr>
            </w:pPr>
          </w:p>
          <w:p w14:paraId="3EE6A121"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color w:val="000000" w:themeColor="text1"/>
                <w:szCs w:val="20"/>
              </w:rPr>
              <w:t>oppure</w:t>
            </w:r>
          </w:p>
          <w:p w14:paraId="30C048C1" w14:textId="77777777" w:rsidR="00F922B6" w:rsidRPr="00596F9E" w:rsidRDefault="00F922B6" w:rsidP="00596F9E">
            <w:pPr>
              <w:spacing w:before="60" w:after="60" w:line="326" w:lineRule="auto"/>
              <w:jc w:val="both"/>
              <w:rPr>
                <w:rFonts w:eastAsia="Century Gothic" w:cs="Tahoma"/>
                <w:color w:val="000000" w:themeColor="text1"/>
                <w:szCs w:val="20"/>
              </w:rPr>
            </w:pPr>
          </w:p>
          <w:p w14:paraId="5BB3DED1"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t xml:space="preserve">acconto del 20% </w:t>
            </w:r>
            <w:r w:rsidRPr="00596F9E">
              <w:rPr>
                <w:rFonts w:eastAsia="Century Gothic" w:cs="Tahoma"/>
                <w:color w:val="000000" w:themeColor="text1"/>
                <w:szCs w:val="20"/>
              </w:rPr>
              <w:t xml:space="preserve">versato con </w:t>
            </w:r>
            <w:r w:rsidRPr="00596F9E">
              <w:rPr>
                <w:rFonts w:eastAsia="Century Gothic" w:cs="Tahoma"/>
                <w:b/>
                <w:bCs/>
                <w:color w:val="000000" w:themeColor="text1"/>
                <w:szCs w:val="20"/>
              </w:rPr>
              <w:t>accettazione ordine fornitore</w:t>
            </w:r>
            <w:r w:rsidRPr="00596F9E">
              <w:rPr>
                <w:rFonts w:eastAsia="Century Gothic" w:cs="Tahoma"/>
                <w:color w:val="000000" w:themeColor="text1"/>
                <w:szCs w:val="20"/>
              </w:rPr>
              <w:t xml:space="preserve"> </w:t>
            </w:r>
            <w:r w:rsidRPr="00596F9E">
              <w:rPr>
                <w:rFonts w:eastAsia="Century Gothic" w:cs="Tahoma"/>
                <w:b/>
                <w:bCs/>
                <w:color w:val="000000" w:themeColor="text1"/>
                <w:szCs w:val="20"/>
              </w:rPr>
              <w:t>entro il 15 novembre 2020</w:t>
            </w:r>
            <w:r w:rsidRPr="00596F9E">
              <w:rPr>
                <w:rFonts w:eastAsia="Century Gothic" w:cs="Tahoma"/>
                <w:color w:val="000000" w:themeColor="text1"/>
                <w:szCs w:val="20"/>
              </w:rPr>
              <w:t xml:space="preserve"> e completamento investimento </w:t>
            </w:r>
            <w:r w:rsidRPr="00596F9E">
              <w:rPr>
                <w:rFonts w:eastAsia="Century Gothic" w:cs="Tahoma"/>
                <w:b/>
                <w:bCs/>
                <w:color w:val="000000" w:themeColor="text1"/>
                <w:szCs w:val="20"/>
              </w:rPr>
              <w:t>entro il 30 giugno 2021</w:t>
            </w:r>
          </w:p>
        </w:tc>
        <w:tc>
          <w:tcPr>
            <w:tcW w:w="1264" w:type="pct"/>
          </w:tcPr>
          <w:p w14:paraId="1E77D570"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Beni materiali NON 4.0</w:t>
            </w:r>
          </w:p>
        </w:tc>
        <w:tc>
          <w:tcPr>
            <w:tcW w:w="1401" w:type="pct"/>
          </w:tcPr>
          <w:p w14:paraId="7643F789"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6%</w:t>
            </w:r>
          </w:p>
        </w:tc>
      </w:tr>
      <w:tr w:rsidR="00596F9E" w:rsidRPr="00596F9E" w14:paraId="04C48654" w14:textId="77777777" w:rsidTr="00596F9E">
        <w:trPr>
          <w:jc w:val="center"/>
        </w:trPr>
        <w:tc>
          <w:tcPr>
            <w:tcW w:w="2335" w:type="pct"/>
            <w:vMerge/>
          </w:tcPr>
          <w:p w14:paraId="408CCE84" w14:textId="77777777" w:rsidR="00F922B6" w:rsidRPr="00596F9E" w:rsidRDefault="00F922B6" w:rsidP="00596F9E">
            <w:pPr>
              <w:spacing w:before="60" w:after="60" w:line="326" w:lineRule="auto"/>
              <w:jc w:val="both"/>
              <w:rPr>
                <w:rFonts w:eastAsia="Century Gothic" w:cs="Tahoma"/>
                <w:color w:val="000000" w:themeColor="text1"/>
                <w:szCs w:val="20"/>
              </w:rPr>
            </w:pPr>
          </w:p>
        </w:tc>
        <w:tc>
          <w:tcPr>
            <w:tcW w:w="1264" w:type="pct"/>
          </w:tcPr>
          <w:p w14:paraId="74DB6488"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Beni materiali 4.0</w:t>
            </w:r>
          </w:p>
        </w:tc>
        <w:tc>
          <w:tcPr>
            <w:tcW w:w="1401" w:type="pct"/>
          </w:tcPr>
          <w:p w14:paraId="1FACB9A8"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t>40%</w:t>
            </w:r>
            <w:r w:rsidRPr="00596F9E">
              <w:rPr>
                <w:rFonts w:eastAsia="Century Gothic" w:cs="Tahoma"/>
                <w:color w:val="000000" w:themeColor="text1"/>
                <w:szCs w:val="20"/>
              </w:rPr>
              <w:t xml:space="preserve"> fino a 2,5 Mln</w:t>
            </w:r>
          </w:p>
          <w:p w14:paraId="405B2C6F"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color w:val="000000" w:themeColor="text1"/>
                <w:szCs w:val="20"/>
              </w:rPr>
              <w:t>20% oltre 2,5 Mln fino a 10 Mln</w:t>
            </w:r>
          </w:p>
        </w:tc>
      </w:tr>
      <w:tr w:rsidR="00596F9E" w:rsidRPr="00596F9E" w14:paraId="001266BA" w14:textId="77777777" w:rsidTr="00596F9E">
        <w:trPr>
          <w:jc w:val="center"/>
        </w:trPr>
        <w:tc>
          <w:tcPr>
            <w:tcW w:w="2335" w:type="pct"/>
            <w:vMerge/>
          </w:tcPr>
          <w:p w14:paraId="0261FC7E" w14:textId="77777777" w:rsidR="00F922B6" w:rsidRPr="00596F9E" w:rsidRDefault="00F922B6" w:rsidP="00596F9E">
            <w:pPr>
              <w:spacing w:before="60" w:after="60" w:line="326" w:lineRule="auto"/>
              <w:jc w:val="both"/>
              <w:rPr>
                <w:rFonts w:eastAsia="Century Gothic" w:cs="Tahoma"/>
                <w:color w:val="000000" w:themeColor="text1"/>
                <w:szCs w:val="20"/>
              </w:rPr>
            </w:pPr>
          </w:p>
        </w:tc>
        <w:tc>
          <w:tcPr>
            <w:tcW w:w="1264" w:type="pct"/>
          </w:tcPr>
          <w:p w14:paraId="04201531"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Beni immateriali 4.0</w:t>
            </w:r>
          </w:p>
        </w:tc>
        <w:tc>
          <w:tcPr>
            <w:tcW w:w="1401" w:type="pct"/>
          </w:tcPr>
          <w:p w14:paraId="5DD99ABF"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t>15%</w:t>
            </w:r>
            <w:r w:rsidRPr="00596F9E">
              <w:rPr>
                <w:rFonts w:eastAsia="Century Gothic" w:cs="Tahoma"/>
                <w:color w:val="000000" w:themeColor="text1"/>
                <w:szCs w:val="20"/>
              </w:rPr>
              <w:t xml:space="preserve"> fino a 700.000 euro</w:t>
            </w:r>
          </w:p>
        </w:tc>
      </w:tr>
      <w:tr w:rsidR="00596F9E" w:rsidRPr="00596F9E" w14:paraId="3322524A" w14:textId="77777777" w:rsidTr="00596F9E">
        <w:trPr>
          <w:jc w:val="center"/>
        </w:trPr>
        <w:tc>
          <w:tcPr>
            <w:tcW w:w="2335" w:type="pct"/>
            <w:vMerge w:val="restart"/>
          </w:tcPr>
          <w:p w14:paraId="4AF55BC6"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color w:val="000000" w:themeColor="text1"/>
                <w:szCs w:val="20"/>
              </w:rPr>
              <w:t xml:space="preserve">Investimenti in beni strumentali effettuati </w:t>
            </w:r>
            <w:r w:rsidRPr="00596F9E">
              <w:rPr>
                <w:rFonts w:eastAsia="Century Gothic" w:cs="Tahoma"/>
                <w:b/>
                <w:bCs/>
                <w:color w:val="000000" w:themeColor="text1"/>
                <w:szCs w:val="20"/>
              </w:rPr>
              <w:t>dal 16 novembre 2020 al 31 dicembre 2021</w:t>
            </w:r>
          </w:p>
          <w:p w14:paraId="2B2B9264" w14:textId="77777777" w:rsidR="00BE3703" w:rsidRPr="00596F9E" w:rsidRDefault="00BE3703" w:rsidP="00596F9E">
            <w:pPr>
              <w:spacing w:before="60" w:after="60" w:line="326" w:lineRule="auto"/>
              <w:jc w:val="both"/>
              <w:rPr>
                <w:rFonts w:eastAsia="Century Gothic" w:cs="Tahoma"/>
                <w:b/>
                <w:bCs/>
                <w:color w:val="000000" w:themeColor="text1"/>
                <w:szCs w:val="20"/>
              </w:rPr>
            </w:pPr>
          </w:p>
          <w:p w14:paraId="50EC9F2C" w14:textId="165B2894" w:rsidR="00BE3703" w:rsidRPr="00596F9E" w:rsidRDefault="00BE3703" w:rsidP="00596F9E">
            <w:pPr>
              <w:spacing w:before="60" w:after="60" w:line="326" w:lineRule="auto"/>
              <w:jc w:val="both"/>
              <w:rPr>
                <w:rFonts w:eastAsia="Century Gothic" w:cs="Tahoma"/>
                <w:color w:val="000000" w:themeColor="text1"/>
                <w:szCs w:val="20"/>
              </w:rPr>
            </w:pPr>
            <w:r w:rsidRPr="00596F9E">
              <w:rPr>
                <w:rFonts w:eastAsia="Century Gothic" w:cs="Tahoma"/>
                <w:color w:val="000000" w:themeColor="text1"/>
                <w:szCs w:val="20"/>
              </w:rPr>
              <w:t>oppure</w:t>
            </w:r>
          </w:p>
          <w:p w14:paraId="0D72C5DD" w14:textId="77777777" w:rsidR="00BE3703" w:rsidRPr="00596F9E" w:rsidRDefault="00BE3703" w:rsidP="00596F9E">
            <w:pPr>
              <w:spacing w:before="60" w:after="60" w:line="326" w:lineRule="auto"/>
              <w:jc w:val="both"/>
              <w:rPr>
                <w:rFonts w:eastAsia="Century Gothic" w:cs="Tahoma"/>
                <w:b/>
                <w:bCs/>
                <w:color w:val="000000" w:themeColor="text1"/>
                <w:szCs w:val="20"/>
              </w:rPr>
            </w:pPr>
          </w:p>
          <w:p w14:paraId="5CFB8D7D" w14:textId="154F9179" w:rsidR="00BE3703" w:rsidRPr="00596F9E" w:rsidRDefault="00BE3703"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t xml:space="preserve">acconto del 20% </w:t>
            </w:r>
            <w:r w:rsidRPr="00596F9E">
              <w:rPr>
                <w:rFonts w:eastAsia="Century Gothic" w:cs="Tahoma"/>
                <w:color w:val="000000" w:themeColor="text1"/>
                <w:szCs w:val="20"/>
              </w:rPr>
              <w:t xml:space="preserve">versato con </w:t>
            </w:r>
            <w:r w:rsidRPr="00596F9E">
              <w:rPr>
                <w:rFonts w:eastAsia="Century Gothic" w:cs="Tahoma"/>
                <w:b/>
                <w:bCs/>
                <w:color w:val="000000" w:themeColor="text1"/>
                <w:szCs w:val="20"/>
              </w:rPr>
              <w:t>accettazione ordine fornitore</w:t>
            </w:r>
            <w:r w:rsidRPr="00596F9E">
              <w:rPr>
                <w:rFonts w:eastAsia="Century Gothic" w:cs="Tahoma"/>
                <w:color w:val="000000" w:themeColor="text1"/>
                <w:szCs w:val="20"/>
              </w:rPr>
              <w:t xml:space="preserve"> </w:t>
            </w:r>
            <w:r w:rsidRPr="00596F9E">
              <w:rPr>
                <w:rFonts w:eastAsia="Century Gothic" w:cs="Tahoma"/>
                <w:b/>
                <w:bCs/>
                <w:color w:val="000000" w:themeColor="text1"/>
                <w:szCs w:val="20"/>
              </w:rPr>
              <w:t>entro il 31 dicembre 2021</w:t>
            </w:r>
            <w:r w:rsidRPr="00596F9E">
              <w:rPr>
                <w:rFonts w:eastAsia="Century Gothic" w:cs="Tahoma"/>
                <w:color w:val="000000" w:themeColor="text1"/>
                <w:szCs w:val="20"/>
              </w:rPr>
              <w:t xml:space="preserve"> e completamento investimento </w:t>
            </w:r>
            <w:r w:rsidRPr="00596F9E">
              <w:rPr>
                <w:rFonts w:eastAsia="Century Gothic" w:cs="Tahoma"/>
                <w:b/>
                <w:bCs/>
                <w:color w:val="000000" w:themeColor="text1"/>
                <w:szCs w:val="20"/>
              </w:rPr>
              <w:t>entro il 30 giugno 2022</w:t>
            </w:r>
          </w:p>
        </w:tc>
        <w:tc>
          <w:tcPr>
            <w:tcW w:w="1264" w:type="pct"/>
          </w:tcPr>
          <w:p w14:paraId="396FDCCA"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lastRenderedPageBreak/>
              <w:t>Beni materiali ed immateriali NON 4.0</w:t>
            </w:r>
          </w:p>
        </w:tc>
        <w:tc>
          <w:tcPr>
            <w:tcW w:w="1401" w:type="pct"/>
          </w:tcPr>
          <w:p w14:paraId="1375F379"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10%</w:t>
            </w:r>
          </w:p>
          <w:p w14:paraId="2F0A2460"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t>15%</w:t>
            </w:r>
            <w:r w:rsidRPr="00596F9E">
              <w:rPr>
                <w:rFonts w:eastAsia="Century Gothic" w:cs="Tahoma"/>
                <w:color w:val="000000" w:themeColor="text1"/>
                <w:szCs w:val="20"/>
              </w:rPr>
              <w:t xml:space="preserve"> (lavoro agile)</w:t>
            </w:r>
          </w:p>
        </w:tc>
      </w:tr>
      <w:tr w:rsidR="00596F9E" w:rsidRPr="00596F9E" w14:paraId="67885D5C" w14:textId="77777777" w:rsidTr="00596F9E">
        <w:trPr>
          <w:jc w:val="center"/>
        </w:trPr>
        <w:tc>
          <w:tcPr>
            <w:tcW w:w="2335" w:type="pct"/>
            <w:vMerge/>
          </w:tcPr>
          <w:p w14:paraId="46BBAB70" w14:textId="77777777" w:rsidR="00F922B6" w:rsidRPr="00596F9E" w:rsidRDefault="00F922B6" w:rsidP="00596F9E">
            <w:pPr>
              <w:spacing w:before="60" w:after="60" w:line="326" w:lineRule="auto"/>
              <w:jc w:val="both"/>
              <w:rPr>
                <w:rFonts w:eastAsia="Century Gothic" w:cs="Tahoma"/>
                <w:color w:val="000000" w:themeColor="text1"/>
                <w:szCs w:val="20"/>
              </w:rPr>
            </w:pPr>
          </w:p>
        </w:tc>
        <w:tc>
          <w:tcPr>
            <w:tcW w:w="1264" w:type="pct"/>
          </w:tcPr>
          <w:p w14:paraId="28ACB743"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Beni materiali 4.0</w:t>
            </w:r>
          </w:p>
        </w:tc>
        <w:tc>
          <w:tcPr>
            <w:tcW w:w="1401" w:type="pct"/>
          </w:tcPr>
          <w:p w14:paraId="04FF5B70"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t>50%</w:t>
            </w:r>
            <w:r w:rsidRPr="00596F9E">
              <w:rPr>
                <w:rFonts w:eastAsia="Century Gothic" w:cs="Tahoma"/>
                <w:color w:val="000000" w:themeColor="text1"/>
                <w:szCs w:val="20"/>
              </w:rPr>
              <w:t xml:space="preserve"> fino a 2,5 Mln</w:t>
            </w:r>
          </w:p>
          <w:p w14:paraId="53637FD9"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t>30%</w:t>
            </w:r>
            <w:r w:rsidRPr="00596F9E">
              <w:rPr>
                <w:rFonts w:eastAsia="Century Gothic" w:cs="Tahoma"/>
                <w:color w:val="000000" w:themeColor="text1"/>
                <w:szCs w:val="20"/>
              </w:rPr>
              <w:t xml:space="preserve"> oltre 2,5 Mln fino a 10 Mln</w:t>
            </w:r>
          </w:p>
          <w:p w14:paraId="2B2C8F76"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t>10%</w:t>
            </w:r>
            <w:r w:rsidRPr="00596F9E">
              <w:rPr>
                <w:rFonts w:eastAsia="Century Gothic" w:cs="Tahoma"/>
                <w:color w:val="000000" w:themeColor="text1"/>
                <w:szCs w:val="20"/>
              </w:rPr>
              <w:t xml:space="preserve"> oltre 10 Mln fino a 20 Mln</w:t>
            </w:r>
          </w:p>
        </w:tc>
      </w:tr>
      <w:tr w:rsidR="00596F9E" w:rsidRPr="00596F9E" w14:paraId="5D326806" w14:textId="77777777" w:rsidTr="00596F9E">
        <w:trPr>
          <w:jc w:val="center"/>
        </w:trPr>
        <w:tc>
          <w:tcPr>
            <w:tcW w:w="2335" w:type="pct"/>
            <w:vMerge/>
          </w:tcPr>
          <w:p w14:paraId="757274CD" w14:textId="77777777" w:rsidR="00F922B6" w:rsidRPr="00596F9E" w:rsidRDefault="00F922B6" w:rsidP="00596F9E">
            <w:pPr>
              <w:spacing w:before="60" w:after="60" w:line="326" w:lineRule="auto"/>
              <w:jc w:val="both"/>
              <w:rPr>
                <w:rFonts w:eastAsia="Century Gothic" w:cs="Tahoma"/>
                <w:color w:val="000000" w:themeColor="text1"/>
                <w:szCs w:val="20"/>
              </w:rPr>
            </w:pPr>
          </w:p>
        </w:tc>
        <w:tc>
          <w:tcPr>
            <w:tcW w:w="1264" w:type="pct"/>
          </w:tcPr>
          <w:p w14:paraId="42F7C945" w14:textId="77777777" w:rsidR="00F922B6" w:rsidRPr="00596F9E" w:rsidRDefault="00F922B6" w:rsidP="00596F9E">
            <w:pPr>
              <w:spacing w:before="60" w:after="60" w:line="326" w:lineRule="auto"/>
              <w:jc w:val="both"/>
              <w:rPr>
                <w:rFonts w:eastAsia="Century Gothic" w:cs="Tahoma"/>
                <w:b/>
                <w:bCs/>
                <w:color w:val="000000" w:themeColor="text1"/>
                <w:szCs w:val="20"/>
              </w:rPr>
            </w:pPr>
            <w:r w:rsidRPr="00596F9E">
              <w:rPr>
                <w:rFonts w:eastAsia="Century Gothic" w:cs="Tahoma"/>
                <w:b/>
                <w:bCs/>
                <w:color w:val="000000" w:themeColor="text1"/>
                <w:szCs w:val="20"/>
              </w:rPr>
              <w:t>Beni immateriali 4.0</w:t>
            </w:r>
          </w:p>
        </w:tc>
        <w:tc>
          <w:tcPr>
            <w:tcW w:w="1401" w:type="pct"/>
          </w:tcPr>
          <w:p w14:paraId="36F12C04" w14:textId="77777777" w:rsidR="00F922B6" w:rsidRPr="00596F9E" w:rsidRDefault="00F922B6" w:rsidP="00596F9E">
            <w:pPr>
              <w:spacing w:before="60" w:after="60" w:line="326" w:lineRule="auto"/>
              <w:jc w:val="both"/>
              <w:rPr>
                <w:rFonts w:eastAsia="Century Gothic" w:cs="Tahoma"/>
                <w:color w:val="000000" w:themeColor="text1"/>
                <w:szCs w:val="20"/>
              </w:rPr>
            </w:pPr>
            <w:r w:rsidRPr="00596F9E">
              <w:rPr>
                <w:rFonts w:eastAsia="Century Gothic" w:cs="Tahoma"/>
                <w:b/>
                <w:bCs/>
                <w:color w:val="000000" w:themeColor="text1"/>
                <w:szCs w:val="20"/>
              </w:rPr>
              <w:t>20%</w:t>
            </w:r>
            <w:r w:rsidRPr="00596F9E">
              <w:rPr>
                <w:rFonts w:eastAsia="Century Gothic" w:cs="Tahoma"/>
                <w:color w:val="000000" w:themeColor="text1"/>
                <w:szCs w:val="20"/>
              </w:rPr>
              <w:t xml:space="preserve"> fino a 1 Mln</w:t>
            </w:r>
          </w:p>
        </w:tc>
      </w:tr>
    </w:tbl>
    <w:p w14:paraId="01EA911C" w14:textId="01DD9476" w:rsidR="00036A86" w:rsidRDefault="00036A86" w:rsidP="00337CCF">
      <w:pPr>
        <w:spacing w:line="360" w:lineRule="auto"/>
        <w:rPr>
          <w:rStyle w:val="Internetlink"/>
          <w:color w:val="auto"/>
          <w:u w:val="none"/>
        </w:rPr>
      </w:pPr>
    </w:p>
    <w:p w14:paraId="2C9521D9" w14:textId="77777777" w:rsidR="007F356B" w:rsidRDefault="007F356B" w:rsidP="00337CCF">
      <w:pPr>
        <w:spacing w:line="360" w:lineRule="auto"/>
        <w:rPr>
          <w:rStyle w:val="Internetlink"/>
          <w:color w:val="auto"/>
          <w:u w:val="none"/>
        </w:rPr>
      </w:pPr>
    </w:p>
    <w:p w14:paraId="76FBD84A" w14:textId="1FDAFEC6" w:rsidR="00A26B29" w:rsidRPr="007F356B" w:rsidRDefault="00A26B29" w:rsidP="007F356B">
      <w:pPr>
        <w:pStyle w:val="Titolo2"/>
      </w:pPr>
      <w:bookmarkStart w:id="41" w:name="_Toc93327722"/>
      <w:r w:rsidRPr="007F356B">
        <w:t xml:space="preserve">4.3 </w:t>
      </w:r>
      <w:r w:rsidR="006C04DF" w:rsidRPr="007F356B">
        <w:t xml:space="preserve">Novità </w:t>
      </w:r>
      <w:r w:rsidR="00036A86" w:rsidRPr="007F356B">
        <w:t>L</w:t>
      </w:r>
      <w:r w:rsidR="006C04DF" w:rsidRPr="007F356B">
        <w:t xml:space="preserve">egge di </w:t>
      </w:r>
      <w:r w:rsidR="00036A86" w:rsidRPr="007F356B">
        <w:t>B</w:t>
      </w:r>
      <w:r w:rsidR="006C04DF" w:rsidRPr="007F356B">
        <w:t>ilancio 2022</w:t>
      </w:r>
      <w:r w:rsidR="001C4AEC" w:rsidRPr="007F356B">
        <w:t xml:space="preserve"> – </w:t>
      </w:r>
      <w:r w:rsidR="001C706C" w:rsidRPr="007F356B">
        <w:t>Misura del credito</w:t>
      </w:r>
      <w:r w:rsidR="001C4AEC" w:rsidRPr="007F356B">
        <w:t xml:space="preserve"> dal 01.01.2023 al 31.12.2025</w:t>
      </w:r>
      <w:bookmarkEnd w:id="41"/>
    </w:p>
    <w:p w14:paraId="4561E194" w14:textId="7C4CC2FF" w:rsidR="007C021D" w:rsidRPr="007F356B" w:rsidRDefault="007C021D" w:rsidP="00C70B24">
      <w:pPr>
        <w:spacing w:line="360" w:lineRule="auto"/>
        <w:jc w:val="both"/>
        <w:rPr>
          <w:rStyle w:val="Internetlink"/>
          <w:color w:val="auto"/>
          <w:u w:val="none"/>
        </w:rPr>
      </w:pPr>
      <w:r w:rsidRPr="007F356B">
        <w:rPr>
          <w:rStyle w:val="Internetlink"/>
          <w:color w:val="auto"/>
          <w:u w:val="none"/>
        </w:rPr>
        <w:t>L’</w:t>
      </w:r>
      <w:r w:rsidRPr="007F356B">
        <w:rPr>
          <w:rStyle w:val="Internetlink"/>
          <w:b/>
          <w:bCs/>
          <w:color w:val="auto"/>
          <w:u w:val="none"/>
        </w:rPr>
        <w:t xml:space="preserve">articolo </w:t>
      </w:r>
      <w:r w:rsidR="00B35D79" w:rsidRPr="007F356B">
        <w:rPr>
          <w:rStyle w:val="Internetlink"/>
          <w:b/>
          <w:bCs/>
          <w:color w:val="auto"/>
          <w:u w:val="none"/>
        </w:rPr>
        <w:t>1, comma 44,</w:t>
      </w:r>
      <w:r w:rsidRPr="007F356B">
        <w:rPr>
          <w:rStyle w:val="Internetlink"/>
          <w:b/>
          <w:bCs/>
          <w:color w:val="auto"/>
          <w:u w:val="none"/>
        </w:rPr>
        <w:t xml:space="preserve"> </w:t>
      </w:r>
      <w:r w:rsidR="00B35D79" w:rsidRPr="007F356B">
        <w:rPr>
          <w:rStyle w:val="Internetlink"/>
          <w:b/>
          <w:bCs/>
          <w:color w:val="auto"/>
          <w:u w:val="none"/>
        </w:rPr>
        <w:t>Legge 30 dicembre 2021, n. 234</w:t>
      </w:r>
      <w:r w:rsidR="00B279AC" w:rsidRPr="007F356B">
        <w:rPr>
          <w:rStyle w:val="Internetlink"/>
          <w:b/>
          <w:bCs/>
          <w:color w:val="auto"/>
          <w:u w:val="none"/>
        </w:rPr>
        <w:t>,</w:t>
      </w:r>
      <w:r w:rsidRPr="007F356B">
        <w:rPr>
          <w:rStyle w:val="Internetlink"/>
          <w:color w:val="auto"/>
          <w:u w:val="none"/>
        </w:rPr>
        <w:t xml:space="preserve"> </w:t>
      </w:r>
      <w:r w:rsidR="00B279AC" w:rsidRPr="007F356B">
        <w:rPr>
          <w:rStyle w:val="Internetlink"/>
          <w:color w:val="auto"/>
          <w:u w:val="none"/>
        </w:rPr>
        <w:t xml:space="preserve">pubblicata nella GU n. 310 del 31 dicembre 2021, </w:t>
      </w:r>
      <w:r w:rsidR="004B7A6F" w:rsidRPr="007F356B">
        <w:rPr>
          <w:rStyle w:val="Internetlink"/>
          <w:b/>
          <w:bCs/>
          <w:color w:val="auto"/>
          <w:u w:val="none"/>
        </w:rPr>
        <w:t>proroga</w:t>
      </w:r>
      <w:r w:rsidR="004B7A6F" w:rsidRPr="007F356B">
        <w:rPr>
          <w:rStyle w:val="Internetlink"/>
          <w:color w:val="auto"/>
          <w:u w:val="none"/>
        </w:rPr>
        <w:t xml:space="preserve"> </w:t>
      </w:r>
      <w:r w:rsidRPr="007F356B">
        <w:rPr>
          <w:b/>
          <w:bCs/>
        </w:rPr>
        <w:t xml:space="preserve">il credito di imposta per </w:t>
      </w:r>
      <w:r w:rsidR="00B279AC" w:rsidRPr="007F356B">
        <w:rPr>
          <w:b/>
          <w:bCs/>
        </w:rPr>
        <w:t xml:space="preserve">gli </w:t>
      </w:r>
      <w:r w:rsidRPr="007F356B">
        <w:rPr>
          <w:b/>
          <w:bCs/>
        </w:rPr>
        <w:t>investimenti in beni strumentali</w:t>
      </w:r>
      <w:r w:rsidRPr="007F356B">
        <w:t xml:space="preserve"> c.d. "Industria 4.0"</w:t>
      </w:r>
      <w:r w:rsidR="0084503E" w:rsidRPr="007F356B">
        <w:t xml:space="preserve"> </w:t>
      </w:r>
      <w:r w:rsidR="0084503E" w:rsidRPr="007F356B">
        <w:rPr>
          <w:b/>
          <w:bCs/>
        </w:rPr>
        <w:t>apportando alcune modifiche alla vigente normativa</w:t>
      </w:r>
      <w:r w:rsidR="0084503E" w:rsidRPr="007F356B">
        <w:t xml:space="preserve"> (articolo 1, commi da 1051 a 1063, Legge 178/2020).</w:t>
      </w:r>
    </w:p>
    <w:p w14:paraId="7F82C51F" w14:textId="52D6B2FC" w:rsidR="00036A86" w:rsidRPr="007F356B" w:rsidRDefault="00036A86" w:rsidP="00C70B24">
      <w:pPr>
        <w:spacing w:line="360" w:lineRule="auto"/>
        <w:jc w:val="both"/>
        <w:rPr>
          <w:rStyle w:val="Internetlink"/>
          <w:color w:val="auto"/>
          <w:u w:val="none"/>
        </w:rPr>
      </w:pPr>
      <w:r w:rsidRPr="007F356B">
        <w:rPr>
          <w:rStyle w:val="Internetlink"/>
          <w:color w:val="auto"/>
          <w:u w:val="none"/>
        </w:rPr>
        <w:t xml:space="preserve">Nella tabella seguente si riepilogano le </w:t>
      </w:r>
      <w:r w:rsidRPr="007F356B">
        <w:rPr>
          <w:rStyle w:val="Internetlink"/>
          <w:b/>
          <w:bCs/>
          <w:color w:val="auto"/>
          <w:u w:val="none"/>
        </w:rPr>
        <w:t xml:space="preserve">novità </w:t>
      </w:r>
      <w:r w:rsidR="004B7A6F" w:rsidRPr="007F356B">
        <w:rPr>
          <w:rStyle w:val="Internetlink"/>
          <w:b/>
          <w:bCs/>
          <w:color w:val="auto"/>
          <w:u w:val="none"/>
        </w:rPr>
        <w:t>in argomento</w:t>
      </w:r>
      <w:r w:rsidRPr="007F356B">
        <w:rPr>
          <w:rStyle w:val="Internetlink"/>
          <w:color w:val="auto"/>
          <w:u w:val="none"/>
        </w:rPr>
        <w:t>, con riferimento al credito d’imposta per i beni strumentali</w:t>
      </w:r>
      <w:r w:rsidR="0084503E" w:rsidRPr="007F356B">
        <w:rPr>
          <w:rStyle w:val="Internetlink"/>
          <w:color w:val="auto"/>
          <w:u w:val="none"/>
        </w:rPr>
        <w:t xml:space="preserve"> materiali ed immateriali</w:t>
      </w:r>
      <w:r w:rsidR="007B1EB8" w:rsidRPr="007F356B">
        <w:rPr>
          <w:rStyle w:val="Internetlink"/>
          <w:color w:val="auto"/>
          <w:u w:val="none"/>
        </w:rPr>
        <w:t xml:space="preserve"> </w:t>
      </w:r>
      <w:r w:rsidR="007B1EB8" w:rsidRPr="007F356B">
        <w:rPr>
          <w:rStyle w:val="Internetlink"/>
          <w:b/>
          <w:bCs/>
          <w:color w:val="auto"/>
          <w:u w:val="none"/>
        </w:rPr>
        <w:t>per il triennio 2023-2025</w:t>
      </w:r>
      <w:r w:rsidR="007B1EB8" w:rsidRPr="007F356B">
        <w:rPr>
          <w:rStyle w:val="Internetlink"/>
          <w:color w:val="auto"/>
          <w:u w:val="none"/>
        </w:rPr>
        <w:t>.</w:t>
      </w:r>
    </w:p>
    <w:tbl>
      <w:tblPr>
        <w:tblStyle w:val="Grigliatabella"/>
        <w:tblW w:w="0" w:type="auto"/>
        <w:jc w:val="center"/>
        <w:tblLook w:val="04A0" w:firstRow="1" w:lastRow="0" w:firstColumn="1" w:lastColumn="0" w:noHBand="0" w:noVBand="1"/>
      </w:tblPr>
      <w:tblGrid>
        <w:gridCol w:w="2830"/>
        <w:gridCol w:w="6798"/>
      </w:tblGrid>
      <w:tr w:rsidR="007F356B" w:rsidRPr="007F356B" w14:paraId="036FB758" w14:textId="77777777" w:rsidTr="00153960">
        <w:trPr>
          <w:jc w:val="center"/>
        </w:trPr>
        <w:tc>
          <w:tcPr>
            <w:tcW w:w="9628" w:type="dxa"/>
            <w:gridSpan w:val="2"/>
            <w:shd w:val="clear" w:color="auto" w:fill="DBE5F1" w:themeFill="accent1" w:themeFillTint="33"/>
          </w:tcPr>
          <w:p w14:paraId="4F978900" w14:textId="2737C65F" w:rsidR="002C635A" w:rsidRPr="007F356B" w:rsidRDefault="00FF4310" w:rsidP="00596F9E">
            <w:pPr>
              <w:spacing w:before="60" w:after="60" w:line="326" w:lineRule="auto"/>
              <w:jc w:val="center"/>
              <w:rPr>
                <w:rStyle w:val="Internetlink"/>
                <w:b/>
                <w:bCs/>
                <w:color w:val="auto"/>
                <w:u w:val="none"/>
              </w:rPr>
            </w:pPr>
            <w:r w:rsidRPr="007F356B">
              <w:rPr>
                <w:rStyle w:val="Internetlink"/>
                <w:b/>
                <w:bCs/>
                <w:color w:val="auto"/>
                <w:u w:val="none"/>
              </w:rPr>
              <w:t>NOVITÀ IN SINTESI</w:t>
            </w:r>
          </w:p>
        </w:tc>
      </w:tr>
      <w:tr w:rsidR="007F356B" w:rsidRPr="007F356B" w14:paraId="021740EF" w14:textId="77777777" w:rsidTr="00596F9E">
        <w:trPr>
          <w:jc w:val="center"/>
        </w:trPr>
        <w:tc>
          <w:tcPr>
            <w:tcW w:w="2830" w:type="dxa"/>
          </w:tcPr>
          <w:p w14:paraId="71463D7A" w14:textId="440335C3" w:rsidR="00C53C09" w:rsidRPr="007F356B" w:rsidRDefault="00FF4310" w:rsidP="00596F9E">
            <w:pPr>
              <w:spacing w:before="60" w:after="60" w:line="326" w:lineRule="auto"/>
              <w:rPr>
                <w:b/>
                <w:bCs/>
              </w:rPr>
            </w:pPr>
            <w:r w:rsidRPr="007F356B">
              <w:rPr>
                <w:b/>
                <w:bCs/>
              </w:rPr>
              <w:t>BENI MATERIALI 4.0</w:t>
            </w:r>
          </w:p>
          <w:p w14:paraId="58E78E6F" w14:textId="77777777" w:rsidR="009203E6" w:rsidRPr="007F356B" w:rsidRDefault="002B7D71" w:rsidP="00596F9E">
            <w:pPr>
              <w:spacing w:before="60" w:after="60" w:line="326" w:lineRule="auto"/>
              <w:rPr>
                <w:b/>
                <w:bCs/>
              </w:rPr>
            </w:pPr>
            <w:r w:rsidRPr="007F356B">
              <w:rPr>
                <w:b/>
                <w:bCs/>
              </w:rPr>
              <w:t>Proroga fino al 2025</w:t>
            </w:r>
          </w:p>
          <w:p w14:paraId="59E09FC7" w14:textId="2D23450E" w:rsidR="009203E6" w:rsidRPr="007F356B" w:rsidRDefault="009203E6" w:rsidP="00596F9E">
            <w:pPr>
              <w:spacing w:before="60" w:after="60" w:line="326" w:lineRule="auto"/>
              <w:rPr>
                <w:b/>
                <w:bCs/>
              </w:rPr>
            </w:pPr>
            <w:r w:rsidRPr="007F356B">
              <w:rPr>
                <w:b/>
                <w:bCs/>
              </w:rPr>
              <w:t>o</w:t>
            </w:r>
            <w:r w:rsidR="0084503E" w:rsidRPr="007F356B">
              <w:rPr>
                <w:b/>
                <w:bCs/>
              </w:rPr>
              <w:t>vvero</w:t>
            </w:r>
          </w:p>
          <w:p w14:paraId="7CA803C2" w14:textId="0A7C33EC" w:rsidR="002C635A" w:rsidRPr="007F356B" w:rsidRDefault="0084503E" w:rsidP="00596F9E">
            <w:pPr>
              <w:spacing w:before="60" w:after="60" w:line="326" w:lineRule="auto"/>
              <w:rPr>
                <w:rStyle w:val="Internetlink"/>
                <w:b/>
                <w:bCs/>
                <w:color w:val="auto"/>
                <w:u w:val="none"/>
              </w:rPr>
            </w:pPr>
            <w:r w:rsidRPr="007F356B">
              <w:rPr>
                <w:b/>
                <w:bCs/>
              </w:rPr>
              <w:t xml:space="preserve">entro il 30 giugno 2026 </w:t>
            </w:r>
            <w:r w:rsidRPr="007F356B">
              <w:t>qualora l'ordine risulti accettato ed il pagamento degli acconti avvenuto per la quota almeno pari al 20% del costo</w:t>
            </w:r>
          </w:p>
        </w:tc>
        <w:tc>
          <w:tcPr>
            <w:tcW w:w="6798" w:type="dxa"/>
          </w:tcPr>
          <w:p w14:paraId="71B1B7E3" w14:textId="332DEB7D" w:rsidR="002B7D71" w:rsidRPr="007F356B" w:rsidRDefault="002C635A" w:rsidP="00596F9E">
            <w:pPr>
              <w:spacing w:before="60" w:after="60" w:line="326" w:lineRule="auto"/>
              <w:rPr>
                <w:rStyle w:val="Internetlink"/>
                <w:color w:val="auto"/>
                <w:u w:val="none"/>
              </w:rPr>
            </w:pPr>
            <w:r w:rsidRPr="007F356B">
              <w:rPr>
                <w:rStyle w:val="Internetlink"/>
                <w:color w:val="auto"/>
                <w:u w:val="none"/>
              </w:rPr>
              <w:t xml:space="preserve">Il credito d’imposta per i beni strumentali </w:t>
            </w:r>
            <w:r w:rsidR="004B7A6F" w:rsidRPr="007F356B">
              <w:rPr>
                <w:rStyle w:val="Internetlink"/>
                <w:color w:val="auto"/>
                <w:u w:val="none"/>
              </w:rPr>
              <w:t>materiali 4.0 (di cui all’</w:t>
            </w:r>
            <w:r w:rsidR="004B7A6F" w:rsidRPr="007F356B">
              <w:rPr>
                <w:rStyle w:val="Internetlink"/>
                <w:b/>
                <w:bCs/>
                <w:color w:val="auto"/>
                <w:u w:val="none"/>
              </w:rPr>
              <w:t>allegato A</w:t>
            </w:r>
            <w:r w:rsidR="004B7A6F" w:rsidRPr="007F356B">
              <w:rPr>
                <w:rStyle w:val="Internetlink"/>
                <w:color w:val="auto"/>
                <w:u w:val="none"/>
              </w:rPr>
              <w:t xml:space="preserve">, Legge 232/2016) </w:t>
            </w:r>
            <w:r w:rsidRPr="007F356B">
              <w:rPr>
                <w:rStyle w:val="Internetlink"/>
                <w:b/>
                <w:bCs/>
                <w:color w:val="auto"/>
                <w:u w:val="none"/>
              </w:rPr>
              <w:t xml:space="preserve">viene prorogato </w:t>
            </w:r>
            <w:r w:rsidR="002B7D71" w:rsidRPr="007F356B">
              <w:rPr>
                <w:rStyle w:val="Internetlink"/>
                <w:b/>
                <w:bCs/>
                <w:color w:val="auto"/>
                <w:u w:val="none"/>
              </w:rPr>
              <w:t xml:space="preserve">fino </w:t>
            </w:r>
            <w:r w:rsidRPr="007F356B">
              <w:rPr>
                <w:rStyle w:val="Internetlink"/>
                <w:b/>
                <w:bCs/>
                <w:color w:val="auto"/>
                <w:u w:val="none"/>
              </w:rPr>
              <w:t>al 2025</w:t>
            </w:r>
            <w:r w:rsidRPr="007F356B">
              <w:rPr>
                <w:rStyle w:val="Internetlink"/>
                <w:color w:val="auto"/>
                <w:u w:val="none"/>
              </w:rPr>
              <w:t xml:space="preserve"> (</w:t>
            </w:r>
            <w:r w:rsidR="002B7D71" w:rsidRPr="007F356B">
              <w:rPr>
                <w:rStyle w:val="Internetlink"/>
                <w:color w:val="auto"/>
                <w:u w:val="none"/>
              </w:rPr>
              <w:t>oppure fino al 30</w:t>
            </w:r>
            <w:r w:rsidRPr="007F356B">
              <w:rPr>
                <w:rStyle w:val="Internetlink"/>
                <w:color w:val="auto"/>
                <w:u w:val="none"/>
              </w:rPr>
              <w:t xml:space="preserve"> giugno</w:t>
            </w:r>
            <w:r w:rsidR="002B7D71" w:rsidRPr="007F356B">
              <w:rPr>
                <w:rStyle w:val="Internetlink"/>
                <w:color w:val="auto"/>
                <w:u w:val="none"/>
              </w:rPr>
              <w:t xml:space="preserve"> </w:t>
            </w:r>
            <w:r w:rsidRPr="007F356B">
              <w:rPr>
                <w:rStyle w:val="Internetlink"/>
                <w:color w:val="auto"/>
                <w:u w:val="none"/>
              </w:rPr>
              <w:t>2026</w:t>
            </w:r>
            <w:r w:rsidR="002B7D71" w:rsidRPr="007F356B">
              <w:rPr>
                <w:rStyle w:val="Internetlink"/>
                <w:color w:val="auto"/>
                <w:u w:val="none"/>
              </w:rPr>
              <w:t xml:space="preserve">, sempre in presenza di acconti </w:t>
            </w:r>
            <w:r w:rsidR="00944611" w:rsidRPr="007F356B">
              <w:rPr>
                <w:rStyle w:val="Internetlink"/>
                <w:color w:val="auto"/>
                <w:u w:val="none"/>
              </w:rPr>
              <w:t xml:space="preserve">pari almeno al 20% ed ordine </w:t>
            </w:r>
            <w:r w:rsidR="002B7D71" w:rsidRPr="007F356B">
              <w:rPr>
                <w:rStyle w:val="Internetlink"/>
                <w:color w:val="auto"/>
                <w:u w:val="none"/>
              </w:rPr>
              <w:t xml:space="preserve">nel 2025) </w:t>
            </w:r>
            <w:r w:rsidRPr="007F356B">
              <w:rPr>
                <w:rStyle w:val="Internetlink"/>
                <w:b/>
                <w:bCs/>
                <w:color w:val="auto"/>
                <w:u w:val="none"/>
              </w:rPr>
              <w:t>nella misura del</w:t>
            </w:r>
            <w:r w:rsidR="002B7D71" w:rsidRPr="007F356B">
              <w:rPr>
                <w:rStyle w:val="Internetlink"/>
                <w:color w:val="auto"/>
                <w:u w:val="none"/>
              </w:rPr>
              <w:t>:</w:t>
            </w:r>
          </w:p>
          <w:p w14:paraId="75A8C45E" w14:textId="1CC44E8B" w:rsidR="002B7D71" w:rsidRPr="007F356B" w:rsidRDefault="002C635A" w:rsidP="00AE49EC">
            <w:pPr>
              <w:pStyle w:val="Paragrafoelenco"/>
              <w:numPr>
                <w:ilvl w:val="0"/>
                <w:numId w:val="58"/>
              </w:numPr>
              <w:spacing w:before="60" w:after="60" w:line="326" w:lineRule="auto"/>
              <w:rPr>
                <w:rStyle w:val="Internetlink"/>
                <w:b/>
                <w:bCs/>
                <w:color w:val="auto"/>
                <w:u w:val="none"/>
              </w:rPr>
            </w:pPr>
            <w:r w:rsidRPr="007F356B">
              <w:rPr>
                <w:rStyle w:val="Internetlink"/>
                <w:b/>
                <w:bCs/>
                <w:color w:val="auto"/>
                <w:u w:val="none"/>
              </w:rPr>
              <w:t>20%</w:t>
            </w:r>
            <w:r w:rsidRPr="007F356B">
              <w:rPr>
                <w:rStyle w:val="Internetlink"/>
                <w:color w:val="auto"/>
                <w:u w:val="none"/>
              </w:rPr>
              <w:t xml:space="preserve"> per investimenti fino a 2,5 milioni</w:t>
            </w:r>
          </w:p>
          <w:p w14:paraId="37C8117D" w14:textId="52C7FE94" w:rsidR="002B7D71" w:rsidRPr="007F356B" w:rsidRDefault="002C635A" w:rsidP="00AE49EC">
            <w:pPr>
              <w:pStyle w:val="Paragrafoelenco"/>
              <w:numPr>
                <w:ilvl w:val="0"/>
                <w:numId w:val="58"/>
              </w:numPr>
              <w:spacing w:before="60" w:after="60" w:line="326" w:lineRule="auto"/>
              <w:rPr>
                <w:rStyle w:val="Internetlink"/>
                <w:b/>
                <w:bCs/>
                <w:color w:val="auto"/>
                <w:u w:val="none"/>
              </w:rPr>
            </w:pPr>
            <w:r w:rsidRPr="007F356B">
              <w:rPr>
                <w:rStyle w:val="Internetlink"/>
                <w:b/>
                <w:bCs/>
                <w:color w:val="auto"/>
                <w:u w:val="none"/>
              </w:rPr>
              <w:t>10%</w:t>
            </w:r>
            <w:r w:rsidRPr="007F356B">
              <w:rPr>
                <w:rStyle w:val="Internetlink"/>
                <w:color w:val="auto"/>
                <w:u w:val="none"/>
              </w:rPr>
              <w:t xml:space="preserve"> per la quota tra 2,5 e 10 milioni</w:t>
            </w:r>
          </w:p>
          <w:p w14:paraId="4636BF32" w14:textId="77777777" w:rsidR="002C635A" w:rsidRPr="007F356B" w:rsidRDefault="002C635A" w:rsidP="00AE49EC">
            <w:pPr>
              <w:pStyle w:val="Paragrafoelenco"/>
              <w:numPr>
                <w:ilvl w:val="0"/>
                <w:numId w:val="59"/>
              </w:numPr>
              <w:spacing w:before="60" w:after="60" w:line="326" w:lineRule="auto"/>
              <w:rPr>
                <w:rStyle w:val="Internetlink"/>
                <w:color w:val="auto"/>
                <w:u w:val="none"/>
              </w:rPr>
            </w:pPr>
            <w:r w:rsidRPr="007F356B">
              <w:rPr>
                <w:rStyle w:val="Internetlink"/>
                <w:b/>
                <w:bCs/>
                <w:color w:val="auto"/>
                <w:u w:val="none"/>
              </w:rPr>
              <w:t>5%</w:t>
            </w:r>
            <w:r w:rsidR="002B7D71" w:rsidRPr="007F356B">
              <w:rPr>
                <w:rStyle w:val="Internetlink"/>
                <w:color w:val="auto"/>
                <w:u w:val="none"/>
              </w:rPr>
              <w:t xml:space="preserve"> </w:t>
            </w:r>
            <w:r w:rsidRPr="007F356B">
              <w:rPr>
                <w:rStyle w:val="Internetlink"/>
                <w:color w:val="auto"/>
                <w:u w:val="none"/>
              </w:rPr>
              <w:t>per la quota oltre 10 milioni e comunque fino a 20 milioni</w:t>
            </w:r>
          </w:p>
          <w:p w14:paraId="6AB2F2AB" w14:textId="77777777" w:rsidR="004714F7" w:rsidRPr="007F356B" w:rsidRDefault="004714F7" w:rsidP="004714F7">
            <w:pPr>
              <w:spacing w:before="60" w:after="60" w:line="326" w:lineRule="auto"/>
              <w:rPr>
                <w:rStyle w:val="Internetlink"/>
                <w:color w:val="auto"/>
                <w:u w:val="none"/>
              </w:rPr>
            </w:pPr>
          </w:p>
          <w:p w14:paraId="6FD9657C" w14:textId="349538EE" w:rsidR="004714F7" w:rsidRPr="007F356B" w:rsidRDefault="004714F7" w:rsidP="004714F7">
            <w:pPr>
              <w:spacing w:before="60" w:after="60" w:line="326" w:lineRule="auto"/>
              <w:rPr>
                <w:rStyle w:val="Internetlink"/>
                <w:i/>
                <w:iCs/>
                <w:color w:val="auto"/>
                <w:u w:val="none"/>
              </w:rPr>
            </w:pPr>
            <w:r w:rsidRPr="007F356B">
              <w:rPr>
                <w:rStyle w:val="Internetlink"/>
                <w:i/>
                <w:iCs/>
                <w:color w:val="auto"/>
                <w:u w:val="none"/>
              </w:rPr>
              <w:t>Nuovo comma 1057-bis, inserito all’articolo 1, Legge 30 dicembre 2020, n. 178 dall</w:t>
            </w:r>
            <w:r w:rsidR="00F5212D" w:rsidRPr="007F356B">
              <w:rPr>
                <w:rStyle w:val="Internetlink"/>
                <w:i/>
                <w:iCs/>
                <w:color w:val="auto"/>
                <w:u w:val="none"/>
              </w:rPr>
              <w:t xml:space="preserve">’articolo 1, comma 44, lett. b), </w:t>
            </w:r>
            <w:r w:rsidRPr="007F356B">
              <w:rPr>
                <w:rStyle w:val="Internetlink"/>
                <w:i/>
                <w:iCs/>
                <w:color w:val="auto"/>
                <w:u w:val="none"/>
              </w:rPr>
              <w:t xml:space="preserve">Legge di bilancio 2022 </w:t>
            </w:r>
          </w:p>
        </w:tc>
      </w:tr>
      <w:tr w:rsidR="00596F9E" w:rsidRPr="007F356B" w14:paraId="754BCC54" w14:textId="77777777" w:rsidTr="00596F9E">
        <w:trPr>
          <w:jc w:val="center"/>
        </w:trPr>
        <w:tc>
          <w:tcPr>
            <w:tcW w:w="2830" w:type="dxa"/>
          </w:tcPr>
          <w:p w14:paraId="7CF81E87" w14:textId="17FCBCE6" w:rsidR="00C53C09" w:rsidRPr="007F356B" w:rsidRDefault="00FF4310" w:rsidP="00596F9E">
            <w:pPr>
              <w:spacing w:before="60" w:after="60" w:line="326" w:lineRule="auto"/>
              <w:rPr>
                <w:b/>
                <w:bCs/>
              </w:rPr>
            </w:pPr>
            <w:r w:rsidRPr="007F356B">
              <w:rPr>
                <w:b/>
                <w:bCs/>
              </w:rPr>
              <w:t>BENI IMMATERIALI 4.0</w:t>
            </w:r>
          </w:p>
          <w:p w14:paraId="5BBF1FC1" w14:textId="77777777" w:rsidR="002B7D71" w:rsidRPr="007F356B" w:rsidRDefault="00C53C09" w:rsidP="00596F9E">
            <w:pPr>
              <w:spacing w:before="60" w:after="60" w:line="326" w:lineRule="auto"/>
              <w:rPr>
                <w:b/>
                <w:bCs/>
              </w:rPr>
            </w:pPr>
            <w:r w:rsidRPr="007F356B">
              <w:rPr>
                <w:b/>
                <w:bCs/>
              </w:rPr>
              <w:t>Decalage fino al 10% nel 2025</w:t>
            </w:r>
          </w:p>
          <w:p w14:paraId="35808A55" w14:textId="77777777" w:rsidR="009203E6" w:rsidRPr="007F356B" w:rsidRDefault="009203E6" w:rsidP="00596F9E">
            <w:pPr>
              <w:spacing w:before="60" w:after="60" w:line="326" w:lineRule="auto"/>
              <w:rPr>
                <w:rStyle w:val="Internetlink"/>
                <w:b/>
                <w:bCs/>
                <w:color w:val="auto"/>
                <w:u w:val="none"/>
              </w:rPr>
            </w:pPr>
            <w:r w:rsidRPr="007F356B">
              <w:rPr>
                <w:rStyle w:val="Internetlink"/>
                <w:b/>
                <w:bCs/>
                <w:color w:val="auto"/>
                <w:u w:val="none"/>
              </w:rPr>
              <w:t>ovvero</w:t>
            </w:r>
          </w:p>
          <w:p w14:paraId="39F751E3" w14:textId="0624B7F8" w:rsidR="009203E6" w:rsidRPr="007F356B" w:rsidRDefault="009203E6" w:rsidP="00596F9E">
            <w:pPr>
              <w:spacing w:before="60" w:after="60" w:line="326" w:lineRule="auto"/>
              <w:rPr>
                <w:rStyle w:val="Internetlink"/>
                <w:color w:val="auto"/>
                <w:u w:val="none"/>
              </w:rPr>
            </w:pPr>
            <w:r w:rsidRPr="007F356B">
              <w:rPr>
                <w:rStyle w:val="Internetlink"/>
                <w:b/>
                <w:bCs/>
                <w:color w:val="auto"/>
                <w:u w:val="none"/>
              </w:rPr>
              <w:t xml:space="preserve">fino al 30 giugno 2026, </w:t>
            </w:r>
            <w:r w:rsidRPr="007F356B">
              <w:rPr>
                <w:rStyle w:val="Internetlink"/>
                <w:color w:val="auto"/>
                <w:u w:val="none"/>
              </w:rPr>
              <w:t xml:space="preserve">qualora l'ordine di acquisto </w:t>
            </w:r>
            <w:r w:rsidRPr="007F356B">
              <w:rPr>
                <w:rStyle w:val="Internetlink"/>
                <w:color w:val="auto"/>
                <w:u w:val="none"/>
              </w:rPr>
              <w:lastRenderedPageBreak/>
              <w:t>sia stato accettato ed il pagamento degli acconti avvenuto fino almeno al 20% del costo</w:t>
            </w:r>
          </w:p>
        </w:tc>
        <w:tc>
          <w:tcPr>
            <w:tcW w:w="6798" w:type="dxa"/>
          </w:tcPr>
          <w:p w14:paraId="39B9373E" w14:textId="130290AE" w:rsidR="006A4B55" w:rsidRPr="007F356B" w:rsidRDefault="006A4B55" w:rsidP="00596F9E">
            <w:pPr>
              <w:spacing w:before="60" w:after="60" w:line="326" w:lineRule="auto"/>
            </w:pPr>
            <w:r w:rsidRPr="007F356B">
              <w:lastRenderedPageBreak/>
              <w:t xml:space="preserve">Viene </w:t>
            </w:r>
            <w:r w:rsidRPr="007F356B">
              <w:rPr>
                <w:b/>
                <w:bCs/>
              </w:rPr>
              <w:t>prorogato di un anno</w:t>
            </w:r>
            <w:r w:rsidRPr="007F356B">
              <w:t>, cioè</w:t>
            </w:r>
            <w:r w:rsidRPr="007F356B">
              <w:rPr>
                <w:b/>
                <w:bCs/>
              </w:rPr>
              <w:t xml:space="preserve"> fino al 31 dicembre 2023</w:t>
            </w:r>
            <w:r w:rsidRPr="007F356B">
              <w:t xml:space="preserve"> (in luogo del 2022), </w:t>
            </w:r>
            <w:r w:rsidRPr="007F356B">
              <w:rPr>
                <w:b/>
                <w:bCs/>
              </w:rPr>
              <w:t>il credito d'imposta attualmente riconosciuto per i beni immateriali 4.0</w:t>
            </w:r>
            <w:r w:rsidR="004714F7" w:rsidRPr="007F356B">
              <w:t xml:space="preserve"> (di cui all’</w:t>
            </w:r>
            <w:r w:rsidR="004714F7" w:rsidRPr="007F356B">
              <w:rPr>
                <w:b/>
                <w:bCs/>
              </w:rPr>
              <w:t>allegato B</w:t>
            </w:r>
            <w:r w:rsidR="004714F7" w:rsidRPr="007F356B">
              <w:t>, Legge 232/2016)</w:t>
            </w:r>
            <w:r w:rsidRPr="007F356B">
              <w:t xml:space="preserve"> lasciando inalterato il vigente regime applicativo.</w:t>
            </w:r>
          </w:p>
          <w:p w14:paraId="1C83C66F" w14:textId="5634BC4A" w:rsidR="006A4B55" w:rsidRPr="007F356B" w:rsidRDefault="006A4B55" w:rsidP="00596F9E">
            <w:pPr>
              <w:spacing w:before="60" w:after="60" w:line="326" w:lineRule="auto"/>
            </w:pPr>
            <w:r w:rsidRPr="007F356B">
              <w:t>Tuttavia, un'ulteriore modifica è apportata con</w:t>
            </w:r>
            <w:r w:rsidRPr="007F356B">
              <w:rPr>
                <w:b/>
                <w:bCs/>
              </w:rPr>
              <w:t xml:space="preserve"> </w:t>
            </w:r>
            <w:r w:rsidRPr="007F356B">
              <w:t xml:space="preserve">riferimento al limite massimo di costi ammissibili che ora viene </w:t>
            </w:r>
            <w:r w:rsidR="006C32E0" w:rsidRPr="007F356B">
              <w:t>specificato</w:t>
            </w:r>
            <w:r w:rsidRPr="007F356B">
              <w:t xml:space="preserve"> </w:t>
            </w:r>
            <w:r w:rsidR="006C32E0" w:rsidRPr="007F356B">
              <w:rPr>
                <w:b/>
                <w:bCs/>
              </w:rPr>
              <w:t>come</w:t>
            </w:r>
            <w:r w:rsidRPr="007F356B">
              <w:rPr>
                <w:b/>
                <w:bCs/>
              </w:rPr>
              <w:t xml:space="preserve"> limite </w:t>
            </w:r>
            <w:r w:rsidRPr="007F356B">
              <w:rPr>
                <w:b/>
                <w:bCs/>
              </w:rPr>
              <w:lastRenderedPageBreak/>
              <w:t>massimo annuale</w:t>
            </w:r>
            <w:r w:rsidRPr="007F356B">
              <w:t xml:space="preserve"> (nella vigente disciplina non si rinvengono </w:t>
            </w:r>
            <w:r w:rsidR="006C32E0" w:rsidRPr="007F356B">
              <w:t>dettagli</w:t>
            </w:r>
            <w:r w:rsidRPr="007F356B">
              <w:t xml:space="preserve"> circa la fruibilità annuale).</w:t>
            </w:r>
          </w:p>
          <w:p w14:paraId="3916F2A3" w14:textId="611C5D8B" w:rsidR="006A4B55" w:rsidRPr="007F356B" w:rsidRDefault="009203E6" w:rsidP="00596F9E">
            <w:pPr>
              <w:spacing w:before="60" w:after="60" w:line="326" w:lineRule="auto"/>
            </w:pPr>
            <w:r w:rsidRPr="007F356B">
              <w:t>In seguito,</w:t>
            </w:r>
            <w:r w:rsidR="006A4B55" w:rsidRPr="007F356B">
              <w:t xml:space="preserve"> il credito </w:t>
            </w:r>
            <w:r w:rsidR="006A4B55" w:rsidRPr="007F356B">
              <w:rPr>
                <w:b/>
                <w:bCs/>
              </w:rPr>
              <w:t>viene gradualmente ridotto</w:t>
            </w:r>
            <w:r w:rsidR="006A4B55" w:rsidRPr="007F356B">
              <w:t xml:space="preserve">, </w:t>
            </w:r>
            <w:r w:rsidR="00F5212D" w:rsidRPr="007F356B">
              <w:t>per gli investimenti effettuati</w:t>
            </w:r>
            <w:r w:rsidR="006A4B55" w:rsidRPr="007F356B">
              <w:t>:</w:t>
            </w:r>
          </w:p>
          <w:p w14:paraId="5D1AFB05" w14:textId="6DA47520" w:rsidR="00C53C09" w:rsidRPr="007F356B" w:rsidRDefault="00C53C09" w:rsidP="00AE49EC">
            <w:pPr>
              <w:pStyle w:val="Paragrafoelenco"/>
              <w:numPr>
                <w:ilvl w:val="0"/>
                <w:numId w:val="59"/>
              </w:numPr>
              <w:spacing w:before="60" w:after="60" w:line="326" w:lineRule="auto"/>
              <w:rPr>
                <w:b/>
                <w:bCs/>
              </w:rPr>
            </w:pPr>
            <w:r w:rsidRPr="007F356B">
              <w:rPr>
                <w:b/>
                <w:bCs/>
              </w:rPr>
              <w:t xml:space="preserve">fino al </w:t>
            </w:r>
            <w:r w:rsidR="00F5212D" w:rsidRPr="007F356B">
              <w:rPr>
                <w:b/>
                <w:bCs/>
              </w:rPr>
              <w:t xml:space="preserve">31 dicembre </w:t>
            </w:r>
            <w:r w:rsidRPr="007F356B">
              <w:rPr>
                <w:b/>
                <w:bCs/>
              </w:rPr>
              <w:t xml:space="preserve">2023 </w:t>
            </w:r>
            <w:r w:rsidR="00F5212D" w:rsidRPr="007F356B">
              <w:rPr>
                <w:b/>
                <w:bCs/>
              </w:rPr>
              <w:t>(ovvero entro il 30 giugno 2024,</w:t>
            </w:r>
            <w:r w:rsidR="00F5212D" w:rsidRPr="007F356B">
              <w:t xml:space="preserve"> </w:t>
            </w:r>
            <w:r w:rsidR="00F5212D" w:rsidRPr="007F356B">
              <w:rPr>
                <w:b/>
                <w:bCs/>
              </w:rPr>
              <w:t xml:space="preserve">in presenza di acconti </w:t>
            </w:r>
            <w:r w:rsidR="00944611" w:rsidRPr="007F356B">
              <w:rPr>
                <w:b/>
                <w:bCs/>
              </w:rPr>
              <w:t xml:space="preserve">pari almeno al 20% ed ordine </w:t>
            </w:r>
            <w:r w:rsidR="00F5212D" w:rsidRPr="007F356B">
              <w:rPr>
                <w:b/>
                <w:bCs/>
              </w:rPr>
              <w:t>nel 2023)</w:t>
            </w:r>
            <w:r w:rsidR="00FD4233" w:rsidRPr="007F356B">
              <w:rPr>
                <w:b/>
                <w:bCs/>
              </w:rPr>
              <w:t>.</w:t>
            </w:r>
            <w:r w:rsidR="00F5212D" w:rsidRPr="007F356B">
              <w:rPr>
                <w:b/>
                <w:bCs/>
              </w:rPr>
              <w:t xml:space="preserve"> </w:t>
            </w:r>
            <w:r w:rsidR="00FD4233" w:rsidRPr="007F356B">
              <w:rPr>
                <w:b/>
                <w:bCs/>
              </w:rPr>
              <w:t>Il</w:t>
            </w:r>
            <w:r w:rsidR="009179D6" w:rsidRPr="007F356B">
              <w:rPr>
                <w:b/>
                <w:bCs/>
              </w:rPr>
              <w:t xml:space="preserve"> </w:t>
            </w:r>
            <w:r w:rsidRPr="007F356B">
              <w:rPr>
                <w:b/>
                <w:bCs/>
              </w:rPr>
              <w:t xml:space="preserve">credito d’imposta </w:t>
            </w:r>
            <w:r w:rsidR="00FD4233" w:rsidRPr="007F356B">
              <w:rPr>
                <w:b/>
                <w:bCs/>
              </w:rPr>
              <w:t xml:space="preserve">resta nella misura </w:t>
            </w:r>
            <w:r w:rsidR="009179D6" w:rsidRPr="007F356B">
              <w:rPr>
                <w:b/>
                <w:bCs/>
              </w:rPr>
              <w:t>del</w:t>
            </w:r>
            <w:r w:rsidRPr="007F356B">
              <w:rPr>
                <w:b/>
                <w:bCs/>
              </w:rPr>
              <w:t xml:space="preserve"> 20%</w:t>
            </w:r>
            <w:r w:rsidRPr="007F356B">
              <w:t xml:space="preserve"> </w:t>
            </w:r>
            <w:r w:rsidR="006A4B55" w:rsidRPr="007F356B">
              <w:t>(</w:t>
            </w:r>
            <w:r w:rsidR="009179D6" w:rsidRPr="007F356B">
              <w:t>come negli</w:t>
            </w:r>
            <w:r w:rsidR="004714F7" w:rsidRPr="007F356B">
              <w:t xml:space="preserve"> anni 2021 e</w:t>
            </w:r>
            <w:r w:rsidR="006A4B55" w:rsidRPr="007F356B">
              <w:t xml:space="preserve"> 2022)</w:t>
            </w:r>
          </w:p>
          <w:p w14:paraId="2434DD2A" w14:textId="5BB5BF74" w:rsidR="004714F7" w:rsidRPr="007F356B" w:rsidRDefault="004714F7" w:rsidP="004714F7">
            <w:pPr>
              <w:pStyle w:val="Paragrafoelenco"/>
              <w:spacing w:before="60" w:after="60" w:line="326" w:lineRule="auto"/>
            </w:pPr>
            <w:r w:rsidRPr="007F356B">
              <w:rPr>
                <w:i/>
                <w:iCs/>
              </w:rPr>
              <w:t xml:space="preserve">comma 1058, articolo 1, Legge 30 dicembre 2020, n. 178 </w:t>
            </w:r>
            <w:r w:rsidR="001A6568" w:rsidRPr="007F356B">
              <w:rPr>
                <w:i/>
                <w:iCs/>
              </w:rPr>
              <w:t>riscritto dall’articolo 1, comma 44, lett. c)</w:t>
            </w:r>
            <w:r w:rsidR="00F5212D" w:rsidRPr="007F356B">
              <w:rPr>
                <w:i/>
                <w:iCs/>
              </w:rPr>
              <w:t>,</w:t>
            </w:r>
            <w:r w:rsidRPr="007F356B">
              <w:rPr>
                <w:i/>
                <w:iCs/>
              </w:rPr>
              <w:t xml:space="preserve"> Legge di bilancio 2022</w:t>
            </w:r>
          </w:p>
          <w:p w14:paraId="05107E19" w14:textId="0BE4AFE1" w:rsidR="00C53C09" w:rsidRPr="007F356B" w:rsidRDefault="00FD4233" w:rsidP="00AE49EC">
            <w:pPr>
              <w:pStyle w:val="Paragrafoelenco"/>
              <w:numPr>
                <w:ilvl w:val="0"/>
                <w:numId w:val="59"/>
              </w:numPr>
              <w:spacing w:before="60" w:after="60" w:line="326" w:lineRule="auto"/>
              <w:rPr>
                <w:b/>
                <w:bCs/>
              </w:rPr>
            </w:pPr>
            <w:r w:rsidRPr="007F356B">
              <w:rPr>
                <w:b/>
                <w:bCs/>
              </w:rPr>
              <w:t xml:space="preserve">fino al 31 dicembre </w:t>
            </w:r>
            <w:r w:rsidR="00C53C09" w:rsidRPr="007F356B">
              <w:rPr>
                <w:b/>
                <w:bCs/>
              </w:rPr>
              <w:t xml:space="preserve">2024 </w:t>
            </w:r>
            <w:r w:rsidRPr="007F356B">
              <w:rPr>
                <w:b/>
                <w:bCs/>
              </w:rPr>
              <w:t>(ovvero entro il 30 giugno 2025,</w:t>
            </w:r>
            <w:r w:rsidRPr="007F356B">
              <w:t xml:space="preserve"> </w:t>
            </w:r>
            <w:r w:rsidRPr="007F356B">
              <w:rPr>
                <w:b/>
                <w:bCs/>
              </w:rPr>
              <w:t>in presenza di acconti pari almeno al 20% ed ordine nel 2024)</w:t>
            </w:r>
            <w:r w:rsidR="008A0FCC" w:rsidRPr="007F356B">
              <w:rPr>
                <w:b/>
                <w:bCs/>
              </w:rPr>
              <w:t xml:space="preserve">. Il credito d’imposta </w:t>
            </w:r>
            <w:r w:rsidR="00C53C09" w:rsidRPr="007F356B">
              <w:rPr>
                <w:b/>
                <w:bCs/>
              </w:rPr>
              <w:t>scende al 15%</w:t>
            </w:r>
          </w:p>
          <w:p w14:paraId="2EB2BCB7" w14:textId="2BD1315F" w:rsidR="00F5212D" w:rsidRPr="007F356B" w:rsidRDefault="004F0691" w:rsidP="00F5212D">
            <w:pPr>
              <w:pStyle w:val="Paragrafoelenco"/>
              <w:spacing w:before="60" w:after="60" w:line="326" w:lineRule="auto"/>
            </w:pPr>
            <w:r w:rsidRPr="007F356B">
              <w:rPr>
                <w:rStyle w:val="Internetlink"/>
                <w:i/>
                <w:iCs/>
                <w:color w:val="auto"/>
                <w:u w:val="none"/>
              </w:rPr>
              <w:t>n</w:t>
            </w:r>
            <w:r w:rsidR="00F5212D" w:rsidRPr="007F356B">
              <w:rPr>
                <w:rStyle w:val="Internetlink"/>
                <w:i/>
                <w:iCs/>
                <w:color w:val="auto"/>
                <w:u w:val="none"/>
              </w:rPr>
              <w:t>uovo comma 1058-bis, inserito all’articolo 1, Legge 30 dicembre 2020, n. 178 dall’articolo 1, comma 44, lett. d), Legge di bilancio 2022</w:t>
            </w:r>
          </w:p>
          <w:p w14:paraId="4742A8C2" w14:textId="1E5A450D" w:rsidR="002140D4" w:rsidRPr="007F356B" w:rsidRDefault="002140D4" w:rsidP="002140D4">
            <w:pPr>
              <w:pStyle w:val="Paragrafoelenco"/>
              <w:numPr>
                <w:ilvl w:val="0"/>
                <w:numId w:val="59"/>
              </w:numPr>
              <w:spacing w:before="60" w:after="60" w:line="326" w:lineRule="auto"/>
              <w:rPr>
                <w:b/>
                <w:bCs/>
              </w:rPr>
            </w:pPr>
            <w:r w:rsidRPr="007F356B">
              <w:rPr>
                <w:b/>
                <w:bCs/>
              </w:rPr>
              <w:t>fino al 31 dicembre 2025 (ovvero entro il 30 giugno 2026,</w:t>
            </w:r>
            <w:r w:rsidRPr="007F356B">
              <w:t xml:space="preserve"> </w:t>
            </w:r>
            <w:r w:rsidRPr="007F356B">
              <w:rPr>
                <w:b/>
                <w:bCs/>
              </w:rPr>
              <w:t>in presenza di acconti pari almeno al 20% ed ordine nel 2025). Il credito d’imposta passa infine al 10%</w:t>
            </w:r>
          </w:p>
          <w:p w14:paraId="600D3234" w14:textId="5F7C928F" w:rsidR="002B7D71" w:rsidRPr="007F356B" w:rsidRDefault="004F0691" w:rsidP="002140D4">
            <w:pPr>
              <w:pStyle w:val="Paragrafoelenco"/>
              <w:spacing w:before="60" w:after="60" w:line="326" w:lineRule="auto"/>
              <w:rPr>
                <w:rStyle w:val="Internetlink"/>
                <w:i/>
                <w:iCs/>
                <w:color w:val="auto"/>
              </w:rPr>
            </w:pPr>
            <w:r w:rsidRPr="007F356B">
              <w:rPr>
                <w:rStyle w:val="Internetlink"/>
                <w:i/>
                <w:iCs/>
                <w:color w:val="auto"/>
                <w:u w:val="none"/>
              </w:rPr>
              <w:t>n</w:t>
            </w:r>
            <w:r w:rsidR="002140D4" w:rsidRPr="007F356B">
              <w:rPr>
                <w:rStyle w:val="Internetlink"/>
                <w:i/>
                <w:iCs/>
                <w:color w:val="auto"/>
                <w:u w:val="none"/>
              </w:rPr>
              <w:t>uovo comma 1058-ter, inserito all’articolo 1, Legge 30 dicembre 2020, n. 178 dall’articolo 1, comma 44, lett. d), Legge di bilancio 2022</w:t>
            </w:r>
          </w:p>
        </w:tc>
      </w:tr>
    </w:tbl>
    <w:p w14:paraId="38F1CC33" w14:textId="77777777" w:rsidR="002C635A" w:rsidRPr="007F356B" w:rsidRDefault="002C635A" w:rsidP="00C70B24">
      <w:pPr>
        <w:spacing w:line="360" w:lineRule="auto"/>
        <w:jc w:val="both"/>
        <w:rPr>
          <w:rStyle w:val="Internetlink"/>
          <w:color w:val="auto"/>
          <w:u w:val="none"/>
        </w:rPr>
      </w:pPr>
    </w:p>
    <w:p w14:paraId="28E67E4B" w14:textId="0BADAABA" w:rsidR="00793EA1" w:rsidRDefault="000748CC" w:rsidP="00A06F68">
      <w:pPr>
        <w:spacing w:line="360" w:lineRule="auto"/>
        <w:ind w:left="1416"/>
        <w:jc w:val="both"/>
      </w:pPr>
      <w:r w:rsidRPr="007F356B">
        <w:rPr>
          <w:b/>
          <w:bCs/>
          <w:noProof/>
        </w:rPr>
        <w:drawing>
          <wp:anchor distT="0" distB="0" distL="114300" distR="114300" simplePos="0" relativeHeight="251765248" behindDoc="0" locked="0" layoutInCell="1" allowOverlap="1" wp14:anchorId="7E6AD46B" wp14:editId="6CEDD609">
            <wp:simplePos x="0" y="0"/>
            <wp:positionH relativeFrom="column">
              <wp:posOffset>-104775</wp:posOffset>
            </wp:positionH>
            <wp:positionV relativeFrom="paragraph">
              <wp:posOffset>0</wp:posOffset>
            </wp:positionV>
            <wp:extent cx="914400" cy="914400"/>
            <wp:effectExtent l="0" t="0" r="0" b="0"/>
            <wp:wrapSquare wrapText="bothSides"/>
            <wp:docPr id="18" name="Elemento grafico 18"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A05F19" w:rsidRPr="007F356B">
        <w:rPr>
          <w:b/>
          <w:bCs/>
        </w:rPr>
        <w:t>Non è stata prevista</w:t>
      </w:r>
      <w:r w:rsidR="00A05F19" w:rsidRPr="007F356B">
        <w:t xml:space="preserve">, invece, </w:t>
      </w:r>
      <w:r w:rsidR="00A05F19" w:rsidRPr="007F356B">
        <w:rPr>
          <w:b/>
          <w:bCs/>
        </w:rPr>
        <w:t>la</w:t>
      </w:r>
      <w:r w:rsidR="009203E6" w:rsidRPr="007F356B">
        <w:rPr>
          <w:b/>
          <w:bCs/>
        </w:rPr>
        <w:t xml:space="preserve"> proroga </w:t>
      </w:r>
      <w:r w:rsidR="00A05F19" w:rsidRPr="007F356B">
        <w:rPr>
          <w:b/>
          <w:bCs/>
        </w:rPr>
        <w:t>del</w:t>
      </w:r>
      <w:r w:rsidR="009203E6" w:rsidRPr="007F356B">
        <w:rPr>
          <w:b/>
          <w:bCs/>
        </w:rPr>
        <w:t xml:space="preserve"> credito d’imposta spettante </w:t>
      </w:r>
      <w:r w:rsidR="00A05F19" w:rsidRPr="007F356B">
        <w:rPr>
          <w:b/>
          <w:bCs/>
        </w:rPr>
        <w:t>per i</w:t>
      </w:r>
      <w:r w:rsidR="009203E6" w:rsidRPr="007F356B">
        <w:rPr>
          <w:b/>
          <w:bCs/>
        </w:rPr>
        <w:t xml:space="preserve"> beni strumentali material</w:t>
      </w:r>
      <w:r w:rsidR="00780121" w:rsidRPr="007F356B">
        <w:rPr>
          <w:b/>
          <w:bCs/>
        </w:rPr>
        <w:t>i</w:t>
      </w:r>
      <w:r w:rsidR="009203E6" w:rsidRPr="007F356B">
        <w:rPr>
          <w:b/>
          <w:bCs/>
        </w:rPr>
        <w:t xml:space="preserve"> ed immateriali NON 4.0</w:t>
      </w:r>
      <w:r w:rsidR="009203E6" w:rsidRPr="007F356B">
        <w:t xml:space="preserve"> che, pertanto, </w:t>
      </w:r>
      <w:r w:rsidR="00FF4310" w:rsidRPr="007F356B">
        <w:rPr>
          <w:b/>
          <w:bCs/>
        </w:rPr>
        <w:t>terminerà il 31 dicembre 2022</w:t>
      </w:r>
      <w:r w:rsidR="00A06F68" w:rsidRPr="007F356B">
        <w:t xml:space="preserve"> (oppure il 30 giugno 2023, salvo </w:t>
      </w:r>
      <w:r w:rsidR="00A06F68">
        <w:t>pagamento acconti del 20% e ordine entro fine 2022)</w:t>
      </w:r>
      <w:r w:rsidR="00FF4310">
        <w:t>.</w:t>
      </w:r>
    </w:p>
    <w:p w14:paraId="28417DBF" w14:textId="77777777" w:rsidR="00332DA6" w:rsidRDefault="00332DA6">
      <w:pPr>
        <w:spacing w:after="0" w:line="240" w:lineRule="auto"/>
        <w:rPr>
          <w:rStyle w:val="Internetlink"/>
          <w:rFonts w:cs="Tahoma"/>
          <w:bCs/>
          <w:color w:val="auto"/>
          <w:szCs w:val="20"/>
          <w:u w:val="none"/>
        </w:rPr>
        <w:sectPr w:rsidR="00332DA6" w:rsidSect="00A90ED0">
          <w:pgSz w:w="11906" w:h="16838"/>
          <w:pgMar w:top="833" w:right="1134" w:bottom="1134" w:left="1134" w:header="708" w:footer="708" w:gutter="0"/>
          <w:cols w:space="708"/>
          <w:titlePg/>
          <w:docGrid w:linePitch="360"/>
        </w:sectPr>
      </w:pPr>
    </w:p>
    <w:p w14:paraId="2D320FA6" w14:textId="477A9F25" w:rsidR="00765CBE" w:rsidRPr="00380A75" w:rsidRDefault="00332DA6" w:rsidP="00765CBE">
      <w:pPr>
        <w:shd w:val="clear" w:color="auto" w:fill="FFFFFF"/>
        <w:spacing w:before="120" w:after="0" w:line="240" w:lineRule="auto"/>
        <w:jc w:val="center"/>
        <w:rPr>
          <w:b/>
          <w:bCs/>
          <w:sz w:val="32"/>
          <w:szCs w:val="32"/>
        </w:rPr>
      </w:pPr>
      <w:bookmarkStart w:id="42" w:name="_Hlk89941735"/>
      <w:r>
        <w:rPr>
          <w:b/>
          <w:bCs/>
          <w:sz w:val="32"/>
          <w:szCs w:val="32"/>
        </w:rPr>
        <w:lastRenderedPageBreak/>
        <w:t>5.</w:t>
      </w:r>
    </w:p>
    <w:bookmarkStart w:id="43" w:name="_Toc88934869"/>
    <w:bookmarkStart w:id="44" w:name="_Toc90462750"/>
    <w:bookmarkStart w:id="45" w:name="_Toc93327723"/>
    <w:p w14:paraId="748F1085" w14:textId="5205169E" w:rsidR="00765CBE" w:rsidRDefault="00765CBE" w:rsidP="00765CBE">
      <w:pPr>
        <w:pStyle w:val="Titolo"/>
      </w:pPr>
      <w:r>
        <w:rPr>
          <w:noProof/>
        </w:rPr>
        <mc:AlternateContent>
          <mc:Choice Requires="wps">
            <w:drawing>
              <wp:anchor distT="4294967291" distB="4294967291" distL="114300" distR="114300" simplePos="0" relativeHeight="251767296" behindDoc="0" locked="0" layoutInCell="1" allowOverlap="1" wp14:anchorId="51179CF3" wp14:editId="11ECE4F5">
                <wp:simplePos x="0" y="0"/>
                <wp:positionH relativeFrom="margin">
                  <wp:align>center</wp:align>
                </wp:positionH>
                <wp:positionV relativeFrom="paragraph">
                  <wp:posOffset>80118</wp:posOffset>
                </wp:positionV>
                <wp:extent cx="2438400" cy="0"/>
                <wp:effectExtent l="0" t="0" r="0" b="0"/>
                <wp:wrapNone/>
                <wp:docPr id="5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3F678F9" id="_x0000_t32" coordsize="21600,21600" o:spt="32" o:oned="t" path="m,l21600,21600e" filled="f">
                <v:path arrowok="t" fillok="f" o:connecttype="none"/>
                <o:lock v:ext="edit" shapetype="t"/>
              </v:shapetype>
              <v:shape id="AutoShape 120" o:spid="_x0000_s1026" type="#_x0000_t32" style="position:absolute;margin-left:0;margin-top:6.3pt;width:192pt;height:0;z-index:251767296;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t>Moment</w:t>
      </w:r>
      <w:r w:rsidR="00391D4D">
        <w:t>o di fruizione del beneficio</w:t>
      </w:r>
      <w:bookmarkEnd w:id="43"/>
      <w:bookmarkEnd w:id="44"/>
      <w:bookmarkEnd w:id="45"/>
    </w:p>
    <w:p w14:paraId="6EB9057E" w14:textId="77777777" w:rsidR="00765CBE" w:rsidRPr="00765CBE" w:rsidRDefault="00765CBE" w:rsidP="00332DA6">
      <w:pPr>
        <w:rPr>
          <w:lang w:eastAsia="it-IT"/>
        </w:rPr>
      </w:pPr>
    </w:p>
    <w:p w14:paraId="2F79A784" w14:textId="1E3452F7" w:rsidR="00765CBE" w:rsidRDefault="00765CBE" w:rsidP="00332DA6"/>
    <w:p w14:paraId="585F7D1F" w14:textId="624FF6F9" w:rsidR="003F44DB" w:rsidRDefault="003F44DB" w:rsidP="00332DA6"/>
    <w:p w14:paraId="30C29569" w14:textId="6C441891" w:rsidR="003F44DB" w:rsidRDefault="003F44DB" w:rsidP="00332DA6"/>
    <w:p w14:paraId="0B6F6253" w14:textId="6038D8F7" w:rsidR="003F44DB" w:rsidRDefault="003F44DB" w:rsidP="00332DA6"/>
    <w:p w14:paraId="4CB86547" w14:textId="77777777" w:rsidR="003F44DB" w:rsidRPr="003F44DB" w:rsidRDefault="003F44DB" w:rsidP="00332DA6"/>
    <w:p w14:paraId="691C4DB0" w14:textId="079353B2" w:rsidR="00765CBE" w:rsidRPr="002247B4" w:rsidRDefault="0048432D" w:rsidP="00765CBE">
      <w:pPr>
        <w:pStyle w:val="Titolo2"/>
      </w:pPr>
      <w:bookmarkStart w:id="46" w:name="_Toc88934870"/>
      <w:bookmarkStart w:id="47" w:name="_Toc90462751"/>
      <w:bookmarkStart w:id="48" w:name="_Toc93327724"/>
      <w:bookmarkEnd w:id="42"/>
      <w:r>
        <w:t>5</w:t>
      </w:r>
      <w:r w:rsidR="00765CBE" w:rsidRPr="002247B4">
        <w:t xml:space="preserve">.1 </w:t>
      </w:r>
      <w:r w:rsidR="00765CBE">
        <w:t>Effettuazione</w:t>
      </w:r>
      <w:bookmarkEnd w:id="46"/>
      <w:r w:rsidR="00765CBE">
        <w:t xml:space="preserve"> investimento tra acquisto e leasing</w:t>
      </w:r>
      <w:bookmarkEnd w:id="47"/>
      <w:bookmarkEnd w:id="48"/>
      <w:r w:rsidR="003F44DB" w:rsidRPr="003F44DB">
        <w:rPr>
          <w:rFonts w:cs="Tahoma"/>
          <w:b w:val="0"/>
          <w:color w:val="FF0000"/>
          <w:szCs w:val="20"/>
          <w:highlight w:val="yellow"/>
        </w:rPr>
        <w:t xml:space="preserve"> </w:t>
      </w:r>
    </w:p>
    <w:p w14:paraId="7DDD57DD" w14:textId="3C659433" w:rsidR="00765CBE" w:rsidRPr="0048432D" w:rsidRDefault="00765CBE" w:rsidP="00765CBE">
      <w:pPr>
        <w:shd w:val="clear" w:color="auto" w:fill="FFFFFF"/>
        <w:spacing w:line="360" w:lineRule="auto"/>
        <w:jc w:val="both"/>
        <w:rPr>
          <w:rFonts w:cs="Tahoma"/>
          <w:b/>
          <w:szCs w:val="20"/>
        </w:rPr>
      </w:pPr>
      <w:r w:rsidRPr="0045695E">
        <w:rPr>
          <w:rFonts w:cs="Tahoma"/>
          <w:bCs/>
          <w:szCs w:val="20"/>
        </w:rPr>
        <w:t xml:space="preserve">Il riconoscimento dell’agevolazione dipende dal momento in cui gli </w:t>
      </w:r>
      <w:r w:rsidRPr="0045695E">
        <w:rPr>
          <w:rFonts w:cs="Tahoma"/>
          <w:b/>
          <w:szCs w:val="20"/>
        </w:rPr>
        <w:t>investimenti in beni strumentali sono effettuati</w:t>
      </w:r>
      <w:r w:rsidRPr="0045695E">
        <w:rPr>
          <w:rFonts w:cs="Tahoma"/>
          <w:bCs/>
          <w:szCs w:val="20"/>
        </w:rPr>
        <w:t>.</w:t>
      </w:r>
    </w:p>
    <w:p w14:paraId="2F80ADF3" w14:textId="59779DEC" w:rsidR="00765CBE" w:rsidRPr="007F356B" w:rsidRDefault="00765CBE" w:rsidP="00765CBE">
      <w:pPr>
        <w:shd w:val="clear" w:color="auto" w:fill="FFFFFF"/>
        <w:spacing w:line="360" w:lineRule="auto"/>
        <w:jc w:val="both"/>
        <w:rPr>
          <w:rFonts w:cs="Tahoma"/>
          <w:bCs/>
          <w:szCs w:val="20"/>
        </w:rPr>
      </w:pPr>
      <w:bookmarkStart w:id="49" w:name="_Toc536529352"/>
      <w:bookmarkStart w:id="50" w:name="_Toc87446601"/>
      <w:bookmarkStart w:id="51" w:name="_Toc87446742"/>
      <w:bookmarkStart w:id="52" w:name="_Toc88934871"/>
      <w:r>
        <w:rPr>
          <w:rFonts w:cs="Tahoma"/>
          <w:bCs/>
          <w:szCs w:val="20"/>
        </w:rPr>
        <w:t xml:space="preserve">Il </w:t>
      </w:r>
      <w:r w:rsidRPr="007F356B">
        <w:rPr>
          <w:rFonts w:cs="Tahoma"/>
          <w:bCs/>
          <w:szCs w:val="20"/>
        </w:rPr>
        <w:t xml:space="preserve">credito di imposta è riconosciuto alle imprese che </w:t>
      </w:r>
      <w:r w:rsidRPr="007F356B">
        <w:rPr>
          <w:rFonts w:cs="Tahoma"/>
          <w:b/>
          <w:szCs w:val="20"/>
        </w:rPr>
        <w:t>effettuano</w:t>
      </w:r>
      <w:r w:rsidRPr="007F356B">
        <w:rPr>
          <w:rFonts w:cs="Tahoma"/>
          <w:bCs/>
          <w:szCs w:val="20"/>
        </w:rPr>
        <w:t xml:space="preserve"> investimenti in beni strumentali nuovi destinati a strutture produttive ubicate nel territorio dello Stato, a decorrere dal 16 novembre 2020 e fino al 31 dicembre 202</w:t>
      </w:r>
      <w:r w:rsidR="00063CC8" w:rsidRPr="007F356B">
        <w:rPr>
          <w:rFonts w:cs="Tahoma"/>
          <w:bCs/>
          <w:szCs w:val="20"/>
        </w:rPr>
        <w:t>5</w:t>
      </w:r>
      <w:r w:rsidRPr="007F356B">
        <w:rPr>
          <w:rFonts w:cs="Tahoma"/>
          <w:bCs/>
          <w:szCs w:val="20"/>
        </w:rPr>
        <w:t>, ovvero entro il 30 giugno 202</w:t>
      </w:r>
      <w:r w:rsidR="00063CC8" w:rsidRPr="007F356B">
        <w:rPr>
          <w:rFonts w:cs="Tahoma"/>
          <w:bCs/>
          <w:szCs w:val="20"/>
        </w:rPr>
        <w:t>6</w:t>
      </w:r>
      <w:r w:rsidRPr="007F356B">
        <w:rPr>
          <w:rFonts w:cs="Tahoma"/>
          <w:bCs/>
          <w:szCs w:val="20"/>
        </w:rPr>
        <w:t>, a condizione che entro la data del 31 dicembre 202</w:t>
      </w:r>
      <w:r w:rsidR="00063CC8" w:rsidRPr="007F356B">
        <w:rPr>
          <w:rFonts w:cs="Tahoma"/>
          <w:bCs/>
          <w:szCs w:val="20"/>
        </w:rPr>
        <w:t>5</w:t>
      </w:r>
      <w:r w:rsidRPr="007F356B">
        <w:rPr>
          <w:rFonts w:cs="Tahoma"/>
          <w:bCs/>
          <w:szCs w:val="20"/>
        </w:rPr>
        <w:t xml:space="preserve"> il relativo ordine risulti accettato dal venditore e sia avvenuto il pagamento di acconti in misura almeno pari al 20 per cento del costo di acquisizione</w:t>
      </w:r>
      <w:r w:rsidR="00063CC8" w:rsidRPr="007F356B">
        <w:rPr>
          <w:rFonts w:cs="Tahoma"/>
          <w:bCs/>
          <w:szCs w:val="20"/>
        </w:rPr>
        <w:t>.</w:t>
      </w:r>
    </w:p>
    <w:p w14:paraId="769E1612" w14:textId="117ED729" w:rsidR="00765CBE" w:rsidRPr="003F44DB" w:rsidRDefault="00765CBE" w:rsidP="00765CBE">
      <w:pPr>
        <w:shd w:val="clear" w:color="auto" w:fill="FFFFFF"/>
        <w:spacing w:line="360" w:lineRule="auto"/>
        <w:jc w:val="both"/>
        <w:rPr>
          <w:rFonts w:cs="Tahoma"/>
          <w:bCs/>
          <w:szCs w:val="20"/>
        </w:rPr>
      </w:pPr>
      <w:r w:rsidRPr="007F356B">
        <w:rPr>
          <w:rFonts w:cs="Tahoma"/>
          <w:bCs/>
          <w:noProof/>
          <w:szCs w:val="20"/>
        </w:rPr>
        <mc:AlternateContent>
          <mc:Choice Requires="wps">
            <w:drawing>
              <wp:anchor distT="0" distB="0" distL="114300" distR="114300" simplePos="0" relativeHeight="251640319" behindDoc="0" locked="0" layoutInCell="1" allowOverlap="1" wp14:anchorId="481833D7" wp14:editId="7815076D">
                <wp:simplePos x="0" y="0"/>
                <wp:positionH relativeFrom="column">
                  <wp:posOffset>687136</wp:posOffset>
                </wp:positionH>
                <wp:positionV relativeFrom="paragraph">
                  <wp:posOffset>1732313</wp:posOffset>
                </wp:positionV>
                <wp:extent cx="1709420" cy="1169192"/>
                <wp:effectExtent l="0" t="0" r="5080" b="0"/>
                <wp:wrapNone/>
                <wp:docPr id="57" name="Casella di testo 57"/>
                <wp:cNvGraphicFramePr/>
                <a:graphic xmlns:a="http://schemas.openxmlformats.org/drawingml/2006/main">
                  <a:graphicData uri="http://schemas.microsoft.com/office/word/2010/wordprocessingShape">
                    <wps:wsp>
                      <wps:cNvSpPr txBox="1"/>
                      <wps:spPr>
                        <a:xfrm>
                          <a:off x="0" y="0"/>
                          <a:ext cx="1709420" cy="1169192"/>
                        </a:xfrm>
                        <a:prstGeom prst="rect">
                          <a:avLst/>
                        </a:prstGeom>
                        <a:solidFill>
                          <a:schemeClr val="bg1">
                            <a:lumMod val="95000"/>
                          </a:schemeClr>
                        </a:solidFill>
                        <a:ln w="6350">
                          <a:noFill/>
                        </a:ln>
                      </wps:spPr>
                      <wps:txbx>
                        <w:txbxContent>
                          <w:p w14:paraId="5B2F06FD" w14:textId="2DA81B8C" w:rsidR="00765CBE" w:rsidRPr="00100972" w:rsidRDefault="00146D3C" w:rsidP="00146D3C">
                            <w:pPr>
                              <w:jc w:val="center"/>
                              <w:rPr>
                                <w:b/>
                                <w:bCs/>
                                <w:sz w:val="22"/>
                                <w:szCs w:val="24"/>
                              </w:rPr>
                            </w:pPr>
                            <w:r w:rsidRPr="00100972">
                              <w:rPr>
                                <w:b/>
                                <w:bCs/>
                                <w:sz w:val="22"/>
                                <w:szCs w:val="24"/>
                              </w:rPr>
                              <w:t>EFFETTUAZIONE DELL’INVESTIMENTO</w:t>
                            </w:r>
                          </w:p>
                          <w:p w14:paraId="362BF68C" w14:textId="77777777" w:rsidR="00765CBE" w:rsidRPr="00100972" w:rsidRDefault="00765CBE" w:rsidP="00146D3C">
                            <w:pPr>
                              <w:jc w:val="center"/>
                            </w:pPr>
                            <w:r w:rsidRPr="00100972">
                              <w:t>Acquisto beni mobili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833D7" id="_x0000_t202" coordsize="21600,21600" o:spt="202" path="m,l,21600r21600,l21600,xe">
                <v:stroke joinstyle="miter"/>
                <v:path gradientshapeok="t" o:connecttype="rect"/>
              </v:shapetype>
              <v:shape id="Casella di testo 57" o:spid="_x0000_s1026" type="#_x0000_t202" style="position:absolute;left:0;text-align:left;margin-left:54.1pt;margin-top:136.4pt;width:134.6pt;height:92.05pt;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" fillcolor="#f2f2f2 [3052]" stroked="f" strokeweight=".5pt">
                <v:textbox>
                  <w:txbxContent>
                    <w:p w14:paraId="5B2F06FD" w14:textId="2DA81B8C" w:rsidR="00765CBE" w:rsidRPr="00100972" w:rsidRDefault="00146D3C" w:rsidP="00146D3C">
                      <w:pPr>
                        <w:jc w:val="center"/>
                        <w:rPr>
                          <w:b/>
                          <w:bCs/>
                          <w:sz w:val="22"/>
                          <w:szCs w:val="24"/>
                        </w:rPr>
                      </w:pPr>
                      <w:r w:rsidRPr="00100972">
                        <w:rPr>
                          <w:b/>
                          <w:bCs/>
                          <w:sz w:val="22"/>
                          <w:szCs w:val="24"/>
                        </w:rPr>
                        <w:t>EFFETTUAZIONE DELL’INVESTIMENTO</w:t>
                      </w:r>
                    </w:p>
                    <w:p w14:paraId="362BF68C" w14:textId="77777777" w:rsidR="00765CBE" w:rsidRPr="00100972" w:rsidRDefault="00765CBE" w:rsidP="00146D3C">
                      <w:pPr>
                        <w:jc w:val="center"/>
                      </w:pPr>
                      <w:r w:rsidRPr="00100972">
                        <w:t>Acquisto beni mobili</w:t>
                      </w:r>
                    </w:p>
                  </w:txbxContent>
                </v:textbox>
              </v:shape>
            </w:pict>
          </mc:Fallback>
        </mc:AlternateContent>
      </w:r>
      <w:r w:rsidRPr="007F356B">
        <w:rPr>
          <w:rFonts w:cs="Tahoma"/>
          <w:bCs/>
          <w:noProof/>
          <w:szCs w:val="20"/>
        </w:rPr>
        <mc:AlternateContent>
          <mc:Choice Requires="wps">
            <w:drawing>
              <wp:anchor distT="0" distB="0" distL="114300" distR="114300" simplePos="0" relativeHeight="251639294" behindDoc="0" locked="0" layoutInCell="1" allowOverlap="1" wp14:anchorId="30B4ADFA" wp14:editId="628A6A7C">
                <wp:simplePos x="0" y="0"/>
                <wp:positionH relativeFrom="column">
                  <wp:posOffset>1076521</wp:posOffset>
                </wp:positionH>
                <wp:positionV relativeFrom="paragraph">
                  <wp:posOffset>1208601</wp:posOffset>
                </wp:positionV>
                <wp:extent cx="1304246" cy="2209165"/>
                <wp:effectExtent l="4445" t="0" r="15240" b="15240"/>
                <wp:wrapNone/>
                <wp:docPr id="58" name="Connettore pagina esterna 58"/>
                <wp:cNvGraphicFramePr/>
                <a:graphic xmlns:a="http://schemas.openxmlformats.org/drawingml/2006/main">
                  <a:graphicData uri="http://schemas.microsoft.com/office/word/2010/wordprocessingShape">
                    <wps:wsp>
                      <wps:cNvSpPr/>
                      <wps:spPr>
                        <a:xfrm rot="16200000">
                          <a:off x="0" y="0"/>
                          <a:ext cx="1304246" cy="2209165"/>
                        </a:xfrm>
                        <a:prstGeom prst="flowChartOffpageConnector">
                          <a:avLst/>
                        </a:prstGeom>
                        <a:solidFill>
                          <a:schemeClr val="bg1">
                            <a:lumMod val="95000"/>
                          </a:schemeClr>
                        </a:solidFill>
                        <a:ln w="9525">
                          <a:solidFill>
                            <a:srgbClr val="0070C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7CF49" id="_x0000_t177" coordsize="21600,21600" o:spt="177" path="m,l21600,r,17255l10800,21600,,17255xe">
                <v:stroke joinstyle="miter"/>
                <v:path gradientshapeok="t" o:connecttype="rect" textboxrect="0,0,21600,17255"/>
              </v:shapetype>
              <v:shape id="Connettore pagina esterna 58" o:spid="_x0000_s1026" type="#_x0000_t177" style="position:absolute;margin-left:84.75pt;margin-top:95.15pt;width:102.7pt;height:173.95pt;rotation:-90;z-index:251639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" fillcolor="#f2f2f2 [3052]" strokecolor="#0070c0"/>
            </w:pict>
          </mc:Fallback>
        </mc:AlternateContent>
      </w:r>
      <w:r w:rsidRPr="007F356B">
        <w:rPr>
          <w:rFonts w:cs="Tahoma"/>
          <w:bCs/>
          <w:szCs w:val="20"/>
        </w:rPr>
        <w:t>Ai fini della determinazione del “</w:t>
      </w:r>
      <w:r w:rsidRPr="007F356B">
        <w:rPr>
          <w:rFonts w:cs="Tahoma"/>
          <w:b/>
          <w:szCs w:val="20"/>
        </w:rPr>
        <w:t>momento di effettuazione</w:t>
      </w:r>
      <w:r w:rsidRPr="007F356B">
        <w:rPr>
          <w:rFonts w:cs="Tahoma"/>
          <w:bCs/>
          <w:szCs w:val="20"/>
        </w:rPr>
        <w:t xml:space="preserve">”, l’imputazione degli investimenti al periodo di vigenza dell’agevolazione segue le </w:t>
      </w:r>
      <w:r w:rsidRPr="007F356B">
        <w:rPr>
          <w:rFonts w:cs="Tahoma"/>
          <w:b/>
          <w:szCs w:val="20"/>
        </w:rPr>
        <w:t>regole generali della competenza</w:t>
      </w:r>
      <w:r w:rsidRPr="007F356B">
        <w:rPr>
          <w:rFonts w:cs="Tahoma"/>
          <w:bCs/>
          <w:szCs w:val="20"/>
        </w:rPr>
        <w:t xml:space="preserve"> previste dall’articolo 109, commi 1 e 2, del TUIR, secondo il quale le spese di acquisizione dei beni si considerano sostenute, per i </w:t>
      </w:r>
      <w:r w:rsidRPr="007F356B">
        <w:rPr>
          <w:rFonts w:cs="Tahoma"/>
          <w:b/>
          <w:szCs w:val="20"/>
        </w:rPr>
        <w:t>beni mobili</w:t>
      </w:r>
      <w:r w:rsidRPr="007F356B">
        <w:rPr>
          <w:rFonts w:cs="Tahoma"/>
          <w:bCs/>
          <w:szCs w:val="20"/>
        </w:rPr>
        <w:t xml:space="preserve">, alla </w:t>
      </w:r>
      <w:r w:rsidRPr="007F356B">
        <w:rPr>
          <w:rFonts w:cs="Tahoma"/>
          <w:b/>
          <w:szCs w:val="20"/>
        </w:rPr>
        <w:t>data della consegna o spedizione</w:t>
      </w:r>
      <w:r w:rsidRPr="007F356B">
        <w:rPr>
          <w:rFonts w:cs="Tahoma"/>
          <w:bCs/>
          <w:szCs w:val="20"/>
        </w:rPr>
        <w:t xml:space="preserve">, ovvero, se diversa </w:t>
      </w:r>
      <w:r w:rsidRPr="00A87714">
        <w:rPr>
          <w:rFonts w:cs="Tahoma"/>
          <w:bCs/>
          <w:szCs w:val="20"/>
        </w:rPr>
        <w:t xml:space="preserve">e successiva, alla data in cui </w:t>
      </w:r>
      <w:r w:rsidRPr="009403AF">
        <w:rPr>
          <w:rFonts w:cs="Tahoma"/>
          <w:b/>
          <w:szCs w:val="20"/>
        </w:rPr>
        <w:t>si verifica l’effetto traslativo</w:t>
      </w:r>
      <w:r w:rsidRPr="00A87714">
        <w:rPr>
          <w:rFonts w:cs="Tahoma"/>
          <w:bCs/>
          <w:szCs w:val="20"/>
        </w:rPr>
        <w:t xml:space="preserve"> o costitutivo della proprietà o di altro diritto reale, senza tener conto delle clausole di riserva della proprietà</w:t>
      </w:r>
      <w:r w:rsidR="003F44DB">
        <w:rPr>
          <w:rFonts w:cs="Tahoma"/>
          <w:bCs/>
          <w:szCs w:val="20"/>
        </w:rPr>
        <w:t>.</w:t>
      </w:r>
    </w:p>
    <w:p w14:paraId="29C1A5BB" w14:textId="4A10EFEC" w:rsidR="00765CBE" w:rsidRPr="003F44DB" w:rsidRDefault="001D42D0" w:rsidP="00765CBE">
      <w:pPr>
        <w:shd w:val="clear" w:color="auto" w:fill="FFFFFF"/>
        <w:spacing w:line="360" w:lineRule="auto"/>
        <w:jc w:val="both"/>
        <w:rPr>
          <w:rFonts w:cs="Tahoma"/>
          <w:bCs/>
          <w:szCs w:val="20"/>
        </w:rPr>
      </w:pPr>
      <w:r>
        <w:rPr>
          <w:rFonts w:cs="Tahoma"/>
          <w:bCs/>
          <w:noProof/>
          <w:szCs w:val="20"/>
        </w:rPr>
        <mc:AlternateContent>
          <mc:Choice Requires="wps">
            <w:drawing>
              <wp:anchor distT="0" distB="0" distL="114300" distR="114300" simplePos="0" relativeHeight="251777536" behindDoc="0" locked="0" layoutInCell="1" allowOverlap="1" wp14:anchorId="1D597C54" wp14:editId="307D717A">
                <wp:simplePos x="0" y="0"/>
                <wp:positionH relativeFrom="column">
                  <wp:posOffset>3178912</wp:posOffset>
                </wp:positionH>
                <wp:positionV relativeFrom="paragraph">
                  <wp:posOffset>196723</wp:posOffset>
                </wp:positionV>
                <wp:extent cx="2640736" cy="1198880"/>
                <wp:effectExtent l="0" t="0" r="7620" b="1270"/>
                <wp:wrapNone/>
                <wp:docPr id="60" name="Casella di testo 60"/>
                <wp:cNvGraphicFramePr/>
                <a:graphic xmlns:a="http://schemas.openxmlformats.org/drawingml/2006/main">
                  <a:graphicData uri="http://schemas.microsoft.com/office/word/2010/wordprocessingShape">
                    <wps:wsp>
                      <wps:cNvSpPr txBox="1"/>
                      <wps:spPr>
                        <a:xfrm>
                          <a:off x="0" y="0"/>
                          <a:ext cx="2640736" cy="1198880"/>
                        </a:xfrm>
                        <a:prstGeom prst="rect">
                          <a:avLst/>
                        </a:prstGeom>
                        <a:solidFill>
                          <a:schemeClr val="accent1">
                            <a:lumMod val="20000"/>
                            <a:lumOff val="80000"/>
                          </a:schemeClr>
                        </a:solidFill>
                        <a:ln w="6350">
                          <a:noFill/>
                        </a:ln>
                      </wps:spPr>
                      <wps:txbx>
                        <w:txbxContent>
                          <w:p w14:paraId="4F9E1C25" w14:textId="18B57774" w:rsidR="00765CBE" w:rsidRPr="00317EC7" w:rsidRDefault="00317EC7" w:rsidP="00765CBE">
                            <w:pPr>
                              <w:rPr>
                                <w:b/>
                                <w:bCs/>
                              </w:rPr>
                            </w:pPr>
                            <w:r w:rsidRPr="00317EC7">
                              <w:rPr>
                                <w:b/>
                                <w:bCs/>
                              </w:rPr>
                              <w:t>CONSEGNA O SPEDIZIONE DEL BENE</w:t>
                            </w:r>
                          </w:p>
                          <w:p w14:paraId="7FAA959F" w14:textId="77777777" w:rsidR="00765CBE" w:rsidRDefault="00765CBE" w:rsidP="00765CBE">
                            <w:pPr>
                              <w:jc w:val="center"/>
                            </w:pPr>
                            <w:r>
                              <w:rPr>
                                <w:rFonts w:cs="Tahoma"/>
                                <w:bCs/>
                                <w:noProof/>
                                <w:szCs w:val="20"/>
                              </w:rPr>
                              <w:drawing>
                                <wp:inline distT="0" distB="0" distL="0" distR="0" wp14:anchorId="4E3B0154" wp14:editId="2765D144">
                                  <wp:extent cx="1009346" cy="1002030"/>
                                  <wp:effectExtent l="0" t="0" r="635" b="0"/>
                                  <wp:docPr id="2054594343" name="Elemento grafico 2054594343" descr="Camion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emento grafico 16" descr="Camion con riempimento a tinta unita"/>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014131" cy="1006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97C54" id="Casella di testo 60" o:spid="_x0000_s1027" type="#_x0000_t202" style="position:absolute;left:0;text-align:left;margin-left:250.3pt;margin-top:15.5pt;width:207.95pt;height:94.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" fillcolor="#dbe5f1 [660]" stroked="f" strokeweight=".5pt">
                <v:textbox>
                  <w:txbxContent>
                    <w:p w14:paraId="4F9E1C25" w14:textId="18B57774" w:rsidR="00765CBE" w:rsidRPr="00317EC7" w:rsidRDefault="00317EC7" w:rsidP="00765CBE">
                      <w:pPr>
                        <w:rPr>
                          <w:b/>
                          <w:bCs/>
                        </w:rPr>
                      </w:pPr>
                      <w:r w:rsidRPr="00317EC7">
                        <w:rPr>
                          <w:b/>
                          <w:bCs/>
                        </w:rPr>
                        <w:t>CONSEGNA O SPEDIZIONE DEL BENE</w:t>
                      </w:r>
                    </w:p>
                    <w:p w14:paraId="7FAA959F" w14:textId="77777777" w:rsidR="00765CBE" w:rsidRDefault="00765CBE" w:rsidP="00765CBE">
                      <w:pPr>
                        <w:jc w:val="center"/>
                      </w:pPr>
                      <w:r>
                        <w:rPr>
                          <w:rFonts w:cs="Tahoma"/>
                          <w:bCs/>
                          <w:noProof/>
                          <w:szCs w:val="20"/>
                        </w:rPr>
                        <w:drawing>
                          <wp:inline distT="0" distB="0" distL="0" distR="0" wp14:anchorId="4E3B0154" wp14:editId="2765D144">
                            <wp:extent cx="1009346" cy="1002030"/>
                            <wp:effectExtent l="0" t="0" r="635" b="0"/>
                            <wp:docPr id="2054594343" name="Elemento grafico 2054594343" descr="Camion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emento grafico 16" descr="Camion con riempimento a tinta unita"/>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014131" cy="1006780"/>
                                    </a:xfrm>
                                    <a:prstGeom prst="rect">
                                      <a:avLst/>
                                    </a:prstGeom>
                                  </pic:spPr>
                                </pic:pic>
                              </a:graphicData>
                            </a:graphic>
                          </wp:inline>
                        </w:drawing>
                      </w:r>
                    </w:p>
                  </w:txbxContent>
                </v:textbox>
              </v:shape>
            </w:pict>
          </mc:Fallback>
        </mc:AlternateContent>
      </w:r>
      <w:r>
        <w:rPr>
          <w:rFonts w:cs="Tahoma"/>
          <w:bCs/>
          <w:noProof/>
          <w:szCs w:val="20"/>
        </w:rPr>
        <mc:AlternateContent>
          <mc:Choice Requires="wps">
            <w:drawing>
              <wp:anchor distT="0" distB="0" distL="114300" distR="114300" simplePos="0" relativeHeight="251776512" behindDoc="0" locked="0" layoutInCell="1" allowOverlap="1" wp14:anchorId="24EB57B8" wp14:editId="5DE0FF1D">
                <wp:simplePos x="0" y="0"/>
                <wp:positionH relativeFrom="column">
                  <wp:posOffset>3061868</wp:posOffset>
                </wp:positionH>
                <wp:positionV relativeFrom="paragraph">
                  <wp:posOffset>152832</wp:posOffset>
                </wp:positionV>
                <wp:extent cx="2816352" cy="1303655"/>
                <wp:effectExtent l="0" t="0" r="22225" b="10795"/>
                <wp:wrapNone/>
                <wp:docPr id="59" name="Rettangolo 59"/>
                <wp:cNvGraphicFramePr/>
                <a:graphic xmlns:a="http://schemas.openxmlformats.org/drawingml/2006/main">
                  <a:graphicData uri="http://schemas.microsoft.com/office/word/2010/wordprocessingShape">
                    <wps:wsp>
                      <wps:cNvSpPr/>
                      <wps:spPr>
                        <a:xfrm>
                          <a:off x="0" y="0"/>
                          <a:ext cx="2816352" cy="1303655"/>
                        </a:xfrm>
                        <a:prstGeom prst="rect">
                          <a:avLst/>
                        </a:prstGeom>
                        <a:solidFill>
                          <a:schemeClr val="accent1">
                            <a:lumMod val="20000"/>
                            <a:lumOff val="80000"/>
                          </a:schemeClr>
                        </a:solidFill>
                        <a:ln w="9525">
                          <a:solidFill>
                            <a:srgbClr val="0070C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4BBAE" id="Rettangolo 59" o:spid="_x0000_s1026" style="position:absolute;margin-left:241.1pt;margin-top:12.05pt;width:221.75pt;height:102.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" fillcolor="#dbe5f1 [660]" strokecolor="#0070c0"/>
            </w:pict>
          </mc:Fallback>
        </mc:AlternateContent>
      </w:r>
    </w:p>
    <w:p w14:paraId="04FFADB6" w14:textId="1098308A" w:rsidR="00765CBE" w:rsidRDefault="00765CBE" w:rsidP="00765CBE">
      <w:pPr>
        <w:shd w:val="clear" w:color="auto" w:fill="FFFFFF"/>
        <w:spacing w:line="360" w:lineRule="auto"/>
        <w:jc w:val="both"/>
        <w:rPr>
          <w:rFonts w:cs="Tahoma"/>
          <w:bCs/>
          <w:szCs w:val="20"/>
        </w:rPr>
      </w:pPr>
    </w:p>
    <w:p w14:paraId="398AE012" w14:textId="77777777" w:rsidR="003F44DB" w:rsidRPr="003F44DB" w:rsidRDefault="003F44DB" w:rsidP="00765CBE">
      <w:pPr>
        <w:shd w:val="clear" w:color="auto" w:fill="FFFFFF"/>
        <w:spacing w:line="360" w:lineRule="auto"/>
        <w:jc w:val="both"/>
        <w:rPr>
          <w:rFonts w:cs="Tahoma"/>
          <w:bCs/>
          <w:szCs w:val="20"/>
        </w:rPr>
      </w:pPr>
    </w:p>
    <w:p w14:paraId="5FB7CA20" w14:textId="77777777" w:rsidR="00765CBE" w:rsidRPr="003F44DB" w:rsidRDefault="00765CBE" w:rsidP="00765CBE">
      <w:pPr>
        <w:shd w:val="clear" w:color="auto" w:fill="FFFFFF"/>
        <w:spacing w:line="360" w:lineRule="auto"/>
        <w:jc w:val="both"/>
        <w:rPr>
          <w:rFonts w:cs="Tahoma"/>
          <w:bCs/>
          <w:szCs w:val="20"/>
        </w:rPr>
      </w:pPr>
    </w:p>
    <w:p w14:paraId="28D21182" w14:textId="56A5D5B3" w:rsidR="00765CBE" w:rsidRDefault="00765CBE" w:rsidP="00765CBE">
      <w:pPr>
        <w:shd w:val="clear" w:color="auto" w:fill="FFFFFF"/>
        <w:spacing w:line="360" w:lineRule="auto"/>
        <w:jc w:val="both"/>
        <w:rPr>
          <w:rFonts w:cs="Tahoma"/>
          <w:bCs/>
          <w:szCs w:val="20"/>
        </w:rPr>
      </w:pPr>
    </w:p>
    <w:p w14:paraId="33042997" w14:textId="77777777" w:rsidR="00332DA6" w:rsidRPr="003F44DB" w:rsidRDefault="00332DA6" w:rsidP="00765CBE">
      <w:pPr>
        <w:shd w:val="clear" w:color="auto" w:fill="FFFFFF"/>
        <w:spacing w:line="360" w:lineRule="auto"/>
        <w:jc w:val="both"/>
        <w:rPr>
          <w:rFonts w:cs="Tahoma"/>
          <w:bCs/>
          <w:szCs w:val="20"/>
        </w:rPr>
      </w:pPr>
    </w:p>
    <w:p w14:paraId="1DF66093" w14:textId="77777777" w:rsidR="00765CBE" w:rsidRPr="00893AB2" w:rsidRDefault="00765CBE" w:rsidP="00153960">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rFonts w:cs="Tahoma"/>
          <w:bCs/>
          <w:i/>
          <w:iCs/>
          <w:szCs w:val="20"/>
        </w:rPr>
      </w:pPr>
      <w:r w:rsidRPr="00893AB2">
        <w:rPr>
          <w:rFonts w:cs="Tahoma"/>
          <w:bCs/>
          <w:i/>
          <w:iCs/>
          <w:szCs w:val="20"/>
        </w:rPr>
        <w:lastRenderedPageBreak/>
        <w:t>1. I ricavi, le spese e gli altri componenti positivi e negativi, per i quali le precedenti norme della presente Sezione non dispongono diversamente, concorrono a formare il reddito nell'esercizio di competenza; tuttavia</w:t>
      </w:r>
      <w:r>
        <w:rPr>
          <w:rFonts w:cs="Tahoma"/>
          <w:bCs/>
          <w:i/>
          <w:iCs/>
          <w:szCs w:val="20"/>
        </w:rPr>
        <w:t>,</w:t>
      </w:r>
      <w:r w:rsidRPr="00893AB2">
        <w:rPr>
          <w:rFonts w:cs="Tahoma"/>
          <w:bCs/>
          <w:i/>
          <w:iCs/>
          <w:szCs w:val="20"/>
        </w:rPr>
        <w:t xml:space="preserve"> i ricavi, le spese e gli altri componenti di cui nell'esercizio di competenza non sia ancora certa l'esistenza o determinabile in modo obiettivo l'ammontare concorrono a formarlo nell'esercizio in cui si verificano tali condizioni.</w:t>
      </w:r>
    </w:p>
    <w:p w14:paraId="0FE3B1A9" w14:textId="77777777" w:rsidR="00765CBE" w:rsidRPr="00893AB2" w:rsidRDefault="00765CBE" w:rsidP="00153960">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rFonts w:cs="Tahoma"/>
          <w:bCs/>
          <w:i/>
          <w:iCs/>
          <w:szCs w:val="20"/>
        </w:rPr>
      </w:pPr>
      <w:r w:rsidRPr="00893AB2">
        <w:rPr>
          <w:rFonts w:cs="Tahoma"/>
          <w:bCs/>
          <w:i/>
          <w:iCs/>
          <w:szCs w:val="20"/>
        </w:rPr>
        <w:t>2. Ai fini della determinazione dell'esercizio di competenza:</w:t>
      </w:r>
    </w:p>
    <w:p w14:paraId="2D235419" w14:textId="77777777" w:rsidR="00765CBE" w:rsidRPr="00893AB2" w:rsidRDefault="00765CBE" w:rsidP="00153960">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rFonts w:cs="Tahoma"/>
          <w:bCs/>
          <w:i/>
          <w:iCs/>
          <w:szCs w:val="20"/>
        </w:rPr>
      </w:pPr>
      <w:r w:rsidRPr="00893AB2">
        <w:rPr>
          <w:rFonts w:cs="Tahoma"/>
          <w:bCs/>
          <w:i/>
          <w:iCs/>
          <w:szCs w:val="20"/>
        </w:rPr>
        <w:t xml:space="preserve">a) i corrispettivi delle cessioni si considerano conseguiti, e le spese di acquisizione dei beni si considerano sostenute, alla </w:t>
      </w:r>
      <w:r w:rsidRPr="00EE1CD7">
        <w:rPr>
          <w:rFonts w:cs="Tahoma"/>
          <w:b/>
          <w:i/>
          <w:iCs/>
          <w:szCs w:val="20"/>
        </w:rPr>
        <w:t>data della consegna o spedizione</w:t>
      </w:r>
      <w:r w:rsidRPr="00893AB2">
        <w:rPr>
          <w:rFonts w:cs="Tahoma"/>
          <w:bCs/>
          <w:i/>
          <w:iCs/>
          <w:szCs w:val="20"/>
        </w:rPr>
        <w:t xml:space="preserve"> per i beni mobili e della stipulazione dell'atto per gli immobili e per le aziende, ovvero, se diversa e successiva, alla data in cui si verifica l'effetto traslativo o costitutivo della proprietà o di altro diritto reale. Non si tiene conto delle clausole di riserva della proprietà. La locazione con clausola di trasferimento della proprietà vincolante per ambedue le parti è assimilata alla vendita con riserva di proprietà;</w:t>
      </w:r>
    </w:p>
    <w:p w14:paraId="3F5E034C" w14:textId="77777777" w:rsidR="00765CBE" w:rsidRPr="00893AB2" w:rsidRDefault="00765CBE" w:rsidP="00153960">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rFonts w:cs="Tahoma"/>
          <w:bCs/>
          <w:i/>
          <w:iCs/>
          <w:szCs w:val="20"/>
        </w:rPr>
      </w:pPr>
      <w:r w:rsidRPr="00893AB2">
        <w:rPr>
          <w:rFonts w:cs="Tahoma"/>
          <w:bCs/>
          <w:i/>
          <w:iCs/>
          <w:szCs w:val="20"/>
        </w:rPr>
        <w:t xml:space="preserve">b) i corrispettivi delle </w:t>
      </w:r>
      <w:r w:rsidRPr="00EE1CD7">
        <w:rPr>
          <w:rFonts w:cs="Tahoma"/>
          <w:b/>
          <w:i/>
          <w:iCs/>
          <w:szCs w:val="20"/>
        </w:rPr>
        <w:t>prestazioni di servizi</w:t>
      </w:r>
      <w:r w:rsidRPr="00893AB2">
        <w:rPr>
          <w:rFonts w:cs="Tahoma"/>
          <w:bCs/>
          <w:i/>
          <w:iCs/>
          <w:szCs w:val="20"/>
        </w:rPr>
        <w:t xml:space="preserve"> si considerano conseguiti, e le spese di acquisizione dei servizi si considerano sostenute, alla data in cui le </w:t>
      </w:r>
      <w:r w:rsidRPr="00EE1CD7">
        <w:rPr>
          <w:rFonts w:cs="Tahoma"/>
          <w:b/>
          <w:i/>
          <w:iCs/>
          <w:szCs w:val="20"/>
        </w:rPr>
        <w:t>prestazioni sono ultimate</w:t>
      </w:r>
      <w:r w:rsidRPr="00893AB2">
        <w:rPr>
          <w:rFonts w:cs="Tahoma"/>
          <w:bCs/>
          <w:i/>
          <w:iCs/>
          <w:szCs w:val="20"/>
        </w:rPr>
        <w:t>, ovvero, per quelle dipendenti da contratti di locazione, mutuo, assicurazione e altri contratti da cui derivano corrispettivi periodici, alla data di maturazione dei corrispettivi;</w:t>
      </w:r>
    </w:p>
    <w:p w14:paraId="14B147A3" w14:textId="77777777" w:rsidR="00765CBE" w:rsidRPr="00893AB2" w:rsidRDefault="00765CBE" w:rsidP="00153960">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rFonts w:cs="Tahoma"/>
          <w:bCs/>
          <w:i/>
          <w:iCs/>
          <w:szCs w:val="20"/>
        </w:rPr>
      </w:pPr>
      <w:r w:rsidRPr="00893AB2">
        <w:rPr>
          <w:rFonts w:cs="Tahoma"/>
          <w:bCs/>
          <w:i/>
          <w:iCs/>
          <w:szCs w:val="20"/>
        </w:rPr>
        <w:t>c) per le società e gli enti che hanno emesso obbligazioni o titoli similari la differenza tra le somme dovute alla scadenza e quelle ricevute in dipendenza dell'emissione è deducibile in ciascun periodo di imposta per una quota determinata in conformità al piano di ammortamento del prestito.</w:t>
      </w:r>
    </w:p>
    <w:p w14:paraId="70160790" w14:textId="77777777" w:rsidR="00765CBE" w:rsidRPr="00EE1CD7" w:rsidRDefault="00765CBE" w:rsidP="00153960">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rFonts w:cs="Tahoma"/>
          <w:bCs/>
          <w:szCs w:val="20"/>
        </w:rPr>
      </w:pPr>
      <w:r w:rsidRPr="00EE1CD7">
        <w:rPr>
          <w:rFonts w:cs="Tahoma"/>
          <w:bCs/>
          <w:szCs w:val="20"/>
        </w:rPr>
        <w:t>Articolo 109, commi 1 e 2 Tuir</w:t>
      </w:r>
    </w:p>
    <w:p w14:paraId="182D06DE" w14:textId="77777777" w:rsidR="00765CBE" w:rsidRPr="00893AB2" w:rsidRDefault="00765CBE" w:rsidP="00765CBE">
      <w:pPr>
        <w:shd w:val="clear" w:color="auto" w:fill="FFFFFF"/>
        <w:spacing w:line="360" w:lineRule="auto"/>
        <w:jc w:val="both"/>
        <w:rPr>
          <w:rFonts w:cs="Tahoma"/>
          <w:bCs/>
          <w:szCs w:val="20"/>
        </w:rPr>
      </w:pPr>
    </w:p>
    <w:p w14:paraId="126D2753" w14:textId="77777777" w:rsidR="00765CBE" w:rsidRPr="0098745F" w:rsidRDefault="00765CBE" w:rsidP="00765CBE">
      <w:pPr>
        <w:shd w:val="clear" w:color="auto" w:fill="FFFFFF"/>
        <w:spacing w:line="360" w:lineRule="auto"/>
        <w:jc w:val="both"/>
        <w:rPr>
          <w:rFonts w:cs="Tahoma"/>
          <w:bCs/>
          <w:szCs w:val="20"/>
        </w:rPr>
      </w:pPr>
      <w:r w:rsidRPr="0098745F">
        <w:rPr>
          <w:rFonts w:cs="Tahoma"/>
          <w:bCs/>
          <w:szCs w:val="20"/>
        </w:rPr>
        <w:t>Non rilevano a questi fini i diversi criteri di</w:t>
      </w:r>
      <w:r>
        <w:rPr>
          <w:rFonts w:cs="Tahoma"/>
          <w:bCs/>
          <w:szCs w:val="20"/>
        </w:rPr>
        <w:t xml:space="preserve"> </w:t>
      </w:r>
      <w:r w:rsidRPr="0098745F">
        <w:rPr>
          <w:rFonts w:cs="Tahoma"/>
          <w:bCs/>
          <w:szCs w:val="20"/>
        </w:rPr>
        <w:t>qualificazione, imputazione temporale e classificazione in bilancio previsti per i</w:t>
      </w:r>
      <w:r>
        <w:rPr>
          <w:rFonts w:cs="Tahoma"/>
          <w:bCs/>
          <w:szCs w:val="20"/>
        </w:rPr>
        <w:t xml:space="preserve"> </w:t>
      </w:r>
      <w:r w:rsidRPr="0098745F">
        <w:rPr>
          <w:rFonts w:cs="Tahoma"/>
          <w:bCs/>
          <w:szCs w:val="20"/>
        </w:rPr>
        <w:t xml:space="preserve">soggetti che redigono il bilancio in base ai </w:t>
      </w:r>
      <w:r w:rsidRPr="0032431B">
        <w:rPr>
          <w:rFonts w:cs="Tahoma"/>
          <w:b/>
          <w:szCs w:val="20"/>
        </w:rPr>
        <w:t>principi contabili internazionali</w:t>
      </w:r>
      <w:r w:rsidRPr="0098745F">
        <w:rPr>
          <w:rFonts w:cs="Tahoma"/>
          <w:bCs/>
          <w:szCs w:val="20"/>
        </w:rPr>
        <w:t xml:space="preserve"> di cui al</w:t>
      </w:r>
      <w:r>
        <w:rPr>
          <w:rFonts w:cs="Tahoma"/>
          <w:bCs/>
          <w:szCs w:val="20"/>
        </w:rPr>
        <w:t xml:space="preserve"> </w:t>
      </w:r>
      <w:r w:rsidRPr="0098745F">
        <w:rPr>
          <w:rFonts w:cs="Tahoma"/>
          <w:bCs/>
          <w:szCs w:val="20"/>
        </w:rPr>
        <w:t>regolamento (CE) n. 1606/2002 del Parlamento europeo e del Consiglio del 19</w:t>
      </w:r>
      <w:r>
        <w:rPr>
          <w:rFonts w:cs="Tahoma"/>
          <w:bCs/>
          <w:szCs w:val="20"/>
        </w:rPr>
        <w:t xml:space="preserve"> </w:t>
      </w:r>
      <w:r w:rsidRPr="0098745F">
        <w:rPr>
          <w:rFonts w:cs="Tahoma"/>
          <w:bCs/>
          <w:szCs w:val="20"/>
        </w:rPr>
        <w:t>luglio 2002 e - a seguito delle modifiche apportate all</w:t>
      </w:r>
      <w:r>
        <w:rPr>
          <w:rFonts w:cs="Tahoma"/>
          <w:bCs/>
          <w:szCs w:val="20"/>
        </w:rPr>
        <w:t>’</w:t>
      </w:r>
      <w:r w:rsidRPr="0098745F">
        <w:rPr>
          <w:rFonts w:cs="Tahoma"/>
          <w:bCs/>
          <w:szCs w:val="20"/>
        </w:rPr>
        <w:t>articolo 83 del TUIR dal</w:t>
      </w:r>
      <w:r>
        <w:rPr>
          <w:rFonts w:cs="Tahoma"/>
          <w:bCs/>
          <w:szCs w:val="20"/>
        </w:rPr>
        <w:t xml:space="preserve"> </w:t>
      </w:r>
      <w:r w:rsidRPr="0098745F">
        <w:rPr>
          <w:rFonts w:cs="Tahoma"/>
          <w:bCs/>
          <w:szCs w:val="20"/>
        </w:rPr>
        <w:t>decreto legge 30 dicembre 2016, n. 244, convertito dalla legge 27 febbraio 2017, n.</w:t>
      </w:r>
      <w:r>
        <w:rPr>
          <w:rFonts w:cs="Tahoma"/>
          <w:bCs/>
          <w:szCs w:val="20"/>
        </w:rPr>
        <w:t xml:space="preserve"> </w:t>
      </w:r>
      <w:r w:rsidRPr="0098745F">
        <w:rPr>
          <w:rFonts w:cs="Tahoma"/>
          <w:bCs/>
          <w:szCs w:val="20"/>
        </w:rPr>
        <w:t>19, decorrenti dall</w:t>
      </w:r>
      <w:r>
        <w:rPr>
          <w:rFonts w:cs="Tahoma"/>
          <w:bCs/>
          <w:szCs w:val="20"/>
        </w:rPr>
        <w:t>’</w:t>
      </w:r>
      <w:r w:rsidRPr="0098745F">
        <w:rPr>
          <w:rFonts w:cs="Tahoma"/>
          <w:bCs/>
          <w:szCs w:val="20"/>
        </w:rPr>
        <w:t>esercizio successivo a quello in corso al 31 dicembre 2015 - per i</w:t>
      </w:r>
      <w:r>
        <w:rPr>
          <w:rFonts w:cs="Tahoma"/>
          <w:bCs/>
          <w:szCs w:val="20"/>
        </w:rPr>
        <w:t xml:space="preserve"> </w:t>
      </w:r>
      <w:r w:rsidRPr="0098745F">
        <w:rPr>
          <w:rFonts w:cs="Tahoma"/>
          <w:bCs/>
          <w:szCs w:val="20"/>
        </w:rPr>
        <w:t>soggetti, diversi dalle micro imprese di cui all</w:t>
      </w:r>
      <w:r>
        <w:rPr>
          <w:rFonts w:cs="Tahoma"/>
          <w:bCs/>
          <w:szCs w:val="20"/>
        </w:rPr>
        <w:t>’</w:t>
      </w:r>
      <w:r w:rsidRPr="0098745F">
        <w:rPr>
          <w:rFonts w:cs="Tahoma"/>
          <w:bCs/>
          <w:szCs w:val="20"/>
        </w:rPr>
        <w:t>articolo 2435-ter del codice civile,</w:t>
      </w:r>
      <w:r>
        <w:rPr>
          <w:rFonts w:cs="Tahoma"/>
          <w:bCs/>
          <w:szCs w:val="20"/>
        </w:rPr>
        <w:t xml:space="preserve"> </w:t>
      </w:r>
      <w:r w:rsidRPr="0098745F">
        <w:rPr>
          <w:rFonts w:cs="Tahoma"/>
          <w:bCs/>
          <w:szCs w:val="20"/>
        </w:rPr>
        <w:t>che redigono il bilancio in conformità alle disposizioni del codice civile</w:t>
      </w:r>
      <w:r>
        <w:rPr>
          <w:rFonts w:cs="Tahoma"/>
          <w:bCs/>
          <w:szCs w:val="20"/>
        </w:rPr>
        <w:t>.</w:t>
      </w:r>
    </w:p>
    <w:p w14:paraId="008A693B" w14:textId="27DF51B6" w:rsidR="00765CBE" w:rsidRDefault="00765CBE" w:rsidP="00765CBE">
      <w:pPr>
        <w:shd w:val="clear" w:color="auto" w:fill="FFFFFF"/>
        <w:spacing w:line="360" w:lineRule="auto"/>
        <w:jc w:val="both"/>
        <w:rPr>
          <w:rFonts w:cs="Tahoma"/>
          <w:bCs/>
          <w:szCs w:val="20"/>
        </w:rPr>
      </w:pPr>
      <w:r w:rsidRPr="0098745F">
        <w:rPr>
          <w:rFonts w:cs="Tahoma"/>
          <w:bCs/>
          <w:szCs w:val="20"/>
        </w:rPr>
        <w:t>Ai fini della determinazione del momento di effettuazione dell</w:t>
      </w:r>
      <w:r>
        <w:rPr>
          <w:rFonts w:cs="Tahoma"/>
          <w:bCs/>
          <w:szCs w:val="20"/>
        </w:rPr>
        <w:t>’</w:t>
      </w:r>
      <w:r w:rsidRPr="0098745F">
        <w:rPr>
          <w:rFonts w:cs="Tahoma"/>
          <w:bCs/>
          <w:szCs w:val="20"/>
        </w:rPr>
        <w:t xml:space="preserve">investimento, per le acquisizioni di beni con </w:t>
      </w:r>
      <w:r w:rsidRPr="00384B10">
        <w:rPr>
          <w:rFonts w:cs="Tahoma"/>
          <w:b/>
          <w:szCs w:val="20"/>
        </w:rPr>
        <w:t>contratti di leasing</w:t>
      </w:r>
      <w:r w:rsidRPr="0098745F">
        <w:rPr>
          <w:rFonts w:cs="Tahoma"/>
          <w:bCs/>
          <w:szCs w:val="20"/>
        </w:rPr>
        <w:t xml:space="preserve"> rileva il momento in cui il </w:t>
      </w:r>
      <w:r w:rsidRPr="00384B10">
        <w:rPr>
          <w:rFonts w:cs="Tahoma"/>
          <w:b/>
          <w:szCs w:val="20"/>
        </w:rPr>
        <w:t>bene viene consegnato</w:t>
      </w:r>
      <w:r w:rsidRPr="0098745F">
        <w:rPr>
          <w:rFonts w:cs="Tahoma"/>
          <w:bCs/>
          <w:szCs w:val="20"/>
        </w:rPr>
        <w:t xml:space="preserve">, ossia entra nella disponibilità del locatario. Nel caso in cui il contratto di leasing preveda la </w:t>
      </w:r>
      <w:r w:rsidRPr="00AB2DC9">
        <w:rPr>
          <w:rFonts w:cs="Tahoma"/>
          <w:b/>
          <w:szCs w:val="20"/>
        </w:rPr>
        <w:t>clausola di prova a favore del locatario</w:t>
      </w:r>
      <w:r w:rsidRPr="0098745F">
        <w:rPr>
          <w:rFonts w:cs="Tahoma"/>
          <w:bCs/>
          <w:szCs w:val="20"/>
        </w:rPr>
        <w:t>, ai fini dell</w:t>
      </w:r>
      <w:r>
        <w:rPr>
          <w:rFonts w:cs="Tahoma"/>
          <w:bCs/>
          <w:szCs w:val="20"/>
        </w:rPr>
        <w:t>’</w:t>
      </w:r>
      <w:r w:rsidRPr="0098745F">
        <w:rPr>
          <w:rFonts w:cs="Tahoma"/>
          <w:bCs/>
          <w:szCs w:val="20"/>
        </w:rPr>
        <w:t xml:space="preserve">agevolazione diviene rilevante la </w:t>
      </w:r>
      <w:r w:rsidRPr="00AB2DC9">
        <w:rPr>
          <w:rFonts w:cs="Tahoma"/>
          <w:b/>
          <w:szCs w:val="20"/>
        </w:rPr>
        <w:t>dichiarazione di esito positivo del collaudo</w:t>
      </w:r>
      <w:r w:rsidRPr="0098745F">
        <w:rPr>
          <w:rFonts w:cs="Tahoma"/>
          <w:bCs/>
          <w:szCs w:val="20"/>
        </w:rPr>
        <w:t xml:space="preserve"> da parte dello stesso </w:t>
      </w:r>
      <w:r w:rsidRPr="0098745F">
        <w:rPr>
          <w:rFonts w:cs="Tahoma"/>
          <w:bCs/>
          <w:szCs w:val="20"/>
        </w:rPr>
        <w:lastRenderedPageBreak/>
        <w:t>locatario. Rileva, ai fini della spettanza del beneficio in questione, la consegna del bene al locatario (o l</w:t>
      </w:r>
      <w:r>
        <w:rPr>
          <w:rFonts w:cs="Tahoma"/>
          <w:bCs/>
          <w:szCs w:val="20"/>
        </w:rPr>
        <w:t>’</w:t>
      </w:r>
      <w:r w:rsidRPr="0098745F">
        <w:rPr>
          <w:rFonts w:cs="Tahoma"/>
          <w:bCs/>
          <w:szCs w:val="20"/>
        </w:rPr>
        <w:t xml:space="preserve">esito positivo del collaudo) e </w:t>
      </w:r>
      <w:r w:rsidRPr="00384B10">
        <w:rPr>
          <w:rFonts w:cs="Tahoma"/>
          <w:b/>
          <w:szCs w:val="20"/>
        </w:rPr>
        <w:t>non il momento del riscatto</w:t>
      </w:r>
      <w:r w:rsidRPr="0098745F">
        <w:rPr>
          <w:rFonts w:cs="Tahoma"/>
          <w:bCs/>
          <w:szCs w:val="20"/>
        </w:rPr>
        <w:t>. In altri termini, l</w:t>
      </w:r>
      <w:r>
        <w:rPr>
          <w:rFonts w:cs="Tahoma"/>
          <w:bCs/>
          <w:szCs w:val="20"/>
        </w:rPr>
        <w:t>’</w:t>
      </w:r>
      <w:r w:rsidRPr="0098745F">
        <w:rPr>
          <w:rFonts w:cs="Tahoma"/>
          <w:bCs/>
          <w:szCs w:val="20"/>
        </w:rPr>
        <w:t xml:space="preserve">acquisizione in proprietà del bene a </w:t>
      </w:r>
      <w:r w:rsidR="003F44DB">
        <w:rPr>
          <w:rFonts w:cs="Tahoma"/>
          <w:bCs/>
          <w:noProof/>
          <w:szCs w:val="20"/>
        </w:rPr>
        <mc:AlternateContent>
          <mc:Choice Requires="wps">
            <w:drawing>
              <wp:anchor distT="0" distB="0" distL="114300" distR="114300" simplePos="0" relativeHeight="251778560" behindDoc="0" locked="0" layoutInCell="1" allowOverlap="1" wp14:anchorId="5440405C" wp14:editId="77D0B33D">
                <wp:simplePos x="0" y="0"/>
                <wp:positionH relativeFrom="column">
                  <wp:posOffset>936308</wp:posOffset>
                </wp:positionH>
                <wp:positionV relativeFrom="paragraph">
                  <wp:posOffset>477837</wp:posOffset>
                </wp:positionV>
                <wp:extent cx="1544876" cy="2209165"/>
                <wp:effectExtent l="0" t="8573" r="9208" b="28257"/>
                <wp:wrapNone/>
                <wp:docPr id="14" name="Connettore pagina esterna 14"/>
                <wp:cNvGraphicFramePr/>
                <a:graphic xmlns:a="http://schemas.openxmlformats.org/drawingml/2006/main">
                  <a:graphicData uri="http://schemas.microsoft.com/office/word/2010/wordprocessingShape">
                    <wps:wsp>
                      <wps:cNvSpPr/>
                      <wps:spPr>
                        <a:xfrm rot="16200000">
                          <a:off x="0" y="0"/>
                          <a:ext cx="1544876" cy="2209165"/>
                        </a:xfrm>
                        <a:prstGeom prst="flowChartOffpageConnector">
                          <a:avLst/>
                        </a:prstGeom>
                        <a:solidFill>
                          <a:schemeClr val="bg1">
                            <a:lumMod val="95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245B4" id="Connettore pagina esterna 14" o:spid="_x0000_s1026" type="#_x0000_t177" style="position:absolute;margin-left:73.75pt;margin-top:37.6pt;width:121.65pt;height:173.95pt;rotation:-9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" fillcolor="#f2f2f2 [3052]" strokecolor="#2f528f" strokeweight="1pt"/>
            </w:pict>
          </mc:Fallback>
        </mc:AlternateContent>
      </w:r>
      <w:r w:rsidRPr="0098745F">
        <w:rPr>
          <w:rFonts w:cs="Tahoma"/>
          <w:bCs/>
          <w:szCs w:val="20"/>
        </w:rPr>
        <w:t>seguito di riscatto non configura per il contribuente un</w:t>
      </w:r>
      <w:r>
        <w:rPr>
          <w:rFonts w:cs="Tahoma"/>
          <w:bCs/>
          <w:szCs w:val="20"/>
        </w:rPr>
        <w:t>’</w:t>
      </w:r>
      <w:r w:rsidRPr="0098745F">
        <w:rPr>
          <w:rFonts w:cs="Tahoma"/>
          <w:bCs/>
          <w:szCs w:val="20"/>
        </w:rPr>
        <w:t>autonoma ipotesi d</w:t>
      </w:r>
      <w:r>
        <w:rPr>
          <w:rFonts w:cs="Tahoma"/>
          <w:bCs/>
          <w:szCs w:val="20"/>
        </w:rPr>
        <w:t>’</w:t>
      </w:r>
      <w:r w:rsidRPr="0098745F">
        <w:rPr>
          <w:rFonts w:cs="Tahoma"/>
          <w:bCs/>
          <w:szCs w:val="20"/>
        </w:rPr>
        <w:t>investimento agevolabile.</w:t>
      </w:r>
    </w:p>
    <w:p w14:paraId="58F3BA40" w14:textId="30D59ABF" w:rsidR="00765CBE" w:rsidRDefault="006613FB" w:rsidP="00765CBE">
      <w:pPr>
        <w:shd w:val="clear" w:color="auto" w:fill="FFFFFF"/>
        <w:spacing w:line="360" w:lineRule="auto"/>
        <w:jc w:val="both"/>
        <w:rPr>
          <w:rFonts w:cs="Tahoma"/>
          <w:bCs/>
          <w:szCs w:val="20"/>
        </w:rPr>
      </w:pPr>
      <w:r>
        <w:rPr>
          <w:rFonts w:cs="Tahoma"/>
          <w:bCs/>
          <w:noProof/>
          <w:szCs w:val="20"/>
        </w:rPr>
        <mc:AlternateContent>
          <mc:Choice Requires="wps">
            <w:drawing>
              <wp:anchor distT="0" distB="0" distL="114300" distR="114300" simplePos="0" relativeHeight="251781632" behindDoc="0" locked="0" layoutInCell="1" allowOverlap="1" wp14:anchorId="753A5347" wp14:editId="57C2333F">
                <wp:simplePos x="0" y="0"/>
                <wp:positionH relativeFrom="column">
                  <wp:posOffset>3091129</wp:posOffset>
                </wp:positionH>
                <wp:positionV relativeFrom="paragraph">
                  <wp:posOffset>61112</wp:posOffset>
                </wp:positionV>
                <wp:extent cx="2816352" cy="1383030"/>
                <wp:effectExtent l="0" t="0" r="3175" b="7620"/>
                <wp:wrapNone/>
                <wp:docPr id="21" name="Casella di testo 21"/>
                <wp:cNvGraphicFramePr/>
                <a:graphic xmlns:a="http://schemas.openxmlformats.org/drawingml/2006/main">
                  <a:graphicData uri="http://schemas.microsoft.com/office/word/2010/wordprocessingShape">
                    <wps:wsp>
                      <wps:cNvSpPr txBox="1"/>
                      <wps:spPr>
                        <a:xfrm>
                          <a:off x="0" y="0"/>
                          <a:ext cx="2816352" cy="1383030"/>
                        </a:xfrm>
                        <a:prstGeom prst="rect">
                          <a:avLst/>
                        </a:prstGeom>
                        <a:solidFill>
                          <a:schemeClr val="accent5">
                            <a:lumMod val="20000"/>
                            <a:lumOff val="80000"/>
                          </a:schemeClr>
                        </a:solidFill>
                        <a:ln w="6350">
                          <a:noFill/>
                        </a:ln>
                      </wps:spPr>
                      <wps:txbx>
                        <w:txbxContent>
                          <w:p w14:paraId="3F107D4F" w14:textId="69EE51F5" w:rsidR="00765CBE" w:rsidRPr="00734BB2" w:rsidRDefault="006613FB" w:rsidP="006613FB">
                            <w:pPr>
                              <w:jc w:val="center"/>
                              <w:rPr>
                                <w:b/>
                                <w:bCs/>
                              </w:rPr>
                            </w:pPr>
                            <w:r w:rsidRPr="00734BB2">
                              <w:rPr>
                                <w:b/>
                                <w:bCs/>
                              </w:rPr>
                              <w:t>CONSEGNA BENE O DICHIARAZIONE ESITO POSITIVO COLLAUDO</w:t>
                            </w:r>
                          </w:p>
                          <w:p w14:paraId="76A4211A" w14:textId="1D6572E1" w:rsidR="00765CBE" w:rsidRDefault="00765CBE" w:rsidP="00765CBE">
                            <w:pPr>
                              <w:jc w:val="center"/>
                            </w:pPr>
                            <w:r>
                              <w:rPr>
                                <w:rFonts w:cs="Tahoma"/>
                                <w:bCs/>
                                <w:noProof/>
                                <w:color w:val="FF0000"/>
                                <w:szCs w:val="20"/>
                              </w:rPr>
                              <w:drawing>
                                <wp:inline distT="0" distB="0" distL="0" distR="0" wp14:anchorId="1196E7BF" wp14:editId="65454341">
                                  <wp:extent cx="783771" cy="783771"/>
                                  <wp:effectExtent l="0" t="0" r="0" b="0"/>
                                  <wp:docPr id="2054594344" name="Elemento grafico 2054594344" descr="Carrello portapacch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o grafico 13" descr="Carrello portapacchi con riempimento a tinta unita"/>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88410" cy="788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A5347" id="Casella di testo 21" o:spid="_x0000_s1028" type="#_x0000_t202" style="position:absolute;left:0;text-align:left;margin-left:243.4pt;margin-top:4.8pt;width:221.75pt;height:108.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" fillcolor="#daeef3 [664]" stroked="f" strokeweight=".5pt">
                <v:textbox>
                  <w:txbxContent>
                    <w:p w14:paraId="3F107D4F" w14:textId="69EE51F5" w:rsidR="00765CBE" w:rsidRPr="00734BB2" w:rsidRDefault="006613FB" w:rsidP="006613FB">
                      <w:pPr>
                        <w:jc w:val="center"/>
                        <w:rPr>
                          <w:b/>
                          <w:bCs/>
                        </w:rPr>
                      </w:pPr>
                      <w:r w:rsidRPr="00734BB2">
                        <w:rPr>
                          <w:b/>
                          <w:bCs/>
                        </w:rPr>
                        <w:t>CONSEGNA BENE O DICHIARAZIONE ESITO POSITIVO COLLAUDO</w:t>
                      </w:r>
                    </w:p>
                    <w:p w14:paraId="76A4211A" w14:textId="1D6572E1" w:rsidR="00765CBE" w:rsidRDefault="00765CBE" w:rsidP="00765CBE">
                      <w:pPr>
                        <w:jc w:val="center"/>
                      </w:pPr>
                      <w:r>
                        <w:rPr>
                          <w:rFonts w:cs="Tahoma"/>
                          <w:bCs/>
                          <w:noProof/>
                          <w:color w:val="FF0000"/>
                          <w:szCs w:val="20"/>
                        </w:rPr>
                        <w:drawing>
                          <wp:inline distT="0" distB="0" distL="0" distR="0" wp14:anchorId="1196E7BF" wp14:editId="65454341">
                            <wp:extent cx="783771" cy="783771"/>
                            <wp:effectExtent l="0" t="0" r="0" b="0"/>
                            <wp:docPr id="2054594344" name="Elemento grafico 2054594344" descr="Carrello portapacch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o grafico 13" descr="Carrello portapacchi con riempimento a tinta unita"/>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88410" cy="788410"/>
                                    </a:xfrm>
                                    <a:prstGeom prst="rect">
                                      <a:avLst/>
                                    </a:prstGeom>
                                  </pic:spPr>
                                </pic:pic>
                              </a:graphicData>
                            </a:graphic>
                          </wp:inline>
                        </w:drawing>
                      </w:r>
                    </w:p>
                  </w:txbxContent>
                </v:textbox>
              </v:shape>
            </w:pict>
          </mc:Fallback>
        </mc:AlternateContent>
      </w:r>
      <w:r>
        <w:rPr>
          <w:rFonts w:cs="Tahoma"/>
          <w:bCs/>
          <w:noProof/>
          <w:szCs w:val="20"/>
        </w:rPr>
        <mc:AlternateContent>
          <mc:Choice Requires="wps">
            <w:drawing>
              <wp:anchor distT="0" distB="0" distL="114300" distR="114300" simplePos="0" relativeHeight="251780608" behindDoc="0" locked="0" layoutInCell="1" allowOverlap="1" wp14:anchorId="7CF91FC6" wp14:editId="578FB845">
                <wp:simplePos x="0" y="0"/>
                <wp:positionH relativeFrom="column">
                  <wp:posOffset>3039923</wp:posOffset>
                </wp:positionH>
                <wp:positionV relativeFrom="paragraph">
                  <wp:posOffset>24536</wp:posOffset>
                </wp:positionV>
                <wp:extent cx="2977286" cy="1537335"/>
                <wp:effectExtent l="0" t="0" r="13970" b="24765"/>
                <wp:wrapNone/>
                <wp:docPr id="20" name="Rettangolo 20"/>
                <wp:cNvGraphicFramePr/>
                <a:graphic xmlns:a="http://schemas.openxmlformats.org/drawingml/2006/main">
                  <a:graphicData uri="http://schemas.microsoft.com/office/word/2010/wordprocessingShape">
                    <wps:wsp>
                      <wps:cNvSpPr/>
                      <wps:spPr>
                        <a:xfrm>
                          <a:off x="0" y="0"/>
                          <a:ext cx="2977286" cy="1537335"/>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9EE2B" id="Rettangolo 20" o:spid="_x0000_s1026" style="position:absolute;margin-left:239.35pt;margin-top:1.95pt;width:234.45pt;height:121.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" fillcolor="#daeef3 [664]" strokecolor="#2f528f" strokeweight="1pt"/>
            </w:pict>
          </mc:Fallback>
        </mc:AlternateContent>
      </w:r>
      <w:r w:rsidR="00765CBE">
        <w:rPr>
          <w:rFonts w:cs="Tahoma"/>
          <w:bCs/>
          <w:noProof/>
          <w:szCs w:val="20"/>
        </w:rPr>
        <mc:AlternateContent>
          <mc:Choice Requires="wps">
            <w:drawing>
              <wp:anchor distT="0" distB="0" distL="114300" distR="114300" simplePos="0" relativeHeight="251779584" behindDoc="0" locked="0" layoutInCell="1" allowOverlap="1" wp14:anchorId="3CBC9D9E" wp14:editId="1C79248C">
                <wp:simplePos x="0" y="0"/>
                <wp:positionH relativeFrom="column">
                  <wp:posOffset>663385</wp:posOffset>
                </wp:positionH>
                <wp:positionV relativeFrom="paragraph">
                  <wp:posOffset>92825</wp:posOffset>
                </wp:positionV>
                <wp:extent cx="1709420" cy="1353342"/>
                <wp:effectExtent l="0" t="0" r="5080" b="0"/>
                <wp:wrapNone/>
                <wp:docPr id="61" name="Casella di testo 61"/>
                <wp:cNvGraphicFramePr/>
                <a:graphic xmlns:a="http://schemas.openxmlformats.org/drawingml/2006/main">
                  <a:graphicData uri="http://schemas.microsoft.com/office/word/2010/wordprocessingShape">
                    <wps:wsp>
                      <wps:cNvSpPr txBox="1"/>
                      <wps:spPr>
                        <a:xfrm>
                          <a:off x="0" y="0"/>
                          <a:ext cx="1709420" cy="1353342"/>
                        </a:xfrm>
                        <a:prstGeom prst="rect">
                          <a:avLst/>
                        </a:prstGeom>
                        <a:solidFill>
                          <a:schemeClr val="bg1">
                            <a:lumMod val="95000"/>
                          </a:schemeClr>
                        </a:solidFill>
                        <a:ln w="6350">
                          <a:noFill/>
                        </a:ln>
                      </wps:spPr>
                      <wps:txbx>
                        <w:txbxContent>
                          <w:p w14:paraId="73A47DC4" w14:textId="24367B4A" w:rsidR="00765CBE" w:rsidRPr="006613FB" w:rsidRDefault="006613FB" w:rsidP="00765CBE">
                            <w:pPr>
                              <w:rPr>
                                <w:b/>
                                <w:bCs/>
                              </w:rPr>
                            </w:pPr>
                            <w:r w:rsidRPr="006613FB">
                              <w:rPr>
                                <w:b/>
                                <w:bCs/>
                              </w:rPr>
                              <w:t>EFFETTUAZIONE DELL’INVESTIMENTO</w:t>
                            </w:r>
                          </w:p>
                          <w:p w14:paraId="0879ADE2" w14:textId="77777777" w:rsidR="00765CBE" w:rsidRDefault="00765CBE" w:rsidP="00765CBE">
                            <w:r w:rsidRPr="003274B5">
                              <w:rPr>
                                <w:b/>
                                <w:bCs/>
                              </w:rPr>
                              <w:t>Leasing</w:t>
                            </w:r>
                            <w:r>
                              <w:t xml:space="preserve"> beni mobili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9D9E" id="Casella di testo 61" o:spid="_x0000_s1029" type="#_x0000_t202" style="position:absolute;left:0;text-align:left;margin-left:52.25pt;margin-top:7.3pt;width:134.6pt;height:106.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" fillcolor="#f2f2f2 [3052]" stroked="f" strokeweight=".5pt">
                <v:textbox>
                  <w:txbxContent>
                    <w:p w14:paraId="73A47DC4" w14:textId="24367B4A" w:rsidR="00765CBE" w:rsidRPr="006613FB" w:rsidRDefault="006613FB" w:rsidP="00765CBE">
                      <w:pPr>
                        <w:rPr>
                          <w:b/>
                          <w:bCs/>
                        </w:rPr>
                      </w:pPr>
                      <w:r w:rsidRPr="006613FB">
                        <w:rPr>
                          <w:b/>
                          <w:bCs/>
                        </w:rPr>
                        <w:t>EFFETTUAZIONE DELL’INVESTIMENTO</w:t>
                      </w:r>
                    </w:p>
                    <w:p w14:paraId="0879ADE2" w14:textId="77777777" w:rsidR="00765CBE" w:rsidRDefault="00765CBE" w:rsidP="00765CBE">
                      <w:r w:rsidRPr="003274B5">
                        <w:rPr>
                          <w:b/>
                          <w:bCs/>
                        </w:rPr>
                        <w:t>Leasing</w:t>
                      </w:r>
                      <w:r>
                        <w:t xml:space="preserve"> beni mobili</w:t>
                      </w:r>
                    </w:p>
                  </w:txbxContent>
                </v:textbox>
              </v:shape>
            </w:pict>
          </mc:Fallback>
        </mc:AlternateContent>
      </w:r>
    </w:p>
    <w:p w14:paraId="193CFD79" w14:textId="77777777" w:rsidR="00765CBE" w:rsidRDefault="00765CBE" w:rsidP="00765CBE">
      <w:pPr>
        <w:shd w:val="clear" w:color="auto" w:fill="FFFFFF"/>
        <w:spacing w:line="360" w:lineRule="auto"/>
        <w:jc w:val="both"/>
        <w:rPr>
          <w:rFonts w:cs="Tahoma"/>
          <w:bCs/>
          <w:szCs w:val="20"/>
        </w:rPr>
      </w:pPr>
    </w:p>
    <w:p w14:paraId="53D4D031" w14:textId="77777777" w:rsidR="00765CBE" w:rsidRDefault="00765CBE" w:rsidP="00765CBE">
      <w:pPr>
        <w:shd w:val="clear" w:color="auto" w:fill="FFFFFF"/>
        <w:spacing w:line="360" w:lineRule="auto"/>
        <w:jc w:val="both"/>
        <w:rPr>
          <w:rFonts w:cs="Tahoma"/>
          <w:bCs/>
          <w:szCs w:val="20"/>
        </w:rPr>
      </w:pPr>
    </w:p>
    <w:p w14:paraId="2643BB59" w14:textId="77777777" w:rsidR="00765CBE" w:rsidRDefault="00765CBE" w:rsidP="00765CBE">
      <w:pPr>
        <w:shd w:val="clear" w:color="auto" w:fill="FFFFFF"/>
        <w:spacing w:line="360" w:lineRule="auto"/>
        <w:jc w:val="both"/>
        <w:rPr>
          <w:rFonts w:cs="Tahoma"/>
          <w:bCs/>
          <w:szCs w:val="20"/>
        </w:rPr>
      </w:pPr>
    </w:p>
    <w:p w14:paraId="0F770D1E" w14:textId="77777777" w:rsidR="00765CBE" w:rsidRDefault="00765CBE" w:rsidP="00765CBE">
      <w:pPr>
        <w:shd w:val="clear" w:color="auto" w:fill="FFFFFF"/>
        <w:spacing w:line="360" w:lineRule="auto"/>
        <w:jc w:val="both"/>
        <w:rPr>
          <w:rFonts w:cs="Tahoma"/>
          <w:bCs/>
          <w:szCs w:val="20"/>
        </w:rPr>
      </w:pPr>
    </w:p>
    <w:p w14:paraId="653EEBD2" w14:textId="6CEB9000" w:rsidR="00765CBE" w:rsidRPr="00F1222E" w:rsidRDefault="00765CBE" w:rsidP="00765CBE">
      <w:pPr>
        <w:shd w:val="clear" w:color="auto" w:fill="FFFFFF"/>
        <w:spacing w:line="360" w:lineRule="auto"/>
        <w:jc w:val="both"/>
        <w:rPr>
          <w:rFonts w:cs="Tahoma"/>
          <w:bCs/>
          <w:szCs w:val="20"/>
        </w:rPr>
      </w:pPr>
      <w:r w:rsidRPr="00F1222E">
        <w:rPr>
          <w:rFonts w:cs="Tahoma"/>
          <w:bCs/>
          <w:szCs w:val="20"/>
        </w:rPr>
        <w:t xml:space="preserve">La rilevanza delle operazioni di locazione finanziaria è riconosciuta sulla base di un </w:t>
      </w:r>
      <w:r w:rsidRPr="00F1222E">
        <w:rPr>
          <w:rFonts w:cs="Tahoma"/>
          <w:b/>
          <w:szCs w:val="20"/>
        </w:rPr>
        <w:t>principio di “sostanziale” equivalenza</w:t>
      </w:r>
      <w:r w:rsidRPr="00F1222E">
        <w:rPr>
          <w:rFonts w:cs="Tahoma"/>
          <w:bCs/>
          <w:szCs w:val="20"/>
        </w:rPr>
        <w:t xml:space="preserve"> tra l’acquisto e l’acquisizione del bene stesso tramite contratto di leasing (risoluzione n. 4/E del 7 gennaio 2009). Tale criterio è finalizzato ad assicurare nel tempo, in relazione alle mutevoli condizioni di mercato, la necessaria </w:t>
      </w:r>
      <w:r w:rsidRPr="00F1222E">
        <w:rPr>
          <w:rFonts w:cs="Tahoma"/>
          <w:b/>
          <w:szCs w:val="20"/>
        </w:rPr>
        <w:t xml:space="preserve">neutralità fiscale della scelta aziendale tra acquisizione dei beni in proprietà </w:t>
      </w:r>
      <w:r w:rsidRPr="007F356B">
        <w:rPr>
          <w:rFonts w:cs="Tahoma"/>
          <w:b/>
          <w:szCs w:val="20"/>
        </w:rPr>
        <w:t>o in leasing</w:t>
      </w:r>
      <w:r w:rsidRPr="007F356B">
        <w:rPr>
          <w:rFonts w:cs="Tahoma"/>
          <w:bCs/>
          <w:szCs w:val="20"/>
        </w:rPr>
        <w:t>. Ciò considerato, il mancato riferimento ai contratti di locazione finanziaria nei commi 1055, 1056, 1057</w:t>
      </w:r>
      <w:r w:rsidR="00063CC8" w:rsidRPr="007F356B">
        <w:rPr>
          <w:rFonts w:cs="Tahoma"/>
          <w:bCs/>
          <w:szCs w:val="20"/>
        </w:rPr>
        <w:t xml:space="preserve">, </w:t>
      </w:r>
      <w:r w:rsidR="006E339B" w:rsidRPr="007F356B">
        <w:rPr>
          <w:rFonts w:cs="Tahoma"/>
          <w:bCs/>
          <w:szCs w:val="20"/>
        </w:rPr>
        <w:t xml:space="preserve">1057-bis, </w:t>
      </w:r>
      <w:r w:rsidRPr="007F356B">
        <w:rPr>
          <w:rFonts w:cs="Tahoma"/>
          <w:bCs/>
          <w:szCs w:val="20"/>
        </w:rPr>
        <w:t>1058</w:t>
      </w:r>
      <w:r w:rsidR="00063CC8" w:rsidRPr="007F356B">
        <w:rPr>
          <w:rFonts w:cs="Tahoma"/>
          <w:bCs/>
          <w:szCs w:val="20"/>
        </w:rPr>
        <w:t>, 1058-</w:t>
      </w:r>
      <w:r w:rsidR="006E339B" w:rsidRPr="007F356B">
        <w:rPr>
          <w:rFonts w:cs="Tahoma"/>
          <w:bCs/>
          <w:szCs w:val="20"/>
        </w:rPr>
        <w:t>bis, 1058-ter,</w:t>
      </w:r>
      <w:r w:rsidRPr="007F356B">
        <w:rPr>
          <w:rFonts w:cs="Tahoma"/>
          <w:bCs/>
          <w:szCs w:val="20"/>
        </w:rPr>
        <w:t xml:space="preserve"> dell’articolo 1 della legge di bilancio 2021, ai fini della individuazione degli investimenti agevolabili, è da imputare a un mero difetto di coordinamento formale e non alla volontà del legislatore di circoscrivere le modalità </w:t>
      </w:r>
      <w:r w:rsidRPr="00F1222E">
        <w:rPr>
          <w:rFonts w:cs="Tahoma"/>
          <w:bCs/>
          <w:szCs w:val="20"/>
        </w:rPr>
        <w:t>di effettuazione degli investimenti agevolabili alla sola acquisizione in proprietà dei beni (</w:t>
      </w:r>
      <w:r>
        <w:rPr>
          <w:rFonts w:cs="Tahoma"/>
          <w:bCs/>
          <w:szCs w:val="20"/>
        </w:rPr>
        <w:t xml:space="preserve">circolare n. 9/E del 23 luglio </w:t>
      </w:r>
      <w:r w:rsidRPr="00F1222E">
        <w:rPr>
          <w:rFonts w:cs="Tahoma"/>
          <w:bCs/>
          <w:szCs w:val="20"/>
        </w:rPr>
        <w:t>2021).</w:t>
      </w:r>
    </w:p>
    <w:p w14:paraId="7DA56A4D" w14:textId="77777777" w:rsidR="00914237" w:rsidRDefault="00914237" w:rsidP="00765CBE">
      <w:pPr>
        <w:pStyle w:val="Titolo3"/>
      </w:pPr>
      <w:bookmarkStart w:id="53" w:name="_Toc90462752"/>
    </w:p>
    <w:p w14:paraId="39E9D2C6" w14:textId="0500756C" w:rsidR="00765CBE" w:rsidRPr="00E533EC" w:rsidRDefault="00474E86" w:rsidP="00765CBE">
      <w:pPr>
        <w:pStyle w:val="Titolo3"/>
      </w:pPr>
      <w:bookmarkStart w:id="54" w:name="_Toc93327725"/>
      <w:r>
        <w:t>5</w:t>
      </w:r>
      <w:r w:rsidR="00765CBE" w:rsidRPr="00E533EC">
        <w:t>.</w:t>
      </w:r>
      <w:r w:rsidR="00765CBE">
        <w:t>1.1</w:t>
      </w:r>
      <w:r w:rsidR="00765CBE" w:rsidRPr="00E533EC">
        <w:t xml:space="preserve"> </w:t>
      </w:r>
      <w:r w:rsidR="00765CBE">
        <w:t>Beni realizzati in economia</w:t>
      </w:r>
      <w:bookmarkEnd w:id="53"/>
      <w:bookmarkEnd w:id="54"/>
    </w:p>
    <w:p w14:paraId="5A47B697" w14:textId="77777777" w:rsidR="00765CBE" w:rsidRDefault="00765CBE" w:rsidP="00765CBE">
      <w:pPr>
        <w:shd w:val="clear" w:color="auto" w:fill="FFFFFF"/>
        <w:spacing w:line="360" w:lineRule="auto"/>
        <w:jc w:val="both"/>
        <w:rPr>
          <w:rFonts w:cs="Tahoma"/>
          <w:bCs/>
          <w:szCs w:val="20"/>
        </w:rPr>
      </w:pPr>
      <w:r w:rsidRPr="00384B10">
        <w:rPr>
          <w:rFonts w:cs="Tahoma"/>
          <w:bCs/>
          <w:szCs w:val="20"/>
        </w:rPr>
        <w:t xml:space="preserve">Per i </w:t>
      </w:r>
      <w:r w:rsidRPr="00384B10">
        <w:rPr>
          <w:rFonts w:cs="Tahoma"/>
          <w:b/>
          <w:szCs w:val="20"/>
        </w:rPr>
        <w:t>beni realizzati in economia</w:t>
      </w:r>
      <w:r w:rsidRPr="00384B10">
        <w:rPr>
          <w:rFonts w:cs="Tahoma"/>
          <w:bCs/>
          <w:szCs w:val="20"/>
        </w:rPr>
        <w:t xml:space="preserve">, ai fini della determinazione del costo di acquisizione, rilevano i </w:t>
      </w:r>
      <w:r w:rsidRPr="005967F4">
        <w:rPr>
          <w:rFonts w:cs="Tahoma"/>
          <w:b/>
          <w:szCs w:val="20"/>
        </w:rPr>
        <w:t>costi imputabili all’investimento sostenuti nel periodo agevolato</w:t>
      </w:r>
      <w:r w:rsidRPr="00384B10">
        <w:rPr>
          <w:rFonts w:cs="Tahoma"/>
          <w:bCs/>
          <w:szCs w:val="20"/>
        </w:rPr>
        <w:t>, avuto riguardo ai criteri di competenza in precedenza indicati. Si tratta, ad esempio, dei costi concernenti:</w:t>
      </w:r>
    </w:p>
    <w:p w14:paraId="0C34B5B2" w14:textId="77777777" w:rsidR="00765CBE" w:rsidRPr="00CD09BB" w:rsidRDefault="00765CBE" w:rsidP="00AE49EC">
      <w:pPr>
        <w:pStyle w:val="Paragrafoelenco"/>
        <w:numPr>
          <w:ilvl w:val="0"/>
          <w:numId w:val="25"/>
        </w:numPr>
        <w:shd w:val="clear" w:color="auto" w:fill="FFFFFF"/>
        <w:spacing w:line="360" w:lineRule="auto"/>
        <w:jc w:val="both"/>
        <w:rPr>
          <w:rFonts w:cs="Tahoma"/>
          <w:bCs/>
          <w:szCs w:val="20"/>
        </w:rPr>
      </w:pPr>
      <w:r w:rsidRPr="00CD09BB">
        <w:rPr>
          <w:rFonts w:cs="Tahoma"/>
          <w:bCs/>
          <w:szCs w:val="20"/>
        </w:rPr>
        <w:t>la progettazione dell’investimento;</w:t>
      </w:r>
    </w:p>
    <w:p w14:paraId="5D2B2449" w14:textId="77777777" w:rsidR="00765CBE" w:rsidRPr="00CD09BB" w:rsidRDefault="00765CBE" w:rsidP="00AE49EC">
      <w:pPr>
        <w:pStyle w:val="Paragrafoelenco"/>
        <w:numPr>
          <w:ilvl w:val="0"/>
          <w:numId w:val="25"/>
        </w:numPr>
        <w:shd w:val="clear" w:color="auto" w:fill="FFFFFF"/>
        <w:spacing w:line="360" w:lineRule="auto"/>
        <w:jc w:val="both"/>
        <w:rPr>
          <w:rFonts w:cs="Tahoma"/>
          <w:bCs/>
          <w:szCs w:val="20"/>
        </w:rPr>
      </w:pPr>
      <w:r w:rsidRPr="00CD09BB">
        <w:rPr>
          <w:rFonts w:cs="Tahoma"/>
          <w:bCs/>
          <w:szCs w:val="20"/>
        </w:rPr>
        <w:t>i materiali acquistati ovvero quelli prelevati dal magazzino, quando l’acquisto di tali materiali non sia stato effettuato in modo specifico per la realizzazione del bene;</w:t>
      </w:r>
    </w:p>
    <w:p w14:paraId="5B1BEE51" w14:textId="77777777" w:rsidR="00765CBE" w:rsidRPr="00CD09BB" w:rsidRDefault="00765CBE" w:rsidP="00AE49EC">
      <w:pPr>
        <w:pStyle w:val="Paragrafoelenco"/>
        <w:numPr>
          <w:ilvl w:val="0"/>
          <w:numId w:val="25"/>
        </w:numPr>
        <w:shd w:val="clear" w:color="auto" w:fill="FFFFFF"/>
        <w:spacing w:line="360" w:lineRule="auto"/>
        <w:jc w:val="both"/>
        <w:rPr>
          <w:rFonts w:cs="Tahoma"/>
          <w:bCs/>
          <w:szCs w:val="20"/>
        </w:rPr>
      </w:pPr>
      <w:r w:rsidRPr="00CD09BB">
        <w:rPr>
          <w:rFonts w:cs="Tahoma"/>
          <w:bCs/>
          <w:szCs w:val="20"/>
        </w:rPr>
        <w:t>la mano d’opera diretta;</w:t>
      </w:r>
    </w:p>
    <w:p w14:paraId="5992858C" w14:textId="77777777" w:rsidR="00765CBE" w:rsidRPr="00CD09BB" w:rsidRDefault="00765CBE" w:rsidP="00AE49EC">
      <w:pPr>
        <w:pStyle w:val="Paragrafoelenco"/>
        <w:numPr>
          <w:ilvl w:val="0"/>
          <w:numId w:val="25"/>
        </w:numPr>
        <w:shd w:val="clear" w:color="auto" w:fill="FFFFFF"/>
        <w:spacing w:line="360" w:lineRule="auto"/>
        <w:jc w:val="both"/>
        <w:rPr>
          <w:rFonts w:cs="Tahoma"/>
          <w:bCs/>
          <w:szCs w:val="20"/>
        </w:rPr>
      </w:pPr>
      <w:r w:rsidRPr="00CD09BB">
        <w:rPr>
          <w:rFonts w:cs="Tahoma"/>
          <w:bCs/>
          <w:szCs w:val="20"/>
        </w:rPr>
        <w:t>gli ammortamenti dei beni strumentali impiegati nella realizzazione del bene;</w:t>
      </w:r>
    </w:p>
    <w:p w14:paraId="651A29D1" w14:textId="77777777" w:rsidR="00765CBE" w:rsidRPr="00CD09BB" w:rsidRDefault="00765CBE" w:rsidP="00AE49EC">
      <w:pPr>
        <w:pStyle w:val="Paragrafoelenco"/>
        <w:numPr>
          <w:ilvl w:val="0"/>
          <w:numId w:val="25"/>
        </w:numPr>
        <w:shd w:val="clear" w:color="auto" w:fill="FFFFFF"/>
        <w:spacing w:line="360" w:lineRule="auto"/>
        <w:jc w:val="both"/>
        <w:rPr>
          <w:rFonts w:cs="Tahoma"/>
          <w:bCs/>
          <w:szCs w:val="20"/>
        </w:rPr>
      </w:pPr>
      <w:r w:rsidRPr="00CD09BB">
        <w:rPr>
          <w:rFonts w:cs="Tahoma"/>
          <w:bCs/>
          <w:szCs w:val="20"/>
        </w:rPr>
        <w:t>i costi industriali imputabili all’opera (stipendi dei tecnici, spese di mano d’opera, energia elettrica degli impianti, materiale e spese di manutenzione, forza motrice, lavorazioni esterne, eccetera).</w:t>
      </w:r>
    </w:p>
    <w:p w14:paraId="37C32E96" w14:textId="76D1798A" w:rsidR="00765CBE" w:rsidRDefault="00765CBE" w:rsidP="00765CBE">
      <w:pPr>
        <w:shd w:val="clear" w:color="auto" w:fill="FFFFFF"/>
        <w:spacing w:line="360" w:lineRule="auto"/>
        <w:jc w:val="both"/>
        <w:rPr>
          <w:rFonts w:cs="Tahoma"/>
          <w:bCs/>
          <w:szCs w:val="20"/>
        </w:rPr>
      </w:pPr>
      <w:r>
        <w:rPr>
          <w:rFonts w:cs="Tahoma"/>
          <w:bCs/>
          <w:szCs w:val="20"/>
        </w:rPr>
        <w:lastRenderedPageBreak/>
        <w:t>P</w:t>
      </w:r>
      <w:r w:rsidRPr="00CD09BB">
        <w:rPr>
          <w:rFonts w:cs="Tahoma"/>
          <w:bCs/>
          <w:szCs w:val="20"/>
        </w:rPr>
        <w:t>er i beni realizzati in economia, i cui lavori</w:t>
      </w:r>
      <w:r>
        <w:rPr>
          <w:rFonts w:cs="Tahoma"/>
          <w:bCs/>
          <w:szCs w:val="20"/>
        </w:rPr>
        <w:t xml:space="preserve"> </w:t>
      </w:r>
      <w:r w:rsidRPr="00CD09BB">
        <w:rPr>
          <w:rFonts w:cs="Tahoma"/>
          <w:bCs/>
          <w:szCs w:val="20"/>
        </w:rPr>
        <w:t>sono iniziati nel corso del periodo agevolato ovvero iniziati/sospesi in esercizi</w:t>
      </w:r>
      <w:r>
        <w:rPr>
          <w:rFonts w:cs="Tahoma"/>
          <w:bCs/>
          <w:szCs w:val="20"/>
        </w:rPr>
        <w:t xml:space="preserve"> </w:t>
      </w:r>
      <w:r w:rsidRPr="00CD09BB">
        <w:rPr>
          <w:rFonts w:cs="Tahoma"/>
          <w:bCs/>
          <w:szCs w:val="20"/>
        </w:rPr>
        <w:t>precedenti a</w:t>
      </w:r>
      <w:r>
        <w:rPr>
          <w:rFonts w:cs="Tahoma"/>
          <w:bCs/>
          <w:szCs w:val="20"/>
        </w:rPr>
        <w:t xml:space="preserve"> tale</w:t>
      </w:r>
      <w:r w:rsidRPr="00CD09BB">
        <w:rPr>
          <w:rFonts w:cs="Tahoma"/>
          <w:bCs/>
          <w:szCs w:val="20"/>
        </w:rPr>
        <w:t xml:space="preserve"> periodo, </w:t>
      </w:r>
      <w:r>
        <w:rPr>
          <w:rFonts w:cs="Tahoma"/>
          <w:bCs/>
          <w:szCs w:val="20"/>
        </w:rPr>
        <w:t xml:space="preserve">si considerano solamente i </w:t>
      </w:r>
      <w:r w:rsidRPr="00BF219B">
        <w:rPr>
          <w:rFonts w:cs="Tahoma"/>
          <w:b/>
          <w:szCs w:val="20"/>
        </w:rPr>
        <w:t>costi sostenuti nell’arco temporale considerato</w:t>
      </w:r>
      <w:r w:rsidRPr="00CD09BB">
        <w:rPr>
          <w:rFonts w:cs="Tahoma"/>
          <w:bCs/>
          <w:szCs w:val="20"/>
        </w:rPr>
        <w:t>, avuto riguardo ai criteri di competenza di cui al citato articolo</w:t>
      </w:r>
      <w:r>
        <w:rPr>
          <w:rFonts w:cs="Tahoma"/>
          <w:bCs/>
          <w:szCs w:val="20"/>
        </w:rPr>
        <w:t xml:space="preserve"> </w:t>
      </w:r>
      <w:r w:rsidRPr="00CD09BB">
        <w:rPr>
          <w:rFonts w:cs="Tahoma"/>
          <w:bCs/>
          <w:szCs w:val="20"/>
        </w:rPr>
        <w:t>109 del TUIR, anche se i lavori risultano ultimati dopo la scadenza</w:t>
      </w:r>
      <w:r>
        <w:rPr>
          <w:rFonts w:cs="Tahoma"/>
          <w:bCs/>
          <w:szCs w:val="20"/>
        </w:rPr>
        <w:t xml:space="preserve"> </w:t>
      </w:r>
      <w:r w:rsidRPr="00CD09BB">
        <w:rPr>
          <w:rFonts w:cs="Tahoma"/>
          <w:bCs/>
          <w:szCs w:val="20"/>
        </w:rPr>
        <w:t>dell</w:t>
      </w:r>
      <w:r>
        <w:rPr>
          <w:rFonts w:cs="Tahoma"/>
          <w:bCs/>
          <w:szCs w:val="20"/>
        </w:rPr>
        <w:t>’</w:t>
      </w:r>
      <w:r w:rsidRPr="00CD09BB">
        <w:rPr>
          <w:rFonts w:cs="Tahoma"/>
          <w:bCs/>
          <w:szCs w:val="20"/>
        </w:rPr>
        <w:t>agevolazione</w:t>
      </w:r>
      <w:r>
        <w:rPr>
          <w:rFonts w:cs="Tahoma"/>
          <w:bCs/>
          <w:szCs w:val="20"/>
        </w:rPr>
        <w:t>.</w:t>
      </w:r>
    </w:p>
    <w:p w14:paraId="776F399D" w14:textId="77777777" w:rsidR="00332DA6" w:rsidRDefault="00332DA6" w:rsidP="00765CBE">
      <w:pPr>
        <w:pStyle w:val="Titolo3"/>
      </w:pPr>
      <w:bookmarkStart w:id="55" w:name="_Toc90462753"/>
    </w:p>
    <w:p w14:paraId="55DF0D67" w14:textId="1A5CDBF6" w:rsidR="00765CBE" w:rsidRPr="00E533EC" w:rsidRDefault="00474E86" w:rsidP="00765CBE">
      <w:pPr>
        <w:pStyle w:val="Titolo3"/>
      </w:pPr>
      <w:bookmarkStart w:id="56" w:name="_Toc93327726"/>
      <w:r>
        <w:t>5</w:t>
      </w:r>
      <w:r w:rsidR="00765CBE" w:rsidRPr="00E533EC">
        <w:t>.</w:t>
      </w:r>
      <w:r w:rsidR="00765CBE">
        <w:t>1.2</w:t>
      </w:r>
      <w:r w:rsidR="00765CBE" w:rsidRPr="00E533EC">
        <w:t xml:space="preserve"> </w:t>
      </w:r>
      <w:r w:rsidR="00765CBE">
        <w:t>Beni realizzati con appalto a terzi</w:t>
      </w:r>
      <w:bookmarkEnd w:id="55"/>
      <w:bookmarkEnd w:id="56"/>
    </w:p>
    <w:p w14:paraId="74466020" w14:textId="40C00AB2" w:rsidR="00765CBE" w:rsidRPr="00332DA6" w:rsidRDefault="00765CBE" w:rsidP="004B26BC">
      <w:pPr>
        <w:shd w:val="clear" w:color="auto" w:fill="FFFFFF"/>
        <w:spacing w:line="360" w:lineRule="auto"/>
        <w:jc w:val="both"/>
        <w:rPr>
          <w:rFonts w:cs="Tahoma"/>
          <w:bCs/>
          <w:szCs w:val="20"/>
        </w:rPr>
      </w:pPr>
      <w:r w:rsidRPr="00CD09BB">
        <w:rPr>
          <w:rFonts w:cs="Tahoma"/>
          <w:bCs/>
          <w:szCs w:val="20"/>
        </w:rPr>
        <w:t>Nell</w:t>
      </w:r>
      <w:r>
        <w:rPr>
          <w:rFonts w:cs="Tahoma"/>
          <w:bCs/>
          <w:szCs w:val="20"/>
        </w:rPr>
        <w:t>’</w:t>
      </w:r>
      <w:r w:rsidRPr="00CD09BB">
        <w:rPr>
          <w:rFonts w:cs="Tahoma"/>
          <w:bCs/>
          <w:szCs w:val="20"/>
        </w:rPr>
        <w:t>ipotesi in cui l</w:t>
      </w:r>
      <w:r>
        <w:rPr>
          <w:rFonts w:cs="Tahoma"/>
          <w:bCs/>
          <w:szCs w:val="20"/>
        </w:rPr>
        <w:t>’</w:t>
      </w:r>
      <w:r w:rsidRPr="00CD09BB">
        <w:rPr>
          <w:rFonts w:cs="Tahoma"/>
          <w:bCs/>
          <w:szCs w:val="20"/>
        </w:rPr>
        <w:t xml:space="preserve">investimento nei beni in questione sia realizzato mediante un </w:t>
      </w:r>
      <w:r w:rsidRPr="00392EFE">
        <w:rPr>
          <w:rFonts w:cs="Tahoma"/>
          <w:b/>
          <w:szCs w:val="20"/>
        </w:rPr>
        <w:t>contratto di appalto a terzi</w:t>
      </w:r>
      <w:r w:rsidRPr="00CD09BB">
        <w:rPr>
          <w:rFonts w:cs="Tahoma"/>
          <w:bCs/>
          <w:szCs w:val="20"/>
        </w:rPr>
        <w:t xml:space="preserve">, in base ai predetti criteri di competenza di </w:t>
      </w:r>
      <w:r>
        <w:rPr>
          <w:rFonts w:cs="Tahoma"/>
          <w:bCs/>
          <w:szCs w:val="20"/>
        </w:rPr>
        <w:t xml:space="preserve">cui </w:t>
      </w:r>
      <w:r w:rsidRPr="00CD09BB">
        <w:rPr>
          <w:rFonts w:cs="Tahoma"/>
          <w:bCs/>
          <w:szCs w:val="20"/>
        </w:rPr>
        <w:t>all</w:t>
      </w:r>
      <w:r>
        <w:rPr>
          <w:rFonts w:cs="Tahoma"/>
          <w:bCs/>
          <w:szCs w:val="20"/>
        </w:rPr>
        <w:t>’</w:t>
      </w:r>
      <w:r w:rsidRPr="00CD09BB">
        <w:rPr>
          <w:rFonts w:cs="Tahoma"/>
          <w:bCs/>
          <w:szCs w:val="20"/>
        </w:rPr>
        <w:t xml:space="preserve">articolo 109 del TUIR, i relativi costi si considerano sostenuti dal committente alla </w:t>
      </w:r>
      <w:r w:rsidRPr="00423CAA">
        <w:rPr>
          <w:rFonts w:cs="Tahoma"/>
          <w:b/>
          <w:szCs w:val="20"/>
        </w:rPr>
        <w:t>data di ultimazione della prestazione</w:t>
      </w:r>
      <w:r w:rsidRPr="00CD09BB">
        <w:rPr>
          <w:rFonts w:cs="Tahoma"/>
          <w:bCs/>
          <w:szCs w:val="20"/>
        </w:rPr>
        <w:t xml:space="preserve"> ovvero, in caso di </w:t>
      </w:r>
      <w:r w:rsidRPr="00423CAA">
        <w:rPr>
          <w:rFonts w:cs="Tahoma"/>
          <w:b/>
          <w:szCs w:val="20"/>
        </w:rPr>
        <w:t>stati di avanzamento lavori</w:t>
      </w:r>
      <w:r w:rsidRPr="00CD09BB">
        <w:rPr>
          <w:rFonts w:cs="Tahoma"/>
          <w:bCs/>
          <w:szCs w:val="20"/>
        </w:rPr>
        <w:t>, alla data in cui l</w:t>
      </w:r>
      <w:r>
        <w:rPr>
          <w:rFonts w:cs="Tahoma"/>
          <w:bCs/>
          <w:szCs w:val="20"/>
        </w:rPr>
        <w:t>’</w:t>
      </w:r>
      <w:r w:rsidRPr="00CD09BB">
        <w:rPr>
          <w:rFonts w:cs="Tahoma"/>
          <w:bCs/>
          <w:szCs w:val="20"/>
        </w:rPr>
        <w:t xml:space="preserve">opera o porzione di essa, risulta </w:t>
      </w:r>
      <w:r w:rsidRPr="00F72794">
        <w:rPr>
          <w:rFonts w:cs="Tahoma"/>
          <w:b/>
          <w:szCs w:val="20"/>
        </w:rPr>
        <w:t>verificata ed accettata dal committente</w:t>
      </w:r>
      <w:r w:rsidRPr="00CD09BB">
        <w:rPr>
          <w:rFonts w:cs="Tahoma"/>
          <w:bCs/>
          <w:szCs w:val="20"/>
        </w:rPr>
        <w:t>: in quest</w:t>
      </w:r>
      <w:r>
        <w:rPr>
          <w:rFonts w:cs="Tahoma"/>
          <w:bCs/>
          <w:szCs w:val="20"/>
        </w:rPr>
        <w:t>’</w:t>
      </w:r>
      <w:r w:rsidRPr="00CD09BB">
        <w:rPr>
          <w:rFonts w:cs="Tahoma"/>
          <w:bCs/>
          <w:szCs w:val="20"/>
        </w:rPr>
        <w:t>ultima ipotesi, sono agevolabili i corrispettivi liquidati nel periodo agevolato in base allo stato di avanzamento lavori (SAL), indipendentemente dalla durata infrannuale o ultrannuale del contratto.</w:t>
      </w:r>
      <w:r>
        <w:rPr>
          <w:rFonts w:cs="Tahoma"/>
          <w:bCs/>
          <w:szCs w:val="20"/>
        </w:rPr>
        <w:t xml:space="preserve"> Si fa riferimento alla misura in cui il </w:t>
      </w:r>
      <w:r w:rsidRPr="00423CAA">
        <w:rPr>
          <w:rFonts w:cs="Tahoma"/>
          <w:b/>
          <w:szCs w:val="20"/>
        </w:rPr>
        <w:t>SAL è liquidato in via definitiva</w:t>
      </w:r>
      <w:r w:rsidRPr="00CD09BB">
        <w:rPr>
          <w:rFonts w:cs="Tahoma"/>
          <w:bCs/>
          <w:szCs w:val="20"/>
        </w:rPr>
        <w:t>, vale a dire quando il SAL è accettato dal committente, in conformità a quanto stabilito dall</w:t>
      </w:r>
      <w:r>
        <w:rPr>
          <w:rFonts w:cs="Tahoma"/>
          <w:bCs/>
          <w:szCs w:val="20"/>
        </w:rPr>
        <w:t>’</w:t>
      </w:r>
      <w:r w:rsidRPr="00CD09BB">
        <w:rPr>
          <w:rFonts w:cs="Tahoma"/>
          <w:bCs/>
          <w:szCs w:val="20"/>
        </w:rPr>
        <w:t>articolo 1666 del Codice Civile, entro il periodo di vigenza dell</w:t>
      </w:r>
      <w:r>
        <w:rPr>
          <w:rFonts w:cs="Tahoma"/>
          <w:bCs/>
          <w:szCs w:val="20"/>
        </w:rPr>
        <w:t>’</w:t>
      </w:r>
      <w:r w:rsidRPr="00CD09BB">
        <w:rPr>
          <w:rFonts w:cs="Tahoma"/>
          <w:bCs/>
          <w:szCs w:val="20"/>
        </w:rPr>
        <w:t xml:space="preserve">agevolazione (circolare n. 23/E del 26 maggio 2016, circolare n. 44/E del 27 ottobre 2009 e circolare n. </w:t>
      </w:r>
      <w:r w:rsidRPr="00332DA6">
        <w:rPr>
          <w:rFonts w:cs="Tahoma"/>
          <w:bCs/>
          <w:szCs w:val="20"/>
        </w:rPr>
        <w:t>4/E del 18 gennaio 2002).</w:t>
      </w:r>
    </w:p>
    <w:p w14:paraId="4AE2AF93" w14:textId="77777777" w:rsidR="00765CBE" w:rsidRPr="00332DA6" w:rsidRDefault="00765CBE" w:rsidP="005B245B">
      <w:pPr>
        <w:shd w:val="clear" w:color="auto" w:fill="FFFFFF"/>
        <w:spacing w:line="360" w:lineRule="auto"/>
        <w:jc w:val="both"/>
        <w:rPr>
          <w:b/>
          <w:bCs/>
        </w:rPr>
      </w:pPr>
      <w:bookmarkStart w:id="57" w:name="_Toc90462754"/>
      <w:r w:rsidRPr="00332DA6">
        <w:rPr>
          <w:b/>
          <w:bCs/>
        </w:rPr>
        <w:t>Tabella riepilogo effettuazione investimenti</w:t>
      </w:r>
      <w:bookmarkEnd w:id="57"/>
    </w:p>
    <w:tbl>
      <w:tblPr>
        <w:tblStyle w:val="Grigliatabella"/>
        <w:tblW w:w="5000" w:type="pct"/>
        <w:tblLook w:val="04A0" w:firstRow="1" w:lastRow="0" w:firstColumn="1" w:lastColumn="0" w:noHBand="0" w:noVBand="1"/>
      </w:tblPr>
      <w:tblGrid>
        <w:gridCol w:w="2316"/>
        <w:gridCol w:w="7312"/>
      </w:tblGrid>
      <w:tr w:rsidR="00765CBE" w14:paraId="05C24AC6" w14:textId="77777777" w:rsidTr="001D3F87">
        <w:tc>
          <w:tcPr>
            <w:tcW w:w="1203" w:type="pct"/>
            <w:shd w:val="clear" w:color="auto" w:fill="DBE5F1" w:themeFill="accent1" w:themeFillTint="33"/>
          </w:tcPr>
          <w:p w14:paraId="75766F4B" w14:textId="77777777" w:rsidR="00765CBE" w:rsidRPr="00BF219B" w:rsidRDefault="00765CBE" w:rsidP="001D3F87">
            <w:pPr>
              <w:spacing w:before="60" w:after="60" w:line="326" w:lineRule="auto"/>
              <w:jc w:val="center"/>
              <w:rPr>
                <w:rFonts w:cs="Tahoma"/>
                <w:b/>
                <w:szCs w:val="20"/>
              </w:rPr>
            </w:pPr>
            <w:r w:rsidRPr="00BF219B">
              <w:rPr>
                <w:rFonts w:cs="Tahoma"/>
                <w:b/>
                <w:szCs w:val="20"/>
              </w:rPr>
              <w:t>Investimento</w:t>
            </w:r>
          </w:p>
        </w:tc>
        <w:tc>
          <w:tcPr>
            <w:tcW w:w="3797" w:type="pct"/>
            <w:shd w:val="clear" w:color="auto" w:fill="DBE5F1" w:themeFill="accent1" w:themeFillTint="33"/>
          </w:tcPr>
          <w:p w14:paraId="5B9888BB" w14:textId="77777777" w:rsidR="00765CBE" w:rsidRPr="00135DD8" w:rsidRDefault="00765CBE" w:rsidP="001D3F87">
            <w:pPr>
              <w:spacing w:before="60" w:after="60" w:line="326" w:lineRule="auto"/>
              <w:jc w:val="center"/>
              <w:rPr>
                <w:rFonts w:cs="Tahoma"/>
                <w:b/>
                <w:szCs w:val="20"/>
              </w:rPr>
            </w:pPr>
            <w:r w:rsidRPr="00135DD8">
              <w:rPr>
                <w:rFonts w:cs="Tahoma"/>
                <w:b/>
                <w:szCs w:val="20"/>
              </w:rPr>
              <w:t>Momento di effettuazione</w:t>
            </w:r>
          </w:p>
        </w:tc>
      </w:tr>
      <w:tr w:rsidR="00765CBE" w14:paraId="2F29DA94" w14:textId="77777777" w:rsidTr="00332DA6">
        <w:tc>
          <w:tcPr>
            <w:tcW w:w="1203" w:type="pct"/>
          </w:tcPr>
          <w:p w14:paraId="09BB436F" w14:textId="77777777" w:rsidR="00765CBE" w:rsidRPr="00BF219B" w:rsidRDefault="00765CBE" w:rsidP="00332DA6">
            <w:pPr>
              <w:shd w:val="clear" w:color="auto" w:fill="FFFFFF"/>
              <w:spacing w:before="60" w:after="60" w:line="326" w:lineRule="auto"/>
              <w:rPr>
                <w:rFonts w:cs="Tahoma"/>
                <w:b/>
                <w:szCs w:val="20"/>
              </w:rPr>
            </w:pPr>
            <w:r w:rsidRPr="00BF219B">
              <w:rPr>
                <w:rFonts w:cs="Tahoma"/>
                <w:b/>
                <w:szCs w:val="20"/>
              </w:rPr>
              <w:t>Beni mobili</w:t>
            </w:r>
          </w:p>
        </w:tc>
        <w:tc>
          <w:tcPr>
            <w:tcW w:w="3797" w:type="pct"/>
          </w:tcPr>
          <w:p w14:paraId="7016A0F5" w14:textId="77777777" w:rsidR="00765CBE" w:rsidRDefault="00765CBE" w:rsidP="00332DA6">
            <w:pPr>
              <w:spacing w:before="60" w:after="60" w:line="326" w:lineRule="auto"/>
              <w:jc w:val="both"/>
              <w:rPr>
                <w:rFonts w:cs="Tahoma"/>
                <w:bCs/>
                <w:szCs w:val="20"/>
              </w:rPr>
            </w:pPr>
            <w:r>
              <w:rPr>
                <w:rFonts w:cs="Tahoma"/>
                <w:bCs/>
                <w:szCs w:val="20"/>
              </w:rPr>
              <w:t>Consegna o spedizione (o momento in cui si verifica l’effetto traslativo della proprietà se successivo)</w:t>
            </w:r>
          </w:p>
        </w:tc>
      </w:tr>
      <w:tr w:rsidR="00765CBE" w14:paraId="6338F0E8" w14:textId="77777777" w:rsidTr="00332DA6">
        <w:tc>
          <w:tcPr>
            <w:tcW w:w="1203" w:type="pct"/>
          </w:tcPr>
          <w:p w14:paraId="73B3381A" w14:textId="77777777" w:rsidR="00765CBE" w:rsidRPr="00BF219B" w:rsidRDefault="00765CBE" w:rsidP="00332DA6">
            <w:pPr>
              <w:shd w:val="clear" w:color="auto" w:fill="FFFFFF"/>
              <w:spacing w:before="60" w:after="60" w:line="326" w:lineRule="auto"/>
              <w:rPr>
                <w:rFonts w:cs="Tahoma"/>
                <w:b/>
                <w:szCs w:val="20"/>
              </w:rPr>
            </w:pPr>
            <w:r w:rsidRPr="00BF219B">
              <w:rPr>
                <w:rFonts w:cs="Tahoma"/>
                <w:b/>
                <w:szCs w:val="20"/>
              </w:rPr>
              <w:t>Leasing</w:t>
            </w:r>
          </w:p>
        </w:tc>
        <w:tc>
          <w:tcPr>
            <w:tcW w:w="3797" w:type="pct"/>
          </w:tcPr>
          <w:p w14:paraId="3D7C4391" w14:textId="77777777" w:rsidR="00765CBE" w:rsidRDefault="00765CBE" w:rsidP="00332DA6">
            <w:pPr>
              <w:spacing w:before="60" w:after="60" w:line="326" w:lineRule="auto"/>
              <w:jc w:val="both"/>
              <w:rPr>
                <w:rFonts w:cs="Tahoma"/>
                <w:bCs/>
                <w:szCs w:val="20"/>
              </w:rPr>
            </w:pPr>
            <w:r>
              <w:rPr>
                <w:rFonts w:cs="Tahoma"/>
                <w:bCs/>
                <w:szCs w:val="20"/>
              </w:rPr>
              <w:t>Consegna (se clausola di prova a favore del locatario, all’esito positivo del collaudo)</w:t>
            </w:r>
          </w:p>
        </w:tc>
      </w:tr>
      <w:tr w:rsidR="00765CBE" w14:paraId="798B83C6" w14:textId="77777777" w:rsidTr="00332DA6">
        <w:tc>
          <w:tcPr>
            <w:tcW w:w="1203" w:type="pct"/>
          </w:tcPr>
          <w:p w14:paraId="1A7EEF51" w14:textId="77777777" w:rsidR="00765CBE" w:rsidRPr="00BF219B" w:rsidRDefault="00765CBE" w:rsidP="00332DA6">
            <w:pPr>
              <w:shd w:val="clear" w:color="auto" w:fill="FFFFFF"/>
              <w:spacing w:before="60" w:after="60" w:line="326" w:lineRule="auto"/>
              <w:rPr>
                <w:rFonts w:cs="Tahoma"/>
                <w:b/>
                <w:szCs w:val="20"/>
              </w:rPr>
            </w:pPr>
            <w:r w:rsidRPr="00BF219B">
              <w:rPr>
                <w:rFonts w:cs="Tahoma"/>
                <w:b/>
                <w:szCs w:val="20"/>
              </w:rPr>
              <w:t>Beni realizzati in economia</w:t>
            </w:r>
          </w:p>
        </w:tc>
        <w:tc>
          <w:tcPr>
            <w:tcW w:w="3797" w:type="pct"/>
          </w:tcPr>
          <w:p w14:paraId="12AFB3A5" w14:textId="77777777" w:rsidR="00765CBE" w:rsidRDefault="00765CBE" w:rsidP="00332DA6">
            <w:pPr>
              <w:spacing w:before="60" w:after="60" w:line="326" w:lineRule="auto"/>
              <w:jc w:val="both"/>
              <w:rPr>
                <w:rFonts w:cs="Tahoma"/>
                <w:bCs/>
                <w:szCs w:val="20"/>
              </w:rPr>
            </w:pPr>
            <w:r>
              <w:rPr>
                <w:rFonts w:cs="Tahoma"/>
                <w:bCs/>
                <w:szCs w:val="20"/>
              </w:rPr>
              <w:t>Costi sostenuti nel periodo</w:t>
            </w:r>
          </w:p>
        </w:tc>
      </w:tr>
      <w:tr w:rsidR="00765CBE" w14:paraId="7EFB2788" w14:textId="77777777" w:rsidTr="00332DA6">
        <w:tc>
          <w:tcPr>
            <w:tcW w:w="1203" w:type="pct"/>
          </w:tcPr>
          <w:p w14:paraId="784B4407" w14:textId="77777777" w:rsidR="00765CBE" w:rsidRPr="00BF219B" w:rsidRDefault="00765CBE" w:rsidP="00332DA6">
            <w:pPr>
              <w:shd w:val="clear" w:color="auto" w:fill="FFFFFF"/>
              <w:spacing w:before="60" w:after="60" w:line="326" w:lineRule="auto"/>
              <w:rPr>
                <w:rFonts w:cs="Tahoma"/>
                <w:b/>
                <w:szCs w:val="20"/>
              </w:rPr>
            </w:pPr>
            <w:r w:rsidRPr="00BF219B">
              <w:rPr>
                <w:rFonts w:cs="Tahoma"/>
                <w:b/>
                <w:szCs w:val="20"/>
              </w:rPr>
              <w:t>Contratto di appalto a terzi</w:t>
            </w:r>
          </w:p>
        </w:tc>
        <w:tc>
          <w:tcPr>
            <w:tcW w:w="3797" w:type="pct"/>
          </w:tcPr>
          <w:p w14:paraId="7A7DBF8B" w14:textId="77777777" w:rsidR="00765CBE" w:rsidRDefault="00765CBE" w:rsidP="00332DA6">
            <w:pPr>
              <w:spacing w:before="60" w:after="60" w:line="326" w:lineRule="auto"/>
              <w:jc w:val="both"/>
              <w:rPr>
                <w:rFonts w:cs="Tahoma"/>
                <w:bCs/>
                <w:szCs w:val="20"/>
              </w:rPr>
            </w:pPr>
            <w:r>
              <w:rPr>
                <w:rFonts w:cs="Tahoma"/>
                <w:bCs/>
                <w:szCs w:val="20"/>
              </w:rPr>
              <w:t>Data di ultimazione della prestazione oppure</w:t>
            </w:r>
          </w:p>
          <w:p w14:paraId="452A3334" w14:textId="77777777" w:rsidR="00765CBE" w:rsidRDefault="00765CBE" w:rsidP="00332DA6">
            <w:pPr>
              <w:spacing w:before="60" w:after="60" w:line="326" w:lineRule="auto"/>
              <w:jc w:val="both"/>
              <w:rPr>
                <w:rFonts w:cs="Tahoma"/>
                <w:bCs/>
                <w:szCs w:val="20"/>
              </w:rPr>
            </w:pPr>
            <w:r>
              <w:rPr>
                <w:rFonts w:cs="Tahoma"/>
                <w:bCs/>
                <w:szCs w:val="20"/>
              </w:rPr>
              <w:t>SAL verificati ed accettati</w:t>
            </w:r>
          </w:p>
        </w:tc>
      </w:tr>
    </w:tbl>
    <w:p w14:paraId="04287DDA" w14:textId="3D4E6E3C" w:rsidR="00765CBE" w:rsidRDefault="00765CBE" w:rsidP="00765CBE">
      <w:pPr>
        <w:shd w:val="clear" w:color="auto" w:fill="FFFFFF"/>
        <w:spacing w:line="360" w:lineRule="auto"/>
        <w:jc w:val="both"/>
        <w:rPr>
          <w:rFonts w:cs="Tahoma"/>
          <w:bCs/>
          <w:szCs w:val="20"/>
        </w:rPr>
      </w:pPr>
    </w:p>
    <w:p w14:paraId="0B1B4784" w14:textId="0AF52BD8" w:rsidR="003F44DB" w:rsidRDefault="005855FE" w:rsidP="005855FE">
      <w:pPr>
        <w:spacing w:after="0" w:line="240" w:lineRule="auto"/>
        <w:rPr>
          <w:rFonts w:cs="Tahoma"/>
          <w:bCs/>
          <w:szCs w:val="20"/>
        </w:rPr>
      </w:pPr>
      <w:r>
        <w:rPr>
          <w:rFonts w:cs="Tahoma"/>
          <w:bCs/>
          <w:szCs w:val="20"/>
        </w:rPr>
        <w:br w:type="page"/>
      </w:r>
    </w:p>
    <w:p w14:paraId="2070C7F9" w14:textId="6E2C0210" w:rsidR="00765CBE" w:rsidRPr="00E533EC" w:rsidRDefault="00474E86" w:rsidP="00765CBE">
      <w:pPr>
        <w:pStyle w:val="Titolo3"/>
      </w:pPr>
      <w:bookmarkStart w:id="58" w:name="_Toc90462755"/>
      <w:bookmarkStart w:id="59" w:name="_Toc93327727"/>
      <w:bookmarkStart w:id="60" w:name="_Hlk89947406"/>
      <w:r>
        <w:lastRenderedPageBreak/>
        <w:t>5</w:t>
      </w:r>
      <w:r w:rsidR="00765CBE" w:rsidRPr="00E533EC">
        <w:t>.</w:t>
      </w:r>
      <w:r w:rsidR="00765CBE">
        <w:t>1.3</w:t>
      </w:r>
      <w:r w:rsidR="00765CBE" w:rsidRPr="00E533EC">
        <w:t xml:space="preserve"> </w:t>
      </w:r>
      <w:r w:rsidR="00765CBE">
        <w:t>Investimenti non conclusi entro il 31 dicembre 2021 e finestra di accesso</w:t>
      </w:r>
      <w:bookmarkEnd w:id="49"/>
      <w:bookmarkEnd w:id="50"/>
      <w:bookmarkEnd w:id="51"/>
      <w:bookmarkEnd w:id="52"/>
      <w:bookmarkEnd w:id="58"/>
      <w:bookmarkEnd w:id="59"/>
    </w:p>
    <w:bookmarkEnd w:id="60"/>
    <w:p w14:paraId="21B462A4" w14:textId="77FDE20F" w:rsidR="00765CBE" w:rsidRPr="00474E86" w:rsidRDefault="00765CBE" w:rsidP="00765CBE">
      <w:pPr>
        <w:spacing w:line="360" w:lineRule="auto"/>
        <w:jc w:val="both"/>
        <w:rPr>
          <w:rFonts w:cs="Tahoma"/>
          <w:bCs/>
          <w:szCs w:val="20"/>
        </w:rPr>
      </w:pPr>
      <w:r>
        <w:rPr>
          <w:rFonts w:cs="Tahoma"/>
          <w:bCs/>
          <w:szCs w:val="20"/>
        </w:rPr>
        <w:t xml:space="preserve">Per poter usufruire delle maggiori misure del credito di imposta dell’anno 2021, l’investimento può avvenire </w:t>
      </w:r>
      <w:r w:rsidRPr="008C27F0">
        <w:rPr>
          <w:rFonts w:cs="Tahoma"/>
          <w:b/>
          <w:szCs w:val="20"/>
        </w:rPr>
        <w:t>entro il 30 giugno 2022</w:t>
      </w:r>
      <w:r w:rsidRPr="00350F12">
        <w:rPr>
          <w:rFonts w:cs="Tahoma"/>
          <w:bCs/>
          <w:szCs w:val="20"/>
        </w:rPr>
        <w:t xml:space="preserve">, a condizione che </w:t>
      </w:r>
      <w:r w:rsidRPr="00ED55AD">
        <w:rPr>
          <w:rFonts w:cs="Tahoma"/>
          <w:b/>
          <w:szCs w:val="20"/>
        </w:rPr>
        <w:t>entro la data del 31 dicembre 2021</w:t>
      </w:r>
      <w:r w:rsidR="00391D4D">
        <w:rPr>
          <w:rFonts w:cs="Tahoma"/>
          <w:b/>
          <w:szCs w:val="20"/>
        </w:rPr>
        <w:t>:</w:t>
      </w:r>
    </w:p>
    <w:p w14:paraId="2038F67C" w14:textId="77777777" w:rsidR="00765CBE" w:rsidRPr="00ED55AD" w:rsidRDefault="00765CBE" w:rsidP="00AE49EC">
      <w:pPr>
        <w:pStyle w:val="Paragrafoelenco"/>
        <w:numPr>
          <w:ilvl w:val="0"/>
          <w:numId w:val="23"/>
        </w:numPr>
        <w:spacing w:line="360" w:lineRule="auto"/>
        <w:jc w:val="both"/>
        <w:rPr>
          <w:rFonts w:cs="Tahoma"/>
          <w:bCs/>
          <w:szCs w:val="20"/>
        </w:rPr>
      </w:pPr>
      <w:r w:rsidRPr="00ED55AD">
        <w:rPr>
          <w:rFonts w:cs="Tahoma"/>
          <w:bCs/>
          <w:szCs w:val="20"/>
        </w:rPr>
        <w:t xml:space="preserve">il relativo </w:t>
      </w:r>
      <w:r w:rsidRPr="00BF219B">
        <w:rPr>
          <w:rFonts w:cs="Tahoma"/>
          <w:b/>
          <w:szCs w:val="20"/>
        </w:rPr>
        <w:t>ordine risulti accettato</w:t>
      </w:r>
      <w:r w:rsidRPr="00ED55AD">
        <w:rPr>
          <w:rFonts w:cs="Tahoma"/>
          <w:bCs/>
          <w:szCs w:val="20"/>
        </w:rPr>
        <w:t xml:space="preserve"> dal venditore e</w:t>
      </w:r>
    </w:p>
    <w:p w14:paraId="4454C2C5" w14:textId="77777777" w:rsidR="00765CBE" w:rsidRDefault="00765CBE" w:rsidP="00AE49EC">
      <w:pPr>
        <w:pStyle w:val="Paragrafoelenco"/>
        <w:numPr>
          <w:ilvl w:val="0"/>
          <w:numId w:val="23"/>
        </w:numPr>
        <w:spacing w:line="360" w:lineRule="auto"/>
        <w:jc w:val="both"/>
        <w:rPr>
          <w:rFonts w:cs="Tahoma"/>
          <w:bCs/>
          <w:szCs w:val="20"/>
        </w:rPr>
      </w:pPr>
      <w:r w:rsidRPr="00ED55AD">
        <w:rPr>
          <w:rFonts w:cs="Tahoma"/>
          <w:bCs/>
          <w:szCs w:val="20"/>
        </w:rPr>
        <w:t xml:space="preserve">sia avvenuto il pagamento di </w:t>
      </w:r>
      <w:r w:rsidRPr="00135DD8">
        <w:rPr>
          <w:rFonts w:cs="Tahoma"/>
          <w:b/>
          <w:szCs w:val="20"/>
        </w:rPr>
        <w:t>acconti in misura almeno pari al 20 per cento</w:t>
      </w:r>
      <w:r w:rsidRPr="00ED55AD">
        <w:rPr>
          <w:rFonts w:cs="Tahoma"/>
          <w:bCs/>
          <w:szCs w:val="20"/>
        </w:rPr>
        <w:t xml:space="preserve"> del costo di acquisizione</w:t>
      </w:r>
      <w:r>
        <w:rPr>
          <w:rFonts w:cs="Tahoma"/>
          <w:bCs/>
          <w:szCs w:val="20"/>
        </w:rPr>
        <w:t>,</w:t>
      </w:r>
    </w:p>
    <w:p w14:paraId="02C0E39A" w14:textId="77777777" w:rsidR="00765CBE" w:rsidRDefault="00765CBE" w:rsidP="00765CBE">
      <w:pPr>
        <w:spacing w:line="360" w:lineRule="auto"/>
        <w:jc w:val="both"/>
        <w:rPr>
          <w:rFonts w:cs="Tahoma"/>
          <w:bCs/>
          <w:szCs w:val="20"/>
        </w:rPr>
      </w:pPr>
      <w:r>
        <w:rPr>
          <w:rFonts w:cs="Tahoma"/>
          <w:bCs/>
          <w:szCs w:val="20"/>
        </w:rPr>
        <w:t>I</w:t>
      </w:r>
      <w:r w:rsidRPr="00423CAA">
        <w:rPr>
          <w:rFonts w:cs="Tahoma"/>
          <w:bCs/>
          <w:szCs w:val="20"/>
        </w:rPr>
        <w:t>l contribuente è tenuto a</w:t>
      </w:r>
      <w:r>
        <w:rPr>
          <w:rFonts w:cs="Tahoma"/>
          <w:bCs/>
          <w:szCs w:val="20"/>
        </w:rPr>
        <w:t xml:space="preserve"> </w:t>
      </w:r>
      <w:r w:rsidRPr="00423CAA">
        <w:rPr>
          <w:rFonts w:cs="Tahoma"/>
          <w:bCs/>
          <w:szCs w:val="20"/>
        </w:rPr>
        <w:t>conservare idonea documentazione giustificativa (ad esempio, copia dell</w:t>
      </w:r>
      <w:r>
        <w:rPr>
          <w:rFonts w:cs="Tahoma"/>
          <w:bCs/>
          <w:szCs w:val="20"/>
        </w:rPr>
        <w:t>’</w:t>
      </w:r>
      <w:r w:rsidRPr="00423CAA">
        <w:rPr>
          <w:rFonts w:cs="Tahoma"/>
          <w:bCs/>
          <w:szCs w:val="20"/>
        </w:rPr>
        <w:t>ordine,</w:t>
      </w:r>
      <w:r>
        <w:rPr>
          <w:rFonts w:cs="Tahoma"/>
          <w:bCs/>
          <w:szCs w:val="20"/>
        </w:rPr>
        <w:t xml:space="preserve"> </w:t>
      </w:r>
      <w:r w:rsidRPr="00423CAA">
        <w:rPr>
          <w:rFonts w:cs="Tahoma"/>
          <w:bCs/>
          <w:szCs w:val="20"/>
        </w:rPr>
        <w:t>corrispondenza, e</w:t>
      </w:r>
      <w:r>
        <w:rPr>
          <w:rFonts w:cs="Tahoma"/>
          <w:bCs/>
          <w:szCs w:val="20"/>
        </w:rPr>
        <w:t>-</w:t>
      </w:r>
      <w:r w:rsidRPr="00423CAA">
        <w:rPr>
          <w:rFonts w:cs="Tahoma"/>
          <w:bCs/>
          <w:szCs w:val="20"/>
        </w:rPr>
        <w:t>mail, bonifici, ecc.).</w:t>
      </w:r>
    </w:p>
    <w:p w14:paraId="3CE82ADE" w14:textId="77777777" w:rsidR="00765CBE" w:rsidRDefault="00765CBE" w:rsidP="00765CBE">
      <w:pPr>
        <w:spacing w:line="360" w:lineRule="auto"/>
        <w:jc w:val="both"/>
        <w:rPr>
          <w:rFonts w:cs="Tahoma"/>
          <w:bCs/>
          <w:szCs w:val="20"/>
        </w:rPr>
      </w:pPr>
      <w:r w:rsidRPr="00A729CF">
        <w:rPr>
          <w:rFonts w:cs="Tahoma"/>
          <w:bCs/>
          <w:szCs w:val="20"/>
        </w:rPr>
        <w:t xml:space="preserve">Per gli investimenti effettuati mediante </w:t>
      </w:r>
      <w:r w:rsidRPr="00423CAA">
        <w:rPr>
          <w:rFonts w:cs="Tahoma"/>
          <w:b/>
          <w:szCs w:val="20"/>
        </w:rPr>
        <w:t>contratti di locazione finanziaria</w:t>
      </w:r>
      <w:r w:rsidRPr="00A729CF">
        <w:rPr>
          <w:rFonts w:cs="Tahoma"/>
          <w:bCs/>
          <w:szCs w:val="20"/>
        </w:rPr>
        <w:t>, si assume il costo sostenuto dal locatore per l'acquisto dei beni</w:t>
      </w:r>
      <w:r>
        <w:rPr>
          <w:rFonts w:cs="Tahoma"/>
          <w:bCs/>
          <w:szCs w:val="20"/>
        </w:rPr>
        <w:t xml:space="preserve"> e per usufruire dell’estensione temporale al 30 giugno 2022 (consegna del bene al locatario o esito positivo del collaudo) </w:t>
      </w:r>
      <w:r w:rsidRPr="004E3C14">
        <w:rPr>
          <w:rFonts w:cs="Tahoma"/>
          <w:b/>
          <w:szCs w:val="20"/>
        </w:rPr>
        <w:t>entro il 31 dicembre 2021</w:t>
      </w:r>
      <w:r>
        <w:rPr>
          <w:rFonts w:cs="Tahoma"/>
          <w:bCs/>
          <w:szCs w:val="20"/>
        </w:rPr>
        <w:t xml:space="preserve"> è necessario che:</w:t>
      </w:r>
    </w:p>
    <w:p w14:paraId="31C148AA" w14:textId="77777777" w:rsidR="00765CBE" w:rsidRDefault="00765CBE" w:rsidP="00AE49EC">
      <w:pPr>
        <w:pStyle w:val="Paragrafoelenco"/>
        <w:numPr>
          <w:ilvl w:val="0"/>
          <w:numId w:val="26"/>
        </w:numPr>
        <w:spacing w:line="360" w:lineRule="auto"/>
        <w:jc w:val="both"/>
        <w:rPr>
          <w:rFonts w:cs="Tahoma"/>
          <w:bCs/>
          <w:szCs w:val="20"/>
        </w:rPr>
      </w:pPr>
      <w:r>
        <w:rPr>
          <w:rFonts w:cs="Tahoma"/>
          <w:bCs/>
          <w:szCs w:val="20"/>
        </w:rPr>
        <w:t>entrambe le parti abbiano sottoscritto il relativo contratto di leasing e</w:t>
      </w:r>
    </w:p>
    <w:p w14:paraId="5F0D6D36" w14:textId="77777777" w:rsidR="00765CBE" w:rsidRPr="008C27F0" w:rsidRDefault="00765CBE" w:rsidP="00AE49EC">
      <w:pPr>
        <w:pStyle w:val="Paragrafoelenco"/>
        <w:numPr>
          <w:ilvl w:val="0"/>
          <w:numId w:val="26"/>
        </w:numPr>
        <w:spacing w:line="360" w:lineRule="auto"/>
        <w:jc w:val="both"/>
        <w:rPr>
          <w:rFonts w:cs="Tahoma"/>
          <w:bCs/>
          <w:szCs w:val="20"/>
        </w:rPr>
      </w:pPr>
      <w:r w:rsidRPr="008C27F0">
        <w:rPr>
          <w:rFonts w:cs="Tahoma"/>
          <w:bCs/>
          <w:szCs w:val="20"/>
        </w:rPr>
        <w:t xml:space="preserve">sia avvenuto il </w:t>
      </w:r>
      <w:r w:rsidRPr="00135DD8">
        <w:rPr>
          <w:rFonts w:cs="Tahoma"/>
          <w:b/>
          <w:szCs w:val="20"/>
        </w:rPr>
        <w:t>pagamento di un maxicanone in misura almeno pari al 20 per cento</w:t>
      </w:r>
      <w:r w:rsidRPr="008C27F0">
        <w:rPr>
          <w:rFonts w:cs="Tahoma"/>
          <w:bCs/>
          <w:szCs w:val="20"/>
        </w:rPr>
        <w:t xml:space="preserve"> della quota capitale complessivamente dovuta al locatore.</w:t>
      </w:r>
    </w:p>
    <w:p w14:paraId="21238716" w14:textId="77777777" w:rsidR="00765CBE" w:rsidRDefault="00765CBE" w:rsidP="00765CBE">
      <w:pPr>
        <w:spacing w:line="360" w:lineRule="auto"/>
        <w:jc w:val="both"/>
        <w:rPr>
          <w:rFonts w:cs="Tahoma"/>
          <w:bCs/>
          <w:szCs w:val="20"/>
        </w:rPr>
      </w:pPr>
      <w:r w:rsidRPr="004E3C14">
        <w:rPr>
          <w:rFonts w:cs="Tahoma"/>
          <w:bCs/>
          <w:szCs w:val="20"/>
        </w:rPr>
        <w:t xml:space="preserve">Per ciò che concerne i </w:t>
      </w:r>
      <w:r w:rsidRPr="004E3C14">
        <w:rPr>
          <w:rFonts w:cs="Tahoma"/>
          <w:b/>
          <w:szCs w:val="20"/>
        </w:rPr>
        <w:t>beni realizzati mediante contratto di appalto</w:t>
      </w:r>
      <w:r w:rsidRPr="004E3C14">
        <w:rPr>
          <w:rFonts w:cs="Tahoma"/>
          <w:bCs/>
          <w:szCs w:val="20"/>
        </w:rPr>
        <w:t>, si può avere l</w:t>
      </w:r>
      <w:r>
        <w:rPr>
          <w:rFonts w:cs="Tahoma"/>
          <w:bCs/>
          <w:szCs w:val="20"/>
        </w:rPr>
        <w:t>’</w:t>
      </w:r>
      <w:r w:rsidRPr="004E3C14">
        <w:rPr>
          <w:rFonts w:cs="Tahoma"/>
          <w:bCs/>
          <w:szCs w:val="20"/>
        </w:rPr>
        <w:t xml:space="preserve">estensione temporale </w:t>
      </w:r>
      <w:r>
        <w:rPr>
          <w:rFonts w:cs="Tahoma"/>
          <w:bCs/>
          <w:szCs w:val="20"/>
        </w:rPr>
        <w:t>dell’agevolazione con data di ultimazione della prestazione ovvero, in caso di SAL, data in cui l’opera o porzione di essa risulta verificata ed accettata dal committente) entro il 30 giugno 2022 a</w:t>
      </w:r>
      <w:r w:rsidRPr="004E3C14">
        <w:rPr>
          <w:rFonts w:cs="Tahoma"/>
          <w:bCs/>
          <w:szCs w:val="20"/>
        </w:rPr>
        <w:t xml:space="preserve"> condizione che entro la data del 31 dicembre 20</w:t>
      </w:r>
      <w:r>
        <w:rPr>
          <w:rFonts w:cs="Tahoma"/>
          <w:bCs/>
          <w:szCs w:val="20"/>
        </w:rPr>
        <w:t>21</w:t>
      </w:r>
      <w:r w:rsidRPr="004E3C14">
        <w:rPr>
          <w:rFonts w:cs="Tahoma"/>
          <w:bCs/>
          <w:szCs w:val="20"/>
        </w:rPr>
        <w:t>:</w:t>
      </w:r>
    </w:p>
    <w:p w14:paraId="6B0221FE" w14:textId="77777777" w:rsidR="00765CBE" w:rsidRDefault="00765CBE" w:rsidP="00AE49EC">
      <w:pPr>
        <w:pStyle w:val="Paragrafoelenco"/>
        <w:numPr>
          <w:ilvl w:val="0"/>
          <w:numId w:val="27"/>
        </w:numPr>
        <w:spacing w:line="360" w:lineRule="auto"/>
        <w:jc w:val="both"/>
        <w:rPr>
          <w:rFonts w:cs="Tahoma"/>
          <w:bCs/>
          <w:szCs w:val="20"/>
        </w:rPr>
      </w:pPr>
      <w:r w:rsidRPr="004E3C14">
        <w:rPr>
          <w:rFonts w:cs="Tahoma"/>
          <w:bCs/>
          <w:szCs w:val="20"/>
        </w:rPr>
        <w:t>il relativo contratto di appalto risulti sottoscritto da entrambe le parti e</w:t>
      </w:r>
    </w:p>
    <w:p w14:paraId="4BDF06A8" w14:textId="77777777" w:rsidR="00765CBE" w:rsidRDefault="00765CBE" w:rsidP="00AE49EC">
      <w:pPr>
        <w:pStyle w:val="Paragrafoelenco"/>
        <w:numPr>
          <w:ilvl w:val="0"/>
          <w:numId w:val="27"/>
        </w:numPr>
        <w:spacing w:line="360" w:lineRule="auto"/>
        <w:jc w:val="both"/>
        <w:rPr>
          <w:rFonts w:cs="Tahoma"/>
          <w:bCs/>
          <w:szCs w:val="20"/>
        </w:rPr>
      </w:pPr>
      <w:r w:rsidRPr="004E3C14">
        <w:rPr>
          <w:rFonts w:cs="Tahoma"/>
          <w:bCs/>
          <w:szCs w:val="20"/>
        </w:rPr>
        <w:t>sia avvenuto il pagamento di acconti in misura almeno pari al 20 per cento del costo complessivo previsto nel contratto.</w:t>
      </w:r>
    </w:p>
    <w:p w14:paraId="460F3EC3" w14:textId="77777777" w:rsidR="00765CBE" w:rsidRDefault="00765CBE" w:rsidP="00765CBE">
      <w:pPr>
        <w:spacing w:line="360" w:lineRule="auto"/>
        <w:jc w:val="both"/>
        <w:rPr>
          <w:rFonts w:cs="Tahoma"/>
          <w:bCs/>
          <w:szCs w:val="20"/>
        </w:rPr>
      </w:pPr>
      <w:r w:rsidRPr="004E3C14">
        <w:rPr>
          <w:rFonts w:cs="Tahoma"/>
          <w:bCs/>
          <w:szCs w:val="20"/>
        </w:rPr>
        <w:t xml:space="preserve">In merito ai </w:t>
      </w:r>
      <w:r w:rsidRPr="004E3C14">
        <w:rPr>
          <w:rFonts w:cs="Tahoma"/>
          <w:b/>
          <w:szCs w:val="20"/>
        </w:rPr>
        <w:t>beni realizzati in economia</w:t>
      </w:r>
      <w:r w:rsidRPr="004E3C14">
        <w:rPr>
          <w:rFonts w:cs="Tahoma"/>
          <w:bCs/>
          <w:szCs w:val="20"/>
        </w:rPr>
        <w:t xml:space="preserve">, </w:t>
      </w:r>
      <w:r>
        <w:rPr>
          <w:rFonts w:cs="Tahoma"/>
          <w:bCs/>
          <w:szCs w:val="20"/>
        </w:rPr>
        <w:t>si fa riferimento ai costi sostenuti nel periodo in base alla competenza.</w:t>
      </w:r>
    </w:p>
    <w:p w14:paraId="03925681" w14:textId="7C18791D" w:rsidR="003F44DB" w:rsidRDefault="00656D06" w:rsidP="00656D06">
      <w:pPr>
        <w:spacing w:after="0" w:line="240" w:lineRule="auto"/>
        <w:rPr>
          <w:rFonts w:cs="Tahoma"/>
          <w:bCs/>
          <w:szCs w:val="20"/>
        </w:rPr>
      </w:pPr>
      <w:r>
        <w:rPr>
          <w:rFonts w:cs="Tahoma"/>
          <w:bCs/>
          <w:szCs w:val="20"/>
        </w:rPr>
        <w:br w:type="page"/>
      </w:r>
    </w:p>
    <w:p w14:paraId="50EDD6B8" w14:textId="32ECB9BB" w:rsidR="00765CBE" w:rsidRPr="001D3F87" w:rsidRDefault="00765CBE" w:rsidP="005B245B">
      <w:pPr>
        <w:spacing w:line="360" w:lineRule="auto"/>
        <w:jc w:val="both"/>
        <w:rPr>
          <w:rFonts w:cs="Tahoma"/>
          <w:b/>
          <w:color w:val="000000" w:themeColor="text1"/>
          <w:szCs w:val="20"/>
        </w:rPr>
      </w:pPr>
      <w:bookmarkStart w:id="61" w:name="_Toc90462756"/>
      <w:r w:rsidRPr="001D3F87">
        <w:rPr>
          <w:rFonts w:cs="Tahoma"/>
          <w:b/>
          <w:color w:val="000000" w:themeColor="text1"/>
          <w:szCs w:val="20"/>
        </w:rPr>
        <w:lastRenderedPageBreak/>
        <w:t xml:space="preserve">Tabella condizioni per usufruire della </w:t>
      </w:r>
      <w:r w:rsidR="00866EFD" w:rsidRPr="001D3F87">
        <w:rPr>
          <w:rFonts w:cs="Tahoma"/>
          <w:b/>
          <w:color w:val="000000" w:themeColor="text1"/>
          <w:szCs w:val="20"/>
        </w:rPr>
        <w:t>maggiorazione</w:t>
      </w:r>
      <w:r w:rsidRPr="001D3F87">
        <w:rPr>
          <w:rFonts w:cs="Tahoma"/>
          <w:b/>
          <w:color w:val="000000" w:themeColor="text1"/>
          <w:szCs w:val="20"/>
        </w:rPr>
        <w:t xml:space="preserve"> con consegna entro il 30 giugno 2022</w:t>
      </w:r>
      <w:bookmarkEnd w:id="61"/>
    </w:p>
    <w:tbl>
      <w:tblPr>
        <w:tblStyle w:val="Grigliatabella"/>
        <w:tblW w:w="5000" w:type="pct"/>
        <w:jc w:val="center"/>
        <w:tblLook w:val="04A0" w:firstRow="1" w:lastRow="0" w:firstColumn="1" w:lastColumn="0" w:noHBand="0" w:noVBand="1"/>
      </w:tblPr>
      <w:tblGrid>
        <w:gridCol w:w="2135"/>
        <w:gridCol w:w="7493"/>
      </w:tblGrid>
      <w:tr w:rsidR="00332DA6" w:rsidRPr="00332DA6" w14:paraId="00D2766A" w14:textId="77777777" w:rsidTr="001D3F87">
        <w:trPr>
          <w:jc w:val="center"/>
        </w:trPr>
        <w:tc>
          <w:tcPr>
            <w:tcW w:w="1109" w:type="pct"/>
            <w:shd w:val="clear" w:color="auto" w:fill="DBE5F1" w:themeFill="accent1" w:themeFillTint="33"/>
          </w:tcPr>
          <w:p w14:paraId="4F533E77" w14:textId="77777777" w:rsidR="00765CBE" w:rsidRPr="00332DA6" w:rsidRDefault="00765CBE" w:rsidP="001D3F87">
            <w:pPr>
              <w:spacing w:before="60" w:after="60" w:line="326" w:lineRule="auto"/>
              <w:jc w:val="center"/>
              <w:rPr>
                <w:rFonts w:cs="Tahoma"/>
                <w:b/>
                <w:szCs w:val="20"/>
              </w:rPr>
            </w:pPr>
            <w:r w:rsidRPr="00332DA6">
              <w:rPr>
                <w:rFonts w:cs="Tahoma"/>
                <w:b/>
                <w:szCs w:val="20"/>
              </w:rPr>
              <w:t>Tipologia investimento</w:t>
            </w:r>
          </w:p>
        </w:tc>
        <w:tc>
          <w:tcPr>
            <w:tcW w:w="3891" w:type="pct"/>
            <w:shd w:val="clear" w:color="auto" w:fill="DBE5F1" w:themeFill="accent1" w:themeFillTint="33"/>
          </w:tcPr>
          <w:p w14:paraId="47902B1B" w14:textId="77777777" w:rsidR="00765CBE" w:rsidRPr="00332DA6" w:rsidRDefault="00765CBE" w:rsidP="001D3F87">
            <w:pPr>
              <w:spacing w:before="60" w:after="60" w:line="326" w:lineRule="auto"/>
              <w:jc w:val="center"/>
              <w:rPr>
                <w:rFonts w:cs="Tahoma"/>
                <w:b/>
                <w:szCs w:val="20"/>
              </w:rPr>
            </w:pPr>
            <w:r w:rsidRPr="00332DA6">
              <w:rPr>
                <w:rFonts w:cs="Tahoma"/>
                <w:b/>
                <w:szCs w:val="20"/>
              </w:rPr>
              <w:t>Condizione entro il 31 dicembre</w:t>
            </w:r>
          </w:p>
        </w:tc>
      </w:tr>
      <w:tr w:rsidR="00332DA6" w:rsidRPr="00332DA6" w14:paraId="0DAAC83A" w14:textId="77777777" w:rsidTr="00332DA6">
        <w:trPr>
          <w:jc w:val="center"/>
        </w:trPr>
        <w:tc>
          <w:tcPr>
            <w:tcW w:w="1109" w:type="pct"/>
          </w:tcPr>
          <w:p w14:paraId="25157E8D" w14:textId="77777777" w:rsidR="00765CBE" w:rsidRPr="00332DA6" w:rsidRDefault="00765CBE" w:rsidP="001D3F87">
            <w:pPr>
              <w:spacing w:before="60" w:after="60" w:line="326" w:lineRule="auto"/>
              <w:jc w:val="both"/>
              <w:rPr>
                <w:rFonts w:cs="Tahoma"/>
                <w:b/>
                <w:szCs w:val="20"/>
              </w:rPr>
            </w:pPr>
            <w:r w:rsidRPr="00332DA6">
              <w:rPr>
                <w:rFonts w:cs="Tahoma"/>
                <w:b/>
                <w:szCs w:val="20"/>
              </w:rPr>
              <w:t>Acquisto</w:t>
            </w:r>
          </w:p>
        </w:tc>
        <w:tc>
          <w:tcPr>
            <w:tcW w:w="3891" w:type="pct"/>
          </w:tcPr>
          <w:p w14:paraId="44A4A9FC" w14:textId="77777777" w:rsidR="00765CBE" w:rsidRPr="00332DA6" w:rsidRDefault="00765CBE" w:rsidP="00AE49EC">
            <w:pPr>
              <w:pStyle w:val="Paragrafoelenco"/>
              <w:numPr>
                <w:ilvl w:val="0"/>
                <w:numId w:val="28"/>
              </w:numPr>
              <w:spacing w:before="60" w:after="60" w:line="326" w:lineRule="auto"/>
              <w:jc w:val="both"/>
              <w:rPr>
                <w:rFonts w:cs="Tahoma"/>
                <w:bCs/>
                <w:szCs w:val="20"/>
              </w:rPr>
            </w:pPr>
            <w:r w:rsidRPr="00332DA6">
              <w:rPr>
                <w:rFonts w:cs="Tahoma"/>
                <w:bCs/>
                <w:szCs w:val="20"/>
              </w:rPr>
              <w:t>il relativo ordine risulti accettato dal venditore e</w:t>
            </w:r>
          </w:p>
          <w:p w14:paraId="7C1A07D1" w14:textId="518721FD" w:rsidR="00765CBE" w:rsidRPr="00332DA6" w:rsidRDefault="00765CBE" w:rsidP="00AE49EC">
            <w:pPr>
              <w:pStyle w:val="Paragrafoelenco"/>
              <w:numPr>
                <w:ilvl w:val="0"/>
                <w:numId w:val="28"/>
              </w:numPr>
              <w:spacing w:before="60" w:after="60" w:line="326" w:lineRule="auto"/>
              <w:jc w:val="both"/>
              <w:rPr>
                <w:rFonts w:cs="Tahoma"/>
                <w:bCs/>
                <w:szCs w:val="20"/>
              </w:rPr>
            </w:pPr>
            <w:r w:rsidRPr="00332DA6">
              <w:rPr>
                <w:rFonts w:cs="Tahoma"/>
                <w:bCs/>
                <w:szCs w:val="20"/>
              </w:rPr>
              <w:t>sia avvenuto il pagamento di acconti in misura almeno pari al 20% del costo di acquisizione</w:t>
            </w:r>
          </w:p>
        </w:tc>
      </w:tr>
      <w:tr w:rsidR="00332DA6" w:rsidRPr="00332DA6" w14:paraId="1B26256F" w14:textId="77777777" w:rsidTr="00332DA6">
        <w:trPr>
          <w:jc w:val="center"/>
        </w:trPr>
        <w:tc>
          <w:tcPr>
            <w:tcW w:w="1109" w:type="pct"/>
          </w:tcPr>
          <w:p w14:paraId="6BD010BD" w14:textId="77777777" w:rsidR="00765CBE" w:rsidRPr="00332DA6" w:rsidRDefault="00765CBE" w:rsidP="001D3F87">
            <w:pPr>
              <w:spacing w:before="60" w:after="60" w:line="326" w:lineRule="auto"/>
              <w:jc w:val="both"/>
              <w:rPr>
                <w:rFonts w:cs="Tahoma"/>
                <w:b/>
                <w:szCs w:val="20"/>
              </w:rPr>
            </w:pPr>
            <w:r w:rsidRPr="00332DA6">
              <w:rPr>
                <w:rFonts w:cs="Tahoma"/>
                <w:b/>
                <w:szCs w:val="20"/>
              </w:rPr>
              <w:t>Leasing</w:t>
            </w:r>
          </w:p>
        </w:tc>
        <w:tc>
          <w:tcPr>
            <w:tcW w:w="3891" w:type="pct"/>
          </w:tcPr>
          <w:p w14:paraId="281F214A" w14:textId="77777777" w:rsidR="00765CBE" w:rsidRPr="00332DA6" w:rsidRDefault="00765CBE" w:rsidP="00AE49EC">
            <w:pPr>
              <w:pStyle w:val="Paragrafoelenco"/>
              <w:numPr>
                <w:ilvl w:val="0"/>
                <w:numId w:val="28"/>
              </w:numPr>
              <w:spacing w:before="60" w:after="60" w:line="326" w:lineRule="auto"/>
              <w:jc w:val="both"/>
              <w:rPr>
                <w:rFonts w:cs="Tahoma"/>
                <w:bCs/>
                <w:szCs w:val="20"/>
              </w:rPr>
            </w:pPr>
            <w:r w:rsidRPr="00332DA6">
              <w:rPr>
                <w:rFonts w:cs="Tahoma"/>
                <w:bCs/>
                <w:szCs w:val="20"/>
              </w:rPr>
              <w:t>entrambe le parti abbiano sottoscritto il relativo contratto di leasing e</w:t>
            </w:r>
          </w:p>
          <w:p w14:paraId="4D4CECD2" w14:textId="3E9E148C" w:rsidR="00765CBE" w:rsidRPr="00332DA6" w:rsidRDefault="00765CBE" w:rsidP="00AE49EC">
            <w:pPr>
              <w:pStyle w:val="Paragrafoelenco"/>
              <w:numPr>
                <w:ilvl w:val="0"/>
                <w:numId w:val="28"/>
              </w:numPr>
              <w:spacing w:before="60" w:after="60" w:line="326" w:lineRule="auto"/>
              <w:jc w:val="both"/>
              <w:rPr>
                <w:rFonts w:cs="Tahoma"/>
                <w:bCs/>
                <w:szCs w:val="20"/>
              </w:rPr>
            </w:pPr>
            <w:r w:rsidRPr="00332DA6">
              <w:rPr>
                <w:rFonts w:cs="Tahoma"/>
                <w:bCs/>
                <w:szCs w:val="20"/>
              </w:rPr>
              <w:t>sia avvenuto il pagamento di un maxicanone in misura almeno pari al 20% della quota capitale complessivamente dovuta al locatore</w:t>
            </w:r>
          </w:p>
        </w:tc>
      </w:tr>
      <w:tr w:rsidR="00332DA6" w:rsidRPr="00332DA6" w14:paraId="141AC266" w14:textId="77777777" w:rsidTr="00332DA6">
        <w:trPr>
          <w:jc w:val="center"/>
        </w:trPr>
        <w:tc>
          <w:tcPr>
            <w:tcW w:w="1109" w:type="pct"/>
          </w:tcPr>
          <w:p w14:paraId="2176D171" w14:textId="77777777" w:rsidR="00765CBE" w:rsidRPr="00332DA6" w:rsidRDefault="00765CBE" w:rsidP="001D3F87">
            <w:pPr>
              <w:spacing w:before="60" w:after="60" w:line="326" w:lineRule="auto"/>
              <w:jc w:val="both"/>
              <w:rPr>
                <w:rFonts w:cs="Tahoma"/>
                <w:b/>
                <w:szCs w:val="20"/>
              </w:rPr>
            </w:pPr>
            <w:r w:rsidRPr="00332DA6">
              <w:rPr>
                <w:rFonts w:cs="Tahoma"/>
                <w:b/>
                <w:szCs w:val="20"/>
              </w:rPr>
              <w:t>Appalto</w:t>
            </w:r>
          </w:p>
        </w:tc>
        <w:tc>
          <w:tcPr>
            <w:tcW w:w="3891" w:type="pct"/>
          </w:tcPr>
          <w:p w14:paraId="664DA5C7" w14:textId="77777777" w:rsidR="00765CBE" w:rsidRPr="00332DA6" w:rsidRDefault="00765CBE" w:rsidP="00AE49EC">
            <w:pPr>
              <w:numPr>
                <w:ilvl w:val="0"/>
                <w:numId w:val="27"/>
              </w:numPr>
              <w:spacing w:before="60" w:after="60" w:line="326" w:lineRule="auto"/>
              <w:jc w:val="both"/>
              <w:rPr>
                <w:rFonts w:cs="Tahoma"/>
                <w:bCs/>
                <w:szCs w:val="20"/>
              </w:rPr>
            </w:pPr>
            <w:r w:rsidRPr="00332DA6">
              <w:rPr>
                <w:rFonts w:cs="Tahoma"/>
                <w:bCs/>
                <w:szCs w:val="20"/>
              </w:rPr>
              <w:t>il relativo contratto di appalto risulti sottoscritto da entrambe le parti e</w:t>
            </w:r>
          </w:p>
          <w:p w14:paraId="4BDDB94E" w14:textId="482FCCAA" w:rsidR="00765CBE" w:rsidRPr="00332DA6" w:rsidRDefault="00765CBE" w:rsidP="00AE49EC">
            <w:pPr>
              <w:numPr>
                <w:ilvl w:val="0"/>
                <w:numId w:val="27"/>
              </w:numPr>
              <w:spacing w:before="60" w:after="60" w:line="326" w:lineRule="auto"/>
              <w:jc w:val="both"/>
              <w:rPr>
                <w:rFonts w:cs="Tahoma"/>
                <w:bCs/>
                <w:szCs w:val="20"/>
              </w:rPr>
            </w:pPr>
            <w:r w:rsidRPr="00332DA6">
              <w:rPr>
                <w:rFonts w:cs="Tahoma"/>
                <w:bCs/>
                <w:szCs w:val="20"/>
              </w:rPr>
              <w:t>sia avvenuto il pagamento di acconti in misura almeno pari al 20% del costo complessivo previsto nel contratto</w:t>
            </w:r>
          </w:p>
        </w:tc>
      </w:tr>
    </w:tbl>
    <w:p w14:paraId="61A08D75" w14:textId="49D76B31" w:rsidR="00765CBE" w:rsidRDefault="00765CBE" w:rsidP="00765CBE">
      <w:pPr>
        <w:spacing w:line="360" w:lineRule="auto"/>
        <w:jc w:val="both"/>
        <w:rPr>
          <w:rFonts w:cs="Tahoma"/>
          <w:bCs/>
          <w:szCs w:val="20"/>
        </w:rPr>
      </w:pPr>
    </w:p>
    <w:p w14:paraId="52BBDA90" w14:textId="03E16582" w:rsidR="00AB4024" w:rsidRPr="007F356B" w:rsidRDefault="00AB4024" w:rsidP="00AB4024">
      <w:pPr>
        <w:pStyle w:val="Titolo3"/>
        <w:rPr>
          <w:color w:val="auto"/>
        </w:rPr>
      </w:pPr>
      <w:bookmarkStart w:id="62" w:name="_Toc93327728"/>
      <w:r w:rsidRPr="007F356B">
        <w:rPr>
          <w:color w:val="auto"/>
        </w:rPr>
        <w:t xml:space="preserve">5.1.4 </w:t>
      </w:r>
      <w:r w:rsidR="00EC2E68" w:rsidRPr="007F356B">
        <w:rPr>
          <w:color w:val="auto"/>
        </w:rPr>
        <w:t>Acconto</w:t>
      </w:r>
      <w:r w:rsidRPr="007F356B">
        <w:rPr>
          <w:color w:val="auto"/>
        </w:rPr>
        <w:t xml:space="preserve"> entro il 31 dicembre 2021 e scelta tra leasing o acquisto nel 2022</w:t>
      </w:r>
      <w:bookmarkEnd w:id="62"/>
    </w:p>
    <w:p w14:paraId="683814FC" w14:textId="53F9CAE1" w:rsidR="00AB4024" w:rsidRPr="007F356B" w:rsidRDefault="00F07B82" w:rsidP="00AB4024">
      <w:pPr>
        <w:spacing w:line="360" w:lineRule="auto"/>
        <w:jc w:val="both"/>
        <w:rPr>
          <w:rFonts w:cs="Tahoma"/>
          <w:bCs/>
          <w:szCs w:val="20"/>
        </w:rPr>
      </w:pPr>
      <w:r w:rsidRPr="007F356B">
        <w:rPr>
          <w:rFonts w:cs="Tahoma"/>
          <w:bCs/>
          <w:szCs w:val="20"/>
        </w:rPr>
        <w:t>Analizziamo la particolare ipotesi in cui</w:t>
      </w:r>
      <w:r w:rsidR="00AB4024" w:rsidRPr="007F356B">
        <w:rPr>
          <w:rFonts w:cs="Tahoma"/>
          <w:bCs/>
          <w:szCs w:val="20"/>
        </w:rPr>
        <w:t xml:space="preserve"> </w:t>
      </w:r>
      <w:r w:rsidRPr="007F356B">
        <w:rPr>
          <w:rFonts w:cs="Tahoma"/>
          <w:bCs/>
          <w:szCs w:val="20"/>
        </w:rPr>
        <w:t>un’impresa,</w:t>
      </w:r>
      <w:r w:rsidR="00AB4024" w:rsidRPr="007F356B">
        <w:rPr>
          <w:rFonts w:cs="Tahoma"/>
          <w:bCs/>
          <w:szCs w:val="20"/>
        </w:rPr>
        <w:t xml:space="preserve"> entro la fine </w:t>
      </w:r>
      <w:r w:rsidRPr="007F356B">
        <w:rPr>
          <w:rFonts w:cs="Tahoma"/>
          <w:bCs/>
          <w:szCs w:val="20"/>
        </w:rPr>
        <w:t>del 2021</w:t>
      </w:r>
      <w:r w:rsidR="00AB4024" w:rsidRPr="007F356B">
        <w:rPr>
          <w:rFonts w:cs="Tahoma"/>
          <w:bCs/>
          <w:szCs w:val="20"/>
        </w:rPr>
        <w:t xml:space="preserve"> </w:t>
      </w:r>
      <w:r w:rsidRPr="007F356B">
        <w:rPr>
          <w:rFonts w:cs="Tahoma"/>
          <w:b/>
          <w:szCs w:val="20"/>
        </w:rPr>
        <w:t>non abbia</w:t>
      </w:r>
      <w:r w:rsidR="00AB4024" w:rsidRPr="007F356B">
        <w:rPr>
          <w:rFonts w:cs="Tahoma"/>
          <w:b/>
          <w:szCs w:val="20"/>
        </w:rPr>
        <w:t xml:space="preserve"> ancora scelto se finanziare l’operazione con la propria liquidità</w:t>
      </w:r>
      <w:r w:rsidR="00AB4024" w:rsidRPr="007F356B">
        <w:rPr>
          <w:rFonts w:cs="Tahoma"/>
          <w:bCs/>
          <w:szCs w:val="20"/>
        </w:rPr>
        <w:t xml:space="preserve"> (acquisto) </w:t>
      </w:r>
      <w:r w:rsidR="00AB4024" w:rsidRPr="007F356B">
        <w:rPr>
          <w:rFonts w:cs="Tahoma"/>
          <w:b/>
          <w:szCs w:val="20"/>
        </w:rPr>
        <w:t>o tramite leasing</w:t>
      </w:r>
      <w:r w:rsidR="00AB4024" w:rsidRPr="007F356B">
        <w:rPr>
          <w:rFonts w:cs="Tahoma"/>
          <w:bCs/>
          <w:szCs w:val="20"/>
        </w:rPr>
        <w:t xml:space="preserve"> </w:t>
      </w:r>
      <w:r w:rsidRPr="007F356B">
        <w:rPr>
          <w:rFonts w:cs="Tahoma"/>
          <w:bCs/>
          <w:szCs w:val="20"/>
        </w:rPr>
        <w:t xml:space="preserve">ma intenda </w:t>
      </w:r>
      <w:r w:rsidRPr="007F356B">
        <w:rPr>
          <w:rFonts w:cs="Tahoma"/>
          <w:b/>
          <w:szCs w:val="20"/>
        </w:rPr>
        <w:t>usufruire della misura del credito rafforzata al 50%</w:t>
      </w:r>
      <w:r w:rsidRPr="007F356B">
        <w:rPr>
          <w:rFonts w:cs="Tahoma"/>
          <w:bCs/>
          <w:szCs w:val="20"/>
        </w:rPr>
        <w:t>, in vigore fino al 30 giugno 2022 nel rispetto di determinate condizioni.</w:t>
      </w:r>
    </w:p>
    <w:p w14:paraId="12D24DFA" w14:textId="1D820680" w:rsidR="00332DA6" w:rsidRPr="007F356B" w:rsidRDefault="00F07B82" w:rsidP="00F07B82">
      <w:pPr>
        <w:spacing w:line="360" w:lineRule="auto"/>
        <w:jc w:val="both"/>
      </w:pPr>
      <w:bookmarkStart w:id="63" w:name="_Toc90462757"/>
      <w:r w:rsidRPr="007F356B">
        <w:t xml:space="preserve">Nella prassi, le imprese potrebbero adottare i </w:t>
      </w:r>
      <w:r w:rsidRPr="007F356B">
        <w:rPr>
          <w:b/>
          <w:bCs/>
        </w:rPr>
        <w:t>seguenti comportamenti</w:t>
      </w:r>
      <w:r w:rsidRPr="007F356B">
        <w:t>:</w:t>
      </w:r>
    </w:p>
    <w:p w14:paraId="615D6187" w14:textId="77777777" w:rsidR="00B22C48" w:rsidRPr="007F356B" w:rsidRDefault="00F07B82" w:rsidP="00B22C48">
      <w:pPr>
        <w:pStyle w:val="Paragrafoelenco"/>
        <w:numPr>
          <w:ilvl w:val="0"/>
          <w:numId w:val="61"/>
        </w:numPr>
        <w:spacing w:line="360" w:lineRule="auto"/>
        <w:jc w:val="both"/>
      </w:pPr>
      <w:r w:rsidRPr="007F356B">
        <w:rPr>
          <w:b/>
          <w:bCs/>
        </w:rPr>
        <w:t>entro il 31 dicembre 2021</w:t>
      </w:r>
      <w:r w:rsidRPr="007F356B">
        <w:t xml:space="preserve">, </w:t>
      </w:r>
      <w:r w:rsidRPr="007F356B">
        <w:rPr>
          <w:b/>
          <w:bCs/>
        </w:rPr>
        <w:t>effettuare l’ordine</w:t>
      </w:r>
      <w:r w:rsidRPr="007F356B">
        <w:t xml:space="preserve"> - con relativa accettazione da parte del fornitore - </w:t>
      </w:r>
      <w:r w:rsidRPr="007F356B">
        <w:rPr>
          <w:b/>
          <w:bCs/>
        </w:rPr>
        <w:t xml:space="preserve">e versare un acconto </w:t>
      </w:r>
      <w:r w:rsidR="00B22C48" w:rsidRPr="007F356B">
        <w:rPr>
          <w:b/>
          <w:bCs/>
        </w:rPr>
        <w:t xml:space="preserve">pari almeno al </w:t>
      </w:r>
      <w:r w:rsidRPr="007F356B">
        <w:rPr>
          <w:b/>
          <w:bCs/>
        </w:rPr>
        <w:t>20</w:t>
      </w:r>
      <w:r w:rsidR="00B22C48" w:rsidRPr="007F356B">
        <w:rPr>
          <w:b/>
          <w:bCs/>
        </w:rPr>
        <w:t>%</w:t>
      </w:r>
      <w:r w:rsidR="00B22C48" w:rsidRPr="007F356B">
        <w:t xml:space="preserve"> </w:t>
      </w:r>
      <w:r w:rsidRPr="007F356B">
        <w:t>del costo di acquisizione per “bloccare” il bene;</w:t>
      </w:r>
    </w:p>
    <w:p w14:paraId="6188D8F5" w14:textId="77777777" w:rsidR="00B22C48" w:rsidRPr="007F356B" w:rsidRDefault="00B22C48" w:rsidP="007F356B">
      <w:pPr>
        <w:pStyle w:val="Paragrafoelenco"/>
        <w:numPr>
          <w:ilvl w:val="0"/>
          <w:numId w:val="61"/>
        </w:numPr>
        <w:spacing w:line="360" w:lineRule="auto"/>
        <w:ind w:left="714" w:hanging="357"/>
        <w:contextualSpacing w:val="0"/>
        <w:jc w:val="both"/>
      </w:pPr>
      <w:r w:rsidRPr="007F356B">
        <w:rPr>
          <w:b/>
          <w:bCs/>
        </w:rPr>
        <w:t>dopo tale data</w:t>
      </w:r>
      <w:r w:rsidRPr="007F356B">
        <w:t xml:space="preserve">, </w:t>
      </w:r>
      <w:r w:rsidRPr="007F356B">
        <w:rPr>
          <w:b/>
          <w:bCs/>
        </w:rPr>
        <w:t>scegliere la forma tecnica più consona al proprio investimento</w:t>
      </w:r>
      <w:r w:rsidRPr="007F356B">
        <w:t xml:space="preserve"> ossia:</w:t>
      </w:r>
    </w:p>
    <w:p w14:paraId="6CA7EC7A" w14:textId="77777777" w:rsidR="00B22C48" w:rsidRPr="007F356B" w:rsidRDefault="00B22C48" w:rsidP="0098429B">
      <w:pPr>
        <w:pStyle w:val="Paragrafoelenco"/>
        <w:numPr>
          <w:ilvl w:val="0"/>
          <w:numId w:val="64"/>
        </w:numPr>
        <w:spacing w:line="360" w:lineRule="auto"/>
        <w:jc w:val="both"/>
      </w:pPr>
      <w:r w:rsidRPr="007F356B">
        <w:rPr>
          <w:b/>
          <w:bCs/>
        </w:rPr>
        <w:t>acquisizione diretta</w:t>
      </w:r>
      <w:r w:rsidRPr="007F356B">
        <w:t xml:space="preserve"> dal fornitore oppure</w:t>
      </w:r>
    </w:p>
    <w:p w14:paraId="16D07F4B" w14:textId="77777777" w:rsidR="00B22C48" w:rsidRPr="007F356B" w:rsidRDefault="00B22C48" w:rsidP="0098429B">
      <w:pPr>
        <w:pStyle w:val="Paragrafoelenco"/>
        <w:numPr>
          <w:ilvl w:val="0"/>
          <w:numId w:val="64"/>
        </w:numPr>
        <w:spacing w:line="360" w:lineRule="auto"/>
        <w:jc w:val="both"/>
      </w:pPr>
      <w:r w:rsidRPr="007F356B">
        <w:t xml:space="preserve">acquisizione tramite locazione finanziaria a seguito dell’acquisto del bene da parte di una società di </w:t>
      </w:r>
      <w:r w:rsidRPr="007F356B">
        <w:rPr>
          <w:b/>
          <w:bCs/>
        </w:rPr>
        <w:t>leasing</w:t>
      </w:r>
      <w:r w:rsidRPr="007F356B">
        <w:t>;</w:t>
      </w:r>
    </w:p>
    <w:p w14:paraId="5E4B2C30" w14:textId="62FC02F9" w:rsidR="00B22C48" w:rsidRPr="007F356B" w:rsidRDefault="00B22C48" w:rsidP="007F356B">
      <w:pPr>
        <w:pStyle w:val="Paragrafoelenco"/>
        <w:spacing w:line="360" w:lineRule="auto"/>
        <w:ind w:left="1440"/>
        <w:contextualSpacing w:val="0"/>
        <w:jc w:val="both"/>
      </w:pPr>
      <w:r w:rsidRPr="007F356B">
        <w:rPr>
          <w:b/>
          <w:bCs/>
        </w:rPr>
        <w:t>in quest’ultimo caso</w:t>
      </w:r>
      <w:r w:rsidRPr="007F356B">
        <w:t xml:space="preserve"> l’i</w:t>
      </w:r>
      <w:r w:rsidR="000323D3" w:rsidRPr="007F356B">
        <w:t>mpresa</w:t>
      </w:r>
      <w:r w:rsidRPr="007F356B">
        <w:t xml:space="preserve"> potrebbe </w:t>
      </w:r>
      <w:r w:rsidRPr="007F356B">
        <w:rPr>
          <w:b/>
          <w:bCs/>
        </w:rPr>
        <w:t>alternativamente</w:t>
      </w:r>
      <w:r w:rsidRPr="007F356B">
        <w:t>:</w:t>
      </w:r>
    </w:p>
    <w:p w14:paraId="39AEB900" w14:textId="77777777" w:rsidR="00B22C48" w:rsidRPr="007F356B" w:rsidRDefault="00B22C48" w:rsidP="00B22C48">
      <w:pPr>
        <w:pStyle w:val="Paragrafoelenco"/>
        <w:numPr>
          <w:ilvl w:val="0"/>
          <w:numId w:val="63"/>
        </w:numPr>
        <w:spacing w:line="360" w:lineRule="auto"/>
        <w:jc w:val="both"/>
      </w:pPr>
      <w:r w:rsidRPr="007F356B">
        <w:rPr>
          <w:b/>
          <w:bCs/>
        </w:rPr>
        <w:t>compensare l’acconto versato al fornitore con il maxicanone iniziale</w:t>
      </w:r>
      <w:r w:rsidRPr="007F356B">
        <w:t xml:space="preserve"> da corrispondere alla società di leasing, la quale concederà in locazione finanziaria il bene all’investitore e pagherà, per la differenza, il fornitore medesimo;</w:t>
      </w:r>
    </w:p>
    <w:p w14:paraId="4CA3F604" w14:textId="714D331C" w:rsidR="00B22C48" w:rsidRPr="007F356B" w:rsidRDefault="00B22C48" w:rsidP="00B22C48">
      <w:pPr>
        <w:pStyle w:val="Paragrafoelenco"/>
        <w:numPr>
          <w:ilvl w:val="0"/>
          <w:numId w:val="63"/>
        </w:numPr>
        <w:spacing w:line="360" w:lineRule="auto"/>
        <w:jc w:val="both"/>
      </w:pPr>
      <w:r w:rsidRPr="007F356B">
        <w:t xml:space="preserve">ottenere la </w:t>
      </w:r>
      <w:r w:rsidRPr="007F356B">
        <w:rPr>
          <w:b/>
          <w:bCs/>
        </w:rPr>
        <w:t>restituzione dell’acconto da parte del fornitore del bene</w:t>
      </w:r>
      <w:r w:rsidRPr="007F356B">
        <w:t>; la società di leasing concederà in locazione finanziaria il bene all’investitore e pagherà, per intero, il fornitore medesimo.</w:t>
      </w:r>
    </w:p>
    <w:p w14:paraId="001134DB" w14:textId="6E3F6C14" w:rsidR="00B22C48" w:rsidRPr="007F356B" w:rsidRDefault="0098429B" w:rsidP="000323D3">
      <w:pPr>
        <w:spacing w:line="360" w:lineRule="auto"/>
        <w:jc w:val="both"/>
      </w:pPr>
      <w:r w:rsidRPr="007F356B">
        <w:lastRenderedPageBreak/>
        <w:t xml:space="preserve">Mentre nell’ipotesi a) – acquisizione diretta – l’impresa può </w:t>
      </w:r>
      <w:r w:rsidRPr="007F356B">
        <w:rPr>
          <w:b/>
          <w:bCs/>
        </w:rPr>
        <w:t>sicuramente usufruire del beneficio</w:t>
      </w:r>
      <w:r w:rsidRPr="007F356B">
        <w:t xml:space="preserve"> in quanto i requisiti minimi previsti dalla legge (relativi all’ordine e all’acconto minimo) risultano verificati, possono sussistere dei dubbi in merito all’ipotesi b), in cui la scelta per l’acquisizione del bene tramite </w:t>
      </w:r>
      <w:r w:rsidRPr="007F356B">
        <w:rPr>
          <w:b/>
          <w:bCs/>
        </w:rPr>
        <w:t>locazione finanziaria</w:t>
      </w:r>
      <w:r w:rsidRPr="007F356B">
        <w:t xml:space="preserve"> viene </w:t>
      </w:r>
      <w:r w:rsidRPr="007F356B">
        <w:rPr>
          <w:b/>
          <w:bCs/>
        </w:rPr>
        <w:t>effettuata dopo il 31 dicembre 2021</w:t>
      </w:r>
      <w:r w:rsidRPr="007F356B">
        <w:t xml:space="preserve"> e dopo aver effettuato l’ordine e il versamento dell’acconto minimo ad un soggetto diverso dal locatore.</w:t>
      </w:r>
    </w:p>
    <w:p w14:paraId="12223ACC" w14:textId="7C30111C" w:rsidR="0098429B" w:rsidRPr="007F356B" w:rsidRDefault="007F0E26" w:rsidP="000323D3">
      <w:pPr>
        <w:spacing w:line="360" w:lineRule="auto"/>
        <w:jc w:val="both"/>
      </w:pPr>
      <w:r w:rsidRPr="007F356B">
        <w:t xml:space="preserve">Con la </w:t>
      </w:r>
      <w:r w:rsidRPr="007F356B">
        <w:rPr>
          <w:b/>
          <w:bCs/>
        </w:rPr>
        <w:t>Risoluzione 132/E del 24 ottobre 2017</w:t>
      </w:r>
      <w:r w:rsidRPr="007F356B">
        <w:t xml:space="preserve"> l’Agenzia delle entrate ha fornito alcuni chiarimenti in merito, confermando la possibilità di fruire dell’agevolazione (al tempo determinata come iper ammortamento) anche nell’ipotesi b) sopra descritta.</w:t>
      </w:r>
    </w:p>
    <w:p w14:paraId="2B18A4AF" w14:textId="3ABC816F" w:rsidR="001A2F63" w:rsidRPr="007F356B" w:rsidRDefault="001A2F63" w:rsidP="001A2F63">
      <w:pPr>
        <w:spacing w:line="360" w:lineRule="auto"/>
        <w:jc w:val="both"/>
      </w:pPr>
      <w:r w:rsidRPr="007F356B">
        <w:t xml:space="preserve">Alla data del 31 dicembre esiste, infatti, sia l’impegno all’acquisizione del bene che il versamento minimo da parte dell’investitore; </w:t>
      </w:r>
      <w:r w:rsidRPr="007F356B">
        <w:rPr>
          <w:b/>
          <w:bCs/>
        </w:rPr>
        <w:t>risulta irrilevante</w:t>
      </w:r>
      <w:r w:rsidRPr="007F356B">
        <w:t xml:space="preserve">, ai fini delle disposizioni in esame, che l’impegno venga inizialmente assunto nei confronti del fornitore e </w:t>
      </w:r>
      <w:r w:rsidRPr="007F356B">
        <w:rPr>
          <w:b/>
          <w:bCs/>
        </w:rPr>
        <w:t>che l’acconto</w:t>
      </w:r>
      <w:r w:rsidRPr="007F356B">
        <w:t xml:space="preserve">, a seguito della compensazione, </w:t>
      </w:r>
      <w:r w:rsidRPr="007F356B">
        <w:rPr>
          <w:b/>
          <w:bCs/>
        </w:rPr>
        <w:t>si “trasformi” sostanzialmente in un maxicanone</w:t>
      </w:r>
      <w:r w:rsidRPr="007F356B">
        <w:t>.</w:t>
      </w:r>
    </w:p>
    <w:p w14:paraId="0715B521" w14:textId="3102D68E" w:rsidR="000323D3" w:rsidRPr="007F356B" w:rsidRDefault="001A2F63" w:rsidP="001A2F63">
      <w:pPr>
        <w:spacing w:line="360" w:lineRule="auto"/>
        <w:jc w:val="both"/>
      </w:pPr>
      <w:r w:rsidRPr="007F356B">
        <w:t xml:space="preserve">Con riferimento alla fattispecie della </w:t>
      </w:r>
      <w:r w:rsidRPr="007F356B">
        <w:rPr>
          <w:b/>
          <w:bCs/>
        </w:rPr>
        <w:t>restituzione da parte del fornitore dell’acconto versato</w:t>
      </w:r>
      <w:r w:rsidRPr="007F356B">
        <w:t xml:space="preserve"> si ritiene che, per le medesime considerazioni appena esposte (esistenza dell’impegno e del versamento minimo al 31 dicembre 2021) </w:t>
      </w:r>
      <w:r w:rsidRPr="007F356B">
        <w:rPr>
          <w:b/>
          <w:bCs/>
        </w:rPr>
        <w:t>l’impresa possa</w:t>
      </w:r>
      <w:r w:rsidRPr="007F356B">
        <w:t xml:space="preserve">, ugualmente, </w:t>
      </w:r>
      <w:r w:rsidRPr="007F356B">
        <w:rPr>
          <w:b/>
          <w:bCs/>
        </w:rPr>
        <w:t>fruire dell’agevolazione</w:t>
      </w:r>
      <w:r w:rsidRPr="007F356B">
        <w:t xml:space="preserve">; ciò </w:t>
      </w:r>
      <w:r w:rsidRPr="007F356B">
        <w:rPr>
          <w:b/>
          <w:bCs/>
        </w:rPr>
        <w:t>a condizione</w:t>
      </w:r>
      <w:r w:rsidRPr="007F356B">
        <w:t>, però, che in sede di restituzione dell’acconto da parte del fornitore e di stipula del contratto di leasing</w:t>
      </w:r>
      <w:r w:rsidRPr="007F356B">
        <w:rPr>
          <w:i/>
          <w:iCs/>
        </w:rPr>
        <w:t xml:space="preserve"> </w:t>
      </w:r>
      <w:r w:rsidRPr="007F356B">
        <w:t xml:space="preserve">venga </w:t>
      </w:r>
      <w:r w:rsidRPr="007F356B">
        <w:rPr>
          <w:b/>
          <w:bCs/>
        </w:rPr>
        <w:t>corrisposto al locatore un maxicanone in misura almeno pari al predetto acconto</w:t>
      </w:r>
      <w:r w:rsidRPr="007F356B">
        <w:t xml:space="preserve"> e </w:t>
      </w:r>
      <w:r w:rsidRPr="007F356B">
        <w:rPr>
          <w:b/>
          <w:bCs/>
        </w:rPr>
        <w:t>venga inserito nel contratto di leasing</w:t>
      </w:r>
      <w:r w:rsidRPr="007F356B">
        <w:rPr>
          <w:i/>
          <w:iCs/>
        </w:rPr>
        <w:t xml:space="preserve"> </w:t>
      </w:r>
      <w:r w:rsidRPr="007F356B">
        <w:t xml:space="preserve">stesso il </w:t>
      </w:r>
      <w:r w:rsidRPr="007F356B">
        <w:rPr>
          <w:b/>
          <w:bCs/>
        </w:rPr>
        <w:t>riferimento all’ordine originariamente effettuato</w:t>
      </w:r>
      <w:r w:rsidRPr="007F356B">
        <w:t xml:space="preserve"> con il fornitore del bene.</w:t>
      </w:r>
    </w:p>
    <w:p w14:paraId="1FC0AD5F" w14:textId="77777777" w:rsidR="007F356B" w:rsidRDefault="007F356B" w:rsidP="00765CBE">
      <w:pPr>
        <w:pStyle w:val="Titolo3"/>
      </w:pPr>
    </w:p>
    <w:p w14:paraId="675FA981" w14:textId="233ABF11" w:rsidR="00765CBE" w:rsidRPr="00E533EC" w:rsidRDefault="008228E8" w:rsidP="00765CBE">
      <w:pPr>
        <w:pStyle w:val="Titolo3"/>
      </w:pPr>
      <w:bookmarkStart w:id="64" w:name="_Toc93327729"/>
      <w:r>
        <w:t>5</w:t>
      </w:r>
      <w:r w:rsidR="00765CBE" w:rsidRPr="00E533EC">
        <w:t>.</w:t>
      </w:r>
      <w:r w:rsidR="00765CBE">
        <w:t>1.</w:t>
      </w:r>
      <w:r w:rsidR="00AB4024">
        <w:t>5</w:t>
      </w:r>
      <w:r w:rsidR="00765CBE" w:rsidRPr="00E533EC">
        <w:t xml:space="preserve"> </w:t>
      </w:r>
      <w:r w:rsidR="00765CBE">
        <w:t>Investimenti non conclusi entro il 31 dicembre 2022 e finestra di accesso</w:t>
      </w:r>
      <w:bookmarkEnd w:id="63"/>
      <w:bookmarkEnd w:id="64"/>
    </w:p>
    <w:p w14:paraId="5BF69832" w14:textId="77777777" w:rsidR="00765CBE" w:rsidRDefault="00765CBE" w:rsidP="00765CBE">
      <w:pPr>
        <w:spacing w:line="360" w:lineRule="auto"/>
        <w:jc w:val="both"/>
      </w:pPr>
      <w:r>
        <w:t xml:space="preserve">Lo stesso discorso vale per gli investimenti non conclusi nell’anno 2022, con effettuazione </w:t>
      </w:r>
      <w:r w:rsidRPr="00BF219B">
        <w:rPr>
          <w:b/>
          <w:bCs/>
        </w:rPr>
        <w:t>entro il 30 giugno 2023</w:t>
      </w:r>
      <w:r w:rsidRPr="00B7683A">
        <w:t>. Tali investimenti possono</w:t>
      </w:r>
      <w:r>
        <w:t xml:space="preserve"> beneficiare delle aliquote del 2022 se </w:t>
      </w:r>
      <w:r w:rsidRPr="00BF219B">
        <w:rPr>
          <w:b/>
          <w:bCs/>
        </w:rPr>
        <w:t>entro il 31 dicembre 2022</w:t>
      </w:r>
      <w:r>
        <w:t>:</w:t>
      </w:r>
    </w:p>
    <w:p w14:paraId="1E39AA4E" w14:textId="77777777" w:rsidR="00765CBE" w:rsidRDefault="00765CBE" w:rsidP="00AE49EC">
      <w:pPr>
        <w:pStyle w:val="Paragrafoelenco"/>
        <w:numPr>
          <w:ilvl w:val="0"/>
          <w:numId w:val="52"/>
        </w:numPr>
        <w:spacing w:line="360" w:lineRule="auto"/>
        <w:ind w:left="709"/>
        <w:jc w:val="both"/>
      </w:pPr>
      <w:r>
        <w:t>il relativo ordine risulti accettato dal venditore e</w:t>
      </w:r>
    </w:p>
    <w:p w14:paraId="25473AA5" w14:textId="77777777" w:rsidR="00765CBE" w:rsidRDefault="00765CBE" w:rsidP="00AE49EC">
      <w:pPr>
        <w:pStyle w:val="Paragrafoelenco"/>
        <w:numPr>
          <w:ilvl w:val="0"/>
          <w:numId w:val="52"/>
        </w:numPr>
        <w:spacing w:line="360" w:lineRule="auto"/>
        <w:ind w:left="709"/>
        <w:jc w:val="both"/>
      </w:pPr>
      <w:r>
        <w:t>sia avvenuto il pagamento di acconti in misura almeno pari al 20 per cento del costo di acquisizione.</w:t>
      </w:r>
    </w:p>
    <w:p w14:paraId="38A18A48" w14:textId="77777777" w:rsidR="00765CBE" w:rsidRPr="009B720D" w:rsidRDefault="00765CBE" w:rsidP="00765CBE">
      <w:pPr>
        <w:spacing w:line="360" w:lineRule="auto"/>
        <w:jc w:val="both"/>
      </w:pPr>
      <w:r>
        <w:t xml:space="preserve">Entro lo stesso termine, nel caso dei </w:t>
      </w:r>
      <w:r w:rsidRPr="009B720D">
        <w:rPr>
          <w:b/>
          <w:bCs/>
        </w:rPr>
        <w:t>contratti di leasing</w:t>
      </w:r>
      <w:r w:rsidRPr="009B720D">
        <w:t>, è necessario che:</w:t>
      </w:r>
    </w:p>
    <w:p w14:paraId="2842CACB" w14:textId="77777777" w:rsidR="00765CBE" w:rsidRPr="00914237" w:rsidRDefault="00765CBE" w:rsidP="00AE49EC">
      <w:pPr>
        <w:pStyle w:val="Paragrafoelenco"/>
        <w:numPr>
          <w:ilvl w:val="0"/>
          <w:numId w:val="53"/>
        </w:numPr>
        <w:spacing w:line="360" w:lineRule="auto"/>
        <w:ind w:left="709"/>
        <w:jc w:val="both"/>
        <w:rPr>
          <w:bCs/>
        </w:rPr>
      </w:pPr>
      <w:r w:rsidRPr="00914237">
        <w:rPr>
          <w:bCs/>
        </w:rPr>
        <w:t>entrambe le parti abbiano sottoscritto il relativo contratto di leasing e</w:t>
      </w:r>
    </w:p>
    <w:p w14:paraId="5C99C79F" w14:textId="7CF4BF03" w:rsidR="00092DC6" w:rsidRDefault="00765CBE" w:rsidP="00765CBE">
      <w:pPr>
        <w:pStyle w:val="Paragrafoelenco"/>
        <w:numPr>
          <w:ilvl w:val="0"/>
          <w:numId w:val="53"/>
        </w:numPr>
        <w:spacing w:line="360" w:lineRule="auto"/>
        <w:ind w:left="709"/>
        <w:jc w:val="both"/>
      </w:pPr>
      <w:r w:rsidRPr="00914237">
        <w:rPr>
          <w:bCs/>
        </w:rPr>
        <w:t>sia avvenuto il pagamento di un maxicanone in misura almeno pari al 20% della quota capitale complessivamente dovuta al locatore.</w:t>
      </w:r>
    </w:p>
    <w:p w14:paraId="3603F9D2" w14:textId="77777777" w:rsidR="007F356B" w:rsidRDefault="007F356B">
      <w:pPr>
        <w:spacing w:after="0" w:line="240" w:lineRule="auto"/>
        <w:rPr>
          <w:b/>
          <w:bCs/>
          <w:iCs/>
          <w:sz w:val="22"/>
          <w:u w:val="single"/>
        </w:rPr>
      </w:pPr>
      <w:bookmarkStart w:id="65" w:name="_Toc90462759"/>
      <w:r>
        <w:br w:type="page"/>
      </w:r>
    </w:p>
    <w:p w14:paraId="0668F76F" w14:textId="790AFFCB" w:rsidR="00765CBE" w:rsidRPr="00E533EC" w:rsidRDefault="000077CD" w:rsidP="00765CBE">
      <w:pPr>
        <w:pStyle w:val="Titolo2"/>
      </w:pPr>
      <w:bookmarkStart w:id="66" w:name="_Toc93327730"/>
      <w:r>
        <w:lastRenderedPageBreak/>
        <w:t>5</w:t>
      </w:r>
      <w:r w:rsidR="00765CBE" w:rsidRPr="00E533EC">
        <w:t>.</w:t>
      </w:r>
      <w:r w:rsidR="00765CBE">
        <w:t>2</w:t>
      </w:r>
      <w:r w:rsidR="00765CBE" w:rsidRPr="00E533EC">
        <w:t xml:space="preserve"> </w:t>
      </w:r>
      <w:r w:rsidR="00765CBE">
        <w:t>Momento di fruizione del beneficio</w:t>
      </w:r>
      <w:bookmarkEnd w:id="65"/>
      <w:bookmarkEnd w:id="66"/>
    </w:p>
    <w:p w14:paraId="03E92230" w14:textId="021CDE15" w:rsidR="00765CBE" w:rsidRDefault="00765CBE" w:rsidP="00765CBE">
      <w:pPr>
        <w:spacing w:line="360" w:lineRule="auto"/>
      </w:pPr>
      <w:r w:rsidRPr="00B33B0A">
        <w:t>Dal momento di effettuazione degli investimenti - rilevante ai fini della spettanza dell</w:t>
      </w:r>
      <w:r>
        <w:t>’agevolazione</w:t>
      </w:r>
      <w:r w:rsidRPr="00B33B0A">
        <w:t xml:space="preserve"> - deve distinguersi il </w:t>
      </w:r>
      <w:r w:rsidRPr="00BF219B">
        <w:rPr>
          <w:b/>
          <w:bCs/>
        </w:rPr>
        <w:t>momento a partire dal quale è possibile fruire del beneficio</w:t>
      </w:r>
      <w:r w:rsidRPr="00B33B0A">
        <w:t>.</w:t>
      </w:r>
    </w:p>
    <w:p w14:paraId="5BF3F3A3" w14:textId="28808447" w:rsidR="00D24F37" w:rsidRDefault="00D24F37" w:rsidP="00765CBE">
      <w:pPr>
        <w:spacing w:line="360" w:lineRule="auto"/>
      </w:pPr>
      <w:r>
        <w:rPr>
          <w:noProof/>
        </w:rPr>
        <mc:AlternateContent>
          <mc:Choice Requires="wps">
            <w:drawing>
              <wp:anchor distT="0" distB="0" distL="114300" distR="114300" simplePos="0" relativeHeight="251783680" behindDoc="0" locked="0" layoutInCell="1" allowOverlap="1" wp14:anchorId="7DAA8518" wp14:editId="1DC3E42B">
                <wp:simplePos x="0" y="0"/>
                <wp:positionH relativeFrom="column">
                  <wp:posOffset>2719070</wp:posOffset>
                </wp:positionH>
                <wp:positionV relativeFrom="paragraph">
                  <wp:posOffset>193675</wp:posOffset>
                </wp:positionV>
                <wp:extent cx="860961" cy="439387"/>
                <wp:effectExtent l="0" t="19050" r="34925" b="37465"/>
                <wp:wrapNone/>
                <wp:docPr id="24" name="Freccia a destra 24"/>
                <wp:cNvGraphicFramePr/>
                <a:graphic xmlns:a="http://schemas.openxmlformats.org/drawingml/2006/main">
                  <a:graphicData uri="http://schemas.microsoft.com/office/word/2010/wordprocessingShape">
                    <wps:wsp>
                      <wps:cNvSpPr/>
                      <wps:spPr>
                        <a:xfrm>
                          <a:off x="0" y="0"/>
                          <a:ext cx="860961" cy="439387"/>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6140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4" o:spid="_x0000_s1026" type="#_x0000_t13" style="position:absolute;margin-left:214.1pt;margin-top:15.25pt;width:67.8pt;height:34.6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" adj="16088" fillcolor="#4472c4" strokecolor="#2f528f" strokeweight="1pt"/>
            </w:pict>
          </mc:Fallback>
        </mc:AlternateContent>
      </w:r>
    </w:p>
    <w:p w14:paraId="21D13C25" w14:textId="39C9EC21" w:rsidR="00765CBE" w:rsidRDefault="00765CBE" w:rsidP="00765CBE">
      <w:pPr>
        <w:spacing w:line="360" w:lineRule="auto"/>
        <w:jc w:val="center"/>
      </w:pPr>
      <w:r>
        <w:t>Effettuazione investimento                           Spettanza agevolazione</w:t>
      </w:r>
    </w:p>
    <w:p w14:paraId="72FD0D76" w14:textId="127486C8" w:rsidR="00765CBE" w:rsidRDefault="00332DA6" w:rsidP="00765CBE">
      <w:pPr>
        <w:spacing w:line="360" w:lineRule="auto"/>
      </w:pPr>
      <w:r>
        <w:rPr>
          <w:noProof/>
        </w:rPr>
        <mc:AlternateContent>
          <mc:Choice Requires="wps">
            <w:drawing>
              <wp:anchor distT="0" distB="0" distL="114300" distR="114300" simplePos="0" relativeHeight="251782656" behindDoc="0" locked="0" layoutInCell="1" allowOverlap="1" wp14:anchorId="31874CB9" wp14:editId="2B649ADB">
                <wp:simplePos x="0" y="0"/>
                <wp:positionH relativeFrom="column">
                  <wp:posOffset>3646805</wp:posOffset>
                </wp:positionH>
                <wp:positionV relativeFrom="paragraph">
                  <wp:posOffset>-126740</wp:posOffset>
                </wp:positionV>
                <wp:extent cx="860961" cy="439387"/>
                <wp:effectExtent l="0" t="19050" r="34925" b="37465"/>
                <wp:wrapNone/>
                <wp:docPr id="23" name="Freccia a destra 23"/>
                <wp:cNvGraphicFramePr/>
                <a:graphic xmlns:a="http://schemas.openxmlformats.org/drawingml/2006/main">
                  <a:graphicData uri="http://schemas.microsoft.com/office/word/2010/wordprocessingShape">
                    <wps:wsp>
                      <wps:cNvSpPr/>
                      <wps:spPr>
                        <a:xfrm>
                          <a:off x="0" y="0"/>
                          <a:ext cx="860961" cy="4393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AAEE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3" o:spid="_x0000_s1026" type="#_x0000_t13" style="position:absolute;margin-left:287.15pt;margin-top:-10pt;width:67.8pt;height:34.6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" adj="16088" fillcolor="#4f81bd [3204]" strokecolor="#243f60 [1604]" strokeweight="2pt"/>
            </w:pict>
          </mc:Fallback>
        </mc:AlternateContent>
      </w:r>
      <w:r w:rsidR="00765CBE">
        <w:t>Entrata in funzione del bene ed interconnessione (per beni 4.0)                           Fruizione agevolazione</w:t>
      </w:r>
    </w:p>
    <w:p w14:paraId="08A9B462" w14:textId="77777777" w:rsidR="00D24F37" w:rsidRDefault="00D24F37" w:rsidP="00765CBE">
      <w:pPr>
        <w:spacing w:line="360" w:lineRule="auto"/>
      </w:pPr>
    </w:p>
    <w:p w14:paraId="70FA66A5" w14:textId="69D41800" w:rsidR="00765CBE" w:rsidRPr="00D24F37" w:rsidRDefault="00765CBE" w:rsidP="00765CBE">
      <w:pPr>
        <w:spacing w:line="360" w:lineRule="auto"/>
      </w:pPr>
      <w:r w:rsidRPr="00D24F37">
        <w:t xml:space="preserve">In tema 4.0 è </w:t>
      </w:r>
      <w:r w:rsidRPr="00D24F37">
        <w:rPr>
          <w:b/>
          <w:bCs/>
        </w:rPr>
        <w:t>richiesta l’interconnessione</w:t>
      </w:r>
      <w:r w:rsidRPr="00D24F37">
        <w:t xml:space="preserve"> del bene al sistema aziendale di gestione della produzione o alla rete di fornitura.</w:t>
      </w:r>
    </w:p>
    <w:p w14:paraId="5140AEAB" w14:textId="77777777" w:rsidR="00765CBE" w:rsidRDefault="00765CBE" w:rsidP="00765CBE">
      <w:pPr>
        <w:spacing w:line="360" w:lineRule="auto"/>
      </w:pPr>
      <w:bookmarkStart w:id="67" w:name="_Hlk89953800"/>
      <w:r w:rsidRPr="00244DFD">
        <w:t xml:space="preserve">Per quanto riguarda i </w:t>
      </w:r>
      <w:r w:rsidRPr="008705AB">
        <w:rPr>
          <w:b/>
          <w:bCs/>
        </w:rPr>
        <w:t>beni con caratteristiche 4.0</w:t>
      </w:r>
      <w:r w:rsidRPr="00244DFD">
        <w:t>, è necessario tenere in considerazione tre momenti temporali:</w:t>
      </w:r>
    </w:p>
    <w:p w14:paraId="3979B129" w14:textId="09C6172E" w:rsidR="00765CBE" w:rsidRDefault="00765CBE" w:rsidP="00AE49EC">
      <w:pPr>
        <w:pStyle w:val="Paragrafoelenco"/>
        <w:numPr>
          <w:ilvl w:val="0"/>
          <w:numId w:val="29"/>
        </w:numPr>
        <w:spacing w:line="360" w:lineRule="auto"/>
      </w:pPr>
      <w:r w:rsidRPr="00244DFD">
        <w:t>il periodo d’imposta di “</w:t>
      </w:r>
      <w:r w:rsidRPr="00866EFD">
        <w:rPr>
          <w:b/>
          <w:bCs/>
        </w:rPr>
        <w:t>effettuazione</w:t>
      </w:r>
      <w:r w:rsidRPr="00244DFD">
        <w:t>” dell’investimento</w:t>
      </w:r>
    </w:p>
    <w:p w14:paraId="0C8E3FF9" w14:textId="1D9F77DD" w:rsidR="00765CBE" w:rsidRDefault="00765CBE" w:rsidP="00AE49EC">
      <w:pPr>
        <w:pStyle w:val="Paragrafoelenco"/>
        <w:numPr>
          <w:ilvl w:val="0"/>
          <w:numId w:val="29"/>
        </w:numPr>
        <w:spacing w:line="360" w:lineRule="auto"/>
      </w:pPr>
      <w:r w:rsidRPr="00244DFD">
        <w:t>il periodo d’imposta di “</w:t>
      </w:r>
      <w:r w:rsidRPr="00866EFD">
        <w:rPr>
          <w:b/>
          <w:bCs/>
        </w:rPr>
        <w:t>entrata in funzione</w:t>
      </w:r>
      <w:r w:rsidRPr="00244DFD">
        <w:t>”</w:t>
      </w:r>
    </w:p>
    <w:p w14:paraId="4838F146" w14:textId="1AC1F34C" w:rsidR="00765CBE" w:rsidRDefault="00765CBE" w:rsidP="00AE49EC">
      <w:pPr>
        <w:pStyle w:val="Paragrafoelenco"/>
        <w:numPr>
          <w:ilvl w:val="0"/>
          <w:numId w:val="29"/>
        </w:numPr>
        <w:spacing w:line="360" w:lineRule="auto"/>
      </w:pPr>
      <w:r w:rsidRPr="00244DFD">
        <w:t>il periodo d’imposta di “</w:t>
      </w:r>
      <w:r w:rsidRPr="00866EFD">
        <w:rPr>
          <w:b/>
          <w:bCs/>
        </w:rPr>
        <w:t>interconnessione</w:t>
      </w:r>
      <w:r w:rsidRPr="00244DFD">
        <w:t>”</w:t>
      </w:r>
    </w:p>
    <w:p w14:paraId="4B8CDEA6" w14:textId="77777777" w:rsidR="00765CBE" w:rsidRDefault="00765CBE" w:rsidP="00765CBE">
      <w:pPr>
        <w:spacing w:line="360" w:lineRule="auto"/>
        <w:jc w:val="both"/>
      </w:pPr>
      <w:r w:rsidRPr="00244DFD">
        <w:t xml:space="preserve">Il momento di </w:t>
      </w:r>
      <w:r w:rsidRPr="008705AB">
        <w:rPr>
          <w:b/>
          <w:bCs/>
        </w:rPr>
        <w:t>effettuazione dell’investimento</w:t>
      </w:r>
      <w:r w:rsidRPr="00244DFD">
        <w:t xml:space="preserve"> rileva ai fini della </w:t>
      </w:r>
      <w:r w:rsidRPr="008705AB">
        <w:rPr>
          <w:b/>
          <w:bCs/>
        </w:rPr>
        <w:t>spettanza</w:t>
      </w:r>
      <w:r w:rsidRPr="00244DFD">
        <w:t xml:space="preserve"> dell</w:t>
      </w:r>
      <w:r>
        <w:t xml:space="preserve">’agevolazione </w:t>
      </w:r>
      <w:r w:rsidRPr="00244DFD">
        <w:t>ed alla quantificazione dell’investimento agevolabile.</w:t>
      </w:r>
    </w:p>
    <w:p w14:paraId="05D4B241" w14:textId="44C54409" w:rsidR="00765CBE" w:rsidRPr="0066794F" w:rsidRDefault="00765CBE" w:rsidP="00765CBE">
      <w:pPr>
        <w:spacing w:line="360" w:lineRule="auto"/>
        <w:jc w:val="both"/>
      </w:pPr>
      <w:r w:rsidRPr="0066794F">
        <w:rPr>
          <w:b/>
          <w:bCs/>
        </w:rPr>
        <w:t xml:space="preserve">L’entrata in funzione </w:t>
      </w:r>
      <w:r w:rsidRPr="0066794F">
        <w:t>del bene determina, ai sensi dell’articolo 102, primo comma, Tuir, il momento dal quale le quote di ammortamento sono deducibili</w:t>
      </w:r>
      <w:r w:rsidR="005A2700">
        <w:t xml:space="preserve"> ed il </w:t>
      </w:r>
      <w:r w:rsidR="005A2700" w:rsidRPr="00866EFD">
        <w:rPr>
          <w:b/>
          <w:bCs/>
        </w:rPr>
        <w:t xml:space="preserve">credito di imposta </w:t>
      </w:r>
      <w:r w:rsidR="00866EFD" w:rsidRPr="00866EFD">
        <w:rPr>
          <w:b/>
          <w:bCs/>
        </w:rPr>
        <w:t>NON</w:t>
      </w:r>
      <w:r w:rsidR="005A2700" w:rsidRPr="00866EFD">
        <w:rPr>
          <w:b/>
          <w:bCs/>
        </w:rPr>
        <w:t xml:space="preserve"> 4.0</w:t>
      </w:r>
      <w:r w:rsidR="005A2700">
        <w:t xml:space="preserve"> può essere utilizzato.</w:t>
      </w:r>
      <w:r w:rsidR="00B13C10">
        <w:t xml:space="preserve"> </w:t>
      </w:r>
      <w:r w:rsidRPr="0066794F">
        <w:t>L’</w:t>
      </w:r>
      <w:r w:rsidRPr="0066794F">
        <w:rPr>
          <w:b/>
          <w:bCs/>
        </w:rPr>
        <w:t>interconnessione</w:t>
      </w:r>
      <w:r w:rsidRPr="0066794F">
        <w:t xml:space="preserve"> risulta decisiva ai fini della fruizione del </w:t>
      </w:r>
      <w:r w:rsidRPr="00866EFD">
        <w:rPr>
          <w:b/>
          <w:bCs/>
        </w:rPr>
        <w:t>credito di imposta 4.0</w:t>
      </w:r>
      <w:r w:rsidRPr="0066794F">
        <w:t>.</w:t>
      </w:r>
    </w:p>
    <w:p w14:paraId="6D71F348" w14:textId="77777777" w:rsidR="00E416BC" w:rsidRDefault="00B25678" w:rsidP="00765CBE">
      <w:pPr>
        <w:spacing w:line="360" w:lineRule="auto"/>
        <w:jc w:val="both"/>
      </w:pPr>
      <w:r>
        <w:t>L’</w:t>
      </w:r>
      <w:r w:rsidR="00866EFD">
        <w:t>A</w:t>
      </w:r>
      <w:r w:rsidR="00765CBE" w:rsidRPr="001B2870">
        <w:t xml:space="preserve">genzia delle entrate </w:t>
      </w:r>
      <w:r>
        <w:t xml:space="preserve">è stata </w:t>
      </w:r>
      <w:r w:rsidR="00765CBE">
        <w:t>interpellata sulla precedente disciplina del super e iper ammortamento</w:t>
      </w:r>
      <w:r>
        <w:t>, per un</w:t>
      </w:r>
      <w:r w:rsidR="00765CBE" w:rsidRPr="001B2870">
        <w:t xml:space="preserve"> caso di un </w:t>
      </w:r>
      <w:r w:rsidR="00765CBE" w:rsidRPr="00B25678">
        <w:rPr>
          <w:b/>
          <w:bCs/>
        </w:rPr>
        <w:t>investimento complesso</w:t>
      </w:r>
      <w:r w:rsidR="00765CBE" w:rsidRPr="001B2870">
        <w:t xml:space="preserve"> con </w:t>
      </w:r>
      <w:r w:rsidR="00765CBE" w:rsidRPr="00B25678">
        <w:rPr>
          <w:b/>
          <w:bCs/>
        </w:rPr>
        <w:t>diversi step di lavorazione</w:t>
      </w:r>
      <w:r w:rsidR="00765CBE">
        <w:t xml:space="preserve"> abbinati al pagamento del corrispettivo frazionato in base ai diversi step:</w:t>
      </w:r>
      <w:r>
        <w:t xml:space="preserve"> </w:t>
      </w:r>
      <w:r w:rsidR="00765CBE">
        <w:t>1) emissione dell'ordine;</w:t>
      </w:r>
      <w:r w:rsidR="00866EFD">
        <w:t xml:space="preserve"> </w:t>
      </w:r>
      <w:r w:rsidR="00765CBE">
        <w:t>2) accettazione preliminare (PAC); 3) consegna del bene presso lo stabilimento di ALFA; 4) accettazione finale (FAC); 5) decorso di 60 giorni dalla data del FAC.</w:t>
      </w:r>
    </w:p>
    <w:p w14:paraId="4BC719E4" w14:textId="513D4B09" w:rsidR="00765CBE" w:rsidRDefault="00765CBE" w:rsidP="00765CBE">
      <w:pPr>
        <w:spacing w:line="360" w:lineRule="auto"/>
        <w:jc w:val="both"/>
      </w:pPr>
      <w:r>
        <w:t>A</w:t>
      </w:r>
      <w:r w:rsidRPr="001B2870">
        <w:t>i fini dell'individuazione del momento di "effettuazione"</w:t>
      </w:r>
      <w:r>
        <w:t xml:space="preserve"> </w:t>
      </w:r>
      <w:r w:rsidRPr="001B2870">
        <w:t>dell'investimento - determinante per "incardinare" il bene nella disciplina del super</w:t>
      </w:r>
      <w:r>
        <w:t xml:space="preserve"> </w:t>
      </w:r>
      <w:r w:rsidRPr="001B2870">
        <w:t>ammortamento o in quella dell'iper ammortamento - non è sufficiente la "consegna"</w:t>
      </w:r>
      <w:r>
        <w:t xml:space="preserve"> </w:t>
      </w:r>
      <w:r w:rsidRPr="001B2870">
        <w:t xml:space="preserve">del bene mobile ai sensi dell'articolo 109, comma 2 del TUIR, ma è necessario lo svolgimento di ulteriori attività affinché si concretizzi il </w:t>
      </w:r>
      <w:r w:rsidRPr="006D4CC7">
        <w:rPr>
          <w:b/>
          <w:bCs/>
        </w:rPr>
        <w:t>requisito della "certezza"</w:t>
      </w:r>
      <w:r>
        <w:t xml:space="preserve"> </w:t>
      </w:r>
      <w:r w:rsidRPr="001B2870">
        <w:t>previsto dal comma 1 del citato articolo 109</w:t>
      </w:r>
      <w:r>
        <w:t>, Tuir</w:t>
      </w:r>
      <w:r w:rsidRPr="001B2870">
        <w:t>.</w:t>
      </w:r>
      <w:r w:rsidR="009271CE">
        <w:t xml:space="preserve"> </w:t>
      </w:r>
      <w:r w:rsidRPr="001B2870">
        <w:t xml:space="preserve">L'adempimento decisivo, a tali fini, deve essere individuato nel rilascio del Final Acceptance Certificate (FAC), che è il momento nel quale l'esistenza del costo del bene può dirsi "certa", tanto che proprio </w:t>
      </w:r>
      <w:r w:rsidRPr="001B2870">
        <w:lastRenderedPageBreak/>
        <w:t>al FAC è legato l'obbligo contrattuale del pagamento del saldo dovuto al fornitore (risposta n. 723 del 18 ottobre 2021)</w:t>
      </w:r>
      <w:r>
        <w:t>.</w:t>
      </w:r>
      <w:bookmarkEnd w:id="67"/>
    </w:p>
    <w:p w14:paraId="30391519" w14:textId="77777777" w:rsidR="00765CBE" w:rsidRPr="006A3AAD" w:rsidRDefault="00765CBE" w:rsidP="00765CBE">
      <w:pPr>
        <w:spacing w:line="360" w:lineRule="auto"/>
        <w:jc w:val="both"/>
      </w:pPr>
    </w:p>
    <w:p w14:paraId="1B636380" w14:textId="77777777" w:rsidR="00332DA6" w:rsidRDefault="00332DA6" w:rsidP="00765CBE">
      <w:pPr>
        <w:spacing w:after="160" w:line="259" w:lineRule="auto"/>
        <w:sectPr w:rsidR="00332DA6" w:rsidSect="00A90ED0">
          <w:pgSz w:w="11906" w:h="16838"/>
          <w:pgMar w:top="833" w:right="1134" w:bottom="1134" w:left="1134" w:header="708" w:footer="708" w:gutter="0"/>
          <w:cols w:space="708"/>
          <w:titlePg/>
          <w:docGrid w:linePitch="360"/>
        </w:sectPr>
      </w:pPr>
    </w:p>
    <w:p w14:paraId="116AB7CF" w14:textId="4D951AA6" w:rsidR="00765CBE" w:rsidRPr="00380A75" w:rsidRDefault="00914237" w:rsidP="00765CBE">
      <w:pPr>
        <w:shd w:val="clear" w:color="auto" w:fill="FFFFFF"/>
        <w:spacing w:before="120" w:after="0" w:line="240" w:lineRule="auto"/>
        <w:jc w:val="center"/>
        <w:rPr>
          <w:b/>
          <w:bCs/>
          <w:sz w:val="32"/>
          <w:szCs w:val="32"/>
        </w:rPr>
      </w:pPr>
      <w:r>
        <w:rPr>
          <w:b/>
          <w:bCs/>
          <w:sz w:val="32"/>
          <w:szCs w:val="32"/>
        </w:rPr>
        <w:lastRenderedPageBreak/>
        <w:t>6.</w:t>
      </w:r>
    </w:p>
    <w:bookmarkStart w:id="68" w:name="_Toc90462760"/>
    <w:bookmarkStart w:id="69" w:name="_Toc93327731"/>
    <w:p w14:paraId="461A3792" w14:textId="4BF540EC" w:rsidR="00765CBE" w:rsidRPr="00D40DBB" w:rsidRDefault="00765CBE" w:rsidP="00765CBE">
      <w:pPr>
        <w:pStyle w:val="Titolo"/>
      </w:pPr>
      <w:r>
        <w:rPr>
          <w:noProof/>
        </w:rPr>
        <mc:AlternateContent>
          <mc:Choice Requires="wps">
            <w:drawing>
              <wp:anchor distT="4294967291" distB="4294967291" distL="114300" distR="114300" simplePos="0" relativeHeight="251768320" behindDoc="0" locked="0" layoutInCell="1" allowOverlap="1" wp14:anchorId="775F6343" wp14:editId="217006B7">
                <wp:simplePos x="0" y="0"/>
                <wp:positionH relativeFrom="margin">
                  <wp:align>center</wp:align>
                </wp:positionH>
                <wp:positionV relativeFrom="paragraph">
                  <wp:posOffset>80118</wp:posOffset>
                </wp:positionV>
                <wp:extent cx="2438400" cy="0"/>
                <wp:effectExtent l="0" t="0" r="0" b="0"/>
                <wp:wrapNone/>
                <wp:docPr id="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6CD8C0" id="AutoShape 120" o:spid="_x0000_s1026" type="#_x0000_t32" style="position:absolute;margin-left:0;margin-top:6.3pt;width:192pt;height:0;z-index:251768320;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t>Credito di imposta in compensazione</w:t>
      </w:r>
      <w:bookmarkEnd w:id="68"/>
      <w:bookmarkEnd w:id="69"/>
    </w:p>
    <w:p w14:paraId="76D2BECB" w14:textId="6E28130C" w:rsidR="00765CBE" w:rsidRDefault="00765CBE" w:rsidP="00332DA6"/>
    <w:p w14:paraId="126F9EBC" w14:textId="5F295103" w:rsidR="00B25678" w:rsidRDefault="00B25678" w:rsidP="00332DA6"/>
    <w:p w14:paraId="4F15BB34" w14:textId="7A1720B1" w:rsidR="00B25678" w:rsidRDefault="00B25678" w:rsidP="00332DA6"/>
    <w:p w14:paraId="644E2946" w14:textId="1C235BA0" w:rsidR="00B25678" w:rsidRDefault="00B25678" w:rsidP="00332DA6"/>
    <w:p w14:paraId="137EC5BF" w14:textId="784B7358" w:rsidR="00B25678" w:rsidRDefault="00B25678" w:rsidP="00332DA6"/>
    <w:p w14:paraId="0194ECFC" w14:textId="77777777" w:rsidR="00B25678" w:rsidRPr="00B25678" w:rsidRDefault="00B25678" w:rsidP="00332DA6"/>
    <w:p w14:paraId="0DEE5B06" w14:textId="4944A318" w:rsidR="00765CBE" w:rsidRPr="002247B4" w:rsidRDefault="007B5579" w:rsidP="00765CBE">
      <w:pPr>
        <w:pStyle w:val="Titolo2"/>
      </w:pPr>
      <w:bookmarkStart w:id="70" w:name="_Toc90462761"/>
      <w:bookmarkStart w:id="71" w:name="_Toc93327732"/>
      <w:r>
        <w:t>6</w:t>
      </w:r>
      <w:r w:rsidR="00765CBE" w:rsidRPr="002247B4">
        <w:t>.</w:t>
      </w:r>
      <w:r w:rsidR="00765CBE">
        <w:t>1</w:t>
      </w:r>
      <w:r w:rsidR="00765CBE" w:rsidRPr="002247B4">
        <w:t xml:space="preserve"> </w:t>
      </w:r>
      <w:r w:rsidR="00765CBE">
        <w:t>Credito di imposta in compensazione</w:t>
      </w:r>
      <w:bookmarkEnd w:id="70"/>
      <w:bookmarkEnd w:id="71"/>
    </w:p>
    <w:p w14:paraId="0C26B09A" w14:textId="77777777" w:rsidR="00765CBE" w:rsidRDefault="00765CBE" w:rsidP="00765CBE">
      <w:pPr>
        <w:spacing w:line="360" w:lineRule="auto"/>
        <w:jc w:val="both"/>
      </w:pPr>
      <w:r>
        <w:t xml:space="preserve">Il credito d'imposta è utilizzabile </w:t>
      </w:r>
      <w:r w:rsidRPr="00C935FD">
        <w:rPr>
          <w:b/>
          <w:bCs/>
        </w:rPr>
        <w:t>esclusivamente in compensazione</w:t>
      </w:r>
      <w:r>
        <w:rPr>
          <w:b/>
          <w:bCs/>
        </w:rPr>
        <w:t xml:space="preserve"> </w:t>
      </w:r>
      <w:r w:rsidRPr="005330D6">
        <w:t>(</w:t>
      </w:r>
      <w:r>
        <w:t xml:space="preserve">ai sensi dell'articolo 17 del decreto legislativo 9 luglio 1997, n. 241), in </w:t>
      </w:r>
      <w:r w:rsidRPr="00C935FD">
        <w:rPr>
          <w:b/>
          <w:bCs/>
        </w:rPr>
        <w:t>tre quote annuali di pari importo</w:t>
      </w:r>
      <w:r>
        <w:t>, a decorrere:</w:t>
      </w:r>
    </w:p>
    <w:p w14:paraId="4351B8FF" w14:textId="1BD63D6D" w:rsidR="00765CBE" w:rsidRDefault="00765CBE" w:rsidP="00AE49EC">
      <w:pPr>
        <w:pStyle w:val="Paragrafoelenco"/>
        <w:numPr>
          <w:ilvl w:val="0"/>
          <w:numId w:val="24"/>
        </w:numPr>
        <w:spacing w:line="360" w:lineRule="auto"/>
        <w:jc w:val="both"/>
      </w:pPr>
      <w:r w:rsidRPr="005330D6">
        <w:rPr>
          <w:b/>
          <w:bCs/>
        </w:rPr>
        <w:t>dall'anno di entrata in funzione dei beni</w:t>
      </w:r>
      <w:r>
        <w:t xml:space="preserve"> per gli </w:t>
      </w:r>
      <w:r w:rsidRPr="00B37E3D">
        <w:rPr>
          <w:b/>
          <w:bCs/>
        </w:rPr>
        <w:t>investimenti “ordinari”</w:t>
      </w:r>
      <w:r>
        <w:t xml:space="preserve"> materiali e immateriali </w:t>
      </w:r>
      <w:r w:rsidR="00B37E3D" w:rsidRPr="00B37E3D">
        <w:rPr>
          <w:b/>
          <w:bCs/>
        </w:rPr>
        <w:t>NON</w:t>
      </w:r>
      <w:r w:rsidRPr="00B37E3D">
        <w:rPr>
          <w:b/>
          <w:bCs/>
        </w:rPr>
        <w:t xml:space="preserve"> 4.0</w:t>
      </w:r>
      <w:r>
        <w:t xml:space="preserve"> di cui ai commi 1054 e 1055, dell’articolo 1, L. 178/2020, ovvero</w:t>
      </w:r>
    </w:p>
    <w:p w14:paraId="3132D931" w14:textId="732E58B2" w:rsidR="00765CBE" w:rsidRPr="007F356B" w:rsidRDefault="00765CBE" w:rsidP="00AE49EC">
      <w:pPr>
        <w:pStyle w:val="Paragrafoelenco"/>
        <w:numPr>
          <w:ilvl w:val="0"/>
          <w:numId w:val="24"/>
        </w:numPr>
        <w:spacing w:line="360" w:lineRule="auto"/>
        <w:jc w:val="both"/>
      </w:pPr>
      <w:r>
        <w:t xml:space="preserve">a decorrere </w:t>
      </w:r>
      <w:r w:rsidRPr="005330D6">
        <w:rPr>
          <w:b/>
          <w:bCs/>
        </w:rPr>
        <w:t xml:space="preserve">dall'anno di avvenuta </w:t>
      </w:r>
      <w:r w:rsidRPr="007F356B">
        <w:rPr>
          <w:b/>
          <w:bCs/>
        </w:rPr>
        <w:t>interconnessione dei beni</w:t>
      </w:r>
      <w:r w:rsidRPr="007F356B">
        <w:t xml:space="preserve"> </w:t>
      </w:r>
      <w:r w:rsidRPr="007F356B">
        <w:rPr>
          <w:b/>
          <w:bCs/>
        </w:rPr>
        <w:t>per gli investimenti 4.0</w:t>
      </w:r>
      <w:r w:rsidRPr="007F356B">
        <w:t xml:space="preserve"> di cui ai commi 1056, 1057</w:t>
      </w:r>
      <w:r w:rsidR="005516A1" w:rsidRPr="007F356B">
        <w:t xml:space="preserve">, 1057-bis, </w:t>
      </w:r>
      <w:r w:rsidRPr="007F356B">
        <w:t>1058</w:t>
      </w:r>
      <w:r w:rsidR="005516A1" w:rsidRPr="007F356B">
        <w:t>, 1058-bis, 1058-ter</w:t>
      </w:r>
      <w:r w:rsidRPr="007F356B">
        <w:t xml:space="preserve"> dell’articolo 1, L. 178/2020 ai sensi dell’articolo 1, comma 1062 dello stesso articolo.</w:t>
      </w:r>
    </w:p>
    <w:p w14:paraId="06C2FC61" w14:textId="77777777" w:rsidR="00765CBE" w:rsidRDefault="00765CBE" w:rsidP="00765CBE">
      <w:pPr>
        <w:spacing w:line="360" w:lineRule="auto"/>
        <w:jc w:val="both"/>
      </w:pPr>
      <w:r w:rsidRPr="007F356B">
        <w:t xml:space="preserve">Per gli investimenti in beni strumentali effettuati a decorrere dal 16 novembre 2020 e </w:t>
      </w:r>
      <w:r w:rsidRPr="007F356B">
        <w:rPr>
          <w:b/>
          <w:bCs/>
        </w:rPr>
        <w:t>fino al 31 dicembre 2021</w:t>
      </w:r>
      <w:r w:rsidRPr="007F356B">
        <w:t xml:space="preserve">, è utilizzabile in compensazione in </w:t>
      </w:r>
      <w:r w:rsidRPr="007F356B">
        <w:rPr>
          <w:b/>
          <w:bCs/>
        </w:rPr>
        <w:t>un'unica quota annuale,</w:t>
      </w:r>
      <w:r w:rsidRPr="007F356B">
        <w:t xml:space="preserve"> il </w:t>
      </w:r>
      <w:r>
        <w:t xml:space="preserve">credito d'imposta spettante, sugli investimenti in beni </w:t>
      </w:r>
      <w:r w:rsidRPr="00B37E3D">
        <w:rPr>
          <w:b/>
          <w:bCs/>
        </w:rPr>
        <w:t>strumentali materiali</w:t>
      </w:r>
      <w:r w:rsidRPr="00B37E3D">
        <w:t xml:space="preserve"> e </w:t>
      </w:r>
      <w:r w:rsidRPr="00B37E3D">
        <w:rPr>
          <w:b/>
          <w:bCs/>
        </w:rPr>
        <w:t>immateriali diversi dal 4.0</w:t>
      </w:r>
      <w:r>
        <w:t xml:space="preserve"> (ai sensi del comma 1054), ai soggetti con un </w:t>
      </w:r>
      <w:r w:rsidRPr="005330D6">
        <w:rPr>
          <w:b/>
          <w:bCs/>
        </w:rPr>
        <w:t>volume di ricavi o compensi inferiori a 5 milioni di euro</w:t>
      </w:r>
      <w:r>
        <w:t>.</w:t>
      </w:r>
    </w:p>
    <w:p w14:paraId="0158C4F9" w14:textId="77777777" w:rsidR="00765CBE" w:rsidRDefault="00765CBE" w:rsidP="00765CBE">
      <w:pPr>
        <w:spacing w:line="360" w:lineRule="auto"/>
        <w:jc w:val="both"/>
      </w:pPr>
      <w:r>
        <w:t xml:space="preserve">Alla disposizione contenuta nell’articolo 1, comma 1059, L. 178/2020 è </w:t>
      </w:r>
      <w:r w:rsidRPr="00B37E3D">
        <w:rPr>
          <w:b/>
          <w:bCs/>
        </w:rPr>
        <w:t>stato aggiunto in un secondo momento il comma 1059bis</w:t>
      </w:r>
      <w:r>
        <w:t xml:space="preserve"> (</w:t>
      </w:r>
      <w:r w:rsidRPr="00B37E3D">
        <w:rPr>
          <w:b/>
          <w:bCs/>
        </w:rPr>
        <w:t>togliendo di fatto il limite dei ricavi per i beni materiali</w:t>
      </w:r>
      <w:r>
        <w:t>).</w:t>
      </w:r>
    </w:p>
    <w:p w14:paraId="45892C9E" w14:textId="77777777" w:rsidR="00765CBE"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92184A">
        <w:rPr>
          <w:i/>
          <w:iCs/>
        </w:rPr>
        <w:t xml:space="preserve">1059-bis. Per gli investimenti in beni strumentali materiali </w:t>
      </w:r>
      <w:r w:rsidRPr="0092184A">
        <w:rPr>
          <w:b/>
          <w:bCs/>
          <w:i/>
          <w:iCs/>
        </w:rPr>
        <w:t>diversi da quelli indicati nell'allegato A</w:t>
      </w:r>
      <w:r w:rsidRPr="0092184A">
        <w:rPr>
          <w:i/>
          <w:iCs/>
        </w:rPr>
        <w:t xml:space="preserve"> annesso alla legge 11 dicembre 2016, n. 232, effettuati a decorrere dal 16 novembre 2020 e </w:t>
      </w:r>
      <w:r w:rsidRPr="0092184A">
        <w:rPr>
          <w:b/>
          <w:bCs/>
          <w:i/>
          <w:iCs/>
        </w:rPr>
        <w:t>fino al 31 dicembre 2021</w:t>
      </w:r>
      <w:r w:rsidRPr="0092184A">
        <w:rPr>
          <w:i/>
          <w:iCs/>
        </w:rPr>
        <w:t xml:space="preserve">, il credito d'imposta spettante ai sensi del comma 1054 ai soggetti con un volume di ricavi o compensi </w:t>
      </w:r>
      <w:r w:rsidRPr="0092184A">
        <w:rPr>
          <w:b/>
          <w:bCs/>
          <w:i/>
          <w:iCs/>
        </w:rPr>
        <w:t>non inferiore a 5 milioni di euro</w:t>
      </w:r>
      <w:r w:rsidRPr="0092184A">
        <w:rPr>
          <w:i/>
          <w:iCs/>
        </w:rPr>
        <w:t xml:space="preserve"> è utilizzabile in compensazione in </w:t>
      </w:r>
      <w:r w:rsidRPr="00B37E3D">
        <w:rPr>
          <w:i/>
          <w:iCs/>
        </w:rPr>
        <w:t>un'</w:t>
      </w:r>
      <w:r w:rsidRPr="00B37E3D">
        <w:rPr>
          <w:b/>
          <w:bCs/>
          <w:i/>
          <w:iCs/>
        </w:rPr>
        <w:t>unica quota annuale</w:t>
      </w:r>
      <w:r>
        <w:rPr>
          <w:i/>
          <w:iCs/>
        </w:rPr>
        <w:t>.</w:t>
      </w:r>
    </w:p>
    <w:p w14:paraId="3A819107" w14:textId="04FF43E9" w:rsidR="00765CBE" w:rsidRPr="0092184A"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92184A">
        <w:t>Articolo 1, comma 1059bis, Legge 178/2020 In vigore dal 25/07/2021 - Modificato da: Decreto-legge del 25/05/2021 n. 73, Articolo 20</w:t>
      </w:r>
    </w:p>
    <w:p w14:paraId="75767FD9" w14:textId="77777777" w:rsidR="00B25678" w:rsidRDefault="00B25678" w:rsidP="00765CBE">
      <w:pPr>
        <w:spacing w:line="360" w:lineRule="auto"/>
      </w:pPr>
    </w:p>
    <w:p w14:paraId="17A58081" w14:textId="54342EE4" w:rsidR="00765CBE" w:rsidRDefault="006569E2" w:rsidP="00765CBE">
      <w:pPr>
        <w:spacing w:line="360" w:lineRule="auto"/>
      </w:pPr>
      <w:r>
        <w:lastRenderedPageBreak/>
        <w:t>Pertanto, è</w:t>
      </w:r>
      <w:r w:rsidR="00765CBE" w:rsidRPr="00AD6975">
        <w:t xml:space="preserve"> utilizzabile in compensazione </w:t>
      </w:r>
      <w:r w:rsidR="00765CBE" w:rsidRPr="00AD6975">
        <w:rPr>
          <w:b/>
          <w:bCs/>
        </w:rPr>
        <w:t>in un’unica quota annuale</w:t>
      </w:r>
      <w:r w:rsidR="00765CBE" w:rsidRPr="00AD6975">
        <w:t>:</w:t>
      </w:r>
    </w:p>
    <w:p w14:paraId="433F88DD" w14:textId="1F282FFB" w:rsidR="00765CBE" w:rsidRDefault="00765CBE" w:rsidP="00AE49EC">
      <w:pPr>
        <w:pStyle w:val="Paragrafoelenco"/>
        <w:numPr>
          <w:ilvl w:val="0"/>
          <w:numId w:val="33"/>
        </w:numPr>
        <w:spacing w:line="360" w:lineRule="auto"/>
        <w:jc w:val="both"/>
      </w:pPr>
      <w:r w:rsidRPr="00AD6975">
        <w:t xml:space="preserve">il credito d’imposta per investimenti in </w:t>
      </w:r>
      <w:r w:rsidRPr="0056321F">
        <w:rPr>
          <w:b/>
          <w:bCs/>
        </w:rPr>
        <w:t>beni strumentali materiali “</w:t>
      </w:r>
      <w:r w:rsidR="006569E2" w:rsidRPr="0056321F">
        <w:rPr>
          <w:b/>
          <w:bCs/>
        </w:rPr>
        <w:t>NON</w:t>
      </w:r>
      <w:r w:rsidRPr="0056321F">
        <w:rPr>
          <w:b/>
          <w:bCs/>
        </w:rPr>
        <w:t xml:space="preserve"> 4.0”</w:t>
      </w:r>
      <w:r w:rsidRPr="00AD6975">
        <w:t xml:space="preserve"> effettuati ai sensi del comma 1054 della legge di bilancio 2021 a decorrere dal 16 novembre 2020 e </w:t>
      </w:r>
      <w:r w:rsidRPr="00EC40B9">
        <w:rPr>
          <w:b/>
          <w:bCs/>
        </w:rPr>
        <w:t>fino al 31 dicembre 2021</w:t>
      </w:r>
      <w:r w:rsidRPr="00AD6975">
        <w:t xml:space="preserve">, </w:t>
      </w:r>
      <w:r w:rsidRPr="006569E2">
        <w:rPr>
          <w:b/>
          <w:bCs/>
        </w:rPr>
        <w:t>indipendentemente dal volume dei ricavi o dei compensi</w:t>
      </w:r>
      <w:r w:rsidRPr="00AD6975">
        <w:t xml:space="preserve"> dei soggetti beneficiari;</w:t>
      </w:r>
    </w:p>
    <w:p w14:paraId="7772625E" w14:textId="2C879667" w:rsidR="00765CBE" w:rsidRDefault="00765CBE" w:rsidP="00AE49EC">
      <w:pPr>
        <w:pStyle w:val="Paragrafoelenco"/>
        <w:numPr>
          <w:ilvl w:val="0"/>
          <w:numId w:val="33"/>
        </w:numPr>
        <w:spacing w:line="360" w:lineRule="auto"/>
        <w:jc w:val="both"/>
      </w:pPr>
      <w:r w:rsidRPr="00AD6975">
        <w:t xml:space="preserve">il credito d’imposta per investimenti in </w:t>
      </w:r>
      <w:r w:rsidRPr="00A93295">
        <w:rPr>
          <w:b/>
          <w:bCs/>
        </w:rPr>
        <w:t>beni strumentali immateriali “</w:t>
      </w:r>
      <w:r w:rsidR="006569E2" w:rsidRPr="00A93295">
        <w:rPr>
          <w:b/>
          <w:bCs/>
        </w:rPr>
        <w:t>NON</w:t>
      </w:r>
      <w:r w:rsidRPr="00A93295">
        <w:rPr>
          <w:b/>
          <w:bCs/>
        </w:rPr>
        <w:t xml:space="preserve"> 4.0”</w:t>
      </w:r>
      <w:r w:rsidRPr="00AD6975">
        <w:t xml:space="preserve"> effettuati nel </w:t>
      </w:r>
      <w:r w:rsidRPr="00EC40B9">
        <w:rPr>
          <w:b/>
          <w:bCs/>
        </w:rPr>
        <w:t>medesimo arco temporale</w:t>
      </w:r>
      <w:r w:rsidRPr="00AD6975">
        <w:t xml:space="preserve"> dai soggetti con un volume di ricavi o compensi </w:t>
      </w:r>
      <w:r w:rsidRPr="00D86DC1">
        <w:rPr>
          <w:b/>
          <w:bCs/>
        </w:rPr>
        <w:t>inferiori a 5 milioni</w:t>
      </w:r>
      <w:r w:rsidRPr="00AD6975">
        <w:t xml:space="preserve"> di euro.</w:t>
      </w:r>
    </w:p>
    <w:p w14:paraId="7A34B96A" w14:textId="77777777" w:rsidR="00765CBE" w:rsidRPr="00D86DC1"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D86DC1">
        <w:rPr>
          <w:i/>
          <w:iCs/>
        </w:rPr>
        <w:t>1054. Alle imprese che effettuano investimenti in beni strumentali materiali diversi da quelli indicati nell'allegato A annesso alla legge 11 dicembre 2016, n. 232, nel limite massimo di costi ammissibili pari a 2 milioni di euro, nonché investimenti in beni strumentali immateriali diversi da quelli indicati nell'allegato B annesso alla medesima legge n. 232 del 2016, nel limite massimo di costi ammissibili pari a 1 milione di euro, a decorrere dal 16 novembre 2020 e fino al 31 dicembre 2021, ovvero entro il 30 giugno 2022, a condizione che entro la data del 31 dicembre 2021 il relativo ordine risulti accettato dal venditore e sia avvenuto il pagamento di acconti in misura almeno pari al 20 per cento del costo di acquisizione, il credito d'imposta è riconosciuto nella misura del 10 per cento del costo determinato ai sensi dell'articolo 110, comma 1, lettera b), del testo unico di cui al decreto del Presidente della Repubblica 22 dicembre 1986, n. 917. Per gli investimenti effettuati mediante contratti di locazione finanziaria, si assume il costo sostenuto dal locatore per l'acquisto dei beni. La misura del credito d'imposta è elevata al 15 per cento per gli investimenti in strumenti e dispositivi tecnologici destinati dall'impresa alla realizzazione di modalità di lavoro agile ai sensi dell'articolo 18 della legge 22 maggio 2017, n. 81.</w:t>
      </w:r>
    </w:p>
    <w:p w14:paraId="53BA0EB8" w14:textId="77777777" w:rsidR="00765CBE" w:rsidRPr="00D86DC1"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D86DC1">
        <w:t>Articolo 1, comma 1054, L. 178/2020</w:t>
      </w:r>
    </w:p>
    <w:p w14:paraId="23D38263" w14:textId="1150C680" w:rsidR="00765CBE" w:rsidRDefault="00765CBE" w:rsidP="00765CBE">
      <w:pPr>
        <w:spacing w:line="360" w:lineRule="auto"/>
        <w:jc w:val="both"/>
      </w:pPr>
    </w:p>
    <w:p w14:paraId="043DC5C4" w14:textId="55416F74" w:rsidR="00765CBE" w:rsidRPr="00332DA6" w:rsidRDefault="00765CBE" w:rsidP="00B772B8">
      <w:pPr>
        <w:spacing w:line="360" w:lineRule="auto"/>
        <w:jc w:val="both"/>
        <w:rPr>
          <w:b/>
          <w:bCs/>
        </w:rPr>
      </w:pPr>
      <w:bookmarkStart w:id="72" w:name="_Toc90462762"/>
      <w:bookmarkStart w:id="73" w:name="_Hlk90291201"/>
      <w:r w:rsidRPr="00332DA6">
        <w:rPr>
          <w:b/>
          <w:bCs/>
        </w:rPr>
        <w:t xml:space="preserve">Tabella </w:t>
      </w:r>
      <w:r w:rsidR="00B772B8" w:rsidRPr="00332DA6">
        <w:rPr>
          <w:b/>
          <w:bCs/>
        </w:rPr>
        <w:t>r</w:t>
      </w:r>
      <w:r w:rsidRPr="00332DA6">
        <w:rPr>
          <w:b/>
          <w:bCs/>
        </w:rPr>
        <w:t>iepilogo tipologia investimento, quote utilizzo credito e decorrenza</w:t>
      </w:r>
      <w:bookmarkEnd w:id="72"/>
    </w:p>
    <w:bookmarkEnd w:id="73"/>
    <w:p w14:paraId="50D8B3B6" w14:textId="77777777" w:rsidR="00765CBE" w:rsidRDefault="00765CBE" w:rsidP="00765CBE">
      <w:pPr>
        <w:spacing w:line="360" w:lineRule="auto"/>
        <w:jc w:val="both"/>
      </w:pPr>
      <w:r>
        <w:t xml:space="preserve">Pertanto, il credito di imposta è utilizzabile </w:t>
      </w:r>
      <w:r w:rsidRPr="00F22E81">
        <w:rPr>
          <w:b/>
          <w:bCs/>
        </w:rPr>
        <w:t>nell’anno 2021</w:t>
      </w:r>
      <w:r>
        <w:t xml:space="preserve"> secondo lo </w:t>
      </w:r>
      <w:r w:rsidRPr="006569E2">
        <w:rPr>
          <w:b/>
          <w:bCs/>
        </w:rPr>
        <w:t>schema sotto riportato</w:t>
      </w:r>
      <w:r>
        <w:t>.</w:t>
      </w:r>
    </w:p>
    <w:tbl>
      <w:tblPr>
        <w:tblStyle w:val="Grigliatabella"/>
        <w:tblW w:w="0" w:type="auto"/>
        <w:tblLook w:val="04A0" w:firstRow="1" w:lastRow="0" w:firstColumn="1" w:lastColumn="0" w:noHBand="0" w:noVBand="1"/>
      </w:tblPr>
      <w:tblGrid>
        <w:gridCol w:w="3539"/>
        <w:gridCol w:w="2879"/>
        <w:gridCol w:w="3210"/>
      </w:tblGrid>
      <w:tr w:rsidR="00765CBE" w:rsidRPr="00F22E81" w14:paraId="7240FADD" w14:textId="77777777" w:rsidTr="001D3F87">
        <w:tc>
          <w:tcPr>
            <w:tcW w:w="3539" w:type="dxa"/>
            <w:shd w:val="clear" w:color="auto" w:fill="DBE5F1" w:themeFill="accent1" w:themeFillTint="33"/>
            <w:vAlign w:val="center"/>
          </w:tcPr>
          <w:p w14:paraId="24734036" w14:textId="77777777" w:rsidR="00765CBE" w:rsidRPr="001D3F87" w:rsidRDefault="00765CBE" w:rsidP="001D3F87">
            <w:pPr>
              <w:spacing w:before="60" w:after="60" w:line="326" w:lineRule="auto"/>
              <w:jc w:val="center"/>
              <w:rPr>
                <w:b/>
                <w:bCs/>
                <w:color w:val="000000" w:themeColor="text1"/>
              </w:rPr>
            </w:pPr>
            <w:r w:rsidRPr="001D3F87">
              <w:rPr>
                <w:b/>
                <w:bCs/>
                <w:color w:val="000000" w:themeColor="text1"/>
              </w:rPr>
              <w:t>Tipologia investimento</w:t>
            </w:r>
          </w:p>
        </w:tc>
        <w:tc>
          <w:tcPr>
            <w:tcW w:w="2879" w:type="dxa"/>
            <w:shd w:val="clear" w:color="auto" w:fill="DBE5F1" w:themeFill="accent1" w:themeFillTint="33"/>
            <w:vAlign w:val="center"/>
          </w:tcPr>
          <w:p w14:paraId="74730B17" w14:textId="77777777" w:rsidR="00765CBE" w:rsidRPr="001D3F87" w:rsidRDefault="00765CBE" w:rsidP="001D3F87">
            <w:pPr>
              <w:spacing w:before="60" w:after="60" w:line="326" w:lineRule="auto"/>
              <w:jc w:val="center"/>
              <w:rPr>
                <w:b/>
                <w:bCs/>
                <w:color w:val="000000" w:themeColor="text1"/>
              </w:rPr>
            </w:pPr>
            <w:r w:rsidRPr="001D3F87">
              <w:rPr>
                <w:b/>
                <w:bCs/>
                <w:color w:val="000000" w:themeColor="text1"/>
              </w:rPr>
              <w:t>Quota utilizzazione credito</w:t>
            </w:r>
          </w:p>
        </w:tc>
        <w:tc>
          <w:tcPr>
            <w:tcW w:w="3210" w:type="dxa"/>
            <w:shd w:val="clear" w:color="auto" w:fill="DBE5F1" w:themeFill="accent1" w:themeFillTint="33"/>
            <w:vAlign w:val="center"/>
          </w:tcPr>
          <w:p w14:paraId="7C7D6963" w14:textId="77777777" w:rsidR="00765CBE" w:rsidRPr="001D3F87" w:rsidRDefault="00765CBE" w:rsidP="001D3F87">
            <w:pPr>
              <w:spacing w:before="60" w:after="60" w:line="326" w:lineRule="auto"/>
              <w:jc w:val="center"/>
              <w:rPr>
                <w:b/>
                <w:bCs/>
                <w:color w:val="000000" w:themeColor="text1"/>
              </w:rPr>
            </w:pPr>
            <w:r w:rsidRPr="001D3F87">
              <w:rPr>
                <w:b/>
                <w:bCs/>
                <w:color w:val="000000" w:themeColor="text1"/>
              </w:rPr>
              <w:t>Decorrenza utilizzo</w:t>
            </w:r>
          </w:p>
        </w:tc>
      </w:tr>
      <w:tr w:rsidR="00765CBE" w14:paraId="665F066B" w14:textId="77777777" w:rsidTr="001D3F87">
        <w:tc>
          <w:tcPr>
            <w:tcW w:w="3539" w:type="dxa"/>
            <w:vAlign w:val="center"/>
          </w:tcPr>
          <w:p w14:paraId="41E4F2E3" w14:textId="2A9E3C72" w:rsidR="00765CBE" w:rsidRDefault="00765CBE" w:rsidP="001D3F87">
            <w:pPr>
              <w:spacing w:before="60" w:after="60" w:line="326" w:lineRule="auto"/>
              <w:jc w:val="center"/>
            </w:pPr>
            <w:r w:rsidRPr="006569E2">
              <w:rPr>
                <w:b/>
                <w:bCs/>
              </w:rPr>
              <w:t xml:space="preserve">Beni materiali </w:t>
            </w:r>
            <w:r w:rsidR="006569E2" w:rsidRPr="006569E2">
              <w:rPr>
                <w:b/>
                <w:bCs/>
              </w:rPr>
              <w:t>NON</w:t>
            </w:r>
            <w:r w:rsidRPr="006569E2">
              <w:rPr>
                <w:b/>
                <w:bCs/>
              </w:rPr>
              <w:t xml:space="preserve"> 4.0</w:t>
            </w:r>
            <w:r>
              <w:t xml:space="preserve"> (indipendentemente dai ricavi 2020)</w:t>
            </w:r>
          </w:p>
        </w:tc>
        <w:tc>
          <w:tcPr>
            <w:tcW w:w="2879" w:type="dxa"/>
            <w:vAlign w:val="center"/>
          </w:tcPr>
          <w:p w14:paraId="0746B906" w14:textId="77777777" w:rsidR="00765CBE" w:rsidRDefault="00765CBE" w:rsidP="001D3F87">
            <w:pPr>
              <w:spacing w:before="60" w:after="60" w:line="326" w:lineRule="auto"/>
              <w:jc w:val="center"/>
            </w:pPr>
            <w:r>
              <w:t>Intera</w:t>
            </w:r>
          </w:p>
        </w:tc>
        <w:tc>
          <w:tcPr>
            <w:tcW w:w="3210" w:type="dxa"/>
            <w:vAlign w:val="center"/>
          </w:tcPr>
          <w:p w14:paraId="3F34C464" w14:textId="4FA999BB" w:rsidR="00765CBE" w:rsidRDefault="00765CBE" w:rsidP="001D3F87">
            <w:pPr>
              <w:spacing w:before="60" w:after="60" w:line="326" w:lineRule="auto"/>
              <w:jc w:val="center"/>
            </w:pPr>
            <w:r>
              <w:t xml:space="preserve">Anno </w:t>
            </w:r>
            <w:r w:rsidR="00606EF9">
              <w:t xml:space="preserve">di </w:t>
            </w:r>
            <w:r>
              <w:t>entrata in funzione del bene</w:t>
            </w:r>
          </w:p>
        </w:tc>
      </w:tr>
      <w:tr w:rsidR="00765CBE" w14:paraId="0878D85B" w14:textId="77777777" w:rsidTr="001D3F87">
        <w:tc>
          <w:tcPr>
            <w:tcW w:w="3539" w:type="dxa"/>
            <w:vAlign w:val="center"/>
          </w:tcPr>
          <w:p w14:paraId="66862BC2" w14:textId="77777777" w:rsidR="00765CBE" w:rsidRDefault="00765CBE" w:rsidP="001D3F87">
            <w:pPr>
              <w:spacing w:before="60" w:after="60" w:line="326" w:lineRule="auto"/>
              <w:jc w:val="center"/>
            </w:pPr>
            <w:r w:rsidRPr="006569E2">
              <w:rPr>
                <w:b/>
                <w:bCs/>
              </w:rPr>
              <w:t xml:space="preserve">Strumenti e dispositivi tecnologici destinati al lavoro </w:t>
            </w:r>
            <w:r w:rsidRPr="006569E2">
              <w:rPr>
                <w:b/>
                <w:bCs/>
              </w:rPr>
              <w:lastRenderedPageBreak/>
              <w:t>agile</w:t>
            </w:r>
            <w:r>
              <w:t xml:space="preserve"> (se i ricavi 2020 sono </w:t>
            </w:r>
            <w:r w:rsidRPr="006569E2">
              <w:rPr>
                <w:b/>
                <w:bCs/>
              </w:rPr>
              <w:t>inferiori a 5 milioni</w:t>
            </w:r>
            <w:r>
              <w:t xml:space="preserve"> di euro)</w:t>
            </w:r>
          </w:p>
        </w:tc>
        <w:tc>
          <w:tcPr>
            <w:tcW w:w="2879" w:type="dxa"/>
            <w:vAlign w:val="center"/>
          </w:tcPr>
          <w:p w14:paraId="4449991A" w14:textId="77777777" w:rsidR="00765CBE" w:rsidRDefault="00765CBE" w:rsidP="001D3F87">
            <w:pPr>
              <w:spacing w:before="60" w:after="60" w:line="326" w:lineRule="auto"/>
              <w:jc w:val="center"/>
            </w:pPr>
            <w:r>
              <w:lastRenderedPageBreak/>
              <w:t>Intera</w:t>
            </w:r>
          </w:p>
        </w:tc>
        <w:tc>
          <w:tcPr>
            <w:tcW w:w="3210" w:type="dxa"/>
            <w:vAlign w:val="center"/>
          </w:tcPr>
          <w:p w14:paraId="56835C4D" w14:textId="3FDAB71E" w:rsidR="00765CBE" w:rsidRDefault="00765CBE" w:rsidP="001D3F87">
            <w:pPr>
              <w:spacing w:before="60" w:after="60" w:line="326" w:lineRule="auto"/>
              <w:jc w:val="center"/>
            </w:pPr>
            <w:r>
              <w:t xml:space="preserve">Anno </w:t>
            </w:r>
            <w:r w:rsidR="00606EF9">
              <w:t xml:space="preserve">di </w:t>
            </w:r>
            <w:r>
              <w:t>entrata in funzione del bene</w:t>
            </w:r>
          </w:p>
        </w:tc>
      </w:tr>
      <w:tr w:rsidR="00765CBE" w14:paraId="7C328F93" w14:textId="77777777" w:rsidTr="001D3F87">
        <w:tc>
          <w:tcPr>
            <w:tcW w:w="3539" w:type="dxa"/>
            <w:vAlign w:val="center"/>
          </w:tcPr>
          <w:p w14:paraId="1F10E17E" w14:textId="77777777" w:rsidR="00765CBE" w:rsidRPr="003E13A9" w:rsidRDefault="00765CBE" w:rsidP="001D3F87">
            <w:pPr>
              <w:spacing w:before="60" w:after="60" w:line="326" w:lineRule="auto"/>
              <w:jc w:val="center"/>
              <w:rPr>
                <w:highlight w:val="yellow"/>
              </w:rPr>
            </w:pPr>
            <w:r w:rsidRPr="00E51A2B">
              <w:rPr>
                <w:b/>
                <w:bCs/>
              </w:rPr>
              <w:t>Strumenti e dispositivi tecnologici destinati al lavoro agile</w:t>
            </w:r>
            <w:r w:rsidRPr="00E51A2B">
              <w:t xml:space="preserve"> (se i ricavi 2020 sono pari o </w:t>
            </w:r>
            <w:r w:rsidRPr="00E51A2B">
              <w:rPr>
                <w:b/>
                <w:bCs/>
              </w:rPr>
              <w:t>superiori a 5 milioni</w:t>
            </w:r>
            <w:r w:rsidRPr="00E51A2B">
              <w:t xml:space="preserve"> di euro)</w:t>
            </w:r>
          </w:p>
        </w:tc>
        <w:tc>
          <w:tcPr>
            <w:tcW w:w="2879" w:type="dxa"/>
            <w:vAlign w:val="center"/>
          </w:tcPr>
          <w:p w14:paraId="4324E504" w14:textId="67B9AD1B" w:rsidR="00765CBE" w:rsidRPr="00E51A2B" w:rsidRDefault="00765CBE" w:rsidP="001D3F87">
            <w:pPr>
              <w:spacing w:before="60" w:after="60" w:line="326" w:lineRule="auto"/>
              <w:jc w:val="center"/>
            </w:pPr>
            <w:r w:rsidRPr="00E51A2B">
              <w:t>Tre quote annuali di pari importo</w:t>
            </w:r>
            <w:r w:rsidR="00E51A2B" w:rsidRPr="00E51A2B">
              <w:t xml:space="preserve"> sui beni immateriali</w:t>
            </w:r>
          </w:p>
          <w:p w14:paraId="65A76EB8" w14:textId="225E181A" w:rsidR="003E13A9" w:rsidRPr="003E13A9" w:rsidRDefault="00E51A2B" w:rsidP="00E51A2B">
            <w:pPr>
              <w:spacing w:before="60" w:after="60" w:line="326" w:lineRule="auto"/>
              <w:jc w:val="center"/>
              <w:rPr>
                <w:highlight w:val="yellow"/>
              </w:rPr>
            </w:pPr>
            <w:r w:rsidRPr="00E51A2B">
              <w:t>Intera sui beni materiali</w:t>
            </w:r>
          </w:p>
        </w:tc>
        <w:tc>
          <w:tcPr>
            <w:tcW w:w="3210" w:type="dxa"/>
            <w:vAlign w:val="center"/>
          </w:tcPr>
          <w:p w14:paraId="634F81C7" w14:textId="0EA02207" w:rsidR="00765CBE" w:rsidRPr="003E13A9" w:rsidRDefault="00765CBE" w:rsidP="001D3F87">
            <w:pPr>
              <w:spacing w:before="60" w:after="60" w:line="326" w:lineRule="auto"/>
              <w:jc w:val="center"/>
              <w:rPr>
                <w:highlight w:val="yellow"/>
              </w:rPr>
            </w:pPr>
            <w:r w:rsidRPr="00771052">
              <w:t>Anno</w:t>
            </w:r>
            <w:r w:rsidR="00606EF9" w:rsidRPr="00771052">
              <w:t xml:space="preserve"> di</w:t>
            </w:r>
            <w:r w:rsidRPr="00771052">
              <w:t xml:space="preserve"> entrata in funzione del bene</w:t>
            </w:r>
          </w:p>
        </w:tc>
      </w:tr>
      <w:tr w:rsidR="00765CBE" w14:paraId="7A0B4B30" w14:textId="77777777" w:rsidTr="001D3F87">
        <w:tc>
          <w:tcPr>
            <w:tcW w:w="3539" w:type="dxa"/>
            <w:vAlign w:val="center"/>
          </w:tcPr>
          <w:p w14:paraId="3ABAE3E7" w14:textId="2F07511B" w:rsidR="00765CBE" w:rsidRDefault="00765CBE" w:rsidP="001D3F87">
            <w:pPr>
              <w:spacing w:before="60" w:after="60" w:line="326" w:lineRule="auto"/>
              <w:jc w:val="center"/>
            </w:pPr>
            <w:r>
              <w:t xml:space="preserve">Beni </w:t>
            </w:r>
            <w:r w:rsidRPr="006569E2">
              <w:rPr>
                <w:b/>
                <w:bCs/>
              </w:rPr>
              <w:t xml:space="preserve">immateriali </w:t>
            </w:r>
            <w:r w:rsidR="006569E2" w:rsidRPr="006569E2">
              <w:rPr>
                <w:b/>
                <w:bCs/>
              </w:rPr>
              <w:t>NON</w:t>
            </w:r>
            <w:r w:rsidRPr="006569E2">
              <w:rPr>
                <w:b/>
                <w:bCs/>
              </w:rPr>
              <w:t xml:space="preserve"> 4.0</w:t>
            </w:r>
            <w:r>
              <w:t xml:space="preserve"> </w:t>
            </w:r>
            <w:r w:rsidRPr="004A175A">
              <w:t xml:space="preserve">(se i ricavi 2020 sono </w:t>
            </w:r>
            <w:r w:rsidRPr="006569E2">
              <w:rPr>
                <w:b/>
                <w:bCs/>
              </w:rPr>
              <w:t>inferiori a 5 milioni</w:t>
            </w:r>
            <w:r w:rsidRPr="004A175A">
              <w:t xml:space="preserve"> di euro)</w:t>
            </w:r>
          </w:p>
        </w:tc>
        <w:tc>
          <w:tcPr>
            <w:tcW w:w="2879" w:type="dxa"/>
            <w:vAlign w:val="center"/>
          </w:tcPr>
          <w:p w14:paraId="2EC5E52B" w14:textId="77777777" w:rsidR="00765CBE" w:rsidRDefault="00765CBE" w:rsidP="001D3F87">
            <w:pPr>
              <w:spacing w:before="60" w:after="60" w:line="326" w:lineRule="auto"/>
              <w:jc w:val="center"/>
            </w:pPr>
            <w:r>
              <w:t>Intera</w:t>
            </w:r>
          </w:p>
        </w:tc>
        <w:tc>
          <w:tcPr>
            <w:tcW w:w="3210" w:type="dxa"/>
            <w:vAlign w:val="center"/>
          </w:tcPr>
          <w:p w14:paraId="78F56AB3" w14:textId="4165C683" w:rsidR="00765CBE" w:rsidRDefault="00765CBE" w:rsidP="001D3F87">
            <w:pPr>
              <w:spacing w:before="60" w:after="60" w:line="326" w:lineRule="auto"/>
              <w:jc w:val="center"/>
            </w:pPr>
            <w:r>
              <w:t xml:space="preserve">Anno </w:t>
            </w:r>
            <w:r w:rsidR="00606EF9">
              <w:t xml:space="preserve">di </w:t>
            </w:r>
            <w:r>
              <w:t>entrata in funzione del bene</w:t>
            </w:r>
          </w:p>
        </w:tc>
      </w:tr>
      <w:tr w:rsidR="00765CBE" w14:paraId="19219F84" w14:textId="77777777" w:rsidTr="001D3F87">
        <w:tc>
          <w:tcPr>
            <w:tcW w:w="3539" w:type="dxa"/>
            <w:vAlign w:val="center"/>
          </w:tcPr>
          <w:p w14:paraId="1E505B83" w14:textId="345C22C3" w:rsidR="00765CBE" w:rsidRDefault="00765CBE" w:rsidP="001D3F87">
            <w:pPr>
              <w:spacing w:before="60" w:after="60" w:line="326" w:lineRule="auto"/>
              <w:jc w:val="center"/>
            </w:pPr>
            <w:r>
              <w:t xml:space="preserve">Beni </w:t>
            </w:r>
            <w:r w:rsidRPr="006569E2">
              <w:rPr>
                <w:b/>
                <w:bCs/>
              </w:rPr>
              <w:t xml:space="preserve">immateriali </w:t>
            </w:r>
            <w:r w:rsidR="006569E2" w:rsidRPr="006569E2">
              <w:rPr>
                <w:b/>
                <w:bCs/>
              </w:rPr>
              <w:t>NON</w:t>
            </w:r>
            <w:r w:rsidRPr="006569E2">
              <w:rPr>
                <w:b/>
                <w:bCs/>
              </w:rPr>
              <w:t xml:space="preserve"> 4.0</w:t>
            </w:r>
            <w:r>
              <w:t xml:space="preserve"> </w:t>
            </w:r>
            <w:r w:rsidRPr="004A175A">
              <w:t xml:space="preserve">(se i ricavi 2020 sono </w:t>
            </w:r>
            <w:r w:rsidRPr="006569E2">
              <w:rPr>
                <w:b/>
                <w:bCs/>
              </w:rPr>
              <w:t>pari o superiori a 5 milioni</w:t>
            </w:r>
            <w:r w:rsidRPr="004A175A">
              <w:t xml:space="preserve"> di euro)</w:t>
            </w:r>
          </w:p>
        </w:tc>
        <w:tc>
          <w:tcPr>
            <w:tcW w:w="2879" w:type="dxa"/>
            <w:vAlign w:val="center"/>
          </w:tcPr>
          <w:p w14:paraId="0BD379CC" w14:textId="77777777" w:rsidR="00765CBE" w:rsidRDefault="00765CBE" w:rsidP="001D3F87">
            <w:pPr>
              <w:spacing w:before="60" w:after="60" w:line="326" w:lineRule="auto"/>
              <w:jc w:val="center"/>
            </w:pPr>
            <w:r>
              <w:t>Tre quote annuali di pari importo</w:t>
            </w:r>
          </w:p>
        </w:tc>
        <w:tc>
          <w:tcPr>
            <w:tcW w:w="3210" w:type="dxa"/>
            <w:vAlign w:val="center"/>
          </w:tcPr>
          <w:p w14:paraId="4AF44C58" w14:textId="3AD962B5" w:rsidR="00765CBE" w:rsidRDefault="00765CBE" w:rsidP="001D3F87">
            <w:pPr>
              <w:spacing w:before="60" w:after="60" w:line="326" w:lineRule="auto"/>
              <w:jc w:val="center"/>
            </w:pPr>
            <w:r>
              <w:t xml:space="preserve">Anno </w:t>
            </w:r>
            <w:r w:rsidR="00606EF9">
              <w:t xml:space="preserve">di </w:t>
            </w:r>
            <w:r>
              <w:t>entrata in funzione del bene</w:t>
            </w:r>
          </w:p>
        </w:tc>
      </w:tr>
      <w:tr w:rsidR="00765CBE" w14:paraId="0B1C4AB4" w14:textId="77777777" w:rsidTr="001D3F87">
        <w:tc>
          <w:tcPr>
            <w:tcW w:w="3539" w:type="dxa"/>
            <w:vAlign w:val="center"/>
          </w:tcPr>
          <w:p w14:paraId="39F152BC" w14:textId="77777777" w:rsidR="00765CBE" w:rsidRDefault="00765CBE" w:rsidP="001D3F87">
            <w:pPr>
              <w:spacing w:before="60" w:after="60" w:line="326" w:lineRule="auto"/>
              <w:jc w:val="center"/>
            </w:pPr>
            <w:r>
              <w:t xml:space="preserve">Beni </w:t>
            </w:r>
            <w:r w:rsidRPr="006569E2">
              <w:rPr>
                <w:b/>
                <w:bCs/>
              </w:rPr>
              <w:t>materiali 4.0</w:t>
            </w:r>
            <w:r>
              <w:t xml:space="preserve"> (</w:t>
            </w:r>
            <w:r w:rsidRPr="006569E2">
              <w:rPr>
                <w:b/>
                <w:bCs/>
              </w:rPr>
              <w:t>allegato A</w:t>
            </w:r>
            <w:r>
              <w:t>)</w:t>
            </w:r>
          </w:p>
        </w:tc>
        <w:tc>
          <w:tcPr>
            <w:tcW w:w="2879" w:type="dxa"/>
            <w:vAlign w:val="center"/>
          </w:tcPr>
          <w:p w14:paraId="79FFD095" w14:textId="77777777" w:rsidR="00765CBE" w:rsidRDefault="00765CBE" w:rsidP="001D3F87">
            <w:pPr>
              <w:spacing w:before="60" w:after="60" w:line="326" w:lineRule="auto"/>
              <w:jc w:val="center"/>
            </w:pPr>
            <w:r>
              <w:t>Tre quote annuali di pari importo</w:t>
            </w:r>
          </w:p>
        </w:tc>
        <w:tc>
          <w:tcPr>
            <w:tcW w:w="3210" w:type="dxa"/>
            <w:vAlign w:val="center"/>
          </w:tcPr>
          <w:p w14:paraId="65F1DF9C" w14:textId="77777777" w:rsidR="00765CBE" w:rsidRDefault="00765CBE" w:rsidP="001D3F87">
            <w:pPr>
              <w:spacing w:before="60" w:after="60" w:line="326" w:lineRule="auto"/>
              <w:jc w:val="center"/>
            </w:pPr>
            <w:r>
              <w:t>Anno interconnessione</w:t>
            </w:r>
          </w:p>
        </w:tc>
      </w:tr>
      <w:tr w:rsidR="00765CBE" w14:paraId="57964C97" w14:textId="77777777" w:rsidTr="001D3F87">
        <w:tc>
          <w:tcPr>
            <w:tcW w:w="3539" w:type="dxa"/>
            <w:vAlign w:val="center"/>
          </w:tcPr>
          <w:p w14:paraId="576A8580" w14:textId="77777777" w:rsidR="00765CBE" w:rsidRDefault="00765CBE" w:rsidP="001D3F87">
            <w:pPr>
              <w:spacing w:before="60" w:after="60" w:line="326" w:lineRule="auto"/>
              <w:jc w:val="center"/>
            </w:pPr>
            <w:r>
              <w:t xml:space="preserve">Beni </w:t>
            </w:r>
            <w:r w:rsidRPr="006569E2">
              <w:rPr>
                <w:b/>
                <w:bCs/>
              </w:rPr>
              <w:t>immateriali 4.0</w:t>
            </w:r>
            <w:r>
              <w:t xml:space="preserve"> (</w:t>
            </w:r>
            <w:r w:rsidRPr="006569E2">
              <w:rPr>
                <w:b/>
                <w:bCs/>
              </w:rPr>
              <w:t>allegato B</w:t>
            </w:r>
            <w:r>
              <w:t>)</w:t>
            </w:r>
          </w:p>
        </w:tc>
        <w:tc>
          <w:tcPr>
            <w:tcW w:w="2879" w:type="dxa"/>
            <w:vAlign w:val="center"/>
          </w:tcPr>
          <w:p w14:paraId="2C905C7D" w14:textId="77777777" w:rsidR="00765CBE" w:rsidRDefault="00765CBE" w:rsidP="001D3F87">
            <w:pPr>
              <w:spacing w:before="60" w:after="60" w:line="326" w:lineRule="auto"/>
              <w:jc w:val="center"/>
            </w:pPr>
            <w:r>
              <w:t>Tre quote annuali di pari importo</w:t>
            </w:r>
          </w:p>
        </w:tc>
        <w:tc>
          <w:tcPr>
            <w:tcW w:w="3210" w:type="dxa"/>
            <w:vAlign w:val="center"/>
          </w:tcPr>
          <w:p w14:paraId="3938EAD9" w14:textId="77777777" w:rsidR="00765CBE" w:rsidRDefault="00765CBE" w:rsidP="001D3F87">
            <w:pPr>
              <w:spacing w:before="60" w:after="60" w:line="326" w:lineRule="auto"/>
              <w:jc w:val="center"/>
            </w:pPr>
            <w:r>
              <w:t>Anno interconnessione</w:t>
            </w:r>
          </w:p>
        </w:tc>
      </w:tr>
    </w:tbl>
    <w:p w14:paraId="3C051AD1" w14:textId="77777777" w:rsidR="00765CBE" w:rsidRDefault="00765CBE" w:rsidP="00765CBE">
      <w:pPr>
        <w:spacing w:line="360" w:lineRule="auto"/>
        <w:jc w:val="both"/>
      </w:pPr>
    </w:p>
    <w:p w14:paraId="2AE29539" w14:textId="743CF8DB" w:rsidR="00765CBE" w:rsidRDefault="00580AF9" w:rsidP="00765CBE">
      <w:pPr>
        <w:spacing w:line="360" w:lineRule="auto"/>
        <w:jc w:val="both"/>
      </w:pPr>
      <w:r>
        <w:t>Per gli</w:t>
      </w:r>
      <w:r w:rsidR="00765CBE">
        <w:t xml:space="preserve"> investimenti effettuati </w:t>
      </w:r>
      <w:r w:rsidR="00765CBE" w:rsidRPr="00F22E81">
        <w:rPr>
          <w:b/>
          <w:bCs/>
        </w:rPr>
        <w:t>nell’anno 202</w:t>
      </w:r>
      <w:r w:rsidR="00765CBE">
        <w:rPr>
          <w:b/>
          <w:bCs/>
        </w:rPr>
        <w:t>2</w:t>
      </w:r>
      <w:r>
        <w:t xml:space="preserve"> </w:t>
      </w:r>
      <w:r w:rsidR="00765CBE">
        <w:t xml:space="preserve">l’utilizzo del credito di imposta segue lo </w:t>
      </w:r>
      <w:r w:rsidR="00765CBE" w:rsidRPr="006569E2">
        <w:rPr>
          <w:b/>
          <w:bCs/>
        </w:rPr>
        <w:t>schema sotto riportato</w:t>
      </w:r>
      <w:r w:rsidR="00765CBE">
        <w:t xml:space="preserve">, </w:t>
      </w:r>
      <w:r w:rsidR="00765CBE" w:rsidRPr="006569E2">
        <w:rPr>
          <w:b/>
          <w:bCs/>
        </w:rPr>
        <w:t>indipendentemente dal volume di ricavi</w:t>
      </w:r>
      <w:r w:rsidR="00765CBE">
        <w:t xml:space="preserve"> dell’anno precedente.</w:t>
      </w:r>
    </w:p>
    <w:tbl>
      <w:tblPr>
        <w:tblStyle w:val="Grigliatabella"/>
        <w:tblW w:w="0" w:type="auto"/>
        <w:tblLook w:val="04A0" w:firstRow="1" w:lastRow="0" w:firstColumn="1" w:lastColumn="0" w:noHBand="0" w:noVBand="1"/>
      </w:tblPr>
      <w:tblGrid>
        <w:gridCol w:w="3209"/>
        <w:gridCol w:w="3209"/>
        <w:gridCol w:w="3210"/>
      </w:tblGrid>
      <w:tr w:rsidR="00765CBE" w:rsidRPr="00F22E81" w14:paraId="57B10FA6" w14:textId="77777777" w:rsidTr="001D3F87">
        <w:tc>
          <w:tcPr>
            <w:tcW w:w="3209" w:type="dxa"/>
            <w:shd w:val="clear" w:color="auto" w:fill="DBE5F1" w:themeFill="accent1" w:themeFillTint="33"/>
            <w:vAlign w:val="center"/>
          </w:tcPr>
          <w:p w14:paraId="5183889E" w14:textId="77777777" w:rsidR="00765CBE" w:rsidRPr="001D3F87" w:rsidRDefault="00765CBE" w:rsidP="001D3F87">
            <w:pPr>
              <w:spacing w:before="60" w:after="60" w:line="326" w:lineRule="auto"/>
              <w:jc w:val="both"/>
              <w:rPr>
                <w:b/>
                <w:bCs/>
                <w:color w:val="000000" w:themeColor="text1"/>
              </w:rPr>
            </w:pPr>
            <w:r w:rsidRPr="001D3F87">
              <w:rPr>
                <w:b/>
                <w:bCs/>
                <w:color w:val="000000" w:themeColor="text1"/>
              </w:rPr>
              <w:t>Tipologia investimento</w:t>
            </w:r>
          </w:p>
        </w:tc>
        <w:tc>
          <w:tcPr>
            <w:tcW w:w="3209" w:type="dxa"/>
            <w:shd w:val="clear" w:color="auto" w:fill="DBE5F1" w:themeFill="accent1" w:themeFillTint="33"/>
            <w:vAlign w:val="center"/>
          </w:tcPr>
          <w:p w14:paraId="3E1CF83B" w14:textId="77777777" w:rsidR="00765CBE" w:rsidRPr="001D3F87" w:rsidRDefault="00765CBE" w:rsidP="001D3F87">
            <w:pPr>
              <w:spacing w:before="60" w:after="60" w:line="326" w:lineRule="auto"/>
              <w:jc w:val="center"/>
              <w:rPr>
                <w:b/>
                <w:bCs/>
                <w:color w:val="000000" w:themeColor="text1"/>
              </w:rPr>
            </w:pPr>
            <w:r w:rsidRPr="001D3F87">
              <w:rPr>
                <w:b/>
                <w:bCs/>
                <w:color w:val="000000" w:themeColor="text1"/>
              </w:rPr>
              <w:t>Quota utilizzazione credito</w:t>
            </w:r>
          </w:p>
        </w:tc>
        <w:tc>
          <w:tcPr>
            <w:tcW w:w="3210" w:type="dxa"/>
            <w:shd w:val="clear" w:color="auto" w:fill="DBE5F1" w:themeFill="accent1" w:themeFillTint="33"/>
            <w:vAlign w:val="center"/>
          </w:tcPr>
          <w:p w14:paraId="786BB94F" w14:textId="77777777" w:rsidR="00765CBE" w:rsidRPr="001D3F87" w:rsidRDefault="00765CBE" w:rsidP="001D3F87">
            <w:pPr>
              <w:spacing w:before="60" w:after="60" w:line="326" w:lineRule="auto"/>
              <w:jc w:val="both"/>
              <w:rPr>
                <w:b/>
                <w:bCs/>
                <w:color w:val="000000" w:themeColor="text1"/>
              </w:rPr>
            </w:pPr>
            <w:r w:rsidRPr="001D3F87">
              <w:rPr>
                <w:b/>
                <w:bCs/>
                <w:color w:val="000000" w:themeColor="text1"/>
              </w:rPr>
              <w:t>Decorrenza utilizzo</w:t>
            </w:r>
          </w:p>
        </w:tc>
      </w:tr>
      <w:tr w:rsidR="00765CBE" w14:paraId="5ABF57F0" w14:textId="77777777" w:rsidTr="00C12363">
        <w:tc>
          <w:tcPr>
            <w:tcW w:w="3209" w:type="dxa"/>
            <w:vAlign w:val="center"/>
          </w:tcPr>
          <w:p w14:paraId="3EB22833" w14:textId="6427AE88" w:rsidR="00580AF9" w:rsidRPr="00580AF9" w:rsidRDefault="00765CBE" w:rsidP="001D3F87">
            <w:pPr>
              <w:spacing w:before="60" w:after="60" w:line="326" w:lineRule="auto"/>
              <w:jc w:val="both"/>
              <w:rPr>
                <w:b/>
                <w:bCs/>
              </w:rPr>
            </w:pPr>
            <w:r>
              <w:t xml:space="preserve">Beni </w:t>
            </w:r>
            <w:r w:rsidRPr="00C12363">
              <w:rPr>
                <w:b/>
                <w:bCs/>
              </w:rPr>
              <w:t xml:space="preserve">materiali </w:t>
            </w:r>
            <w:r w:rsidR="00C12363" w:rsidRPr="00C12363">
              <w:rPr>
                <w:b/>
                <w:bCs/>
              </w:rPr>
              <w:t>NON</w:t>
            </w:r>
            <w:r w:rsidRPr="00C12363">
              <w:rPr>
                <w:b/>
                <w:bCs/>
              </w:rPr>
              <w:t xml:space="preserve"> 4.0</w:t>
            </w:r>
          </w:p>
        </w:tc>
        <w:tc>
          <w:tcPr>
            <w:tcW w:w="3209" w:type="dxa"/>
            <w:vAlign w:val="center"/>
          </w:tcPr>
          <w:p w14:paraId="53BCFEA6" w14:textId="77777777" w:rsidR="00765CBE" w:rsidRDefault="00765CBE" w:rsidP="001D3F87">
            <w:pPr>
              <w:spacing w:before="60" w:after="60" w:line="326" w:lineRule="auto"/>
              <w:jc w:val="center"/>
            </w:pPr>
            <w:r>
              <w:t>Tre quote annuali di pari importo</w:t>
            </w:r>
          </w:p>
        </w:tc>
        <w:tc>
          <w:tcPr>
            <w:tcW w:w="3210" w:type="dxa"/>
            <w:vAlign w:val="center"/>
          </w:tcPr>
          <w:p w14:paraId="14820325" w14:textId="4A63F666" w:rsidR="00765CBE" w:rsidRDefault="00765CBE" w:rsidP="001D3F87">
            <w:pPr>
              <w:spacing w:before="60" w:after="60" w:line="326" w:lineRule="auto"/>
              <w:jc w:val="both"/>
            </w:pPr>
            <w:r>
              <w:t xml:space="preserve">Anno </w:t>
            </w:r>
            <w:r w:rsidR="00606EF9">
              <w:t xml:space="preserve">di </w:t>
            </w:r>
            <w:r>
              <w:t>entrata in funzione del bene</w:t>
            </w:r>
          </w:p>
        </w:tc>
      </w:tr>
      <w:tr w:rsidR="00765CBE" w14:paraId="1FF1B785" w14:textId="77777777" w:rsidTr="00C12363">
        <w:tc>
          <w:tcPr>
            <w:tcW w:w="3209" w:type="dxa"/>
            <w:vAlign w:val="center"/>
          </w:tcPr>
          <w:p w14:paraId="799D868C" w14:textId="77777777" w:rsidR="00765CBE" w:rsidRDefault="00765CBE" w:rsidP="001D3F87">
            <w:pPr>
              <w:spacing w:before="60" w:after="60" w:line="326" w:lineRule="auto"/>
              <w:jc w:val="both"/>
            </w:pPr>
            <w:r>
              <w:t xml:space="preserve">Beni </w:t>
            </w:r>
            <w:r w:rsidRPr="00C12363">
              <w:rPr>
                <w:b/>
                <w:bCs/>
              </w:rPr>
              <w:t>materiali 4.0</w:t>
            </w:r>
          </w:p>
        </w:tc>
        <w:tc>
          <w:tcPr>
            <w:tcW w:w="3209" w:type="dxa"/>
            <w:vAlign w:val="center"/>
          </w:tcPr>
          <w:p w14:paraId="2B3FAC6F" w14:textId="77777777" w:rsidR="00765CBE" w:rsidRDefault="00765CBE" w:rsidP="001D3F87">
            <w:pPr>
              <w:spacing w:before="60" w:after="60" w:line="326" w:lineRule="auto"/>
              <w:jc w:val="center"/>
            </w:pPr>
            <w:r>
              <w:t>Tre quote annuali di pari importo</w:t>
            </w:r>
          </w:p>
        </w:tc>
        <w:tc>
          <w:tcPr>
            <w:tcW w:w="3210" w:type="dxa"/>
            <w:vAlign w:val="center"/>
          </w:tcPr>
          <w:p w14:paraId="44C6F6AA" w14:textId="6E24D0A1" w:rsidR="00765CBE" w:rsidRDefault="00765CBE" w:rsidP="001D3F87">
            <w:pPr>
              <w:spacing w:before="60" w:after="60" w:line="326" w:lineRule="auto"/>
              <w:jc w:val="both"/>
            </w:pPr>
            <w:r>
              <w:t xml:space="preserve">Anno </w:t>
            </w:r>
            <w:r w:rsidR="00606EF9">
              <w:t xml:space="preserve">di </w:t>
            </w:r>
            <w:r>
              <w:t>interconnessione</w:t>
            </w:r>
          </w:p>
        </w:tc>
      </w:tr>
      <w:tr w:rsidR="00765CBE" w14:paraId="565D51C2" w14:textId="77777777" w:rsidTr="00C12363">
        <w:tc>
          <w:tcPr>
            <w:tcW w:w="3209" w:type="dxa"/>
            <w:vAlign w:val="center"/>
          </w:tcPr>
          <w:p w14:paraId="171A220A" w14:textId="7199B29A" w:rsidR="00765CBE" w:rsidRDefault="00765CBE" w:rsidP="001D3F87">
            <w:pPr>
              <w:spacing w:before="60" w:after="60" w:line="326" w:lineRule="auto"/>
              <w:jc w:val="both"/>
            </w:pPr>
            <w:r>
              <w:t xml:space="preserve">Beni </w:t>
            </w:r>
            <w:r w:rsidRPr="00C12363">
              <w:rPr>
                <w:b/>
                <w:bCs/>
              </w:rPr>
              <w:t xml:space="preserve">immateriali </w:t>
            </w:r>
            <w:r w:rsidR="00C12363" w:rsidRPr="00C12363">
              <w:rPr>
                <w:b/>
                <w:bCs/>
              </w:rPr>
              <w:t>NON</w:t>
            </w:r>
            <w:r w:rsidRPr="00C12363">
              <w:rPr>
                <w:b/>
                <w:bCs/>
              </w:rPr>
              <w:t xml:space="preserve"> 4.0</w:t>
            </w:r>
          </w:p>
        </w:tc>
        <w:tc>
          <w:tcPr>
            <w:tcW w:w="3209" w:type="dxa"/>
            <w:vAlign w:val="center"/>
          </w:tcPr>
          <w:p w14:paraId="6098A05D" w14:textId="77777777" w:rsidR="00765CBE" w:rsidRDefault="00765CBE" w:rsidP="001D3F87">
            <w:pPr>
              <w:spacing w:before="60" w:after="60" w:line="326" w:lineRule="auto"/>
              <w:jc w:val="center"/>
            </w:pPr>
            <w:r>
              <w:t>Tre quote annuali di pari importo</w:t>
            </w:r>
          </w:p>
        </w:tc>
        <w:tc>
          <w:tcPr>
            <w:tcW w:w="3210" w:type="dxa"/>
            <w:vAlign w:val="center"/>
          </w:tcPr>
          <w:p w14:paraId="5A4CFB9B" w14:textId="455799D3" w:rsidR="00765CBE" w:rsidRDefault="00765CBE" w:rsidP="001D3F87">
            <w:pPr>
              <w:spacing w:before="60" w:after="60" w:line="326" w:lineRule="auto"/>
              <w:jc w:val="both"/>
            </w:pPr>
            <w:r>
              <w:t xml:space="preserve">Anno </w:t>
            </w:r>
            <w:r w:rsidR="00606EF9">
              <w:t xml:space="preserve">di </w:t>
            </w:r>
            <w:r>
              <w:t>entrata in funzione del bene</w:t>
            </w:r>
          </w:p>
        </w:tc>
      </w:tr>
      <w:tr w:rsidR="00765CBE" w14:paraId="3CC077AD" w14:textId="77777777" w:rsidTr="00C12363">
        <w:tc>
          <w:tcPr>
            <w:tcW w:w="3209" w:type="dxa"/>
            <w:vAlign w:val="center"/>
          </w:tcPr>
          <w:p w14:paraId="55166142" w14:textId="77777777" w:rsidR="00765CBE" w:rsidRDefault="00765CBE" w:rsidP="001D3F87">
            <w:pPr>
              <w:spacing w:before="60" w:after="60" w:line="326" w:lineRule="auto"/>
              <w:jc w:val="both"/>
            </w:pPr>
            <w:r>
              <w:t xml:space="preserve">Beni </w:t>
            </w:r>
            <w:r w:rsidRPr="00C12363">
              <w:rPr>
                <w:b/>
                <w:bCs/>
              </w:rPr>
              <w:t>immateriali 4.0</w:t>
            </w:r>
          </w:p>
        </w:tc>
        <w:tc>
          <w:tcPr>
            <w:tcW w:w="3209" w:type="dxa"/>
            <w:vAlign w:val="center"/>
          </w:tcPr>
          <w:p w14:paraId="569DFC63" w14:textId="77777777" w:rsidR="00765CBE" w:rsidRDefault="00765CBE" w:rsidP="001D3F87">
            <w:pPr>
              <w:spacing w:before="60" w:after="60" w:line="326" w:lineRule="auto"/>
              <w:jc w:val="center"/>
            </w:pPr>
            <w:r>
              <w:t>Tre quote annuali di pari importo</w:t>
            </w:r>
          </w:p>
        </w:tc>
        <w:tc>
          <w:tcPr>
            <w:tcW w:w="3210" w:type="dxa"/>
            <w:vAlign w:val="center"/>
          </w:tcPr>
          <w:p w14:paraId="05E852E3" w14:textId="77777777" w:rsidR="00765CBE" w:rsidRDefault="00765CBE" w:rsidP="001D3F87">
            <w:pPr>
              <w:spacing w:before="60" w:after="60" w:line="326" w:lineRule="auto"/>
              <w:jc w:val="both"/>
            </w:pPr>
            <w:r>
              <w:t>Anno interconnessione</w:t>
            </w:r>
          </w:p>
        </w:tc>
      </w:tr>
    </w:tbl>
    <w:p w14:paraId="5C300653" w14:textId="4C5BCA4D" w:rsidR="00580AF9" w:rsidRDefault="00580AF9" w:rsidP="00E659BC">
      <w:pPr>
        <w:spacing w:after="0" w:line="240" w:lineRule="auto"/>
      </w:pPr>
    </w:p>
    <w:p w14:paraId="7E04E437" w14:textId="0B7B6068" w:rsidR="00E659BC" w:rsidRDefault="00765CBE" w:rsidP="00765CBE">
      <w:pPr>
        <w:spacing w:line="360" w:lineRule="auto"/>
        <w:jc w:val="both"/>
      </w:pPr>
      <w:r w:rsidRPr="00AD6975">
        <w:t xml:space="preserve">L’utilizzabilità in un’unica quota, quindi, non riguarda né il credito d’imposta per </w:t>
      </w:r>
      <w:r w:rsidR="00323717">
        <w:t>gli</w:t>
      </w:r>
      <w:r w:rsidRPr="00AD6975">
        <w:t xml:space="preserve"> investimenti </w:t>
      </w:r>
      <w:r w:rsidR="00323717">
        <w:t xml:space="preserve">“ordinari” </w:t>
      </w:r>
      <w:r w:rsidRPr="00AD6975">
        <w:t xml:space="preserve">effettuati nel secondo anno di applicazione dell’agevolazione </w:t>
      </w:r>
      <w:r>
        <w:t xml:space="preserve">(anno 2022) </w:t>
      </w:r>
      <w:r w:rsidRPr="00AD6975">
        <w:t xml:space="preserve">ai sensi del comma 1055 della legge di </w:t>
      </w:r>
      <w:r w:rsidR="00323717">
        <w:t>B</w:t>
      </w:r>
      <w:r w:rsidRPr="00AD6975">
        <w:t xml:space="preserve">ilancio 2021, né il credito d’imposta per gli investimenti in beni materiali e immateriali “Industria 4.0”, effettuati ai sensi dei commi 1056, </w:t>
      </w:r>
      <w:r w:rsidRPr="007F356B">
        <w:t>1057</w:t>
      </w:r>
      <w:r w:rsidR="0042761D" w:rsidRPr="007F356B">
        <w:t>,</w:t>
      </w:r>
      <w:r w:rsidRPr="007F356B">
        <w:t xml:space="preserve"> </w:t>
      </w:r>
      <w:r w:rsidR="0042761D" w:rsidRPr="007F356B">
        <w:rPr>
          <w:rFonts w:cs="Tahoma"/>
          <w:bCs/>
          <w:szCs w:val="20"/>
        </w:rPr>
        <w:t xml:space="preserve">1057-bis, 1058, 1058-bis, 1058-ter </w:t>
      </w:r>
      <w:r w:rsidRPr="007F356B">
        <w:t xml:space="preserve">della legge di bilancio 2021, per i quali il beneficiario continuerà a fruire del credito in tre quote annuali, </w:t>
      </w:r>
      <w:r w:rsidRPr="007F356B">
        <w:rPr>
          <w:b/>
          <w:bCs/>
        </w:rPr>
        <w:t>indipendentemente dal volume dei ricavi o dei compensi conseguiti</w:t>
      </w:r>
      <w:r w:rsidRPr="007F356B">
        <w:t xml:space="preserve"> nell’esercizio precedente.</w:t>
      </w:r>
    </w:p>
    <w:p w14:paraId="0D402188" w14:textId="26790FD5" w:rsidR="00765CBE" w:rsidRPr="007F356B" w:rsidRDefault="00765CBE" w:rsidP="00765CBE">
      <w:pPr>
        <w:spacing w:line="360" w:lineRule="auto"/>
        <w:jc w:val="both"/>
      </w:pPr>
      <w:r>
        <w:lastRenderedPageBreak/>
        <w:t xml:space="preserve">Inoltre, </w:t>
      </w:r>
      <w:r w:rsidRPr="00EE6561">
        <w:t>l’utilizzo in un’unica soluzione del credito d’imposta</w:t>
      </w:r>
      <w:r w:rsidRPr="00012000">
        <w:rPr>
          <w:b/>
          <w:bCs/>
        </w:rPr>
        <w:t xml:space="preserve"> rappresenta una facoltà </w:t>
      </w:r>
      <w:r w:rsidRPr="00EE6561">
        <w:t xml:space="preserve">e che, nel caso in cui tale facoltà non venga azionata, il contribuente sconterà il credito in tre quote annuali di pari importo. Nell’ipotesi in cui il contribuente scelga di fruire del credito d’imposta in un’unica quota, si fa presente che il credito non utilizzato, in tutto o in parte, </w:t>
      </w:r>
      <w:r w:rsidRPr="00012000">
        <w:rPr>
          <w:b/>
          <w:bCs/>
        </w:rPr>
        <w:t>potrà essere riportato in avanti</w:t>
      </w:r>
      <w:r w:rsidRPr="00EE6561">
        <w:t xml:space="preserve"> nelle dichiarazioni dei periodi di </w:t>
      </w:r>
      <w:r w:rsidRPr="007F356B">
        <w:t>imposta successivi.</w:t>
      </w:r>
    </w:p>
    <w:p w14:paraId="620D782D" w14:textId="77777777" w:rsidR="00E659BC" w:rsidRPr="007F356B" w:rsidRDefault="00E659BC" w:rsidP="00E659BC">
      <w:pPr>
        <w:spacing w:line="360" w:lineRule="auto"/>
        <w:jc w:val="both"/>
      </w:pPr>
      <w:r w:rsidRPr="007F356B">
        <w:t xml:space="preserve">Per gli investimenti effettuati </w:t>
      </w:r>
      <w:r w:rsidRPr="007F356B">
        <w:rPr>
          <w:b/>
          <w:bCs/>
        </w:rPr>
        <w:t>nel triennio 2023-2025</w:t>
      </w:r>
      <w:r w:rsidRPr="007F356B">
        <w:t xml:space="preserve"> l’utilizzo del credito di imposta segue lo </w:t>
      </w:r>
      <w:r w:rsidRPr="007F356B">
        <w:rPr>
          <w:b/>
          <w:bCs/>
        </w:rPr>
        <w:t>schema sotto riportato</w:t>
      </w:r>
      <w:r w:rsidRPr="007F356B">
        <w:t xml:space="preserve">, </w:t>
      </w:r>
      <w:r w:rsidRPr="007F356B">
        <w:rPr>
          <w:b/>
          <w:bCs/>
        </w:rPr>
        <w:t>indipendentemente dal volume di ricavi</w:t>
      </w:r>
      <w:r w:rsidRPr="007F356B">
        <w:t xml:space="preserve"> dell’anno precedente.</w:t>
      </w:r>
    </w:p>
    <w:tbl>
      <w:tblPr>
        <w:tblStyle w:val="Grigliatabella"/>
        <w:tblW w:w="0" w:type="auto"/>
        <w:tblLook w:val="04A0" w:firstRow="1" w:lastRow="0" w:firstColumn="1" w:lastColumn="0" w:noHBand="0" w:noVBand="1"/>
      </w:tblPr>
      <w:tblGrid>
        <w:gridCol w:w="3209"/>
        <w:gridCol w:w="3209"/>
        <w:gridCol w:w="3210"/>
      </w:tblGrid>
      <w:tr w:rsidR="007F356B" w:rsidRPr="007F356B" w14:paraId="617CED59" w14:textId="77777777" w:rsidTr="007B5A8F">
        <w:tc>
          <w:tcPr>
            <w:tcW w:w="3209" w:type="dxa"/>
            <w:shd w:val="clear" w:color="auto" w:fill="DBE5F1" w:themeFill="accent1" w:themeFillTint="33"/>
            <w:vAlign w:val="center"/>
          </w:tcPr>
          <w:p w14:paraId="39C8307D" w14:textId="77777777" w:rsidR="00E659BC" w:rsidRPr="007F356B" w:rsidRDefault="00E659BC" w:rsidP="007B5A8F">
            <w:pPr>
              <w:spacing w:before="60" w:after="60" w:line="326" w:lineRule="auto"/>
              <w:jc w:val="both"/>
              <w:rPr>
                <w:b/>
                <w:bCs/>
              </w:rPr>
            </w:pPr>
            <w:r w:rsidRPr="007F356B">
              <w:rPr>
                <w:b/>
                <w:bCs/>
              </w:rPr>
              <w:t>Tipologia investimento</w:t>
            </w:r>
          </w:p>
        </w:tc>
        <w:tc>
          <w:tcPr>
            <w:tcW w:w="3209" w:type="dxa"/>
            <w:shd w:val="clear" w:color="auto" w:fill="DBE5F1" w:themeFill="accent1" w:themeFillTint="33"/>
            <w:vAlign w:val="center"/>
          </w:tcPr>
          <w:p w14:paraId="4FF8F297" w14:textId="77777777" w:rsidR="00E659BC" w:rsidRPr="007F356B" w:rsidRDefault="00E659BC" w:rsidP="007B5A8F">
            <w:pPr>
              <w:spacing w:before="60" w:after="60" w:line="326" w:lineRule="auto"/>
              <w:jc w:val="center"/>
              <w:rPr>
                <w:b/>
                <w:bCs/>
              </w:rPr>
            </w:pPr>
            <w:r w:rsidRPr="007F356B">
              <w:rPr>
                <w:b/>
                <w:bCs/>
              </w:rPr>
              <w:t>Quota utilizzazione credito</w:t>
            </w:r>
          </w:p>
        </w:tc>
        <w:tc>
          <w:tcPr>
            <w:tcW w:w="3210" w:type="dxa"/>
            <w:shd w:val="clear" w:color="auto" w:fill="DBE5F1" w:themeFill="accent1" w:themeFillTint="33"/>
            <w:vAlign w:val="center"/>
          </w:tcPr>
          <w:p w14:paraId="1C7F7A20" w14:textId="77777777" w:rsidR="00E659BC" w:rsidRPr="007F356B" w:rsidRDefault="00E659BC" w:rsidP="007B5A8F">
            <w:pPr>
              <w:spacing w:before="60" w:after="60" w:line="326" w:lineRule="auto"/>
              <w:jc w:val="both"/>
              <w:rPr>
                <w:b/>
                <w:bCs/>
              </w:rPr>
            </w:pPr>
            <w:r w:rsidRPr="007F356B">
              <w:rPr>
                <w:b/>
                <w:bCs/>
              </w:rPr>
              <w:t>Decorrenza utilizzo</w:t>
            </w:r>
          </w:p>
        </w:tc>
      </w:tr>
      <w:tr w:rsidR="007F356B" w:rsidRPr="007F356B" w14:paraId="5279A51C" w14:textId="77777777" w:rsidTr="007B5A8F">
        <w:tc>
          <w:tcPr>
            <w:tcW w:w="3209" w:type="dxa"/>
            <w:vAlign w:val="center"/>
          </w:tcPr>
          <w:p w14:paraId="10AA535D" w14:textId="77777777" w:rsidR="00E659BC" w:rsidRPr="007F356B" w:rsidRDefault="00E659BC" w:rsidP="007B5A8F">
            <w:pPr>
              <w:spacing w:before="60" w:after="60" w:line="326" w:lineRule="auto"/>
              <w:jc w:val="both"/>
            </w:pPr>
            <w:r w:rsidRPr="007F356B">
              <w:t xml:space="preserve">Beni </w:t>
            </w:r>
            <w:r w:rsidRPr="007F356B">
              <w:rPr>
                <w:b/>
                <w:bCs/>
              </w:rPr>
              <w:t>materiali 4.0</w:t>
            </w:r>
          </w:p>
        </w:tc>
        <w:tc>
          <w:tcPr>
            <w:tcW w:w="3209" w:type="dxa"/>
            <w:vAlign w:val="center"/>
          </w:tcPr>
          <w:p w14:paraId="714CDD11" w14:textId="77777777" w:rsidR="00E659BC" w:rsidRPr="007F356B" w:rsidRDefault="00E659BC" w:rsidP="007B5A8F">
            <w:pPr>
              <w:spacing w:before="60" w:after="60" w:line="326" w:lineRule="auto"/>
              <w:jc w:val="center"/>
            </w:pPr>
            <w:r w:rsidRPr="007F356B">
              <w:t>Tre quote annuali di pari importo</w:t>
            </w:r>
          </w:p>
        </w:tc>
        <w:tc>
          <w:tcPr>
            <w:tcW w:w="3210" w:type="dxa"/>
            <w:vAlign w:val="center"/>
          </w:tcPr>
          <w:p w14:paraId="2CC9BD8D" w14:textId="77777777" w:rsidR="00E659BC" w:rsidRPr="007F356B" w:rsidRDefault="00E659BC" w:rsidP="007B5A8F">
            <w:pPr>
              <w:spacing w:before="60" w:after="60" w:line="326" w:lineRule="auto"/>
              <w:jc w:val="both"/>
            </w:pPr>
            <w:r w:rsidRPr="007F356B">
              <w:t>Anno di interconnessione</w:t>
            </w:r>
          </w:p>
        </w:tc>
      </w:tr>
      <w:tr w:rsidR="00E659BC" w:rsidRPr="007F356B" w14:paraId="4D7176ED" w14:textId="77777777" w:rsidTr="007B5A8F">
        <w:tc>
          <w:tcPr>
            <w:tcW w:w="3209" w:type="dxa"/>
            <w:vAlign w:val="center"/>
          </w:tcPr>
          <w:p w14:paraId="1FC009AD" w14:textId="77777777" w:rsidR="00E659BC" w:rsidRPr="007F356B" w:rsidRDefault="00E659BC" w:rsidP="007B5A8F">
            <w:pPr>
              <w:spacing w:before="60" w:after="60" w:line="326" w:lineRule="auto"/>
              <w:jc w:val="both"/>
            </w:pPr>
            <w:r w:rsidRPr="007F356B">
              <w:t xml:space="preserve">Beni </w:t>
            </w:r>
            <w:r w:rsidRPr="007F356B">
              <w:rPr>
                <w:b/>
                <w:bCs/>
              </w:rPr>
              <w:t>immateriali 4.0</w:t>
            </w:r>
          </w:p>
        </w:tc>
        <w:tc>
          <w:tcPr>
            <w:tcW w:w="3209" w:type="dxa"/>
            <w:vAlign w:val="center"/>
          </w:tcPr>
          <w:p w14:paraId="253FF7E8" w14:textId="77777777" w:rsidR="00E659BC" w:rsidRPr="007F356B" w:rsidRDefault="00E659BC" w:rsidP="007B5A8F">
            <w:pPr>
              <w:spacing w:before="60" w:after="60" w:line="326" w:lineRule="auto"/>
              <w:jc w:val="center"/>
            </w:pPr>
            <w:r w:rsidRPr="007F356B">
              <w:t>Tre quote annuali di pari importo</w:t>
            </w:r>
          </w:p>
        </w:tc>
        <w:tc>
          <w:tcPr>
            <w:tcW w:w="3210" w:type="dxa"/>
            <w:vAlign w:val="center"/>
          </w:tcPr>
          <w:p w14:paraId="221652C1" w14:textId="77777777" w:rsidR="00E659BC" w:rsidRPr="007F356B" w:rsidRDefault="00E659BC" w:rsidP="007B5A8F">
            <w:pPr>
              <w:spacing w:before="60" w:after="60" w:line="326" w:lineRule="auto"/>
              <w:jc w:val="both"/>
            </w:pPr>
            <w:r w:rsidRPr="007F356B">
              <w:t>Anno interconnessione</w:t>
            </w:r>
          </w:p>
        </w:tc>
      </w:tr>
    </w:tbl>
    <w:p w14:paraId="0D611FCB" w14:textId="77777777" w:rsidR="00E659BC" w:rsidRPr="007F356B" w:rsidRDefault="00E659BC" w:rsidP="00765CBE">
      <w:pPr>
        <w:spacing w:line="360" w:lineRule="auto"/>
        <w:jc w:val="both"/>
      </w:pPr>
    </w:p>
    <w:p w14:paraId="705319E6" w14:textId="6101D9D6" w:rsidR="00765CBE" w:rsidRDefault="00765CBE" w:rsidP="00765CBE">
      <w:pPr>
        <w:spacing w:line="360" w:lineRule="auto"/>
        <w:jc w:val="both"/>
      </w:pPr>
      <w:r w:rsidRPr="007F356B">
        <w:t xml:space="preserve">La ripartizione in quote annuali risponde alla necessità, soprattutto di ordine finanziario, di porre un limite annuo all’utilizzo del credito d’imposta – nella misura di un terzo dell’importo maturato – e non già di fissare un obbligo di utilizzo dell’intera quota annuale ivi stabilita </w:t>
      </w:r>
      <w:r w:rsidRPr="006D40DE">
        <w:t xml:space="preserve">o un limite temporale alla sua fruizione. Pertanto, </w:t>
      </w:r>
      <w:r w:rsidRPr="009D0B9E">
        <w:rPr>
          <w:b/>
          <w:bCs/>
        </w:rPr>
        <w:t>nel caso in cui la quota annuale</w:t>
      </w:r>
      <w:r w:rsidRPr="006D40DE">
        <w:t xml:space="preserve"> – </w:t>
      </w:r>
      <w:r w:rsidRPr="009D0B9E">
        <w:rPr>
          <w:b/>
          <w:bCs/>
        </w:rPr>
        <w:t>o parte di essa</w:t>
      </w:r>
      <w:r w:rsidRPr="006D40DE">
        <w:t xml:space="preserve"> – </w:t>
      </w:r>
      <w:r w:rsidRPr="006D40DE">
        <w:rPr>
          <w:b/>
          <w:bCs/>
        </w:rPr>
        <w:t>non sia utilizzata</w:t>
      </w:r>
      <w:r w:rsidRPr="006D40DE">
        <w:t xml:space="preserve">, </w:t>
      </w:r>
      <w:r w:rsidRPr="006D40DE">
        <w:rPr>
          <w:b/>
          <w:bCs/>
        </w:rPr>
        <w:t>l’ammontare residuo potrà essere riportato in avanti</w:t>
      </w:r>
      <w:r w:rsidRPr="006D40DE">
        <w:t xml:space="preserve"> nelle dichiarazioni dei periodi di imposta successivi </w:t>
      </w:r>
      <w:r w:rsidRPr="006D40DE">
        <w:rPr>
          <w:b/>
          <w:bCs/>
        </w:rPr>
        <w:t>senza alcun limite temporale</w:t>
      </w:r>
      <w:r w:rsidRPr="006D40DE">
        <w:t xml:space="preserve"> ed essere utilizzato già dall’anno successivo, secondo le ordinarie modalità di utilizzo del credito, </w:t>
      </w:r>
      <w:r w:rsidRPr="006D045D">
        <w:rPr>
          <w:b/>
          <w:bCs/>
        </w:rPr>
        <w:t>andando così a sommarsi alla quota fruibile</w:t>
      </w:r>
      <w:r w:rsidRPr="006D40DE">
        <w:t xml:space="preserve"> a partire dal medesimo anno</w:t>
      </w:r>
      <w:r w:rsidRPr="00197CDD">
        <w:t xml:space="preserve"> </w:t>
      </w:r>
      <w:r>
        <w:t>(circolare 9/E del 23 luglio 2021 e risposta n. 602 del 17 settembre 2021).</w:t>
      </w:r>
    </w:p>
    <w:p w14:paraId="4C995A9F" w14:textId="1F0ED94B" w:rsidR="00332DA6" w:rsidRDefault="00332DA6" w:rsidP="00765CBE">
      <w:pPr>
        <w:spacing w:line="360" w:lineRule="auto"/>
        <w:jc w:val="both"/>
      </w:pPr>
      <w:r>
        <w:rPr>
          <w:noProof/>
        </w:rPr>
        <w:drawing>
          <wp:anchor distT="0" distB="0" distL="114300" distR="114300" simplePos="0" relativeHeight="251798016" behindDoc="0" locked="0" layoutInCell="1" allowOverlap="1" wp14:anchorId="4AD23F83" wp14:editId="756D54A9">
            <wp:simplePos x="0" y="0"/>
            <wp:positionH relativeFrom="column">
              <wp:posOffset>-5715</wp:posOffset>
            </wp:positionH>
            <wp:positionV relativeFrom="paragraph">
              <wp:posOffset>78258</wp:posOffset>
            </wp:positionV>
            <wp:extent cx="857250" cy="914400"/>
            <wp:effectExtent l="0" t="0" r="0" b="0"/>
            <wp:wrapSquare wrapText="bothSides"/>
            <wp:docPr id="35" name="Elemento grafico 35"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857250" cy="914400"/>
                    </a:xfrm>
                    <a:prstGeom prst="rect">
                      <a:avLst/>
                    </a:prstGeom>
                  </pic:spPr>
                </pic:pic>
              </a:graphicData>
            </a:graphic>
            <wp14:sizeRelH relativeFrom="margin">
              <wp14:pctWidth>0</wp14:pctWidth>
            </wp14:sizeRelH>
          </wp:anchor>
        </w:drawing>
      </w:r>
    </w:p>
    <w:p w14:paraId="3F156EF0" w14:textId="2F97CAA6" w:rsidR="00765CBE" w:rsidRDefault="00765CBE" w:rsidP="00765CBE">
      <w:pPr>
        <w:spacing w:line="360" w:lineRule="auto"/>
        <w:jc w:val="both"/>
      </w:pPr>
      <w:r>
        <w:t>I</w:t>
      </w:r>
      <w:r w:rsidR="006D045D">
        <w:t>n altri termini, il</w:t>
      </w:r>
      <w:r>
        <w:t xml:space="preserve"> mancato utilizzo di una quota o parte di quota nell’anno </w:t>
      </w:r>
      <w:r w:rsidRPr="006D045D">
        <w:rPr>
          <w:b/>
          <w:bCs/>
        </w:rPr>
        <w:t>non determina perdita dell’agevolazione</w:t>
      </w:r>
      <w:r>
        <w:t>, si recupera successivamente senza limite temporale</w:t>
      </w:r>
      <w:r w:rsidR="006D045D">
        <w:t>.</w:t>
      </w:r>
    </w:p>
    <w:p w14:paraId="344DB3B2" w14:textId="61DAFFFA" w:rsidR="00765CBE" w:rsidRDefault="00765CBE" w:rsidP="00765CBE">
      <w:pPr>
        <w:spacing w:line="360" w:lineRule="auto"/>
        <w:jc w:val="both"/>
      </w:pPr>
    </w:p>
    <w:p w14:paraId="110BC09F" w14:textId="32CFCA5A" w:rsidR="00B46077" w:rsidRDefault="00765CBE" w:rsidP="00765CBE">
      <w:pPr>
        <w:spacing w:line="360" w:lineRule="auto"/>
        <w:jc w:val="both"/>
      </w:pPr>
      <w:r>
        <w:t xml:space="preserve">Nel caso di mancato utilizzo del credito entro il terzo anno, </w:t>
      </w:r>
      <w:r w:rsidRPr="006D40DE">
        <w:t xml:space="preserve">fermo restando che ai fini della fruizione del credito di imposta </w:t>
      </w:r>
      <w:r w:rsidRPr="00B4170B">
        <w:rPr>
          <w:b/>
          <w:bCs/>
        </w:rPr>
        <w:t>devono sussistere i presupposti soggettivi, oggettivi e procedurali</w:t>
      </w:r>
      <w:r w:rsidRPr="006D40DE">
        <w:t xml:space="preserve"> previsti dai commi 1051–1062 della legge di </w:t>
      </w:r>
      <w:r w:rsidR="006D045D">
        <w:t>B</w:t>
      </w:r>
      <w:r w:rsidRPr="006D40DE">
        <w:t xml:space="preserve">ilancio 2021, sarà possibile utilizzare l’ammontare residuo a partire </w:t>
      </w:r>
      <w:r>
        <w:t>dal quarto anno successivo (circolare 9/E del 23 luglio 2021, par. 5.2).</w:t>
      </w:r>
    </w:p>
    <w:p w14:paraId="3FF66047" w14:textId="67C02622" w:rsidR="004D1E07" w:rsidRDefault="004D1E07">
      <w:pPr>
        <w:spacing w:after="0" w:line="240" w:lineRule="auto"/>
      </w:pPr>
      <w:bookmarkStart w:id="74" w:name="_Toc90462763"/>
      <w:r>
        <w:br w:type="page"/>
      </w:r>
    </w:p>
    <w:p w14:paraId="51184494" w14:textId="2A7BF952" w:rsidR="00765CBE" w:rsidRDefault="007B5579" w:rsidP="00765CBE">
      <w:pPr>
        <w:pStyle w:val="Titolo3"/>
      </w:pPr>
      <w:bookmarkStart w:id="75" w:name="_Toc93327733"/>
      <w:r>
        <w:lastRenderedPageBreak/>
        <w:t>6</w:t>
      </w:r>
      <w:r w:rsidR="00765CBE">
        <w:t>.1.1 Credito di imposta e tardiva interconnessione</w:t>
      </w:r>
      <w:bookmarkEnd w:id="74"/>
      <w:bookmarkEnd w:id="75"/>
    </w:p>
    <w:p w14:paraId="2B0BC26D" w14:textId="77777777" w:rsidR="00765CBE" w:rsidRDefault="00765CBE" w:rsidP="006D045D">
      <w:pPr>
        <w:spacing w:line="360" w:lineRule="auto"/>
        <w:jc w:val="both"/>
      </w:pPr>
      <w:r>
        <w:t xml:space="preserve">Nel caso in cui l'interconnessione dei beni di cui al comma 1062 avvenga </w:t>
      </w:r>
      <w:r w:rsidRPr="006D045D">
        <w:rPr>
          <w:b/>
          <w:bCs/>
        </w:rPr>
        <w:t>in un periodo d'imposta successivo</w:t>
      </w:r>
      <w:r>
        <w:t xml:space="preserve"> a quello della loro entrata in funzione è comunque </w:t>
      </w:r>
      <w:r w:rsidRPr="006D045D">
        <w:rPr>
          <w:b/>
          <w:bCs/>
        </w:rPr>
        <w:t>possibile iniziare a fruire del credito d'imposta per la parte spettante</w:t>
      </w:r>
      <w:r>
        <w:t xml:space="preserve"> ai sensi dei commi 1054 e 1055.</w:t>
      </w:r>
    </w:p>
    <w:p w14:paraId="7D2E8F35" w14:textId="7552004B" w:rsidR="00765CBE" w:rsidRDefault="00765CBE" w:rsidP="00765CBE">
      <w:pPr>
        <w:spacing w:line="360" w:lineRule="auto"/>
        <w:jc w:val="both"/>
      </w:pPr>
      <w:r>
        <w:t>I</w:t>
      </w:r>
      <w:r w:rsidRPr="0003039C">
        <w:t xml:space="preserve">n caso di disallineamento </w:t>
      </w:r>
      <w:r w:rsidRPr="001D2F75">
        <w:rPr>
          <w:b/>
          <w:bCs/>
        </w:rPr>
        <w:t>temporale tra l’entrata in funzione del bene “Industria 4.0” e la sua interconnessione</w:t>
      </w:r>
      <w:r w:rsidRPr="0003039C">
        <w:t xml:space="preserve">, </w:t>
      </w:r>
      <w:r>
        <w:t>è possibile fruire</w:t>
      </w:r>
      <w:r w:rsidRPr="0003039C">
        <w:t xml:space="preserve"> del credito d’imposta “in misura ridotta” dall’anno di entrata in funzione del bene, ovverosia nella medesima aliquota percentuale spettante in relazione agli investimenti aventi ad oggetto beni strumentali “ordinari” (i.e., 10 per cento e 6 per cento, rispettivamente, ai sensi dei commi 1054 e 1055 della legge di bilancio </w:t>
      </w:r>
      <w:r w:rsidRPr="007F356B">
        <w:t xml:space="preserve">2021), </w:t>
      </w:r>
      <w:r w:rsidRPr="007F356B">
        <w:rPr>
          <w:b/>
          <w:bCs/>
        </w:rPr>
        <w:t>rinviando la fruizione del credito d’imposta “in misura piena”</w:t>
      </w:r>
      <w:r w:rsidRPr="007F356B">
        <w:t xml:space="preserve"> (ai sensi dei commi da 1056 a 1058</w:t>
      </w:r>
      <w:r w:rsidR="00FA2DF6" w:rsidRPr="007F356B">
        <w:t>-ter</w:t>
      </w:r>
      <w:r w:rsidRPr="007F356B">
        <w:t xml:space="preserve"> della legge di bilancio 2021) a partire dall’anno dell’avvenuta interconnessione ai sensi del comma 1062 della legge </w:t>
      </w:r>
      <w:r w:rsidRPr="0003039C">
        <w:t>di bilancio 2021</w:t>
      </w:r>
      <w:r>
        <w:t>.</w:t>
      </w:r>
    </w:p>
    <w:p w14:paraId="7E38EC9F" w14:textId="77777777" w:rsidR="00765CBE" w:rsidRDefault="00765CBE" w:rsidP="00765CBE">
      <w:pPr>
        <w:spacing w:line="360" w:lineRule="auto"/>
        <w:jc w:val="both"/>
      </w:pPr>
      <w:r w:rsidRPr="0003039C">
        <w:t xml:space="preserve">Quindi, nel caso in cui il bene </w:t>
      </w:r>
      <w:r w:rsidRPr="001D2F75">
        <w:rPr>
          <w:b/>
          <w:bCs/>
        </w:rPr>
        <w:t>entri comunque in funzione</w:t>
      </w:r>
      <w:r w:rsidRPr="0003039C">
        <w:t>, pur senza essere interconnesso, il contribuente</w:t>
      </w:r>
      <w:r>
        <w:t>:</w:t>
      </w:r>
    </w:p>
    <w:p w14:paraId="68DA8014" w14:textId="77777777" w:rsidR="00765CBE" w:rsidRDefault="00765CBE" w:rsidP="00AE49EC">
      <w:pPr>
        <w:pStyle w:val="Paragrafoelenco"/>
        <w:numPr>
          <w:ilvl w:val="0"/>
          <w:numId w:val="34"/>
        </w:numPr>
        <w:spacing w:line="360" w:lineRule="auto"/>
        <w:jc w:val="both"/>
      </w:pPr>
      <w:r w:rsidRPr="0003039C">
        <w:t xml:space="preserve">può </w:t>
      </w:r>
      <w:r w:rsidRPr="001D2F75">
        <w:rPr>
          <w:b/>
          <w:bCs/>
        </w:rPr>
        <w:t>godere del credito d’imposta “in misura ridotta”</w:t>
      </w:r>
      <w:r w:rsidRPr="0003039C">
        <w:t xml:space="preserve"> fino all’anno precedente a quello in cui si realizza l’interconnessione oppure</w:t>
      </w:r>
    </w:p>
    <w:p w14:paraId="217063E6" w14:textId="77777777" w:rsidR="00765CBE" w:rsidRDefault="00765CBE" w:rsidP="00AE49EC">
      <w:pPr>
        <w:pStyle w:val="Paragrafoelenco"/>
        <w:numPr>
          <w:ilvl w:val="0"/>
          <w:numId w:val="34"/>
        </w:numPr>
        <w:spacing w:line="360" w:lineRule="auto"/>
        <w:jc w:val="both"/>
      </w:pPr>
      <w:r w:rsidRPr="0003039C">
        <w:t xml:space="preserve">può </w:t>
      </w:r>
      <w:r w:rsidRPr="001D2F75">
        <w:rPr>
          <w:b/>
          <w:bCs/>
        </w:rPr>
        <w:t>decidere di attendere l’interconnessione</w:t>
      </w:r>
      <w:r w:rsidRPr="0003039C">
        <w:t xml:space="preserve"> ai sensi del comma 1062 e fruire del credito di imposta “in misura piena”.</w:t>
      </w:r>
    </w:p>
    <w:p w14:paraId="6FB51FDB" w14:textId="77777777" w:rsidR="00765CBE" w:rsidRDefault="00765CBE" w:rsidP="00765CBE">
      <w:pPr>
        <w:spacing w:line="360" w:lineRule="auto"/>
        <w:jc w:val="both"/>
      </w:pPr>
      <w:r w:rsidRPr="001D2F75">
        <w:t xml:space="preserve">Pertanto, nel caso in cui l’impresa decida di avvalersi del credito di imposta “in misura ridotta” a seguito dell’entrata in funzione del bene, l’ammontare del credito d’imposta “in misura piena” successivamente fruibile dall’anno di interconnessione dovrà essere </w:t>
      </w:r>
      <w:r w:rsidRPr="001D2F75">
        <w:rPr>
          <w:b/>
          <w:bCs/>
        </w:rPr>
        <w:t>decurtato di quanto già fruito in precedenza</w:t>
      </w:r>
      <w:r w:rsidRPr="001D2F75">
        <w:t xml:space="preserve">. Tale valore, al netto del credito di imposta già fruito, sarà poi </w:t>
      </w:r>
      <w:r w:rsidRPr="001D2F75">
        <w:rPr>
          <w:b/>
          <w:bCs/>
        </w:rPr>
        <w:t>suddiviso in un nuovo triennio di fruizione di pari importo</w:t>
      </w:r>
      <w:r w:rsidRPr="001D2F75">
        <w:t>.</w:t>
      </w:r>
    </w:p>
    <w:p w14:paraId="12940255" w14:textId="60D0FBD7" w:rsidR="00765CBE" w:rsidRDefault="00765CBE" w:rsidP="00765CBE">
      <w:pPr>
        <w:spacing w:line="360" w:lineRule="auto"/>
        <w:jc w:val="both"/>
      </w:pPr>
      <w:r w:rsidRPr="001D2F75">
        <w:t xml:space="preserve">Ad </w:t>
      </w:r>
      <w:r w:rsidRPr="006D045D">
        <w:rPr>
          <w:b/>
          <w:bCs/>
        </w:rPr>
        <w:t>esempio</w:t>
      </w:r>
      <w:r w:rsidRPr="001D2F75">
        <w:t xml:space="preserve">, ipotizzando che nel corso del 2021 si proceda all’acquisto e all’entrata in funzione di un bene agevolabile il cui costo sia pari a </w:t>
      </w:r>
      <w:r w:rsidRPr="006D045D">
        <w:rPr>
          <w:b/>
          <w:bCs/>
        </w:rPr>
        <w:t>90.000 euro</w:t>
      </w:r>
      <w:r w:rsidRPr="001D2F75">
        <w:t xml:space="preserve"> e che nel corso del 2022 si proceda alla sua interconnessione, qualora l’impresa nel corso del 2021 si avvalga della possibilità di utilizzare in compensazione la prima quota del credito spettante ai sensi del comma 1054 della legge di bilancio 2021, pari a </w:t>
      </w:r>
      <w:r w:rsidRPr="006D045D">
        <w:rPr>
          <w:b/>
          <w:bCs/>
        </w:rPr>
        <w:t>3.000 euro</w:t>
      </w:r>
      <w:r w:rsidRPr="001D2F75">
        <w:t xml:space="preserve"> (1/3 di 9.000), a partire dal 2022 decorrerà il triennio di fruizione del credito spettante, per ipotesi, ai sensi del comma 1056 e la quota annuale compensabile sarà pari a </w:t>
      </w:r>
      <w:r w:rsidRPr="006D045D">
        <w:rPr>
          <w:b/>
          <w:bCs/>
        </w:rPr>
        <w:t>14.000 euro</w:t>
      </w:r>
      <w:r w:rsidRPr="001D2F75">
        <w:t xml:space="preserve"> [</w:t>
      </w:r>
      <w:r w:rsidRPr="006D045D">
        <w:rPr>
          <w:b/>
          <w:bCs/>
        </w:rPr>
        <w:t>1/3 di 42.000</w:t>
      </w:r>
      <w:r w:rsidRPr="001D2F75">
        <w:t xml:space="preserve"> (</w:t>
      </w:r>
      <w:r w:rsidRPr="006D045D">
        <w:rPr>
          <w:b/>
          <w:bCs/>
        </w:rPr>
        <w:t>45.000 – 3.000</w:t>
      </w:r>
      <w:r w:rsidRPr="001D2F75">
        <w:t>)].</w:t>
      </w:r>
    </w:p>
    <w:p w14:paraId="6B82DBA3" w14:textId="1630EF75" w:rsidR="004D7D62" w:rsidRDefault="004D7D62">
      <w:pPr>
        <w:spacing w:after="0" w:line="240" w:lineRule="auto"/>
      </w:pPr>
      <w:r>
        <w:br w:type="page"/>
      </w:r>
    </w:p>
    <w:p w14:paraId="532A2E66" w14:textId="77777777" w:rsidR="00765CBE" w:rsidRDefault="00765CBE" w:rsidP="00765CBE">
      <w:pPr>
        <w:spacing w:line="360" w:lineRule="auto"/>
        <w:jc w:val="both"/>
      </w:pPr>
      <w:r>
        <w:lastRenderedPageBreak/>
        <w:t>Ipotesi</w:t>
      </w:r>
    </w:p>
    <w:tbl>
      <w:tblPr>
        <w:tblStyle w:val="Grigliatabella"/>
        <w:tblW w:w="5000" w:type="pct"/>
        <w:tblLook w:val="04A0" w:firstRow="1" w:lastRow="0" w:firstColumn="1" w:lastColumn="0" w:noHBand="0" w:noVBand="1"/>
      </w:tblPr>
      <w:tblGrid>
        <w:gridCol w:w="7096"/>
        <w:gridCol w:w="2532"/>
      </w:tblGrid>
      <w:tr w:rsidR="00765CBE" w14:paraId="46311254" w14:textId="77777777" w:rsidTr="001D3F87">
        <w:tc>
          <w:tcPr>
            <w:tcW w:w="3685" w:type="pct"/>
            <w:shd w:val="clear" w:color="auto" w:fill="FFFFFF" w:themeFill="background1"/>
          </w:tcPr>
          <w:p w14:paraId="1442EFC0" w14:textId="77777777" w:rsidR="00765CBE" w:rsidRDefault="00765CBE" w:rsidP="00AE49EC">
            <w:pPr>
              <w:pStyle w:val="Paragrafoelenco"/>
              <w:numPr>
                <w:ilvl w:val="0"/>
                <w:numId w:val="35"/>
              </w:numPr>
              <w:spacing w:before="60" w:after="60" w:line="326" w:lineRule="auto"/>
              <w:ind w:left="314" w:hanging="142"/>
              <w:jc w:val="both"/>
            </w:pPr>
            <w:r>
              <w:t>Costo di acquisizione bene 4.0</w:t>
            </w:r>
          </w:p>
        </w:tc>
        <w:tc>
          <w:tcPr>
            <w:tcW w:w="1315" w:type="pct"/>
            <w:shd w:val="clear" w:color="auto" w:fill="DBE5F1" w:themeFill="accent1" w:themeFillTint="33"/>
          </w:tcPr>
          <w:p w14:paraId="66F4536B" w14:textId="77777777" w:rsidR="00765CBE" w:rsidRPr="006D045D" w:rsidRDefault="00765CBE" w:rsidP="001D3F87">
            <w:pPr>
              <w:spacing w:before="60" w:after="60" w:line="326" w:lineRule="auto"/>
              <w:jc w:val="right"/>
              <w:rPr>
                <w:b/>
                <w:bCs/>
              </w:rPr>
            </w:pPr>
            <w:r w:rsidRPr="006D045D">
              <w:rPr>
                <w:b/>
                <w:bCs/>
              </w:rPr>
              <w:t>90.000</w:t>
            </w:r>
          </w:p>
        </w:tc>
      </w:tr>
      <w:tr w:rsidR="00765CBE" w14:paraId="0902A37A" w14:textId="77777777" w:rsidTr="001D3F87">
        <w:tc>
          <w:tcPr>
            <w:tcW w:w="3685" w:type="pct"/>
            <w:shd w:val="clear" w:color="auto" w:fill="FFFFFF" w:themeFill="background1"/>
          </w:tcPr>
          <w:p w14:paraId="6398EDEA" w14:textId="77777777" w:rsidR="00765CBE" w:rsidRDefault="00765CBE" w:rsidP="00AE49EC">
            <w:pPr>
              <w:pStyle w:val="Paragrafoelenco"/>
              <w:numPr>
                <w:ilvl w:val="0"/>
                <w:numId w:val="35"/>
              </w:numPr>
              <w:spacing w:before="60" w:after="60" w:line="326" w:lineRule="auto"/>
              <w:ind w:left="314" w:hanging="142"/>
              <w:jc w:val="both"/>
            </w:pPr>
            <w:r>
              <w:t>Credito di imposta base (10%)</w:t>
            </w:r>
          </w:p>
        </w:tc>
        <w:tc>
          <w:tcPr>
            <w:tcW w:w="1315" w:type="pct"/>
            <w:shd w:val="clear" w:color="auto" w:fill="DBE5F1" w:themeFill="accent1" w:themeFillTint="33"/>
          </w:tcPr>
          <w:p w14:paraId="7CEC1C32" w14:textId="77777777" w:rsidR="00765CBE" w:rsidRPr="006D045D" w:rsidRDefault="00765CBE" w:rsidP="001D3F87">
            <w:pPr>
              <w:spacing w:before="60" w:after="60" w:line="326" w:lineRule="auto"/>
              <w:jc w:val="right"/>
              <w:rPr>
                <w:b/>
                <w:bCs/>
              </w:rPr>
            </w:pPr>
            <w:r w:rsidRPr="006D045D">
              <w:rPr>
                <w:b/>
                <w:bCs/>
              </w:rPr>
              <w:t>9.000</w:t>
            </w:r>
          </w:p>
        </w:tc>
      </w:tr>
      <w:tr w:rsidR="00765CBE" w14:paraId="2AA796AD" w14:textId="77777777" w:rsidTr="001D3F87">
        <w:tc>
          <w:tcPr>
            <w:tcW w:w="3685" w:type="pct"/>
            <w:shd w:val="clear" w:color="auto" w:fill="FFFFFF" w:themeFill="background1"/>
          </w:tcPr>
          <w:p w14:paraId="454635CB" w14:textId="77777777" w:rsidR="00765CBE" w:rsidRDefault="00765CBE" w:rsidP="00AE49EC">
            <w:pPr>
              <w:pStyle w:val="Paragrafoelenco"/>
              <w:numPr>
                <w:ilvl w:val="0"/>
                <w:numId w:val="35"/>
              </w:numPr>
              <w:spacing w:before="60" w:after="60" w:line="326" w:lineRule="auto"/>
              <w:ind w:left="314" w:hanging="142"/>
              <w:jc w:val="both"/>
            </w:pPr>
            <w:r>
              <w:t>Credito di imposta 4.0 (50%)</w:t>
            </w:r>
          </w:p>
        </w:tc>
        <w:tc>
          <w:tcPr>
            <w:tcW w:w="1315" w:type="pct"/>
            <w:shd w:val="clear" w:color="auto" w:fill="DBE5F1" w:themeFill="accent1" w:themeFillTint="33"/>
          </w:tcPr>
          <w:p w14:paraId="318A889C" w14:textId="77777777" w:rsidR="00765CBE" w:rsidRPr="006D045D" w:rsidRDefault="00765CBE" w:rsidP="001D3F87">
            <w:pPr>
              <w:spacing w:before="60" w:after="60" w:line="326" w:lineRule="auto"/>
              <w:jc w:val="right"/>
              <w:rPr>
                <w:b/>
                <w:bCs/>
              </w:rPr>
            </w:pPr>
            <w:r w:rsidRPr="006D045D">
              <w:rPr>
                <w:b/>
                <w:bCs/>
              </w:rPr>
              <w:t>45.000</w:t>
            </w:r>
          </w:p>
        </w:tc>
      </w:tr>
      <w:tr w:rsidR="00765CBE" w14:paraId="2F494033" w14:textId="77777777" w:rsidTr="001D3F87">
        <w:tc>
          <w:tcPr>
            <w:tcW w:w="3685" w:type="pct"/>
            <w:shd w:val="clear" w:color="auto" w:fill="FFFFFF" w:themeFill="background1"/>
          </w:tcPr>
          <w:p w14:paraId="7A4C21B1" w14:textId="77777777" w:rsidR="00765CBE" w:rsidRDefault="00765CBE" w:rsidP="001D3F87">
            <w:pPr>
              <w:pStyle w:val="Paragrafoelenco"/>
              <w:spacing w:before="60" w:after="60" w:line="326" w:lineRule="auto"/>
              <w:ind w:left="314" w:hanging="142"/>
              <w:jc w:val="both"/>
            </w:pPr>
            <w:r>
              <w:t>Periodo di imposta entrata in funzione</w:t>
            </w:r>
          </w:p>
        </w:tc>
        <w:tc>
          <w:tcPr>
            <w:tcW w:w="1315" w:type="pct"/>
            <w:shd w:val="clear" w:color="auto" w:fill="DBE5F1" w:themeFill="accent1" w:themeFillTint="33"/>
          </w:tcPr>
          <w:p w14:paraId="55B58201" w14:textId="77777777" w:rsidR="00765CBE" w:rsidRPr="006D045D" w:rsidRDefault="00765CBE" w:rsidP="001D3F87">
            <w:pPr>
              <w:spacing w:before="60" w:after="60" w:line="326" w:lineRule="auto"/>
              <w:jc w:val="right"/>
              <w:rPr>
                <w:b/>
                <w:bCs/>
              </w:rPr>
            </w:pPr>
            <w:r w:rsidRPr="006D045D">
              <w:rPr>
                <w:b/>
                <w:bCs/>
              </w:rPr>
              <w:t>2021</w:t>
            </w:r>
          </w:p>
        </w:tc>
      </w:tr>
      <w:tr w:rsidR="00765CBE" w14:paraId="68C90ED6" w14:textId="77777777" w:rsidTr="001D3F87">
        <w:tc>
          <w:tcPr>
            <w:tcW w:w="3685" w:type="pct"/>
            <w:shd w:val="clear" w:color="auto" w:fill="FFFFFF" w:themeFill="background1"/>
          </w:tcPr>
          <w:p w14:paraId="2830A438" w14:textId="77777777" w:rsidR="00765CBE" w:rsidRDefault="00765CBE" w:rsidP="001D3F87">
            <w:pPr>
              <w:pStyle w:val="Paragrafoelenco"/>
              <w:spacing w:before="60" w:after="60" w:line="326" w:lineRule="auto"/>
              <w:ind w:left="314" w:hanging="142"/>
              <w:jc w:val="both"/>
            </w:pPr>
            <w:r>
              <w:t>Periodo di imposta interconnessione</w:t>
            </w:r>
          </w:p>
        </w:tc>
        <w:tc>
          <w:tcPr>
            <w:tcW w:w="1315" w:type="pct"/>
            <w:shd w:val="clear" w:color="auto" w:fill="DBE5F1" w:themeFill="accent1" w:themeFillTint="33"/>
          </w:tcPr>
          <w:p w14:paraId="6D18BAF4" w14:textId="77777777" w:rsidR="00765CBE" w:rsidRPr="006D045D" w:rsidRDefault="00765CBE" w:rsidP="001D3F87">
            <w:pPr>
              <w:spacing w:before="60" w:after="60" w:line="326" w:lineRule="auto"/>
              <w:jc w:val="right"/>
              <w:rPr>
                <w:b/>
                <w:bCs/>
              </w:rPr>
            </w:pPr>
            <w:r w:rsidRPr="006D045D">
              <w:rPr>
                <w:b/>
                <w:bCs/>
              </w:rPr>
              <w:t>2022</w:t>
            </w:r>
          </w:p>
        </w:tc>
      </w:tr>
    </w:tbl>
    <w:p w14:paraId="044B0CAD" w14:textId="77777777" w:rsidR="00765CBE" w:rsidRDefault="00765CBE" w:rsidP="00765CBE">
      <w:pPr>
        <w:spacing w:line="360" w:lineRule="auto"/>
        <w:jc w:val="both"/>
      </w:pPr>
    </w:p>
    <w:tbl>
      <w:tblPr>
        <w:tblStyle w:val="Grigliatabella"/>
        <w:tblW w:w="0" w:type="auto"/>
        <w:tblLook w:val="04A0" w:firstRow="1" w:lastRow="0" w:firstColumn="1" w:lastColumn="0" w:noHBand="0" w:noVBand="1"/>
      </w:tblPr>
      <w:tblGrid>
        <w:gridCol w:w="4673"/>
        <w:gridCol w:w="1276"/>
        <w:gridCol w:w="1276"/>
        <w:gridCol w:w="1275"/>
        <w:gridCol w:w="1128"/>
      </w:tblGrid>
      <w:tr w:rsidR="00765CBE" w:rsidRPr="001D3F87" w14:paraId="3ED756A8" w14:textId="77777777" w:rsidTr="001D3F87">
        <w:tc>
          <w:tcPr>
            <w:tcW w:w="4673" w:type="dxa"/>
            <w:shd w:val="clear" w:color="auto" w:fill="DBE5F1" w:themeFill="accent1" w:themeFillTint="33"/>
          </w:tcPr>
          <w:p w14:paraId="4E31EFA9" w14:textId="77777777" w:rsidR="00765CBE" w:rsidRPr="001D3F87" w:rsidRDefault="00765CBE" w:rsidP="001D3F87">
            <w:pPr>
              <w:spacing w:before="60" w:after="60" w:line="326" w:lineRule="auto"/>
              <w:jc w:val="both"/>
              <w:rPr>
                <w:b/>
                <w:bCs/>
                <w:szCs w:val="20"/>
              </w:rPr>
            </w:pPr>
            <w:r w:rsidRPr="001D3F87">
              <w:rPr>
                <w:b/>
                <w:bCs/>
                <w:szCs w:val="20"/>
              </w:rPr>
              <w:t>Credito di imposta</w:t>
            </w:r>
          </w:p>
        </w:tc>
        <w:tc>
          <w:tcPr>
            <w:tcW w:w="1276" w:type="dxa"/>
            <w:shd w:val="clear" w:color="auto" w:fill="DBE5F1" w:themeFill="accent1" w:themeFillTint="33"/>
          </w:tcPr>
          <w:p w14:paraId="6CC403AE" w14:textId="77777777" w:rsidR="00765CBE" w:rsidRPr="001D3F87" w:rsidRDefault="00765CBE" w:rsidP="001D3F87">
            <w:pPr>
              <w:spacing w:before="60" w:after="60" w:line="326" w:lineRule="auto"/>
              <w:jc w:val="right"/>
              <w:rPr>
                <w:b/>
                <w:bCs/>
                <w:szCs w:val="20"/>
              </w:rPr>
            </w:pPr>
            <w:r w:rsidRPr="001D3F87">
              <w:rPr>
                <w:b/>
                <w:bCs/>
                <w:szCs w:val="20"/>
              </w:rPr>
              <w:t>2021</w:t>
            </w:r>
          </w:p>
        </w:tc>
        <w:tc>
          <w:tcPr>
            <w:tcW w:w="1276" w:type="dxa"/>
            <w:shd w:val="clear" w:color="auto" w:fill="DBE5F1" w:themeFill="accent1" w:themeFillTint="33"/>
          </w:tcPr>
          <w:p w14:paraId="36CE0985" w14:textId="77777777" w:rsidR="00765CBE" w:rsidRPr="001D3F87" w:rsidRDefault="00765CBE" w:rsidP="001D3F87">
            <w:pPr>
              <w:spacing w:before="60" w:after="60" w:line="326" w:lineRule="auto"/>
              <w:jc w:val="right"/>
              <w:rPr>
                <w:b/>
                <w:bCs/>
                <w:szCs w:val="20"/>
              </w:rPr>
            </w:pPr>
            <w:r w:rsidRPr="001D3F87">
              <w:rPr>
                <w:b/>
                <w:bCs/>
                <w:szCs w:val="20"/>
              </w:rPr>
              <w:t>2022</w:t>
            </w:r>
          </w:p>
        </w:tc>
        <w:tc>
          <w:tcPr>
            <w:tcW w:w="1275" w:type="dxa"/>
            <w:shd w:val="clear" w:color="auto" w:fill="DBE5F1" w:themeFill="accent1" w:themeFillTint="33"/>
          </w:tcPr>
          <w:p w14:paraId="19500EF5" w14:textId="77777777" w:rsidR="00765CBE" w:rsidRPr="001D3F87" w:rsidRDefault="00765CBE" w:rsidP="001D3F87">
            <w:pPr>
              <w:spacing w:before="60" w:after="60" w:line="326" w:lineRule="auto"/>
              <w:jc w:val="right"/>
              <w:rPr>
                <w:b/>
                <w:bCs/>
                <w:szCs w:val="20"/>
              </w:rPr>
            </w:pPr>
            <w:r w:rsidRPr="001D3F87">
              <w:rPr>
                <w:b/>
                <w:bCs/>
                <w:szCs w:val="20"/>
              </w:rPr>
              <w:t>2023</w:t>
            </w:r>
          </w:p>
        </w:tc>
        <w:tc>
          <w:tcPr>
            <w:tcW w:w="1128" w:type="dxa"/>
            <w:shd w:val="clear" w:color="auto" w:fill="DBE5F1" w:themeFill="accent1" w:themeFillTint="33"/>
          </w:tcPr>
          <w:p w14:paraId="2F5A861A" w14:textId="77777777" w:rsidR="00765CBE" w:rsidRPr="001D3F87" w:rsidRDefault="00765CBE" w:rsidP="001D3F87">
            <w:pPr>
              <w:spacing w:before="60" w:after="60" w:line="326" w:lineRule="auto"/>
              <w:jc w:val="right"/>
              <w:rPr>
                <w:b/>
                <w:bCs/>
                <w:szCs w:val="20"/>
              </w:rPr>
            </w:pPr>
            <w:r w:rsidRPr="001D3F87">
              <w:rPr>
                <w:b/>
                <w:bCs/>
                <w:szCs w:val="20"/>
              </w:rPr>
              <w:t>2024</w:t>
            </w:r>
          </w:p>
        </w:tc>
      </w:tr>
      <w:tr w:rsidR="00765CBE" w:rsidRPr="001D3F87" w14:paraId="181D35AD" w14:textId="77777777" w:rsidTr="002A6683">
        <w:tc>
          <w:tcPr>
            <w:tcW w:w="4673" w:type="dxa"/>
          </w:tcPr>
          <w:p w14:paraId="6624423F" w14:textId="77777777" w:rsidR="00765CBE" w:rsidRPr="001D3F87" w:rsidRDefault="00765CBE" w:rsidP="00AE49EC">
            <w:pPr>
              <w:pStyle w:val="Paragrafoelenco"/>
              <w:numPr>
                <w:ilvl w:val="0"/>
                <w:numId w:val="36"/>
              </w:numPr>
              <w:spacing w:before="60" w:after="60" w:line="326" w:lineRule="auto"/>
              <w:jc w:val="both"/>
              <w:rPr>
                <w:szCs w:val="20"/>
              </w:rPr>
            </w:pPr>
            <w:r w:rsidRPr="001D3F87">
              <w:rPr>
                <w:szCs w:val="20"/>
              </w:rPr>
              <w:t>Base (1/3 del 10% = 9.000/3)</w:t>
            </w:r>
          </w:p>
        </w:tc>
        <w:tc>
          <w:tcPr>
            <w:tcW w:w="1276" w:type="dxa"/>
          </w:tcPr>
          <w:p w14:paraId="180E5536" w14:textId="77777777" w:rsidR="00765CBE" w:rsidRPr="001D3F87" w:rsidRDefault="00765CBE" w:rsidP="001D3F87">
            <w:pPr>
              <w:spacing w:before="60" w:after="60" w:line="326" w:lineRule="auto"/>
              <w:jc w:val="right"/>
              <w:rPr>
                <w:szCs w:val="20"/>
              </w:rPr>
            </w:pPr>
            <w:r w:rsidRPr="001D3F87">
              <w:rPr>
                <w:szCs w:val="20"/>
              </w:rPr>
              <w:t>3.000</w:t>
            </w:r>
          </w:p>
        </w:tc>
        <w:tc>
          <w:tcPr>
            <w:tcW w:w="1276" w:type="dxa"/>
          </w:tcPr>
          <w:p w14:paraId="78E7C8CA" w14:textId="77777777" w:rsidR="00765CBE" w:rsidRPr="001D3F87" w:rsidRDefault="00765CBE" w:rsidP="001D3F87">
            <w:pPr>
              <w:spacing w:before="60" w:after="60" w:line="326" w:lineRule="auto"/>
              <w:jc w:val="right"/>
              <w:rPr>
                <w:szCs w:val="20"/>
              </w:rPr>
            </w:pPr>
          </w:p>
        </w:tc>
        <w:tc>
          <w:tcPr>
            <w:tcW w:w="1275" w:type="dxa"/>
          </w:tcPr>
          <w:p w14:paraId="6F0ED4DB" w14:textId="77777777" w:rsidR="00765CBE" w:rsidRPr="001D3F87" w:rsidRDefault="00765CBE" w:rsidP="001D3F87">
            <w:pPr>
              <w:spacing w:before="60" w:after="60" w:line="326" w:lineRule="auto"/>
              <w:jc w:val="right"/>
              <w:rPr>
                <w:szCs w:val="20"/>
              </w:rPr>
            </w:pPr>
          </w:p>
        </w:tc>
        <w:tc>
          <w:tcPr>
            <w:tcW w:w="1128" w:type="dxa"/>
          </w:tcPr>
          <w:p w14:paraId="2708CFEB" w14:textId="77777777" w:rsidR="00765CBE" w:rsidRPr="001D3F87" w:rsidRDefault="00765CBE" w:rsidP="001D3F87">
            <w:pPr>
              <w:spacing w:before="60" w:after="60" w:line="326" w:lineRule="auto"/>
              <w:jc w:val="right"/>
              <w:rPr>
                <w:szCs w:val="20"/>
              </w:rPr>
            </w:pPr>
          </w:p>
        </w:tc>
      </w:tr>
      <w:tr w:rsidR="00765CBE" w:rsidRPr="001D3F87" w14:paraId="0071D36E" w14:textId="77777777" w:rsidTr="002A6683">
        <w:tc>
          <w:tcPr>
            <w:tcW w:w="4673" w:type="dxa"/>
          </w:tcPr>
          <w:p w14:paraId="33A0F661" w14:textId="77777777" w:rsidR="00765CBE" w:rsidRPr="001D3F87" w:rsidRDefault="00765CBE" w:rsidP="00AE49EC">
            <w:pPr>
              <w:pStyle w:val="Paragrafoelenco"/>
              <w:numPr>
                <w:ilvl w:val="0"/>
                <w:numId w:val="36"/>
              </w:numPr>
              <w:spacing w:before="60" w:after="60" w:line="326" w:lineRule="auto"/>
              <w:jc w:val="both"/>
              <w:rPr>
                <w:szCs w:val="20"/>
              </w:rPr>
            </w:pPr>
            <w:r w:rsidRPr="001D3F87">
              <w:rPr>
                <w:szCs w:val="20"/>
              </w:rPr>
              <w:t>4.0 = 45.000-3.000 = 42.000/3</w:t>
            </w:r>
          </w:p>
        </w:tc>
        <w:tc>
          <w:tcPr>
            <w:tcW w:w="1276" w:type="dxa"/>
          </w:tcPr>
          <w:p w14:paraId="4118BA7C" w14:textId="77777777" w:rsidR="00765CBE" w:rsidRPr="001D3F87" w:rsidRDefault="00765CBE" w:rsidP="001D3F87">
            <w:pPr>
              <w:spacing w:before="60" w:after="60" w:line="326" w:lineRule="auto"/>
              <w:jc w:val="right"/>
              <w:rPr>
                <w:szCs w:val="20"/>
              </w:rPr>
            </w:pPr>
          </w:p>
        </w:tc>
        <w:tc>
          <w:tcPr>
            <w:tcW w:w="1276" w:type="dxa"/>
          </w:tcPr>
          <w:p w14:paraId="6CB6F951" w14:textId="77777777" w:rsidR="00765CBE" w:rsidRPr="001D3F87" w:rsidRDefault="00765CBE" w:rsidP="001D3F87">
            <w:pPr>
              <w:spacing w:before="60" w:after="60" w:line="326" w:lineRule="auto"/>
              <w:jc w:val="right"/>
              <w:rPr>
                <w:szCs w:val="20"/>
              </w:rPr>
            </w:pPr>
            <w:r w:rsidRPr="001D3F87">
              <w:rPr>
                <w:szCs w:val="20"/>
              </w:rPr>
              <w:t>14.000</w:t>
            </w:r>
          </w:p>
        </w:tc>
        <w:tc>
          <w:tcPr>
            <w:tcW w:w="1275" w:type="dxa"/>
          </w:tcPr>
          <w:p w14:paraId="42878333" w14:textId="77777777" w:rsidR="00765CBE" w:rsidRPr="001D3F87" w:rsidRDefault="00765CBE" w:rsidP="001D3F87">
            <w:pPr>
              <w:spacing w:before="60" w:after="60" w:line="326" w:lineRule="auto"/>
              <w:jc w:val="right"/>
              <w:rPr>
                <w:szCs w:val="20"/>
              </w:rPr>
            </w:pPr>
            <w:r w:rsidRPr="001D3F87">
              <w:rPr>
                <w:szCs w:val="20"/>
              </w:rPr>
              <w:t>14.000</w:t>
            </w:r>
          </w:p>
        </w:tc>
        <w:tc>
          <w:tcPr>
            <w:tcW w:w="1128" w:type="dxa"/>
          </w:tcPr>
          <w:p w14:paraId="63C10F38" w14:textId="77777777" w:rsidR="00765CBE" w:rsidRPr="001D3F87" w:rsidRDefault="00765CBE" w:rsidP="001D3F87">
            <w:pPr>
              <w:spacing w:before="60" w:after="60" w:line="326" w:lineRule="auto"/>
              <w:jc w:val="right"/>
              <w:rPr>
                <w:szCs w:val="20"/>
              </w:rPr>
            </w:pPr>
            <w:r w:rsidRPr="001D3F87">
              <w:rPr>
                <w:szCs w:val="20"/>
              </w:rPr>
              <w:t>14.000</w:t>
            </w:r>
          </w:p>
        </w:tc>
      </w:tr>
      <w:tr w:rsidR="00765CBE" w:rsidRPr="001D3F87" w14:paraId="0A9A339D" w14:textId="77777777" w:rsidTr="00E5241C">
        <w:tc>
          <w:tcPr>
            <w:tcW w:w="4673" w:type="dxa"/>
            <w:shd w:val="clear" w:color="auto" w:fill="F2F2F2" w:themeFill="background1" w:themeFillShade="F2"/>
          </w:tcPr>
          <w:p w14:paraId="29C8CEA5" w14:textId="77777777" w:rsidR="00765CBE" w:rsidRPr="001D3F87" w:rsidRDefault="00765CBE" w:rsidP="001D3F87">
            <w:pPr>
              <w:spacing w:before="60" w:after="60" w:line="326" w:lineRule="auto"/>
              <w:jc w:val="both"/>
              <w:rPr>
                <w:b/>
                <w:bCs/>
                <w:szCs w:val="20"/>
              </w:rPr>
            </w:pPr>
            <w:r w:rsidRPr="001D3F87">
              <w:rPr>
                <w:b/>
                <w:bCs/>
                <w:szCs w:val="20"/>
              </w:rPr>
              <w:t>Totale progressivo credito utilizzato</w:t>
            </w:r>
          </w:p>
        </w:tc>
        <w:tc>
          <w:tcPr>
            <w:tcW w:w="1276" w:type="dxa"/>
            <w:shd w:val="clear" w:color="auto" w:fill="F2F2F2" w:themeFill="background1" w:themeFillShade="F2"/>
          </w:tcPr>
          <w:p w14:paraId="17AC65D0" w14:textId="77777777" w:rsidR="00765CBE" w:rsidRPr="001D3F87" w:rsidRDefault="00765CBE" w:rsidP="001D3F87">
            <w:pPr>
              <w:spacing w:before="60" w:after="60" w:line="326" w:lineRule="auto"/>
              <w:jc w:val="right"/>
              <w:rPr>
                <w:b/>
                <w:bCs/>
                <w:szCs w:val="20"/>
              </w:rPr>
            </w:pPr>
            <w:r w:rsidRPr="001D3F87">
              <w:rPr>
                <w:b/>
                <w:bCs/>
                <w:szCs w:val="20"/>
              </w:rPr>
              <w:t>3.000</w:t>
            </w:r>
          </w:p>
        </w:tc>
        <w:tc>
          <w:tcPr>
            <w:tcW w:w="1276" w:type="dxa"/>
            <w:shd w:val="clear" w:color="auto" w:fill="F2F2F2" w:themeFill="background1" w:themeFillShade="F2"/>
          </w:tcPr>
          <w:p w14:paraId="4BCAA1AF" w14:textId="77777777" w:rsidR="00765CBE" w:rsidRPr="001D3F87" w:rsidRDefault="00765CBE" w:rsidP="001D3F87">
            <w:pPr>
              <w:spacing w:before="60" w:after="60" w:line="326" w:lineRule="auto"/>
              <w:jc w:val="right"/>
              <w:rPr>
                <w:b/>
                <w:bCs/>
                <w:szCs w:val="20"/>
              </w:rPr>
            </w:pPr>
            <w:r w:rsidRPr="001D3F87">
              <w:rPr>
                <w:b/>
                <w:bCs/>
                <w:szCs w:val="20"/>
              </w:rPr>
              <w:t>17.000</w:t>
            </w:r>
          </w:p>
        </w:tc>
        <w:tc>
          <w:tcPr>
            <w:tcW w:w="1275" w:type="dxa"/>
            <w:shd w:val="clear" w:color="auto" w:fill="F2F2F2" w:themeFill="background1" w:themeFillShade="F2"/>
          </w:tcPr>
          <w:p w14:paraId="37A992D9" w14:textId="77777777" w:rsidR="00765CBE" w:rsidRPr="001D3F87" w:rsidRDefault="00765CBE" w:rsidP="001D3F87">
            <w:pPr>
              <w:spacing w:before="60" w:after="60" w:line="326" w:lineRule="auto"/>
              <w:jc w:val="right"/>
              <w:rPr>
                <w:b/>
                <w:bCs/>
                <w:szCs w:val="20"/>
              </w:rPr>
            </w:pPr>
            <w:r w:rsidRPr="001D3F87">
              <w:rPr>
                <w:b/>
                <w:bCs/>
                <w:szCs w:val="20"/>
              </w:rPr>
              <w:t>31.000</w:t>
            </w:r>
          </w:p>
        </w:tc>
        <w:tc>
          <w:tcPr>
            <w:tcW w:w="1128" w:type="dxa"/>
            <w:shd w:val="clear" w:color="auto" w:fill="F2F2F2" w:themeFill="background1" w:themeFillShade="F2"/>
          </w:tcPr>
          <w:p w14:paraId="7F736FF0" w14:textId="77777777" w:rsidR="00765CBE" w:rsidRPr="001D3F87" w:rsidRDefault="00765CBE" w:rsidP="001D3F87">
            <w:pPr>
              <w:spacing w:before="60" w:after="60" w:line="326" w:lineRule="auto"/>
              <w:jc w:val="right"/>
              <w:rPr>
                <w:b/>
                <w:bCs/>
                <w:szCs w:val="20"/>
              </w:rPr>
            </w:pPr>
            <w:r w:rsidRPr="001D3F87">
              <w:rPr>
                <w:b/>
                <w:bCs/>
                <w:szCs w:val="20"/>
              </w:rPr>
              <w:t>45.000</w:t>
            </w:r>
          </w:p>
        </w:tc>
      </w:tr>
    </w:tbl>
    <w:p w14:paraId="12E5EA80" w14:textId="77777777" w:rsidR="00765CBE" w:rsidRDefault="00765CBE" w:rsidP="00765CBE">
      <w:pPr>
        <w:spacing w:line="360" w:lineRule="auto"/>
        <w:jc w:val="both"/>
      </w:pPr>
    </w:p>
    <w:p w14:paraId="1961FBCE" w14:textId="6A147F38" w:rsidR="00765CBE" w:rsidRDefault="007B5579" w:rsidP="00765CBE">
      <w:pPr>
        <w:pStyle w:val="Titolo3"/>
      </w:pPr>
      <w:bookmarkStart w:id="76" w:name="_Toc90462764"/>
      <w:bookmarkStart w:id="77" w:name="_Toc93327734"/>
      <w:r>
        <w:t>6</w:t>
      </w:r>
      <w:r w:rsidR="00765CBE">
        <w:t xml:space="preserve">.1.2 </w:t>
      </w:r>
      <w:r w:rsidR="00B46077">
        <w:t>P</w:t>
      </w:r>
      <w:r w:rsidR="00765CBE">
        <w:t>resentazione della dichiarazione e visto di conformità</w:t>
      </w:r>
      <w:bookmarkEnd w:id="76"/>
      <w:bookmarkEnd w:id="77"/>
    </w:p>
    <w:p w14:paraId="5F05D65D" w14:textId="77777777" w:rsidR="00765CBE" w:rsidRDefault="00765CBE" w:rsidP="00765CBE">
      <w:pPr>
        <w:spacing w:line="360" w:lineRule="auto"/>
        <w:jc w:val="both"/>
      </w:pPr>
      <w:r w:rsidRPr="00EE6561">
        <w:t xml:space="preserve">L’utilizzo in compensazione dei crediti d’imposta di natura agevolativa, da indicare nel quadro RU della dichiarazione dei redditi, come il credito d’imposta per investimenti in beni strumentali nuovi, </w:t>
      </w:r>
      <w:r w:rsidRPr="00EE6561">
        <w:rPr>
          <w:b/>
          <w:bCs/>
        </w:rPr>
        <w:t>non necessita della preventiva presentazione della dichiarazione dei redditi da cui emergono i crediti stessi</w:t>
      </w:r>
      <w:r w:rsidRPr="00EE6561">
        <w:t>.</w:t>
      </w:r>
    </w:p>
    <w:p w14:paraId="7DFDA764" w14:textId="2F617531" w:rsidR="00765CBE" w:rsidRDefault="00765CBE" w:rsidP="00765CBE">
      <w:pPr>
        <w:spacing w:line="360" w:lineRule="auto"/>
        <w:jc w:val="both"/>
      </w:pPr>
      <w:r w:rsidRPr="00EE6561">
        <w:t xml:space="preserve">L’obbligo della </w:t>
      </w:r>
      <w:r w:rsidRPr="004D7D62">
        <w:rPr>
          <w:b/>
          <w:bCs/>
        </w:rPr>
        <w:t>preventiva presentazione della dichiarazione dei redditi</w:t>
      </w:r>
      <w:r w:rsidRPr="00EE6561">
        <w:t xml:space="preserve">, introdotto dall’articolo 3, comma 1, del decreto-legge 26 ottobre 2019, n. 124 (convertito, con modificazioni, dalla legge 19 dicembre 2019, n. 157), che ha modificato l’articolo 17, comma 1, del decreto legislativo del 9 luglio 1997, n. 241, consente di effettuare la </w:t>
      </w:r>
      <w:r w:rsidRPr="00012000">
        <w:rPr>
          <w:b/>
          <w:bCs/>
        </w:rPr>
        <w:t>compensazione per importi superiori a 5.000 euro solo a decorrere dal decimo giorno successivo</w:t>
      </w:r>
      <w:r w:rsidRPr="00EE6561">
        <w:t xml:space="preserve"> a quello di presentazione della dichiarazione da cui emergono i crediti.</w:t>
      </w:r>
    </w:p>
    <w:p w14:paraId="48D99737" w14:textId="77777777" w:rsidR="00332DA6" w:rsidRDefault="00332DA6" w:rsidP="00765CBE">
      <w:pPr>
        <w:spacing w:line="360" w:lineRule="auto"/>
        <w:jc w:val="both"/>
      </w:pPr>
    </w:p>
    <w:p w14:paraId="070B9FF7" w14:textId="158408DE" w:rsidR="00765CBE" w:rsidRDefault="00765CBE" w:rsidP="00DC0EEA">
      <w:pPr>
        <w:spacing w:line="360" w:lineRule="auto"/>
        <w:ind w:left="2124"/>
        <w:jc w:val="both"/>
      </w:pPr>
      <w:r>
        <w:rPr>
          <w:noProof/>
        </w:rPr>
        <w:drawing>
          <wp:anchor distT="0" distB="0" distL="114300" distR="114300" simplePos="0" relativeHeight="251787776" behindDoc="0" locked="0" layoutInCell="1" allowOverlap="1" wp14:anchorId="2BB4794F" wp14:editId="533ECA1A">
            <wp:simplePos x="716280" y="2976880"/>
            <wp:positionH relativeFrom="column">
              <wp:align>left</wp:align>
            </wp:positionH>
            <wp:positionV relativeFrom="paragraph">
              <wp:align>top</wp:align>
            </wp:positionV>
            <wp:extent cx="914400" cy="914400"/>
            <wp:effectExtent l="0" t="0" r="0" b="0"/>
            <wp:wrapSquare wrapText="bothSides"/>
            <wp:docPr id="22" name="Elemento grafico 22"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t xml:space="preserve">Con la </w:t>
      </w:r>
      <w:r w:rsidRPr="00EE6561">
        <w:t xml:space="preserve">risposta fornita in occasione di Telefisco 2020 è stato chiarito che tale obbligo si riferisce </w:t>
      </w:r>
      <w:r w:rsidRPr="00012000">
        <w:rPr>
          <w:b/>
          <w:bCs/>
        </w:rPr>
        <w:t>esclusivamente ai crediti I</w:t>
      </w:r>
      <w:r w:rsidR="00DC0EEA">
        <w:rPr>
          <w:b/>
          <w:bCs/>
        </w:rPr>
        <w:t>VA</w:t>
      </w:r>
      <w:r w:rsidRPr="00EE6561">
        <w:t xml:space="preserve">, ai </w:t>
      </w:r>
      <w:r w:rsidRPr="00012000">
        <w:rPr>
          <w:b/>
          <w:bCs/>
        </w:rPr>
        <w:t xml:space="preserve">crediti relativi alle imposte sui redditi e alle relative addizionali, alle imposte sostitutive delle imposte sui redditi e all’Irap </w:t>
      </w:r>
      <w:r w:rsidRPr="00EE6561">
        <w:t xml:space="preserve">di importo superiore a 5.000 euro annuo, </w:t>
      </w:r>
      <w:r w:rsidRPr="00867463">
        <w:rPr>
          <w:b/>
          <w:bCs/>
        </w:rPr>
        <w:t>non anche ai crediti d’imposta di natura agevolativa</w:t>
      </w:r>
      <w:r w:rsidRPr="00EE6561">
        <w:t xml:space="preserve">, per i quali, si ricorda, </w:t>
      </w:r>
      <w:r w:rsidRPr="00867463">
        <w:rPr>
          <w:b/>
          <w:bCs/>
        </w:rPr>
        <w:t>non trovano applicazione</w:t>
      </w:r>
      <w:r w:rsidRPr="00EE6561">
        <w:t xml:space="preserve">, altresì, le disposizioni sull’apposizione del </w:t>
      </w:r>
      <w:r w:rsidRPr="00867463">
        <w:rPr>
          <w:b/>
          <w:bCs/>
        </w:rPr>
        <w:t>visto di conformità</w:t>
      </w:r>
      <w:r w:rsidRPr="00EE6561">
        <w:t>.</w:t>
      </w:r>
    </w:p>
    <w:p w14:paraId="15557FA9" w14:textId="77777777" w:rsidR="00332DA6" w:rsidRDefault="00332DA6" w:rsidP="00765CBE">
      <w:pPr>
        <w:spacing w:line="360" w:lineRule="auto"/>
        <w:jc w:val="both"/>
      </w:pPr>
    </w:p>
    <w:p w14:paraId="64048B4A" w14:textId="5E8AFE95" w:rsidR="00765CBE" w:rsidRDefault="00765CBE" w:rsidP="00765CBE">
      <w:pPr>
        <w:spacing w:line="360" w:lineRule="auto"/>
        <w:jc w:val="both"/>
      </w:pPr>
      <w:r w:rsidRPr="00EE6561">
        <w:lastRenderedPageBreak/>
        <w:t xml:space="preserve">A tale ultimo riguardo, con la circolare n. 10/E del 14 maggio 2014, è stato chiarito che il limite, superato il quale scatta </w:t>
      </w:r>
      <w:r w:rsidRPr="00867463">
        <w:rPr>
          <w:b/>
          <w:bCs/>
        </w:rPr>
        <w:t>l’obbligo di apposizione del visto</w:t>
      </w:r>
      <w:r w:rsidRPr="00EE6561">
        <w:t xml:space="preserve">, è riferibile </w:t>
      </w:r>
      <w:r w:rsidRPr="00867463">
        <w:rPr>
          <w:b/>
          <w:bCs/>
        </w:rPr>
        <w:t>esclusivamente alla compensazione “orizzontale”</w:t>
      </w:r>
      <w:r w:rsidRPr="00EE6561">
        <w:t xml:space="preserve"> dei crediti a seguito del richiamo all’articolo 17 del d.lgs. n. 241 del 1997 e, quindi, non alla compensazione “verticale”, ancorché questa venga effettuata mediante la delega di versamento. Con la circolare n. 28/E del 25 settembre 2014 è stato, inoltre, chiarito che </w:t>
      </w:r>
      <w:r w:rsidRPr="00867463">
        <w:rPr>
          <w:b/>
          <w:bCs/>
        </w:rPr>
        <w:t>sono esclusi dall’obbligo di apposizione del visto di conformità</w:t>
      </w:r>
      <w:r w:rsidRPr="00EE6561">
        <w:t xml:space="preserve"> i </w:t>
      </w:r>
      <w:r w:rsidRPr="00867463">
        <w:rPr>
          <w:b/>
          <w:bCs/>
        </w:rPr>
        <w:t>crediti il cui presupposto non sia direttamente riconducibile alle imposte sui redditi e relative addizionali, quali i crediti aventi natura strettamente agevolativa</w:t>
      </w:r>
      <w:r w:rsidRPr="00EE6561">
        <w:t>.</w:t>
      </w:r>
    </w:p>
    <w:p w14:paraId="1D607771" w14:textId="77777777" w:rsidR="00765CBE" w:rsidRDefault="00765CBE" w:rsidP="00765CBE">
      <w:pPr>
        <w:spacing w:line="360" w:lineRule="auto"/>
        <w:jc w:val="both"/>
      </w:pPr>
      <w:r w:rsidRPr="00EE6561">
        <w:t xml:space="preserve">Alla luce dei predetti chiarimenti, l’utilizzo in compensazione del credito d’imposta per investimenti in beni strumentali nuovi per importi superiori al limite attualmente fissato a 5.000 euro </w:t>
      </w:r>
      <w:r w:rsidRPr="00867463">
        <w:rPr>
          <w:b/>
          <w:bCs/>
        </w:rPr>
        <w:t>non soggiace all’obbligo di apposizione del visto di conformità</w:t>
      </w:r>
      <w:r w:rsidRPr="00EE6561">
        <w:t xml:space="preserve"> sul modello di dichiarazione in cui il credito viene indicato, atteso che lo stesso </w:t>
      </w:r>
      <w:r w:rsidRPr="00DC0EEA">
        <w:rPr>
          <w:b/>
          <w:bCs/>
        </w:rPr>
        <w:t>non è direttamente riconducibile alle imposte sui redditi</w:t>
      </w:r>
      <w:r w:rsidRPr="00EE6561">
        <w:t xml:space="preserve">, ma ha </w:t>
      </w:r>
      <w:r w:rsidRPr="00867463">
        <w:rPr>
          <w:b/>
          <w:bCs/>
        </w:rPr>
        <w:t>natura strettamente agevolativa</w:t>
      </w:r>
      <w:r>
        <w:t xml:space="preserve"> (circolare 9/E del 23 luglio 2021, par. 5.5).</w:t>
      </w:r>
    </w:p>
    <w:p w14:paraId="18D2F090" w14:textId="77777777" w:rsidR="00765CBE" w:rsidRDefault="00765CBE" w:rsidP="00765CBE">
      <w:pPr>
        <w:spacing w:line="360" w:lineRule="auto"/>
        <w:jc w:val="both"/>
      </w:pPr>
    </w:p>
    <w:p w14:paraId="6F6374DD" w14:textId="5639FA74" w:rsidR="00765CBE" w:rsidRDefault="007B5579" w:rsidP="00765CBE">
      <w:pPr>
        <w:pStyle w:val="Titolo3"/>
      </w:pPr>
      <w:bookmarkStart w:id="78" w:name="_Toc90462765"/>
      <w:bookmarkStart w:id="79" w:name="_Toc93327735"/>
      <w:r>
        <w:t>6</w:t>
      </w:r>
      <w:r w:rsidR="00765CBE">
        <w:t>.1.3 Non applicazione limiti di compensazione</w:t>
      </w:r>
      <w:bookmarkEnd w:id="78"/>
      <w:bookmarkEnd w:id="79"/>
    </w:p>
    <w:p w14:paraId="55873719" w14:textId="77777777" w:rsidR="00765CBE" w:rsidRDefault="00765CBE" w:rsidP="0098442E">
      <w:pPr>
        <w:spacing w:line="360" w:lineRule="auto"/>
        <w:jc w:val="both"/>
      </w:pPr>
      <w:r w:rsidRPr="005330D6">
        <w:rPr>
          <w:b/>
          <w:bCs/>
        </w:rPr>
        <w:t>Non si applicano i limiti</w:t>
      </w:r>
      <w:r>
        <w:t xml:space="preserve"> di:</w:t>
      </w:r>
    </w:p>
    <w:p w14:paraId="3F599AD1" w14:textId="77777777" w:rsidR="00765CBE" w:rsidRDefault="00765CBE" w:rsidP="00AE49EC">
      <w:pPr>
        <w:pStyle w:val="Paragrafoelenco"/>
        <w:numPr>
          <w:ilvl w:val="0"/>
          <w:numId w:val="30"/>
        </w:numPr>
        <w:spacing w:line="360" w:lineRule="auto"/>
        <w:jc w:val="both"/>
      </w:pPr>
      <w:r w:rsidRPr="006A3891">
        <w:rPr>
          <w:b/>
          <w:bCs/>
        </w:rPr>
        <w:t>raggiungimento del plafond annuale di 250.000 euro</w:t>
      </w:r>
      <w:r>
        <w:t xml:space="preserve"> previsto per i crediti di imposta agevolativi (di cui all'articolo 1, comma 53, della legge 24 dicembre 2007, n. 244),</w:t>
      </w:r>
    </w:p>
    <w:p w14:paraId="6B950A82" w14:textId="77777777" w:rsidR="00765CBE" w:rsidRDefault="00765CBE" w:rsidP="00AE49EC">
      <w:pPr>
        <w:pStyle w:val="Paragrafoelenco"/>
        <w:numPr>
          <w:ilvl w:val="0"/>
          <w:numId w:val="30"/>
        </w:numPr>
        <w:spacing w:line="360" w:lineRule="auto"/>
        <w:jc w:val="both"/>
      </w:pPr>
      <w:r w:rsidRPr="006A3891">
        <w:rPr>
          <w:b/>
          <w:bCs/>
        </w:rPr>
        <w:t>soglia massima per le compensazioni orizzontali</w:t>
      </w:r>
      <w:r w:rsidRPr="006A3891">
        <w:t xml:space="preserve"> effettuabili in ciascun anno solare</w:t>
      </w:r>
      <w:r>
        <w:t xml:space="preserve"> (di cui all'articolo 34 della legge 23 dicembre 2000, n. 388</w:t>
      </w:r>
      <w:r w:rsidRPr="006A3891">
        <w:t>)</w:t>
      </w:r>
      <w:r>
        <w:t xml:space="preserve"> e</w:t>
      </w:r>
    </w:p>
    <w:p w14:paraId="4FC0FB1C" w14:textId="77777777" w:rsidR="00765CBE" w:rsidRDefault="00765CBE" w:rsidP="00AE49EC">
      <w:pPr>
        <w:pStyle w:val="Paragrafoelenco"/>
        <w:numPr>
          <w:ilvl w:val="0"/>
          <w:numId w:val="30"/>
        </w:numPr>
        <w:spacing w:line="360" w:lineRule="auto"/>
        <w:jc w:val="both"/>
      </w:pPr>
      <w:r w:rsidRPr="006A3891">
        <w:rPr>
          <w:b/>
          <w:bCs/>
        </w:rPr>
        <w:t>divieto di compensazione in presenza di debiti iscritti a ruolo</w:t>
      </w:r>
      <w:r>
        <w:t xml:space="preserve"> per imposte erariali per un ammontare superiore a 1.500 euro (di cui all'articolo 31 del decreto-legge 31 maggio 2010, n. 78, convertito, con modificazioni, dalla legge 30 luglio 2010, n. 122).</w:t>
      </w:r>
    </w:p>
    <w:p w14:paraId="396E51F1" w14:textId="77777777" w:rsidR="00765CBE" w:rsidRDefault="00765CBE" w:rsidP="00765CBE">
      <w:pPr>
        <w:spacing w:line="360" w:lineRule="auto"/>
      </w:pPr>
      <w:r>
        <w:t xml:space="preserve">Riportiamo di seguito, a titolo informativo, le regole relative ai </w:t>
      </w:r>
      <w:r w:rsidRPr="0098442E">
        <w:rPr>
          <w:b/>
          <w:bCs/>
        </w:rPr>
        <w:t>limiti della compensazione orizzontale</w:t>
      </w:r>
      <w:r>
        <w:t>.</w:t>
      </w:r>
    </w:p>
    <w:p w14:paraId="584A4C30" w14:textId="77777777" w:rsidR="00765CBE" w:rsidRDefault="00765CBE" w:rsidP="001D3F87">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564578">
        <w:rPr>
          <w:i/>
          <w:iCs/>
        </w:rPr>
        <w:t xml:space="preserve">A decorrere dal 1° gennaio 2001 il </w:t>
      </w:r>
      <w:r w:rsidRPr="00564578">
        <w:rPr>
          <w:b/>
          <w:bCs/>
          <w:i/>
          <w:iCs/>
        </w:rPr>
        <w:t>limite massimo dei crediti di</w:t>
      </w:r>
      <w:r w:rsidRPr="00B30A93">
        <w:rPr>
          <w:b/>
          <w:bCs/>
          <w:i/>
          <w:iCs/>
        </w:rPr>
        <w:t xml:space="preserve"> </w:t>
      </w:r>
      <w:r w:rsidRPr="00564578">
        <w:rPr>
          <w:b/>
          <w:bCs/>
          <w:i/>
          <w:iCs/>
        </w:rPr>
        <w:t>imposta e dei contributi compensabili</w:t>
      </w:r>
      <w:r w:rsidRPr="00564578">
        <w:rPr>
          <w:i/>
          <w:iCs/>
        </w:rPr>
        <w:t xml:space="preserve"> ai sensi dell'articolo 17 del</w:t>
      </w:r>
      <w:r w:rsidRPr="00FD3771">
        <w:rPr>
          <w:i/>
          <w:iCs/>
        </w:rPr>
        <w:t xml:space="preserve"> </w:t>
      </w:r>
      <w:r w:rsidRPr="00564578">
        <w:rPr>
          <w:i/>
          <w:iCs/>
        </w:rPr>
        <w:t>decreto legislativo 9 luglio 1997, n. 241, ovvero rimborsabili ai</w:t>
      </w:r>
      <w:r w:rsidRPr="00FD3771">
        <w:rPr>
          <w:i/>
          <w:iCs/>
        </w:rPr>
        <w:t xml:space="preserve"> </w:t>
      </w:r>
      <w:r w:rsidRPr="00564578">
        <w:rPr>
          <w:i/>
          <w:iCs/>
        </w:rPr>
        <w:t xml:space="preserve">soggetti intestatari di conto fiscale, </w:t>
      </w:r>
      <w:r w:rsidRPr="00FD3771">
        <w:rPr>
          <w:i/>
          <w:iCs/>
        </w:rPr>
        <w:t>è</w:t>
      </w:r>
      <w:r w:rsidRPr="00564578">
        <w:rPr>
          <w:i/>
          <w:iCs/>
        </w:rPr>
        <w:t xml:space="preserve"> </w:t>
      </w:r>
      <w:r w:rsidRPr="00564578">
        <w:rPr>
          <w:b/>
          <w:bCs/>
          <w:i/>
          <w:iCs/>
        </w:rPr>
        <w:t>fissato in lire 1 miliardo</w:t>
      </w:r>
      <w:r w:rsidRPr="00B30A93">
        <w:rPr>
          <w:b/>
          <w:bCs/>
          <w:i/>
          <w:iCs/>
        </w:rPr>
        <w:t xml:space="preserve"> </w:t>
      </w:r>
      <w:r w:rsidRPr="00564578">
        <w:rPr>
          <w:b/>
          <w:bCs/>
          <w:i/>
          <w:iCs/>
        </w:rPr>
        <w:t>per ciascun anno solare</w:t>
      </w:r>
      <w:r w:rsidRPr="00564578">
        <w:rPr>
          <w:i/>
          <w:iCs/>
        </w:rPr>
        <w:t>. Tenendo conto delle esigenze di bilancio,</w:t>
      </w:r>
      <w:r w:rsidRPr="00FD3771">
        <w:rPr>
          <w:i/>
          <w:iCs/>
        </w:rPr>
        <w:t xml:space="preserve"> </w:t>
      </w:r>
      <w:r w:rsidRPr="00564578">
        <w:rPr>
          <w:i/>
          <w:iCs/>
        </w:rPr>
        <w:t>con decreto del Ministro dell'economia e delle finanze, il limite di</w:t>
      </w:r>
      <w:r w:rsidRPr="00FD3771">
        <w:rPr>
          <w:i/>
          <w:iCs/>
        </w:rPr>
        <w:t xml:space="preserve"> </w:t>
      </w:r>
      <w:r w:rsidRPr="00564578">
        <w:rPr>
          <w:i/>
          <w:iCs/>
        </w:rPr>
        <w:t xml:space="preserve">cui al periodo precedente </w:t>
      </w:r>
      <w:r w:rsidRPr="00FD3771">
        <w:rPr>
          <w:i/>
          <w:iCs/>
        </w:rPr>
        <w:t>può</w:t>
      </w:r>
      <w:r w:rsidRPr="00564578">
        <w:rPr>
          <w:i/>
          <w:iCs/>
        </w:rPr>
        <w:t xml:space="preserve"> essere elevato, a decorrere dal 1°</w:t>
      </w:r>
      <w:r w:rsidRPr="00FD3771">
        <w:rPr>
          <w:i/>
          <w:iCs/>
        </w:rPr>
        <w:t xml:space="preserve"> </w:t>
      </w:r>
      <w:r w:rsidRPr="00564578">
        <w:rPr>
          <w:i/>
          <w:iCs/>
        </w:rPr>
        <w:t>gennaio 2010, fino a 700.000 euro.</w:t>
      </w:r>
      <w:r>
        <w:rPr>
          <w:i/>
          <w:iCs/>
        </w:rPr>
        <w:t xml:space="preserve"> - </w:t>
      </w:r>
      <w:r w:rsidRPr="00564578">
        <w:t>Art</w:t>
      </w:r>
      <w:r>
        <w:t>icolo</w:t>
      </w:r>
      <w:r w:rsidRPr="00564578">
        <w:t xml:space="preserve"> 34</w:t>
      </w:r>
      <w:r>
        <w:t>, primo comma, legge n. 388 del 23 dicembre 2000</w:t>
      </w:r>
    </w:p>
    <w:p w14:paraId="3559ABC6" w14:textId="77777777" w:rsidR="00765CBE" w:rsidRPr="00564578" w:rsidRDefault="00765CBE" w:rsidP="001D3F87">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FD3771">
        <w:rPr>
          <w:i/>
          <w:iCs/>
        </w:rPr>
        <w:t xml:space="preserve">Per i </w:t>
      </w:r>
      <w:r w:rsidRPr="00FD3771">
        <w:rPr>
          <w:b/>
          <w:bCs/>
          <w:i/>
          <w:iCs/>
        </w:rPr>
        <w:t>soggetti subappaltatori</w:t>
      </w:r>
      <w:r w:rsidRPr="00FD3771">
        <w:rPr>
          <w:i/>
          <w:iCs/>
        </w:rPr>
        <w:t xml:space="preserve"> ai quali si applica l'articolo 17,</w:t>
      </w:r>
      <w:r w:rsidRPr="00D718F6">
        <w:rPr>
          <w:i/>
          <w:iCs/>
        </w:rPr>
        <w:t xml:space="preserve"> </w:t>
      </w:r>
      <w:r w:rsidRPr="00FD3771">
        <w:rPr>
          <w:i/>
          <w:iCs/>
        </w:rPr>
        <w:t>sesto comma, del decreto del Presidente della Repubblica 26 ottobre</w:t>
      </w:r>
      <w:r w:rsidRPr="00D718F6">
        <w:rPr>
          <w:i/>
          <w:iCs/>
        </w:rPr>
        <w:t xml:space="preserve"> </w:t>
      </w:r>
      <w:r w:rsidRPr="00FD3771">
        <w:rPr>
          <w:i/>
          <w:iCs/>
        </w:rPr>
        <w:t>1972, n. 633, resta ferma la possibilit</w:t>
      </w:r>
      <w:r w:rsidRPr="00D718F6">
        <w:rPr>
          <w:i/>
          <w:iCs/>
        </w:rPr>
        <w:t>à</w:t>
      </w:r>
      <w:r w:rsidRPr="00FD3771">
        <w:rPr>
          <w:i/>
          <w:iCs/>
        </w:rPr>
        <w:t xml:space="preserve"> di effettuare la</w:t>
      </w:r>
      <w:r w:rsidRPr="00D718F6">
        <w:rPr>
          <w:i/>
          <w:iCs/>
        </w:rPr>
        <w:t xml:space="preserve"> </w:t>
      </w:r>
      <w:r w:rsidRPr="00FD3771">
        <w:rPr>
          <w:i/>
          <w:iCs/>
        </w:rPr>
        <w:t xml:space="preserve">compensazione infrannuale ai </w:t>
      </w:r>
      <w:r w:rsidRPr="00FD3771">
        <w:rPr>
          <w:i/>
          <w:iCs/>
        </w:rPr>
        <w:lastRenderedPageBreak/>
        <w:t>sensi dell'articolo 8, comma 3, del</w:t>
      </w:r>
      <w:r w:rsidRPr="00D718F6">
        <w:rPr>
          <w:i/>
          <w:iCs/>
        </w:rPr>
        <w:t xml:space="preserve"> </w:t>
      </w:r>
      <w:r w:rsidRPr="00FD3771">
        <w:rPr>
          <w:i/>
          <w:iCs/>
        </w:rPr>
        <w:t>regolamento di cui al decreto del Presidente della Repubblica 14</w:t>
      </w:r>
      <w:r w:rsidRPr="00D718F6">
        <w:rPr>
          <w:i/>
          <w:iCs/>
        </w:rPr>
        <w:t xml:space="preserve"> </w:t>
      </w:r>
      <w:r w:rsidRPr="00FD3771">
        <w:rPr>
          <w:i/>
          <w:iCs/>
        </w:rPr>
        <w:t>ottobre 1999, n. 542, e successive modificazioni. Qualora il volume</w:t>
      </w:r>
      <w:r w:rsidRPr="00D718F6">
        <w:rPr>
          <w:i/>
          <w:iCs/>
        </w:rPr>
        <w:t xml:space="preserve"> </w:t>
      </w:r>
      <w:r w:rsidRPr="00FD3771">
        <w:rPr>
          <w:i/>
          <w:iCs/>
        </w:rPr>
        <w:t>di affari registrato dai predetti soggetti nell'anno precedente sia</w:t>
      </w:r>
      <w:r w:rsidRPr="00D718F6">
        <w:rPr>
          <w:i/>
          <w:iCs/>
        </w:rPr>
        <w:t xml:space="preserve"> </w:t>
      </w:r>
      <w:r w:rsidRPr="00FD3771">
        <w:rPr>
          <w:i/>
          <w:iCs/>
        </w:rPr>
        <w:t>costituito per almeno l'80 per cento da prestazioni rese in</w:t>
      </w:r>
      <w:r w:rsidRPr="00D718F6">
        <w:rPr>
          <w:i/>
          <w:iCs/>
        </w:rPr>
        <w:t xml:space="preserve"> </w:t>
      </w:r>
      <w:r w:rsidRPr="00FD3771">
        <w:rPr>
          <w:i/>
          <w:iCs/>
        </w:rPr>
        <w:t>esecuzione di contratti di subappalto, il limite di cui all'articolo</w:t>
      </w:r>
      <w:r w:rsidRPr="00D718F6">
        <w:rPr>
          <w:i/>
          <w:iCs/>
        </w:rPr>
        <w:t xml:space="preserve"> </w:t>
      </w:r>
      <w:r w:rsidRPr="00FD3771">
        <w:rPr>
          <w:i/>
          <w:iCs/>
        </w:rPr>
        <w:t xml:space="preserve">34, comma 1, della legge 23 dicembre 2000, n. 388, </w:t>
      </w:r>
      <w:r w:rsidRPr="00A6692C">
        <w:rPr>
          <w:b/>
          <w:bCs/>
          <w:i/>
          <w:iCs/>
        </w:rPr>
        <w:t>è</w:t>
      </w:r>
      <w:r w:rsidRPr="00FD3771">
        <w:rPr>
          <w:b/>
          <w:bCs/>
          <w:i/>
          <w:iCs/>
        </w:rPr>
        <w:t xml:space="preserve"> elevato a</w:t>
      </w:r>
      <w:r w:rsidRPr="00A6692C">
        <w:rPr>
          <w:b/>
          <w:bCs/>
          <w:i/>
          <w:iCs/>
        </w:rPr>
        <w:t xml:space="preserve"> </w:t>
      </w:r>
      <w:r w:rsidRPr="00FD3771">
        <w:rPr>
          <w:b/>
          <w:bCs/>
          <w:i/>
          <w:iCs/>
        </w:rPr>
        <w:t>1.000.000 di euro</w:t>
      </w:r>
      <w:r w:rsidRPr="00FD3771">
        <w:rPr>
          <w:i/>
          <w:iCs/>
        </w:rPr>
        <w:t>.</w:t>
      </w:r>
      <w:r>
        <w:rPr>
          <w:i/>
          <w:iCs/>
        </w:rPr>
        <w:t xml:space="preserve"> - </w:t>
      </w:r>
      <w:r>
        <w:t xml:space="preserve">Articolo </w:t>
      </w:r>
      <w:r w:rsidRPr="00FD3771">
        <w:t>35, comma 6-ter)</w:t>
      </w:r>
      <w:r>
        <w:t xml:space="preserve">, </w:t>
      </w:r>
      <w:r w:rsidRPr="00FD3771">
        <w:t xml:space="preserve">D.L. </w:t>
      </w:r>
      <w:r>
        <w:t xml:space="preserve">n. 223 del </w:t>
      </w:r>
      <w:r w:rsidRPr="00FD3771">
        <w:t>4 luglio 2006, convertito con modificazioni dalla</w:t>
      </w:r>
      <w:r>
        <w:t xml:space="preserve"> </w:t>
      </w:r>
      <w:r w:rsidRPr="00FD3771">
        <w:t xml:space="preserve">L. </w:t>
      </w:r>
      <w:r>
        <w:t>248/2006.</w:t>
      </w:r>
    </w:p>
    <w:p w14:paraId="4C1F98B4" w14:textId="77777777" w:rsidR="00765CBE" w:rsidRPr="00D718F6" w:rsidRDefault="00765CBE" w:rsidP="001D3F87">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D718F6">
        <w:rPr>
          <w:i/>
          <w:iCs/>
        </w:rPr>
        <w:t>A</w:t>
      </w:r>
      <w:r w:rsidRPr="00B30A93">
        <w:rPr>
          <w:i/>
          <w:iCs/>
        </w:rPr>
        <w:t xml:space="preserve"> </w:t>
      </w:r>
      <w:r w:rsidRPr="00D718F6">
        <w:rPr>
          <w:i/>
          <w:iCs/>
        </w:rPr>
        <w:t>decorrere dall'anno 2014, il limite di 516.000 euro previsto</w:t>
      </w:r>
      <w:r w:rsidRPr="00B30A93">
        <w:rPr>
          <w:i/>
          <w:iCs/>
        </w:rPr>
        <w:t xml:space="preserve"> </w:t>
      </w:r>
      <w:r w:rsidRPr="00D718F6">
        <w:rPr>
          <w:i/>
          <w:iCs/>
        </w:rPr>
        <w:t xml:space="preserve">dall'articolo 34, comma 1, della legge 23 dicembre 2000, n. 388 </w:t>
      </w:r>
      <w:r w:rsidRPr="00B30A93">
        <w:rPr>
          <w:i/>
          <w:iCs/>
        </w:rPr>
        <w:t xml:space="preserve">è </w:t>
      </w:r>
      <w:r w:rsidRPr="00D718F6">
        <w:rPr>
          <w:b/>
          <w:bCs/>
          <w:i/>
          <w:iCs/>
        </w:rPr>
        <w:t>aumentato a 700.000 euro</w:t>
      </w:r>
      <w:r w:rsidRPr="00D718F6">
        <w:rPr>
          <w:i/>
          <w:iCs/>
        </w:rPr>
        <w:t>.</w:t>
      </w:r>
      <w:r>
        <w:rPr>
          <w:i/>
          <w:iCs/>
        </w:rPr>
        <w:t xml:space="preserve"> - </w:t>
      </w:r>
      <w:r>
        <w:t xml:space="preserve">Articolo 9, secondo comma, </w:t>
      </w:r>
      <w:r w:rsidRPr="00D718F6">
        <w:t xml:space="preserve">D.L. </w:t>
      </w:r>
      <w:r>
        <w:t xml:space="preserve">n. 35 del </w:t>
      </w:r>
      <w:r w:rsidRPr="00D718F6">
        <w:t>8 aprile 2013, convertito con modificazioni dalla L.</w:t>
      </w:r>
      <w:r>
        <w:t xml:space="preserve"> n. 64 del </w:t>
      </w:r>
      <w:r w:rsidRPr="00D718F6">
        <w:t>6 giugno 2013</w:t>
      </w:r>
    </w:p>
    <w:p w14:paraId="7332200F" w14:textId="77777777" w:rsidR="00765CBE" w:rsidRDefault="00765CBE" w:rsidP="001D3F87">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B30A93">
        <w:rPr>
          <w:b/>
          <w:bCs/>
          <w:i/>
          <w:iCs/>
        </w:rPr>
        <w:t>Per l'anno 2020</w:t>
      </w:r>
      <w:r w:rsidRPr="00B30A93">
        <w:rPr>
          <w:i/>
          <w:iCs/>
        </w:rPr>
        <w:t xml:space="preserve">, il limite previsto dall'articolo 34, comma 1, primo periodo, della legge 23 dicembre 2000, n. 388 </w:t>
      </w:r>
      <w:r w:rsidRPr="00A6692C">
        <w:rPr>
          <w:b/>
          <w:bCs/>
          <w:i/>
          <w:iCs/>
        </w:rPr>
        <w:t>è</w:t>
      </w:r>
      <w:r w:rsidRPr="00B30A93">
        <w:rPr>
          <w:b/>
          <w:bCs/>
          <w:i/>
          <w:iCs/>
        </w:rPr>
        <w:t xml:space="preserve"> elevato a 1</w:t>
      </w:r>
      <w:r w:rsidRPr="00A6692C">
        <w:rPr>
          <w:b/>
          <w:bCs/>
          <w:i/>
          <w:iCs/>
        </w:rPr>
        <w:t xml:space="preserve"> </w:t>
      </w:r>
      <w:r w:rsidRPr="00B30A93">
        <w:rPr>
          <w:b/>
          <w:bCs/>
          <w:i/>
          <w:iCs/>
        </w:rPr>
        <w:t>milione di euro</w:t>
      </w:r>
      <w:r w:rsidRPr="00B30A93">
        <w:rPr>
          <w:i/>
          <w:iCs/>
        </w:rPr>
        <w:t>.</w:t>
      </w:r>
      <w:r>
        <w:rPr>
          <w:i/>
          <w:iCs/>
        </w:rPr>
        <w:t xml:space="preserve"> - </w:t>
      </w:r>
      <w:r>
        <w:t xml:space="preserve">Articolo 177, primo comma, </w:t>
      </w:r>
      <w:r w:rsidRPr="00B30A93">
        <w:t xml:space="preserve">D.L. </w:t>
      </w:r>
      <w:r>
        <w:t xml:space="preserve">n. 354 del </w:t>
      </w:r>
      <w:r w:rsidRPr="00B30A93">
        <w:t>19 maggio 2020</w:t>
      </w:r>
    </w:p>
    <w:p w14:paraId="6504C427" w14:textId="77777777" w:rsidR="00765CBE" w:rsidRPr="00B30A93" w:rsidRDefault="00765CBE" w:rsidP="001D3F87">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B30A93">
        <w:rPr>
          <w:b/>
          <w:bCs/>
          <w:i/>
          <w:iCs/>
        </w:rPr>
        <w:t>Per l'anno 2021</w:t>
      </w:r>
      <w:r w:rsidRPr="00B30A93">
        <w:rPr>
          <w:i/>
          <w:iCs/>
        </w:rPr>
        <w:t xml:space="preserve">, il limite previsto dall'articolo 34, comma 1, primo periodo, della legge 23 dicembre 2000, n. 388, </w:t>
      </w:r>
      <w:r w:rsidRPr="00A6692C">
        <w:rPr>
          <w:b/>
          <w:bCs/>
          <w:i/>
          <w:iCs/>
        </w:rPr>
        <w:t>è</w:t>
      </w:r>
      <w:r w:rsidRPr="00B30A93">
        <w:rPr>
          <w:b/>
          <w:bCs/>
          <w:i/>
          <w:iCs/>
        </w:rPr>
        <w:t xml:space="preserve"> elevato a 2</w:t>
      </w:r>
      <w:r w:rsidRPr="00A6692C">
        <w:rPr>
          <w:b/>
          <w:bCs/>
          <w:i/>
          <w:iCs/>
        </w:rPr>
        <w:t xml:space="preserve"> </w:t>
      </w:r>
      <w:r w:rsidRPr="00B30A93">
        <w:rPr>
          <w:b/>
          <w:bCs/>
          <w:i/>
          <w:iCs/>
        </w:rPr>
        <w:t>milioni di euro</w:t>
      </w:r>
      <w:r w:rsidRPr="00B30A93">
        <w:rPr>
          <w:i/>
          <w:iCs/>
        </w:rPr>
        <w:t>.</w:t>
      </w:r>
      <w:r>
        <w:rPr>
          <w:i/>
          <w:iCs/>
        </w:rPr>
        <w:t xml:space="preserve"> - </w:t>
      </w:r>
      <w:r>
        <w:t xml:space="preserve">Articolo 22, primo comma, </w:t>
      </w:r>
      <w:r w:rsidRPr="00B30A93">
        <w:t xml:space="preserve">D.L. </w:t>
      </w:r>
      <w:r>
        <w:t xml:space="preserve">n. 73 del </w:t>
      </w:r>
      <w:r w:rsidRPr="00B30A93">
        <w:t>25 maggio 2021</w:t>
      </w:r>
    </w:p>
    <w:p w14:paraId="6E423632" w14:textId="77777777" w:rsidR="007F356B" w:rsidRDefault="007F356B" w:rsidP="00B95D74">
      <w:pPr>
        <w:spacing w:line="360" w:lineRule="auto"/>
        <w:ind w:left="2124"/>
        <w:jc w:val="both"/>
      </w:pPr>
    </w:p>
    <w:p w14:paraId="0884CF97" w14:textId="2718675E" w:rsidR="00B95D74" w:rsidRDefault="00332DA6" w:rsidP="00B95D74">
      <w:pPr>
        <w:spacing w:line="360" w:lineRule="auto"/>
        <w:ind w:left="2124"/>
        <w:jc w:val="both"/>
      </w:pPr>
      <w:r w:rsidRPr="007F356B">
        <w:rPr>
          <w:noProof/>
        </w:rPr>
        <w:drawing>
          <wp:anchor distT="0" distB="0" distL="114300" distR="114300" simplePos="0" relativeHeight="251808256" behindDoc="0" locked="0" layoutInCell="1" allowOverlap="1" wp14:anchorId="6A1C7F29" wp14:editId="31C5F793">
            <wp:simplePos x="0" y="0"/>
            <wp:positionH relativeFrom="column">
              <wp:posOffset>186690</wp:posOffset>
            </wp:positionH>
            <wp:positionV relativeFrom="paragraph">
              <wp:posOffset>581</wp:posOffset>
            </wp:positionV>
            <wp:extent cx="914400" cy="914400"/>
            <wp:effectExtent l="0" t="0" r="0" b="0"/>
            <wp:wrapSquare wrapText="bothSides"/>
            <wp:docPr id="38" name="Elemento grafico 38"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4D7D62" w:rsidRPr="007F356B">
        <w:t xml:space="preserve">La </w:t>
      </w:r>
      <w:r w:rsidR="004D7D62" w:rsidRPr="007F356B">
        <w:rPr>
          <w:b/>
          <w:bCs/>
        </w:rPr>
        <w:t>legge</w:t>
      </w:r>
      <w:r w:rsidR="004D7D62" w:rsidRPr="007F356B">
        <w:t xml:space="preserve"> </w:t>
      </w:r>
      <w:r w:rsidR="004D7D62" w:rsidRPr="007F356B">
        <w:rPr>
          <w:b/>
          <w:bCs/>
        </w:rPr>
        <w:t>di</w:t>
      </w:r>
      <w:r w:rsidR="00F24AA6" w:rsidRPr="007F356B">
        <w:t xml:space="preserve"> </w:t>
      </w:r>
      <w:r w:rsidR="00F24AA6" w:rsidRPr="007F356B">
        <w:rPr>
          <w:b/>
          <w:bCs/>
        </w:rPr>
        <w:t>Bilancio</w:t>
      </w:r>
      <w:r w:rsidR="00F24AA6" w:rsidRPr="007F356B">
        <w:t xml:space="preserve"> </w:t>
      </w:r>
      <w:r w:rsidR="00F24AA6" w:rsidRPr="007F356B">
        <w:rPr>
          <w:b/>
          <w:bCs/>
        </w:rPr>
        <w:t>2022</w:t>
      </w:r>
      <w:r w:rsidR="00F24AA6" w:rsidRPr="007F356B">
        <w:t xml:space="preserve"> </w:t>
      </w:r>
      <w:r w:rsidR="004D7D62" w:rsidRPr="007F356B">
        <w:t xml:space="preserve">(articolo 1, comma </w:t>
      </w:r>
      <w:r w:rsidR="00A63D8C" w:rsidRPr="007F356B">
        <w:t xml:space="preserve">72, Legge 30 dicembre 2021, n. 234) </w:t>
      </w:r>
      <w:r w:rsidR="00A63D8C">
        <w:t xml:space="preserve">dispone </w:t>
      </w:r>
      <w:r w:rsidR="00F24AA6" w:rsidRPr="00F24AA6">
        <w:t xml:space="preserve">che </w:t>
      </w:r>
      <w:r w:rsidR="00F24AA6" w:rsidRPr="004B01A4">
        <w:rPr>
          <w:b/>
          <w:bCs/>
        </w:rPr>
        <w:t>a decorrere dal 1° gennaio 2022</w:t>
      </w:r>
      <w:r w:rsidR="00F24AA6" w:rsidRPr="00F24AA6">
        <w:t xml:space="preserve">, il limite previsto dall'articolo 34, comma 1, primo periodo, della legge 23 dicembre 2000, n. 388, </w:t>
      </w:r>
      <w:r w:rsidR="00A63D8C">
        <w:t>è</w:t>
      </w:r>
      <w:r w:rsidR="00F24AA6" w:rsidRPr="00F24AA6">
        <w:t xml:space="preserve"> </w:t>
      </w:r>
      <w:r w:rsidR="00F24AA6" w:rsidRPr="00F24AA6">
        <w:rPr>
          <w:b/>
          <w:bCs/>
        </w:rPr>
        <w:t xml:space="preserve">elevato </w:t>
      </w:r>
      <w:r w:rsidR="004B01A4">
        <w:rPr>
          <w:b/>
          <w:bCs/>
        </w:rPr>
        <w:t xml:space="preserve">“a regime” </w:t>
      </w:r>
      <w:r w:rsidR="00F24AA6" w:rsidRPr="00F24AA6">
        <w:rPr>
          <w:b/>
          <w:bCs/>
        </w:rPr>
        <w:t>a 2 milioni di euro</w:t>
      </w:r>
      <w:r w:rsidR="00F24AA6" w:rsidRPr="00F24AA6">
        <w:t>.</w:t>
      </w:r>
    </w:p>
    <w:p w14:paraId="0E3E1774" w14:textId="77777777" w:rsidR="00765CBE" w:rsidRDefault="00765CBE" w:rsidP="00765CBE">
      <w:pPr>
        <w:spacing w:line="360" w:lineRule="auto"/>
      </w:pPr>
    </w:p>
    <w:p w14:paraId="7F166D9E" w14:textId="5D638E27" w:rsidR="00765CBE" w:rsidRDefault="007B5579" w:rsidP="00765CBE">
      <w:pPr>
        <w:pStyle w:val="Titolo3"/>
      </w:pPr>
      <w:bookmarkStart w:id="80" w:name="_Toc90462766"/>
      <w:bookmarkStart w:id="81" w:name="_Toc93327736"/>
      <w:r>
        <w:t>6</w:t>
      </w:r>
      <w:r w:rsidR="00765CBE">
        <w:t xml:space="preserve">.1.4 </w:t>
      </w:r>
      <w:r w:rsidR="00765CBE" w:rsidRPr="00C20063">
        <w:t>Trasferimento credito di imposta per operazioni straordinarie</w:t>
      </w:r>
      <w:bookmarkEnd w:id="80"/>
      <w:bookmarkEnd w:id="81"/>
    </w:p>
    <w:p w14:paraId="1A78343F" w14:textId="04140F1B" w:rsidR="00765CBE" w:rsidRDefault="00765CBE" w:rsidP="00765CBE">
      <w:pPr>
        <w:spacing w:line="360" w:lineRule="auto"/>
        <w:jc w:val="both"/>
      </w:pPr>
      <w:r>
        <w:t>L</w:t>
      </w:r>
      <w:r w:rsidRPr="00E7486A">
        <w:t xml:space="preserve">’Amministrazione finanziaria, in varie occasioni, ha avuto modo di affermare la </w:t>
      </w:r>
      <w:r w:rsidRPr="00F321E8">
        <w:rPr>
          <w:b/>
          <w:bCs/>
        </w:rPr>
        <w:t>non trasferibilità dei crediti</w:t>
      </w:r>
      <w:r w:rsidRPr="00E7486A">
        <w:t xml:space="preserve"> d’imposta di natura similare a quello in argomento in forza della </w:t>
      </w:r>
      <w:r w:rsidRPr="0047766B">
        <w:rPr>
          <w:b/>
          <w:bCs/>
        </w:rPr>
        <w:t>natura soggettiva dei medesimi</w:t>
      </w:r>
      <w:r w:rsidRPr="00E7486A">
        <w:t xml:space="preserve">: </w:t>
      </w:r>
      <w:r w:rsidR="0047766B" w:rsidRPr="00E7486A">
        <w:t>essi, infatti,</w:t>
      </w:r>
      <w:r w:rsidRPr="00E7486A">
        <w:t xml:space="preserve"> maturano esclusivamente in capo ai soggetti che effettuano l’investimento e </w:t>
      </w:r>
      <w:r w:rsidRPr="003D6694">
        <w:rPr>
          <w:b/>
          <w:bCs/>
        </w:rPr>
        <w:t>non possono essere trasferiti a soggetti terzi per effetto di atti realizzativi</w:t>
      </w:r>
      <w:r w:rsidRPr="00E7486A">
        <w:t>.</w:t>
      </w:r>
    </w:p>
    <w:p w14:paraId="10791374" w14:textId="77777777" w:rsidR="00765CBE" w:rsidRDefault="00765CBE" w:rsidP="00765CBE">
      <w:pPr>
        <w:spacing w:line="360" w:lineRule="auto"/>
        <w:jc w:val="both"/>
      </w:pPr>
      <w:r w:rsidRPr="00E7486A">
        <w:t xml:space="preserve">Il trasferimento della titolarità è, infatti, ammissibile unicamente nei casi in cui specifiche norme giuridiche prevedono, al verificarsi dell’operazione, una </w:t>
      </w:r>
      <w:r w:rsidRPr="003D6694">
        <w:rPr>
          <w:b/>
          <w:bCs/>
        </w:rPr>
        <w:t>confusione di diritti e obblighi dei diversi soggetti giuridici interessati</w:t>
      </w:r>
      <w:r w:rsidRPr="00E7486A">
        <w:t xml:space="preserve">; ad esempio, nei casi di </w:t>
      </w:r>
      <w:r w:rsidRPr="003D6694">
        <w:rPr>
          <w:b/>
          <w:bCs/>
        </w:rPr>
        <w:t>fusione</w:t>
      </w:r>
      <w:r w:rsidRPr="00E7486A">
        <w:t xml:space="preserve"> (cfr. circolare n. 38/E del 9 maggio 2002), </w:t>
      </w:r>
      <w:r w:rsidRPr="003D6694">
        <w:rPr>
          <w:b/>
          <w:bCs/>
        </w:rPr>
        <w:t>successione per decesso dell’imprenditore individuale</w:t>
      </w:r>
      <w:r w:rsidRPr="00E7486A">
        <w:t xml:space="preserve"> (cfr. risoluzione n. 140/E del 26 giugno 2003), </w:t>
      </w:r>
      <w:r w:rsidRPr="003D6694">
        <w:rPr>
          <w:b/>
          <w:bCs/>
        </w:rPr>
        <w:t xml:space="preserve">scissione </w:t>
      </w:r>
      <w:r w:rsidRPr="00E7486A">
        <w:t xml:space="preserve">(cfr. risoluzione n. 143/E del 30 giugno 2003). Ugualmente i crediti di tal natura possono essere trasferiti nell’ambito della </w:t>
      </w:r>
      <w:r w:rsidRPr="003D6694">
        <w:rPr>
          <w:b/>
          <w:bCs/>
        </w:rPr>
        <w:t>cessione del ramo d’azienda che lo ha generato</w:t>
      </w:r>
      <w:r w:rsidRPr="00E7486A">
        <w:t xml:space="preserve"> (cfr. risposta a istanza di interpello n. 72 dell’8 marzo 2019).</w:t>
      </w:r>
    </w:p>
    <w:p w14:paraId="0FEC1652" w14:textId="77777777" w:rsidR="00765CBE" w:rsidRDefault="00765CBE" w:rsidP="00765CBE">
      <w:pPr>
        <w:spacing w:line="360" w:lineRule="auto"/>
        <w:jc w:val="both"/>
      </w:pPr>
      <w:r w:rsidRPr="00E7486A">
        <w:lastRenderedPageBreak/>
        <w:t xml:space="preserve">Inoltre, nella circolare n. 8/E del 10 aprile 2019, emanata a commento del </w:t>
      </w:r>
      <w:r w:rsidRPr="00BB3D56">
        <w:rPr>
          <w:b/>
          <w:bCs/>
        </w:rPr>
        <w:t>meccanismo di recapture</w:t>
      </w:r>
      <w:r w:rsidRPr="00E7486A">
        <w:t xml:space="preserve"> nell’ambito della disciplina dell’iper ammortamento di cui all’articolo 7, comma 2, del decreto-legge 12 luglio 2018, n. 87, convertito, con modificazioni, dalla legge 9 agosto 2018, n. 96 (c.d. decreto dignità), che si attiva nelle ipotesi assimilabili a quelle del presente credito d’imposta, ossia quando i beni agevolati sono “ceduti a titolo oneroso o destinati a strutture produttive situate all’estero, anche se appartenenti alla stessa impresa”, è stato precisato che: “la fattispecie della </w:t>
      </w:r>
      <w:r w:rsidRPr="00900663">
        <w:rPr>
          <w:b/>
          <w:bCs/>
        </w:rPr>
        <w:t>cessione del singolo bene debba essere separata dalla diversa ipotesi</w:t>
      </w:r>
      <w:r w:rsidRPr="00E7486A">
        <w:t xml:space="preserve"> </w:t>
      </w:r>
      <w:r w:rsidRPr="00F321E8">
        <w:rPr>
          <w:b/>
          <w:bCs/>
        </w:rPr>
        <w:t>del trasferimento del bene agevolato</w:t>
      </w:r>
      <w:r w:rsidRPr="00E7486A">
        <w:t xml:space="preserve"> </w:t>
      </w:r>
      <w:r w:rsidRPr="00F321E8">
        <w:rPr>
          <w:b/>
          <w:bCs/>
        </w:rPr>
        <w:t>all’interno di un compendio aziendale oggetto di un’operazione straordinaria</w:t>
      </w:r>
      <w:r w:rsidRPr="00E7486A">
        <w:t xml:space="preserve"> (indipendentemente dal fatto che questa sia fiscalmente neutrale o realizzativa). In quest'ultima ipotesi, infatti, il trasferimento del bene nell'ambito di un'azienda o di un ramo d'azienda, diversamente dall'ipotesi del trasferimento del singolo cespite, non vanifica la finalità sottesa alle disposizioni agevolative: in tal caso, infatti, l’azienda mantiene, sotto il profilo tecnologico e digitale, sempre lo stesso livello “qualitativo”. In altre parole, i beni agevolati e l'azienda in cui essi sono inseriti continuano ad essere utilizzati come un complesso unitario, tecnologicamente trasformato, in coerenza con la ratio della norma agevolativa. Pertanto, il </w:t>
      </w:r>
      <w:r w:rsidRPr="00900663">
        <w:rPr>
          <w:b/>
          <w:bCs/>
        </w:rPr>
        <w:t>mutamento della titolarità di un'azienda (o di un ramo d'azienda)</w:t>
      </w:r>
      <w:r w:rsidRPr="00E7486A">
        <w:t xml:space="preserve"> che contiene uno o più beni agevolati non comporta il venir meno dell’iper ammortamento, la cui fruizione continuerà, in capo all'avente causa, secondo le regole, i costi e la dinamica temporale originariamente determinati in capo al dante causa, </w:t>
      </w:r>
      <w:r w:rsidRPr="00F321E8">
        <w:rPr>
          <w:b/>
          <w:bCs/>
        </w:rPr>
        <w:t>indipendentemente dal sopravvenuto cambiamento di proprietà del complesso aziendale</w:t>
      </w:r>
      <w:r w:rsidRPr="00E7486A">
        <w:t>”.</w:t>
      </w:r>
    </w:p>
    <w:p w14:paraId="0C9E103D" w14:textId="2070EB29" w:rsidR="00765CBE" w:rsidRDefault="00765CBE" w:rsidP="0047766B">
      <w:pPr>
        <w:spacing w:line="360" w:lineRule="auto"/>
        <w:jc w:val="both"/>
      </w:pPr>
      <w:r w:rsidRPr="00E7486A">
        <w:t xml:space="preserve">Ciò rilevato, si ritiene che anche al credito d’imposta in esame si applichi il principio desumibile dai citati documenti di prassi, ovverosia che, </w:t>
      </w:r>
      <w:r w:rsidRPr="00F321E8">
        <w:rPr>
          <w:b/>
          <w:bCs/>
        </w:rPr>
        <w:t>in presenza di operazioni straordinarie</w:t>
      </w:r>
      <w:r w:rsidRPr="00E7486A">
        <w:t xml:space="preserve">, caratterizzate dalla veicolazione dell’azienda o di un ramo d’azienda nel cui ambito è rinvenibile il bene agevolato da cui origina il credito d’imposta, </w:t>
      </w:r>
      <w:r w:rsidRPr="00900663">
        <w:rPr>
          <w:b/>
          <w:bCs/>
        </w:rPr>
        <w:t>l’avente causa continuerà a fruire del credito d’imposta maturato in capo al dante causa</w:t>
      </w:r>
      <w:r w:rsidRPr="00E7486A">
        <w:t>, secondo le regole originariamente determinate in capo a quest’ultimo, indipendentemente dal sopravvenuto cambiamento di proprietà del complesso aziendale</w:t>
      </w:r>
      <w:r>
        <w:t xml:space="preserve"> </w:t>
      </w:r>
      <w:r w:rsidRPr="003C4704">
        <w:t>(circolare 9/E 23 luglio 2021, par. 5.6.1)</w:t>
      </w:r>
      <w:r>
        <w:t>.</w:t>
      </w:r>
    </w:p>
    <w:p w14:paraId="01492C98" w14:textId="77777777" w:rsidR="00332DA6" w:rsidRDefault="00332DA6" w:rsidP="00765CBE">
      <w:pPr>
        <w:pStyle w:val="Titolo2"/>
      </w:pPr>
      <w:bookmarkStart w:id="82" w:name="_Toc90462767"/>
    </w:p>
    <w:p w14:paraId="26E1AD42" w14:textId="4F516980" w:rsidR="00765CBE" w:rsidRPr="002247B4" w:rsidRDefault="007B5579" w:rsidP="00765CBE">
      <w:pPr>
        <w:pStyle w:val="Titolo2"/>
      </w:pPr>
      <w:bookmarkStart w:id="83" w:name="_Toc93327737"/>
      <w:r>
        <w:t>6</w:t>
      </w:r>
      <w:r w:rsidR="00765CBE" w:rsidRPr="002247B4">
        <w:t>.</w:t>
      </w:r>
      <w:r w:rsidR="00765CBE">
        <w:t>2</w:t>
      </w:r>
      <w:r w:rsidR="00765CBE" w:rsidRPr="002247B4">
        <w:t xml:space="preserve"> </w:t>
      </w:r>
      <w:r w:rsidR="00765CBE">
        <w:t>Codici tributo utilizzabili in F24</w:t>
      </w:r>
      <w:bookmarkEnd w:id="82"/>
      <w:bookmarkEnd w:id="83"/>
    </w:p>
    <w:p w14:paraId="3AC08030" w14:textId="56026442" w:rsidR="00765CBE" w:rsidRDefault="00765CBE" w:rsidP="009D0F07">
      <w:pPr>
        <w:spacing w:line="360" w:lineRule="auto"/>
        <w:jc w:val="both"/>
      </w:pPr>
      <w:r>
        <w:t xml:space="preserve">Il credito d'imposta è utilizzabile </w:t>
      </w:r>
      <w:r w:rsidRPr="00C935FD">
        <w:rPr>
          <w:b/>
          <w:bCs/>
        </w:rPr>
        <w:t>esclusivamente in compensazione</w:t>
      </w:r>
      <w:r w:rsidRPr="00975B49">
        <w:t xml:space="preserve"> </w:t>
      </w:r>
      <w:r w:rsidRPr="00666560">
        <w:t>nel modello F24 utilizzando i codici tributo che sono stati approvati con</w:t>
      </w:r>
      <w:r>
        <w:rPr>
          <w:b/>
          <w:bCs/>
        </w:rPr>
        <w:t xml:space="preserve"> </w:t>
      </w:r>
      <w:r>
        <w:t xml:space="preserve">la </w:t>
      </w:r>
      <w:r w:rsidRPr="009D0F07">
        <w:rPr>
          <w:b/>
          <w:bCs/>
        </w:rPr>
        <w:t>risoluzione 3/E del 13 gennaio 2021</w:t>
      </w:r>
      <w:r w:rsidR="009D0F07">
        <w:t>, di seguito riepilogati</w:t>
      </w:r>
      <w:r w:rsidR="00915FA8">
        <w:t xml:space="preserve"> (ann</w:t>
      </w:r>
      <w:r w:rsidR="00C63919">
        <w:t>i</w:t>
      </w:r>
      <w:r w:rsidR="00915FA8">
        <w:t xml:space="preserve"> 2021</w:t>
      </w:r>
      <w:r w:rsidR="00C63919">
        <w:t xml:space="preserve"> e 2022</w:t>
      </w:r>
      <w:r w:rsidR="00915FA8">
        <w:t>).</w:t>
      </w:r>
    </w:p>
    <w:p w14:paraId="34CD16B0" w14:textId="3AEC2831" w:rsidR="007F356B" w:rsidRDefault="007F356B" w:rsidP="009D0F07">
      <w:pPr>
        <w:spacing w:line="360" w:lineRule="auto"/>
        <w:jc w:val="both"/>
      </w:pPr>
    </w:p>
    <w:p w14:paraId="10CEB9DE" w14:textId="77777777" w:rsidR="007F356B" w:rsidRDefault="007F356B" w:rsidP="009D0F07">
      <w:pPr>
        <w:spacing w:line="360" w:lineRule="auto"/>
        <w:jc w:val="both"/>
      </w:pPr>
    </w:p>
    <w:tbl>
      <w:tblPr>
        <w:tblStyle w:val="Grigliatabella"/>
        <w:tblW w:w="5000" w:type="pct"/>
        <w:jc w:val="center"/>
        <w:tblLook w:val="04A0" w:firstRow="1" w:lastRow="0" w:firstColumn="1" w:lastColumn="0" w:noHBand="0" w:noVBand="1"/>
      </w:tblPr>
      <w:tblGrid>
        <w:gridCol w:w="1548"/>
        <w:gridCol w:w="8080"/>
      </w:tblGrid>
      <w:tr w:rsidR="00765CBE" w14:paraId="27FFD873" w14:textId="77777777" w:rsidTr="00332DA6">
        <w:trPr>
          <w:jc w:val="center"/>
        </w:trPr>
        <w:tc>
          <w:tcPr>
            <w:tcW w:w="804" w:type="pct"/>
            <w:shd w:val="clear" w:color="auto" w:fill="DBE5F1" w:themeFill="accent1" w:themeFillTint="33"/>
          </w:tcPr>
          <w:p w14:paraId="060288A8" w14:textId="265596B8" w:rsidR="00765CBE" w:rsidRPr="00915FA8" w:rsidRDefault="009D0F07" w:rsidP="00332DA6">
            <w:pPr>
              <w:spacing w:before="60" w:after="60" w:line="326" w:lineRule="auto"/>
              <w:jc w:val="center"/>
              <w:rPr>
                <w:b/>
                <w:bCs/>
              </w:rPr>
            </w:pPr>
            <w:r w:rsidRPr="00915FA8">
              <w:rPr>
                <w:b/>
                <w:bCs/>
              </w:rPr>
              <w:lastRenderedPageBreak/>
              <w:t>CODICE TRIBUTO</w:t>
            </w:r>
          </w:p>
        </w:tc>
        <w:tc>
          <w:tcPr>
            <w:tcW w:w="4196" w:type="pct"/>
            <w:shd w:val="clear" w:color="auto" w:fill="DBE5F1" w:themeFill="accent1" w:themeFillTint="33"/>
          </w:tcPr>
          <w:p w14:paraId="2A4158FE" w14:textId="292E6B83" w:rsidR="00765CBE" w:rsidRPr="00915FA8" w:rsidRDefault="009D0F07" w:rsidP="00332DA6">
            <w:pPr>
              <w:spacing w:before="60" w:after="60" w:line="326" w:lineRule="auto"/>
              <w:jc w:val="center"/>
              <w:rPr>
                <w:b/>
                <w:bCs/>
              </w:rPr>
            </w:pPr>
            <w:r w:rsidRPr="00915FA8">
              <w:rPr>
                <w:b/>
                <w:bCs/>
              </w:rPr>
              <w:t>DESCRIZIONE</w:t>
            </w:r>
          </w:p>
        </w:tc>
      </w:tr>
      <w:tr w:rsidR="00765CBE" w14:paraId="607BDEEB" w14:textId="77777777" w:rsidTr="00332DA6">
        <w:trPr>
          <w:jc w:val="center"/>
        </w:trPr>
        <w:tc>
          <w:tcPr>
            <w:tcW w:w="804" w:type="pct"/>
            <w:shd w:val="clear" w:color="auto" w:fill="FFFFFF" w:themeFill="background1"/>
          </w:tcPr>
          <w:p w14:paraId="1D1F74E4" w14:textId="77777777" w:rsidR="00765CBE" w:rsidRPr="00666560" w:rsidRDefault="00765CBE" w:rsidP="00332DA6">
            <w:pPr>
              <w:spacing w:before="60" w:after="60" w:line="326" w:lineRule="auto"/>
              <w:jc w:val="center"/>
              <w:rPr>
                <w:b/>
                <w:bCs/>
              </w:rPr>
            </w:pPr>
            <w:r w:rsidRPr="00666560">
              <w:rPr>
                <w:b/>
                <w:bCs/>
              </w:rPr>
              <w:t>6935</w:t>
            </w:r>
          </w:p>
        </w:tc>
        <w:tc>
          <w:tcPr>
            <w:tcW w:w="4196" w:type="pct"/>
          </w:tcPr>
          <w:p w14:paraId="6F490CC5" w14:textId="33BC7B58" w:rsidR="00765CBE" w:rsidRPr="00332DA6" w:rsidRDefault="00765CBE" w:rsidP="00332DA6">
            <w:pPr>
              <w:spacing w:before="60" w:after="60" w:line="326" w:lineRule="auto"/>
              <w:jc w:val="both"/>
            </w:pPr>
            <w:r w:rsidRPr="00F92EC4">
              <w:t>Credito d’imposta investimenti in beni strumentali nuovi</w:t>
            </w:r>
            <w:r w:rsidR="00332DA6">
              <w:t xml:space="preserve"> </w:t>
            </w:r>
            <w:r w:rsidRPr="00F92EC4">
              <w:t>(</w:t>
            </w:r>
            <w:r w:rsidRPr="00666560">
              <w:rPr>
                <w:b/>
                <w:bCs/>
              </w:rPr>
              <w:t>diversi dai beni di cui agli allegati A e B</w:t>
            </w:r>
            <w:r w:rsidRPr="00F92EC4">
              <w:t xml:space="preserve"> alla legge n. 232/2016)</w:t>
            </w:r>
            <w:r w:rsidR="00332DA6">
              <w:t xml:space="preserve"> </w:t>
            </w:r>
            <w:r w:rsidRPr="009D0F07">
              <w:rPr>
                <w:i/>
                <w:iCs/>
              </w:rPr>
              <w:t>art. 1, commi 1054 e 1055, legge n. 178/2020</w:t>
            </w:r>
          </w:p>
        </w:tc>
      </w:tr>
      <w:tr w:rsidR="00765CBE" w14:paraId="6A346D2D" w14:textId="77777777" w:rsidTr="00332DA6">
        <w:trPr>
          <w:jc w:val="center"/>
        </w:trPr>
        <w:tc>
          <w:tcPr>
            <w:tcW w:w="804" w:type="pct"/>
            <w:shd w:val="clear" w:color="auto" w:fill="FFFFFF" w:themeFill="background1"/>
          </w:tcPr>
          <w:p w14:paraId="0B23D93B" w14:textId="77777777" w:rsidR="00765CBE" w:rsidRPr="00666560" w:rsidRDefault="00765CBE" w:rsidP="00332DA6">
            <w:pPr>
              <w:spacing w:before="60" w:after="60" w:line="326" w:lineRule="auto"/>
              <w:jc w:val="center"/>
              <w:rPr>
                <w:b/>
                <w:bCs/>
              </w:rPr>
            </w:pPr>
            <w:r w:rsidRPr="00666560">
              <w:rPr>
                <w:b/>
                <w:bCs/>
              </w:rPr>
              <w:t>6936</w:t>
            </w:r>
          </w:p>
        </w:tc>
        <w:tc>
          <w:tcPr>
            <w:tcW w:w="4196" w:type="pct"/>
          </w:tcPr>
          <w:p w14:paraId="57DA3BC9" w14:textId="31692BFA" w:rsidR="00765CBE" w:rsidRPr="00332DA6" w:rsidRDefault="00765CBE" w:rsidP="00332DA6">
            <w:pPr>
              <w:spacing w:before="60" w:after="60" w:line="326" w:lineRule="auto"/>
              <w:jc w:val="both"/>
            </w:pPr>
            <w:r w:rsidRPr="00F92EC4">
              <w:t>Credito d’imposta investimenti in beni strumentali nuovi</w:t>
            </w:r>
            <w:r w:rsidR="00332DA6">
              <w:t xml:space="preserve"> </w:t>
            </w:r>
            <w:r w:rsidRPr="00F92EC4">
              <w:t xml:space="preserve">di cui </w:t>
            </w:r>
            <w:r w:rsidRPr="00666560">
              <w:rPr>
                <w:b/>
                <w:bCs/>
              </w:rPr>
              <w:t>all’allegato A</w:t>
            </w:r>
            <w:r w:rsidRPr="00F92EC4">
              <w:t xml:space="preserve"> alla legge n. 232/2016</w:t>
            </w:r>
            <w:r w:rsidR="00332DA6">
              <w:t xml:space="preserve"> </w:t>
            </w:r>
            <w:r w:rsidRPr="009D0F07">
              <w:rPr>
                <w:i/>
                <w:iCs/>
              </w:rPr>
              <w:t>art. 1, commi 1056 e 1057, legge n. 178/2020</w:t>
            </w:r>
          </w:p>
        </w:tc>
      </w:tr>
      <w:tr w:rsidR="00765CBE" w14:paraId="340A3A09" w14:textId="77777777" w:rsidTr="00332DA6">
        <w:trPr>
          <w:jc w:val="center"/>
        </w:trPr>
        <w:tc>
          <w:tcPr>
            <w:tcW w:w="804" w:type="pct"/>
            <w:shd w:val="clear" w:color="auto" w:fill="FFFFFF" w:themeFill="background1"/>
          </w:tcPr>
          <w:p w14:paraId="784D4B69" w14:textId="77777777" w:rsidR="00765CBE" w:rsidRPr="00666560" w:rsidRDefault="00765CBE" w:rsidP="00332DA6">
            <w:pPr>
              <w:spacing w:before="60" w:after="60" w:line="326" w:lineRule="auto"/>
              <w:jc w:val="center"/>
              <w:rPr>
                <w:b/>
                <w:bCs/>
              </w:rPr>
            </w:pPr>
            <w:r w:rsidRPr="00666560">
              <w:rPr>
                <w:b/>
                <w:bCs/>
              </w:rPr>
              <w:t>6937</w:t>
            </w:r>
          </w:p>
        </w:tc>
        <w:tc>
          <w:tcPr>
            <w:tcW w:w="4196" w:type="pct"/>
          </w:tcPr>
          <w:p w14:paraId="4B025881" w14:textId="0DFAB1D9" w:rsidR="00765CBE" w:rsidRPr="00332DA6" w:rsidRDefault="00765CBE" w:rsidP="00332DA6">
            <w:pPr>
              <w:spacing w:before="60" w:after="60" w:line="326" w:lineRule="auto"/>
              <w:jc w:val="both"/>
            </w:pPr>
            <w:r w:rsidRPr="00F92EC4">
              <w:t>Credito d’imposta investimenti in beni strumentali nuovi</w:t>
            </w:r>
            <w:r w:rsidR="00332DA6">
              <w:t xml:space="preserve"> </w:t>
            </w:r>
            <w:r w:rsidRPr="00F92EC4">
              <w:t xml:space="preserve">di cui </w:t>
            </w:r>
            <w:r w:rsidRPr="00666560">
              <w:rPr>
                <w:b/>
                <w:bCs/>
              </w:rPr>
              <w:t>all’allegato B</w:t>
            </w:r>
            <w:r w:rsidRPr="00F92EC4">
              <w:t xml:space="preserve"> alla legge n. 232/2016</w:t>
            </w:r>
            <w:r w:rsidR="00332DA6">
              <w:t xml:space="preserve"> </w:t>
            </w:r>
            <w:r w:rsidRPr="009D0F07">
              <w:rPr>
                <w:i/>
                <w:iCs/>
              </w:rPr>
              <w:t>art. 1, comma 1058, legge n. 178/2020</w:t>
            </w:r>
          </w:p>
        </w:tc>
      </w:tr>
    </w:tbl>
    <w:p w14:paraId="076137B3" w14:textId="77777777" w:rsidR="00765CBE" w:rsidRDefault="00765CBE" w:rsidP="00765CBE">
      <w:pPr>
        <w:spacing w:line="360" w:lineRule="auto"/>
      </w:pPr>
    </w:p>
    <w:p w14:paraId="37A28BFE" w14:textId="77777777" w:rsidR="00765CBE" w:rsidRDefault="00765CBE" w:rsidP="00765CBE">
      <w:pPr>
        <w:spacing w:line="360" w:lineRule="auto"/>
      </w:pPr>
      <w:r>
        <w:rPr>
          <w:noProof/>
        </w:rPr>
        <w:drawing>
          <wp:inline distT="0" distB="0" distL="0" distR="0" wp14:anchorId="6E397F3B" wp14:editId="2ED2E97B">
            <wp:extent cx="6115511" cy="1250900"/>
            <wp:effectExtent l="0" t="0" r="0" b="6985"/>
            <wp:docPr id="27" name="Immagine 27" descr="Immagine che contiene testo, screenshot, armadi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esto, screenshot, armadietto&#10;&#10;Descrizione generata automaticamente"/>
                    <pic:cNvPicPr/>
                  </pic:nvPicPr>
                  <pic:blipFill>
                    <a:blip r:embed="rId29">
                      <a:extLst>
                        <a:ext uri="{28A0092B-C50C-407E-A947-70E740481C1C}">
                          <a14:useLocalDpi xmlns:a14="http://schemas.microsoft.com/office/drawing/2010/main" val="0"/>
                        </a:ext>
                      </a:extLst>
                    </a:blip>
                    <a:stretch>
                      <a:fillRect/>
                    </a:stretch>
                  </pic:blipFill>
                  <pic:spPr>
                    <a:xfrm>
                      <a:off x="0" y="0"/>
                      <a:ext cx="6174826" cy="1263033"/>
                    </a:xfrm>
                    <a:prstGeom prst="rect">
                      <a:avLst/>
                    </a:prstGeom>
                  </pic:spPr>
                </pic:pic>
              </a:graphicData>
            </a:graphic>
          </wp:inline>
        </w:drawing>
      </w:r>
    </w:p>
    <w:p w14:paraId="71E1716D" w14:textId="77777777" w:rsidR="00765CBE" w:rsidRDefault="00765CBE" w:rsidP="00975B49">
      <w:pPr>
        <w:spacing w:line="360" w:lineRule="auto"/>
        <w:jc w:val="both"/>
      </w:pPr>
      <w:r w:rsidRPr="00F92EC4">
        <w:t>In sede di compilazione del modello di pagamento F24, i suddetti codici tributo sono esposti nella sezione “</w:t>
      </w:r>
      <w:r w:rsidRPr="00F92EC4">
        <w:rPr>
          <w:b/>
          <w:bCs/>
        </w:rPr>
        <w:t>Erario</w:t>
      </w:r>
      <w:r w:rsidRPr="00F92EC4">
        <w:t>”, in corrispondenza delle somme indicate nella colonna “</w:t>
      </w:r>
      <w:r w:rsidRPr="00F92EC4">
        <w:rPr>
          <w:b/>
          <w:bCs/>
        </w:rPr>
        <w:t>importi a credito compensati</w:t>
      </w:r>
      <w:r w:rsidRPr="00F92EC4">
        <w:t>”, ovvero, nei casi in cui il contribuente debba procedere al riversamento del credito, nella colonna “importi a debito versati”.</w:t>
      </w:r>
    </w:p>
    <w:p w14:paraId="70C960D9" w14:textId="77777777" w:rsidR="00765CBE" w:rsidRDefault="00765CBE" w:rsidP="00975B49">
      <w:pPr>
        <w:spacing w:line="360" w:lineRule="auto"/>
        <w:jc w:val="both"/>
        <w:rPr>
          <w:b/>
          <w:bCs/>
        </w:rPr>
      </w:pPr>
      <w:r w:rsidRPr="00F92EC4">
        <w:t>Il campo “</w:t>
      </w:r>
      <w:r w:rsidRPr="00666560">
        <w:rPr>
          <w:b/>
          <w:bCs/>
        </w:rPr>
        <w:t>anno di riferimento</w:t>
      </w:r>
      <w:r w:rsidRPr="00F92EC4">
        <w:t>” è valorizzato nel formato “AAAA</w:t>
      </w:r>
      <w:r>
        <w:t xml:space="preserve">” </w:t>
      </w:r>
      <w:r w:rsidRPr="00F92EC4">
        <w:t xml:space="preserve">con </w:t>
      </w:r>
      <w:r w:rsidRPr="00F92EC4">
        <w:rPr>
          <w:b/>
          <w:bCs/>
        </w:rPr>
        <w:t>l’anno</w:t>
      </w:r>
      <w:r w:rsidRPr="00915FA8">
        <w:t>:</w:t>
      </w:r>
    </w:p>
    <w:p w14:paraId="78956794" w14:textId="3433FF77" w:rsidR="00765CBE" w:rsidRDefault="00765CBE" w:rsidP="00AE49EC">
      <w:pPr>
        <w:pStyle w:val="Paragrafoelenco"/>
        <w:numPr>
          <w:ilvl w:val="0"/>
          <w:numId w:val="51"/>
        </w:numPr>
        <w:spacing w:line="360" w:lineRule="auto"/>
        <w:jc w:val="both"/>
      </w:pPr>
      <w:r w:rsidRPr="00914237">
        <w:rPr>
          <w:b/>
          <w:bCs/>
        </w:rPr>
        <w:t>di entrata in funzione</w:t>
      </w:r>
      <w:r w:rsidRPr="00F92EC4">
        <w:t xml:space="preserve"> ovvero</w:t>
      </w:r>
    </w:p>
    <w:p w14:paraId="16B3979F" w14:textId="186ABBF5" w:rsidR="00765CBE" w:rsidRDefault="00765CBE" w:rsidP="00AE49EC">
      <w:pPr>
        <w:pStyle w:val="Paragrafoelenco"/>
        <w:numPr>
          <w:ilvl w:val="0"/>
          <w:numId w:val="51"/>
        </w:numPr>
        <w:spacing w:line="360" w:lineRule="auto"/>
        <w:jc w:val="both"/>
      </w:pPr>
      <w:r w:rsidRPr="00F92EC4">
        <w:t xml:space="preserve">di </w:t>
      </w:r>
      <w:r w:rsidRPr="00914237">
        <w:rPr>
          <w:b/>
          <w:bCs/>
        </w:rPr>
        <w:t>interconnessione dei beni</w:t>
      </w:r>
      <w:r>
        <w:t>.</w:t>
      </w:r>
    </w:p>
    <w:p w14:paraId="73E38525" w14:textId="77777777" w:rsidR="00914237" w:rsidRDefault="00914237" w:rsidP="00765CBE">
      <w:pPr>
        <w:spacing w:after="160" w:line="259" w:lineRule="auto"/>
        <w:sectPr w:rsidR="00914237" w:rsidSect="00A90ED0">
          <w:pgSz w:w="11906" w:h="16838"/>
          <w:pgMar w:top="833" w:right="1134" w:bottom="1134" w:left="1134" w:header="708" w:footer="708" w:gutter="0"/>
          <w:cols w:space="708"/>
          <w:titlePg/>
          <w:docGrid w:linePitch="360"/>
        </w:sectPr>
      </w:pPr>
    </w:p>
    <w:p w14:paraId="78DE2D6E" w14:textId="60188265" w:rsidR="00765CBE" w:rsidRPr="00380A75" w:rsidRDefault="00914237" w:rsidP="00765CBE">
      <w:pPr>
        <w:shd w:val="clear" w:color="auto" w:fill="FFFFFF"/>
        <w:spacing w:before="120" w:after="0" w:line="240" w:lineRule="auto"/>
        <w:jc w:val="center"/>
        <w:rPr>
          <w:b/>
          <w:bCs/>
          <w:sz w:val="32"/>
          <w:szCs w:val="32"/>
        </w:rPr>
      </w:pPr>
      <w:r>
        <w:rPr>
          <w:b/>
          <w:bCs/>
          <w:sz w:val="32"/>
          <w:szCs w:val="32"/>
        </w:rPr>
        <w:lastRenderedPageBreak/>
        <w:t>7.</w:t>
      </w:r>
    </w:p>
    <w:bookmarkStart w:id="84" w:name="_Toc90462768"/>
    <w:bookmarkStart w:id="85" w:name="_Toc93327738"/>
    <w:p w14:paraId="7E81BEAF" w14:textId="75EE139B" w:rsidR="00765CBE" w:rsidRPr="00D40DBB" w:rsidRDefault="00765CBE" w:rsidP="00765CBE">
      <w:pPr>
        <w:pStyle w:val="Titolo"/>
      </w:pPr>
      <w:r>
        <w:rPr>
          <w:noProof/>
        </w:rPr>
        <mc:AlternateContent>
          <mc:Choice Requires="wps">
            <w:drawing>
              <wp:anchor distT="4294967291" distB="4294967291" distL="114300" distR="114300" simplePos="0" relativeHeight="251769344" behindDoc="0" locked="0" layoutInCell="1" allowOverlap="1" wp14:anchorId="6C53CEA6" wp14:editId="662BB4A2">
                <wp:simplePos x="0" y="0"/>
                <wp:positionH relativeFrom="margin">
                  <wp:align>center</wp:align>
                </wp:positionH>
                <wp:positionV relativeFrom="paragraph">
                  <wp:posOffset>80118</wp:posOffset>
                </wp:positionV>
                <wp:extent cx="2438400" cy="0"/>
                <wp:effectExtent l="0" t="0" r="0" b="0"/>
                <wp:wrapNone/>
                <wp:docPr id="6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E9CB44" id="AutoShape 120" o:spid="_x0000_s1026" type="#_x0000_t32" style="position:absolute;margin-left:0;margin-top:6.3pt;width:192pt;height:0;z-index:25176934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t>Comunicazione Mise</w:t>
      </w:r>
      <w:bookmarkEnd w:id="84"/>
      <w:bookmarkEnd w:id="85"/>
    </w:p>
    <w:p w14:paraId="527D3BBB" w14:textId="0FED773B" w:rsidR="00765CBE" w:rsidRDefault="00765CBE" w:rsidP="00914237">
      <w:pPr>
        <w:spacing w:line="360" w:lineRule="auto"/>
        <w:jc w:val="both"/>
      </w:pPr>
    </w:p>
    <w:p w14:paraId="2403BD38" w14:textId="3E7EDC52" w:rsidR="00B46077" w:rsidRDefault="00B46077" w:rsidP="00914237">
      <w:pPr>
        <w:spacing w:line="360" w:lineRule="auto"/>
        <w:jc w:val="both"/>
      </w:pPr>
    </w:p>
    <w:p w14:paraId="23D6FA80" w14:textId="0954C9A2" w:rsidR="00B46077" w:rsidRDefault="00B46077" w:rsidP="00914237">
      <w:pPr>
        <w:spacing w:line="360" w:lineRule="auto"/>
        <w:jc w:val="both"/>
      </w:pPr>
    </w:p>
    <w:p w14:paraId="14C80A1F" w14:textId="5938F890" w:rsidR="00B46077" w:rsidRDefault="00B46077" w:rsidP="00914237">
      <w:pPr>
        <w:spacing w:line="360" w:lineRule="auto"/>
        <w:jc w:val="both"/>
      </w:pPr>
    </w:p>
    <w:p w14:paraId="79A49A14" w14:textId="3AB7F571" w:rsidR="00B46077" w:rsidRDefault="00B46077" w:rsidP="00914237">
      <w:pPr>
        <w:spacing w:line="360" w:lineRule="auto"/>
        <w:jc w:val="both"/>
      </w:pPr>
    </w:p>
    <w:p w14:paraId="3E4FB369" w14:textId="77777777" w:rsidR="00B46077" w:rsidRDefault="00B46077" w:rsidP="00914237">
      <w:pPr>
        <w:spacing w:line="360" w:lineRule="auto"/>
        <w:jc w:val="both"/>
      </w:pPr>
    </w:p>
    <w:p w14:paraId="29694E06" w14:textId="77777777" w:rsidR="00765CBE" w:rsidRDefault="00765CBE" w:rsidP="00765CBE">
      <w:pPr>
        <w:spacing w:line="360" w:lineRule="auto"/>
        <w:jc w:val="both"/>
        <w:rPr>
          <w:b/>
          <w:bCs/>
        </w:rPr>
      </w:pPr>
      <w:r>
        <w:t xml:space="preserve">Al solo fine di consentire al Ministero dello sviluppo economico di acquisire le informazioni necessarie per valutare l'andamento, la diffusione e l'efficacia delle misure agevolative introdotte dai commi 1056, 1057 e 1058, dell’articolo 1, L. 178/2020, le imprese che si avvalgono di tali misure effettuano una </w:t>
      </w:r>
      <w:r w:rsidRPr="005330D6">
        <w:rPr>
          <w:b/>
          <w:bCs/>
        </w:rPr>
        <w:t>comunicazione al Ministero dello sviluppo economico.</w:t>
      </w:r>
    </w:p>
    <w:p w14:paraId="47E314E5" w14:textId="69C69087" w:rsidR="00765CBE" w:rsidRDefault="00765CBE" w:rsidP="00765CBE">
      <w:pPr>
        <w:spacing w:line="360" w:lineRule="auto"/>
        <w:jc w:val="both"/>
      </w:pPr>
      <w:r>
        <w:t xml:space="preserve">Con il decreto direttoriale del Ministero dello sviluppo economico del 6 ottobre 2021 è stato approvato il </w:t>
      </w:r>
      <w:r w:rsidRPr="006D54BC">
        <w:rPr>
          <w:b/>
          <w:bCs/>
        </w:rPr>
        <w:t>modello di comunicazione</w:t>
      </w:r>
      <w:r>
        <w:t xml:space="preserve"> dei dati e delle altre informazioni riguardanti l’applicazione del credito d’imposta per gli investimenti in beni strumentali funzionali alla trasformazione tecnologica e digitale delle imprese, di cui all’articolo 1, commi 189 e 190, della legge 27 dicembre 2019, n. 160, e all’art.1, commi da 1051 a 1063, della legge 30 dicembre 2020, n. 178.</w:t>
      </w:r>
    </w:p>
    <w:p w14:paraId="01A38ABA" w14:textId="77777777" w:rsidR="00B46077" w:rsidRPr="002247B4" w:rsidRDefault="00B46077" w:rsidP="00765CBE">
      <w:pPr>
        <w:spacing w:line="360" w:lineRule="auto"/>
        <w:jc w:val="both"/>
      </w:pPr>
    </w:p>
    <w:p w14:paraId="6DA5716D" w14:textId="77777777" w:rsidR="00765CBE" w:rsidRDefault="00765CBE" w:rsidP="009451BD">
      <w:pPr>
        <w:spacing w:line="360" w:lineRule="auto"/>
        <w:ind w:left="1416"/>
        <w:jc w:val="both"/>
      </w:pPr>
      <w:r>
        <w:t xml:space="preserve">L’invio del modello di comunicazione </w:t>
      </w:r>
      <w:r w:rsidRPr="006D54BC">
        <w:rPr>
          <w:b/>
          <w:bCs/>
        </w:rPr>
        <w:t>non costituisce presupposto</w:t>
      </w:r>
      <w:r>
        <w:t xml:space="preserve"> </w:t>
      </w:r>
      <w:r w:rsidRPr="00975B49">
        <w:rPr>
          <w:b/>
          <w:bCs/>
        </w:rPr>
        <w:t>per l’applicazione del credito d’imposta</w:t>
      </w:r>
      <w:r>
        <w:t xml:space="preserve"> e i dati e le informazioni in esso indicati sono acquisiti dal Ministero dello sviluppo economico al solo fine di valutare l’andamento, la diffusione e l’efficacia delle misure agevolative</w:t>
      </w:r>
      <w:r>
        <w:rPr>
          <w:noProof/>
        </w:rPr>
        <w:drawing>
          <wp:anchor distT="0" distB="0" distL="114300" distR="114300" simplePos="0" relativeHeight="251788800" behindDoc="0" locked="0" layoutInCell="1" allowOverlap="1" wp14:anchorId="35BD8E48" wp14:editId="13DFCB04">
            <wp:simplePos x="716890" y="3855110"/>
            <wp:positionH relativeFrom="column">
              <wp:align>left</wp:align>
            </wp:positionH>
            <wp:positionV relativeFrom="paragraph">
              <wp:align>top</wp:align>
            </wp:positionV>
            <wp:extent cx="754083" cy="754083"/>
            <wp:effectExtent l="0" t="0" r="0" b="0"/>
            <wp:wrapSquare wrapText="bothSides"/>
            <wp:docPr id="15" name="Elemento grafico 15"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54083" cy="754083"/>
                    </a:xfrm>
                    <a:prstGeom prst="rect">
                      <a:avLst/>
                    </a:prstGeom>
                  </pic:spPr>
                </pic:pic>
              </a:graphicData>
            </a:graphic>
          </wp:anchor>
        </w:drawing>
      </w:r>
      <w:r>
        <w:t>. L’eventuale mancato invio del modello non determina comunque effetti in sede di controllo da parte dell’Amministrazione finanziaria della corretta applicazione della disciplina agevolativa.</w:t>
      </w:r>
    </w:p>
    <w:p w14:paraId="051F4DB2" w14:textId="0F7B53E4" w:rsidR="00B46077" w:rsidRDefault="00B46077" w:rsidP="00765CBE">
      <w:pPr>
        <w:spacing w:line="360" w:lineRule="auto"/>
        <w:jc w:val="both"/>
      </w:pPr>
    </w:p>
    <w:p w14:paraId="7EFD5370" w14:textId="00369411" w:rsidR="00765CBE" w:rsidRDefault="00765CBE" w:rsidP="00765CBE">
      <w:pPr>
        <w:spacing w:line="360" w:lineRule="auto"/>
        <w:jc w:val="both"/>
      </w:pPr>
      <w:r w:rsidRPr="006D54BC">
        <w:t xml:space="preserve">Il modello di comunicazione, </w:t>
      </w:r>
      <w:r w:rsidRPr="006D54BC">
        <w:rPr>
          <w:b/>
          <w:bCs/>
        </w:rPr>
        <w:t>firmato digitalmente</w:t>
      </w:r>
      <w:r w:rsidRPr="006D54BC">
        <w:t xml:space="preserve"> dal legale rappresentante dell’impresa, va </w:t>
      </w:r>
      <w:r w:rsidRPr="006D54BC">
        <w:rPr>
          <w:b/>
          <w:bCs/>
        </w:rPr>
        <w:t>trasmesso in formato elettronico tramite PEC</w:t>
      </w:r>
      <w:r w:rsidRPr="006D54BC">
        <w:t xml:space="preserve"> all’indirizzo </w:t>
      </w:r>
      <w:hyperlink r:id="rId30" w:history="1">
        <w:r w:rsidRPr="00D738EC">
          <w:rPr>
            <w:rStyle w:val="Collegamentoipertestuale"/>
          </w:rPr>
          <w:t>benistrumentali4.0@pec.mise.gov.it</w:t>
        </w:r>
      </w:hyperlink>
      <w:r>
        <w:t xml:space="preserve"> secondo lo schema </w:t>
      </w:r>
      <w:hyperlink r:id="rId31" w:history="1">
        <w:r w:rsidRPr="00920140">
          <w:rPr>
            <w:rStyle w:val="Collegamentoipertestuale"/>
            <w:color w:val="0070C0"/>
          </w:rPr>
          <w:t>allegato al Decreto</w:t>
        </w:r>
      </w:hyperlink>
      <w:r w:rsidRPr="00920140">
        <w:rPr>
          <w:rStyle w:val="Collegamentoipertestuale"/>
        </w:rPr>
        <w:t xml:space="preserve"> di approvazione</w:t>
      </w:r>
      <w:r>
        <w:rPr>
          <w:rStyle w:val="Collegamentoipertestuale"/>
        </w:rPr>
        <w:t>.</w:t>
      </w:r>
    </w:p>
    <w:p w14:paraId="2FF7D178" w14:textId="77777777" w:rsidR="00B46077" w:rsidRDefault="00B46077" w:rsidP="00975B49">
      <w:pPr>
        <w:spacing w:line="360" w:lineRule="auto"/>
        <w:jc w:val="both"/>
      </w:pPr>
      <w:bookmarkStart w:id="86" w:name="_Toc90462769"/>
    </w:p>
    <w:p w14:paraId="5776DECE" w14:textId="2BE32DC0" w:rsidR="00765CBE" w:rsidRPr="005C13E7" w:rsidRDefault="007B5579" w:rsidP="00765CBE">
      <w:pPr>
        <w:pStyle w:val="Titolo2"/>
      </w:pPr>
      <w:bookmarkStart w:id="87" w:name="_Toc93327739"/>
      <w:r>
        <w:lastRenderedPageBreak/>
        <w:t>7</w:t>
      </w:r>
      <w:r w:rsidR="00765CBE">
        <w:t xml:space="preserve">.1 </w:t>
      </w:r>
      <w:r w:rsidR="00765CBE" w:rsidRPr="005C13E7">
        <w:t>Termin</w:t>
      </w:r>
      <w:r w:rsidR="00765CBE">
        <w:t>e</w:t>
      </w:r>
      <w:r w:rsidR="00765CBE" w:rsidRPr="005C13E7">
        <w:t xml:space="preserve"> di invio</w:t>
      </w:r>
      <w:r w:rsidR="00765CBE">
        <w:t xml:space="preserve"> comunicazione</w:t>
      </w:r>
      <w:bookmarkEnd w:id="86"/>
      <w:bookmarkEnd w:id="87"/>
    </w:p>
    <w:tbl>
      <w:tblPr>
        <w:tblStyle w:val="Grigliatabella"/>
        <w:tblW w:w="0" w:type="auto"/>
        <w:tblLook w:val="04A0" w:firstRow="1" w:lastRow="0" w:firstColumn="1" w:lastColumn="0" w:noHBand="0" w:noVBand="1"/>
      </w:tblPr>
      <w:tblGrid>
        <w:gridCol w:w="5665"/>
        <w:gridCol w:w="3963"/>
      </w:tblGrid>
      <w:tr w:rsidR="00765CBE" w14:paraId="09BACBB1" w14:textId="77777777" w:rsidTr="00332DA6">
        <w:tc>
          <w:tcPr>
            <w:tcW w:w="9628" w:type="dxa"/>
            <w:gridSpan w:val="2"/>
            <w:shd w:val="clear" w:color="auto" w:fill="DBE5F1" w:themeFill="accent1" w:themeFillTint="33"/>
          </w:tcPr>
          <w:p w14:paraId="064E6D11" w14:textId="5AEA20F4" w:rsidR="00765CBE" w:rsidRPr="00C75D24" w:rsidRDefault="00081138" w:rsidP="00914237">
            <w:pPr>
              <w:spacing w:before="60" w:after="60" w:line="326" w:lineRule="auto"/>
              <w:jc w:val="center"/>
              <w:rPr>
                <w:szCs w:val="20"/>
              </w:rPr>
            </w:pPr>
            <w:r w:rsidRPr="00C75D24">
              <w:rPr>
                <w:b/>
                <w:bCs/>
                <w:szCs w:val="20"/>
              </w:rPr>
              <w:t xml:space="preserve">TERMINE DI INVIO </w:t>
            </w:r>
          </w:p>
        </w:tc>
      </w:tr>
      <w:tr w:rsidR="00765CBE" w14:paraId="54B8D533" w14:textId="77777777" w:rsidTr="002A6683">
        <w:tc>
          <w:tcPr>
            <w:tcW w:w="5665" w:type="dxa"/>
          </w:tcPr>
          <w:p w14:paraId="5E2506B6" w14:textId="01DC4F81" w:rsidR="00765CBE" w:rsidRPr="00161E76" w:rsidRDefault="00765CBE" w:rsidP="00914237">
            <w:pPr>
              <w:spacing w:before="60" w:after="60" w:line="326" w:lineRule="auto"/>
              <w:jc w:val="both"/>
              <w:rPr>
                <w:b/>
                <w:bCs/>
              </w:rPr>
            </w:pPr>
            <w:r w:rsidRPr="00161E76">
              <w:rPr>
                <w:b/>
                <w:bCs/>
              </w:rPr>
              <w:t>Entro 31 dicembre 2021</w:t>
            </w:r>
          </w:p>
        </w:tc>
        <w:tc>
          <w:tcPr>
            <w:tcW w:w="3963" w:type="dxa"/>
          </w:tcPr>
          <w:p w14:paraId="4D7F63E9" w14:textId="77777777" w:rsidR="00765CBE" w:rsidRDefault="00765CBE" w:rsidP="00914237">
            <w:pPr>
              <w:spacing w:before="60" w:after="60" w:line="326" w:lineRule="auto"/>
              <w:jc w:val="both"/>
            </w:pPr>
            <w:r>
              <w:t>a</w:t>
            </w:r>
            <w:r w:rsidRPr="00B354F5">
              <w:t>rticolo 1, commi 189 e 190</w:t>
            </w:r>
          </w:p>
          <w:p w14:paraId="2B28BBC9" w14:textId="77777777" w:rsidR="00765CBE" w:rsidRDefault="00765CBE" w:rsidP="00914237">
            <w:pPr>
              <w:spacing w:before="60" w:after="60" w:line="326" w:lineRule="auto"/>
              <w:jc w:val="both"/>
            </w:pPr>
            <w:r w:rsidRPr="00B354F5">
              <w:t>della legge 27 dicembre 2019, n. 160</w:t>
            </w:r>
          </w:p>
        </w:tc>
      </w:tr>
      <w:tr w:rsidR="00765CBE" w14:paraId="47A1A26D" w14:textId="77777777" w:rsidTr="002A6683">
        <w:tc>
          <w:tcPr>
            <w:tcW w:w="5665" w:type="dxa"/>
          </w:tcPr>
          <w:p w14:paraId="51D7F4CC" w14:textId="6C6D2BEC" w:rsidR="00765CBE" w:rsidRDefault="00081138" w:rsidP="00914237">
            <w:pPr>
              <w:spacing w:before="60" w:after="60" w:line="326" w:lineRule="auto"/>
              <w:jc w:val="both"/>
            </w:pPr>
            <w:r>
              <w:rPr>
                <w:b/>
                <w:bCs/>
              </w:rPr>
              <w:t>D</w:t>
            </w:r>
            <w:r w:rsidR="00765CBE" w:rsidRPr="00C2330F">
              <w:rPr>
                <w:b/>
                <w:bCs/>
              </w:rPr>
              <w:t>ata di presentazione della dichiarazione dei redditi</w:t>
            </w:r>
            <w:r w:rsidR="00765CBE" w:rsidRPr="00C2330F">
              <w:t xml:space="preserve"> riferita a ciascun periodo d’imposta di effettuazione degli investimenti</w:t>
            </w:r>
          </w:p>
        </w:tc>
        <w:tc>
          <w:tcPr>
            <w:tcW w:w="3963" w:type="dxa"/>
          </w:tcPr>
          <w:p w14:paraId="64D705D5" w14:textId="30E7CC34" w:rsidR="00765CBE" w:rsidRDefault="00765CBE" w:rsidP="00914237">
            <w:pPr>
              <w:spacing w:before="60" w:after="60" w:line="326" w:lineRule="auto"/>
              <w:jc w:val="both"/>
            </w:pPr>
            <w:r>
              <w:t xml:space="preserve">articolo </w:t>
            </w:r>
            <w:r w:rsidRPr="00C2330F">
              <w:t xml:space="preserve">1, commi da </w:t>
            </w:r>
            <w:r w:rsidRPr="00B66ED7">
              <w:t>1056 a 1058</w:t>
            </w:r>
            <w:r w:rsidR="00FA2DF6" w:rsidRPr="00B66ED7">
              <w:t>-ter</w:t>
            </w:r>
            <w:r w:rsidRPr="00B66ED7">
              <w:t xml:space="preserve">, </w:t>
            </w:r>
          </w:p>
          <w:p w14:paraId="2807A069" w14:textId="77777777" w:rsidR="00765CBE" w:rsidRDefault="00765CBE" w:rsidP="00914237">
            <w:pPr>
              <w:spacing w:before="60" w:after="60" w:line="326" w:lineRule="auto"/>
              <w:jc w:val="both"/>
            </w:pPr>
            <w:r w:rsidRPr="00C2330F">
              <w:t>della legge 30 dicembre 2020, n. 178</w:t>
            </w:r>
          </w:p>
        </w:tc>
      </w:tr>
    </w:tbl>
    <w:p w14:paraId="21B9A39D" w14:textId="77777777" w:rsidR="00B46077" w:rsidRDefault="00B46077" w:rsidP="00765CBE">
      <w:pPr>
        <w:spacing w:before="120" w:line="360" w:lineRule="auto"/>
        <w:jc w:val="both"/>
      </w:pPr>
    </w:p>
    <w:p w14:paraId="1EE117FA" w14:textId="763671D3" w:rsidR="00765CBE" w:rsidRDefault="00765CBE" w:rsidP="00765CBE">
      <w:pPr>
        <w:spacing w:before="120" w:line="360" w:lineRule="auto"/>
        <w:jc w:val="both"/>
      </w:pPr>
      <w:r w:rsidRPr="006D54BC">
        <w:t xml:space="preserve">Con riferimento agli investimenti ricadenti nell’ambito di applicazione della disciplina di cui all’articolo 1, commi 189 e 190, della legge 27 dicembre 2019, n. 160, il modello di comunicazione va trasmesso </w:t>
      </w:r>
      <w:r w:rsidRPr="004B5DAD">
        <w:rPr>
          <w:b/>
          <w:bCs/>
        </w:rPr>
        <w:t>entro la data del 31 dicembre 2021</w:t>
      </w:r>
      <w:r w:rsidRPr="006D54BC">
        <w:t>.</w:t>
      </w:r>
    </w:p>
    <w:p w14:paraId="7B4D4B83" w14:textId="169EB332" w:rsidR="00914237" w:rsidRDefault="00765CBE" w:rsidP="00765CBE">
      <w:pPr>
        <w:spacing w:line="360" w:lineRule="auto"/>
        <w:jc w:val="both"/>
        <w:rPr>
          <w:b/>
          <w:bCs/>
        </w:rPr>
      </w:pPr>
      <w:r w:rsidRPr="006D54BC">
        <w:t xml:space="preserve">Con riferimento agli investimenti ricadenti nell’ambito di applicazione della disciplina di cui all’art.1, commi da </w:t>
      </w:r>
      <w:r w:rsidRPr="007F356B">
        <w:t>1056 a 1058</w:t>
      </w:r>
      <w:r w:rsidR="009475B0" w:rsidRPr="007F356B">
        <w:t>-ter</w:t>
      </w:r>
      <w:r w:rsidRPr="007F356B">
        <w:t xml:space="preserve">, della legge </w:t>
      </w:r>
      <w:r w:rsidRPr="006D54BC">
        <w:t xml:space="preserve">30 dicembre 2020, n. 178, il modello di comunicazione va trasmesso </w:t>
      </w:r>
      <w:r w:rsidRPr="004B5DAD">
        <w:rPr>
          <w:b/>
          <w:bCs/>
        </w:rPr>
        <w:t>entro la data di presentazione della dichiarazione dei redditi riferita a ciascun periodo d’imposta di effettuazione degli investimenti.</w:t>
      </w:r>
    </w:p>
    <w:p w14:paraId="0468E49B" w14:textId="5F56EBE1" w:rsidR="00765CBE" w:rsidRPr="00914237" w:rsidRDefault="00765CBE" w:rsidP="00765CBE">
      <w:pPr>
        <w:spacing w:line="360" w:lineRule="auto"/>
        <w:jc w:val="both"/>
        <w:rPr>
          <w:b/>
          <w:bCs/>
        </w:rPr>
      </w:pPr>
    </w:p>
    <w:p w14:paraId="7ADBDE92" w14:textId="618A0BBB" w:rsidR="00B46077" w:rsidRDefault="00B46077">
      <w:pPr>
        <w:spacing w:after="0" w:line="240" w:lineRule="auto"/>
        <w:rPr>
          <w:b/>
          <w:bCs/>
          <w:iCs/>
          <w:u w:val="single"/>
        </w:rPr>
      </w:pPr>
      <w:bookmarkStart w:id="88" w:name="_Toc90462770"/>
      <w:r>
        <w:br w:type="page"/>
      </w:r>
    </w:p>
    <w:p w14:paraId="4716B220" w14:textId="30F9050E" w:rsidR="00765CBE" w:rsidRPr="002247B4" w:rsidRDefault="00B46077" w:rsidP="00765CBE">
      <w:pPr>
        <w:pStyle w:val="Titolo2"/>
      </w:pPr>
      <w:bookmarkStart w:id="89" w:name="_Toc93327740"/>
      <w:r>
        <w:rPr>
          <w:rFonts w:asciiTheme="minorHAnsi" w:hAnsiTheme="minorHAnsi" w:cstheme="minorBidi"/>
          <w:noProof/>
        </w:rPr>
        <w:lastRenderedPageBreak/>
        <w:drawing>
          <wp:anchor distT="0" distB="0" distL="114300" distR="114300" simplePos="0" relativeHeight="251785728" behindDoc="1" locked="0" layoutInCell="1" allowOverlap="1" wp14:anchorId="0ADC5ADB" wp14:editId="5E25C165">
            <wp:simplePos x="0" y="0"/>
            <wp:positionH relativeFrom="margin">
              <wp:posOffset>2743200</wp:posOffset>
            </wp:positionH>
            <wp:positionV relativeFrom="page">
              <wp:posOffset>1244600</wp:posOffset>
            </wp:positionV>
            <wp:extent cx="535940" cy="600710"/>
            <wp:effectExtent l="0" t="0" r="0" b="8890"/>
            <wp:wrapNone/>
            <wp:docPr id="2054594340" name="Immagine 205459434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clipart&#10;&#10;Descrizione generat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940" cy="600710"/>
                    </a:xfrm>
                    <a:prstGeom prst="rect">
                      <a:avLst/>
                    </a:prstGeom>
                    <a:noFill/>
                  </pic:spPr>
                </pic:pic>
              </a:graphicData>
            </a:graphic>
            <wp14:sizeRelH relativeFrom="margin">
              <wp14:pctWidth>0</wp14:pctWidth>
            </wp14:sizeRelH>
            <wp14:sizeRelV relativeFrom="margin">
              <wp14:pctHeight>0</wp14:pctHeight>
            </wp14:sizeRelV>
          </wp:anchor>
        </w:drawing>
      </w:r>
      <w:r w:rsidR="007B5579">
        <w:t>7</w:t>
      </w:r>
      <w:r w:rsidR="00765CBE" w:rsidRPr="002247B4">
        <w:t>.</w:t>
      </w:r>
      <w:r w:rsidR="00765CBE">
        <w:t>2</w:t>
      </w:r>
      <w:r w:rsidR="00765CBE" w:rsidRPr="002247B4">
        <w:t xml:space="preserve"> </w:t>
      </w:r>
      <w:r w:rsidR="00765CBE">
        <w:t>Modello di comunicazione al Mise</w:t>
      </w:r>
      <w:bookmarkEnd w:id="88"/>
      <w:bookmarkEnd w:id="89"/>
    </w:p>
    <w:p w14:paraId="4CBC48B8" w14:textId="77777777" w:rsidR="00765CBE" w:rsidRDefault="00765CBE" w:rsidP="00765CBE">
      <w:pPr>
        <w:autoSpaceDE w:val="0"/>
        <w:autoSpaceDN w:val="0"/>
        <w:adjustRightInd w:val="0"/>
        <w:spacing w:after="0"/>
        <w:ind w:left="6804"/>
        <w:jc w:val="right"/>
        <w:rPr>
          <w:rFonts w:ascii="Times New Roman" w:eastAsiaTheme="minorHAnsi" w:hAnsi="Times New Roman"/>
          <w:i/>
          <w:sz w:val="24"/>
          <w:szCs w:val="28"/>
        </w:rPr>
      </w:pPr>
      <w:r>
        <w:tab/>
      </w:r>
      <w:r>
        <w:rPr>
          <w:rFonts w:ascii="Times New Roman" w:hAnsi="Times New Roman"/>
          <w:i/>
          <w:sz w:val="24"/>
          <w:szCs w:val="28"/>
        </w:rPr>
        <w:t>ALLEGATO 1</w:t>
      </w:r>
    </w:p>
    <w:p w14:paraId="6E3EA58A" w14:textId="77777777" w:rsidR="00765CBE" w:rsidRDefault="00765CBE" w:rsidP="00765CBE">
      <w:pPr>
        <w:tabs>
          <w:tab w:val="left" w:pos="5702"/>
        </w:tabs>
        <w:spacing w:line="360" w:lineRule="auto"/>
        <w:jc w:val="both"/>
      </w:pPr>
    </w:p>
    <w:p w14:paraId="74619225" w14:textId="77777777" w:rsidR="00765CBE" w:rsidRPr="003C3F8B" w:rsidRDefault="00765CBE" w:rsidP="00765CBE">
      <w:pPr>
        <w:spacing w:after="0" w:line="240" w:lineRule="auto"/>
        <w:jc w:val="center"/>
        <w:rPr>
          <w:rFonts w:ascii="Palace Script MT" w:hAnsi="Palace Script MT"/>
          <w:sz w:val="52"/>
          <w:szCs w:val="52"/>
        </w:rPr>
      </w:pPr>
      <w:r w:rsidRPr="003C3F8B">
        <w:rPr>
          <w:rFonts w:ascii="Palace Script MT" w:hAnsi="Palace Script MT"/>
          <w:sz w:val="52"/>
          <w:szCs w:val="52"/>
        </w:rPr>
        <w:t>Ministero dello Sviluppo Economico</w:t>
      </w:r>
    </w:p>
    <w:p w14:paraId="5E308EC0" w14:textId="77777777" w:rsidR="00765CBE" w:rsidRDefault="00765CBE" w:rsidP="00765CBE">
      <w:pPr>
        <w:spacing w:after="0" w:line="360" w:lineRule="auto"/>
        <w:ind w:right="94"/>
        <w:jc w:val="center"/>
        <w:rPr>
          <w:rFonts w:asciiTheme="minorHAnsi" w:hAnsiTheme="minorHAnsi"/>
          <w:szCs w:val="16"/>
        </w:rPr>
      </w:pPr>
      <w:r>
        <w:rPr>
          <w:szCs w:val="16"/>
        </w:rPr>
        <w:t>DIREZIONE GENERALE PER LA POLITICA INDUSTRIALE, L’INNOVAZIONE E LE PICCOLE E MEDIE IMPRESE</w:t>
      </w:r>
    </w:p>
    <w:p w14:paraId="07E13897" w14:textId="77777777" w:rsidR="00765CBE" w:rsidRDefault="00765CBE" w:rsidP="00765CBE">
      <w:pPr>
        <w:autoSpaceDE w:val="0"/>
        <w:autoSpaceDN w:val="0"/>
        <w:adjustRightInd w:val="0"/>
        <w:spacing w:after="0"/>
        <w:ind w:left="6804" w:firstLine="1560"/>
        <w:jc w:val="center"/>
        <w:rPr>
          <w:rFonts w:ascii="Times New Roman" w:hAnsi="Times New Roman"/>
          <w:i/>
          <w:sz w:val="28"/>
          <w:szCs w:val="28"/>
        </w:rPr>
      </w:pPr>
    </w:p>
    <w:p w14:paraId="6644AE5A" w14:textId="77777777" w:rsidR="00765CBE" w:rsidRDefault="00765CBE" w:rsidP="00765CBE">
      <w:pPr>
        <w:autoSpaceDE w:val="0"/>
        <w:autoSpaceDN w:val="0"/>
        <w:adjustRightInd w:val="0"/>
        <w:spacing w:after="0"/>
        <w:ind w:left="6804" w:firstLine="1560"/>
        <w:jc w:val="center"/>
        <w:rPr>
          <w:rFonts w:ascii="Times New Roman" w:hAnsi="Times New Roman"/>
          <w:i/>
          <w:sz w:val="28"/>
          <w:szCs w:val="28"/>
        </w:rPr>
      </w:pPr>
    </w:p>
    <w:p w14:paraId="73E1A70E" w14:textId="77777777" w:rsidR="00765CBE" w:rsidRDefault="00765CBE" w:rsidP="00765CBE">
      <w:pPr>
        <w:spacing w:after="0" w:line="360" w:lineRule="auto"/>
        <w:ind w:right="-1"/>
        <w:jc w:val="center"/>
        <w:rPr>
          <w:rFonts w:ascii="Times New Roman" w:hAnsi="Times New Roman"/>
          <w:b/>
          <w:sz w:val="24"/>
          <w:szCs w:val="24"/>
        </w:rPr>
      </w:pPr>
      <w:r>
        <w:rPr>
          <w:rFonts w:ascii="Times New Roman" w:hAnsi="Times New Roman"/>
          <w:b/>
          <w:sz w:val="24"/>
          <w:szCs w:val="24"/>
        </w:rPr>
        <w:t xml:space="preserve">MODELLO DI COMUNICAZIONE DEI DATI CONCERNENTI IL CREDITO D’IMPOSTA PER INVESTIMENTI IN BENI STRUMENTALI FUNZIONALI ALLA TRASFORMAZIONE TECNOLOGICA E DIGITALE DELLE IMPRESE DI CUI AGLI ALLEGATI A E B ALLA LEGGE N. 232 DEL 2016 </w:t>
      </w:r>
    </w:p>
    <w:p w14:paraId="32D2C7A9" w14:textId="77777777" w:rsidR="00765CBE" w:rsidRDefault="00765CBE" w:rsidP="00765CBE">
      <w:pPr>
        <w:spacing w:after="0" w:line="360" w:lineRule="auto"/>
        <w:ind w:right="-1"/>
        <w:jc w:val="center"/>
        <w:rPr>
          <w:rFonts w:ascii="Times New Roman" w:hAnsi="Times New Roman"/>
          <w:b/>
          <w:szCs w:val="24"/>
        </w:rPr>
      </w:pPr>
      <w:r>
        <w:rPr>
          <w:rFonts w:ascii="Times New Roman" w:hAnsi="Times New Roman"/>
          <w:b/>
          <w:szCs w:val="24"/>
        </w:rPr>
        <w:t xml:space="preserve">(Art. 1, commi 189 e 190, della legge 27 dicembre 2019, n. 160, e art. 1, commi da 1051 a 1063, della legge 30 dicembre 2020, n. 178) </w:t>
      </w:r>
    </w:p>
    <w:p w14:paraId="5B4276BC" w14:textId="77777777" w:rsidR="00765CBE" w:rsidRDefault="00765CBE" w:rsidP="00765CBE">
      <w:pPr>
        <w:pStyle w:val="Corpotesto"/>
        <w:jc w:val="center"/>
        <w:rPr>
          <w:b/>
        </w:rPr>
      </w:pPr>
      <w:r>
        <w:rPr>
          <w:noProof/>
        </w:rPr>
        <mc:AlternateContent>
          <mc:Choice Requires="wps">
            <w:drawing>
              <wp:anchor distT="0" distB="0" distL="114300" distR="114300" simplePos="0" relativeHeight="251784704" behindDoc="0" locked="0" layoutInCell="1" allowOverlap="1" wp14:anchorId="177C8970" wp14:editId="1FB13CE5">
                <wp:simplePos x="0" y="0"/>
                <wp:positionH relativeFrom="column">
                  <wp:posOffset>-8255</wp:posOffset>
                </wp:positionH>
                <wp:positionV relativeFrom="paragraph">
                  <wp:posOffset>114935</wp:posOffset>
                </wp:positionV>
                <wp:extent cx="6082030" cy="0"/>
                <wp:effectExtent l="0" t="0" r="33020" b="38100"/>
                <wp:wrapNone/>
                <wp:docPr id="63" name="Connettore diritto 63"/>
                <wp:cNvGraphicFramePr/>
                <a:graphic xmlns:a="http://schemas.openxmlformats.org/drawingml/2006/main">
                  <a:graphicData uri="http://schemas.microsoft.com/office/word/2010/wordprocessingShape">
                    <wps:wsp>
                      <wps:cNvCnPr/>
                      <wps:spPr>
                        <a:xfrm>
                          <a:off x="0" y="0"/>
                          <a:ext cx="608203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5DA53" id="Connettore diritto 63"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9.05pt" to="478.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" strokecolor="black [3213]" strokeweight="1pt"/>
            </w:pict>
          </mc:Fallback>
        </mc:AlternateContent>
      </w:r>
    </w:p>
    <w:p w14:paraId="1FD1EA0F" w14:textId="77777777" w:rsidR="00765CBE" w:rsidRDefault="00765CBE" w:rsidP="00765CBE">
      <w:pPr>
        <w:pStyle w:val="Corpotesto"/>
        <w:jc w:val="center"/>
        <w:rPr>
          <w:b/>
        </w:rPr>
      </w:pPr>
      <w:r>
        <w:rPr>
          <w:b/>
        </w:rPr>
        <w:t>FRONTESPIZIO</w:t>
      </w:r>
    </w:p>
    <w:p w14:paraId="530CFA2B" w14:textId="77777777" w:rsidR="00765CBE" w:rsidRDefault="00765CBE" w:rsidP="00765CBE">
      <w:pPr>
        <w:spacing w:after="0" w:line="360" w:lineRule="auto"/>
        <w:rPr>
          <w:rFonts w:ascii="Times New Roman" w:hAnsi="Times New Roman"/>
          <w:szCs w:val="20"/>
        </w:rPr>
      </w:pPr>
      <w:r>
        <w:rPr>
          <w:rFonts w:ascii="Times New Roman" w:hAnsi="Times New Roman"/>
          <w:szCs w:val="20"/>
        </w:rPr>
        <w:t>Denominazione: __________________________________________________________________________________</w:t>
      </w:r>
    </w:p>
    <w:p w14:paraId="33E630B8" w14:textId="77777777" w:rsidR="00765CBE" w:rsidRDefault="00765CBE" w:rsidP="00765CBE">
      <w:pPr>
        <w:spacing w:after="0" w:line="360" w:lineRule="auto"/>
        <w:rPr>
          <w:rFonts w:ascii="Times New Roman" w:hAnsi="Times New Roman"/>
          <w:szCs w:val="20"/>
        </w:rPr>
      </w:pPr>
      <w:r>
        <w:rPr>
          <w:rFonts w:ascii="Times New Roman" w:hAnsi="Times New Roman"/>
          <w:szCs w:val="20"/>
        </w:rPr>
        <w:t>Forma giuridica: __________________________________________________________________________________</w:t>
      </w:r>
    </w:p>
    <w:p w14:paraId="20E7C84E" w14:textId="77777777" w:rsidR="00765CBE" w:rsidRDefault="00765CBE" w:rsidP="00765CBE">
      <w:pPr>
        <w:spacing w:after="0" w:line="360" w:lineRule="auto"/>
        <w:rPr>
          <w:rFonts w:ascii="Times New Roman" w:hAnsi="Times New Roman"/>
          <w:szCs w:val="20"/>
        </w:rPr>
      </w:pPr>
      <w:r>
        <w:rPr>
          <w:rFonts w:ascii="Times New Roman" w:hAnsi="Times New Roman"/>
          <w:szCs w:val="20"/>
        </w:rPr>
        <w:t>Codice fiscale / p. IVA: ____________________________________________________________________________</w:t>
      </w:r>
    </w:p>
    <w:p w14:paraId="76FC1A6B" w14:textId="77777777" w:rsidR="00765CBE" w:rsidRDefault="00765CBE" w:rsidP="00765CBE">
      <w:pPr>
        <w:spacing w:after="0" w:line="360" w:lineRule="auto"/>
        <w:rPr>
          <w:rFonts w:ascii="Times New Roman" w:hAnsi="Times New Roman"/>
          <w:szCs w:val="20"/>
        </w:rPr>
      </w:pPr>
      <w:r>
        <w:rPr>
          <w:rFonts w:ascii="Times New Roman" w:hAnsi="Times New Roman"/>
          <w:szCs w:val="20"/>
        </w:rPr>
        <w:t>Codice ATECO: __________________________________________________________________________________</w:t>
      </w:r>
    </w:p>
    <w:p w14:paraId="408E8304" w14:textId="77777777" w:rsidR="00765CBE" w:rsidRDefault="00765CBE" w:rsidP="00765CBE">
      <w:pPr>
        <w:spacing w:after="0" w:line="360" w:lineRule="auto"/>
        <w:rPr>
          <w:rFonts w:ascii="Times New Roman" w:hAnsi="Times New Roman"/>
          <w:position w:val="7"/>
          <w:szCs w:val="20"/>
        </w:rPr>
      </w:pPr>
      <w:r>
        <w:rPr>
          <w:rFonts w:ascii="Times New Roman" w:hAnsi="Times New Roman"/>
          <w:szCs w:val="20"/>
        </w:rPr>
        <w:t>Dimensione impresa (micro, piccola, media, grande): _____________________________________________________</w:t>
      </w:r>
    </w:p>
    <w:p w14:paraId="36450BF1" w14:textId="77777777" w:rsidR="00765CBE" w:rsidRDefault="00765CBE" w:rsidP="00765CBE">
      <w:pPr>
        <w:spacing w:after="0" w:line="360" w:lineRule="auto"/>
        <w:rPr>
          <w:rFonts w:ascii="Times New Roman" w:hAnsi="Times New Roman"/>
          <w:szCs w:val="20"/>
        </w:rPr>
      </w:pPr>
      <w:r>
        <w:rPr>
          <w:rFonts w:ascii="Times New Roman" w:hAnsi="Times New Roman"/>
          <w:szCs w:val="20"/>
        </w:rPr>
        <w:t>Data costituzione: _________________________________________________________________________________</w:t>
      </w:r>
    </w:p>
    <w:p w14:paraId="11E7EE13" w14:textId="77777777" w:rsidR="00765CBE" w:rsidRDefault="00765CBE" w:rsidP="00765CBE">
      <w:pPr>
        <w:spacing w:after="0" w:line="360" w:lineRule="auto"/>
        <w:rPr>
          <w:rFonts w:ascii="Times New Roman" w:hAnsi="Times New Roman"/>
          <w:szCs w:val="20"/>
        </w:rPr>
      </w:pPr>
      <w:r>
        <w:rPr>
          <w:rFonts w:ascii="Times New Roman" w:hAnsi="Times New Roman"/>
          <w:szCs w:val="20"/>
        </w:rPr>
        <w:t>Sede legale: Indirizzo (via, piazza, ecc.) _______________________________________________________ n. ______ Comune __________________________________________________________ prov. ______ C.A.P. _____________</w:t>
      </w:r>
    </w:p>
    <w:p w14:paraId="09A51A5C" w14:textId="77777777" w:rsidR="00765CBE" w:rsidRDefault="00765CBE" w:rsidP="00765CBE">
      <w:pPr>
        <w:spacing w:after="0" w:line="360" w:lineRule="auto"/>
        <w:rPr>
          <w:rFonts w:ascii="Times New Roman" w:hAnsi="Times New Roman"/>
          <w:noProof/>
          <w:szCs w:val="20"/>
        </w:rPr>
      </w:pPr>
      <w:r>
        <w:rPr>
          <w:rFonts w:ascii="Times New Roman" w:hAnsi="Times New Roman"/>
          <w:szCs w:val="20"/>
        </w:rPr>
        <w:t xml:space="preserve">Posta elettronica certificata: _________________________________________________________________________ </w:t>
      </w:r>
    </w:p>
    <w:p w14:paraId="1DF0EB87" w14:textId="77777777" w:rsidR="00765CBE" w:rsidRDefault="00765CBE" w:rsidP="00765CBE">
      <w:pPr>
        <w:spacing w:after="0" w:line="360" w:lineRule="auto"/>
        <w:rPr>
          <w:rFonts w:ascii="Times New Roman" w:hAnsi="Times New Roman"/>
          <w:szCs w:val="20"/>
        </w:rPr>
      </w:pPr>
      <w:r>
        <w:rPr>
          <w:rFonts w:ascii="Times New Roman" w:hAnsi="Times New Roman"/>
          <w:szCs w:val="20"/>
        </w:rPr>
        <w:t xml:space="preserve">Appartenenza a un gruppo di imprese: SI </w:t>
      </w:r>
      <w:r>
        <w:rPr>
          <w:rFonts w:ascii="Segoe UI Symbol" w:hAnsi="Segoe UI Symbol" w:cs="Segoe UI Symbol"/>
          <w:szCs w:val="20"/>
        </w:rPr>
        <w:t>☐</w:t>
      </w:r>
      <w:r>
        <w:rPr>
          <w:rFonts w:ascii="Times New Roman" w:hAnsi="Times New Roman"/>
          <w:szCs w:val="20"/>
        </w:rPr>
        <w:t xml:space="preserve">    NO </w:t>
      </w:r>
      <w:r>
        <w:rPr>
          <w:rFonts w:ascii="Segoe UI Symbol" w:hAnsi="Segoe UI Symbol" w:cs="Segoe UI Symbol"/>
          <w:szCs w:val="20"/>
        </w:rPr>
        <w:t>☐</w:t>
      </w:r>
    </w:p>
    <w:p w14:paraId="3E88650C" w14:textId="77777777" w:rsidR="00765CBE" w:rsidRDefault="00765CBE" w:rsidP="00765CBE">
      <w:pPr>
        <w:spacing w:after="0" w:line="360" w:lineRule="auto"/>
        <w:rPr>
          <w:rFonts w:ascii="Times New Roman" w:hAnsi="Times New Roman"/>
          <w:szCs w:val="20"/>
        </w:rPr>
      </w:pPr>
      <w:r>
        <w:rPr>
          <w:rFonts w:ascii="Times New Roman" w:hAnsi="Times New Roman"/>
          <w:szCs w:val="20"/>
        </w:rPr>
        <w:t xml:space="preserve">Se sì, indicare in quale posizione è situata all’interno di tale gruppo: Capogruppo </w:t>
      </w:r>
      <w:r>
        <w:rPr>
          <w:rFonts w:ascii="Segoe UI Symbol" w:hAnsi="Segoe UI Symbol" w:cs="Segoe UI Symbol"/>
          <w:szCs w:val="20"/>
        </w:rPr>
        <w:t>☐</w:t>
      </w:r>
      <w:r>
        <w:rPr>
          <w:rFonts w:ascii="Times New Roman" w:hAnsi="Times New Roman"/>
          <w:szCs w:val="20"/>
        </w:rPr>
        <w:t xml:space="preserve">       Controllata </w:t>
      </w:r>
      <w:r>
        <w:rPr>
          <w:rFonts w:ascii="Segoe UI Symbol" w:hAnsi="Segoe UI Symbol" w:cs="Segoe UI Symbol"/>
          <w:szCs w:val="20"/>
        </w:rPr>
        <w:t>☐</w:t>
      </w:r>
      <w:r>
        <w:rPr>
          <w:rFonts w:ascii="Times New Roman" w:hAnsi="Times New Roman"/>
          <w:szCs w:val="20"/>
        </w:rPr>
        <w:t xml:space="preserve">     </w:t>
      </w:r>
    </w:p>
    <w:p w14:paraId="11995062" w14:textId="77777777" w:rsidR="00765CBE" w:rsidRDefault="00765CBE" w:rsidP="00765CBE">
      <w:pPr>
        <w:spacing w:after="0" w:line="360" w:lineRule="auto"/>
        <w:rPr>
          <w:rFonts w:ascii="Times New Roman" w:hAnsi="Times New Roman"/>
          <w:szCs w:val="20"/>
        </w:rPr>
      </w:pPr>
      <w:r>
        <w:rPr>
          <w:rFonts w:ascii="Times New Roman" w:hAnsi="Times New Roman"/>
          <w:szCs w:val="20"/>
        </w:rPr>
        <w:t>Se non è capogruppo, indicare in quale Stato ha sede legale l’impresa capogruppo: _____________________________</w:t>
      </w:r>
    </w:p>
    <w:p w14:paraId="41AD7CF8" w14:textId="77777777" w:rsidR="00765CBE" w:rsidRDefault="00765CBE" w:rsidP="00765CBE">
      <w:pPr>
        <w:spacing w:after="0" w:line="360" w:lineRule="auto"/>
        <w:rPr>
          <w:rFonts w:ascii="Times New Roman" w:eastAsia="MS Gothic" w:hAnsi="Times New Roman"/>
          <w:szCs w:val="20"/>
        </w:rPr>
      </w:pPr>
      <w:r>
        <w:rPr>
          <w:rFonts w:ascii="Times New Roman" w:hAnsi="Times New Roman"/>
          <w:szCs w:val="20"/>
        </w:rPr>
        <w:t xml:space="preserve">Gli investimenti effettuati fanno parte di: nuovo stabilimento </w:t>
      </w:r>
      <w:sdt>
        <w:sdtPr>
          <w:rPr>
            <w:rFonts w:ascii="Times New Roman" w:eastAsia="MS Gothic" w:hAnsi="Times New Roman"/>
            <w:szCs w:val="20"/>
          </w:rPr>
          <w:id w:val="594053701"/>
          <w14:checkbox>
            <w14:checked w14:val="0"/>
            <w14:checkedState w14:val="2612" w14:font="MS Gothic"/>
            <w14:uncheckedState w14:val="2610" w14:font="MS Gothic"/>
          </w14:checkbox>
        </w:sdtPr>
        <w:sdtEndPr/>
        <w:sdtContent>
          <w:r>
            <w:rPr>
              <w:rFonts w:ascii="Segoe UI Symbol" w:eastAsia="MS Gothic" w:hAnsi="Segoe UI Symbol" w:cs="Segoe UI Symbol"/>
              <w:szCs w:val="20"/>
            </w:rPr>
            <w:t>☐</w:t>
          </w:r>
        </w:sdtContent>
      </w:sdt>
      <w:r>
        <w:rPr>
          <w:rFonts w:ascii="Times New Roman" w:eastAsia="MS Gothic" w:hAnsi="Times New Roman"/>
          <w:szCs w:val="20"/>
        </w:rPr>
        <w:t xml:space="preserve">     </w:t>
      </w:r>
      <w:r>
        <w:rPr>
          <w:rFonts w:ascii="Times New Roman" w:hAnsi="Times New Roman"/>
          <w:szCs w:val="20"/>
        </w:rPr>
        <w:t>rinnovamento</w:t>
      </w:r>
      <w:r>
        <w:rPr>
          <w:rFonts w:ascii="Times New Roman" w:eastAsia="MS Gothic" w:hAnsi="Times New Roman"/>
          <w:szCs w:val="20"/>
        </w:rPr>
        <w:t xml:space="preserve"> </w:t>
      </w:r>
      <w:r>
        <w:rPr>
          <w:rFonts w:ascii="Times New Roman" w:hAnsi="Times New Roman"/>
          <w:szCs w:val="20"/>
        </w:rPr>
        <w:t xml:space="preserve">stabilimento esistente </w:t>
      </w:r>
      <w:sdt>
        <w:sdtPr>
          <w:rPr>
            <w:rFonts w:ascii="Times New Roman" w:eastAsia="MS Gothic" w:hAnsi="Times New Roman"/>
            <w:szCs w:val="20"/>
          </w:rPr>
          <w:id w:val="292869951"/>
          <w14:checkbox>
            <w14:checked w14:val="0"/>
            <w14:checkedState w14:val="2612" w14:font="MS Gothic"/>
            <w14:uncheckedState w14:val="2610" w14:font="MS Gothic"/>
          </w14:checkbox>
        </w:sdtPr>
        <w:sdtEndPr/>
        <w:sdtContent>
          <w:r w:rsidRPr="001C392F">
            <w:rPr>
              <w:rFonts w:ascii="MS Gothic" w:eastAsia="MS Gothic" w:hAnsi="MS Gothic" w:hint="eastAsia"/>
              <w:szCs w:val="20"/>
            </w:rPr>
            <w:t>☐</w:t>
          </w:r>
        </w:sdtContent>
      </w:sdt>
      <w:r>
        <w:rPr>
          <w:rFonts w:ascii="Times New Roman" w:eastAsia="MS Gothic" w:hAnsi="Times New Roman"/>
          <w:szCs w:val="20"/>
        </w:rPr>
        <w:t xml:space="preserve">    </w:t>
      </w:r>
      <w:r>
        <w:rPr>
          <w:rFonts w:ascii="Times New Roman" w:hAnsi="Times New Roman"/>
          <w:szCs w:val="20"/>
        </w:rPr>
        <w:t xml:space="preserve">entrambi </w:t>
      </w:r>
      <w:sdt>
        <w:sdtPr>
          <w:rPr>
            <w:rFonts w:ascii="Times New Roman" w:eastAsia="MS Gothic" w:hAnsi="Times New Roman"/>
            <w:szCs w:val="20"/>
          </w:rPr>
          <w:id w:val="1155806814"/>
          <w14:checkbox>
            <w14:checked w14:val="0"/>
            <w14:checkedState w14:val="2612" w14:font="MS Gothic"/>
            <w14:uncheckedState w14:val="2610" w14:font="MS Gothic"/>
          </w14:checkbox>
        </w:sdtPr>
        <w:sdtEndPr/>
        <w:sdtContent>
          <w:r>
            <w:rPr>
              <w:rFonts w:ascii="Segoe UI Symbol" w:eastAsia="MS Gothic" w:hAnsi="Segoe UI Symbol" w:cs="Segoe UI Symbol"/>
              <w:szCs w:val="20"/>
            </w:rPr>
            <w:t>☐</w:t>
          </w:r>
        </w:sdtContent>
      </w:sdt>
    </w:p>
    <w:p w14:paraId="37A006DE" w14:textId="77777777" w:rsidR="00765CBE" w:rsidRDefault="00765CBE" w:rsidP="00765CBE">
      <w:pPr>
        <w:spacing w:after="0" w:line="360" w:lineRule="auto"/>
        <w:rPr>
          <w:rFonts w:ascii="Times New Roman" w:eastAsiaTheme="minorHAnsi" w:hAnsi="Times New Roman"/>
          <w:szCs w:val="20"/>
          <w:lang w:eastAsia="it-IT" w:bidi="it-IT"/>
        </w:rPr>
      </w:pPr>
      <w:r>
        <w:rPr>
          <w:rFonts w:ascii="Times New Roman" w:hAnsi="Times New Roman"/>
          <w:szCs w:val="20"/>
          <w:lang w:eastAsia="it-IT" w:bidi="it-IT"/>
        </w:rPr>
        <w:t xml:space="preserve">L’impresa ha fruito in periodi d’imposta precedenti dell’analoga disciplina dell’iper ammortamento?         </w:t>
      </w:r>
      <w:r>
        <w:rPr>
          <w:rFonts w:ascii="Times New Roman" w:hAnsi="Times New Roman"/>
          <w:szCs w:val="20"/>
        </w:rPr>
        <w:t xml:space="preserve">SI </w:t>
      </w:r>
      <w:r>
        <w:rPr>
          <w:rFonts w:ascii="Segoe UI Symbol" w:hAnsi="Segoe UI Symbol" w:cs="Segoe UI Symbol"/>
          <w:szCs w:val="20"/>
        </w:rPr>
        <w:t>☐</w:t>
      </w:r>
      <w:r>
        <w:rPr>
          <w:rFonts w:ascii="Times New Roman" w:hAnsi="Times New Roman"/>
          <w:szCs w:val="20"/>
        </w:rPr>
        <w:t xml:space="preserve">    NO </w:t>
      </w:r>
      <w:r>
        <w:rPr>
          <w:rFonts w:ascii="Segoe UI Symbol" w:hAnsi="Segoe UI Symbol" w:cs="Segoe UI Symbol"/>
          <w:szCs w:val="20"/>
        </w:rPr>
        <w:t>☐</w:t>
      </w:r>
    </w:p>
    <w:p w14:paraId="11344526" w14:textId="77777777" w:rsidR="00765CBE" w:rsidRDefault="00765CBE" w:rsidP="00765CBE">
      <w:pPr>
        <w:spacing w:after="0" w:line="360" w:lineRule="auto"/>
        <w:rPr>
          <w:rFonts w:ascii="Segoe UI Symbol" w:hAnsi="Segoe UI Symbol" w:cs="Segoe UI Symbol"/>
          <w:szCs w:val="20"/>
        </w:rPr>
      </w:pPr>
      <w:r>
        <w:rPr>
          <w:rFonts w:ascii="Times New Roman" w:hAnsi="Times New Roman"/>
          <w:lang w:eastAsia="it-IT" w:bidi="it-IT"/>
        </w:rPr>
        <w:t>L’impresa si è avvalsa di un innovation manager?</w:t>
      </w:r>
      <w:r>
        <w:rPr>
          <w:lang w:eastAsia="it-IT" w:bidi="it-IT"/>
        </w:rPr>
        <w:t xml:space="preserve">  </w:t>
      </w:r>
      <w:r>
        <w:rPr>
          <w:rFonts w:ascii="Times New Roman" w:hAnsi="Times New Roman"/>
          <w:szCs w:val="20"/>
        </w:rPr>
        <w:t xml:space="preserve">SI </w:t>
      </w:r>
      <w:r>
        <w:rPr>
          <w:rFonts w:ascii="Segoe UI Symbol" w:hAnsi="Segoe UI Symbol" w:cs="Segoe UI Symbol"/>
          <w:szCs w:val="20"/>
        </w:rPr>
        <w:t>☐</w:t>
      </w:r>
      <w:r>
        <w:rPr>
          <w:rFonts w:ascii="Times New Roman" w:hAnsi="Times New Roman"/>
          <w:szCs w:val="20"/>
        </w:rPr>
        <w:t xml:space="preserve"> NO </w:t>
      </w:r>
      <w:r>
        <w:rPr>
          <w:rFonts w:ascii="Segoe UI Symbol" w:hAnsi="Segoe UI Symbol" w:cs="Segoe UI Symbol"/>
          <w:szCs w:val="20"/>
        </w:rPr>
        <w:t xml:space="preserve">☐       </w:t>
      </w:r>
      <w:r>
        <w:rPr>
          <w:rFonts w:ascii="Times New Roman" w:hAnsi="Times New Roman"/>
          <w:lang w:eastAsia="it-IT" w:bidi="it-IT"/>
        </w:rPr>
        <w:t xml:space="preserve">Se sì, ha fruito del voucher manager? </w:t>
      </w:r>
      <w:r>
        <w:rPr>
          <w:rFonts w:ascii="Times New Roman" w:hAnsi="Times New Roman"/>
          <w:szCs w:val="20"/>
        </w:rPr>
        <w:t xml:space="preserve">SI </w:t>
      </w:r>
      <w:r>
        <w:rPr>
          <w:rFonts w:ascii="Segoe UI Symbol" w:hAnsi="Segoe UI Symbol" w:cs="Segoe UI Symbol"/>
          <w:szCs w:val="20"/>
        </w:rPr>
        <w:t>☐</w:t>
      </w:r>
      <w:r>
        <w:rPr>
          <w:rFonts w:ascii="Times New Roman" w:hAnsi="Times New Roman"/>
          <w:szCs w:val="20"/>
        </w:rPr>
        <w:t xml:space="preserve">    NO </w:t>
      </w:r>
      <w:r>
        <w:rPr>
          <w:rFonts w:ascii="Segoe UI Symbol" w:hAnsi="Segoe UI Symbol" w:cs="Segoe UI Symbol"/>
          <w:szCs w:val="20"/>
        </w:rPr>
        <w:t>☐</w:t>
      </w:r>
    </w:p>
    <w:p w14:paraId="1D4D75C2" w14:textId="77777777" w:rsidR="00765CBE" w:rsidRDefault="00765CBE" w:rsidP="00765CBE">
      <w:pPr>
        <w:spacing w:line="360" w:lineRule="auto"/>
        <w:jc w:val="both"/>
        <w:rPr>
          <w:rFonts w:ascii="Times New Roman" w:hAnsi="Times New Roman"/>
          <w:lang w:eastAsia="it-IT" w:bidi="it-IT"/>
        </w:rPr>
      </w:pPr>
      <w:r>
        <w:rPr>
          <w:rFonts w:ascii="Times New Roman" w:hAnsi="Times New Roman"/>
          <w:lang w:eastAsia="it-IT" w:bidi="it-IT"/>
        </w:rPr>
        <w:t xml:space="preserve">A quale/i tecnologie abilitanti il paradigma 4.0 si ricollegano gli investimenti effettuati dall’impresa: </w:t>
      </w:r>
      <w:r>
        <w:rPr>
          <w:rFonts w:ascii="Times New Roman" w:hAnsi="Times New Roman"/>
          <w:i/>
          <w:lang w:eastAsia="it-IT" w:bidi="it-IT"/>
        </w:rPr>
        <w:t xml:space="preserve">Advanced manufacturing solution </w:t>
      </w:r>
      <w:r>
        <w:rPr>
          <w:rFonts w:ascii="Segoe UI Symbol" w:hAnsi="Segoe UI Symbol" w:cs="Segoe UI Symbol"/>
          <w:szCs w:val="20"/>
        </w:rPr>
        <w:t xml:space="preserve">☐ </w:t>
      </w:r>
      <w:r>
        <w:rPr>
          <w:rFonts w:ascii="Times New Roman" w:hAnsi="Times New Roman"/>
          <w:i/>
          <w:lang w:eastAsia="it-IT" w:bidi="it-IT"/>
        </w:rPr>
        <w:t xml:space="preserve">Additive manufacturing </w:t>
      </w:r>
      <w:r>
        <w:rPr>
          <w:rFonts w:ascii="Segoe UI Symbol" w:hAnsi="Segoe UI Symbol" w:cs="Segoe UI Symbol"/>
          <w:szCs w:val="20"/>
        </w:rPr>
        <w:t xml:space="preserve">☐ </w:t>
      </w:r>
      <w:r>
        <w:rPr>
          <w:rFonts w:ascii="Times New Roman" w:hAnsi="Times New Roman"/>
          <w:i/>
          <w:lang w:eastAsia="it-IT" w:bidi="it-IT"/>
        </w:rPr>
        <w:t xml:space="preserve">Augmented reality </w:t>
      </w:r>
      <w:r>
        <w:rPr>
          <w:rFonts w:ascii="Segoe UI Symbol" w:hAnsi="Segoe UI Symbol" w:cs="Segoe UI Symbol"/>
          <w:szCs w:val="20"/>
        </w:rPr>
        <w:t xml:space="preserve">☐ </w:t>
      </w:r>
      <w:r>
        <w:rPr>
          <w:rFonts w:ascii="Times New Roman" w:hAnsi="Times New Roman"/>
          <w:i/>
          <w:lang w:eastAsia="it-IT" w:bidi="it-IT"/>
        </w:rPr>
        <w:t xml:space="preserve">Simulation </w:t>
      </w:r>
      <w:r>
        <w:rPr>
          <w:rFonts w:ascii="Segoe UI Symbol" w:hAnsi="Segoe UI Symbol" w:cs="Segoe UI Symbol"/>
          <w:szCs w:val="20"/>
        </w:rPr>
        <w:t xml:space="preserve">☐ </w:t>
      </w:r>
      <w:r>
        <w:rPr>
          <w:rFonts w:ascii="Times New Roman" w:hAnsi="Times New Roman"/>
          <w:i/>
          <w:lang w:eastAsia="it-IT" w:bidi="it-IT"/>
        </w:rPr>
        <w:t xml:space="preserve">Horizontal/Vertical integration </w:t>
      </w:r>
      <w:r>
        <w:rPr>
          <w:rFonts w:ascii="Segoe UI Symbol" w:hAnsi="Segoe UI Symbol" w:cs="Segoe UI Symbol"/>
          <w:szCs w:val="20"/>
        </w:rPr>
        <w:t xml:space="preserve">☐ </w:t>
      </w:r>
      <w:r>
        <w:rPr>
          <w:rFonts w:ascii="Times New Roman" w:hAnsi="Times New Roman"/>
          <w:i/>
          <w:lang w:eastAsia="it-IT" w:bidi="it-IT"/>
        </w:rPr>
        <w:t xml:space="preserve">Industrial Internet of Things </w:t>
      </w:r>
      <w:r>
        <w:rPr>
          <w:rFonts w:ascii="Segoe UI Symbol" w:hAnsi="Segoe UI Symbol" w:cs="Segoe UI Symbol"/>
          <w:szCs w:val="20"/>
        </w:rPr>
        <w:t xml:space="preserve">☐ </w:t>
      </w:r>
      <w:r>
        <w:rPr>
          <w:rFonts w:ascii="Times New Roman" w:hAnsi="Times New Roman"/>
          <w:i/>
          <w:lang w:eastAsia="it-IT" w:bidi="it-IT"/>
        </w:rPr>
        <w:t xml:space="preserve">Cloud Computing </w:t>
      </w:r>
      <w:r>
        <w:rPr>
          <w:rFonts w:ascii="Segoe UI Symbol" w:hAnsi="Segoe UI Symbol" w:cs="Segoe UI Symbol"/>
          <w:szCs w:val="20"/>
        </w:rPr>
        <w:t xml:space="preserve">☐ </w:t>
      </w:r>
      <w:r>
        <w:rPr>
          <w:rFonts w:ascii="Times New Roman" w:hAnsi="Times New Roman"/>
          <w:i/>
          <w:lang w:eastAsia="it-IT" w:bidi="it-IT"/>
        </w:rPr>
        <w:t xml:space="preserve">Cybersecurity </w:t>
      </w:r>
      <w:r>
        <w:rPr>
          <w:rFonts w:ascii="Segoe UI Symbol" w:hAnsi="Segoe UI Symbol" w:cs="Segoe UI Symbol"/>
          <w:szCs w:val="20"/>
        </w:rPr>
        <w:t xml:space="preserve">☐ </w:t>
      </w:r>
      <w:r>
        <w:rPr>
          <w:rFonts w:ascii="Times New Roman" w:hAnsi="Times New Roman"/>
          <w:i/>
          <w:lang w:eastAsia="it-IT" w:bidi="it-IT"/>
        </w:rPr>
        <w:t xml:space="preserve">Big Data &amp; Analytics </w:t>
      </w:r>
      <w:r>
        <w:rPr>
          <w:rFonts w:ascii="Segoe UI Symbol" w:hAnsi="Segoe UI Symbol" w:cs="Segoe UI Symbol"/>
          <w:szCs w:val="20"/>
        </w:rPr>
        <w:t xml:space="preserve">☐ </w:t>
      </w:r>
      <w:r>
        <w:rPr>
          <w:rFonts w:ascii="Times New Roman" w:hAnsi="Times New Roman"/>
          <w:i/>
          <w:lang w:eastAsia="it-IT" w:bidi="it-IT"/>
        </w:rPr>
        <w:t xml:space="preserve">Altro (specificare) </w:t>
      </w:r>
    </w:p>
    <w:p w14:paraId="35C2F3E6" w14:textId="77777777" w:rsidR="00765CBE" w:rsidRPr="001C392F" w:rsidRDefault="00765CBE" w:rsidP="00765CBE">
      <w:pPr>
        <w:spacing w:after="0" w:line="360" w:lineRule="auto"/>
        <w:jc w:val="center"/>
        <w:rPr>
          <w:rFonts w:ascii="Times New Roman" w:eastAsiaTheme="minorHAnsi" w:hAnsi="Times New Roman"/>
          <w:b/>
        </w:rPr>
      </w:pPr>
      <w:r>
        <w:rPr>
          <w:rFonts w:ascii="Times New Roman" w:hAnsi="Times New Roman"/>
          <w:b/>
        </w:rPr>
        <w:lastRenderedPageBreak/>
        <w:t>SEZIONE A – INVESTIMENTI IN BENI STRUMENTALI MATERIALI DI CUI ALL’ALLEGATO A ALLA LEGGE N. 232 DEL 2016</w:t>
      </w:r>
    </w:p>
    <w:p w14:paraId="13138152" w14:textId="77777777" w:rsidR="00765CBE" w:rsidRDefault="00765CBE" w:rsidP="00765CBE">
      <w:pPr>
        <w:pStyle w:val="Didascalia"/>
        <w:keepNext/>
        <w:spacing w:after="120"/>
        <w:rPr>
          <w:b/>
          <w:i w:val="0"/>
          <w:color w:val="auto"/>
        </w:rPr>
      </w:pPr>
    </w:p>
    <w:tbl>
      <w:tblPr>
        <w:tblStyle w:val="Grigliatabella"/>
        <w:tblW w:w="5000" w:type="pct"/>
        <w:tblLook w:val="04A0" w:firstRow="1" w:lastRow="0" w:firstColumn="1" w:lastColumn="0" w:noHBand="0" w:noVBand="1"/>
      </w:tblPr>
      <w:tblGrid>
        <w:gridCol w:w="3539"/>
        <w:gridCol w:w="6089"/>
      </w:tblGrid>
      <w:tr w:rsidR="00765CBE" w14:paraId="475D5EDA" w14:textId="77777777" w:rsidTr="002A6683">
        <w:trPr>
          <w:trHeight w:val="517"/>
        </w:trPr>
        <w:tc>
          <w:tcPr>
            <w:tcW w:w="5000"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6E54D431" w14:textId="77777777" w:rsidR="00765CBE" w:rsidRDefault="00765CBE" w:rsidP="00AE49EC">
            <w:pPr>
              <w:pStyle w:val="Paragrafoelenco"/>
              <w:widowControl w:val="0"/>
              <w:numPr>
                <w:ilvl w:val="0"/>
                <w:numId w:val="31"/>
              </w:numPr>
              <w:autoSpaceDE w:val="0"/>
              <w:autoSpaceDN w:val="0"/>
              <w:spacing w:after="0" w:line="240" w:lineRule="auto"/>
              <w:jc w:val="center"/>
              <w:rPr>
                <w:rFonts w:ascii="Times New Roman" w:hAnsi="Times New Roman"/>
                <w:b/>
                <w:szCs w:val="20"/>
              </w:rPr>
            </w:pPr>
            <w:r>
              <w:rPr>
                <w:rFonts w:ascii="Times New Roman" w:hAnsi="Times New Roman"/>
                <w:b/>
                <w:szCs w:val="20"/>
              </w:rPr>
              <w:t>Beni strumentali il cui funzionamento è controllato da sistemi computerizzati o gestito tramite opportuni sensori e azionamenti (primo gruppo allegato A)</w:t>
            </w:r>
          </w:p>
        </w:tc>
      </w:tr>
      <w:tr w:rsidR="00765CBE" w14:paraId="53441E60" w14:textId="77777777" w:rsidTr="002A6683">
        <w:trPr>
          <w:trHeight w:val="272"/>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40C9F32" w14:textId="77777777" w:rsidR="00765CBE" w:rsidRDefault="00765CBE" w:rsidP="002A6683">
            <w:pPr>
              <w:widowControl w:val="0"/>
              <w:autoSpaceDE w:val="0"/>
              <w:autoSpaceDN w:val="0"/>
              <w:spacing w:after="0" w:line="240" w:lineRule="auto"/>
              <w:jc w:val="center"/>
              <w:rPr>
                <w:rFonts w:ascii="Times New Roman" w:hAnsi="Times New Roman"/>
                <w:szCs w:val="20"/>
              </w:rPr>
            </w:pPr>
            <w:r>
              <w:rPr>
                <w:rFonts w:ascii="Times New Roman" w:hAnsi="Times New Roman"/>
                <w:szCs w:val="20"/>
              </w:rPr>
              <w:t>Voce</w:t>
            </w:r>
            <w:r>
              <w:rPr>
                <w:rStyle w:val="Rimandonotaapidipagina"/>
                <w:rFonts w:ascii="Times New Roman" w:hAnsi="Times New Roman"/>
                <w:szCs w:val="20"/>
              </w:rPr>
              <w:footnoteReference w:id="2"/>
            </w:r>
          </w:p>
        </w:tc>
      </w:tr>
      <w:tr w:rsidR="00765CBE" w14:paraId="0B5D1ABE" w14:textId="77777777" w:rsidTr="002A6683">
        <w:trPr>
          <w:trHeight w:val="545"/>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74E2136" w14:textId="77777777" w:rsidR="00765CBE" w:rsidRDefault="00765CBE" w:rsidP="002A6683">
            <w:pPr>
              <w:spacing w:after="0" w:line="240" w:lineRule="auto"/>
              <w:rPr>
                <w:rFonts w:ascii="Times New Roman" w:hAnsi="Times New Roman"/>
                <w:szCs w:val="20"/>
              </w:rPr>
            </w:pPr>
            <w:r>
              <w:rPr>
                <w:rFonts w:ascii="Times New Roman" w:hAnsi="Times New Roman"/>
                <w:szCs w:val="20"/>
              </w:rPr>
              <w:t xml:space="preserve">1.1 </w:t>
            </w:r>
            <w:r>
              <w:rPr>
                <w:rFonts w:ascii="Segoe UI Symbol" w:hAnsi="Segoe UI Symbol" w:cs="Segoe UI Symbol"/>
                <w:szCs w:val="20"/>
              </w:rPr>
              <w:t xml:space="preserve">☐        </w:t>
            </w:r>
            <w:r>
              <w:rPr>
                <w:rFonts w:ascii="Times New Roman" w:hAnsi="Times New Roman"/>
                <w:szCs w:val="20"/>
              </w:rPr>
              <w:t xml:space="preserve">1.2 </w:t>
            </w:r>
            <w:r>
              <w:rPr>
                <w:rFonts w:ascii="Segoe UI Symbol" w:hAnsi="Segoe UI Symbol" w:cs="Segoe UI Symbol"/>
                <w:szCs w:val="20"/>
              </w:rPr>
              <w:t xml:space="preserve">☐        </w:t>
            </w:r>
            <w:r>
              <w:rPr>
                <w:rFonts w:ascii="Times New Roman" w:hAnsi="Times New Roman"/>
                <w:szCs w:val="20"/>
              </w:rPr>
              <w:t xml:space="preserve">1.3 </w:t>
            </w:r>
            <w:r>
              <w:rPr>
                <w:rFonts w:ascii="Segoe UI Symbol" w:hAnsi="Segoe UI Symbol" w:cs="Segoe UI Symbol"/>
                <w:szCs w:val="20"/>
              </w:rPr>
              <w:t xml:space="preserve">☐        </w:t>
            </w:r>
            <w:r>
              <w:rPr>
                <w:rFonts w:ascii="Times New Roman" w:hAnsi="Times New Roman"/>
                <w:szCs w:val="20"/>
              </w:rPr>
              <w:t xml:space="preserve">1.4 </w:t>
            </w:r>
            <w:r>
              <w:rPr>
                <w:rFonts w:ascii="Segoe UI Symbol" w:hAnsi="Segoe UI Symbol" w:cs="Segoe UI Symbol"/>
                <w:szCs w:val="20"/>
              </w:rPr>
              <w:t xml:space="preserve">☐        </w:t>
            </w:r>
            <w:r>
              <w:rPr>
                <w:rFonts w:ascii="Times New Roman" w:hAnsi="Times New Roman"/>
                <w:szCs w:val="20"/>
              </w:rPr>
              <w:t xml:space="preserve">1.5 </w:t>
            </w:r>
            <w:r>
              <w:rPr>
                <w:rFonts w:ascii="Segoe UI Symbol" w:hAnsi="Segoe UI Symbol" w:cs="Segoe UI Symbol"/>
                <w:szCs w:val="20"/>
              </w:rPr>
              <w:t xml:space="preserve">☐        </w:t>
            </w:r>
            <w:r>
              <w:rPr>
                <w:rFonts w:ascii="Times New Roman" w:hAnsi="Times New Roman"/>
                <w:szCs w:val="20"/>
              </w:rPr>
              <w:t xml:space="preserve">1.6 </w:t>
            </w:r>
            <w:r>
              <w:rPr>
                <w:rFonts w:ascii="Segoe UI Symbol" w:hAnsi="Segoe UI Symbol" w:cs="Segoe UI Symbol"/>
                <w:szCs w:val="20"/>
              </w:rPr>
              <w:t xml:space="preserve">☐        </w:t>
            </w:r>
            <w:r>
              <w:rPr>
                <w:rFonts w:ascii="Times New Roman" w:hAnsi="Times New Roman"/>
                <w:szCs w:val="20"/>
              </w:rPr>
              <w:t xml:space="preserve">1.7 </w:t>
            </w:r>
            <w:r>
              <w:rPr>
                <w:rFonts w:ascii="Segoe UI Symbol" w:hAnsi="Segoe UI Symbol" w:cs="Segoe UI Symbol"/>
                <w:szCs w:val="20"/>
              </w:rPr>
              <w:t xml:space="preserve">☐        </w:t>
            </w:r>
            <w:r>
              <w:rPr>
                <w:rFonts w:ascii="Times New Roman" w:hAnsi="Times New Roman"/>
                <w:szCs w:val="20"/>
              </w:rPr>
              <w:t xml:space="preserve">1.8 </w:t>
            </w:r>
            <w:r>
              <w:rPr>
                <w:rFonts w:ascii="Segoe UI Symbol" w:hAnsi="Segoe UI Symbol" w:cs="Segoe UI Symbol"/>
                <w:szCs w:val="20"/>
              </w:rPr>
              <w:t xml:space="preserve">☐        </w:t>
            </w:r>
            <w:r>
              <w:rPr>
                <w:rFonts w:ascii="Times New Roman" w:hAnsi="Times New Roman"/>
                <w:szCs w:val="20"/>
              </w:rPr>
              <w:t xml:space="preserve">1.9 </w:t>
            </w:r>
            <w:r>
              <w:rPr>
                <w:rFonts w:ascii="Segoe UI Symbol" w:hAnsi="Segoe UI Symbol" w:cs="Segoe UI Symbol"/>
                <w:szCs w:val="20"/>
              </w:rPr>
              <w:t xml:space="preserve">☐        </w:t>
            </w:r>
            <w:r>
              <w:rPr>
                <w:rFonts w:ascii="Times New Roman" w:hAnsi="Times New Roman"/>
                <w:szCs w:val="20"/>
              </w:rPr>
              <w:t xml:space="preserve">1.10 </w:t>
            </w:r>
            <w:r>
              <w:rPr>
                <w:rFonts w:ascii="Segoe UI Symbol" w:hAnsi="Segoe UI Symbol" w:cs="Segoe UI Symbol"/>
                <w:szCs w:val="20"/>
              </w:rPr>
              <w:t xml:space="preserve">☐       </w:t>
            </w:r>
            <w:r>
              <w:rPr>
                <w:rFonts w:ascii="Times New Roman" w:hAnsi="Times New Roman"/>
                <w:szCs w:val="20"/>
              </w:rPr>
              <w:t xml:space="preserve">1.11 </w:t>
            </w:r>
            <w:r>
              <w:rPr>
                <w:rFonts w:ascii="Segoe UI Symbol" w:hAnsi="Segoe UI Symbol" w:cs="Segoe UI Symbol"/>
                <w:szCs w:val="20"/>
              </w:rPr>
              <w:t xml:space="preserve">☐      </w:t>
            </w:r>
            <w:r>
              <w:rPr>
                <w:rFonts w:ascii="Times New Roman" w:hAnsi="Times New Roman"/>
                <w:szCs w:val="20"/>
              </w:rPr>
              <w:t xml:space="preserve">1.12 </w:t>
            </w:r>
            <w:r>
              <w:rPr>
                <w:rFonts w:ascii="Segoe UI Symbol" w:hAnsi="Segoe UI Symbol" w:cs="Segoe UI Symbol"/>
                <w:szCs w:val="20"/>
              </w:rPr>
              <w:t xml:space="preserve">☐      </w:t>
            </w:r>
            <w:r>
              <w:rPr>
                <w:rFonts w:ascii="Times New Roman" w:hAnsi="Times New Roman"/>
                <w:szCs w:val="20"/>
              </w:rPr>
              <w:t xml:space="preserve">1.13 </w:t>
            </w:r>
            <w:r>
              <w:rPr>
                <w:rFonts w:ascii="Segoe UI Symbol" w:hAnsi="Segoe UI Symbol" w:cs="Segoe UI Symbol"/>
                <w:szCs w:val="20"/>
              </w:rPr>
              <w:t xml:space="preserve">☐ </w:t>
            </w:r>
            <w:r>
              <w:rPr>
                <w:rFonts w:ascii="Times New Roman" w:hAnsi="Times New Roman"/>
                <w:szCs w:val="20"/>
              </w:rPr>
              <w:t xml:space="preserve">       </w:t>
            </w:r>
          </w:p>
        </w:tc>
      </w:tr>
      <w:tr w:rsidR="00765CBE" w14:paraId="29724781" w14:textId="77777777" w:rsidTr="002A6683">
        <w:trPr>
          <w:trHeight w:val="427"/>
        </w:trPr>
        <w:tc>
          <w:tcPr>
            <w:tcW w:w="1838" w:type="pct"/>
            <w:tcBorders>
              <w:top w:val="single" w:sz="4" w:space="0" w:color="auto"/>
              <w:left w:val="single" w:sz="4" w:space="0" w:color="auto"/>
              <w:bottom w:val="single" w:sz="4" w:space="0" w:color="auto"/>
              <w:right w:val="single" w:sz="4" w:space="0" w:color="auto"/>
            </w:tcBorders>
            <w:vAlign w:val="center"/>
            <w:hideMark/>
          </w:tcPr>
          <w:p w14:paraId="0DD7A3E6" w14:textId="77777777" w:rsidR="00765CBE" w:rsidRDefault="00765CBE" w:rsidP="002A6683">
            <w:pPr>
              <w:spacing w:after="0" w:line="240" w:lineRule="auto"/>
              <w:jc w:val="center"/>
              <w:rPr>
                <w:rFonts w:ascii="Times New Roman" w:hAnsi="Times New Roman"/>
                <w:sz w:val="18"/>
                <w:szCs w:val="20"/>
              </w:rPr>
            </w:pPr>
            <w:r>
              <w:rPr>
                <w:rFonts w:ascii="Times New Roman" w:hAnsi="Times New Roman"/>
                <w:szCs w:val="20"/>
              </w:rPr>
              <w:t>Costo agevolabile</w:t>
            </w:r>
          </w:p>
        </w:tc>
        <w:tc>
          <w:tcPr>
            <w:tcW w:w="3162" w:type="pct"/>
            <w:tcBorders>
              <w:top w:val="single" w:sz="4" w:space="0" w:color="auto"/>
              <w:left w:val="single" w:sz="4" w:space="0" w:color="auto"/>
              <w:bottom w:val="single" w:sz="4" w:space="0" w:color="auto"/>
              <w:right w:val="single" w:sz="4" w:space="0" w:color="auto"/>
            </w:tcBorders>
            <w:vAlign w:val="center"/>
            <w:hideMark/>
          </w:tcPr>
          <w:p w14:paraId="24B75CDD" w14:textId="77777777" w:rsidR="00765CBE" w:rsidRDefault="00765CBE" w:rsidP="002A6683">
            <w:pPr>
              <w:spacing w:after="0" w:line="240" w:lineRule="auto"/>
              <w:jc w:val="right"/>
              <w:rPr>
                <w:rFonts w:ascii="Times New Roman" w:hAnsi="Times New Roman"/>
                <w:szCs w:val="20"/>
              </w:rPr>
            </w:pPr>
            <w:r>
              <w:rPr>
                <w:rFonts w:ascii="Times New Roman" w:hAnsi="Times New Roman"/>
                <w:szCs w:val="20"/>
              </w:rPr>
              <w:t>€</w:t>
            </w:r>
            <w:r>
              <w:rPr>
                <w:rFonts w:ascii="Times New Roman" w:hAnsi="Times New Roman"/>
                <w:b/>
                <w:szCs w:val="20"/>
              </w:rPr>
              <w:t xml:space="preserve">                                                     </w:t>
            </w:r>
          </w:p>
        </w:tc>
      </w:tr>
      <w:tr w:rsidR="00765CBE" w14:paraId="1B5EC7C5" w14:textId="77777777" w:rsidTr="002A6683">
        <w:trPr>
          <w:trHeight w:val="454"/>
        </w:trPr>
        <w:tc>
          <w:tcPr>
            <w:tcW w:w="5000" w:type="pct"/>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02DE2B4" w14:textId="77777777" w:rsidR="00765CBE" w:rsidRDefault="00765CBE" w:rsidP="00AE49EC">
            <w:pPr>
              <w:pStyle w:val="Paragrafoelenco"/>
              <w:widowControl w:val="0"/>
              <w:numPr>
                <w:ilvl w:val="0"/>
                <w:numId w:val="31"/>
              </w:numPr>
              <w:autoSpaceDE w:val="0"/>
              <w:autoSpaceDN w:val="0"/>
              <w:spacing w:after="0" w:line="240" w:lineRule="auto"/>
              <w:jc w:val="center"/>
              <w:rPr>
                <w:rFonts w:ascii="Times New Roman" w:hAnsi="Times New Roman"/>
                <w:b/>
                <w:szCs w:val="20"/>
              </w:rPr>
            </w:pPr>
            <w:r>
              <w:rPr>
                <w:rFonts w:ascii="Times New Roman" w:hAnsi="Times New Roman"/>
                <w:b/>
                <w:szCs w:val="20"/>
              </w:rPr>
              <w:t>Sistemi per l’assicurazione della qualità e della sostenibilità (secondo gruppo allegato A)</w:t>
            </w:r>
          </w:p>
        </w:tc>
      </w:tr>
      <w:tr w:rsidR="00765CBE" w14:paraId="2CFF8DDE" w14:textId="77777777" w:rsidTr="002A6683">
        <w:trPr>
          <w:trHeight w:val="368"/>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E2282C5" w14:textId="77777777" w:rsidR="00765CBE" w:rsidRDefault="00765CBE" w:rsidP="002A6683">
            <w:pPr>
              <w:spacing w:after="0" w:line="240" w:lineRule="auto"/>
              <w:jc w:val="center"/>
              <w:rPr>
                <w:rFonts w:ascii="Times New Roman" w:hAnsi="Times New Roman"/>
                <w:szCs w:val="20"/>
              </w:rPr>
            </w:pPr>
            <w:r>
              <w:rPr>
                <w:rFonts w:ascii="Times New Roman" w:hAnsi="Times New Roman"/>
                <w:szCs w:val="20"/>
              </w:rPr>
              <w:t>Voce</w:t>
            </w:r>
            <w:r>
              <w:rPr>
                <w:rStyle w:val="Rimandonotaapidipagina"/>
              </w:rPr>
              <w:t>1</w:t>
            </w:r>
          </w:p>
        </w:tc>
      </w:tr>
      <w:tr w:rsidR="00765CBE" w14:paraId="0502145F" w14:textId="77777777" w:rsidTr="002A6683">
        <w:trPr>
          <w:trHeight w:val="499"/>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2F2505E" w14:textId="77777777" w:rsidR="00765CBE" w:rsidRDefault="00765CBE" w:rsidP="002A6683">
            <w:pPr>
              <w:widowControl w:val="0"/>
              <w:autoSpaceDE w:val="0"/>
              <w:autoSpaceDN w:val="0"/>
              <w:spacing w:after="0" w:line="240" w:lineRule="auto"/>
              <w:rPr>
                <w:rFonts w:ascii="Times New Roman" w:hAnsi="Times New Roman"/>
                <w:szCs w:val="20"/>
              </w:rPr>
            </w:pPr>
            <w:r>
              <w:rPr>
                <w:rFonts w:ascii="Times New Roman" w:hAnsi="Times New Roman"/>
                <w:szCs w:val="20"/>
              </w:rPr>
              <w:t xml:space="preserve">2.1 </w:t>
            </w:r>
            <w:r>
              <w:rPr>
                <w:rFonts w:ascii="Segoe UI Symbol" w:hAnsi="Segoe UI Symbol" w:cs="Segoe UI Symbol"/>
                <w:szCs w:val="20"/>
              </w:rPr>
              <w:t xml:space="preserve">☐        </w:t>
            </w:r>
            <w:r>
              <w:rPr>
                <w:rFonts w:ascii="Times New Roman" w:hAnsi="Times New Roman"/>
                <w:szCs w:val="20"/>
              </w:rPr>
              <w:t xml:space="preserve">2.2 </w:t>
            </w:r>
            <w:r>
              <w:rPr>
                <w:rFonts w:ascii="Segoe UI Symbol" w:hAnsi="Segoe UI Symbol" w:cs="Segoe UI Symbol"/>
                <w:szCs w:val="20"/>
              </w:rPr>
              <w:t xml:space="preserve">☐        </w:t>
            </w:r>
            <w:r>
              <w:rPr>
                <w:rFonts w:ascii="Times New Roman" w:hAnsi="Times New Roman"/>
                <w:szCs w:val="20"/>
              </w:rPr>
              <w:t xml:space="preserve">2.3 </w:t>
            </w:r>
            <w:r>
              <w:rPr>
                <w:rFonts w:ascii="Segoe UI Symbol" w:hAnsi="Segoe UI Symbol" w:cs="Segoe UI Symbol"/>
                <w:szCs w:val="20"/>
              </w:rPr>
              <w:t xml:space="preserve">☐        </w:t>
            </w:r>
            <w:r>
              <w:rPr>
                <w:rFonts w:ascii="Times New Roman" w:hAnsi="Times New Roman"/>
                <w:szCs w:val="20"/>
              </w:rPr>
              <w:t xml:space="preserve">2.4 </w:t>
            </w:r>
            <w:r>
              <w:rPr>
                <w:rFonts w:ascii="Segoe UI Symbol" w:hAnsi="Segoe UI Symbol" w:cs="Segoe UI Symbol"/>
                <w:szCs w:val="20"/>
              </w:rPr>
              <w:t xml:space="preserve">☐        </w:t>
            </w:r>
            <w:r>
              <w:rPr>
                <w:rFonts w:ascii="Times New Roman" w:hAnsi="Times New Roman"/>
                <w:szCs w:val="20"/>
              </w:rPr>
              <w:t xml:space="preserve">2.5 </w:t>
            </w:r>
            <w:r>
              <w:rPr>
                <w:rFonts w:ascii="Segoe UI Symbol" w:hAnsi="Segoe UI Symbol" w:cs="Segoe UI Symbol"/>
                <w:szCs w:val="20"/>
              </w:rPr>
              <w:t xml:space="preserve">☐        </w:t>
            </w:r>
            <w:r>
              <w:rPr>
                <w:rFonts w:ascii="Times New Roman" w:hAnsi="Times New Roman"/>
                <w:szCs w:val="20"/>
              </w:rPr>
              <w:t xml:space="preserve">2.6 </w:t>
            </w:r>
            <w:r>
              <w:rPr>
                <w:rFonts w:ascii="Segoe UI Symbol" w:hAnsi="Segoe UI Symbol" w:cs="Segoe UI Symbol"/>
                <w:szCs w:val="20"/>
              </w:rPr>
              <w:t xml:space="preserve">☐        </w:t>
            </w:r>
            <w:r>
              <w:rPr>
                <w:rFonts w:ascii="Times New Roman" w:hAnsi="Times New Roman"/>
                <w:szCs w:val="20"/>
              </w:rPr>
              <w:t xml:space="preserve">2.7 </w:t>
            </w:r>
            <w:r>
              <w:rPr>
                <w:rFonts w:ascii="Segoe UI Symbol" w:hAnsi="Segoe UI Symbol" w:cs="Segoe UI Symbol"/>
                <w:szCs w:val="20"/>
              </w:rPr>
              <w:t xml:space="preserve">☐        </w:t>
            </w:r>
            <w:r>
              <w:rPr>
                <w:rFonts w:ascii="Times New Roman" w:hAnsi="Times New Roman"/>
                <w:szCs w:val="20"/>
              </w:rPr>
              <w:t xml:space="preserve">2.8 </w:t>
            </w:r>
            <w:r>
              <w:rPr>
                <w:rFonts w:ascii="Segoe UI Symbol" w:hAnsi="Segoe UI Symbol" w:cs="Segoe UI Symbol"/>
                <w:szCs w:val="20"/>
              </w:rPr>
              <w:t xml:space="preserve">☐        </w:t>
            </w:r>
            <w:r>
              <w:rPr>
                <w:rFonts w:ascii="Times New Roman" w:hAnsi="Times New Roman"/>
                <w:szCs w:val="20"/>
              </w:rPr>
              <w:t xml:space="preserve">2.9 </w:t>
            </w:r>
            <w:r>
              <w:rPr>
                <w:rFonts w:ascii="Segoe UI Symbol" w:hAnsi="Segoe UI Symbol" w:cs="Segoe UI Symbol"/>
                <w:szCs w:val="20"/>
              </w:rPr>
              <w:t>☐</w:t>
            </w:r>
          </w:p>
        </w:tc>
      </w:tr>
      <w:tr w:rsidR="00765CBE" w14:paraId="59D11AB1" w14:textId="77777777" w:rsidTr="002A6683">
        <w:trPr>
          <w:trHeight w:val="427"/>
        </w:trPr>
        <w:tc>
          <w:tcPr>
            <w:tcW w:w="1838" w:type="pct"/>
            <w:tcBorders>
              <w:top w:val="single" w:sz="4" w:space="0" w:color="auto"/>
              <w:left w:val="single" w:sz="4" w:space="0" w:color="auto"/>
              <w:bottom w:val="single" w:sz="4" w:space="0" w:color="auto"/>
              <w:right w:val="single" w:sz="4" w:space="0" w:color="auto"/>
            </w:tcBorders>
            <w:vAlign w:val="center"/>
            <w:hideMark/>
          </w:tcPr>
          <w:p w14:paraId="3BD43B68" w14:textId="77777777" w:rsidR="00765CBE" w:rsidRDefault="00765CBE" w:rsidP="002A6683">
            <w:pPr>
              <w:spacing w:after="0" w:line="240" w:lineRule="auto"/>
              <w:jc w:val="center"/>
              <w:rPr>
                <w:rFonts w:ascii="Times New Roman" w:hAnsi="Times New Roman"/>
                <w:sz w:val="18"/>
                <w:szCs w:val="20"/>
              </w:rPr>
            </w:pPr>
            <w:r>
              <w:rPr>
                <w:rFonts w:ascii="Times New Roman" w:hAnsi="Times New Roman"/>
                <w:szCs w:val="20"/>
              </w:rPr>
              <w:t>Costo agevolabile</w:t>
            </w:r>
          </w:p>
        </w:tc>
        <w:tc>
          <w:tcPr>
            <w:tcW w:w="3162" w:type="pct"/>
            <w:tcBorders>
              <w:top w:val="single" w:sz="4" w:space="0" w:color="auto"/>
              <w:left w:val="single" w:sz="4" w:space="0" w:color="auto"/>
              <w:bottom w:val="single" w:sz="4" w:space="0" w:color="auto"/>
              <w:right w:val="single" w:sz="4" w:space="0" w:color="auto"/>
            </w:tcBorders>
            <w:vAlign w:val="center"/>
            <w:hideMark/>
          </w:tcPr>
          <w:p w14:paraId="57F7D5C7" w14:textId="77777777" w:rsidR="00765CBE" w:rsidRDefault="00765CBE" w:rsidP="002A6683">
            <w:pPr>
              <w:spacing w:after="0" w:line="240" w:lineRule="auto"/>
              <w:jc w:val="right"/>
              <w:rPr>
                <w:rFonts w:ascii="Times New Roman" w:hAnsi="Times New Roman"/>
                <w:szCs w:val="20"/>
              </w:rPr>
            </w:pPr>
            <w:r>
              <w:rPr>
                <w:rFonts w:ascii="Times New Roman" w:hAnsi="Times New Roman"/>
                <w:szCs w:val="20"/>
              </w:rPr>
              <w:t>€</w:t>
            </w:r>
            <w:r>
              <w:rPr>
                <w:rFonts w:ascii="Times New Roman" w:hAnsi="Times New Roman"/>
                <w:b/>
                <w:szCs w:val="20"/>
              </w:rPr>
              <w:t xml:space="preserve">                                                     </w:t>
            </w:r>
          </w:p>
        </w:tc>
      </w:tr>
      <w:tr w:rsidR="00765CBE" w14:paraId="1FD0D4C8" w14:textId="77777777" w:rsidTr="002A6683">
        <w:trPr>
          <w:trHeight w:val="545"/>
        </w:trPr>
        <w:tc>
          <w:tcPr>
            <w:tcW w:w="5000"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45F9EB9E" w14:textId="77777777" w:rsidR="00765CBE" w:rsidRDefault="00765CBE" w:rsidP="00AE49EC">
            <w:pPr>
              <w:pStyle w:val="Paragrafoelenco"/>
              <w:widowControl w:val="0"/>
              <w:numPr>
                <w:ilvl w:val="0"/>
                <w:numId w:val="31"/>
              </w:numPr>
              <w:autoSpaceDE w:val="0"/>
              <w:autoSpaceDN w:val="0"/>
              <w:spacing w:after="0" w:line="240" w:lineRule="auto"/>
              <w:jc w:val="center"/>
              <w:rPr>
                <w:rFonts w:ascii="Times New Roman" w:hAnsi="Times New Roman"/>
                <w:b/>
                <w:szCs w:val="20"/>
              </w:rPr>
            </w:pPr>
            <w:r>
              <w:rPr>
                <w:rFonts w:ascii="Times New Roman" w:hAnsi="Times New Roman"/>
                <w:b/>
                <w:szCs w:val="20"/>
              </w:rPr>
              <w:t xml:space="preserve">Dispositivi per l’interazione uomo macchina e per il miglioramento dell’ergonomia e della sicurezza </w:t>
            </w:r>
            <w:r>
              <w:rPr>
                <w:rFonts w:ascii="Times New Roman" w:hAnsi="Times New Roman"/>
                <w:b/>
                <w:szCs w:val="20"/>
                <w:shd w:val="clear" w:color="auto" w:fill="EEECE1" w:themeFill="background2"/>
              </w:rPr>
              <w:t xml:space="preserve">del posto di lavoro in logica «4.0» </w:t>
            </w:r>
            <w:r>
              <w:rPr>
                <w:rFonts w:ascii="Times New Roman" w:hAnsi="Times New Roman"/>
                <w:b/>
                <w:szCs w:val="20"/>
              </w:rPr>
              <w:t>(terzo gruppo allegato A)</w:t>
            </w:r>
          </w:p>
        </w:tc>
      </w:tr>
      <w:tr w:rsidR="00765CBE" w14:paraId="2540FB3F" w14:textId="77777777" w:rsidTr="002A6683">
        <w:trPr>
          <w:trHeight w:val="337"/>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97FC1F7" w14:textId="77777777" w:rsidR="00765CBE" w:rsidRDefault="00765CBE" w:rsidP="002A6683">
            <w:pPr>
              <w:spacing w:after="0" w:line="240" w:lineRule="auto"/>
              <w:jc w:val="center"/>
              <w:rPr>
                <w:rFonts w:ascii="Times New Roman" w:hAnsi="Times New Roman"/>
                <w:szCs w:val="20"/>
              </w:rPr>
            </w:pPr>
            <w:r>
              <w:rPr>
                <w:rFonts w:ascii="Times New Roman" w:hAnsi="Times New Roman"/>
                <w:szCs w:val="20"/>
              </w:rPr>
              <w:t>Voce</w:t>
            </w:r>
            <w:r>
              <w:rPr>
                <w:rStyle w:val="Rimandonotaapidipagina"/>
              </w:rPr>
              <w:t>1</w:t>
            </w:r>
          </w:p>
        </w:tc>
      </w:tr>
      <w:tr w:rsidR="00765CBE" w14:paraId="3C3ECC86" w14:textId="77777777" w:rsidTr="002A6683">
        <w:trPr>
          <w:trHeight w:val="499"/>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8F3638C" w14:textId="77777777" w:rsidR="00765CBE" w:rsidRDefault="00765CBE" w:rsidP="002A6683">
            <w:pPr>
              <w:widowControl w:val="0"/>
              <w:autoSpaceDE w:val="0"/>
              <w:autoSpaceDN w:val="0"/>
              <w:spacing w:after="0" w:line="240" w:lineRule="auto"/>
              <w:rPr>
                <w:rFonts w:ascii="Times New Roman" w:hAnsi="Times New Roman"/>
                <w:szCs w:val="20"/>
              </w:rPr>
            </w:pPr>
            <w:r>
              <w:rPr>
                <w:rFonts w:ascii="Times New Roman" w:hAnsi="Times New Roman"/>
                <w:szCs w:val="20"/>
              </w:rPr>
              <w:t xml:space="preserve">3.1 </w:t>
            </w:r>
            <w:r>
              <w:rPr>
                <w:rFonts w:ascii="Segoe UI Symbol" w:hAnsi="Segoe UI Symbol" w:cs="Segoe UI Symbol"/>
                <w:szCs w:val="20"/>
              </w:rPr>
              <w:t xml:space="preserve">☐        </w:t>
            </w:r>
            <w:r>
              <w:rPr>
                <w:rFonts w:ascii="Times New Roman" w:hAnsi="Times New Roman"/>
                <w:szCs w:val="20"/>
              </w:rPr>
              <w:t xml:space="preserve">3.2 </w:t>
            </w:r>
            <w:r>
              <w:rPr>
                <w:rFonts w:ascii="Segoe UI Symbol" w:hAnsi="Segoe UI Symbol" w:cs="Segoe UI Symbol"/>
                <w:szCs w:val="20"/>
              </w:rPr>
              <w:t xml:space="preserve">☐        </w:t>
            </w:r>
            <w:r>
              <w:rPr>
                <w:rFonts w:ascii="Times New Roman" w:hAnsi="Times New Roman"/>
                <w:szCs w:val="20"/>
              </w:rPr>
              <w:t xml:space="preserve">3.3 </w:t>
            </w:r>
            <w:r>
              <w:rPr>
                <w:rFonts w:ascii="Segoe UI Symbol" w:hAnsi="Segoe UI Symbol" w:cs="Segoe UI Symbol"/>
                <w:szCs w:val="20"/>
              </w:rPr>
              <w:t xml:space="preserve">☐        </w:t>
            </w:r>
            <w:r>
              <w:rPr>
                <w:rFonts w:ascii="Times New Roman" w:hAnsi="Times New Roman"/>
                <w:szCs w:val="20"/>
              </w:rPr>
              <w:t xml:space="preserve">3.4 </w:t>
            </w:r>
            <w:r>
              <w:rPr>
                <w:rFonts w:ascii="Segoe UI Symbol" w:hAnsi="Segoe UI Symbol" w:cs="Segoe UI Symbol"/>
                <w:szCs w:val="20"/>
              </w:rPr>
              <w:t>☐</w:t>
            </w:r>
          </w:p>
        </w:tc>
      </w:tr>
      <w:tr w:rsidR="00765CBE" w14:paraId="7F5B8053" w14:textId="77777777" w:rsidTr="002A6683">
        <w:trPr>
          <w:trHeight w:val="427"/>
        </w:trPr>
        <w:tc>
          <w:tcPr>
            <w:tcW w:w="1838" w:type="pct"/>
            <w:tcBorders>
              <w:top w:val="single" w:sz="4" w:space="0" w:color="auto"/>
              <w:left w:val="single" w:sz="4" w:space="0" w:color="auto"/>
              <w:bottom w:val="single" w:sz="4" w:space="0" w:color="auto"/>
              <w:right w:val="single" w:sz="4" w:space="0" w:color="auto"/>
            </w:tcBorders>
            <w:vAlign w:val="center"/>
            <w:hideMark/>
          </w:tcPr>
          <w:p w14:paraId="50390247" w14:textId="77777777" w:rsidR="00765CBE" w:rsidRDefault="00765CBE" w:rsidP="002A6683">
            <w:pPr>
              <w:spacing w:after="0" w:line="240" w:lineRule="auto"/>
              <w:jc w:val="center"/>
              <w:rPr>
                <w:rFonts w:ascii="Times New Roman" w:hAnsi="Times New Roman"/>
                <w:sz w:val="18"/>
                <w:szCs w:val="20"/>
              </w:rPr>
            </w:pPr>
            <w:r>
              <w:rPr>
                <w:rFonts w:ascii="Times New Roman" w:hAnsi="Times New Roman"/>
                <w:szCs w:val="20"/>
              </w:rPr>
              <w:t>Costo agevolabile</w:t>
            </w:r>
          </w:p>
        </w:tc>
        <w:tc>
          <w:tcPr>
            <w:tcW w:w="3162" w:type="pct"/>
            <w:tcBorders>
              <w:top w:val="single" w:sz="4" w:space="0" w:color="auto"/>
              <w:left w:val="single" w:sz="4" w:space="0" w:color="auto"/>
              <w:bottom w:val="single" w:sz="4" w:space="0" w:color="auto"/>
              <w:right w:val="single" w:sz="4" w:space="0" w:color="auto"/>
            </w:tcBorders>
            <w:vAlign w:val="center"/>
            <w:hideMark/>
          </w:tcPr>
          <w:p w14:paraId="36193037" w14:textId="77777777" w:rsidR="00765CBE" w:rsidRDefault="00765CBE" w:rsidP="002A6683">
            <w:pPr>
              <w:spacing w:after="0" w:line="240" w:lineRule="auto"/>
              <w:jc w:val="right"/>
              <w:rPr>
                <w:rFonts w:ascii="Times New Roman" w:hAnsi="Times New Roman"/>
                <w:szCs w:val="20"/>
              </w:rPr>
            </w:pPr>
            <w:r>
              <w:rPr>
                <w:rFonts w:ascii="Times New Roman" w:hAnsi="Times New Roman"/>
                <w:szCs w:val="20"/>
              </w:rPr>
              <w:t>€</w:t>
            </w:r>
            <w:r>
              <w:rPr>
                <w:rFonts w:ascii="Times New Roman" w:hAnsi="Times New Roman"/>
                <w:b/>
                <w:szCs w:val="20"/>
              </w:rPr>
              <w:t xml:space="preserve">                                                     </w:t>
            </w:r>
          </w:p>
        </w:tc>
      </w:tr>
      <w:tr w:rsidR="00765CBE" w14:paraId="555F5E3E" w14:textId="77777777" w:rsidTr="002A6683">
        <w:trPr>
          <w:trHeight w:val="454"/>
        </w:trPr>
        <w:tc>
          <w:tcPr>
            <w:tcW w:w="18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56E1E4" w14:textId="77777777" w:rsidR="00765CBE" w:rsidRDefault="00765CBE" w:rsidP="002A6683">
            <w:pPr>
              <w:spacing w:after="0" w:line="240" w:lineRule="auto"/>
              <w:jc w:val="center"/>
              <w:rPr>
                <w:rFonts w:ascii="Times New Roman" w:hAnsi="Times New Roman"/>
                <w:b/>
                <w:szCs w:val="20"/>
              </w:rPr>
            </w:pPr>
            <w:r>
              <w:rPr>
                <w:rFonts w:ascii="Times New Roman" w:hAnsi="Times New Roman"/>
                <w:b/>
                <w:szCs w:val="20"/>
              </w:rPr>
              <w:t>TOTALE</w:t>
            </w:r>
            <w:r>
              <w:t xml:space="preserve"> </w:t>
            </w:r>
            <w:r>
              <w:rPr>
                <w:rFonts w:ascii="Times New Roman" w:hAnsi="Times New Roman"/>
                <w:b/>
                <w:szCs w:val="20"/>
              </w:rPr>
              <w:t>COSTO AGEVOLABILE</w:t>
            </w:r>
          </w:p>
        </w:tc>
        <w:tc>
          <w:tcPr>
            <w:tcW w:w="31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24DDD7" w14:textId="77777777" w:rsidR="00765CBE" w:rsidRDefault="00765CBE" w:rsidP="002A6683">
            <w:pPr>
              <w:spacing w:after="0" w:line="240" w:lineRule="auto"/>
              <w:jc w:val="right"/>
              <w:rPr>
                <w:rFonts w:ascii="Times New Roman" w:hAnsi="Times New Roman"/>
                <w:b/>
                <w:szCs w:val="20"/>
              </w:rPr>
            </w:pPr>
            <w:r>
              <w:rPr>
                <w:rFonts w:ascii="Times New Roman" w:hAnsi="Times New Roman"/>
                <w:b/>
                <w:szCs w:val="20"/>
              </w:rPr>
              <w:t xml:space="preserve">                                                     €</w:t>
            </w:r>
          </w:p>
        </w:tc>
      </w:tr>
    </w:tbl>
    <w:p w14:paraId="46AF41E5" w14:textId="77777777" w:rsidR="00765CBE" w:rsidRDefault="00765CBE" w:rsidP="00765CBE">
      <w:pPr>
        <w:pStyle w:val="Paragrafoelenco"/>
        <w:spacing w:after="0" w:line="360" w:lineRule="auto"/>
        <w:ind w:left="360"/>
        <w:jc w:val="both"/>
        <w:rPr>
          <w:rFonts w:asciiTheme="minorHAnsi" w:hAnsiTheme="minorHAnsi" w:cstheme="minorBidi"/>
          <w:lang w:eastAsia="it-IT" w:bidi="it-IT"/>
        </w:rPr>
      </w:pPr>
    </w:p>
    <w:p w14:paraId="4C7FD212" w14:textId="77777777" w:rsidR="00765CBE" w:rsidRDefault="00765CBE" w:rsidP="00AE49EC">
      <w:pPr>
        <w:pStyle w:val="Paragrafoelenco"/>
        <w:numPr>
          <w:ilvl w:val="0"/>
          <w:numId w:val="32"/>
        </w:numPr>
        <w:spacing w:after="0" w:line="360" w:lineRule="auto"/>
        <w:jc w:val="both"/>
        <w:rPr>
          <w:lang w:eastAsia="it-IT" w:bidi="it-IT"/>
        </w:rPr>
      </w:pPr>
      <w:r>
        <w:rPr>
          <w:rFonts w:ascii="Times New Roman" w:hAnsi="Times New Roman"/>
          <w:lang w:eastAsia="it-IT" w:bidi="it-IT"/>
        </w:rPr>
        <w:t>In relazione agli investimenti sopra indicati, l’impresa ha fruito di altre sovvenzioni pubbliche?</w:t>
      </w:r>
    </w:p>
    <w:p w14:paraId="5EAADB3F" w14:textId="77777777" w:rsidR="00765CBE" w:rsidRDefault="00765CBE" w:rsidP="00765CBE">
      <w:pPr>
        <w:widowControl w:val="0"/>
        <w:autoSpaceDE w:val="0"/>
        <w:autoSpaceDN w:val="0"/>
        <w:spacing w:after="0" w:line="360" w:lineRule="auto"/>
        <w:rPr>
          <w:rFonts w:ascii="Times New Roman" w:hAnsi="Times New Roman"/>
          <w:szCs w:val="20"/>
        </w:rPr>
      </w:pPr>
      <w:r>
        <w:rPr>
          <w:rFonts w:ascii="Times New Roman" w:hAnsi="Times New Roman"/>
          <w:szCs w:val="20"/>
        </w:rPr>
        <w:t xml:space="preserve">       SI </w:t>
      </w:r>
      <w:r>
        <w:rPr>
          <w:rFonts w:ascii="Segoe UI Symbol" w:hAnsi="Segoe UI Symbol" w:cs="Segoe UI Symbol"/>
          <w:szCs w:val="20"/>
        </w:rPr>
        <w:t>☐</w:t>
      </w:r>
      <w:r>
        <w:rPr>
          <w:rFonts w:ascii="Times New Roman" w:hAnsi="Times New Roman"/>
          <w:szCs w:val="20"/>
        </w:rPr>
        <w:t xml:space="preserve">   NO </w:t>
      </w:r>
      <w:r>
        <w:rPr>
          <w:rFonts w:ascii="Segoe UI Symbol" w:hAnsi="Segoe UI Symbol" w:cs="Segoe UI Symbol"/>
          <w:szCs w:val="20"/>
        </w:rPr>
        <w:t xml:space="preserve">☐ </w:t>
      </w:r>
      <w:r>
        <w:rPr>
          <w:rFonts w:ascii="Times New Roman" w:hAnsi="Times New Roman"/>
          <w:lang w:eastAsia="it-IT" w:bidi="it-IT"/>
        </w:rPr>
        <w:t xml:space="preserve">- </w:t>
      </w:r>
      <w:r>
        <w:rPr>
          <w:rFonts w:ascii="Times New Roman" w:hAnsi="Times New Roman"/>
          <w:szCs w:val="20"/>
          <w:lang w:eastAsia="it-IT" w:bidi="it-IT"/>
        </w:rPr>
        <w:t>Se sì, quali? ______________________________________________________________________</w:t>
      </w:r>
    </w:p>
    <w:p w14:paraId="5BA9F081" w14:textId="77777777" w:rsidR="00765CBE" w:rsidRDefault="00765CBE" w:rsidP="00765CBE">
      <w:pPr>
        <w:spacing w:line="360" w:lineRule="auto"/>
        <w:jc w:val="both"/>
        <w:rPr>
          <w:rFonts w:ascii="Times New Roman" w:hAnsi="Times New Roman"/>
        </w:rPr>
      </w:pPr>
      <w:r>
        <w:t xml:space="preserve">1 - </w:t>
      </w:r>
      <w:r>
        <w:rPr>
          <w:rFonts w:ascii="Times New Roman" w:hAnsi="Times New Roman"/>
        </w:rPr>
        <w:t>Barrare la/e voce/i dell’allegato A cui è riconducibile ciascun investimento effettuato (vedasi legenda in appendice).</w:t>
      </w:r>
    </w:p>
    <w:p w14:paraId="217C5EEE" w14:textId="77777777" w:rsidR="00765CBE" w:rsidRDefault="00765CBE" w:rsidP="00765CBE">
      <w:pPr>
        <w:spacing w:after="160" w:line="259" w:lineRule="auto"/>
        <w:rPr>
          <w:rFonts w:ascii="Times New Roman" w:hAnsi="Times New Roman"/>
          <w:b/>
        </w:rPr>
      </w:pPr>
    </w:p>
    <w:p w14:paraId="3B5290AD" w14:textId="77777777" w:rsidR="00765CBE" w:rsidRDefault="00765CBE" w:rsidP="00765CBE">
      <w:pPr>
        <w:spacing w:after="0" w:line="360" w:lineRule="auto"/>
        <w:jc w:val="center"/>
        <w:rPr>
          <w:rFonts w:ascii="Times New Roman" w:eastAsiaTheme="minorHAnsi" w:hAnsi="Times New Roman"/>
          <w:b/>
        </w:rPr>
      </w:pPr>
      <w:r>
        <w:rPr>
          <w:rFonts w:ascii="Times New Roman" w:hAnsi="Times New Roman"/>
          <w:b/>
        </w:rPr>
        <w:t>SEZIONE B – INVESTIMENTI IN BENI STRUMENTALI IMMATERIALI DI CUI ALL’ALLEGATO B ALLA LEGGE N. 232 DEL 2016</w:t>
      </w:r>
    </w:p>
    <w:p w14:paraId="698509DF" w14:textId="77777777" w:rsidR="00765CBE" w:rsidRDefault="00765CBE" w:rsidP="00765CBE">
      <w:pPr>
        <w:pStyle w:val="Didascalia"/>
        <w:keepNext/>
        <w:spacing w:after="120"/>
        <w:rPr>
          <w:b/>
          <w:i w:val="0"/>
          <w:color w:val="auto"/>
        </w:rPr>
      </w:pPr>
    </w:p>
    <w:tbl>
      <w:tblPr>
        <w:tblStyle w:val="Grigliatabella"/>
        <w:tblW w:w="5000" w:type="pct"/>
        <w:tblLook w:val="04A0" w:firstRow="1" w:lastRow="0" w:firstColumn="1" w:lastColumn="0" w:noHBand="0" w:noVBand="1"/>
      </w:tblPr>
      <w:tblGrid>
        <w:gridCol w:w="3682"/>
        <w:gridCol w:w="5946"/>
      </w:tblGrid>
      <w:tr w:rsidR="00765CBE" w14:paraId="255A91C3" w14:textId="77777777" w:rsidTr="002A6683">
        <w:trPr>
          <w:trHeight w:val="94"/>
        </w:trPr>
        <w:tc>
          <w:tcPr>
            <w:tcW w:w="5000" w:type="pct"/>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FD8A5BA" w14:textId="77777777" w:rsidR="00765CBE" w:rsidRDefault="00765CBE" w:rsidP="002A6683">
            <w:pPr>
              <w:tabs>
                <w:tab w:val="left" w:pos="644"/>
              </w:tabs>
              <w:spacing w:after="0" w:line="360" w:lineRule="auto"/>
              <w:jc w:val="center"/>
              <w:rPr>
                <w:rFonts w:ascii="Times New Roman" w:hAnsi="Times New Roman"/>
                <w:i/>
              </w:rPr>
            </w:pPr>
            <w:r>
              <w:rPr>
                <w:rFonts w:ascii="Times New Roman" w:hAnsi="Times New Roman"/>
                <w:b/>
                <w:szCs w:val="20"/>
              </w:rPr>
              <w:t>software, sistemi e system integration, piattaforme e applicazioni</w:t>
            </w:r>
          </w:p>
        </w:tc>
      </w:tr>
      <w:tr w:rsidR="00765CBE" w14:paraId="12ACC84A" w14:textId="77777777" w:rsidTr="002A6683">
        <w:trPr>
          <w:trHeight w:val="244"/>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E969A5E" w14:textId="77777777" w:rsidR="00765CBE" w:rsidRDefault="00765CBE" w:rsidP="002A6683">
            <w:pPr>
              <w:widowControl w:val="0"/>
              <w:autoSpaceDE w:val="0"/>
              <w:autoSpaceDN w:val="0"/>
              <w:spacing w:after="0" w:line="240" w:lineRule="auto"/>
              <w:jc w:val="center"/>
              <w:rPr>
                <w:rFonts w:ascii="Times New Roman" w:hAnsi="Times New Roman"/>
                <w:szCs w:val="20"/>
              </w:rPr>
            </w:pPr>
            <w:r>
              <w:rPr>
                <w:rFonts w:ascii="Times New Roman" w:hAnsi="Times New Roman"/>
                <w:szCs w:val="20"/>
              </w:rPr>
              <w:t>Voce</w:t>
            </w:r>
            <w:r>
              <w:rPr>
                <w:rStyle w:val="Rimandonotaapidipagina"/>
                <w:rFonts w:ascii="Times New Roman" w:hAnsi="Times New Roman"/>
                <w:szCs w:val="20"/>
              </w:rPr>
              <w:footnoteReference w:id="3"/>
            </w:r>
          </w:p>
        </w:tc>
      </w:tr>
      <w:tr w:rsidR="00765CBE" w14:paraId="7862D7FD" w14:textId="77777777" w:rsidTr="002A6683">
        <w:trPr>
          <w:trHeight w:val="701"/>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98C84F2" w14:textId="77777777" w:rsidR="00765CBE" w:rsidRDefault="00765CBE" w:rsidP="002A6683">
            <w:pPr>
              <w:spacing w:after="0" w:line="240" w:lineRule="auto"/>
              <w:rPr>
                <w:rFonts w:ascii="Times New Roman" w:hAnsi="Times New Roman"/>
                <w:szCs w:val="20"/>
              </w:rPr>
            </w:pPr>
            <w:r>
              <w:rPr>
                <w:rFonts w:ascii="Times New Roman" w:hAnsi="Times New Roman"/>
                <w:szCs w:val="20"/>
              </w:rPr>
              <w:t xml:space="preserve">1 </w:t>
            </w:r>
            <w:r>
              <w:rPr>
                <w:rFonts w:ascii="Segoe UI Symbol" w:hAnsi="Segoe UI Symbol" w:cs="Segoe UI Symbol"/>
                <w:szCs w:val="20"/>
              </w:rPr>
              <w:t xml:space="preserve">☐        </w:t>
            </w:r>
            <w:r>
              <w:rPr>
                <w:rFonts w:ascii="Times New Roman" w:hAnsi="Times New Roman"/>
                <w:szCs w:val="20"/>
              </w:rPr>
              <w:t xml:space="preserve">2 </w:t>
            </w:r>
            <w:r>
              <w:rPr>
                <w:rFonts w:ascii="Segoe UI Symbol" w:hAnsi="Segoe UI Symbol" w:cs="Segoe UI Symbol"/>
                <w:szCs w:val="20"/>
              </w:rPr>
              <w:t xml:space="preserve">☐        </w:t>
            </w:r>
            <w:r>
              <w:rPr>
                <w:rFonts w:ascii="Times New Roman" w:hAnsi="Times New Roman"/>
                <w:szCs w:val="20"/>
              </w:rPr>
              <w:t xml:space="preserve">3 </w:t>
            </w:r>
            <w:r>
              <w:rPr>
                <w:rFonts w:ascii="Segoe UI Symbol" w:hAnsi="Segoe UI Symbol" w:cs="Segoe UI Symbol"/>
                <w:szCs w:val="20"/>
              </w:rPr>
              <w:t xml:space="preserve">☐        </w:t>
            </w:r>
            <w:r>
              <w:rPr>
                <w:rFonts w:ascii="Times New Roman" w:hAnsi="Times New Roman"/>
                <w:szCs w:val="20"/>
              </w:rPr>
              <w:t xml:space="preserve">4 </w:t>
            </w:r>
            <w:r>
              <w:rPr>
                <w:rFonts w:ascii="Segoe UI Symbol" w:hAnsi="Segoe UI Symbol" w:cs="Segoe UI Symbol"/>
                <w:szCs w:val="20"/>
              </w:rPr>
              <w:t xml:space="preserve">☐        </w:t>
            </w:r>
            <w:r>
              <w:rPr>
                <w:rFonts w:ascii="Times New Roman" w:hAnsi="Times New Roman"/>
                <w:szCs w:val="20"/>
              </w:rPr>
              <w:t xml:space="preserve">5 </w:t>
            </w:r>
            <w:r>
              <w:rPr>
                <w:rFonts w:ascii="Segoe UI Symbol" w:hAnsi="Segoe UI Symbol" w:cs="Segoe UI Symbol"/>
                <w:szCs w:val="20"/>
              </w:rPr>
              <w:t xml:space="preserve">☐        </w:t>
            </w:r>
            <w:r>
              <w:rPr>
                <w:rFonts w:ascii="Times New Roman" w:hAnsi="Times New Roman"/>
                <w:szCs w:val="20"/>
              </w:rPr>
              <w:t xml:space="preserve">6 </w:t>
            </w:r>
            <w:r>
              <w:rPr>
                <w:rFonts w:ascii="Segoe UI Symbol" w:hAnsi="Segoe UI Symbol" w:cs="Segoe UI Symbol"/>
                <w:szCs w:val="20"/>
              </w:rPr>
              <w:t xml:space="preserve">☐        </w:t>
            </w:r>
            <w:r>
              <w:rPr>
                <w:rFonts w:ascii="Times New Roman" w:hAnsi="Times New Roman"/>
                <w:szCs w:val="20"/>
              </w:rPr>
              <w:t xml:space="preserve">7 </w:t>
            </w:r>
            <w:r>
              <w:rPr>
                <w:rFonts w:ascii="Segoe UI Symbol" w:hAnsi="Segoe UI Symbol" w:cs="Segoe UI Symbol"/>
                <w:szCs w:val="20"/>
              </w:rPr>
              <w:t xml:space="preserve">☐        </w:t>
            </w:r>
            <w:r>
              <w:rPr>
                <w:rFonts w:ascii="Times New Roman" w:hAnsi="Times New Roman"/>
                <w:szCs w:val="20"/>
              </w:rPr>
              <w:t xml:space="preserve">8 </w:t>
            </w:r>
            <w:r>
              <w:rPr>
                <w:rFonts w:ascii="Segoe UI Symbol" w:hAnsi="Segoe UI Symbol" w:cs="Segoe UI Symbol"/>
                <w:szCs w:val="20"/>
              </w:rPr>
              <w:t xml:space="preserve">☐        </w:t>
            </w:r>
            <w:r>
              <w:rPr>
                <w:rFonts w:ascii="Times New Roman" w:hAnsi="Times New Roman"/>
                <w:szCs w:val="20"/>
              </w:rPr>
              <w:t xml:space="preserve">9 </w:t>
            </w:r>
            <w:r>
              <w:rPr>
                <w:rFonts w:ascii="Segoe UI Symbol" w:hAnsi="Segoe UI Symbol" w:cs="Segoe UI Symbol"/>
                <w:szCs w:val="20"/>
              </w:rPr>
              <w:t xml:space="preserve">☐        </w:t>
            </w:r>
            <w:r>
              <w:rPr>
                <w:rFonts w:ascii="Times New Roman" w:hAnsi="Times New Roman"/>
                <w:szCs w:val="20"/>
              </w:rPr>
              <w:t xml:space="preserve">10 </w:t>
            </w:r>
            <w:r>
              <w:rPr>
                <w:rFonts w:ascii="Segoe UI Symbol" w:hAnsi="Segoe UI Symbol" w:cs="Segoe UI Symbol"/>
                <w:szCs w:val="20"/>
              </w:rPr>
              <w:t xml:space="preserve">☐       </w:t>
            </w:r>
            <w:r>
              <w:rPr>
                <w:rFonts w:ascii="Times New Roman" w:hAnsi="Times New Roman"/>
                <w:szCs w:val="20"/>
              </w:rPr>
              <w:t xml:space="preserve">11 </w:t>
            </w:r>
            <w:r>
              <w:rPr>
                <w:rFonts w:ascii="Segoe UI Symbol" w:hAnsi="Segoe UI Symbol" w:cs="Segoe UI Symbol"/>
                <w:szCs w:val="20"/>
              </w:rPr>
              <w:t xml:space="preserve">☐      </w:t>
            </w:r>
            <w:r>
              <w:rPr>
                <w:rFonts w:ascii="Times New Roman" w:hAnsi="Times New Roman"/>
                <w:szCs w:val="20"/>
              </w:rPr>
              <w:t xml:space="preserve">12 </w:t>
            </w:r>
            <w:r>
              <w:rPr>
                <w:rFonts w:ascii="Segoe UI Symbol" w:hAnsi="Segoe UI Symbol" w:cs="Segoe UI Symbol"/>
                <w:szCs w:val="20"/>
              </w:rPr>
              <w:t xml:space="preserve">☐      </w:t>
            </w:r>
          </w:p>
          <w:p w14:paraId="6ED4E505" w14:textId="77777777" w:rsidR="00765CBE" w:rsidRDefault="00765CBE" w:rsidP="002A6683">
            <w:pPr>
              <w:spacing w:after="0" w:line="240" w:lineRule="auto"/>
              <w:rPr>
                <w:rFonts w:ascii="Times New Roman" w:hAnsi="Times New Roman"/>
                <w:szCs w:val="20"/>
              </w:rPr>
            </w:pPr>
            <w:r>
              <w:rPr>
                <w:rFonts w:ascii="Times New Roman" w:hAnsi="Times New Roman"/>
                <w:szCs w:val="20"/>
              </w:rPr>
              <w:t xml:space="preserve">13 </w:t>
            </w:r>
            <w:r>
              <w:rPr>
                <w:rFonts w:ascii="Segoe UI Symbol" w:hAnsi="Segoe UI Symbol" w:cs="Segoe UI Symbol"/>
                <w:szCs w:val="20"/>
              </w:rPr>
              <w:t xml:space="preserve">☐ </w:t>
            </w:r>
            <w:r>
              <w:rPr>
                <w:rFonts w:ascii="Times New Roman" w:hAnsi="Times New Roman"/>
                <w:szCs w:val="20"/>
              </w:rPr>
              <w:t xml:space="preserve">     14 </w:t>
            </w:r>
            <w:r>
              <w:rPr>
                <w:rFonts w:ascii="Segoe UI Symbol" w:hAnsi="Segoe UI Symbol" w:cs="Segoe UI Symbol"/>
                <w:szCs w:val="20"/>
              </w:rPr>
              <w:t xml:space="preserve">☐       </w:t>
            </w:r>
            <w:r>
              <w:rPr>
                <w:rFonts w:ascii="Times New Roman" w:hAnsi="Times New Roman"/>
                <w:szCs w:val="20"/>
              </w:rPr>
              <w:t xml:space="preserve">15 </w:t>
            </w:r>
            <w:r>
              <w:rPr>
                <w:rFonts w:ascii="Segoe UI Symbol" w:hAnsi="Segoe UI Symbol" w:cs="Segoe UI Symbol"/>
                <w:szCs w:val="20"/>
              </w:rPr>
              <w:t xml:space="preserve">☐      </w:t>
            </w:r>
            <w:r>
              <w:rPr>
                <w:rFonts w:ascii="Times New Roman" w:hAnsi="Times New Roman"/>
                <w:szCs w:val="20"/>
              </w:rPr>
              <w:t xml:space="preserve">16 </w:t>
            </w:r>
            <w:r>
              <w:rPr>
                <w:rFonts w:ascii="Segoe UI Symbol" w:hAnsi="Segoe UI Symbol" w:cs="Segoe UI Symbol"/>
                <w:szCs w:val="20"/>
              </w:rPr>
              <w:t xml:space="preserve">☐      </w:t>
            </w:r>
            <w:r>
              <w:rPr>
                <w:rFonts w:ascii="Times New Roman" w:hAnsi="Times New Roman"/>
                <w:szCs w:val="20"/>
              </w:rPr>
              <w:t xml:space="preserve">17 </w:t>
            </w:r>
            <w:r>
              <w:rPr>
                <w:rFonts w:ascii="Segoe UI Symbol" w:hAnsi="Segoe UI Symbol" w:cs="Segoe UI Symbol"/>
                <w:szCs w:val="20"/>
              </w:rPr>
              <w:t xml:space="preserve">☐        </w:t>
            </w:r>
            <w:r>
              <w:rPr>
                <w:rFonts w:ascii="Times New Roman" w:hAnsi="Times New Roman"/>
                <w:szCs w:val="20"/>
              </w:rPr>
              <w:t xml:space="preserve">18 </w:t>
            </w:r>
            <w:r>
              <w:rPr>
                <w:rFonts w:ascii="Segoe UI Symbol" w:hAnsi="Segoe UI Symbol" w:cs="Segoe UI Symbol"/>
                <w:szCs w:val="20"/>
              </w:rPr>
              <w:t xml:space="preserve">☐        </w:t>
            </w:r>
            <w:r>
              <w:rPr>
                <w:rFonts w:ascii="Times New Roman" w:hAnsi="Times New Roman"/>
                <w:szCs w:val="20"/>
              </w:rPr>
              <w:t xml:space="preserve">19 </w:t>
            </w:r>
            <w:r>
              <w:rPr>
                <w:rFonts w:ascii="Segoe UI Symbol" w:hAnsi="Segoe UI Symbol" w:cs="Segoe UI Symbol"/>
                <w:szCs w:val="20"/>
              </w:rPr>
              <w:t xml:space="preserve">☐        </w:t>
            </w:r>
            <w:r>
              <w:rPr>
                <w:rFonts w:ascii="Times New Roman" w:hAnsi="Times New Roman"/>
                <w:szCs w:val="20"/>
              </w:rPr>
              <w:t xml:space="preserve">20 </w:t>
            </w:r>
            <w:r>
              <w:rPr>
                <w:rFonts w:ascii="Segoe UI Symbol" w:hAnsi="Segoe UI Symbol" w:cs="Segoe UI Symbol"/>
                <w:szCs w:val="20"/>
              </w:rPr>
              <w:t xml:space="preserve">☐ </w:t>
            </w:r>
          </w:p>
        </w:tc>
      </w:tr>
      <w:tr w:rsidR="00765CBE" w14:paraId="003F7EBE" w14:textId="77777777" w:rsidTr="002A6683">
        <w:trPr>
          <w:trHeight w:val="454"/>
        </w:trPr>
        <w:tc>
          <w:tcPr>
            <w:tcW w:w="19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0509C3" w14:textId="77777777" w:rsidR="00765CBE" w:rsidRDefault="00765CBE" w:rsidP="002A6683">
            <w:pPr>
              <w:spacing w:after="0" w:line="240" w:lineRule="auto"/>
              <w:ind w:right="-247"/>
              <w:jc w:val="center"/>
              <w:rPr>
                <w:rFonts w:ascii="Times New Roman" w:hAnsi="Times New Roman"/>
                <w:b/>
                <w:szCs w:val="20"/>
              </w:rPr>
            </w:pPr>
            <w:r>
              <w:rPr>
                <w:rFonts w:ascii="Times New Roman" w:hAnsi="Times New Roman"/>
                <w:b/>
                <w:szCs w:val="20"/>
              </w:rPr>
              <w:t>TOTALE COSTO AGEVOLABILE</w:t>
            </w:r>
          </w:p>
        </w:tc>
        <w:tc>
          <w:tcPr>
            <w:tcW w:w="30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543343" w14:textId="77777777" w:rsidR="00765CBE" w:rsidRDefault="00765CBE" w:rsidP="002A6683">
            <w:pPr>
              <w:spacing w:after="0" w:line="240" w:lineRule="auto"/>
              <w:jc w:val="right"/>
              <w:rPr>
                <w:rFonts w:ascii="Times New Roman" w:hAnsi="Times New Roman"/>
                <w:b/>
                <w:szCs w:val="20"/>
              </w:rPr>
            </w:pPr>
            <w:r>
              <w:rPr>
                <w:rFonts w:ascii="Times New Roman" w:hAnsi="Times New Roman"/>
                <w:b/>
                <w:szCs w:val="20"/>
              </w:rPr>
              <w:t xml:space="preserve">                                                     €</w:t>
            </w:r>
          </w:p>
        </w:tc>
      </w:tr>
    </w:tbl>
    <w:p w14:paraId="1EEDEAB5" w14:textId="77777777" w:rsidR="00765CBE" w:rsidRDefault="00765CBE" w:rsidP="00765CBE">
      <w:pPr>
        <w:tabs>
          <w:tab w:val="left" w:pos="644"/>
        </w:tabs>
        <w:spacing w:after="0" w:line="360" w:lineRule="auto"/>
        <w:jc w:val="center"/>
        <w:rPr>
          <w:rFonts w:ascii="Times New Roman" w:hAnsi="Times New Roman"/>
          <w:i/>
        </w:rPr>
      </w:pPr>
    </w:p>
    <w:p w14:paraId="2851F7A0" w14:textId="77777777" w:rsidR="00765CBE" w:rsidRDefault="00765CBE" w:rsidP="00765CBE">
      <w:pPr>
        <w:tabs>
          <w:tab w:val="left" w:pos="644"/>
        </w:tabs>
        <w:spacing w:after="0" w:line="360" w:lineRule="auto"/>
        <w:jc w:val="center"/>
        <w:rPr>
          <w:rFonts w:ascii="Times New Roman" w:hAnsi="Times New Roman"/>
          <w:i/>
        </w:rPr>
      </w:pPr>
    </w:p>
    <w:p w14:paraId="6B957D21" w14:textId="77777777" w:rsidR="00765CBE" w:rsidRDefault="00765CBE" w:rsidP="00AE49EC">
      <w:pPr>
        <w:pStyle w:val="Paragrafoelenco"/>
        <w:numPr>
          <w:ilvl w:val="0"/>
          <w:numId w:val="32"/>
        </w:numPr>
        <w:spacing w:after="0" w:line="360" w:lineRule="auto"/>
        <w:jc w:val="both"/>
        <w:rPr>
          <w:rFonts w:asciiTheme="minorHAnsi" w:hAnsiTheme="minorHAnsi" w:cstheme="minorBidi"/>
          <w:lang w:eastAsia="it-IT" w:bidi="it-IT"/>
        </w:rPr>
      </w:pPr>
      <w:r>
        <w:rPr>
          <w:rFonts w:ascii="Times New Roman" w:hAnsi="Times New Roman"/>
          <w:lang w:eastAsia="it-IT" w:bidi="it-IT"/>
        </w:rPr>
        <w:t>In relazione agli investimenti sopra indicati, l’impresa ha fruito di altre sovvenzioni pubbliche?</w:t>
      </w:r>
    </w:p>
    <w:p w14:paraId="60EE4A2E" w14:textId="77777777" w:rsidR="00765CBE" w:rsidRDefault="00765CBE" w:rsidP="00765CBE">
      <w:pPr>
        <w:widowControl w:val="0"/>
        <w:autoSpaceDE w:val="0"/>
        <w:autoSpaceDN w:val="0"/>
        <w:spacing w:after="0" w:line="360" w:lineRule="auto"/>
        <w:rPr>
          <w:rFonts w:ascii="Times New Roman" w:hAnsi="Times New Roman"/>
          <w:szCs w:val="20"/>
        </w:rPr>
      </w:pPr>
      <w:r>
        <w:rPr>
          <w:rFonts w:ascii="Times New Roman" w:hAnsi="Times New Roman"/>
          <w:szCs w:val="20"/>
        </w:rPr>
        <w:t xml:space="preserve">       SI </w:t>
      </w:r>
      <w:r>
        <w:rPr>
          <w:rFonts w:ascii="Segoe UI Symbol" w:hAnsi="Segoe UI Symbol" w:cs="Segoe UI Symbol"/>
          <w:szCs w:val="20"/>
        </w:rPr>
        <w:t>☐</w:t>
      </w:r>
      <w:r>
        <w:rPr>
          <w:rFonts w:ascii="Times New Roman" w:hAnsi="Times New Roman"/>
          <w:szCs w:val="20"/>
        </w:rPr>
        <w:t xml:space="preserve">   NO </w:t>
      </w:r>
      <w:r>
        <w:rPr>
          <w:rFonts w:ascii="Segoe UI Symbol" w:hAnsi="Segoe UI Symbol" w:cs="Segoe UI Symbol"/>
          <w:szCs w:val="20"/>
        </w:rPr>
        <w:t xml:space="preserve">☐ </w:t>
      </w:r>
      <w:r>
        <w:rPr>
          <w:rFonts w:ascii="Times New Roman" w:hAnsi="Times New Roman"/>
          <w:lang w:eastAsia="it-IT" w:bidi="it-IT"/>
        </w:rPr>
        <w:t xml:space="preserve">- </w:t>
      </w:r>
      <w:r>
        <w:rPr>
          <w:rFonts w:ascii="Times New Roman" w:hAnsi="Times New Roman"/>
          <w:szCs w:val="20"/>
          <w:lang w:eastAsia="it-IT" w:bidi="it-IT"/>
        </w:rPr>
        <w:t>Se sì, quali? ______________________________________________________________________</w:t>
      </w:r>
    </w:p>
    <w:p w14:paraId="30A0B5D5" w14:textId="77777777" w:rsidR="00765CBE" w:rsidRDefault="00765CBE" w:rsidP="00765CBE">
      <w:pPr>
        <w:pStyle w:val="Corpotesto"/>
        <w:ind w:left="6392"/>
      </w:pPr>
      <w:r>
        <w:t xml:space="preserve">                 Firma  </w:t>
      </w:r>
    </w:p>
    <w:p w14:paraId="206C6E2B" w14:textId="77777777" w:rsidR="00765CBE" w:rsidRDefault="00765CBE" w:rsidP="00765CBE">
      <w:pPr>
        <w:pStyle w:val="Corpotesto"/>
        <w:ind w:left="6392"/>
      </w:pPr>
    </w:p>
    <w:p w14:paraId="7ACB2D87" w14:textId="77777777" w:rsidR="00765CBE" w:rsidRDefault="00765CBE" w:rsidP="00765CBE">
      <w:pPr>
        <w:pStyle w:val="Corpotesto"/>
        <w:ind w:left="6392"/>
      </w:pPr>
    </w:p>
    <w:p w14:paraId="5F9E7FF0" w14:textId="63E45386" w:rsidR="00765CBE" w:rsidRDefault="007B5579" w:rsidP="00765CBE">
      <w:pPr>
        <w:pStyle w:val="Titolo2"/>
      </w:pPr>
      <w:bookmarkStart w:id="90" w:name="_Toc90462771"/>
      <w:bookmarkStart w:id="91" w:name="_Toc93327741"/>
      <w:r>
        <w:t>7</w:t>
      </w:r>
      <w:r w:rsidR="00765CBE" w:rsidRPr="002247B4">
        <w:t>.</w:t>
      </w:r>
      <w:r w:rsidR="00765CBE">
        <w:t>3</w:t>
      </w:r>
      <w:r w:rsidR="00765CBE" w:rsidRPr="002247B4">
        <w:t xml:space="preserve"> </w:t>
      </w:r>
      <w:r w:rsidR="00765CBE">
        <w:t>Tabella di riferimento per tipologia di bene – Legenda</w:t>
      </w:r>
      <w:bookmarkEnd w:id="90"/>
      <w:bookmarkEnd w:id="91"/>
    </w:p>
    <w:p w14:paraId="5E9F099B" w14:textId="473FB3A6" w:rsidR="00765CBE" w:rsidRPr="008B71E4" w:rsidRDefault="00765CBE" w:rsidP="00765CBE">
      <w:pPr>
        <w:spacing w:line="360" w:lineRule="auto"/>
        <w:jc w:val="both"/>
        <w:rPr>
          <w:rFonts w:cs="Tahoma"/>
          <w:szCs w:val="20"/>
        </w:rPr>
      </w:pPr>
      <w:r w:rsidRPr="008B71E4">
        <w:rPr>
          <w:rFonts w:cs="Tahoma"/>
          <w:szCs w:val="20"/>
        </w:rPr>
        <w:t xml:space="preserve">Di seguito le voci di riferimento </w:t>
      </w:r>
      <w:r w:rsidRPr="00A95EB6">
        <w:rPr>
          <w:rFonts w:cs="Tahoma"/>
          <w:b/>
          <w:bCs/>
          <w:szCs w:val="20"/>
        </w:rPr>
        <w:t>ai fini della compilazione della comunicazione</w:t>
      </w:r>
      <w:r w:rsidR="00A95EB6">
        <w:rPr>
          <w:rFonts w:cs="Tahoma"/>
          <w:szCs w:val="20"/>
        </w:rPr>
        <w:t>.</w:t>
      </w:r>
    </w:p>
    <w:p w14:paraId="16405CF9"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b/>
          <w:bCs/>
          <w:szCs w:val="20"/>
        </w:rPr>
      </w:pPr>
      <w:r w:rsidRPr="00914237">
        <w:rPr>
          <w:rFonts w:cs="Tahoma"/>
          <w:b/>
          <w:bCs/>
          <w:szCs w:val="20"/>
        </w:rPr>
        <w:t>Allegato A - Beni funzionali alla trasformazione tecnologica e digitale delle imprese secondo il modello «Industria 4.0»</w:t>
      </w:r>
    </w:p>
    <w:p w14:paraId="3E3B71E2"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b/>
          <w:bCs/>
          <w:i/>
          <w:iCs/>
          <w:szCs w:val="20"/>
        </w:rPr>
      </w:pPr>
      <w:r w:rsidRPr="00914237">
        <w:rPr>
          <w:rFonts w:cs="Tahoma"/>
          <w:b/>
          <w:bCs/>
          <w:i/>
          <w:iCs/>
          <w:szCs w:val="20"/>
        </w:rPr>
        <w:t>1. Beni strumentali il cui funzionamento è controllato da sistemi computerizzati o gestito tramite opportuni sensori e azionamenti:</w:t>
      </w:r>
    </w:p>
    <w:p w14:paraId="098CB223"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1.1 macchine utensili per asportazione</w:t>
      </w:r>
    </w:p>
    <w:p w14:paraId="759AA3AE"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1.2 macchine utensili operanti con laser e altri processi a flusso di energia (ad esempio plasma, waterjet, fascio di elettroni), elettroerosione, processi elettrochimici</w:t>
      </w:r>
    </w:p>
    <w:p w14:paraId="4886488A"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1.3 macchine utensili e impianti per la realizzazione di prodotti mediante la trasformazione dei materiali e delle materie prime</w:t>
      </w:r>
    </w:p>
    <w:p w14:paraId="6299B990"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1.4 macchine utensili per la deformazione plastica dei metalli e altri materiali</w:t>
      </w:r>
    </w:p>
    <w:p w14:paraId="3E70A493"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1.5 macchine utensili per l’assemblaggio, la giunzione e la saldatura</w:t>
      </w:r>
    </w:p>
    <w:p w14:paraId="02667E63"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1.6 macchine per il confezionamento e l’imballaggio</w:t>
      </w:r>
    </w:p>
    <w:p w14:paraId="310B4D6B"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1.7 macchine utensili di de-produzione e riconfezionamento per recuperare materiali e funzioni da scarti industriali e prodotti di ritorno a fine vita (ad esempio macchine per il disassemblaggio, la separazione, la frantumazione, il recupero chimico)</w:t>
      </w:r>
    </w:p>
    <w:p w14:paraId="19A5D738"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1.8 robot, robot collaborativi e sistemi multi-robot</w:t>
      </w:r>
    </w:p>
    <w:p w14:paraId="0A3E458E"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1.9 macchine utensili e sistemi per il conferimento o la modifica delle caratteristiche superficiali dei prodotti o la funzionalizzazione delle superfici</w:t>
      </w:r>
    </w:p>
    <w:p w14:paraId="11FF13A2"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1.10 macchine per la manifattura additiva utilizzate in ambito industriale</w:t>
      </w:r>
    </w:p>
    <w:p w14:paraId="01A0E66D"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1.11 macchine, anche motrici e operatrici, strumenti e dispositivi per il carico e lo scarico, la movimentazione, la pesatura e la cernita automatica dei pezzi, dispositivi di sollevamento e manipolazione automatizzati, AGV e sistemi di convogliamento e movimentazione flessibili, e/o dotati di riconoscimento dei pezzi (ad esempio RFID, visori e sistemi di visione e meccatronici)</w:t>
      </w:r>
    </w:p>
    <w:p w14:paraId="14B49C65"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1.12 magazzini automatizzati interconnessi ai sistemi gestionali di fabbrica</w:t>
      </w:r>
    </w:p>
    <w:p w14:paraId="6FE09C64"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1.13 dispositivi, strumentazione e componentistica intelligente per l’integrazione, la sensorizzazione e/o l’interconnessione e il controllo automatico dei processi utilizzati anche nell’ammodernamento o nel revamping dei sistemi di produzione esistenti</w:t>
      </w:r>
    </w:p>
    <w:p w14:paraId="16DC9B89"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b/>
          <w:bCs/>
          <w:i/>
          <w:iCs/>
          <w:szCs w:val="20"/>
        </w:rPr>
      </w:pPr>
      <w:r w:rsidRPr="00914237">
        <w:rPr>
          <w:rFonts w:cs="Tahoma"/>
          <w:b/>
          <w:bCs/>
          <w:i/>
          <w:iCs/>
          <w:szCs w:val="20"/>
        </w:rPr>
        <w:lastRenderedPageBreak/>
        <w:t>2. Sistemi per l’assicurazione della qualità e della sostenibilità:</w:t>
      </w:r>
    </w:p>
    <w:p w14:paraId="2847818E"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2.1 sistemi di misura a coordinate e no (a contatto, non a contatto, multi-sensore o basati su tomografia computerizzata tridimensionale) e relativa strumentazione per la verifica dei requisiti micro e macro geometrici di prodotto per qualunque livello di scala dimensionale (dalla larga scala alla scala micro-metrica o nano-metrica) al fine di assicurare e tracciare la qualità del prodotto e che consentono di qualificare i processi di produzione in maniera documentabile e connessa al sistema informativo di fabbrica</w:t>
      </w:r>
    </w:p>
    <w:p w14:paraId="5A41F38F"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2.2 altri sistemi di monitoraggio in process per assicurare e tracciare la qualità del prodotto o del processo produttivo e che consentono di qualificare i processi di produzione in maniera documentabile e connessa al sistema informativo di fabbrica</w:t>
      </w:r>
    </w:p>
    <w:p w14:paraId="2F29A006"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2.3 sistemi per l’ispezione e la caratterizzazione dei materiali (ad esempio macchine di prova materiali, macchine per il collaudo dei prodotti realizzati, sistemi per prove o collaudi non distruttivi, tomografia) in grado di verificare le caratteristiche dei materiali in ingresso o in uscita al processo e che vanno a costituire il prodotto risultante a livello macro (ad esempio caratteristiche meccaniche) o micro (ad esempio porosità, inclusioni) e di generare opportuni report di collaudo da inserire nel sistema informativo aziendale</w:t>
      </w:r>
    </w:p>
    <w:p w14:paraId="6AECCF4F"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2.4 dispositivi intelligenti per il test delle polveri metalliche e sistemi di monitoraggio in continuo che consentono di qualificare i processi di produzione mediante tecnologie additive</w:t>
      </w:r>
    </w:p>
    <w:p w14:paraId="19D9EE55"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2.5 sistemi intelligenti e connessi di marcatura e tracciabilità dei lotti produttivi e/o dei singoli prodotti (ad esempio RFID – Radio Frequency Identification)</w:t>
      </w:r>
    </w:p>
    <w:p w14:paraId="5898E441"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2.6 sistemi di monitoraggio e controllo delle condizioni di lavoro delle macchine (ad esempio forze, coppia e potenza di lavorazione; usura tridimensionale degli utensili a bordo macchina; stato di componenti o sotto-insiemi delle macchine) e dei sistemi di produzione interfacciati con i sistemi informativi di fabbrica e/o con soluzioni cloud</w:t>
      </w:r>
    </w:p>
    <w:p w14:paraId="7C798659"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2.7 strumenti e dispositivi per l’etichettatura, l’identificazione o la marcatura automatica dei prodotti, con collegamento con il codice e la matricola del prodotto stesso in modo da consentire ai manutentori di monitorare la costanza delle prestazioni dei prodotti nel tempo e di agire sul processo di progettazione dei futuri prodotti in maniera sinergica, consentendo il richiamo di prodotti difettosi o dannosi</w:t>
      </w:r>
    </w:p>
    <w:p w14:paraId="5D240462"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2.8 componenti, sistemi e soluzioni intelligenti per la gestione, l’utilizzo efficiente e il monitoraggio dei consumi energetici e idrici e per la riduzione delle emissioni, filtri e sistemi di trattamento e recupero di acqua, aria, olio, sostanze chimiche, polveri con sistemi di segnalazione dell’efficienza filtrante e della presenza di anomalie o sostanze aliene al processo o pericolose, integrate con il sistema di fabbrica e in grado di avvisare gli operatori e/o di fermare le attività di macchine e impianti</w:t>
      </w:r>
    </w:p>
    <w:p w14:paraId="49C90DC6"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b/>
          <w:bCs/>
          <w:i/>
          <w:iCs/>
          <w:szCs w:val="20"/>
        </w:rPr>
      </w:pPr>
      <w:r w:rsidRPr="00914237">
        <w:rPr>
          <w:rFonts w:cs="Tahoma"/>
          <w:b/>
          <w:bCs/>
          <w:i/>
          <w:iCs/>
          <w:szCs w:val="20"/>
        </w:rPr>
        <w:t>3. Dispositivi per l’interazione uomo macchina e per il miglioramento dell’ergonomia e della sicurezza del posto di lavoro in logica «4.0»:</w:t>
      </w:r>
    </w:p>
    <w:p w14:paraId="41224D88"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3.1 banchi e postazioni di lavoro dotati di soluzioni ergonomiche in grado di adattarli in maniera automatizzata alle caratteristiche fisiche degli operatori (ad esempio caratteristiche biometriche, età, presenza di disabilità)</w:t>
      </w:r>
    </w:p>
    <w:p w14:paraId="5C0523C2"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3.2 sistemi per il sollevamento/traslazione di parti pesanti o oggetti esposti ad alte temperature in grado di agevolare in maniera intelligente/ robotizzata/interattiva il compito dell’operatore</w:t>
      </w:r>
    </w:p>
    <w:p w14:paraId="4C39C303"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lastRenderedPageBreak/>
        <w:t>3.3 dispositivi wearable, apparecchiature di comunicazione tra operatore/operatori e sistema produttivo, dispositivi di realtà aumentata e virtual reality</w:t>
      </w:r>
    </w:p>
    <w:p w14:paraId="5EFB1564"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3.4 interfacce uomo-macchina (HMI) intelligenti che coadiuvano l’operatore a fini di sicurezza ed efficienza delle operazioni di lavorazione, manutenzione, logistica.</w:t>
      </w:r>
    </w:p>
    <w:p w14:paraId="61708C38"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p>
    <w:p w14:paraId="35C039F4"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b/>
          <w:bCs/>
          <w:szCs w:val="20"/>
        </w:rPr>
      </w:pPr>
      <w:r w:rsidRPr="00914237">
        <w:rPr>
          <w:rFonts w:cs="Tahoma"/>
          <w:b/>
          <w:bCs/>
          <w:szCs w:val="20"/>
        </w:rPr>
        <w:t>Allegato B - Beni immateriali (software, sistemi e system integration, piattaforme e applicazioni) connessi a investimenti in beni materiali «Industria 4.0»</w:t>
      </w:r>
    </w:p>
    <w:p w14:paraId="2A7C17EA"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 Software, sistemi, piattaforme e applicazioni per la progettazione, definizione/qualificazione delle prestazioni e produzione di manufatti in materiali non convenzionali o ad alte prestazioni, in grado di permettere la progettazione, la modellazione 3D, la simulazione, la sperimentazione, la prototipazione e la verifica simultanea del processo produttivo, del prodotto e delle sue caratteristiche (funzionali e di impatto ambientale) e/o l’archiviazione digitale e integrata nel sistema informativo aziendale delle</w:t>
      </w:r>
    </w:p>
    <w:p w14:paraId="75AE306A"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informazioni relative al ciclo di vita del prodotto (sistemi EDM, PDM, PLM, Big Data Analytics)</w:t>
      </w:r>
    </w:p>
    <w:p w14:paraId="36844C7E"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 xml:space="preserve">2. software, sistemi, piattaforme e applicazioni per la progettazione e la ri-progettazione dei sistemi produttivi che tengano conto dei flussi dei materiali e delle informazioni, software, sistemi </w:t>
      </w:r>
    </w:p>
    <w:p w14:paraId="0C774C87"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3. piattaforme e applicazioni di supporto alle decisioni in grado di interpretare dati analizzati dal campo e visualizzare agli operatori in linea specifiche azioni per migliorare la qualità del prodotto e l’efficienza del sistema di produzione</w:t>
      </w:r>
    </w:p>
    <w:p w14:paraId="57BF86D9"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4. software, sistemi, piattaforme e applicazioni per la gestione e il coordinamento della produzione con elevate caratteristiche di integrazione delle attività di servizio, come la logistica di fabbrica e la manutenzione (quali ad esempio sistemi di comunicazione intra-fabbrica, bus di campo/fieldbus, sistemi SCADA, sistemi MES, sistemi CMMS, soluzioni innovative con caratteristiche riconducibili ai paradigmi dell’IoT e/o del cloud computing)</w:t>
      </w:r>
    </w:p>
    <w:p w14:paraId="69A50853"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5. software, sistemi, piattaforme e applicazioni per il monitoraggio e controllo delle condizioni di lavoro delle macchine e dei sistemi di produzione interfacciati con i sistemi informativi di fabbrica e/o con soluzioni cloud</w:t>
      </w:r>
    </w:p>
    <w:p w14:paraId="7B3D3BA7"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6. software, sistemi, piattaforme e applicazioni di realtà virtuale per lo studio realistico di componenti e operazioni (ad esempio di assemblaggio), sia in contesti immersivi o solo visuali</w:t>
      </w:r>
    </w:p>
    <w:p w14:paraId="77267E42"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7. software, sistemi, piattaforme e applicazioni di reverse modeling and engineering per la ricostruzione virtuale di contesti reali</w:t>
      </w:r>
    </w:p>
    <w:p w14:paraId="1AC6AF47"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8. software, sistemi, piattaforme e applicazioni in grado di comunicare e condividere dati e informazioni sia tra loro che con l’ambiente e gli attori circostanti (Industrial Internet of Things) grazie ad una rete di sensori intelligenti interconnessi</w:t>
      </w:r>
    </w:p>
    <w:p w14:paraId="533EEFAA"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9. software, sistemi, piattaforme e applicazioni per il dispatching delle attività e l’instradamento dei prodotti nei sistemi produttivi</w:t>
      </w:r>
    </w:p>
    <w:p w14:paraId="307D216E"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10. software, sistemi, piattaforme e applicazioni per la gestione della qualità a livello di sistema produttivo e dei relativi processi</w:t>
      </w:r>
    </w:p>
    <w:p w14:paraId="4B78362D"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lastRenderedPageBreak/>
        <w:t>11. software, sistemi, piattaforme e applicazioni per l’accesso a un insieme virtualizzato, condiviso e configurabile di risorse a supporto di processi produttivi e di gestione della produzione e/o della supply chain (cloud computing)</w:t>
      </w:r>
    </w:p>
    <w:p w14:paraId="5DC3458C"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12. software, sistemi, piattaforme e applicazioni per industrial analytics dedicati al trattamento ed all’elaborazione dei big data provenienti dalla sensoristica IoT applicata in ambito industriale (Data Analytics &amp; Visualization, Simulation e Forecasting)</w:t>
      </w:r>
    </w:p>
    <w:p w14:paraId="274FE699"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13. software, sistemi, piattaforme e applicazioni di artificial intelligence &amp; machine learning che consentono alle macchine di mostrare un’abilità e/o attività intelligente in campi specifici a garanzia della qualità del processo produttivo e del funzionamento affidabile del macchinario e/o dell’impianto</w:t>
      </w:r>
    </w:p>
    <w:p w14:paraId="3F4E5426"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14. software, sistemi, piattaforme e applicazioni per la produzione automatizzata e intelligente, caratterizzata da elevata capacità cognitiva, interazione e adattamento al contesto, autoapprendimento e riconfigurabilità (cybersystem),</w:t>
      </w:r>
    </w:p>
    <w:p w14:paraId="3AFF041B"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15. software, sistemi, piattaforme e applicazioni per l’utilizzo lungo le linee produttive di robot, robot collaborativi e macchine intelligenti per la sicurezza e la salute dei lavoratori, la qualità dei prodotti finali e la manutenzione predittiva</w:t>
      </w:r>
    </w:p>
    <w:p w14:paraId="644D5287"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16. software, sistemi, piattaforme e applicazioni per la gestione della realtà aumentata tramite wearable device</w:t>
      </w:r>
    </w:p>
    <w:p w14:paraId="0563F344"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17. software, sistemi, piattaforme e applicazioni per dispositivi e nuove interfacce tra uomo e macchina che consentano l’acquisizione, la veicolazione e l’elaborazione di informazioni in formato vocale, visuale e tattile</w:t>
      </w:r>
    </w:p>
    <w:p w14:paraId="66783298"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18. software, sistemi, piattaforme e applicazioni per l’intelligenza degli impianti che garantiscano meccanismi di efficienza energetica e di decentralizzazione in cui la produzione e/o lo stoccaggio di energia possono essere anche demandate (almeno parzialmente) alla fabbrica</w:t>
      </w:r>
    </w:p>
    <w:p w14:paraId="2C39E895" w14:textId="77777777"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19. software, sistemi, piattaforme e applicazioni per la protezione di reti, dati, programmi, macchine e impianti da attacchi, danni e accessi non autorizzati (cybersecurity)</w:t>
      </w:r>
    </w:p>
    <w:p w14:paraId="449C5D2B" w14:textId="70421680" w:rsidR="00765CBE" w:rsidRPr="00914237" w:rsidRDefault="00765CBE" w:rsidP="00914237">
      <w:pPr>
        <w:pBdr>
          <w:top w:val="single" w:sz="4" w:space="1" w:color="auto"/>
          <w:left w:val="single" w:sz="4" w:space="1" w:color="auto"/>
          <w:bottom w:val="single" w:sz="4" w:space="1" w:color="auto"/>
          <w:right w:val="single" w:sz="4" w:space="1" w:color="auto"/>
        </w:pBdr>
        <w:shd w:val="clear" w:color="auto" w:fill="DBE5F1" w:themeFill="accent1" w:themeFillTint="33"/>
        <w:spacing w:before="60" w:after="60" w:line="326" w:lineRule="auto"/>
        <w:jc w:val="both"/>
        <w:rPr>
          <w:rFonts w:cs="Tahoma"/>
          <w:i/>
          <w:iCs/>
          <w:szCs w:val="20"/>
        </w:rPr>
      </w:pPr>
      <w:r w:rsidRPr="00914237">
        <w:rPr>
          <w:rFonts w:cs="Tahoma"/>
          <w:i/>
          <w:iCs/>
          <w:szCs w:val="20"/>
        </w:rPr>
        <w:t>20. software, sistemi, piattaforme e applicazioni di virtual industrialization che, simulando virtualmente il nuovo ambiente e caricando le informazioni sui sistemi cyberfisici al termine di tutte le verifiche, consentono di evitare ore di test e di fermi macchina lungo le linee produttive reali</w:t>
      </w:r>
    </w:p>
    <w:p w14:paraId="4F045BD8" w14:textId="77777777" w:rsidR="00914237" w:rsidRDefault="00914237" w:rsidP="00765CBE">
      <w:pPr>
        <w:spacing w:after="160" w:line="259" w:lineRule="auto"/>
        <w:sectPr w:rsidR="00914237" w:rsidSect="00A90ED0">
          <w:pgSz w:w="11906" w:h="16838"/>
          <w:pgMar w:top="833" w:right="1134" w:bottom="1134" w:left="1134" w:header="708" w:footer="708" w:gutter="0"/>
          <w:cols w:space="708"/>
          <w:titlePg/>
          <w:docGrid w:linePitch="360"/>
        </w:sectPr>
      </w:pPr>
    </w:p>
    <w:p w14:paraId="7EC25AC8" w14:textId="01BDB7C1" w:rsidR="00765CBE" w:rsidRPr="00380A75" w:rsidRDefault="00914237" w:rsidP="00765CBE">
      <w:pPr>
        <w:shd w:val="clear" w:color="auto" w:fill="FFFFFF"/>
        <w:spacing w:before="120" w:after="0" w:line="240" w:lineRule="auto"/>
        <w:jc w:val="center"/>
        <w:rPr>
          <w:b/>
          <w:bCs/>
          <w:sz w:val="32"/>
          <w:szCs w:val="32"/>
        </w:rPr>
      </w:pPr>
      <w:r>
        <w:rPr>
          <w:b/>
          <w:bCs/>
          <w:sz w:val="32"/>
          <w:szCs w:val="32"/>
        </w:rPr>
        <w:lastRenderedPageBreak/>
        <w:t>8.</w:t>
      </w:r>
    </w:p>
    <w:bookmarkStart w:id="92" w:name="_Toc90462772"/>
    <w:bookmarkStart w:id="93" w:name="_Toc93327742"/>
    <w:p w14:paraId="01219655" w14:textId="6A48BF79" w:rsidR="00765CBE" w:rsidRPr="00D40DBB" w:rsidRDefault="00765CBE" w:rsidP="00765CBE">
      <w:pPr>
        <w:pStyle w:val="Titolo"/>
      </w:pPr>
      <w:r>
        <w:rPr>
          <w:noProof/>
        </w:rPr>
        <mc:AlternateContent>
          <mc:Choice Requires="wps">
            <w:drawing>
              <wp:anchor distT="4294967291" distB="4294967291" distL="114300" distR="114300" simplePos="0" relativeHeight="251770368" behindDoc="0" locked="0" layoutInCell="1" allowOverlap="1" wp14:anchorId="6D79E14C" wp14:editId="77C52514">
                <wp:simplePos x="0" y="0"/>
                <wp:positionH relativeFrom="margin">
                  <wp:align>center</wp:align>
                </wp:positionH>
                <wp:positionV relativeFrom="paragraph">
                  <wp:posOffset>80118</wp:posOffset>
                </wp:positionV>
                <wp:extent cx="2438400" cy="0"/>
                <wp:effectExtent l="0" t="0" r="0" b="0"/>
                <wp:wrapNone/>
                <wp:docPr id="205459433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A9485D" id="AutoShape 120" o:spid="_x0000_s1026" type="#_x0000_t32" style="position:absolute;margin-left:0;margin-top:6.3pt;width:192pt;height:0;z-index:251770368;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t>Trattamento fiscale e contabile</w:t>
      </w:r>
      <w:bookmarkEnd w:id="92"/>
      <w:bookmarkEnd w:id="93"/>
    </w:p>
    <w:p w14:paraId="0090EF1C" w14:textId="798630A0" w:rsidR="00765CBE" w:rsidRDefault="00765CBE" w:rsidP="00914237">
      <w:pPr>
        <w:spacing w:line="360" w:lineRule="auto"/>
      </w:pPr>
    </w:p>
    <w:p w14:paraId="2C045426" w14:textId="3D1D108B" w:rsidR="007B5579" w:rsidRDefault="007B5579" w:rsidP="00914237">
      <w:pPr>
        <w:spacing w:line="360" w:lineRule="auto"/>
      </w:pPr>
    </w:p>
    <w:p w14:paraId="1F107D10" w14:textId="45038FD5" w:rsidR="007B5579" w:rsidRDefault="007B5579" w:rsidP="00914237">
      <w:pPr>
        <w:spacing w:line="360" w:lineRule="auto"/>
      </w:pPr>
    </w:p>
    <w:p w14:paraId="34B1BFA3" w14:textId="723C98C4" w:rsidR="007B5579" w:rsidRDefault="007B5579" w:rsidP="00914237">
      <w:pPr>
        <w:spacing w:line="360" w:lineRule="auto"/>
      </w:pPr>
    </w:p>
    <w:p w14:paraId="19BD85F3" w14:textId="7BFA452A" w:rsidR="007B5579" w:rsidRDefault="007B5579" w:rsidP="00914237">
      <w:pPr>
        <w:spacing w:line="360" w:lineRule="auto"/>
      </w:pPr>
    </w:p>
    <w:p w14:paraId="4B3C5E09" w14:textId="77777777" w:rsidR="007B5579" w:rsidRPr="007B5579" w:rsidRDefault="007B5579" w:rsidP="00914237">
      <w:pPr>
        <w:spacing w:line="360" w:lineRule="auto"/>
      </w:pPr>
    </w:p>
    <w:p w14:paraId="5331A970" w14:textId="6A564170" w:rsidR="00765CBE" w:rsidRPr="002247B4" w:rsidRDefault="007B5579" w:rsidP="00765CBE">
      <w:pPr>
        <w:pStyle w:val="Titolo2"/>
      </w:pPr>
      <w:bookmarkStart w:id="94" w:name="_Toc90462773"/>
      <w:bookmarkStart w:id="95" w:name="_Toc93327743"/>
      <w:r>
        <w:t>8</w:t>
      </w:r>
      <w:r w:rsidR="00765CBE" w:rsidRPr="002247B4">
        <w:t>.</w:t>
      </w:r>
      <w:r w:rsidR="00765CBE">
        <w:t>1</w:t>
      </w:r>
      <w:r w:rsidR="00765CBE" w:rsidRPr="002247B4">
        <w:t xml:space="preserve"> </w:t>
      </w:r>
      <w:r w:rsidR="00765CBE">
        <w:t>Trattamento fiscale</w:t>
      </w:r>
      <w:bookmarkEnd w:id="94"/>
      <w:bookmarkEnd w:id="95"/>
    </w:p>
    <w:p w14:paraId="333E0FBB" w14:textId="77777777" w:rsidR="00765CBE" w:rsidRDefault="00765CBE" w:rsidP="00765CBE">
      <w:pPr>
        <w:spacing w:line="360" w:lineRule="auto"/>
        <w:jc w:val="both"/>
      </w:pPr>
      <w:r>
        <w:t>Il credito d'imposta:</w:t>
      </w:r>
    </w:p>
    <w:p w14:paraId="6EEE4296" w14:textId="77777777" w:rsidR="00765CBE" w:rsidRPr="007B5447" w:rsidRDefault="00765CBE" w:rsidP="00AE49EC">
      <w:pPr>
        <w:pStyle w:val="Paragrafoelenco"/>
        <w:numPr>
          <w:ilvl w:val="0"/>
          <w:numId w:val="37"/>
        </w:numPr>
        <w:spacing w:line="360" w:lineRule="auto"/>
        <w:jc w:val="both"/>
        <w:rPr>
          <w:b/>
          <w:bCs/>
        </w:rPr>
      </w:pPr>
      <w:r w:rsidRPr="007B5447">
        <w:rPr>
          <w:b/>
          <w:bCs/>
        </w:rPr>
        <w:t>non concorre alla formazione del reddito</w:t>
      </w:r>
      <w:r>
        <w:t xml:space="preserve"> nonché della base imponibile dell'IRAP e</w:t>
      </w:r>
    </w:p>
    <w:p w14:paraId="457D6389" w14:textId="77777777" w:rsidR="00765CBE" w:rsidRDefault="00765CBE" w:rsidP="00AE49EC">
      <w:pPr>
        <w:pStyle w:val="Paragrafoelenco"/>
        <w:numPr>
          <w:ilvl w:val="0"/>
          <w:numId w:val="37"/>
        </w:numPr>
        <w:spacing w:line="360" w:lineRule="auto"/>
        <w:jc w:val="both"/>
      </w:pPr>
      <w:r w:rsidRPr="00303E19">
        <w:rPr>
          <w:b/>
          <w:bCs/>
        </w:rPr>
        <w:t>non rileva ai fini del rapporto</w:t>
      </w:r>
      <w:r>
        <w:t xml:space="preserve"> </w:t>
      </w:r>
      <w:r w:rsidRPr="00303E19">
        <w:rPr>
          <w:b/>
          <w:bCs/>
        </w:rPr>
        <w:t>di cui agli articoli 61 e 109</w:t>
      </w:r>
      <w:r>
        <w:t>, comma 5, Tuir.</w:t>
      </w:r>
    </w:p>
    <w:p w14:paraId="76606019" w14:textId="77777777" w:rsidR="00765CBE" w:rsidRPr="00A17F02"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A17F02">
        <w:rPr>
          <w:i/>
          <w:iCs/>
        </w:rPr>
        <w:t>1. Gli interessi passivi inerenti all'esercizio d'impresa sono deducibili per la parte corrispondente al rapporto tra l'ammontare dei ricavi e altri proventi che concorrono a formare il reddito d'impresa o che non vi concorrono in quanto esclusi e l'ammontare complessivo di tutti i ricavi e proventi.</w:t>
      </w:r>
    </w:p>
    <w:p w14:paraId="6A539D69" w14:textId="77777777" w:rsidR="00765CBE" w:rsidRPr="00A17F02"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A17F02">
        <w:rPr>
          <w:i/>
          <w:iCs/>
        </w:rPr>
        <w:t>2. La parte di interessi passivi non deducibile ai sensi del comma 1 del presente articolo non dà diritto alla detrazione dall'imposta prevista alle lettere a) e b) del comma 1 dell'articolo 15.</w:t>
      </w:r>
    </w:p>
    <w:p w14:paraId="24CAA894" w14:textId="77777777" w:rsidR="00765CBE"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t>Articolo 61, Tuir</w:t>
      </w:r>
      <w:bookmarkStart w:id="96" w:name="_Hlk89880221"/>
    </w:p>
    <w:p w14:paraId="0DB1EAAB" w14:textId="77777777" w:rsidR="00765CBE" w:rsidRDefault="00765CBE" w:rsidP="00765CBE"/>
    <w:p w14:paraId="7D845EBC" w14:textId="77777777" w:rsidR="00765CBE" w:rsidRPr="00DE5B20"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360" w:lineRule="auto"/>
        <w:jc w:val="both"/>
      </w:pPr>
      <w:r w:rsidRPr="00A17F02">
        <w:rPr>
          <w:i/>
          <w:iCs/>
        </w:rPr>
        <w:t>5. Le spese e gli altri componenti negativi diversi dagli interessi passivi, tranne gli oneri fiscali, contributivi e di utilità</w:t>
      </w:r>
      <w:r>
        <w:rPr>
          <w:i/>
          <w:iCs/>
        </w:rPr>
        <w:t xml:space="preserve"> </w:t>
      </w:r>
      <w:r w:rsidRPr="00A17F02">
        <w:rPr>
          <w:i/>
          <w:iCs/>
        </w:rPr>
        <w:t>sociale, sono deducibili se e nella misura in cui si riferiscono ad attività o beni da cui derivano ricavi o altri proventi</w:t>
      </w:r>
      <w:r>
        <w:rPr>
          <w:i/>
          <w:iCs/>
        </w:rPr>
        <w:t xml:space="preserve"> </w:t>
      </w:r>
      <w:r w:rsidRPr="00A17F02">
        <w:rPr>
          <w:i/>
          <w:iCs/>
        </w:rPr>
        <w:t>che concorrono a formare il reddito o che non vi concorrono in quanto esclusi. Se si riferiscono indistintamente ad</w:t>
      </w:r>
      <w:r>
        <w:rPr>
          <w:i/>
          <w:iCs/>
        </w:rPr>
        <w:t xml:space="preserve"> </w:t>
      </w:r>
      <w:r w:rsidRPr="00A17F02">
        <w:rPr>
          <w:i/>
          <w:iCs/>
        </w:rPr>
        <w:t>attività o beni produttivi di proventi computabili e ad attività o beni produttivi di proventi non computabili in quanto</w:t>
      </w:r>
      <w:r>
        <w:rPr>
          <w:i/>
          <w:iCs/>
        </w:rPr>
        <w:t xml:space="preserve"> </w:t>
      </w:r>
      <w:r w:rsidRPr="00A17F02">
        <w:rPr>
          <w:i/>
          <w:iCs/>
        </w:rPr>
        <w:t>esenti nella determinazione del reddito sono deducibili per la parte corrispondente al rapporto tra l'ammontare dei</w:t>
      </w:r>
      <w:r>
        <w:rPr>
          <w:i/>
          <w:iCs/>
        </w:rPr>
        <w:t xml:space="preserve"> </w:t>
      </w:r>
      <w:r w:rsidRPr="00A17F02">
        <w:rPr>
          <w:i/>
          <w:iCs/>
        </w:rPr>
        <w:t>ricavi e altri proventi che concorrono a formare il reddito d'impresa o che non vi concorrono in quanto esclusi e</w:t>
      </w:r>
      <w:r>
        <w:rPr>
          <w:i/>
          <w:iCs/>
        </w:rPr>
        <w:t xml:space="preserve"> </w:t>
      </w:r>
      <w:r w:rsidRPr="00A17F02">
        <w:rPr>
          <w:i/>
          <w:iCs/>
        </w:rPr>
        <w:t>l'ammontare complessivo di tutti i ricavi e proventi. Le plusvalenze di cui all'articolo 87, non rilevano ai fini</w:t>
      </w:r>
      <w:r>
        <w:rPr>
          <w:i/>
          <w:iCs/>
        </w:rPr>
        <w:t xml:space="preserve"> </w:t>
      </w:r>
      <w:r w:rsidRPr="00A17F02">
        <w:rPr>
          <w:i/>
          <w:iCs/>
        </w:rPr>
        <w:t>dell'applicazione del periodo precedente. Fermo restando quanto previsto dai periodi precedenti, le spese relative a</w:t>
      </w:r>
      <w:r>
        <w:rPr>
          <w:i/>
          <w:iCs/>
        </w:rPr>
        <w:t xml:space="preserve"> </w:t>
      </w:r>
      <w:r w:rsidRPr="00A17F02">
        <w:rPr>
          <w:i/>
          <w:iCs/>
        </w:rPr>
        <w:t xml:space="preserve">prestazioni alberghiere e a somministrazioni di alimenti e bevande, </w:t>
      </w:r>
      <w:r w:rsidRPr="00A17F02">
        <w:rPr>
          <w:i/>
          <w:iCs/>
        </w:rPr>
        <w:lastRenderedPageBreak/>
        <w:t>diverse da quelle di cui al comma 3 dell'articolo</w:t>
      </w:r>
      <w:r>
        <w:rPr>
          <w:i/>
          <w:iCs/>
        </w:rPr>
        <w:t xml:space="preserve"> </w:t>
      </w:r>
      <w:r w:rsidRPr="00A17F02">
        <w:rPr>
          <w:i/>
          <w:iCs/>
        </w:rPr>
        <w:t>95, sono deducibili nella misura del 75 per cento.</w:t>
      </w:r>
      <w:r w:rsidRPr="00A17F02">
        <w:rPr>
          <w:i/>
          <w:iCs/>
        </w:rPr>
        <w:cr/>
      </w:r>
      <w:r w:rsidRPr="00DE5B20">
        <w:t>Articolo 109, quinto comma, Tuir</w:t>
      </w:r>
    </w:p>
    <w:p w14:paraId="5A33507A" w14:textId="77777777" w:rsidR="00765CBE" w:rsidRPr="00A17F02" w:rsidRDefault="00765CBE" w:rsidP="00765CBE"/>
    <w:p w14:paraId="7DA32DA9" w14:textId="084A7154" w:rsidR="00765CBE" w:rsidRDefault="007B5579" w:rsidP="00765CBE">
      <w:pPr>
        <w:pStyle w:val="Titolo3"/>
      </w:pPr>
      <w:bookmarkStart w:id="97" w:name="_Toc90462774"/>
      <w:bookmarkStart w:id="98" w:name="_Toc93327744"/>
      <w:r>
        <w:t>8</w:t>
      </w:r>
      <w:r w:rsidR="00765CBE">
        <w:t>.1.1</w:t>
      </w:r>
      <w:r w:rsidR="00765CBE" w:rsidRPr="00E533EC">
        <w:t xml:space="preserve"> </w:t>
      </w:r>
      <w:r w:rsidR="00765CBE">
        <w:t>Indicazione in dichiarazione dei redditi</w:t>
      </w:r>
      <w:bookmarkEnd w:id="97"/>
      <w:bookmarkEnd w:id="98"/>
    </w:p>
    <w:p w14:paraId="581562C6" w14:textId="7F6B3605" w:rsidR="00765CBE" w:rsidRDefault="00765CBE" w:rsidP="00765CBE">
      <w:pPr>
        <w:spacing w:line="360" w:lineRule="auto"/>
        <w:jc w:val="both"/>
      </w:pPr>
      <w:r>
        <w:t xml:space="preserve">Dal momento che il credito di imposta non è soggetto a tassazione occorre effettuare una variazione in diminuzione del reddito. Pertanto, nelle </w:t>
      </w:r>
      <w:r w:rsidRPr="00AA1EC2">
        <w:rPr>
          <w:b/>
          <w:bCs/>
        </w:rPr>
        <w:t>variazioni in diminuzione del quadro RF</w:t>
      </w:r>
      <w:r>
        <w:t xml:space="preserve"> di determinazione del reddito, occorre indicare </w:t>
      </w:r>
      <w:r w:rsidRPr="00AA1EC2">
        <w:rPr>
          <w:b/>
          <w:bCs/>
        </w:rPr>
        <w:t>nel rigo RF55</w:t>
      </w:r>
      <w:r>
        <w:t>, l’ammontare del ricavo imputato a conto economico che non è assoggettato a tassazione, con il “</w:t>
      </w:r>
      <w:r w:rsidRPr="00AA1EC2">
        <w:rPr>
          <w:b/>
          <w:bCs/>
        </w:rPr>
        <w:t>codice 99 – altre variazioni in diminuzione</w:t>
      </w:r>
      <w:r w:rsidRPr="00AA1EC2">
        <w:t xml:space="preserve"> non espressamente elencate</w:t>
      </w:r>
      <w:r>
        <w:t>”.</w:t>
      </w:r>
    </w:p>
    <w:p w14:paraId="477B320D" w14:textId="68D7BF6C" w:rsidR="00765CBE" w:rsidRDefault="00765CBE" w:rsidP="00765CBE">
      <w:pPr>
        <w:spacing w:line="360" w:lineRule="auto"/>
        <w:jc w:val="both"/>
      </w:pPr>
      <w:r w:rsidRPr="00CD1613">
        <w:t xml:space="preserve">I dati del credito d’imposta vanno esposti </w:t>
      </w:r>
      <w:bookmarkEnd w:id="96"/>
      <w:r w:rsidRPr="00CD1613">
        <w:t xml:space="preserve">nella </w:t>
      </w:r>
      <w:r w:rsidRPr="00E33693">
        <w:rPr>
          <w:b/>
          <w:bCs/>
        </w:rPr>
        <w:t>sezione RU della dichiarazione dei redditi</w:t>
      </w:r>
      <w:r>
        <w:t xml:space="preserve"> </w:t>
      </w:r>
      <w:r w:rsidRPr="00CD1613">
        <w:t xml:space="preserve">distintamente in relazione alle diverse tipologie di beni agevolabili. Per </w:t>
      </w:r>
      <w:r w:rsidRPr="00296B35">
        <w:rPr>
          <w:b/>
          <w:bCs/>
        </w:rPr>
        <w:t>ciascuna fattispecie</w:t>
      </w:r>
      <w:r w:rsidRPr="00CD1613">
        <w:t xml:space="preserve"> agevolabile va compilato un </w:t>
      </w:r>
      <w:r w:rsidRPr="00296B35">
        <w:rPr>
          <w:b/>
          <w:bCs/>
        </w:rPr>
        <w:t>distinto modulo</w:t>
      </w:r>
      <w:r w:rsidRPr="00CD1613">
        <w:t xml:space="preserve"> della sezione I, </w:t>
      </w:r>
      <w:r w:rsidRPr="00856636">
        <w:rPr>
          <w:b/>
          <w:bCs/>
        </w:rPr>
        <w:t>da RU1 a RU12</w:t>
      </w:r>
      <w:r>
        <w:t xml:space="preserve"> </w:t>
      </w:r>
      <w:r w:rsidRPr="00CD1613">
        <w:t>utilizzando i seguenti codici credito</w:t>
      </w:r>
      <w:r w:rsidR="00303E19">
        <w:t>.</w:t>
      </w:r>
    </w:p>
    <w:tbl>
      <w:tblPr>
        <w:tblStyle w:val="Grigliatabella"/>
        <w:tblW w:w="0" w:type="auto"/>
        <w:jc w:val="center"/>
        <w:tblLook w:val="04A0" w:firstRow="1" w:lastRow="0" w:firstColumn="1" w:lastColumn="0" w:noHBand="0" w:noVBand="1"/>
      </w:tblPr>
      <w:tblGrid>
        <w:gridCol w:w="1009"/>
        <w:gridCol w:w="4564"/>
        <w:gridCol w:w="2246"/>
        <w:gridCol w:w="1809"/>
      </w:tblGrid>
      <w:tr w:rsidR="00914237" w:rsidRPr="00914237" w14:paraId="140ACFA2" w14:textId="77777777" w:rsidTr="00303E19">
        <w:trPr>
          <w:jc w:val="center"/>
        </w:trPr>
        <w:tc>
          <w:tcPr>
            <w:tcW w:w="846" w:type="dxa"/>
            <w:shd w:val="clear" w:color="auto" w:fill="DBE5F1" w:themeFill="accent1" w:themeFillTint="33"/>
            <w:vAlign w:val="center"/>
          </w:tcPr>
          <w:p w14:paraId="5C3BFAAE" w14:textId="3AEC2466" w:rsidR="00765CBE" w:rsidRPr="00914237" w:rsidRDefault="00303E19" w:rsidP="00914237">
            <w:pPr>
              <w:spacing w:before="60" w:after="60" w:line="326" w:lineRule="auto"/>
              <w:jc w:val="center"/>
              <w:rPr>
                <w:b/>
                <w:bCs/>
                <w:color w:val="000000" w:themeColor="text1"/>
              </w:rPr>
            </w:pPr>
            <w:r w:rsidRPr="00914237">
              <w:rPr>
                <w:b/>
                <w:bCs/>
                <w:color w:val="000000" w:themeColor="text1"/>
              </w:rPr>
              <w:t>CODICE</w:t>
            </w:r>
          </w:p>
        </w:tc>
        <w:tc>
          <w:tcPr>
            <w:tcW w:w="4678" w:type="dxa"/>
            <w:shd w:val="clear" w:color="auto" w:fill="DBE5F1" w:themeFill="accent1" w:themeFillTint="33"/>
            <w:vAlign w:val="center"/>
          </w:tcPr>
          <w:p w14:paraId="040CDCE0" w14:textId="16A0CA2D" w:rsidR="00765CBE" w:rsidRPr="00914237" w:rsidRDefault="00303E19" w:rsidP="00914237">
            <w:pPr>
              <w:spacing w:before="60" w:after="60" w:line="326" w:lineRule="auto"/>
              <w:jc w:val="center"/>
              <w:rPr>
                <w:b/>
                <w:bCs/>
                <w:color w:val="000000" w:themeColor="text1"/>
              </w:rPr>
            </w:pPr>
            <w:r w:rsidRPr="00914237">
              <w:rPr>
                <w:b/>
                <w:bCs/>
                <w:color w:val="000000" w:themeColor="text1"/>
              </w:rPr>
              <w:t>TIPOLOGIA INVESTIMENTO</w:t>
            </w:r>
          </w:p>
        </w:tc>
        <w:tc>
          <w:tcPr>
            <w:tcW w:w="2268" w:type="dxa"/>
            <w:shd w:val="clear" w:color="auto" w:fill="DBE5F1" w:themeFill="accent1" w:themeFillTint="33"/>
            <w:vAlign w:val="center"/>
          </w:tcPr>
          <w:p w14:paraId="7C8233EB" w14:textId="723B21BE" w:rsidR="00765CBE" w:rsidRPr="00914237" w:rsidRDefault="00303E19" w:rsidP="00914237">
            <w:pPr>
              <w:spacing w:before="60" w:after="60" w:line="326" w:lineRule="auto"/>
              <w:jc w:val="center"/>
              <w:rPr>
                <w:b/>
                <w:bCs/>
                <w:color w:val="000000" w:themeColor="text1"/>
              </w:rPr>
            </w:pPr>
            <w:r w:rsidRPr="00914237">
              <w:rPr>
                <w:b/>
                <w:bCs/>
                <w:color w:val="000000" w:themeColor="text1"/>
              </w:rPr>
              <w:t>DECORRENZA UTILIZZO</w:t>
            </w:r>
          </w:p>
        </w:tc>
        <w:tc>
          <w:tcPr>
            <w:tcW w:w="1836" w:type="dxa"/>
            <w:shd w:val="clear" w:color="auto" w:fill="DBE5F1" w:themeFill="accent1" w:themeFillTint="33"/>
            <w:vAlign w:val="center"/>
          </w:tcPr>
          <w:p w14:paraId="2A0EC791" w14:textId="1603768C" w:rsidR="00765CBE" w:rsidRPr="00914237" w:rsidRDefault="00303E19" w:rsidP="00914237">
            <w:pPr>
              <w:spacing w:before="60" w:after="60" w:line="326" w:lineRule="auto"/>
              <w:jc w:val="center"/>
              <w:rPr>
                <w:b/>
                <w:bCs/>
                <w:color w:val="000000" w:themeColor="text1"/>
              </w:rPr>
            </w:pPr>
            <w:r w:rsidRPr="00914237">
              <w:rPr>
                <w:b/>
                <w:bCs/>
                <w:color w:val="000000" w:themeColor="text1"/>
              </w:rPr>
              <w:t>CODICE TRIBUTO F24</w:t>
            </w:r>
          </w:p>
        </w:tc>
      </w:tr>
      <w:tr w:rsidR="00914237" w:rsidRPr="00914237" w14:paraId="50E0D3EF" w14:textId="77777777" w:rsidTr="004414B7">
        <w:trPr>
          <w:jc w:val="center"/>
        </w:trPr>
        <w:tc>
          <w:tcPr>
            <w:tcW w:w="846" w:type="dxa"/>
          </w:tcPr>
          <w:p w14:paraId="7DCC380A" w14:textId="77777777" w:rsidR="00765CBE" w:rsidRPr="00914237" w:rsidRDefault="00765CBE" w:rsidP="004414B7">
            <w:pPr>
              <w:spacing w:before="60" w:after="60" w:line="326" w:lineRule="auto"/>
              <w:jc w:val="center"/>
              <w:rPr>
                <w:color w:val="000000" w:themeColor="text1"/>
              </w:rPr>
            </w:pPr>
            <w:r w:rsidRPr="00914237">
              <w:rPr>
                <w:b/>
                <w:bCs/>
                <w:color w:val="000000" w:themeColor="text1"/>
              </w:rPr>
              <w:t>L3</w:t>
            </w:r>
          </w:p>
        </w:tc>
        <w:tc>
          <w:tcPr>
            <w:tcW w:w="4678" w:type="dxa"/>
          </w:tcPr>
          <w:p w14:paraId="1E8ECEB2" w14:textId="77777777" w:rsidR="00765CBE" w:rsidRPr="00914237" w:rsidRDefault="00765CBE" w:rsidP="004414B7">
            <w:pPr>
              <w:spacing w:before="60" w:after="60" w:line="326" w:lineRule="auto"/>
              <w:jc w:val="center"/>
              <w:rPr>
                <w:color w:val="000000" w:themeColor="text1"/>
              </w:rPr>
            </w:pPr>
            <w:r w:rsidRPr="00914237">
              <w:rPr>
                <w:color w:val="000000" w:themeColor="text1"/>
              </w:rPr>
              <w:t>investimenti in beni strumentali nuovi materiali e immateriali di cui all’art. 1, comma 1054, legge n. 178/2020 (beni diversi da quelli ricompresi negli allegati A e B alla legge n. 232/2016).</w:t>
            </w:r>
          </w:p>
        </w:tc>
        <w:tc>
          <w:tcPr>
            <w:tcW w:w="2268" w:type="dxa"/>
          </w:tcPr>
          <w:p w14:paraId="679C4E44" w14:textId="77777777" w:rsidR="00765CBE" w:rsidRPr="00914237" w:rsidRDefault="00765CBE" w:rsidP="004414B7">
            <w:pPr>
              <w:spacing w:before="60" w:after="60" w:line="326" w:lineRule="auto"/>
              <w:jc w:val="center"/>
              <w:rPr>
                <w:color w:val="000000" w:themeColor="text1"/>
              </w:rPr>
            </w:pPr>
            <w:r w:rsidRPr="00914237">
              <w:rPr>
                <w:color w:val="000000" w:themeColor="text1"/>
              </w:rPr>
              <w:t>dall’anno di entrata in funzione dei beni</w:t>
            </w:r>
          </w:p>
        </w:tc>
        <w:tc>
          <w:tcPr>
            <w:tcW w:w="1836" w:type="dxa"/>
          </w:tcPr>
          <w:p w14:paraId="72736B1B" w14:textId="77777777" w:rsidR="00765CBE" w:rsidRPr="00914237" w:rsidRDefault="00765CBE" w:rsidP="004414B7">
            <w:pPr>
              <w:spacing w:before="60" w:after="60" w:line="326" w:lineRule="auto"/>
              <w:jc w:val="center"/>
              <w:rPr>
                <w:color w:val="000000" w:themeColor="text1"/>
              </w:rPr>
            </w:pPr>
            <w:r w:rsidRPr="00914237">
              <w:rPr>
                <w:b/>
                <w:bCs/>
                <w:color w:val="000000" w:themeColor="text1"/>
              </w:rPr>
              <w:t>6935</w:t>
            </w:r>
          </w:p>
        </w:tc>
      </w:tr>
      <w:tr w:rsidR="00914237" w:rsidRPr="00914237" w14:paraId="54CE12F7" w14:textId="77777777" w:rsidTr="004414B7">
        <w:trPr>
          <w:jc w:val="center"/>
        </w:trPr>
        <w:tc>
          <w:tcPr>
            <w:tcW w:w="846" w:type="dxa"/>
          </w:tcPr>
          <w:p w14:paraId="5C2F4BAB" w14:textId="77777777" w:rsidR="00765CBE" w:rsidRPr="00914237" w:rsidRDefault="00765CBE" w:rsidP="004414B7">
            <w:pPr>
              <w:spacing w:before="60" w:after="60" w:line="326" w:lineRule="auto"/>
              <w:jc w:val="center"/>
              <w:rPr>
                <w:b/>
                <w:bCs/>
                <w:color w:val="000000" w:themeColor="text1"/>
              </w:rPr>
            </w:pPr>
            <w:r w:rsidRPr="00914237">
              <w:rPr>
                <w:b/>
                <w:bCs/>
                <w:color w:val="000000" w:themeColor="text1"/>
              </w:rPr>
              <w:t>2L</w:t>
            </w:r>
          </w:p>
        </w:tc>
        <w:tc>
          <w:tcPr>
            <w:tcW w:w="4678" w:type="dxa"/>
          </w:tcPr>
          <w:p w14:paraId="1D76C2C7" w14:textId="77777777" w:rsidR="00765CBE" w:rsidRPr="00914237" w:rsidRDefault="00765CBE" w:rsidP="004414B7">
            <w:pPr>
              <w:spacing w:before="60" w:after="60" w:line="326" w:lineRule="auto"/>
              <w:jc w:val="center"/>
              <w:rPr>
                <w:color w:val="000000" w:themeColor="text1"/>
              </w:rPr>
            </w:pPr>
            <w:r w:rsidRPr="00914237">
              <w:rPr>
                <w:color w:val="000000" w:themeColor="text1"/>
              </w:rPr>
              <w:t>investimenti in beni strumentali nuovi di cui all’art. 1, comma 1056, legge n. 178/2020 (beni di cui all’allegato A alla legge n. 232/2016).</w:t>
            </w:r>
          </w:p>
        </w:tc>
        <w:tc>
          <w:tcPr>
            <w:tcW w:w="2268" w:type="dxa"/>
          </w:tcPr>
          <w:p w14:paraId="701B1618" w14:textId="77777777" w:rsidR="00765CBE" w:rsidRPr="00914237" w:rsidRDefault="00765CBE" w:rsidP="004414B7">
            <w:pPr>
              <w:spacing w:before="60" w:after="60" w:line="326" w:lineRule="auto"/>
              <w:jc w:val="center"/>
              <w:rPr>
                <w:color w:val="000000" w:themeColor="text1"/>
              </w:rPr>
            </w:pPr>
            <w:r w:rsidRPr="00914237">
              <w:rPr>
                <w:color w:val="000000" w:themeColor="text1"/>
              </w:rPr>
              <w:t>dall’anno di avvenuta interconnessione dei beni</w:t>
            </w:r>
          </w:p>
        </w:tc>
        <w:tc>
          <w:tcPr>
            <w:tcW w:w="1836" w:type="dxa"/>
          </w:tcPr>
          <w:p w14:paraId="5A2B93B3" w14:textId="77777777" w:rsidR="00765CBE" w:rsidRPr="00914237" w:rsidRDefault="00765CBE" w:rsidP="004414B7">
            <w:pPr>
              <w:spacing w:before="60" w:after="60" w:line="326" w:lineRule="auto"/>
              <w:jc w:val="center"/>
              <w:rPr>
                <w:b/>
                <w:bCs/>
                <w:color w:val="000000" w:themeColor="text1"/>
              </w:rPr>
            </w:pPr>
            <w:r w:rsidRPr="00914237">
              <w:rPr>
                <w:b/>
                <w:bCs/>
                <w:color w:val="000000" w:themeColor="text1"/>
              </w:rPr>
              <w:t>6936</w:t>
            </w:r>
          </w:p>
        </w:tc>
      </w:tr>
      <w:tr w:rsidR="00914237" w:rsidRPr="00914237" w14:paraId="328D7ACD" w14:textId="77777777" w:rsidTr="004414B7">
        <w:trPr>
          <w:jc w:val="center"/>
        </w:trPr>
        <w:tc>
          <w:tcPr>
            <w:tcW w:w="846" w:type="dxa"/>
          </w:tcPr>
          <w:p w14:paraId="00BA7EE0" w14:textId="77777777" w:rsidR="00765CBE" w:rsidRPr="00914237" w:rsidRDefault="00765CBE" w:rsidP="004414B7">
            <w:pPr>
              <w:spacing w:before="60" w:after="60" w:line="326" w:lineRule="auto"/>
              <w:jc w:val="center"/>
              <w:rPr>
                <w:b/>
                <w:bCs/>
                <w:color w:val="000000" w:themeColor="text1"/>
              </w:rPr>
            </w:pPr>
            <w:r w:rsidRPr="00914237">
              <w:rPr>
                <w:b/>
                <w:bCs/>
                <w:color w:val="000000" w:themeColor="text1"/>
              </w:rPr>
              <w:t>3L</w:t>
            </w:r>
          </w:p>
        </w:tc>
        <w:tc>
          <w:tcPr>
            <w:tcW w:w="4678" w:type="dxa"/>
          </w:tcPr>
          <w:p w14:paraId="0DA2157E" w14:textId="77777777" w:rsidR="00765CBE" w:rsidRPr="00914237" w:rsidRDefault="00765CBE" w:rsidP="004414B7">
            <w:pPr>
              <w:spacing w:before="60" w:after="60" w:line="326" w:lineRule="auto"/>
              <w:jc w:val="center"/>
              <w:rPr>
                <w:color w:val="000000" w:themeColor="text1"/>
              </w:rPr>
            </w:pPr>
            <w:r w:rsidRPr="00914237">
              <w:rPr>
                <w:color w:val="000000" w:themeColor="text1"/>
              </w:rPr>
              <w:t>investimenti in beni strumentali nuovi di cui all’art. 1, comma 1058, legge n. 178/2020 (beni di cui all’allegato B alla legge n. 232/2016).</w:t>
            </w:r>
          </w:p>
        </w:tc>
        <w:tc>
          <w:tcPr>
            <w:tcW w:w="2268" w:type="dxa"/>
          </w:tcPr>
          <w:p w14:paraId="1E1F4C82" w14:textId="77777777" w:rsidR="00765CBE" w:rsidRPr="00914237" w:rsidRDefault="00765CBE" w:rsidP="004414B7">
            <w:pPr>
              <w:spacing w:before="60" w:after="60" w:line="326" w:lineRule="auto"/>
              <w:jc w:val="center"/>
              <w:rPr>
                <w:color w:val="000000" w:themeColor="text1"/>
              </w:rPr>
            </w:pPr>
            <w:r w:rsidRPr="00914237">
              <w:rPr>
                <w:color w:val="000000" w:themeColor="text1"/>
              </w:rPr>
              <w:t>dall’anno di avvenuta interconnessione dei beni</w:t>
            </w:r>
          </w:p>
        </w:tc>
        <w:tc>
          <w:tcPr>
            <w:tcW w:w="1836" w:type="dxa"/>
          </w:tcPr>
          <w:p w14:paraId="31C6CC04" w14:textId="77777777" w:rsidR="00765CBE" w:rsidRPr="00914237" w:rsidRDefault="00765CBE" w:rsidP="004414B7">
            <w:pPr>
              <w:spacing w:before="60" w:after="60" w:line="326" w:lineRule="auto"/>
              <w:jc w:val="center"/>
              <w:rPr>
                <w:b/>
                <w:bCs/>
                <w:color w:val="000000" w:themeColor="text1"/>
              </w:rPr>
            </w:pPr>
            <w:r w:rsidRPr="00914237">
              <w:rPr>
                <w:b/>
                <w:bCs/>
                <w:color w:val="000000" w:themeColor="text1"/>
              </w:rPr>
              <w:t>6937</w:t>
            </w:r>
          </w:p>
        </w:tc>
      </w:tr>
    </w:tbl>
    <w:p w14:paraId="78ACD549" w14:textId="77777777" w:rsidR="00765CBE" w:rsidRDefault="00765CBE" w:rsidP="00765CBE">
      <w:pPr>
        <w:spacing w:line="360" w:lineRule="auto"/>
        <w:jc w:val="both"/>
      </w:pPr>
    </w:p>
    <w:p w14:paraId="44CD2632" w14:textId="77777777" w:rsidR="00914237" w:rsidRDefault="00914237">
      <w:pPr>
        <w:spacing w:after="0" w:line="240" w:lineRule="auto"/>
      </w:pPr>
      <w:r>
        <w:br w:type="page"/>
      </w:r>
    </w:p>
    <w:p w14:paraId="197F4CAB" w14:textId="26026443" w:rsidR="00765CBE" w:rsidRDefault="00765CBE" w:rsidP="00765CBE">
      <w:pPr>
        <w:spacing w:line="360" w:lineRule="auto"/>
      </w:pPr>
      <w:r w:rsidRPr="00103100">
        <w:lastRenderedPageBreak/>
        <w:t xml:space="preserve">Nella sezione </w:t>
      </w:r>
      <w:r w:rsidRPr="00303E19">
        <w:rPr>
          <w:b/>
          <w:bCs/>
        </w:rPr>
        <w:t>possono essere compilati i righi</w:t>
      </w:r>
      <w:r w:rsidRPr="00103100">
        <w:t xml:space="preserve"> RU3, RU5 colonna 3, RU6, RU8, RU10 e RU12.</w:t>
      </w:r>
    </w:p>
    <w:p w14:paraId="43ACF0A5" w14:textId="77777777" w:rsidR="00765CBE" w:rsidRDefault="00765CBE" w:rsidP="00765CBE">
      <w:pPr>
        <w:spacing w:line="360" w:lineRule="auto"/>
      </w:pPr>
      <w:r>
        <w:rPr>
          <w:noProof/>
        </w:rPr>
        <w:drawing>
          <wp:inline distT="0" distB="0" distL="0" distR="0" wp14:anchorId="612C75DC" wp14:editId="01B27408">
            <wp:extent cx="6166713" cy="1982758"/>
            <wp:effectExtent l="0" t="0" r="5715" b="0"/>
            <wp:docPr id="2054594341" name="Immagine 205459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3">
                      <a:extLst>
                        <a:ext uri="{28A0092B-C50C-407E-A947-70E740481C1C}">
                          <a14:useLocalDpi xmlns:a14="http://schemas.microsoft.com/office/drawing/2010/main" val="0"/>
                        </a:ext>
                      </a:extLst>
                    </a:blip>
                    <a:stretch>
                      <a:fillRect/>
                    </a:stretch>
                  </pic:blipFill>
                  <pic:spPr>
                    <a:xfrm>
                      <a:off x="0" y="0"/>
                      <a:ext cx="6174913" cy="1985394"/>
                    </a:xfrm>
                    <a:prstGeom prst="rect">
                      <a:avLst/>
                    </a:prstGeom>
                  </pic:spPr>
                </pic:pic>
              </a:graphicData>
            </a:graphic>
          </wp:inline>
        </w:drawing>
      </w:r>
    </w:p>
    <w:p w14:paraId="6D816B78" w14:textId="434D16A9" w:rsidR="00765CBE" w:rsidRDefault="00765CBE" w:rsidP="00765CBE">
      <w:pPr>
        <w:spacing w:line="360" w:lineRule="auto"/>
        <w:jc w:val="both"/>
      </w:pPr>
      <w:r w:rsidRPr="00103100">
        <w:t xml:space="preserve">In particolare, nel </w:t>
      </w:r>
      <w:r w:rsidRPr="00303E19">
        <w:rPr>
          <w:b/>
          <w:bCs/>
        </w:rPr>
        <w:t>rigo RU5</w:t>
      </w:r>
      <w:r w:rsidRPr="00103100">
        <w:t xml:space="preserve">, </w:t>
      </w:r>
      <w:r w:rsidRPr="00303E19">
        <w:rPr>
          <w:b/>
          <w:bCs/>
        </w:rPr>
        <w:t>colonna 3</w:t>
      </w:r>
      <w:r w:rsidRPr="00103100">
        <w:t xml:space="preserve">, va indicato l’ammontare del credito d’imposta </w:t>
      </w:r>
      <w:r w:rsidRPr="00E33693">
        <w:rPr>
          <w:b/>
          <w:bCs/>
        </w:rPr>
        <w:t>maturato nel periodo d’imposta di riferimento</w:t>
      </w:r>
      <w:r w:rsidRPr="00103100">
        <w:t xml:space="preserve"> della presente dichiarazione.</w:t>
      </w:r>
      <w:r>
        <w:t xml:space="preserve"> </w:t>
      </w:r>
      <w:r w:rsidRPr="00103100">
        <w:t>I righi RU6 e RU8 vanno compilati dai soggetti con periodo d’imposta 2020/2021.</w:t>
      </w:r>
    </w:p>
    <w:p w14:paraId="1904D46E" w14:textId="77777777" w:rsidR="00765CBE" w:rsidRDefault="00765CBE" w:rsidP="00765CBE">
      <w:pPr>
        <w:spacing w:line="360" w:lineRule="auto"/>
        <w:jc w:val="both"/>
      </w:pPr>
      <w:r>
        <w:t>I</w:t>
      </w:r>
      <w:r w:rsidRPr="00103100">
        <w:t xml:space="preserve">noltre, </w:t>
      </w:r>
      <w:r w:rsidRPr="00856636">
        <w:rPr>
          <w:b/>
          <w:bCs/>
        </w:rPr>
        <w:t>nella sezione IV,</w:t>
      </w:r>
      <w:r w:rsidRPr="00103100">
        <w:t xml:space="preserve"> </w:t>
      </w:r>
      <w:r w:rsidRPr="00103100">
        <w:rPr>
          <w:b/>
          <w:bCs/>
        </w:rPr>
        <w:t>rigo RU130,</w:t>
      </w:r>
      <w:r w:rsidRPr="00103100">
        <w:t xml:space="preserve"> va indicato l’</w:t>
      </w:r>
      <w:r w:rsidRPr="00303E19">
        <w:rPr>
          <w:b/>
          <w:bCs/>
        </w:rPr>
        <w:t xml:space="preserve">ammontare degli investimenti </w:t>
      </w:r>
      <w:r w:rsidRPr="00103100">
        <w:t>realizzati nel periodo d’imposta, compilando:</w:t>
      </w:r>
    </w:p>
    <w:p w14:paraId="3ECEDD17" w14:textId="77777777" w:rsidR="00303E19" w:rsidRDefault="00765CBE" w:rsidP="00AE49EC">
      <w:pPr>
        <w:pStyle w:val="Paragrafoelenco"/>
        <w:numPr>
          <w:ilvl w:val="0"/>
          <w:numId w:val="36"/>
        </w:numPr>
        <w:spacing w:line="360" w:lineRule="auto"/>
        <w:jc w:val="both"/>
      </w:pPr>
      <w:r w:rsidRPr="00103100">
        <w:t xml:space="preserve">le colonne 1, 2, 3 e 4, in relazione </w:t>
      </w:r>
      <w:r w:rsidRPr="00303E19">
        <w:rPr>
          <w:b/>
          <w:bCs/>
        </w:rPr>
        <w:t>al codice credito L3</w:t>
      </w:r>
      <w:r w:rsidRPr="00103100">
        <w:t>, per gli investimenti di cui al comma 1054. In particolare, nella colonna 1 va indicato il costo dei beni materiali, nella colonna 2 il costo dei beni immateriali e nella colonna 3 va riportato il costo degli investimenti in strumenti e dispositivi tecnologici destinati dall’impresa alla realizzazione di modalità di lavoro agile ai sensi dell’articolo 18 della legge 22 maggio 2017, n. 81. La casella 4 va barrata dai soggetti con un volume di ricavi o compensi inferiori a 5 milioni di euro;</w:t>
      </w:r>
    </w:p>
    <w:p w14:paraId="6A687362" w14:textId="77777777" w:rsidR="00303E19" w:rsidRDefault="00765CBE" w:rsidP="00AE49EC">
      <w:pPr>
        <w:pStyle w:val="Paragrafoelenco"/>
        <w:numPr>
          <w:ilvl w:val="0"/>
          <w:numId w:val="36"/>
        </w:numPr>
        <w:spacing w:line="360" w:lineRule="auto"/>
        <w:jc w:val="both"/>
      </w:pPr>
      <w:r w:rsidRPr="00103100">
        <w:t xml:space="preserve">la colonna 5, in relazione al </w:t>
      </w:r>
      <w:r w:rsidRPr="00303E19">
        <w:rPr>
          <w:b/>
          <w:bCs/>
        </w:rPr>
        <w:t>codice credito 2L</w:t>
      </w:r>
      <w:r w:rsidRPr="00103100">
        <w:t>, per gli investimenti di cui al comma 1056;</w:t>
      </w:r>
    </w:p>
    <w:p w14:paraId="488F1421" w14:textId="423E484C" w:rsidR="00765CBE" w:rsidRDefault="00765CBE" w:rsidP="00AE49EC">
      <w:pPr>
        <w:pStyle w:val="Paragrafoelenco"/>
        <w:numPr>
          <w:ilvl w:val="0"/>
          <w:numId w:val="36"/>
        </w:numPr>
        <w:spacing w:line="360" w:lineRule="auto"/>
        <w:jc w:val="both"/>
      </w:pPr>
      <w:r w:rsidRPr="00103100">
        <w:t xml:space="preserve">la colonna 6, in relazione al </w:t>
      </w:r>
      <w:r w:rsidRPr="00303E19">
        <w:rPr>
          <w:b/>
          <w:bCs/>
        </w:rPr>
        <w:t>codice credito 3L</w:t>
      </w:r>
      <w:r w:rsidRPr="00103100">
        <w:t>, per gli investimenti di cui al comma 1058.</w:t>
      </w:r>
    </w:p>
    <w:p w14:paraId="34042149" w14:textId="77777777" w:rsidR="00765CBE" w:rsidRDefault="00765CBE" w:rsidP="00765CBE">
      <w:r>
        <w:rPr>
          <w:noProof/>
        </w:rPr>
        <w:lastRenderedPageBreak/>
        <mc:AlternateContent>
          <mc:Choice Requires="wps">
            <w:drawing>
              <wp:anchor distT="0" distB="0" distL="114300" distR="114300" simplePos="0" relativeHeight="251789824" behindDoc="0" locked="0" layoutInCell="1" allowOverlap="1" wp14:anchorId="361A1B18" wp14:editId="5F3A0C52">
                <wp:simplePos x="0" y="0"/>
                <wp:positionH relativeFrom="column">
                  <wp:posOffset>689610</wp:posOffset>
                </wp:positionH>
                <wp:positionV relativeFrom="paragraph">
                  <wp:posOffset>2409825</wp:posOffset>
                </wp:positionV>
                <wp:extent cx="5200650" cy="752475"/>
                <wp:effectExtent l="0" t="0" r="19050" b="28575"/>
                <wp:wrapNone/>
                <wp:docPr id="28" name="Rettangolo 28"/>
                <wp:cNvGraphicFramePr/>
                <a:graphic xmlns:a="http://schemas.openxmlformats.org/drawingml/2006/main">
                  <a:graphicData uri="http://schemas.microsoft.com/office/word/2010/wordprocessingShape">
                    <wps:wsp>
                      <wps:cNvSpPr/>
                      <wps:spPr>
                        <a:xfrm>
                          <a:off x="0" y="0"/>
                          <a:ext cx="5200650" cy="752475"/>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9FAF6" id="Rettangolo 28" o:spid="_x0000_s1026" style="position:absolute;margin-left:54.3pt;margin-top:189.75pt;width:409.5pt;height:59.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" filled="f" strokecolor="#0070c0" strokeweight="1.5pt"/>
            </w:pict>
          </mc:Fallback>
        </mc:AlternateContent>
      </w:r>
      <w:r>
        <w:rPr>
          <w:noProof/>
        </w:rPr>
        <w:drawing>
          <wp:inline distT="0" distB="0" distL="0" distR="0" wp14:anchorId="42656271" wp14:editId="4550CBA1">
            <wp:extent cx="5779556" cy="3095625"/>
            <wp:effectExtent l="0" t="0" r="0" b="0"/>
            <wp:docPr id="2054594342" name="Immagine 205459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34">
                      <a:extLst>
                        <a:ext uri="{28A0092B-C50C-407E-A947-70E740481C1C}">
                          <a14:useLocalDpi xmlns:a14="http://schemas.microsoft.com/office/drawing/2010/main" val="0"/>
                        </a:ext>
                      </a:extLst>
                    </a:blip>
                    <a:stretch>
                      <a:fillRect/>
                    </a:stretch>
                  </pic:blipFill>
                  <pic:spPr>
                    <a:xfrm>
                      <a:off x="0" y="0"/>
                      <a:ext cx="5795960" cy="3104411"/>
                    </a:xfrm>
                    <a:prstGeom prst="rect">
                      <a:avLst/>
                    </a:prstGeom>
                  </pic:spPr>
                </pic:pic>
              </a:graphicData>
            </a:graphic>
          </wp:inline>
        </w:drawing>
      </w:r>
    </w:p>
    <w:p w14:paraId="5DC9A483" w14:textId="77777777" w:rsidR="003B5B1E" w:rsidRDefault="003B5B1E" w:rsidP="00765CBE">
      <w:pPr>
        <w:rPr>
          <w:b/>
          <w:bCs/>
          <w:highlight w:val="yellow"/>
        </w:rPr>
      </w:pPr>
    </w:p>
    <w:p w14:paraId="4BD75214" w14:textId="567D5C5B" w:rsidR="00852D41" w:rsidRPr="00303E19" w:rsidRDefault="00852D41" w:rsidP="00303E19">
      <w:pPr>
        <w:jc w:val="both"/>
        <w:rPr>
          <w:b/>
          <w:bCs/>
        </w:rPr>
      </w:pPr>
      <w:r w:rsidRPr="00303E19">
        <w:rPr>
          <w:b/>
          <w:bCs/>
        </w:rPr>
        <w:t xml:space="preserve">Esempio compilazione quadro RU per acquisto di un macchinario </w:t>
      </w:r>
      <w:r w:rsidR="00303E19">
        <w:rPr>
          <w:b/>
          <w:bCs/>
        </w:rPr>
        <w:t>NON</w:t>
      </w:r>
      <w:r w:rsidRPr="00303E19">
        <w:rPr>
          <w:b/>
          <w:bCs/>
        </w:rPr>
        <w:t xml:space="preserve"> 4.0 a dicembre 2021</w:t>
      </w:r>
    </w:p>
    <w:p w14:paraId="69404813" w14:textId="33A25762" w:rsidR="00852D41" w:rsidRDefault="00852D41" w:rsidP="00303E19">
      <w:pPr>
        <w:spacing w:line="360" w:lineRule="auto"/>
        <w:jc w:val="both"/>
      </w:pPr>
      <w:r>
        <w:t xml:space="preserve">Il consulente Walter </w:t>
      </w:r>
      <w:r w:rsidR="00E45ADB">
        <w:t>Orso</w:t>
      </w:r>
      <w:r>
        <w:t xml:space="preserve"> ha acquistato un pc nuovo, in data 02.</w:t>
      </w:r>
      <w:r w:rsidR="00E45ADB">
        <w:t>12</w:t>
      </w:r>
      <w:r>
        <w:t>.202</w:t>
      </w:r>
      <w:r w:rsidR="00E45ADB">
        <w:t>1</w:t>
      </w:r>
      <w:r>
        <w:t>, per un valore di 3.000 euro + IVA. Trattasi di un bene strumentale non 4.0 per cui, nel 202</w:t>
      </w:r>
      <w:r w:rsidR="00E45ADB">
        <w:t>1</w:t>
      </w:r>
      <w:r>
        <w:t xml:space="preserve">, </w:t>
      </w:r>
      <w:r w:rsidR="00303E19">
        <w:t>è</w:t>
      </w:r>
      <w:r>
        <w:t xml:space="preserve"> previsto un credito d’imposta del </w:t>
      </w:r>
      <w:r w:rsidR="00E45ADB">
        <w:t>10</w:t>
      </w:r>
      <w:r>
        <w:t xml:space="preserve">% (3.000 x </w:t>
      </w:r>
      <w:r w:rsidR="00E45ADB">
        <w:t>10</w:t>
      </w:r>
      <w:r>
        <w:t xml:space="preserve">% = </w:t>
      </w:r>
      <w:r w:rsidR="00E45ADB">
        <w:t>300</w:t>
      </w:r>
      <w:r>
        <w:t xml:space="preserve"> euro).</w:t>
      </w:r>
    </w:p>
    <w:p w14:paraId="587775B6" w14:textId="04412842" w:rsidR="00852D41" w:rsidRDefault="00852D41" w:rsidP="00303E19">
      <w:pPr>
        <w:spacing w:line="360" w:lineRule="auto"/>
        <w:jc w:val="both"/>
      </w:pPr>
      <w:r>
        <w:t xml:space="preserve">Il credito spettante, pari a </w:t>
      </w:r>
      <w:r w:rsidR="00E45ADB">
        <w:t>300</w:t>
      </w:r>
      <w:r>
        <w:t xml:space="preserve"> euro, </w:t>
      </w:r>
      <w:r w:rsidR="00D16D32">
        <w:t xml:space="preserve">utilizzabile dall’entrata in funzione del bene </w:t>
      </w:r>
      <w:r w:rsidR="0056370D">
        <w:t>viene</w:t>
      </w:r>
      <w:r>
        <w:t xml:space="preserve"> utilizzato nel 202</w:t>
      </w:r>
      <w:r w:rsidR="00D16D32">
        <w:t xml:space="preserve">2 interamente in </w:t>
      </w:r>
      <w:r>
        <w:t>F24.</w:t>
      </w:r>
      <w:r w:rsidR="0056370D">
        <w:t xml:space="preserve"> </w:t>
      </w:r>
      <w:r>
        <w:t>Si propone di seguito la compilazione del quadro RU del Modello Redditi Persone Fisiche</w:t>
      </w:r>
      <w:r w:rsidR="00D16D32">
        <w:t xml:space="preserve"> (sulla base del modello </w:t>
      </w:r>
      <w:r>
        <w:t>2021</w:t>
      </w:r>
      <w:r w:rsidR="00D16D32">
        <w:t>)</w:t>
      </w:r>
      <w:r>
        <w:t>.</w:t>
      </w:r>
    </w:p>
    <w:p w14:paraId="355C14C0" w14:textId="0DFC20E4" w:rsidR="00685BD7" w:rsidRDefault="00685BD7" w:rsidP="00F149D2">
      <w:pPr>
        <w:jc w:val="both"/>
      </w:pPr>
      <w:r>
        <w:rPr>
          <w:noProof/>
        </w:rPr>
        <w:drawing>
          <wp:inline distT="0" distB="0" distL="0" distR="0" wp14:anchorId="67C41743" wp14:editId="0D8DA4E8">
            <wp:extent cx="6115050" cy="2638425"/>
            <wp:effectExtent l="0" t="0" r="0"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2638425"/>
                    </a:xfrm>
                    <a:prstGeom prst="rect">
                      <a:avLst/>
                    </a:prstGeom>
                    <a:noFill/>
                    <a:ln>
                      <a:noFill/>
                    </a:ln>
                  </pic:spPr>
                </pic:pic>
              </a:graphicData>
            </a:graphic>
          </wp:inline>
        </w:drawing>
      </w:r>
    </w:p>
    <w:p w14:paraId="5E106EB6" w14:textId="1559049D" w:rsidR="00765CBE" w:rsidRPr="002247B4" w:rsidRDefault="007B5579" w:rsidP="00765CBE">
      <w:pPr>
        <w:pStyle w:val="Titolo2"/>
      </w:pPr>
      <w:bookmarkStart w:id="99" w:name="_Toc90462775"/>
      <w:bookmarkStart w:id="100" w:name="_Toc93327745"/>
      <w:r>
        <w:lastRenderedPageBreak/>
        <w:t>8</w:t>
      </w:r>
      <w:r w:rsidR="00765CBE">
        <w:t>.2</w:t>
      </w:r>
      <w:r w:rsidR="00765CBE" w:rsidRPr="002247B4">
        <w:t xml:space="preserve"> </w:t>
      </w:r>
      <w:r w:rsidR="00765CBE">
        <w:t>Trattamento contabile</w:t>
      </w:r>
      <w:bookmarkEnd w:id="99"/>
      <w:bookmarkEnd w:id="100"/>
    </w:p>
    <w:p w14:paraId="3774125C" w14:textId="77777777" w:rsidR="00765CBE" w:rsidRDefault="00765CBE" w:rsidP="00765CBE">
      <w:pPr>
        <w:spacing w:line="360" w:lineRule="auto"/>
      </w:pPr>
      <w:r>
        <w:t xml:space="preserve">Il credito di imposta per investimenti in beni strumentali materiali o immateriali è considerato un </w:t>
      </w:r>
      <w:r w:rsidRPr="0069542F">
        <w:rPr>
          <w:b/>
          <w:bCs/>
        </w:rPr>
        <w:t>contributo in conto impianti</w:t>
      </w:r>
      <w:r>
        <w:t>.</w:t>
      </w:r>
    </w:p>
    <w:p w14:paraId="7AF12FE1" w14:textId="77777777" w:rsidR="00765CBE" w:rsidRDefault="00765CBE" w:rsidP="00765CBE">
      <w:pPr>
        <w:spacing w:line="360" w:lineRule="auto"/>
        <w:jc w:val="both"/>
      </w:pPr>
      <w:r>
        <w:t xml:space="preserve">I contributi in conto impianti sono </w:t>
      </w:r>
      <w:r w:rsidRPr="0069542F">
        <w:rPr>
          <w:b/>
          <w:bCs/>
        </w:rPr>
        <w:t>somme erogate da un soggetto pubblico</w:t>
      </w:r>
      <w:r>
        <w:t xml:space="preserve"> (Stato o enti pubblici) alla società per la realizzazione di iniziative dirette alla costruzione, riattivazione e ampliamento di immobilizzazioni materiali, commisurati al costo delle medesime. Sono contributi per i quali di solito la società beneficiaria è vincolata a mantenere in uso le immobilizzazioni materiali cui essi si riferiscono per un determinato tempo, stabilito dalle norme che li concedono.</w:t>
      </w:r>
    </w:p>
    <w:p w14:paraId="11C6D07D" w14:textId="77777777" w:rsidR="00765CBE" w:rsidRDefault="00765CBE" w:rsidP="00765CBE">
      <w:pPr>
        <w:spacing w:line="360" w:lineRule="auto"/>
        <w:jc w:val="both"/>
      </w:pPr>
      <w:r>
        <w:t xml:space="preserve">I contributi in conto impianti commisurati al costo delle immobilizzazioni sono rilevati a conto economico con un </w:t>
      </w:r>
      <w:r w:rsidRPr="00487C94">
        <w:rPr>
          <w:b/>
          <w:bCs/>
        </w:rPr>
        <w:t>criterio sistematico</w:t>
      </w:r>
      <w:r>
        <w:t>, gradualmente lungo la vita utile del bene ammortizzabile. Ciò può essere applicato con due metodi:</w:t>
      </w:r>
    </w:p>
    <w:p w14:paraId="133907BB" w14:textId="4200060C" w:rsidR="00765CBE" w:rsidRDefault="00765CBE" w:rsidP="00AE49EC">
      <w:pPr>
        <w:pStyle w:val="Paragrafoelenco"/>
        <w:numPr>
          <w:ilvl w:val="1"/>
          <w:numId w:val="50"/>
        </w:numPr>
        <w:spacing w:line="360" w:lineRule="auto"/>
        <w:ind w:left="709"/>
        <w:jc w:val="both"/>
      </w:pPr>
      <w:r>
        <w:t xml:space="preserve">con il </w:t>
      </w:r>
      <w:r w:rsidRPr="00914237">
        <w:rPr>
          <w:b/>
          <w:bCs/>
        </w:rPr>
        <w:t>metodo indiretto</w:t>
      </w:r>
      <w:r>
        <w:t xml:space="preserve"> i contributi, imputati al conto economico tra gli Altri ricavi e proventi (voce A 5), sono rinviati per competenza agli esercizi successivi attraverso l’iscrizione di </w:t>
      </w:r>
      <w:r w:rsidRPr="00914237">
        <w:rPr>
          <w:b/>
          <w:bCs/>
        </w:rPr>
        <w:t>Risconti passivi.</w:t>
      </w:r>
      <w:r w:rsidRPr="00487C94">
        <w:t xml:space="preserve"> </w:t>
      </w:r>
      <w:r>
        <w:t>In questo modo sono imputati al conto economico, da un lato, ammortamenti calcolati sul costo lordo dei cespiti e, dall’altro, altri ricavi e proventi per la quota di contributo di competenza dell’esercizio.</w:t>
      </w:r>
    </w:p>
    <w:p w14:paraId="0DEA4CE1" w14:textId="02D85F52" w:rsidR="00765CBE" w:rsidRDefault="00765CBE" w:rsidP="00AE49EC">
      <w:pPr>
        <w:pStyle w:val="Paragrafoelenco"/>
        <w:numPr>
          <w:ilvl w:val="1"/>
          <w:numId w:val="50"/>
        </w:numPr>
        <w:spacing w:line="360" w:lineRule="auto"/>
        <w:ind w:left="709"/>
        <w:jc w:val="both"/>
      </w:pPr>
      <w:r>
        <w:t xml:space="preserve">con il </w:t>
      </w:r>
      <w:r w:rsidRPr="00914237">
        <w:rPr>
          <w:b/>
          <w:bCs/>
        </w:rPr>
        <w:t>metodo diretto</w:t>
      </w:r>
      <w:r>
        <w:t xml:space="preserve"> i contributi sono portati a </w:t>
      </w:r>
      <w:r w:rsidRPr="00914237">
        <w:rPr>
          <w:b/>
          <w:bCs/>
        </w:rPr>
        <w:t>riduzione del costo dei cespiti</w:t>
      </w:r>
      <w:r>
        <w:t xml:space="preserve"> cui si riferiscono. In tal caso, sono imputati al conto economico solo ammortamenti determinati sul valore contabile netto del cespite.</w:t>
      </w:r>
    </w:p>
    <w:p w14:paraId="646D00B6" w14:textId="0200C2B4" w:rsidR="00765CBE" w:rsidRDefault="00765CBE" w:rsidP="00FB7283">
      <w:pPr>
        <w:spacing w:line="360" w:lineRule="auto"/>
      </w:pPr>
      <w:r>
        <w:t>L’iscrizione del contributo in apposita voce tra i risconti passivi, da ridursi ogni periodo con accredito al conto economico, lascia inalterato il costo, ma produce gli stessi effetti sull’utile dell’esercizio e sul patrimonio netto della contabilizzazione del contributo come riduzione del costo.</w:t>
      </w:r>
      <w:r w:rsidR="00FB7283">
        <w:t xml:space="preserve"> </w:t>
      </w:r>
      <w:r>
        <w:t xml:space="preserve">La contabilizzazione </w:t>
      </w:r>
      <w:r w:rsidRPr="00FB7283">
        <w:rPr>
          <w:b/>
          <w:bCs/>
        </w:rPr>
        <w:t>con il primo metodo permette di lasciare “visibile” la quota di contributo</w:t>
      </w:r>
      <w:r>
        <w:t xml:space="preserve"> che ai fini fiscali dovrà essere ripresa perché non è soggetta a tassazione.</w:t>
      </w:r>
      <w:r w:rsidR="00FB7283">
        <w:t xml:space="preserve"> </w:t>
      </w:r>
      <w:r>
        <w:t xml:space="preserve">I contributi in conto impianti sono rilevati nel momento in cui esiste una </w:t>
      </w:r>
      <w:r w:rsidRPr="00C2763B">
        <w:rPr>
          <w:b/>
          <w:bCs/>
        </w:rPr>
        <w:t>ragionevole certezza</w:t>
      </w:r>
      <w:r>
        <w:t xml:space="preserve"> che le condizioni previste per il riconoscimento del contributo sono soddisfatte e che i contributi saranno erogati.</w:t>
      </w:r>
    </w:p>
    <w:p w14:paraId="44C137EF" w14:textId="77777777" w:rsidR="00765CBE" w:rsidRDefault="00765CBE" w:rsidP="00765CBE">
      <w:pPr>
        <w:spacing w:line="360" w:lineRule="auto"/>
        <w:jc w:val="both"/>
      </w:pPr>
      <w:r>
        <w:t>Ipotizzando il riconoscimento di un credito di imposta di 10.000 euro su un macchinario ammortizzabile in 10 anni, queste le scritture contabili del primo anno.</w:t>
      </w:r>
    </w:p>
    <w:tbl>
      <w:tblPr>
        <w:tblStyle w:val="Grigliatabella"/>
        <w:tblW w:w="0" w:type="auto"/>
        <w:tblLook w:val="04A0" w:firstRow="1" w:lastRow="0" w:firstColumn="1" w:lastColumn="0" w:noHBand="0" w:noVBand="1"/>
      </w:tblPr>
      <w:tblGrid>
        <w:gridCol w:w="3114"/>
        <w:gridCol w:w="709"/>
        <w:gridCol w:w="3543"/>
        <w:gridCol w:w="993"/>
        <w:gridCol w:w="992"/>
      </w:tblGrid>
      <w:tr w:rsidR="00765CBE" w14:paraId="7CDF7419" w14:textId="77777777" w:rsidTr="002A6683">
        <w:tc>
          <w:tcPr>
            <w:tcW w:w="3114" w:type="dxa"/>
          </w:tcPr>
          <w:p w14:paraId="438BA24B" w14:textId="77777777" w:rsidR="00765CBE" w:rsidRDefault="00765CBE" w:rsidP="002A6683">
            <w:r>
              <w:t>Crediti tributari (SP - C II. 4-bis)</w:t>
            </w:r>
          </w:p>
        </w:tc>
        <w:tc>
          <w:tcPr>
            <w:tcW w:w="709" w:type="dxa"/>
          </w:tcPr>
          <w:p w14:paraId="5EDDE23F" w14:textId="77777777" w:rsidR="00765CBE" w:rsidRDefault="00765CBE" w:rsidP="002A6683">
            <w:pPr>
              <w:jc w:val="center"/>
            </w:pPr>
            <w:r>
              <w:t>a</w:t>
            </w:r>
          </w:p>
        </w:tc>
        <w:tc>
          <w:tcPr>
            <w:tcW w:w="3543" w:type="dxa"/>
          </w:tcPr>
          <w:p w14:paraId="013D8446" w14:textId="77777777" w:rsidR="00765CBE" w:rsidRDefault="00765CBE" w:rsidP="002A6683">
            <w:r>
              <w:t>Contributi in conto impianti (CE - A5)</w:t>
            </w:r>
          </w:p>
        </w:tc>
        <w:tc>
          <w:tcPr>
            <w:tcW w:w="993" w:type="dxa"/>
          </w:tcPr>
          <w:p w14:paraId="30082ECC" w14:textId="77777777" w:rsidR="00765CBE" w:rsidRDefault="00765CBE" w:rsidP="002A6683">
            <w:pPr>
              <w:jc w:val="center"/>
            </w:pPr>
            <w:r>
              <w:t>10.000</w:t>
            </w:r>
          </w:p>
        </w:tc>
        <w:tc>
          <w:tcPr>
            <w:tcW w:w="992" w:type="dxa"/>
          </w:tcPr>
          <w:p w14:paraId="44F818E2" w14:textId="77777777" w:rsidR="00765CBE" w:rsidRDefault="00765CBE" w:rsidP="002A6683">
            <w:pPr>
              <w:jc w:val="center"/>
            </w:pPr>
            <w:r>
              <w:t>10.000</w:t>
            </w:r>
          </w:p>
        </w:tc>
      </w:tr>
      <w:tr w:rsidR="00765CBE" w14:paraId="4C8D6496" w14:textId="77777777" w:rsidTr="002A6683">
        <w:tc>
          <w:tcPr>
            <w:tcW w:w="3114" w:type="dxa"/>
          </w:tcPr>
          <w:p w14:paraId="2375CB16" w14:textId="77777777" w:rsidR="00765CBE" w:rsidRDefault="00765CBE" w:rsidP="002A6683">
            <w:r>
              <w:t>Contributi in conto impianti</w:t>
            </w:r>
          </w:p>
        </w:tc>
        <w:tc>
          <w:tcPr>
            <w:tcW w:w="709" w:type="dxa"/>
          </w:tcPr>
          <w:p w14:paraId="78FCC2F6" w14:textId="77777777" w:rsidR="00765CBE" w:rsidRDefault="00765CBE" w:rsidP="002A6683">
            <w:pPr>
              <w:jc w:val="center"/>
            </w:pPr>
            <w:r>
              <w:t>a</w:t>
            </w:r>
          </w:p>
        </w:tc>
        <w:tc>
          <w:tcPr>
            <w:tcW w:w="3543" w:type="dxa"/>
          </w:tcPr>
          <w:p w14:paraId="13D04B82" w14:textId="77777777" w:rsidR="00765CBE" w:rsidRDefault="00765CBE" w:rsidP="002A6683">
            <w:r>
              <w:t>Risconti passivi (SP – E)</w:t>
            </w:r>
          </w:p>
        </w:tc>
        <w:tc>
          <w:tcPr>
            <w:tcW w:w="993" w:type="dxa"/>
          </w:tcPr>
          <w:p w14:paraId="38ED82AF" w14:textId="77777777" w:rsidR="00765CBE" w:rsidRDefault="00765CBE" w:rsidP="002A6683">
            <w:pPr>
              <w:jc w:val="center"/>
            </w:pPr>
            <w:r>
              <w:t>9.000</w:t>
            </w:r>
          </w:p>
        </w:tc>
        <w:tc>
          <w:tcPr>
            <w:tcW w:w="992" w:type="dxa"/>
          </w:tcPr>
          <w:p w14:paraId="0ABB3FDB" w14:textId="77777777" w:rsidR="00765CBE" w:rsidRDefault="00765CBE" w:rsidP="002A6683">
            <w:pPr>
              <w:jc w:val="center"/>
            </w:pPr>
            <w:r>
              <w:t>9.000</w:t>
            </w:r>
          </w:p>
        </w:tc>
      </w:tr>
    </w:tbl>
    <w:p w14:paraId="6758B8E3" w14:textId="77777777" w:rsidR="00765CBE" w:rsidRPr="004B68A2" w:rsidRDefault="00765CBE" w:rsidP="00765CBE"/>
    <w:p w14:paraId="16AEA51A" w14:textId="77777777" w:rsidR="00914237" w:rsidRDefault="00914237" w:rsidP="00765CBE">
      <w:pPr>
        <w:spacing w:after="160" w:line="259" w:lineRule="auto"/>
        <w:sectPr w:rsidR="00914237" w:rsidSect="00A90ED0">
          <w:pgSz w:w="11906" w:h="16838"/>
          <w:pgMar w:top="833" w:right="1134" w:bottom="1134" w:left="1134" w:header="708" w:footer="708" w:gutter="0"/>
          <w:cols w:space="708"/>
          <w:titlePg/>
          <w:docGrid w:linePitch="360"/>
        </w:sectPr>
      </w:pPr>
    </w:p>
    <w:p w14:paraId="61EBE272" w14:textId="549BD684" w:rsidR="00765CBE" w:rsidRPr="00380A75" w:rsidRDefault="00914237" w:rsidP="00765CBE">
      <w:pPr>
        <w:shd w:val="clear" w:color="auto" w:fill="FFFFFF"/>
        <w:spacing w:before="120" w:after="0" w:line="240" w:lineRule="auto"/>
        <w:jc w:val="center"/>
        <w:rPr>
          <w:b/>
          <w:bCs/>
          <w:sz w:val="32"/>
          <w:szCs w:val="32"/>
        </w:rPr>
      </w:pPr>
      <w:r>
        <w:rPr>
          <w:b/>
          <w:bCs/>
          <w:sz w:val="32"/>
          <w:szCs w:val="32"/>
        </w:rPr>
        <w:lastRenderedPageBreak/>
        <w:t>9.</w:t>
      </w:r>
    </w:p>
    <w:bookmarkStart w:id="101" w:name="_Toc90462776"/>
    <w:bookmarkStart w:id="102" w:name="_Toc93327746"/>
    <w:p w14:paraId="315B2A13" w14:textId="1D7FB4FC" w:rsidR="00765CBE" w:rsidRPr="00D40DBB" w:rsidRDefault="00765CBE" w:rsidP="00765CBE">
      <w:pPr>
        <w:pStyle w:val="Titolo"/>
      </w:pPr>
      <w:r>
        <w:rPr>
          <w:noProof/>
        </w:rPr>
        <mc:AlternateContent>
          <mc:Choice Requires="wps">
            <w:drawing>
              <wp:anchor distT="4294967291" distB="4294967291" distL="114300" distR="114300" simplePos="0" relativeHeight="251771392" behindDoc="0" locked="0" layoutInCell="1" allowOverlap="1" wp14:anchorId="7790CE6C" wp14:editId="094C001F">
                <wp:simplePos x="0" y="0"/>
                <wp:positionH relativeFrom="margin">
                  <wp:align>center</wp:align>
                </wp:positionH>
                <wp:positionV relativeFrom="paragraph">
                  <wp:posOffset>80118</wp:posOffset>
                </wp:positionV>
                <wp:extent cx="2438400" cy="0"/>
                <wp:effectExtent l="0" t="0" r="0" b="0"/>
                <wp:wrapNone/>
                <wp:docPr id="205459433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9A41FF" id="AutoShape 120" o:spid="_x0000_s1026" type="#_x0000_t32" style="position:absolute;margin-left:0;margin-top:6.3pt;width:192pt;height:0;z-index:251771392;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t>Cumulo</w:t>
      </w:r>
      <w:bookmarkEnd w:id="101"/>
      <w:bookmarkEnd w:id="102"/>
    </w:p>
    <w:p w14:paraId="1169DBA5" w14:textId="57F7FC7C" w:rsidR="00765CBE" w:rsidRDefault="00765CBE" w:rsidP="00765CBE">
      <w:pPr>
        <w:pStyle w:val="Titolo2"/>
        <w:spacing w:line="360" w:lineRule="auto"/>
      </w:pPr>
    </w:p>
    <w:p w14:paraId="5F9E03BA" w14:textId="4C01D8E0" w:rsidR="00A46A25" w:rsidRDefault="00A46A25" w:rsidP="00A46A25"/>
    <w:p w14:paraId="7DE9EF33" w14:textId="6F4E83DB" w:rsidR="00A46A25" w:rsidRDefault="00A46A25" w:rsidP="00A46A25"/>
    <w:p w14:paraId="32255E6C" w14:textId="2E9CCD52" w:rsidR="00A46A25" w:rsidRDefault="00A46A25" w:rsidP="00A46A25"/>
    <w:p w14:paraId="507D822D" w14:textId="23777B2C" w:rsidR="00A46A25" w:rsidRDefault="00A46A25" w:rsidP="00A46A25"/>
    <w:p w14:paraId="39BCFBE2" w14:textId="77777777" w:rsidR="00A46A25" w:rsidRPr="00A46A25" w:rsidRDefault="00A46A25" w:rsidP="00A46A25"/>
    <w:p w14:paraId="251BFA05" w14:textId="4B41E4A8" w:rsidR="00765CBE" w:rsidRPr="002247B4" w:rsidRDefault="00EA399B" w:rsidP="00765CBE">
      <w:pPr>
        <w:pStyle w:val="Titolo2"/>
      </w:pPr>
      <w:bookmarkStart w:id="103" w:name="_Toc90462777"/>
      <w:bookmarkStart w:id="104" w:name="_Toc93327747"/>
      <w:r>
        <w:t>9</w:t>
      </w:r>
      <w:r w:rsidR="00765CBE">
        <w:t>.1</w:t>
      </w:r>
      <w:r w:rsidR="00765CBE" w:rsidRPr="002247B4">
        <w:t xml:space="preserve"> </w:t>
      </w:r>
      <w:r w:rsidR="00765CBE">
        <w:t>Cumulo</w:t>
      </w:r>
      <w:bookmarkEnd w:id="103"/>
      <w:bookmarkEnd w:id="104"/>
    </w:p>
    <w:p w14:paraId="3D536AAF" w14:textId="77777777" w:rsidR="00765CBE" w:rsidRDefault="00765CBE" w:rsidP="00765CBE">
      <w:pPr>
        <w:spacing w:line="360" w:lineRule="auto"/>
        <w:jc w:val="both"/>
      </w:pPr>
      <w:r>
        <w:t xml:space="preserve">Il credito d'imposta è </w:t>
      </w:r>
      <w:r w:rsidRPr="005330D6">
        <w:rPr>
          <w:b/>
          <w:bCs/>
        </w:rPr>
        <w:t>cumulabile</w:t>
      </w:r>
      <w:r>
        <w:t xml:space="preserve"> con altre agevolazioni che abbiano ad </w:t>
      </w:r>
      <w:r w:rsidRPr="009236F5">
        <w:rPr>
          <w:b/>
          <w:bCs/>
        </w:rPr>
        <w:t>oggetto i medesimi costi</w:t>
      </w:r>
      <w:r>
        <w:t xml:space="preserve">, a condizione che tale cumulo, </w:t>
      </w:r>
      <w:r w:rsidRPr="009236F5">
        <w:rPr>
          <w:b/>
          <w:bCs/>
        </w:rPr>
        <w:t>tenuto conto anche della non concorrenza alla formazione del reddito</w:t>
      </w:r>
      <w:r>
        <w:t xml:space="preserve"> e della base imponibile dell'imposta regionale sulle attività produttive, </w:t>
      </w:r>
      <w:r w:rsidRPr="009236F5">
        <w:rPr>
          <w:b/>
          <w:bCs/>
        </w:rPr>
        <w:t>non porti al superamento del costo</w:t>
      </w:r>
      <w:r>
        <w:t xml:space="preserve"> sostenuto (articolo 1, comma 1059, Legge 178/2020)</w:t>
      </w:r>
    </w:p>
    <w:p w14:paraId="44307F62" w14:textId="1693FBC2" w:rsidR="00765CBE" w:rsidRDefault="00226671" w:rsidP="00226671">
      <w:pPr>
        <w:spacing w:line="360" w:lineRule="auto"/>
        <w:jc w:val="both"/>
      </w:pPr>
      <w:r>
        <w:t>L’agenzia delle entrate si è occupata del cumulo con la r</w:t>
      </w:r>
      <w:r w:rsidR="00765CBE">
        <w:t xml:space="preserve">isposta </w:t>
      </w:r>
      <w:r>
        <w:t xml:space="preserve">n. </w:t>
      </w:r>
      <w:r w:rsidR="00765CBE">
        <w:t>604 del 17</w:t>
      </w:r>
      <w:r>
        <w:t xml:space="preserve"> settembre </w:t>
      </w:r>
      <w:r w:rsidR="00765CBE">
        <w:t xml:space="preserve">2021 </w:t>
      </w:r>
      <w:r>
        <w:t xml:space="preserve">e nella circolare n. </w:t>
      </w:r>
      <w:r w:rsidR="00765CBE">
        <w:t>9/E del 23</w:t>
      </w:r>
      <w:r>
        <w:t xml:space="preserve"> luglio </w:t>
      </w:r>
      <w:r w:rsidR="00765CBE">
        <w:t>2021</w:t>
      </w:r>
      <w:r>
        <w:t>,</w:t>
      </w:r>
      <w:r w:rsidR="00765CBE">
        <w:t xml:space="preserve"> par</w:t>
      </w:r>
      <w:r>
        <w:t>agrafo</w:t>
      </w:r>
      <w:r w:rsidR="00765CBE">
        <w:t xml:space="preserve"> 6.1</w:t>
      </w:r>
    </w:p>
    <w:p w14:paraId="1393BB34" w14:textId="07EF0982" w:rsidR="00765CBE" w:rsidRDefault="00765CBE" w:rsidP="00765CBE">
      <w:pPr>
        <w:spacing w:line="360" w:lineRule="auto"/>
        <w:jc w:val="both"/>
      </w:pPr>
      <w:r w:rsidRPr="00FE6929">
        <w:t xml:space="preserve">In sostanza, come si evince anche dal tenore letterale della disposizione, l’agevolazione in esame </w:t>
      </w:r>
      <w:r w:rsidRPr="009236F5">
        <w:rPr>
          <w:b/>
          <w:bCs/>
        </w:rPr>
        <w:t>risulta cumulabile con altre misure di favore</w:t>
      </w:r>
      <w:r w:rsidRPr="00FE6929">
        <w:t xml:space="preserve"> (fiscali e non) insistenti sugli stessi costi ammissibili al credito d’imposta, nel </w:t>
      </w:r>
      <w:r w:rsidRPr="009236F5">
        <w:rPr>
          <w:b/>
          <w:bCs/>
        </w:rPr>
        <w:t>limite massimo rappresentato dal costo sostenuto</w:t>
      </w:r>
      <w:r w:rsidRPr="00FE6929">
        <w:t>.</w:t>
      </w:r>
    </w:p>
    <w:p w14:paraId="7C327048" w14:textId="784C73A0" w:rsidR="00914237" w:rsidRDefault="00914237" w:rsidP="00765CBE">
      <w:pPr>
        <w:spacing w:line="360" w:lineRule="auto"/>
        <w:jc w:val="both"/>
      </w:pPr>
      <w:r>
        <w:rPr>
          <w:noProof/>
        </w:rPr>
        <w:drawing>
          <wp:anchor distT="0" distB="0" distL="114300" distR="114300" simplePos="0" relativeHeight="251790848" behindDoc="0" locked="0" layoutInCell="1" allowOverlap="1" wp14:anchorId="43AD548B" wp14:editId="1BADC401">
            <wp:simplePos x="0" y="0"/>
            <wp:positionH relativeFrom="column">
              <wp:posOffset>33655</wp:posOffset>
            </wp:positionH>
            <wp:positionV relativeFrom="paragraph">
              <wp:posOffset>242814</wp:posOffset>
            </wp:positionV>
            <wp:extent cx="754083" cy="754083"/>
            <wp:effectExtent l="0" t="0" r="0" b="0"/>
            <wp:wrapSquare wrapText="bothSides"/>
            <wp:docPr id="25" name="Elemento grafico 25"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54083" cy="754083"/>
                    </a:xfrm>
                    <a:prstGeom prst="rect">
                      <a:avLst/>
                    </a:prstGeom>
                  </pic:spPr>
                </pic:pic>
              </a:graphicData>
            </a:graphic>
          </wp:anchor>
        </w:drawing>
      </w:r>
    </w:p>
    <w:p w14:paraId="2581833F" w14:textId="77777777" w:rsidR="00765CBE" w:rsidRDefault="00765CBE" w:rsidP="00765CBE">
      <w:pPr>
        <w:spacing w:line="360" w:lineRule="auto"/>
        <w:jc w:val="both"/>
      </w:pPr>
      <w:r w:rsidRPr="00FE6929">
        <w:t>Eventuali ulteriori limitazioni alla fruizione del credito di imposta possono derivare dalla circostanza che siano le discipline di tali altre misure di favore a prevedere un divieto di cumulo con altre disposizioni agevolative.</w:t>
      </w:r>
    </w:p>
    <w:p w14:paraId="3712C868" w14:textId="77777777" w:rsidR="00914237" w:rsidRDefault="00914237" w:rsidP="00765CBE">
      <w:pPr>
        <w:spacing w:line="360" w:lineRule="auto"/>
        <w:jc w:val="both"/>
      </w:pPr>
    </w:p>
    <w:p w14:paraId="7494DB0E" w14:textId="474EDA20" w:rsidR="00765CBE" w:rsidRDefault="00765CBE" w:rsidP="00765CBE">
      <w:pPr>
        <w:spacing w:line="360" w:lineRule="auto"/>
        <w:jc w:val="both"/>
      </w:pPr>
      <w:r w:rsidRPr="00FE6929">
        <w:t xml:space="preserve">Ciò posto, al fine di appurare che, a seguito del cumulo degli incentivi, i costi relativi agli investimenti ammissibili al credito d’imposta non risultino coperti oltre il limite massimo, </w:t>
      </w:r>
      <w:r w:rsidRPr="009236F5">
        <w:rPr>
          <w:b/>
          <w:bCs/>
        </w:rPr>
        <w:t>rappresentato dal 100 per cento</w:t>
      </w:r>
      <w:r w:rsidRPr="00FE6929">
        <w:t xml:space="preserve"> del loro ammontare</w:t>
      </w:r>
      <w:r>
        <w:t>:</w:t>
      </w:r>
    </w:p>
    <w:p w14:paraId="0DA499C1" w14:textId="77777777" w:rsidR="00765CBE" w:rsidRDefault="00765CBE" w:rsidP="00AE49EC">
      <w:pPr>
        <w:pStyle w:val="Paragrafoelenco"/>
        <w:numPr>
          <w:ilvl w:val="0"/>
          <w:numId w:val="38"/>
        </w:numPr>
        <w:spacing w:line="360" w:lineRule="auto"/>
        <w:jc w:val="both"/>
      </w:pPr>
      <w:r w:rsidRPr="00FE6929">
        <w:t xml:space="preserve">in primo luogo, è necessario </w:t>
      </w:r>
      <w:r w:rsidRPr="009236F5">
        <w:rPr>
          <w:b/>
          <w:bCs/>
        </w:rPr>
        <w:t>individuare i costi riferibili ai beni</w:t>
      </w:r>
      <w:r w:rsidRPr="00FE6929">
        <w:t xml:space="preserve"> oggetto di investimento ammissibili a entrambe le discipline agevolative e</w:t>
      </w:r>
    </w:p>
    <w:p w14:paraId="7EAB49B7" w14:textId="77777777" w:rsidR="00765CBE" w:rsidRDefault="00765CBE" w:rsidP="00AE49EC">
      <w:pPr>
        <w:pStyle w:val="Paragrafoelenco"/>
        <w:numPr>
          <w:ilvl w:val="0"/>
          <w:numId w:val="38"/>
        </w:numPr>
        <w:spacing w:line="360" w:lineRule="auto"/>
        <w:jc w:val="both"/>
      </w:pPr>
      <w:r w:rsidRPr="00FE6929">
        <w:lastRenderedPageBreak/>
        <w:t xml:space="preserve">assumere, quali costi rilevanti ai fini del credito d’imposta, </w:t>
      </w:r>
      <w:r w:rsidRPr="009236F5">
        <w:rPr>
          <w:b/>
          <w:bCs/>
        </w:rPr>
        <w:t>l’importo complessivo</w:t>
      </w:r>
      <w:r w:rsidRPr="00FE6929">
        <w:t xml:space="preserve"> dei costi ammissibili,</w:t>
      </w:r>
    </w:p>
    <w:p w14:paraId="0C37F210" w14:textId="77777777" w:rsidR="00765CBE" w:rsidRDefault="00765CBE" w:rsidP="00AE49EC">
      <w:pPr>
        <w:pStyle w:val="Paragrafoelenco"/>
        <w:numPr>
          <w:ilvl w:val="0"/>
          <w:numId w:val="38"/>
        </w:numPr>
        <w:spacing w:line="360" w:lineRule="auto"/>
        <w:jc w:val="both"/>
      </w:pPr>
      <w:r w:rsidRPr="00FE6929">
        <w:t xml:space="preserve">al </w:t>
      </w:r>
      <w:r w:rsidRPr="009236F5">
        <w:rPr>
          <w:b/>
          <w:bCs/>
        </w:rPr>
        <w:t>lordo dei contributi agli stessi correlati</w:t>
      </w:r>
      <w:r w:rsidRPr="00FE6929">
        <w:t>, cioè per il loro intero ammontare, anche se di tali costi il contribuente non è rimasto inciso per effetto dei contributi erogati a suo favore.</w:t>
      </w:r>
    </w:p>
    <w:p w14:paraId="594DF799" w14:textId="77777777" w:rsidR="00765CBE" w:rsidRDefault="00765CBE" w:rsidP="00765CBE">
      <w:pPr>
        <w:spacing w:line="360" w:lineRule="auto"/>
        <w:jc w:val="both"/>
      </w:pPr>
      <w:r w:rsidRPr="00FE6929">
        <w:t>Quindi, occorre</w:t>
      </w:r>
      <w:r>
        <w:t>:</w:t>
      </w:r>
    </w:p>
    <w:p w14:paraId="1F2093BB" w14:textId="77777777" w:rsidR="00765CBE" w:rsidRDefault="00765CBE" w:rsidP="00AE49EC">
      <w:pPr>
        <w:pStyle w:val="Paragrafoelenco"/>
        <w:numPr>
          <w:ilvl w:val="0"/>
          <w:numId w:val="39"/>
        </w:numPr>
        <w:spacing w:line="360" w:lineRule="auto"/>
        <w:jc w:val="both"/>
      </w:pPr>
      <w:r w:rsidRPr="00FE6929">
        <w:t xml:space="preserve">calcolare il credito di imposta </w:t>
      </w:r>
      <w:r w:rsidRPr="00260260">
        <w:rPr>
          <w:b/>
          <w:bCs/>
        </w:rPr>
        <w:t>teoricamente spettante</w:t>
      </w:r>
      <w:r w:rsidRPr="00FE6929">
        <w:t>, e</w:t>
      </w:r>
    </w:p>
    <w:p w14:paraId="3FD03D08" w14:textId="77777777" w:rsidR="00765CBE" w:rsidRDefault="00765CBE" w:rsidP="00AE49EC">
      <w:pPr>
        <w:pStyle w:val="Paragrafoelenco"/>
        <w:numPr>
          <w:ilvl w:val="0"/>
          <w:numId w:val="39"/>
        </w:numPr>
        <w:spacing w:line="360" w:lineRule="auto"/>
        <w:jc w:val="both"/>
      </w:pPr>
      <w:r w:rsidRPr="00FE6929">
        <w:t>sommare tale importo teorico a quello degli altri incentivi pubblici concessi sui medesimi investimenti.</w:t>
      </w:r>
    </w:p>
    <w:p w14:paraId="32C23C6A" w14:textId="77777777" w:rsidR="00765CBE" w:rsidRDefault="00765CBE" w:rsidP="00765CBE">
      <w:pPr>
        <w:spacing w:line="360" w:lineRule="auto"/>
        <w:jc w:val="both"/>
      </w:pPr>
      <w:r w:rsidRPr="00FE6929">
        <w:t>Il risultato di tale somma non deve superare il “costo sostenuto” ovverosia l’ammontare complessivo dei costi ammissibili di competenza del periodo di imposta per il quale il contribuente intende avvalersi del credito di imposta.</w:t>
      </w:r>
    </w:p>
    <w:p w14:paraId="6094868C" w14:textId="77777777" w:rsidR="00765CBE" w:rsidRDefault="00765CBE" w:rsidP="00765CBE">
      <w:pPr>
        <w:spacing w:line="360" w:lineRule="auto"/>
        <w:jc w:val="both"/>
      </w:pPr>
      <w:r w:rsidRPr="00FE6929">
        <w:t xml:space="preserve">In forza dell’ultimo periodo del comma 1059 della legge di bilancio 2021 (analoga previsione è contenuta </w:t>
      </w:r>
      <w:r>
        <w:t xml:space="preserve">nella precedente agevolazione </w:t>
      </w:r>
      <w:r w:rsidRPr="00FE6929">
        <w:t xml:space="preserve">nel comma 192 dell’articolo 1 della legge n. 160 del 2019), nella sommatoria </w:t>
      </w:r>
      <w:r w:rsidRPr="00260260">
        <w:rPr>
          <w:b/>
          <w:bCs/>
        </w:rPr>
        <w:t>si deve tenere conto anche del beneficio ascrivibile alla non concorrenza del credito d’imposta alla formazione del reddito e della base imponibile IRAP</w:t>
      </w:r>
      <w:r w:rsidRPr="00FE6929">
        <w:t xml:space="preserve"> disposta dal penultimo periodo dello stesso comma 1059, secondo cui, si ricorda, il credito d’imposta </w:t>
      </w:r>
      <w:r>
        <w:t>“</w:t>
      </w:r>
      <w:r w:rsidRPr="00FE6929">
        <w:t>non concorre alla formazione del reddito nonché della base imponibile dell'imposta regionale sulle attività produttive</w:t>
      </w:r>
      <w:r>
        <w:t>”</w:t>
      </w:r>
      <w:r w:rsidRPr="00FE6929">
        <w:t>.</w:t>
      </w:r>
    </w:p>
    <w:p w14:paraId="3CFA931C" w14:textId="77777777" w:rsidR="00765CBE" w:rsidRDefault="00765CBE" w:rsidP="00765CBE">
      <w:pPr>
        <w:spacing w:line="360" w:lineRule="auto"/>
        <w:jc w:val="both"/>
      </w:pPr>
      <w:r w:rsidRPr="00FE6929">
        <w:t xml:space="preserve">Tanto precisato, se la somma dell’importo degli altri incentivi concessi sugli investimenti ammissibili e del credito di imposta in oggetto, </w:t>
      </w:r>
      <w:r w:rsidRPr="00285A2B">
        <w:rPr>
          <w:b/>
          <w:bCs/>
        </w:rPr>
        <w:t>maggiorato del suddetto risparmio d’imposta</w:t>
      </w:r>
      <w:r w:rsidRPr="00FE6929">
        <w:t xml:space="preserve">, risulta </w:t>
      </w:r>
      <w:r w:rsidRPr="00285A2B">
        <w:rPr>
          <w:b/>
          <w:bCs/>
        </w:rPr>
        <w:t>minore o uguale al costo agevolabile</w:t>
      </w:r>
      <w:r w:rsidRPr="00FE6929">
        <w:t>, è possibile beneficiare del credito di imposta per il suo intero importo.</w:t>
      </w:r>
    </w:p>
    <w:p w14:paraId="73EA6260" w14:textId="77777777" w:rsidR="00765CBE" w:rsidRDefault="00765CBE" w:rsidP="00765CBE">
      <w:pPr>
        <w:spacing w:line="360" w:lineRule="auto"/>
        <w:jc w:val="both"/>
      </w:pPr>
      <w:r w:rsidRPr="00FE6929">
        <w:t xml:space="preserve">Qualora, invece, il </w:t>
      </w:r>
      <w:r w:rsidRPr="00F53A48">
        <w:rPr>
          <w:b/>
          <w:bCs/>
        </w:rPr>
        <w:t>risultato della somma fosse superiore</w:t>
      </w:r>
      <w:r w:rsidRPr="00FE6929">
        <w:t>, il contribuente sarà tenuto a ridurre corrispondentemente il credito di imposta spettante in modo che, sommato agli altri incentivi pubblici (fiscali e non) concessi per il medesimo investimento in beni strumentali, non venga superato il limite massimo rappresentato dal 100 per cento dei costi sostenuti</w:t>
      </w:r>
      <w:r>
        <w:t xml:space="preserve"> (circolare n. 9/E del 23 luglio 2021, par. 6).</w:t>
      </w:r>
    </w:p>
    <w:p w14:paraId="01CCE87A" w14:textId="77777777" w:rsidR="00765CBE" w:rsidRDefault="00765CBE" w:rsidP="00765CBE">
      <w:pPr>
        <w:spacing w:line="360" w:lineRule="auto"/>
        <w:jc w:val="both"/>
      </w:pPr>
      <w:r>
        <w:t xml:space="preserve">In risposta ad uno specifico interpello, n. 604 del 17 settembre 2021, l’agenzia delle entrate ha specificato che </w:t>
      </w:r>
      <w:r w:rsidRPr="001A741E">
        <w:t>il legislatore, nel prevedere la detassazione del contributo per investimenti in beni strumentali da utilizzarsi sotto forma di credito di imposta, ha stabilito che, nel calcolo del cumulo con altre agevolazioni (nel caso di specie, il contributo a fondo perduto POR FESR 2014</w:t>
      </w:r>
      <w:r w:rsidRPr="001A741E">
        <w:softHyphen/>
        <w:t>2020 che, si evidenzia, esula dalle competenze della scrivente), è necessario tenere in considerazione del risparmio di imposta ai fini delle imposte sul reddito e dell'Irap, derivante da detta detassazione.</w:t>
      </w:r>
    </w:p>
    <w:p w14:paraId="4347D0A0" w14:textId="0B291DCC" w:rsidR="00D02081" w:rsidRDefault="00765CBE" w:rsidP="00765CBE">
      <w:pPr>
        <w:spacing w:line="360" w:lineRule="auto"/>
        <w:jc w:val="both"/>
      </w:pPr>
      <w:r w:rsidRPr="001A741E">
        <w:t>In definitiva, quindi, nel caso di specie, l'istante, ai fini del calcolo del cumulo, per evitare il superamento del costo sostenuto, dovrà tenere in considerazione, oltre l'Irap</w:t>
      </w:r>
      <w:r w:rsidRPr="001A741E">
        <w:rPr>
          <w:b/>
          <w:bCs/>
        </w:rPr>
        <w:t>, anche l'imposta sul reddito dei propri soci</w:t>
      </w:r>
      <w:r w:rsidRPr="001A741E">
        <w:t xml:space="preserve">, </w:t>
      </w:r>
      <w:r w:rsidRPr="001A741E">
        <w:lastRenderedPageBreak/>
        <w:t xml:space="preserve">a </w:t>
      </w:r>
      <w:r w:rsidRPr="00D81BFD">
        <w:rPr>
          <w:b/>
          <w:bCs/>
        </w:rPr>
        <w:t>titolo di risparmio d'imposta</w:t>
      </w:r>
      <w:r w:rsidRPr="001A741E">
        <w:t xml:space="preserve"> derivante dalla detassazione del contributo per investimenti in beni strumentali, introdotto dalla legge di bilancio 2020.</w:t>
      </w:r>
    </w:p>
    <w:p w14:paraId="02AD65C2" w14:textId="77777777" w:rsidR="00E87FAD" w:rsidRPr="00E87FAD" w:rsidRDefault="00E87FAD" w:rsidP="00765CBE">
      <w:pPr>
        <w:spacing w:line="360" w:lineRule="auto"/>
        <w:jc w:val="both"/>
      </w:pPr>
    </w:p>
    <w:p w14:paraId="06994BF1" w14:textId="001D9D53" w:rsidR="003758F4" w:rsidRPr="00FB228D" w:rsidRDefault="00E87FAD" w:rsidP="003758F4">
      <w:pPr>
        <w:pStyle w:val="Titolo3"/>
      </w:pPr>
      <w:bookmarkStart w:id="105" w:name="_Toc93327748"/>
      <w:r>
        <w:t>9</w:t>
      </w:r>
      <w:r w:rsidR="003758F4">
        <w:t>.</w:t>
      </w:r>
      <w:r>
        <w:t>1</w:t>
      </w:r>
      <w:r w:rsidR="003758F4">
        <w:t xml:space="preserve">.1 </w:t>
      </w:r>
      <w:r w:rsidR="003758F4" w:rsidRPr="00FB228D">
        <w:t>Nuova Sabatini</w:t>
      </w:r>
      <w:bookmarkEnd w:id="105"/>
    </w:p>
    <w:p w14:paraId="42032109" w14:textId="174E5860" w:rsidR="003758F4" w:rsidRPr="006B6680" w:rsidRDefault="003758F4" w:rsidP="003758F4">
      <w:pPr>
        <w:spacing w:line="360" w:lineRule="auto"/>
        <w:jc w:val="both"/>
        <w:rPr>
          <w:rFonts w:cs="Tahoma"/>
          <w:bCs/>
          <w:szCs w:val="20"/>
        </w:rPr>
      </w:pPr>
      <w:r w:rsidRPr="006B6680">
        <w:rPr>
          <w:rFonts w:cs="Tahoma"/>
          <w:bCs/>
          <w:szCs w:val="20"/>
        </w:rPr>
        <w:t xml:space="preserve">La misura “Nuova Sabatini” è l’agevolazione messa a disposizione dal Mise con l’obiettivo di </w:t>
      </w:r>
      <w:r w:rsidRPr="006B6680">
        <w:rPr>
          <w:rFonts w:cs="Tahoma"/>
          <w:b/>
          <w:bCs/>
          <w:szCs w:val="20"/>
        </w:rPr>
        <w:t>facilitare l’accesso al credito delle imprese</w:t>
      </w:r>
      <w:r w:rsidRPr="006B6680">
        <w:rPr>
          <w:rFonts w:cs="Tahoma"/>
          <w:bCs/>
          <w:szCs w:val="20"/>
        </w:rPr>
        <w:t xml:space="preserve"> e accrescere la competitività del sistema produttivo del Paese.</w:t>
      </w:r>
    </w:p>
    <w:p w14:paraId="0D1730DC" w14:textId="77777777" w:rsidR="003758F4" w:rsidRPr="006B6680" w:rsidRDefault="003758F4" w:rsidP="003758F4">
      <w:pPr>
        <w:spacing w:line="360" w:lineRule="auto"/>
        <w:jc w:val="both"/>
        <w:rPr>
          <w:rFonts w:cs="Tahoma"/>
          <w:b/>
          <w:bCs/>
          <w:szCs w:val="20"/>
        </w:rPr>
      </w:pPr>
      <w:r w:rsidRPr="006B6680">
        <w:rPr>
          <w:rFonts w:cs="Tahoma"/>
          <w:bCs/>
          <w:szCs w:val="20"/>
        </w:rPr>
        <w:t xml:space="preserve">I beni oggetto di investimento devono essere </w:t>
      </w:r>
      <w:r w:rsidRPr="006B6680">
        <w:rPr>
          <w:rFonts w:cs="Tahoma"/>
          <w:b/>
          <w:bCs/>
          <w:szCs w:val="20"/>
        </w:rPr>
        <w:t>nuovi</w:t>
      </w:r>
      <w:r w:rsidRPr="006B6680">
        <w:rPr>
          <w:rFonts w:cs="Tahoma"/>
          <w:bCs/>
          <w:szCs w:val="20"/>
        </w:rPr>
        <w:t xml:space="preserve"> e </w:t>
      </w:r>
      <w:r w:rsidRPr="006B6680">
        <w:rPr>
          <w:rFonts w:cs="Tahoma"/>
          <w:b/>
          <w:bCs/>
          <w:szCs w:val="20"/>
        </w:rPr>
        <w:t>riferiti a:</w:t>
      </w:r>
    </w:p>
    <w:p w14:paraId="4DBA328D" w14:textId="77777777" w:rsidR="003758F4" w:rsidRPr="006B6680" w:rsidRDefault="003758F4" w:rsidP="00AE49EC">
      <w:pPr>
        <w:pStyle w:val="Paragrafoelenco"/>
        <w:numPr>
          <w:ilvl w:val="0"/>
          <w:numId w:val="7"/>
        </w:numPr>
        <w:spacing w:line="360" w:lineRule="auto"/>
        <w:ind w:left="709"/>
        <w:jc w:val="both"/>
        <w:rPr>
          <w:rFonts w:cs="Tahoma"/>
          <w:bCs/>
          <w:szCs w:val="20"/>
        </w:rPr>
      </w:pPr>
      <w:r w:rsidRPr="006B6680">
        <w:rPr>
          <w:rFonts w:cs="Tahoma"/>
          <w:b/>
          <w:bCs/>
          <w:szCs w:val="20"/>
        </w:rPr>
        <w:t>immobilizzazioni materiali</w:t>
      </w:r>
      <w:r w:rsidRPr="006B6680">
        <w:rPr>
          <w:rFonts w:cs="Tahoma"/>
          <w:bCs/>
          <w:szCs w:val="20"/>
        </w:rPr>
        <w:t xml:space="preserve"> per “impianti e macchinari”, “attrezzature industriali e commerciali” e “altri beni”, ovvero spese classificabili </w:t>
      </w:r>
      <w:r w:rsidRPr="006B6680">
        <w:rPr>
          <w:rFonts w:cs="Tahoma"/>
          <w:b/>
          <w:bCs/>
          <w:szCs w:val="20"/>
        </w:rPr>
        <w:t>nell'attivo dello stato patrimoniale</w:t>
      </w:r>
      <w:r w:rsidRPr="006B6680">
        <w:rPr>
          <w:rFonts w:cs="Tahoma"/>
          <w:bCs/>
          <w:szCs w:val="20"/>
        </w:rPr>
        <w:t xml:space="preserve"> alle </w:t>
      </w:r>
      <w:r w:rsidRPr="006B6680">
        <w:rPr>
          <w:rFonts w:cs="Tahoma"/>
          <w:b/>
          <w:bCs/>
          <w:szCs w:val="20"/>
        </w:rPr>
        <w:t>voci B.II.2</w:t>
      </w:r>
      <w:r w:rsidRPr="006B6680">
        <w:rPr>
          <w:rFonts w:cs="Tahoma"/>
          <w:bCs/>
          <w:szCs w:val="20"/>
        </w:rPr>
        <w:t xml:space="preserve">, </w:t>
      </w:r>
      <w:r w:rsidRPr="006B6680">
        <w:rPr>
          <w:rFonts w:cs="Tahoma"/>
          <w:b/>
          <w:bCs/>
          <w:szCs w:val="20"/>
        </w:rPr>
        <w:t>B.II.3</w:t>
      </w:r>
      <w:r w:rsidRPr="006B6680">
        <w:rPr>
          <w:rFonts w:cs="Tahoma"/>
          <w:bCs/>
          <w:szCs w:val="20"/>
        </w:rPr>
        <w:t xml:space="preserve"> e </w:t>
      </w:r>
      <w:r w:rsidRPr="006B6680">
        <w:rPr>
          <w:rFonts w:cs="Tahoma"/>
          <w:b/>
          <w:bCs/>
          <w:szCs w:val="20"/>
        </w:rPr>
        <w:t>B.II.4</w:t>
      </w:r>
      <w:r w:rsidRPr="006B6680">
        <w:rPr>
          <w:rFonts w:cs="Tahoma"/>
          <w:bCs/>
          <w:szCs w:val="20"/>
        </w:rPr>
        <w:t xml:space="preserve"> dell’articolo 2424 del codice civile, come declamati nel principio contabile n.16 dell’OIC (Organismo Italiano di Contabilità), </w:t>
      </w:r>
      <w:r w:rsidRPr="006B6680">
        <w:rPr>
          <w:rFonts w:cs="Tahoma"/>
          <w:b/>
          <w:bCs/>
          <w:szCs w:val="20"/>
        </w:rPr>
        <w:t>nonché</w:t>
      </w:r>
    </w:p>
    <w:p w14:paraId="7B3221C3" w14:textId="77777777" w:rsidR="003758F4" w:rsidRPr="006B6680" w:rsidRDefault="003758F4" w:rsidP="00AE49EC">
      <w:pPr>
        <w:pStyle w:val="Paragrafoelenco"/>
        <w:numPr>
          <w:ilvl w:val="0"/>
          <w:numId w:val="7"/>
        </w:numPr>
        <w:spacing w:line="360" w:lineRule="auto"/>
        <w:ind w:left="709"/>
        <w:jc w:val="both"/>
        <w:rPr>
          <w:rFonts w:cs="Tahoma"/>
          <w:bCs/>
          <w:szCs w:val="20"/>
        </w:rPr>
      </w:pPr>
      <w:r w:rsidRPr="006B6680">
        <w:rPr>
          <w:rFonts w:cs="Tahoma"/>
          <w:b/>
          <w:bCs/>
          <w:szCs w:val="20"/>
        </w:rPr>
        <w:t>software</w:t>
      </w:r>
      <w:r w:rsidRPr="006B6680">
        <w:rPr>
          <w:rFonts w:cs="Tahoma"/>
          <w:bCs/>
          <w:szCs w:val="20"/>
        </w:rPr>
        <w:t xml:space="preserve"> e </w:t>
      </w:r>
      <w:r w:rsidRPr="006B6680">
        <w:rPr>
          <w:rFonts w:cs="Tahoma"/>
          <w:b/>
          <w:bCs/>
          <w:szCs w:val="20"/>
        </w:rPr>
        <w:t>tecnologie digitali</w:t>
      </w:r>
      <w:r w:rsidRPr="006B6680">
        <w:rPr>
          <w:rFonts w:cs="Tahoma"/>
          <w:bCs/>
          <w:szCs w:val="20"/>
        </w:rPr>
        <w:t xml:space="preserve"> </w:t>
      </w:r>
      <w:r w:rsidRPr="006B6680">
        <w:rPr>
          <w:rFonts w:cs="Tahoma"/>
          <w:b/>
          <w:bCs/>
          <w:szCs w:val="20"/>
        </w:rPr>
        <w:t>4.0</w:t>
      </w:r>
    </w:p>
    <w:p w14:paraId="4D462E2D" w14:textId="67CD3D2E" w:rsidR="003758F4" w:rsidRPr="006B6680" w:rsidRDefault="00914237" w:rsidP="003758F4">
      <w:pPr>
        <w:spacing w:line="360" w:lineRule="auto"/>
        <w:jc w:val="both"/>
        <w:rPr>
          <w:rFonts w:cs="Tahoma"/>
          <w:bCs/>
          <w:szCs w:val="20"/>
        </w:rPr>
      </w:pPr>
      <w:r w:rsidRPr="006B6680">
        <w:rPr>
          <w:b/>
          <w:bCs/>
          <w:noProof/>
        </w:rPr>
        <w:drawing>
          <wp:anchor distT="0" distB="0" distL="114300" distR="114300" simplePos="0" relativeHeight="251800064" behindDoc="0" locked="0" layoutInCell="1" allowOverlap="1" wp14:anchorId="3FC1B0D0" wp14:editId="4D16D66A">
            <wp:simplePos x="0" y="0"/>
            <wp:positionH relativeFrom="column">
              <wp:posOffset>0</wp:posOffset>
            </wp:positionH>
            <wp:positionV relativeFrom="paragraph">
              <wp:posOffset>148184</wp:posOffset>
            </wp:positionV>
            <wp:extent cx="914400" cy="914400"/>
            <wp:effectExtent l="0" t="0" r="0" b="0"/>
            <wp:wrapSquare wrapText="bothSides"/>
            <wp:docPr id="13" name="Elemento grafico 13"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o grafico 22"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p>
    <w:p w14:paraId="18664366" w14:textId="35C1D320" w:rsidR="003758F4" w:rsidRPr="00F769B2" w:rsidRDefault="003758F4" w:rsidP="003758F4">
      <w:pPr>
        <w:spacing w:line="360" w:lineRule="auto"/>
        <w:ind w:left="1151"/>
        <w:jc w:val="both"/>
        <w:rPr>
          <w:noProof/>
        </w:rPr>
      </w:pPr>
      <w:r w:rsidRPr="006B6680">
        <w:rPr>
          <w:b/>
          <w:bCs/>
          <w:noProof/>
        </w:rPr>
        <w:t>Non sono in ogni caso ammissibili le spese relative a terreni</w:t>
      </w:r>
      <w:r w:rsidRPr="006B6680">
        <w:rPr>
          <w:noProof/>
        </w:rPr>
        <w:t xml:space="preserve"> e </w:t>
      </w:r>
      <w:r w:rsidRPr="006B6680">
        <w:rPr>
          <w:b/>
          <w:bCs/>
          <w:noProof/>
        </w:rPr>
        <w:t>fabbricati</w:t>
      </w:r>
      <w:r w:rsidRPr="006B6680">
        <w:rPr>
          <w:noProof/>
        </w:rPr>
        <w:t>, relative a beni usati o rigenerati, nonché riferibili a “immobilizzazioni in corso e acconti”.</w:t>
      </w:r>
    </w:p>
    <w:p w14:paraId="26346BBC" w14:textId="77777777" w:rsidR="003758F4" w:rsidRDefault="003758F4" w:rsidP="003758F4">
      <w:pPr>
        <w:spacing w:line="360" w:lineRule="auto"/>
        <w:jc w:val="both"/>
        <w:rPr>
          <w:rStyle w:val="Internetlink"/>
          <w:rFonts w:cs="Tahoma"/>
          <w:bCs/>
          <w:color w:val="auto"/>
          <w:szCs w:val="20"/>
          <w:u w:val="none"/>
        </w:rPr>
      </w:pPr>
    </w:p>
    <w:p w14:paraId="4415D04E" w14:textId="77777777" w:rsidR="003758F4" w:rsidRDefault="003758F4" w:rsidP="003758F4">
      <w:pPr>
        <w:spacing w:line="360" w:lineRule="auto"/>
        <w:jc w:val="both"/>
        <w:rPr>
          <w:rStyle w:val="Internetlink"/>
          <w:rFonts w:cs="Tahoma"/>
          <w:bCs/>
          <w:color w:val="auto"/>
          <w:szCs w:val="20"/>
          <w:u w:val="none"/>
        </w:rPr>
      </w:pPr>
    </w:p>
    <w:p w14:paraId="13E52558" w14:textId="77777777" w:rsidR="003758F4" w:rsidRPr="006B6680" w:rsidRDefault="003758F4" w:rsidP="003758F4">
      <w:pPr>
        <w:spacing w:line="360" w:lineRule="auto"/>
        <w:jc w:val="both"/>
        <w:rPr>
          <w:rStyle w:val="Internetlink"/>
          <w:rFonts w:cs="Tahoma"/>
          <w:bCs/>
          <w:color w:val="auto"/>
          <w:szCs w:val="20"/>
          <w:u w:val="none"/>
        </w:rPr>
      </w:pPr>
      <w:r w:rsidRPr="006B6680">
        <w:rPr>
          <w:rStyle w:val="Internetlink"/>
          <w:rFonts w:cs="Tahoma"/>
          <w:bCs/>
          <w:color w:val="auto"/>
          <w:szCs w:val="20"/>
          <w:u w:val="none"/>
        </w:rPr>
        <w:t xml:space="preserve">Gli investimenti devono soddisfare i </w:t>
      </w:r>
      <w:r w:rsidRPr="006B6680">
        <w:rPr>
          <w:rStyle w:val="Internetlink"/>
          <w:rFonts w:cs="Tahoma"/>
          <w:b/>
          <w:color w:val="auto"/>
          <w:szCs w:val="20"/>
          <w:u w:val="none"/>
        </w:rPr>
        <w:t>seguenti requisiti</w:t>
      </w:r>
      <w:r w:rsidRPr="006B6680">
        <w:rPr>
          <w:rStyle w:val="Internetlink"/>
          <w:rFonts w:cs="Tahoma"/>
          <w:bCs/>
          <w:color w:val="auto"/>
          <w:szCs w:val="20"/>
          <w:u w:val="none"/>
        </w:rPr>
        <w:t>:</w:t>
      </w:r>
    </w:p>
    <w:p w14:paraId="58D64EC0" w14:textId="77777777" w:rsidR="003758F4" w:rsidRDefault="003758F4" w:rsidP="00AE49EC">
      <w:pPr>
        <w:pStyle w:val="Paragrafoelenco"/>
        <w:numPr>
          <w:ilvl w:val="0"/>
          <w:numId w:val="8"/>
        </w:numPr>
        <w:spacing w:line="360" w:lineRule="auto"/>
        <w:jc w:val="both"/>
        <w:rPr>
          <w:rStyle w:val="Internetlink"/>
          <w:rFonts w:cs="Tahoma"/>
          <w:bCs/>
          <w:color w:val="auto"/>
          <w:szCs w:val="20"/>
          <w:u w:val="none"/>
        </w:rPr>
      </w:pPr>
      <w:r w:rsidRPr="006B6680">
        <w:rPr>
          <w:rStyle w:val="Internetlink"/>
          <w:rFonts w:cs="Tahoma"/>
          <w:b/>
          <w:color w:val="auto"/>
          <w:szCs w:val="20"/>
          <w:u w:val="none"/>
        </w:rPr>
        <w:t>autonomia funzionale dei beni</w:t>
      </w:r>
      <w:r w:rsidRPr="006B6680">
        <w:rPr>
          <w:rStyle w:val="Internetlink"/>
          <w:rFonts w:cs="Tahoma"/>
          <w:bCs/>
          <w:color w:val="auto"/>
          <w:szCs w:val="20"/>
          <w:u w:val="none"/>
        </w:rPr>
        <w:t>, non essendo ammesso il finanziamento di componenti o parti di macchinari che non soddisfano tale requisito;</w:t>
      </w:r>
    </w:p>
    <w:p w14:paraId="3097F4EA" w14:textId="77777777" w:rsidR="003758F4" w:rsidRPr="006B6680" w:rsidRDefault="003758F4" w:rsidP="00AE49EC">
      <w:pPr>
        <w:pStyle w:val="Paragrafoelenco"/>
        <w:numPr>
          <w:ilvl w:val="0"/>
          <w:numId w:val="8"/>
        </w:numPr>
        <w:spacing w:line="360" w:lineRule="auto"/>
        <w:jc w:val="both"/>
        <w:rPr>
          <w:rStyle w:val="Internetlink"/>
          <w:rFonts w:cs="Tahoma"/>
          <w:bCs/>
          <w:color w:val="auto"/>
          <w:szCs w:val="20"/>
          <w:u w:val="none"/>
        </w:rPr>
      </w:pPr>
      <w:r w:rsidRPr="006B6680">
        <w:rPr>
          <w:rStyle w:val="Internetlink"/>
          <w:rFonts w:cs="Tahoma"/>
          <w:bCs/>
          <w:color w:val="auto"/>
          <w:szCs w:val="20"/>
          <w:u w:val="none"/>
        </w:rPr>
        <w:t>correlazione dei beni oggetto dell’agevolazione all’attività produttiva svolta dall’impresa.</w:t>
      </w:r>
    </w:p>
    <w:p w14:paraId="509B94B1" w14:textId="77777777" w:rsidR="003758F4" w:rsidRDefault="003758F4" w:rsidP="003758F4">
      <w:pPr>
        <w:spacing w:line="360" w:lineRule="auto"/>
        <w:jc w:val="both"/>
        <w:rPr>
          <w:rStyle w:val="Internetlink"/>
          <w:rFonts w:cs="Tahoma"/>
          <w:bCs/>
          <w:color w:val="auto"/>
          <w:szCs w:val="20"/>
          <w:u w:val="none"/>
        </w:rPr>
      </w:pPr>
      <w:r w:rsidRPr="006B6680">
        <w:rPr>
          <w:rStyle w:val="Internetlink"/>
          <w:rFonts w:cs="Tahoma"/>
          <w:bCs/>
          <w:color w:val="auto"/>
          <w:szCs w:val="20"/>
          <w:u w:val="none"/>
        </w:rPr>
        <w:t xml:space="preserve">L’investimento può essere interamente coperto </w:t>
      </w:r>
      <w:r w:rsidRPr="006B6680">
        <w:rPr>
          <w:rStyle w:val="Internetlink"/>
          <w:rFonts w:cs="Tahoma"/>
          <w:b/>
          <w:color w:val="auto"/>
          <w:szCs w:val="20"/>
          <w:u w:val="none"/>
        </w:rPr>
        <w:t>dal finanziamento bancario</w:t>
      </w:r>
      <w:r w:rsidRPr="006B6680">
        <w:rPr>
          <w:rStyle w:val="Internetlink"/>
          <w:rFonts w:cs="Tahoma"/>
          <w:bCs/>
          <w:color w:val="auto"/>
          <w:szCs w:val="20"/>
          <w:u w:val="none"/>
        </w:rPr>
        <w:t xml:space="preserve"> o </w:t>
      </w:r>
      <w:r w:rsidRPr="006B6680">
        <w:rPr>
          <w:rStyle w:val="Internetlink"/>
          <w:rFonts w:cs="Tahoma"/>
          <w:b/>
          <w:color w:val="auto"/>
          <w:szCs w:val="20"/>
          <w:u w:val="none"/>
        </w:rPr>
        <w:t>leasing</w:t>
      </w:r>
      <w:r>
        <w:rPr>
          <w:rStyle w:val="Internetlink"/>
          <w:rFonts w:cs="Tahoma"/>
          <w:bCs/>
          <w:color w:val="auto"/>
          <w:szCs w:val="20"/>
          <w:u w:val="none"/>
        </w:rPr>
        <w:t>.</w:t>
      </w:r>
    </w:p>
    <w:p w14:paraId="7BA4226A" w14:textId="77777777" w:rsidR="003758F4" w:rsidRPr="006B6680" w:rsidRDefault="003758F4" w:rsidP="003758F4">
      <w:pPr>
        <w:spacing w:line="360" w:lineRule="auto"/>
        <w:jc w:val="both"/>
        <w:rPr>
          <w:rStyle w:val="Internetlink"/>
          <w:rFonts w:cs="Tahoma"/>
          <w:bCs/>
          <w:color w:val="auto"/>
          <w:szCs w:val="20"/>
          <w:u w:val="none"/>
        </w:rPr>
      </w:pPr>
      <w:r w:rsidRPr="006B6680">
        <w:rPr>
          <w:rStyle w:val="Internetlink"/>
          <w:rFonts w:cs="Tahoma"/>
          <w:bCs/>
          <w:color w:val="auto"/>
          <w:szCs w:val="20"/>
          <w:u w:val="none"/>
        </w:rPr>
        <w:t>Il finanziamento può inoltre essere assistito dalla garanzia del “</w:t>
      </w:r>
      <w:r w:rsidRPr="00F61C3D">
        <w:rPr>
          <w:rStyle w:val="Internetlink"/>
          <w:rFonts w:cs="Tahoma"/>
          <w:b/>
          <w:color w:val="auto"/>
          <w:szCs w:val="20"/>
          <w:u w:val="none"/>
        </w:rPr>
        <w:t>Fondo di garanzia per le piccole e medie imprese” fino all’80%</w:t>
      </w:r>
      <w:r w:rsidRPr="006B6680">
        <w:rPr>
          <w:rStyle w:val="Internetlink"/>
          <w:rFonts w:cs="Tahoma"/>
          <w:bCs/>
          <w:color w:val="auto"/>
          <w:szCs w:val="20"/>
          <w:u w:val="none"/>
        </w:rPr>
        <w:t xml:space="preserve"> dell’ammontare del finanziamento stesso e deve essere:</w:t>
      </w:r>
    </w:p>
    <w:p w14:paraId="62C92DB9" w14:textId="77777777" w:rsidR="003758F4" w:rsidRDefault="003758F4" w:rsidP="00AE49EC">
      <w:pPr>
        <w:pStyle w:val="Paragrafoelenco"/>
        <w:numPr>
          <w:ilvl w:val="0"/>
          <w:numId w:val="9"/>
        </w:numPr>
        <w:spacing w:line="360" w:lineRule="auto"/>
        <w:jc w:val="both"/>
        <w:rPr>
          <w:rStyle w:val="Internetlink"/>
          <w:rFonts w:cs="Tahoma"/>
          <w:bCs/>
          <w:color w:val="auto"/>
          <w:szCs w:val="20"/>
          <w:u w:val="none"/>
        </w:rPr>
      </w:pPr>
      <w:r w:rsidRPr="00F61C3D">
        <w:rPr>
          <w:rStyle w:val="Internetlink"/>
          <w:rFonts w:cs="Tahoma"/>
          <w:bCs/>
          <w:color w:val="auto"/>
          <w:szCs w:val="20"/>
          <w:u w:val="none"/>
        </w:rPr>
        <w:t>di durata non superiore a 5 anni</w:t>
      </w:r>
    </w:p>
    <w:p w14:paraId="5AEBFDBA" w14:textId="77777777" w:rsidR="003758F4" w:rsidRDefault="003758F4" w:rsidP="00AE49EC">
      <w:pPr>
        <w:pStyle w:val="Paragrafoelenco"/>
        <w:numPr>
          <w:ilvl w:val="0"/>
          <w:numId w:val="9"/>
        </w:numPr>
        <w:spacing w:line="360" w:lineRule="auto"/>
        <w:jc w:val="both"/>
        <w:rPr>
          <w:rStyle w:val="Internetlink"/>
          <w:rFonts w:cs="Tahoma"/>
          <w:bCs/>
          <w:color w:val="auto"/>
          <w:szCs w:val="20"/>
          <w:u w:val="none"/>
        </w:rPr>
      </w:pPr>
      <w:r w:rsidRPr="00F61C3D">
        <w:rPr>
          <w:rStyle w:val="Internetlink"/>
          <w:rFonts w:cs="Tahoma"/>
          <w:bCs/>
          <w:color w:val="auto"/>
          <w:szCs w:val="20"/>
          <w:u w:val="none"/>
        </w:rPr>
        <w:t>di importo compreso tra 20.000 euro e 4 milioni di euro</w:t>
      </w:r>
    </w:p>
    <w:p w14:paraId="2A71BB83" w14:textId="77777777" w:rsidR="003758F4" w:rsidRPr="00F61C3D" w:rsidRDefault="003758F4" w:rsidP="00AE49EC">
      <w:pPr>
        <w:pStyle w:val="Paragrafoelenco"/>
        <w:numPr>
          <w:ilvl w:val="0"/>
          <w:numId w:val="9"/>
        </w:numPr>
        <w:spacing w:line="360" w:lineRule="auto"/>
        <w:jc w:val="both"/>
        <w:rPr>
          <w:rStyle w:val="Internetlink"/>
          <w:rFonts w:cs="Tahoma"/>
          <w:bCs/>
          <w:color w:val="auto"/>
          <w:szCs w:val="20"/>
          <w:u w:val="none"/>
        </w:rPr>
      </w:pPr>
      <w:r w:rsidRPr="00F61C3D">
        <w:rPr>
          <w:rStyle w:val="Internetlink"/>
          <w:rFonts w:cs="Tahoma"/>
          <w:bCs/>
          <w:color w:val="auto"/>
          <w:szCs w:val="20"/>
          <w:u w:val="none"/>
        </w:rPr>
        <w:t>interamente utilizzato per coprire gli investimenti ammissibili</w:t>
      </w:r>
    </w:p>
    <w:p w14:paraId="68335C7D" w14:textId="77777777" w:rsidR="003758F4" w:rsidRPr="006B6680" w:rsidRDefault="003758F4" w:rsidP="003758F4">
      <w:pPr>
        <w:spacing w:line="360" w:lineRule="auto"/>
        <w:jc w:val="both"/>
        <w:rPr>
          <w:rStyle w:val="Internetlink"/>
          <w:rFonts w:cs="Tahoma"/>
          <w:bCs/>
          <w:color w:val="auto"/>
          <w:szCs w:val="20"/>
          <w:u w:val="none"/>
        </w:rPr>
      </w:pPr>
      <w:r w:rsidRPr="006B6680">
        <w:rPr>
          <w:rStyle w:val="Internetlink"/>
          <w:rFonts w:cs="Tahoma"/>
          <w:bCs/>
          <w:color w:val="auto"/>
          <w:szCs w:val="20"/>
          <w:u w:val="none"/>
        </w:rPr>
        <w:lastRenderedPageBreak/>
        <w:t>Il contributo del Ministero dello sviluppo economico è determinato in misura pari al valore degli interessi calcolati, in via convenzionale, su un finanziamento della durata di cinque anni e di importo uguale all’investimento, ad un tasso d’interesse annuo pari al:</w:t>
      </w:r>
    </w:p>
    <w:p w14:paraId="157027B1" w14:textId="77777777" w:rsidR="003758F4" w:rsidRDefault="003758F4" w:rsidP="00AE49EC">
      <w:pPr>
        <w:pStyle w:val="Paragrafoelenco"/>
        <w:numPr>
          <w:ilvl w:val="0"/>
          <w:numId w:val="10"/>
        </w:numPr>
        <w:spacing w:line="360" w:lineRule="auto"/>
        <w:jc w:val="both"/>
        <w:rPr>
          <w:rStyle w:val="Internetlink"/>
          <w:rFonts w:cs="Tahoma"/>
          <w:bCs/>
          <w:color w:val="auto"/>
          <w:szCs w:val="20"/>
          <w:u w:val="none"/>
        </w:rPr>
      </w:pPr>
      <w:r w:rsidRPr="00F61C3D">
        <w:rPr>
          <w:rStyle w:val="Internetlink"/>
          <w:rFonts w:cs="Tahoma"/>
          <w:b/>
          <w:color w:val="auto"/>
          <w:szCs w:val="20"/>
          <w:u w:val="none"/>
        </w:rPr>
        <w:t>2,75% per gli investimenti ordinari</w:t>
      </w:r>
      <w:r w:rsidRPr="00F61C3D">
        <w:rPr>
          <w:rStyle w:val="Internetlink"/>
          <w:rFonts w:cs="Tahoma"/>
          <w:bCs/>
          <w:color w:val="auto"/>
          <w:szCs w:val="20"/>
          <w:u w:val="none"/>
        </w:rPr>
        <w:t>,</w:t>
      </w:r>
    </w:p>
    <w:p w14:paraId="0AAF6395" w14:textId="77777777" w:rsidR="003758F4" w:rsidRDefault="003758F4" w:rsidP="00AE49EC">
      <w:pPr>
        <w:pStyle w:val="Paragrafoelenco"/>
        <w:numPr>
          <w:ilvl w:val="0"/>
          <w:numId w:val="10"/>
        </w:numPr>
        <w:spacing w:line="360" w:lineRule="auto"/>
        <w:jc w:val="both"/>
        <w:rPr>
          <w:rStyle w:val="Internetlink"/>
          <w:rFonts w:cs="Tahoma"/>
          <w:bCs/>
          <w:color w:val="auto"/>
          <w:szCs w:val="20"/>
          <w:u w:val="none"/>
        </w:rPr>
      </w:pPr>
      <w:r w:rsidRPr="00F61C3D">
        <w:rPr>
          <w:rStyle w:val="Internetlink"/>
          <w:rFonts w:cs="Tahoma"/>
          <w:b/>
          <w:color w:val="auto"/>
          <w:szCs w:val="20"/>
          <w:u w:val="none"/>
        </w:rPr>
        <w:t>3,575% per gli investimenti</w:t>
      </w:r>
      <w:r w:rsidRPr="00F61C3D">
        <w:rPr>
          <w:rStyle w:val="Internetlink"/>
          <w:rFonts w:cs="Tahoma"/>
          <w:bCs/>
          <w:color w:val="auto"/>
          <w:szCs w:val="20"/>
          <w:u w:val="none"/>
        </w:rPr>
        <w:t xml:space="preserve"> </w:t>
      </w:r>
      <w:r w:rsidRPr="00F61C3D">
        <w:rPr>
          <w:rStyle w:val="Internetlink"/>
          <w:rFonts w:cs="Tahoma"/>
          <w:b/>
          <w:color w:val="auto"/>
          <w:szCs w:val="20"/>
          <w:u w:val="none"/>
        </w:rPr>
        <w:t>in tecnologie digitali</w:t>
      </w:r>
      <w:r w:rsidRPr="00F61C3D">
        <w:rPr>
          <w:rStyle w:val="Internetlink"/>
          <w:rFonts w:cs="Tahoma"/>
          <w:bCs/>
          <w:color w:val="auto"/>
          <w:szCs w:val="20"/>
          <w:u w:val="none"/>
        </w:rPr>
        <w:t xml:space="preserve"> e in sistemi di tracciamento e pesatura dei rifiuti (</w:t>
      </w:r>
      <w:r w:rsidRPr="00F61C3D">
        <w:rPr>
          <w:rStyle w:val="Internetlink"/>
          <w:rFonts w:cs="Tahoma"/>
          <w:b/>
          <w:color w:val="auto"/>
          <w:szCs w:val="20"/>
          <w:u w:val="none"/>
        </w:rPr>
        <w:t>investimenti in tecnologie cd. “industria 4.0”).</w:t>
      </w:r>
    </w:p>
    <w:p w14:paraId="058BFA0A" w14:textId="77777777" w:rsidR="003758F4" w:rsidRPr="00F61C3D" w:rsidRDefault="003758F4" w:rsidP="003758F4">
      <w:pPr>
        <w:spacing w:line="360" w:lineRule="auto"/>
        <w:jc w:val="both"/>
        <w:rPr>
          <w:rStyle w:val="Internetlink"/>
          <w:rFonts w:cs="Tahoma"/>
          <w:bCs/>
          <w:color w:val="auto"/>
          <w:szCs w:val="20"/>
          <w:u w:val="none"/>
        </w:rPr>
      </w:pPr>
      <w:r w:rsidRPr="00F61C3D">
        <w:rPr>
          <w:rStyle w:val="Internetlink"/>
          <w:rFonts w:cs="Tahoma"/>
          <w:bCs/>
          <w:color w:val="auto"/>
          <w:szCs w:val="20"/>
          <w:u w:val="none"/>
        </w:rPr>
        <w:t xml:space="preserve">In considerazione della situazione dei tassi di interesse odierna, un’impresa potrebbe trovarsi a pagare tassi modesti sul finanziamento (ad es. intorno all’1%) </w:t>
      </w:r>
      <w:r w:rsidRPr="00F61C3D">
        <w:rPr>
          <w:rStyle w:val="Internetlink"/>
          <w:rFonts w:cs="Tahoma"/>
          <w:b/>
          <w:color w:val="auto"/>
          <w:szCs w:val="20"/>
          <w:u w:val="none"/>
        </w:rPr>
        <w:t>incassando un contributo Sabatini calcolato con tassi d’interesse maggiori</w:t>
      </w:r>
      <w:r w:rsidRPr="00F61C3D">
        <w:rPr>
          <w:rStyle w:val="Internetlink"/>
          <w:rFonts w:cs="Tahoma"/>
          <w:bCs/>
          <w:color w:val="auto"/>
          <w:szCs w:val="20"/>
          <w:u w:val="none"/>
        </w:rPr>
        <w:t xml:space="preserve"> (dal 2,75 al 3,575%), vale a dire incassando un aiuto che </w:t>
      </w:r>
      <w:r w:rsidRPr="00F61C3D">
        <w:rPr>
          <w:rStyle w:val="Internetlink"/>
          <w:rFonts w:cs="Tahoma"/>
          <w:b/>
          <w:color w:val="auto"/>
          <w:szCs w:val="20"/>
          <w:u w:val="none"/>
        </w:rPr>
        <w:t>eccede i costi sostenuti sul finanziamento stesso</w:t>
      </w:r>
      <w:r w:rsidRPr="00F61C3D">
        <w:rPr>
          <w:rStyle w:val="Internetlink"/>
          <w:rFonts w:cs="Tahoma"/>
          <w:bCs/>
          <w:color w:val="auto"/>
          <w:szCs w:val="20"/>
          <w:u w:val="none"/>
        </w:rPr>
        <w:t>.</w:t>
      </w:r>
    </w:p>
    <w:p w14:paraId="6603F9DE" w14:textId="77777777" w:rsidR="003758F4" w:rsidRPr="00F61C3D" w:rsidRDefault="003758F4" w:rsidP="003758F4">
      <w:pPr>
        <w:spacing w:line="360" w:lineRule="auto"/>
        <w:jc w:val="both"/>
        <w:rPr>
          <w:rStyle w:val="Internetlink"/>
          <w:rFonts w:cs="Tahoma"/>
          <w:b/>
          <w:color w:val="auto"/>
          <w:szCs w:val="20"/>
          <w:u w:val="none"/>
        </w:rPr>
      </w:pPr>
      <w:r w:rsidRPr="00F61C3D">
        <w:rPr>
          <w:rStyle w:val="Internetlink"/>
          <w:rFonts w:cs="Tahoma"/>
          <w:b/>
          <w:color w:val="auto"/>
          <w:szCs w:val="20"/>
          <w:u w:val="none"/>
        </w:rPr>
        <w:t>Caso pratico</w:t>
      </w:r>
    </w:p>
    <w:p w14:paraId="4195A83E" w14:textId="77777777" w:rsidR="003758F4" w:rsidRPr="00F61C3D" w:rsidRDefault="003758F4" w:rsidP="003758F4">
      <w:pPr>
        <w:spacing w:line="360" w:lineRule="auto"/>
        <w:jc w:val="both"/>
        <w:rPr>
          <w:rStyle w:val="Internetlink"/>
          <w:rFonts w:cs="Tahoma"/>
          <w:bCs/>
          <w:color w:val="auto"/>
          <w:szCs w:val="20"/>
          <w:u w:val="none"/>
        </w:rPr>
      </w:pPr>
      <w:r w:rsidRPr="00F61C3D">
        <w:rPr>
          <w:rStyle w:val="Internetlink"/>
          <w:rFonts w:cs="Tahoma"/>
          <w:bCs/>
          <w:color w:val="auto"/>
          <w:szCs w:val="20"/>
          <w:u w:val="none"/>
        </w:rPr>
        <w:t xml:space="preserve">Ipotizzando un </w:t>
      </w:r>
      <w:r w:rsidRPr="00F61C3D">
        <w:rPr>
          <w:rStyle w:val="Internetlink"/>
          <w:rFonts w:cs="Tahoma"/>
          <w:b/>
          <w:color w:val="auto"/>
          <w:szCs w:val="20"/>
          <w:u w:val="none"/>
        </w:rPr>
        <w:t>finanziamento bancario di 100.000 euro il contributo è pari</w:t>
      </w:r>
      <w:r w:rsidRPr="00F61C3D">
        <w:rPr>
          <w:rStyle w:val="Internetlink"/>
          <w:rFonts w:cs="Tahoma"/>
          <w:bCs/>
          <w:color w:val="auto"/>
          <w:szCs w:val="20"/>
          <w:u w:val="none"/>
        </w:rPr>
        <w:t xml:space="preserve"> al:</w:t>
      </w:r>
    </w:p>
    <w:p w14:paraId="25643043" w14:textId="77777777" w:rsidR="003758F4" w:rsidRPr="00F61C3D" w:rsidRDefault="003758F4" w:rsidP="00AE49EC">
      <w:pPr>
        <w:pStyle w:val="Paragrafoelenco"/>
        <w:numPr>
          <w:ilvl w:val="0"/>
          <w:numId w:val="12"/>
        </w:numPr>
        <w:spacing w:line="360" w:lineRule="auto"/>
        <w:jc w:val="both"/>
        <w:rPr>
          <w:rStyle w:val="Internetlink"/>
          <w:rFonts w:cs="Tahoma"/>
          <w:bCs/>
          <w:color w:val="auto"/>
          <w:szCs w:val="20"/>
          <w:u w:val="none"/>
        </w:rPr>
      </w:pPr>
      <w:r w:rsidRPr="00F61C3D">
        <w:rPr>
          <w:rStyle w:val="Internetlink"/>
          <w:rFonts w:cs="Tahoma"/>
          <w:b/>
          <w:color w:val="auto"/>
          <w:szCs w:val="20"/>
          <w:u w:val="none"/>
        </w:rPr>
        <w:t>7,7%</w:t>
      </w:r>
      <w:r w:rsidRPr="00F61C3D">
        <w:rPr>
          <w:rStyle w:val="Internetlink"/>
          <w:rFonts w:cs="Tahoma"/>
          <w:bCs/>
          <w:color w:val="auto"/>
          <w:szCs w:val="20"/>
          <w:u w:val="none"/>
        </w:rPr>
        <w:t xml:space="preserve"> (circa) del finanziamento – per gli investimenti ordinari;</w:t>
      </w:r>
    </w:p>
    <w:p w14:paraId="0F9C36BC" w14:textId="77777777" w:rsidR="003758F4" w:rsidRPr="00F61C3D" w:rsidRDefault="003758F4" w:rsidP="00AE49EC">
      <w:pPr>
        <w:pStyle w:val="Paragrafoelenco"/>
        <w:numPr>
          <w:ilvl w:val="0"/>
          <w:numId w:val="11"/>
        </w:numPr>
        <w:spacing w:line="360" w:lineRule="auto"/>
        <w:jc w:val="both"/>
        <w:rPr>
          <w:rStyle w:val="Internetlink"/>
          <w:rFonts w:cs="Tahoma"/>
          <w:bCs/>
          <w:color w:val="auto"/>
          <w:szCs w:val="20"/>
          <w:u w:val="none"/>
        </w:rPr>
      </w:pPr>
      <w:r w:rsidRPr="00F61C3D">
        <w:rPr>
          <w:rStyle w:val="Internetlink"/>
          <w:rFonts w:cs="Tahoma"/>
          <w:b/>
          <w:color w:val="auto"/>
          <w:szCs w:val="20"/>
          <w:u w:val="none"/>
        </w:rPr>
        <w:t>10%</w:t>
      </w:r>
      <w:r w:rsidRPr="00F61C3D">
        <w:rPr>
          <w:rStyle w:val="Internetlink"/>
          <w:rFonts w:cs="Tahoma"/>
          <w:bCs/>
          <w:color w:val="auto"/>
          <w:szCs w:val="20"/>
          <w:u w:val="none"/>
        </w:rPr>
        <w:t xml:space="preserve"> (circa) del finanziamento – per gli investimenti in tecnologie digitali.</w:t>
      </w:r>
    </w:p>
    <w:p w14:paraId="76EC8D34" w14:textId="77777777" w:rsidR="003758F4" w:rsidRDefault="003758F4" w:rsidP="003758F4">
      <w:pPr>
        <w:spacing w:line="360" w:lineRule="auto"/>
        <w:jc w:val="both"/>
        <w:rPr>
          <w:rStyle w:val="Internetlink"/>
          <w:rFonts w:cs="Tahoma"/>
          <w:bCs/>
          <w:color w:val="auto"/>
          <w:szCs w:val="20"/>
          <w:u w:val="none"/>
        </w:rPr>
      </w:pPr>
      <w:r w:rsidRPr="00F61C3D">
        <w:rPr>
          <w:rFonts w:eastAsia="Century Gothic" w:cs="Tahoma"/>
          <w:noProof/>
          <w:szCs w:val="20"/>
        </w:rPr>
        <w:drawing>
          <wp:inline distT="0" distB="0" distL="0" distR="0" wp14:anchorId="5F31D53A" wp14:editId="15CE0DEE">
            <wp:extent cx="6114553" cy="3387957"/>
            <wp:effectExtent l="0" t="0" r="635" b="3175"/>
            <wp:docPr id="16" name="Immagine 1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avolo&#10;&#10;Descrizione generata automaticamente"/>
                    <pic:cNvPicPr/>
                  </pic:nvPicPr>
                  <pic:blipFill>
                    <a:blip r:embed="rId36">
                      <a:extLst>
                        <a:ext uri="{28A0092B-C50C-407E-A947-70E740481C1C}">
                          <a14:useLocalDpi xmlns:a14="http://schemas.microsoft.com/office/drawing/2010/main" val="0"/>
                        </a:ext>
                      </a:extLst>
                    </a:blip>
                    <a:stretch>
                      <a:fillRect/>
                    </a:stretch>
                  </pic:blipFill>
                  <pic:spPr>
                    <a:xfrm>
                      <a:off x="0" y="0"/>
                      <a:ext cx="6128736" cy="3395816"/>
                    </a:xfrm>
                    <a:prstGeom prst="rect">
                      <a:avLst/>
                    </a:prstGeom>
                  </pic:spPr>
                </pic:pic>
              </a:graphicData>
            </a:graphic>
          </wp:inline>
        </w:drawing>
      </w:r>
    </w:p>
    <w:p w14:paraId="6BF20BF5" w14:textId="35DDBB29" w:rsidR="003758F4" w:rsidRDefault="003758F4" w:rsidP="003758F4">
      <w:pPr>
        <w:spacing w:line="360" w:lineRule="auto"/>
        <w:jc w:val="both"/>
        <w:rPr>
          <w:rFonts w:cs="Tahoma"/>
          <w:b/>
          <w:bCs/>
          <w:szCs w:val="20"/>
        </w:rPr>
      </w:pPr>
      <w:r w:rsidRPr="00F61C3D">
        <w:rPr>
          <w:rFonts w:cs="Tahoma"/>
          <w:bCs/>
          <w:szCs w:val="20"/>
        </w:rPr>
        <w:t xml:space="preserve">L’incentivo in argomento, a decorrere dal 1° gennaio 2021, è erogato in </w:t>
      </w:r>
      <w:r w:rsidRPr="00F61C3D">
        <w:rPr>
          <w:rFonts w:cs="Tahoma"/>
          <w:b/>
          <w:bCs/>
          <w:szCs w:val="20"/>
        </w:rPr>
        <w:t>un’unica soluzione indipendentemente dall’importo del finanziamento deliberato</w:t>
      </w:r>
      <w:r w:rsidRPr="00C13923">
        <w:rPr>
          <w:rFonts w:cs="Tahoma"/>
          <w:szCs w:val="20"/>
        </w:rPr>
        <w:t>.</w:t>
      </w:r>
    </w:p>
    <w:p w14:paraId="09FECB8C" w14:textId="67585A8B" w:rsidR="00C13923" w:rsidRPr="007F356B" w:rsidRDefault="00C13923" w:rsidP="00C13923">
      <w:pPr>
        <w:spacing w:line="360" w:lineRule="auto"/>
        <w:jc w:val="both"/>
        <w:rPr>
          <w:rFonts w:cs="Tahoma"/>
          <w:szCs w:val="20"/>
        </w:rPr>
      </w:pPr>
      <w:r w:rsidRPr="007F356B">
        <w:rPr>
          <w:rFonts w:cs="Tahoma"/>
          <w:szCs w:val="20"/>
        </w:rPr>
        <w:lastRenderedPageBreak/>
        <w:t xml:space="preserve">La </w:t>
      </w:r>
      <w:r w:rsidRPr="007F356B">
        <w:rPr>
          <w:rFonts w:cs="Tahoma"/>
          <w:b/>
          <w:bCs/>
          <w:szCs w:val="20"/>
        </w:rPr>
        <w:t>legge di Bilancio 2022</w:t>
      </w:r>
      <w:r w:rsidRPr="007F356B">
        <w:rPr>
          <w:rFonts w:cs="Tahoma"/>
          <w:szCs w:val="20"/>
        </w:rPr>
        <w:t xml:space="preserve"> (articolo 1, comma 47, Legge 30 dicembre 2021, n. 234) stanzia </w:t>
      </w:r>
      <w:r w:rsidRPr="007F356B">
        <w:rPr>
          <w:rFonts w:cs="Tahoma"/>
          <w:b/>
          <w:bCs/>
          <w:szCs w:val="20"/>
        </w:rPr>
        <w:t>nuove risorse per la Nuova Sabatini fino al 2027</w:t>
      </w:r>
      <w:r w:rsidRPr="007F356B">
        <w:rPr>
          <w:rFonts w:cs="Tahoma"/>
          <w:szCs w:val="20"/>
        </w:rPr>
        <w:t>. In particolare, l’autorizzazione di spesa per la nuova Sabatini è integrata in misura pari a 240 milioni di euro per ciascuno degli anni 2022 e 2023, 120 milioni per ciascuno degli anni dal 2024 al 2026 e 60 milioni per l’anno 2027.</w:t>
      </w:r>
    </w:p>
    <w:p w14:paraId="1661DD2D" w14:textId="1C91CAEF" w:rsidR="00C13923" w:rsidRPr="007F356B" w:rsidRDefault="00C13923" w:rsidP="00C13923">
      <w:pPr>
        <w:spacing w:line="360" w:lineRule="auto"/>
        <w:jc w:val="both"/>
        <w:rPr>
          <w:rFonts w:cs="Tahoma"/>
          <w:szCs w:val="20"/>
        </w:rPr>
      </w:pPr>
      <w:r w:rsidRPr="007F356B">
        <w:rPr>
          <w:rFonts w:cs="Tahoma"/>
          <w:szCs w:val="20"/>
        </w:rPr>
        <w:t xml:space="preserve">Infine, </w:t>
      </w:r>
      <w:r w:rsidRPr="007F356B">
        <w:rPr>
          <w:rFonts w:cs="Tahoma"/>
          <w:b/>
          <w:bCs/>
          <w:szCs w:val="20"/>
        </w:rPr>
        <w:t>viene reintrodotta la regola per cui il contributo viene</w:t>
      </w:r>
      <w:r w:rsidRPr="007F356B">
        <w:rPr>
          <w:rFonts w:cs="Tahoma"/>
          <w:szCs w:val="20"/>
        </w:rPr>
        <w:t xml:space="preserve"> </w:t>
      </w:r>
      <w:r w:rsidRPr="007F356B">
        <w:rPr>
          <w:rFonts w:cs="Tahoma"/>
          <w:b/>
          <w:bCs/>
          <w:szCs w:val="20"/>
        </w:rPr>
        <w:t>erogato in più quote</w:t>
      </w:r>
      <w:r w:rsidRPr="007F356B">
        <w:rPr>
          <w:rFonts w:cs="Tahoma"/>
          <w:szCs w:val="20"/>
        </w:rPr>
        <w:t>, attraverso la modifica all’articolo 2, comma 4, DL 69/2013 (articolo 1, comma 48, Legge 30 dicembre 2021, n. 234)</w:t>
      </w:r>
      <w:r w:rsidR="00914846" w:rsidRPr="007F356B">
        <w:rPr>
          <w:rFonts w:cs="Tahoma"/>
          <w:szCs w:val="20"/>
        </w:rPr>
        <w:t xml:space="preserve">, per le </w:t>
      </w:r>
      <w:r w:rsidR="00914846" w:rsidRPr="007F356B">
        <w:rPr>
          <w:rFonts w:cs="Tahoma"/>
          <w:b/>
          <w:bCs/>
          <w:szCs w:val="20"/>
        </w:rPr>
        <w:t>domande</w:t>
      </w:r>
      <w:r w:rsidR="00914846" w:rsidRPr="007F356B">
        <w:rPr>
          <w:rFonts w:cs="Tahoma"/>
          <w:szCs w:val="20"/>
        </w:rPr>
        <w:t xml:space="preserve"> </w:t>
      </w:r>
      <w:r w:rsidR="00914846" w:rsidRPr="007F356B">
        <w:rPr>
          <w:rFonts w:cs="Tahoma"/>
          <w:b/>
          <w:bCs/>
          <w:szCs w:val="20"/>
        </w:rPr>
        <w:t>presentate dalle imprese alle banche dal 1° gennaio 2022</w:t>
      </w:r>
      <w:r w:rsidR="00914846" w:rsidRPr="007F356B">
        <w:rPr>
          <w:rFonts w:cs="Tahoma"/>
          <w:szCs w:val="20"/>
        </w:rPr>
        <w:t>.</w:t>
      </w:r>
      <w:r w:rsidRPr="007F356B">
        <w:rPr>
          <w:rFonts w:cs="Tahoma"/>
          <w:szCs w:val="20"/>
        </w:rPr>
        <w:t xml:space="preserve"> La possibilità di erogazione in </w:t>
      </w:r>
      <w:r w:rsidRPr="007F356B">
        <w:rPr>
          <w:rFonts w:cs="Tahoma"/>
          <w:b/>
          <w:bCs/>
          <w:szCs w:val="20"/>
        </w:rPr>
        <w:t>un’unica soluzione</w:t>
      </w:r>
      <w:r w:rsidRPr="007F356B">
        <w:rPr>
          <w:rFonts w:cs="Tahoma"/>
          <w:szCs w:val="20"/>
        </w:rPr>
        <w:t xml:space="preserve"> resta </w:t>
      </w:r>
      <w:r w:rsidRPr="007F356B">
        <w:rPr>
          <w:rFonts w:cs="Tahoma"/>
          <w:b/>
          <w:bCs/>
          <w:szCs w:val="20"/>
        </w:rPr>
        <w:t>solo in caso di</w:t>
      </w:r>
      <w:r w:rsidRPr="007F356B">
        <w:rPr>
          <w:rFonts w:cs="Tahoma"/>
          <w:szCs w:val="20"/>
        </w:rPr>
        <w:t xml:space="preserve"> </w:t>
      </w:r>
      <w:r w:rsidRPr="007F356B">
        <w:rPr>
          <w:rFonts w:cs="Tahoma"/>
          <w:b/>
          <w:bCs/>
          <w:szCs w:val="20"/>
        </w:rPr>
        <w:t>finanziament</w:t>
      </w:r>
      <w:r w:rsidR="007D3EB0" w:rsidRPr="007F356B">
        <w:rPr>
          <w:rFonts w:cs="Tahoma"/>
          <w:b/>
          <w:bCs/>
          <w:szCs w:val="20"/>
        </w:rPr>
        <w:t>i</w:t>
      </w:r>
      <w:r w:rsidRPr="007F356B">
        <w:rPr>
          <w:rFonts w:cs="Tahoma"/>
          <w:b/>
          <w:bCs/>
          <w:szCs w:val="20"/>
        </w:rPr>
        <w:t xml:space="preserve"> di importo non superiore a 200</w:t>
      </w:r>
      <w:r w:rsidR="007D3EB0" w:rsidRPr="007F356B">
        <w:rPr>
          <w:rFonts w:cs="Tahoma"/>
          <w:b/>
          <w:bCs/>
          <w:szCs w:val="20"/>
        </w:rPr>
        <w:t>.000</w:t>
      </w:r>
      <w:r w:rsidRPr="007F356B">
        <w:rPr>
          <w:rFonts w:cs="Tahoma"/>
          <w:b/>
          <w:bCs/>
          <w:szCs w:val="20"/>
        </w:rPr>
        <w:t xml:space="preserve"> euro</w:t>
      </w:r>
      <w:r w:rsidRPr="007F356B">
        <w:rPr>
          <w:rFonts w:cs="Tahoma"/>
          <w:szCs w:val="20"/>
        </w:rPr>
        <w:t>.</w:t>
      </w:r>
    </w:p>
    <w:p w14:paraId="1C1BE0A3" w14:textId="242637C9" w:rsidR="00437B12" w:rsidRPr="007F356B" w:rsidRDefault="00437B12" w:rsidP="00437B12">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7F356B">
        <w:rPr>
          <w:i/>
          <w:iCs/>
        </w:rPr>
        <w:t xml:space="preserve">47. Al fine di assicurare continuità alle misure di sostegno agli investimenti produttivi delle micro, piccole e medie imprese attuate ai sensi dell'articolo 2 del decreto-legge 21 giugno 2013, n. 69, convertito, con modificazioni, dalla legge 9 agosto 2013, n. 98, l'autorizzazione di spesa di cui al comma 8 del medesimo articolo 2 </w:t>
      </w:r>
      <w:r w:rsidR="00857A19" w:rsidRPr="007F356B">
        <w:rPr>
          <w:i/>
          <w:iCs/>
        </w:rPr>
        <w:t>è</w:t>
      </w:r>
      <w:r w:rsidRPr="007F356B">
        <w:rPr>
          <w:i/>
          <w:iCs/>
        </w:rPr>
        <w:t xml:space="preserve"> integrata di 240 milioni di euro per ciascuno degli anni 2022 e 2023, 120 milioni di euro per ciascuno degli anni dal 2024 al 2026 e 60 milioni di euro per l'anno 2027.</w:t>
      </w:r>
    </w:p>
    <w:p w14:paraId="0356C84C" w14:textId="6FDE2C74" w:rsidR="00437B12" w:rsidRPr="007F356B" w:rsidRDefault="00437B12" w:rsidP="00437B12">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7F356B">
        <w:rPr>
          <w:i/>
          <w:iCs/>
        </w:rPr>
        <w:t>48. All'articolo 2, comma 4, del decreto-legge 21 giugno 2013, n. 69, convertito, con modificazioni, dalla legge 9 agosto 2013, n. 98, le parole: «</w:t>
      </w:r>
      <w:r w:rsidR="00857A19" w:rsidRPr="007F356B">
        <w:rPr>
          <w:i/>
          <w:iCs/>
        </w:rPr>
        <w:t>i</w:t>
      </w:r>
      <w:r w:rsidRPr="007F356B">
        <w:rPr>
          <w:i/>
          <w:iCs/>
        </w:rPr>
        <w:t>n un'unica soluzione, secondo le modalità determinate con il medesimo decreto» sono sostituite dalle seguenti: «in più quote determinate con il medesimo decreto. In caso di finanziamento di importo non superiore a 200.000 euro, il contributo può essere erogato in un'unica soluzione nei limiti delle risorse disponibili».</w:t>
      </w:r>
    </w:p>
    <w:p w14:paraId="4627FC1F" w14:textId="74CF8E37" w:rsidR="00437B12" w:rsidRPr="007F356B" w:rsidRDefault="00437B12" w:rsidP="00437B12">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7F356B">
        <w:t>Articolo 1, commi 47 e 48, Legge 30 dic</w:t>
      </w:r>
      <w:r w:rsidR="00BB1CE2" w:rsidRPr="007F356B">
        <w:t>embre 2021, n. 234</w:t>
      </w:r>
    </w:p>
    <w:p w14:paraId="34D8849C" w14:textId="77777777" w:rsidR="00437B12" w:rsidRPr="007D3EB0" w:rsidRDefault="00437B12" w:rsidP="00C13923">
      <w:pPr>
        <w:spacing w:line="360" w:lineRule="auto"/>
        <w:jc w:val="both"/>
        <w:rPr>
          <w:rFonts w:cs="Tahoma"/>
          <w:color w:val="FF0000"/>
          <w:szCs w:val="20"/>
        </w:rPr>
      </w:pPr>
    </w:p>
    <w:p w14:paraId="35EE0096" w14:textId="77777777" w:rsidR="003758F4" w:rsidRPr="001A1A01" w:rsidRDefault="003758F4" w:rsidP="00765CBE">
      <w:pPr>
        <w:spacing w:line="360" w:lineRule="auto"/>
        <w:jc w:val="both"/>
        <w:rPr>
          <w:b/>
          <w:bCs/>
        </w:rPr>
      </w:pPr>
    </w:p>
    <w:p w14:paraId="26836CE8" w14:textId="77777777" w:rsidR="000D3E09" w:rsidRDefault="000D3E09" w:rsidP="00765CBE">
      <w:pPr>
        <w:spacing w:line="360" w:lineRule="auto"/>
        <w:jc w:val="both"/>
        <w:rPr>
          <w:rStyle w:val="Internetlink"/>
        </w:rPr>
        <w:sectPr w:rsidR="000D3E09" w:rsidSect="00A90ED0">
          <w:pgSz w:w="11906" w:h="16838"/>
          <w:pgMar w:top="833" w:right="1134" w:bottom="1134" w:left="1134" w:header="708" w:footer="708" w:gutter="0"/>
          <w:cols w:space="708"/>
          <w:titlePg/>
          <w:docGrid w:linePitch="360"/>
        </w:sectPr>
      </w:pPr>
    </w:p>
    <w:p w14:paraId="0167BC3D" w14:textId="116D283B" w:rsidR="00765CBE" w:rsidRPr="00380A75" w:rsidRDefault="000D3E09" w:rsidP="00765CBE">
      <w:pPr>
        <w:shd w:val="clear" w:color="auto" w:fill="FFFFFF"/>
        <w:spacing w:before="120" w:after="0" w:line="240" w:lineRule="auto"/>
        <w:jc w:val="center"/>
        <w:rPr>
          <w:b/>
          <w:bCs/>
          <w:sz w:val="32"/>
          <w:szCs w:val="32"/>
        </w:rPr>
      </w:pPr>
      <w:r>
        <w:rPr>
          <w:b/>
          <w:bCs/>
          <w:sz w:val="32"/>
          <w:szCs w:val="32"/>
        </w:rPr>
        <w:lastRenderedPageBreak/>
        <w:t>10.</w:t>
      </w:r>
    </w:p>
    <w:bookmarkStart w:id="106" w:name="_Toc90462778"/>
    <w:bookmarkStart w:id="107" w:name="_Toc93327749"/>
    <w:p w14:paraId="03AD15DA" w14:textId="3846221D" w:rsidR="00765CBE" w:rsidRPr="00D40DBB" w:rsidRDefault="00765CBE" w:rsidP="00765CBE">
      <w:pPr>
        <w:pStyle w:val="Titolo"/>
      </w:pPr>
      <w:r>
        <w:rPr>
          <w:noProof/>
        </w:rPr>
        <mc:AlternateContent>
          <mc:Choice Requires="wps">
            <w:drawing>
              <wp:anchor distT="4294967291" distB="4294967291" distL="114300" distR="114300" simplePos="0" relativeHeight="251772416" behindDoc="0" locked="0" layoutInCell="1" allowOverlap="1" wp14:anchorId="3A0E9864" wp14:editId="5CF91403">
                <wp:simplePos x="0" y="0"/>
                <wp:positionH relativeFrom="margin">
                  <wp:align>center</wp:align>
                </wp:positionH>
                <wp:positionV relativeFrom="paragraph">
                  <wp:posOffset>80118</wp:posOffset>
                </wp:positionV>
                <wp:extent cx="2438400" cy="0"/>
                <wp:effectExtent l="0" t="0" r="0" b="0"/>
                <wp:wrapNone/>
                <wp:docPr id="205459433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A7C7B2" id="AutoShape 120" o:spid="_x0000_s1026" type="#_x0000_t32" style="position:absolute;margin-left:0;margin-top:6.3pt;width:192pt;height:0;z-index:251772416;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t>Perdita agevolazione</w:t>
      </w:r>
      <w:bookmarkEnd w:id="106"/>
      <w:bookmarkEnd w:id="107"/>
    </w:p>
    <w:p w14:paraId="222C0DB0" w14:textId="3CDF549C" w:rsidR="00765CBE" w:rsidRDefault="00765CBE" w:rsidP="000D3E09">
      <w:pPr>
        <w:spacing w:line="360" w:lineRule="auto"/>
      </w:pPr>
    </w:p>
    <w:p w14:paraId="5EBDCC4C" w14:textId="32536178" w:rsidR="00D81BFD" w:rsidRDefault="00D81BFD" w:rsidP="000D3E09">
      <w:pPr>
        <w:spacing w:line="360" w:lineRule="auto"/>
      </w:pPr>
    </w:p>
    <w:p w14:paraId="43CEF49D" w14:textId="34779F25" w:rsidR="00D81BFD" w:rsidRDefault="00D81BFD" w:rsidP="000D3E09">
      <w:pPr>
        <w:spacing w:line="360" w:lineRule="auto"/>
      </w:pPr>
    </w:p>
    <w:p w14:paraId="6C210F67" w14:textId="26B1016E" w:rsidR="00D81BFD" w:rsidRDefault="00D81BFD" w:rsidP="000D3E09">
      <w:pPr>
        <w:spacing w:line="360" w:lineRule="auto"/>
      </w:pPr>
    </w:p>
    <w:p w14:paraId="6F90AEC0" w14:textId="588EF6A7" w:rsidR="00D81BFD" w:rsidRDefault="00D81BFD" w:rsidP="000D3E09">
      <w:pPr>
        <w:spacing w:line="360" w:lineRule="auto"/>
      </w:pPr>
    </w:p>
    <w:p w14:paraId="7F995522" w14:textId="77777777" w:rsidR="00D81BFD" w:rsidRPr="00D81BFD" w:rsidRDefault="00D81BFD" w:rsidP="000D3E09">
      <w:pPr>
        <w:spacing w:line="360" w:lineRule="auto"/>
      </w:pPr>
    </w:p>
    <w:p w14:paraId="0F15CE79" w14:textId="6B2E7186" w:rsidR="00765CBE" w:rsidRPr="002247B4" w:rsidRDefault="00A2147B" w:rsidP="00D81BFD">
      <w:pPr>
        <w:pStyle w:val="Titolo2"/>
      </w:pPr>
      <w:bookmarkStart w:id="108" w:name="_Toc90462779"/>
      <w:bookmarkStart w:id="109" w:name="_Toc93327750"/>
      <w:r>
        <w:t>10</w:t>
      </w:r>
      <w:r w:rsidR="00D81BFD">
        <w:t xml:space="preserve">.1 </w:t>
      </w:r>
      <w:r w:rsidR="00765CBE">
        <w:t>Perdita agevolazione</w:t>
      </w:r>
      <w:bookmarkEnd w:id="108"/>
      <w:bookmarkEnd w:id="109"/>
    </w:p>
    <w:p w14:paraId="529EAE9E" w14:textId="77777777" w:rsidR="00765CBE" w:rsidRDefault="00765CBE" w:rsidP="00765CBE">
      <w:pPr>
        <w:spacing w:line="360" w:lineRule="auto"/>
        <w:jc w:val="both"/>
      </w:pPr>
      <w:r>
        <w:t xml:space="preserve">La perdita dell’agevolazione, con rideterminazione della stessa, ed eventuale riversamento del relativo credito di imposta già utilizzato, avviene se </w:t>
      </w:r>
      <w:r w:rsidRPr="00831024">
        <w:rPr>
          <w:b/>
          <w:bCs/>
        </w:rPr>
        <w:t>entro il secondo anno successivo</w:t>
      </w:r>
      <w:r>
        <w:t xml:space="preserve"> all’entrata in funzione dei beni (non 4.0) o di avvenuta interconnessione (se 4.0) i beni agevolati sono:</w:t>
      </w:r>
    </w:p>
    <w:p w14:paraId="2C9DBD80" w14:textId="77777777" w:rsidR="00765CBE" w:rsidRDefault="00765CBE" w:rsidP="00AE49EC">
      <w:pPr>
        <w:pStyle w:val="Paragrafoelenco"/>
        <w:numPr>
          <w:ilvl w:val="0"/>
          <w:numId w:val="11"/>
        </w:numPr>
        <w:spacing w:line="360" w:lineRule="auto"/>
        <w:jc w:val="both"/>
      </w:pPr>
      <w:r>
        <w:t>ceduti a titolo oneroso o</w:t>
      </w:r>
    </w:p>
    <w:p w14:paraId="35DF0D52" w14:textId="39E2D6A8" w:rsidR="00765CBE" w:rsidRDefault="00765CBE" w:rsidP="00AE49EC">
      <w:pPr>
        <w:pStyle w:val="Paragrafoelenco"/>
        <w:numPr>
          <w:ilvl w:val="0"/>
          <w:numId w:val="11"/>
        </w:numPr>
        <w:spacing w:line="360" w:lineRule="auto"/>
        <w:jc w:val="both"/>
      </w:pPr>
      <w:r>
        <w:t>destinati a strutture produttive ubicate all’estero (anche se appartenenti allo stesso soggetto).</w:t>
      </w:r>
    </w:p>
    <w:p w14:paraId="490EE372" w14:textId="77777777" w:rsidR="00765CBE" w:rsidRPr="00927D29" w:rsidRDefault="00765CBE" w:rsidP="001D3F87">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927D29">
        <w:rPr>
          <w:i/>
          <w:iCs/>
        </w:rPr>
        <w:t xml:space="preserve">Se, </w:t>
      </w:r>
      <w:r w:rsidRPr="00927D29">
        <w:rPr>
          <w:b/>
          <w:bCs/>
          <w:i/>
          <w:iCs/>
        </w:rPr>
        <w:t>entro il 31 dicembre del secondo anno successivo</w:t>
      </w:r>
      <w:r w:rsidRPr="00927D29">
        <w:rPr>
          <w:i/>
          <w:iCs/>
        </w:rPr>
        <w:t xml:space="preserve"> a quello di entrata in funzione ovvero a quello di avvenuta interconnessione per i beni 4.0 (di cui all’articolo 1, comma 1062, Legge 178/2020), i beni agevolati sono </w:t>
      </w:r>
      <w:r w:rsidRPr="00927D29">
        <w:rPr>
          <w:b/>
          <w:bCs/>
          <w:i/>
          <w:iCs/>
        </w:rPr>
        <w:t>ceduti a titolo oneroso</w:t>
      </w:r>
      <w:r w:rsidRPr="00927D29">
        <w:rPr>
          <w:i/>
          <w:iCs/>
        </w:rPr>
        <w:t xml:space="preserve"> o sono </w:t>
      </w:r>
      <w:r w:rsidRPr="00927D29">
        <w:rPr>
          <w:b/>
          <w:bCs/>
          <w:i/>
          <w:iCs/>
        </w:rPr>
        <w:t>destinati a strutture produttive ubicate all'estero</w:t>
      </w:r>
      <w:r w:rsidRPr="00927D29">
        <w:rPr>
          <w:i/>
          <w:iCs/>
        </w:rPr>
        <w:t xml:space="preserve">, anche se appartenenti allo stesso soggetto, il credito d'imposta è corrispondentemente ridotto escludendo dall'originaria base di calcolo il relativo costo. Il maggior credito d'imposta eventualmente già utilizzato in compensazione deve essere direttamente riversato dal soggetto entro il termine per il versamento a saldo dell'imposta sui redditi dovuta per il periodo d'imposta in cui si verifichino le suddette ipotesi, </w:t>
      </w:r>
      <w:r w:rsidRPr="00927D29">
        <w:rPr>
          <w:b/>
          <w:bCs/>
          <w:i/>
          <w:iCs/>
        </w:rPr>
        <w:t xml:space="preserve">senza applicazione di sanzioni e interessi. </w:t>
      </w:r>
      <w:r w:rsidRPr="00927D29">
        <w:rPr>
          <w:i/>
          <w:iCs/>
        </w:rPr>
        <w:t>Si applicano, in quanto compatibili, le disposizioni dell'articolo 1, commi 35 e 36, della legge 27 dicembre 2017, n. 205, in materia di investimenti sostitutivi.</w:t>
      </w:r>
    </w:p>
    <w:p w14:paraId="5B387264" w14:textId="77777777" w:rsidR="00765CBE" w:rsidRDefault="00765CBE" w:rsidP="001D3F87">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t>Articolo, 1, comma 1060, Legge 178/2020</w:t>
      </w:r>
    </w:p>
    <w:p w14:paraId="3E3669BC" w14:textId="76FD96B8" w:rsidR="00D81BFD" w:rsidRDefault="00FA6AF0" w:rsidP="00765CBE">
      <w:pPr>
        <w:spacing w:line="360" w:lineRule="auto"/>
        <w:jc w:val="both"/>
      </w:pPr>
      <w:r>
        <w:t xml:space="preserve">Secondo l’agenzia delle entrate non configura destinazione a struttura produttiva situata all'estero, l’invio di beni in noleggio all’estero per utilizzo a carattere meramente temporaneo e per un numero esiguo (circa 1% degli ordini totali) </w:t>
      </w:r>
      <w:r w:rsidRPr="00A46629">
        <w:rPr>
          <w:b/>
          <w:bCs/>
        </w:rPr>
        <w:t>mantenendo i beni un nesso funzionale</w:t>
      </w:r>
      <w:r w:rsidRPr="00FA6AF0">
        <w:t xml:space="preserve"> con l'attività d'impresa svolta in Italia</w:t>
      </w:r>
      <w:r>
        <w:t xml:space="preserve"> (risposta n. 14/2020 e </w:t>
      </w:r>
      <w:r w:rsidR="00A46629">
        <w:t xml:space="preserve">risposta </w:t>
      </w:r>
      <w:r w:rsidR="00A46629" w:rsidRPr="00A46629">
        <w:t>n. 829/2021</w:t>
      </w:r>
      <w:r w:rsidR="00A46629">
        <w:t xml:space="preserve"> del 17 dicembre 2021).</w:t>
      </w:r>
      <w:r w:rsidR="00A46629" w:rsidRPr="00A46629">
        <w:cr/>
      </w:r>
    </w:p>
    <w:p w14:paraId="70A8D532" w14:textId="1960202A" w:rsidR="00765CBE" w:rsidRDefault="00A2147B" w:rsidP="00765CBE">
      <w:pPr>
        <w:pStyle w:val="Titolo3"/>
      </w:pPr>
      <w:bookmarkStart w:id="110" w:name="_Toc90462780"/>
      <w:bookmarkStart w:id="111" w:name="_Toc93327751"/>
      <w:r>
        <w:lastRenderedPageBreak/>
        <w:t>10</w:t>
      </w:r>
      <w:r w:rsidR="00765CBE">
        <w:t>.1.1 Investimenti sostitutivi</w:t>
      </w:r>
      <w:bookmarkEnd w:id="110"/>
      <w:bookmarkEnd w:id="111"/>
    </w:p>
    <w:p w14:paraId="1807C3B8" w14:textId="77777777" w:rsidR="00765CBE" w:rsidRDefault="00765CBE" w:rsidP="00765CBE">
      <w:pPr>
        <w:spacing w:line="360" w:lineRule="auto"/>
        <w:jc w:val="both"/>
      </w:pPr>
      <w:r>
        <w:t>S</w:t>
      </w:r>
      <w:r w:rsidRPr="00BF09C8">
        <w:t xml:space="preserve">e nel </w:t>
      </w:r>
      <w:r>
        <w:t>periodo di sorveglianza</w:t>
      </w:r>
      <w:r w:rsidRPr="00BF09C8">
        <w:t xml:space="preserve"> si verifica il realizzo a titolo oneroso del bene oggetto dell'agevolazione, non viene meno la fruizione delle residue quote del beneficio, </w:t>
      </w:r>
      <w:r>
        <w:t>così</w:t>
      </w:r>
      <w:r w:rsidRPr="00BF09C8">
        <w:t xml:space="preserve"> come originariamente determinate, a condizione che, nello stesso periodo d'imposta del realizzo, l'impresa:</w:t>
      </w:r>
    </w:p>
    <w:p w14:paraId="7CEC3AB0" w14:textId="77777777" w:rsidR="00765CBE" w:rsidRDefault="00765CBE" w:rsidP="00765CBE">
      <w:pPr>
        <w:spacing w:line="360" w:lineRule="auto"/>
        <w:jc w:val="both"/>
      </w:pPr>
      <w:r w:rsidRPr="00BF09C8">
        <w:t xml:space="preserve">a) </w:t>
      </w:r>
      <w:r w:rsidRPr="00AE19D8">
        <w:rPr>
          <w:b/>
          <w:bCs/>
        </w:rPr>
        <w:t>sostituisca il bene originario</w:t>
      </w:r>
      <w:r w:rsidRPr="00BF09C8">
        <w:t xml:space="preserve"> con un bene materiale strumentale nuovo avente caratteristiche tecnologiche analoghe o superiori a quelle previste dall'allegato A alla legge 11 dicembre 2016, n. 232;</w:t>
      </w:r>
    </w:p>
    <w:p w14:paraId="0D9471C5" w14:textId="36ACC1B5" w:rsidR="00765CBE" w:rsidRPr="00A2147B" w:rsidRDefault="00765CBE" w:rsidP="00765CBE">
      <w:pPr>
        <w:spacing w:line="360" w:lineRule="auto"/>
        <w:jc w:val="both"/>
      </w:pPr>
      <w:r w:rsidRPr="00BF09C8">
        <w:t xml:space="preserve">b) </w:t>
      </w:r>
      <w:r w:rsidRPr="00AE19D8">
        <w:rPr>
          <w:b/>
          <w:bCs/>
        </w:rPr>
        <w:t>attesti l'effettuazione dell'investimento sostitutivo</w:t>
      </w:r>
      <w:r w:rsidRPr="00BF09C8">
        <w:t xml:space="preserve">, le caratteristiche del nuovo bene e il requisito </w:t>
      </w:r>
      <w:r w:rsidRPr="00A2147B">
        <w:t>dell'interconnessione secondo le regole previste dall'articolo 1, comma 11, della legge 11 dicembre 2016, n. 232</w:t>
      </w:r>
      <w:r w:rsidR="00A2147B" w:rsidRPr="00A2147B">
        <w:t>.</w:t>
      </w:r>
    </w:p>
    <w:p w14:paraId="4D286D6D" w14:textId="125ABA32" w:rsidR="00765CBE" w:rsidRDefault="00765CBE" w:rsidP="00765CBE">
      <w:pPr>
        <w:spacing w:line="360" w:lineRule="auto"/>
        <w:jc w:val="both"/>
      </w:pPr>
      <w:r w:rsidRPr="00AE19D8">
        <w:t xml:space="preserve">Nel caso in cui il costo di acquisizione dell'investimento sostitutivo sia inferiore al costo di acquisizione del bene sostituito e sempre che ricorrano le altre condizioni previste alle lettere a) e b) precedenti, la fruizione del beneficio prosegue per le quote residue </w:t>
      </w:r>
      <w:r w:rsidRPr="00AE19D8">
        <w:rPr>
          <w:b/>
          <w:bCs/>
        </w:rPr>
        <w:t>fino a concorrenza del costo del nuovo investimento</w:t>
      </w:r>
      <w:r w:rsidRPr="00AE19D8">
        <w:t>.</w:t>
      </w:r>
    </w:p>
    <w:p w14:paraId="746FA92D" w14:textId="77777777" w:rsidR="000D3E09" w:rsidRDefault="000D3E09" w:rsidP="00765CBE">
      <w:pPr>
        <w:pStyle w:val="Titolo3"/>
      </w:pPr>
      <w:bookmarkStart w:id="112" w:name="_Toc90462781"/>
    </w:p>
    <w:p w14:paraId="22FAD913" w14:textId="4C18F4AF" w:rsidR="00765CBE" w:rsidRDefault="00A2147B" w:rsidP="00765CBE">
      <w:pPr>
        <w:pStyle w:val="Titolo3"/>
      </w:pPr>
      <w:bookmarkStart w:id="113" w:name="_Toc93327752"/>
      <w:r>
        <w:t>10</w:t>
      </w:r>
      <w:r w:rsidR="00765CBE">
        <w:t>.1.2 Beni in leasing</w:t>
      </w:r>
      <w:bookmarkEnd w:id="112"/>
      <w:bookmarkEnd w:id="113"/>
    </w:p>
    <w:p w14:paraId="0C6665A7" w14:textId="77777777" w:rsidR="00765CBE" w:rsidRPr="00831024" w:rsidRDefault="00765CBE" w:rsidP="00765CBE">
      <w:pPr>
        <w:spacing w:line="360" w:lineRule="auto"/>
        <w:jc w:val="both"/>
      </w:pPr>
      <w:r w:rsidRPr="00831024">
        <w:t xml:space="preserve">Nel caso di investimenti effettuati mediante </w:t>
      </w:r>
      <w:r w:rsidRPr="00831024">
        <w:rPr>
          <w:b/>
          <w:bCs/>
        </w:rPr>
        <w:t>contratto di locazione finanziaria</w:t>
      </w:r>
      <w:r w:rsidRPr="00831024">
        <w:t xml:space="preserve">, il </w:t>
      </w:r>
      <w:r w:rsidRPr="00831024">
        <w:rPr>
          <w:b/>
          <w:bCs/>
        </w:rPr>
        <w:t>mancato esercizio del diritto di riscatto</w:t>
      </w:r>
      <w:r w:rsidRPr="00831024">
        <w:t xml:space="preserve"> così come la </w:t>
      </w:r>
      <w:r w:rsidRPr="00831024">
        <w:rPr>
          <w:b/>
          <w:bCs/>
        </w:rPr>
        <w:t>cessione del contratto di leasing durante il “periodo di sorveglianza”</w:t>
      </w:r>
      <w:r w:rsidRPr="00831024">
        <w:t xml:space="preserve"> costituiscono </w:t>
      </w:r>
      <w:r w:rsidRPr="00AE19D8">
        <w:rPr>
          <w:b/>
          <w:bCs/>
        </w:rPr>
        <w:t>causa di rideterminazione dell’incentivo</w:t>
      </w:r>
      <w:r w:rsidRPr="00831024">
        <w:t>, in quanto, in virtù dell’ormai consolidato principio di tendenziale equivalenza tra l’acquisto del bene in proprio e l’acquisizione dello stesso tramite un contratto di leasing, tali ipotesi sono da assimilare alle fattispecie, espressamente previste dal comma 1060 della legge di bilancio 2021, di cessione a titolo oneroso e di delocalizzazione dei beni agevolati acquisiti in proprietà.</w:t>
      </w:r>
    </w:p>
    <w:p w14:paraId="32D4516B" w14:textId="77777777" w:rsidR="00AE19D8" w:rsidRDefault="00765CBE" w:rsidP="00765CBE">
      <w:pPr>
        <w:spacing w:line="360" w:lineRule="auto"/>
        <w:jc w:val="both"/>
      </w:pPr>
      <w:r w:rsidRPr="00C449D2">
        <w:t>Considerato che, ai sensi del comma 1054 della legge di bilancio 2021</w:t>
      </w:r>
      <w:r>
        <w:t xml:space="preserve"> (non 4.0)</w:t>
      </w:r>
      <w:r w:rsidRPr="00C449D2">
        <w:t xml:space="preserve">, per gli investimenti effettuati mediante contratti di locazione finanziaria ai fini della determinazione del credito d’imposta si assume il </w:t>
      </w:r>
      <w:r w:rsidRPr="00C449D2">
        <w:rPr>
          <w:b/>
          <w:bCs/>
        </w:rPr>
        <w:t>costo sostenuto dal locatore</w:t>
      </w:r>
      <w:r w:rsidRPr="00C449D2">
        <w:t xml:space="preserve"> per l’acquisto dei beni, si ritiene che sia </w:t>
      </w:r>
      <w:r w:rsidRPr="00AE19D8">
        <w:rPr>
          <w:b/>
          <w:bCs/>
        </w:rPr>
        <w:t>tale valore a dover essere escluso dall’originaria base di calcolo</w:t>
      </w:r>
      <w:r w:rsidRPr="00C449D2">
        <w:t xml:space="preserve"> (rappresentata dalla somma di tutti i costi dei beni ammessi all’agevolazione) ai fini della rideterminazione dell’agevolazione.</w:t>
      </w:r>
    </w:p>
    <w:p w14:paraId="4F56708A" w14:textId="164447B2" w:rsidR="00765CBE" w:rsidRPr="00C449D2" w:rsidRDefault="00765CBE" w:rsidP="00765CBE">
      <w:pPr>
        <w:spacing w:line="360" w:lineRule="auto"/>
        <w:jc w:val="both"/>
      </w:pPr>
      <w:r w:rsidRPr="00C449D2">
        <w:t xml:space="preserve">Il credito d’imposta non sarà oggetto di rideterminazione qualora, nel periodo di sorveglianza, il bene acquisito in proprietà a seguito di riscatto venga successivamente ceduto a una società di leasing nel contesto di un’operazione di </w:t>
      </w:r>
      <w:r w:rsidRPr="00C449D2">
        <w:rPr>
          <w:b/>
          <w:bCs/>
        </w:rPr>
        <w:t>sale and lease back</w:t>
      </w:r>
      <w:r w:rsidRPr="00C449D2">
        <w:t>.</w:t>
      </w:r>
    </w:p>
    <w:p w14:paraId="422832CD" w14:textId="1A01CB41" w:rsidR="00765CBE" w:rsidRPr="008E1F8C" w:rsidRDefault="00765CBE" w:rsidP="00765CBE">
      <w:pPr>
        <w:spacing w:line="360" w:lineRule="auto"/>
        <w:jc w:val="both"/>
      </w:pPr>
      <w:r w:rsidRPr="008E1F8C">
        <w:t xml:space="preserve">Tanto chiarito, si ritiene opportuno precisare che anche nelle ipotesi in cui la rideterminazione riguardi i beni in leasing, si rendono applicabili «in quanto compatibili, le disposizioni dell’articolo 1, commi 35 e 36, della </w:t>
      </w:r>
      <w:r w:rsidRPr="008E1F8C">
        <w:lastRenderedPageBreak/>
        <w:t xml:space="preserve">legge 27 dicembre 2017, n. 205, in materia di investimenti sostitutivi», come stabilito dall’ultimo periodo del comma 1060 della legge di </w:t>
      </w:r>
      <w:r w:rsidR="00964F29">
        <w:t>B</w:t>
      </w:r>
      <w:r w:rsidRPr="008E1F8C">
        <w:t>ilancio 2021.</w:t>
      </w:r>
    </w:p>
    <w:p w14:paraId="1B31C60E" w14:textId="77777777" w:rsidR="00765CBE" w:rsidRPr="008E1F8C" w:rsidRDefault="00765CBE" w:rsidP="00765CBE">
      <w:pPr>
        <w:spacing w:line="360" w:lineRule="auto"/>
        <w:jc w:val="both"/>
      </w:pPr>
      <w:r w:rsidRPr="008E1F8C">
        <w:t>Come ricordato nella risposta n. 23 fornita in occasione di Telefisco 2020 con riferimento all’analoga norma contenuta nel comma 193 dell’articolo 1 della legge di bilancio 2020, le disposizioni concernenti il trattamento dei cosiddetti “investimenti sostitutivi” sono state introdotte a complemento della precedente disciplina agevolativa dell’iper ammortamento (articolo 1, comma 9, della legge n. 232 del 2016 e successive modifiche e integrazioni), al fine di consentire alle imprese di continuare a fruire di tale agevolazione anche nel caso in cui, durante il periodo di fruizione della maggiorazione del costo ammortizzabile, si fosse verificata la cessione a titolo oneroso dei beni agevolati di cui all’allegato A annesso alla legge n. 232 del 2016.</w:t>
      </w:r>
    </w:p>
    <w:p w14:paraId="5F87C9EC" w14:textId="77777777" w:rsidR="00765CBE" w:rsidRPr="008E1F8C" w:rsidRDefault="00765CBE" w:rsidP="00765CBE">
      <w:pPr>
        <w:spacing w:line="360" w:lineRule="auto"/>
        <w:jc w:val="both"/>
      </w:pPr>
      <w:r w:rsidRPr="008E1F8C">
        <w:t>In particolare, ai sensi del comma 35 dell’articolo 1 della legge n. 205 del 2017, se nel corso del periodo di sorveglianza si verifica il realizzo a titolo oneroso del bene oggetto dell’agevolazione, non viene meno la fruizione delle residue quote del beneficio, così come originariamente determinate, a condizione che, nello stesso periodo d’imposta del realizzo, l’impresa:</w:t>
      </w:r>
    </w:p>
    <w:p w14:paraId="775A3D78" w14:textId="77777777" w:rsidR="00765CBE" w:rsidRPr="008E1F8C" w:rsidRDefault="00765CBE" w:rsidP="00AE49EC">
      <w:pPr>
        <w:pStyle w:val="Paragrafoelenco"/>
        <w:numPr>
          <w:ilvl w:val="0"/>
          <w:numId w:val="40"/>
        </w:numPr>
        <w:spacing w:line="360" w:lineRule="auto"/>
        <w:jc w:val="both"/>
      </w:pPr>
      <w:r w:rsidRPr="008E1F8C">
        <w:t>sostituisca il bene originario con un bene materiale strumentale nuovo avente caratteristiche tecnologiche analoghe oppure superiori a quelle previste dall’allegato A della legge n. 232 del 2016;</w:t>
      </w:r>
    </w:p>
    <w:p w14:paraId="5BF52385" w14:textId="77777777" w:rsidR="00765CBE" w:rsidRPr="008E1F8C" w:rsidRDefault="00765CBE" w:rsidP="00AE49EC">
      <w:pPr>
        <w:pStyle w:val="Paragrafoelenco"/>
        <w:numPr>
          <w:ilvl w:val="0"/>
          <w:numId w:val="40"/>
        </w:numPr>
        <w:spacing w:line="360" w:lineRule="auto"/>
        <w:jc w:val="both"/>
      </w:pPr>
      <w:r w:rsidRPr="008E1F8C">
        <w:t>attesti l’effettuazione dell’investimento sostitutivo, le caratteristiche del nuovo bene e il requisito dell’interconnessione secondo le regole previste dall’articolo 1, comma 11, della legge n. 232 del 2016.</w:t>
      </w:r>
    </w:p>
    <w:p w14:paraId="66609A21" w14:textId="77777777" w:rsidR="00765CBE" w:rsidRPr="008E1F8C" w:rsidRDefault="00765CBE" w:rsidP="00765CBE">
      <w:pPr>
        <w:spacing w:line="360" w:lineRule="auto"/>
        <w:jc w:val="both"/>
      </w:pPr>
      <w:r w:rsidRPr="008E1F8C">
        <w:t>In base al successivo comma 36 dell’articolo 1 della legge n. 205 del 2017, qualora il costo di acquisizione dell’investimento sostitutivo di cui al comma 35 sia inferiore al costo di acquisizione del bene sostituito, sempre che ricorrano le altre condizioni previste alle lettere a) e b) del comma 35, la fruizione del beneficio prosegue per le quote residue fino a concorrenza del costo del nuovo investimento (inferiore).</w:t>
      </w:r>
    </w:p>
    <w:p w14:paraId="3965AC0E" w14:textId="51DF4152" w:rsidR="00D02081" w:rsidRPr="008E1F8C" w:rsidRDefault="00765CBE" w:rsidP="00765CBE">
      <w:pPr>
        <w:spacing w:line="360" w:lineRule="auto"/>
        <w:jc w:val="both"/>
      </w:pPr>
      <w:r w:rsidRPr="008E1F8C">
        <w:t xml:space="preserve">Si precisa che anche nell’ambito della nuova disciplina agevolativa </w:t>
      </w:r>
      <w:r w:rsidRPr="008E1F8C">
        <w:rPr>
          <w:b/>
          <w:bCs/>
        </w:rPr>
        <w:t xml:space="preserve">le disposizioni concernenti gli investimenti sostitutivi </w:t>
      </w:r>
      <w:r w:rsidRPr="008E1F8C">
        <w:t xml:space="preserve">si rendono applicabili </w:t>
      </w:r>
      <w:r w:rsidRPr="008E1F8C">
        <w:rPr>
          <w:b/>
          <w:bCs/>
        </w:rPr>
        <w:t>esclusivamente per i beni materiali dell’allegato A</w:t>
      </w:r>
      <w:r w:rsidRPr="008E1F8C">
        <w:t>.</w:t>
      </w:r>
    </w:p>
    <w:p w14:paraId="3737BCB6" w14:textId="77777777" w:rsidR="000D3E09" w:rsidRDefault="000D3E09" w:rsidP="00765CBE">
      <w:pPr>
        <w:pStyle w:val="Titolo3"/>
      </w:pPr>
      <w:bookmarkStart w:id="114" w:name="_Toc90462782"/>
    </w:p>
    <w:p w14:paraId="2F55D3EC" w14:textId="567A91C9" w:rsidR="00765CBE" w:rsidRDefault="00F748F3" w:rsidP="00765CBE">
      <w:pPr>
        <w:pStyle w:val="Titolo3"/>
      </w:pPr>
      <w:bookmarkStart w:id="115" w:name="_Toc93327753"/>
      <w:r>
        <w:t>10</w:t>
      </w:r>
      <w:r w:rsidR="00765CBE">
        <w:t>.1.3</w:t>
      </w:r>
      <w:r w:rsidR="00765CBE" w:rsidRPr="00E533EC">
        <w:t xml:space="preserve"> </w:t>
      </w:r>
      <w:r w:rsidR="00765CBE">
        <w:t>Furto del bene</w:t>
      </w:r>
      <w:bookmarkEnd w:id="114"/>
      <w:bookmarkEnd w:id="115"/>
    </w:p>
    <w:p w14:paraId="0AAFC062" w14:textId="77777777" w:rsidR="00765CBE" w:rsidRDefault="00765CBE" w:rsidP="00765CBE">
      <w:pPr>
        <w:spacing w:line="360" w:lineRule="auto"/>
      </w:pPr>
      <w:r>
        <w:t xml:space="preserve">Il furto del bene agevolato </w:t>
      </w:r>
      <w:r w:rsidRPr="00484610">
        <w:rPr>
          <w:b/>
          <w:bCs/>
        </w:rPr>
        <w:t>non costituisce causa di rideterminazione dell’agevolazione</w:t>
      </w:r>
      <w:r>
        <w:t>, dovendosi dare rilevanza, a tal fine, alla volontarietà della scelta del beneficiario</w:t>
      </w:r>
      <w:r w:rsidRPr="00CD1613">
        <w:t xml:space="preserve"> </w:t>
      </w:r>
      <w:r>
        <w:t>(CM 9/2021 par 7.2).</w:t>
      </w:r>
    </w:p>
    <w:p w14:paraId="13741332" w14:textId="77777777" w:rsidR="00765CBE" w:rsidRDefault="00765CBE" w:rsidP="00765CBE">
      <w:pPr>
        <w:spacing w:line="360" w:lineRule="auto"/>
        <w:jc w:val="both"/>
      </w:pPr>
      <w:r>
        <w:t xml:space="preserve">Nel caso di furto del bene oggetto di investimento, </w:t>
      </w:r>
      <w:r w:rsidRPr="00484610">
        <w:rPr>
          <w:b/>
          <w:bCs/>
        </w:rPr>
        <w:t>comprovato dalla relativa denuncia alle autorità competenti</w:t>
      </w:r>
      <w:r>
        <w:t>, la fuoriuscita del bene dal regime di impresa o dall’esercizio dell’attività di arti e professioni, proprio perché indipendente dalla volontà del beneficiario, non comporta l’applicazione della disposizione citata e, quindi, la rideterminazione dell’agevolazione.</w:t>
      </w:r>
    </w:p>
    <w:p w14:paraId="6711235A" w14:textId="77777777" w:rsidR="00765CBE" w:rsidRDefault="00765CBE" w:rsidP="00765CBE">
      <w:pPr>
        <w:spacing w:line="360" w:lineRule="auto"/>
        <w:jc w:val="both"/>
      </w:pPr>
      <w:r>
        <w:lastRenderedPageBreak/>
        <w:t xml:space="preserve">Ricordiamo la procedura prevista dalla circolare 193/E del 23 luglio 1998, in tema di Perdita di beni e presunzioni di cessione di acquisto di cui al </w:t>
      </w:r>
      <w:r w:rsidRPr="00E261D0">
        <w:t>D.P.R. 10 novembre 1997, n. 441.</w:t>
      </w:r>
    </w:p>
    <w:p w14:paraId="17862AC2" w14:textId="49329A1A" w:rsidR="00765CBE" w:rsidRDefault="00765CBE" w:rsidP="00765CBE">
      <w:pPr>
        <w:spacing w:line="360" w:lineRule="auto"/>
        <w:jc w:val="both"/>
      </w:pPr>
      <w:r w:rsidRPr="00E261D0">
        <w:t xml:space="preserve">Con riguardo alla </w:t>
      </w:r>
      <w:r w:rsidRPr="00E261D0">
        <w:rPr>
          <w:b/>
          <w:bCs/>
        </w:rPr>
        <w:t>perdita dei beni</w:t>
      </w:r>
      <w:r w:rsidRPr="00E261D0">
        <w:t xml:space="preserve"> dovuta ad eventi fortuiti,</w:t>
      </w:r>
      <w:r>
        <w:t xml:space="preserve"> </w:t>
      </w:r>
      <w:r w:rsidRPr="00E261D0">
        <w:t>accidentali o comunque indipendenti dalla volontà del soggetto, viene</w:t>
      </w:r>
      <w:r>
        <w:t xml:space="preserve"> </w:t>
      </w:r>
      <w:r w:rsidRPr="00E261D0">
        <w:t xml:space="preserve">stabilito, al </w:t>
      </w:r>
      <w:r>
        <w:t>c</w:t>
      </w:r>
      <w:r w:rsidRPr="00E261D0">
        <w:t xml:space="preserve">omma 3 dell'articolo 2 del menzionato </w:t>
      </w:r>
      <w:r w:rsidRPr="00D415E1">
        <w:t>D.P.R. n. 441 del 1997</w:t>
      </w:r>
      <w:r w:rsidRPr="00E261D0">
        <w:t>,</w:t>
      </w:r>
      <w:r>
        <w:t xml:space="preserve"> </w:t>
      </w:r>
      <w:r w:rsidRPr="00E261D0">
        <w:t>che la presunzione di cessione non opera a condizione che la perdita dei beni</w:t>
      </w:r>
      <w:r>
        <w:t xml:space="preserve"> </w:t>
      </w:r>
      <w:r w:rsidRPr="00E261D0">
        <w:t>stessi sia comprovata:</w:t>
      </w:r>
    </w:p>
    <w:p w14:paraId="11232002" w14:textId="42C24B5F" w:rsidR="00765CBE" w:rsidRDefault="00765CBE" w:rsidP="00AE49EC">
      <w:pPr>
        <w:pStyle w:val="Paragrafoelenco"/>
        <w:numPr>
          <w:ilvl w:val="0"/>
          <w:numId w:val="41"/>
        </w:numPr>
        <w:spacing w:line="360" w:lineRule="auto"/>
        <w:ind w:left="709"/>
        <w:jc w:val="both"/>
      </w:pPr>
      <w:r w:rsidRPr="00E261D0">
        <w:t xml:space="preserve">da </w:t>
      </w:r>
      <w:r w:rsidRPr="00D802E5">
        <w:rPr>
          <w:b/>
          <w:bCs/>
        </w:rPr>
        <w:t>idonea documentazione di un organo della pubblica amministrazione</w:t>
      </w:r>
      <w:r w:rsidRPr="00E261D0">
        <w:t xml:space="preserve"> o, in</w:t>
      </w:r>
      <w:r>
        <w:t xml:space="preserve"> </w:t>
      </w:r>
      <w:r w:rsidRPr="00E261D0">
        <w:t xml:space="preserve">mancanza, da dichiarazione sostitutiva di atto notorio ai sensi della </w:t>
      </w:r>
      <w:r w:rsidRPr="00D415E1">
        <w:t>legge 4 gennaio 1968, n. 15</w:t>
      </w:r>
      <w:r w:rsidRPr="00E261D0">
        <w:t xml:space="preserve">, da cui risulti il </w:t>
      </w:r>
      <w:r w:rsidRPr="00D802E5">
        <w:rPr>
          <w:b/>
          <w:bCs/>
        </w:rPr>
        <w:t>verificarsi dell'evento, natura, qualità e quantità dei beni perduti e l'indicazione, sulla base del prezzo d'acquisto, del relativo ammontare complessivo</w:t>
      </w:r>
      <w:r w:rsidRPr="00E261D0">
        <w:t>;</w:t>
      </w:r>
    </w:p>
    <w:p w14:paraId="0B8FA3CD" w14:textId="77777777" w:rsidR="00765CBE" w:rsidRPr="00E261D0" w:rsidRDefault="00765CBE" w:rsidP="00AE49EC">
      <w:pPr>
        <w:pStyle w:val="Paragrafoelenco"/>
        <w:numPr>
          <w:ilvl w:val="0"/>
          <w:numId w:val="41"/>
        </w:numPr>
        <w:spacing w:line="360" w:lineRule="auto"/>
        <w:ind w:left="709"/>
        <w:jc w:val="both"/>
      </w:pPr>
      <w:r w:rsidRPr="00E261D0">
        <w:t xml:space="preserve">da comunicazione redatta sull'apposito modello ministeriale </w:t>
      </w:r>
      <w:r>
        <w:t xml:space="preserve">(mai approvato) </w:t>
      </w:r>
      <w:r w:rsidRPr="00D802E5">
        <w:rPr>
          <w:b/>
          <w:bCs/>
        </w:rPr>
        <w:t>da inviarsi, entro trenta giorni dal verificarsi dell'evento o dalla scoperta o notizia</w:t>
      </w:r>
      <w:r w:rsidRPr="00E261D0">
        <w:t>,</w:t>
      </w:r>
      <w:r>
        <w:t xml:space="preserve"> </w:t>
      </w:r>
      <w:r w:rsidRPr="00E261D0">
        <w:t>agli Uffici delle Entrate o, in mancanza, agli Uffici delle Imposte Dirette e ai Comandi della Guardia di Finanza (competenti in relazione al domicilio fiscale del contribuente). Detta comunicazione deve contenere i dati di cui al punto precedente; in attesa del decreto ministeriale di approvazione dello specifico modello è consentita, ovviamente, la comunicazione in carta libera.</w:t>
      </w:r>
    </w:p>
    <w:p w14:paraId="208BB65B" w14:textId="77777777" w:rsidR="00765CBE" w:rsidRDefault="00765CBE" w:rsidP="00765CBE">
      <w:pPr>
        <w:spacing w:line="360" w:lineRule="auto"/>
        <w:jc w:val="both"/>
      </w:pPr>
    </w:p>
    <w:p w14:paraId="4C8B4E95" w14:textId="77777777" w:rsidR="000D3E09" w:rsidRDefault="000D3E09" w:rsidP="00765CBE">
      <w:pPr>
        <w:spacing w:after="160" w:line="259" w:lineRule="auto"/>
        <w:sectPr w:rsidR="000D3E09" w:rsidSect="00A90ED0">
          <w:pgSz w:w="11906" w:h="16838"/>
          <w:pgMar w:top="833" w:right="1134" w:bottom="1134" w:left="1134" w:header="708" w:footer="708" w:gutter="0"/>
          <w:cols w:space="708"/>
          <w:titlePg/>
          <w:docGrid w:linePitch="360"/>
        </w:sectPr>
      </w:pPr>
    </w:p>
    <w:p w14:paraId="5E4F0659" w14:textId="76C271A5" w:rsidR="00765CBE" w:rsidRPr="00380A75" w:rsidRDefault="000D3E09" w:rsidP="00765CBE">
      <w:pPr>
        <w:shd w:val="clear" w:color="auto" w:fill="FFFFFF"/>
        <w:spacing w:before="120" w:after="0" w:line="240" w:lineRule="auto"/>
        <w:jc w:val="center"/>
        <w:rPr>
          <w:b/>
          <w:bCs/>
          <w:sz w:val="32"/>
          <w:szCs w:val="32"/>
        </w:rPr>
      </w:pPr>
      <w:r>
        <w:rPr>
          <w:b/>
          <w:bCs/>
          <w:sz w:val="32"/>
          <w:szCs w:val="32"/>
        </w:rPr>
        <w:lastRenderedPageBreak/>
        <w:t>11.</w:t>
      </w:r>
    </w:p>
    <w:bookmarkStart w:id="116" w:name="_Toc90462783"/>
    <w:bookmarkStart w:id="117" w:name="_Toc93327754"/>
    <w:p w14:paraId="18B366DE" w14:textId="1BA97A08" w:rsidR="00765CBE" w:rsidRPr="00D40DBB" w:rsidRDefault="00765CBE" w:rsidP="00765CBE">
      <w:pPr>
        <w:pStyle w:val="Titolo"/>
      </w:pPr>
      <w:r>
        <w:rPr>
          <w:noProof/>
        </w:rPr>
        <mc:AlternateContent>
          <mc:Choice Requires="wps">
            <w:drawing>
              <wp:anchor distT="4294967291" distB="4294967291" distL="114300" distR="114300" simplePos="0" relativeHeight="251773440" behindDoc="0" locked="0" layoutInCell="1" allowOverlap="1" wp14:anchorId="5A818F34" wp14:editId="375FAF1C">
                <wp:simplePos x="0" y="0"/>
                <wp:positionH relativeFrom="margin">
                  <wp:align>center</wp:align>
                </wp:positionH>
                <wp:positionV relativeFrom="paragraph">
                  <wp:posOffset>80118</wp:posOffset>
                </wp:positionV>
                <wp:extent cx="2438400" cy="0"/>
                <wp:effectExtent l="0" t="0" r="0" b="0"/>
                <wp:wrapNone/>
                <wp:docPr id="205459433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205EB3" id="AutoShape 120" o:spid="_x0000_s1026" type="#_x0000_t32" style="position:absolute;margin-left:0;margin-top:6.3pt;width:192pt;height:0;z-index:251773440;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" strokecolor="#404040" strokeweight="1.5pt">
                <w10:wrap anchorx="margin"/>
              </v:shape>
            </w:pict>
          </mc:Fallback>
        </mc:AlternateContent>
      </w:r>
      <w:r>
        <w:t>Documentazione a supporto</w:t>
      </w:r>
      <w:bookmarkEnd w:id="116"/>
      <w:bookmarkEnd w:id="117"/>
    </w:p>
    <w:p w14:paraId="357E00A8" w14:textId="06F91757" w:rsidR="00765CBE" w:rsidRDefault="00765CBE" w:rsidP="000D3E09"/>
    <w:p w14:paraId="1D01275E" w14:textId="505014EB" w:rsidR="00D81BFD" w:rsidRDefault="00D81BFD" w:rsidP="00D81BFD"/>
    <w:p w14:paraId="2B3F580F" w14:textId="69D1FD5C" w:rsidR="00D81BFD" w:rsidRDefault="00D81BFD" w:rsidP="00D81BFD"/>
    <w:p w14:paraId="37F191CE" w14:textId="56C17FEA" w:rsidR="00D81BFD" w:rsidRDefault="00D81BFD" w:rsidP="00D81BFD"/>
    <w:p w14:paraId="585507DA" w14:textId="10A9F89F" w:rsidR="00D81BFD" w:rsidRDefault="00D81BFD" w:rsidP="00D81BFD"/>
    <w:p w14:paraId="63B39E56" w14:textId="77777777" w:rsidR="00D81BFD" w:rsidRPr="00D81BFD" w:rsidRDefault="00D81BFD" w:rsidP="00D81BFD"/>
    <w:p w14:paraId="3DEBF4BD" w14:textId="02A43645" w:rsidR="00765CBE" w:rsidRPr="002247B4" w:rsidRDefault="00D81BFD" w:rsidP="00765CBE">
      <w:pPr>
        <w:pStyle w:val="Titolo2"/>
      </w:pPr>
      <w:bookmarkStart w:id="118" w:name="_Toc90462784"/>
      <w:bookmarkStart w:id="119" w:name="_Toc93327755"/>
      <w:r>
        <w:t>1</w:t>
      </w:r>
      <w:r w:rsidR="00725F3D">
        <w:t>1</w:t>
      </w:r>
      <w:r w:rsidR="00765CBE">
        <w:t>.1</w:t>
      </w:r>
      <w:r w:rsidR="00765CBE" w:rsidRPr="002247B4">
        <w:t xml:space="preserve"> </w:t>
      </w:r>
      <w:r w:rsidR="00765CBE">
        <w:t>Documentazione e adempimenti di supporto</w:t>
      </w:r>
      <w:bookmarkEnd w:id="118"/>
      <w:bookmarkEnd w:id="119"/>
    </w:p>
    <w:p w14:paraId="2018C9FC" w14:textId="77777777" w:rsidR="00765CBE" w:rsidRDefault="00765CBE" w:rsidP="00765CBE">
      <w:pPr>
        <w:spacing w:line="360" w:lineRule="auto"/>
        <w:rPr>
          <w:b/>
          <w:bCs/>
        </w:rPr>
      </w:pPr>
      <w:r w:rsidRPr="00B55675">
        <w:t xml:space="preserve">1062. Ai fini dei successivi controlli, i soggetti che si avvalgono del credito d'imposta sono tenuti a conservare, pena la revoca del beneficio, </w:t>
      </w:r>
      <w:r w:rsidRPr="00891303">
        <w:rPr>
          <w:b/>
          <w:bCs/>
        </w:rPr>
        <w:t>la documentazione idonea a dimostrare</w:t>
      </w:r>
      <w:r>
        <w:rPr>
          <w:b/>
          <w:bCs/>
        </w:rPr>
        <w:t>:</w:t>
      </w:r>
    </w:p>
    <w:p w14:paraId="72097B6C" w14:textId="77777777" w:rsidR="00765CBE" w:rsidRPr="00891303" w:rsidRDefault="00765CBE" w:rsidP="00AE49EC">
      <w:pPr>
        <w:pStyle w:val="Paragrafoelenco"/>
        <w:numPr>
          <w:ilvl w:val="0"/>
          <w:numId w:val="42"/>
        </w:numPr>
        <w:spacing w:line="360" w:lineRule="auto"/>
      </w:pPr>
      <w:r w:rsidRPr="00891303">
        <w:t>l'effettivo sostenimento e</w:t>
      </w:r>
    </w:p>
    <w:p w14:paraId="70D0C4E2" w14:textId="77777777" w:rsidR="00765CBE" w:rsidRPr="00891303" w:rsidRDefault="00765CBE" w:rsidP="00AE49EC">
      <w:pPr>
        <w:pStyle w:val="Paragrafoelenco"/>
        <w:numPr>
          <w:ilvl w:val="0"/>
          <w:numId w:val="42"/>
        </w:numPr>
        <w:spacing w:line="360" w:lineRule="auto"/>
      </w:pPr>
      <w:r w:rsidRPr="00891303">
        <w:t>la corretta determinazione dei costi agevolabili.</w:t>
      </w:r>
    </w:p>
    <w:p w14:paraId="25D1C514" w14:textId="77777777" w:rsidR="000D3E09" w:rsidRDefault="000D3E09" w:rsidP="00765CBE">
      <w:pPr>
        <w:pStyle w:val="Titolo3"/>
      </w:pPr>
      <w:bookmarkStart w:id="120" w:name="_Toc90462785"/>
    </w:p>
    <w:p w14:paraId="141E0C9D" w14:textId="66535431" w:rsidR="00765CBE" w:rsidRPr="00AF567E" w:rsidRDefault="00EA715B" w:rsidP="00765CBE">
      <w:pPr>
        <w:pStyle w:val="Titolo3"/>
        <w:rPr>
          <w:color w:val="auto"/>
        </w:rPr>
      </w:pPr>
      <w:bookmarkStart w:id="121" w:name="_Toc93327756"/>
      <w:r>
        <w:t>1</w:t>
      </w:r>
      <w:r w:rsidR="00725F3D">
        <w:t>1</w:t>
      </w:r>
      <w:r w:rsidR="00765CBE">
        <w:t xml:space="preserve">.1.1 La dicitura </w:t>
      </w:r>
      <w:r w:rsidR="00765CBE" w:rsidRPr="00AF567E">
        <w:rPr>
          <w:color w:val="auto"/>
        </w:rPr>
        <w:t>in fattura</w:t>
      </w:r>
      <w:bookmarkEnd w:id="120"/>
      <w:bookmarkEnd w:id="121"/>
    </w:p>
    <w:p w14:paraId="5FD695E9" w14:textId="5CF0E582" w:rsidR="00765CBE" w:rsidRPr="00AF567E" w:rsidRDefault="00765CBE" w:rsidP="00765CBE">
      <w:pPr>
        <w:spacing w:line="360" w:lineRule="auto"/>
        <w:jc w:val="both"/>
      </w:pPr>
      <w:r w:rsidRPr="00AF567E">
        <w:t xml:space="preserve">A tal fine, le </w:t>
      </w:r>
      <w:r w:rsidRPr="00AF567E">
        <w:rPr>
          <w:b/>
          <w:bCs/>
        </w:rPr>
        <w:t>fatture e gli altri documenti relativi all'acquisizione dei beni agevolati</w:t>
      </w:r>
      <w:r w:rsidRPr="00AF567E">
        <w:t xml:space="preserve"> devono contenere l'espresso riferimento alle disposizioni dei commi da 1054 a 1058</w:t>
      </w:r>
      <w:r w:rsidR="00667F4F" w:rsidRPr="00AF567E">
        <w:t xml:space="preserve"> (documenti emessi fino al 31 dicembre 2021).</w:t>
      </w:r>
    </w:p>
    <w:p w14:paraId="3263DC2C" w14:textId="4B09EFAF" w:rsidR="000D3E09" w:rsidRPr="00AF567E" w:rsidRDefault="004414B7" w:rsidP="00765CBE">
      <w:pPr>
        <w:spacing w:line="360" w:lineRule="auto"/>
        <w:jc w:val="both"/>
      </w:pPr>
      <w:r w:rsidRPr="00AF567E">
        <w:rPr>
          <w:noProof/>
        </w:rPr>
        <w:drawing>
          <wp:anchor distT="0" distB="0" distL="114300" distR="114300" simplePos="0" relativeHeight="251791872" behindDoc="0" locked="0" layoutInCell="1" allowOverlap="1" wp14:anchorId="6CCD8A41" wp14:editId="4FC8DA0B">
            <wp:simplePos x="0" y="0"/>
            <wp:positionH relativeFrom="column">
              <wp:posOffset>47625</wp:posOffset>
            </wp:positionH>
            <wp:positionV relativeFrom="paragraph">
              <wp:posOffset>179965</wp:posOffset>
            </wp:positionV>
            <wp:extent cx="754083" cy="754083"/>
            <wp:effectExtent l="0" t="0" r="0" b="0"/>
            <wp:wrapSquare wrapText="bothSides"/>
            <wp:docPr id="29" name="Elemento grafico 29"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54083" cy="754083"/>
                    </a:xfrm>
                    <a:prstGeom prst="rect">
                      <a:avLst/>
                    </a:prstGeom>
                  </pic:spPr>
                </pic:pic>
              </a:graphicData>
            </a:graphic>
          </wp:anchor>
        </w:drawing>
      </w:r>
    </w:p>
    <w:p w14:paraId="4641F24C" w14:textId="275DEE6C" w:rsidR="00765CBE" w:rsidRPr="00AF567E" w:rsidRDefault="00765CBE" w:rsidP="00765CBE">
      <w:pPr>
        <w:spacing w:line="360" w:lineRule="auto"/>
        <w:jc w:val="both"/>
        <w:rPr>
          <w:b/>
          <w:bCs/>
        </w:rPr>
      </w:pPr>
      <w:r w:rsidRPr="00AF567E">
        <w:t xml:space="preserve">Esempio dicitura da riportare in fattura: </w:t>
      </w:r>
      <w:r w:rsidRPr="00AF567E">
        <w:rPr>
          <w:b/>
          <w:bCs/>
        </w:rPr>
        <w:t>“Beni agevola</w:t>
      </w:r>
      <w:r w:rsidR="00D03D48" w:rsidRPr="00AF567E">
        <w:rPr>
          <w:b/>
          <w:bCs/>
        </w:rPr>
        <w:t>bili</w:t>
      </w:r>
      <w:r w:rsidRPr="00AF567E">
        <w:rPr>
          <w:b/>
          <w:bCs/>
        </w:rPr>
        <w:t xml:space="preserve"> ai sensi dell’articolo 1, commi da 1054 a 1058, della Legge 30 dicembre 2020, n. 178”.</w:t>
      </w:r>
    </w:p>
    <w:p w14:paraId="6AF9219A" w14:textId="20A19042" w:rsidR="00765CBE" w:rsidRPr="00AF567E" w:rsidRDefault="00765CBE" w:rsidP="00765CBE">
      <w:pPr>
        <w:spacing w:line="360" w:lineRule="auto"/>
        <w:jc w:val="both"/>
      </w:pPr>
    </w:p>
    <w:p w14:paraId="7127FA42" w14:textId="20FE419B" w:rsidR="00667F4F" w:rsidRPr="00AF567E" w:rsidRDefault="00667F4F" w:rsidP="00A15DE4">
      <w:pPr>
        <w:spacing w:line="360" w:lineRule="auto"/>
        <w:jc w:val="both"/>
      </w:pPr>
      <w:r w:rsidRPr="00AF567E">
        <w:t xml:space="preserve">Con la pubblicazione della Legge di bilancio 2022 sono state apportate alcune </w:t>
      </w:r>
      <w:r w:rsidRPr="00AF567E">
        <w:rPr>
          <w:b/>
          <w:bCs/>
        </w:rPr>
        <w:t>modifiche</w:t>
      </w:r>
      <w:r w:rsidRPr="00AF567E">
        <w:t xml:space="preserve"> </w:t>
      </w:r>
      <w:r w:rsidRPr="00AF567E">
        <w:rPr>
          <w:b/>
          <w:bCs/>
        </w:rPr>
        <w:t>al comma 1062</w:t>
      </w:r>
      <w:r w:rsidRPr="00AF567E">
        <w:t xml:space="preserve"> della Legge 30 dicembre 2020, n. 178</w:t>
      </w:r>
      <w:r w:rsidR="004954DD" w:rsidRPr="00AF567E">
        <w:t>, che prevede la documentazione idonea per beneficiare del credito.</w:t>
      </w:r>
      <w:r w:rsidRPr="00AF567E">
        <w:t xml:space="preserve"> </w:t>
      </w:r>
      <w:r w:rsidR="00804510" w:rsidRPr="00AF567E">
        <w:t>A seguito di tali aggiornamenti</w:t>
      </w:r>
      <w:r w:rsidR="00A15DE4" w:rsidRPr="00AF567E">
        <w:t>, c</w:t>
      </w:r>
      <w:r w:rsidRPr="00AF567E">
        <w:t xml:space="preserve">on riferimento alle </w:t>
      </w:r>
      <w:r w:rsidRPr="00AF567E">
        <w:rPr>
          <w:b/>
          <w:bCs/>
        </w:rPr>
        <w:t>diciture</w:t>
      </w:r>
      <w:r w:rsidR="00A15DE4" w:rsidRPr="00AF567E">
        <w:rPr>
          <w:b/>
          <w:bCs/>
        </w:rPr>
        <w:t xml:space="preserve"> da apporre sulle</w:t>
      </w:r>
      <w:r w:rsidR="00A15DE4" w:rsidRPr="00AF567E">
        <w:t xml:space="preserve"> </w:t>
      </w:r>
      <w:r w:rsidR="00A15DE4" w:rsidRPr="00AF567E">
        <w:rPr>
          <w:b/>
          <w:bCs/>
        </w:rPr>
        <w:t>fatture e gli altri documenti emessi dal 1° gennaio 2022</w:t>
      </w:r>
      <w:r w:rsidR="00A15DE4" w:rsidRPr="00AF567E">
        <w:t xml:space="preserve">, occorre l’espresso riferimento alle </w:t>
      </w:r>
      <w:r w:rsidR="00A15DE4" w:rsidRPr="00AF567E">
        <w:rPr>
          <w:b/>
          <w:bCs/>
        </w:rPr>
        <w:t>disposizioni dei commi da 1054 a 1058-ter.</w:t>
      </w:r>
    </w:p>
    <w:p w14:paraId="728B0289" w14:textId="77777777" w:rsidR="00765CBE" w:rsidRDefault="00765CBE" w:rsidP="00765CBE">
      <w:pPr>
        <w:spacing w:line="360" w:lineRule="auto"/>
        <w:jc w:val="both"/>
      </w:pPr>
      <w:r>
        <w:t xml:space="preserve">I soggetti interessati possono integrare (rectius, regolarizzare) i documenti già emessi, </w:t>
      </w:r>
      <w:r w:rsidRPr="005D3643">
        <w:rPr>
          <w:b/>
          <w:bCs/>
        </w:rPr>
        <w:t>sprovvisti della corretta indicazione delle disposizioni agevolative di riferimento</w:t>
      </w:r>
      <w:r>
        <w:t xml:space="preserve">, prima che inizino le attività di </w:t>
      </w:r>
      <w:r>
        <w:lastRenderedPageBreak/>
        <w:t>controllo da parte dell’Amministrazione finanziaria, secondo le modalità indicate nella risposta a istanza di interpello n. 438 del 5 ottobre 2020 (circolare 9/E del 23 luglio 2021, par. 8).</w:t>
      </w:r>
    </w:p>
    <w:p w14:paraId="59ED29B2" w14:textId="77777777" w:rsidR="00765CBE" w:rsidRPr="000F47D2" w:rsidRDefault="00765CBE" w:rsidP="00765CBE">
      <w:pPr>
        <w:spacing w:line="360" w:lineRule="auto"/>
        <w:jc w:val="both"/>
      </w:pPr>
      <w:r w:rsidRPr="000F47D2">
        <w:t xml:space="preserve">In particolare, </w:t>
      </w:r>
      <w:r w:rsidRPr="000F47D2">
        <w:rPr>
          <w:b/>
          <w:bCs/>
        </w:rPr>
        <w:t>nel caso di fatture ricevute in formato cartaceo</w:t>
      </w:r>
      <w:r w:rsidRPr="000F47D2">
        <w:t xml:space="preserve">, il riferimento alle disposizioni agevolative può essere riportato dal soggetto acquirente </w:t>
      </w:r>
      <w:r w:rsidRPr="000F47D2">
        <w:rPr>
          <w:b/>
          <w:bCs/>
        </w:rPr>
        <w:t>sull’originale di ogni fattura, sia di acconto che di saldo</w:t>
      </w:r>
      <w:r w:rsidRPr="000F47D2">
        <w:t xml:space="preserve">, con </w:t>
      </w:r>
      <w:r w:rsidRPr="000F47D2">
        <w:rPr>
          <w:b/>
          <w:bCs/>
        </w:rPr>
        <w:t>scrittura indelebile</w:t>
      </w:r>
      <w:r w:rsidRPr="000F47D2">
        <w:t xml:space="preserve">, </w:t>
      </w:r>
      <w:r w:rsidRPr="000F47D2">
        <w:rPr>
          <w:b/>
          <w:bCs/>
        </w:rPr>
        <w:t>anche mediante l’utilizzo di un apposito timbro.</w:t>
      </w:r>
    </w:p>
    <w:p w14:paraId="7A65691A" w14:textId="77777777" w:rsidR="00765CBE" w:rsidRPr="004B3041" w:rsidRDefault="00765CBE" w:rsidP="00765CBE">
      <w:pPr>
        <w:spacing w:line="360" w:lineRule="auto"/>
        <w:jc w:val="both"/>
        <w:rPr>
          <w:b/>
          <w:bCs/>
        </w:rPr>
      </w:pPr>
      <w:r w:rsidRPr="004B3041">
        <w:t xml:space="preserve">Nel caso di </w:t>
      </w:r>
      <w:r w:rsidRPr="004B3041">
        <w:rPr>
          <w:b/>
          <w:bCs/>
        </w:rPr>
        <w:t>fatture elettroniche</w:t>
      </w:r>
      <w:r w:rsidRPr="004B3041">
        <w:t xml:space="preserve"> ricevute dal venditore tramite Sistema di Interscambio (SdI), </w:t>
      </w:r>
      <w:r w:rsidRPr="004B3041">
        <w:rPr>
          <w:b/>
          <w:bCs/>
        </w:rPr>
        <w:t>è possibile:</w:t>
      </w:r>
    </w:p>
    <w:p w14:paraId="1F7E09AD" w14:textId="77777777" w:rsidR="00765CBE" w:rsidRPr="004B3041" w:rsidRDefault="00765CBE" w:rsidP="00AE49EC">
      <w:pPr>
        <w:pStyle w:val="Paragrafoelenco"/>
        <w:numPr>
          <w:ilvl w:val="0"/>
          <w:numId w:val="43"/>
        </w:numPr>
        <w:spacing w:line="360" w:lineRule="auto"/>
        <w:jc w:val="both"/>
      </w:pPr>
      <w:r w:rsidRPr="004B3041">
        <w:rPr>
          <w:b/>
          <w:bCs/>
        </w:rPr>
        <w:t>stampare il documento di spesa</w:t>
      </w:r>
      <w:r w:rsidRPr="004B3041">
        <w:t xml:space="preserve"> apponendo sulla copia cartacea la predetta scritta indelebile e conservarlo ai sensi dell’articolo 39 del DPR n. 633 del 1972 oppure,</w:t>
      </w:r>
    </w:p>
    <w:p w14:paraId="4145F5CF" w14:textId="77777777" w:rsidR="00765CBE" w:rsidRPr="004B3041" w:rsidRDefault="00765CBE" w:rsidP="00AE49EC">
      <w:pPr>
        <w:pStyle w:val="Paragrafoelenco"/>
        <w:numPr>
          <w:ilvl w:val="0"/>
          <w:numId w:val="43"/>
        </w:numPr>
        <w:spacing w:line="360" w:lineRule="auto"/>
        <w:jc w:val="both"/>
      </w:pPr>
      <w:r w:rsidRPr="004B3041">
        <w:t>in alternativa, realizzare un’integrazione elettronica, da unire all’originale e conservare insieme allo stesso, e inviare tale documento sotto forma di autofattura allo SdI, secondo le modalità indicate in tema d’inversione contabile nella circolare n. 14/E del 17 giugno 2019.</w:t>
      </w:r>
    </w:p>
    <w:p w14:paraId="33F3D660" w14:textId="77777777" w:rsidR="00765CBE" w:rsidRPr="004B3041" w:rsidRDefault="00765CBE" w:rsidP="00765CBE">
      <w:pPr>
        <w:spacing w:line="360" w:lineRule="auto"/>
        <w:jc w:val="both"/>
      </w:pPr>
    </w:p>
    <w:p w14:paraId="2C73E1FD" w14:textId="4EF7A251" w:rsidR="00765CBE" w:rsidRPr="004B3041" w:rsidRDefault="00D81BFD" w:rsidP="00765CBE">
      <w:pPr>
        <w:pStyle w:val="Titolo3"/>
      </w:pPr>
      <w:bookmarkStart w:id="122" w:name="_Toc90462786"/>
      <w:bookmarkStart w:id="123" w:name="_Toc93327757"/>
      <w:r>
        <w:t>1</w:t>
      </w:r>
      <w:r w:rsidR="00725F3D">
        <w:t>1</w:t>
      </w:r>
      <w:r w:rsidR="00765CBE" w:rsidRPr="004B3041">
        <w:t>.</w:t>
      </w:r>
      <w:r w:rsidR="00765CBE">
        <w:t>1.2</w:t>
      </w:r>
      <w:r w:rsidR="00765CBE" w:rsidRPr="004B3041">
        <w:t xml:space="preserve"> Doppia dicitura se c’è anche l’agevolazione Sabatini</w:t>
      </w:r>
      <w:bookmarkEnd w:id="122"/>
      <w:bookmarkEnd w:id="123"/>
    </w:p>
    <w:p w14:paraId="74B17AD4" w14:textId="3C025608" w:rsidR="00765CBE" w:rsidRDefault="00765CBE" w:rsidP="00765CBE">
      <w:pPr>
        <w:spacing w:line="360" w:lineRule="auto"/>
        <w:jc w:val="both"/>
      </w:pPr>
      <w:r w:rsidRPr="004B3041">
        <w:t>Tali previsioni risultano nella sostanza equivalenti a quanto previsto dal legislatore nel contesto di altre agevolazioni per gli investimenti in beni strumentali.</w:t>
      </w:r>
    </w:p>
    <w:p w14:paraId="40AB46C6" w14:textId="2660C3F4" w:rsidR="000D3E09" w:rsidRDefault="004414B7" w:rsidP="00765CBE">
      <w:pPr>
        <w:spacing w:line="360" w:lineRule="auto"/>
        <w:jc w:val="both"/>
      </w:pPr>
      <w:r>
        <w:rPr>
          <w:noProof/>
        </w:rPr>
        <w:drawing>
          <wp:anchor distT="0" distB="0" distL="114300" distR="114300" simplePos="0" relativeHeight="251792896" behindDoc="0" locked="0" layoutInCell="1" allowOverlap="1" wp14:anchorId="71B80996" wp14:editId="243249A3">
            <wp:simplePos x="0" y="0"/>
            <wp:positionH relativeFrom="column">
              <wp:posOffset>33655</wp:posOffset>
            </wp:positionH>
            <wp:positionV relativeFrom="paragraph">
              <wp:posOffset>214607</wp:posOffset>
            </wp:positionV>
            <wp:extent cx="754083" cy="754083"/>
            <wp:effectExtent l="0" t="0" r="0" b="0"/>
            <wp:wrapSquare wrapText="bothSides"/>
            <wp:docPr id="30" name="Elemento grafico 30"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54083" cy="754083"/>
                    </a:xfrm>
                    <a:prstGeom prst="rect">
                      <a:avLst/>
                    </a:prstGeom>
                  </pic:spPr>
                </pic:pic>
              </a:graphicData>
            </a:graphic>
          </wp:anchor>
        </w:drawing>
      </w:r>
    </w:p>
    <w:p w14:paraId="63F0DF33" w14:textId="4BAC26FE" w:rsidR="00765CBE" w:rsidRDefault="00765CBE" w:rsidP="00765CBE">
      <w:pPr>
        <w:spacing w:line="360" w:lineRule="auto"/>
        <w:jc w:val="both"/>
      </w:pPr>
      <w:r>
        <w:t xml:space="preserve">Nel caso in cui, le agevolazioni siano cumulate, occorre che </w:t>
      </w:r>
      <w:r w:rsidRPr="004B3041">
        <w:rPr>
          <w:b/>
          <w:bCs/>
        </w:rPr>
        <w:t>entrambe le diciture</w:t>
      </w:r>
      <w:r>
        <w:t xml:space="preserve"> compaiano sui documenti di riferimento.</w:t>
      </w:r>
    </w:p>
    <w:p w14:paraId="3D6E53A2" w14:textId="77777777" w:rsidR="000D3E09" w:rsidRDefault="000D3E09" w:rsidP="00765CBE">
      <w:pPr>
        <w:spacing w:line="360" w:lineRule="auto"/>
        <w:jc w:val="both"/>
      </w:pPr>
    </w:p>
    <w:p w14:paraId="2E7AD15A" w14:textId="05C6F9EB" w:rsidR="00765CBE" w:rsidRDefault="00765CBE" w:rsidP="00765CBE">
      <w:pPr>
        <w:spacing w:line="360" w:lineRule="auto"/>
        <w:jc w:val="both"/>
      </w:pPr>
      <w:r w:rsidRPr="004B3041">
        <w:t>In particolare, può farsi utile riferimento alla disciplina concernente il contributo concesso in relazione a finanziamenti bancari per l'acquisto di nuovi macchinari, impianti e attrezzature da parte di piccole e medie imprese (c.d. "</w:t>
      </w:r>
      <w:r w:rsidRPr="004B3041">
        <w:rPr>
          <w:b/>
          <w:bCs/>
        </w:rPr>
        <w:t>Nuova Sabatini</w:t>
      </w:r>
      <w:r w:rsidRPr="004B3041">
        <w:t>"), di cui all'articolo 2, commi 2 e seguenti, del decreto-legge 21 giugno 2013, n. 69, convertito, con modificazioni, dalla legge 9 agosto 2013, n. 98 e al decreto del Ministro dello sviluppo economico, emanato di concerto con il Ministro dell'economia e delle finanze del 25 gennaio 2016.</w:t>
      </w:r>
    </w:p>
    <w:p w14:paraId="38BE262A" w14:textId="77777777" w:rsidR="00765CBE" w:rsidRDefault="00765CBE" w:rsidP="00765CBE">
      <w:pPr>
        <w:spacing w:line="360" w:lineRule="auto"/>
        <w:jc w:val="both"/>
      </w:pPr>
      <w:r w:rsidRPr="004B3041">
        <w:t xml:space="preserve">Tale ultimo decreto, all'articolo 10, comma 6, dispone che «Sull'originale di ogni fattura, sia di acconto che di saldo, riguardante gli investimenti per i quali sono state ottenute le agevolazioni di cui al presente decreto, l'impresa deve riportare, con scrittura indelebile, anche mediante l'utilizzo di un apposito timbro, la dicitura </w:t>
      </w:r>
      <w:r w:rsidRPr="004B3041">
        <w:rPr>
          <w:b/>
          <w:bCs/>
        </w:rPr>
        <w:t>"</w:t>
      </w:r>
      <w:r w:rsidRPr="00ED0A7E">
        <w:rPr>
          <w:b/>
          <w:bCs/>
          <w:i/>
          <w:iCs/>
        </w:rPr>
        <w:t>Spesa di euro ... realizzata con il concorso delle provvidenze previste dall'art. 2, comma 4, del decreto-legge 21 giugno 2013, n. 69</w:t>
      </w:r>
      <w:r w:rsidRPr="004B3041">
        <w:rPr>
          <w:b/>
          <w:bCs/>
        </w:rPr>
        <w:t>".</w:t>
      </w:r>
    </w:p>
    <w:p w14:paraId="71CAE322" w14:textId="77777777" w:rsidR="00765CBE" w:rsidRDefault="00765CBE" w:rsidP="00765CBE">
      <w:pPr>
        <w:spacing w:line="360" w:lineRule="auto"/>
        <w:jc w:val="both"/>
      </w:pPr>
      <w:r w:rsidRPr="004B3041">
        <w:lastRenderedPageBreak/>
        <w:t>La fattura che, nel corso di controlli e verifiche, venga trovata sprovvista di tale dicitura, non è considerata valida e determina la revoca della quota corrispondente di agevolazione, fatta salva la possibilità di regolarizzazione da parte dell'impresa beneficiaria».</w:t>
      </w:r>
    </w:p>
    <w:p w14:paraId="0F78934E" w14:textId="77777777" w:rsidR="00765CBE" w:rsidRDefault="00765CBE" w:rsidP="00765CBE">
      <w:pPr>
        <w:spacing w:line="360" w:lineRule="auto"/>
        <w:jc w:val="both"/>
      </w:pPr>
      <w:r w:rsidRPr="004B3041">
        <w:t xml:space="preserve">In ragione della sostanziale equivalenza delle previsioni normative di cui si tratta, si ritiene, pur nel diverso contesto applicativo, che i chiarimenti forniti dal Ministero dello Sviluppo economico - FAQ n. 10.15 </w:t>
      </w:r>
      <w:r>
        <w:t>sotto riportata</w:t>
      </w:r>
      <w:r w:rsidRPr="004B3041">
        <w:t xml:space="preserve"> - possano ritenersi estensibili anche in relazione a quanto disposto dal summenzionato comma 195.</w:t>
      </w:r>
      <w:r>
        <w:t xml:space="preserve"> (risposta 438 del 5 ottobre 2020)</w:t>
      </w:r>
    </w:p>
    <w:p w14:paraId="1FB7C5DE" w14:textId="77777777" w:rsidR="00765CBE" w:rsidRPr="00F329B8"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F329B8">
        <w:rPr>
          <w:b/>
          <w:bCs/>
          <w:i/>
          <w:iCs/>
        </w:rPr>
        <w:t>10.15 Con quali modalità deve essere apposta la dicitura “Spesa di euro … realizzata con il concorso delle provvidenze previste dall’articolo 2, comma 4, del decreto-legge 21 giugno 2013, n. 69"?</w:t>
      </w:r>
    </w:p>
    <w:p w14:paraId="682EA7C5" w14:textId="77777777" w:rsidR="00765CBE" w:rsidRPr="00F329B8"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F329B8">
        <w:rPr>
          <w:i/>
          <w:iCs/>
        </w:rPr>
        <w:t>Per le fatture emesse in formato cartaceo, la dicitura in questione deve essere riportata dall’impresa sull’originale di ogni fattura, sia di acconto che di saldo, con scrittura indelebile, anche mediante l’utilizzo di un apposito timbro.</w:t>
      </w:r>
    </w:p>
    <w:p w14:paraId="60E70D67" w14:textId="77777777" w:rsidR="00765CBE" w:rsidRPr="00F329B8"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F329B8">
        <w:rPr>
          <w:i/>
          <w:iCs/>
        </w:rPr>
        <w:t>In caso di investimento in leasing, si precisa che la dicitura sulle fatture dovrà essere apposta da parte della società di leasing, che resta in possesso delle fatture stesse, mentre, in caso di investimento in ordinario, la medesima dicitura dovrà essere apposta da parte dell’impresa beneficiaria.</w:t>
      </w:r>
    </w:p>
    <w:p w14:paraId="1AFA0448" w14:textId="77777777" w:rsidR="00765CBE" w:rsidRPr="00F329B8"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tabs>
          <w:tab w:val="num" w:pos="720"/>
        </w:tabs>
        <w:spacing w:line="360" w:lineRule="auto"/>
        <w:jc w:val="both"/>
        <w:rPr>
          <w:i/>
          <w:iCs/>
        </w:rPr>
      </w:pPr>
      <w:r w:rsidRPr="00F329B8">
        <w:rPr>
          <w:i/>
          <w:iCs/>
        </w:rPr>
        <w:t xml:space="preserve">Con specifico riferimento all'introduzione dell'obbligo di fatturazione elettronica, la predetta dicitura deve essere apposta sui titoli di spesa attraverso una delle seguenti modalità: </w:t>
      </w:r>
    </w:p>
    <w:p w14:paraId="04830C29" w14:textId="77777777" w:rsidR="00765CBE" w:rsidRPr="00F329B8"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tabs>
          <w:tab w:val="num" w:pos="720"/>
        </w:tabs>
        <w:spacing w:line="360" w:lineRule="auto"/>
        <w:jc w:val="both"/>
        <w:rPr>
          <w:i/>
          <w:iCs/>
        </w:rPr>
      </w:pPr>
      <w:r w:rsidRPr="00F329B8">
        <w:rPr>
          <w:i/>
          <w:iCs/>
        </w:rPr>
        <w:t>1 inserendo nell’oggetto o nel campo note della fattura elettronica la dicitura di cui all’articolo 10, comma 6, decreto interministeriale 25 gennaio 2016;</w:t>
      </w:r>
    </w:p>
    <w:p w14:paraId="327637BE" w14:textId="77777777" w:rsidR="00765CBE" w:rsidRPr="00F329B8"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tabs>
          <w:tab w:val="num" w:pos="720"/>
        </w:tabs>
        <w:spacing w:line="360" w:lineRule="auto"/>
        <w:jc w:val="both"/>
        <w:rPr>
          <w:i/>
          <w:iCs/>
        </w:rPr>
      </w:pPr>
      <w:r w:rsidRPr="00F329B8">
        <w:rPr>
          <w:i/>
          <w:iCs/>
        </w:rPr>
        <w:t>2 inserendo la medesima dicitura nella causale di pagamento del relativo bonifico;</w:t>
      </w:r>
    </w:p>
    <w:p w14:paraId="7C454C5C" w14:textId="77777777" w:rsidR="00765CBE" w:rsidRPr="00F329B8"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tabs>
          <w:tab w:val="num" w:pos="720"/>
        </w:tabs>
        <w:spacing w:line="360" w:lineRule="auto"/>
        <w:jc w:val="both"/>
        <w:rPr>
          <w:i/>
          <w:iCs/>
        </w:rPr>
      </w:pPr>
      <w:r w:rsidRPr="00F329B8">
        <w:rPr>
          <w:i/>
          <w:iCs/>
        </w:rPr>
        <w:t>3 qualora non sia possibile inserire per esteso la dicitura prevista dall’articolo 10, comma 6, del decreto interministeriale 25 gennaio 2016, è sufficiente l’inserimento del CUP all’interno della fattura o nella causale del pagamento; in quest’ultimo caso, è necessario che nella causale del relativo bonifico, oltre all’indicazione del CUP, ci sia anche un richiamo al titolo di spesa oggetto del pagamento.</w:t>
      </w:r>
    </w:p>
    <w:p w14:paraId="098F6B8C" w14:textId="77777777" w:rsidR="00765CBE"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i/>
          <w:iCs/>
        </w:rPr>
      </w:pPr>
      <w:r w:rsidRPr="00F329B8">
        <w:rPr>
          <w:i/>
          <w:iCs/>
        </w:rPr>
        <w:t xml:space="preserve">Si ricorda, infine, che la fattura trovata sprovvista di tale dicitura nel corso dei controlli e delle verifiche, come previsti dalla normativa di riferimento, non è considerata valida e determina, pertanto, la revoca della quota corrispondente di agevolazione, fatta salva la possibilità di regolarizzazione da parte dell’impresa beneficiaria (art. 10, decreto interministeriale 25 gennaio 2016). Nel caso della fattura elettronica, qualora la predetta dicitura non sia stata apposta secondo le modalità sopra descritte, è possibile procedere alla regolarizzazione, </w:t>
      </w:r>
      <w:r w:rsidRPr="00F329B8">
        <w:rPr>
          <w:i/>
          <w:iCs/>
        </w:rPr>
        <w:lastRenderedPageBreak/>
        <w:t>mediante l’emissione di una nota di credito volta ad annullare il titolo di spesa errato e la successiva emissione di un nuovo titolo di spesa corretto.</w:t>
      </w:r>
    </w:p>
    <w:p w14:paraId="5E1D92BA" w14:textId="77777777" w:rsidR="00765CBE" w:rsidRPr="00F329B8" w:rsidRDefault="00765CBE" w:rsidP="00765CBE">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pPr>
      <w:r w:rsidRPr="00F329B8">
        <w:t>Faq Mise</w:t>
      </w:r>
    </w:p>
    <w:p w14:paraId="2F92E49B" w14:textId="31F151E7" w:rsidR="00765CBE" w:rsidRDefault="00765CBE" w:rsidP="00765CBE">
      <w:pPr>
        <w:spacing w:line="360" w:lineRule="auto"/>
      </w:pPr>
    </w:p>
    <w:p w14:paraId="11DFD4A7" w14:textId="3D665F8F" w:rsidR="00D81BFD" w:rsidRDefault="00D81BFD" w:rsidP="00765CBE">
      <w:pPr>
        <w:spacing w:line="360" w:lineRule="auto"/>
      </w:pPr>
    </w:p>
    <w:p w14:paraId="3158CB87" w14:textId="5C14229A" w:rsidR="00765CBE" w:rsidRPr="00891303" w:rsidRDefault="00D81BFD" w:rsidP="00765CBE">
      <w:pPr>
        <w:pStyle w:val="Titolo3"/>
      </w:pPr>
      <w:bookmarkStart w:id="124" w:name="_Toc90462787"/>
      <w:bookmarkStart w:id="125" w:name="_Toc93327758"/>
      <w:bookmarkStart w:id="126" w:name="_Hlk90391287"/>
      <w:r>
        <w:t>1</w:t>
      </w:r>
      <w:r w:rsidR="00725F3D">
        <w:t>1</w:t>
      </w:r>
      <w:r w:rsidR="00765CBE">
        <w:t xml:space="preserve">.1.3 </w:t>
      </w:r>
      <w:r w:rsidR="00765CBE" w:rsidRPr="00891303">
        <w:t>La perizia asseverata o autocertificazione</w:t>
      </w:r>
      <w:bookmarkEnd w:id="124"/>
      <w:bookmarkEnd w:id="125"/>
    </w:p>
    <w:bookmarkEnd w:id="126"/>
    <w:p w14:paraId="3684BCE1" w14:textId="23C6B1ED" w:rsidR="00765CBE" w:rsidRPr="00AF567E" w:rsidRDefault="00765CBE" w:rsidP="00765CBE">
      <w:pPr>
        <w:spacing w:line="360" w:lineRule="auto"/>
        <w:jc w:val="both"/>
      </w:pPr>
      <w:r w:rsidRPr="00B55675">
        <w:t xml:space="preserve">In relazione agli </w:t>
      </w:r>
      <w:r w:rsidRPr="00036D46">
        <w:rPr>
          <w:b/>
          <w:bCs/>
        </w:rPr>
        <w:t xml:space="preserve">investimenti in beni materiali e </w:t>
      </w:r>
      <w:r w:rsidRPr="00AF567E">
        <w:rPr>
          <w:b/>
          <w:bCs/>
        </w:rPr>
        <w:t xml:space="preserve">immateriali 4.0 degli anni </w:t>
      </w:r>
      <w:r w:rsidR="002E4141" w:rsidRPr="00AF567E">
        <w:rPr>
          <w:b/>
          <w:bCs/>
        </w:rPr>
        <w:t>dal 2021 al 2025</w:t>
      </w:r>
      <w:r w:rsidRPr="00AF567E">
        <w:t xml:space="preserve"> (previsti dai commi 1056, 1057</w:t>
      </w:r>
      <w:r w:rsidR="002E4141" w:rsidRPr="00AF567E">
        <w:t>,</w:t>
      </w:r>
      <w:r w:rsidRPr="00AF567E">
        <w:t xml:space="preserve"> </w:t>
      </w:r>
      <w:r w:rsidR="002E4141" w:rsidRPr="00AF567E">
        <w:rPr>
          <w:rFonts w:cs="Tahoma"/>
          <w:bCs/>
          <w:szCs w:val="20"/>
        </w:rPr>
        <w:t>1057-bis, 1058, 1058-bis, 1058-ter</w:t>
      </w:r>
      <w:r w:rsidRPr="00AF567E">
        <w:t>), le imprese sono inoltre tenute a produrre:</w:t>
      </w:r>
    </w:p>
    <w:p w14:paraId="1D4EDE7B" w14:textId="77777777" w:rsidR="00765CBE" w:rsidRPr="00AF567E" w:rsidRDefault="00765CBE" w:rsidP="00AE49EC">
      <w:pPr>
        <w:pStyle w:val="Paragrafoelenco"/>
        <w:numPr>
          <w:ilvl w:val="0"/>
          <w:numId w:val="44"/>
        </w:numPr>
        <w:spacing w:line="360" w:lineRule="auto"/>
        <w:jc w:val="both"/>
      </w:pPr>
      <w:r w:rsidRPr="00AF567E">
        <w:t xml:space="preserve">una </w:t>
      </w:r>
      <w:r w:rsidRPr="00AF567E">
        <w:rPr>
          <w:b/>
          <w:bCs/>
        </w:rPr>
        <w:t>perizia asseverata</w:t>
      </w:r>
      <w:r w:rsidRPr="00AF567E">
        <w:t xml:space="preserve"> rilasciata da un ingegnere o da un perito industriale iscritti nei rispettivi albi professionali o</w:t>
      </w:r>
    </w:p>
    <w:p w14:paraId="75B9C6E2" w14:textId="77777777" w:rsidR="00765CBE" w:rsidRDefault="00765CBE" w:rsidP="00AE49EC">
      <w:pPr>
        <w:pStyle w:val="Paragrafoelenco"/>
        <w:numPr>
          <w:ilvl w:val="0"/>
          <w:numId w:val="44"/>
        </w:numPr>
        <w:spacing w:line="360" w:lineRule="auto"/>
        <w:jc w:val="both"/>
      </w:pPr>
      <w:r w:rsidRPr="00B55675">
        <w:t xml:space="preserve">un </w:t>
      </w:r>
      <w:r w:rsidRPr="00036D46">
        <w:rPr>
          <w:b/>
          <w:bCs/>
        </w:rPr>
        <w:t>attestato di conformità</w:t>
      </w:r>
      <w:r w:rsidRPr="00B55675">
        <w:t xml:space="preserve"> rilasciato da un ente di certificazione accreditato,</w:t>
      </w:r>
    </w:p>
    <w:p w14:paraId="730FC0C3" w14:textId="77777777" w:rsidR="00765CBE" w:rsidRDefault="00765CBE" w:rsidP="00765CBE">
      <w:pPr>
        <w:spacing w:line="360" w:lineRule="auto"/>
        <w:jc w:val="both"/>
      </w:pPr>
      <w:r w:rsidRPr="00B55675">
        <w:t>da cui risulti che</w:t>
      </w:r>
      <w:r>
        <w:t>:</w:t>
      </w:r>
    </w:p>
    <w:p w14:paraId="3E62F200" w14:textId="77777777" w:rsidR="00765CBE" w:rsidRDefault="00765CBE" w:rsidP="00AE49EC">
      <w:pPr>
        <w:pStyle w:val="Paragrafoelenco"/>
        <w:numPr>
          <w:ilvl w:val="0"/>
          <w:numId w:val="45"/>
        </w:numPr>
        <w:spacing w:line="360" w:lineRule="auto"/>
        <w:jc w:val="both"/>
      </w:pPr>
      <w:r w:rsidRPr="00B55675">
        <w:t xml:space="preserve">i beni possiedono </w:t>
      </w:r>
      <w:r w:rsidRPr="00036D46">
        <w:rPr>
          <w:b/>
          <w:bCs/>
        </w:rPr>
        <w:t>caratteristiche tecniche</w:t>
      </w:r>
      <w:r w:rsidRPr="00B55675">
        <w:t xml:space="preserve"> tali da includerli negli elenchi di cui agli allegati A e B annessi alla legge 11 dicembre 2016, n. 232, e</w:t>
      </w:r>
    </w:p>
    <w:p w14:paraId="74EAB8E6" w14:textId="77777777" w:rsidR="00765CBE" w:rsidRDefault="00765CBE" w:rsidP="00AE49EC">
      <w:pPr>
        <w:pStyle w:val="Paragrafoelenco"/>
        <w:numPr>
          <w:ilvl w:val="0"/>
          <w:numId w:val="45"/>
        </w:numPr>
        <w:spacing w:line="360" w:lineRule="auto"/>
        <w:jc w:val="both"/>
      </w:pPr>
      <w:r w:rsidRPr="00036D46">
        <w:rPr>
          <w:b/>
          <w:bCs/>
        </w:rPr>
        <w:t>sono interconnessi</w:t>
      </w:r>
      <w:r w:rsidRPr="00B55675">
        <w:t xml:space="preserve"> al sistema aziendale di gestione della produzione o alla rete di fornitura.</w:t>
      </w:r>
    </w:p>
    <w:p w14:paraId="6BC433A8" w14:textId="77777777" w:rsidR="00765CBE" w:rsidRPr="001F5205" w:rsidRDefault="00765CBE" w:rsidP="00765CBE">
      <w:pPr>
        <w:spacing w:line="360" w:lineRule="auto"/>
        <w:jc w:val="both"/>
        <w:rPr>
          <w:rFonts w:cs="Tahoma"/>
          <w:bCs/>
          <w:szCs w:val="20"/>
        </w:rPr>
      </w:pPr>
      <w:r w:rsidRPr="001F5205">
        <w:rPr>
          <w:rFonts w:cs="Tahoma"/>
          <w:bCs/>
          <w:szCs w:val="20"/>
        </w:rPr>
        <w:t>In tema di oneri accessori rilevanti ai fini della determinazione del costo degli investimenti agevolabili, si ritiene opportuno segnalare che il costo della perizia o dell’attestazione di conformità non assume rilevanza, comunque, ai fini della agevolazione, a prescindere dalle modalità di contabilizzazione in bilancio, trattandosi semplicemente di un onere il cui sostenimento è richiesto esclusivamente ai fini dell’ottenimento del beneficio fiscale (risoluzione 152/E/2017)</w:t>
      </w:r>
    </w:p>
    <w:p w14:paraId="60FEA7A5" w14:textId="77777777" w:rsidR="00765CBE" w:rsidRDefault="00765CBE" w:rsidP="00765CBE">
      <w:pPr>
        <w:spacing w:line="360" w:lineRule="auto"/>
        <w:jc w:val="both"/>
      </w:pPr>
      <w:r>
        <w:rPr>
          <w:noProof/>
        </w:rPr>
        <w:drawing>
          <wp:anchor distT="0" distB="0" distL="114300" distR="114300" simplePos="0" relativeHeight="251795968" behindDoc="0" locked="0" layoutInCell="1" allowOverlap="1" wp14:anchorId="1B4AB5D4" wp14:editId="51A84C09">
            <wp:simplePos x="0" y="0"/>
            <wp:positionH relativeFrom="column">
              <wp:posOffset>0</wp:posOffset>
            </wp:positionH>
            <wp:positionV relativeFrom="paragraph">
              <wp:posOffset>67970</wp:posOffset>
            </wp:positionV>
            <wp:extent cx="754083" cy="754083"/>
            <wp:effectExtent l="0" t="0" r="0" b="0"/>
            <wp:wrapSquare wrapText="bothSides"/>
            <wp:docPr id="34" name="Elemento grafico 34"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54083" cy="754083"/>
                    </a:xfrm>
                    <a:prstGeom prst="rect">
                      <a:avLst/>
                    </a:prstGeom>
                  </pic:spPr>
                </pic:pic>
              </a:graphicData>
            </a:graphic>
          </wp:anchor>
        </w:drawing>
      </w:r>
    </w:p>
    <w:p w14:paraId="24724946" w14:textId="77777777" w:rsidR="00765CBE" w:rsidRDefault="00765CBE" w:rsidP="00765CBE">
      <w:pPr>
        <w:spacing w:line="360" w:lineRule="auto"/>
        <w:jc w:val="both"/>
      </w:pPr>
      <w:r>
        <w:t xml:space="preserve">Rispetto alle precedenti versioni, la perizia non è più richiesta giurata ma </w:t>
      </w:r>
      <w:r w:rsidRPr="00D03D48">
        <w:rPr>
          <w:b/>
          <w:bCs/>
        </w:rPr>
        <w:t>asseverata.</w:t>
      </w:r>
    </w:p>
    <w:p w14:paraId="4F71BE39" w14:textId="77777777" w:rsidR="00765CBE" w:rsidRDefault="00765CBE" w:rsidP="00765CBE">
      <w:pPr>
        <w:spacing w:line="360" w:lineRule="auto"/>
        <w:jc w:val="both"/>
      </w:pPr>
    </w:p>
    <w:p w14:paraId="599B6899" w14:textId="77777777" w:rsidR="00765CBE" w:rsidRDefault="00765CBE" w:rsidP="00765CBE">
      <w:pPr>
        <w:spacing w:line="360" w:lineRule="auto"/>
        <w:jc w:val="both"/>
      </w:pPr>
      <w:r>
        <w:t xml:space="preserve">La </w:t>
      </w:r>
      <w:r w:rsidRPr="0081023C">
        <w:rPr>
          <w:b/>
          <w:bCs/>
        </w:rPr>
        <w:t>perizia semplice</w:t>
      </w:r>
      <w:r>
        <w:t xml:space="preserve"> è </w:t>
      </w:r>
      <w:r w:rsidRPr="0081023C">
        <w:t>l’analisi tecnica di una particolare situazione redatta e sottoscritta da un professionista abilitato</w:t>
      </w:r>
      <w:r>
        <w:t>.</w:t>
      </w:r>
    </w:p>
    <w:p w14:paraId="3A0891E5" w14:textId="77777777" w:rsidR="00765CBE" w:rsidRDefault="00765CBE" w:rsidP="00765CBE">
      <w:pPr>
        <w:spacing w:line="360" w:lineRule="auto"/>
        <w:jc w:val="both"/>
      </w:pPr>
      <w:r w:rsidRPr="0081023C">
        <w:t xml:space="preserve">Con </w:t>
      </w:r>
      <w:r w:rsidRPr="0081023C">
        <w:rPr>
          <w:b/>
          <w:bCs/>
        </w:rPr>
        <w:t>l’asseverazione</w:t>
      </w:r>
      <w:r w:rsidRPr="0081023C">
        <w:t xml:space="preserve">, il Professionista redige un’autocertificazione, nella quale conferma i contenuti sotto la propria personale responsabilità, attestandone autenticità e veridicità, in conformità dell’intervento tecnico a </w:t>
      </w:r>
      <w:r w:rsidRPr="0081023C">
        <w:lastRenderedPageBreak/>
        <w:t>tutto il quadro normativo e regolamentare, salve le verifiche successive degli organi e delle amministrazioni competenti. La perizia asseverata non comporta alcun giuramento di fronte ad un pubblico ufficiale.</w:t>
      </w:r>
    </w:p>
    <w:p w14:paraId="75D1CFA3" w14:textId="77777777" w:rsidR="00765CBE" w:rsidRDefault="00765CBE" w:rsidP="00765CBE">
      <w:pPr>
        <w:spacing w:line="360" w:lineRule="auto"/>
        <w:jc w:val="both"/>
      </w:pPr>
      <w:r w:rsidRPr="0081023C">
        <w:t xml:space="preserve">La </w:t>
      </w:r>
      <w:r w:rsidRPr="0081023C">
        <w:rPr>
          <w:b/>
          <w:bCs/>
        </w:rPr>
        <w:t>perizia giurata</w:t>
      </w:r>
      <w:r w:rsidRPr="0081023C">
        <w:t xml:space="preserve"> assume un valore più forte attraverso un atto formale di natura ufficiale, divenendo “atto pubblico”. Essa comporta che la perizia dovrà essere firmata e giurata personalmente di fronte ad un pubblico ufficiale (cancelliere di un ufficio giudiziario o del giudice di pace o notaio), secondo la formula di rito “giuro di aver bene e fedelmente adempiuto alle funzioni affidatemi al solo scopo di far conoscere la verità”. Essa comporta una maggiore responsabilità per il professionista, in quanto la falsa attestazione configura il reato previsto dall’art. 481 del C.P.</w:t>
      </w:r>
    </w:p>
    <w:p w14:paraId="5B3EBF8D" w14:textId="77777777" w:rsidR="00765CBE" w:rsidRDefault="00765CBE" w:rsidP="00765CBE">
      <w:pPr>
        <w:spacing w:line="360" w:lineRule="auto"/>
        <w:jc w:val="both"/>
      </w:pPr>
      <w:r w:rsidRPr="00B55675">
        <w:t xml:space="preserve">Per i beni di </w:t>
      </w:r>
      <w:r w:rsidRPr="00036D46">
        <w:rPr>
          <w:b/>
          <w:bCs/>
        </w:rPr>
        <w:t>costo unitario di acquisizione non superiore a 300.000 euro</w:t>
      </w:r>
      <w:r w:rsidRPr="00B55675">
        <w:t xml:space="preserve">, l'onere documentale di cui al periodo precedente può essere adempiuto attraverso una </w:t>
      </w:r>
      <w:r w:rsidRPr="00036D46">
        <w:rPr>
          <w:b/>
          <w:bCs/>
        </w:rPr>
        <w:t>dichiarazione resa dal legale rappresentante</w:t>
      </w:r>
      <w:r w:rsidRPr="00B55675">
        <w:t xml:space="preserve"> ai sensi del testo unico delle disposizioni legislative e regolamentari in materia di documentazione amministrativa, di cui al decreto del Presidente della Repubblica 28 dicembre 2000, n. 445</w:t>
      </w:r>
      <w:r>
        <w:t xml:space="preserve"> (tale dichiarazione può anche essere sostituita dalla perizia tecnica o dall’attestato di conformità)</w:t>
      </w:r>
      <w:r w:rsidRPr="00B55675">
        <w:t>.</w:t>
      </w:r>
    </w:p>
    <w:p w14:paraId="11475CCB" w14:textId="440CEC3F" w:rsidR="00765CBE" w:rsidRPr="009D5981" w:rsidRDefault="00D03D48" w:rsidP="00765CBE">
      <w:pPr>
        <w:spacing w:line="360" w:lineRule="auto"/>
        <w:jc w:val="both"/>
      </w:pPr>
      <w:r w:rsidRPr="009D5981">
        <w:t xml:space="preserve">La circolare n. 4/E/2017 indicata come sia </w:t>
      </w:r>
      <w:r w:rsidR="00765CBE" w:rsidRPr="009D5981">
        <w:t xml:space="preserve">opportuno che la perizia/attestazione di conformità sia </w:t>
      </w:r>
      <w:r w:rsidR="00765CBE" w:rsidRPr="009D5981">
        <w:rPr>
          <w:b/>
          <w:bCs/>
        </w:rPr>
        <w:t>corredata di un’analisi tecnica.</w:t>
      </w:r>
      <w:r w:rsidR="00765CBE" w:rsidRPr="009D5981">
        <w:t xml:space="preserve"> A tutela della proprietà intellettuale e della riservatezza dell’utilizzatore del bene, nonché di terze parti coinvolte (es. produttori di beni strumentali, integratori di sistema, clienti dei prodotti realizzati dalla macchina agevolata), l’analisi tecnica è realizzata in </w:t>
      </w:r>
      <w:r w:rsidR="00765CBE" w:rsidRPr="009D5981">
        <w:rPr>
          <w:b/>
          <w:bCs/>
        </w:rPr>
        <w:t>maniera confidenziale</w:t>
      </w:r>
      <w:r w:rsidR="00765CBE" w:rsidRPr="009D5981">
        <w:t xml:space="preserve"> dal professionista o dall’ente di certificazione e deve essere </w:t>
      </w:r>
      <w:r w:rsidR="00765CBE" w:rsidRPr="009D5981">
        <w:rPr>
          <w:b/>
          <w:bCs/>
        </w:rPr>
        <w:t>custodita presso la sede del beneficiario dell’agevolazione</w:t>
      </w:r>
      <w:r w:rsidR="00765CBE" w:rsidRPr="009D5981">
        <w:t>. Le informazioni contenute potranno essere rese disponibili solamente su richiesta degli organi di controllo o su mandato dell’autorità giudiziaria</w:t>
      </w:r>
      <w:r w:rsidRPr="009D5981">
        <w:t>.</w:t>
      </w:r>
      <w:r w:rsidR="00765CBE" w:rsidRPr="009D5981">
        <w:t xml:space="preserve"> Un esempio di analisi tecnica si ritrova </w:t>
      </w:r>
      <w:hyperlink r:id="rId37" w:history="1">
        <w:r w:rsidR="00765CBE" w:rsidRPr="009D5981">
          <w:rPr>
            <w:rStyle w:val="Collegamentoipertestuale"/>
            <w:color w:val="auto"/>
          </w:rPr>
          <w:t>nell’allegato 3</w:t>
        </w:r>
      </w:hyperlink>
      <w:r w:rsidR="00765CBE" w:rsidRPr="009D5981">
        <w:t xml:space="preserve"> della circolare direttoriale 15 dicembre 2017, n. 547750 del Ministero dello Sviluppo economico.</w:t>
      </w:r>
    </w:p>
    <w:p w14:paraId="42922F4C" w14:textId="77777777" w:rsidR="00765CBE" w:rsidRPr="001A1A01" w:rsidRDefault="00765CBE" w:rsidP="00765CBE">
      <w:pPr>
        <w:spacing w:line="360" w:lineRule="auto"/>
        <w:jc w:val="center"/>
      </w:pPr>
      <w:r>
        <w:rPr>
          <w:noProof/>
          <w:color w:val="FF0000"/>
        </w:rPr>
        <w:lastRenderedPageBreak/>
        <w:drawing>
          <wp:inline distT="0" distB="0" distL="0" distR="0" wp14:anchorId="36D5EC20" wp14:editId="4087C997">
            <wp:extent cx="4286225" cy="4870099"/>
            <wp:effectExtent l="0" t="0" r="635"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38">
                      <a:extLst>
                        <a:ext uri="{28A0092B-C50C-407E-A947-70E740481C1C}">
                          <a14:useLocalDpi xmlns:a14="http://schemas.microsoft.com/office/drawing/2010/main" val="0"/>
                        </a:ext>
                      </a:extLst>
                    </a:blip>
                    <a:stretch>
                      <a:fillRect/>
                    </a:stretch>
                  </pic:blipFill>
                  <pic:spPr>
                    <a:xfrm>
                      <a:off x="0" y="0"/>
                      <a:ext cx="4332764" cy="4922977"/>
                    </a:xfrm>
                    <a:prstGeom prst="rect">
                      <a:avLst/>
                    </a:prstGeom>
                  </pic:spPr>
                </pic:pic>
              </a:graphicData>
            </a:graphic>
          </wp:inline>
        </w:drawing>
      </w:r>
    </w:p>
    <w:p w14:paraId="7D2D3E76" w14:textId="77777777" w:rsidR="00765CBE" w:rsidRDefault="00765CBE" w:rsidP="001A1A01">
      <w:pPr>
        <w:spacing w:line="360" w:lineRule="auto"/>
        <w:ind w:left="1416"/>
        <w:jc w:val="both"/>
      </w:pPr>
      <w:r>
        <w:rPr>
          <w:noProof/>
        </w:rPr>
        <w:drawing>
          <wp:anchor distT="0" distB="0" distL="114300" distR="114300" simplePos="0" relativeHeight="251793920" behindDoc="0" locked="0" layoutInCell="1" allowOverlap="1" wp14:anchorId="1D216778" wp14:editId="32F30A63">
            <wp:simplePos x="0" y="0"/>
            <wp:positionH relativeFrom="column">
              <wp:posOffset>0</wp:posOffset>
            </wp:positionH>
            <wp:positionV relativeFrom="paragraph">
              <wp:posOffset>67367</wp:posOffset>
            </wp:positionV>
            <wp:extent cx="754083" cy="754083"/>
            <wp:effectExtent l="0" t="0" r="0" b="0"/>
            <wp:wrapSquare wrapText="bothSides"/>
            <wp:docPr id="31" name="Elemento grafico 31"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54083" cy="754083"/>
                    </a:xfrm>
                    <a:prstGeom prst="rect">
                      <a:avLst/>
                    </a:prstGeom>
                  </pic:spPr>
                </pic:pic>
              </a:graphicData>
            </a:graphic>
          </wp:anchor>
        </w:drawing>
      </w:r>
      <w:r w:rsidRPr="00BB3D56">
        <w:t xml:space="preserve">La dichiarazione del legale rappresentante, l’eventuale perizia e l’attestato di conformità devono essere </w:t>
      </w:r>
      <w:r w:rsidRPr="00133C35">
        <w:rPr>
          <w:b/>
          <w:bCs/>
        </w:rPr>
        <w:t>acquisiti dall’impresa</w:t>
      </w:r>
      <w:r w:rsidRPr="00BB3D56">
        <w:t xml:space="preserve"> </w:t>
      </w:r>
      <w:r w:rsidRPr="00BB3D56">
        <w:rPr>
          <w:b/>
          <w:bCs/>
        </w:rPr>
        <w:t>entro il periodo di imposta in cui il bene entra in funzione</w:t>
      </w:r>
      <w:r w:rsidRPr="00BB3D56">
        <w:t xml:space="preserve">, ovvero, se successivo, </w:t>
      </w:r>
      <w:r w:rsidRPr="00BB3D56">
        <w:rPr>
          <w:b/>
          <w:bCs/>
        </w:rPr>
        <w:t xml:space="preserve">entro il </w:t>
      </w:r>
      <w:bookmarkStart w:id="127" w:name="_Hlk90566583"/>
      <w:r w:rsidRPr="00BB3D56">
        <w:rPr>
          <w:b/>
          <w:bCs/>
        </w:rPr>
        <w:t>periodo di imposta in cui il bene è interconnesso</w:t>
      </w:r>
      <w:r w:rsidRPr="00BB3D56">
        <w:t xml:space="preserve"> </w:t>
      </w:r>
      <w:bookmarkEnd w:id="127"/>
      <w:r w:rsidRPr="00BB3D56">
        <w:t>al sistema aziendale di gestione della produzione o alla rete di fornitura. Deve essere precisato che, in quest’ultimo caso, l’agevolazione sarà fruita solo a decorrere dal periodo di imposta in cui si realizza il requisito dell’interconnessione</w:t>
      </w:r>
      <w:r>
        <w:t xml:space="preserve"> (circolare 8/E del 10 aprile 2019, par. 2.3).</w:t>
      </w:r>
    </w:p>
    <w:p w14:paraId="5920827E" w14:textId="77777777" w:rsidR="004414B7" w:rsidRDefault="004414B7" w:rsidP="00765CBE">
      <w:pPr>
        <w:spacing w:line="360" w:lineRule="auto"/>
        <w:jc w:val="both"/>
      </w:pPr>
    </w:p>
    <w:p w14:paraId="4BC23C7D" w14:textId="573CF8C5" w:rsidR="00765CBE" w:rsidRPr="0054513F" w:rsidRDefault="00765CBE" w:rsidP="00765CBE">
      <w:pPr>
        <w:spacing w:line="360" w:lineRule="auto"/>
        <w:jc w:val="both"/>
      </w:pPr>
      <w:r w:rsidRPr="0054513F">
        <w:t>Nella precedente versione dell’agevolazione, che prevedeva il giuramento della perizia, con la circolare n. 48160 del 1° marzo 2019, il Ministero dello Sviluppo Economico aveva affermato che in caso di perizia giurata è sufficiente che entro la data di chiusura del periodo d’imposta si proceda al giuramento della perizia medesima, non essendo necessario dimostrare in altri modi la data certa di acquisizione da parte dell’impresa.</w:t>
      </w:r>
    </w:p>
    <w:p w14:paraId="7597588E" w14:textId="77777777" w:rsidR="00765CBE" w:rsidRDefault="00765CBE" w:rsidP="00765CBE">
      <w:pPr>
        <w:spacing w:line="360" w:lineRule="auto"/>
        <w:jc w:val="both"/>
      </w:pPr>
      <w:r w:rsidRPr="001F2CB0">
        <w:lastRenderedPageBreak/>
        <w:t xml:space="preserve">Nella versione della Legge 178/2020, </w:t>
      </w:r>
      <w:r w:rsidRPr="001F2CB0">
        <w:rPr>
          <w:b/>
          <w:bCs/>
        </w:rPr>
        <w:t>la perizia è semplicemente asseverata</w:t>
      </w:r>
      <w:r w:rsidRPr="001F2CB0">
        <w:t xml:space="preserve"> e non più giurata e </w:t>
      </w:r>
      <w:r w:rsidRPr="00AE3DFE">
        <w:rPr>
          <w:b/>
          <w:bCs/>
        </w:rPr>
        <w:t xml:space="preserve">non </w:t>
      </w:r>
      <w:r>
        <w:rPr>
          <w:b/>
          <w:bCs/>
        </w:rPr>
        <w:t xml:space="preserve">è </w:t>
      </w:r>
      <w:r w:rsidRPr="00AE3DFE">
        <w:rPr>
          <w:b/>
          <w:bCs/>
        </w:rPr>
        <w:t>contempla</w:t>
      </w:r>
      <w:r>
        <w:rPr>
          <w:b/>
          <w:bCs/>
        </w:rPr>
        <w:t>t</w:t>
      </w:r>
      <w:r w:rsidRPr="00AE3DFE">
        <w:rPr>
          <w:b/>
          <w:bCs/>
        </w:rPr>
        <w:t>o espressamente alcun termine</w:t>
      </w:r>
      <w:r w:rsidRPr="00AE3DFE">
        <w:t xml:space="preserve"> entro il quale il bene 4.0 deve essere interconnesso e i documenti attestanti la sussistenza dei requisiti necessari per l’agevolazione devono essere acquisiti.</w:t>
      </w:r>
    </w:p>
    <w:p w14:paraId="4A2D34EC" w14:textId="4043E7F9" w:rsidR="00765CBE" w:rsidRPr="0054513F" w:rsidRDefault="00765CBE" w:rsidP="00765CBE">
      <w:pPr>
        <w:spacing w:line="360" w:lineRule="auto"/>
        <w:jc w:val="both"/>
      </w:pPr>
      <w:r w:rsidRPr="0054513F">
        <w:t xml:space="preserve">La consegna entro il 31 dicembre della perizia asseverata e la sua acquisizione da parte dell'impresa dovrà </w:t>
      </w:r>
      <w:r w:rsidRPr="0054513F">
        <w:rPr>
          <w:b/>
          <w:bCs/>
        </w:rPr>
        <w:t>risultare da un atto avente data certa</w:t>
      </w:r>
      <w:r w:rsidRPr="0054513F">
        <w:t>: ad esempio, invio della perizia asseverata in plico raccomandato senza busta oppure invio della stessa</w:t>
      </w:r>
      <w:r w:rsidR="0054513F">
        <w:t>,</w:t>
      </w:r>
      <w:r w:rsidRPr="0054513F">
        <w:t xml:space="preserve"> tramite posta elettronica certificata (Pec) (risoluzione 152/2017).</w:t>
      </w:r>
    </w:p>
    <w:p w14:paraId="43542CF5" w14:textId="77777777" w:rsidR="00765CBE" w:rsidRDefault="00765CBE" w:rsidP="00765CBE">
      <w:pPr>
        <w:spacing w:line="360" w:lineRule="auto"/>
        <w:jc w:val="both"/>
      </w:pPr>
      <w:r>
        <w:t xml:space="preserve">Secondo le indicazioni della circolare n. 9 del 23 luglio 2021, </w:t>
      </w:r>
      <w:r w:rsidRPr="00872E51">
        <w:t>torn</w:t>
      </w:r>
      <w:r>
        <w:t>a</w:t>
      </w:r>
      <w:r w:rsidRPr="00872E51">
        <w:t>no applicabili le indicazioni fornite con la circolare n. 4/E del 2017 e con la risoluzione n. 27/E del 9 aprile 2018 in tema di iper ammortamento, nonché con la risposta a istanza di interpello n. 394 dell’8 giugno 2021 resa in riferimento al credito d’imposta in esame.</w:t>
      </w:r>
    </w:p>
    <w:p w14:paraId="0F4D8A13" w14:textId="77777777" w:rsidR="00765CBE" w:rsidRDefault="00765CBE" w:rsidP="00765CBE">
      <w:pPr>
        <w:spacing w:line="360" w:lineRule="auto"/>
        <w:jc w:val="both"/>
      </w:pPr>
      <w:r w:rsidRPr="00872E51">
        <w:t xml:space="preserve">Nella citata circolare 4/E del 2017 è stato precisato che la fruizione dell’iper ammortamento dipende dai momenti di </w:t>
      </w:r>
      <w:r w:rsidRPr="001F2CB0">
        <w:rPr>
          <w:b/>
          <w:bCs/>
        </w:rPr>
        <w:t>effettuazione dell’investimento e di entrata in funzione del bene</w:t>
      </w:r>
      <w:r w:rsidRPr="00872E51">
        <w:t xml:space="preserve"> e che solo da quest’ultimo è possibile iniziare a godere dell’iper ammortamento, </w:t>
      </w:r>
      <w:r w:rsidRPr="0063158E">
        <w:rPr>
          <w:b/>
          <w:bCs/>
        </w:rPr>
        <w:t>a condizione che nello stesso periodo d’imposta avvenga anche l’interconnessione del bene</w:t>
      </w:r>
      <w:r w:rsidRPr="00872E51">
        <w:t>. Nell’ipotesi in cui, invece, l’interconnessione sia effettuata in un periodo d’imposta successivo a quello di entrata in funzione del bene, la fruizione dell’iper ammortamento potrà iniziare solo da tale successivo periodo</w:t>
      </w:r>
      <w:r>
        <w:t>.</w:t>
      </w:r>
    </w:p>
    <w:p w14:paraId="2CB6B0ED" w14:textId="77777777" w:rsidR="00765CBE" w:rsidRDefault="00765CBE" w:rsidP="00765CBE">
      <w:pPr>
        <w:spacing w:line="360" w:lineRule="auto"/>
        <w:jc w:val="both"/>
      </w:pPr>
      <w:r w:rsidRPr="00872E51">
        <w:t xml:space="preserve">Con la risoluzione n. 27/E del 2018 è stato chiarito che l’effettiva implementazione dell’interconnessione del bene al sistema aziendale e l’attestazione documentale delle caratteristiche tecniche </w:t>
      </w:r>
      <w:r w:rsidRPr="0063158E">
        <w:rPr>
          <w:b/>
          <w:bCs/>
        </w:rPr>
        <w:t>in periodi d’imposta tra loro diversi</w:t>
      </w:r>
      <w:r w:rsidRPr="00872E51">
        <w:t xml:space="preserve"> non comportano il venir meno dell’agevolazione, ma determinano solo lo slittamento in avanti del dies a quo per la fruizione del maggior beneficio</w:t>
      </w:r>
      <w:r>
        <w:t>.</w:t>
      </w:r>
    </w:p>
    <w:p w14:paraId="77AE4C83" w14:textId="6BEE323D" w:rsidR="00765CBE" w:rsidRDefault="00765CBE" w:rsidP="00765CBE">
      <w:pPr>
        <w:spacing w:line="360" w:lineRule="auto"/>
        <w:jc w:val="both"/>
      </w:pPr>
      <w:r w:rsidRPr="0063158E">
        <w:t xml:space="preserve">Infine, con la risposta a istanza di interpello n. 394 dell’8 giugno 2021, è stato specificato, sulla base del parere tecnico reso dal </w:t>
      </w:r>
      <w:r w:rsidR="001A1A01" w:rsidRPr="0063158E">
        <w:t>Mise</w:t>
      </w:r>
      <w:r w:rsidRPr="0063158E">
        <w:t xml:space="preserve"> che: “… si rende opportuno preliminarmente richiamare l’attenzione sul fatto che il riconoscimento dei benefici previsti per gli investimenti in beni strumentali funzionali alla trasformazione tecnologica e digitale dei processi aziendali secondo il paradigma “4.0” - a prescindere dalla forma in cui viene riconosciuta la sovvenzione in base alla disciplina applicabile in funzione del momento di effettuazione - presuppone il soddisfacimento di alcune caratteristiche tecnologiche, in parte “richieste” al bene oggetto d'investimento e in parte “richieste” all'impresa beneficiaria, dipendenti dalla classificazione del bene stesso, attraverso la sua riconduzione ad una delle voci degli allegati A e B… Ciò ricordato, si precisa ancora, sul piano generale, che le … caratteristiche tecnologiche … che il paradigma 4.0 “richiede” ai beni medesimi devono essere presenti prima del loro utilizzo nel processo di produzione (o messa in funzione).</w:t>
      </w:r>
    </w:p>
    <w:p w14:paraId="74BA2450" w14:textId="77777777" w:rsidR="00765CBE" w:rsidRDefault="00765CBE" w:rsidP="00765CBE">
      <w:pPr>
        <w:spacing w:line="360" w:lineRule="auto"/>
        <w:jc w:val="both"/>
      </w:pPr>
      <w:r w:rsidRPr="0063158E">
        <w:t xml:space="preserve">Quanto all’interconnessione, requisito il cui soddisfacimento, come accennato, dipende non solo dalle caratteristiche intrinseche del nuovo bene oggetto d'investimento, ma anche, strettamente, dalle caratteristiche del </w:t>
      </w:r>
      <w:r w:rsidRPr="0063158E">
        <w:rPr>
          <w:b/>
          <w:bCs/>
        </w:rPr>
        <w:t>sistema informativo dell’impresa</w:t>
      </w:r>
      <w:r w:rsidRPr="0063158E">
        <w:t xml:space="preserve">, è stato riconosciuto che lo stesso possa essere </w:t>
      </w:r>
      <w:r w:rsidRPr="0063158E">
        <w:lastRenderedPageBreak/>
        <w:t xml:space="preserve">soddisfatto </w:t>
      </w:r>
      <w:r w:rsidRPr="0063158E">
        <w:rPr>
          <w:b/>
          <w:bCs/>
        </w:rPr>
        <w:t>anche in un momento successivo</w:t>
      </w:r>
      <w:r w:rsidRPr="0063158E">
        <w:t xml:space="preserve"> a quello di effettuazione dell'investimento e messa in funzione del bene; e ciò, proprio per consentire all’impresa di potersi dotare o di poter adeguare i sistemi informatici ai quali il bene (già dotato delle caratteristiche tecniche al momento del suo primo utilizzo) dovrà interconnettersi.</w:t>
      </w:r>
    </w:p>
    <w:p w14:paraId="24101277" w14:textId="77777777" w:rsidR="00765CBE" w:rsidRDefault="00765CBE" w:rsidP="00765CBE">
      <w:pPr>
        <w:spacing w:line="360" w:lineRule="auto"/>
        <w:jc w:val="both"/>
      </w:pPr>
      <w:r w:rsidRPr="0063158E">
        <w:t xml:space="preserve">Al riguardo, nella citata circolare 4/E del 2017 è stato precisato che: “...il “ritardo”" nell’interconnessione (conseguente, ad esempio, alla complessità dell'investimento) non è di ostacolo alla completa fruizione dell'iper ammortamento, ma produce un </w:t>
      </w:r>
      <w:r w:rsidRPr="0063158E">
        <w:rPr>
          <w:b/>
          <w:bCs/>
        </w:rPr>
        <w:t>semplice slittamento del momento dal quale si può iniziare a godere del beneficio</w:t>
      </w:r>
      <w:r w:rsidRPr="0063158E">
        <w:t>” (cfr. pag. 67 e il successivo paragrafo 6.3). In tal senso, l'interconnessione, per così dire, “tardiva” dei beni può essere dovuta alla necessità di completare l'infrastruttura informatica indispensabile a interconnettere il bene; in nessun caso, invece, l’interconnessione successiva rispetto all’entrata in funzione dei beni può dipendere dal fatto che al momento del loro primo utilizzo i beni medesimi non possiedano le caratteristiche intrinseche richieste dalla disciplina 4.0. […].</w:t>
      </w:r>
    </w:p>
    <w:p w14:paraId="17A12D62" w14:textId="6D206B83" w:rsidR="00765CBE" w:rsidRDefault="00765CBE" w:rsidP="00765CBE">
      <w:pPr>
        <w:spacing w:line="360" w:lineRule="auto"/>
        <w:jc w:val="both"/>
      </w:pPr>
      <w:r w:rsidRPr="0063158E">
        <w:t>Sulla base delle considerazioni sopra svolte, pertanto, deve in ogni caso escludersi che, per i beni non dotati, al momento del loro primo utilizzo, di tutte le caratteristiche tecniche richieste dal paradigma 4.0, il successivo apporto di modifiche e integrazioni atte a conferire ai medesimi ex post una o più di tali caratteristiche, possa consentire l’ammissibilità ai benefici 4.0. […].</w:t>
      </w:r>
    </w:p>
    <w:p w14:paraId="0FC9697E" w14:textId="27E1CEC3" w:rsidR="001D3F87" w:rsidRDefault="001D3F87" w:rsidP="00765CBE">
      <w:pPr>
        <w:spacing w:line="360" w:lineRule="auto"/>
        <w:jc w:val="both"/>
      </w:pPr>
      <w:r>
        <w:rPr>
          <w:noProof/>
        </w:rPr>
        <w:drawing>
          <wp:anchor distT="0" distB="0" distL="114300" distR="114300" simplePos="0" relativeHeight="251794944" behindDoc="0" locked="0" layoutInCell="1" allowOverlap="1" wp14:anchorId="677EF329" wp14:editId="59003C62">
            <wp:simplePos x="0" y="0"/>
            <wp:positionH relativeFrom="column">
              <wp:posOffset>0</wp:posOffset>
            </wp:positionH>
            <wp:positionV relativeFrom="paragraph">
              <wp:posOffset>304708</wp:posOffset>
            </wp:positionV>
            <wp:extent cx="754083" cy="754083"/>
            <wp:effectExtent l="0" t="0" r="0" b="0"/>
            <wp:wrapSquare wrapText="bothSides"/>
            <wp:docPr id="32" name="Elemento grafico 32" descr="Megafono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descr="Megafono1 con riempimento a tinta unita"/>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54083" cy="754083"/>
                    </a:xfrm>
                    <a:prstGeom prst="rect">
                      <a:avLst/>
                    </a:prstGeom>
                  </pic:spPr>
                </pic:pic>
              </a:graphicData>
            </a:graphic>
          </wp:anchor>
        </w:drawing>
      </w:r>
    </w:p>
    <w:p w14:paraId="1D56CD63" w14:textId="6DE5E728" w:rsidR="00765CBE" w:rsidRDefault="00765CBE" w:rsidP="00765CBE">
      <w:pPr>
        <w:spacing w:line="360" w:lineRule="auto"/>
        <w:jc w:val="both"/>
      </w:pPr>
      <w:r w:rsidRPr="0063158E">
        <w:t xml:space="preserve">Da ultimo, appare anche opportuno ricordare, in via generale, che il rispetto delle 5+2/3 caratteristiche tecnologiche e del requisito dell’interconnessione, </w:t>
      </w:r>
      <w:r w:rsidRPr="0063158E">
        <w:rPr>
          <w:b/>
          <w:bCs/>
        </w:rPr>
        <w:t>dovranno essere mantenute in essere per tutto il periodo di godimento dei benefici 4.0</w:t>
      </w:r>
      <w:r w:rsidRPr="0063158E">
        <w:t xml:space="preserve">. Al riguardo, si precisa che, ai fini dei successivi controlli, dovrà essere cura dell'impresa beneficiaria documentare, attraverso </w:t>
      </w:r>
      <w:r w:rsidRPr="0063158E">
        <w:rPr>
          <w:b/>
          <w:bCs/>
        </w:rPr>
        <w:t>un'adeguata e sistematica reportistica</w:t>
      </w:r>
      <w:r w:rsidRPr="0063158E">
        <w:t xml:space="preserve">, il </w:t>
      </w:r>
      <w:r w:rsidRPr="0063158E">
        <w:rPr>
          <w:b/>
          <w:bCs/>
        </w:rPr>
        <w:t>mantenimento, per tutto il periodo di fruizione dei benefici, delle caratteristiche e dei requisiti richiesti”.</w:t>
      </w:r>
    </w:p>
    <w:p w14:paraId="7F3CD048" w14:textId="3BF561FC" w:rsidR="00765CBE" w:rsidRDefault="00765CBE" w:rsidP="00765CBE">
      <w:pPr>
        <w:spacing w:line="360" w:lineRule="auto"/>
        <w:jc w:val="both"/>
      </w:pPr>
      <w:r w:rsidRPr="0063158E">
        <w:t xml:space="preserve">Sulla scorta delle indicazioni sopra riportate, è possibile, pertanto, concludere che, potendo l’interconnessione intervenire anche in un anno successivo a quello di effettuazione dell’investimento e di entrata in funzione del bene esclusivamente per la necessità di acquisire o di adeguare l’infrastruttura informatica necessaria all’interconnessione, l’agevolazione non viene meno sempreché le caratteristiche tecniche, richieste dalla disciplina 4.0, siano presenti nel bene già anteriormente al suo primo utilizzo (o messa in funzione) e sempreché il soddisfacimento di tutte le suddette caratteristiche tecnologiche e di interconnessione </w:t>
      </w:r>
      <w:r w:rsidRPr="00C1789F">
        <w:rPr>
          <w:b/>
          <w:bCs/>
        </w:rPr>
        <w:t>permanga per l’intero periodo di tempo</w:t>
      </w:r>
      <w:r w:rsidRPr="0063158E">
        <w:t xml:space="preserve"> in cui il soggetto beneficiario fruisce del credito d’imposta in rassegna.</w:t>
      </w:r>
    </w:p>
    <w:p w14:paraId="27C74D5A" w14:textId="13D5F571" w:rsidR="004414B7" w:rsidRDefault="004414B7" w:rsidP="00ED0A7E">
      <w:pPr>
        <w:spacing w:line="360" w:lineRule="auto"/>
        <w:jc w:val="both"/>
      </w:pPr>
      <w:bookmarkStart w:id="128" w:name="_Toc90462788"/>
    </w:p>
    <w:p w14:paraId="12359B10" w14:textId="77777777" w:rsidR="00ED0A7E" w:rsidRDefault="00ED0A7E" w:rsidP="00ED0A7E">
      <w:pPr>
        <w:spacing w:line="360" w:lineRule="auto"/>
        <w:jc w:val="both"/>
      </w:pPr>
    </w:p>
    <w:p w14:paraId="5B0F484D" w14:textId="4F3B0F50" w:rsidR="00765CBE" w:rsidRPr="00891303" w:rsidRDefault="00D81BFD" w:rsidP="00765CBE">
      <w:pPr>
        <w:pStyle w:val="Titolo3"/>
      </w:pPr>
      <w:bookmarkStart w:id="129" w:name="_Toc93327759"/>
      <w:r>
        <w:lastRenderedPageBreak/>
        <w:t>1</w:t>
      </w:r>
      <w:r w:rsidR="009D5981">
        <w:t>1</w:t>
      </w:r>
      <w:r w:rsidR="00765CBE">
        <w:t>.1.4 Esempio autocertificazione del legale rappresentante</w:t>
      </w:r>
      <w:bookmarkEnd w:id="128"/>
      <w:bookmarkEnd w:id="129"/>
    </w:p>
    <w:p w14:paraId="74558C69" w14:textId="77777777" w:rsidR="00765CBE" w:rsidRPr="00C623B2" w:rsidRDefault="00765CBE" w:rsidP="004414B7">
      <w:pPr>
        <w:spacing w:line="360" w:lineRule="auto"/>
        <w:rPr>
          <w:rFonts w:eastAsia="Times New Roman" w:cs="Tahoma"/>
          <w:b/>
          <w:bCs/>
          <w:szCs w:val="20"/>
          <w:lang w:eastAsia="x-none"/>
        </w:rPr>
      </w:pPr>
      <w:r w:rsidRPr="00C623B2">
        <w:rPr>
          <w:rFonts w:eastAsia="Times New Roman" w:cs="Tahoma"/>
          <w:b/>
          <w:bCs/>
          <w:szCs w:val="20"/>
          <w:lang w:eastAsia="x-none"/>
        </w:rPr>
        <w:t>Esempio</w:t>
      </w:r>
    </w:p>
    <w:p w14:paraId="10F87B34" w14:textId="77777777" w:rsidR="00765CBE" w:rsidRPr="00F45337" w:rsidRDefault="00765CBE" w:rsidP="004414B7">
      <w:pPr>
        <w:spacing w:line="360" w:lineRule="auto"/>
        <w:rPr>
          <w:rFonts w:eastAsia="Times New Roman" w:cs="Tahoma"/>
          <w:szCs w:val="20"/>
          <w:lang w:eastAsia="x-none"/>
        </w:rPr>
      </w:pPr>
      <w:r w:rsidRPr="00F45337">
        <w:rPr>
          <w:rFonts w:eastAsia="Times New Roman" w:cs="Tahoma"/>
          <w:szCs w:val="20"/>
          <w:lang w:eastAsia="x-none"/>
        </w:rPr>
        <w:t>autocertificazione sussistenza requisiti 4.0 ed interconnessione per beni di valore inferiore a 300.000 euro</w:t>
      </w:r>
    </w:p>
    <w:p w14:paraId="53DC71AC" w14:textId="77777777" w:rsidR="00C623B2" w:rsidRDefault="00C623B2" w:rsidP="004414B7">
      <w:pPr>
        <w:spacing w:after="0" w:line="240" w:lineRule="auto"/>
        <w:rPr>
          <w:rFonts w:eastAsia="Times New Roman" w:cs="Tahoma"/>
          <w:b/>
          <w:bCs/>
          <w:sz w:val="24"/>
          <w:szCs w:val="24"/>
          <w:lang w:eastAsia="it-IT"/>
        </w:rPr>
      </w:pPr>
    </w:p>
    <w:p w14:paraId="07EBB808" w14:textId="602A5A70" w:rsidR="00765CBE" w:rsidRPr="0034598D" w:rsidRDefault="00765CBE" w:rsidP="00765CBE">
      <w:pPr>
        <w:spacing w:after="0" w:line="240" w:lineRule="auto"/>
        <w:jc w:val="center"/>
        <w:rPr>
          <w:rFonts w:eastAsia="Times New Roman" w:cs="Tahoma"/>
          <w:b/>
          <w:bCs/>
          <w:sz w:val="28"/>
          <w:szCs w:val="28"/>
          <w:lang w:eastAsia="it-IT"/>
        </w:rPr>
      </w:pPr>
      <w:r w:rsidRPr="0034598D">
        <w:rPr>
          <w:rFonts w:eastAsia="Times New Roman" w:cs="Tahoma"/>
          <w:b/>
          <w:bCs/>
          <w:sz w:val="28"/>
          <w:szCs w:val="28"/>
          <w:lang w:eastAsia="it-IT"/>
        </w:rPr>
        <w:t>AUTOCERTIFICAZIONE</w:t>
      </w:r>
    </w:p>
    <w:p w14:paraId="78FFB23E" w14:textId="1A08C433" w:rsidR="00765CBE" w:rsidRPr="0034598D" w:rsidRDefault="00765CBE" w:rsidP="00765CBE">
      <w:pPr>
        <w:spacing w:after="0" w:line="240" w:lineRule="auto"/>
        <w:jc w:val="center"/>
        <w:rPr>
          <w:rFonts w:eastAsia="Times New Roman" w:cs="Tahoma"/>
          <w:sz w:val="22"/>
          <w:lang w:eastAsia="it-IT"/>
        </w:rPr>
      </w:pPr>
      <w:r w:rsidRPr="0034598D">
        <w:rPr>
          <w:rFonts w:eastAsia="Times New Roman" w:cs="Tahoma"/>
          <w:sz w:val="22"/>
          <w:lang w:eastAsia="it-IT"/>
        </w:rPr>
        <w:t>ART 46 D.P.R. 445/2000</w:t>
      </w:r>
    </w:p>
    <w:p w14:paraId="5D5BA7A6" w14:textId="5FDC7047" w:rsidR="00C623B2" w:rsidRDefault="00C623B2" w:rsidP="00765CBE">
      <w:pPr>
        <w:spacing w:after="0" w:line="240" w:lineRule="auto"/>
        <w:jc w:val="center"/>
        <w:rPr>
          <w:rFonts w:eastAsia="Times New Roman" w:cs="Tahoma"/>
          <w:szCs w:val="20"/>
          <w:lang w:eastAsia="it-IT"/>
        </w:rPr>
      </w:pPr>
    </w:p>
    <w:p w14:paraId="26CC45B0" w14:textId="4FBCE061" w:rsidR="00C623B2" w:rsidRDefault="00C623B2" w:rsidP="00765CBE">
      <w:pPr>
        <w:spacing w:after="0" w:line="240" w:lineRule="auto"/>
        <w:jc w:val="center"/>
        <w:rPr>
          <w:rFonts w:eastAsia="Times New Roman" w:cs="Tahoma"/>
          <w:szCs w:val="20"/>
          <w:lang w:eastAsia="it-IT"/>
        </w:rPr>
      </w:pPr>
    </w:p>
    <w:p w14:paraId="1BF8CF4B" w14:textId="77777777" w:rsidR="0034598D" w:rsidRPr="00F45337" w:rsidRDefault="0034598D" w:rsidP="00765CBE">
      <w:pPr>
        <w:spacing w:after="0" w:line="240" w:lineRule="auto"/>
        <w:jc w:val="center"/>
        <w:rPr>
          <w:rFonts w:eastAsia="Times New Roman" w:cs="Tahoma"/>
          <w:szCs w:val="20"/>
          <w:lang w:eastAsia="it-IT"/>
        </w:rPr>
      </w:pPr>
    </w:p>
    <w:p w14:paraId="0465DC3A" w14:textId="65AFF583" w:rsidR="00765CBE" w:rsidRPr="00F45337" w:rsidRDefault="00765CBE" w:rsidP="00765CBE">
      <w:pPr>
        <w:spacing w:after="0" w:line="240" w:lineRule="auto"/>
        <w:jc w:val="both"/>
        <w:rPr>
          <w:rFonts w:eastAsia="Times New Roman" w:cs="Tahoma"/>
          <w:szCs w:val="20"/>
          <w:lang w:eastAsia="it-IT"/>
        </w:rPr>
      </w:pPr>
      <w:r w:rsidRPr="00F45337">
        <w:rPr>
          <w:rFonts w:eastAsia="Times New Roman" w:cs="Tahoma"/>
          <w:szCs w:val="20"/>
          <w:lang w:eastAsia="it-IT"/>
        </w:rPr>
        <w:t xml:space="preserve">Il/La sottoscritto/a (cognome e nome) _________________________________________________ nato/a _________________________________________________________________________ provincia _______ il _____________ residente__________________________________________ via/piazza__________________________________________________________________ n° ___ in qualità di ______________________________________________________________________ della società ________________________ partita IVA/Codice Fiscale _______________________ con sede in _____________________________________ provincia ______ </w:t>
      </w:r>
      <w:r w:rsidR="00C623B2" w:rsidRPr="00F45337">
        <w:rPr>
          <w:rFonts w:eastAsia="Times New Roman" w:cs="Tahoma"/>
          <w:szCs w:val="20"/>
          <w:lang w:eastAsia="it-IT"/>
        </w:rPr>
        <w:t>CAP</w:t>
      </w:r>
      <w:r w:rsidRPr="00F45337">
        <w:rPr>
          <w:rFonts w:eastAsia="Times New Roman" w:cs="Tahoma"/>
          <w:szCs w:val="20"/>
          <w:lang w:eastAsia="it-IT"/>
        </w:rPr>
        <w:t xml:space="preserve"> _______________ via/piazza__________________________________________________________________ n° ___ telefono ____________________ indirizzo e-mail ________________________________________</w:t>
      </w:r>
    </w:p>
    <w:p w14:paraId="52BE5F88" w14:textId="77777777" w:rsidR="00765CBE" w:rsidRPr="00F45337" w:rsidRDefault="00765CBE" w:rsidP="00765CBE">
      <w:pPr>
        <w:spacing w:after="0" w:line="240" w:lineRule="auto"/>
        <w:jc w:val="both"/>
        <w:rPr>
          <w:rFonts w:eastAsia="Times New Roman" w:cs="Tahoma"/>
          <w:szCs w:val="20"/>
          <w:lang w:eastAsia="it-IT"/>
        </w:rPr>
      </w:pPr>
    </w:p>
    <w:p w14:paraId="6C63C2AA" w14:textId="77777777" w:rsidR="00765CBE" w:rsidRPr="00F45337" w:rsidRDefault="00765CBE" w:rsidP="00765CBE">
      <w:pPr>
        <w:spacing w:after="0" w:line="240" w:lineRule="auto"/>
        <w:jc w:val="both"/>
        <w:rPr>
          <w:rFonts w:eastAsia="Times New Roman" w:cs="Tahoma"/>
          <w:szCs w:val="20"/>
          <w:lang w:eastAsia="it-IT"/>
        </w:rPr>
      </w:pPr>
      <w:r w:rsidRPr="00F45337">
        <w:rPr>
          <w:rFonts w:eastAsia="Times New Roman" w:cs="Tahoma"/>
          <w:b/>
          <w:szCs w:val="20"/>
          <w:lang w:eastAsia="it-IT"/>
        </w:rPr>
        <w:t>consapevole delle sanzioni penali in caso di dichiarazioni false e della conseguente decadenza dai benefici eventualmente conseguiti (ai sensi degli artt. 75 e 76 D.P.R. 445/2000) sotto la propria responsabilità</w:t>
      </w:r>
    </w:p>
    <w:p w14:paraId="05FDC1FA" w14:textId="77777777" w:rsidR="00C623B2" w:rsidRDefault="00C623B2" w:rsidP="00765CBE">
      <w:pPr>
        <w:spacing w:after="0" w:line="240" w:lineRule="auto"/>
        <w:jc w:val="center"/>
        <w:rPr>
          <w:rFonts w:eastAsia="Times New Roman" w:cs="Tahoma"/>
          <w:b/>
          <w:szCs w:val="20"/>
          <w:lang w:eastAsia="it-IT"/>
        </w:rPr>
      </w:pPr>
    </w:p>
    <w:p w14:paraId="4A2FE0EE" w14:textId="059A2804" w:rsidR="00765CBE" w:rsidRPr="00F45337" w:rsidRDefault="00765CBE" w:rsidP="00765CBE">
      <w:pPr>
        <w:spacing w:after="0" w:line="240" w:lineRule="auto"/>
        <w:jc w:val="center"/>
        <w:rPr>
          <w:rFonts w:eastAsia="Times New Roman" w:cs="Tahoma"/>
          <w:b/>
          <w:szCs w:val="20"/>
          <w:lang w:eastAsia="it-IT"/>
        </w:rPr>
      </w:pPr>
      <w:r w:rsidRPr="00F45337">
        <w:rPr>
          <w:rFonts w:eastAsia="Times New Roman" w:cs="Tahoma"/>
          <w:b/>
          <w:szCs w:val="20"/>
          <w:lang w:eastAsia="it-IT"/>
        </w:rPr>
        <w:t>VISTO</w:t>
      </w:r>
    </w:p>
    <w:p w14:paraId="29D4D6F7" w14:textId="77777777" w:rsidR="00765CBE" w:rsidRPr="00F45337" w:rsidRDefault="00765CBE" w:rsidP="00765CBE">
      <w:pPr>
        <w:spacing w:after="160" w:line="259" w:lineRule="auto"/>
        <w:rPr>
          <w:rFonts w:eastAsiaTheme="minorHAnsi" w:cs="Tahoma"/>
          <w:szCs w:val="20"/>
        </w:rPr>
      </w:pPr>
    </w:p>
    <w:p w14:paraId="654786AA" w14:textId="286C5A99" w:rsidR="00765CBE" w:rsidRPr="00F45337" w:rsidRDefault="00765CBE" w:rsidP="00765CBE">
      <w:pPr>
        <w:spacing w:after="160" w:line="259" w:lineRule="auto"/>
        <w:rPr>
          <w:rFonts w:eastAsiaTheme="minorHAnsi" w:cs="Tahoma"/>
          <w:szCs w:val="20"/>
        </w:rPr>
      </w:pPr>
      <w:r w:rsidRPr="00F45337">
        <w:rPr>
          <w:rFonts w:eastAsiaTheme="minorHAnsi" w:cs="Tahoma"/>
          <w:szCs w:val="20"/>
        </w:rPr>
        <w:t> l’articolo 1, commi da 1051 a 10</w:t>
      </w:r>
      <w:r w:rsidR="00C623B2">
        <w:rPr>
          <w:rFonts w:eastAsiaTheme="minorHAnsi" w:cs="Tahoma"/>
          <w:szCs w:val="20"/>
        </w:rPr>
        <w:t>62</w:t>
      </w:r>
      <w:r w:rsidRPr="00F45337">
        <w:rPr>
          <w:rFonts w:eastAsiaTheme="minorHAnsi" w:cs="Tahoma"/>
          <w:szCs w:val="20"/>
        </w:rPr>
        <w:t xml:space="preserve"> della Legge 30/12/2020 n. 178 pubblicata nella Gazzetta Ufficiale Serie Generale n. 322 del 30/12/2020 - Suppl. Ordinario n. 46 – Proroga e potenziamento dei crediti d’imposta per la Transazione 4.0</w:t>
      </w:r>
    </w:p>
    <w:p w14:paraId="040605CC" w14:textId="6C6F9DE1" w:rsidR="00765CBE" w:rsidRPr="00F45337" w:rsidRDefault="00765CBE" w:rsidP="00765CBE">
      <w:pPr>
        <w:spacing w:after="160" w:line="259" w:lineRule="auto"/>
        <w:jc w:val="both"/>
        <w:rPr>
          <w:rFonts w:eastAsiaTheme="minorHAnsi" w:cs="Tahoma"/>
          <w:szCs w:val="20"/>
        </w:rPr>
      </w:pPr>
      <w:r w:rsidRPr="00F45337">
        <w:rPr>
          <w:rFonts w:eastAsiaTheme="minorHAnsi" w:cs="Tahoma"/>
          <w:szCs w:val="20"/>
        </w:rPr>
        <w:t> le Circolari n. 9</w:t>
      </w:r>
      <w:r w:rsidR="00C623B2">
        <w:rPr>
          <w:rFonts w:eastAsiaTheme="minorHAnsi" w:cs="Tahoma"/>
          <w:szCs w:val="20"/>
        </w:rPr>
        <w:t>/E</w:t>
      </w:r>
      <w:r w:rsidRPr="00F45337">
        <w:rPr>
          <w:rFonts w:eastAsiaTheme="minorHAnsi" w:cs="Tahoma"/>
          <w:szCs w:val="20"/>
        </w:rPr>
        <w:t xml:space="preserve"> del 23/07/2021, n. 4/E del 30/03/2017 emanat</w:t>
      </w:r>
      <w:r>
        <w:rPr>
          <w:rFonts w:eastAsiaTheme="minorHAnsi" w:cs="Tahoma"/>
          <w:szCs w:val="20"/>
        </w:rPr>
        <w:t>e</w:t>
      </w:r>
      <w:r w:rsidRPr="00F45337">
        <w:rPr>
          <w:rFonts w:eastAsiaTheme="minorHAnsi" w:cs="Tahoma"/>
          <w:szCs w:val="20"/>
        </w:rPr>
        <w:t xml:space="preserve"> dall’Agenzia delle Entrate e dal Ministero dello sviluppo economico</w:t>
      </w:r>
    </w:p>
    <w:p w14:paraId="76191502" w14:textId="730740D9" w:rsidR="00765CBE" w:rsidRPr="00F45337" w:rsidRDefault="00765CBE" w:rsidP="00765CBE">
      <w:pPr>
        <w:spacing w:after="160" w:line="259" w:lineRule="auto"/>
        <w:jc w:val="center"/>
        <w:rPr>
          <w:rFonts w:eastAsiaTheme="minorHAnsi" w:cs="Tahoma"/>
          <w:b/>
          <w:bCs/>
          <w:szCs w:val="20"/>
        </w:rPr>
      </w:pPr>
      <w:r w:rsidRPr="00F45337">
        <w:rPr>
          <w:rFonts w:eastAsiaTheme="minorHAnsi" w:cs="Tahoma"/>
          <w:b/>
          <w:bCs/>
          <w:szCs w:val="20"/>
        </w:rPr>
        <w:t>PREMESSO</w:t>
      </w:r>
    </w:p>
    <w:p w14:paraId="3B47ECE1" w14:textId="10B9B392" w:rsidR="00765CBE" w:rsidRPr="00AF567E" w:rsidRDefault="00765CBE" w:rsidP="00765CBE">
      <w:pPr>
        <w:spacing w:after="160" w:line="259" w:lineRule="auto"/>
        <w:jc w:val="both"/>
        <w:rPr>
          <w:rFonts w:eastAsiaTheme="minorHAnsi" w:cs="Tahoma"/>
          <w:szCs w:val="20"/>
        </w:rPr>
      </w:pPr>
      <w:r w:rsidRPr="00AF567E">
        <w:rPr>
          <w:rFonts w:eastAsiaTheme="minorHAnsi" w:cs="Tahoma"/>
          <w:szCs w:val="20"/>
        </w:rPr>
        <w:t> di aver effettuato investimenti ammessi all’agevolazione fiscale prevista dall’articolo 1, commi 1056, 1057</w:t>
      </w:r>
      <w:r w:rsidR="002E4141" w:rsidRPr="00AF567E">
        <w:rPr>
          <w:rFonts w:eastAsiaTheme="minorHAnsi" w:cs="Tahoma"/>
          <w:szCs w:val="20"/>
        </w:rPr>
        <w:t xml:space="preserve">, </w:t>
      </w:r>
      <w:r w:rsidR="002E4141" w:rsidRPr="00AF567E">
        <w:rPr>
          <w:rFonts w:cs="Tahoma"/>
          <w:bCs/>
          <w:szCs w:val="20"/>
        </w:rPr>
        <w:t xml:space="preserve">1057-bis, 1058, 1058-bis, 1058-ter </w:t>
      </w:r>
      <w:r w:rsidRPr="00AF567E">
        <w:rPr>
          <w:rFonts w:eastAsiaTheme="minorHAnsi" w:cs="Tahoma"/>
          <w:szCs w:val="20"/>
        </w:rPr>
        <w:t>della Legge 178/2020, così come indicati nella documentazione e nei contratti di acquisto di cui ho preso visione;</w:t>
      </w:r>
    </w:p>
    <w:p w14:paraId="51575704" w14:textId="77777777" w:rsidR="00765CBE" w:rsidRPr="00F45337" w:rsidRDefault="00765CBE" w:rsidP="00765CBE">
      <w:pPr>
        <w:spacing w:after="160" w:line="259" w:lineRule="auto"/>
        <w:jc w:val="both"/>
        <w:rPr>
          <w:rFonts w:eastAsiaTheme="minorHAnsi" w:cs="Tahoma"/>
          <w:szCs w:val="20"/>
        </w:rPr>
      </w:pPr>
      <w:r w:rsidRPr="00AF567E">
        <w:rPr>
          <w:rFonts w:eastAsiaTheme="minorHAnsi" w:cs="Tahoma"/>
          <w:szCs w:val="20"/>
        </w:rPr>
        <w:t xml:space="preserve"> che i costi di tali investimenti </w:t>
      </w:r>
      <w:r w:rsidRPr="00F45337">
        <w:rPr>
          <w:rFonts w:eastAsiaTheme="minorHAnsi" w:cs="Tahoma"/>
          <w:szCs w:val="20"/>
        </w:rPr>
        <w:t>sono imputabili ai sensi dell’art. 109, commi 1 e 2, del TUIR al periodo d’imposta agevolabile, sono stati determinati secondo corretti criteri fiscali e contabili e sono stati correttamente iscritti in bilancio e nel libro cespiti;</w:t>
      </w:r>
    </w:p>
    <w:p w14:paraId="1EB22825" w14:textId="77777777" w:rsidR="00765CBE" w:rsidRPr="00F45337" w:rsidRDefault="00765CBE" w:rsidP="00765CBE">
      <w:pPr>
        <w:spacing w:after="160" w:line="259" w:lineRule="auto"/>
        <w:jc w:val="both"/>
        <w:rPr>
          <w:rFonts w:eastAsiaTheme="minorHAnsi" w:cs="Tahoma"/>
          <w:szCs w:val="20"/>
        </w:rPr>
      </w:pPr>
      <w:r w:rsidRPr="00F45337">
        <w:rPr>
          <w:rFonts w:eastAsiaTheme="minorHAnsi" w:cs="Tahoma"/>
          <w:szCs w:val="20"/>
        </w:rPr>
        <w:t> che gli investimenti effettuati rispondono al requisito della novità richiesto dalla norma agevolativa, così come precisato nelle istruzioni dettate dall’Agenzia delle Entrate nella circolare n. 4 del 30/03/2017;</w:t>
      </w:r>
    </w:p>
    <w:p w14:paraId="02756F00" w14:textId="77777777" w:rsidR="00AF567E" w:rsidRDefault="00AF567E">
      <w:pPr>
        <w:spacing w:after="0" w:line="240" w:lineRule="auto"/>
        <w:rPr>
          <w:rFonts w:eastAsiaTheme="minorHAnsi" w:cs="Tahoma"/>
          <w:b/>
          <w:bCs/>
          <w:szCs w:val="20"/>
        </w:rPr>
      </w:pPr>
      <w:r>
        <w:rPr>
          <w:rFonts w:eastAsiaTheme="minorHAnsi" w:cs="Tahoma"/>
          <w:b/>
          <w:bCs/>
          <w:szCs w:val="20"/>
        </w:rPr>
        <w:br w:type="page"/>
      </w:r>
    </w:p>
    <w:p w14:paraId="33BAD84D" w14:textId="663E6354" w:rsidR="00765CBE" w:rsidRPr="0034598D" w:rsidRDefault="00765CBE" w:rsidP="0034598D">
      <w:pPr>
        <w:spacing w:after="160" w:line="259" w:lineRule="auto"/>
        <w:jc w:val="center"/>
        <w:rPr>
          <w:rFonts w:eastAsiaTheme="minorHAnsi" w:cs="Tahoma"/>
          <w:b/>
          <w:bCs/>
          <w:szCs w:val="20"/>
        </w:rPr>
      </w:pPr>
      <w:r w:rsidRPr="0034598D">
        <w:rPr>
          <w:rFonts w:eastAsiaTheme="minorHAnsi" w:cs="Tahoma"/>
          <w:b/>
          <w:bCs/>
          <w:szCs w:val="20"/>
        </w:rPr>
        <w:lastRenderedPageBreak/>
        <w:t>ATTESTA</w:t>
      </w:r>
    </w:p>
    <w:p w14:paraId="164C4168" w14:textId="77777777" w:rsidR="00C623B2" w:rsidRPr="00F45337" w:rsidRDefault="00C623B2" w:rsidP="00765CBE">
      <w:pPr>
        <w:spacing w:after="0" w:line="259" w:lineRule="auto"/>
        <w:jc w:val="center"/>
        <w:rPr>
          <w:rFonts w:asciiTheme="minorHAnsi" w:eastAsiaTheme="minorHAnsi" w:hAnsiTheme="minorHAnsi" w:cstheme="minorBidi"/>
          <w:b/>
          <w:bCs/>
          <w:sz w:val="22"/>
        </w:rPr>
      </w:pPr>
    </w:p>
    <w:p w14:paraId="2208D90B" w14:textId="77777777" w:rsidR="00765CBE" w:rsidRPr="0034598D" w:rsidRDefault="00765CBE" w:rsidP="00765CBE">
      <w:pPr>
        <w:spacing w:after="120" w:line="259" w:lineRule="auto"/>
        <w:rPr>
          <w:rFonts w:eastAsiaTheme="minorHAnsi" w:cs="Tahoma"/>
          <w:sz w:val="22"/>
        </w:rPr>
      </w:pPr>
      <w:r w:rsidRPr="0034598D">
        <w:rPr>
          <w:rFonts w:eastAsiaTheme="minorHAnsi" w:cs="Tahoma"/>
          <w:sz w:val="22"/>
        </w:rPr>
        <w:t>Che il bene in valutazione:</w:t>
      </w:r>
    </w:p>
    <w:p w14:paraId="487B3105" w14:textId="77777777" w:rsidR="00765CBE" w:rsidRPr="0034598D" w:rsidRDefault="00765CBE" w:rsidP="00765CBE">
      <w:pPr>
        <w:spacing w:after="160" w:line="259" w:lineRule="auto"/>
        <w:rPr>
          <w:rFonts w:eastAsiaTheme="minorHAnsi" w:cs="Tahoma"/>
          <w:sz w:val="22"/>
        </w:rPr>
      </w:pPr>
      <w:r w:rsidRPr="0034598D">
        <w:rPr>
          <w:rFonts w:eastAsiaTheme="minorHAnsi" w:cs="Tahoma"/>
          <w:sz w:val="22"/>
        </w:rPr>
        <w:t>PRODUTTORE: _______________</w:t>
      </w:r>
    </w:p>
    <w:p w14:paraId="3914653C" w14:textId="77777777" w:rsidR="00765CBE" w:rsidRPr="0034598D" w:rsidRDefault="00765CBE" w:rsidP="00765CBE">
      <w:pPr>
        <w:spacing w:after="160" w:line="259" w:lineRule="auto"/>
        <w:rPr>
          <w:rFonts w:eastAsiaTheme="minorHAnsi" w:cs="Tahoma"/>
          <w:sz w:val="22"/>
        </w:rPr>
      </w:pPr>
      <w:r w:rsidRPr="0034598D">
        <w:rPr>
          <w:rFonts w:eastAsiaTheme="minorHAnsi" w:cs="Tahoma"/>
          <w:sz w:val="22"/>
        </w:rPr>
        <w:t>MODELLO: __________________</w:t>
      </w:r>
    </w:p>
    <w:p w14:paraId="5E7C6F29" w14:textId="77777777" w:rsidR="00765CBE" w:rsidRPr="0034598D" w:rsidRDefault="00765CBE" w:rsidP="00765CBE">
      <w:pPr>
        <w:spacing w:after="160" w:line="259" w:lineRule="auto"/>
        <w:rPr>
          <w:rFonts w:eastAsiaTheme="minorHAnsi" w:cs="Tahoma"/>
          <w:sz w:val="22"/>
        </w:rPr>
      </w:pPr>
      <w:r w:rsidRPr="0034598D">
        <w:rPr>
          <w:rFonts w:eastAsiaTheme="minorHAnsi" w:cs="Tahoma"/>
          <w:sz w:val="22"/>
        </w:rPr>
        <w:t>MATRICOLA: _________________</w:t>
      </w:r>
    </w:p>
    <w:p w14:paraId="66C152DB" w14:textId="77777777" w:rsidR="00765CBE" w:rsidRPr="0034598D" w:rsidRDefault="00765CBE" w:rsidP="00765CBE">
      <w:pPr>
        <w:spacing w:after="160" w:line="259" w:lineRule="auto"/>
        <w:rPr>
          <w:rFonts w:eastAsiaTheme="minorHAnsi" w:cs="Tahoma"/>
          <w:sz w:val="22"/>
        </w:rPr>
      </w:pPr>
      <w:r w:rsidRPr="0034598D">
        <w:rPr>
          <w:rFonts w:eastAsiaTheme="minorHAnsi" w:cs="Tahoma"/>
          <w:sz w:val="22"/>
        </w:rPr>
        <w:t>DESCRIZIONE: _______________________________________________________________________</w:t>
      </w:r>
    </w:p>
    <w:p w14:paraId="7542D5CF" w14:textId="77777777" w:rsidR="00C623B2" w:rsidRPr="0034598D" w:rsidRDefault="00C623B2" w:rsidP="00765CBE">
      <w:pPr>
        <w:spacing w:after="160" w:line="259" w:lineRule="auto"/>
        <w:rPr>
          <w:rFonts w:eastAsiaTheme="minorHAnsi" w:cs="Tahoma"/>
          <w:sz w:val="22"/>
        </w:rPr>
      </w:pPr>
    </w:p>
    <w:p w14:paraId="21948908" w14:textId="0675EE47" w:rsidR="00765CBE" w:rsidRPr="0034598D" w:rsidRDefault="00765CBE" w:rsidP="00765CBE">
      <w:pPr>
        <w:spacing w:after="160" w:line="259" w:lineRule="auto"/>
        <w:rPr>
          <w:rFonts w:eastAsiaTheme="minorHAnsi" w:cs="Tahoma"/>
          <w:sz w:val="22"/>
        </w:rPr>
      </w:pPr>
      <w:r w:rsidRPr="0034598D">
        <w:rPr>
          <w:rFonts w:eastAsiaTheme="minorHAnsi" w:cs="Tahoma"/>
          <w:sz w:val="22"/>
        </w:rPr>
        <w:t>Acquisito dall’azienda:</w:t>
      </w:r>
    </w:p>
    <w:p w14:paraId="5A59B9D8" w14:textId="77777777" w:rsidR="00765CBE" w:rsidRPr="0034598D" w:rsidRDefault="00765CBE" w:rsidP="00765CBE">
      <w:pPr>
        <w:spacing w:after="160" w:line="259" w:lineRule="auto"/>
        <w:rPr>
          <w:rFonts w:eastAsiaTheme="minorHAnsi" w:cs="Tahoma"/>
          <w:sz w:val="22"/>
        </w:rPr>
      </w:pPr>
      <w:r w:rsidRPr="0034598D">
        <w:rPr>
          <w:rFonts w:eastAsiaTheme="minorHAnsi" w:cs="Tahoma"/>
          <w:sz w:val="22"/>
        </w:rPr>
        <w:t>AZIENDA ACQUIRENTE: _____________________</w:t>
      </w:r>
    </w:p>
    <w:p w14:paraId="3F3B6750" w14:textId="77777777" w:rsidR="00765CBE" w:rsidRPr="0034598D" w:rsidRDefault="00765CBE" w:rsidP="00765CBE">
      <w:pPr>
        <w:spacing w:after="160" w:line="259" w:lineRule="auto"/>
        <w:rPr>
          <w:rFonts w:eastAsiaTheme="minorHAnsi" w:cs="Tahoma"/>
          <w:sz w:val="22"/>
        </w:rPr>
      </w:pPr>
      <w:r w:rsidRPr="0034598D">
        <w:rPr>
          <w:rFonts w:eastAsiaTheme="minorHAnsi" w:cs="Tahoma"/>
          <w:sz w:val="22"/>
        </w:rPr>
        <w:t>SEDE: ____________________________________</w:t>
      </w:r>
    </w:p>
    <w:p w14:paraId="64F74BB7" w14:textId="77777777" w:rsidR="00765CBE" w:rsidRPr="0034598D" w:rsidRDefault="00765CBE" w:rsidP="00765CBE">
      <w:pPr>
        <w:spacing w:after="160" w:line="259" w:lineRule="auto"/>
        <w:rPr>
          <w:rFonts w:eastAsiaTheme="minorHAnsi" w:cs="Tahoma"/>
          <w:sz w:val="22"/>
        </w:rPr>
      </w:pPr>
      <w:r w:rsidRPr="0034598D">
        <w:rPr>
          <w:rFonts w:eastAsiaTheme="minorHAnsi" w:cs="Tahoma"/>
          <w:sz w:val="22"/>
        </w:rPr>
        <w:t>SITO DI MESSA IN FUNZIONE: __________________</w:t>
      </w:r>
    </w:p>
    <w:p w14:paraId="7E209BA5" w14:textId="77777777" w:rsidR="00765CBE" w:rsidRPr="0034598D" w:rsidRDefault="00765CBE" w:rsidP="00765CBE">
      <w:pPr>
        <w:spacing w:after="160" w:line="259" w:lineRule="auto"/>
        <w:rPr>
          <w:rFonts w:eastAsiaTheme="minorHAnsi" w:cs="Tahoma"/>
          <w:sz w:val="22"/>
        </w:rPr>
      </w:pPr>
      <w:r w:rsidRPr="0034598D">
        <w:rPr>
          <w:rFonts w:eastAsiaTheme="minorHAnsi" w:cs="Tahoma"/>
          <w:sz w:val="22"/>
        </w:rPr>
        <w:t>REPARTO: Produzione</w:t>
      </w:r>
    </w:p>
    <w:p w14:paraId="53A9D096" w14:textId="77777777" w:rsidR="00C623B2" w:rsidRDefault="00C623B2" w:rsidP="00765CBE">
      <w:pPr>
        <w:spacing w:after="160" w:line="259" w:lineRule="auto"/>
        <w:jc w:val="both"/>
        <w:rPr>
          <w:rFonts w:asciiTheme="minorHAnsi" w:eastAsiaTheme="minorHAnsi" w:hAnsiTheme="minorHAnsi" w:cstheme="minorBidi"/>
          <w:sz w:val="22"/>
        </w:rPr>
      </w:pPr>
    </w:p>
    <w:p w14:paraId="440005EC" w14:textId="201152FF" w:rsidR="00765CBE" w:rsidRPr="0034598D" w:rsidRDefault="00765CBE" w:rsidP="00765CBE">
      <w:pPr>
        <w:spacing w:after="160" w:line="259" w:lineRule="auto"/>
        <w:jc w:val="both"/>
        <w:rPr>
          <w:rFonts w:eastAsiaTheme="minorHAnsi" w:cs="Tahoma"/>
          <w:szCs w:val="20"/>
        </w:rPr>
      </w:pPr>
      <w:r w:rsidRPr="0034598D">
        <w:rPr>
          <w:rFonts w:eastAsiaTheme="minorHAnsi" w:cs="Tahoma"/>
          <w:szCs w:val="20"/>
        </w:rPr>
        <w:t>così come risultante dalle attività di verifica ultimate in data ___/___/_____ (che si assume come data di validazione della configurazione, delle dotazioni e dello stato dell’arte del bene in esame)</w:t>
      </w:r>
    </w:p>
    <w:p w14:paraId="2B30A50D" w14:textId="77777777" w:rsidR="0034598D" w:rsidRDefault="0034598D" w:rsidP="00765CBE">
      <w:pPr>
        <w:spacing w:after="160" w:line="259" w:lineRule="auto"/>
        <w:jc w:val="both"/>
        <w:rPr>
          <w:rFonts w:eastAsiaTheme="minorHAnsi" w:cs="Tahoma"/>
          <w:b/>
          <w:bCs/>
          <w:szCs w:val="20"/>
        </w:rPr>
      </w:pPr>
    </w:p>
    <w:p w14:paraId="4FF007AC" w14:textId="72867482" w:rsidR="00765CBE" w:rsidRPr="0034598D" w:rsidRDefault="00765CBE" w:rsidP="00765CBE">
      <w:pPr>
        <w:spacing w:after="160" w:line="259" w:lineRule="auto"/>
        <w:jc w:val="both"/>
        <w:rPr>
          <w:rFonts w:eastAsiaTheme="minorHAnsi" w:cs="Tahoma"/>
          <w:szCs w:val="20"/>
        </w:rPr>
      </w:pPr>
      <w:r w:rsidRPr="0034598D">
        <w:rPr>
          <w:rFonts w:eastAsiaTheme="minorHAnsi" w:cs="Tahoma"/>
          <w:b/>
          <w:bCs/>
          <w:szCs w:val="20"/>
        </w:rPr>
        <w:t>possiede caratteristiche tecniche</w:t>
      </w:r>
      <w:r w:rsidRPr="0034598D">
        <w:rPr>
          <w:rFonts w:eastAsiaTheme="minorHAnsi" w:cs="Tahoma"/>
          <w:szCs w:val="20"/>
        </w:rPr>
        <w:t xml:space="preserve"> tali da poter essere incluso negli elenchi della legge 11 dicembre 2016, n. 232 pubblicata nella Gazzetta Ufficiale Serie Generale n. 297 del 21 dicembre 2016 - Suppl. Ordinario n. 57 (allegato A o allegato B) e</w:t>
      </w:r>
    </w:p>
    <w:p w14:paraId="0C6EB5C9" w14:textId="77777777" w:rsidR="0034598D" w:rsidRDefault="0034598D" w:rsidP="00765CBE">
      <w:pPr>
        <w:spacing w:after="160" w:line="259" w:lineRule="auto"/>
        <w:rPr>
          <w:rFonts w:eastAsiaTheme="minorHAnsi" w:cs="Tahoma"/>
          <w:b/>
          <w:bCs/>
          <w:szCs w:val="20"/>
        </w:rPr>
      </w:pPr>
    </w:p>
    <w:p w14:paraId="466342A0" w14:textId="0438A716" w:rsidR="00765CBE" w:rsidRPr="0034598D" w:rsidRDefault="00765CBE" w:rsidP="00765CBE">
      <w:pPr>
        <w:spacing w:after="160" w:line="259" w:lineRule="auto"/>
        <w:rPr>
          <w:rFonts w:eastAsiaTheme="minorHAnsi" w:cs="Tahoma"/>
          <w:szCs w:val="20"/>
        </w:rPr>
      </w:pPr>
      <w:r w:rsidRPr="0034598D">
        <w:rPr>
          <w:rFonts w:eastAsiaTheme="minorHAnsi" w:cs="Tahoma"/>
          <w:b/>
          <w:bCs/>
          <w:szCs w:val="20"/>
        </w:rPr>
        <w:t>RIENTRA</w:t>
      </w:r>
      <w:r w:rsidRPr="0034598D">
        <w:rPr>
          <w:rFonts w:eastAsiaTheme="minorHAnsi" w:cs="Tahoma"/>
          <w:szCs w:val="20"/>
        </w:rPr>
        <w:t xml:space="preserve"> tra quelli elencati</w:t>
      </w:r>
    </w:p>
    <w:p w14:paraId="68FFD89A" w14:textId="77777777" w:rsidR="00765CBE" w:rsidRPr="00F45337" w:rsidRDefault="00765CBE" w:rsidP="00765CBE">
      <w:pPr>
        <w:spacing w:after="160" w:line="259" w:lineRule="auto"/>
        <w:jc w:val="both"/>
        <w:rPr>
          <w:rFonts w:asciiTheme="minorHAnsi" w:eastAsiaTheme="minorHAnsi" w:hAnsiTheme="minorHAnsi" w:cstheme="minorBidi"/>
          <w:sz w:val="22"/>
        </w:rPr>
      </w:pPr>
      <w:r w:rsidRPr="0034598D">
        <w:rPr>
          <w:rFonts w:eastAsiaTheme="minorHAnsi" w:cs="Tahoma"/>
          <w:szCs w:val="20"/>
        </w:rPr>
        <w:t> nell’allegato A, Tipologia di beni:</w:t>
      </w:r>
      <w:r w:rsidRPr="00F45337">
        <w:rPr>
          <w:rFonts w:asciiTheme="minorHAnsi" w:eastAsiaTheme="minorHAnsi" w:hAnsiTheme="minorHAnsi" w:cstheme="minorBidi"/>
          <w:sz w:val="22"/>
        </w:rPr>
        <w:t xml:space="preserve"> __________________________________________________________</w:t>
      </w:r>
    </w:p>
    <w:p w14:paraId="2D38AE60" w14:textId="77777777" w:rsidR="0034598D" w:rsidRDefault="0034598D" w:rsidP="00765CBE">
      <w:pPr>
        <w:spacing w:after="160" w:line="259" w:lineRule="auto"/>
        <w:jc w:val="both"/>
        <w:rPr>
          <w:rFonts w:asciiTheme="minorHAnsi" w:eastAsiaTheme="minorHAnsi" w:hAnsiTheme="minorHAnsi" w:cstheme="minorBidi"/>
          <w:b/>
          <w:bCs/>
          <w:sz w:val="22"/>
        </w:rPr>
      </w:pPr>
    </w:p>
    <w:p w14:paraId="3A257C0A" w14:textId="2EE15CF9" w:rsidR="00765CBE" w:rsidRDefault="00765CBE" w:rsidP="00765CBE">
      <w:pPr>
        <w:spacing w:after="160" w:line="259" w:lineRule="auto"/>
        <w:jc w:val="both"/>
        <w:rPr>
          <w:rFonts w:eastAsiaTheme="minorHAnsi" w:cs="Tahoma"/>
          <w:b/>
          <w:bCs/>
          <w:sz w:val="22"/>
        </w:rPr>
      </w:pPr>
      <w:r w:rsidRPr="0034598D">
        <w:rPr>
          <w:rFonts w:eastAsiaTheme="minorHAnsi" w:cs="Tahoma"/>
          <w:b/>
          <w:bCs/>
          <w:sz w:val="22"/>
        </w:rPr>
        <w:t>SODDISFA I SEGUENTI REQUISITI OBBLIGATORI</w:t>
      </w:r>
    </w:p>
    <w:p w14:paraId="16B8854B" w14:textId="77777777" w:rsidR="0034598D" w:rsidRPr="0034598D" w:rsidRDefault="0034598D" w:rsidP="00765CBE">
      <w:pPr>
        <w:spacing w:after="160" w:line="259" w:lineRule="auto"/>
        <w:jc w:val="both"/>
        <w:rPr>
          <w:rFonts w:eastAsiaTheme="minorHAnsi" w:cs="Tahoma"/>
          <w:b/>
          <w:bCs/>
          <w:sz w:val="22"/>
        </w:rPr>
      </w:pPr>
    </w:p>
    <w:tbl>
      <w:tblPr>
        <w:tblStyle w:val="Grigliatabella1"/>
        <w:tblW w:w="9621" w:type="dxa"/>
        <w:jc w:val="center"/>
        <w:tblLook w:val="04A0" w:firstRow="1" w:lastRow="0" w:firstColumn="1" w:lastColumn="0" w:noHBand="0" w:noVBand="1"/>
      </w:tblPr>
      <w:tblGrid>
        <w:gridCol w:w="285"/>
        <w:gridCol w:w="579"/>
        <w:gridCol w:w="8757"/>
      </w:tblGrid>
      <w:tr w:rsidR="00765CBE" w:rsidRPr="0034598D" w14:paraId="4B0A2363" w14:textId="77777777" w:rsidTr="0034598D">
        <w:trPr>
          <w:trHeight w:val="757"/>
          <w:jc w:val="center"/>
        </w:trPr>
        <w:tc>
          <w:tcPr>
            <w:tcW w:w="285" w:type="dxa"/>
            <w:vAlign w:val="center"/>
          </w:tcPr>
          <w:p w14:paraId="4B145B48" w14:textId="77777777" w:rsidR="00765CBE" w:rsidRPr="0034598D" w:rsidRDefault="00765CBE" w:rsidP="002A6683">
            <w:pPr>
              <w:spacing w:after="0" w:line="240" w:lineRule="auto"/>
              <w:jc w:val="both"/>
              <w:rPr>
                <w:rFonts w:eastAsiaTheme="minorHAnsi" w:cs="Tahoma"/>
                <w:sz w:val="20"/>
                <w:szCs w:val="20"/>
              </w:rPr>
            </w:pPr>
          </w:p>
        </w:tc>
        <w:tc>
          <w:tcPr>
            <w:tcW w:w="579" w:type="dxa"/>
            <w:vAlign w:val="center"/>
          </w:tcPr>
          <w:p w14:paraId="66FEB637"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O1.</w:t>
            </w:r>
          </w:p>
        </w:tc>
        <w:tc>
          <w:tcPr>
            <w:tcW w:w="8757" w:type="dxa"/>
            <w:vAlign w:val="center"/>
          </w:tcPr>
          <w:p w14:paraId="54A14CBF"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controllo per mezzo di CNC (Computer Numerical Control) e/o PLC (Programmable Logic Controller)</w:t>
            </w:r>
          </w:p>
        </w:tc>
      </w:tr>
      <w:tr w:rsidR="00765CBE" w:rsidRPr="0034598D" w14:paraId="0B18F9CB" w14:textId="77777777" w:rsidTr="0034598D">
        <w:trPr>
          <w:trHeight w:val="757"/>
          <w:jc w:val="center"/>
        </w:trPr>
        <w:tc>
          <w:tcPr>
            <w:tcW w:w="285" w:type="dxa"/>
            <w:vAlign w:val="center"/>
          </w:tcPr>
          <w:p w14:paraId="5EFC6B4C" w14:textId="77777777" w:rsidR="00765CBE" w:rsidRPr="0034598D" w:rsidRDefault="00765CBE" w:rsidP="002A6683">
            <w:pPr>
              <w:spacing w:after="0" w:line="240" w:lineRule="auto"/>
              <w:jc w:val="both"/>
              <w:rPr>
                <w:rFonts w:eastAsiaTheme="minorHAnsi" w:cs="Tahoma"/>
                <w:sz w:val="20"/>
                <w:szCs w:val="20"/>
              </w:rPr>
            </w:pPr>
          </w:p>
        </w:tc>
        <w:tc>
          <w:tcPr>
            <w:tcW w:w="579" w:type="dxa"/>
            <w:vAlign w:val="center"/>
          </w:tcPr>
          <w:p w14:paraId="14AD36C0"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O2.</w:t>
            </w:r>
          </w:p>
        </w:tc>
        <w:tc>
          <w:tcPr>
            <w:tcW w:w="8757" w:type="dxa"/>
            <w:vAlign w:val="center"/>
          </w:tcPr>
          <w:p w14:paraId="541A2C0E"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interconnessione ai sistemi informatici di fabbrica con caricamento da remoto di istruzioni e/o part program</w:t>
            </w:r>
          </w:p>
        </w:tc>
      </w:tr>
      <w:tr w:rsidR="00765CBE" w:rsidRPr="0034598D" w14:paraId="050AB5B2" w14:textId="77777777" w:rsidTr="0034598D">
        <w:trPr>
          <w:trHeight w:val="738"/>
          <w:jc w:val="center"/>
        </w:trPr>
        <w:tc>
          <w:tcPr>
            <w:tcW w:w="285" w:type="dxa"/>
            <w:vAlign w:val="center"/>
          </w:tcPr>
          <w:p w14:paraId="58339904" w14:textId="77777777" w:rsidR="00765CBE" w:rsidRPr="0034598D" w:rsidRDefault="00765CBE" w:rsidP="002A6683">
            <w:pPr>
              <w:spacing w:after="0" w:line="240" w:lineRule="auto"/>
              <w:jc w:val="both"/>
              <w:rPr>
                <w:rFonts w:eastAsiaTheme="minorHAnsi" w:cs="Tahoma"/>
                <w:sz w:val="20"/>
                <w:szCs w:val="20"/>
              </w:rPr>
            </w:pPr>
          </w:p>
        </w:tc>
        <w:tc>
          <w:tcPr>
            <w:tcW w:w="579" w:type="dxa"/>
            <w:vAlign w:val="center"/>
          </w:tcPr>
          <w:p w14:paraId="4E82181A"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O3.</w:t>
            </w:r>
          </w:p>
        </w:tc>
        <w:tc>
          <w:tcPr>
            <w:tcW w:w="8757" w:type="dxa"/>
            <w:vAlign w:val="center"/>
          </w:tcPr>
          <w:p w14:paraId="6FE37BA1"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integrazione automatizzata con il sistema logistico della fabbrica o con la rete di fornitura e/o con altre macchine del ciclo produttivo</w:t>
            </w:r>
          </w:p>
        </w:tc>
      </w:tr>
      <w:tr w:rsidR="00765CBE" w:rsidRPr="0034598D" w14:paraId="0254282A" w14:textId="77777777" w:rsidTr="0034598D">
        <w:trPr>
          <w:trHeight w:val="378"/>
          <w:jc w:val="center"/>
        </w:trPr>
        <w:tc>
          <w:tcPr>
            <w:tcW w:w="285" w:type="dxa"/>
            <w:vAlign w:val="center"/>
          </w:tcPr>
          <w:p w14:paraId="06E917DA" w14:textId="77777777" w:rsidR="00765CBE" w:rsidRPr="0034598D" w:rsidRDefault="00765CBE" w:rsidP="002A6683">
            <w:pPr>
              <w:spacing w:after="0" w:line="240" w:lineRule="auto"/>
              <w:jc w:val="both"/>
              <w:rPr>
                <w:rFonts w:eastAsiaTheme="minorHAnsi" w:cs="Tahoma"/>
                <w:sz w:val="20"/>
                <w:szCs w:val="20"/>
              </w:rPr>
            </w:pPr>
          </w:p>
        </w:tc>
        <w:tc>
          <w:tcPr>
            <w:tcW w:w="579" w:type="dxa"/>
            <w:vAlign w:val="center"/>
          </w:tcPr>
          <w:p w14:paraId="3744C3CA"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O4.</w:t>
            </w:r>
          </w:p>
        </w:tc>
        <w:tc>
          <w:tcPr>
            <w:tcW w:w="8757" w:type="dxa"/>
            <w:vAlign w:val="center"/>
          </w:tcPr>
          <w:p w14:paraId="6417DBB2"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interfaccia tra uomo e macchina semplice e intuitiva</w:t>
            </w:r>
          </w:p>
        </w:tc>
      </w:tr>
      <w:tr w:rsidR="00765CBE" w:rsidRPr="0034598D" w14:paraId="5A27970F" w14:textId="77777777" w:rsidTr="0034598D">
        <w:trPr>
          <w:trHeight w:val="378"/>
          <w:jc w:val="center"/>
        </w:trPr>
        <w:tc>
          <w:tcPr>
            <w:tcW w:w="285" w:type="dxa"/>
            <w:vAlign w:val="center"/>
          </w:tcPr>
          <w:p w14:paraId="71958755" w14:textId="77777777" w:rsidR="00765CBE" w:rsidRPr="0034598D" w:rsidRDefault="00765CBE" w:rsidP="002A6683">
            <w:pPr>
              <w:spacing w:after="0" w:line="240" w:lineRule="auto"/>
              <w:jc w:val="both"/>
              <w:rPr>
                <w:rFonts w:eastAsiaTheme="minorHAnsi" w:cs="Tahoma"/>
                <w:sz w:val="20"/>
                <w:szCs w:val="20"/>
              </w:rPr>
            </w:pPr>
          </w:p>
        </w:tc>
        <w:tc>
          <w:tcPr>
            <w:tcW w:w="579" w:type="dxa"/>
            <w:vAlign w:val="center"/>
          </w:tcPr>
          <w:p w14:paraId="1075AAF1"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O5.</w:t>
            </w:r>
          </w:p>
        </w:tc>
        <w:tc>
          <w:tcPr>
            <w:tcW w:w="8757" w:type="dxa"/>
            <w:vAlign w:val="center"/>
          </w:tcPr>
          <w:p w14:paraId="0D2B88B1" w14:textId="77777777" w:rsidR="00765CBE" w:rsidRPr="0034598D" w:rsidRDefault="00765CBE" w:rsidP="002A6683">
            <w:pPr>
              <w:spacing w:after="0" w:line="240" w:lineRule="auto"/>
              <w:jc w:val="both"/>
              <w:rPr>
                <w:rFonts w:eastAsiaTheme="minorHAnsi" w:cs="Tahoma"/>
                <w:sz w:val="20"/>
                <w:szCs w:val="20"/>
              </w:rPr>
            </w:pPr>
            <w:r w:rsidRPr="0034598D">
              <w:rPr>
                <w:rFonts w:eastAsiaTheme="minorHAnsi" w:cs="Tahoma"/>
                <w:sz w:val="20"/>
                <w:szCs w:val="20"/>
              </w:rPr>
              <w:t>rispondenza ai più recenti parametri di sicurezza, salute e igiene del lavoro</w:t>
            </w:r>
          </w:p>
        </w:tc>
      </w:tr>
    </w:tbl>
    <w:p w14:paraId="3BDB1376" w14:textId="77777777" w:rsidR="00765CBE" w:rsidRPr="00F45337" w:rsidRDefault="00765CBE" w:rsidP="00765CBE">
      <w:pPr>
        <w:spacing w:after="160" w:line="259" w:lineRule="auto"/>
        <w:rPr>
          <w:rFonts w:asciiTheme="minorHAnsi" w:eastAsiaTheme="minorHAnsi" w:hAnsiTheme="minorHAnsi" w:cstheme="minorBidi"/>
          <w:sz w:val="22"/>
        </w:rPr>
      </w:pPr>
    </w:p>
    <w:p w14:paraId="5E8656C1" w14:textId="1C6F9E90" w:rsidR="00765CBE" w:rsidRDefault="00765CBE" w:rsidP="0034598D">
      <w:pPr>
        <w:spacing w:after="160" w:line="259" w:lineRule="auto"/>
        <w:jc w:val="both"/>
        <w:rPr>
          <w:rFonts w:eastAsiaTheme="minorHAnsi" w:cs="Tahoma"/>
          <w:sz w:val="22"/>
        </w:rPr>
      </w:pPr>
      <w:r w:rsidRPr="0034598D">
        <w:rPr>
          <w:rFonts w:eastAsiaTheme="minorHAnsi" w:cs="Tahoma"/>
          <w:b/>
          <w:bCs/>
          <w:sz w:val="22"/>
        </w:rPr>
        <w:t>SODDISFA I SEGUENTI REQUISITI ULTERIORI</w:t>
      </w:r>
      <w:r w:rsidRPr="0034598D">
        <w:rPr>
          <w:rFonts w:eastAsiaTheme="minorHAnsi" w:cs="Tahoma"/>
          <w:sz w:val="22"/>
        </w:rPr>
        <w:t xml:space="preserve"> (almeno 2 di 3)</w:t>
      </w:r>
    </w:p>
    <w:p w14:paraId="0122CB64" w14:textId="77777777" w:rsidR="0034598D" w:rsidRPr="0034598D" w:rsidRDefault="0034598D" w:rsidP="0034598D">
      <w:pPr>
        <w:spacing w:after="160" w:line="259" w:lineRule="auto"/>
        <w:jc w:val="both"/>
        <w:rPr>
          <w:rFonts w:eastAsiaTheme="minorHAnsi" w:cs="Tahoma"/>
          <w:b/>
          <w:bCs/>
          <w:sz w:val="22"/>
        </w:rPr>
      </w:pPr>
    </w:p>
    <w:tbl>
      <w:tblPr>
        <w:tblStyle w:val="Grigliatabella1"/>
        <w:tblW w:w="9621" w:type="dxa"/>
        <w:tblLook w:val="04A0" w:firstRow="1" w:lastRow="0" w:firstColumn="1" w:lastColumn="0" w:noHBand="0" w:noVBand="1"/>
      </w:tblPr>
      <w:tblGrid>
        <w:gridCol w:w="285"/>
        <w:gridCol w:w="579"/>
        <w:gridCol w:w="8757"/>
      </w:tblGrid>
      <w:tr w:rsidR="00765CBE" w:rsidRPr="00F45337" w14:paraId="0CEF2E98" w14:textId="77777777" w:rsidTr="0034598D">
        <w:trPr>
          <w:trHeight w:val="371"/>
        </w:trPr>
        <w:tc>
          <w:tcPr>
            <w:tcW w:w="285" w:type="dxa"/>
          </w:tcPr>
          <w:p w14:paraId="62BB0F7D" w14:textId="77777777" w:rsidR="00765CBE" w:rsidRPr="00F45337" w:rsidRDefault="00765CBE" w:rsidP="002A6683">
            <w:pPr>
              <w:spacing w:after="0" w:line="240" w:lineRule="auto"/>
              <w:jc w:val="both"/>
              <w:rPr>
                <w:rFonts w:asciiTheme="minorHAnsi" w:eastAsiaTheme="minorHAnsi" w:hAnsiTheme="minorHAnsi" w:cstheme="minorBidi"/>
              </w:rPr>
            </w:pPr>
          </w:p>
        </w:tc>
        <w:tc>
          <w:tcPr>
            <w:tcW w:w="579" w:type="dxa"/>
          </w:tcPr>
          <w:p w14:paraId="3D4E2566" w14:textId="77777777" w:rsidR="00765CBE" w:rsidRPr="00F45337" w:rsidRDefault="00765CBE" w:rsidP="002A6683">
            <w:pPr>
              <w:spacing w:after="0" w:line="240" w:lineRule="auto"/>
              <w:jc w:val="both"/>
              <w:rPr>
                <w:rFonts w:asciiTheme="minorHAnsi" w:eastAsiaTheme="minorHAnsi" w:hAnsiTheme="minorHAnsi" w:cstheme="minorBidi"/>
              </w:rPr>
            </w:pPr>
            <w:r w:rsidRPr="00F45337">
              <w:rPr>
                <w:rFonts w:asciiTheme="minorHAnsi" w:eastAsiaTheme="minorHAnsi" w:hAnsiTheme="minorHAnsi" w:cstheme="minorBidi"/>
              </w:rPr>
              <w:t>U1.</w:t>
            </w:r>
          </w:p>
        </w:tc>
        <w:tc>
          <w:tcPr>
            <w:tcW w:w="8757" w:type="dxa"/>
          </w:tcPr>
          <w:p w14:paraId="79FD7E9C" w14:textId="77777777" w:rsidR="00765CBE" w:rsidRPr="00F45337" w:rsidRDefault="00765CBE" w:rsidP="002A6683">
            <w:pPr>
              <w:spacing w:after="0" w:line="240" w:lineRule="auto"/>
              <w:jc w:val="both"/>
              <w:rPr>
                <w:rFonts w:asciiTheme="minorHAnsi" w:eastAsiaTheme="minorHAnsi" w:hAnsiTheme="minorHAnsi" w:cstheme="minorBidi"/>
              </w:rPr>
            </w:pPr>
            <w:r w:rsidRPr="00F45337">
              <w:rPr>
                <w:rFonts w:asciiTheme="minorHAnsi" w:eastAsiaTheme="minorHAnsi" w:hAnsiTheme="minorHAnsi" w:cstheme="minorBidi"/>
              </w:rPr>
              <w:t>sistemi di telemanutenzione e/o telediagnosi e/o controllo in remoto</w:t>
            </w:r>
          </w:p>
        </w:tc>
      </w:tr>
      <w:tr w:rsidR="00765CBE" w:rsidRPr="00F45337" w14:paraId="658672FC" w14:textId="77777777" w:rsidTr="0034598D">
        <w:trPr>
          <w:trHeight w:val="759"/>
        </w:trPr>
        <w:tc>
          <w:tcPr>
            <w:tcW w:w="285" w:type="dxa"/>
          </w:tcPr>
          <w:p w14:paraId="4EDB43E0" w14:textId="77777777" w:rsidR="00765CBE" w:rsidRPr="00F45337" w:rsidRDefault="00765CBE" w:rsidP="002A6683">
            <w:pPr>
              <w:spacing w:after="0" w:line="240" w:lineRule="auto"/>
              <w:jc w:val="both"/>
              <w:rPr>
                <w:rFonts w:asciiTheme="minorHAnsi" w:eastAsiaTheme="minorHAnsi" w:hAnsiTheme="minorHAnsi" w:cstheme="minorBidi"/>
              </w:rPr>
            </w:pPr>
          </w:p>
        </w:tc>
        <w:tc>
          <w:tcPr>
            <w:tcW w:w="579" w:type="dxa"/>
          </w:tcPr>
          <w:p w14:paraId="4CC7CD3A" w14:textId="77777777" w:rsidR="00765CBE" w:rsidRPr="00F45337" w:rsidRDefault="00765CBE" w:rsidP="002A6683">
            <w:pPr>
              <w:spacing w:after="0" w:line="240" w:lineRule="auto"/>
              <w:jc w:val="both"/>
              <w:rPr>
                <w:rFonts w:asciiTheme="minorHAnsi" w:eastAsiaTheme="minorHAnsi" w:hAnsiTheme="minorHAnsi" w:cstheme="minorBidi"/>
              </w:rPr>
            </w:pPr>
            <w:r w:rsidRPr="00F45337">
              <w:rPr>
                <w:rFonts w:asciiTheme="minorHAnsi" w:eastAsiaTheme="minorHAnsi" w:hAnsiTheme="minorHAnsi" w:cstheme="minorBidi"/>
              </w:rPr>
              <w:t>U2.</w:t>
            </w:r>
          </w:p>
        </w:tc>
        <w:tc>
          <w:tcPr>
            <w:tcW w:w="8757" w:type="dxa"/>
          </w:tcPr>
          <w:p w14:paraId="281916A5" w14:textId="77777777" w:rsidR="00765CBE" w:rsidRPr="00F45337" w:rsidRDefault="00765CBE" w:rsidP="002A6683">
            <w:pPr>
              <w:spacing w:after="0" w:line="240" w:lineRule="auto"/>
              <w:jc w:val="both"/>
              <w:rPr>
                <w:rFonts w:asciiTheme="minorHAnsi" w:eastAsiaTheme="minorHAnsi" w:hAnsiTheme="minorHAnsi" w:cstheme="minorBidi"/>
              </w:rPr>
            </w:pPr>
            <w:r w:rsidRPr="00F45337">
              <w:rPr>
                <w:rFonts w:asciiTheme="minorHAnsi" w:eastAsiaTheme="minorHAnsi" w:hAnsiTheme="minorHAnsi" w:cstheme="minorBidi"/>
              </w:rPr>
              <w:t>monitoraggio continuo delle condizioni di lavoro e dei parametri di processo mediante opportuni set di sensori e adattività alle derive di processo</w:t>
            </w:r>
          </w:p>
        </w:tc>
      </w:tr>
      <w:tr w:rsidR="00765CBE" w:rsidRPr="00F45337" w14:paraId="60A4C610" w14:textId="77777777" w:rsidTr="0034598D">
        <w:trPr>
          <w:trHeight w:val="743"/>
        </w:trPr>
        <w:tc>
          <w:tcPr>
            <w:tcW w:w="285" w:type="dxa"/>
          </w:tcPr>
          <w:p w14:paraId="71F60C7A" w14:textId="77777777" w:rsidR="00765CBE" w:rsidRPr="00F45337" w:rsidRDefault="00765CBE" w:rsidP="002A6683">
            <w:pPr>
              <w:spacing w:after="0" w:line="240" w:lineRule="auto"/>
              <w:jc w:val="both"/>
              <w:rPr>
                <w:rFonts w:asciiTheme="minorHAnsi" w:eastAsiaTheme="minorHAnsi" w:hAnsiTheme="minorHAnsi" w:cstheme="minorBidi"/>
              </w:rPr>
            </w:pPr>
          </w:p>
        </w:tc>
        <w:tc>
          <w:tcPr>
            <w:tcW w:w="579" w:type="dxa"/>
          </w:tcPr>
          <w:p w14:paraId="0749A9D9" w14:textId="77777777" w:rsidR="00765CBE" w:rsidRPr="00F45337" w:rsidRDefault="00765CBE" w:rsidP="002A6683">
            <w:pPr>
              <w:spacing w:after="0" w:line="240" w:lineRule="auto"/>
              <w:jc w:val="both"/>
              <w:rPr>
                <w:rFonts w:asciiTheme="minorHAnsi" w:eastAsiaTheme="minorHAnsi" w:hAnsiTheme="minorHAnsi" w:cstheme="minorBidi"/>
              </w:rPr>
            </w:pPr>
            <w:r w:rsidRPr="00F45337">
              <w:rPr>
                <w:rFonts w:asciiTheme="minorHAnsi" w:eastAsiaTheme="minorHAnsi" w:hAnsiTheme="minorHAnsi" w:cstheme="minorBidi"/>
              </w:rPr>
              <w:t>U3.</w:t>
            </w:r>
          </w:p>
        </w:tc>
        <w:tc>
          <w:tcPr>
            <w:tcW w:w="8757" w:type="dxa"/>
          </w:tcPr>
          <w:p w14:paraId="30059152" w14:textId="77777777" w:rsidR="00765CBE" w:rsidRPr="00F45337" w:rsidRDefault="00765CBE" w:rsidP="002A6683">
            <w:pPr>
              <w:spacing w:after="0" w:line="240" w:lineRule="auto"/>
              <w:jc w:val="both"/>
              <w:rPr>
                <w:rFonts w:asciiTheme="minorHAnsi" w:eastAsiaTheme="minorHAnsi" w:hAnsiTheme="minorHAnsi" w:cstheme="minorBidi"/>
              </w:rPr>
            </w:pPr>
            <w:r w:rsidRPr="00F45337">
              <w:rPr>
                <w:rFonts w:asciiTheme="minorHAnsi" w:eastAsiaTheme="minorHAnsi" w:hAnsiTheme="minorHAnsi" w:cstheme="minorBidi"/>
              </w:rPr>
              <w:t>caratteristiche di integrazione tra macchina fisica e/o impianto con la modellizzazione e/o la simulazione del proprio comportamento nello svolgimento del processo (sistema cyberfisico)</w:t>
            </w:r>
          </w:p>
        </w:tc>
      </w:tr>
    </w:tbl>
    <w:p w14:paraId="2C4F3466" w14:textId="77777777" w:rsidR="00765CBE" w:rsidRPr="00F45337" w:rsidRDefault="00765CBE" w:rsidP="00765CBE">
      <w:pPr>
        <w:spacing w:after="160" w:line="259" w:lineRule="auto"/>
        <w:rPr>
          <w:rFonts w:asciiTheme="minorHAnsi" w:eastAsiaTheme="minorHAnsi" w:hAnsiTheme="minorHAnsi" w:cstheme="minorBidi"/>
          <w:sz w:val="22"/>
        </w:rPr>
      </w:pPr>
    </w:p>
    <w:p w14:paraId="7599E5B3" w14:textId="77777777" w:rsidR="00765CBE" w:rsidRPr="0034598D" w:rsidRDefault="00765CBE" w:rsidP="00765CBE">
      <w:pPr>
        <w:spacing w:after="160" w:line="259" w:lineRule="auto"/>
        <w:rPr>
          <w:rFonts w:eastAsiaTheme="minorHAnsi" w:cs="Tahoma"/>
          <w:szCs w:val="20"/>
        </w:rPr>
      </w:pPr>
      <w:r w:rsidRPr="0034598D">
        <w:rPr>
          <w:rFonts w:eastAsiaTheme="minorHAnsi" w:cs="Tahoma"/>
          <w:szCs w:val="20"/>
        </w:rPr>
        <w:t xml:space="preserve">Il bene è stato </w:t>
      </w:r>
      <w:r w:rsidRPr="0034598D">
        <w:rPr>
          <w:rFonts w:eastAsiaTheme="minorHAnsi" w:cs="Tahoma"/>
          <w:b/>
          <w:bCs/>
          <w:szCs w:val="20"/>
        </w:rPr>
        <w:t>MESSO IN FUNZIONE</w:t>
      </w:r>
      <w:r w:rsidRPr="0034598D">
        <w:rPr>
          <w:rFonts w:eastAsiaTheme="minorHAnsi" w:cs="Tahoma"/>
          <w:szCs w:val="20"/>
        </w:rPr>
        <w:t xml:space="preserve"> il ___/___/_____</w:t>
      </w:r>
    </w:p>
    <w:p w14:paraId="2C0DEA28" w14:textId="77777777" w:rsidR="00765CBE" w:rsidRPr="0034598D" w:rsidRDefault="00765CBE" w:rsidP="00765CBE">
      <w:pPr>
        <w:spacing w:after="160" w:line="259" w:lineRule="auto"/>
        <w:rPr>
          <w:rFonts w:eastAsiaTheme="minorHAnsi" w:cs="Tahoma"/>
          <w:szCs w:val="20"/>
        </w:rPr>
      </w:pPr>
      <w:r w:rsidRPr="0034598D">
        <w:rPr>
          <w:rFonts w:eastAsiaTheme="minorHAnsi" w:cs="Tahoma"/>
          <w:szCs w:val="20"/>
        </w:rPr>
        <w:t xml:space="preserve">Il bene è stato </w:t>
      </w:r>
      <w:r w:rsidRPr="0034598D">
        <w:rPr>
          <w:rFonts w:eastAsiaTheme="minorHAnsi" w:cs="Tahoma"/>
          <w:b/>
          <w:bCs/>
          <w:szCs w:val="20"/>
        </w:rPr>
        <w:t>INTERCONNESSO</w:t>
      </w:r>
      <w:r w:rsidRPr="0034598D">
        <w:rPr>
          <w:rFonts w:eastAsiaTheme="minorHAnsi" w:cs="Tahoma"/>
          <w:szCs w:val="20"/>
        </w:rPr>
        <w:t xml:space="preserve"> NEL    </w:t>
      </w:r>
      <w:r w:rsidRPr="0034598D">
        <w:rPr>
          <w:rFonts w:eastAsiaTheme="minorHAnsi" w:cs="Tahoma"/>
          <w:szCs w:val="20"/>
        </w:rPr>
        <w:t xml:space="preserve"> 2020  </w:t>
      </w:r>
      <w:r w:rsidRPr="0034598D">
        <w:rPr>
          <w:rFonts w:eastAsiaTheme="minorHAnsi" w:cs="Tahoma"/>
          <w:szCs w:val="20"/>
        </w:rPr>
        <w:t xml:space="preserve"> 2021  </w:t>
      </w:r>
      <w:r w:rsidRPr="0034598D">
        <w:rPr>
          <w:rFonts w:eastAsiaTheme="minorHAnsi" w:cs="Tahoma"/>
          <w:szCs w:val="20"/>
        </w:rPr>
        <w:t xml:space="preserve"> 2022  </w:t>
      </w:r>
      <w:r w:rsidRPr="0034598D">
        <w:rPr>
          <w:rFonts w:eastAsiaTheme="minorHAnsi" w:cs="Tahoma"/>
          <w:szCs w:val="20"/>
        </w:rPr>
        <w:t> 2023</w:t>
      </w:r>
    </w:p>
    <w:p w14:paraId="2CDCCA30" w14:textId="77777777" w:rsidR="00765CBE" w:rsidRPr="0034598D" w:rsidRDefault="00765CBE" w:rsidP="00765CBE">
      <w:pPr>
        <w:spacing w:after="160" w:line="259" w:lineRule="auto"/>
        <w:rPr>
          <w:rFonts w:eastAsiaTheme="minorHAnsi" w:cs="Tahoma"/>
          <w:szCs w:val="20"/>
        </w:rPr>
      </w:pPr>
      <w:r w:rsidRPr="0034598D">
        <w:rPr>
          <w:rFonts w:eastAsiaTheme="minorHAnsi" w:cs="Tahoma"/>
          <w:szCs w:val="20"/>
        </w:rPr>
        <w:t>L’</w:t>
      </w:r>
      <w:r w:rsidRPr="0034598D">
        <w:rPr>
          <w:rFonts w:eastAsiaTheme="minorHAnsi" w:cs="Tahoma"/>
          <w:b/>
          <w:bCs/>
          <w:szCs w:val="20"/>
        </w:rPr>
        <w:t>INTERCONNESSIONE</w:t>
      </w:r>
      <w:r w:rsidRPr="0034598D">
        <w:rPr>
          <w:rFonts w:eastAsiaTheme="minorHAnsi" w:cs="Tahoma"/>
          <w:szCs w:val="20"/>
        </w:rPr>
        <w:t xml:space="preserve"> è stata verificata in data  __/____/_____.</w:t>
      </w:r>
    </w:p>
    <w:p w14:paraId="2D455C1F" w14:textId="51F7E205" w:rsidR="00765CBE" w:rsidRPr="0034598D" w:rsidRDefault="00765CBE" w:rsidP="00765CBE">
      <w:pPr>
        <w:spacing w:after="160" w:line="259" w:lineRule="auto"/>
        <w:rPr>
          <w:rFonts w:eastAsiaTheme="minorHAnsi" w:cs="Tahoma"/>
          <w:szCs w:val="20"/>
        </w:rPr>
      </w:pPr>
      <w:r w:rsidRPr="0034598D">
        <w:rPr>
          <w:rFonts w:eastAsiaTheme="minorHAnsi" w:cs="Tahoma"/>
          <w:szCs w:val="20"/>
        </w:rPr>
        <w:t>Preso atto che il valore complessivo degli investimenti (beni, inclusi componenti e accessori) rilevante ai fini dell’agevolazione</w:t>
      </w:r>
      <w:r w:rsidR="00AB2CF3" w:rsidRPr="0034598D">
        <w:rPr>
          <w:rFonts w:eastAsiaTheme="minorHAnsi" w:cs="Tahoma"/>
          <w:szCs w:val="20"/>
        </w:rPr>
        <w:t xml:space="preserve"> </w:t>
      </w:r>
      <w:r w:rsidRPr="0034598D">
        <w:rPr>
          <w:rFonts w:eastAsiaTheme="minorHAnsi" w:cs="Tahoma"/>
          <w:szCs w:val="20"/>
        </w:rPr>
        <w:t>è pari a un importo lordo complessivo di euro: ________________</w:t>
      </w:r>
    </w:p>
    <w:p w14:paraId="734377CA" w14:textId="77777777" w:rsidR="00AB2CF3" w:rsidRPr="0034598D" w:rsidRDefault="00AB2CF3" w:rsidP="00765CBE">
      <w:pPr>
        <w:spacing w:after="160" w:line="259" w:lineRule="auto"/>
        <w:jc w:val="center"/>
        <w:rPr>
          <w:rFonts w:eastAsiaTheme="minorHAnsi" w:cs="Tahoma"/>
          <w:b/>
          <w:bCs/>
          <w:sz w:val="22"/>
        </w:rPr>
      </w:pPr>
    </w:p>
    <w:p w14:paraId="58EBCC14" w14:textId="6566B384" w:rsidR="00765CBE" w:rsidRDefault="00765CBE" w:rsidP="00765CBE">
      <w:pPr>
        <w:spacing w:after="160" w:line="259" w:lineRule="auto"/>
        <w:jc w:val="center"/>
        <w:rPr>
          <w:rFonts w:eastAsiaTheme="minorHAnsi" w:cs="Tahoma"/>
          <w:b/>
          <w:bCs/>
          <w:sz w:val="22"/>
        </w:rPr>
      </w:pPr>
      <w:r w:rsidRPr="0034598D">
        <w:rPr>
          <w:rFonts w:eastAsiaTheme="minorHAnsi" w:cs="Tahoma"/>
          <w:b/>
          <w:bCs/>
          <w:sz w:val="22"/>
        </w:rPr>
        <w:t>ATTESTA INOLTRE</w:t>
      </w:r>
    </w:p>
    <w:p w14:paraId="3001AE57" w14:textId="77777777" w:rsidR="006843EF" w:rsidRPr="0034598D" w:rsidRDefault="006843EF" w:rsidP="00765CBE">
      <w:pPr>
        <w:spacing w:after="160" w:line="259" w:lineRule="auto"/>
        <w:jc w:val="center"/>
        <w:rPr>
          <w:rFonts w:eastAsiaTheme="minorHAnsi" w:cs="Tahoma"/>
          <w:b/>
          <w:bCs/>
          <w:sz w:val="22"/>
        </w:rPr>
      </w:pPr>
    </w:p>
    <w:p w14:paraId="69010BA8" w14:textId="7329EA66" w:rsidR="00765CBE" w:rsidRPr="0034598D" w:rsidRDefault="00765CBE" w:rsidP="00765CBE">
      <w:pPr>
        <w:spacing w:after="160" w:line="259" w:lineRule="auto"/>
        <w:jc w:val="both"/>
        <w:rPr>
          <w:rFonts w:eastAsiaTheme="minorHAnsi" w:cs="Tahoma"/>
          <w:szCs w:val="20"/>
        </w:rPr>
      </w:pPr>
      <w:r w:rsidRPr="0034598D">
        <w:rPr>
          <w:rFonts w:eastAsiaTheme="minorHAnsi" w:cs="Tahoma"/>
          <w:szCs w:val="20"/>
        </w:rPr>
        <w:t xml:space="preserve">Di sottoscrivere la presente </w:t>
      </w:r>
      <w:r w:rsidR="00AB2CF3" w:rsidRPr="0034598D">
        <w:rPr>
          <w:rFonts w:eastAsiaTheme="minorHAnsi" w:cs="Tahoma"/>
          <w:szCs w:val="20"/>
        </w:rPr>
        <w:t>autocertificazione</w:t>
      </w:r>
      <w:r w:rsidRPr="0034598D">
        <w:rPr>
          <w:rFonts w:eastAsiaTheme="minorHAnsi" w:cs="Tahoma"/>
          <w:szCs w:val="20"/>
        </w:rPr>
        <w:t xml:space="preserve"> confermando la veridicità, la correttezza e la certezza delle affermazioni, rilevazioni e più in generale dei contenuti in essa riportati.</w:t>
      </w:r>
    </w:p>
    <w:p w14:paraId="6829178D" w14:textId="77777777" w:rsidR="00765CBE" w:rsidRPr="0034598D" w:rsidRDefault="00765CBE" w:rsidP="00765CBE">
      <w:pPr>
        <w:spacing w:after="160" w:line="259" w:lineRule="auto"/>
        <w:rPr>
          <w:rFonts w:eastAsiaTheme="minorHAnsi" w:cs="Tahoma"/>
          <w:szCs w:val="20"/>
        </w:rPr>
      </w:pPr>
    </w:p>
    <w:p w14:paraId="03DD4EE2" w14:textId="6F082214" w:rsidR="00F61C3D" w:rsidRPr="0034598D" w:rsidRDefault="00765CBE" w:rsidP="00A90AA2">
      <w:pPr>
        <w:spacing w:after="160" w:line="259" w:lineRule="auto"/>
        <w:rPr>
          <w:rStyle w:val="Internetlink"/>
          <w:rFonts w:eastAsiaTheme="minorHAnsi" w:cs="Tahoma"/>
          <w:color w:val="auto"/>
          <w:szCs w:val="20"/>
          <w:u w:val="none"/>
        </w:rPr>
      </w:pPr>
      <w:r w:rsidRPr="0034598D">
        <w:rPr>
          <w:rFonts w:eastAsiaTheme="minorHAnsi" w:cs="Tahoma"/>
          <w:szCs w:val="20"/>
        </w:rPr>
        <w:t>Data e luogo ______________________                  Firma________________________________________</w:t>
      </w:r>
    </w:p>
    <w:sectPr w:rsidR="00F61C3D" w:rsidRPr="0034598D" w:rsidSect="00A90ED0">
      <w:pgSz w:w="11906" w:h="16838"/>
      <w:pgMar w:top="833"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EB2DB" w14:textId="77777777" w:rsidR="00243D78" w:rsidRDefault="00243D78" w:rsidP="000756EB">
      <w:pPr>
        <w:spacing w:after="0" w:line="240" w:lineRule="auto"/>
      </w:pPr>
      <w:r>
        <w:separator/>
      </w:r>
    </w:p>
  </w:endnote>
  <w:endnote w:type="continuationSeparator" w:id="0">
    <w:p w14:paraId="2A13EA07" w14:textId="77777777" w:rsidR="00243D78" w:rsidRDefault="00243D78" w:rsidP="000756EB">
      <w:pPr>
        <w:spacing w:after="0" w:line="240" w:lineRule="auto"/>
      </w:pPr>
      <w:r>
        <w:continuationSeparator/>
      </w:r>
    </w:p>
  </w:endnote>
  <w:endnote w:type="continuationNotice" w:id="1">
    <w:p w14:paraId="4F806E00" w14:textId="77777777" w:rsidR="00243D78" w:rsidRDefault="00243D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D000605B" w:usb2="00000029" w:usb3="00000000" w:csb0="800101FF" w:csb1="00000000"/>
  </w:font>
  <w:font w:name="OpenSymbol">
    <w:altName w:val="Calibri"/>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masis MT">
    <w:altName w:val="Cambria"/>
    <w:panose1 w:val="00000000000000000000"/>
    <w:charset w:val="00"/>
    <w:family w:val="roman"/>
    <w:notTrueType/>
    <w:pitch w:val="variable"/>
    <w:sig w:usb0="00000003" w:usb1="00000000" w:usb2="00000000" w:usb3="00000000" w:csb0="00000001" w:csb1="00000000"/>
  </w:font>
  <w:font w:name="GoodPro-WideBlack">
    <w:altName w:val="Calibri"/>
    <w:panose1 w:val="00000000000000000000"/>
    <w:charset w:val="00"/>
    <w:family w:val="roman"/>
    <w:notTrueType/>
    <w:pitch w:val="variable"/>
    <w:sig w:usb0="00000003" w:usb1="00000000" w:usb2="00000000" w:usb3="00000000" w:csb0="00000001" w:csb1="00000000"/>
  </w:font>
  <w:font w:name="GoodPro-CondBold">
    <w:altName w:val="Calibri"/>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nt424">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Minion Pro">
    <w:panose1 w:val="02040703060201020203"/>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alace Script MT">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7134" w14:textId="77777777" w:rsidR="00730AE3" w:rsidRDefault="00730AE3"/>
  <w:tbl>
    <w:tblPr>
      <w:tblW w:w="9464" w:type="dxa"/>
      <w:tblBorders>
        <w:top w:val="single" w:sz="4" w:space="0" w:color="FF0000"/>
      </w:tblBorders>
      <w:tblLook w:val="04A0" w:firstRow="1" w:lastRow="0" w:firstColumn="1" w:lastColumn="0" w:noHBand="0" w:noVBand="1"/>
    </w:tblPr>
    <w:tblGrid>
      <w:gridCol w:w="9464"/>
    </w:tblGrid>
    <w:tr w:rsidR="00730AE3" w14:paraId="17501E71" w14:textId="77777777" w:rsidTr="001D403A">
      <w:trPr>
        <w:trHeight w:val="274"/>
      </w:trPr>
      <w:tc>
        <w:tcPr>
          <w:tcW w:w="9464" w:type="dxa"/>
          <w:shd w:val="clear" w:color="auto" w:fill="auto"/>
        </w:tcPr>
        <w:p w14:paraId="571AA225" w14:textId="77777777" w:rsidR="00730AE3" w:rsidRDefault="00730AE3" w:rsidP="001D403A">
          <w:pPr>
            <w:widowControl w:val="0"/>
            <w:spacing w:after="0" w:line="200" w:lineRule="exact"/>
            <w:rPr>
              <w:rFonts w:cs="Tahoma"/>
              <w:b/>
              <w:color w:val="4F81BD"/>
              <w:sz w:val="18"/>
              <w:szCs w:val="18"/>
            </w:rPr>
          </w:pPr>
        </w:p>
        <w:p w14:paraId="33CB3F82" w14:textId="3A17EB70" w:rsidR="00730AE3" w:rsidRPr="00000964" w:rsidRDefault="00730AE3" w:rsidP="001D403A">
          <w:pPr>
            <w:widowControl w:val="0"/>
            <w:spacing w:after="0" w:line="200" w:lineRule="exact"/>
            <w:rPr>
              <w:rFonts w:cs="Tahoma"/>
              <w:b/>
              <w:sz w:val="18"/>
              <w:szCs w:val="18"/>
            </w:rPr>
          </w:pPr>
          <w:r w:rsidRPr="00000964">
            <w:rPr>
              <w:rFonts w:cs="Tahoma"/>
              <w:b/>
              <w:color w:val="4F81BD"/>
              <w:sz w:val="18"/>
              <w:szCs w:val="18"/>
            </w:rPr>
            <w:t xml:space="preserve">E Book – Collana I PRATICI di Fiscoetasse                                                                                              </w:t>
          </w:r>
          <w:r w:rsidRPr="00000964">
            <w:rPr>
              <w:rFonts w:cs="Tahoma"/>
              <w:b/>
              <w:color w:val="4F81BD"/>
              <w:sz w:val="18"/>
              <w:szCs w:val="18"/>
            </w:rPr>
            <w:fldChar w:fldCharType="begin"/>
          </w:r>
          <w:r w:rsidRPr="00000964">
            <w:rPr>
              <w:rFonts w:cs="Tahoma"/>
              <w:b/>
              <w:color w:val="4F81BD"/>
              <w:sz w:val="18"/>
              <w:szCs w:val="18"/>
            </w:rPr>
            <w:instrText>PAGE   \* MERGEFORMAT</w:instrText>
          </w:r>
          <w:r w:rsidRPr="00000964">
            <w:rPr>
              <w:rFonts w:cs="Tahoma"/>
              <w:b/>
              <w:color w:val="4F81BD"/>
              <w:sz w:val="18"/>
              <w:szCs w:val="18"/>
            </w:rPr>
            <w:fldChar w:fldCharType="separate"/>
          </w:r>
          <w:r>
            <w:rPr>
              <w:rFonts w:cs="Tahoma"/>
              <w:b/>
              <w:noProof/>
              <w:color w:val="4F81BD"/>
              <w:sz w:val="18"/>
              <w:szCs w:val="18"/>
            </w:rPr>
            <w:t>2</w:t>
          </w:r>
          <w:r w:rsidRPr="00000964">
            <w:rPr>
              <w:rFonts w:cs="Tahoma"/>
              <w:b/>
              <w:color w:val="4F81BD"/>
              <w:sz w:val="18"/>
              <w:szCs w:val="18"/>
            </w:rPr>
            <w:fldChar w:fldCharType="end"/>
          </w:r>
          <w:r w:rsidRPr="00000964">
            <w:rPr>
              <w:rFonts w:cs="Tahoma"/>
              <w:b/>
              <w:color w:val="4F81BD"/>
              <w:sz w:val="18"/>
              <w:szCs w:val="18"/>
            </w:rPr>
            <w:t xml:space="preserve">                                 </w:t>
          </w:r>
        </w:p>
      </w:tc>
    </w:tr>
  </w:tbl>
  <w:p w14:paraId="77ACA213" w14:textId="77777777" w:rsidR="00730AE3" w:rsidRDefault="00730A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E5A4" w14:textId="4F54C266" w:rsidR="00497F05" w:rsidRDefault="00497F05">
    <w:pPr>
      <w:pStyle w:val="Pidipagina"/>
    </w:pPr>
  </w:p>
  <w:p w14:paraId="01B297E1" w14:textId="3B793787" w:rsidR="00497F05" w:rsidRDefault="00497F05">
    <w:pPr>
      <w:pStyle w:val="Pidipagina"/>
    </w:pPr>
  </w:p>
  <w:p w14:paraId="34541701" w14:textId="19034D7E" w:rsidR="00497F05" w:rsidRDefault="00497F05">
    <w:pPr>
      <w:pStyle w:val="Pidipagina"/>
    </w:pPr>
  </w:p>
  <w:p w14:paraId="2EC0A33B" w14:textId="2F42DAB6" w:rsidR="00497F05" w:rsidRDefault="00497F05">
    <w:pPr>
      <w:pStyle w:val="Pidipagina"/>
    </w:pPr>
  </w:p>
  <w:p w14:paraId="32CD4E83" w14:textId="77777777" w:rsidR="00497F05" w:rsidRDefault="00497F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2C66A" w14:textId="77777777" w:rsidR="00243D78" w:rsidRDefault="00243D78" w:rsidP="000756EB">
      <w:pPr>
        <w:spacing w:after="0" w:line="240" w:lineRule="auto"/>
      </w:pPr>
      <w:r>
        <w:separator/>
      </w:r>
    </w:p>
  </w:footnote>
  <w:footnote w:type="continuationSeparator" w:id="0">
    <w:p w14:paraId="318E34B9" w14:textId="77777777" w:rsidR="00243D78" w:rsidRDefault="00243D78" w:rsidP="000756EB">
      <w:pPr>
        <w:spacing w:after="0" w:line="240" w:lineRule="auto"/>
      </w:pPr>
      <w:r>
        <w:continuationSeparator/>
      </w:r>
    </w:p>
  </w:footnote>
  <w:footnote w:type="continuationNotice" w:id="1">
    <w:p w14:paraId="2E1C2AE1" w14:textId="77777777" w:rsidR="00243D78" w:rsidRDefault="00243D78">
      <w:pPr>
        <w:spacing w:after="0" w:line="240" w:lineRule="auto"/>
      </w:pPr>
    </w:p>
  </w:footnote>
  <w:footnote w:id="2">
    <w:p w14:paraId="10E1B4E8" w14:textId="77777777" w:rsidR="00765CBE" w:rsidRPr="004414B7" w:rsidRDefault="00765CBE" w:rsidP="00765CBE">
      <w:pPr>
        <w:pStyle w:val="Testonotaapidipagina"/>
        <w:spacing w:after="120" w:line="276" w:lineRule="auto"/>
        <w:jc w:val="both"/>
        <w:rPr>
          <w:rFonts w:ascii="Tahoma" w:hAnsi="Tahoma" w:cs="Tahoma"/>
          <w:sz w:val="18"/>
          <w:szCs w:val="18"/>
        </w:rPr>
      </w:pPr>
      <w:r w:rsidRPr="004414B7">
        <w:rPr>
          <w:rStyle w:val="Rimandonotaapidipagina"/>
          <w:rFonts w:ascii="Tahoma" w:hAnsi="Tahoma" w:cs="Tahoma"/>
          <w:sz w:val="18"/>
          <w:szCs w:val="18"/>
        </w:rPr>
        <w:footnoteRef/>
      </w:r>
      <w:r w:rsidRPr="004414B7">
        <w:rPr>
          <w:rFonts w:ascii="Tahoma" w:hAnsi="Tahoma" w:cs="Tahoma"/>
          <w:sz w:val="18"/>
          <w:szCs w:val="18"/>
        </w:rPr>
        <w:t xml:space="preserve"> Barrare la/e voce/i dell’allegato A cui è riconducibile ciascun investimento effettuato (vedasi legenda in appendice).</w:t>
      </w:r>
    </w:p>
  </w:footnote>
  <w:footnote w:id="3">
    <w:p w14:paraId="3DE5D264" w14:textId="77777777" w:rsidR="00765CBE" w:rsidRDefault="00765CBE" w:rsidP="00765CBE">
      <w:pPr>
        <w:pStyle w:val="Testonotaapidipagina"/>
      </w:pPr>
      <w:r w:rsidRPr="004414B7">
        <w:rPr>
          <w:rStyle w:val="Rimandonotaapidipagina"/>
          <w:rFonts w:ascii="Tahoma" w:hAnsi="Tahoma" w:cs="Tahoma"/>
          <w:sz w:val="18"/>
          <w:szCs w:val="18"/>
        </w:rPr>
        <w:footnoteRef/>
      </w:r>
      <w:r w:rsidRPr="004414B7">
        <w:rPr>
          <w:rFonts w:ascii="Tahoma" w:hAnsi="Tahoma" w:cs="Tahoma"/>
          <w:sz w:val="18"/>
          <w:szCs w:val="18"/>
        </w:rPr>
        <w:t xml:space="preserve"> Barrare la/e voce/i dell’allegato B cui è riconducibile ciascun investimento effettuato (vedasi legenda in appendice).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21BF" w14:textId="77F11AA9" w:rsidR="00730AE3" w:rsidRPr="004414B7" w:rsidRDefault="00730AE3" w:rsidP="002247B4">
    <w:pPr>
      <w:jc w:val="center"/>
      <w:rPr>
        <w:rFonts w:eastAsia="Minion Pro" w:cs="Tahoma"/>
        <w:caps/>
        <w:smallCaps/>
        <w:color w:val="BFBFBF" w:themeColor="background1" w:themeShade="BF"/>
        <w:position w:val="1"/>
        <w:sz w:val="18"/>
        <w:szCs w:val="18"/>
        <w:u w:val="single"/>
        <w:lang w:eastAsia="it-IT"/>
      </w:rPr>
    </w:pPr>
    <w:r w:rsidRPr="004414B7">
      <w:rPr>
        <w:rFonts w:eastAsia="Minion Pro" w:cs="Tahoma"/>
        <w:caps/>
        <w:smallCaps/>
        <w:color w:val="BFBFBF" w:themeColor="background1" w:themeShade="BF"/>
        <w:position w:val="1"/>
        <w:sz w:val="18"/>
        <w:szCs w:val="18"/>
        <w:u w:val="single"/>
        <w:lang w:eastAsia="it-IT"/>
      </w:rPr>
      <w:t>simone dimitri</w:t>
    </w:r>
    <w:r w:rsidR="008723D5" w:rsidRPr="004414B7">
      <w:rPr>
        <w:rFonts w:eastAsia="Minion Pro" w:cs="Tahoma"/>
        <w:caps/>
        <w:smallCaps/>
        <w:color w:val="BFBFBF" w:themeColor="background1" w:themeShade="BF"/>
        <w:position w:val="1"/>
        <w:sz w:val="18"/>
        <w:szCs w:val="18"/>
        <w:u w:val="single"/>
        <w:lang w:eastAsia="it-IT"/>
      </w:rPr>
      <w:t xml:space="preserve">, </w:t>
    </w:r>
    <w:r w:rsidR="00774B6C" w:rsidRPr="004414B7">
      <w:rPr>
        <w:rFonts w:eastAsia="Minion Pro" w:cs="Tahoma"/>
        <w:caps/>
        <w:smallCaps/>
        <w:color w:val="BFBFBF" w:themeColor="background1" w:themeShade="BF"/>
        <w:position w:val="1"/>
        <w:sz w:val="18"/>
        <w:szCs w:val="18"/>
        <w:u w:val="single"/>
        <w:lang w:eastAsia="it-IT"/>
      </w:rPr>
      <w:t xml:space="preserve">CLARA POLLET </w:t>
    </w:r>
    <w:r w:rsidR="001D01D8" w:rsidRPr="004414B7">
      <w:rPr>
        <w:rFonts w:eastAsia="Minion Pro" w:cs="Tahoma"/>
        <w:caps/>
        <w:smallCaps/>
        <w:color w:val="BFBFBF" w:themeColor="background1" w:themeShade="BF"/>
        <w:position w:val="1"/>
        <w:sz w:val="18"/>
        <w:szCs w:val="18"/>
        <w:u w:val="single"/>
        <w:lang w:eastAsia="it-IT"/>
      </w:rPr>
      <w:t>–CREDITI D’IMPOSTA BENI STRUMENTALI</w:t>
    </w:r>
  </w:p>
  <w:p w14:paraId="5A2F84C3" w14:textId="77777777" w:rsidR="00730AE3" w:rsidRDefault="00730A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00E1" w14:textId="6EB2AA1A" w:rsidR="00497F05" w:rsidRDefault="00497F05">
    <w:pPr>
      <w:pStyle w:val="Intestazione"/>
    </w:pPr>
  </w:p>
  <w:p w14:paraId="5734AC5E" w14:textId="1AC574FB" w:rsidR="00497F05" w:rsidRDefault="00497F05">
    <w:pPr>
      <w:pStyle w:val="Intestazione"/>
    </w:pPr>
  </w:p>
  <w:p w14:paraId="24258B11" w14:textId="77777777" w:rsidR="00497F05" w:rsidRDefault="00497F0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0"/>
        </w:tabs>
        <w:ind w:left="360" w:hanging="360"/>
      </w:pPr>
      <w:rPr>
        <w:rFonts w:ascii="Symbol" w:hAnsi="Symbol"/>
        <w:color w:val="FF000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FF000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FF000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000007"/>
    <w:multiLevelType w:val="multilevel"/>
    <w:tmpl w:val="00000007"/>
    <w:name w:val="WW8Num7"/>
    <w:lvl w:ilvl="0">
      <w:start w:val="1"/>
      <w:numFmt w:val="lowerLetter"/>
      <w:lvlText w:val="%1)"/>
      <w:lvlJc w:val="left"/>
      <w:pPr>
        <w:tabs>
          <w:tab w:val="num" w:pos="0"/>
        </w:tabs>
        <w:ind w:left="360" w:hanging="360"/>
      </w:pPr>
      <w:rPr>
        <w:rFonts w:ascii="Tahoma" w:hAnsi="Tahoma" w:cs="Tahoma"/>
        <w:bCs/>
        <w:color w:val="000000"/>
        <w:sz w:val="20"/>
        <w:szCs w:val="20"/>
      </w:rPr>
    </w:lvl>
    <w:lvl w:ilvl="1">
      <w:start w:val="1"/>
      <w:numFmt w:val="lowerLetter"/>
      <w:lvlText w:val="%2."/>
      <w:lvlJc w:val="left"/>
      <w:pPr>
        <w:tabs>
          <w:tab w:val="num" w:pos="0"/>
        </w:tabs>
        <w:ind w:left="1080" w:hanging="360"/>
      </w:pPr>
      <w:rPr>
        <w:rFonts w:ascii="Tahoma" w:hAnsi="Tahoma" w:cs="Tahoma"/>
        <w:bCs/>
        <w:color w:val="000000"/>
        <w:sz w:val="20"/>
        <w:szCs w:val="20"/>
      </w:rPr>
    </w:lvl>
    <w:lvl w:ilvl="2">
      <w:start w:val="1"/>
      <w:numFmt w:val="lowerRoman"/>
      <w:lvlText w:val="%2.%3."/>
      <w:lvlJc w:val="right"/>
      <w:pPr>
        <w:tabs>
          <w:tab w:val="num" w:pos="0"/>
        </w:tabs>
        <w:ind w:left="1800" w:hanging="180"/>
      </w:pPr>
      <w:rPr>
        <w:rFonts w:ascii="Tahoma" w:hAnsi="Tahoma" w:cs="Tahoma"/>
        <w:bCs/>
        <w:color w:val="000000"/>
        <w:sz w:val="20"/>
        <w:szCs w:val="20"/>
      </w:rPr>
    </w:lvl>
    <w:lvl w:ilvl="3">
      <w:start w:val="1"/>
      <w:numFmt w:val="decimal"/>
      <w:lvlText w:val="%2.%3.%4."/>
      <w:lvlJc w:val="left"/>
      <w:pPr>
        <w:tabs>
          <w:tab w:val="num" w:pos="0"/>
        </w:tabs>
        <w:ind w:left="2520" w:hanging="360"/>
      </w:pPr>
      <w:rPr>
        <w:rFonts w:ascii="Tahoma" w:hAnsi="Tahoma" w:cs="Tahoma"/>
        <w:bCs/>
        <w:color w:val="000000"/>
        <w:sz w:val="20"/>
        <w:szCs w:val="20"/>
      </w:rPr>
    </w:lvl>
    <w:lvl w:ilvl="4">
      <w:start w:val="1"/>
      <w:numFmt w:val="lowerLetter"/>
      <w:lvlText w:val="%2.%3.%4.%5."/>
      <w:lvlJc w:val="left"/>
      <w:pPr>
        <w:tabs>
          <w:tab w:val="num" w:pos="0"/>
        </w:tabs>
        <w:ind w:left="3240" w:hanging="360"/>
      </w:pPr>
      <w:rPr>
        <w:rFonts w:ascii="Tahoma" w:hAnsi="Tahoma" w:cs="Tahoma"/>
        <w:bCs/>
        <w:color w:val="000000"/>
        <w:sz w:val="20"/>
        <w:szCs w:val="20"/>
      </w:rPr>
    </w:lvl>
    <w:lvl w:ilvl="5">
      <w:start w:val="1"/>
      <w:numFmt w:val="lowerRoman"/>
      <w:lvlText w:val="%2.%3.%4.%5.%6."/>
      <w:lvlJc w:val="right"/>
      <w:pPr>
        <w:tabs>
          <w:tab w:val="num" w:pos="0"/>
        </w:tabs>
        <w:ind w:left="3960" w:hanging="180"/>
      </w:pPr>
      <w:rPr>
        <w:rFonts w:ascii="Tahoma" w:hAnsi="Tahoma" w:cs="Tahoma"/>
        <w:bCs/>
        <w:color w:val="000000"/>
        <w:sz w:val="20"/>
        <w:szCs w:val="20"/>
      </w:rPr>
    </w:lvl>
    <w:lvl w:ilvl="6">
      <w:start w:val="1"/>
      <w:numFmt w:val="decimal"/>
      <w:lvlText w:val="%2.%3.%4.%5.%6.%7."/>
      <w:lvlJc w:val="left"/>
      <w:pPr>
        <w:tabs>
          <w:tab w:val="num" w:pos="0"/>
        </w:tabs>
        <w:ind w:left="4680" w:hanging="360"/>
      </w:pPr>
      <w:rPr>
        <w:rFonts w:ascii="Tahoma" w:hAnsi="Tahoma" w:cs="Tahoma"/>
        <w:bCs/>
        <w:color w:val="000000"/>
        <w:sz w:val="20"/>
        <w:szCs w:val="20"/>
      </w:rPr>
    </w:lvl>
    <w:lvl w:ilvl="7">
      <w:start w:val="1"/>
      <w:numFmt w:val="lowerLetter"/>
      <w:lvlText w:val="%2.%3.%4.%5.%6.%7.%8."/>
      <w:lvlJc w:val="left"/>
      <w:pPr>
        <w:tabs>
          <w:tab w:val="num" w:pos="0"/>
        </w:tabs>
        <w:ind w:left="5400" w:hanging="360"/>
      </w:pPr>
      <w:rPr>
        <w:rFonts w:ascii="Tahoma" w:hAnsi="Tahoma" w:cs="Tahoma"/>
        <w:bCs/>
        <w:color w:val="000000"/>
        <w:sz w:val="20"/>
        <w:szCs w:val="20"/>
      </w:rPr>
    </w:lvl>
    <w:lvl w:ilvl="8">
      <w:start w:val="1"/>
      <w:numFmt w:val="lowerRoman"/>
      <w:lvlText w:val="%2.%3.%4.%5.%6.%7.%8.%9."/>
      <w:lvlJc w:val="right"/>
      <w:pPr>
        <w:tabs>
          <w:tab w:val="num" w:pos="0"/>
        </w:tabs>
        <w:ind w:left="6120" w:hanging="180"/>
      </w:pPr>
      <w:rPr>
        <w:rFonts w:ascii="Tahoma" w:hAnsi="Tahoma" w:cs="Tahoma"/>
        <w:bCs/>
        <w:color w:val="000000"/>
        <w:sz w:val="20"/>
        <w:szCs w:val="20"/>
      </w:rPr>
    </w:lvl>
  </w:abstractNum>
  <w:abstractNum w:abstractNumId="2" w15:restartNumberingAfterBreak="0">
    <w:nsid w:val="00000009"/>
    <w:multiLevelType w:val="multilevel"/>
    <w:tmpl w:val="00000009"/>
    <w:name w:val="WW8Num9"/>
    <w:lvl w:ilvl="0">
      <w:start w:val="1"/>
      <w:numFmt w:val="lowerLetter"/>
      <w:lvlText w:val="%1)"/>
      <w:lvlJc w:val="left"/>
      <w:pPr>
        <w:tabs>
          <w:tab w:val="num" w:pos="0"/>
        </w:tabs>
        <w:ind w:left="360" w:hanging="360"/>
      </w:pPr>
      <w:rPr>
        <w:rFonts w:cs="Times New Roman"/>
        <w:bCs/>
        <w:color w:val="000000"/>
        <w:sz w:val="20"/>
        <w:szCs w:val="20"/>
      </w:rPr>
    </w:lvl>
    <w:lvl w:ilvl="1">
      <w:start w:val="1"/>
      <w:numFmt w:val="lowerLetter"/>
      <w:lvlText w:val="%2."/>
      <w:lvlJc w:val="left"/>
      <w:pPr>
        <w:tabs>
          <w:tab w:val="num" w:pos="0"/>
        </w:tabs>
        <w:ind w:left="1080" w:hanging="360"/>
      </w:pPr>
      <w:rPr>
        <w:rFonts w:cs="Times New Roman"/>
        <w:bCs/>
        <w:color w:val="000000"/>
        <w:sz w:val="20"/>
        <w:szCs w:val="20"/>
      </w:rPr>
    </w:lvl>
    <w:lvl w:ilvl="2">
      <w:start w:val="1"/>
      <w:numFmt w:val="lowerRoman"/>
      <w:lvlText w:val="%2.%3."/>
      <w:lvlJc w:val="right"/>
      <w:pPr>
        <w:tabs>
          <w:tab w:val="num" w:pos="0"/>
        </w:tabs>
        <w:ind w:left="1800" w:hanging="180"/>
      </w:pPr>
      <w:rPr>
        <w:rFonts w:cs="Times New Roman"/>
        <w:bCs/>
        <w:color w:val="000000"/>
        <w:sz w:val="20"/>
        <w:szCs w:val="20"/>
      </w:rPr>
    </w:lvl>
    <w:lvl w:ilvl="3">
      <w:start w:val="1"/>
      <w:numFmt w:val="decimal"/>
      <w:lvlText w:val="%2.%3.%4."/>
      <w:lvlJc w:val="left"/>
      <w:pPr>
        <w:tabs>
          <w:tab w:val="num" w:pos="0"/>
        </w:tabs>
        <w:ind w:left="2520" w:hanging="360"/>
      </w:pPr>
      <w:rPr>
        <w:rFonts w:cs="Times New Roman"/>
        <w:bCs/>
        <w:color w:val="000000"/>
        <w:sz w:val="20"/>
        <w:szCs w:val="20"/>
      </w:rPr>
    </w:lvl>
    <w:lvl w:ilvl="4">
      <w:start w:val="1"/>
      <w:numFmt w:val="lowerLetter"/>
      <w:lvlText w:val="%2.%3.%4.%5."/>
      <w:lvlJc w:val="left"/>
      <w:pPr>
        <w:tabs>
          <w:tab w:val="num" w:pos="0"/>
        </w:tabs>
        <w:ind w:left="3240" w:hanging="360"/>
      </w:pPr>
      <w:rPr>
        <w:rFonts w:cs="Times New Roman"/>
        <w:bCs/>
        <w:color w:val="000000"/>
        <w:sz w:val="20"/>
        <w:szCs w:val="20"/>
      </w:rPr>
    </w:lvl>
    <w:lvl w:ilvl="5">
      <w:start w:val="1"/>
      <w:numFmt w:val="lowerRoman"/>
      <w:lvlText w:val="%2.%3.%4.%5.%6."/>
      <w:lvlJc w:val="right"/>
      <w:pPr>
        <w:tabs>
          <w:tab w:val="num" w:pos="0"/>
        </w:tabs>
        <w:ind w:left="3960" w:hanging="180"/>
      </w:pPr>
      <w:rPr>
        <w:rFonts w:cs="Times New Roman"/>
        <w:bCs/>
        <w:color w:val="000000"/>
        <w:sz w:val="20"/>
        <w:szCs w:val="20"/>
      </w:rPr>
    </w:lvl>
    <w:lvl w:ilvl="6">
      <w:start w:val="1"/>
      <w:numFmt w:val="decimal"/>
      <w:lvlText w:val="%2.%3.%4.%5.%6.%7."/>
      <w:lvlJc w:val="left"/>
      <w:pPr>
        <w:tabs>
          <w:tab w:val="num" w:pos="0"/>
        </w:tabs>
        <w:ind w:left="4680" w:hanging="360"/>
      </w:pPr>
      <w:rPr>
        <w:rFonts w:cs="Times New Roman"/>
        <w:bCs/>
        <w:color w:val="000000"/>
        <w:sz w:val="20"/>
        <w:szCs w:val="20"/>
      </w:rPr>
    </w:lvl>
    <w:lvl w:ilvl="7">
      <w:start w:val="1"/>
      <w:numFmt w:val="lowerLetter"/>
      <w:lvlText w:val="%2.%3.%4.%5.%6.%7.%8."/>
      <w:lvlJc w:val="left"/>
      <w:pPr>
        <w:tabs>
          <w:tab w:val="num" w:pos="0"/>
        </w:tabs>
        <w:ind w:left="5400" w:hanging="360"/>
      </w:pPr>
      <w:rPr>
        <w:rFonts w:cs="Times New Roman"/>
        <w:bCs/>
        <w:color w:val="000000"/>
        <w:sz w:val="20"/>
        <w:szCs w:val="20"/>
      </w:rPr>
    </w:lvl>
    <w:lvl w:ilvl="8">
      <w:start w:val="1"/>
      <w:numFmt w:val="lowerRoman"/>
      <w:lvlText w:val="%2.%3.%4.%5.%6.%7.%8.%9."/>
      <w:lvlJc w:val="right"/>
      <w:pPr>
        <w:tabs>
          <w:tab w:val="num" w:pos="0"/>
        </w:tabs>
        <w:ind w:left="6120" w:hanging="180"/>
      </w:pPr>
      <w:rPr>
        <w:rFonts w:cs="Times New Roman"/>
        <w:bCs/>
        <w:color w:val="000000"/>
        <w:sz w:val="20"/>
        <w:szCs w:val="20"/>
      </w:rPr>
    </w:lvl>
  </w:abstractNum>
  <w:abstractNum w:abstractNumId="3"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Courier New" w:hAnsi="Courier New"/>
        <w:color w:val="FF0000"/>
        <w:sz w:val="20"/>
      </w:rPr>
    </w:lvl>
    <w:lvl w:ilvl="1">
      <w:start w:val="1"/>
      <w:numFmt w:val="bullet"/>
      <w:lvlText w:val="◦"/>
      <w:lvlJc w:val="left"/>
      <w:pPr>
        <w:tabs>
          <w:tab w:val="num" w:pos="0"/>
        </w:tabs>
        <w:ind w:left="1080" w:hanging="360"/>
      </w:pPr>
      <w:rPr>
        <w:rFonts w:ascii="OpenSymbol" w:hAnsi="OpenSymbol"/>
      </w:rPr>
    </w:lvl>
    <w:lvl w:ilvl="2">
      <w:start w:val="1"/>
      <w:numFmt w:val="bullet"/>
      <w:lvlText w:val="▪"/>
      <w:lvlJc w:val="left"/>
      <w:pPr>
        <w:tabs>
          <w:tab w:val="num" w:pos="0"/>
        </w:tabs>
        <w:ind w:left="1440" w:hanging="360"/>
      </w:pPr>
      <w:rPr>
        <w:rFonts w:ascii="OpenSymbol" w:hAnsi="OpenSymbol"/>
      </w:rPr>
    </w:lvl>
    <w:lvl w:ilvl="3">
      <w:start w:val="1"/>
      <w:numFmt w:val="bullet"/>
      <w:lvlText w:val=""/>
      <w:lvlJc w:val="left"/>
      <w:pPr>
        <w:tabs>
          <w:tab w:val="num" w:pos="0"/>
        </w:tabs>
        <w:ind w:left="1800" w:hanging="360"/>
      </w:pPr>
      <w:rPr>
        <w:rFonts w:ascii="Symbol" w:hAnsi="Symbol"/>
      </w:rPr>
    </w:lvl>
    <w:lvl w:ilvl="4">
      <w:start w:val="1"/>
      <w:numFmt w:val="bullet"/>
      <w:lvlText w:val="◦"/>
      <w:lvlJc w:val="left"/>
      <w:pPr>
        <w:tabs>
          <w:tab w:val="num" w:pos="0"/>
        </w:tabs>
        <w:ind w:left="2160" w:hanging="360"/>
      </w:pPr>
      <w:rPr>
        <w:rFonts w:ascii="OpenSymbol" w:hAnsi="OpenSymbol"/>
      </w:rPr>
    </w:lvl>
    <w:lvl w:ilvl="5">
      <w:start w:val="1"/>
      <w:numFmt w:val="bullet"/>
      <w:lvlText w:val="▪"/>
      <w:lvlJc w:val="left"/>
      <w:pPr>
        <w:tabs>
          <w:tab w:val="num" w:pos="0"/>
        </w:tabs>
        <w:ind w:left="2520" w:hanging="360"/>
      </w:pPr>
      <w:rPr>
        <w:rFonts w:ascii="OpenSymbol" w:hAnsi="OpenSymbol"/>
      </w:rPr>
    </w:lvl>
    <w:lvl w:ilvl="6">
      <w:start w:val="1"/>
      <w:numFmt w:val="bullet"/>
      <w:lvlText w:val=""/>
      <w:lvlJc w:val="left"/>
      <w:pPr>
        <w:tabs>
          <w:tab w:val="num" w:pos="0"/>
        </w:tabs>
        <w:ind w:left="2880" w:hanging="360"/>
      </w:pPr>
      <w:rPr>
        <w:rFonts w:ascii="Symbol" w:hAnsi="Symbol"/>
      </w:rPr>
    </w:lvl>
    <w:lvl w:ilvl="7">
      <w:start w:val="1"/>
      <w:numFmt w:val="bullet"/>
      <w:lvlText w:val="◦"/>
      <w:lvlJc w:val="left"/>
      <w:pPr>
        <w:tabs>
          <w:tab w:val="num" w:pos="0"/>
        </w:tabs>
        <w:ind w:left="3240" w:hanging="360"/>
      </w:pPr>
      <w:rPr>
        <w:rFonts w:ascii="OpenSymbol" w:hAnsi="OpenSymbol"/>
      </w:rPr>
    </w:lvl>
    <w:lvl w:ilvl="8">
      <w:start w:val="1"/>
      <w:numFmt w:val="bullet"/>
      <w:lvlText w:val="▪"/>
      <w:lvlJc w:val="left"/>
      <w:pPr>
        <w:tabs>
          <w:tab w:val="num" w:pos="0"/>
        </w:tabs>
        <w:ind w:left="3600" w:hanging="360"/>
      </w:pPr>
      <w:rPr>
        <w:rFonts w:ascii="OpenSymbol" w:hAnsi="OpenSymbol"/>
      </w:rPr>
    </w:lvl>
  </w:abstractNum>
  <w:abstractNum w:abstractNumId="4" w15:restartNumberingAfterBreak="0">
    <w:nsid w:val="00000012"/>
    <w:multiLevelType w:val="multilevel"/>
    <w:tmpl w:val="00000012"/>
    <w:name w:val="WW8Num18"/>
    <w:lvl w:ilvl="0">
      <w:start w:val="1"/>
      <w:numFmt w:val="bullet"/>
      <w:lvlText w:val=""/>
      <w:lvlJc w:val="left"/>
      <w:pPr>
        <w:tabs>
          <w:tab w:val="num" w:pos="0"/>
        </w:tabs>
        <w:ind w:left="360" w:hanging="360"/>
      </w:pPr>
      <w:rPr>
        <w:rFonts w:ascii="Symbol" w:hAnsi="Symbol"/>
        <w:color w:val="00000A"/>
        <w:sz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00000A"/>
        <w:sz w:val="2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00000A"/>
        <w:sz w:val="2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13"/>
    <w:multiLevelType w:val="multilevel"/>
    <w:tmpl w:val="00000013"/>
    <w:name w:val="WW8Num19"/>
    <w:lvl w:ilvl="0">
      <w:start w:val="1"/>
      <w:numFmt w:val="bullet"/>
      <w:lvlText w:val=""/>
      <w:lvlJc w:val="left"/>
      <w:pPr>
        <w:tabs>
          <w:tab w:val="num" w:pos="0"/>
        </w:tabs>
        <w:ind w:left="360" w:hanging="360"/>
      </w:pPr>
      <w:rPr>
        <w:rFonts w:ascii="Symbol" w:hAnsi="Symbol"/>
        <w:color w:val="00000A"/>
        <w:sz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00000A"/>
        <w:sz w:val="2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00000A"/>
        <w:sz w:val="2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15:restartNumberingAfterBreak="0">
    <w:nsid w:val="01821285"/>
    <w:multiLevelType w:val="hybridMultilevel"/>
    <w:tmpl w:val="43686C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28972C4"/>
    <w:multiLevelType w:val="hybridMultilevel"/>
    <w:tmpl w:val="43B250F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56E0B99"/>
    <w:multiLevelType w:val="hybridMultilevel"/>
    <w:tmpl w:val="31A265E4"/>
    <w:lvl w:ilvl="0" w:tplc="04100001">
      <w:start w:val="1"/>
      <w:numFmt w:val="bullet"/>
      <w:lvlText w:val=""/>
      <w:lvlJc w:val="left"/>
      <w:pPr>
        <w:ind w:left="784" w:hanging="360"/>
      </w:pPr>
      <w:rPr>
        <w:rFonts w:ascii="Symbol" w:hAnsi="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13" w15:restartNumberingAfterBreak="0">
    <w:nsid w:val="05D972AB"/>
    <w:multiLevelType w:val="hybridMultilevel"/>
    <w:tmpl w:val="B6822958"/>
    <w:lvl w:ilvl="0" w:tplc="8E8E6DF4">
      <w:start w:val="1"/>
      <w:numFmt w:val="lowerLetter"/>
      <w:pStyle w:val="Elencoabcd"/>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4" w15:restartNumberingAfterBreak="0">
    <w:nsid w:val="07B84060"/>
    <w:multiLevelType w:val="hybridMultilevel"/>
    <w:tmpl w:val="E60AB2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DD55770"/>
    <w:multiLevelType w:val="hybridMultilevel"/>
    <w:tmpl w:val="9DFC73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F804199"/>
    <w:multiLevelType w:val="hybridMultilevel"/>
    <w:tmpl w:val="FA88C046"/>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0FBF5880"/>
    <w:multiLevelType w:val="hybridMultilevel"/>
    <w:tmpl w:val="759422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1786989"/>
    <w:multiLevelType w:val="hybridMultilevel"/>
    <w:tmpl w:val="173CDE24"/>
    <w:lvl w:ilvl="0" w:tplc="0410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11D53EF1"/>
    <w:multiLevelType w:val="hybridMultilevel"/>
    <w:tmpl w:val="B74C8B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2BD0A45"/>
    <w:multiLevelType w:val="hybridMultilevel"/>
    <w:tmpl w:val="76CAB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43618C8"/>
    <w:multiLevelType w:val="hybridMultilevel"/>
    <w:tmpl w:val="BEA2E1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A4924"/>
    <w:multiLevelType w:val="hybridMultilevel"/>
    <w:tmpl w:val="53601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1562357"/>
    <w:multiLevelType w:val="hybridMultilevel"/>
    <w:tmpl w:val="06B6F1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249F160E"/>
    <w:multiLevelType w:val="hybridMultilevel"/>
    <w:tmpl w:val="A8A66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5A436D4"/>
    <w:multiLevelType w:val="hybridMultilevel"/>
    <w:tmpl w:val="2F1468A2"/>
    <w:lvl w:ilvl="0" w:tplc="04100011">
      <w:start w:val="1"/>
      <w:numFmt w:val="decimal"/>
      <w:lvlText w:val="%1)"/>
      <w:lvlJc w:val="left"/>
      <w:pPr>
        <w:ind w:left="720" w:hanging="360"/>
      </w:pPr>
      <w:rPr>
        <w:rFonts w:hint="default"/>
        <w:vanish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7BC2029"/>
    <w:multiLevelType w:val="hybridMultilevel"/>
    <w:tmpl w:val="CC7E9FA8"/>
    <w:lvl w:ilvl="0" w:tplc="07F6BAF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DE02328"/>
    <w:multiLevelType w:val="hybridMultilevel"/>
    <w:tmpl w:val="8A043F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F742492"/>
    <w:multiLevelType w:val="hybridMultilevel"/>
    <w:tmpl w:val="5A7013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44D1E17"/>
    <w:multiLevelType w:val="hybridMultilevel"/>
    <w:tmpl w:val="92764F3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4D63F96"/>
    <w:multiLevelType w:val="hybridMultilevel"/>
    <w:tmpl w:val="2752B9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8321932"/>
    <w:multiLevelType w:val="hybridMultilevel"/>
    <w:tmpl w:val="4946885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98742A2"/>
    <w:multiLevelType w:val="hybridMultilevel"/>
    <w:tmpl w:val="1C6EFC92"/>
    <w:lvl w:ilvl="0" w:tplc="04100001">
      <w:start w:val="1"/>
      <w:numFmt w:val="bullet"/>
      <w:lvlText w:val=""/>
      <w:lvlJc w:val="left"/>
      <w:pPr>
        <w:ind w:left="1511" w:hanging="360"/>
      </w:pPr>
      <w:rPr>
        <w:rFonts w:ascii="Symbol" w:hAnsi="Symbol" w:hint="default"/>
      </w:rPr>
    </w:lvl>
    <w:lvl w:ilvl="1" w:tplc="04100003" w:tentative="1">
      <w:start w:val="1"/>
      <w:numFmt w:val="bullet"/>
      <w:lvlText w:val="o"/>
      <w:lvlJc w:val="left"/>
      <w:pPr>
        <w:ind w:left="2231" w:hanging="360"/>
      </w:pPr>
      <w:rPr>
        <w:rFonts w:ascii="Courier New" w:hAnsi="Courier New" w:cs="Courier New" w:hint="default"/>
      </w:rPr>
    </w:lvl>
    <w:lvl w:ilvl="2" w:tplc="04100005" w:tentative="1">
      <w:start w:val="1"/>
      <w:numFmt w:val="bullet"/>
      <w:lvlText w:val=""/>
      <w:lvlJc w:val="left"/>
      <w:pPr>
        <w:ind w:left="2951" w:hanging="360"/>
      </w:pPr>
      <w:rPr>
        <w:rFonts w:ascii="Wingdings" w:hAnsi="Wingdings" w:hint="default"/>
      </w:rPr>
    </w:lvl>
    <w:lvl w:ilvl="3" w:tplc="04100001" w:tentative="1">
      <w:start w:val="1"/>
      <w:numFmt w:val="bullet"/>
      <w:lvlText w:val=""/>
      <w:lvlJc w:val="left"/>
      <w:pPr>
        <w:ind w:left="3671" w:hanging="360"/>
      </w:pPr>
      <w:rPr>
        <w:rFonts w:ascii="Symbol" w:hAnsi="Symbol" w:hint="default"/>
      </w:rPr>
    </w:lvl>
    <w:lvl w:ilvl="4" w:tplc="04100003" w:tentative="1">
      <w:start w:val="1"/>
      <w:numFmt w:val="bullet"/>
      <w:lvlText w:val="o"/>
      <w:lvlJc w:val="left"/>
      <w:pPr>
        <w:ind w:left="4391" w:hanging="360"/>
      </w:pPr>
      <w:rPr>
        <w:rFonts w:ascii="Courier New" w:hAnsi="Courier New" w:cs="Courier New" w:hint="default"/>
      </w:rPr>
    </w:lvl>
    <w:lvl w:ilvl="5" w:tplc="04100005" w:tentative="1">
      <w:start w:val="1"/>
      <w:numFmt w:val="bullet"/>
      <w:lvlText w:val=""/>
      <w:lvlJc w:val="left"/>
      <w:pPr>
        <w:ind w:left="5111" w:hanging="360"/>
      </w:pPr>
      <w:rPr>
        <w:rFonts w:ascii="Wingdings" w:hAnsi="Wingdings" w:hint="default"/>
      </w:rPr>
    </w:lvl>
    <w:lvl w:ilvl="6" w:tplc="04100001" w:tentative="1">
      <w:start w:val="1"/>
      <w:numFmt w:val="bullet"/>
      <w:lvlText w:val=""/>
      <w:lvlJc w:val="left"/>
      <w:pPr>
        <w:ind w:left="5831" w:hanging="360"/>
      </w:pPr>
      <w:rPr>
        <w:rFonts w:ascii="Symbol" w:hAnsi="Symbol" w:hint="default"/>
      </w:rPr>
    </w:lvl>
    <w:lvl w:ilvl="7" w:tplc="04100003" w:tentative="1">
      <w:start w:val="1"/>
      <w:numFmt w:val="bullet"/>
      <w:lvlText w:val="o"/>
      <w:lvlJc w:val="left"/>
      <w:pPr>
        <w:ind w:left="6551" w:hanging="360"/>
      </w:pPr>
      <w:rPr>
        <w:rFonts w:ascii="Courier New" w:hAnsi="Courier New" w:cs="Courier New" w:hint="default"/>
      </w:rPr>
    </w:lvl>
    <w:lvl w:ilvl="8" w:tplc="04100005" w:tentative="1">
      <w:start w:val="1"/>
      <w:numFmt w:val="bullet"/>
      <w:lvlText w:val=""/>
      <w:lvlJc w:val="left"/>
      <w:pPr>
        <w:ind w:left="7271" w:hanging="360"/>
      </w:pPr>
      <w:rPr>
        <w:rFonts w:ascii="Wingdings" w:hAnsi="Wingdings" w:hint="default"/>
      </w:rPr>
    </w:lvl>
  </w:abstractNum>
  <w:abstractNum w:abstractNumId="33" w15:restartNumberingAfterBreak="0">
    <w:nsid w:val="3AEA58AD"/>
    <w:multiLevelType w:val="hybridMultilevel"/>
    <w:tmpl w:val="5104747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B451625"/>
    <w:multiLevelType w:val="hybridMultilevel"/>
    <w:tmpl w:val="FCAAB518"/>
    <w:lvl w:ilvl="0" w:tplc="52923594">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3BFF57E8"/>
    <w:multiLevelType w:val="hybridMultilevel"/>
    <w:tmpl w:val="A18E726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25906E6"/>
    <w:multiLevelType w:val="hybridMultilevel"/>
    <w:tmpl w:val="AF3643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2766ABF"/>
    <w:multiLevelType w:val="hybridMultilevel"/>
    <w:tmpl w:val="5590EB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28933A5"/>
    <w:multiLevelType w:val="hybridMultilevel"/>
    <w:tmpl w:val="2EE0C1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2AD19ED"/>
    <w:multiLevelType w:val="hybridMultilevel"/>
    <w:tmpl w:val="051E9E1E"/>
    <w:lvl w:ilvl="0" w:tplc="04100001">
      <w:start w:val="1"/>
      <w:numFmt w:val="bullet"/>
      <w:lvlText w:val=""/>
      <w:lvlJc w:val="left"/>
      <w:pPr>
        <w:ind w:left="720" w:hanging="360"/>
      </w:pPr>
      <w:rPr>
        <w:rFonts w:ascii="Symbol" w:hAnsi="Symbol" w:hint="default"/>
        <w:b/>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44566642"/>
    <w:multiLevelType w:val="hybridMultilevel"/>
    <w:tmpl w:val="8DDA46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532449E"/>
    <w:multiLevelType w:val="hybridMultilevel"/>
    <w:tmpl w:val="BB4870D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63344F7"/>
    <w:multiLevelType w:val="hybridMultilevel"/>
    <w:tmpl w:val="C30AD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66F4BC9"/>
    <w:multiLevelType w:val="hybridMultilevel"/>
    <w:tmpl w:val="A15CC8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79D046A"/>
    <w:multiLevelType w:val="hybridMultilevel"/>
    <w:tmpl w:val="0BA88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97848AC"/>
    <w:multiLevelType w:val="hybridMultilevel"/>
    <w:tmpl w:val="44305B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D7122E3"/>
    <w:multiLevelType w:val="hybridMultilevel"/>
    <w:tmpl w:val="205CC94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7" w15:restartNumberingAfterBreak="0">
    <w:nsid w:val="54186392"/>
    <w:multiLevelType w:val="hybridMultilevel"/>
    <w:tmpl w:val="F6F0214E"/>
    <w:lvl w:ilvl="0" w:tplc="8EB082B0">
      <w:start w:val="14"/>
      <w:numFmt w:val="bullet"/>
      <w:lvlText w:val="-"/>
      <w:lvlJc w:val="left"/>
      <w:pPr>
        <w:ind w:left="360" w:hanging="360"/>
      </w:pPr>
      <w:rPr>
        <w:rFonts w:ascii="Times New Roman" w:eastAsiaTheme="minorHAnsi" w:hAnsi="Times New Roman" w:cs="Times New Roman" w:hint="default"/>
        <w:b/>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8" w15:restartNumberingAfterBreak="0">
    <w:nsid w:val="55696528"/>
    <w:multiLevelType w:val="hybridMultilevel"/>
    <w:tmpl w:val="F030F63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9" w15:restartNumberingAfterBreak="0">
    <w:nsid w:val="55C11955"/>
    <w:multiLevelType w:val="hybridMultilevel"/>
    <w:tmpl w:val="FF4E1C88"/>
    <w:lvl w:ilvl="0" w:tplc="04100005">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50" w15:restartNumberingAfterBreak="0">
    <w:nsid w:val="57D678BE"/>
    <w:multiLevelType w:val="hybridMultilevel"/>
    <w:tmpl w:val="A6D267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8BE2ECE"/>
    <w:multiLevelType w:val="hybridMultilevel"/>
    <w:tmpl w:val="A52E56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9F71BC8"/>
    <w:multiLevelType w:val="hybridMultilevel"/>
    <w:tmpl w:val="F1EA4A9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3" w15:restartNumberingAfterBreak="0">
    <w:nsid w:val="5A681596"/>
    <w:multiLevelType w:val="hybridMultilevel"/>
    <w:tmpl w:val="9B488F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ABA4F50"/>
    <w:multiLevelType w:val="hybridMultilevel"/>
    <w:tmpl w:val="D386551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5" w15:restartNumberingAfterBreak="0">
    <w:nsid w:val="5DFB3274"/>
    <w:multiLevelType w:val="hybridMultilevel"/>
    <w:tmpl w:val="B786225A"/>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04D3F77"/>
    <w:multiLevelType w:val="hybridMultilevel"/>
    <w:tmpl w:val="11B24FF8"/>
    <w:lvl w:ilvl="0" w:tplc="47CE316C">
      <w:numFmt w:val="bullet"/>
      <w:lvlText w:val="-"/>
      <w:lvlJc w:val="left"/>
      <w:pPr>
        <w:ind w:left="1800" w:hanging="360"/>
      </w:pPr>
      <w:rPr>
        <w:rFonts w:ascii="Bookman Old Style" w:hAnsi="Bookman Old Style" w:cs="Symbol" w:hint="default"/>
        <w:sz w:val="20"/>
        <w:szCs w:val="32"/>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7" w15:restartNumberingAfterBreak="0">
    <w:nsid w:val="62E660B7"/>
    <w:multiLevelType w:val="hybridMultilevel"/>
    <w:tmpl w:val="E1343634"/>
    <w:lvl w:ilvl="0" w:tplc="04100001">
      <w:start w:val="1"/>
      <w:numFmt w:val="bullet"/>
      <w:lvlText w:val=""/>
      <w:lvlJc w:val="left"/>
      <w:pPr>
        <w:ind w:left="340" w:hanging="34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63272D30"/>
    <w:multiLevelType w:val="hybridMultilevel"/>
    <w:tmpl w:val="2BE8D2D2"/>
    <w:lvl w:ilvl="0" w:tplc="04100011">
      <w:start w:val="1"/>
      <w:numFmt w:val="decimal"/>
      <w:lvlText w:val="%1)"/>
      <w:lvlJc w:val="left"/>
      <w:pPr>
        <w:ind w:left="720" w:hanging="360"/>
      </w:pPr>
    </w:lvl>
    <w:lvl w:ilvl="1" w:tplc="3AD0982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34D56D8"/>
    <w:multiLevelType w:val="hybridMultilevel"/>
    <w:tmpl w:val="BA40B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9CF6E69"/>
    <w:multiLevelType w:val="multilevel"/>
    <w:tmpl w:val="0A48F182"/>
    <w:styleLink w:val="WWOutlineListStyle"/>
    <w:lvl w:ilvl="0">
      <w:start w:val="1"/>
      <w:numFmt w:val="lowerLetter"/>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61" w15:restartNumberingAfterBreak="0">
    <w:nsid w:val="6AD956CD"/>
    <w:multiLevelType w:val="hybridMultilevel"/>
    <w:tmpl w:val="9E7A5012"/>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B392983"/>
    <w:multiLevelType w:val="hybridMultilevel"/>
    <w:tmpl w:val="A9720142"/>
    <w:lvl w:ilvl="0" w:tplc="BE14A33C">
      <w:start w:val="1"/>
      <w:numFmt w:val="decimal"/>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6BB9589A"/>
    <w:multiLevelType w:val="hybridMultilevel"/>
    <w:tmpl w:val="C3426AB0"/>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DBE6FEA"/>
    <w:multiLevelType w:val="hybridMultilevel"/>
    <w:tmpl w:val="479EDA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E601FB9"/>
    <w:multiLevelType w:val="hybridMultilevel"/>
    <w:tmpl w:val="A934D8BE"/>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0CA39DA"/>
    <w:multiLevelType w:val="hybridMultilevel"/>
    <w:tmpl w:val="42B8F6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1F10160"/>
    <w:multiLevelType w:val="hybridMultilevel"/>
    <w:tmpl w:val="3AA06D5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3196042"/>
    <w:multiLevelType w:val="hybridMultilevel"/>
    <w:tmpl w:val="070478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4E0067B"/>
    <w:multiLevelType w:val="hybridMultilevel"/>
    <w:tmpl w:val="7850021E"/>
    <w:lvl w:ilvl="0" w:tplc="FFFFFFFF">
      <w:start w:val="1"/>
      <w:numFmt w:val="decimal"/>
      <w:lvlText w:val="%1)"/>
      <w:lvlJc w:val="left"/>
      <w:pPr>
        <w:ind w:left="720" w:hanging="360"/>
      </w:pPr>
    </w:lvl>
    <w:lvl w:ilvl="1" w:tplc="04100017">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A1123DE"/>
    <w:multiLevelType w:val="hybridMultilevel"/>
    <w:tmpl w:val="6ABAE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7B967CCE"/>
    <w:multiLevelType w:val="hybridMultilevel"/>
    <w:tmpl w:val="60400D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C785BE0"/>
    <w:multiLevelType w:val="hybridMultilevel"/>
    <w:tmpl w:val="EBD86E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7DAC7ED5"/>
    <w:multiLevelType w:val="hybridMultilevel"/>
    <w:tmpl w:val="EAEA9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7EBB13AE"/>
    <w:multiLevelType w:val="hybridMultilevel"/>
    <w:tmpl w:val="4E3CD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7F3557A5"/>
    <w:multiLevelType w:val="hybridMultilevel"/>
    <w:tmpl w:val="1B4E0604"/>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3"/>
  </w:num>
  <w:num w:numId="2">
    <w:abstractNumId w:val="60"/>
  </w:num>
  <w:num w:numId="3">
    <w:abstractNumId w:val="21"/>
  </w:num>
  <w:num w:numId="4">
    <w:abstractNumId w:val="28"/>
  </w:num>
  <w:num w:numId="5">
    <w:abstractNumId w:val="57"/>
  </w:num>
  <w:num w:numId="6">
    <w:abstractNumId w:val="64"/>
  </w:num>
  <w:num w:numId="7">
    <w:abstractNumId w:val="32"/>
  </w:num>
  <w:num w:numId="8">
    <w:abstractNumId w:val="36"/>
  </w:num>
  <w:num w:numId="9">
    <w:abstractNumId w:val="73"/>
  </w:num>
  <w:num w:numId="10">
    <w:abstractNumId w:val="22"/>
  </w:num>
  <w:num w:numId="11">
    <w:abstractNumId w:val="42"/>
  </w:num>
  <w:num w:numId="12">
    <w:abstractNumId w:val="20"/>
  </w:num>
  <w:num w:numId="13">
    <w:abstractNumId w:val="19"/>
  </w:num>
  <w:num w:numId="14">
    <w:abstractNumId w:val="68"/>
  </w:num>
  <w:num w:numId="15">
    <w:abstractNumId w:val="62"/>
  </w:num>
  <w:num w:numId="16">
    <w:abstractNumId w:val="35"/>
  </w:num>
  <w:num w:numId="17">
    <w:abstractNumId w:val="58"/>
  </w:num>
  <w:num w:numId="18">
    <w:abstractNumId w:val="45"/>
  </w:num>
  <w:num w:numId="19">
    <w:abstractNumId w:val="25"/>
  </w:num>
  <w:num w:numId="20">
    <w:abstractNumId w:val="54"/>
  </w:num>
  <w:num w:numId="21">
    <w:abstractNumId w:val="48"/>
  </w:num>
  <w:num w:numId="22">
    <w:abstractNumId w:val="50"/>
  </w:num>
  <w:num w:numId="23">
    <w:abstractNumId w:val="41"/>
  </w:num>
  <w:num w:numId="24">
    <w:abstractNumId w:val="59"/>
  </w:num>
  <w:num w:numId="25">
    <w:abstractNumId w:val="70"/>
  </w:num>
  <w:num w:numId="26">
    <w:abstractNumId w:val="40"/>
  </w:num>
  <w:num w:numId="27">
    <w:abstractNumId w:val="27"/>
  </w:num>
  <w:num w:numId="28">
    <w:abstractNumId w:val="74"/>
  </w:num>
  <w:num w:numId="29">
    <w:abstractNumId w:val="29"/>
  </w:num>
  <w:num w:numId="30">
    <w:abstractNumId w:val="67"/>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num>
  <w:num w:numId="33">
    <w:abstractNumId w:val="15"/>
  </w:num>
  <w:num w:numId="34">
    <w:abstractNumId w:val="37"/>
  </w:num>
  <w:num w:numId="35">
    <w:abstractNumId w:val="26"/>
  </w:num>
  <w:num w:numId="36">
    <w:abstractNumId w:val="31"/>
  </w:num>
  <w:num w:numId="37">
    <w:abstractNumId w:val="43"/>
  </w:num>
  <w:num w:numId="38">
    <w:abstractNumId w:val="66"/>
  </w:num>
  <w:num w:numId="39">
    <w:abstractNumId w:val="39"/>
  </w:num>
  <w:num w:numId="40">
    <w:abstractNumId w:val="17"/>
  </w:num>
  <w:num w:numId="41">
    <w:abstractNumId w:val="16"/>
  </w:num>
  <w:num w:numId="42">
    <w:abstractNumId w:val="71"/>
  </w:num>
  <w:num w:numId="43">
    <w:abstractNumId w:val="72"/>
  </w:num>
  <w:num w:numId="44">
    <w:abstractNumId w:val="12"/>
  </w:num>
  <w:num w:numId="45">
    <w:abstractNumId w:val="38"/>
  </w:num>
  <w:num w:numId="46">
    <w:abstractNumId w:val="53"/>
  </w:num>
  <w:num w:numId="47">
    <w:abstractNumId w:val="24"/>
  </w:num>
  <w:num w:numId="48">
    <w:abstractNumId w:val="11"/>
  </w:num>
  <w:num w:numId="49">
    <w:abstractNumId w:val="10"/>
  </w:num>
  <w:num w:numId="50">
    <w:abstractNumId w:val="69"/>
  </w:num>
  <w:num w:numId="51">
    <w:abstractNumId w:val="33"/>
  </w:num>
  <w:num w:numId="52">
    <w:abstractNumId w:val="46"/>
  </w:num>
  <w:num w:numId="53">
    <w:abstractNumId w:val="23"/>
  </w:num>
  <w:num w:numId="54">
    <w:abstractNumId w:val="75"/>
  </w:num>
  <w:num w:numId="55">
    <w:abstractNumId w:val="55"/>
  </w:num>
  <w:num w:numId="56">
    <w:abstractNumId w:val="56"/>
  </w:num>
  <w:num w:numId="57">
    <w:abstractNumId w:val="61"/>
  </w:num>
  <w:num w:numId="58">
    <w:abstractNumId w:val="63"/>
  </w:num>
  <w:num w:numId="59">
    <w:abstractNumId w:val="65"/>
  </w:num>
  <w:num w:numId="60">
    <w:abstractNumId w:val="14"/>
  </w:num>
  <w:num w:numId="61">
    <w:abstractNumId w:val="51"/>
  </w:num>
  <w:num w:numId="62">
    <w:abstractNumId w:val="52"/>
  </w:num>
  <w:num w:numId="63">
    <w:abstractNumId w:val="49"/>
  </w:num>
  <w:num w:numId="64">
    <w:abstractNumId w:val="18"/>
  </w:num>
  <w:num w:numId="65">
    <w:abstractNumId w:val="30"/>
  </w:num>
  <w:num w:numId="66">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A94"/>
    <w:rsid w:val="000008B0"/>
    <w:rsid w:val="00000C70"/>
    <w:rsid w:val="00001A23"/>
    <w:rsid w:val="00001CEE"/>
    <w:rsid w:val="0000263F"/>
    <w:rsid w:val="000027E5"/>
    <w:rsid w:val="00002A4E"/>
    <w:rsid w:val="00003A67"/>
    <w:rsid w:val="00006A49"/>
    <w:rsid w:val="00006FCE"/>
    <w:rsid w:val="00007113"/>
    <w:rsid w:val="000077CD"/>
    <w:rsid w:val="00007CFF"/>
    <w:rsid w:val="000110CD"/>
    <w:rsid w:val="0001274C"/>
    <w:rsid w:val="000132C7"/>
    <w:rsid w:val="00013D02"/>
    <w:rsid w:val="00013E16"/>
    <w:rsid w:val="00014CC4"/>
    <w:rsid w:val="00015394"/>
    <w:rsid w:val="00015665"/>
    <w:rsid w:val="000164FE"/>
    <w:rsid w:val="00017120"/>
    <w:rsid w:val="00017AD5"/>
    <w:rsid w:val="00017B51"/>
    <w:rsid w:val="00017BEF"/>
    <w:rsid w:val="000203C7"/>
    <w:rsid w:val="0002180C"/>
    <w:rsid w:val="00021A68"/>
    <w:rsid w:val="00021AA7"/>
    <w:rsid w:val="00021ED5"/>
    <w:rsid w:val="0002314F"/>
    <w:rsid w:val="00023727"/>
    <w:rsid w:val="00023A61"/>
    <w:rsid w:val="00023F50"/>
    <w:rsid w:val="000242EC"/>
    <w:rsid w:val="000244D8"/>
    <w:rsid w:val="00024502"/>
    <w:rsid w:val="000247CA"/>
    <w:rsid w:val="00024D62"/>
    <w:rsid w:val="000253A1"/>
    <w:rsid w:val="00026009"/>
    <w:rsid w:val="00026136"/>
    <w:rsid w:val="000271AA"/>
    <w:rsid w:val="000301E4"/>
    <w:rsid w:val="0003220E"/>
    <w:rsid w:val="000323D3"/>
    <w:rsid w:val="00033606"/>
    <w:rsid w:val="00033627"/>
    <w:rsid w:val="00033901"/>
    <w:rsid w:val="0003432B"/>
    <w:rsid w:val="00034773"/>
    <w:rsid w:val="000348AB"/>
    <w:rsid w:val="00035DD7"/>
    <w:rsid w:val="00036A86"/>
    <w:rsid w:val="000375BB"/>
    <w:rsid w:val="000377B1"/>
    <w:rsid w:val="000400D7"/>
    <w:rsid w:val="000402B5"/>
    <w:rsid w:val="000427A6"/>
    <w:rsid w:val="00042A6A"/>
    <w:rsid w:val="00043852"/>
    <w:rsid w:val="000439C9"/>
    <w:rsid w:val="00044424"/>
    <w:rsid w:val="0004478E"/>
    <w:rsid w:val="00046156"/>
    <w:rsid w:val="0004736B"/>
    <w:rsid w:val="00047657"/>
    <w:rsid w:val="000476B1"/>
    <w:rsid w:val="000502CC"/>
    <w:rsid w:val="0005051E"/>
    <w:rsid w:val="000507A9"/>
    <w:rsid w:val="00050B72"/>
    <w:rsid w:val="0005121E"/>
    <w:rsid w:val="000518A5"/>
    <w:rsid w:val="00053E87"/>
    <w:rsid w:val="00054B69"/>
    <w:rsid w:val="00054F54"/>
    <w:rsid w:val="000575BA"/>
    <w:rsid w:val="00060959"/>
    <w:rsid w:val="0006100B"/>
    <w:rsid w:val="00061AA7"/>
    <w:rsid w:val="000622E4"/>
    <w:rsid w:val="00062D4A"/>
    <w:rsid w:val="00062F0A"/>
    <w:rsid w:val="00063B0F"/>
    <w:rsid w:val="00063CC8"/>
    <w:rsid w:val="00064077"/>
    <w:rsid w:val="00064A9F"/>
    <w:rsid w:val="000661F8"/>
    <w:rsid w:val="000668F7"/>
    <w:rsid w:val="00066F55"/>
    <w:rsid w:val="00067F08"/>
    <w:rsid w:val="0007172D"/>
    <w:rsid w:val="000721A6"/>
    <w:rsid w:val="0007262F"/>
    <w:rsid w:val="00072CFE"/>
    <w:rsid w:val="00073A91"/>
    <w:rsid w:val="000748CC"/>
    <w:rsid w:val="00074C40"/>
    <w:rsid w:val="000752C5"/>
    <w:rsid w:val="000756EB"/>
    <w:rsid w:val="000758D9"/>
    <w:rsid w:val="00075A82"/>
    <w:rsid w:val="00076132"/>
    <w:rsid w:val="00076419"/>
    <w:rsid w:val="00077475"/>
    <w:rsid w:val="00077509"/>
    <w:rsid w:val="00077708"/>
    <w:rsid w:val="00077860"/>
    <w:rsid w:val="000809BF"/>
    <w:rsid w:val="00080AE0"/>
    <w:rsid w:val="00080FA0"/>
    <w:rsid w:val="00081138"/>
    <w:rsid w:val="000811B7"/>
    <w:rsid w:val="00082002"/>
    <w:rsid w:val="0008205D"/>
    <w:rsid w:val="000820C6"/>
    <w:rsid w:val="0008228E"/>
    <w:rsid w:val="00082910"/>
    <w:rsid w:val="0008291B"/>
    <w:rsid w:val="00083C90"/>
    <w:rsid w:val="0008423D"/>
    <w:rsid w:val="000848C0"/>
    <w:rsid w:val="0008500D"/>
    <w:rsid w:val="000850C1"/>
    <w:rsid w:val="000853D6"/>
    <w:rsid w:val="00085742"/>
    <w:rsid w:val="00085CB1"/>
    <w:rsid w:val="00085E8F"/>
    <w:rsid w:val="00086E77"/>
    <w:rsid w:val="00087506"/>
    <w:rsid w:val="000879FB"/>
    <w:rsid w:val="00090078"/>
    <w:rsid w:val="00090D7B"/>
    <w:rsid w:val="00090EE2"/>
    <w:rsid w:val="00091A0A"/>
    <w:rsid w:val="00091F65"/>
    <w:rsid w:val="000922FE"/>
    <w:rsid w:val="00092DC6"/>
    <w:rsid w:val="0009320B"/>
    <w:rsid w:val="00093606"/>
    <w:rsid w:val="00094290"/>
    <w:rsid w:val="000945D5"/>
    <w:rsid w:val="00095C65"/>
    <w:rsid w:val="0009628A"/>
    <w:rsid w:val="00096379"/>
    <w:rsid w:val="000A0143"/>
    <w:rsid w:val="000A026B"/>
    <w:rsid w:val="000A03F6"/>
    <w:rsid w:val="000A05D6"/>
    <w:rsid w:val="000A0A79"/>
    <w:rsid w:val="000A24DB"/>
    <w:rsid w:val="000A283F"/>
    <w:rsid w:val="000A3527"/>
    <w:rsid w:val="000A43C6"/>
    <w:rsid w:val="000A4D18"/>
    <w:rsid w:val="000A4FBD"/>
    <w:rsid w:val="000A50A3"/>
    <w:rsid w:val="000A5325"/>
    <w:rsid w:val="000A5671"/>
    <w:rsid w:val="000A690F"/>
    <w:rsid w:val="000A7D0D"/>
    <w:rsid w:val="000A7DA5"/>
    <w:rsid w:val="000A7E06"/>
    <w:rsid w:val="000B22AA"/>
    <w:rsid w:val="000B24A9"/>
    <w:rsid w:val="000B26C8"/>
    <w:rsid w:val="000B275B"/>
    <w:rsid w:val="000B2994"/>
    <w:rsid w:val="000B2B2B"/>
    <w:rsid w:val="000B4A12"/>
    <w:rsid w:val="000B4D50"/>
    <w:rsid w:val="000B5720"/>
    <w:rsid w:val="000B5D8F"/>
    <w:rsid w:val="000B62CB"/>
    <w:rsid w:val="000B6F03"/>
    <w:rsid w:val="000B79A1"/>
    <w:rsid w:val="000C0F5F"/>
    <w:rsid w:val="000C1639"/>
    <w:rsid w:val="000C25E7"/>
    <w:rsid w:val="000C27F3"/>
    <w:rsid w:val="000C28B8"/>
    <w:rsid w:val="000C3269"/>
    <w:rsid w:val="000C3A5B"/>
    <w:rsid w:val="000C3E18"/>
    <w:rsid w:val="000C4C50"/>
    <w:rsid w:val="000C4E48"/>
    <w:rsid w:val="000C5B49"/>
    <w:rsid w:val="000C6952"/>
    <w:rsid w:val="000C6964"/>
    <w:rsid w:val="000C741B"/>
    <w:rsid w:val="000C764F"/>
    <w:rsid w:val="000C76B1"/>
    <w:rsid w:val="000D024F"/>
    <w:rsid w:val="000D062A"/>
    <w:rsid w:val="000D11DB"/>
    <w:rsid w:val="000D16D1"/>
    <w:rsid w:val="000D24A9"/>
    <w:rsid w:val="000D2744"/>
    <w:rsid w:val="000D2793"/>
    <w:rsid w:val="000D2CCB"/>
    <w:rsid w:val="000D3740"/>
    <w:rsid w:val="000D3E09"/>
    <w:rsid w:val="000D44C2"/>
    <w:rsid w:val="000D5311"/>
    <w:rsid w:val="000D5A84"/>
    <w:rsid w:val="000D6532"/>
    <w:rsid w:val="000D6CD9"/>
    <w:rsid w:val="000D7D1D"/>
    <w:rsid w:val="000E25F3"/>
    <w:rsid w:val="000E35A0"/>
    <w:rsid w:val="000E40CD"/>
    <w:rsid w:val="000E50CC"/>
    <w:rsid w:val="000E5679"/>
    <w:rsid w:val="000E5EA3"/>
    <w:rsid w:val="000E635B"/>
    <w:rsid w:val="000E64DF"/>
    <w:rsid w:val="000E65F2"/>
    <w:rsid w:val="000E75BD"/>
    <w:rsid w:val="000F03BF"/>
    <w:rsid w:val="000F043C"/>
    <w:rsid w:val="000F06BC"/>
    <w:rsid w:val="000F0A5C"/>
    <w:rsid w:val="000F1443"/>
    <w:rsid w:val="000F1484"/>
    <w:rsid w:val="000F16EA"/>
    <w:rsid w:val="000F301C"/>
    <w:rsid w:val="000F4C4F"/>
    <w:rsid w:val="000F5001"/>
    <w:rsid w:val="000F54B4"/>
    <w:rsid w:val="000F655B"/>
    <w:rsid w:val="000F6716"/>
    <w:rsid w:val="000F6DAB"/>
    <w:rsid w:val="00100059"/>
    <w:rsid w:val="0010029F"/>
    <w:rsid w:val="00100972"/>
    <w:rsid w:val="001015D6"/>
    <w:rsid w:val="00101B90"/>
    <w:rsid w:val="00101BE8"/>
    <w:rsid w:val="001029E5"/>
    <w:rsid w:val="00103252"/>
    <w:rsid w:val="00103651"/>
    <w:rsid w:val="00103755"/>
    <w:rsid w:val="00103AAF"/>
    <w:rsid w:val="00104006"/>
    <w:rsid w:val="00104120"/>
    <w:rsid w:val="00104D9F"/>
    <w:rsid w:val="00105354"/>
    <w:rsid w:val="00105A08"/>
    <w:rsid w:val="001073E4"/>
    <w:rsid w:val="0010768E"/>
    <w:rsid w:val="00107AF2"/>
    <w:rsid w:val="00110711"/>
    <w:rsid w:val="0011095E"/>
    <w:rsid w:val="00110AA0"/>
    <w:rsid w:val="00110F37"/>
    <w:rsid w:val="00112C29"/>
    <w:rsid w:val="00114D75"/>
    <w:rsid w:val="001159EF"/>
    <w:rsid w:val="00117D26"/>
    <w:rsid w:val="001203FB"/>
    <w:rsid w:val="00120D1B"/>
    <w:rsid w:val="00120DD7"/>
    <w:rsid w:val="0012276B"/>
    <w:rsid w:val="00122E77"/>
    <w:rsid w:val="00123126"/>
    <w:rsid w:val="00123247"/>
    <w:rsid w:val="00123DAE"/>
    <w:rsid w:val="001245DC"/>
    <w:rsid w:val="00124F72"/>
    <w:rsid w:val="0012549A"/>
    <w:rsid w:val="0012555B"/>
    <w:rsid w:val="00125955"/>
    <w:rsid w:val="00125A6D"/>
    <w:rsid w:val="00125BAC"/>
    <w:rsid w:val="00125C0E"/>
    <w:rsid w:val="00125F53"/>
    <w:rsid w:val="001262DF"/>
    <w:rsid w:val="00126520"/>
    <w:rsid w:val="00130941"/>
    <w:rsid w:val="0013109B"/>
    <w:rsid w:val="00131A4F"/>
    <w:rsid w:val="00131C6B"/>
    <w:rsid w:val="00134912"/>
    <w:rsid w:val="001355F3"/>
    <w:rsid w:val="00135F03"/>
    <w:rsid w:val="001374FA"/>
    <w:rsid w:val="0013779E"/>
    <w:rsid w:val="0013793C"/>
    <w:rsid w:val="00137B1D"/>
    <w:rsid w:val="00137C66"/>
    <w:rsid w:val="00140899"/>
    <w:rsid w:val="00140F7B"/>
    <w:rsid w:val="00141B0E"/>
    <w:rsid w:val="00141B32"/>
    <w:rsid w:val="001427EB"/>
    <w:rsid w:val="00143818"/>
    <w:rsid w:val="00143AA3"/>
    <w:rsid w:val="0014410F"/>
    <w:rsid w:val="00144C51"/>
    <w:rsid w:val="0014560C"/>
    <w:rsid w:val="00146396"/>
    <w:rsid w:val="00146764"/>
    <w:rsid w:val="00146D3C"/>
    <w:rsid w:val="001503E2"/>
    <w:rsid w:val="00150ED6"/>
    <w:rsid w:val="001538B5"/>
    <w:rsid w:val="00153960"/>
    <w:rsid w:val="00153F49"/>
    <w:rsid w:val="00154B3B"/>
    <w:rsid w:val="00154CF0"/>
    <w:rsid w:val="00155790"/>
    <w:rsid w:val="00156457"/>
    <w:rsid w:val="001565FB"/>
    <w:rsid w:val="001568AD"/>
    <w:rsid w:val="001575F9"/>
    <w:rsid w:val="00157E74"/>
    <w:rsid w:val="00161527"/>
    <w:rsid w:val="00162040"/>
    <w:rsid w:val="00163B57"/>
    <w:rsid w:val="00163BB2"/>
    <w:rsid w:val="001643BD"/>
    <w:rsid w:val="00164771"/>
    <w:rsid w:val="00164BBE"/>
    <w:rsid w:val="001657C3"/>
    <w:rsid w:val="00165FC9"/>
    <w:rsid w:val="00165FCB"/>
    <w:rsid w:val="0016667C"/>
    <w:rsid w:val="001667D0"/>
    <w:rsid w:val="00170FC3"/>
    <w:rsid w:val="00171038"/>
    <w:rsid w:val="001717BF"/>
    <w:rsid w:val="00172217"/>
    <w:rsid w:val="00172277"/>
    <w:rsid w:val="001723BD"/>
    <w:rsid w:val="00172789"/>
    <w:rsid w:val="00172808"/>
    <w:rsid w:val="00172B19"/>
    <w:rsid w:val="00173FE0"/>
    <w:rsid w:val="00174162"/>
    <w:rsid w:val="001741C8"/>
    <w:rsid w:val="00174B03"/>
    <w:rsid w:val="00174C66"/>
    <w:rsid w:val="001770AE"/>
    <w:rsid w:val="001817AD"/>
    <w:rsid w:val="00181A28"/>
    <w:rsid w:val="00181FCA"/>
    <w:rsid w:val="00182664"/>
    <w:rsid w:val="00182DFF"/>
    <w:rsid w:val="00185306"/>
    <w:rsid w:val="001854DD"/>
    <w:rsid w:val="0018563A"/>
    <w:rsid w:val="00185AF6"/>
    <w:rsid w:val="00185DFD"/>
    <w:rsid w:val="001869A8"/>
    <w:rsid w:val="001877F1"/>
    <w:rsid w:val="00187ADC"/>
    <w:rsid w:val="001900FC"/>
    <w:rsid w:val="00190B09"/>
    <w:rsid w:val="0019116B"/>
    <w:rsid w:val="00192349"/>
    <w:rsid w:val="00192D13"/>
    <w:rsid w:val="001931A1"/>
    <w:rsid w:val="00193AB6"/>
    <w:rsid w:val="00193B04"/>
    <w:rsid w:val="00194107"/>
    <w:rsid w:val="0019734E"/>
    <w:rsid w:val="00197451"/>
    <w:rsid w:val="001A0640"/>
    <w:rsid w:val="001A134D"/>
    <w:rsid w:val="001A188F"/>
    <w:rsid w:val="001A1A01"/>
    <w:rsid w:val="001A1F4E"/>
    <w:rsid w:val="001A2C4D"/>
    <w:rsid w:val="001A2F63"/>
    <w:rsid w:val="001A3386"/>
    <w:rsid w:val="001A33C6"/>
    <w:rsid w:val="001A4F5B"/>
    <w:rsid w:val="001A6568"/>
    <w:rsid w:val="001A66E0"/>
    <w:rsid w:val="001A693C"/>
    <w:rsid w:val="001A7377"/>
    <w:rsid w:val="001B0252"/>
    <w:rsid w:val="001B02EB"/>
    <w:rsid w:val="001B0AE8"/>
    <w:rsid w:val="001B0D57"/>
    <w:rsid w:val="001B0D9D"/>
    <w:rsid w:val="001B16CE"/>
    <w:rsid w:val="001B41D1"/>
    <w:rsid w:val="001B4BF6"/>
    <w:rsid w:val="001B4C91"/>
    <w:rsid w:val="001B50C2"/>
    <w:rsid w:val="001B5DB9"/>
    <w:rsid w:val="001B5DEC"/>
    <w:rsid w:val="001B7437"/>
    <w:rsid w:val="001B78B2"/>
    <w:rsid w:val="001C0029"/>
    <w:rsid w:val="001C19E3"/>
    <w:rsid w:val="001C1A17"/>
    <w:rsid w:val="001C2D2D"/>
    <w:rsid w:val="001C2D68"/>
    <w:rsid w:val="001C364B"/>
    <w:rsid w:val="001C4AEC"/>
    <w:rsid w:val="001C4ED9"/>
    <w:rsid w:val="001C57DC"/>
    <w:rsid w:val="001C5B3F"/>
    <w:rsid w:val="001C706C"/>
    <w:rsid w:val="001C7CAC"/>
    <w:rsid w:val="001C7E81"/>
    <w:rsid w:val="001D01D8"/>
    <w:rsid w:val="001D09E3"/>
    <w:rsid w:val="001D11A5"/>
    <w:rsid w:val="001D238E"/>
    <w:rsid w:val="001D3576"/>
    <w:rsid w:val="001D3F87"/>
    <w:rsid w:val="001D403A"/>
    <w:rsid w:val="001D42D0"/>
    <w:rsid w:val="001D46A9"/>
    <w:rsid w:val="001D46D6"/>
    <w:rsid w:val="001D4A3E"/>
    <w:rsid w:val="001D4BC6"/>
    <w:rsid w:val="001D5061"/>
    <w:rsid w:val="001D5108"/>
    <w:rsid w:val="001D517A"/>
    <w:rsid w:val="001D5977"/>
    <w:rsid w:val="001D5BFF"/>
    <w:rsid w:val="001D64E6"/>
    <w:rsid w:val="001D682A"/>
    <w:rsid w:val="001D6891"/>
    <w:rsid w:val="001D7191"/>
    <w:rsid w:val="001D71F1"/>
    <w:rsid w:val="001D7412"/>
    <w:rsid w:val="001D7B96"/>
    <w:rsid w:val="001D7BCD"/>
    <w:rsid w:val="001E001C"/>
    <w:rsid w:val="001E1914"/>
    <w:rsid w:val="001E2142"/>
    <w:rsid w:val="001E224B"/>
    <w:rsid w:val="001E2346"/>
    <w:rsid w:val="001E23A2"/>
    <w:rsid w:val="001E4267"/>
    <w:rsid w:val="001E4882"/>
    <w:rsid w:val="001E4BC7"/>
    <w:rsid w:val="001E5E19"/>
    <w:rsid w:val="001E6295"/>
    <w:rsid w:val="001E6E2C"/>
    <w:rsid w:val="001E70D0"/>
    <w:rsid w:val="001E72A2"/>
    <w:rsid w:val="001F01AF"/>
    <w:rsid w:val="001F085F"/>
    <w:rsid w:val="001F0E89"/>
    <w:rsid w:val="001F124E"/>
    <w:rsid w:val="001F1C2D"/>
    <w:rsid w:val="001F1F33"/>
    <w:rsid w:val="001F2B1A"/>
    <w:rsid w:val="001F2BC4"/>
    <w:rsid w:val="001F3C5C"/>
    <w:rsid w:val="001F4199"/>
    <w:rsid w:val="001F66BE"/>
    <w:rsid w:val="001F7DAC"/>
    <w:rsid w:val="00200694"/>
    <w:rsid w:val="00200AA7"/>
    <w:rsid w:val="00200C5B"/>
    <w:rsid w:val="002016B3"/>
    <w:rsid w:val="00201ADA"/>
    <w:rsid w:val="00201D5F"/>
    <w:rsid w:val="00201E3B"/>
    <w:rsid w:val="0020344B"/>
    <w:rsid w:val="00204B97"/>
    <w:rsid w:val="00204DB8"/>
    <w:rsid w:val="00205092"/>
    <w:rsid w:val="00206CA3"/>
    <w:rsid w:val="00207FF3"/>
    <w:rsid w:val="00210153"/>
    <w:rsid w:val="0021038B"/>
    <w:rsid w:val="002108FC"/>
    <w:rsid w:val="00210DBD"/>
    <w:rsid w:val="002125DC"/>
    <w:rsid w:val="002140D4"/>
    <w:rsid w:val="0021455B"/>
    <w:rsid w:val="0021510E"/>
    <w:rsid w:val="00215EF0"/>
    <w:rsid w:val="00216188"/>
    <w:rsid w:val="00216751"/>
    <w:rsid w:val="00217555"/>
    <w:rsid w:val="00217939"/>
    <w:rsid w:val="002204C6"/>
    <w:rsid w:val="00220733"/>
    <w:rsid w:val="002207E3"/>
    <w:rsid w:val="00222ECF"/>
    <w:rsid w:val="002238D9"/>
    <w:rsid w:val="00223E9C"/>
    <w:rsid w:val="00223EF9"/>
    <w:rsid w:val="002247B4"/>
    <w:rsid w:val="00224AA8"/>
    <w:rsid w:val="00224F43"/>
    <w:rsid w:val="00225972"/>
    <w:rsid w:val="00225C7F"/>
    <w:rsid w:val="00225E97"/>
    <w:rsid w:val="00226653"/>
    <w:rsid w:val="00226671"/>
    <w:rsid w:val="00226928"/>
    <w:rsid w:val="002273E7"/>
    <w:rsid w:val="00227F22"/>
    <w:rsid w:val="0023010B"/>
    <w:rsid w:val="002308FD"/>
    <w:rsid w:val="00230C90"/>
    <w:rsid w:val="00231A47"/>
    <w:rsid w:val="002326FC"/>
    <w:rsid w:val="00232D55"/>
    <w:rsid w:val="0023364D"/>
    <w:rsid w:val="00233AB3"/>
    <w:rsid w:val="0023490C"/>
    <w:rsid w:val="0023493E"/>
    <w:rsid w:val="00236153"/>
    <w:rsid w:val="0023644D"/>
    <w:rsid w:val="0023713E"/>
    <w:rsid w:val="002373C2"/>
    <w:rsid w:val="00237874"/>
    <w:rsid w:val="0024050E"/>
    <w:rsid w:val="00240ABB"/>
    <w:rsid w:val="00241732"/>
    <w:rsid w:val="00242D9E"/>
    <w:rsid w:val="00243D78"/>
    <w:rsid w:val="0024579A"/>
    <w:rsid w:val="002465D6"/>
    <w:rsid w:val="0025006A"/>
    <w:rsid w:val="00250426"/>
    <w:rsid w:val="002509E5"/>
    <w:rsid w:val="0025154A"/>
    <w:rsid w:val="0025227B"/>
    <w:rsid w:val="002540DB"/>
    <w:rsid w:val="0025435D"/>
    <w:rsid w:val="00254519"/>
    <w:rsid w:val="0025472C"/>
    <w:rsid w:val="0025517B"/>
    <w:rsid w:val="002560DC"/>
    <w:rsid w:val="00256100"/>
    <w:rsid w:val="0025610C"/>
    <w:rsid w:val="00256A17"/>
    <w:rsid w:val="002575A9"/>
    <w:rsid w:val="002576A7"/>
    <w:rsid w:val="00260AD3"/>
    <w:rsid w:val="00260DE7"/>
    <w:rsid w:val="00260E49"/>
    <w:rsid w:val="00261805"/>
    <w:rsid w:val="002625CC"/>
    <w:rsid w:val="0026296F"/>
    <w:rsid w:val="002639E0"/>
    <w:rsid w:val="0026403C"/>
    <w:rsid w:val="00264320"/>
    <w:rsid w:val="0026438B"/>
    <w:rsid w:val="00264B6D"/>
    <w:rsid w:val="00265469"/>
    <w:rsid w:val="002659B1"/>
    <w:rsid w:val="00266D17"/>
    <w:rsid w:val="0026711D"/>
    <w:rsid w:val="002676E5"/>
    <w:rsid w:val="00267E85"/>
    <w:rsid w:val="002717D6"/>
    <w:rsid w:val="00271A61"/>
    <w:rsid w:val="002721A3"/>
    <w:rsid w:val="00272273"/>
    <w:rsid w:val="002739AE"/>
    <w:rsid w:val="00273D64"/>
    <w:rsid w:val="002748EC"/>
    <w:rsid w:val="00274DA5"/>
    <w:rsid w:val="00275240"/>
    <w:rsid w:val="0027585B"/>
    <w:rsid w:val="00275AAD"/>
    <w:rsid w:val="00275B09"/>
    <w:rsid w:val="00275B5D"/>
    <w:rsid w:val="002762E0"/>
    <w:rsid w:val="0027669D"/>
    <w:rsid w:val="00276F3E"/>
    <w:rsid w:val="0027712F"/>
    <w:rsid w:val="0027739B"/>
    <w:rsid w:val="002800FE"/>
    <w:rsid w:val="0028071B"/>
    <w:rsid w:val="00281DE0"/>
    <w:rsid w:val="0028280B"/>
    <w:rsid w:val="00282A24"/>
    <w:rsid w:val="00283961"/>
    <w:rsid w:val="00284FB6"/>
    <w:rsid w:val="00285218"/>
    <w:rsid w:val="00285529"/>
    <w:rsid w:val="00285BE2"/>
    <w:rsid w:val="002867E3"/>
    <w:rsid w:val="00286F78"/>
    <w:rsid w:val="00287386"/>
    <w:rsid w:val="00287B02"/>
    <w:rsid w:val="00287E47"/>
    <w:rsid w:val="00290526"/>
    <w:rsid w:val="00290A84"/>
    <w:rsid w:val="00291E09"/>
    <w:rsid w:val="00291E13"/>
    <w:rsid w:val="00291F20"/>
    <w:rsid w:val="00292725"/>
    <w:rsid w:val="00292F25"/>
    <w:rsid w:val="00293018"/>
    <w:rsid w:val="00294E99"/>
    <w:rsid w:val="00295680"/>
    <w:rsid w:val="002962BC"/>
    <w:rsid w:val="00296BD8"/>
    <w:rsid w:val="00297733"/>
    <w:rsid w:val="00297F21"/>
    <w:rsid w:val="002A04C0"/>
    <w:rsid w:val="002A092C"/>
    <w:rsid w:val="002A10B5"/>
    <w:rsid w:val="002A1427"/>
    <w:rsid w:val="002A166B"/>
    <w:rsid w:val="002A284F"/>
    <w:rsid w:val="002A331D"/>
    <w:rsid w:val="002A36DC"/>
    <w:rsid w:val="002A3732"/>
    <w:rsid w:val="002A3CE0"/>
    <w:rsid w:val="002A47DA"/>
    <w:rsid w:val="002A4AB8"/>
    <w:rsid w:val="002A5DA0"/>
    <w:rsid w:val="002A640F"/>
    <w:rsid w:val="002A724B"/>
    <w:rsid w:val="002B0FDB"/>
    <w:rsid w:val="002B19B7"/>
    <w:rsid w:val="002B1B52"/>
    <w:rsid w:val="002B25CB"/>
    <w:rsid w:val="002B27F5"/>
    <w:rsid w:val="002B2E04"/>
    <w:rsid w:val="002B46BF"/>
    <w:rsid w:val="002B531D"/>
    <w:rsid w:val="002B574C"/>
    <w:rsid w:val="002B58E4"/>
    <w:rsid w:val="002B5F41"/>
    <w:rsid w:val="002B678A"/>
    <w:rsid w:val="002B741A"/>
    <w:rsid w:val="002B7D71"/>
    <w:rsid w:val="002B7DD4"/>
    <w:rsid w:val="002C139F"/>
    <w:rsid w:val="002C19BA"/>
    <w:rsid w:val="002C2865"/>
    <w:rsid w:val="002C2A44"/>
    <w:rsid w:val="002C2B44"/>
    <w:rsid w:val="002C2EF0"/>
    <w:rsid w:val="002C46DD"/>
    <w:rsid w:val="002C5459"/>
    <w:rsid w:val="002C5D79"/>
    <w:rsid w:val="002C602F"/>
    <w:rsid w:val="002C635A"/>
    <w:rsid w:val="002C6FDF"/>
    <w:rsid w:val="002C7022"/>
    <w:rsid w:val="002D024B"/>
    <w:rsid w:val="002D0305"/>
    <w:rsid w:val="002D121F"/>
    <w:rsid w:val="002D2104"/>
    <w:rsid w:val="002D437C"/>
    <w:rsid w:val="002D47E6"/>
    <w:rsid w:val="002D6CE3"/>
    <w:rsid w:val="002D6E22"/>
    <w:rsid w:val="002D7425"/>
    <w:rsid w:val="002E0035"/>
    <w:rsid w:val="002E0B01"/>
    <w:rsid w:val="002E1506"/>
    <w:rsid w:val="002E1D51"/>
    <w:rsid w:val="002E2ABB"/>
    <w:rsid w:val="002E3864"/>
    <w:rsid w:val="002E4141"/>
    <w:rsid w:val="002E5767"/>
    <w:rsid w:val="002E60F3"/>
    <w:rsid w:val="002E7F86"/>
    <w:rsid w:val="002F032D"/>
    <w:rsid w:val="002F1815"/>
    <w:rsid w:val="002F1BA4"/>
    <w:rsid w:val="002F1D0E"/>
    <w:rsid w:val="002F2A42"/>
    <w:rsid w:val="002F2C3D"/>
    <w:rsid w:val="002F2F2E"/>
    <w:rsid w:val="002F32FE"/>
    <w:rsid w:val="002F435C"/>
    <w:rsid w:val="002F4677"/>
    <w:rsid w:val="002F4F17"/>
    <w:rsid w:val="002F5218"/>
    <w:rsid w:val="002F5755"/>
    <w:rsid w:val="002F5FC3"/>
    <w:rsid w:val="002F6763"/>
    <w:rsid w:val="002F7550"/>
    <w:rsid w:val="0030026C"/>
    <w:rsid w:val="00300F30"/>
    <w:rsid w:val="00300F76"/>
    <w:rsid w:val="00301614"/>
    <w:rsid w:val="00301B95"/>
    <w:rsid w:val="00301EB0"/>
    <w:rsid w:val="0030221D"/>
    <w:rsid w:val="00303A67"/>
    <w:rsid w:val="00303B8A"/>
    <w:rsid w:val="00303D0B"/>
    <w:rsid w:val="00303E19"/>
    <w:rsid w:val="00304DB7"/>
    <w:rsid w:val="00305C9E"/>
    <w:rsid w:val="003064D6"/>
    <w:rsid w:val="00306CF4"/>
    <w:rsid w:val="00306EEE"/>
    <w:rsid w:val="00307242"/>
    <w:rsid w:val="0030733C"/>
    <w:rsid w:val="003075B2"/>
    <w:rsid w:val="00307841"/>
    <w:rsid w:val="0031053F"/>
    <w:rsid w:val="003110C6"/>
    <w:rsid w:val="003113C8"/>
    <w:rsid w:val="0031156E"/>
    <w:rsid w:val="003118B1"/>
    <w:rsid w:val="00311E33"/>
    <w:rsid w:val="00312830"/>
    <w:rsid w:val="00312A5B"/>
    <w:rsid w:val="00313A52"/>
    <w:rsid w:val="00314F1C"/>
    <w:rsid w:val="00315220"/>
    <w:rsid w:val="003152D8"/>
    <w:rsid w:val="00315A57"/>
    <w:rsid w:val="00317EC7"/>
    <w:rsid w:val="00320526"/>
    <w:rsid w:val="00320E49"/>
    <w:rsid w:val="0032187E"/>
    <w:rsid w:val="003220ED"/>
    <w:rsid w:val="0032260D"/>
    <w:rsid w:val="003226AE"/>
    <w:rsid w:val="00322BE4"/>
    <w:rsid w:val="00323717"/>
    <w:rsid w:val="00324265"/>
    <w:rsid w:val="00327F76"/>
    <w:rsid w:val="00332DA6"/>
    <w:rsid w:val="00333106"/>
    <w:rsid w:val="00333F19"/>
    <w:rsid w:val="0033451B"/>
    <w:rsid w:val="003353DA"/>
    <w:rsid w:val="00336A22"/>
    <w:rsid w:val="0033760C"/>
    <w:rsid w:val="003377DA"/>
    <w:rsid w:val="00337CCF"/>
    <w:rsid w:val="003411CD"/>
    <w:rsid w:val="00341B35"/>
    <w:rsid w:val="00341EBF"/>
    <w:rsid w:val="003420F6"/>
    <w:rsid w:val="00343249"/>
    <w:rsid w:val="003435C9"/>
    <w:rsid w:val="00344080"/>
    <w:rsid w:val="003447E9"/>
    <w:rsid w:val="00344A3A"/>
    <w:rsid w:val="00344B05"/>
    <w:rsid w:val="0034551F"/>
    <w:rsid w:val="0034594B"/>
    <w:rsid w:val="0034598D"/>
    <w:rsid w:val="003465C4"/>
    <w:rsid w:val="00347419"/>
    <w:rsid w:val="003476E4"/>
    <w:rsid w:val="003506C3"/>
    <w:rsid w:val="00350ADA"/>
    <w:rsid w:val="00350F1F"/>
    <w:rsid w:val="00351264"/>
    <w:rsid w:val="0035359B"/>
    <w:rsid w:val="00353B9D"/>
    <w:rsid w:val="003540DF"/>
    <w:rsid w:val="003550C2"/>
    <w:rsid w:val="003559C7"/>
    <w:rsid w:val="00355EE0"/>
    <w:rsid w:val="00355F12"/>
    <w:rsid w:val="00355F16"/>
    <w:rsid w:val="00356638"/>
    <w:rsid w:val="00356C45"/>
    <w:rsid w:val="00356CE3"/>
    <w:rsid w:val="00356FFC"/>
    <w:rsid w:val="00357E2C"/>
    <w:rsid w:val="0036026D"/>
    <w:rsid w:val="00360BE0"/>
    <w:rsid w:val="00361D11"/>
    <w:rsid w:val="00362189"/>
    <w:rsid w:val="00362A2C"/>
    <w:rsid w:val="00362FAB"/>
    <w:rsid w:val="0036373A"/>
    <w:rsid w:val="003646E3"/>
    <w:rsid w:val="00364DA3"/>
    <w:rsid w:val="003655D4"/>
    <w:rsid w:val="003658AF"/>
    <w:rsid w:val="00366615"/>
    <w:rsid w:val="00366EF7"/>
    <w:rsid w:val="00367F29"/>
    <w:rsid w:val="00370472"/>
    <w:rsid w:val="0037249A"/>
    <w:rsid w:val="0037365E"/>
    <w:rsid w:val="00373703"/>
    <w:rsid w:val="00374275"/>
    <w:rsid w:val="003745B6"/>
    <w:rsid w:val="003745C6"/>
    <w:rsid w:val="00374DCF"/>
    <w:rsid w:val="00374E21"/>
    <w:rsid w:val="00375101"/>
    <w:rsid w:val="003758F4"/>
    <w:rsid w:val="00375AED"/>
    <w:rsid w:val="00376486"/>
    <w:rsid w:val="00376814"/>
    <w:rsid w:val="00380606"/>
    <w:rsid w:val="00380A75"/>
    <w:rsid w:val="00381109"/>
    <w:rsid w:val="00382B44"/>
    <w:rsid w:val="00382B78"/>
    <w:rsid w:val="0038336B"/>
    <w:rsid w:val="00383C2E"/>
    <w:rsid w:val="00384309"/>
    <w:rsid w:val="00391D4D"/>
    <w:rsid w:val="00392151"/>
    <w:rsid w:val="00392B44"/>
    <w:rsid w:val="00392E43"/>
    <w:rsid w:val="00393AF4"/>
    <w:rsid w:val="00394C0C"/>
    <w:rsid w:val="00394EC9"/>
    <w:rsid w:val="00395F81"/>
    <w:rsid w:val="003961D6"/>
    <w:rsid w:val="00397495"/>
    <w:rsid w:val="003976C4"/>
    <w:rsid w:val="00397B3A"/>
    <w:rsid w:val="003A027C"/>
    <w:rsid w:val="003A07A1"/>
    <w:rsid w:val="003A217B"/>
    <w:rsid w:val="003A2559"/>
    <w:rsid w:val="003A2C8A"/>
    <w:rsid w:val="003A36CE"/>
    <w:rsid w:val="003A3CE5"/>
    <w:rsid w:val="003A4316"/>
    <w:rsid w:val="003A452B"/>
    <w:rsid w:val="003A4D69"/>
    <w:rsid w:val="003A5939"/>
    <w:rsid w:val="003A5E4C"/>
    <w:rsid w:val="003A5E71"/>
    <w:rsid w:val="003B0431"/>
    <w:rsid w:val="003B1CF2"/>
    <w:rsid w:val="003B24F1"/>
    <w:rsid w:val="003B264F"/>
    <w:rsid w:val="003B3D80"/>
    <w:rsid w:val="003B42E7"/>
    <w:rsid w:val="003B4F72"/>
    <w:rsid w:val="003B5B1E"/>
    <w:rsid w:val="003B5D82"/>
    <w:rsid w:val="003B623D"/>
    <w:rsid w:val="003B6885"/>
    <w:rsid w:val="003B71D7"/>
    <w:rsid w:val="003B7307"/>
    <w:rsid w:val="003B76CF"/>
    <w:rsid w:val="003C07DB"/>
    <w:rsid w:val="003C10A9"/>
    <w:rsid w:val="003C185B"/>
    <w:rsid w:val="003C18EF"/>
    <w:rsid w:val="003C2A27"/>
    <w:rsid w:val="003C312C"/>
    <w:rsid w:val="003C3A93"/>
    <w:rsid w:val="003C4143"/>
    <w:rsid w:val="003C453E"/>
    <w:rsid w:val="003C4A21"/>
    <w:rsid w:val="003C5235"/>
    <w:rsid w:val="003C5FA9"/>
    <w:rsid w:val="003C6688"/>
    <w:rsid w:val="003C7000"/>
    <w:rsid w:val="003C769D"/>
    <w:rsid w:val="003D1030"/>
    <w:rsid w:val="003D11C2"/>
    <w:rsid w:val="003D1236"/>
    <w:rsid w:val="003D12AE"/>
    <w:rsid w:val="003D3476"/>
    <w:rsid w:val="003D55AB"/>
    <w:rsid w:val="003D6226"/>
    <w:rsid w:val="003D6CAE"/>
    <w:rsid w:val="003E12B9"/>
    <w:rsid w:val="003E13A9"/>
    <w:rsid w:val="003E1FD3"/>
    <w:rsid w:val="003E2263"/>
    <w:rsid w:val="003E3220"/>
    <w:rsid w:val="003E4EAF"/>
    <w:rsid w:val="003E638F"/>
    <w:rsid w:val="003E6677"/>
    <w:rsid w:val="003E684F"/>
    <w:rsid w:val="003E685F"/>
    <w:rsid w:val="003E6ED2"/>
    <w:rsid w:val="003E707B"/>
    <w:rsid w:val="003E7497"/>
    <w:rsid w:val="003E7715"/>
    <w:rsid w:val="003E79B0"/>
    <w:rsid w:val="003E7BF7"/>
    <w:rsid w:val="003F05DA"/>
    <w:rsid w:val="003F0CF3"/>
    <w:rsid w:val="003F205E"/>
    <w:rsid w:val="003F2165"/>
    <w:rsid w:val="003F27F1"/>
    <w:rsid w:val="003F44DB"/>
    <w:rsid w:val="003F5F1E"/>
    <w:rsid w:val="003F7284"/>
    <w:rsid w:val="003F7477"/>
    <w:rsid w:val="003F7732"/>
    <w:rsid w:val="00400BB9"/>
    <w:rsid w:val="00400E87"/>
    <w:rsid w:val="004019E2"/>
    <w:rsid w:val="00401E8E"/>
    <w:rsid w:val="00402DBB"/>
    <w:rsid w:val="00403722"/>
    <w:rsid w:val="00403884"/>
    <w:rsid w:val="00403BC7"/>
    <w:rsid w:val="00404518"/>
    <w:rsid w:val="00404CE3"/>
    <w:rsid w:val="00405571"/>
    <w:rsid w:val="00407C5C"/>
    <w:rsid w:val="00407CB1"/>
    <w:rsid w:val="00410608"/>
    <w:rsid w:val="0041079D"/>
    <w:rsid w:val="00410F06"/>
    <w:rsid w:val="00412844"/>
    <w:rsid w:val="00412939"/>
    <w:rsid w:val="00412B0B"/>
    <w:rsid w:val="00412C24"/>
    <w:rsid w:val="00413AF1"/>
    <w:rsid w:val="00413F4F"/>
    <w:rsid w:val="004143E8"/>
    <w:rsid w:val="004147D4"/>
    <w:rsid w:val="004154E3"/>
    <w:rsid w:val="00415887"/>
    <w:rsid w:val="00415D55"/>
    <w:rsid w:val="00415EE6"/>
    <w:rsid w:val="00416462"/>
    <w:rsid w:val="0041665D"/>
    <w:rsid w:val="00417A89"/>
    <w:rsid w:val="00417A93"/>
    <w:rsid w:val="00420AF1"/>
    <w:rsid w:val="00420EE6"/>
    <w:rsid w:val="004213A8"/>
    <w:rsid w:val="004219D9"/>
    <w:rsid w:val="00422FD7"/>
    <w:rsid w:val="004236F2"/>
    <w:rsid w:val="00423960"/>
    <w:rsid w:val="0042489F"/>
    <w:rsid w:val="00424E33"/>
    <w:rsid w:val="00425A57"/>
    <w:rsid w:val="00425CA9"/>
    <w:rsid w:val="0042618D"/>
    <w:rsid w:val="0042656E"/>
    <w:rsid w:val="00426574"/>
    <w:rsid w:val="004268D3"/>
    <w:rsid w:val="00426A42"/>
    <w:rsid w:val="00427402"/>
    <w:rsid w:val="004274DA"/>
    <w:rsid w:val="0042761D"/>
    <w:rsid w:val="00427E00"/>
    <w:rsid w:val="004327EA"/>
    <w:rsid w:val="00432A07"/>
    <w:rsid w:val="00432EFB"/>
    <w:rsid w:val="00433480"/>
    <w:rsid w:val="004334FE"/>
    <w:rsid w:val="00433C82"/>
    <w:rsid w:val="00434A30"/>
    <w:rsid w:val="00434CA3"/>
    <w:rsid w:val="00437441"/>
    <w:rsid w:val="00437446"/>
    <w:rsid w:val="00437A8D"/>
    <w:rsid w:val="00437B12"/>
    <w:rsid w:val="00440604"/>
    <w:rsid w:val="00440A01"/>
    <w:rsid w:val="004413F3"/>
    <w:rsid w:val="004414B7"/>
    <w:rsid w:val="0044225E"/>
    <w:rsid w:val="00442552"/>
    <w:rsid w:val="00444CE2"/>
    <w:rsid w:val="00445118"/>
    <w:rsid w:val="0044601A"/>
    <w:rsid w:val="004462B4"/>
    <w:rsid w:val="004466A5"/>
    <w:rsid w:val="00450FED"/>
    <w:rsid w:val="0045116D"/>
    <w:rsid w:val="0045142B"/>
    <w:rsid w:val="00451F40"/>
    <w:rsid w:val="0045361E"/>
    <w:rsid w:val="0045376D"/>
    <w:rsid w:val="00453837"/>
    <w:rsid w:val="0045429D"/>
    <w:rsid w:val="00455A11"/>
    <w:rsid w:val="004561D5"/>
    <w:rsid w:val="00456D6D"/>
    <w:rsid w:val="00456F29"/>
    <w:rsid w:val="00457BDE"/>
    <w:rsid w:val="00457D18"/>
    <w:rsid w:val="00460630"/>
    <w:rsid w:val="004614F1"/>
    <w:rsid w:val="00461F50"/>
    <w:rsid w:val="00462CBB"/>
    <w:rsid w:val="0046317E"/>
    <w:rsid w:val="00463572"/>
    <w:rsid w:val="00463840"/>
    <w:rsid w:val="00463DAE"/>
    <w:rsid w:val="004653C8"/>
    <w:rsid w:val="004655B8"/>
    <w:rsid w:val="0046704A"/>
    <w:rsid w:val="00467650"/>
    <w:rsid w:val="0047017F"/>
    <w:rsid w:val="00470463"/>
    <w:rsid w:val="0047083E"/>
    <w:rsid w:val="004714F7"/>
    <w:rsid w:val="0047155C"/>
    <w:rsid w:val="00471802"/>
    <w:rsid w:val="00472C5A"/>
    <w:rsid w:val="00472D92"/>
    <w:rsid w:val="00472DE2"/>
    <w:rsid w:val="00472F02"/>
    <w:rsid w:val="0047312C"/>
    <w:rsid w:val="00473CDF"/>
    <w:rsid w:val="00473F67"/>
    <w:rsid w:val="0047453A"/>
    <w:rsid w:val="0047493C"/>
    <w:rsid w:val="00474E86"/>
    <w:rsid w:val="00475F7E"/>
    <w:rsid w:val="00476025"/>
    <w:rsid w:val="0047766B"/>
    <w:rsid w:val="00477B5F"/>
    <w:rsid w:val="00477E7F"/>
    <w:rsid w:val="00480D13"/>
    <w:rsid w:val="00480F89"/>
    <w:rsid w:val="00482C1B"/>
    <w:rsid w:val="0048354C"/>
    <w:rsid w:val="00483824"/>
    <w:rsid w:val="00483C81"/>
    <w:rsid w:val="00483F97"/>
    <w:rsid w:val="0048432D"/>
    <w:rsid w:val="00484453"/>
    <w:rsid w:val="004854FF"/>
    <w:rsid w:val="00485AEC"/>
    <w:rsid w:val="00485DCB"/>
    <w:rsid w:val="00486F7E"/>
    <w:rsid w:val="00487802"/>
    <w:rsid w:val="00487984"/>
    <w:rsid w:val="00490049"/>
    <w:rsid w:val="0049023A"/>
    <w:rsid w:val="004905D8"/>
    <w:rsid w:val="00490781"/>
    <w:rsid w:val="0049199C"/>
    <w:rsid w:val="0049229C"/>
    <w:rsid w:val="00492D53"/>
    <w:rsid w:val="004932A8"/>
    <w:rsid w:val="0049449D"/>
    <w:rsid w:val="0049508C"/>
    <w:rsid w:val="004953DD"/>
    <w:rsid w:val="004954DD"/>
    <w:rsid w:val="00496A1E"/>
    <w:rsid w:val="00496EA2"/>
    <w:rsid w:val="00497611"/>
    <w:rsid w:val="00497675"/>
    <w:rsid w:val="00497F05"/>
    <w:rsid w:val="00497F50"/>
    <w:rsid w:val="004A0AF2"/>
    <w:rsid w:val="004A2785"/>
    <w:rsid w:val="004A3C72"/>
    <w:rsid w:val="004A4546"/>
    <w:rsid w:val="004B01A4"/>
    <w:rsid w:val="004B03FD"/>
    <w:rsid w:val="004B0524"/>
    <w:rsid w:val="004B0958"/>
    <w:rsid w:val="004B18BC"/>
    <w:rsid w:val="004B1B3E"/>
    <w:rsid w:val="004B26BC"/>
    <w:rsid w:val="004B2757"/>
    <w:rsid w:val="004B4204"/>
    <w:rsid w:val="004B5083"/>
    <w:rsid w:val="004B598D"/>
    <w:rsid w:val="004B5F08"/>
    <w:rsid w:val="004B68F2"/>
    <w:rsid w:val="004B6BF1"/>
    <w:rsid w:val="004B6CE1"/>
    <w:rsid w:val="004B6CE5"/>
    <w:rsid w:val="004B6F02"/>
    <w:rsid w:val="004B6F27"/>
    <w:rsid w:val="004B7949"/>
    <w:rsid w:val="004B7A6F"/>
    <w:rsid w:val="004B7E63"/>
    <w:rsid w:val="004C0CB3"/>
    <w:rsid w:val="004C22D1"/>
    <w:rsid w:val="004C268B"/>
    <w:rsid w:val="004C2799"/>
    <w:rsid w:val="004C284B"/>
    <w:rsid w:val="004C29B7"/>
    <w:rsid w:val="004C2A21"/>
    <w:rsid w:val="004C2C0A"/>
    <w:rsid w:val="004C2E9B"/>
    <w:rsid w:val="004C2F66"/>
    <w:rsid w:val="004C32F2"/>
    <w:rsid w:val="004C550F"/>
    <w:rsid w:val="004C5CA9"/>
    <w:rsid w:val="004C5CE6"/>
    <w:rsid w:val="004C6052"/>
    <w:rsid w:val="004C6850"/>
    <w:rsid w:val="004C711E"/>
    <w:rsid w:val="004D1E07"/>
    <w:rsid w:val="004D1E32"/>
    <w:rsid w:val="004D3C3B"/>
    <w:rsid w:val="004D412F"/>
    <w:rsid w:val="004D52A0"/>
    <w:rsid w:val="004D662C"/>
    <w:rsid w:val="004D67A9"/>
    <w:rsid w:val="004D76E2"/>
    <w:rsid w:val="004D77A2"/>
    <w:rsid w:val="004D7D62"/>
    <w:rsid w:val="004E1157"/>
    <w:rsid w:val="004E1D1C"/>
    <w:rsid w:val="004E21A1"/>
    <w:rsid w:val="004E24F8"/>
    <w:rsid w:val="004E289F"/>
    <w:rsid w:val="004E2F42"/>
    <w:rsid w:val="004E3E51"/>
    <w:rsid w:val="004E57AE"/>
    <w:rsid w:val="004E57EB"/>
    <w:rsid w:val="004E5931"/>
    <w:rsid w:val="004F0691"/>
    <w:rsid w:val="004F0BDA"/>
    <w:rsid w:val="004F0D15"/>
    <w:rsid w:val="004F1AD8"/>
    <w:rsid w:val="004F1BAE"/>
    <w:rsid w:val="004F1F88"/>
    <w:rsid w:val="004F355B"/>
    <w:rsid w:val="004F3A89"/>
    <w:rsid w:val="004F4567"/>
    <w:rsid w:val="004F5CEF"/>
    <w:rsid w:val="004F69A7"/>
    <w:rsid w:val="004F7A4F"/>
    <w:rsid w:val="00500061"/>
    <w:rsid w:val="00500158"/>
    <w:rsid w:val="00502F8C"/>
    <w:rsid w:val="00503283"/>
    <w:rsid w:val="005032ED"/>
    <w:rsid w:val="005033B7"/>
    <w:rsid w:val="00506D9D"/>
    <w:rsid w:val="00507FEF"/>
    <w:rsid w:val="00510453"/>
    <w:rsid w:val="00510D80"/>
    <w:rsid w:val="0051228E"/>
    <w:rsid w:val="00512BAF"/>
    <w:rsid w:val="0051336B"/>
    <w:rsid w:val="00513C0A"/>
    <w:rsid w:val="00514838"/>
    <w:rsid w:val="005167E4"/>
    <w:rsid w:val="00516A2C"/>
    <w:rsid w:val="00520179"/>
    <w:rsid w:val="00520D25"/>
    <w:rsid w:val="00521381"/>
    <w:rsid w:val="0052469E"/>
    <w:rsid w:val="00524749"/>
    <w:rsid w:val="00524ACB"/>
    <w:rsid w:val="00525395"/>
    <w:rsid w:val="00525A60"/>
    <w:rsid w:val="00525B7D"/>
    <w:rsid w:val="00527568"/>
    <w:rsid w:val="005277E7"/>
    <w:rsid w:val="00530048"/>
    <w:rsid w:val="005308B8"/>
    <w:rsid w:val="00530BF9"/>
    <w:rsid w:val="00530CD3"/>
    <w:rsid w:val="00531626"/>
    <w:rsid w:val="00531730"/>
    <w:rsid w:val="0053201D"/>
    <w:rsid w:val="0053295D"/>
    <w:rsid w:val="005329EA"/>
    <w:rsid w:val="005337CD"/>
    <w:rsid w:val="00534FF4"/>
    <w:rsid w:val="005354F3"/>
    <w:rsid w:val="0053558D"/>
    <w:rsid w:val="00536C2C"/>
    <w:rsid w:val="00536F18"/>
    <w:rsid w:val="005372BF"/>
    <w:rsid w:val="005417E0"/>
    <w:rsid w:val="0054223B"/>
    <w:rsid w:val="0054248D"/>
    <w:rsid w:val="0054394A"/>
    <w:rsid w:val="00543EFE"/>
    <w:rsid w:val="00544343"/>
    <w:rsid w:val="0054513F"/>
    <w:rsid w:val="00545831"/>
    <w:rsid w:val="00546865"/>
    <w:rsid w:val="005470DE"/>
    <w:rsid w:val="00547C9A"/>
    <w:rsid w:val="0055153B"/>
    <w:rsid w:val="005516A1"/>
    <w:rsid w:val="00551754"/>
    <w:rsid w:val="005529A4"/>
    <w:rsid w:val="005532B1"/>
    <w:rsid w:val="00553594"/>
    <w:rsid w:val="005535C4"/>
    <w:rsid w:val="00554701"/>
    <w:rsid w:val="00554843"/>
    <w:rsid w:val="00555649"/>
    <w:rsid w:val="0055588C"/>
    <w:rsid w:val="00555FD1"/>
    <w:rsid w:val="00556F42"/>
    <w:rsid w:val="0055753A"/>
    <w:rsid w:val="00560128"/>
    <w:rsid w:val="00560140"/>
    <w:rsid w:val="00560E1B"/>
    <w:rsid w:val="005618C2"/>
    <w:rsid w:val="00561D47"/>
    <w:rsid w:val="00561D7E"/>
    <w:rsid w:val="00562393"/>
    <w:rsid w:val="005628EA"/>
    <w:rsid w:val="00562D14"/>
    <w:rsid w:val="0056370D"/>
    <w:rsid w:val="0056384F"/>
    <w:rsid w:val="00563D8D"/>
    <w:rsid w:val="00563DCE"/>
    <w:rsid w:val="00563F38"/>
    <w:rsid w:val="0056409F"/>
    <w:rsid w:val="00564798"/>
    <w:rsid w:val="00565500"/>
    <w:rsid w:val="00565D29"/>
    <w:rsid w:val="005669DC"/>
    <w:rsid w:val="00566D25"/>
    <w:rsid w:val="00567946"/>
    <w:rsid w:val="00570401"/>
    <w:rsid w:val="005708DA"/>
    <w:rsid w:val="0057166F"/>
    <w:rsid w:val="00572D27"/>
    <w:rsid w:val="00573145"/>
    <w:rsid w:val="0057447B"/>
    <w:rsid w:val="0057566A"/>
    <w:rsid w:val="005760DF"/>
    <w:rsid w:val="00576ABE"/>
    <w:rsid w:val="00576EE1"/>
    <w:rsid w:val="00577A38"/>
    <w:rsid w:val="005806E8"/>
    <w:rsid w:val="005808F8"/>
    <w:rsid w:val="00580AF9"/>
    <w:rsid w:val="0058138B"/>
    <w:rsid w:val="005815D4"/>
    <w:rsid w:val="00581D25"/>
    <w:rsid w:val="00582049"/>
    <w:rsid w:val="00582B85"/>
    <w:rsid w:val="00583BEC"/>
    <w:rsid w:val="005845CF"/>
    <w:rsid w:val="0058520B"/>
    <w:rsid w:val="005855FE"/>
    <w:rsid w:val="00585AC1"/>
    <w:rsid w:val="005875DC"/>
    <w:rsid w:val="00590817"/>
    <w:rsid w:val="005917E8"/>
    <w:rsid w:val="00592967"/>
    <w:rsid w:val="00593D29"/>
    <w:rsid w:val="00596A0A"/>
    <w:rsid w:val="00596F9E"/>
    <w:rsid w:val="00596FC5"/>
    <w:rsid w:val="00597084"/>
    <w:rsid w:val="00597853"/>
    <w:rsid w:val="005A1465"/>
    <w:rsid w:val="005A1564"/>
    <w:rsid w:val="005A15B6"/>
    <w:rsid w:val="005A19B0"/>
    <w:rsid w:val="005A2700"/>
    <w:rsid w:val="005A31D4"/>
    <w:rsid w:val="005A39C1"/>
    <w:rsid w:val="005A3FD1"/>
    <w:rsid w:val="005A4309"/>
    <w:rsid w:val="005A5026"/>
    <w:rsid w:val="005A5CCA"/>
    <w:rsid w:val="005A651F"/>
    <w:rsid w:val="005B08A8"/>
    <w:rsid w:val="005B0E82"/>
    <w:rsid w:val="005B245B"/>
    <w:rsid w:val="005B2530"/>
    <w:rsid w:val="005B2B8C"/>
    <w:rsid w:val="005B340F"/>
    <w:rsid w:val="005B3685"/>
    <w:rsid w:val="005B44DB"/>
    <w:rsid w:val="005B49C4"/>
    <w:rsid w:val="005B5077"/>
    <w:rsid w:val="005B53BC"/>
    <w:rsid w:val="005B7059"/>
    <w:rsid w:val="005C0494"/>
    <w:rsid w:val="005C085C"/>
    <w:rsid w:val="005C17E2"/>
    <w:rsid w:val="005C1B8A"/>
    <w:rsid w:val="005C2514"/>
    <w:rsid w:val="005C2661"/>
    <w:rsid w:val="005C3690"/>
    <w:rsid w:val="005C4040"/>
    <w:rsid w:val="005C5CBB"/>
    <w:rsid w:val="005C757A"/>
    <w:rsid w:val="005D01A3"/>
    <w:rsid w:val="005D1665"/>
    <w:rsid w:val="005D18F5"/>
    <w:rsid w:val="005D1A4A"/>
    <w:rsid w:val="005D2878"/>
    <w:rsid w:val="005D2E44"/>
    <w:rsid w:val="005D4336"/>
    <w:rsid w:val="005D4D28"/>
    <w:rsid w:val="005D5445"/>
    <w:rsid w:val="005D5876"/>
    <w:rsid w:val="005D5C7F"/>
    <w:rsid w:val="005D6308"/>
    <w:rsid w:val="005D64DA"/>
    <w:rsid w:val="005D6519"/>
    <w:rsid w:val="005D685F"/>
    <w:rsid w:val="005D6954"/>
    <w:rsid w:val="005D6D26"/>
    <w:rsid w:val="005E05C0"/>
    <w:rsid w:val="005E0B81"/>
    <w:rsid w:val="005E1C15"/>
    <w:rsid w:val="005E1C1D"/>
    <w:rsid w:val="005E25B1"/>
    <w:rsid w:val="005E2E73"/>
    <w:rsid w:val="005E386F"/>
    <w:rsid w:val="005E4915"/>
    <w:rsid w:val="005E4BA4"/>
    <w:rsid w:val="005E569E"/>
    <w:rsid w:val="005E5F0B"/>
    <w:rsid w:val="005E671F"/>
    <w:rsid w:val="005E68D7"/>
    <w:rsid w:val="005F0442"/>
    <w:rsid w:val="005F1AB6"/>
    <w:rsid w:val="005F2349"/>
    <w:rsid w:val="005F299F"/>
    <w:rsid w:val="005F29FE"/>
    <w:rsid w:val="005F3966"/>
    <w:rsid w:val="005F3B75"/>
    <w:rsid w:val="005F4AD9"/>
    <w:rsid w:val="005F52BA"/>
    <w:rsid w:val="005F53AE"/>
    <w:rsid w:val="005F72FE"/>
    <w:rsid w:val="005F7477"/>
    <w:rsid w:val="005F7B91"/>
    <w:rsid w:val="006009A3"/>
    <w:rsid w:val="006009CD"/>
    <w:rsid w:val="0060101E"/>
    <w:rsid w:val="00601963"/>
    <w:rsid w:val="00602222"/>
    <w:rsid w:val="00603707"/>
    <w:rsid w:val="006042A3"/>
    <w:rsid w:val="00604695"/>
    <w:rsid w:val="00604807"/>
    <w:rsid w:val="00604D34"/>
    <w:rsid w:val="00604F5A"/>
    <w:rsid w:val="0060550E"/>
    <w:rsid w:val="00606189"/>
    <w:rsid w:val="00606EF9"/>
    <w:rsid w:val="00607282"/>
    <w:rsid w:val="006072E0"/>
    <w:rsid w:val="006108B9"/>
    <w:rsid w:val="00610BA7"/>
    <w:rsid w:val="00610EC1"/>
    <w:rsid w:val="00612238"/>
    <w:rsid w:val="00613048"/>
    <w:rsid w:val="00613A25"/>
    <w:rsid w:val="00613BA3"/>
    <w:rsid w:val="00615525"/>
    <w:rsid w:val="00615555"/>
    <w:rsid w:val="006160EF"/>
    <w:rsid w:val="0061613E"/>
    <w:rsid w:val="0061643E"/>
    <w:rsid w:val="00617E38"/>
    <w:rsid w:val="00617EEF"/>
    <w:rsid w:val="0062056D"/>
    <w:rsid w:val="00620653"/>
    <w:rsid w:val="00620DD3"/>
    <w:rsid w:val="00620F54"/>
    <w:rsid w:val="0062116E"/>
    <w:rsid w:val="006220C8"/>
    <w:rsid w:val="006234F8"/>
    <w:rsid w:val="00623A4E"/>
    <w:rsid w:val="00624ABA"/>
    <w:rsid w:val="00626834"/>
    <w:rsid w:val="00626F5F"/>
    <w:rsid w:val="00627B64"/>
    <w:rsid w:val="00627CBF"/>
    <w:rsid w:val="0063088F"/>
    <w:rsid w:val="00630C0E"/>
    <w:rsid w:val="006313DB"/>
    <w:rsid w:val="006314D7"/>
    <w:rsid w:val="0063193D"/>
    <w:rsid w:val="006323D8"/>
    <w:rsid w:val="006342A6"/>
    <w:rsid w:val="006345F9"/>
    <w:rsid w:val="00635516"/>
    <w:rsid w:val="0063576C"/>
    <w:rsid w:val="0063585A"/>
    <w:rsid w:val="006359F1"/>
    <w:rsid w:val="00635F21"/>
    <w:rsid w:val="00636AEF"/>
    <w:rsid w:val="00636DA7"/>
    <w:rsid w:val="00640143"/>
    <w:rsid w:val="00640476"/>
    <w:rsid w:val="00640F70"/>
    <w:rsid w:val="00641191"/>
    <w:rsid w:val="0064127B"/>
    <w:rsid w:val="00641395"/>
    <w:rsid w:val="00641903"/>
    <w:rsid w:val="00641ECB"/>
    <w:rsid w:val="00642701"/>
    <w:rsid w:val="00643478"/>
    <w:rsid w:val="00644155"/>
    <w:rsid w:val="006441C4"/>
    <w:rsid w:val="00644390"/>
    <w:rsid w:val="00644480"/>
    <w:rsid w:val="00644560"/>
    <w:rsid w:val="00644BED"/>
    <w:rsid w:val="0064541F"/>
    <w:rsid w:val="00645C38"/>
    <w:rsid w:val="0064658D"/>
    <w:rsid w:val="00646604"/>
    <w:rsid w:val="0064708B"/>
    <w:rsid w:val="00647122"/>
    <w:rsid w:val="00647415"/>
    <w:rsid w:val="00647D0B"/>
    <w:rsid w:val="00647FC2"/>
    <w:rsid w:val="0065020E"/>
    <w:rsid w:val="00651620"/>
    <w:rsid w:val="006521B5"/>
    <w:rsid w:val="00653183"/>
    <w:rsid w:val="0065454D"/>
    <w:rsid w:val="00654C11"/>
    <w:rsid w:val="0065593F"/>
    <w:rsid w:val="00655D17"/>
    <w:rsid w:val="00655DEC"/>
    <w:rsid w:val="006569E2"/>
    <w:rsid w:val="00656D06"/>
    <w:rsid w:val="00657B31"/>
    <w:rsid w:val="00657C3B"/>
    <w:rsid w:val="00657C6C"/>
    <w:rsid w:val="006607FA"/>
    <w:rsid w:val="00660953"/>
    <w:rsid w:val="006613FB"/>
    <w:rsid w:val="00661D99"/>
    <w:rsid w:val="0066218E"/>
    <w:rsid w:val="00662A5B"/>
    <w:rsid w:val="00662D9D"/>
    <w:rsid w:val="0066391B"/>
    <w:rsid w:val="00663BE7"/>
    <w:rsid w:val="00665995"/>
    <w:rsid w:val="00666297"/>
    <w:rsid w:val="00666AC0"/>
    <w:rsid w:val="00666F60"/>
    <w:rsid w:val="006675FF"/>
    <w:rsid w:val="00667776"/>
    <w:rsid w:val="00667AE8"/>
    <w:rsid w:val="00667F4F"/>
    <w:rsid w:val="0067070C"/>
    <w:rsid w:val="0067100D"/>
    <w:rsid w:val="0067129D"/>
    <w:rsid w:val="00671BC9"/>
    <w:rsid w:val="006722AC"/>
    <w:rsid w:val="00674263"/>
    <w:rsid w:val="00674B79"/>
    <w:rsid w:val="00675200"/>
    <w:rsid w:val="006756DC"/>
    <w:rsid w:val="00675CDB"/>
    <w:rsid w:val="006767BE"/>
    <w:rsid w:val="0067687A"/>
    <w:rsid w:val="0067720D"/>
    <w:rsid w:val="0067732B"/>
    <w:rsid w:val="006778B2"/>
    <w:rsid w:val="006802BD"/>
    <w:rsid w:val="0068143C"/>
    <w:rsid w:val="0068267F"/>
    <w:rsid w:val="006839AD"/>
    <w:rsid w:val="006843EF"/>
    <w:rsid w:val="00685857"/>
    <w:rsid w:val="00685BD7"/>
    <w:rsid w:val="00685E08"/>
    <w:rsid w:val="00686112"/>
    <w:rsid w:val="006868DC"/>
    <w:rsid w:val="00686D06"/>
    <w:rsid w:val="00687063"/>
    <w:rsid w:val="0068730D"/>
    <w:rsid w:val="0069120D"/>
    <w:rsid w:val="00691818"/>
    <w:rsid w:val="00691BAF"/>
    <w:rsid w:val="0069213E"/>
    <w:rsid w:val="006931D7"/>
    <w:rsid w:val="006938B0"/>
    <w:rsid w:val="006940B3"/>
    <w:rsid w:val="00694517"/>
    <w:rsid w:val="00694815"/>
    <w:rsid w:val="006950DF"/>
    <w:rsid w:val="006958EA"/>
    <w:rsid w:val="0069776B"/>
    <w:rsid w:val="00697852"/>
    <w:rsid w:val="006A32E9"/>
    <w:rsid w:val="006A3DFE"/>
    <w:rsid w:val="006A3F77"/>
    <w:rsid w:val="006A46D0"/>
    <w:rsid w:val="006A49EA"/>
    <w:rsid w:val="006A4B55"/>
    <w:rsid w:val="006A5872"/>
    <w:rsid w:val="006A5C09"/>
    <w:rsid w:val="006A5C5B"/>
    <w:rsid w:val="006A6D37"/>
    <w:rsid w:val="006A6F21"/>
    <w:rsid w:val="006A74C7"/>
    <w:rsid w:val="006A761C"/>
    <w:rsid w:val="006A76CB"/>
    <w:rsid w:val="006B01D0"/>
    <w:rsid w:val="006B1304"/>
    <w:rsid w:val="006B1CDF"/>
    <w:rsid w:val="006B2009"/>
    <w:rsid w:val="006B20D2"/>
    <w:rsid w:val="006B2449"/>
    <w:rsid w:val="006B360F"/>
    <w:rsid w:val="006B5598"/>
    <w:rsid w:val="006B5DF7"/>
    <w:rsid w:val="006B6680"/>
    <w:rsid w:val="006B6FE0"/>
    <w:rsid w:val="006B722B"/>
    <w:rsid w:val="006B736F"/>
    <w:rsid w:val="006B787B"/>
    <w:rsid w:val="006B79DC"/>
    <w:rsid w:val="006C00D7"/>
    <w:rsid w:val="006C00DD"/>
    <w:rsid w:val="006C04DF"/>
    <w:rsid w:val="006C0900"/>
    <w:rsid w:val="006C185F"/>
    <w:rsid w:val="006C1A61"/>
    <w:rsid w:val="006C32E0"/>
    <w:rsid w:val="006C4081"/>
    <w:rsid w:val="006C59C7"/>
    <w:rsid w:val="006C5DF4"/>
    <w:rsid w:val="006C7462"/>
    <w:rsid w:val="006C7929"/>
    <w:rsid w:val="006C7D71"/>
    <w:rsid w:val="006D045D"/>
    <w:rsid w:val="006D0A3A"/>
    <w:rsid w:val="006D0F34"/>
    <w:rsid w:val="006D12AE"/>
    <w:rsid w:val="006D1CDF"/>
    <w:rsid w:val="006D2D26"/>
    <w:rsid w:val="006D2E64"/>
    <w:rsid w:val="006D4E19"/>
    <w:rsid w:val="006D54D9"/>
    <w:rsid w:val="006D5525"/>
    <w:rsid w:val="006D5AED"/>
    <w:rsid w:val="006D6716"/>
    <w:rsid w:val="006D6C33"/>
    <w:rsid w:val="006D6CB6"/>
    <w:rsid w:val="006D7751"/>
    <w:rsid w:val="006D7ED9"/>
    <w:rsid w:val="006E1015"/>
    <w:rsid w:val="006E1112"/>
    <w:rsid w:val="006E1436"/>
    <w:rsid w:val="006E1D16"/>
    <w:rsid w:val="006E339B"/>
    <w:rsid w:val="006E477A"/>
    <w:rsid w:val="006E560D"/>
    <w:rsid w:val="006E5DD9"/>
    <w:rsid w:val="006E6B82"/>
    <w:rsid w:val="006E6EF1"/>
    <w:rsid w:val="006E7818"/>
    <w:rsid w:val="006E79BC"/>
    <w:rsid w:val="006F00DA"/>
    <w:rsid w:val="006F03C5"/>
    <w:rsid w:val="006F0F1B"/>
    <w:rsid w:val="006F186E"/>
    <w:rsid w:val="006F18F6"/>
    <w:rsid w:val="006F1F94"/>
    <w:rsid w:val="006F2521"/>
    <w:rsid w:val="006F2F2C"/>
    <w:rsid w:val="006F3B1C"/>
    <w:rsid w:val="006F3D4F"/>
    <w:rsid w:val="006F3F80"/>
    <w:rsid w:val="006F4272"/>
    <w:rsid w:val="006F6E93"/>
    <w:rsid w:val="006F75E8"/>
    <w:rsid w:val="007005CA"/>
    <w:rsid w:val="0070288F"/>
    <w:rsid w:val="00702C8C"/>
    <w:rsid w:val="00703273"/>
    <w:rsid w:val="0070677A"/>
    <w:rsid w:val="00706845"/>
    <w:rsid w:val="00706E7C"/>
    <w:rsid w:val="00707B6A"/>
    <w:rsid w:val="00710DC3"/>
    <w:rsid w:val="0071131C"/>
    <w:rsid w:val="00711A10"/>
    <w:rsid w:val="0071237E"/>
    <w:rsid w:val="00712BCB"/>
    <w:rsid w:val="00712D9C"/>
    <w:rsid w:val="00713765"/>
    <w:rsid w:val="007137A1"/>
    <w:rsid w:val="00714175"/>
    <w:rsid w:val="007152AF"/>
    <w:rsid w:val="00716E24"/>
    <w:rsid w:val="007171AD"/>
    <w:rsid w:val="00717D75"/>
    <w:rsid w:val="0072014E"/>
    <w:rsid w:val="0072112C"/>
    <w:rsid w:val="007212E7"/>
    <w:rsid w:val="007213C2"/>
    <w:rsid w:val="007227CA"/>
    <w:rsid w:val="00722843"/>
    <w:rsid w:val="00722F7C"/>
    <w:rsid w:val="00723026"/>
    <w:rsid w:val="00723306"/>
    <w:rsid w:val="007240B2"/>
    <w:rsid w:val="0072438F"/>
    <w:rsid w:val="00725501"/>
    <w:rsid w:val="00725697"/>
    <w:rsid w:val="00725F3D"/>
    <w:rsid w:val="0072638D"/>
    <w:rsid w:val="00726882"/>
    <w:rsid w:val="0072756C"/>
    <w:rsid w:val="007277C8"/>
    <w:rsid w:val="00727A75"/>
    <w:rsid w:val="00730AE3"/>
    <w:rsid w:val="00730D73"/>
    <w:rsid w:val="00730FD6"/>
    <w:rsid w:val="0073192E"/>
    <w:rsid w:val="00731FB6"/>
    <w:rsid w:val="00732445"/>
    <w:rsid w:val="00732F2B"/>
    <w:rsid w:val="00734362"/>
    <w:rsid w:val="007349D3"/>
    <w:rsid w:val="00734BB2"/>
    <w:rsid w:val="00734F8A"/>
    <w:rsid w:val="007353B5"/>
    <w:rsid w:val="007353C0"/>
    <w:rsid w:val="00735D16"/>
    <w:rsid w:val="00735F79"/>
    <w:rsid w:val="00735FCB"/>
    <w:rsid w:val="00735FDD"/>
    <w:rsid w:val="00736674"/>
    <w:rsid w:val="007366E0"/>
    <w:rsid w:val="00736B18"/>
    <w:rsid w:val="00736B9C"/>
    <w:rsid w:val="00736C84"/>
    <w:rsid w:val="00736E50"/>
    <w:rsid w:val="00736E9D"/>
    <w:rsid w:val="007376EE"/>
    <w:rsid w:val="007414A5"/>
    <w:rsid w:val="007417F0"/>
    <w:rsid w:val="0074199E"/>
    <w:rsid w:val="00742029"/>
    <w:rsid w:val="00742A79"/>
    <w:rsid w:val="00744148"/>
    <w:rsid w:val="0074417E"/>
    <w:rsid w:val="007448A4"/>
    <w:rsid w:val="00744957"/>
    <w:rsid w:val="007450C3"/>
    <w:rsid w:val="0074584E"/>
    <w:rsid w:val="00745B83"/>
    <w:rsid w:val="00745F30"/>
    <w:rsid w:val="00745FEA"/>
    <w:rsid w:val="0074638A"/>
    <w:rsid w:val="00746FC5"/>
    <w:rsid w:val="00750EE9"/>
    <w:rsid w:val="00752748"/>
    <w:rsid w:val="00752826"/>
    <w:rsid w:val="007529BF"/>
    <w:rsid w:val="00752BDD"/>
    <w:rsid w:val="007537E6"/>
    <w:rsid w:val="007538E9"/>
    <w:rsid w:val="007551A2"/>
    <w:rsid w:val="007560BE"/>
    <w:rsid w:val="00756391"/>
    <w:rsid w:val="007570D5"/>
    <w:rsid w:val="0075760C"/>
    <w:rsid w:val="007603C4"/>
    <w:rsid w:val="00760621"/>
    <w:rsid w:val="00760F9B"/>
    <w:rsid w:val="007611A0"/>
    <w:rsid w:val="007624D1"/>
    <w:rsid w:val="0076276C"/>
    <w:rsid w:val="00762CDC"/>
    <w:rsid w:val="00763730"/>
    <w:rsid w:val="00763C64"/>
    <w:rsid w:val="00763F3B"/>
    <w:rsid w:val="0076428B"/>
    <w:rsid w:val="0076596C"/>
    <w:rsid w:val="00765CBE"/>
    <w:rsid w:val="007661F0"/>
    <w:rsid w:val="00766422"/>
    <w:rsid w:val="00766EAC"/>
    <w:rsid w:val="0076701F"/>
    <w:rsid w:val="00767F18"/>
    <w:rsid w:val="00770BCE"/>
    <w:rsid w:val="00771052"/>
    <w:rsid w:val="0077231A"/>
    <w:rsid w:val="00774B6C"/>
    <w:rsid w:val="007752DD"/>
    <w:rsid w:val="00775B0C"/>
    <w:rsid w:val="00776942"/>
    <w:rsid w:val="007775ED"/>
    <w:rsid w:val="00777CCA"/>
    <w:rsid w:val="00780121"/>
    <w:rsid w:val="0078166D"/>
    <w:rsid w:val="007824B3"/>
    <w:rsid w:val="007824C5"/>
    <w:rsid w:val="00783205"/>
    <w:rsid w:val="00783B46"/>
    <w:rsid w:val="007859B3"/>
    <w:rsid w:val="007875E5"/>
    <w:rsid w:val="00787A4E"/>
    <w:rsid w:val="00787F4A"/>
    <w:rsid w:val="00790410"/>
    <w:rsid w:val="0079085D"/>
    <w:rsid w:val="00791399"/>
    <w:rsid w:val="0079187C"/>
    <w:rsid w:val="00792465"/>
    <w:rsid w:val="0079305C"/>
    <w:rsid w:val="00793CB5"/>
    <w:rsid w:val="00793EA1"/>
    <w:rsid w:val="00795853"/>
    <w:rsid w:val="00795B1D"/>
    <w:rsid w:val="007977E5"/>
    <w:rsid w:val="00797C2A"/>
    <w:rsid w:val="00797D19"/>
    <w:rsid w:val="007A0393"/>
    <w:rsid w:val="007A0AE0"/>
    <w:rsid w:val="007A1164"/>
    <w:rsid w:val="007A245A"/>
    <w:rsid w:val="007A246D"/>
    <w:rsid w:val="007A37DE"/>
    <w:rsid w:val="007A47C3"/>
    <w:rsid w:val="007A530D"/>
    <w:rsid w:val="007A5957"/>
    <w:rsid w:val="007A5C6C"/>
    <w:rsid w:val="007A630F"/>
    <w:rsid w:val="007A6CF8"/>
    <w:rsid w:val="007A6FD6"/>
    <w:rsid w:val="007A7BD5"/>
    <w:rsid w:val="007B01C1"/>
    <w:rsid w:val="007B1323"/>
    <w:rsid w:val="007B1A60"/>
    <w:rsid w:val="007B1EB8"/>
    <w:rsid w:val="007B20B5"/>
    <w:rsid w:val="007B3048"/>
    <w:rsid w:val="007B33DC"/>
    <w:rsid w:val="007B3F54"/>
    <w:rsid w:val="007B3FAE"/>
    <w:rsid w:val="007B4419"/>
    <w:rsid w:val="007B48BD"/>
    <w:rsid w:val="007B4BD3"/>
    <w:rsid w:val="007B4FB1"/>
    <w:rsid w:val="007B52D3"/>
    <w:rsid w:val="007B5579"/>
    <w:rsid w:val="007B5CEB"/>
    <w:rsid w:val="007B5DFE"/>
    <w:rsid w:val="007B5F47"/>
    <w:rsid w:val="007B6655"/>
    <w:rsid w:val="007C0117"/>
    <w:rsid w:val="007C021D"/>
    <w:rsid w:val="007C0B1D"/>
    <w:rsid w:val="007C17F0"/>
    <w:rsid w:val="007C1F47"/>
    <w:rsid w:val="007C2E19"/>
    <w:rsid w:val="007C3283"/>
    <w:rsid w:val="007C3298"/>
    <w:rsid w:val="007C3998"/>
    <w:rsid w:val="007C3AA5"/>
    <w:rsid w:val="007C446B"/>
    <w:rsid w:val="007C47B7"/>
    <w:rsid w:val="007C47E5"/>
    <w:rsid w:val="007C4F64"/>
    <w:rsid w:val="007C5011"/>
    <w:rsid w:val="007C6195"/>
    <w:rsid w:val="007C7F3A"/>
    <w:rsid w:val="007D087D"/>
    <w:rsid w:val="007D0B71"/>
    <w:rsid w:val="007D200D"/>
    <w:rsid w:val="007D2730"/>
    <w:rsid w:val="007D30CD"/>
    <w:rsid w:val="007D343C"/>
    <w:rsid w:val="007D3A38"/>
    <w:rsid w:val="007D3E90"/>
    <w:rsid w:val="007D3EB0"/>
    <w:rsid w:val="007D4665"/>
    <w:rsid w:val="007D47C1"/>
    <w:rsid w:val="007D50F7"/>
    <w:rsid w:val="007D5ACC"/>
    <w:rsid w:val="007D5CD6"/>
    <w:rsid w:val="007D62BA"/>
    <w:rsid w:val="007D7F33"/>
    <w:rsid w:val="007E047D"/>
    <w:rsid w:val="007E0AB1"/>
    <w:rsid w:val="007E1E51"/>
    <w:rsid w:val="007E3826"/>
    <w:rsid w:val="007E417A"/>
    <w:rsid w:val="007E47D6"/>
    <w:rsid w:val="007E4DFE"/>
    <w:rsid w:val="007E5540"/>
    <w:rsid w:val="007E63E6"/>
    <w:rsid w:val="007E68BD"/>
    <w:rsid w:val="007E75C2"/>
    <w:rsid w:val="007F00AF"/>
    <w:rsid w:val="007F02F7"/>
    <w:rsid w:val="007F0E26"/>
    <w:rsid w:val="007F10D7"/>
    <w:rsid w:val="007F21D2"/>
    <w:rsid w:val="007F2AF2"/>
    <w:rsid w:val="007F356B"/>
    <w:rsid w:val="007F4003"/>
    <w:rsid w:val="007F43AA"/>
    <w:rsid w:val="007F4F0B"/>
    <w:rsid w:val="007F507A"/>
    <w:rsid w:val="007F55FE"/>
    <w:rsid w:val="007F5968"/>
    <w:rsid w:val="007F60CA"/>
    <w:rsid w:val="007F640E"/>
    <w:rsid w:val="007F6560"/>
    <w:rsid w:val="007F68EB"/>
    <w:rsid w:val="007F6F22"/>
    <w:rsid w:val="007F7D03"/>
    <w:rsid w:val="008017FA"/>
    <w:rsid w:val="00801B7C"/>
    <w:rsid w:val="00801BB6"/>
    <w:rsid w:val="00802279"/>
    <w:rsid w:val="008023B7"/>
    <w:rsid w:val="00802535"/>
    <w:rsid w:val="00802A74"/>
    <w:rsid w:val="00803A44"/>
    <w:rsid w:val="00804510"/>
    <w:rsid w:val="00804E26"/>
    <w:rsid w:val="00805FF9"/>
    <w:rsid w:val="00806035"/>
    <w:rsid w:val="0080626C"/>
    <w:rsid w:val="00806291"/>
    <w:rsid w:val="008064BA"/>
    <w:rsid w:val="00807502"/>
    <w:rsid w:val="00810C3B"/>
    <w:rsid w:val="00811911"/>
    <w:rsid w:val="00812310"/>
    <w:rsid w:val="00813049"/>
    <w:rsid w:val="008150D0"/>
    <w:rsid w:val="0081511B"/>
    <w:rsid w:val="00815B08"/>
    <w:rsid w:val="00815CEC"/>
    <w:rsid w:val="008170BD"/>
    <w:rsid w:val="00817636"/>
    <w:rsid w:val="00817A31"/>
    <w:rsid w:val="00820A88"/>
    <w:rsid w:val="00821393"/>
    <w:rsid w:val="00821FE3"/>
    <w:rsid w:val="00822400"/>
    <w:rsid w:val="008228E8"/>
    <w:rsid w:val="008229F8"/>
    <w:rsid w:val="00822E48"/>
    <w:rsid w:val="00822F32"/>
    <w:rsid w:val="00823F4F"/>
    <w:rsid w:val="008240CB"/>
    <w:rsid w:val="00825EC9"/>
    <w:rsid w:val="00825F3E"/>
    <w:rsid w:val="00826009"/>
    <w:rsid w:val="00826836"/>
    <w:rsid w:val="00827F71"/>
    <w:rsid w:val="00827FEB"/>
    <w:rsid w:val="008303EF"/>
    <w:rsid w:val="00830687"/>
    <w:rsid w:val="00830CD5"/>
    <w:rsid w:val="00830D88"/>
    <w:rsid w:val="00833237"/>
    <w:rsid w:val="008336B7"/>
    <w:rsid w:val="00833A06"/>
    <w:rsid w:val="00833C09"/>
    <w:rsid w:val="00833C97"/>
    <w:rsid w:val="00834034"/>
    <w:rsid w:val="00834F38"/>
    <w:rsid w:val="0083541F"/>
    <w:rsid w:val="00835895"/>
    <w:rsid w:val="008360C1"/>
    <w:rsid w:val="00837858"/>
    <w:rsid w:val="0083789F"/>
    <w:rsid w:val="00837C69"/>
    <w:rsid w:val="008403E7"/>
    <w:rsid w:val="008404CE"/>
    <w:rsid w:val="008407F0"/>
    <w:rsid w:val="00840F41"/>
    <w:rsid w:val="0084286D"/>
    <w:rsid w:val="00844523"/>
    <w:rsid w:val="008448F4"/>
    <w:rsid w:val="0084503E"/>
    <w:rsid w:val="00847043"/>
    <w:rsid w:val="00850A6F"/>
    <w:rsid w:val="00851C50"/>
    <w:rsid w:val="008524A6"/>
    <w:rsid w:val="00852D41"/>
    <w:rsid w:val="00856825"/>
    <w:rsid w:val="0085690D"/>
    <w:rsid w:val="008577B3"/>
    <w:rsid w:val="00857992"/>
    <w:rsid w:val="00857A19"/>
    <w:rsid w:val="00860263"/>
    <w:rsid w:val="0086217A"/>
    <w:rsid w:val="0086259A"/>
    <w:rsid w:val="008628F4"/>
    <w:rsid w:val="00864358"/>
    <w:rsid w:val="0086483C"/>
    <w:rsid w:val="00865419"/>
    <w:rsid w:val="00865F35"/>
    <w:rsid w:val="00866EBF"/>
    <w:rsid w:val="00866EFD"/>
    <w:rsid w:val="00866F57"/>
    <w:rsid w:val="008675A4"/>
    <w:rsid w:val="008675C2"/>
    <w:rsid w:val="00867DCF"/>
    <w:rsid w:val="00867ED8"/>
    <w:rsid w:val="008700CD"/>
    <w:rsid w:val="008713F9"/>
    <w:rsid w:val="008723D5"/>
    <w:rsid w:val="00872618"/>
    <w:rsid w:val="00872C22"/>
    <w:rsid w:val="00872FD2"/>
    <w:rsid w:val="00872FD9"/>
    <w:rsid w:val="00873481"/>
    <w:rsid w:val="00873E45"/>
    <w:rsid w:val="00873EF0"/>
    <w:rsid w:val="00873F91"/>
    <w:rsid w:val="008742C6"/>
    <w:rsid w:val="008759F0"/>
    <w:rsid w:val="008760D9"/>
    <w:rsid w:val="008769B8"/>
    <w:rsid w:val="00876AEC"/>
    <w:rsid w:val="008802FE"/>
    <w:rsid w:val="00880301"/>
    <w:rsid w:val="0088148D"/>
    <w:rsid w:val="0088154C"/>
    <w:rsid w:val="00881BE6"/>
    <w:rsid w:val="008824E2"/>
    <w:rsid w:val="00882F0C"/>
    <w:rsid w:val="00883A60"/>
    <w:rsid w:val="00884693"/>
    <w:rsid w:val="00884C9C"/>
    <w:rsid w:val="00884EE1"/>
    <w:rsid w:val="0088591B"/>
    <w:rsid w:val="008862C9"/>
    <w:rsid w:val="00887188"/>
    <w:rsid w:val="008876A7"/>
    <w:rsid w:val="00887D00"/>
    <w:rsid w:val="00890658"/>
    <w:rsid w:val="00890B3E"/>
    <w:rsid w:val="00890B7B"/>
    <w:rsid w:val="00891990"/>
    <w:rsid w:val="00892A5D"/>
    <w:rsid w:val="00892ABB"/>
    <w:rsid w:val="00894075"/>
    <w:rsid w:val="0089414E"/>
    <w:rsid w:val="008949B0"/>
    <w:rsid w:val="00894B83"/>
    <w:rsid w:val="00896999"/>
    <w:rsid w:val="008970EA"/>
    <w:rsid w:val="00897D52"/>
    <w:rsid w:val="008A0FCC"/>
    <w:rsid w:val="008A1477"/>
    <w:rsid w:val="008A2AF0"/>
    <w:rsid w:val="008A3487"/>
    <w:rsid w:val="008A36A0"/>
    <w:rsid w:val="008A7130"/>
    <w:rsid w:val="008A73FF"/>
    <w:rsid w:val="008B18D4"/>
    <w:rsid w:val="008B1F87"/>
    <w:rsid w:val="008B2078"/>
    <w:rsid w:val="008B2DD6"/>
    <w:rsid w:val="008B43F8"/>
    <w:rsid w:val="008B49BF"/>
    <w:rsid w:val="008B4A1D"/>
    <w:rsid w:val="008B4BF5"/>
    <w:rsid w:val="008B626E"/>
    <w:rsid w:val="008B6463"/>
    <w:rsid w:val="008B6688"/>
    <w:rsid w:val="008B70F7"/>
    <w:rsid w:val="008B73AD"/>
    <w:rsid w:val="008B748F"/>
    <w:rsid w:val="008C0329"/>
    <w:rsid w:val="008C21AA"/>
    <w:rsid w:val="008C2A3D"/>
    <w:rsid w:val="008C2C55"/>
    <w:rsid w:val="008C2FFA"/>
    <w:rsid w:val="008C3B98"/>
    <w:rsid w:val="008C4043"/>
    <w:rsid w:val="008C473A"/>
    <w:rsid w:val="008C48E8"/>
    <w:rsid w:val="008C4B11"/>
    <w:rsid w:val="008C4BFD"/>
    <w:rsid w:val="008C4E7A"/>
    <w:rsid w:val="008C62B7"/>
    <w:rsid w:val="008C62E3"/>
    <w:rsid w:val="008C6393"/>
    <w:rsid w:val="008C659E"/>
    <w:rsid w:val="008C6DDD"/>
    <w:rsid w:val="008C6F58"/>
    <w:rsid w:val="008C759E"/>
    <w:rsid w:val="008C783A"/>
    <w:rsid w:val="008C7E0B"/>
    <w:rsid w:val="008D132D"/>
    <w:rsid w:val="008D488C"/>
    <w:rsid w:val="008D5EE9"/>
    <w:rsid w:val="008D7E2A"/>
    <w:rsid w:val="008E0F73"/>
    <w:rsid w:val="008E0F76"/>
    <w:rsid w:val="008E0FD4"/>
    <w:rsid w:val="008E1F8C"/>
    <w:rsid w:val="008E22CF"/>
    <w:rsid w:val="008E3C18"/>
    <w:rsid w:val="008E3EA4"/>
    <w:rsid w:val="008E4E04"/>
    <w:rsid w:val="008E4E87"/>
    <w:rsid w:val="008E5540"/>
    <w:rsid w:val="008E60E0"/>
    <w:rsid w:val="008E63CC"/>
    <w:rsid w:val="008E67A3"/>
    <w:rsid w:val="008E6E95"/>
    <w:rsid w:val="008E7179"/>
    <w:rsid w:val="008E7424"/>
    <w:rsid w:val="008F01DE"/>
    <w:rsid w:val="008F0431"/>
    <w:rsid w:val="008F11C8"/>
    <w:rsid w:val="008F151D"/>
    <w:rsid w:val="008F3203"/>
    <w:rsid w:val="008F49CE"/>
    <w:rsid w:val="008F51E0"/>
    <w:rsid w:val="008F57FC"/>
    <w:rsid w:val="008F6094"/>
    <w:rsid w:val="008F68A5"/>
    <w:rsid w:val="00900261"/>
    <w:rsid w:val="00900510"/>
    <w:rsid w:val="00900F3B"/>
    <w:rsid w:val="009011F0"/>
    <w:rsid w:val="00901ED0"/>
    <w:rsid w:val="00902272"/>
    <w:rsid w:val="00903222"/>
    <w:rsid w:val="00904473"/>
    <w:rsid w:val="00904FA8"/>
    <w:rsid w:val="0090565E"/>
    <w:rsid w:val="00907299"/>
    <w:rsid w:val="00910126"/>
    <w:rsid w:val="0091076A"/>
    <w:rsid w:val="00910C64"/>
    <w:rsid w:val="00911409"/>
    <w:rsid w:val="009119AB"/>
    <w:rsid w:val="00912399"/>
    <w:rsid w:val="009124C4"/>
    <w:rsid w:val="00913034"/>
    <w:rsid w:val="009134C7"/>
    <w:rsid w:val="00913C86"/>
    <w:rsid w:val="00914237"/>
    <w:rsid w:val="009142B8"/>
    <w:rsid w:val="00914582"/>
    <w:rsid w:val="00914846"/>
    <w:rsid w:val="00914907"/>
    <w:rsid w:val="00914AD0"/>
    <w:rsid w:val="00915181"/>
    <w:rsid w:val="00915640"/>
    <w:rsid w:val="00915988"/>
    <w:rsid w:val="00915FA8"/>
    <w:rsid w:val="0091609E"/>
    <w:rsid w:val="00916109"/>
    <w:rsid w:val="00916D65"/>
    <w:rsid w:val="0091798B"/>
    <w:rsid w:val="009179D6"/>
    <w:rsid w:val="009203E6"/>
    <w:rsid w:val="00920F5B"/>
    <w:rsid w:val="00921F7B"/>
    <w:rsid w:val="009230E5"/>
    <w:rsid w:val="00923882"/>
    <w:rsid w:val="009242A3"/>
    <w:rsid w:val="009249CD"/>
    <w:rsid w:val="00924BC5"/>
    <w:rsid w:val="00925CAC"/>
    <w:rsid w:val="009262BB"/>
    <w:rsid w:val="0092682A"/>
    <w:rsid w:val="009271CE"/>
    <w:rsid w:val="00927360"/>
    <w:rsid w:val="00927EB9"/>
    <w:rsid w:val="009301AF"/>
    <w:rsid w:val="009303EF"/>
    <w:rsid w:val="0093071D"/>
    <w:rsid w:val="0093133D"/>
    <w:rsid w:val="009316CA"/>
    <w:rsid w:val="00931C4F"/>
    <w:rsid w:val="0093254E"/>
    <w:rsid w:val="00932F14"/>
    <w:rsid w:val="009331A3"/>
    <w:rsid w:val="00934206"/>
    <w:rsid w:val="0093421E"/>
    <w:rsid w:val="0093510A"/>
    <w:rsid w:val="00935F76"/>
    <w:rsid w:val="00936E94"/>
    <w:rsid w:val="00937531"/>
    <w:rsid w:val="00937751"/>
    <w:rsid w:val="00937C10"/>
    <w:rsid w:val="00940016"/>
    <w:rsid w:val="009406AF"/>
    <w:rsid w:val="00941829"/>
    <w:rsid w:val="0094213C"/>
    <w:rsid w:val="009421F9"/>
    <w:rsid w:val="00942556"/>
    <w:rsid w:val="00943AB1"/>
    <w:rsid w:val="00944611"/>
    <w:rsid w:val="009450A6"/>
    <w:rsid w:val="009451BD"/>
    <w:rsid w:val="00945642"/>
    <w:rsid w:val="00945A26"/>
    <w:rsid w:val="0094711E"/>
    <w:rsid w:val="009475B0"/>
    <w:rsid w:val="00947F21"/>
    <w:rsid w:val="00950577"/>
    <w:rsid w:val="00951752"/>
    <w:rsid w:val="00951BB8"/>
    <w:rsid w:val="00954FCE"/>
    <w:rsid w:val="009556F7"/>
    <w:rsid w:val="00960150"/>
    <w:rsid w:val="00961017"/>
    <w:rsid w:val="00961370"/>
    <w:rsid w:val="00961EA6"/>
    <w:rsid w:val="009622A7"/>
    <w:rsid w:val="00963E5B"/>
    <w:rsid w:val="00964657"/>
    <w:rsid w:val="009647E0"/>
    <w:rsid w:val="00964F29"/>
    <w:rsid w:val="0096515A"/>
    <w:rsid w:val="00965BB1"/>
    <w:rsid w:val="00966299"/>
    <w:rsid w:val="00966734"/>
    <w:rsid w:val="00966B30"/>
    <w:rsid w:val="00966E7D"/>
    <w:rsid w:val="00967A69"/>
    <w:rsid w:val="009707FD"/>
    <w:rsid w:val="00970D46"/>
    <w:rsid w:val="00970D6C"/>
    <w:rsid w:val="00970D98"/>
    <w:rsid w:val="0097118C"/>
    <w:rsid w:val="009713AC"/>
    <w:rsid w:val="009713D5"/>
    <w:rsid w:val="00971BE9"/>
    <w:rsid w:val="00972723"/>
    <w:rsid w:val="00972B49"/>
    <w:rsid w:val="0097563A"/>
    <w:rsid w:val="0097586A"/>
    <w:rsid w:val="00975B49"/>
    <w:rsid w:val="00975D0A"/>
    <w:rsid w:val="00975F87"/>
    <w:rsid w:val="009769B4"/>
    <w:rsid w:val="00976D93"/>
    <w:rsid w:val="00977E09"/>
    <w:rsid w:val="009800B5"/>
    <w:rsid w:val="00982F52"/>
    <w:rsid w:val="009830A3"/>
    <w:rsid w:val="00983380"/>
    <w:rsid w:val="0098379D"/>
    <w:rsid w:val="00983B3B"/>
    <w:rsid w:val="0098429B"/>
    <w:rsid w:val="00984318"/>
    <w:rsid w:val="0098442E"/>
    <w:rsid w:val="00984D7C"/>
    <w:rsid w:val="009850F8"/>
    <w:rsid w:val="009853B6"/>
    <w:rsid w:val="009857AE"/>
    <w:rsid w:val="00985C9E"/>
    <w:rsid w:val="0098639B"/>
    <w:rsid w:val="00987BCD"/>
    <w:rsid w:val="009900C6"/>
    <w:rsid w:val="009903EC"/>
    <w:rsid w:val="009904D3"/>
    <w:rsid w:val="0099062E"/>
    <w:rsid w:val="00990F43"/>
    <w:rsid w:val="00991347"/>
    <w:rsid w:val="0099143A"/>
    <w:rsid w:val="009916F7"/>
    <w:rsid w:val="0099174B"/>
    <w:rsid w:val="009917AE"/>
    <w:rsid w:val="00991E73"/>
    <w:rsid w:val="0099209E"/>
    <w:rsid w:val="0099280A"/>
    <w:rsid w:val="00992EC0"/>
    <w:rsid w:val="0099490D"/>
    <w:rsid w:val="0099555A"/>
    <w:rsid w:val="009959E4"/>
    <w:rsid w:val="00995B17"/>
    <w:rsid w:val="00995E1C"/>
    <w:rsid w:val="009961DD"/>
    <w:rsid w:val="00996AB0"/>
    <w:rsid w:val="00996AC4"/>
    <w:rsid w:val="00996FD9"/>
    <w:rsid w:val="0099732C"/>
    <w:rsid w:val="009974D8"/>
    <w:rsid w:val="009A0301"/>
    <w:rsid w:val="009A0442"/>
    <w:rsid w:val="009A0D7A"/>
    <w:rsid w:val="009A155D"/>
    <w:rsid w:val="009A36BA"/>
    <w:rsid w:val="009A5831"/>
    <w:rsid w:val="009A6B40"/>
    <w:rsid w:val="009A6F06"/>
    <w:rsid w:val="009A7916"/>
    <w:rsid w:val="009B1B90"/>
    <w:rsid w:val="009B1C5A"/>
    <w:rsid w:val="009B2E11"/>
    <w:rsid w:val="009B4026"/>
    <w:rsid w:val="009B4C0B"/>
    <w:rsid w:val="009B594E"/>
    <w:rsid w:val="009B5EB4"/>
    <w:rsid w:val="009B7EEB"/>
    <w:rsid w:val="009C041C"/>
    <w:rsid w:val="009C04C4"/>
    <w:rsid w:val="009C0581"/>
    <w:rsid w:val="009C1BDA"/>
    <w:rsid w:val="009C24C6"/>
    <w:rsid w:val="009C4192"/>
    <w:rsid w:val="009C50AD"/>
    <w:rsid w:val="009C5BEA"/>
    <w:rsid w:val="009C5C98"/>
    <w:rsid w:val="009C6693"/>
    <w:rsid w:val="009C6D39"/>
    <w:rsid w:val="009D0574"/>
    <w:rsid w:val="009D093B"/>
    <w:rsid w:val="009D0F07"/>
    <w:rsid w:val="009D1A77"/>
    <w:rsid w:val="009D1D7D"/>
    <w:rsid w:val="009D2811"/>
    <w:rsid w:val="009D29D9"/>
    <w:rsid w:val="009D2A74"/>
    <w:rsid w:val="009D2D34"/>
    <w:rsid w:val="009D35D3"/>
    <w:rsid w:val="009D3692"/>
    <w:rsid w:val="009D37D3"/>
    <w:rsid w:val="009D5650"/>
    <w:rsid w:val="009D5981"/>
    <w:rsid w:val="009D65C1"/>
    <w:rsid w:val="009D6AA1"/>
    <w:rsid w:val="009D7073"/>
    <w:rsid w:val="009D7274"/>
    <w:rsid w:val="009D74B8"/>
    <w:rsid w:val="009E1CC9"/>
    <w:rsid w:val="009E23C1"/>
    <w:rsid w:val="009E2692"/>
    <w:rsid w:val="009E2D08"/>
    <w:rsid w:val="009E3262"/>
    <w:rsid w:val="009E3848"/>
    <w:rsid w:val="009E462F"/>
    <w:rsid w:val="009E47A7"/>
    <w:rsid w:val="009E4D26"/>
    <w:rsid w:val="009E667F"/>
    <w:rsid w:val="009E6D88"/>
    <w:rsid w:val="009F3B86"/>
    <w:rsid w:val="009F4909"/>
    <w:rsid w:val="009F4F6A"/>
    <w:rsid w:val="009F5943"/>
    <w:rsid w:val="009F5B50"/>
    <w:rsid w:val="009F5DA6"/>
    <w:rsid w:val="009F5F73"/>
    <w:rsid w:val="009F5FEE"/>
    <w:rsid w:val="009F6B33"/>
    <w:rsid w:val="009F713C"/>
    <w:rsid w:val="009F7291"/>
    <w:rsid w:val="009F7ABC"/>
    <w:rsid w:val="00A0032A"/>
    <w:rsid w:val="00A00C09"/>
    <w:rsid w:val="00A00DA2"/>
    <w:rsid w:val="00A0144C"/>
    <w:rsid w:val="00A016F0"/>
    <w:rsid w:val="00A01F79"/>
    <w:rsid w:val="00A01FF3"/>
    <w:rsid w:val="00A0233A"/>
    <w:rsid w:val="00A03875"/>
    <w:rsid w:val="00A03D4F"/>
    <w:rsid w:val="00A03EDE"/>
    <w:rsid w:val="00A05F19"/>
    <w:rsid w:val="00A0627C"/>
    <w:rsid w:val="00A065DE"/>
    <w:rsid w:val="00A06F68"/>
    <w:rsid w:val="00A07468"/>
    <w:rsid w:val="00A079C4"/>
    <w:rsid w:val="00A1049E"/>
    <w:rsid w:val="00A105DE"/>
    <w:rsid w:val="00A11CE0"/>
    <w:rsid w:val="00A11FC8"/>
    <w:rsid w:val="00A13382"/>
    <w:rsid w:val="00A1375B"/>
    <w:rsid w:val="00A14A43"/>
    <w:rsid w:val="00A15DE4"/>
    <w:rsid w:val="00A1618A"/>
    <w:rsid w:val="00A172B2"/>
    <w:rsid w:val="00A173C6"/>
    <w:rsid w:val="00A179BE"/>
    <w:rsid w:val="00A2147B"/>
    <w:rsid w:val="00A21E6E"/>
    <w:rsid w:val="00A22146"/>
    <w:rsid w:val="00A22B33"/>
    <w:rsid w:val="00A2316C"/>
    <w:rsid w:val="00A23D73"/>
    <w:rsid w:val="00A24B79"/>
    <w:rsid w:val="00A24B88"/>
    <w:rsid w:val="00A257E2"/>
    <w:rsid w:val="00A258BF"/>
    <w:rsid w:val="00A2611B"/>
    <w:rsid w:val="00A2617E"/>
    <w:rsid w:val="00A264BA"/>
    <w:rsid w:val="00A26B29"/>
    <w:rsid w:val="00A27352"/>
    <w:rsid w:val="00A276C4"/>
    <w:rsid w:val="00A27D77"/>
    <w:rsid w:val="00A305CE"/>
    <w:rsid w:val="00A32335"/>
    <w:rsid w:val="00A32817"/>
    <w:rsid w:val="00A335B0"/>
    <w:rsid w:val="00A33706"/>
    <w:rsid w:val="00A33F36"/>
    <w:rsid w:val="00A347B0"/>
    <w:rsid w:val="00A3499F"/>
    <w:rsid w:val="00A34A61"/>
    <w:rsid w:val="00A35814"/>
    <w:rsid w:val="00A363D3"/>
    <w:rsid w:val="00A36B74"/>
    <w:rsid w:val="00A36FC4"/>
    <w:rsid w:val="00A3785D"/>
    <w:rsid w:val="00A37A1D"/>
    <w:rsid w:val="00A37EAC"/>
    <w:rsid w:val="00A4052D"/>
    <w:rsid w:val="00A405DB"/>
    <w:rsid w:val="00A40909"/>
    <w:rsid w:val="00A40AD4"/>
    <w:rsid w:val="00A4135E"/>
    <w:rsid w:val="00A41BFF"/>
    <w:rsid w:val="00A433C0"/>
    <w:rsid w:val="00A43907"/>
    <w:rsid w:val="00A4592A"/>
    <w:rsid w:val="00A46629"/>
    <w:rsid w:val="00A469B6"/>
    <w:rsid w:val="00A469FD"/>
    <w:rsid w:val="00A46A25"/>
    <w:rsid w:val="00A46AC9"/>
    <w:rsid w:val="00A46ECF"/>
    <w:rsid w:val="00A51DEE"/>
    <w:rsid w:val="00A52203"/>
    <w:rsid w:val="00A527C1"/>
    <w:rsid w:val="00A53E5A"/>
    <w:rsid w:val="00A542D4"/>
    <w:rsid w:val="00A54EC8"/>
    <w:rsid w:val="00A55801"/>
    <w:rsid w:val="00A5611B"/>
    <w:rsid w:val="00A56597"/>
    <w:rsid w:val="00A56A0D"/>
    <w:rsid w:val="00A5721A"/>
    <w:rsid w:val="00A57A4B"/>
    <w:rsid w:val="00A610CC"/>
    <w:rsid w:val="00A61326"/>
    <w:rsid w:val="00A625BC"/>
    <w:rsid w:val="00A62CF8"/>
    <w:rsid w:val="00A63D8C"/>
    <w:rsid w:val="00A63E06"/>
    <w:rsid w:val="00A63E62"/>
    <w:rsid w:val="00A641D3"/>
    <w:rsid w:val="00A650DA"/>
    <w:rsid w:val="00A65E60"/>
    <w:rsid w:val="00A6620C"/>
    <w:rsid w:val="00A6752A"/>
    <w:rsid w:val="00A70565"/>
    <w:rsid w:val="00A70668"/>
    <w:rsid w:val="00A70863"/>
    <w:rsid w:val="00A71763"/>
    <w:rsid w:val="00A71ED0"/>
    <w:rsid w:val="00A72219"/>
    <w:rsid w:val="00A723B3"/>
    <w:rsid w:val="00A73056"/>
    <w:rsid w:val="00A7332F"/>
    <w:rsid w:val="00A736A4"/>
    <w:rsid w:val="00A740D8"/>
    <w:rsid w:val="00A74D30"/>
    <w:rsid w:val="00A75640"/>
    <w:rsid w:val="00A75B2F"/>
    <w:rsid w:val="00A75DB1"/>
    <w:rsid w:val="00A7612A"/>
    <w:rsid w:val="00A771E3"/>
    <w:rsid w:val="00A8143E"/>
    <w:rsid w:val="00A81AFA"/>
    <w:rsid w:val="00A8211A"/>
    <w:rsid w:val="00A82EB7"/>
    <w:rsid w:val="00A8350C"/>
    <w:rsid w:val="00A837CF"/>
    <w:rsid w:val="00A83DE8"/>
    <w:rsid w:val="00A84529"/>
    <w:rsid w:val="00A86F26"/>
    <w:rsid w:val="00A90AA2"/>
    <w:rsid w:val="00A90ED0"/>
    <w:rsid w:val="00A91F1C"/>
    <w:rsid w:val="00A93690"/>
    <w:rsid w:val="00A93FC1"/>
    <w:rsid w:val="00A9420F"/>
    <w:rsid w:val="00A94BBF"/>
    <w:rsid w:val="00A94FB5"/>
    <w:rsid w:val="00A95B3C"/>
    <w:rsid w:val="00A95D00"/>
    <w:rsid w:val="00A95EB6"/>
    <w:rsid w:val="00A95EF8"/>
    <w:rsid w:val="00A96143"/>
    <w:rsid w:val="00A96503"/>
    <w:rsid w:val="00AA0EA1"/>
    <w:rsid w:val="00AA1A3A"/>
    <w:rsid w:val="00AA213A"/>
    <w:rsid w:val="00AA2EB4"/>
    <w:rsid w:val="00AA31E5"/>
    <w:rsid w:val="00AA428D"/>
    <w:rsid w:val="00AA53DC"/>
    <w:rsid w:val="00AA61B6"/>
    <w:rsid w:val="00AA6E34"/>
    <w:rsid w:val="00AA72A9"/>
    <w:rsid w:val="00AA75CC"/>
    <w:rsid w:val="00AB0941"/>
    <w:rsid w:val="00AB0951"/>
    <w:rsid w:val="00AB28BF"/>
    <w:rsid w:val="00AB2CF3"/>
    <w:rsid w:val="00AB3C4C"/>
    <w:rsid w:val="00AB4024"/>
    <w:rsid w:val="00AB5666"/>
    <w:rsid w:val="00AB567E"/>
    <w:rsid w:val="00AB6594"/>
    <w:rsid w:val="00AB6FAA"/>
    <w:rsid w:val="00AB734D"/>
    <w:rsid w:val="00AB7588"/>
    <w:rsid w:val="00AB7BD7"/>
    <w:rsid w:val="00AB7FCE"/>
    <w:rsid w:val="00AC001B"/>
    <w:rsid w:val="00AC028B"/>
    <w:rsid w:val="00AC0293"/>
    <w:rsid w:val="00AC04BC"/>
    <w:rsid w:val="00AC0724"/>
    <w:rsid w:val="00AC1BA3"/>
    <w:rsid w:val="00AC3108"/>
    <w:rsid w:val="00AC33A5"/>
    <w:rsid w:val="00AC34A7"/>
    <w:rsid w:val="00AC3F77"/>
    <w:rsid w:val="00AC430A"/>
    <w:rsid w:val="00AC46A6"/>
    <w:rsid w:val="00AC6452"/>
    <w:rsid w:val="00AC6EB9"/>
    <w:rsid w:val="00AC6FC5"/>
    <w:rsid w:val="00AC7087"/>
    <w:rsid w:val="00AC76F3"/>
    <w:rsid w:val="00AC77CE"/>
    <w:rsid w:val="00AD0BBD"/>
    <w:rsid w:val="00AD0FEB"/>
    <w:rsid w:val="00AD145B"/>
    <w:rsid w:val="00AD2BB8"/>
    <w:rsid w:val="00AD2C56"/>
    <w:rsid w:val="00AD3270"/>
    <w:rsid w:val="00AD3635"/>
    <w:rsid w:val="00AD43EF"/>
    <w:rsid w:val="00AD4731"/>
    <w:rsid w:val="00AD4E81"/>
    <w:rsid w:val="00AD532E"/>
    <w:rsid w:val="00AD58DC"/>
    <w:rsid w:val="00AD64E0"/>
    <w:rsid w:val="00AD655B"/>
    <w:rsid w:val="00AD716D"/>
    <w:rsid w:val="00AD7421"/>
    <w:rsid w:val="00AE05EB"/>
    <w:rsid w:val="00AE0648"/>
    <w:rsid w:val="00AE0BCD"/>
    <w:rsid w:val="00AE19D8"/>
    <w:rsid w:val="00AE1ABF"/>
    <w:rsid w:val="00AE1F88"/>
    <w:rsid w:val="00AE3BD5"/>
    <w:rsid w:val="00AE3E16"/>
    <w:rsid w:val="00AE3E88"/>
    <w:rsid w:val="00AE49EC"/>
    <w:rsid w:val="00AE6F65"/>
    <w:rsid w:val="00AE7D9F"/>
    <w:rsid w:val="00AF0340"/>
    <w:rsid w:val="00AF03B5"/>
    <w:rsid w:val="00AF061C"/>
    <w:rsid w:val="00AF0A0E"/>
    <w:rsid w:val="00AF1298"/>
    <w:rsid w:val="00AF1684"/>
    <w:rsid w:val="00AF16CB"/>
    <w:rsid w:val="00AF1FAA"/>
    <w:rsid w:val="00AF2AD7"/>
    <w:rsid w:val="00AF2F8B"/>
    <w:rsid w:val="00AF327B"/>
    <w:rsid w:val="00AF3813"/>
    <w:rsid w:val="00AF3D93"/>
    <w:rsid w:val="00AF4BF8"/>
    <w:rsid w:val="00AF567E"/>
    <w:rsid w:val="00AF5A72"/>
    <w:rsid w:val="00AF6656"/>
    <w:rsid w:val="00AF682F"/>
    <w:rsid w:val="00AF68D8"/>
    <w:rsid w:val="00AF70A0"/>
    <w:rsid w:val="00AF7F81"/>
    <w:rsid w:val="00B001A6"/>
    <w:rsid w:val="00B00E00"/>
    <w:rsid w:val="00B02A2C"/>
    <w:rsid w:val="00B037B0"/>
    <w:rsid w:val="00B039D6"/>
    <w:rsid w:val="00B04807"/>
    <w:rsid w:val="00B049F2"/>
    <w:rsid w:val="00B04C79"/>
    <w:rsid w:val="00B04F1B"/>
    <w:rsid w:val="00B05D71"/>
    <w:rsid w:val="00B05D89"/>
    <w:rsid w:val="00B07094"/>
    <w:rsid w:val="00B076DD"/>
    <w:rsid w:val="00B11CB1"/>
    <w:rsid w:val="00B11F83"/>
    <w:rsid w:val="00B12746"/>
    <w:rsid w:val="00B139B9"/>
    <w:rsid w:val="00B13C10"/>
    <w:rsid w:val="00B14898"/>
    <w:rsid w:val="00B14B9C"/>
    <w:rsid w:val="00B150CF"/>
    <w:rsid w:val="00B16BA9"/>
    <w:rsid w:val="00B2018D"/>
    <w:rsid w:val="00B204E5"/>
    <w:rsid w:val="00B20702"/>
    <w:rsid w:val="00B207D3"/>
    <w:rsid w:val="00B21293"/>
    <w:rsid w:val="00B21640"/>
    <w:rsid w:val="00B22600"/>
    <w:rsid w:val="00B228FB"/>
    <w:rsid w:val="00B22C48"/>
    <w:rsid w:val="00B23014"/>
    <w:rsid w:val="00B23955"/>
    <w:rsid w:val="00B23E02"/>
    <w:rsid w:val="00B23FB8"/>
    <w:rsid w:val="00B24136"/>
    <w:rsid w:val="00B248D4"/>
    <w:rsid w:val="00B2551A"/>
    <w:rsid w:val="00B25678"/>
    <w:rsid w:val="00B25A9E"/>
    <w:rsid w:val="00B26D30"/>
    <w:rsid w:val="00B274D1"/>
    <w:rsid w:val="00B275C3"/>
    <w:rsid w:val="00B279AC"/>
    <w:rsid w:val="00B30CEA"/>
    <w:rsid w:val="00B31743"/>
    <w:rsid w:val="00B3196F"/>
    <w:rsid w:val="00B31FA4"/>
    <w:rsid w:val="00B327A6"/>
    <w:rsid w:val="00B32835"/>
    <w:rsid w:val="00B33259"/>
    <w:rsid w:val="00B33804"/>
    <w:rsid w:val="00B35D79"/>
    <w:rsid w:val="00B3615E"/>
    <w:rsid w:val="00B368B7"/>
    <w:rsid w:val="00B37731"/>
    <w:rsid w:val="00B37E3D"/>
    <w:rsid w:val="00B409C0"/>
    <w:rsid w:val="00B42F82"/>
    <w:rsid w:val="00B435D0"/>
    <w:rsid w:val="00B43B05"/>
    <w:rsid w:val="00B4420C"/>
    <w:rsid w:val="00B44831"/>
    <w:rsid w:val="00B45196"/>
    <w:rsid w:val="00B46077"/>
    <w:rsid w:val="00B46A57"/>
    <w:rsid w:val="00B46B1D"/>
    <w:rsid w:val="00B47433"/>
    <w:rsid w:val="00B4750E"/>
    <w:rsid w:val="00B47AF4"/>
    <w:rsid w:val="00B520AB"/>
    <w:rsid w:val="00B52612"/>
    <w:rsid w:val="00B5316E"/>
    <w:rsid w:val="00B55DA3"/>
    <w:rsid w:val="00B55EB4"/>
    <w:rsid w:val="00B5648B"/>
    <w:rsid w:val="00B5700E"/>
    <w:rsid w:val="00B60A63"/>
    <w:rsid w:val="00B60B6C"/>
    <w:rsid w:val="00B60DF0"/>
    <w:rsid w:val="00B6144F"/>
    <w:rsid w:val="00B61F0F"/>
    <w:rsid w:val="00B638E9"/>
    <w:rsid w:val="00B64A5D"/>
    <w:rsid w:val="00B64F63"/>
    <w:rsid w:val="00B65A60"/>
    <w:rsid w:val="00B66D43"/>
    <w:rsid w:val="00B66ECC"/>
    <w:rsid w:val="00B66ED7"/>
    <w:rsid w:val="00B67ED4"/>
    <w:rsid w:val="00B717B6"/>
    <w:rsid w:val="00B72129"/>
    <w:rsid w:val="00B72A95"/>
    <w:rsid w:val="00B7331A"/>
    <w:rsid w:val="00B73746"/>
    <w:rsid w:val="00B7375B"/>
    <w:rsid w:val="00B73C16"/>
    <w:rsid w:val="00B74AC8"/>
    <w:rsid w:val="00B752F6"/>
    <w:rsid w:val="00B772B8"/>
    <w:rsid w:val="00B77465"/>
    <w:rsid w:val="00B80847"/>
    <w:rsid w:val="00B80CAB"/>
    <w:rsid w:val="00B812A4"/>
    <w:rsid w:val="00B81B51"/>
    <w:rsid w:val="00B81E66"/>
    <w:rsid w:val="00B822F5"/>
    <w:rsid w:val="00B82DA4"/>
    <w:rsid w:val="00B84347"/>
    <w:rsid w:val="00B84D0F"/>
    <w:rsid w:val="00B856FE"/>
    <w:rsid w:val="00B85978"/>
    <w:rsid w:val="00B86B10"/>
    <w:rsid w:val="00B86DA9"/>
    <w:rsid w:val="00B872FD"/>
    <w:rsid w:val="00B8771E"/>
    <w:rsid w:val="00B87D60"/>
    <w:rsid w:val="00B87DE3"/>
    <w:rsid w:val="00B91488"/>
    <w:rsid w:val="00B93501"/>
    <w:rsid w:val="00B935D6"/>
    <w:rsid w:val="00B93F11"/>
    <w:rsid w:val="00B958B2"/>
    <w:rsid w:val="00B95D74"/>
    <w:rsid w:val="00B96086"/>
    <w:rsid w:val="00B96255"/>
    <w:rsid w:val="00B96DD5"/>
    <w:rsid w:val="00B97664"/>
    <w:rsid w:val="00B97834"/>
    <w:rsid w:val="00BA0061"/>
    <w:rsid w:val="00BA00C1"/>
    <w:rsid w:val="00BA03A0"/>
    <w:rsid w:val="00BA0899"/>
    <w:rsid w:val="00BA1B9F"/>
    <w:rsid w:val="00BA23DD"/>
    <w:rsid w:val="00BA2E23"/>
    <w:rsid w:val="00BA30A7"/>
    <w:rsid w:val="00BA342A"/>
    <w:rsid w:val="00BA3EA6"/>
    <w:rsid w:val="00BA4A42"/>
    <w:rsid w:val="00BA5039"/>
    <w:rsid w:val="00BA6111"/>
    <w:rsid w:val="00BA64C4"/>
    <w:rsid w:val="00BA7077"/>
    <w:rsid w:val="00BA751E"/>
    <w:rsid w:val="00BA76C2"/>
    <w:rsid w:val="00BB1CE2"/>
    <w:rsid w:val="00BB2110"/>
    <w:rsid w:val="00BB233A"/>
    <w:rsid w:val="00BB2368"/>
    <w:rsid w:val="00BB38CE"/>
    <w:rsid w:val="00BB39D0"/>
    <w:rsid w:val="00BB3D99"/>
    <w:rsid w:val="00BB4C5F"/>
    <w:rsid w:val="00BB5081"/>
    <w:rsid w:val="00BB6012"/>
    <w:rsid w:val="00BB71DD"/>
    <w:rsid w:val="00BB7A62"/>
    <w:rsid w:val="00BB7A71"/>
    <w:rsid w:val="00BB7F45"/>
    <w:rsid w:val="00BC0833"/>
    <w:rsid w:val="00BC0BED"/>
    <w:rsid w:val="00BC12A0"/>
    <w:rsid w:val="00BC25D5"/>
    <w:rsid w:val="00BC39CA"/>
    <w:rsid w:val="00BC3C7A"/>
    <w:rsid w:val="00BC3D75"/>
    <w:rsid w:val="00BC4252"/>
    <w:rsid w:val="00BC4B70"/>
    <w:rsid w:val="00BC4CB2"/>
    <w:rsid w:val="00BC50A4"/>
    <w:rsid w:val="00BC55CB"/>
    <w:rsid w:val="00BC58C3"/>
    <w:rsid w:val="00BC5DC3"/>
    <w:rsid w:val="00BC5E57"/>
    <w:rsid w:val="00BC6A16"/>
    <w:rsid w:val="00BC6DB2"/>
    <w:rsid w:val="00BC7A94"/>
    <w:rsid w:val="00BD098D"/>
    <w:rsid w:val="00BD099D"/>
    <w:rsid w:val="00BD16F8"/>
    <w:rsid w:val="00BD1DBE"/>
    <w:rsid w:val="00BD2AA5"/>
    <w:rsid w:val="00BD2FB9"/>
    <w:rsid w:val="00BD369F"/>
    <w:rsid w:val="00BD4ADD"/>
    <w:rsid w:val="00BD4D75"/>
    <w:rsid w:val="00BD5031"/>
    <w:rsid w:val="00BD54B6"/>
    <w:rsid w:val="00BD615A"/>
    <w:rsid w:val="00BD651E"/>
    <w:rsid w:val="00BD6694"/>
    <w:rsid w:val="00BD7147"/>
    <w:rsid w:val="00BD7713"/>
    <w:rsid w:val="00BD77F4"/>
    <w:rsid w:val="00BE207F"/>
    <w:rsid w:val="00BE27DD"/>
    <w:rsid w:val="00BE35C9"/>
    <w:rsid w:val="00BE3703"/>
    <w:rsid w:val="00BE40FA"/>
    <w:rsid w:val="00BE596A"/>
    <w:rsid w:val="00BE5F1F"/>
    <w:rsid w:val="00BE66FF"/>
    <w:rsid w:val="00BE6813"/>
    <w:rsid w:val="00BE7527"/>
    <w:rsid w:val="00BE75D2"/>
    <w:rsid w:val="00BE764D"/>
    <w:rsid w:val="00BF0605"/>
    <w:rsid w:val="00BF11FE"/>
    <w:rsid w:val="00BF25FD"/>
    <w:rsid w:val="00BF264F"/>
    <w:rsid w:val="00BF2DB3"/>
    <w:rsid w:val="00BF3247"/>
    <w:rsid w:val="00BF3ABC"/>
    <w:rsid w:val="00BF3EDB"/>
    <w:rsid w:val="00BF503C"/>
    <w:rsid w:val="00BF5157"/>
    <w:rsid w:val="00BF697F"/>
    <w:rsid w:val="00BF6B68"/>
    <w:rsid w:val="00C0030C"/>
    <w:rsid w:val="00C015DC"/>
    <w:rsid w:val="00C01672"/>
    <w:rsid w:val="00C02225"/>
    <w:rsid w:val="00C026E9"/>
    <w:rsid w:val="00C0297B"/>
    <w:rsid w:val="00C03010"/>
    <w:rsid w:val="00C031D7"/>
    <w:rsid w:val="00C03D85"/>
    <w:rsid w:val="00C04457"/>
    <w:rsid w:val="00C046B8"/>
    <w:rsid w:val="00C05161"/>
    <w:rsid w:val="00C05524"/>
    <w:rsid w:val="00C059EB"/>
    <w:rsid w:val="00C05C94"/>
    <w:rsid w:val="00C06AD1"/>
    <w:rsid w:val="00C10823"/>
    <w:rsid w:val="00C12363"/>
    <w:rsid w:val="00C12693"/>
    <w:rsid w:val="00C126D1"/>
    <w:rsid w:val="00C13923"/>
    <w:rsid w:val="00C14A32"/>
    <w:rsid w:val="00C1509D"/>
    <w:rsid w:val="00C16298"/>
    <w:rsid w:val="00C17555"/>
    <w:rsid w:val="00C17873"/>
    <w:rsid w:val="00C205B9"/>
    <w:rsid w:val="00C2175E"/>
    <w:rsid w:val="00C21977"/>
    <w:rsid w:val="00C219F4"/>
    <w:rsid w:val="00C2205A"/>
    <w:rsid w:val="00C23B6E"/>
    <w:rsid w:val="00C23B98"/>
    <w:rsid w:val="00C23C5C"/>
    <w:rsid w:val="00C2419E"/>
    <w:rsid w:val="00C24A2D"/>
    <w:rsid w:val="00C25D45"/>
    <w:rsid w:val="00C25F4D"/>
    <w:rsid w:val="00C26451"/>
    <w:rsid w:val="00C26CE5"/>
    <w:rsid w:val="00C27369"/>
    <w:rsid w:val="00C3283E"/>
    <w:rsid w:val="00C3295B"/>
    <w:rsid w:val="00C33860"/>
    <w:rsid w:val="00C33AD2"/>
    <w:rsid w:val="00C343CD"/>
    <w:rsid w:val="00C34BDF"/>
    <w:rsid w:val="00C35DB3"/>
    <w:rsid w:val="00C3622E"/>
    <w:rsid w:val="00C36E9D"/>
    <w:rsid w:val="00C3764E"/>
    <w:rsid w:val="00C41D77"/>
    <w:rsid w:val="00C428D9"/>
    <w:rsid w:val="00C43985"/>
    <w:rsid w:val="00C44203"/>
    <w:rsid w:val="00C44404"/>
    <w:rsid w:val="00C45431"/>
    <w:rsid w:val="00C47D1C"/>
    <w:rsid w:val="00C50010"/>
    <w:rsid w:val="00C517DB"/>
    <w:rsid w:val="00C51EFE"/>
    <w:rsid w:val="00C523F4"/>
    <w:rsid w:val="00C53550"/>
    <w:rsid w:val="00C53887"/>
    <w:rsid w:val="00C53C09"/>
    <w:rsid w:val="00C53F33"/>
    <w:rsid w:val="00C54D52"/>
    <w:rsid w:val="00C555EA"/>
    <w:rsid w:val="00C55BDA"/>
    <w:rsid w:val="00C55EF1"/>
    <w:rsid w:val="00C5608A"/>
    <w:rsid w:val="00C5648B"/>
    <w:rsid w:val="00C56D0B"/>
    <w:rsid w:val="00C57B68"/>
    <w:rsid w:val="00C60181"/>
    <w:rsid w:val="00C61B99"/>
    <w:rsid w:val="00C61F09"/>
    <w:rsid w:val="00C623B2"/>
    <w:rsid w:val="00C62EEF"/>
    <w:rsid w:val="00C62F5A"/>
    <w:rsid w:val="00C62FE6"/>
    <w:rsid w:val="00C63350"/>
    <w:rsid w:val="00C63413"/>
    <w:rsid w:val="00C63919"/>
    <w:rsid w:val="00C63C59"/>
    <w:rsid w:val="00C64BF2"/>
    <w:rsid w:val="00C651EC"/>
    <w:rsid w:val="00C6520C"/>
    <w:rsid w:val="00C653DB"/>
    <w:rsid w:val="00C657A3"/>
    <w:rsid w:val="00C663B0"/>
    <w:rsid w:val="00C66516"/>
    <w:rsid w:val="00C66CBB"/>
    <w:rsid w:val="00C67137"/>
    <w:rsid w:val="00C70B24"/>
    <w:rsid w:val="00C70F7E"/>
    <w:rsid w:val="00C71278"/>
    <w:rsid w:val="00C71368"/>
    <w:rsid w:val="00C71554"/>
    <w:rsid w:val="00C728D0"/>
    <w:rsid w:val="00C729E1"/>
    <w:rsid w:val="00C72B87"/>
    <w:rsid w:val="00C73908"/>
    <w:rsid w:val="00C743AA"/>
    <w:rsid w:val="00C75CF1"/>
    <w:rsid w:val="00C76ED3"/>
    <w:rsid w:val="00C77ACF"/>
    <w:rsid w:val="00C77DAF"/>
    <w:rsid w:val="00C80420"/>
    <w:rsid w:val="00C80720"/>
    <w:rsid w:val="00C81023"/>
    <w:rsid w:val="00C82288"/>
    <w:rsid w:val="00C82331"/>
    <w:rsid w:val="00C82A46"/>
    <w:rsid w:val="00C83874"/>
    <w:rsid w:val="00C83FCF"/>
    <w:rsid w:val="00C85E69"/>
    <w:rsid w:val="00C86001"/>
    <w:rsid w:val="00C8658D"/>
    <w:rsid w:val="00C869EA"/>
    <w:rsid w:val="00C8746C"/>
    <w:rsid w:val="00C87C2D"/>
    <w:rsid w:val="00C90518"/>
    <w:rsid w:val="00C91CEB"/>
    <w:rsid w:val="00C92D91"/>
    <w:rsid w:val="00C932D6"/>
    <w:rsid w:val="00C9351B"/>
    <w:rsid w:val="00C93749"/>
    <w:rsid w:val="00C93BF7"/>
    <w:rsid w:val="00C93D9B"/>
    <w:rsid w:val="00C945B3"/>
    <w:rsid w:val="00C94DA9"/>
    <w:rsid w:val="00C9500B"/>
    <w:rsid w:val="00C956B0"/>
    <w:rsid w:val="00C969FC"/>
    <w:rsid w:val="00C96DA0"/>
    <w:rsid w:val="00C9709F"/>
    <w:rsid w:val="00C972D8"/>
    <w:rsid w:val="00CA141D"/>
    <w:rsid w:val="00CA2765"/>
    <w:rsid w:val="00CA276F"/>
    <w:rsid w:val="00CA28FF"/>
    <w:rsid w:val="00CA2F59"/>
    <w:rsid w:val="00CA47D9"/>
    <w:rsid w:val="00CA58C6"/>
    <w:rsid w:val="00CB004F"/>
    <w:rsid w:val="00CB0C55"/>
    <w:rsid w:val="00CB1443"/>
    <w:rsid w:val="00CB2FE3"/>
    <w:rsid w:val="00CB31B2"/>
    <w:rsid w:val="00CB36B7"/>
    <w:rsid w:val="00CB3D8E"/>
    <w:rsid w:val="00CB420D"/>
    <w:rsid w:val="00CB51C4"/>
    <w:rsid w:val="00CB5891"/>
    <w:rsid w:val="00CB58D8"/>
    <w:rsid w:val="00CB5E85"/>
    <w:rsid w:val="00CB6583"/>
    <w:rsid w:val="00CB6B0C"/>
    <w:rsid w:val="00CB7560"/>
    <w:rsid w:val="00CC002F"/>
    <w:rsid w:val="00CC02BF"/>
    <w:rsid w:val="00CC0539"/>
    <w:rsid w:val="00CC0D9E"/>
    <w:rsid w:val="00CC17D0"/>
    <w:rsid w:val="00CC20EF"/>
    <w:rsid w:val="00CC3243"/>
    <w:rsid w:val="00CC3A7C"/>
    <w:rsid w:val="00CC3C88"/>
    <w:rsid w:val="00CC41A6"/>
    <w:rsid w:val="00CC4482"/>
    <w:rsid w:val="00CC4823"/>
    <w:rsid w:val="00CC5119"/>
    <w:rsid w:val="00CC58D2"/>
    <w:rsid w:val="00CC5C12"/>
    <w:rsid w:val="00CC6354"/>
    <w:rsid w:val="00CC7144"/>
    <w:rsid w:val="00CD084A"/>
    <w:rsid w:val="00CD0A01"/>
    <w:rsid w:val="00CD0BDA"/>
    <w:rsid w:val="00CD12B6"/>
    <w:rsid w:val="00CD24E6"/>
    <w:rsid w:val="00CD266F"/>
    <w:rsid w:val="00CD2CE6"/>
    <w:rsid w:val="00CD310E"/>
    <w:rsid w:val="00CD312B"/>
    <w:rsid w:val="00CD4046"/>
    <w:rsid w:val="00CD4C43"/>
    <w:rsid w:val="00CD4DEA"/>
    <w:rsid w:val="00CD4F3E"/>
    <w:rsid w:val="00CD4FE4"/>
    <w:rsid w:val="00CD503C"/>
    <w:rsid w:val="00CD5226"/>
    <w:rsid w:val="00CD5659"/>
    <w:rsid w:val="00CD59DA"/>
    <w:rsid w:val="00CD5E18"/>
    <w:rsid w:val="00CD7177"/>
    <w:rsid w:val="00CD71B8"/>
    <w:rsid w:val="00CD7630"/>
    <w:rsid w:val="00CE076C"/>
    <w:rsid w:val="00CE18CD"/>
    <w:rsid w:val="00CE2C6E"/>
    <w:rsid w:val="00CE3EA2"/>
    <w:rsid w:val="00CE596B"/>
    <w:rsid w:val="00CE5F1C"/>
    <w:rsid w:val="00CE66C8"/>
    <w:rsid w:val="00CE7DFD"/>
    <w:rsid w:val="00CF02FD"/>
    <w:rsid w:val="00CF0463"/>
    <w:rsid w:val="00CF0E66"/>
    <w:rsid w:val="00CF5120"/>
    <w:rsid w:val="00CF5138"/>
    <w:rsid w:val="00CF583A"/>
    <w:rsid w:val="00CF62DF"/>
    <w:rsid w:val="00CF73A4"/>
    <w:rsid w:val="00CF7F00"/>
    <w:rsid w:val="00D01285"/>
    <w:rsid w:val="00D016DB"/>
    <w:rsid w:val="00D01AD5"/>
    <w:rsid w:val="00D02081"/>
    <w:rsid w:val="00D03D48"/>
    <w:rsid w:val="00D03E26"/>
    <w:rsid w:val="00D04920"/>
    <w:rsid w:val="00D05634"/>
    <w:rsid w:val="00D069D5"/>
    <w:rsid w:val="00D06B2D"/>
    <w:rsid w:val="00D06F90"/>
    <w:rsid w:val="00D072DE"/>
    <w:rsid w:val="00D0732A"/>
    <w:rsid w:val="00D076FC"/>
    <w:rsid w:val="00D07B0C"/>
    <w:rsid w:val="00D07BF0"/>
    <w:rsid w:val="00D07F62"/>
    <w:rsid w:val="00D1150F"/>
    <w:rsid w:val="00D115CC"/>
    <w:rsid w:val="00D11682"/>
    <w:rsid w:val="00D12418"/>
    <w:rsid w:val="00D12E89"/>
    <w:rsid w:val="00D140B5"/>
    <w:rsid w:val="00D14285"/>
    <w:rsid w:val="00D154B6"/>
    <w:rsid w:val="00D15566"/>
    <w:rsid w:val="00D15D35"/>
    <w:rsid w:val="00D16D32"/>
    <w:rsid w:val="00D1772F"/>
    <w:rsid w:val="00D17BA3"/>
    <w:rsid w:val="00D17D22"/>
    <w:rsid w:val="00D200BE"/>
    <w:rsid w:val="00D20A4C"/>
    <w:rsid w:val="00D21862"/>
    <w:rsid w:val="00D221CC"/>
    <w:rsid w:val="00D23410"/>
    <w:rsid w:val="00D234B5"/>
    <w:rsid w:val="00D23580"/>
    <w:rsid w:val="00D2449C"/>
    <w:rsid w:val="00D2460C"/>
    <w:rsid w:val="00D24ADF"/>
    <w:rsid w:val="00D24D4B"/>
    <w:rsid w:val="00D24F37"/>
    <w:rsid w:val="00D252F5"/>
    <w:rsid w:val="00D26493"/>
    <w:rsid w:val="00D2671A"/>
    <w:rsid w:val="00D30BB5"/>
    <w:rsid w:val="00D30F3A"/>
    <w:rsid w:val="00D33492"/>
    <w:rsid w:val="00D3386F"/>
    <w:rsid w:val="00D34231"/>
    <w:rsid w:val="00D3438A"/>
    <w:rsid w:val="00D35D22"/>
    <w:rsid w:val="00D360A9"/>
    <w:rsid w:val="00D365CC"/>
    <w:rsid w:val="00D36B47"/>
    <w:rsid w:val="00D36CE7"/>
    <w:rsid w:val="00D371D9"/>
    <w:rsid w:val="00D37BB4"/>
    <w:rsid w:val="00D37F36"/>
    <w:rsid w:val="00D4090F"/>
    <w:rsid w:val="00D40DBB"/>
    <w:rsid w:val="00D415E1"/>
    <w:rsid w:val="00D423B8"/>
    <w:rsid w:val="00D42A0E"/>
    <w:rsid w:val="00D42C62"/>
    <w:rsid w:val="00D42FAE"/>
    <w:rsid w:val="00D43B4C"/>
    <w:rsid w:val="00D446FD"/>
    <w:rsid w:val="00D44BFA"/>
    <w:rsid w:val="00D46023"/>
    <w:rsid w:val="00D46CC4"/>
    <w:rsid w:val="00D47341"/>
    <w:rsid w:val="00D4762F"/>
    <w:rsid w:val="00D5166B"/>
    <w:rsid w:val="00D51854"/>
    <w:rsid w:val="00D5191D"/>
    <w:rsid w:val="00D51C28"/>
    <w:rsid w:val="00D52186"/>
    <w:rsid w:val="00D5239E"/>
    <w:rsid w:val="00D5300B"/>
    <w:rsid w:val="00D531B7"/>
    <w:rsid w:val="00D53276"/>
    <w:rsid w:val="00D53A44"/>
    <w:rsid w:val="00D54046"/>
    <w:rsid w:val="00D54348"/>
    <w:rsid w:val="00D54671"/>
    <w:rsid w:val="00D54A2A"/>
    <w:rsid w:val="00D54C15"/>
    <w:rsid w:val="00D5558E"/>
    <w:rsid w:val="00D565BC"/>
    <w:rsid w:val="00D56750"/>
    <w:rsid w:val="00D569C2"/>
    <w:rsid w:val="00D56D9A"/>
    <w:rsid w:val="00D57F35"/>
    <w:rsid w:val="00D61A46"/>
    <w:rsid w:val="00D621C3"/>
    <w:rsid w:val="00D62B89"/>
    <w:rsid w:val="00D62E00"/>
    <w:rsid w:val="00D63488"/>
    <w:rsid w:val="00D63758"/>
    <w:rsid w:val="00D64F5C"/>
    <w:rsid w:val="00D65447"/>
    <w:rsid w:val="00D656C7"/>
    <w:rsid w:val="00D67A8B"/>
    <w:rsid w:val="00D70728"/>
    <w:rsid w:val="00D7091D"/>
    <w:rsid w:val="00D7143F"/>
    <w:rsid w:val="00D715FC"/>
    <w:rsid w:val="00D71649"/>
    <w:rsid w:val="00D71A98"/>
    <w:rsid w:val="00D7239C"/>
    <w:rsid w:val="00D72505"/>
    <w:rsid w:val="00D7291D"/>
    <w:rsid w:val="00D73AD2"/>
    <w:rsid w:val="00D73FBC"/>
    <w:rsid w:val="00D7494C"/>
    <w:rsid w:val="00D74968"/>
    <w:rsid w:val="00D751F4"/>
    <w:rsid w:val="00D757D2"/>
    <w:rsid w:val="00D75AE7"/>
    <w:rsid w:val="00D76252"/>
    <w:rsid w:val="00D762D3"/>
    <w:rsid w:val="00D77352"/>
    <w:rsid w:val="00D80426"/>
    <w:rsid w:val="00D80993"/>
    <w:rsid w:val="00D8122B"/>
    <w:rsid w:val="00D8151D"/>
    <w:rsid w:val="00D81622"/>
    <w:rsid w:val="00D81B83"/>
    <w:rsid w:val="00D81BFD"/>
    <w:rsid w:val="00D82FA9"/>
    <w:rsid w:val="00D836B4"/>
    <w:rsid w:val="00D8471E"/>
    <w:rsid w:val="00D849F6"/>
    <w:rsid w:val="00D84B01"/>
    <w:rsid w:val="00D85B7E"/>
    <w:rsid w:val="00D86561"/>
    <w:rsid w:val="00D8670C"/>
    <w:rsid w:val="00D86B4E"/>
    <w:rsid w:val="00D86C24"/>
    <w:rsid w:val="00D87FB6"/>
    <w:rsid w:val="00D900A3"/>
    <w:rsid w:val="00D900DA"/>
    <w:rsid w:val="00D90AE7"/>
    <w:rsid w:val="00D91D1A"/>
    <w:rsid w:val="00D922B6"/>
    <w:rsid w:val="00D9256E"/>
    <w:rsid w:val="00D92950"/>
    <w:rsid w:val="00D93283"/>
    <w:rsid w:val="00D932E5"/>
    <w:rsid w:val="00D939AF"/>
    <w:rsid w:val="00D939E8"/>
    <w:rsid w:val="00D9624C"/>
    <w:rsid w:val="00D9654B"/>
    <w:rsid w:val="00D96B48"/>
    <w:rsid w:val="00D97E0F"/>
    <w:rsid w:val="00DA0B26"/>
    <w:rsid w:val="00DA1984"/>
    <w:rsid w:val="00DA1A1F"/>
    <w:rsid w:val="00DA3040"/>
    <w:rsid w:val="00DA3746"/>
    <w:rsid w:val="00DA3D3E"/>
    <w:rsid w:val="00DA4771"/>
    <w:rsid w:val="00DA5713"/>
    <w:rsid w:val="00DA58E8"/>
    <w:rsid w:val="00DA5A03"/>
    <w:rsid w:val="00DA7398"/>
    <w:rsid w:val="00DA73FC"/>
    <w:rsid w:val="00DB06FA"/>
    <w:rsid w:val="00DB23B8"/>
    <w:rsid w:val="00DB23F4"/>
    <w:rsid w:val="00DB2E79"/>
    <w:rsid w:val="00DB4C8B"/>
    <w:rsid w:val="00DB4D37"/>
    <w:rsid w:val="00DB58FE"/>
    <w:rsid w:val="00DB674E"/>
    <w:rsid w:val="00DB69FA"/>
    <w:rsid w:val="00DB6A32"/>
    <w:rsid w:val="00DB74B0"/>
    <w:rsid w:val="00DB758F"/>
    <w:rsid w:val="00DB77E6"/>
    <w:rsid w:val="00DC0EEA"/>
    <w:rsid w:val="00DC1408"/>
    <w:rsid w:val="00DC1A3F"/>
    <w:rsid w:val="00DC24E6"/>
    <w:rsid w:val="00DC2595"/>
    <w:rsid w:val="00DC38D4"/>
    <w:rsid w:val="00DC48B3"/>
    <w:rsid w:val="00DC4D66"/>
    <w:rsid w:val="00DC54D1"/>
    <w:rsid w:val="00DC5A70"/>
    <w:rsid w:val="00DC5C11"/>
    <w:rsid w:val="00DC7F5D"/>
    <w:rsid w:val="00DD0093"/>
    <w:rsid w:val="00DD136A"/>
    <w:rsid w:val="00DD1388"/>
    <w:rsid w:val="00DD1709"/>
    <w:rsid w:val="00DD1D6E"/>
    <w:rsid w:val="00DD1E0D"/>
    <w:rsid w:val="00DD26BD"/>
    <w:rsid w:val="00DD2767"/>
    <w:rsid w:val="00DD43B0"/>
    <w:rsid w:val="00DD600F"/>
    <w:rsid w:val="00DD6175"/>
    <w:rsid w:val="00DD62ED"/>
    <w:rsid w:val="00DD672D"/>
    <w:rsid w:val="00DD7055"/>
    <w:rsid w:val="00DD739C"/>
    <w:rsid w:val="00DE0190"/>
    <w:rsid w:val="00DE2F18"/>
    <w:rsid w:val="00DE3926"/>
    <w:rsid w:val="00DE6BBF"/>
    <w:rsid w:val="00DE77D4"/>
    <w:rsid w:val="00DE79B0"/>
    <w:rsid w:val="00DE7D65"/>
    <w:rsid w:val="00DE7E22"/>
    <w:rsid w:val="00DF04E5"/>
    <w:rsid w:val="00DF0DAD"/>
    <w:rsid w:val="00DF1127"/>
    <w:rsid w:val="00DF1738"/>
    <w:rsid w:val="00DF1A41"/>
    <w:rsid w:val="00DF2360"/>
    <w:rsid w:val="00DF453C"/>
    <w:rsid w:val="00DF482A"/>
    <w:rsid w:val="00DF5118"/>
    <w:rsid w:val="00DF51C6"/>
    <w:rsid w:val="00DF553B"/>
    <w:rsid w:val="00DF5A72"/>
    <w:rsid w:val="00DF5D4E"/>
    <w:rsid w:val="00DF5FF5"/>
    <w:rsid w:val="00DF78DE"/>
    <w:rsid w:val="00DF7B58"/>
    <w:rsid w:val="00DF7DFE"/>
    <w:rsid w:val="00DF7E49"/>
    <w:rsid w:val="00DF7F9A"/>
    <w:rsid w:val="00E002E8"/>
    <w:rsid w:val="00E005D4"/>
    <w:rsid w:val="00E011EA"/>
    <w:rsid w:val="00E01294"/>
    <w:rsid w:val="00E02934"/>
    <w:rsid w:val="00E0407D"/>
    <w:rsid w:val="00E04197"/>
    <w:rsid w:val="00E047A2"/>
    <w:rsid w:val="00E04FB6"/>
    <w:rsid w:val="00E0529D"/>
    <w:rsid w:val="00E07988"/>
    <w:rsid w:val="00E07BA5"/>
    <w:rsid w:val="00E100F4"/>
    <w:rsid w:val="00E102EA"/>
    <w:rsid w:val="00E1071C"/>
    <w:rsid w:val="00E110A1"/>
    <w:rsid w:val="00E122C2"/>
    <w:rsid w:val="00E131B5"/>
    <w:rsid w:val="00E13315"/>
    <w:rsid w:val="00E13340"/>
    <w:rsid w:val="00E13359"/>
    <w:rsid w:val="00E13518"/>
    <w:rsid w:val="00E1391B"/>
    <w:rsid w:val="00E14455"/>
    <w:rsid w:val="00E154C8"/>
    <w:rsid w:val="00E15916"/>
    <w:rsid w:val="00E16418"/>
    <w:rsid w:val="00E17EFB"/>
    <w:rsid w:val="00E201FA"/>
    <w:rsid w:val="00E20D62"/>
    <w:rsid w:val="00E2123F"/>
    <w:rsid w:val="00E2132C"/>
    <w:rsid w:val="00E216A6"/>
    <w:rsid w:val="00E21849"/>
    <w:rsid w:val="00E22EBF"/>
    <w:rsid w:val="00E231D6"/>
    <w:rsid w:val="00E23506"/>
    <w:rsid w:val="00E23D37"/>
    <w:rsid w:val="00E24CCD"/>
    <w:rsid w:val="00E24F5D"/>
    <w:rsid w:val="00E25515"/>
    <w:rsid w:val="00E26451"/>
    <w:rsid w:val="00E267B6"/>
    <w:rsid w:val="00E304A6"/>
    <w:rsid w:val="00E3080B"/>
    <w:rsid w:val="00E3209A"/>
    <w:rsid w:val="00E321C8"/>
    <w:rsid w:val="00E324D7"/>
    <w:rsid w:val="00E325EA"/>
    <w:rsid w:val="00E345C2"/>
    <w:rsid w:val="00E346F1"/>
    <w:rsid w:val="00E34F56"/>
    <w:rsid w:val="00E35358"/>
    <w:rsid w:val="00E35A33"/>
    <w:rsid w:val="00E35EBE"/>
    <w:rsid w:val="00E362FC"/>
    <w:rsid w:val="00E36307"/>
    <w:rsid w:val="00E36558"/>
    <w:rsid w:val="00E36BE0"/>
    <w:rsid w:val="00E36FA1"/>
    <w:rsid w:val="00E3741B"/>
    <w:rsid w:val="00E3745B"/>
    <w:rsid w:val="00E37A8C"/>
    <w:rsid w:val="00E40E0C"/>
    <w:rsid w:val="00E4101D"/>
    <w:rsid w:val="00E416BC"/>
    <w:rsid w:val="00E41DAF"/>
    <w:rsid w:val="00E42D74"/>
    <w:rsid w:val="00E43275"/>
    <w:rsid w:val="00E43C66"/>
    <w:rsid w:val="00E43C99"/>
    <w:rsid w:val="00E44402"/>
    <w:rsid w:val="00E4510F"/>
    <w:rsid w:val="00E45456"/>
    <w:rsid w:val="00E45ADB"/>
    <w:rsid w:val="00E46062"/>
    <w:rsid w:val="00E4696E"/>
    <w:rsid w:val="00E47B96"/>
    <w:rsid w:val="00E47EB6"/>
    <w:rsid w:val="00E5055F"/>
    <w:rsid w:val="00E50900"/>
    <w:rsid w:val="00E50FBC"/>
    <w:rsid w:val="00E51066"/>
    <w:rsid w:val="00E51A2B"/>
    <w:rsid w:val="00E5241C"/>
    <w:rsid w:val="00E52D26"/>
    <w:rsid w:val="00E533EC"/>
    <w:rsid w:val="00E53754"/>
    <w:rsid w:val="00E53867"/>
    <w:rsid w:val="00E53EC7"/>
    <w:rsid w:val="00E5400C"/>
    <w:rsid w:val="00E541AB"/>
    <w:rsid w:val="00E5492E"/>
    <w:rsid w:val="00E557C1"/>
    <w:rsid w:val="00E55DF4"/>
    <w:rsid w:val="00E55FDB"/>
    <w:rsid w:val="00E56339"/>
    <w:rsid w:val="00E564C0"/>
    <w:rsid w:val="00E56856"/>
    <w:rsid w:val="00E57851"/>
    <w:rsid w:val="00E57B7D"/>
    <w:rsid w:val="00E61935"/>
    <w:rsid w:val="00E61CF7"/>
    <w:rsid w:val="00E61FC9"/>
    <w:rsid w:val="00E62162"/>
    <w:rsid w:val="00E6259A"/>
    <w:rsid w:val="00E63C20"/>
    <w:rsid w:val="00E63F8F"/>
    <w:rsid w:val="00E6420C"/>
    <w:rsid w:val="00E655ED"/>
    <w:rsid w:val="00E657F2"/>
    <w:rsid w:val="00E659BC"/>
    <w:rsid w:val="00E662A9"/>
    <w:rsid w:val="00E66D47"/>
    <w:rsid w:val="00E67910"/>
    <w:rsid w:val="00E700CF"/>
    <w:rsid w:val="00E7032E"/>
    <w:rsid w:val="00E71450"/>
    <w:rsid w:val="00E72413"/>
    <w:rsid w:val="00E726FC"/>
    <w:rsid w:val="00E72CBC"/>
    <w:rsid w:val="00E74841"/>
    <w:rsid w:val="00E74AEE"/>
    <w:rsid w:val="00E74BC7"/>
    <w:rsid w:val="00E74E20"/>
    <w:rsid w:val="00E764D7"/>
    <w:rsid w:val="00E76DFA"/>
    <w:rsid w:val="00E774D0"/>
    <w:rsid w:val="00E80DD8"/>
    <w:rsid w:val="00E81822"/>
    <w:rsid w:val="00E8200D"/>
    <w:rsid w:val="00E8228F"/>
    <w:rsid w:val="00E83215"/>
    <w:rsid w:val="00E83845"/>
    <w:rsid w:val="00E8453E"/>
    <w:rsid w:val="00E85616"/>
    <w:rsid w:val="00E856C4"/>
    <w:rsid w:val="00E85AA2"/>
    <w:rsid w:val="00E867EB"/>
    <w:rsid w:val="00E86EAB"/>
    <w:rsid w:val="00E871CD"/>
    <w:rsid w:val="00E87609"/>
    <w:rsid w:val="00E87B70"/>
    <w:rsid w:val="00E87D5C"/>
    <w:rsid w:val="00E87FAD"/>
    <w:rsid w:val="00E90204"/>
    <w:rsid w:val="00E9292E"/>
    <w:rsid w:val="00E937A8"/>
    <w:rsid w:val="00E940BF"/>
    <w:rsid w:val="00E9508A"/>
    <w:rsid w:val="00E953B7"/>
    <w:rsid w:val="00E95919"/>
    <w:rsid w:val="00E96CD0"/>
    <w:rsid w:val="00E97BB2"/>
    <w:rsid w:val="00E97BD5"/>
    <w:rsid w:val="00E97C15"/>
    <w:rsid w:val="00EA06A6"/>
    <w:rsid w:val="00EA092A"/>
    <w:rsid w:val="00EA1D3A"/>
    <w:rsid w:val="00EA261B"/>
    <w:rsid w:val="00EA344D"/>
    <w:rsid w:val="00EA399B"/>
    <w:rsid w:val="00EA4C0C"/>
    <w:rsid w:val="00EA50B5"/>
    <w:rsid w:val="00EA5AAB"/>
    <w:rsid w:val="00EA5D7D"/>
    <w:rsid w:val="00EA69A4"/>
    <w:rsid w:val="00EA6B01"/>
    <w:rsid w:val="00EA715B"/>
    <w:rsid w:val="00EB0064"/>
    <w:rsid w:val="00EB0331"/>
    <w:rsid w:val="00EB05DB"/>
    <w:rsid w:val="00EB37A7"/>
    <w:rsid w:val="00EB58AA"/>
    <w:rsid w:val="00EB6DC5"/>
    <w:rsid w:val="00EB7199"/>
    <w:rsid w:val="00EB7372"/>
    <w:rsid w:val="00EB7C1E"/>
    <w:rsid w:val="00EB7D7A"/>
    <w:rsid w:val="00EC05DA"/>
    <w:rsid w:val="00EC12E0"/>
    <w:rsid w:val="00EC18DD"/>
    <w:rsid w:val="00EC2568"/>
    <w:rsid w:val="00EC2D8B"/>
    <w:rsid w:val="00EC2DE6"/>
    <w:rsid w:val="00EC2E68"/>
    <w:rsid w:val="00EC63EF"/>
    <w:rsid w:val="00EC65F5"/>
    <w:rsid w:val="00EC6691"/>
    <w:rsid w:val="00EC6D5B"/>
    <w:rsid w:val="00EC7900"/>
    <w:rsid w:val="00EC7985"/>
    <w:rsid w:val="00ED0A7E"/>
    <w:rsid w:val="00ED1699"/>
    <w:rsid w:val="00ED18FD"/>
    <w:rsid w:val="00ED1BA3"/>
    <w:rsid w:val="00ED2F89"/>
    <w:rsid w:val="00ED344D"/>
    <w:rsid w:val="00ED348D"/>
    <w:rsid w:val="00ED5C44"/>
    <w:rsid w:val="00ED6514"/>
    <w:rsid w:val="00ED78A5"/>
    <w:rsid w:val="00ED78EA"/>
    <w:rsid w:val="00EE06F8"/>
    <w:rsid w:val="00EE0D15"/>
    <w:rsid w:val="00EE0DC9"/>
    <w:rsid w:val="00EE14DB"/>
    <w:rsid w:val="00EE1A55"/>
    <w:rsid w:val="00EE1C2A"/>
    <w:rsid w:val="00EE2309"/>
    <w:rsid w:val="00EE2687"/>
    <w:rsid w:val="00EE2AF5"/>
    <w:rsid w:val="00EE3FC5"/>
    <w:rsid w:val="00EE3FFC"/>
    <w:rsid w:val="00EE43F6"/>
    <w:rsid w:val="00EE4676"/>
    <w:rsid w:val="00EE514E"/>
    <w:rsid w:val="00EE5BE8"/>
    <w:rsid w:val="00EE60F8"/>
    <w:rsid w:val="00EE6908"/>
    <w:rsid w:val="00EE765E"/>
    <w:rsid w:val="00EF16E0"/>
    <w:rsid w:val="00EF1C17"/>
    <w:rsid w:val="00EF2E76"/>
    <w:rsid w:val="00EF3646"/>
    <w:rsid w:val="00EF3F1B"/>
    <w:rsid w:val="00EF47E7"/>
    <w:rsid w:val="00EF4936"/>
    <w:rsid w:val="00EF4D18"/>
    <w:rsid w:val="00EF4D3D"/>
    <w:rsid w:val="00EF4FA8"/>
    <w:rsid w:val="00EF695D"/>
    <w:rsid w:val="00EF73C8"/>
    <w:rsid w:val="00EF7616"/>
    <w:rsid w:val="00EF7B49"/>
    <w:rsid w:val="00EF7CFF"/>
    <w:rsid w:val="00F00149"/>
    <w:rsid w:val="00F008E3"/>
    <w:rsid w:val="00F00FD4"/>
    <w:rsid w:val="00F010B5"/>
    <w:rsid w:val="00F019E2"/>
    <w:rsid w:val="00F03686"/>
    <w:rsid w:val="00F03772"/>
    <w:rsid w:val="00F03F42"/>
    <w:rsid w:val="00F0400D"/>
    <w:rsid w:val="00F0471F"/>
    <w:rsid w:val="00F0499E"/>
    <w:rsid w:val="00F04D7E"/>
    <w:rsid w:val="00F04EA4"/>
    <w:rsid w:val="00F063EE"/>
    <w:rsid w:val="00F07746"/>
    <w:rsid w:val="00F07B82"/>
    <w:rsid w:val="00F10278"/>
    <w:rsid w:val="00F13740"/>
    <w:rsid w:val="00F13F0F"/>
    <w:rsid w:val="00F149D2"/>
    <w:rsid w:val="00F209F3"/>
    <w:rsid w:val="00F20A79"/>
    <w:rsid w:val="00F20E5D"/>
    <w:rsid w:val="00F21C0A"/>
    <w:rsid w:val="00F241B4"/>
    <w:rsid w:val="00F2437D"/>
    <w:rsid w:val="00F24723"/>
    <w:rsid w:val="00F24AA6"/>
    <w:rsid w:val="00F27500"/>
    <w:rsid w:val="00F31139"/>
    <w:rsid w:val="00F31CE8"/>
    <w:rsid w:val="00F3254B"/>
    <w:rsid w:val="00F326FB"/>
    <w:rsid w:val="00F334C4"/>
    <w:rsid w:val="00F34441"/>
    <w:rsid w:val="00F3454A"/>
    <w:rsid w:val="00F34D53"/>
    <w:rsid w:val="00F3543E"/>
    <w:rsid w:val="00F35449"/>
    <w:rsid w:val="00F35959"/>
    <w:rsid w:val="00F35E09"/>
    <w:rsid w:val="00F35E42"/>
    <w:rsid w:val="00F367FC"/>
    <w:rsid w:val="00F36803"/>
    <w:rsid w:val="00F3686A"/>
    <w:rsid w:val="00F36B7B"/>
    <w:rsid w:val="00F36DB1"/>
    <w:rsid w:val="00F36FCE"/>
    <w:rsid w:val="00F37761"/>
    <w:rsid w:val="00F40024"/>
    <w:rsid w:val="00F401DD"/>
    <w:rsid w:val="00F40A4B"/>
    <w:rsid w:val="00F42267"/>
    <w:rsid w:val="00F427C8"/>
    <w:rsid w:val="00F466BD"/>
    <w:rsid w:val="00F47165"/>
    <w:rsid w:val="00F475A8"/>
    <w:rsid w:val="00F4773F"/>
    <w:rsid w:val="00F5212D"/>
    <w:rsid w:val="00F52DDC"/>
    <w:rsid w:val="00F554C1"/>
    <w:rsid w:val="00F55713"/>
    <w:rsid w:val="00F55F71"/>
    <w:rsid w:val="00F56445"/>
    <w:rsid w:val="00F564B6"/>
    <w:rsid w:val="00F566B3"/>
    <w:rsid w:val="00F57095"/>
    <w:rsid w:val="00F60290"/>
    <w:rsid w:val="00F603AF"/>
    <w:rsid w:val="00F60D13"/>
    <w:rsid w:val="00F60F93"/>
    <w:rsid w:val="00F61588"/>
    <w:rsid w:val="00F61842"/>
    <w:rsid w:val="00F61C3D"/>
    <w:rsid w:val="00F6228D"/>
    <w:rsid w:val="00F64662"/>
    <w:rsid w:val="00F64736"/>
    <w:rsid w:val="00F65413"/>
    <w:rsid w:val="00F65E24"/>
    <w:rsid w:val="00F66233"/>
    <w:rsid w:val="00F70914"/>
    <w:rsid w:val="00F7120A"/>
    <w:rsid w:val="00F71392"/>
    <w:rsid w:val="00F71F85"/>
    <w:rsid w:val="00F72F18"/>
    <w:rsid w:val="00F732FC"/>
    <w:rsid w:val="00F73C08"/>
    <w:rsid w:val="00F73D8B"/>
    <w:rsid w:val="00F740C1"/>
    <w:rsid w:val="00F7443F"/>
    <w:rsid w:val="00F74678"/>
    <w:rsid w:val="00F748F3"/>
    <w:rsid w:val="00F751C3"/>
    <w:rsid w:val="00F75698"/>
    <w:rsid w:val="00F76199"/>
    <w:rsid w:val="00F7622C"/>
    <w:rsid w:val="00F769B2"/>
    <w:rsid w:val="00F76FE5"/>
    <w:rsid w:val="00F77BE8"/>
    <w:rsid w:val="00F8122A"/>
    <w:rsid w:val="00F8183B"/>
    <w:rsid w:val="00F81F2B"/>
    <w:rsid w:val="00F82748"/>
    <w:rsid w:val="00F8423E"/>
    <w:rsid w:val="00F84729"/>
    <w:rsid w:val="00F84C62"/>
    <w:rsid w:val="00F85259"/>
    <w:rsid w:val="00F85D31"/>
    <w:rsid w:val="00F85E48"/>
    <w:rsid w:val="00F85FB3"/>
    <w:rsid w:val="00F8616A"/>
    <w:rsid w:val="00F861B0"/>
    <w:rsid w:val="00F876BD"/>
    <w:rsid w:val="00F87CD0"/>
    <w:rsid w:val="00F9064A"/>
    <w:rsid w:val="00F90A05"/>
    <w:rsid w:val="00F90D13"/>
    <w:rsid w:val="00F9174E"/>
    <w:rsid w:val="00F91D19"/>
    <w:rsid w:val="00F922B6"/>
    <w:rsid w:val="00F92D99"/>
    <w:rsid w:val="00F93263"/>
    <w:rsid w:val="00F936A6"/>
    <w:rsid w:val="00F94507"/>
    <w:rsid w:val="00F958B2"/>
    <w:rsid w:val="00F96858"/>
    <w:rsid w:val="00F96EA5"/>
    <w:rsid w:val="00F970FF"/>
    <w:rsid w:val="00F975EB"/>
    <w:rsid w:val="00FA051C"/>
    <w:rsid w:val="00FA0A41"/>
    <w:rsid w:val="00FA0CC6"/>
    <w:rsid w:val="00FA0DF0"/>
    <w:rsid w:val="00FA1433"/>
    <w:rsid w:val="00FA17CF"/>
    <w:rsid w:val="00FA230A"/>
    <w:rsid w:val="00FA235A"/>
    <w:rsid w:val="00FA27B2"/>
    <w:rsid w:val="00FA2DF6"/>
    <w:rsid w:val="00FA373A"/>
    <w:rsid w:val="00FA55D0"/>
    <w:rsid w:val="00FA5D1F"/>
    <w:rsid w:val="00FA6AF0"/>
    <w:rsid w:val="00FA7C48"/>
    <w:rsid w:val="00FB1139"/>
    <w:rsid w:val="00FB18F3"/>
    <w:rsid w:val="00FB1B1D"/>
    <w:rsid w:val="00FB1C96"/>
    <w:rsid w:val="00FB228D"/>
    <w:rsid w:val="00FB7283"/>
    <w:rsid w:val="00FB74EE"/>
    <w:rsid w:val="00FB78E7"/>
    <w:rsid w:val="00FC011B"/>
    <w:rsid w:val="00FC14DE"/>
    <w:rsid w:val="00FC1E91"/>
    <w:rsid w:val="00FC23D7"/>
    <w:rsid w:val="00FC2DE2"/>
    <w:rsid w:val="00FC3094"/>
    <w:rsid w:val="00FC3762"/>
    <w:rsid w:val="00FC433C"/>
    <w:rsid w:val="00FC45B4"/>
    <w:rsid w:val="00FC4A11"/>
    <w:rsid w:val="00FC4B65"/>
    <w:rsid w:val="00FC4C16"/>
    <w:rsid w:val="00FC534C"/>
    <w:rsid w:val="00FC5422"/>
    <w:rsid w:val="00FC6EEF"/>
    <w:rsid w:val="00FD163B"/>
    <w:rsid w:val="00FD19A4"/>
    <w:rsid w:val="00FD22EF"/>
    <w:rsid w:val="00FD29FC"/>
    <w:rsid w:val="00FD2A37"/>
    <w:rsid w:val="00FD2CC8"/>
    <w:rsid w:val="00FD3AD2"/>
    <w:rsid w:val="00FD4233"/>
    <w:rsid w:val="00FD61B0"/>
    <w:rsid w:val="00FD67A9"/>
    <w:rsid w:val="00FD70E8"/>
    <w:rsid w:val="00FD75EC"/>
    <w:rsid w:val="00FD7A8E"/>
    <w:rsid w:val="00FD7D7C"/>
    <w:rsid w:val="00FE04DB"/>
    <w:rsid w:val="00FE0D64"/>
    <w:rsid w:val="00FE121E"/>
    <w:rsid w:val="00FE12C6"/>
    <w:rsid w:val="00FE1E68"/>
    <w:rsid w:val="00FE28F7"/>
    <w:rsid w:val="00FE2E9F"/>
    <w:rsid w:val="00FE3722"/>
    <w:rsid w:val="00FE5169"/>
    <w:rsid w:val="00FE636D"/>
    <w:rsid w:val="00FE6D96"/>
    <w:rsid w:val="00FE7710"/>
    <w:rsid w:val="00FE7742"/>
    <w:rsid w:val="00FF0484"/>
    <w:rsid w:val="00FF0C41"/>
    <w:rsid w:val="00FF0CAB"/>
    <w:rsid w:val="00FF1064"/>
    <w:rsid w:val="00FF11D5"/>
    <w:rsid w:val="00FF1A0C"/>
    <w:rsid w:val="00FF2AD4"/>
    <w:rsid w:val="00FF3883"/>
    <w:rsid w:val="00FF3DDF"/>
    <w:rsid w:val="00FF4310"/>
    <w:rsid w:val="00FF4777"/>
    <w:rsid w:val="00FF47B0"/>
    <w:rsid w:val="00FF4C8E"/>
    <w:rsid w:val="00FF60A0"/>
    <w:rsid w:val="00FF72C2"/>
    <w:rsid w:val="00FF7C77"/>
    <w:rsid w:val="415FC2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0360A1"/>
  <w15:docId w15:val="{096FB0BB-0A67-4260-B21F-8030E86B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8071B"/>
    <w:pPr>
      <w:spacing w:after="200" w:line="276" w:lineRule="auto"/>
    </w:pPr>
    <w:rPr>
      <w:rFonts w:ascii="Tahoma" w:hAnsi="Tahoma"/>
      <w:szCs w:val="22"/>
      <w:lang w:eastAsia="en-US"/>
    </w:rPr>
  </w:style>
  <w:style w:type="paragraph" w:styleId="Titolo1">
    <w:name w:val="heading 1"/>
    <w:basedOn w:val="Normale"/>
    <w:next w:val="Normale"/>
    <w:link w:val="Titolo1Carattere"/>
    <w:uiPriority w:val="9"/>
    <w:qFormat/>
    <w:rsid w:val="00730D73"/>
    <w:pPr>
      <w:keepNext/>
      <w:spacing w:before="240" w:after="960"/>
      <w:outlineLvl w:val="0"/>
    </w:pPr>
    <w:rPr>
      <w:rFonts w:eastAsia="MS Gothic"/>
      <w:b/>
      <w:color w:val="000000"/>
      <w:kern w:val="32"/>
      <w:sz w:val="32"/>
      <w:szCs w:val="20"/>
      <w:lang w:eastAsia="it-IT"/>
    </w:rPr>
  </w:style>
  <w:style w:type="paragraph" w:styleId="Titolo2">
    <w:name w:val="heading 2"/>
    <w:basedOn w:val="Normale"/>
    <w:next w:val="Normale"/>
    <w:link w:val="Titolo2Carattere"/>
    <w:uiPriority w:val="99"/>
    <w:qFormat/>
    <w:locked/>
    <w:rsid w:val="00C76ED3"/>
    <w:pPr>
      <w:outlineLvl w:val="1"/>
    </w:pPr>
    <w:rPr>
      <w:b/>
      <w:bCs/>
      <w:iCs/>
      <w:sz w:val="22"/>
      <w:u w:val="single"/>
    </w:rPr>
  </w:style>
  <w:style w:type="paragraph" w:styleId="Titolo3">
    <w:name w:val="heading 3"/>
    <w:basedOn w:val="Sottoparagrafo"/>
    <w:next w:val="Normale"/>
    <w:link w:val="Titolo3Carattere"/>
    <w:uiPriority w:val="99"/>
    <w:qFormat/>
    <w:locked/>
    <w:rsid w:val="00FC433C"/>
    <w:pPr>
      <w:spacing w:before="0" w:after="200" w:line="360" w:lineRule="auto"/>
      <w:outlineLvl w:val="2"/>
    </w:pPr>
    <w:rPr>
      <w:sz w:val="20"/>
      <w:szCs w:val="22"/>
    </w:rPr>
  </w:style>
  <w:style w:type="paragraph" w:styleId="Titolo4">
    <w:name w:val="heading 4"/>
    <w:basedOn w:val="Titolo3"/>
    <w:next w:val="Normale"/>
    <w:link w:val="Titolo4Carattere"/>
    <w:unhideWhenUsed/>
    <w:qFormat/>
    <w:rsid w:val="004414B7"/>
    <w:pPr>
      <w:outlineLvl w:val="3"/>
    </w:pPr>
    <w:rPr>
      <w:u w:val="single"/>
    </w:rPr>
  </w:style>
  <w:style w:type="paragraph" w:styleId="Titolo5">
    <w:name w:val="heading 5"/>
    <w:basedOn w:val="Titolo3"/>
    <w:next w:val="Normale"/>
    <w:link w:val="Titolo5Carattere"/>
    <w:unhideWhenUsed/>
    <w:qFormat/>
    <w:rsid w:val="004414B7"/>
    <w:pPr>
      <w:outlineLvl w:val="4"/>
    </w:pPr>
    <w:rPr>
      <w:b w:val="0"/>
      <w:u w:val="single"/>
    </w:rPr>
  </w:style>
  <w:style w:type="paragraph" w:styleId="Titolo8">
    <w:name w:val="heading 8"/>
    <w:basedOn w:val="Normale"/>
    <w:next w:val="Normale"/>
    <w:link w:val="Titolo8Carattere"/>
    <w:uiPriority w:val="99"/>
    <w:qFormat/>
    <w:locked/>
    <w:rsid w:val="00640143"/>
    <w:pPr>
      <w:keepNext/>
      <w:keepLines/>
      <w:spacing w:before="200" w:after="0"/>
      <w:outlineLvl w:val="7"/>
    </w:pPr>
    <w:rPr>
      <w:rFonts w:ascii="Cambria" w:hAnsi="Cambria"/>
      <w:color w:val="40404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locked/>
    <w:rsid w:val="00730D73"/>
    <w:rPr>
      <w:rFonts w:ascii="Tahoma" w:eastAsia="MS Gothic" w:hAnsi="Tahoma" w:cs="Times New Roman"/>
      <w:b/>
      <w:color w:val="000000"/>
      <w:kern w:val="32"/>
      <w:sz w:val="32"/>
    </w:rPr>
  </w:style>
  <w:style w:type="character" w:customStyle="1" w:styleId="Titolo2Carattere">
    <w:name w:val="Titolo 2 Carattere"/>
    <w:link w:val="Titolo2"/>
    <w:uiPriority w:val="99"/>
    <w:locked/>
    <w:rsid w:val="00C76ED3"/>
    <w:rPr>
      <w:rFonts w:ascii="Tahoma" w:hAnsi="Tahoma"/>
      <w:b/>
      <w:bCs/>
      <w:iCs/>
      <w:sz w:val="22"/>
      <w:szCs w:val="22"/>
      <w:u w:val="single"/>
      <w:lang w:eastAsia="en-US"/>
    </w:rPr>
  </w:style>
  <w:style w:type="character" w:customStyle="1" w:styleId="Titolo3Carattere">
    <w:name w:val="Titolo 3 Carattere"/>
    <w:link w:val="Titolo3"/>
    <w:uiPriority w:val="99"/>
    <w:locked/>
    <w:rsid w:val="00FC433C"/>
    <w:rPr>
      <w:rFonts w:ascii="Tahoma" w:hAnsi="Tahoma"/>
      <w:b/>
      <w:i/>
      <w:color w:val="000000"/>
      <w:szCs w:val="22"/>
      <w:lang w:eastAsia="en-US"/>
    </w:rPr>
  </w:style>
  <w:style w:type="character" w:customStyle="1" w:styleId="Titolo8Carattere">
    <w:name w:val="Titolo 8 Carattere"/>
    <w:link w:val="Titolo8"/>
    <w:uiPriority w:val="99"/>
    <w:semiHidden/>
    <w:locked/>
    <w:rsid w:val="00640143"/>
    <w:rPr>
      <w:rFonts w:ascii="Cambria" w:hAnsi="Cambria" w:cs="Times New Roman"/>
      <w:color w:val="404040"/>
    </w:rPr>
  </w:style>
  <w:style w:type="paragraph" w:styleId="Sommario1">
    <w:name w:val="toc 1"/>
    <w:basedOn w:val="Normale"/>
    <w:next w:val="Normale"/>
    <w:autoRedefine/>
    <w:uiPriority w:val="39"/>
    <w:rsid w:val="00A90ED0"/>
    <w:pPr>
      <w:tabs>
        <w:tab w:val="right" w:leader="dot" w:pos="9628"/>
      </w:tabs>
      <w:spacing w:before="60" w:after="60" w:line="326" w:lineRule="auto"/>
    </w:pPr>
    <w:rPr>
      <w:rFonts w:cs="Tahoma"/>
      <w:b/>
      <w:bCs/>
      <w:noProof/>
      <w:szCs w:val="20"/>
    </w:rPr>
  </w:style>
  <w:style w:type="paragraph" w:styleId="Sommario2">
    <w:name w:val="toc 2"/>
    <w:basedOn w:val="Normale"/>
    <w:next w:val="Normale"/>
    <w:autoRedefine/>
    <w:uiPriority w:val="39"/>
    <w:rsid w:val="00EA261B"/>
    <w:pPr>
      <w:tabs>
        <w:tab w:val="right" w:leader="dot" w:pos="9628"/>
      </w:tabs>
      <w:spacing w:before="60" w:after="60" w:line="326" w:lineRule="auto"/>
      <w:ind w:left="200"/>
    </w:pPr>
    <w:rPr>
      <w:rFonts w:cs="Tahoma"/>
      <w:noProof/>
      <w:szCs w:val="20"/>
    </w:rPr>
  </w:style>
  <w:style w:type="paragraph" w:styleId="Sommario3">
    <w:name w:val="toc 3"/>
    <w:basedOn w:val="Normale"/>
    <w:next w:val="Normale"/>
    <w:autoRedefine/>
    <w:uiPriority w:val="39"/>
    <w:rsid w:val="00A90ED0"/>
    <w:pPr>
      <w:tabs>
        <w:tab w:val="right" w:leader="dot" w:pos="9628"/>
      </w:tabs>
      <w:spacing w:before="60" w:after="60" w:line="326" w:lineRule="auto"/>
      <w:ind w:left="400"/>
    </w:pPr>
    <w:rPr>
      <w:rFonts w:cs="Tahoma"/>
      <w:i/>
      <w:iCs/>
      <w:noProof/>
      <w:szCs w:val="20"/>
    </w:rPr>
  </w:style>
  <w:style w:type="paragraph" w:styleId="Paragrafoelenco">
    <w:name w:val="List Paragraph"/>
    <w:basedOn w:val="Normale"/>
    <w:uiPriority w:val="34"/>
    <w:qFormat/>
    <w:rsid w:val="004614F1"/>
    <w:pPr>
      <w:ind w:left="720"/>
      <w:contextualSpacing/>
    </w:pPr>
  </w:style>
  <w:style w:type="paragraph" w:styleId="Titolosommario">
    <w:name w:val="TOC Heading"/>
    <w:basedOn w:val="Titolo1"/>
    <w:next w:val="Normale"/>
    <w:uiPriority w:val="39"/>
    <w:qFormat/>
    <w:rsid w:val="00F0499E"/>
    <w:pPr>
      <w:outlineLvl w:val="9"/>
    </w:pPr>
    <w:rPr>
      <w:rFonts w:ascii="Cambria" w:eastAsia="Times New Roman" w:hAnsi="Cambria"/>
    </w:rPr>
  </w:style>
  <w:style w:type="table" w:customStyle="1" w:styleId="Stile2">
    <w:name w:val="Stile2"/>
    <w:uiPriority w:val="99"/>
    <w:rsid w:val="005C2514"/>
    <w:rPr>
      <w:rFonts w:ascii="Times New Roman" w:eastAsia="Times New Roman" w:hAnsi="Times New Roman"/>
      <w:color w:val="FFFFFF"/>
    </w:rPr>
    <w:tblPr>
      <w:tblInd w:w="0" w:type="dxa"/>
      <w:tblBorders>
        <w:top w:val="single" w:sz="4" w:space="0" w:color="auto"/>
      </w:tblBorders>
      <w:tblCellMar>
        <w:top w:w="0" w:type="dxa"/>
        <w:left w:w="108" w:type="dxa"/>
        <w:bottom w:w="0" w:type="dxa"/>
        <w:right w:w="108" w:type="dxa"/>
      </w:tblCellMar>
    </w:tblPr>
    <w:tcPr>
      <w:shd w:val="clear" w:color="auto" w:fill="FFFFFF"/>
    </w:tcPr>
  </w:style>
  <w:style w:type="paragraph" w:customStyle="1" w:styleId="Paragrafo">
    <w:name w:val="Paragrafo"/>
    <w:basedOn w:val="Normale"/>
    <w:link w:val="ParagrafoCarattere"/>
    <w:autoRedefine/>
    <w:uiPriority w:val="99"/>
    <w:rsid w:val="00787F4A"/>
    <w:pPr>
      <w:pBdr>
        <w:bottom w:val="single" w:sz="4" w:space="1" w:color="auto"/>
      </w:pBdr>
      <w:spacing w:before="720" w:after="920" w:line="360" w:lineRule="auto"/>
      <w:outlineLvl w:val="1"/>
    </w:pPr>
    <w:rPr>
      <w:sz w:val="28"/>
      <w:szCs w:val="20"/>
    </w:rPr>
  </w:style>
  <w:style w:type="paragraph" w:customStyle="1" w:styleId="Titolo10">
    <w:name w:val="Titolo_1"/>
    <w:basedOn w:val="Normale"/>
    <w:uiPriority w:val="99"/>
    <w:rsid w:val="004614F1"/>
    <w:pPr>
      <w:autoSpaceDE w:val="0"/>
      <w:autoSpaceDN w:val="0"/>
      <w:adjustRightInd w:val="0"/>
      <w:spacing w:after="0" w:line="240" w:lineRule="auto"/>
      <w:jc w:val="center"/>
    </w:pPr>
    <w:rPr>
      <w:b/>
      <w:bCs/>
      <w:sz w:val="36"/>
      <w:szCs w:val="36"/>
    </w:rPr>
  </w:style>
  <w:style w:type="paragraph" w:customStyle="1" w:styleId="Elencoabcd">
    <w:name w:val="Elenco a b c d"/>
    <w:uiPriority w:val="99"/>
    <w:rsid w:val="004614F1"/>
    <w:pPr>
      <w:numPr>
        <w:numId w:val="1"/>
      </w:numPr>
    </w:pPr>
    <w:rPr>
      <w:color w:val="000000"/>
      <w:sz w:val="24"/>
      <w:szCs w:val="24"/>
      <w:lang w:eastAsia="en-US"/>
    </w:rPr>
  </w:style>
  <w:style w:type="paragraph" w:customStyle="1" w:styleId="Sottoparagrafo">
    <w:name w:val="Sottoparagrafo"/>
    <w:basedOn w:val="Normale"/>
    <w:link w:val="SottoparagrafoCarattere"/>
    <w:uiPriority w:val="99"/>
    <w:rsid w:val="002F5FC3"/>
    <w:pPr>
      <w:autoSpaceDE w:val="0"/>
      <w:autoSpaceDN w:val="0"/>
      <w:adjustRightInd w:val="0"/>
      <w:spacing w:before="360" w:after="360" w:line="240" w:lineRule="auto"/>
      <w:ind w:left="284" w:hanging="284"/>
      <w:jc w:val="both"/>
    </w:pPr>
    <w:rPr>
      <w:b/>
      <w:i/>
      <w:color w:val="000000"/>
      <w:sz w:val="24"/>
      <w:szCs w:val="20"/>
    </w:rPr>
  </w:style>
  <w:style w:type="paragraph" w:styleId="Titolo">
    <w:name w:val="Title"/>
    <w:basedOn w:val="Normale"/>
    <w:next w:val="Normale"/>
    <w:link w:val="TitoloCarattere"/>
    <w:uiPriority w:val="99"/>
    <w:qFormat/>
    <w:rsid w:val="00736674"/>
    <w:pPr>
      <w:keepNext/>
      <w:keepLines/>
      <w:spacing w:before="240" w:after="0" w:line="240" w:lineRule="auto"/>
      <w:jc w:val="center"/>
      <w:outlineLvl w:val="0"/>
    </w:pPr>
    <w:rPr>
      <w:rFonts w:eastAsia="Tahoma" w:cs="Tahoma"/>
      <w:b/>
      <w:sz w:val="32"/>
      <w:lang w:eastAsia="it-IT"/>
    </w:rPr>
  </w:style>
  <w:style w:type="character" w:customStyle="1" w:styleId="TitoloCarattere">
    <w:name w:val="Titolo Carattere"/>
    <w:link w:val="Titolo"/>
    <w:uiPriority w:val="99"/>
    <w:locked/>
    <w:rsid w:val="00736674"/>
    <w:rPr>
      <w:rFonts w:ascii="Tahoma" w:eastAsia="Tahoma" w:hAnsi="Tahoma" w:cs="Tahoma"/>
      <w:b/>
      <w:sz w:val="32"/>
      <w:szCs w:val="22"/>
    </w:rPr>
  </w:style>
  <w:style w:type="character" w:styleId="Enfasigrassetto">
    <w:name w:val="Strong"/>
    <w:uiPriority w:val="22"/>
    <w:qFormat/>
    <w:rsid w:val="004614F1"/>
    <w:rPr>
      <w:rFonts w:cs="Times New Roman"/>
      <w:b/>
    </w:rPr>
  </w:style>
  <w:style w:type="character" w:styleId="Enfasicorsivo">
    <w:name w:val="Emphasis"/>
    <w:uiPriority w:val="99"/>
    <w:qFormat/>
    <w:rsid w:val="004614F1"/>
    <w:rPr>
      <w:rFonts w:cs="Times New Roman"/>
      <w:i/>
    </w:rPr>
  </w:style>
  <w:style w:type="paragraph" w:styleId="Testofumetto">
    <w:name w:val="Balloon Text"/>
    <w:basedOn w:val="Normale"/>
    <w:link w:val="TestofumettoCarattere"/>
    <w:uiPriority w:val="99"/>
    <w:semiHidden/>
    <w:rsid w:val="00BC7A94"/>
    <w:pPr>
      <w:spacing w:after="0" w:line="240" w:lineRule="auto"/>
    </w:pPr>
    <w:rPr>
      <w:sz w:val="16"/>
      <w:szCs w:val="16"/>
      <w:lang w:eastAsia="it-IT"/>
    </w:rPr>
  </w:style>
  <w:style w:type="character" w:customStyle="1" w:styleId="TestofumettoCarattere">
    <w:name w:val="Testo fumetto Carattere"/>
    <w:link w:val="Testofumetto"/>
    <w:uiPriority w:val="99"/>
    <w:semiHidden/>
    <w:locked/>
    <w:rsid w:val="00BC7A94"/>
    <w:rPr>
      <w:rFonts w:ascii="Tahoma" w:hAnsi="Tahoma" w:cs="Times New Roman"/>
      <w:sz w:val="16"/>
    </w:rPr>
  </w:style>
  <w:style w:type="paragraph" w:styleId="NormaleWeb">
    <w:name w:val="Normal (Web)"/>
    <w:basedOn w:val="Normale"/>
    <w:uiPriority w:val="99"/>
    <w:rsid w:val="000668F7"/>
    <w:pPr>
      <w:spacing w:after="0" w:line="336" w:lineRule="auto"/>
    </w:pPr>
    <w:rPr>
      <w:rFonts w:ascii="Verdana" w:eastAsia="Times New Roman" w:hAnsi="Verdana"/>
      <w:sz w:val="17"/>
      <w:szCs w:val="17"/>
      <w:lang w:eastAsia="it-IT"/>
    </w:rPr>
  </w:style>
  <w:style w:type="character" w:styleId="Riferimentointenso">
    <w:name w:val="Intense Reference"/>
    <w:uiPriority w:val="99"/>
    <w:qFormat/>
    <w:rsid w:val="003B7307"/>
    <w:rPr>
      <w:rFonts w:ascii="Tahoma" w:hAnsi="Tahoma" w:cs="Times New Roman"/>
      <w:b/>
      <w:smallCaps/>
      <w:color w:val="C0504D"/>
      <w:spacing w:val="5"/>
      <w:sz w:val="28"/>
      <w:u w:val="single"/>
    </w:rPr>
  </w:style>
  <w:style w:type="paragraph" w:styleId="Intestazione">
    <w:name w:val="header"/>
    <w:basedOn w:val="Normale"/>
    <w:link w:val="IntestazioneCarattere"/>
    <w:uiPriority w:val="99"/>
    <w:rsid w:val="000756EB"/>
    <w:pPr>
      <w:tabs>
        <w:tab w:val="center" w:pos="4819"/>
        <w:tab w:val="right" w:pos="9638"/>
      </w:tabs>
      <w:spacing w:after="0" w:line="240" w:lineRule="auto"/>
    </w:pPr>
    <w:rPr>
      <w:sz w:val="22"/>
      <w:lang w:eastAsia="it-IT"/>
    </w:rPr>
  </w:style>
  <w:style w:type="character" w:customStyle="1" w:styleId="IntestazioneCarattere">
    <w:name w:val="Intestazione Carattere"/>
    <w:link w:val="Intestazione"/>
    <w:uiPriority w:val="99"/>
    <w:locked/>
    <w:rsid w:val="000756EB"/>
    <w:rPr>
      <w:rFonts w:ascii="Tahoma" w:hAnsi="Tahoma" w:cs="Times New Roman"/>
      <w:sz w:val="22"/>
    </w:rPr>
  </w:style>
  <w:style w:type="paragraph" w:styleId="Pidipagina">
    <w:name w:val="footer"/>
    <w:basedOn w:val="Normale"/>
    <w:link w:val="PidipaginaCarattere"/>
    <w:uiPriority w:val="99"/>
    <w:rsid w:val="000756EB"/>
    <w:pPr>
      <w:tabs>
        <w:tab w:val="center" w:pos="4819"/>
        <w:tab w:val="right" w:pos="9638"/>
      </w:tabs>
      <w:spacing w:after="0" w:line="240" w:lineRule="auto"/>
    </w:pPr>
    <w:rPr>
      <w:sz w:val="22"/>
      <w:lang w:eastAsia="it-IT"/>
    </w:rPr>
  </w:style>
  <w:style w:type="character" w:customStyle="1" w:styleId="PidipaginaCarattere">
    <w:name w:val="Piè di pagina Carattere"/>
    <w:link w:val="Pidipagina"/>
    <w:uiPriority w:val="99"/>
    <w:locked/>
    <w:rsid w:val="000756EB"/>
    <w:rPr>
      <w:rFonts w:ascii="Tahoma" w:hAnsi="Tahoma" w:cs="Times New Roman"/>
      <w:sz w:val="22"/>
    </w:rPr>
  </w:style>
  <w:style w:type="paragraph" w:customStyle="1" w:styleId="4BC8582F925C44688E6963A65CE800A2">
    <w:name w:val="4BC8582F925C44688E6963A65CE800A2"/>
    <w:uiPriority w:val="99"/>
    <w:rsid w:val="000756EB"/>
    <w:pPr>
      <w:spacing w:after="200" w:line="276" w:lineRule="auto"/>
    </w:pPr>
    <w:rPr>
      <w:rFonts w:eastAsia="Times New Roman"/>
      <w:sz w:val="22"/>
      <w:szCs w:val="22"/>
    </w:rPr>
  </w:style>
  <w:style w:type="paragraph" w:styleId="Nessunaspaziatura">
    <w:name w:val="No Spacing"/>
    <w:link w:val="NessunaspaziaturaCarattere"/>
    <w:uiPriority w:val="99"/>
    <w:qFormat/>
    <w:rsid w:val="00DE77D4"/>
    <w:rPr>
      <w:rFonts w:eastAsia="Times New Roman"/>
      <w:sz w:val="22"/>
      <w:szCs w:val="22"/>
    </w:rPr>
  </w:style>
  <w:style w:type="character" w:customStyle="1" w:styleId="NessunaspaziaturaCarattere">
    <w:name w:val="Nessuna spaziatura Carattere"/>
    <w:link w:val="Nessunaspaziatura"/>
    <w:uiPriority w:val="99"/>
    <w:locked/>
    <w:rsid w:val="00DE77D4"/>
    <w:rPr>
      <w:rFonts w:eastAsia="Times New Roman"/>
      <w:sz w:val="22"/>
      <w:lang w:val="it-IT" w:eastAsia="it-IT"/>
    </w:rPr>
  </w:style>
  <w:style w:type="character" w:styleId="Collegamentoipertestuale">
    <w:name w:val="Hyperlink"/>
    <w:uiPriority w:val="99"/>
    <w:rsid w:val="00847043"/>
    <w:rPr>
      <w:rFonts w:cs="Times New Roman"/>
      <w:color w:val="0000FF"/>
      <w:u w:val="single"/>
    </w:rPr>
  </w:style>
  <w:style w:type="paragraph" w:styleId="Sommario4">
    <w:name w:val="toc 4"/>
    <w:basedOn w:val="Normale"/>
    <w:next w:val="Normale"/>
    <w:autoRedefine/>
    <w:uiPriority w:val="39"/>
    <w:rsid w:val="00E122C2"/>
    <w:pPr>
      <w:spacing w:after="0"/>
      <w:ind w:left="600"/>
    </w:pPr>
    <w:rPr>
      <w:rFonts w:asciiTheme="minorHAnsi" w:hAnsiTheme="minorHAnsi" w:cstheme="minorHAnsi"/>
      <w:szCs w:val="20"/>
    </w:rPr>
  </w:style>
  <w:style w:type="paragraph" w:styleId="Sommario5">
    <w:name w:val="toc 5"/>
    <w:basedOn w:val="Normale"/>
    <w:next w:val="Normale"/>
    <w:autoRedefine/>
    <w:uiPriority w:val="39"/>
    <w:rsid w:val="00E122C2"/>
    <w:pPr>
      <w:spacing w:after="0"/>
      <w:ind w:left="800"/>
    </w:pPr>
    <w:rPr>
      <w:rFonts w:asciiTheme="minorHAnsi" w:hAnsiTheme="minorHAnsi" w:cstheme="minorHAnsi"/>
      <w:szCs w:val="20"/>
    </w:rPr>
  </w:style>
  <w:style w:type="paragraph" w:styleId="Sommario6">
    <w:name w:val="toc 6"/>
    <w:basedOn w:val="Normale"/>
    <w:next w:val="Normale"/>
    <w:autoRedefine/>
    <w:uiPriority w:val="99"/>
    <w:rsid w:val="00E122C2"/>
    <w:pPr>
      <w:spacing w:after="0"/>
      <w:ind w:left="1000"/>
    </w:pPr>
    <w:rPr>
      <w:rFonts w:asciiTheme="minorHAnsi" w:hAnsiTheme="minorHAnsi" w:cstheme="minorHAnsi"/>
      <w:szCs w:val="20"/>
    </w:rPr>
  </w:style>
  <w:style w:type="paragraph" w:styleId="Sommario7">
    <w:name w:val="toc 7"/>
    <w:basedOn w:val="Normale"/>
    <w:next w:val="Normale"/>
    <w:autoRedefine/>
    <w:uiPriority w:val="99"/>
    <w:rsid w:val="00E122C2"/>
    <w:pPr>
      <w:spacing w:after="0"/>
      <w:ind w:left="1200"/>
    </w:pPr>
    <w:rPr>
      <w:rFonts w:asciiTheme="minorHAnsi" w:hAnsiTheme="minorHAnsi" w:cstheme="minorHAnsi"/>
      <w:szCs w:val="20"/>
    </w:rPr>
  </w:style>
  <w:style w:type="paragraph" w:styleId="Sommario8">
    <w:name w:val="toc 8"/>
    <w:basedOn w:val="Normale"/>
    <w:next w:val="Normale"/>
    <w:autoRedefine/>
    <w:uiPriority w:val="99"/>
    <w:rsid w:val="00E122C2"/>
    <w:pPr>
      <w:spacing w:after="0"/>
      <w:ind w:left="1400"/>
    </w:pPr>
    <w:rPr>
      <w:rFonts w:asciiTheme="minorHAnsi" w:hAnsiTheme="minorHAnsi" w:cstheme="minorHAnsi"/>
      <w:szCs w:val="20"/>
    </w:rPr>
  </w:style>
  <w:style w:type="paragraph" w:styleId="Sommario9">
    <w:name w:val="toc 9"/>
    <w:basedOn w:val="Normale"/>
    <w:next w:val="Normale"/>
    <w:autoRedefine/>
    <w:uiPriority w:val="99"/>
    <w:rsid w:val="00E122C2"/>
    <w:pPr>
      <w:spacing w:after="0"/>
      <w:ind w:left="1600"/>
    </w:pPr>
    <w:rPr>
      <w:rFonts w:asciiTheme="minorHAnsi" w:hAnsiTheme="minorHAnsi" w:cstheme="minorHAnsi"/>
      <w:szCs w:val="20"/>
    </w:rPr>
  </w:style>
  <w:style w:type="paragraph" w:styleId="Testonotaapidipagina">
    <w:name w:val="footnote text"/>
    <w:basedOn w:val="Normale"/>
    <w:link w:val="TestonotaapidipaginaCarattere"/>
    <w:uiPriority w:val="99"/>
    <w:semiHidden/>
    <w:rsid w:val="00163B57"/>
    <w:pPr>
      <w:spacing w:after="0" w:line="240" w:lineRule="auto"/>
    </w:pPr>
    <w:rPr>
      <w:rFonts w:ascii="Times New Roman" w:hAnsi="Times New Roman"/>
      <w:szCs w:val="20"/>
      <w:lang w:eastAsia="it-IT"/>
    </w:rPr>
  </w:style>
  <w:style w:type="character" w:customStyle="1" w:styleId="TestonotaapidipaginaCarattere">
    <w:name w:val="Testo nota a piè di pagina Carattere"/>
    <w:link w:val="Testonotaapidipagina"/>
    <w:uiPriority w:val="99"/>
    <w:semiHidden/>
    <w:locked/>
    <w:rsid w:val="00163B57"/>
    <w:rPr>
      <w:rFonts w:ascii="Times New Roman" w:hAnsi="Times New Roman" w:cs="Times New Roman"/>
      <w:lang w:eastAsia="it-IT"/>
    </w:rPr>
  </w:style>
  <w:style w:type="character" w:styleId="Rimandonotaapidipagina">
    <w:name w:val="footnote reference"/>
    <w:uiPriority w:val="99"/>
    <w:semiHidden/>
    <w:rsid w:val="00163B57"/>
    <w:rPr>
      <w:rFonts w:cs="Times New Roman"/>
      <w:vertAlign w:val="superscript"/>
    </w:rPr>
  </w:style>
  <w:style w:type="paragraph" w:styleId="Rientrocorpodeltesto2">
    <w:name w:val="Body Text Indent 2"/>
    <w:basedOn w:val="Normale"/>
    <w:link w:val="Rientrocorpodeltesto2Carattere"/>
    <w:uiPriority w:val="99"/>
    <w:rsid w:val="00163B57"/>
    <w:pPr>
      <w:spacing w:after="0" w:line="240" w:lineRule="auto"/>
      <w:ind w:firstLine="708"/>
      <w:jc w:val="both"/>
    </w:pPr>
    <w:rPr>
      <w:rFonts w:ascii="Times New Roman" w:hAnsi="Times New Roman"/>
      <w:sz w:val="28"/>
      <w:szCs w:val="20"/>
      <w:lang w:eastAsia="it-IT"/>
    </w:rPr>
  </w:style>
  <w:style w:type="character" w:customStyle="1" w:styleId="Rientrocorpodeltesto2Carattere">
    <w:name w:val="Rientro corpo del testo 2 Carattere"/>
    <w:link w:val="Rientrocorpodeltesto2"/>
    <w:uiPriority w:val="99"/>
    <w:locked/>
    <w:rsid w:val="00163B57"/>
    <w:rPr>
      <w:rFonts w:ascii="Times New Roman" w:hAnsi="Times New Roman" w:cs="Times New Roman"/>
      <w:sz w:val="28"/>
      <w:lang w:eastAsia="it-IT"/>
    </w:rPr>
  </w:style>
  <w:style w:type="character" w:customStyle="1" w:styleId="dentro">
    <w:name w:val="dentro"/>
    <w:uiPriority w:val="99"/>
    <w:rsid w:val="0003432B"/>
  </w:style>
  <w:style w:type="character" w:customStyle="1" w:styleId="notranslate">
    <w:name w:val="notranslate"/>
    <w:uiPriority w:val="99"/>
    <w:rsid w:val="00640143"/>
  </w:style>
  <w:style w:type="paragraph" w:styleId="Corpotesto">
    <w:name w:val="Body Text"/>
    <w:basedOn w:val="Normale"/>
    <w:link w:val="CorpotestoCarattere"/>
    <w:uiPriority w:val="1"/>
    <w:qFormat/>
    <w:rsid w:val="00640143"/>
    <w:pPr>
      <w:spacing w:after="0" w:line="360" w:lineRule="auto"/>
      <w:jc w:val="both"/>
    </w:pPr>
    <w:rPr>
      <w:rFonts w:ascii="Times New Roman" w:hAnsi="Times New Roman"/>
      <w:sz w:val="24"/>
      <w:szCs w:val="24"/>
      <w:lang w:eastAsia="it-IT"/>
    </w:rPr>
  </w:style>
  <w:style w:type="character" w:customStyle="1" w:styleId="CorpotestoCarattere">
    <w:name w:val="Corpo testo Carattere"/>
    <w:link w:val="Corpotesto"/>
    <w:uiPriority w:val="1"/>
    <w:locked/>
    <w:rsid w:val="00640143"/>
    <w:rPr>
      <w:rFonts w:ascii="Times New Roman" w:hAnsi="Times New Roman" w:cs="Times New Roman"/>
      <w:sz w:val="24"/>
      <w:lang w:eastAsia="it-IT"/>
    </w:rPr>
  </w:style>
  <w:style w:type="character" w:customStyle="1" w:styleId="grame">
    <w:name w:val="grame"/>
    <w:uiPriority w:val="99"/>
    <w:rsid w:val="00640143"/>
  </w:style>
  <w:style w:type="paragraph" w:customStyle="1" w:styleId="Default">
    <w:name w:val="Default"/>
    <w:rsid w:val="00640143"/>
    <w:pPr>
      <w:autoSpaceDE w:val="0"/>
      <w:autoSpaceDN w:val="0"/>
      <w:adjustRightInd w:val="0"/>
    </w:pPr>
    <w:rPr>
      <w:rFonts w:ascii="Times New Roman" w:hAnsi="Times New Roman"/>
      <w:color w:val="000000"/>
      <w:sz w:val="24"/>
      <w:szCs w:val="24"/>
      <w:lang w:eastAsia="en-US"/>
    </w:rPr>
  </w:style>
  <w:style w:type="paragraph" w:styleId="Elenco">
    <w:name w:val="List"/>
    <w:basedOn w:val="Normale"/>
    <w:uiPriority w:val="99"/>
    <w:rsid w:val="00640143"/>
    <w:pPr>
      <w:spacing w:before="100" w:beforeAutospacing="1" w:after="100" w:afterAutospacing="1" w:line="240" w:lineRule="auto"/>
    </w:pPr>
    <w:rPr>
      <w:rFonts w:ascii="Arial Unicode MS" w:eastAsia="Arial Unicode MS" w:hAnsi="Arial Unicode MS" w:cs="Wingdings"/>
      <w:sz w:val="24"/>
      <w:szCs w:val="24"/>
      <w:lang w:eastAsia="it-IT"/>
    </w:rPr>
  </w:style>
  <w:style w:type="character" w:customStyle="1" w:styleId="BodyText3Char">
    <w:name w:val="Body Text 3 Char"/>
    <w:uiPriority w:val="99"/>
    <w:semiHidden/>
    <w:locked/>
    <w:rsid w:val="00640143"/>
    <w:rPr>
      <w:rFonts w:ascii="Calibri" w:hAnsi="Calibri"/>
      <w:sz w:val="16"/>
    </w:rPr>
  </w:style>
  <w:style w:type="paragraph" w:styleId="Corpodeltesto3">
    <w:name w:val="Body Text 3"/>
    <w:basedOn w:val="Normale"/>
    <w:link w:val="Corpodeltesto3Carattere"/>
    <w:uiPriority w:val="99"/>
    <w:semiHidden/>
    <w:rsid w:val="00640143"/>
    <w:pPr>
      <w:spacing w:after="120"/>
    </w:pPr>
    <w:rPr>
      <w:sz w:val="16"/>
      <w:szCs w:val="16"/>
    </w:rPr>
  </w:style>
  <w:style w:type="character" w:customStyle="1" w:styleId="Corpodeltesto3Carattere">
    <w:name w:val="Corpo del testo 3 Carattere"/>
    <w:link w:val="Corpodeltesto3"/>
    <w:uiPriority w:val="99"/>
    <w:semiHidden/>
    <w:locked/>
    <w:rsid w:val="002659B1"/>
    <w:rPr>
      <w:rFonts w:ascii="Tahoma" w:hAnsi="Tahoma" w:cs="Times New Roman"/>
      <w:sz w:val="16"/>
      <w:lang w:eastAsia="en-US"/>
    </w:rPr>
  </w:style>
  <w:style w:type="character" w:customStyle="1" w:styleId="BodyText2Char">
    <w:name w:val="Body Text 2 Char"/>
    <w:uiPriority w:val="99"/>
    <w:semiHidden/>
    <w:locked/>
    <w:rsid w:val="00640143"/>
    <w:rPr>
      <w:rFonts w:ascii="Calibri" w:hAnsi="Calibri"/>
      <w:sz w:val="22"/>
    </w:rPr>
  </w:style>
  <w:style w:type="paragraph" w:styleId="Corpodeltesto2">
    <w:name w:val="Body Text 2"/>
    <w:basedOn w:val="Normale"/>
    <w:link w:val="Corpodeltesto2Carattere"/>
    <w:uiPriority w:val="99"/>
    <w:semiHidden/>
    <w:rsid w:val="00640143"/>
    <w:pPr>
      <w:spacing w:after="120" w:line="480" w:lineRule="auto"/>
    </w:pPr>
    <w:rPr>
      <w:szCs w:val="20"/>
    </w:rPr>
  </w:style>
  <w:style w:type="character" w:customStyle="1" w:styleId="Corpodeltesto2Carattere">
    <w:name w:val="Corpo del testo 2 Carattere"/>
    <w:link w:val="Corpodeltesto2"/>
    <w:uiPriority w:val="99"/>
    <w:semiHidden/>
    <w:locked/>
    <w:rsid w:val="002659B1"/>
    <w:rPr>
      <w:rFonts w:ascii="Tahoma" w:hAnsi="Tahoma" w:cs="Times New Roman"/>
      <w:sz w:val="20"/>
      <w:lang w:eastAsia="en-US"/>
    </w:rPr>
  </w:style>
  <w:style w:type="character" w:customStyle="1" w:styleId="style4">
    <w:name w:val="style4"/>
    <w:uiPriority w:val="99"/>
    <w:rsid w:val="00640143"/>
  </w:style>
  <w:style w:type="paragraph" w:customStyle="1" w:styleId="CM1">
    <w:name w:val="CM1"/>
    <w:basedOn w:val="Normale"/>
    <w:next w:val="Normale"/>
    <w:uiPriority w:val="99"/>
    <w:rsid w:val="00640143"/>
    <w:pPr>
      <w:widowControl w:val="0"/>
      <w:autoSpaceDE w:val="0"/>
      <w:autoSpaceDN w:val="0"/>
      <w:adjustRightInd w:val="0"/>
      <w:spacing w:after="0" w:line="298" w:lineRule="atLeast"/>
      <w:jc w:val="both"/>
      <w:textAlignment w:val="baseline"/>
    </w:pPr>
    <w:rPr>
      <w:rFonts w:ascii="Book Antiqua" w:eastAsia="Times New Roman" w:hAnsi="Book Antiqua"/>
      <w:sz w:val="24"/>
      <w:szCs w:val="24"/>
      <w:lang w:eastAsia="it-IT"/>
    </w:rPr>
  </w:style>
  <w:style w:type="paragraph" w:customStyle="1" w:styleId="CM5">
    <w:name w:val="CM5"/>
    <w:basedOn w:val="Default"/>
    <w:next w:val="Default"/>
    <w:uiPriority w:val="99"/>
    <w:rsid w:val="00640143"/>
    <w:pPr>
      <w:widowControl w:val="0"/>
      <w:spacing w:after="298"/>
    </w:pPr>
    <w:rPr>
      <w:rFonts w:ascii="Book Antiqua" w:eastAsia="SimSun" w:hAnsi="Book Antiqua"/>
      <w:color w:val="auto"/>
      <w:lang w:eastAsia="zh-CN"/>
    </w:rPr>
  </w:style>
  <w:style w:type="paragraph" w:customStyle="1" w:styleId="CM6">
    <w:name w:val="CM6"/>
    <w:basedOn w:val="Default"/>
    <w:next w:val="Default"/>
    <w:uiPriority w:val="99"/>
    <w:rsid w:val="00640143"/>
    <w:pPr>
      <w:widowControl w:val="0"/>
      <w:spacing w:after="598"/>
    </w:pPr>
    <w:rPr>
      <w:rFonts w:ascii="Book Antiqua" w:eastAsia="SimSun" w:hAnsi="Book Antiqua"/>
      <w:color w:val="auto"/>
      <w:lang w:eastAsia="zh-CN"/>
    </w:rPr>
  </w:style>
  <w:style w:type="paragraph" w:customStyle="1" w:styleId="CM4">
    <w:name w:val="CM4"/>
    <w:basedOn w:val="Default"/>
    <w:next w:val="Default"/>
    <w:uiPriority w:val="99"/>
    <w:rsid w:val="00640143"/>
    <w:pPr>
      <w:widowControl w:val="0"/>
      <w:spacing w:line="300" w:lineRule="atLeast"/>
    </w:pPr>
    <w:rPr>
      <w:rFonts w:ascii="Book Antiqua" w:eastAsia="SimSun" w:hAnsi="Book Antiqua"/>
      <w:color w:val="auto"/>
      <w:lang w:eastAsia="zh-CN"/>
    </w:rPr>
  </w:style>
  <w:style w:type="paragraph" w:customStyle="1" w:styleId="Pa4">
    <w:name w:val="Pa4"/>
    <w:basedOn w:val="Default"/>
    <w:next w:val="Default"/>
    <w:uiPriority w:val="99"/>
    <w:rsid w:val="00640143"/>
    <w:pPr>
      <w:spacing w:line="241" w:lineRule="atLeast"/>
    </w:pPr>
    <w:rPr>
      <w:rFonts w:ascii="Amasis MT" w:hAnsi="Amasis MT"/>
      <w:color w:val="auto"/>
    </w:rPr>
  </w:style>
  <w:style w:type="paragraph" w:customStyle="1" w:styleId="Pa8">
    <w:name w:val="Pa8"/>
    <w:basedOn w:val="Default"/>
    <w:next w:val="Default"/>
    <w:uiPriority w:val="99"/>
    <w:rsid w:val="00640143"/>
    <w:pPr>
      <w:spacing w:line="361" w:lineRule="atLeast"/>
    </w:pPr>
    <w:rPr>
      <w:rFonts w:ascii="GoodPro-WideBlack" w:hAnsi="GoodPro-WideBlack"/>
      <w:color w:val="auto"/>
    </w:rPr>
  </w:style>
  <w:style w:type="paragraph" w:customStyle="1" w:styleId="Pa1">
    <w:name w:val="Pa1"/>
    <w:basedOn w:val="Default"/>
    <w:next w:val="Default"/>
    <w:uiPriority w:val="99"/>
    <w:rsid w:val="00640143"/>
    <w:pPr>
      <w:spacing w:line="241" w:lineRule="atLeast"/>
    </w:pPr>
    <w:rPr>
      <w:rFonts w:ascii="GoodPro-WideBlack" w:hAnsi="GoodPro-WideBlack"/>
      <w:color w:val="auto"/>
    </w:rPr>
  </w:style>
  <w:style w:type="character" w:customStyle="1" w:styleId="A2">
    <w:name w:val="A2"/>
    <w:uiPriority w:val="99"/>
    <w:rsid w:val="00640143"/>
    <w:rPr>
      <w:rFonts w:ascii="GoodPro-CondBold" w:hAnsi="GoodPro-CondBold"/>
      <w:b/>
      <w:color w:val="000000"/>
    </w:rPr>
  </w:style>
  <w:style w:type="character" w:customStyle="1" w:styleId="A1">
    <w:name w:val="A1"/>
    <w:uiPriority w:val="99"/>
    <w:rsid w:val="00640143"/>
    <w:rPr>
      <w:b/>
      <w:color w:val="000000"/>
      <w:sz w:val="28"/>
    </w:rPr>
  </w:style>
  <w:style w:type="paragraph" w:customStyle="1" w:styleId="Pa9">
    <w:name w:val="Pa9"/>
    <w:basedOn w:val="Default"/>
    <w:next w:val="Default"/>
    <w:uiPriority w:val="99"/>
    <w:rsid w:val="00640143"/>
    <w:pPr>
      <w:spacing w:line="241" w:lineRule="atLeast"/>
    </w:pPr>
    <w:rPr>
      <w:rFonts w:ascii="Amasis MT" w:hAnsi="Amasis MT"/>
      <w:color w:val="auto"/>
    </w:rPr>
  </w:style>
  <w:style w:type="paragraph" w:customStyle="1" w:styleId="CoverTitle">
    <w:name w:val="CoverTitle"/>
    <w:basedOn w:val="Default"/>
    <w:next w:val="Default"/>
    <w:uiPriority w:val="99"/>
    <w:rsid w:val="00640143"/>
    <w:rPr>
      <w:rFonts w:ascii="Arial" w:hAnsi="Arial" w:cs="Arial"/>
      <w:color w:val="auto"/>
    </w:rPr>
  </w:style>
  <w:style w:type="paragraph" w:styleId="Revisione">
    <w:name w:val="Revision"/>
    <w:hidden/>
    <w:uiPriority w:val="99"/>
    <w:semiHidden/>
    <w:rsid w:val="00731FB6"/>
    <w:rPr>
      <w:rFonts w:ascii="Tahoma" w:hAnsi="Tahoma"/>
      <w:szCs w:val="22"/>
      <w:lang w:eastAsia="en-US"/>
    </w:rPr>
  </w:style>
  <w:style w:type="paragraph" w:customStyle="1" w:styleId="Standard">
    <w:name w:val="Standard"/>
    <w:uiPriority w:val="99"/>
    <w:rsid w:val="00E662A9"/>
    <w:pPr>
      <w:suppressAutoHyphens/>
      <w:autoSpaceDN w:val="0"/>
      <w:spacing w:after="200" w:line="276" w:lineRule="auto"/>
      <w:textAlignment w:val="baseline"/>
    </w:pPr>
    <w:rPr>
      <w:rFonts w:ascii="Tahoma" w:hAnsi="Tahoma"/>
      <w:kern w:val="3"/>
      <w:szCs w:val="22"/>
      <w:lang w:eastAsia="en-US"/>
    </w:rPr>
  </w:style>
  <w:style w:type="character" w:styleId="Collegamentovisitato">
    <w:name w:val="FollowedHyperlink"/>
    <w:uiPriority w:val="99"/>
    <w:locked/>
    <w:rsid w:val="003A5939"/>
    <w:rPr>
      <w:rFonts w:cs="Times New Roman"/>
      <w:color w:val="800080"/>
      <w:u w:val="single"/>
    </w:rPr>
  </w:style>
  <w:style w:type="paragraph" w:customStyle="1" w:styleId="TableContents">
    <w:name w:val="Table Contents"/>
    <w:basedOn w:val="Standard"/>
    <w:uiPriority w:val="99"/>
    <w:rsid w:val="00F31139"/>
    <w:pPr>
      <w:suppressLineNumbers/>
    </w:pPr>
  </w:style>
  <w:style w:type="character" w:customStyle="1" w:styleId="Internetlink">
    <w:name w:val="Internet link"/>
    <w:uiPriority w:val="99"/>
    <w:rsid w:val="00F31139"/>
    <w:rPr>
      <w:color w:val="0000FF"/>
      <w:u w:val="single"/>
    </w:rPr>
  </w:style>
  <w:style w:type="paragraph" w:customStyle="1" w:styleId="Fiscoetasse">
    <w:name w:val="Fiscoetasse"/>
    <w:basedOn w:val="Titolo"/>
    <w:link w:val="FiscoetasseCarattere"/>
    <w:uiPriority w:val="99"/>
    <w:rsid w:val="00A95D00"/>
    <w:rPr>
      <w:color w:val="FF0000"/>
    </w:rPr>
  </w:style>
  <w:style w:type="paragraph" w:customStyle="1" w:styleId="fiscoetasse-1">
    <w:name w:val="ùfiscoetasse - 1"/>
    <w:basedOn w:val="Paragrafo"/>
    <w:link w:val="fiscoetasse-1Carattere"/>
    <w:uiPriority w:val="99"/>
    <w:rsid w:val="00A95D00"/>
  </w:style>
  <w:style w:type="character" w:customStyle="1" w:styleId="FiscoetasseCarattere">
    <w:name w:val="Fiscoetasse Carattere"/>
    <w:link w:val="Fiscoetasse"/>
    <w:uiPriority w:val="99"/>
    <w:locked/>
    <w:rsid w:val="00A95D00"/>
    <w:rPr>
      <w:rFonts w:ascii="Tahoma" w:eastAsia="MS Gothic" w:hAnsi="Tahoma"/>
      <w:b/>
      <w:color w:val="FF0000"/>
      <w:kern w:val="28"/>
      <w:sz w:val="32"/>
    </w:rPr>
  </w:style>
  <w:style w:type="paragraph" w:customStyle="1" w:styleId="fiscoetasse2">
    <w:name w:val="fiscoetasse2"/>
    <w:basedOn w:val="Sottoparagrafo"/>
    <w:link w:val="fiscoetasse2Carattere"/>
    <w:uiPriority w:val="99"/>
    <w:rsid w:val="00A95D00"/>
    <w:pPr>
      <w:jc w:val="left"/>
    </w:pPr>
    <w:rPr>
      <w:color w:val="FF0000"/>
    </w:rPr>
  </w:style>
  <w:style w:type="character" w:customStyle="1" w:styleId="ParagrafoCarattere">
    <w:name w:val="Paragrafo Carattere"/>
    <w:link w:val="Paragrafo"/>
    <w:uiPriority w:val="99"/>
    <w:locked/>
    <w:rsid w:val="00787F4A"/>
    <w:rPr>
      <w:rFonts w:ascii="Tahoma" w:hAnsi="Tahoma"/>
      <w:sz w:val="28"/>
      <w:lang w:val="it-IT" w:eastAsia="en-US"/>
    </w:rPr>
  </w:style>
  <w:style w:type="character" w:customStyle="1" w:styleId="fiscoetasse-1Carattere">
    <w:name w:val="ùfiscoetasse - 1 Carattere"/>
    <w:link w:val="fiscoetasse-1"/>
    <w:uiPriority w:val="99"/>
    <w:locked/>
    <w:rsid w:val="00A95D00"/>
    <w:rPr>
      <w:rFonts w:ascii="Tahoma" w:hAnsi="Tahoma" w:cs="Times New Roman"/>
      <w:bCs/>
      <w:sz w:val="24"/>
      <w:szCs w:val="24"/>
      <w:lang w:val="it-IT" w:eastAsia="en-US" w:bidi="ar-SA"/>
    </w:rPr>
  </w:style>
  <w:style w:type="character" w:customStyle="1" w:styleId="SottoparagrafoCarattere">
    <w:name w:val="Sottoparagrafo Carattere"/>
    <w:link w:val="Sottoparagrafo"/>
    <w:uiPriority w:val="99"/>
    <w:locked/>
    <w:rsid w:val="00A95D00"/>
    <w:rPr>
      <w:rFonts w:ascii="Tahoma" w:hAnsi="Tahoma"/>
      <w:b/>
      <w:i/>
      <w:color w:val="000000"/>
      <w:sz w:val="24"/>
      <w:lang w:eastAsia="en-US"/>
    </w:rPr>
  </w:style>
  <w:style w:type="character" w:customStyle="1" w:styleId="fiscoetasse2Carattere">
    <w:name w:val="fiscoetasse2 Carattere"/>
    <w:link w:val="fiscoetasse2"/>
    <w:uiPriority w:val="99"/>
    <w:locked/>
    <w:rsid w:val="00A95D00"/>
    <w:rPr>
      <w:rFonts w:ascii="Tahoma" w:hAnsi="Tahoma"/>
      <w:b/>
      <w:i/>
      <w:color w:val="FF0000"/>
      <w:sz w:val="24"/>
      <w:lang w:eastAsia="en-US"/>
    </w:rPr>
  </w:style>
  <w:style w:type="table" w:styleId="Grigliatabella">
    <w:name w:val="Table Grid"/>
    <w:basedOn w:val="Tabellanormale"/>
    <w:uiPriority w:val="39"/>
    <w:rsid w:val="007D3E90"/>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e"/>
    <w:uiPriority w:val="99"/>
    <w:rsid w:val="00BF6B68"/>
    <w:pPr>
      <w:suppressLineNumbers/>
      <w:suppressAutoHyphens/>
    </w:pPr>
    <w:rPr>
      <w:kern w:val="1"/>
      <w:lang w:eastAsia="ar-SA"/>
    </w:rPr>
  </w:style>
  <w:style w:type="paragraph" w:customStyle="1" w:styleId="ListParagraph1">
    <w:name w:val="List Paragraph1"/>
    <w:basedOn w:val="Normale"/>
    <w:uiPriority w:val="99"/>
    <w:rsid w:val="001E2346"/>
    <w:pPr>
      <w:suppressAutoHyphens/>
      <w:ind w:left="720"/>
    </w:pPr>
    <w:rPr>
      <w:kern w:val="1"/>
      <w:lang w:eastAsia="ar-SA"/>
    </w:rPr>
  </w:style>
  <w:style w:type="paragraph" w:customStyle="1" w:styleId="NormalWeb1">
    <w:name w:val="Normal (Web)1"/>
    <w:basedOn w:val="Normale"/>
    <w:uiPriority w:val="99"/>
    <w:rsid w:val="0099143A"/>
    <w:pPr>
      <w:suppressAutoHyphens/>
      <w:spacing w:after="0" w:line="336" w:lineRule="auto"/>
    </w:pPr>
    <w:rPr>
      <w:rFonts w:ascii="Verdana" w:eastAsia="Times New Roman" w:hAnsi="Verdana" w:cs="Verdana"/>
      <w:kern w:val="1"/>
      <w:sz w:val="17"/>
      <w:szCs w:val="17"/>
      <w:lang w:eastAsia="ar-SA"/>
    </w:rPr>
  </w:style>
  <w:style w:type="numbering" w:customStyle="1" w:styleId="WWOutlineListStyle">
    <w:name w:val="WW_OutlineListStyle"/>
    <w:rsid w:val="00086B5F"/>
    <w:pPr>
      <w:numPr>
        <w:numId w:val="2"/>
      </w:numPr>
    </w:pPr>
  </w:style>
  <w:style w:type="paragraph" w:customStyle="1" w:styleId="Paragrafoelenco1">
    <w:name w:val="Paragrafo elenco1"/>
    <w:basedOn w:val="Normale"/>
    <w:rsid w:val="002A166B"/>
    <w:pPr>
      <w:suppressAutoHyphens/>
      <w:spacing w:after="160" w:line="259" w:lineRule="auto"/>
      <w:ind w:left="720"/>
    </w:pPr>
    <w:rPr>
      <w:rFonts w:ascii="Calibri" w:eastAsia="SimSun" w:hAnsi="Calibri" w:cs="font424"/>
      <w:sz w:val="22"/>
      <w:lang w:eastAsia="ar-SA"/>
    </w:rPr>
  </w:style>
  <w:style w:type="table" w:customStyle="1" w:styleId="Grigliatabella1">
    <w:name w:val="Griglia tabella1"/>
    <w:basedOn w:val="Tabellanormale"/>
    <w:next w:val="Grigliatabella"/>
    <w:uiPriority w:val="39"/>
    <w:rsid w:val="006545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delicata">
    <w:name w:val="Subtle Emphasis"/>
    <w:basedOn w:val="Carpredefinitoparagrafo"/>
    <w:uiPriority w:val="19"/>
    <w:qFormat/>
    <w:rsid w:val="002247B4"/>
    <w:rPr>
      <w:i/>
      <w:iCs/>
      <w:color w:val="404040" w:themeColor="text1" w:themeTint="BF"/>
    </w:rPr>
  </w:style>
  <w:style w:type="character" w:styleId="Menzionenonrisolta">
    <w:name w:val="Unresolved Mention"/>
    <w:basedOn w:val="Carpredefinitoparagrafo"/>
    <w:uiPriority w:val="99"/>
    <w:semiHidden/>
    <w:unhideWhenUsed/>
    <w:rsid w:val="00904FA8"/>
    <w:rPr>
      <w:color w:val="605E5C"/>
      <w:shd w:val="clear" w:color="auto" w:fill="E1DFDD"/>
    </w:rPr>
  </w:style>
  <w:style w:type="paragraph" w:styleId="PreformattatoHTML">
    <w:name w:val="HTML Preformatted"/>
    <w:basedOn w:val="Normale"/>
    <w:link w:val="PreformattatoHTMLCarattere"/>
    <w:uiPriority w:val="99"/>
    <w:semiHidden/>
    <w:unhideWhenUsed/>
    <w:locked/>
    <w:rsid w:val="00904FA8"/>
    <w:pPr>
      <w:spacing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904FA8"/>
    <w:rPr>
      <w:rFonts w:ascii="Consolas" w:hAnsi="Consolas"/>
      <w:lang w:eastAsia="en-US"/>
    </w:rPr>
  </w:style>
  <w:style w:type="character" w:styleId="Rimandocommento">
    <w:name w:val="annotation reference"/>
    <w:basedOn w:val="Carpredefinitoparagrafo"/>
    <w:uiPriority w:val="99"/>
    <w:semiHidden/>
    <w:unhideWhenUsed/>
    <w:locked/>
    <w:rsid w:val="00E74E20"/>
    <w:rPr>
      <w:sz w:val="16"/>
      <w:szCs w:val="16"/>
    </w:rPr>
  </w:style>
  <w:style w:type="paragraph" w:styleId="Testocommento">
    <w:name w:val="annotation text"/>
    <w:basedOn w:val="Normale"/>
    <w:link w:val="TestocommentoCarattere"/>
    <w:uiPriority w:val="99"/>
    <w:semiHidden/>
    <w:unhideWhenUsed/>
    <w:locked/>
    <w:rsid w:val="00E74E20"/>
    <w:pPr>
      <w:spacing w:line="240" w:lineRule="auto"/>
    </w:pPr>
    <w:rPr>
      <w:szCs w:val="20"/>
    </w:rPr>
  </w:style>
  <w:style w:type="character" w:customStyle="1" w:styleId="TestocommentoCarattere">
    <w:name w:val="Testo commento Carattere"/>
    <w:basedOn w:val="Carpredefinitoparagrafo"/>
    <w:link w:val="Testocommento"/>
    <w:uiPriority w:val="99"/>
    <w:semiHidden/>
    <w:rsid w:val="00E74E20"/>
    <w:rPr>
      <w:rFonts w:ascii="Tahoma" w:hAnsi="Tahoma"/>
      <w:lang w:eastAsia="en-US"/>
    </w:rPr>
  </w:style>
  <w:style w:type="paragraph" w:styleId="Soggettocommento">
    <w:name w:val="annotation subject"/>
    <w:basedOn w:val="Testocommento"/>
    <w:next w:val="Testocommento"/>
    <w:link w:val="SoggettocommentoCarattere"/>
    <w:uiPriority w:val="99"/>
    <w:semiHidden/>
    <w:unhideWhenUsed/>
    <w:locked/>
    <w:rsid w:val="00E74E20"/>
    <w:rPr>
      <w:b/>
      <w:bCs/>
    </w:rPr>
  </w:style>
  <w:style w:type="character" w:customStyle="1" w:styleId="SoggettocommentoCarattere">
    <w:name w:val="Soggetto commento Carattere"/>
    <w:basedOn w:val="TestocommentoCarattere"/>
    <w:link w:val="Soggettocommento"/>
    <w:uiPriority w:val="99"/>
    <w:semiHidden/>
    <w:rsid w:val="00E74E20"/>
    <w:rPr>
      <w:rFonts w:ascii="Tahoma" w:hAnsi="Tahoma"/>
      <w:b/>
      <w:bCs/>
      <w:lang w:eastAsia="en-US"/>
    </w:rPr>
  </w:style>
  <w:style w:type="table" w:styleId="Grigliatabellachiara">
    <w:name w:val="Grid Table Light"/>
    <w:basedOn w:val="Tabellanormale"/>
    <w:uiPriority w:val="40"/>
    <w:rsid w:val="00CD40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olo4Carattere">
    <w:name w:val="Titolo 4 Carattere"/>
    <w:basedOn w:val="Carpredefinitoparagrafo"/>
    <w:link w:val="Titolo4"/>
    <w:rsid w:val="004414B7"/>
    <w:rPr>
      <w:rFonts w:ascii="Tahoma" w:hAnsi="Tahoma"/>
      <w:b/>
      <w:i/>
      <w:color w:val="000000"/>
      <w:szCs w:val="22"/>
      <w:u w:val="single"/>
      <w:lang w:eastAsia="en-US"/>
    </w:rPr>
  </w:style>
  <w:style w:type="paragraph" w:styleId="Didascalia">
    <w:name w:val="caption"/>
    <w:basedOn w:val="Normale"/>
    <w:next w:val="Normale"/>
    <w:uiPriority w:val="35"/>
    <w:semiHidden/>
    <w:unhideWhenUsed/>
    <w:qFormat/>
    <w:rsid w:val="00765CBE"/>
    <w:pPr>
      <w:widowControl w:val="0"/>
      <w:autoSpaceDE w:val="0"/>
      <w:autoSpaceDN w:val="0"/>
      <w:spacing w:line="240" w:lineRule="auto"/>
    </w:pPr>
    <w:rPr>
      <w:rFonts w:ascii="Times New Roman" w:eastAsia="Times New Roman" w:hAnsi="Times New Roman"/>
      <w:i/>
      <w:iCs/>
      <w:color w:val="1F497D" w:themeColor="text2"/>
      <w:sz w:val="18"/>
      <w:szCs w:val="18"/>
      <w:lang w:eastAsia="it-IT" w:bidi="it-IT"/>
    </w:rPr>
  </w:style>
  <w:style w:type="character" w:customStyle="1" w:styleId="Titolo5Carattere">
    <w:name w:val="Titolo 5 Carattere"/>
    <w:basedOn w:val="Carpredefinitoparagrafo"/>
    <w:link w:val="Titolo5"/>
    <w:rsid w:val="004414B7"/>
    <w:rPr>
      <w:rFonts w:ascii="Tahoma" w:hAnsi="Tahoma"/>
      <w:i/>
      <w:color w:val="000000"/>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0404">
      <w:bodyDiv w:val="1"/>
      <w:marLeft w:val="0"/>
      <w:marRight w:val="0"/>
      <w:marTop w:val="0"/>
      <w:marBottom w:val="0"/>
      <w:divBdr>
        <w:top w:val="none" w:sz="0" w:space="0" w:color="auto"/>
        <w:left w:val="none" w:sz="0" w:space="0" w:color="auto"/>
        <w:bottom w:val="none" w:sz="0" w:space="0" w:color="auto"/>
        <w:right w:val="none" w:sz="0" w:space="0" w:color="auto"/>
      </w:divBdr>
    </w:div>
    <w:div w:id="67969093">
      <w:bodyDiv w:val="1"/>
      <w:marLeft w:val="0"/>
      <w:marRight w:val="0"/>
      <w:marTop w:val="0"/>
      <w:marBottom w:val="0"/>
      <w:divBdr>
        <w:top w:val="none" w:sz="0" w:space="0" w:color="auto"/>
        <w:left w:val="none" w:sz="0" w:space="0" w:color="auto"/>
        <w:bottom w:val="none" w:sz="0" w:space="0" w:color="auto"/>
        <w:right w:val="none" w:sz="0" w:space="0" w:color="auto"/>
      </w:divBdr>
    </w:div>
    <w:div w:id="78411898">
      <w:bodyDiv w:val="1"/>
      <w:marLeft w:val="0"/>
      <w:marRight w:val="0"/>
      <w:marTop w:val="0"/>
      <w:marBottom w:val="0"/>
      <w:divBdr>
        <w:top w:val="none" w:sz="0" w:space="0" w:color="auto"/>
        <w:left w:val="none" w:sz="0" w:space="0" w:color="auto"/>
        <w:bottom w:val="none" w:sz="0" w:space="0" w:color="auto"/>
        <w:right w:val="none" w:sz="0" w:space="0" w:color="auto"/>
      </w:divBdr>
    </w:div>
    <w:div w:id="96605139">
      <w:bodyDiv w:val="1"/>
      <w:marLeft w:val="0"/>
      <w:marRight w:val="0"/>
      <w:marTop w:val="0"/>
      <w:marBottom w:val="0"/>
      <w:divBdr>
        <w:top w:val="none" w:sz="0" w:space="0" w:color="auto"/>
        <w:left w:val="none" w:sz="0" w:space="0" w:color="auto"/>
        <w:bottom w:val="none" w:sz="0" w:space="0" w:color="auto"/>
        <w:right w:val="none" w:sz="0" w:space="0" w:color="auto"/>
      </w:divBdr>
    </w:div>
    <w:div w:id="105807208">
      <w:bodyDiv w:val="1"/>
      <w:marLeft w:val="0"/>
      <w:marRight w:val="0"/>
      <w:marTop w:val="0"/>
      <w:marBottom w:val="0"/>
      <w:divBdr>
        <w:top w:val="none" w:sz="0" w:space="0" w:color="auto"/>
        <w:left w:val="none" w:sz="0" w:space="0" w:color="auto"/>
        <w:bottom w:val="none" w:sz="0" w:space="0" w:color="auto"/>
        <w:right w:val="none" w:sz="0" w:space="0" w:color="auto"/>
      </w:divBdr>
    </w:div>
    <w:div w:id="133109891">
      <w:bodyDiv w:val="1"/>
      <w:marLeft w:val="0"/>
      <w:marRight w:val="0"/>
      <w:marTop w:val="0"/>
      <w:marBottom w:val="0"/>
      <w:divBdr>
        <w:top w:val="none" w:sz="0" w:space="0" w:color="auto"/>
        <w:left w:val="none" w:sz="0" w:space="0" w:color="auto"/>
        <w:bottom w:val="none" w:sz="0" w:space="0" w:color="auto"/>
        <w:right w:val="none" w:sz="0" w:space="0" w:color="auto"/>
      </w:divBdr>
    </w:div>
    <w:div w:id="334263448">
      <w:bodyDiv w:val="1"/>
      <w:marLeft w:val="0"/>
      <w:marRight w:val="0"/>
      <w:marTop w:val="0"/>
      <w:marBottom w:val="0"/>
      <w:divBdr>
        <w:top w:val="none" w:sz="0" w:space="0" w:color="auto"/>
        <w:left w:val="none" w:sz="0" w:space="0" w:color="auto"/>
        <w:bottom w:val="none" w:sz="0" w:space="0" w:color="auto"/>
        <w:right w:val="none" w:sz="0" w:space="0" w:color="auto"/>
      </w:divBdr>
    </w:div>
    <w:div w:id="533155088">
      <w:bodyDiv w:val="1"/>
      <w:marLeft w:val="0"/>
      <w:marRight w:val="0"/>
      <w:marTop w:val="0"/>
      <w:marBottom w:val="0"/>
      <w:divBdr>
        <w:top w:val="none" w:sz="0" w:space="0" w:color="auto"/>
        <w:left w:val="none" w:sz="0" w:space="0" w:color="auto"/>
        <w:bottom w:val="none" w:sz="0" w:space="0" w:color="auto"/>
        <w:right w:val="none" w:sz="0" w:space="0" w:color="auto"/>
      </w:divBdr>
    </w:div>
    <w:div w:id="556093713">
      <w:bodyDiv w:val="1"/>
      <w:marLeft w:val="0"/>
      <w:marRight w:val="0"/>
      <w:marTop w:val="0"/>
      <w:marBottom w:val="0"/>
      <w:divBdr>
        <w:top w:val="none" w:sz="0" w:space="0" w:color="auto"/>
        <w:left w:val="none" w:sz="0" w:space="0" w:color="auto"/>
        <w:bottom w:val="none" w:sz="0" w:space="0" w:color="auto"/>
        <w:right w:val="none" w:sz="0" w:space="0" w:color="auto"/>
      </w:divBdr>
      <w:divsChild>
        <w:div w:id="1897431026">
          <w:marLeft w:val="547"/>
          <w:marRight w:val="0"/>
          <w:marTop w:val="0"/>
          <w:marBottom w:val="0"/>
          <w:divBdr>
            <w:top w:val="none" w:sz="0" w:space="0" w:color="auto"/>
            <w:left w:val="none" w:sz="0" w:space="0" w:color="auto"/>
            <w:bottom w:val="none" w:sz="0" w:space="0" w:color="auto"/>
            <w:right w:val="none" w:sz="0" w:space="0" w:color="auto"/>
          </w:divBdr>
        </w:div>
      </w:divsChild>
    </w:div>
    <w:div w:id="688920528">
      <w:bodyDiv w:val="1"/>
      <w:marLeft w:val="0"/>
      <w:marRight w:val="0"/>
      <w:marTop w:val="0"/>
      <w:marBottom w:val="0"/>
      <w:divBdr>
        <w:top w:val="none" w:sz="0" w:space="0" w:color="auto"/>
        <w:left w:val="none" w:sz="0" w:space="0" w:color="auto"/>
        <w:bottom w:val="none" w:sz="0" w:space="0" w:color="auto"/>
        <w:right w:val="none" w:sz="0" w:space="0" w:color="auto"/>
      </w:divBdr>
    </w:div>
    <w:div w:id="697658225">
      <w:bodyDiv w:val="1"/>
      <w:marLeft w:val="0"/>
      <w:marRight w:val="0"/>
      <w:marTop w:val="0"/>
      <w:marBottom w:val="0"/>
      <w:divBdr>
        <w:top w:val="none" w:sz="0" w:space="0" w:color="auto"/>
        <w:left w:val="none" w:sz="0" w:space="0" w:color="auto"/>
        <w:bottom w:val="none" w:sz="0" w:space="0" w:color="auto"/>
        <w:right w:val="none" w:sz="0" w:space="0" w:color="auto"/>
      </w:divBdr>
    </w:div>
    <w:div w:id="756051723">
      <w:bodyDiv w:val="1"/>
      <w:marLeft w:val="0"/>
      <w:marRight w:val="0"/>
      <w:marTop w:val="0"/>
      <w:marBottom w:val="0"/>
      <w:divBdr>
        <w:top w:val="none" w:sz="0" w:space="0" w:color="auto"/>
        <w:left w:val="none" w:sz="0" w:space="0" w:color="auto"/>
        <w:bottom w:val="none" w:sz="0" w:space="0" w:color="auto"/>
        <w:right w:val="none" w:sz="0" w:space="0" w:color="auto"/>
      </w:divBdr>
      <w:divsChild>
        <w:div w:id="1924103126">
          <w:marLeft w:val="720"/>
          <w:marRight w:val="0"/>
          <w:marTop w:val="0"/>
          <w:marBottom w:val="0"/>
          <w:divBdr>
            <w:top w:val="none" w:sz="0" w:space="0" w:color="auto"/>
            <w:left w:val="none" w:sz="0" w:space="0" w:color="auto"/>
            <w:bottom w:val="none" w:sz="0" w:space="0" w:color="auto"/>
            <w:right w:val="none" w:sz="0" w:space="0" w:color="auto"/>
          </w:divBdr>
        </w:div>
        <w:div w:id="670328633">
          <w:marLeft w:val="806"/>
          <w:marRight w:val="0"/>
          <w:marTop w:val="0"/>
          <w:marBottom w:val="0"/>
          <w:divBdr>
            <w:top w:val="none" w:sz="0" w:space="0" w:color="auto"/>
            <w:left w:val="none" w:sz="0" w:space="0" w:color="auto"/>
            <w:bottom w:val="none" w:sz="0" w:space="0" w:color="auto"/>
            <w:right w:val="none" w:sz="0" w:space="0" w:color="auto"/>
          </w:divBdr>
        </w:div>
      </w:divsChild>
    </w:div>
    <w:div w:id="830220307">
      <w:bodyDiv w:val="1"/>
      <w:marLeft w:val="0"/>
      <w:marRight w:val="0"/>
      <w:marTop w:val="0"/>
      <w:marBottom w:val="0"/>
      <w:divBdr>
        <w:top w:val="none" w:sz="0" w:space="0" w:color="auto"/>
        <w:left w:val="none" w:sz="0" w:space="0" w:color="auto"/>
        <w:bottom w:val="none" w:sz="0" w:space="0" w:color="auto"/>
        <w:right w:val="none" w:sz="0" w:space="0" w:color="auto"/>
      </w:divBdr>
    </w:div>
    <w:div w:id="929044132">
      <w:bodyDiv w:val="1"/>
      <w:marLeft w:val="0"/>
      <w:marRight w:val="0"/>
      <w:marTop w:val="0"/>
      <w:marBottom w:val="0"/>
      <w:divBdr>
        <w:top w:val="none" w:sz="0" w:space="0" w:color="auto"/>
        <w:left w:val="none" w:sz="0" w:space="0" w:color="auto"/>
        <w:bottom w:val="none" w:sz="0" w:space="0" w:color="auto"/>
        <w:right w:val="none" w:sz="0" w:space="0" w:color="auto"/>
      </w:divBdr>
    </w:div>
    <w:div w:id="978270704">
      <w:bodyDiv w:val="1"/>
      <w:marLeft w:val="0"/>
      <w:marRight w:val="0"/>
      <w:marTop w:val="0"/>
      <w:marBottom w:val="0"/>
      <w:divBdr>
        <w:top w:val="none" w:sz="0" w:space="0" w:color="auto"/>
        <w:left w:val="none" w:sz="0" w:space="0" w:color="auto"/>
        <w:bottom w:val="none" w:sz="0" w:space="0" w:color="auto"/>
        <w:right w:val="none" w:sz="0" w:space="0" w:color="auto"/>
      </w:divBdr>
    </w:div>
    <w:div w:id="1103456726">
      <w:bodyDiv w:val="1"/>
      <w:marLeft w:val="0"/>
      <w:marRight w:val="0"/>
      <w:marTop w:val="0"/>
      <w:marBottom w:val="0"/>
      <w:divBdr>
        <w:top w:val="none" w:sz="0" w:space="0" w:color="auto"/>
        <w:left w:val="none" w:sz="0" w:space="0" w:color="auto"/>
        <w:bottom w:val="none" w:sz="0" w:space="0" w:color="auto"/>
        <w:right w:val="none" w:sz="0" w:space="0" w:color="auto"/>
      </w:divBdr>
    </w:div>
    <w:div w:id="1126391997">
      <w:bodyDiv w:val="1"/>
      <w:marLeft w:val="0"/>
      <w:marRight w:val="0"/>
      <w:marTop w:val="0"/>
      <w:marBottom w:val="0"/>
      <w:divBdr>
        <w:top w:val="none" w:sz="0" w:space="0" w:color="auto"/>
        <w:left w:val="none" w:sz="0" w:space="0" w:color="auto"/>
        <w:bottom w:val="none" w:sz="0" w:space="0" w:color="auto"/>
        <w:right w:val="none" w:sz="0" w:space="0" w:color="auto"/>
      </w:divBdr>
    </w:div>
    <w:div w:id="1152330439">
      <w:bodyDiv w:val="1"/>
      <w:marLeft w:val="0"/>
      <w:marRight w:val="0"/>
      <w:marTop w:val="0"/>
      <w:marBottom w:val="0"/>
      <w:divBdr>
        <w:top w:val="none" w:sz="0" w:space="0" w:color="auto"/>
        <w:left w:val="none" w:sz="0" w:space="0" w:color="auto"/>
        <w:bottom w:val="none" w:sz="0" w:space="0" w:color="auto"/>
        <w:right w:val="none" w:sz="0" w:space="0" w:color="auto"/>
      </w:divBdr>
    </w:div>
    <w:div w:id="1272905893">
      <w:bodyDiv w:val="1"/>
      <w:marLeft w:val="0"/>
      <w:marRight w:val="0"/>
      <w:marTop w:val="0"/>
      <w:marBottom w:val="0"/>
      <w:divBdr>
        <w:top w:val="none" w:sz="0" w:space="0" w:color="auto"/>
        <w:left w:val="none" w:sz="0" w:space="0" w:color="auto"/>
        <w:bottom w:val="none" w:sz="0" w:space="0" w:color="auto"/>
        <w:right w:val="none" w:sz="0" w:space="0" w:color="auto"/>
      </w:divBdr>
      <w:divsChild>
        <w:div w:id="692192608">
          <w:marLeft w:val="720"/>
          <w:marRight w:val="0"/>
          <w:marTop w:val="0"/>
          <w:marBottom w:val="0"/>
          <w:divBdr>
            <w:top w:val="none" w:sz="0" w:space="0" w:color="auto"/>
            <w:left w:val="none" w:sz="0" w:space="0" w:color="auto"/>
            <w:bottom w:val="none" w:sz="0" w:space="0" w:color="auto"/>
            <w:right w:val="none" w:sz="0" w:space="0" w:color="auto"/>
          </w:divBdr>
        </w:div>
      </w:divsChild>
    </w:div>
    <w:div w:id="1275013049">
      <w:bodyDiv w:val="1"/>
      <w:marLeft w:val="0"/>
      <w:marRight w:val="0"/>
      <w:marTop w:val="0"/>
      <w:marBottom w:val="0"/>
      <w:divBdr>
        <w:top w:val="none" w:sz="0" w:space="0" w:color="auto"/>
        <w:left w:val="none" w:sz="0" w:space="0" w:color="auto"/>
        <w:bottom w:val="none" w:sz="0" w:space="0" w:color="auto"/>
        <w:right w:val="none" w:sz="0" w:space="0" w:color="auto"/>
      </w:divBdr>
    </w:div>
    <w:div w:id="1325206175">
      <w:bodyDiv w:val="1"/>
      <w:marLeft w:val="0"/>
      <w:marRight w:val="0"/>
      <w:marTop w:val="0"/>
      <w:marBottom w:val="0"/>
      <w:divBdr>
        <w:top w:val="none" w:sz="0" w:space="0" w:color="auto"/>
        <w:left w:val="none" w:sz="0" w:space="0" w:color="auto"/>
        <w:bottom w:val="none" w:sz="0" w:space="0" w:color="auto"/>
        <w:right w:val="none" w:sz="0" w:space="0" w:color="auto"/>
      </w:divBdr>
    </w:div>
    <w:div w:id="1341155217">
      <w:bodyDiv w:val="1"/>
      <w:marLeft w:val="0"/>
      <w:marRight w:val="0"/>
      <w:marTop w:val="0"/>
      <w:marBottom w:val="0"/>
      <w:divBdr>
        <w:top w:val="none" w:sz="0" w:space="0" w:color="auto"/>
        <w:left w:val="none" w:sz="0" w:space="0" w:color="auto"/>
        <w:bottom w:val="none" w:sz="0" w:space="0" w:color="auto"/>
        <w:right w:val="none" w:sz="0" w:space="0" w:color="auto"/>
      </w:divBdr>
    </w:div>
    <w:div w:id="1372413966">
      <w:bodyDiv w:val="1"/>
      <w:marLeft w:val="0"/>
      <w:marRight w:val="0"/>
      <w:marTop w:val="0"/>
      <w:marBottom w:val="0"/>
      <w:divBdr>
        <w:top w:val="none" w:sz="0" w:space="0" w:color="auto"/>
        <w:left w:val="none" w:sz="0" w:space="0" w:color="auto"/>
        <w:bottom w:val="none" w:sz="0" w:space="0" w:color="auto"/>
        <w:right w:val="none" w:sz="0" w:space="0" w:color="auto"/>
      </w:divBdr>
    </w:div>
    <w:div w:id="1453327176">
      <w:bodyDiv w:val="1"/>
      <w:marLeft w:val="0"/>
      <w:marRight w:val="0"/>
      <w:marTop w:val="0"/>
      <w:marBottom w:val="0"/>
      <w:divBdr>
        <w:top w:val="none" w:sz="0" w:space="0" w:color="auto"/>
        <w:left w:val="none" w:sz="0" w:space="0" w:color="auto"/>
        <w:bottom w:val="none" w:sz="0" w:space="0" w:color="auto"/>
        <w:right w:val="none" w:sz="0" w:space="0" w:color="auto"/>
      </w:divBdr>
    </w:div>
    <w:div w:id="1485052858">
      <w:bodyDiv w:val="1"/>
      <w:marLeft w:val="0"/>
      <w:marRight w:val="0"/>
      <w:marTop w:val="0"/>
      <w:marBottom w:val="0"/>
      <w:divBdr>
        <w:top w:val="none" w:sz="0" w:space="0" w:color="auto"/>
        <w:left w:val="none" w:sz="0" w:space="0" w:color="auto"/>
        <w:bottom w:val="none" w:sz="0" w:space="0" w:color="auto"/>
        <w:right w:val="none" w:sz="0" w:space="0" w:color="auto"/>
      </w:divBdr>
    </w:div>
    <w:div w:id="1499350757">
      <w:bodyDiv w:val="1"/>
      <w:marLeft w:val="0"/>
      <w:marRight w:val="0"/>
      <w:marTop w:val="0"/>
      <w:marBottom w:val="0"/>
      <w:divBdr>
        <w:top w:val="none" w:sz="0" w:space="0" w:color="auto"/>
        <w:left w:val="none" w:sz="0" w:space="0" w:color="auto"/>
        <w:bottom w:val="none" w:sz="0" w:space="0" w:color="auto"/>
        <w:right w:val="none" w:sz="0" w:space="0" w:color="auto"/>
      </w:divBdr>
    </w:div>
    <w:div w:id="1575359101">
      <w:bodyDiv w:val="1"/>
      <w:marLeft w:val="0"/>
      <w:marRight w:val="0"/>
      <w:marTop w:val="0"/>
      <w:marBottom w:val="0"/>
      <w:divBdr>
        <w:top w:val="none" w:sz="0" w:space="0" w:color="auto"/>
        <w:left w:val="none" w:sz="0" w:space="0" w:color="auto"/>
        <w:bottom w:val="none" w:sz="0" w:space="0" w:color="auto"/>
        <w:right w:val="none" w:sz="0" w:space="0" w:color="auto"/>
      </w:divBdr>
    </w:div>
    <w:div w:id="1595552483">
      <w:bodyDiv w:val="1"/>
      <w:marLeft w:val="0"/>
      <w:marRight w:val="0"/>
      <w:marTop w:val="0"/>
      <w:marBottom w:val="0"/>
      <w:divBdr>
        <w:top w:val="none" w:sz="0" w:space="0" w:color="auto"/>
        <w:left w:val="none" w:sz="0" w:space="0" w:color="auto"/>
        <w:bottom w:val="none" w:sz="0" w:space="0" w:color="auto"/>
        <w:right w:val="none" w:sz="0" w:space="0" w:color="auto"/>
      </w:divBdr>
    </w:div>
    <w:div w:id="1632594172">
      <w:bodyDiv w:val="1"/>
      <w:marLeft w:val="0"/>
      <w:marRight w:val="0"/>
      <w:marTop w:val="0"/>
      <w:marBottom w:val="0"/>
      <w:divBdr>
        <w:top w:val="none" w:sz="0" w:space="0" w:color="auto"/>
        <w:left w:val="none" w:sz="0" w:space="0" w:color="auto"/>
        <w:bottom w:val="none" w:sz="0" w:space="0" w:color="auto"/>
        <w:right w:val="none" w:sz="0" w:space="0" w:color="auto"/>
      </w:divBdr>
    </w:div>
    <w:div w:id="1674531059">
      <w:bodyDiv w:val="1"/>
      <w:marLeft w:val="0"/>
      <w:marRight w:val="0"/>
      <w:marTop w:val="0"/>
      <w:marBottom w:val="0"/>
      <w:divBdr>
        <w:top w:val="none" w:sz="0" w:space="0" w:color="auto"/>
        <w:left w:val="none" w:sz="0" w:space="0" w:color="auto"/>
        <w:bottom w:val="none" w:sz="0" w:space="0" w:color="auto"/>
        <w:right w:val="none" w:sz="0" w:space="0" w:color="auto"/>
      </w:divBdr>
    </w:div>
    <w:div w:id="1684168428">
      <w:bodyDiv w:val="1"/>
      <w:marLeft w:val="0"/>
      <w:marRight w:val="0"/>
      <w:marTop w:val="0"/>
      <w:marBottom w:val="0"/>
      <w:divBdr>
        <w:top w:val="none" w:sz="0" w:space="0" w:color="auto"/>
        <w:left w:val="none" w:sz="0" w:space="0" w:color="auto"/>
        <w:bottom w:val="none" w:sz="0" w:space="0" w:color="auto"/>
        <w:right w:val="none" w:sz="0" w:space="0" w:color="auto"/>
      </w:divBdr>
    </w:div>
    <w:div w:id="1769160678">
      <w:bodyDiv w:val="1"/>
      <w:marLeft w:val="0"/>
      <w:marRight w:val="0"/>
      <w:marTop w:val="0"/>
      <w:marBottom w:val="0"/>
      <w:divBdr>
        <w:top w:val="none" w:sz="0" w:space="0" w:color="auto"/>
        <w:left w:val="none" w:sz="0" w:space="0" w:color="auto"/>
        <w:bottom w:val="none" w:sz="0" w:space="0" w:color="auto"/>
        <w:right w:val="none" w:sz="0" w:space="0" w:color="auto"/>
      </w:divBdr>
    </w:div>
    <w:div w:id="1778598168">
      <w:marLeft w:val="0"/>
      <w:marRight w:val="0"/>
      <w:marTop w:val="0"/>
      <w:marBottom w:val="0"/>
      <w:divBdr>
        <w:top w:val="none" w:sz="0" w:space="0" w:color="auto"/>
        <w:left w:val="none" w:sz="0" w:space="0" w:color="auto"/>
        <w:bottom w:val="none" w:sz="0" w:space="0" w:color="auto"/>
        <w:right w:val="none" w:sz="0" w:space="0" w:color="auto"/>
      </w:divBdr>
    </w:div>
    <w:div w:id="1778598169">
      <w:marLeft w:val="0"/>
      <w:marRight w:val="0"/>
      <w:marTop w:val="0"/>
      <w:marBottom w:val="0"/>
      <w:divBdr>
        <w:top w:val="none" w:sz="0" w:space="0" w:color="auto"/>
        <w:left w:val="none" w:sz="0" w:space="0" w:color="auto"/>
        <w:bottom w:val="none" w:sz="0" w:space="0" w:color="auto"/>
        <w:right w:val="none" w:sz="0" w:space="0" w:color="auto"/>
      </w:divBdr>
    </w:div>
    <w:div w:id="1778598170">
      <w:marLeft w:val="0"/>
      <w:marRight w:val="0"/>
      <w:marTop w:val="0"/>
      <w:marBottom w:val="0"/>
      <w:divBdr>
        <w:top w:val="none" w:sz="0" w:space="0" w:color="auto"/>
        <w:left w:val="none" w:sz="0" w:space="0" w:color="auto"/>
        <w:bottom w:val="none" w:sz="0" w:space="0" w:color="auto"/>
        <w:right w:val="none" w:sz="0" w:space="0" w:color="auto"/>
      </w:divBdr>
    </w:div>
    <w:div w:id="1778598171">
      <w:marLeft w:val="0"/>
      <w:marRight w:val="0"/>
      <w:marTop w:val="0"/>
      <w:marBottom w:val="0"/>
      <w:divBdr>
        <w:top w:val="none" w:sz="0" w:space="0" w:color="auto"/>
        <w:left w:val="none" w:sz="0" w:space="0" w:color="auto"/>
        <w:bottom w:val="none" w:sz="0" w:space="0" w:color="auto"/>
        <w:right w:val="none" w:sz="0" w:space="0" w:color="auto"/>
      </w:divBdr>
    </w:div>
    <w:div w:id="1778598172">
      <w:marLeft w:val="0"/>
      <w:marRight w:val="0"/>
      <w:marTop w:val="0"/>
      <w:marBottom w:val="0"/>
      <w:divBdr>
        <w:top w:val="none" w:sz="0" w:space="0" w:color="auto"/>
        <w:left w:val="none" w:sz="0" w:space="0" w:color="auto"/>
        <w:bottom w:val="none" w:sz="0" w:space="0" w:color="auto"/>
        <w:right w:val="none" w:sz="0" w:space="0" w:color="auto"/>
      </w:divBdr>
    </w:div>
    <w:div w:id="1846702542">
      <w:bodyDiv w:val="1"/>
      <w:marLeft w:val="0"/>
      <w:marRight w:val="0"/>
      <w:marTop w:val="0"/>
      <w:marBottom w:val="0"/>
      <w:divBdr>
        <w:top w:val="none" w:sz="0" w:space="0" w:color="auto"/>
        <w:left w:val="none" w:sz="0" w:space="0" w:color="auto"/>
        <w:bottom w:val="none" w:sz="0" w:space="0" w:color="auto"/>
        <w:right w:val="none" w:sz="0" w:space="0" w:color="auto"/>
      </w:divBdr>
    </w:div>
    <w:div w:id="1848862650">
      <w:bodyDiv w:val="1"/>
      <w:marLeft w:val="0"/>
      <w:marRight w:val="0"/>
      <w:marTop w:val="0"/>
      <w:marBottom w:val="0"/>
      <w:divBdr>
        <w:top w:val="none" w:sz="0" w:space="0" w:color="auto"/>
        <w:left w:val="none" w:sz="0" w:space="0" w:color="auto"/>
        <w:bottom w:val="none" w:sz="0" w:space="0" w:color="auto"/>
        <w:right w:val="none" w:sz="0" w:space="0" w:color="auto"/>
      </w:divBdr>
    </w:div>
    <w:div w:id="1881240252">
      <w:bodyDiv w:val="1"/>
      <w:marLeft w:val="0"/>
      <w:marRight w:val="0"/>
      <w:marTop w:val="0"/>
      <w:marBottom w:val="0"/>
      <w:divBdr>
        <w:top w:val="none" w:sz="0" w:space="0" w:color="auto"/>
        <w:left w:val="none" w:sz="0" w:space="0" w:color="auto"/>
        <w:bottom w:val="none" w:sz="0" w:space="0" w:color="auto"/>
        <w:right w:val="none" w:sz="0" w:space="0" w:color="auto"/>
      </w:divBdr>
    </w:div>
    <w:div w:id="1916473084">
      <w:bodyDiv w:val="1"/>
      <w:marLeft w:val="0"/>
      <w:marRight w:val="0"/>
      <w:marTop w:val="0"/>
      <w:marBottom w:val="0"/>
      <w:divBdr>
        <w:top w:val="none" w:sz="0" w:space="0" w:color="auto"/>
        <w:left w:val="none" w:sz="0" w:space="0" w:color="auto"/>
        <w:bottom w:val="none" w:sz="0" w:space="0" w:color="auto"/>
        <w:right w:val="none" w:sz="0" w:space="0" w:color="auto"/>
      </w:divBdr>
    </w:div>
    <w:div w:id="1937057504">
      <w:bodyDiv w:val="1"/>
      <w:marLeft w:val="0"/>
      <w:marRight w:val="0"/>
      <w:marTop w:val="0"/>
      <w:marBottom w:val="0"/>
      <w:divBdr>
        <w:top w:val="none" w:sz="0" w:space="0" w:color="auto"/>
        <w:left w:val="none" w:sz="0" w:space="0" w:color="auto"/>
        <w:bottom w:val="none" w:sz="0" w:space="0" w:color="auto"/>
        <w:right w:val="none" w:sz="0" w:space="0" w:color="auto"/>
      </w:divBdr>
    </w:div>
    <w:div w:id="2028628271">
      <w:bodyDiv w:val="1"/>
      <w:marLeft w:val="0"/>
      <w:marRight w:val="0"/>
      <w:marTop w:val="0"/>
      <w:marBottom w:val="0"/>
      <w:divBdr>
        <w:top w:val="none" w:sz="0" w:space="0" w:color="auto"/>
        <w:left w:val="none" w:sz="0" w:space="0" w:color="auto"/>
        <w:bottom w:val="none" w:sz="0" w:space="0" w:color="auto"/>
        <w:right w:val="none" w:sz="0" w:space="0" w:color="auto"/>
      </w:divBdr>
      <w:divsChild>
        <w:div w:id="1149593136">
          <w:marLeft w:val="720"/>
          <w:marRight w:val="0"/>
          <w:marTop w:val="0"/>
          <w:marBottom w:val="0"/>
          <w:divBdr>
            <w:top w:val="none" w:sz="0" w:space="0" w:color="auto"/>
            <w:left w:val="none" w:sz="0" w:space="0" w:color="auto"/>
            <w:bottom w:val="none" w:sz="0" w:space="0" w:color="auto"/>
            <w:right w:val="none" w:sz="0" w:space="0" w:color="auto"/>
          </w:divBdr>
        </w:div>
      </w:divsChild>
    </w:div>
    <w:div w:id="2063209564">
      <w:bodyDiv w:val="1"/>
      <w:marLeft w:val="0"/>
      <w:marRight w:val="0"/>
      <w:marTop w:val="0"/>
      <w:marBottom w:val="0"/>
      <w:divBdr>
        <w:top w:val="none" w:sz="0" w:space="0" w:color="auto"/>
        <w:left w:val="none" w:sz="0" w:space="0" w:color="auto"/>
        <w:bottom w:val="none" w:sz="0" w:space="0" w:color="auto"/>
        <w:right w:val="none" w:sz="0" w:space="0" w:color="auto"/>
      </w:divBdr>
    </w:div>
    <w:div w:id="2105370567">
      <w:bodyDiv w:val="1"/>
      <w:marLeft w:val="0"/>
      <w:marRight w:val="0"/>
      <w:marTop w:val="0"/>
      <w:marBottom w:val="0"/>
      <w:divBdr>
        <w:top w:val="none" w:sz="0" w:space="0" w:color="auto"/>
        <w:left w:val="none" w:sz="0" w:space="0" w:color="auto"/>
        <w:bottom w:val="none" w:sz="0" w:space="0" w:color="auto"/>
        <w:right w:val="none" w:sz="0" w:space="0" w:color="auto"/>
      </w:divBdr>
    </w:div>
    <w:div w:id="213001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svg"/><Relationship Id="rId34" Type="http://schemas.openxmlformats.org/officeDocument/2006/relationships/image" Target="media/image17.tmp"/><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fiscoetasse.com" TargetMode="External"/><Relationship Id="rId25" Type="http://schemas.openxmlformats.org/officeDocument/2006/relationships/image" Target="media/image10.svg"/><Relationship Id="rId33" Type="http://schemas.openxmlformats.org/officeDocument/2006/relationships/image" Target="media/image16.tmp"/><Relationship Id="rId38" Type="http://schemas.openxmlformats.org/officeDocument/2006/relationships/image" Target="media/image20.tmp"/><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hyperlink" Target="https://www.mise.gov.it/images/stories/documenti/allegati/industria40/Allegato_3.pdf"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svg"/><Relationship Id="rId28" Type="http://schemas.openxmlformats.org/officeDocument/2006/relationships/image" Target="media/image13.svg"/><Relationship Id="rId36" Type="http://schemas.openxmlformats.org/officeDocument/2006/relationships/image" Target="media/image19.tmp"/><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mise.gov.it/images/stories/normativa/incentivi/credito/DD_Modello_comunicazione_credito_dimposta_beni_strumentali_4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hyperlink" Target="mailto:benistrumentali4.0@pec.mise.gov.it" TargetMode="External"/><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325B368CDC0149BBEBD84C8860F3C2" ma:contentTypeVersion="12" ma:contentTypeDescription="Create a new document." ma:contentTypeScope="" ma:versionID="a077251a6b3cd6cf27a23c137e7823d0">
  <xsd:schema xmlns:xsd="http://www.w3.org/2001/XMLSchema" xmlns:xs="http://www.w3.org/2001/XMLSchema" xmlns:p="http://schemas.microsoft.com/office/2006/metadata/properties" xmlns:ns3="54d5fedd-2b88-4cb3-a1c5-168f61f8526e" xmlns:ns4="0b8e50b9-051a-4b82-a6ab-452f956812ab" targetNamespace="http://schemas.microsoft.com/office/2006/metadata/properties" ma:root="true" ma:fieldsID="891a425ff07006a8eb1f1ea4aed55bc4" ns3:_="" ns4:_="">
    <xsd:import namespace="54d5fedd-2b88-4cb3-a1c5-168f61f8526e"/>
    <xsd:import namespace="0b8e50b9-051a-4b82-a6ab-452f956812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5fedd-2b88-4cb3-a1c5-168f61f85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8e50b9-051a-4b82-a6ab-452f956812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3DCE9C-90F8-4CCE-9365-A41E61F847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68A832-9336-4E1E-8BA5-7D719E6C9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5fedd-2b88-4cb3-a1c5-168f61f8526e"/>
    <ds:schemaRef ds:uri="0b8e50b9-051a-4b82-a6ab-452f95681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505837-0F4A-47E8-A843-DF07B479E2B0}">
  <ds:schemaRefs>
    <ds:schemaRef ds:uri="http://schemas.openxmlformats.org/officeDocument/2006/bibliography"/>
  </ds:schemaRefs>
</ds:datastoreItem>
</file>

<file path=customXml/itemProps4.xml><?xml version="1.0" encoding="utf-8"?>
<ds:datastoreItem xmlns:ds="http://schemas.openxmlformats.org/officeDocument/2006/customXml" ds:itemID="{83B84A71-4456-4298-9D6E-9E715A3F7B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100</Pages>
  <Words>31577</Words>
  <Characters>179989</Characters>
  <Application>Microsoft Office Word</Application>
  <DocSecurity>0</DocSecurity>
  <Lines>1499</Lines>
  <Paragraphs>422</Paragraphs>
  <ScaleCrop>false</ScaleCrop>
  <HeadingPairs>
    <vt:vector size="2" baseType="variant">
      <vt:variant>
        <vt:lpstr>Titolo</vt:lpstr>
      </vt:variant>
      <vt:variant>
        <vt:i4>1</vt:i4>
      </vt:variant>
    </vt:vector>
  </HeadingPairs>
  <TitlesOfParts>
    <vt:vector size="1" baseType="lpstr">
      <vt:lpstr>Credito beni instrumentali</vt:lpstr>
    </vt:vector>
  </TitlesOfParts>
  <Company/>
  <LinksUpToDate>false</LinksUpToDate>
  <CharactersWithSpaces>211144</CharactersWithSpaces>
  <SharedDoc>false</SharedDoc>
  <HLinks>
    <vt:vector size="234" baseType="variant">
      <vt:variant>
        <vt:i4>1703993</vt:i4>
      </vt:variant>
      <vt:variant>
        <vt:i4>221</vt:i4>
      </vt:variant>
      <vt:variant>
        <vt:i4>0</vt:i4>
      </vt:variant>
      <vt:variant>
        <vt:i4>5</vt:i4>
      </vt:variant>
      <vt:variant>
        <vt:lpwstr/>
      </vt:variant>
      <vt:variant>
        <vt:lpwstr>_Toc38900336</vt:lpwstr>
      </vt:variant>
      <vt:variant>
        <vt:i4>1638457</vt:i4>
      </vt:variant>
      <vt:variant>
        <vt:i4>215</vt:i4>
      </vt:variant>
      <vt:variant>
        <vt:i4>0</vt:i4>
      </vt:variant>
      <vt:variant>
        <vt:i4>5</vt:i4>
      </vt:variant>
      <vt:variant>
        <vt:lpwstr/>
      </vt:variant>
      <vt:variant>
        <vt:lpwstr>_Toc38900335</vt:lpwstr>
      </vt:variant>
      <vt:variant>
        <vt:i4>1572921</vt:i4>
      </vt:variant>
      <vt:variant>
        <vt:i4>209</vt:i4>
      </vt:variant>
      <vt:variant>
        <vt:i4>0</vt:i4>
      </vt:variant>
      <vt:variant>
        <vt:i4>5</vt:i4>
      </vt:variant>
      <vt:variant>
        <vt:lpwstr/>
      </vt:variant>
      <vt:variant>
        <vt:lpwstr>_Toc38900334</vt:lpwstr>
      </vt:variant>
      <vt:variant>
        <vt:i4>2031673</vt:i4>
      </vt:variant>
      <vt:variant>
        <vt:i4>203</vt:i4>
      </vt:variant>
      <vt:variant>
        <vt:i4>0</vt:i4>
      </vt:variant>
      <vt:variant>
        <vt:i4>5</vt:i4>
      </vt:variant>
      <vt:variant>
        <vt:lpwstr/>
      </vt:variant>
      <vt:variant>
        <vt:lpwstr>_Toc38900333</vt:lpwstr>
      </vt:variant>
      <vt:variant>
        <vt:i4>1966137</vt:i4>
      </vt:variant>
      <vt:variant>
        <vt:i4>197</vt:i4>
      </vt:variant>
      <vt:variant>
        <vt:i4>0</vt:i4>
      </vt:variant>
      <vt:variant>
        <vt:i4>5</vt:i4>
      </vt:variant>
      <vt:variant>
        <vt:lpwstr/>
      </vt:variant>
      <vt:variant>
        <vt:lpwstr>_Toc38900332</vt:lpwstr>
      </vt:variant>
      <vt:variant>
        <vt:i4>1900601</vt:i4>
      </vt:variant>
      <vt:variant>
        <vt:i4>191</vt:i4>
      </vt:variant>
      <vt:variant>
        <vt:i4>0</vt:i4>
      </vt:variant>
      <vt:variant>
        <vt:i4>5</vt:i4>
      </vt:variant>
      <vt:variant>
        <vt:lpwstr/>
      </vt:variant>
      <vt:variant>
        <vt:lpwstr>_Toc38900331</vt:lpwstr>
      </vt:variant>
      <vt:variant>
        <vt:i4>1835065</vt:i4>
      </vt:variant>
      <vt:variant>
        <vt:i4>185</vt:i4>
      </vt:variant>
      <vt:variant>
        <vt:i4>0</vt:i4>
      </vt:variant>
      <vt:variant>
        <vt:i4>5</vt:i4>
      </vt:variant>
      <vt:variant>
        <vt:lpwstr/>
      </vt:variant>
      <vt:variant>
        <vt:lpwstr>_Toc38900330</vt:lpwstr>
      </vt:variant>
      <vt:variant>
        <vt:i4>1376312</vt:i4>
      </vt:variant>
      <vt:variant>
        <vt:i4>179</vt:i4>
      </vt:variant>
      <vt:variant>
        <vt:i4>0</vt:i4>
      </vt:variant>
      <vt:variant>
        <vt:i4>5</vt:i4>
      </vt:variant>
      <vt:variant>
        <vt:lpwstr/>
      </vt:variant>
      <vt:variant>
        <vt:lpwstr>_Toc38900329</vt:lpwstr>
      </vt:variant>
      <vt:variant>
        <vt:i4>1310776</vt:i4>
      </vt:variant>
      <vt:variant>
        <vt:i4>173</vt:i4>
      </vt:variant>
      <vt:variant>
        <vt:i4>0</vt:i4>
      </vt:variant>
      <vt:variant>
        <vt:i4>5</vt:i4>
      </vt:variant>
      <vt:variant>
        <vt:lpwstr/>
      </vt:variant>
      <vt:variant>
        <vt:lpwstr>_Toc38900328</vt:lpwstr>
      </vt:variant>
      <vt:variant>
        <vt:i4>1769528</vt:i4>
      </vt:variant>
      <vt:variant>
        <vt:i4>167</vt:i4>
      </vt:variant>
      <vt:variant>
        <vt:i4>0</vt:i4>
      </vt:variant>
      <vt:variant>
        <vt:i4>5</vt:i4>
      </vt:variant>
      <vt:variant>
        <vt:lpwstr/>
      </vt:variant>
      <vt:variant>
        <vt:lpwstr>_Toc38900327</vt:lpwstr>
      </vt:variant>
      <vt:variant>
        <vt:i4>1703992</vt:i4>
      </vt:variant>
      <vt:variant>
        <vt:i4>161</vt:i4>
      </vt:variant>
      <vt:variant>
        <vt:i4>0</vt:i4>
      </vt:variant>
      <vt:variant>
        <vt:i4>5</vt:i4>
      </vt:variant>
      <vt:variant>
        <vt:lpwstr/>
      </vt:variant>
      <vt:variant>
        <vt:lpwstr>_Toc38900326</vt:lpwstr>
      </vt:variant>
      <vt:variant>
        <vt:i4>1638456</vt:i4>
      </vt:variant>
      <vt:variant>
        <vt:i4>155</vt:i4>
      </vt:variant>
      <vt:variant>
        <vt:i4>0</vt:i4>
      </vt:variant>
      <vt:variant>
        <vt:i4>5</vt:i4>
      </vt:variant>
      <vt:variant>
        <vt:lpwstr/>
      </vt:variant>
      <vt:variant>
        <vt:lpwstr>_Toc38900325</vt:lpwstr>
      </vt:variant>
      <vt:variant>
        <vt:i4>1572920</vt:i4>
      </vt:variant>
      <vt:variant>
        <vt:i4>149</vt:i4>
      </vt:variant>
      <vt:variant>
        <vt:i4>0</vt:i4>
      </vt:variant>
      <vt:variant>
        <vt:i4>5</vt:i4>
      </vt:variant>
      <vt:variant>
        <vt:lpwstr/>
      </vt:variant>
      <vt:variant>
        <vt:lpwstr>_Toc38900324</vt:lpwstr>
      </vt:variant>
      <vt:variant>
        <vt:i4>2031672</vt:i4>
      </vt:variant>
      <vt:variant>
        <vt:i4>143</vt:i4>
      </vt:variant>
      <vt:variant>
        <vt:i4>0</vt:i4>
      </vt:variant>
      <vt:variant>
        <vt:i4>5</vt:i4>
      </vt:variant>
      <vt:variant>
        <vt:lpwstr/>
      </vt:variant>
      <vt:variant>
        <vt:lpwstr>_Toc38900323</vt:lpwstr>
      </vt:variant>
      <vt:variant>
        <vt:i4>1966136</vt:i4>
      </vt:variant>
      <vt:variant>
        <vt:i4>137</vt:i4>
      </vt:variant>
      <vt:variant>
        <vt:i4>0</vt:i4>
      </vt:variant>
      <vt:variant>
        <vt:i4>5</vt:i4>
      </vt:variant>
      <vt:variant>
        <vt:lpwstr/>
      </vt:variant>
      <vt:variant>
        <vt:lpwstr>_Toc38900322</vt:lpwstr>
      </vt:variant>
      <vt:variant>
        <vt:i4>1900600</vt:i4>
      </vt:variant>
      <vt:variant>
        <vt:i4>131</vt:i4>
      </vt:variant>
      <vt:variant>
        <vt:i4>0</vt:i4>
      </vt:variant>
      <vt:variant>
        <vt:i4>5</vt:i4>
      </vt:variant>
      <vt:variant>
        <vt:lpwstr/>
      </vt:variant>
      <vt:variant>
        <vt:lpwstr>_Toc38900321</vt:lpwstr>
      </vt:variant>
      <vt:variant>
        <vt:i4>1835064</vt:i4>
      </vt:variant>
      <vt:variant>
        <vt:i4>125</vt:i4>
      </vt:variant>
      <vt:variant>
        <vt:i4>0</vt:i4>
      </vt:variant>
      <vt:variant>
        <vt:i4>5</vt:i4>
      </vt:variant>
      <vt:variant>
        <vt:lpwstr/>
      </vt:variant>
      <vt:variant>
        <vt:lpwstr>_Toc38900320</vt:lpwstr>
      </vt:variant>
      <vt:variant>
        <vt:i4>1376315</vt:i4>
      </vt:variant>
      <vt:variant>
        <vt:i4>119</vt:i4>
      </vt:variant>
      <vt:variant>
        <vt:i4>0</vt:i4>
      </vt:variant>
      <vt:variant>
        <vt:i4>5</vt:i4>
      </vt:variant>
      <vt:variant>
        <vt:lpwstr/>
      </vt:variant>
      <vt:variant>
        <vt:lpwstr>_Toc38900319</vt:lpwstr>
      </vt:variant>
      <vt:variant>
        <vt:i4>1310779</vt:i4>
      </vt:variant>
      <vt:variant>
        <vt:i4>113</vt:i4>
      </vt:variant>
      <vt:variant>
        <vt:i4>0</vt:i4>
      </vt:variant>
      <vt:variant>
        <vt:i4>5</vt:i4>
      </vt:variant>
      <vt:variant>
        <vt:lpwstr/>
      </vt:variant>
      <vt:variant>
        <vt:lpwstr>_Toc38900318</vt:lpwstr>
      </vt:variant>
      <vt:variant>
        <vt:i4>1769531</vt:i4>
      </vt:variant>
      <vt:variant>
        <vt:i4>107</vt:i4>
      </vt:variant>
      <vt:variant>
        <vt:i4>0</vt:i4>
      </vt:variant>
      <vt:variant>
        <vt:i4>5</vt:i4>
      </vt:variant>
      <vt:variant>
        <vt:lpwstr/>
      </vt:variant>
      <vt:variant>
        <vt:lpwstr>_Toc38900317</vt:lpwstr>
      </vt:variant>
      <vt:variant>
        <vt:i4>1703995</vt:i4>
      </vt:variant>
      <vt:variant>
        <vt:i4>101</vt:i4>
      </vt:variant>
      <vt:variant>
        <vt:i4>0</vt:i4>
      </vt:variant>
      <vt:variant>
        <vt:i4>5</vt:i4>
      </vt:variant>
      <vt:variant>
        <vt:lpwstr/>
      </vt:variant>
      <vt:variant>
        <vt:lpwstr>_Toc38900316</vt:lpwstr>
      </vt:variant>
      <vt:variant>
        <vt:i4>1638459</vt:i4>
      </vt:variant>
      <vt:variant>
        <vt:i4>95</vt:i4>
      </vt:variant>
      <vt:variant>
        <vt:i4>0</vt:i4>
      </vt:variant>
      <vt:variant>
        <vt:i4>5</vt:i4>
      </vt:variant>
      <vt:variant>
        <vt:lpwstr/>
      </vt:variant>
      <vt:variant>
        <vt:lpwstr>_Toc38900315</vt:lpwstr>
      </vt:variant>
      <vt:variant>
        <vt:i4>1572923</vt:i4>
      </vt:variant>
      <vt:variant>
        <vt:i4>89</vt:i4>
      </vt:variant>
      <vt:variant>
        <vt:i4>0</vt:i4>
      </vt:variant>
      <vt:variant>
        <vt:i4>5</vt:i4>
      </vt:variant>
      <vt:variant>
        <vt:lpwstr/>
      </vt:variant>
      <vt:variant>
        <vt:lpwstr>_Toc38900314</vt:lpwstr>
      </vt:variant>
      <vt:variant>
        <vt:i4>2031675</vt:i4>
      </vt:variant>
      <vt:variant>
        <vt:i4>83</vt:i4>
      </vt:variant>
      <vt:variant>
        <vt:i4>0</vt:i4>
      </vt:variant>
      <vt:variant>
        <vt:i4>5</vt:i4>
      </vt:variant>
      <vt:variant>
        <vt:lpwstr/>
      </vt:variant>
      <vt:variant>
        <vt:lpwstr>_Toc38900313</vt:lpwstr>
      </vt:variant>
      <vt:variant>
        <vt:i4>1966139</vt:i4>
      </vt:variant>
      <vt:variant>
        <vt:i4>77</vt:i4>
      </vt:variant>
      <vt:variant>
        <vt:i4>0</vt:i4>
      </vt:variant>
      <vt:variant>
        <vt:i4>5</vt:i4>
      </vt:variant>
      <vt:variant>
        <vt:lpwstr/>
      </vt:variant>
      <vt:variant>
        <vt:lpwstr>_Toc38900312</vt:lpwstr>
      </vt:variant>
      <vt:variant>
        <vt:i4>1900603</vt:i4>
      </vt:variant>
      <vt:variant>
        <vt:i4>71</vt:i4>
      </vt:variant>
      <vt:variant>
        <vt:i4>0</vt:i4>
      </vt:variant>
      <vt:variant>
        <vt:i4>5</vt:i4>
      </vt:variant>
      <vt:variant>
        <vt:lpwstr/>
      </vt:variant>
      <vt:variant>
        <vt:lpwstr>_Toc38900311</vt:lpwstr>
      </vt:variant>
      <vt:variant>
        <vt:i4>1835067</vt:i4>
      </vt:variant>
      <vt:variant>
        <vt:i4>65</vt:i4>
      </vt:variant>
      <vt:variant>
        <vt:i4>0</vt:i4>
      </vt:variant>
      <vt:variant>
        <vt:i4>5</vt:i4>
      </vt:variant>
      <vt:variant>
        <vt:lpwstr/>
      </vt:variant>
      <vt:variant>
        <vt:lpwstr>_Toc38900310</vt:lpwstr>
      </vt:variant>
      <vt:variant>
        <vt:i4>1376314</vt:i4>
      </vt:variant>
      <vt:variant>
        <vt:i4>59</vt:i4>
      </vt:variant>
      <vt:variant>
        <vt:i4>0</vt:i4>
      </vt:variant>
      <vt:variant>
        <vt:i4>5</vt:i4>
      </vt:variant>
      <vt:variant>
        <vt:lpwstr/>
      </vt:variant>
      <vt:variant>
        <vt:lpwstr>_Toc38900309</vt:lpwstr>
      </vt:variant>
      <vt:variant>
        <vt:i4>1310778</vt:i4>
      </vt:variant>
      <vt:variant>
        <vt:i4>53</vt:i4>
      </vt:variant>
      <vt:variant>
        <vt:i4>0</vt:i4>
      </vt:variant>
      <vt:variant>
        <vt:i4>5</vt:i4>
      </vt:variant>
      <vt:variant>
        <vt:lpwstr/>
      </vt:variant>
      <vt:variant>
        <vt:lpwstr>_Toc38900308</vt:lpwstr>
      </vt:variant>
      <vt:variant>
        <vt:i4>1769530</vt:i4>
      </vt:variant>
      <vt:variant>
        <vt:i4>47</vt:i4>
      </vt:variant>
      <vt:variant>
        <vt:i4>0</vt:i4>
      </vt:variant>
      <vt:variant>
        <vt:i4>5</vt:i4>
      </vt:variant>
      <vt:variant>
        <vt:lpwstr/>
      </vt:variant>
      <vt:variant>
        <vt:lpwstr>_Toc38900307</vt:lpwstr>
      </vt:variant>
      <vt:variant>
        <vt:i4>1703994</vt:i4>
      </vt:variant>
      <vt:variant>
        <vt:i4>41</vt:i4>
      </vt:variant>
      <vt:variant>
        <vt:i4>0</vt:i4>
      </vt:variant>
      <vt:variant>
        <vt:i4>5</vt:i4>
      </vt:variant>
      <vt:variant>
        <vt:lpwstr/>
      </vt:variant>
      <vt:variant>
        <vt:lpwstr>_Toc38900306</vt:lpwstr>
      </vt:variant>
      <vt:variant>
        <vt:i4>1638458</vt:i4>
      </vt:variant>
      <vt:variant>
        <vt:i4>35</vt:i4>
      </vt:variant>
      <vt:variant>
        <vt:i4>0</vt:i4>
      </vt:variant>
      <vt:variant>
        <vt:i4>5</vt:i4>
      </vt:variant>
      <vt:variant>
        <vt:lpwstr/>
      </vt:variant>
      <vt:variant>
        <vt:lpwstr>_Toc38900305</vt:lpwstr>
      </vt:variant>
      <vt:variant>
        <vt:i4>1572922</vt:i4>
      </vt:variant>
      <vt:variant>
        <vt:i4>29</vt:i4>
      </vt:variant>
      <vt:variant>
        <vt:i4>0</vt:i4>
      </vt:variant>
      <vt:variant>
        <vt:i4>5</vt:i4>
      </vt:variant>
      <vt:variant>
        <vt:lpwstr/>
      </vt:variant>
      <vt:variant>
        <vt:lpwstr>_Toc38900304</vt:lpwstr>
      </vt:variant>
      <vt:variant>
        <vt:i4>2031674</vt:i4>
      </vt:variant>
      <vt:variant>
        <vt:i4>23</vt:i4>
      </vt:variant>
      <vt:variant>
        <vt:i4>0</vt:i4>
      </vt:variant>
      <vt:variant>
        <vt:i4>5</vt:i4>
      </vt:variant>
      <vt:variant>
        <vt:lpwstr/>
      </vt:variant>
      <vt:variant>
        <vt:lpwstr>_Toc38900303</vt:lpwstr>
      </vt:variant>
      <vt:variant>
        <vt:i4>1966138</vt:i4>
      </vt:variant>
      <vt:variant>
        <vt:i4>17</vt:i4>
      </vt:variant>
      <vt:variant>
        <vt:i4>0</vt:i4>
      </vt:variant>
      <vt:variant>
        <vt:i4>5</vt:i4>
      </vt:variant>
      <vt:variant>
        <vt:lpwstr/>
      </vt:variant>
      <vt:variant>
        <vt:lpwstr>_Toc38900302</vt:lpwstr>
      </vt:variant>
      <vt:variant>
        <vt:i4>1900602</vt:i4>
      </vt:variant>
      <vt:variant>
        <vt:i4>11</vt:i4>
      </vt:variant>
      <vt:variant>
        <vt:i4>0</vt:i4>
      </vt:variant>
      <vt:variant>
        <vt:i4>5</vt:i4>
      </vt:variant>
      <vt:variant>
        <vt:lpwstr/>
      </vt:variant>
      <vt:variant>
        <vt:lpwstr>_Toc38900301</vt:lpwstr>
      </vt:variant>
      <vt:variant>
        <vt:i4>3997804</vt:i4>
      </vt:variant>
      <vt:variant>
        <vt:i4>6</vt:i4>
      </vt:variant>
      <vt:variant>
        <vt:i4>0</vt:i4>
      </vt:variant>
      <vt:variant>
        <vt:i4>5</vt:i4>
      </vt:variant>
      <vt:variant>
        <vt:lpwstr>http://www.fiscoetasse.com/</vt:lpwstr>
      </vt:variant>
      <vt:variant>
        <vt:lpwstr/>
      </vt:variant>
      <vt:variant>
        <vt:i4>655374</vt:i4>
      </vt:variant>
      <vt:variant>
        <vt:i4>3</vt:i4>
      </vt:variant>
      <vt:variant>
        <vt:i4>0</vt:i4>
      </vt:variant>
      <vt:variant>
        <vt:i4>5</vt:i4>
      </vt:variant>
      <vt:variant>
        <vt:lpwstr>http://www.apito.it/</vt:lpwstr>
      </vt:variant>
      <vt:variant>
        <vt:lpwstr/>
      </vt:variant>
      <vt:variant>
        <vt:i4>655374</vt:i4>
      </vt:variant>
      <vt:variant>
        <vt:i4>0</vt:i4>
      </vt:variant>
      <vt:variant>
        <vt:i4>0</vt:i4>
      </vt:variant>
      <vt:variant>
        <vt:i4>5</vt:i4>
      </vt:variant>
      <vt:variant>
        <vt:lpwstr>http://www.apito.it/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Credito beni instrumentali</dc:title>
  <dc:creator>Dimitri;Pollet</dc:creator>
  <cp:lastModifiedBy>Fisco Tasse</cp:lastModifiedBy>
  <cp:revision>2</cp:revision>
  <cp:lastPrinted>2022-01-18T10:43:00Z</cp:lastPrinted>
  <dcterms:created xsi:type="dcterms:W3CDTF">2022-01-18T13:46:00Z</dcterms:created>
  <dcterms:modified xsi:type="dcterms:W3CDTF">2022-01-18T13:46:00Z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0x010100A6325B368CDC0149BBEBD84C8860F3C2</vt:lpwstr>
  </property>
</Properties>
</file>